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CCBB">
      <w:pPr>
        <w:spacing w:line="360" w:lineRule="auto"/>
        <w:ind w:firstLine="442" w:firstLineChars="100"/>
        <w:jc w:val="center"/>
        <w:rPr>
          <w:rFonts w:hint="eastAsia" w:asciiTheme="majorEastAsia" w:hAnsiTheme="majorEastAsia" w:eastAsiaTheme="majorEastAsia" w:cstheme="majorEastAsia"/>
          <w:b/>
          <w:bCs/>
          <w:sz w:val="44"/>
          <w:szCs w:val="44"/>
          <w:u w:val="none"/>
          <w:lang w:val="en-US"/>
        </w:rPr>
      </w:pPr>
      <w:r>
        <w:rPr>
          <w:rFonts w:hint="eastAsia" w:asciiTheme="majorEastAsia" w:hAnsiTheme="majorEastAsia" w:eastAsiaTheme="majorEastAsia" w:cstheme="majorEastAsia"/>
          <w:b/>
          <w:bCs/>
          <w:i w:val="0"/>
          <w:iCs w:val="0"/>
          <w:caps w:val="0"/>
          <w:color w:val="333333"/>
          <w:spacing w:val="0"/>
          <w:sz w:val="44"/>
          <w:szCs w:val="44"/>
        </w:rPr>
        <w:t>襄城县</w:t>
      </w:r>
      <w:r>
        <w:rPr>
          <w:rFonts w:hint="eastAsia" w:asciiTheme="majorEastAsia" w:hAnsiTheme="majorEastAsia" w:eastAsiaTheme="majorEastAsia" w:cstheme="majorEastAsia"/>
          <w:b/>
          <w:bCs/>
          <w:i w:val="0"/>
          <w:iCs w:val="0"/>
          <w:caps w:val="0"/>
          <w:color w:val="333333"/>
          <w:spacing w:val="0"/>
          <w:sz w:val="44"/>
          <w:szCs w:val="44"/>
          <w:lang w:val="en-US" w:eastAsia="zh-CN"/>
        </w:rPr>
        <w:t>公安局</w:t>
      </w:r>
      <w:r>
        <w:rPr>
          <w:rFonts w:hint="eastAsia" w:asciiTheme="majorEastAsia" w:hAnsiTheme="majorEastAsia" w:eastAsiaTheme="majorEastAsia" w:cstheme="majorEastAsia"/>
          <w:b/>
          <w:bCs/>
          <w:sz w:val="44"/>
          <w:szCs w:val="44"/>
          <w:u w:val="none"/>
          <w:lang w:val="en-US"/>
        </w:rPr>
        <w:t>增设交通信号灯</w:t>
      </w:r>
      <w:r>
        <w:rPr>
          <w:rFonts w:hint="eastAsia" w:asciiTheme="majorEastAsia" w:hAnsiTheme="majorEastAsia" w:eastAsiaTheme="majorEastAsia" w:cstheme="majorEastAsia"/>
          <w:b/>
          <w:bCs/>
          <w:sz w:val="44"/>
          <w:szCs w:val="44"/>
          <w:u w:val="none"/>
          <w:lang w:val="en-US" w:eastAsia="zh-CN"/>
        </w:rPr>
        <w:t>、</w:t>
      </w:r>
      <w:r>
        <w:rPr>
          <w:rFonts w:hint="eastAsia" w:asciiTheme="majorEastAsia" w:hAnsiTheme="majorEastAsia" w:eastAsiaTheme="majorEastAsia" w:cstheme="majorEastAsia"/>
          <w:b/>
          <w:bCs/>
          <w:sz w:val="44"/>
          <w:szCs w:val="44"/>
          <w:u w:val="none"/>
          <w:lang w:val="en-US"/>
        </w:rPr>
        <w:t>交通</w:t>
      </w:r>
    </w:p>
    <w:p w14:paraId="0DA35B03">
      <w:pPr>
        <w:spacing w:line="360" w:lineRule="auto"/>
        <w:ind w:firstLine="442" w:firstLineChars="100"/>
        <w:jc w:val="center"/>
        <w:rPr>
          <w:rFonts w:hint="eastAsia" w:asciiTheme="majorEastAsia" w:hAnsiTheme="majorEastAsia" w:eastAsiaTheme="majorEastAsia" w:cstheme="majorEastAsia"/>
          <w:b/>
          <w:bCs/>
          <w:sz w:val="44"/>
          <w:szCs w:val="44"/>
          <w:u w:val="none"/>
          <w:lang w:val="en-US"/>
        </w:rPr>
      </w:pPr>
      <w:r>
        <w:rPr>
          <w:rFonts w:hint="eastAsia" w:asciiTheme="majorEastAsia" w:hAnsiTheme="majorEastAsia" w:eastAsiaTheme="majorEastAsia" w:cstheme="majorEastAsia"/>
          <w:b/>
          <w:bCs/>
          <w:sz w:val="44"/>
          <w:szCs w:val="44"/>
          <w:u w:val="none"/>
          <w:lang w:val="en-US"/>
        </w:rPr>
        <w:t>标志牌项目</w:t>
      </w:r>
    </w:p>
    <w:p w14:paraId="69AD0917">
      <w:pPr>
        <w:spacing w:line="360" w:lineRule="auto"/>
        <w:ind w:firstLine="442" w:firstLineChars="100"/>
        <w:jc w:val="center"/>
        <w:rPr>
          <w:rFonts w:ascii="宋体" w:hAnsi="宋体" w:cs="仿宋"/>
          <w:b/>
          <w:color w:val="000000"/>
          <w:kern w:val="0"/>
          <w:sz w:val="44"/>
          <w:szCs w:val="44"/>
          <w:shd w:val="clear" w:color="auto" w:fill="FFFFFF"/>
        </w:rPr>
      </w:pPr>
      <w:r>
        <w:rPr>
          <w:rFonts w:hint="eastAsia" w:ascii="宋体" w:hAnsi="宋体" w:cs="仿宋"/>
          <w:b/>
          <w:color w:val="000000"/>
          <w:kern w:val="0"/>
          <w:sz w:val="44"/>
          <w:szCs w:val="44"/>
          <w:shd w:val="clear" w:color="auto" w:fill="FFFFFF"/>
        </w:rPr>
        <w:t>（不见面开标）</w:t>
      </w:r>
    </w:p>
    <w:p w14:paraId="739DFE03">
      <w:pPr>
        <w:spacing w:line="360" w:lineRule="auto"/>
        <w:jc w:val="center"/>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29BEE58C">
      <w:pPr>
        <w:spacing w:line="360" w:lineRule="auto"/>
        <w:ind w:firstLine="619" w:firstLineChars="295"/>
        <w:rPr>
          <w:rFonts w:hint="default" w:ascii="宋体" w:hAnsi="宋体" w:eastAsia="宋体"/>
          <w:b/>
          <w:bCs/>
          <w:sz w:val="36"/>
          <w:szCs w:val="36"/>
          <w:lang w:val="en-US" w:eastAsia="zh-CN"/>
        </w:rPr>
      </w:pPr>
      <w:r>
        <w:rPr>
          <w:rFonts w:hint="eastAsia" w:ascii="微软简隶书" w:eastAsia="微软简隶书"/>
          <w:color w:val="000000"/>
          <w:lang w:val="en-US" w:eastAsia="zh-CN"/>
        </w:rPr>
        <w:t xml:space="preserve">            </w:t>
      </w:r>
      <w:r>
        <w:rPr>
          <w:rFonts w:hint="eastAsia" w:ascii="宋体" w:hAnsi="宋体" w:cs="宋体"/>
          <w:b/>
          <w:bCs/>
          <w:color w:val="000000"/>
          <w:sz w:val="36"/>
          <w:szCs w:val="36"/>
        </w:rPr>
        <w:t>项目编号：</w:t>
      </w:r>
      <w:r>
        <w:rPr>
          <w:rFonts w:hint="eastAsia" w:ascii="宋体" w:hAnsi="宋体"/>
          <w:b/>
          <w:bCs/>
          <w:sz w:val="36"/>
          <w:szCs w:val="36"/>
        </w:rPr>
        <w:t>襄财招标采购-202</w:t>
      </w:r>
      <w:r>
        <w:rPr>
          <w:rFonts w:hint="eastAsia" w:ascii="宋体" w:hAnsi="宋体"/>
          <w:b/>
          <w:bCs/>
          <w:sz w:val="36"/>
          <w:szCs w:val="36"/>
          <w:lang w:val="en-US" w:eastAsia="zh-CN"/>
        </w:rPr>
        <w:t>6</w:t>
      </w:r>
      <w:r>
        <w:rPr>
          <w:rFonts w:hint="eastAsia" w:ascii="宋体" w:hAnsi="宋体"/>
          <w:b/>
          <w:bCs/>
          <w:sz w:val="36"/>
          <w:szCs w:val="36"/>
        </w:rPr>
        <w:t>-</w:t>
      </w:r>
      <w:r>
        <w:rPr>
          <w:rFonts w:hint="eastAsia" w:ascii="宋体" w:hAnsi="宋体"/>
          <w:b/>
          <w:bCs/>
          <w:sz w:val="36"/>
          <w:szCs w:val="36"/>
          <w:lang w:val="en-US" w:eastAsia="zh-CN"/>
        </w:rPr>
        <w:t>20</w:t>
      </w:r>
    </w:p>
    <w:p w14:paraId="3FC57990">
      <w:pPr>
        <w:spacing w:line="360" w:lineRule="auto"/>
        <w:rPr>
          <w:rFonts w:hint="default" w:ascii="微软简隶书" w:eastAsia="微软简隶书"/>
          <w:color w:val="000000"/>
          <w:lang w:val="en-US" w:eastAsia="zh-CN"/>
        </w:rPr>
      </w:pPr>
    </w:p>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701E2418">
      <w:pPr>
        <w:spacing w:line="360" w:lineRule="auto"/>
        <w:rPr>
          <w:rFonts w:ascii="微软简隶书" w:eastAsia="微软简隶书"/>
          <w:color w:val="000000"/>
        </w:rPr>
      </w:pPr>
    </w:p>
    <w:p w14:paraId="4A277643">
      <w:pPr>
        <w:spacing w:line="360" w:lineRule="auto"/>
        <w:rPr>
          <w:rFonts w:ascii="微软简隶书" w:eastAsia="微软简隶书"/>
          <w:color w:val="000000"/>
        </w:rPr>
      </w:pPr>
    </w:p>
    <w:p w14:paraId="591DA75F">
      <w:pPr>
        <w:spacing w:line="360" w:lineRule="auto"/>
        <w:rPr>
          <w:rFonts w:ascii="微软简隶书" w:eastAsia="微软简隶书"/>
          <w:color w:val="000000"/>
        </w:rPr>
      </w:pPr>
    </w:p>
    <w:p w14:paraId="03E1C22E">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4B2BA6B3">
      <w:pPr>
        <w:spacing w:line="360" w:lineRule="auto"/>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采购单位：襄城县</w:t>
      </w:r>
      <w:r>
        <w:rPr>
          <w:rFonts w:hint="eastAsia" w:ascii="宋体" w:hAnsi="宋体" w:cs="宋体"/>
          <w:b/>
          <w:bCs/>
          <w:color w:val="000000"/>
          <w:sz w:val="36"/>
          <w:szCs w:val="36"/>
          <w:lang w:val="en-US" w:eastAsia="zh-CN"/>
        </w:rPr>
        <w:t>公安局</w:t>
      </w:r>
    </w:p>
    <w:p w14:paraId="04ACBDF9">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w:t>
      </w:r>
      <w:r>
        <w:rPr>
          <w:rFonts w:hint="eastAsia" w:ascii="宋体" w:hAnsi="宋体" w:cs="宋体"/>
          <w:b/>
          <w:bCs/>
          <w:color w:val="000000"/>
          <w:sz w:val="36"/>
          <w:szCs w:val="36"/>
          <w:lang w:val="en-US" w:eastAsia="zh-CN"/>
        </w:rPr>
        <w:t>襄城县政府采购中心</w:t>
      </w:r>
    </w:p>
    <w:p w14:paraId="24F5D727">
      <w:pPr>
        <w:spacing w:line="360" w:lineRule="auto"/>
        <w:ind w:firstLine="2682" w:firstLineChars="800"/>
      </w:pPr>
      <w:r>
        <w:rPr>
          <w:rFonts w:ascii="宋体" w:hAnsi="宋体" w:cs="宋体"/>
          <w:b/>
          <w:bCs/>
          <w:spacing w:val="7"/>
          <w:sz w:val="32"/>
          <w:szCs w:val="32"/>
        </w:rPr>
        <w:t>二〇二</w:t>
      </w:r>
      <w:r>
        <w:rPr>
          <w:rFonts w:hint="eastAsia" w:ascii="宋体" w:hAnsi="宋体" w:cs="宋体"/>
          <w:b/>
          <w:bCs/>
          <w:spacing w:val="7"/>
          <w:sz w:val="32"/>
          <w:szCs w:val="32"/>
          <w:lang w:val="en-US" w:eastAsia="zh-CN"/>
        </w:rPr>
        <w:t>六</w:t>
      </w:r>
      <w:r>
        <w:rPr>
          <w:rFonts w:ascii="宋体" w:hAnsi="宋体" w:cs="宋体"/>
          <w:b/>
          <w:bCs/>
          <w:spacing w:val="7"/>
          <w:sz w:val="32"/>
          <w:szCs w:val="32"/>
        </w:rPr>
        <w:t>年</w:t>
      </w:r>
      <w:r>
        <w:rPr>
          <w:rFonts w:hint="eastAsia" w:ascii="宋体" w:hAnsi="宋体" w:cs="宋体"/>
          <w:b/>
          <w:bCs/>
          <w:spacing w:val="7"/>
          <w:sz w:val="32"/>
          <w:szCs w:val="32"/>
          <w:lang w:val="en-US" w:eastAsia="zh-CN"/>
        </w:rPr>
        <w:t>四</w:t>
      </w:r>
      <w:r>
        <w:rPr>
          <w:rFonts w:ascii="宋体" w:hAnsi="宋体" w:cs="宋体"/>
          <w:b/>
          <w:bCs/>
          <w:spacing w:val="7"/>
          <w:sz w:val="32"/>
          <w:szCs w:val="32"/>
        </w:rPr>
        <w:t>月</w:t>
      </w:r>
    </w:p>
    <w:p w14:paraId="6AE95AC5">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170D435C">
      <w:pPr>
        <w:pStyle w:val="23"/>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3"/>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65166CC6">
      <w:pPr>
        <w:spacing w:line="360" w:lineRule="auto"/>
        <w:rPr>
          <w:rFonts w:hint="eastAsia" w:ascii="宋体" w:hAnsi="宋体" w:eastAsia="宋体" w:cs="宋体"/>
          <w:sz w:val="24"/>
          <w:szCs w:val="24"/>
          <w:lang w:eastAsia="zh-CN"/>
        </w:rPr>
      </w:pPr>
      <w:bookmarkStart w:id="24" w:name="_GoBack"/>
      <w:r>
        <w:rPr>
          <w:rFonts w:hint="eastAsia" w:ascii="宋体" w:hAnsi="宋体" w:cs="宋体"/>
          <w:sz w:val="24"/>
          <w:szCs w:val="24"/>
        </w:rPr>
        <w:t>项目概况</w:t>
      </w:r>
      <w:r>
        <w:rPr>
          <w:rFonts w:hint="eastAsia" w:ascii="宋体" w:hAnsi="宋体" w:cs="宋体"/>
          <w:sz w:val="24"/>
          <w:szCs w:val="24"/>
          <w:lang w:eastAsia="zh-CN"/>
        </w:rPr>
        <w:t>：</w:t>
      </w:r>
    </w:p>
    <w:p w14:paraId="680EC748">
      <w:pPr>
        <w:spacing w:line="560" w:lineRule="exact"/>
        <w:jc w:val="both"/>
        <w:rPr>
          <w:rFonts w:ascii="宋体" w:hAnsi="宋体" w:cs="宋体"/>
          <w:sz w:val="24"/>
          <w:szCs w:val="24"/>
        </w:rPr>
      </w:pPr>
      <w:r>
        <w:rPr>
          <w:rFonts w:hint="eastAsia" w:ascii="宋体" w:hAnsi="宋体" w:cs="宋体"/>
          <w:sz w:val="24"/>
          <w:szCs w:val="24"/>
        </w:rPr>
        <w:t>“</w:t>
      </w:r>
      <w:r>
        <w:rPr>
          <w:rFonts w:hint="eastAsia" w:asciiTheme="minorEastAsia" w:hAnsiTheme="minorEastAsia" w:eastAsiaTheme="minorEastAsia" w:cstheme="minorEastAsia"/>
          <w:sz w:val="24"/>
          <w:szCs w:val="24"/>
          <w:lang w:val="en-US"/>
        </w:rPr>
        <w:t>襄城县公安局增设交通信号灯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交通标志牌项目</w:t>
      </w:r>
      <w:r>
        <w:rPr>
          <w:rFonts w:hint="eastAsia" w:ascii="宋体" w:hAnsi="宋体" w:cs="宋体"/>
          <w:sz w:val="24"/>
          <w:szCs w:val="24"/>
        </w:rPr>
        <w:t>”的潜在投标人应在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cs="宋体"/>
          <w:sz w:val="24"/>
          <w:szCs w:val="24"/>
        </w:rPr>
        <w:t>获取招标文件，并于202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492586A1">
      <w:pPr>
        <w:spacing w:line="360" w:lineRule="auto"/>
        <w:ind w:firstLine="482" w:firstLineChars="200"/>
        <w:rPr>
          <w:rFonts w:ascii="宋体" w:hAnsi="宋体" w:cs="宋体"/>
          <w:b/>
          <w:bCs/>
          <w:sz w:val="24"/>
          <w:szCs w:val="24"/>
        </w:rPr>
      </w:pPr>
      <w:bookmarkStart w:id="0" w:name="_Toc35393790"/>
      <w:bookmarkEnd w:id="0"/>
      <w:bookmarkStart w:id="1" w:name="_Toc35393621"/>
      <w:bookmarkEnd w:id="1"/>
      <w:bookmarkStart w:id="2" w:name="_Toc28359079"/>
      <w:bookmarkEnd w:id="2"/>
      <w:bookmarkStart w:id="3" w:name="_Toc28359002"/>
      <w:bookmarkEnd w:id="3"/>
      <w:bookmarkStart w:id="4" w:name="_Hlk24379207"/>
      <w:bookmarkEnd w:id="4"/>
      <w:r>
        <w:rPr>
          <w:rFonts w:hint="eastAsia" w:ascii="宋体" w:hAnsi="宋体" w:cs="宋体"/>
          <w:b/>
          <w:bCs/>
          <w:sz w:val="24"/>
          <w:szCs w:val="24"/>
        </w:rPr>
        <w:t>一、项目基本情况</w:t>
      </w:r>
    </w:p>
    <w:p w14:paraId="5C743B2F">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宋体" w:hAnsi="宋体" w:cs="宋体"/>
          <w:sz w:val="24"/>
          <w:szCs w:val="24"/>
        </w:rPr>
        <w:t>1.项目编号：</w:t>
      </w:r>
      <w:r>
        <w:rPr>
          <w:rFonts w:hint="eastAsia" w:asciiTheme="minorEastAsia" w:hAnsiTheme="minorEastAsia" w:eastAsiaTheme="minorEastAsia" w:cstheme="minorEastAsia"/>
          <w:sz w:val="24"/>
          <w:szCs w:val="24"/>
          <w:lang w:val="en-US" w:eastAsia="zh-CN"/>
        </w:rPr>
        <w:t>襄财招标采购-2026-20</w:t>
      </w:r>
    </w:p>
    <w:p w14:paraId="0A6413D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2.项目名称：</w:t>
      </w:r>
      <w:r>
        <w:rPr>
          <w:rFonts w:hint="eastAsia" w:asciiTheme="minorEastAsia" w:hAnsiTheme="minorEastAsia" w:eastAsiaTheme="minorEastAsia" w:cstheme="minorEastAsia"/>
          <w:sz w:val="24"/>
          <w:szCs w:val="24"/>
          <w:lang w:val="en-US"/>
        </w:rPr>
        <w:t>襄城县公安局增设交通信号灯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交通标志牌项目</w:t>
      </w:r>
    </w:p>
    <w:p w14:paraId="20316B28">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3083D9EE">
      <w:pPr>
        <w:numPr>
          <w:ilvl w:val="0"/>
          <w:numId w:val="0"/>
        </w:numPr>
        <w:spacing w:line="360" w:lineRule="auto"/>
        <w:ind w:left="479" w:leftChars="228" w:firstLine="0" w:firstLineChars="0"/>
        <w:contextualSpacing/>
        <w:rPr>
          <w:rFonts w:hint="eastAsia" w:ascii="宋体" w:hAnsi="宋体" w:cs="宋体"/>
          <w:sz w:val="24"/>
          <w:szCs w:val="24"/>
          <w:lang w:val="en-US" w:eastAsia="zh-CN"/>
        </w:rPr>
      </w:pPr>
      <w:r>
        <w:rPr>
          <w:rFonts w:hint="eastAsia" w:ascii="宋体" w:hAnsi="宋体" w:cs="宋体"/>
          <w:sz w:val="24"/>
          <w:szCs w:val="24"/>
        </w:rPr>
        <w:t>4.预算金额：</w:t>
      </w:r>
      <w:r>
        <w:rPr>
          <w:rFonts w:hint="eastAsia" w:ascii="宋体" w:hAnsi="宋体" w:cs="宋体"/>
          <w:sz w:val="24"/>
          <w:szCs w:val="24"/>
          <w:lang w:val="en-US" w:eastAsia="zh-CN"/>
        </w:rPr>
        <w:t>4727280</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cs="宋体"/>
          <w:sz w:val="24"/>
          <w:szCs w:val="24"/>
        </w:rPr>
        <w:t>最高限价：</w:t>
      </w:r>
      <w:r>
        <w:rPr>
          <w:rFonts w:hint="eastAsia" w:ascii="宋体" w:hAnsi="宋体" w:cs="宋体"/>
          <w:sz w:val="24"/>
          <w:szCs w:val="24"/>
          <w:lang w:val="en-US" w:eastAsia="zh-CN"/>
        </w:rPr>
        <w:t>4727280元。</w:t>
      </w:r>
    </w:p>
    <w:p w14:paraId="00B75EF5">
      <w:pPr>
        <w:numPr>
          <w:ilvl w:val="0"/>
          <w:numId w:val="0"/>
        </w:numPr>
        <w:spacing w:line="360" w:lineRule="auto"/>
        <w:ind w:left="479" w:leftChars="228" w:firstLine="0" w:firstLineChars="0"/>
        <w:contextualSpacing/>
        <w:rPr>
          <w:rFonts w:ascii="宋体" w:hAnsi="宋体" w:cs="宋体"/>
          <w:sz w:val="24"/>
          <w:szCs w:val="24"/>
        </w:rPr>
      </w:pPr>
      <w:r>
        <w:rPr>
          <w:rFonts w:hint="eastAsia" w:ascii="宋体" w:hAnsi="宋体" w:cs="宋体"/>
          <w:sz w:val="24"/>
          <w:szCs w:val="24"/>
          <w:lang w:val="en-US" w:eastAsia="zh-CN"/>
        </w:rPr>
        <w:t>第一标段：2957280元，第二标段：1770000元。</w:t>
      </w:r>
      <w:r>
        <w:rPr>
          <w:rFonts w:hint="eastAsia" w:ascii="宋体" w:hAnsi="宋体" w:cs="宋体"/>
          <w:sz w:val="24"/>
          <w:szCs w:val="24"/>
          <w:lang w:val="zh-CN" w:eastAsia="zh-CN"/>
        </w:rPr>
        <w:t>超出最高限价的投标无效。</w:t>
      </w:r>
    </w:p>
    <w:tbl>
      <w:tblPr>
        <w:tblStyle w:val="24"/>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1795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0CA01823">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47C4CA1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CC18E7A">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6F906D3C">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50088BC6">
            <w:pPr>
              <w:jc w:val="center"/>
              <w:rPr>
                <w:rFonts w:ascii="宋体" w:hAnsi="宋体" w:cs="宋体"/>
                <w:sz w:val="24"/>
                <w:szCs w:val="24"/>
              </w:rPr>
            </w:pPr>
            <w:r>
              <w:rPr>
                <w:rFonts w:hint="eastAsia" w:ascii="宋体" w:hAnsi="宋体" w:cs="宋体"/>
                <w:sz w:val="24"/>
                <w:szCs w:val="24"/>
              </w:rPr>
              <w:t>包最高限价（元）</w:t>
            </w:r>
          </w:p>
        </w:tc>
      </w:tr>
      <w:tr w14:paraId="2373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2872EA7C">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6B00ADCE">
            <w:pPr>
              <w:jc w:val="center"/>
              <w:rPr>
                <w:rFonts w:hint="eastAsia" w:ascii="宋体" w:hAnsi="宋体" w:eastAsia="宋体" w:cs="宋体"/>
                <w:color w:val="0000FF"/>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w:t>
            </w:r>
            <w:r>
              <w:rPr>
                <w:rFonts w:hint="eastAsia" w:ascii="宋体" w:hAnsi="宋体" w:cs="宋体"/>
                <w:sz w:val="24"/>
                <w:szCs w:val="24"/>
                <w:lang w:val="en-US" w:eastAsia="zh-CN"/>
              </w:rPr>
              <w:t>A</w:t>
            </w:r>
          </w:p>
        </w:tc>
        <w:tc>
          <w:tcPr>
            <w:tcW w:w="1654" w:type="dxa"/>
            <w:noWrap/>
            <w:vAlign w:val="center"/>
          </w:tcPr>
          <w:p w14:paraId="42391889">
            <w:pPr>
              <w:jc w:val="center"/>
              <w:rPr>
                <w:rFonts w:ascii="宋体" w:hAnsi="宋体" w:cs="宋体"/>
                <w:color w:val="000000" w:themeColor="text1"/>
                <w:sz w:val="24"/>
                <w:szCs w:val="24"/>
              </w:rPr>
            </w:pPr>
            <w:r>
              <w:rPr>
                <w:rFonts w:hint="eastAsia" w:ascii="宋体" w:hAnsi="宋体" w:cs="宋体"/>
                <w:color w:val="000000" w:themeColor="text1"/>
                <w:sz w:val="24"/>
                <w:szCs w:val="24"/>
              </w:rPr>
              <w:t>第一标段</w:t>
            </w:r>
          </w:p>
        </w:tc>
        <w:tc>
          <w:tcPr>
            <w:tcW w:w="1939" w:type="dxa"/>
            <w:noWrap/>
            <w:vAlign w:val="center"/>
          </w:tcPr>
          <w:p w14:paraId="2F38AD06">
            <w:pPr>
              <w:jc w:val="center"/>
              <w:rPr>
                <w:rFonts w:hint="default" w:ascii="宋体" w:hAnsi="宋体" w:eastAsia="宋体" w:cs="宋体"/>
                <w:color w:val="000000" w:themeColor="text1"/>
                <w:sz w:val="24"/>
                <w:szCs w:val="24"/>
                <w:lang w:val="en-US" w:eastAsia="zh-CN"/>
              </w:rPr>
            </w:pPr>
            <w:r>
              <w:rPr>
                <w:rFonts w:hint="eastAsia" w:ascii="宋体" w:hAnsi="宋体" w:cs="宋体"/>
                <w:sz w:val="24"/>
                <w:szCs w:val="24"/>
                <w:lang w:val="en-US" w:eastAsia="zh-CN"/>
              </w:rPr>
              <w:t>2957280</w:t>
            </w:r>
          </w:p>
        </w:tc>
        <w:tc>
          <w:tcPr>
            <w:tcW w:w="2183" w:type="dxa"/>
            <w:noWrap/>
            <w:vAlign w:val="center"/>
          </w:tcPr>
          <w:p w14:paraId="6C8885D1">
            <w:pPr>
              <w:jc w:val="center"/>
              <w:rPr>
                <w:rFonts w:ascii="宋体" w:hAnsi="宋体" w:cs="宋体"/>
                <w:color w:val="000000" w:themeColor="text1"/>
                <w:sz w:val="24"/>
                <w:szCs w:val="24"/>
              </w:rPr>
            </w:pPr>
            <w:r>
              <w:rPr>
                <w:rFonts w:hint="eastAsia" w:ascii="宋体" w:hAnsi="宋体" w:cs="宋体"/>
                <w:sz w:val="24"/>
                <w:szCs w:val="24"/>
                <w:lang w:val="en-US" w:eastAsia="zh-CN"/>
              </w:rPr>
              <w:t>2957280</w:t>
            </w:r>
          </w:p>
        </w:tc>
      </w:tr>
      <w:tr w14:paraId="029DD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1DC1FE87">
            <w:pPr>
              <w:jc w:val="center"/>
              <w:rPr>
                <w:rFonts w:hint="eastAsia" w:ascii="宋体" w:hAnsi="宋体" w:cs="宋体"/>
                <w:sz w:val="24"/>
                <w:szCs w:val="24"/>
              </w:rPr>
            </w:pPr>
          </w:p>
        </w:tc>
        <w:tc>
          <w:tcPr>
            <w:tcW w:w="1757" w:type="dxa"/>
            <w:noWrap/>
            <w:vAlign w:val="center"/>
          </w:tcPr>
          <w:p w14:paraId="4089F78F">
            <w:pPr>
              <w:jc w:val="center"/>
              <w:rPr>
                <w:rFonts w:hint="eastAsia" w:ascii="宋体" w:hAnsi="宋体" w:eastAsia="宋体" w:cs="宋体"/>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w:t>
            </w:r>
            <w:r>
              <w:rPr>
                <w:rFonts w:hint="eastAsia" w:ascii="宋体" w:hAnsi="宋体" w:cs="宋体"/>
                <w:sz w:val="24"/>
                <w:szCs w:val="24"/>
                <w:lang w:val="en-US" w:eastAsia="zh-CN"/>
              </w:rPr>
              <w:t>B</w:t>
            </w:r>
          </w:p>
        </w:tc>
        <w:tc>
          <w:tcPr>
            <w:tcW w:w="1654" w:type="dxa"/>
            <w:noWrap/>
            <w:vAlign w:val="center"/>
          </w:tcPr>
          <w:p w14:paraId="6742D350">
            <w:pPr>
              <w:jc w:val="center"/>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第二标段</w:t>
            </w:r>
          </w:p>
        </w:tc>
        <w:tc>
          <w:tcPr>
            <w:tcW w:w="1939" w:type="dxa"/>
            <w:noWrap/>
            <w:vAlign w:val="center"/>
          </w:tcPr>
          <w:p w14:paraId="3754D68C">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1770000</w:t>
            </w:r>
          </w:p>
        </w:tc>
        <w:tc>
          <w:tcPr>
            <w:tcW w:w="2183" w:type="dxa"/>
            <w:noWrap/>
            <w:vAlign w:val="center"/>
          </w:tcPr>
          <w:p w14:paraId="6B80895C">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1770000</w:t>
            </w:r>
          </w:p>
        </w:tc>
      </w:tr>
    </w:tbl>
    <w:p w14:paraId="679AB7F1">
      <w:pPr>
        <w:spacing w:line="360" w:lineRule="auto"/>
        <w:ind w:firstLine="480" w:firstLineChars="200"/>
        <w:rPr>
          <w:rFonts w:ascii="宋体" w:hAnsi="宋体" w:cs="宋体"/>
          <w:sz w:val="24"/>
          <w:szCs w:val="24"/>
        </w:rPr>
      </w:pPr>
      <w:r>
        <w:rPr>
          <w:rFonts w:hint="eastAsia" w:ascii="宋体" w:hAnsi="宋体" w:cs="宋体"/>
          <w:sz w:val="24"/>
          <w:szCs w:val="24"/>
        </w:rPr>
        <w:t>5.采购需求：</w:t>
      </w:r>
    </w:p>
    <w:p w14:paraId="175DC4D6">
      <w:pPr>
        <w:spacing w:line="360" w:lineRule="auto"/>
        <w:ind w:firstLine="480" w:firstLineChars="200"/>
        <w:rPr>
          <w:rFonts w:ascii="宋体" w:hAnsi="宋体" w:cs="宋体"/>
          <w:sz w:val="24"/>
          <w:szCs w:val="24"/>
        </w:rPr>
      </w:pPr>
      <w:r>
        <w:rPr>
          <w:rFonts w:hint="eastAsia" w:cs="宋体"/>
          <w:sz w:val="24"/>
          <w:szCs w:val="24"/>
          <w:u w:val="none"/>
          <w:lang w:val="en-US" w:eastAsia="zh-CN"/>
        </w:rPr>
        <w:t>项目采购：第一标段：</w:t>
      </w:r>
      <w:r>
        <w:rPr>
          <w:rFonts w:hint="eastAsia" w:ascii="宋体" w:hAnsi="宋体" w:cs="宋体"/>
          <w:kern w:val="2"/>
          <w:sz w:val="24"/>
          <w:szCs w:val="24"/>
          <w:lang w:val="en-US" w:eastAsia="zh-CN" w:bidi="ar-SA"/>
        </w:rPr>
        <w:t>新增5处</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电子警察卡口、红绿灯及1处违停；第二标段：31个路口安装102套交通标志牌。</w:t>
      </w:r>
      <w:r>
        <w:rPr>
          <w:rFonts w:hint="eastAsia" w:ascii="宋体" w:hAnsi="宋体" w:cs="宋体"/>
          <w:sz w:val="24"/>
          <w:szCs w:val="24"/>
        </w:rPr>
        <w:t>（具体要求和未尽事宜详见招标文件）。</w:t>
      </w:r>
    </w:p>
    <w:p w14:paraId="2AE4D9B7">
      <w:pPr>
        <w:spacing w:line="360" w:lineRule="auto"/>
        <w:ind w:firstLine="480" w:firstLineChars="200"/>
        <w:rPr>
          <w:rFonts w:ascii="宋体" w:hAnsi="宋体" w:cs="宋体"/>
          <w:sz w:val="24"/>
          <w:szCs w:val="24"/>
        </w:rPr>
      </w:pPr>
      <w:r>
        <w:rPr>
          <w:rFonts w:hint="eastAsia" w:ascii="宋体" w:hAnsi="宋体" w:cs="宋体"/>
          <w:sz w:val="24"/>
          <w:szCs w:val="24"/>
        </w:rPr>
        <w:t>6.合同履行期限：</w:t>
      </w:r>
      <w:r>
        <w:rPr>
          <w:rFonts w:hint="eastAsia" w:ascii="宋体" w:hAnsi="宋体" w:cs="宋体"/>
          <w:color w:val="000000"/>
          <w:sz w:val="24"/>
          <w:szCs w:val="24"/>
          <w:lang w:val="en-US" w:eastAsia="zh-CN"/>
        </w:rPr>
        <w:t>自</w:t>
      </w:r>
      <w:r>
        <w:rPr>
          <w:rFonts w:hint="eastAsia" w:ascii="宋体" w:hAnsi="宋体" w:eastAsia="宋体" w:cs="宋体"/>
          <w:color w:val="000000"/>
          <w:sz w:val="24"/>
          <w:szCs w:val="24"/>
        </w:rPr>
        <w:t>合同签订</w:t>
      </w:r>
      <w:r>
        <w:rPr>
          <w:rFonts w:hint="eastAsia" w:ascii="宋体" w:hAnsi="宋体" w:cs="宋体"/>
          <w:color w:val="000000"/>
          <w:sz w:val="24"/>
          <w:szCs w:val="24"/>
          <w:lang w:val="en-US" w:eastAsia="zh-CN"/>
        </w:rPr>
        <w:t>之日起</w:t>
      </w:r>
      <w:r>
        <w:rPr>
          <w:rFonts w:hint="eastAsia" w:ascii="宋体" w:hAnsi="宋体" w:eastAsia="宋体" w:cs="宋体"/>
          <w:color w:val="000000"/>
          <w:sz w:val="24"/>
          <w:szCs w:val="24"/>
        </w:rPr>
        <w:t>30日历天。</w:t>
      </w:r>
    </w:p>
    <w:p w14:paraId="7EE9B48D">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221C12B1">
      <w:pPr>
        <w:spacing w:line="360" w:lineRule="auto"/>
        <w:ind w:firstLine="480" w:firstLineChars="200"/>
        <w:rPr>
          <w:rFonts w:ascii="宋体" w:hAnsi="宋体" w:cs="宋体"/>
          <w:sz w:val="24"/>
          <w:szCs w:val="24"/>
        </w:rPr>
      </w:pPr>
      <w:bookmarkStart w:id="5" w:name="_Toc28359003"/>
      <w:bookmarkEnd w:id="5"/>
      <w:bookmarkStart w:id="6" w:name="_Toc28359080"/>
      <w:bookmarkEnd w:id="6"/>
      <w:bookmarkStart w:id="7" w:name="_Toc35393791"/>
      <w:bookmarkEnd w:id="7"/>
      <w:bookmarkStart w:id="8" w:name="_Toc35393622"/>
      <w:bookmarkEnd w:id="8"/>
      <w:r>
        <w:rPr>
          <w:rFonts w:hint="eastAsia" w:ascii="宋体" w:hAnsi="宋体" w:cs="宋体"/>
          <w:sz w:val="24"/>
          <w:szCs w:val="24"/>
        </w:rPr>
        <w:t>8.是否接受进口产品：否</w:t>
      </w:r>
    </w:p>
    <w:p w14:paraId="32E25327">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4D7C93C9">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14:paraId="47BD1D80">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5356D528">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7940669F">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71C1AF7E">
      <w:pPr>
        <w:numPr>
          <w:ilvl w:val="0"/>
          <w:numId w:val="3"/>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7FE37082">
      <w:pPr>
        <w:rPr>
          <w:rFonts w:hint="default"/>
          <w:lang w:val="en-US" w:eastAsia="zh-CN"/>
        </w:rPr>
      </w:pPr>
    </w:p>
    <w:p w14:paraId="6E84FABB">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14:paraId="58220950">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22</w:t>
      </w:r>
      <w:r>
        <w:rPr>
          <w:rFonts w:hint="eastAsia" w:ascii="宋体" w:hAnsi="宋体" w:cs="宋体"/>
          <w:sz w:val="24"/>
          <w:szCs w:val="24"/>
        </w:rPr>
        <w:t>日至202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日，每天上午00:00至</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59</w:t>
      </w:r>
      <w:r>
        <w:rPr>
          <w:rFonts w:hint="eastAsia" w:ascii="宋体" w:hAnsi="宋体" w:cs="宋体"/>
          <w:sz w:val="24"/>
          <w:szCs w:val="24"/>
        </w:rPr>
        <w:t>，下午12:00至23:59（北京时间，法定节假日除外）</w:t>
      </w:r>
    </w:p>
    <w:p w14:paraId="43F3C69E">
      <w:pPr>
        <w:pStyle w:val="23"/>
        <w:shd w:val="clear" w:color="auto" w:fill="FFFFFF"/>
        <w:spacing w:line="360" w:lineRule="auto"/>
        <w:ind w:firstLine="480"/>
        <w:rPr>
          <w:rFonts w:hint="eastAsia" w:ascii="宋体" w:hAnsi="宋体" w:eastAsia="宋体" w:cs="宋体"/>
          <w:color w:val="000000"/>
          <w:kern w:val="0"/>
          <w:sz w:val="24"/>
          <w:szCs w:val="24"/>
          <w:lang w:val="en-US" w:eastAsia="zh-CN"/>
        </w:rPr>
      </w:pPr>
      <w:r>
        <w:rPr>
          <w:rFonts w:hint="eastAsia" w:ascii="宋体" w:hAnsi="宋体" w:cs="宋体"/>
          <w:sz w:val="24"/>
          <w:szCs w:val="24"/>
        </w:rPr>
        <w:t>2.地点：</w:t>
      </w:r>
      <w:r>
        <w:rPr>
          <w:rFonts w:hint="eastAsia" w:ascii="宋体" w:hAnsi="宋体" w:cs="宋体"/>
          <w:kern w:val="0"/>
          <w:sz w:val="24"/>
          <w:szCs w:val="24"/>
        </w:rPr>
        <w:t>《全国公共资源交易平台（河南省·许昌市）》</w:t>
      </w:r>
      <w:r>
        <w:rPr>
          <w:rFonts w:hint="eastAsia" w:ascii="宋体" w:hAnsi="宋体" w:eastAsia="宋体" w:cs="宋体"/>
          <w:color w:val="000000"/>
          <w:kern w:val="0"/>
          <w:sz w:val="24"/>
          <w:szCs w:val="24"/>
          <w:highlight w:val="none"/>
        </w:rPr>
        <w:t>（https://ggzy.xuchang.gov.cn）</w:t>
      </w:r>
      <w:r>
        <w:rPr>
          <w:rFonts w:hint="eastAsia" w:ascii="宋体" w:hAnsi="宋体" w:cs="宋体"/>
          <w:color w:val="000000"/>
          <w:kern w:val="0"/>
          <w:sz w:val="24"/>
          <w:szCs w:val="24"/>
          <w:highlight w:val="none"/>
          <w:lang w:val="en-US" w:eastAsia="zh-CN"/>
        </w:rPr>
        <w:t>免费下载</w:t>
      </w:r>
    </w:p>
    <w:p w14:paraId="487BCE7A">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7CD78E1A">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6160E167">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四、投标</w:t>
      </w:r>
      <w:r>
        <w:rPr>
          <w:rFonts w:hint="eastAsia" w:ascii="宋体" w:hAnsi="宋体" w:cs="宋体"/>
          <w:b/>
          <w:bCs/>
          <w:sz w:val="24"/>
          <w:szCs w:val="24"/>
          <w:lang w:val="en-US" w:eastAsia="zh-CN"/>
        </w:rPr>
        <w:t>截止时间及地点</w:t>
      </w:r>
    </w:p>
    <w:p w14:paraId="184CEB98">
      <w:pPr>
        <w:spacing w:line="360" w:lineRule="auto"/>
        <w:ind w:firstLine="480" w:firstLineChars="200"/>
        <w:rPr>
          <w:rFonts w:ascii="宋体" w:hAnsi="宋体" w:cs="宋体"/>
          <w:sz w:val="24"/>
          <w:szCs w:val="24"/>
        </w:rPr>
      </w:pPr>
      <w:r>
        <w:rPr>
          <w:rFonts w:hint="eastAsia" w:ascii="宋体" w:hAnsi="宋体" w:cs="宋体"/>
          <w:sz w:val="24"/>
          <w:szCs w:val="24"/>
        </w:rPr>
        <w:t>1.截止时间：202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765CDF04">
      <w:pPr>
        <w:spacing w:line="360" w:lineRule="auto"/>
        <w:ind w:firstLine="480" w:firstLineChars="200"/>
        <w:rPr>
          <w:rFonts w:hint="eastAsia" w:ascii="宋体" w:hAnsi="宋体" w:cs="宋体"/>
          <w:sz w:val="24"/>
          <w:szCs w:val="24"/>
        </w:rPr>
      </w:pPr>
      <w:r>
        <w:rPr>
          <w:rFonts w:hint="eastAsia" w:ascii="宋体" w:hAnsi="宋体" w:cs="宋体"/>
          <w:sz w:val="24"/>
          <w:szCs w:val="24"/>
        </w:rPr>
        <w:t>2.地点：</w:t>
      </w:r>
      <w:r>
        <w:rPr>
          <w:rFonts w:hint="eastAsia" w:ascii="宋体" w:hAnsi="宋体" w:eastAsia="宋体" w:cs="宋体"/>
          <w:color w:val="000000"/>
          <w:kern w:val="0"/>
          <w:sz w:val="24"/>
          <w:szCs w:val="24"/>
          <w:highlight w:val="none"/>
        </w:rPr>
        <w:t>襄城县公共资源交易中心十二楼不见面开标一室。（本项目采用远程不见面开标方式，投标人无须到现场）</w:t>
      </w:r>
    </w:p>
    <w:p w14:paraId="2712526E">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五、</w:t>
      </w:r>
      <w:r>
        <w:rPr>
          <w:rFonts w:hint="eastAsia" w:ascii="宋体" w:hAnsi="宋体" w:cs="宋体"/>
          <w:b/>
          <w:bCs/>
          <w:sz w:val="24"/>
          <w:szCs w:val="24"/>
          <w:lang w:val="en-US" w:eastAsia="zh-CN"/>
        </w:rPr>
        <w:t>开标时间及地点</w:t>
      </w:r>
    </w:p>
    <w:p w14:paraId="404134EC">
      <w:pPr>
        <w:spacing w:line="360" w:lineRule="auto"/>
        <w:ind w:firstLine="480" w:firstLineChars="200"/>
        <w:rPr>
          <w:rFonts w:ascii="宋体" w:hAnsi="宋体" w:cs="宋体"/>
          <w:sz w:val="24"/>
          <w:szCs w:val="24"/>
        </w:rPr>
      </w:pPr>
      <w:r>
        <w:rPr>
          <w:rFonts w:hint="eastAsia" w:ascii="宋体" w:hAnsi="宋体" w:cs="宋体"/>
          <w:sz w:val="24"/>
          <w:szCs w:val="24"/>
        </w:rPr>
        <w:t>1.时间：</w:t>
      </w:r>
      <w:r>
        <w:rPr>
          <w:rFonts w:hint="eastAsia" w:ascii="宋体" w:hAnsi="宋体" w:eastAsia="宋体" w:cs="宋体"/>
          <w:color w:val="000000"/>
          <w:kern w:val="0"/>
          <w:sz w:val="24"/>
          <w:szCs w:val="24"/>
          <w:highlight w:val="none"/>
        </w:rPr>
        <w:t>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日</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9点00分</w:t>
      </w:r>
      <w:r>
        <w:rPr>
          <w:rFonts w:hint="eastAsia" w:ascii="宋体" w:hAnsi="宋体" w:cs="宋体"/>
          <w:sz w:val="24"/>
          <w:szCs w:val="24"/>
        </w:rPr>
        <w:t>（北京时间）</w:t>
      </w:r>
    </w:p>
    <w:p w14:paraId="281C973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2.地点：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45B4B1FE">
      <w:pPr>
        <w:spacing w:line="360" w:lineRule="auto"/>
        <w:ind w:firstLine="482" w:firstLineChars="200"/>
        <w:rPr>
          <w:rFonts w:ascii="宋体" w:hAnsi="宋体" w:cs="宋体"/>
          <w:b/>
          <w:bCs/>
          <w:sz w:val="24"/>
          <w:szCs w:val="24"/>
        </w:rPr>
      </w:pPr>
      <w:r>
        <w:rPr>
          <w:rFonts w:hint="eastAsia" w:ascii="宋体" w:hAnsi="宋体" w:cs="宋体"/>
          <w:b/>
          <w:bCs/>
          <w:sz w:val="24"/>
          <w:szCs w:val="24"/>
        </w:rPr>
        <w:t>六、发布公告的媒介及招标公告期限</w:t>
      </w:r>
    </w:p>
    <w:p w14:paraId="08B05C13">
      <w:pPr>
        <w:spacing w:line="360" w:lineRule="auto"/>
        <w:ind w:firstLine="480" w:firstLineChars="200"/>
        <w:rPr>
          <w:rFonts w:ascii="宋体" w:hAnsi="宋体" w:cs="宋体"/>
          <w:sz w:val="24"/>
          <w:szCs w:val="24"/>
        </w:rPr>
      </w:pPr>
      <w:r>
        <w:rPr>
          <w:rFonts w:hint="eastAsia" w:ascii="宋体" w:hAnsi="宋体" w:cs="宋体"/>
          <w:sz w:val="24"/>
          <w:szCs w:val="24"/>
        </w:rPr>
        <w:t xml:space="preserve">本次招标公告在《河南省政府采购网》《许昌市政府采购网》《全国公共资源交易平台（河南省•许昌市）》上发布，招标公告期限为五个工作日。 </w:t>
      </w:r>
    </w:p>
    <w:p w14:paraId="5B6226BB">
      <w:pPr>
        <w:spacing w:line="360" w:lineRule="auto"/>
        <w:ind w:firstLine="482" w:firstLineChars="200"/>
        <w:rPr>
          <w:rFonts w:ascii="宋体" w:hAnsi="宋体" w:cs="宋体"/>
          <w:b/>
          <w:bCs/>
          <w:sz w:val="24"/>
          <w:szCs w:val="24"/>
        </w:rPr>
      </w:pPr>
      <w:r>
        <w:rPr>
          <w:rFonts w:hint="eastAsia" w:ascii="宋体" w:hAnsi="宋体" w:cs="宋体"/>
          <w:b/>
          <w:bCs/>
          <w:sz w:val="24"/>
          <w:szCs w:val="24"/>
        </w:rPr>
        <w:t>七、其他补充事宜</w:t>
      </w:r>
    </w:p>
    <w:p w14:paraId="5F2C53B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5682368D">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629AB8E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71293FAE">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52775B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25D81C91">
      <w:pPr>
        <w:spacing w:line="360" w:lineRule="auto"/>
        <w:ind w:firstLine="482" w:firstLineChars="200"/>
        <w:rPr>
          <w:rFonts w:ascii="宋体" w:hAnsi="宋体" w:cs="宋体"/>
          <w:b/>
          <w:bCs/>
          <w:sz w:val="24"/>
          <w:szCs w:val="24"/>
        </w:rPr>
      </w:pPr>
      <w:r>
        <w:rPr>
          <w:rFonts w:hint="eastAsia" w:ascii="宋体" w:hAnsi="宋体" w:cs="宋体"/>
          <w:b/>
          <w:bCs/>
          <w:sz w:val="24"/>
          <w:szCs w:val="24"/>
        </w:rPr>
        <w:t>八、对本次招标提出询问，请按以下方式联系</w:t>
      </w:r>
    </w:p>
    <w:p w14:paraId="487AD188">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789868F3">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襄城县公安局</w:t>
      </w:r>
    </w:p>
    <w:p w14:paraId="090057F8">
      <w:pPr>
        <w:spacing w:line="360" w:lineRule="auto"/>
        <w:ind w:firstLine="480" w:firstLineChars="200"/>
        <w:rPr>
          <w:rFonts w:hint="eastAsia" w:ascii="宋体" w:hAnsi="宋体" w:cs="宋体" w:eastAsiaTheme="minorEastAsia"/>
          <w:sz w:val="24"/>
          <w:szCs w:val="24"/>
          <w:lang w:val="en-US" w:eastAsia="zh-CN"/>
        </w:rPr>
      </w:pPr>
      <w:r>
        <w:rPr>
          <w:rFonts w:hint="eastAsia" w:ascii="宋体" w:hAnsi="宋体" w:cs="宋体"/>
          <w:sz w:val="24"/>
          <w:szCs w:val="24"/>
        </w:rPr>
        <w:t>地 址：襄城县</w:t>
      </w:r>
      <w:r>
        <w:rPr>
          <w:rFonts w:hint="eastAsia" w:ascii="宋体" w:hAnsi="宋体" w:cs="宋体"/>
          <w:sz w:val="24"/>
          <w:szCs w:val="24"/>
          <w:lang w:val="en-US" w:eastAsia="zh-CN"/>
        </w:rPr>
        <w:t>烟城路</w:t>
      </w:r>
    </w:p>
    <w:p w14:paraId="3C6DF98D">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田许印</w:t>
      </w:r>
    </w:p>
    <w:p w14:paraId="21E7C5D2">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18637465771</w:t>
      </w:r>
    </w:p>
    <w:p w14:paraId="7FE7F633">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614FAC18">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sz w:val="24"/>
          <w:szCs w:val="24"/>
        </w:rPr>
        <w:t>名 称：</w:t>
      </w:r>
      <w:r>
        <w:rPr>
          <w:rFonts w:hint="eastAsia" w:ascii="宋体" w:hAnsi="宋体" w:eastAsia="宋体" w:cs="宋体"/>
          <w:sz w:val="24"/>
          <w:szCs w:val="24"/>
          <w:highlight w:val="none"/>
          <w:lang w:val="en-US" w:eastAsia="zh-CN"/>
        </w:rPr>
        <w:t>襄城县政府采购中心</w:t>
      </w:r>
    </w:p>
    <w:p w14:paraId="47547ADF">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eastAsia="宋体" w:cs="宋体"/>
          <w:color w:val="000000"/>
          <w:kern w:val="0"/>
          <w:sz w:val="24"/>
          <w:szCs w:val="24"/>
        </w:rPr>
        <w:t>襄城县八七路东段电子产业园12楼1204</w:t>
      </w:r>
    </w:p>
    <w:p w14:paraId="1C37357C">
      <w:pPr>
        <w:spacing w:line="360" w:lineRule="auto"/>
        <w:ind w:firstLine="480" w:firstLineChars="200"/>
        <w:rPr>
          <w:rFonts w:hint="default" w:ascii="宋体" w:hAnsi="宋体" w:cs="宋体" w:eastAsiaTheme="minorEastAsia"/>
          <w:kern w:val="0"/>
          <w:sz w:val="24"/>
          <w:szCs w:val="24"/>
          <w:lang w:val="en-US" w:eastAsia="zh-CN"/>
        </w:rPr>
      </w:pPr>
      <w:r>
        <w:rPr>
          <w:rFonts w:hint="eastAsia" w:ascii="宋体" w:hAnsi="宋体" w:cs="宋体"/>
          <w:sz w:val="24"/>
          <w:szCs w:val="24"/>
        </w:rPr>
        <w:t>联系电话：</w:t>
      </w:r>
      <w:r>
        <w:rPr>
          <w:rFonts w:hint="eastAsia" w:ascii="宋体" w:hAnsi="宋体" w:eastAsia="宋体" w:cs="宋体"/>
          <w:color w:val="000000"/>
          <w:kern w:val="0"/>
          <w:sz w:val="24"/>
          <w:szCs w:val="24"/>
        </w:rPr>
        <w:t>0374-3998026</w:t>
      </w:r>
    </w:p>
    <w:p w14:paraId="2E4CBDEF">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331484F9">
      <w:pPr>
        <w:autoSpaceDE w:val="0"/>
        <w:autoSpaceDN w:val="0"/>
        <w:adjustRightInd w:val="0"/>
        <w:spacing w:line="360" w:lineRule="auto"/>
        <w:ind w:firstLine="480" w:firstLineChars="200"/>
        <w:jc w:val="left"/>
        <w:rPr>
          <w:rFonts w:hint="eastAsia" w:ascii="宋体" w:hAnsi="宋体" w:cs="宋体" w:eastAsiaTheme="minorEastAsia"/>
          <w:sz w:val="24"/>
          <w:szCs w:val="24"/>
          <w:lang w:eastAsia="zh-CN"/>
        </w:rPr>
      </w:pPr>
      <w:r>
        <w:rPr>
          <w:rFonts w:hint="eastAsia" w:ascii="宋体" w:hAnsi="宋体" w:eastAsia="宋体" w:cs="宋体"/>
          <w:color w:val="000000"/>
          <w:kern w:val="0"/>
          <w:sz w:val="24"/>
          <w:szCs w:val="24"/>
        </w:rPr>
        <w:t>项目联系人：襄城县政府采购中心</w:t>
      </w:r>
    </w:p>
    <w:p w14:paraId="20BB7057">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联系电话：0374-3998026</w:t>
      </w:r>
    </w:p>
    <w:p w14:paraId="3C31604E">
      <w:pPr>
        <w:spacing w:line="360" w:lineRule="auto"/>
        <w:ind w:firstLine="480" w:firstLineChars="200"/>
        <w:rPr>
          <w:rFonts w:hint="default" w:ascii="宋体" w:hAnsi="宋体" w:cs="宋体" w:eastAsiaTheme="minorEastAsia"/>
          <w:sz w:val="24"/>
          <w:szCs w:val="24"/>
          <w:lang w:val="en-US" w:eastAsia="zh-CN"/>
        </w:rPr>
      </w:pPr>
    </w:p>
    <w:p w14:paraId="3AB185F8">
      <w:pPr>
        <w:spacing w:line="360" w:lineRule="auto"/>
        <w:rPr>
          <w:rFonts w:ascii="宋体" w:hAnsi="宋体" w:cs="宋体"/>
          <w:sz w:val="24"/>
          <w:szCs w:val="24"/>
        </w:rPr>
      </w:pPr>
    </w:p>
    <w:p w14:paraId="1F064A49">
      <w:pPr>
        <w:spacing w:line="360" w:lineRule="auto"/>
        <w:ind w:firstLine="480" w:firstLineChars="200"/>
        <w:rPr>
          <w:rFonts w:ascii="宋体" w:hAnsi="宋体" w:cs="宋体"/>
          <w:sz w:val="24"/>
          <w:szCs w:val="24"/>
        </w:rPr>
      </w:pPr>
      <w:r>
        <w:rPr>
          <w:rFonts w:hint="eastAsia" w:ascii="宋体" w:hAnsi="宋体" w:cs="宋体"/>
          <w:sz w:val="24"/>
          <w:szCs w:val="24"/>
        </w:rPr>
        <w:t>温馨提示：</w:t>
      </w:r>
    </w:p>
    <w:p w14:paraId="75B28D8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1.供应商参加本项目投标，需提前自行联系CA服务机构办理数字认证证书并进行电子签章。</w:t>
      </w:r>
    </w:p>
    <w:p w14:paraId="56D52C5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2.采购文件下载、投标文件制作、提交、远程不见面开标（电子投标文件的解密）环节，供应商须使用同一个CA数字证书（证书须在有效期内并可正常使用）。</w:t>
      </w:r>
    </w:p>
    <w:p w14:paraId="6AF4E9F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供应商登录《全国公共资源交易平台（河南省•许昌市）》（https://ggzy.xuchang.gov.cn/）下载“新点投标文件制作软件（河南省版）”（在“投标人”登录页面右下方“投标文件制作工具下载”）制作电子投标文件。</w:t>
      </w:r>
    </w:p>
    <w:p w14:paraId="77D3F11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4.加密电子投标文件的提交</w:t>
      </w:r>
    </w:p>
    <w:p w14:paraId="36D2BE9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4.1供应商对同一项目多个标段进行响应的，加密电子投标文件应按标段分别提交。</w:t>
      </w:r>
    </w:p>
    <w:p w14:paraId="7E98FC4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5.远程不见面开标（电子投标文件的解密）</w:t>
      </w:r>
    </w:p>
    <w:p w14:paraId="7C06E3FB">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本项目采用远程“不见面”开标方式，投标前请详细阅读《全国公共资源交易平台（河南省•许昌市）》（https://ggzy.xuchang.gov.cn/）“服务指南”——“办事指南”栏目下《新交易平台使用手册》中的相关内容。</w:t>
      </w:r>
    </w:p>
    <w:p w14:paraId="66B9A71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5.2供应商应按《新交易平台使用手册》提前设置好浏览器，并于开标时间前登录本项目网上开标大厅，按照规定的开标时间准时参加网上开标。</w:t>
      </w:r>
    </w:p>
    <w:p w14:paraId="3D2A142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5.4开标活动结束时，供应商应在《开标情况记录表》上进行电子签章。供应商未签章的，视同认可开标结果。</w:t>
      </w:r>
    </w:p>
    <w:p w14:paraId="2B95BC7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5.5供应商对开标过程和开标记录如有疑义，可在本项目开标大厅界面右下方“发起异议”中在线提出异议。</w:t>
      </w:r>
    </w:p>
    <w:p w14:paraId="64FD1E3A">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6.评标依据</w:t>
      </w:r>
    </w:p>
    <w:p w14:paraId="58313BF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7.相关事项</w:t>
      </w:r>
    </w:p>
    <w:p w14:paraId="710E844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7AA008F7">
      <w:pPr>
        <w:pStyle w:val="48"/>
        <w:widowControl w:val="0"/>
        <w:numPr>
          <w:ilvl w:val="0"/>
          <w:numId w:val="0"/>
        </w:numPr>
        <w:adjustRightInd w:val="0"/>
        <w:snapToGrid w:val="0"/>
        <w:spacing w:after="0" w:line="360" w:lineRule="auto"/>
        <w:ind w:firstLine="240" w:firstLineChars="100"/>
        <w:jc w:val="left"/>
        <w:rPr>
          <w:rFonts w:ascii="宋体" w:hAnsi="宋体" w:cs="宋体"/>
          <w:b/>
          <w:kern w:val="0"/>
          <w:sz w:val="32"/>
          <w:szCs w:val="32"/>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kern w:val="0"/>
          <w:sz w:val="24"/>
          <w:szCs w:val="24"/>
          <w:highlight w:val="none"/>
          <w:lang w:val="en-US" w:eastAsia="zh-CN" w:bidi="ar-SA"/>
        </w:rPr>
        <w:t xml:space="preserve">交易平台技术咨询电话：0374-2961598 </w:t>
      </w:r>
      <w:r>
        <w:rPr>
          <w:rFonts w:hint="eastAsia" w:hAnsi="宋体" w:cs="宋体"/>
          <w:color w:val="000000"/>
          <w:kern w:val="0"/>
          <w:sz w:val="24"/>
          <w:szCs w:val="24"/>
          <w:highlight w:val="none"/>
          <w:lang w:val="en-US" w:eastAsia="zh-CN" w:bidi="ar-SA"/>
        </w:rPr>
        <w:t xml:space="preserve">     </w:t>
      </w:r>
      <w:r>
        <w:rPr>
          <w:rFonts w:hint="eastAsia" w:ascii="宋体" w:hAnsi="宋体" w:eastAsia="宋体" w:cs="宋体"/>
          <w:color w:val="000000"/>
          <w:kern w:val="0"/>
          <w:sz w:val="24"/>
          <w:szCs w:val="24"/>
          <w:highlight w:val="none"/>
          <w:lang w:val="en-US" w:eastAsia="zh-CN" w:bidi="ar-SA"/>
        </w:rPr>
        <w:t>清单技术支持：1823601689</w:t>
      </w:r>
    </w:p>
    <w:bookmarkEnd w:id="24"/>
    <w:p w14:paraId="70B1AD62">
      <w:pPr>
        <w:ind w:firstLine="4176" w:firstLineChars="13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8"/>
        <w:spacing w:line="360" w:lineRule="auto"/>
        <w:ind w:firstLine="241" w:firstLineChars="100"/>
        <w:rPr>
          <w:rFonts w:ascii="宋体" w:hAnsi="宋体" w:cs="宋体"/>
          <w:b/>
          <w:bCs/>
          <w:color w:val="000000"/>
          <w:kern w:val="0"/>
          <w:sz w:val="24"/>
          <w:szCs w:val="24"/>
        </w:rPr>
      </w:pPr>
      <w:r>
        <w:rPr>
          <w:rFonts w:hint="eastAsia" w:ascii="宋体" w:hAnsi="宋体" w:cs="宋体"/>
          <w:b/>
          <w:bCs/>
          <w:color w:val="000000"/>
          <w:kern w:val="0"/>
          <w:sz w:val="24"/>
          <w:szCs w:val="24"/>
        </w:rPr>
        <w:t>一、本项目需实现的功能或者目标</w:t>
      </w:r>
    </w:p>
    <w:p w14:paraId="3A460D9F">
      <w:pPr>
        <w:pStyle w:val="8"/>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cs="宋体"/>
          <w:sz w:val="24"/>
          <w:szCs w:val="24"/>
          <w:u w:val="none"/>
          <w:lang w:val="en-US" w:eastAsia="zh-CN"/>
        </w:rPr>
        <w:t>第一标段：</w:t>
      </w:r>
      <w:r>
        <w:rPr>
          <w:rFonts w:hint="eastAsia" w:ascii="宋体" w:hAnsi="宋体" w:cs="宋体"/>
          <w:kern w:val="2"/>
          <w:sz w:val="24"/>
          <w:szCs w:val="24"/>
          <w:lang w:val="en-US" w:eastAsia="zh-CN" w:bidi="ar-SA"/>
        </w:rPr>
        <w:t>新增5处</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电子警察卡口、红绿灯及1处违停；第二标段：31个路口安装102套交通标志牌。</w:t>
      </w:r>
    </w:p>
    <w:p w14:paraId="2CC25500">
      <w:pPr>
        <w:pStyle w:val="8"/>
        <w:numPr>
          <w:ilvl w:val="0"/>
          <w:numId w:val="4"/>
        </w:numPr>
        <w:spacing w:line="360" w:lineRule="auto"/>
        <w:ind w:firstLine="241" w:firstLineChars="100"/>
        <w:rPr>
          <w:rFonts w:hint="eastAsia" w:ascii="宋体" w:hAnsi="宋体" w:eastAsia="宋体" w:cs="宋体"/>
          <w:kern w:val="2"/>
          <w:sz w:val="24"/>
          <w:szCs w:val="24"/>
          <w:lang w:val="en-US" w:eastAsia="zh-CN" w:bidi="ar-SA"/>
        </w:rPr>
      </w:pPr>
      <w:r>
        <w:rPr>
          <w:rFonts w:hint="eastAsia" w:ascii="宋体" w:hAnsi="宋体" w:cs="宋体"/>
          <w:b/>
          <w:bCs/>
          <w:color w:val="000000"/>
          <w:kern w:val="0"/>
          <w:sz w:val="24"/>
          <w:szCs w:val="24"/>
        </w:rPr>
        <w:t>采购需求：</w:t>
      </w:r>
    </w:p>
    <w:p w14:paraId="6A8BF5A7">
      <w:pPr>
        <w:pStyle w:val="8"/>
        <w:numPr>
          <w:ilvl w:val="0"/>
          <w:numId w:val="0"/>
        </w:numPr>
        <w:spacing w:line="360" w:lineRule="auto"/>
        <w:ind w:firstLine="482" w:firstLineChars="200"/>
        <w:rPr>
          <w:rFonts w:hint="eastAsia" w:ascii="宋体" w:hAnsi="宋体" w:eastAsia="宋体" w:cs="宋体"/>
          <w:b/>
          <w:bCs/>
          <w:color w:val="000000"/>
          <w:kern w:val="0"/>
          <w:sz w:val="24"/>
          <w:szCs w:val="24"/>
        </w:rPr>
      </w:pPr>
      <w:r>
        <w:rPr>
          <w:rFonts w:hint="eastAsia" w:ascii="宋体" w:hAnsi="宋体" w:cs="宋体"/>
          <w:b/>
          <w:bCs/>
          <w:kern w:val="2"/>
          <w:sz w:val="24"/>
          <w:szCs w:val="24"/>
          <w:lang w:val="en-US" w:eastAsia="zh-CN" w:bidi="ar-SA"/>
        </w:rPr>
        <w:t>第一标段：5处</w:t>
      </w:r>
      <w:r>
        <w:rPr>
          <w:rFonts w:hint="eastAsia" w:asciiTheme="minorEastAsia" w:hAnsiTheme="minorEastAsia" w:eastAsiaTheme="minorEastAsia" w:cstheme="minorEastAsia"/>
          <w:b/>
          <w:bCs/>
          <w:i w:val="0"/>
          <w:iCs w:val="0"/>
          <w:color w:val="000000"/>
          <w:kern w:val="0"/>
          <w:sz w:val="24"/>
          <w:szCs w:val="24"/>
          <w:u w:val="none"/>
          <w:lang w:val="en-US" w:eastAsia="zh-CN" w:bidi="ar"/>
        </w:rPr>
        <w:t>电子警察卡口、红绿灯及1处违停</w:t>
      </w:r>
      <w:r>
        <w:rPr>
          <w:rFonts w:hint="eastAsia" w:ascii="宋体" w:hAnsi="宋体" w:eastAsia="宋体" w:cs="宋体"/>
          <w:b/>
          <w:bCs/>
          <w:color w:val="000000"/>
          <w:kern w:val="0"/>
          <w:sz w:val="24"/>
          <w:szCs w:val="24"/>
        </w:rPr>
        <w:t>采购清单</w:t>
      </w:r>
    </w:p>
    <w:tbl>
      <w:tblPr>
        <w:tblStyle w:val="17"/>
        <w:tblW w:w="13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765"/>
        <w:gridCol w:w="371"/>
        <w:gridCol w:w="10433"/>
        <w:gridCol w:w="819"/>
        <w:gridCol w:w="770"/>
      </w:tblGrid>
      <w:tr w14:paraId="482D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E3DF0">
            <w:pPr>
              <w:keepNext w:val="0"/>
              <w:keepLines w:val="0"/>
              <w:widowControl/>
              <w:suppressLineNumbers w:val="0"/>
              <w:jc w:val="center"/>
              <w:textAlignment w:val="bottom"/>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襄城县公安局新建5处电子警察卡口、红绿灯及1处违停技术参数要求（氾城大道与凤翔路、氾城大道与新兴路、文昌路与金襄大道、中心路与金襄大道、襄业路与金襄大道）</w:t>
            </w:r>
          </w:p>
        </w:tc>
      </w:tr>
      <w:tr w14:paraId="3EDC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59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电子警察设备清单</w:t>
            </w:r>
          </w:p>
        </w:tc>
      </w:tr>
      <w:tr w14:paraId="7B9E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C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B4D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1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50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7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47FA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B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CC6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新国标一级环保电子警察抓拍单元（900万像素）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2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图像传感器检验：采用具有全局曝光功能的GS-CMOS图像传感器，设备组成检查：高清抓拍单元由摄像机、高清镜头、室外防护罩、风扇、补光灯、电源适配器、安装万向节等组成。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机动车违法检测抓拍功能检查 ：支持按车道和时间段配置机动车违法检测抓拍规则，包括压线、违法变道、不按导向行驶、占用非机动车道、倒车、闯红灯、不按规定车道行驶、占用公交车道、逆行、违反禁止左/右转、违法掉头、违反禁货车通行。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闯红灯捕获率试验：在天气晴朗无雾，号牌无遮挡，无污损的条件进行测试，白天测试时的环境光照度不低于200lx，晚上测试时辅助照明光照度不高于30lx。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白天闯红灯捕获率≥99%;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晚上闯红灯捕获率≥99%;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车牌识别功能检查 ：支持对25×10 像素～1100×3000 像素的机动车车牌进行抓拍并识别号码；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禁行功能检查：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支持逆行和变道违章触发抓拍，逆行识别类型包括:高速公路逆行、单行道逆向行驶;变道违章检测类型包括:实线变道(含双黄线)、导流区变道、连续变道(&gt;3条车道)</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支持图片编码质量配置，车牌小图的图片质量(大/中/小)可配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支持车牌遮挡检查功能，在检测到车牌被遮挡的情况下可给出提示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支持对两轮/三轮车分类识别;可识别外卖箱(外卖品牌)的标识。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闯红灯违章支持叠加红灯已亮时间，可按照抓拍索引配置叠加红灯已亮时间</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支持同时输出不少于5路视频流，其中1路不低于16Mbps码率，1路不低于8Mbps码率。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1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DA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3AF9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3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02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新国标一级环保反向卡口抓拍单元（900万像素）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0CC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内置不小于1英寸高帧率彩色全局曝光CMOS高清智能摄像机，由摄像机、高清镜头、室外防护罩、风扇、补光灯、电源适配器、安装万向节组成，采用AC220V供电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多边形车道配置检查：车道线支持配置成多边形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右转弯压实线检测功能检查：支持车辆右转弯压实线检测并抓拍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超速比设置功能检测盒：支持不少于14种车型(大货车、中货车、小货车、客车、轿车、中客车、危险品运输车、校车、面包车、环卫车、工程车、渣土车、油罐车、其他车型)的不同超速比，可设置14个超速比区间。在同一检测区域内，设备支持根据不同的超速比对不同车型进行超速抓拍，并输出不同的超速抓拍结果及违法代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为保障设备数据展示便捷，设备应实现根据不少于 11 个结果选择进行数据，可自定义选择进行界面展示的数据，包括：设备编号、抓拍时间、事件类型、车道、车牌、车牌颜色、车速（km/h）、车身颜色、车辆类型、车辆品牌等。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图像传输延时检验：网络直连情况下，在只输出主码流、分辨率设置为1920 × 1080、帧率设置为25fps, 码率设置为1Mbps，网络协议为UDP、最短延时、智能分析关闭时，视频图像传输至客户端的延时时间小于等于70ms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★车牌识别功能检查 ：支持对25×10 像素～1100×3000 像素的机动车车牌进行抓拍并识别号码； （以公安部检验报告为准）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目标跟踪功能检查 ：支持检测并跟踪指定区域内不少于 245 个目标，目标包括机动车、非机动车以及行人。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司乘人员抓拍性能试验：支持前排人脸检测，并识别主驾驶员的性别、是否戴眼镜结构化属性信息，可在抓拍图上叠加主/副驾驶人脸小图和主驾驶员的结构化属性信息。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4D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A0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r>
      <w:tr w14:paraId="213D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3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8EB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路口终端服务器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76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★具有18个10M/100M/1000M自适应RJ45接口，其中P1～P16与G1处于同一网段、G2处于另一网段；2个1000M SFP光端接口，分别与G1、G2处于同一网段。（以公安部检验报告为准）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含8T硬盘。</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具有2个RS-232接口、2个RS-485接口、1个USB 3.0接口、2路报警输入接口、2路报警输出接口、1个音频输入接口、1个音频输出接口、4个SATA接口、4个状态指示灯、1个接地端子。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支持IP地址过滤、SSH开关自定义、视频水印等安全防护功能，具有ARP防攻击设置选项、具备强密码管理功能；支持WEB回话Session ID、数据传输加密、固件完整性等安全检验。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设备应设置操作口令，宜有图像加密，放篡改、防非法复制等措施，以保证原始数据的完整性。重要的图像应加以保护，不被删除和覆盖。设备应有防偶发死机的措施（如硬件看门狗或软件、硬件看门狗或定时自动启动等），死机后的自动恢复时间应满足GB20815中的8.12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具有ABF聚焦功能的摄像机，可对视频图像进行ABF聚焦；支持接入鱼眼摄像机、双目摄像机、三目摄像机、四目摄像机、八目枪球联动一体机及全局摄像机，并可将视频图像以多画面分割方式显示，可自定义画面布局。</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摄像机与客户端分别连接样机的不同网段时，客户端可以通过端口映射，跨网段直接访问摄像机，对摄像机进行操作，包括进行参数配置、录像实时预览等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支持将1张、2张、3张、4张、5张、6张图片合成，支持选择图片形状，修改顺序，支持原始图片去黑边。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★支持4块3.5或2.5英寸硬盘接入，每块盘位最大兼容12TB硬盘，支持硬盘自动切换，当一块硬盘损坏后，能自动切换至其它硬盘进行存储。支持SSD,机械硬盘和SSD可以混合使用。（以公安部检验报告为准）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外接机柜门时，通过连接开关量信号及相应的设置，当机柜门打开后，联动声音报警。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配置路段名称、路段编号、路段距离，能够对驶入驶出该路段的车辆抓拍数据匹配并计算车辆的区间速度值；支持设置过滤阈值，对异常测速结果进行过滤；支持超速检测和欠速检测，可分别设定高限速和低限速值；</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支持相同车牌号去重功能，多相机抓拍同一车牌号仅上传一条该车牌条记录到平台。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可对IP通道进行图像虚焦、亮度异常、图像偏色、雪花干扰、条纹干扰等类型视频质量进行诊断，可生成诊断信息并导出查看。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以公安部检验报告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B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CD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139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C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7A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频闪灯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51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光源类型：16颗优质大功率LED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发光角度12°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覆盖范围：单车道环境补光灯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最佳补光范围16米～25米</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触发方式： 4V~6V电平量触发（高电平有效）（可选配开关量触发）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触发信号：频率15~250HZ，占空比1%~39%，响应时间小于20US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外壳材质金属铝</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功耗：35W MAX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D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F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r>
      <w:tr w14:paraId="7276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B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6F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爆闪灯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2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采用LED光源和气灯放电两种光源，LED光源呈圆形排布，气体放电光源前置转轴叶片，支持红外和白光补光切换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支持LED频闪、LED爆闪、白光气体爆闪及红外气体爆闪四种补光方式，可通过远程控制切换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眩光阀值增量TI≤1.08%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触发信号异常时，爆闪灯进入自动保护，触发信号输入正常，爆闪灯自动恢复正常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1路RS485接口、1路气体脉冲爆闪输入接口，一路光源切换接口，1路频闪输入接口、1路LED爆闪输入接口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可通过RS485进行远程升级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支持记录闪光灯闪光次数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65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r>
      <w:tr w14:paraId="6051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BF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7F7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信号灯检测器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DB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16路信号灯交流信号输入接口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4个RS485输出接口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1路100M网口输出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1个5VDC输出接口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5路拨码开关，用来设置波特率、地址和上传模式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16路交通灯状态指示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检测、通讯单元采用微控制器设计，稳定可靠</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输入接口采用压电保护、光电隔离等防护措施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实时输出交通灯信号状态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97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9B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1E30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1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68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千兆交换机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B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配置：可用千兆电口数量≥24，可用千兆光口数量≥4</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交换容量≥56 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转发性能≥41.67 Mpps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支持MAC地址表≥8K</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无风扇设计、支持双电源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支持网口共模6 KV浪涌防护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★静电放电抗扰度试验满足接触放电4kv，间接放电4kv，空气放电8kv（以公安部检验报告为准）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★支持-40℃到+75℃工作环境温度（以公安部检验报告为准）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支持端口实时收发速率统计，7天收发峰值速率统计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支持VLAN、ERPS、SSH、SADP、QoS、DHCP CLIENT、ACL</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支持终端安全防护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支持远程升级，默认参数恢复，日志查看，基本网络参数配置，及配置文件导入导出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支持端口的速率、流控、使能、双工配置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支持端口通断告警，非法终端接入告警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9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6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151D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A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76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A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76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B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6777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19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FB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落地机柜及基础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93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定制，防护等级不低于IP65要求，并具备防雨、防尘、防潮、防热、防雷、防鼠虫、抗干扰等功能，含机柜保护装置</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C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E9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67D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C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BAA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抱杆机柜</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4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定制，含电源系统、避雷设备等。背挂式结构。</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D6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DB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451A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23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E90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电警杆件及基础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4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定制，杆件高度不低于6.5米，悬臂长度9米,杆件镀锌、喷塑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8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58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2C79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C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1A6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2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6D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4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85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7BAD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BA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BFF1">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7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光缆</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40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4芯光缆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7D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E3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41F2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5A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3DFD">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F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485控制线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D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RVSP 2*1.0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86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46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22ED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8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B519">
            <w:pPr>
              <w:jc w:val="center"/>
              <w:rPr>
                <w:rFonts w:hint="eastAsia" w:ascii="微软雅黑" w:hAnsi="微软雅黑" w:eastAsia="微软雅黑" w:cs="微软雅黑"/>
                <w:i w:val="0"/>
                <w:iCs w:val="0"/>
                <w:color w:val="000000"/>
                <w:sz w:val="20"/>
                <w:szCs w:val="20"/>
                <w:u w:val="none"/>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906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EB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D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2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7954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9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6352">
            <w:pPr>
              <w:jc w:val="center"/>
              <w:rPr>
                <w:rFonts w:hint="eastAsia" w:ascii="微软雅黑" w:hAnsi="微软雅黑" w:eastAsia="微软雅黑" w:cs="微软雅黑"/>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F5BA">
            <w:pPr>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4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3*2.5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61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8D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05FC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E7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46C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4A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95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7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574D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2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EF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E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5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73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2282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0E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522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9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F5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97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300D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A0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F0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B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BD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D1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724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7E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50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平台授权</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5D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扩容襄城县公安交通警察大队现正在使用管理平台授权，满足此次设备接入</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5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09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r>
      <w:tr w14:paraId="3242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A4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880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平台对接</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93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新增电警卡口设备，需无缝接入现襄城县公安交通警察大队正在使用管理平台，期间产生任何费用，由投标人自行承担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F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13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668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1E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B4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9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0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9A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086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F1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信号灯设备清单</w:t>
            </w:r>
          </w:p>
        </w:tc>
      </w:tr>
      <w:tr w14:paraId="2B5E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8A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E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D9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E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E2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506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4F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C5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E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LED数量：红156，黄156，绿156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中心光强：400 ~1000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24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E1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BD1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9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53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74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LED数量：红90，黄90，绿90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中心亮度：5000 ~15000 cd/m2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A9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6F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0CEF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7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36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8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包含：灯具、帽檐、横连杆抱箍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面罩规格：φ300mm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LED数量：红60，绿56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中心光强：150~400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可视距离：＞300m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功率：功率≤10W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9A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29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r>
      <w:tr w14:paraId="37E4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17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29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C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杆高3.5m,φ120—φ150*4(含基础）</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51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BC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3FD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4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B86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6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定制型杆，杆件高度不低于4.5米，杆件镀锌、喷塑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11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C7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1026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4C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B5B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F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信号机应符合《道路交通信号控制机》GB25280-2016要求，产品类别为C类，耐温等级为A级；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信号机通信协议应符合GB 25280-2016《道路交通信号控制机》中附录A的要求；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信号机应满足NTCIP通讯协议的体系结构，对NTCIP协议通讯方式的主要协议提供支持；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信号机软件应符合国家标准GB/T 20999-2017《交通信号控制机与上位机间的数据通信协议》的体系结构，支持标准所定义的通讯方式及相关对象；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★支持接入电子警察，实时接收电子警察采集到的到达离开时间、车型、车牌、统计车道级和转向级交通流量数据，并应用于信号机协调控制；（以公安部检验报告为准）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★支持接入视频车检器并接收数据，可按固定间隔或信控周期获取每个车道的流量、平均车速、平均车头时距、时间占有率、排队长度数据；（以公安部检验报告为准）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支持无缆线绿波协调控制功能，可利用信号机自身的时钟、通过设定相位差实现不同路口之间的离线协调，且支持自动按照时间段切换协调方案；</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支持公交车辆优先功能，可接入RFID设备并检测相应的公交车辆，当公交车接近路口时信号机通过红灯早断、绿灯延长、插入相位的方式执行公交优先，支持用户自定义优先方式；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支持自适应感应控制，在自适应感应控制方案中，动态调整最大绿时长；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支持潮汐车道控制功能，可按参数配置（执行时段、潮汐车道通行方向、清空时间）完成潮汐车道方向定时切换，支持人工实时切换方案，支持进行潮汐车道状态监控；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本地可自定义组合逻辑控制:支持参与运算的数据有相位状态、控制状态、控制模式、检测器状态、交通流统计数据;支持各数据的与、或、非运算，交通流统计数据支持比较运算(大于、小于、等于、大于等于、小于等于);支持执行的控制动作有切换方案、延长相位、修改控制模式、插入/取消相位、执行时钟同步、故障检测启动/关闭、修改信号机运行参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★相域控制:信号机支持同一时段表中环模式方案和相位阶段模式方案的切换，该功能下控制模式支持定周期控制、协调控制和感应控制。（以公安部检验报告为准）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可编程相位控制:信号机可以对当前周期中正在放行和未放行的阶段执行延长时间、缩减时间、插入阶段等操作。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信号机内置 WEB服务,并可通过Web 对当前路口的三维路口模型进行实时展示。信号机支持在WEB三维路口模型图形化界面中实时展示灯态信息,可通过图形化配置路口方案,包括渠化信息(环岛、二次过街、可变车道、潮汐车道等特殊路口的配置)、检测器、信号灯连接关系、配时方案与时段信息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A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52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E6C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D7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4A0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41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A8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7A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1400</w:t>
            </w:r>
          </w:p>
        </w:tc>
      </w:tr>
      <w:tr w14:paraId="069F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7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0D4B">
            <w:pPr>
              <w:jc w:val="center"/>
              <w:rPr>
                <w:rFonts w:hint="eastAsia" w:ascii="微软雅黑" w:hAnsi="微软雅黑" w:eastAsia="微软雅黑" w:cs="微软雅黑"/>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5F32">
            <w:pPr>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2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kvv14*1.5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D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92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506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CB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BFB4">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2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66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5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B2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673D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D6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3A6">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C1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C2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2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6D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0DCF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9E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A15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BA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A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35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2100</w:t>
            </w:r>
          </w:p>
        </w:tc>
      </w:tr>
      <w:tr w14:paraId="5662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98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9DE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F1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7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C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22C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A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62F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1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26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9E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0F5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344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1处违停</w:t>
            </w:r>
          </w:p>
        </w:tc>
      </w:tr>
      <w:tr w14:paraId="1C3E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E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04E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9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A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5F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256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8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D6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4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包含杆件材料、基础地笼、混凝土、接地和施工费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63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40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089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7B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AE7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违停球机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12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摄像机靶面尺寸为1/1.8英寸、分辨率与帧率可设置为2688x1520@30fps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★摄像机内置镜头，支持不小于40倍光学变倍，镜头最大焦距不小于240mm（以公安部检验报告为准）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样机自带雨刷,可通过网络远程控制雨刷功能检验雨刷开启、关闭；</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★样机安装接口具有双防脱落装置(安全绳、圆形安装盘),具有12个安装孔位（以公安部检验报告为准）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支持最低照度可达彩色0.0002Lx，黑白0.0001Lx；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水平旋转范围:0°~360°连续旋转，垂直旋转范围:-20°~90°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可通过IE浏览器将视频编码格式设置为H. 265、H.264、MJPEG、smart265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支持对距离样机250m处机动车违法停车行为进行抓拍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可对机动车违停、逆行、压线、连续变道、机占非、掉头、蛇形变道、变道、加塞9种交通违法行为进行检测并抓拍，当触发报警后，可联动报警并上传图片；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支持抛洒物检测、行人检测、拥堵检测、路障检测、施工检测、交通事故检测、烟雾检测、火灾检测,当监控场景内道路事件触发报警后,可联动报警输出并上传图片,支持配置灵敏度、持续时间和过滤时间,支持布防多边形检测区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交通事件和道路事件可根据布防时间自动切换；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可在智能展示界面显示通过监视画面中的机动车子品牌标志,显示车尾子品牌标志不少于3117种;显示车头子品牌标志不少于7129种；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显示通过监视画面中的机动车车辆特征,包括:SUV、MPV、轿车、面包车、皮卡、小货车、货车、客车；可识别通过监视画面中的机动车车型。在天气晴朗无雾的条件下进行测试,日间测试时的环境光照度不低于200Lx,夜间测试时辅助照明光照度不高于50Lx,日间和夜间各测试100次,日间车型正确识别次数不少于99次,夜间车型正确识别次数不少于99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可识别92式民用车、左右军车、一行结构的新武警车、黄色双行尾牌、使馆车、领馆汽车、警车、04式新军车、新能源车牌、绿色1325农用车、民航车牌；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样机在配置违停检测时,具有布防车牌颜色(黄色车牌、蓝色车牌、绿色车牌和其他车牌)和布防车型(轿车、面包车、货车、客车和其他)配置选项；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★检测到违停车辆时,若目标车牌被遮挡物遮挡时,样机可不对该目标进行车牌识别,并上报无车牌报警（以公安部检验报告为准）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开启车牌增强功能后，在检测到车辆违停时，可对目标车辆的车牌进行降噪处理；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★可对抛洒物事件中的树影、标线进行过滤;可对停车事件中的施工车辆进行过滤;可对行人事件中的交通设施、车身部件、影子进行过滤（以公安部检验报告为准）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摄像机内置1颗8GB eMMC芯片、12颗补光灯、1颗GPU芯片，具有1个RJ45网络接口、1路音频输入、1路音频输出、7路报警输入、2路报警输出、1个RS485接口、1个调试串口、1个SD卡槽。采用DC36V供电。</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B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A4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5EAC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B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75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4F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88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72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2554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A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30D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39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电源线,RVV3*1黑-红-黑-黄绿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6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9D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4B1D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B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481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A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0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19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9CB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F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5C3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FD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27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7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6B4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5F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LED提示屏</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B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专用交通屏 96cmx64cm 单色 可转换文字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06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8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2A8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0F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BC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抱杆箱</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18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防水、防尘机柜，含电源防雷、接地、空气开关和接线端子等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5E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D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F0A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C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D6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7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A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F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E88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A038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F4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07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7C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5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FEF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nil"/>
              <w:left w:val="nil"/>
              <w:bottom w:val="nil"/>
              <w:right w:val="nil"/>
            </w:tcBorders>
            <w:shd w:val="clear" w:color="auto" w:fill="auto"/>
            <w:noWrap/>
            <w:vAlign w:val="bottom"/>
          </w:tcPr>
          <w:p w14:paraId="45AA2455">
            <w:pPr>
              <w:jc w:val="center"/>
              <w:rPr>
                <w:rFonts w:hint="eastAsia" w:ascii="微软雅黑" w:hAnsi="微软雅黑" w:eastAsia="微软雅黑" w:cs="微软雅黑"/>
                <w:i w:val="0"/>
                <w:iCs w:val="0"/>
                <w:color w:val="000000"/>
                <w:sz w:val="20"/>
                <w:szCs w:val="20"/>
                <w:u w:val="none"/>
              </w:rPr>
            </w:pPr>
          </w:p>
        </w:tc>
        <w:tc>
          <w:tcPr>
            <w:tcW w:w="765" w:type="dxa"/>
            <w:tcBorders>
              <w:top w:val="nil"/>
              <w:left w:val="nil"/>
              <w:bottom w:val="nil"/>
              <w:right w:val="nil"/>
            </w:tcBorders>
            <w:shd w:val="clear" w:color="auto" w:fill="auto"/>
            <w:noWrap/>
            <w:vAlign w:val="bottom"/>
          </w:tcPr>
          <w:p w14:paraId="3812452D">
            <w:pPr>
              <w:jc w:val="center"/>
              <w:rPr>
                <w:rFonts w:hint="eastAsia" w:ascii="微软雅黑" w:hAnsi="微软雅黑" w:eastAsia="微软雅黑" w:cs="微软雅黑"/>
                <w:i w:val="0"/>
                <w:iCs w:val="0"/>
                <w:color w:val="000000"/>
                <w:sz w:val="20"/>
                <w:szCs w:val="20"/>
                <w:u w:val="none"/>
              </w:rPr>
            </w:pPr>
          </w:p>
        </w:tc>
        <w:tc>
          <w:tcPr>
            <w:tcW w:w="371" w:type="dxa"/>
            <w:tcBorders>
              <w:top w:val="nil"/>
              <w:left w:val="nil"/>
              <w:bottom w:val="nil"/>
              <w:right w:val="nil"/>
            </w:tcBorders>
            <w:shd w:val="clear" w:color="auto" w:fill="auto"/>
            <w:noWrap/>
            <w:vAlign w:val="bottom"/>
          </w:tcPr>
          <w:p w14:paraId="033F9901">
            <w:pPr>
              <w:jc w:val="center"/>
              <w:rPr>
                <w:rFonts w:hint="eastAsia" w:ascii="微软雅黑" w:hAnsi="微软雅黑" w:eastAsia="微软雅黑" w:cs="微软雅黑"/>
                <w:i w:val="0"/>
                <w:iCs w:val="0"/>
                <w:color w:val="000000"/>
                <w:sz w:val="20"/>
                <w:szCs w:val="20"/>
                <w:u w:val="none"/>
              </w:rPr>
            </w:pPr>
          </w:p>
        </w:tc>
        <w:tc>
          <w:tcPr>
            <w:tcW w:w="10433" w:type="dxa"/>
            <w:tcBorders>
              <w:top w:val="nil"/>
              <w:left w:val="nil"/>
              <w:bottom w:val="nil"/>
              <w:right w:val="nil"/>
            </w:tcBorders>
            <w:shd w:val="clear" w:color="auto" w:fill="auto"/>
            <w:noWrap/>
            <w:vAlign w:val="bottom"/>
          </w:tcPr>
          <w:p w14:paraId="584D205C">
            <w:pPr>
              <w:jc w:val="center"/>
              <w:rPr>
                <w:rFonts w:hint="eastAsia" w:ascii="微软雅黑" w:hAnsi="微软雅黑" w:eastAsia="微软雅黑" w:cs="微软雅黑"/>
                <w:i w:val="0"/>
                <w:iCs w:val="0"/>
                <w:color w:val="000000"/>
                <w:sz w:val="20"/>
                <w:szCs w:val="20"/>
                <w:u w:val="none"/>
              </w:rPr>
            </w:pPr>
          </w:p>
        </w:tc>
        <w:tc>
          <w:tcPr>
            <w:tcW w:w="819" w:type="dxa"/>
            <w:tcBorders>
              <w:top w:val="nil"/>
              <w:left w:val="nil"/>
              <w:bottom w:val="nil"/>
              <w:right w:val="nil"/>
            </w:tcBorders>
            <w:shd w:val="clear" w:color="auto" w:fill="auto"/>
            <w:noWrap/>
            <w:vAlign w:val="bottom"/>
          </w:tcPr>
          <w:p w14:paraId="0721F511">
            <w:pPr>
              <w:jc w:val="center"/>
              <w:rPr>
                <w:rFonts w:hint="eastAsia" w:ascii="微软雅黑" w:hAnsi="微软雅黑" w:eastAsia="微软雅黑" w:cs="微软雅黑"/>
                <w:i w:val="0"/>
                <w:iCs w:val="0"/>
                <w:color w:val="000000"/>
                <w:sz w:val="20"/>
                <w:szCs w:val="20"/>
                <w:u w:val="none"/>
              </w:rPr>
            </w:pPr>
          </w:p>
        </w:tc>
        <w:tc>
          <w:tcPr>
            <w:tcW w:w="770" w:type="dxa"/>
            <w:tcBorders>
              <w:top w:val="nil"/>
              <w:left w:val="nil"/>
              <w:bottom w:val="nil"/>
              <w:right w:val="nil"/>
            </w:tcBorders>
            <w:shd w:val="clear" w:color="auto" w:fill="auto"/>
            <w:noWrap/>
            <w:vAlign w:val="bottom"/>
          </w:tcPr>
          <w:p w14:paraId="2477AFE0">
            <w:pPr>
              <w:jc w:val="center"/>
              <w:rPr>
                <w:rFonts w:hint="eastAsia" w:ascii="微软雅黑" w:hAnsi="微软雅黑" w:eastAsia="微软雅黑" w:cs="微软雅黑"/>
                <w:i w:val="0"/>
                <w:iCs w:val="0"/>
                <w:color w:val="000000"/>
                <w:sz w:val="20"/>
                <w:szCs w:val="20"/>
                <w:u w:val="none"/>
              </w:rPr>
            </w:pPr>
          </w:p>
        </w:tc>
      </w:tr>
      <w:tr w14:paraId="4581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nil"/>
              <w:left w:val="nil"/>
              <w:bottom w:val="nil"/>
              <w:right w:val="nil"/>
            </w:tcBorders>
            <w:shd w:val="clear" w:color="auto" w:fill="auto"/>
            <w:noWrap/>
            <w:vAlign w:val="bottom"/>
          </w:tcPr>
          <w:p w14:paraId="0CC4C8B5">
            <w:pPr>
              <w:jc w:val="center"/>
              <w:rPr>
                <w:rFonts w:hint="eastAsia" w:ascii="微软雅黑" w:hAnsi="微软雅黑" w:eastAsia="微软雅黑" w:cs="微软雅黑"/>
                <w:i w:val="0"/>
                <w:iCs w:val="0"/>
                <w:color w:val="000000"/>
                <w:sz w:val="20"/>
                <w:szCs w:val="20"/>
                <w:u w:val="none"/>
              </w:rPr>
            </w:pPr>
          </w:p>
        </w:tc>
        <w:tc>
          <w:tcPr>
            <w:tcW w:w="765" w:type="dxa"/>
            <w:tcBorders>
              <w:top w:val="nil"/>
              <w:left w:val="nil"/>
              <w:bottom w:val="nil"/>
              <w:right w:val="nil"/>
            </w:tcBorders>
            <w:shd w:val="clear" w:color="auto" w:fill="auto"/>
            <w:noWrap/>
            <w:vAlign w:val="bottom"/>
          </w:tcPr>
          <w:p w14:paraId="7B99C175">
            <w:pPr>
              <w:jc w:val="center"/>
              <w:rPr>
                <w:rFonts w:hint="eastAsia" w:ascii="微软雅黑" w:hAnsi="微软雅黑" w:eastAsia="微软雅黑" w:cs="微软雅黑"/>
                <w:i w:val="0"/>
                <w:iCs w:val="0"/>
                <w:color w:val="000000"/>
                <w:sz w:val="20"/>
                <w:szCs w:val="20"/>
                <w:u w:val="none"/>
              </w:rPr>
            </w:pPr>
          </w:p>
        </w:tc>
        <w:tc>
          <w:tcPr>
            <w:tcW w:w="371" w:type="dxa"/>
            <w:tcBorders>
              <w:top w:val="nil"/>
              <w:left w:val="nil"/>
              <w:bottom w:val="nil"/>
              <w:right w:val="nil"/>
            </w:tcBorders>
            <w:shd w:val="clear" w:color="auto" w:fill="auto"/>
            <w:noWrap/>
            <w:vAlign w:val="bottom"/>
          </w:tcPr>
          <w:p w14:paraId="3ED6F3CD">
            <w:pPr>
              <w:jc w:val="center"/>
              <w:rPr>
                <w:rFonts w:hint="eastAsia" w:ascii="微软雅黑" w:hAnsi="微软雅黑" w:eastAsia="微软雅黑" w:cs="微软雅黑"/>
                <w:i w:val="0"/>
                <w:iCs w:val="0"/>
                <w:color w:val="000000"/>
                <w:sz w:val="20"/>
                <w:szCs w:val="20"/>
                <w:u w:val="none"/>
              </w:rPr>
            </w:pPr>
          </w:p>
        </w:tc>
        <w:tc>
          <w:tcPr>
            <w:tcW w:w="10433" w:type="dxa"/>
            <w:tcBorders>
              <w:top w:val="nil"/>
              <w:left w:val="nil"/>
              <w:bottom w:val="nil"/>
              <w:right w:val="nil"/>
            </w:tcBorders>
            <w:shd w:val="clear" w:color="auto" w:fill="auto"/>
            <w:noWrap/>
            <w:vAlign w:val="bottom"/>
          </w:tcPr>
          <w:p w14:paraId="0D824C0B">
            <w:pPr>
              <w:jc w:val="center"/>
              <w:rPr>
                <w:rFonts w:hint="eastAsia" w:ascii="微软雅黑" w:hAnsi="微软雅黑" w:eastAsia="微软雅黑" w:cs="微软雅黑"/>
                <w:i w:val="0"/>
                <w:iCs w:val="0"/>
                <w:color w:val="000000"/>
                <w:sz w:val="20"/>
                <w:szCs w:val="20"/>
                <w:u w:val="none"/>
              </w:rPr>
            </w:pPr>
          </w:p>
        </w:tc>
        <w:tc>
          <w:tcPr>
            <w:tcW w:w="819" w:type="dxa"/>
            <w:tcBorders>
              <w:top w:val="nil"/>
              <w:left w:val="nil"/>
              <w:bottom w:val="nil"/>
              <w:right w:val="nil"/>
            </w:tcBorders>
            <w:shd w:val="clear" w:color="auto" w:fill="auto"/>
            <w:noWrap/>
            <w:vAlign w:val="bottom"/>
          </w:tcPr>
          <w:p w14:paraId="7AD8981A">
            <w:pPr>
              <w:jc w:val="center"/>
              <w:rPr>
                <w:rFonts w:hint="eastAsia" w:ascii="微软雅黑" w:hAnsi="微软雅黑" w:eastAsia="微软雅黑" w:cs="微软雅黑"/>
                <w:i w:val="0"/>
                <w:iCs w:val="0"/>
                <w:color w:val="000000"/>
                <w:sz w:val="20"/>
                <w:szCs w:val="20"/>
                <w:u w:val="none"/>
              </w:rPr>
            </w:pPr>
          </w:p>
        </w:tc>
        <w:tc>
          <w:tcPr>
            <w:tcW w:w="770" w:type="dxa"/>
            <w:tcBorders>
              <w:top w:val="nil"/>
              <w:left w:val="nil"/>
              <w:bottom w:val="nil"/>
              <w:right w:val="nil"/>
            </w:tcBorders>
            <w:shd w:val="clear" w:color="auto" w:fill="auto"/>
            <w:noWrap/>
            <w:vAlign w:val="bottom"/>
          </w:tcPr>
          <w:p w14:paraId="439243A5">
            <w:pPr>
              <w:jc w:val="center"/>
              <w:rPr>
                <w:rFonts w:hint="eastAsia" w:ascii="微软雅黑" w:hAnsi="微软雅黑" w:eastAsia="微软雅黑" w:cs="微软雅黑"/>
                <w:i w:val="0"/>
                <w:iCs w:val="0"/>
                <w:color w:val="000000"/>
                <w:sz w:val="20"/>
                <w:szCs w:val="20"/>
                <w:u w:val="none"/>
              </w:rPr>
            </w:pPr>
          </w:p>
        </w:tc>
      </w:tr>
    </w:tbl>
    <w:p w14:paraId="4CDF8F08">
      <w:pPr>
        <w:pStyle w:val="8"/>
        <w:spacing w:before="67"/>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41E4BA61">
      <w:pPr>
        <w:pStyle w:val="8"/>
        <w:spacing w:before="67"/>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3B0EB857">
      <w:pPr>
        <w:pStyle w:val="8"/>
        <w:spacing w:before="67"/>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2076FA72">
      <w:pPr>
        <w:pStyle w:val="8"/>
        <w:spacing w:before="67"/>
        <w:ind w:left="0" w:leftChars="0" w:firstLine="482" w:firstLineChars="200"/>
        <w:rPr>
          <w:rFonts w:hint="eastAsia"/>
          <w:b/>
          <w:bCs/>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第二标段：31个路口安装102套交通标志牌</w:t>
      </w:r>
    </w:p>
    <w:tbl>
      <w:tblPr>
        <w:tblStyle w:val="17"/>
        <w:tblW w:w="136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4"/>
        <w:gridCol w:w="1980"/>
        <w:gridCol w:w="7470"/>
        <w:gridCol w:w="1653"/>
        <w:gridCol w:w="1250"/>
      </w:tblGrid>
      <w:tr w14:paraId="6B7D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230C">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31个路口安装102套交通标志牌参数清单</w:t>
            </w:r>
          </w:p>
        </w:tc>
      </w:tr>
      <w:tr w14:paraId="615D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59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5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版面尺寸（米）</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68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规格材料表</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5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车道数量（个）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0F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杆件数量</w:t>
            </w:r>
          </w:p>
        </w:tc>
      </w:tr>
      <w:tr w14:paraId="1CFB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181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指路+导向一体标牌（F杆）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1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A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BD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5D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r>
      <w:tr w14:paraId="13C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0972">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6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412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1、标志尺寸：3500*2000*3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横梁：2-140*6*3780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抱箍：30*3*18个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49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97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r>
      <w:tr w14:paraId="0CC5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E1E3">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E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4000*2500*3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0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1、标志尺寸：4000*2500*3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立柱：273*6*8000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横梁：2-152*6*4280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滑槽：700*2*2.3*10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抱箍：30*3*20个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EF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FC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2537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F3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单独导向牌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00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2000*1500*3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13B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1、标志尺寸：2000*1500*3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立柱：180*6*7000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横梁：2-89*6*1780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加筋法兰盘：550*550*15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预埋法兰盘：550*550*5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地脚螺栓：8-24*790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*1.3*5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抱箍：30*3*10G、基础：C25混凝土、配钢筋地笼、基础开挖施工、建筑垃圾外运。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F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D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14:paraId="190A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EDA9">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5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2500*1800*3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9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1、标志尺寸：2500*1800*3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立柱：219*6*7300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横梁：2-114*6*2780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1.6*6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12个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D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9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75A4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BAE2">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A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0F7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B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8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r>
      <w:tr w14:paraId="2797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6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BE56">
            <w:pPr>
              <w:jc w:val="center"/>
              <w:rPr>
                <w:rFonts w:hint="eastAsia" w:ascii="微软雅黑" w:hAnsi="微软雅黑" w:eastAsia="微软雅黑" w:cs="微软雅黑"/>
                <w:i w:val="0"/>
                <w:iCs w:val="0"/>
                <w:color w:val="000000"/>
                <w:sz w:val="20"/>
                <w:szCs w:val="20"/>
                <w:u w:val="none"/>
              </w:rPr>
            </w:pP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DAE">
            <w:pPr>
              <w:jc w:val="center"/>
              <w:rPr>
                <w:rFonts w:hint="eastAsia" w:ascii="微软雅黑" w:hAnsi="微软雅黑" w:eastAsia="微软雅黑" w:cs="微软雅黑"/>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00B">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F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102</w:t>
            </w:r>
          </w:p>
        </w:tc>
      </w:tr>
    </w:tbl>
    <w:p w14:paraId="545E974A"/>
    <w:p w14:paraId="6A45A217">
      <w:pPr>
        <w:keepNext w:val="0"/>
        <w:keepLines w:val="0"/>
        <w:widowControl/>
        <w:suppressLineNumbers w:val="0"/>
        <w:ind w:firstLine="723" w:firstLineChars="30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注：</w:t>
      </w:r>
    </w:p>
    <w:p w14:paraId="1249EBF4">
      <w:pPr>
        <w:keepNext w:val="0"/>
        <w:keepLines w:val="0"/>
        <w:widowControl/>
        <w:suppressLineNumbers w:val="0"/>
        <w:ind w:firstLine="723" w:firstLineChars="300"/>
        <w:jc w:val="left"/>
        <w:rPr>
          <w:rFonts w:hint="eastAsia" w:ascii="宋体" w:hAnsi="宋体" w:cs="宋体"/>
          <w:b/>
          <w:bCs/>
          <w:color w:val="000000"/>
          <w:kern w:val="0"/>
          <w:sz w:val="24"/>
          <w:szCs w:val="24"/>
          <w:lang w:val="en-US" w:eastAsia="zh-CN" w:bidi="ar"/>
        </w:rPr>
      </w:pPr>
    </w:p>
    <w:p w14:paraId="6D64AF47">
      <w:pPr>
        <w:keepNext w:val="0"/>
        <w:keepLines w:val="0"/>
        <w:widowControl/>
        <w:numPr>
          <w:ilvl w:val="0"/>
          <w:numId w:val="0"/>
        </w:numPr>
        <w:suppressLineNumbers w:val="0"/>
        <w:ind w:firstLine="964" w:firstLineChars="4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不在“本国产品标准适用范围内”的货物：无。</w:t>
      </w:r>
    </w:p>
    <w:p w14:paraId="55F41B61">
      <w:pPr>
        <w:pStyle w:val="8"/>
        <w:spacing w:before="67"/>
        <w:ind w:left="0" w:leftChars="0" w:firstLine="0" w:firstLineChars="0"/>
        <w:rPr>
          <w:rFonts w:hint="default"/>
          <w:lang w:val="en-US" w:eastAsia="zh-CN"/>
        </w:rPr>
      </w:pPr>
    </w:p>
    <w:p w14:paraId="799A7F62">
      <w:pPr>
        <w:pStyle w:val="8"/>
        <w:spacing w:before="67"/>
        <w:ind w:left="0" w:leftChars="0" w:firstLine="0" w:firstLineChars="0"/>
        <w:rPr>
          <w:rFonts w:hint="eastAsia"/>
          <w:lang w:val="en-US" w:eastAsia="zh-CN"/>
        </w:rPr>
      </w:pPr>
    </w:p>
    <w:p w14:paraId="2FE4757C">
      <w:pPr>
        <w:widowControl/>
        <w:spacing w:before="226" w:line="360" w:lineRule="auto"/>
        <w:ind w:firstLine="480" w:firstLineChars="200"/>
        <w:jc w:val="left"/>
        <w:rPr>
          <w:rFonts w:hint="eastAsia" w:ascii="宋体" w:hAnsi="宋体" w:eastAsia="宋体" w:cs="宋体"/>
          <w:color w:val="000000"/>
          <w:sz w:val="24"/>
          <w:szCs w:val="24"/>
          <w:lang w:val="en-US" w:eastAsia="zh-CN"/>
        </w:rPr>
        <w:sectPr>
          <w:footerReference r:id="rId5" w:type="default"/>
          <w:pgSz w:w="16838" w:h="11906" w:orient="landscape"/>
          <w:pgMar w:top="1800" w:right="1440" w:bottom="1800" w:left="1440" w:header="851" w:footer="992" w:gutter="0"/>
          <w:pgNumType w:fmt="decimal" w:start="6"/>
          <w:cols w:space="720" w:num="1"/>
          <w:docGrid w:type="lines" w:linePitch="312" w:charSpace="0"/>
        </w:sectPr>
      </w:pPr>
    </w:p>
    <w:p w14:paraId="01F91399">
      <w:pPr>
        <w:pStyle w:val="8"/>
        <w:numPr>
          <w:ilvl w:val="0"/>
          <w:numId w:val="0"/>
        </w:num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lang w:val="en-US" w:eastAsia="zh-CN"/>
        </w:rPr>
        <w:t>三、</w:t>
      </w:r>
      <w:r>
        <w:rPr>
          <w:rFonts w:ascii="宋体" w:hAnsi="宋体" w:cs="宋体"/>
          <w:b/>
          <w:bCs/>
          <w:color w:val="000000"/>
          <w:sz w:val="24"/>
          <w:szCs w:val="24"/>
        </w:rPr>
        <w:t>采购标的执行标准</w:t>
      </w:r>
    </w:p>
    <w:p w14:paraId="109258B1">
      <w:pPr>
        <w:numPr>
          <w:ilvl w:val="0"/>
          <w:numId w:val="0"/>
        </w:numPr>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auto"/>
          <w:sz w:val="24"/>
          <w:szCs w:val="24"/>
          <w:highlight w:val="none"/>
          <w:lang w:val="zh-CN" w:eastAsia="zh-CN"/>
        </w:rPr>
        <w:t>投标人须明确投标产品的厂家、产地、品牌、型号、详细参数，否则为无效投标。</w:t>
      </w:r>
    </w:p>
    <w:p w14:paraId="5E115EB5">
      <w:pPr>
        <w:pStyle w:val="14"/>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（2）投标人应就本项目（每包或者标段）完整投标。</w:t>
      </w:r>
    </w:p>
    <w:p w14:paraId="733D8F52">
      <w:pPr>
        <w:pStyle w:val="14"/>
        <w:widowControl/>
        <w:shd w:val="clear" w:color="auto" w:fill="FFFFFF"/>
        <w:spacing w:line="360" w:lineRule="auto"/>
        <w:ind w:firstLine="480" w:firstLineChars="200"/>
        <w:contextualSpacing/>
        <w:jc w:val="left"/>
        <w:rPr>
          <w:rFonts w:ascii="宋体" w:hAnsi="宋体" w:cs="宋体"/>
          <w:color w:val="000000"/>
          <w:sz w:val="24"/>
          <w:szCs w:val="24"/>
        </w:rPr>
      </w:pPr>
      <w:r>
        <w:rPr>
          <w:rFonts w:hint="eastAsia" w:ascii="宋体" w:hAnsi="宋体" w:eastAsia="宋体" w:cs="宋体"/>
          <w:color w:val="000000"/>
          <w:kern w:val="2"/>
          <w:sz w:val="24"/>
          <w:szCs w:val="24"/>
          <w:lang w:val="en-US" w:eastAsia="zh-CN" w:bidi="ar-SA"/>
        </w:rPr>
        <w:t>（3）所投产品符合国家质量检测标准和本招标文件规定标准的全新正品现货</w:t>
      </w:r>
      <w:r>
        <w:rPr>
          <w:rFonts w:hint="eastAsia" w:ascii="宋体" w:hAnsi="宋体" w:cs="宋体"/>
          <w:color w:val="000000"/>
          <w:kern w:val="2"/>
          <w:sz w:val="24"/>
          <w:szCs w:val="24"/>
          <w:lang w:val="en-US" w:eastAsia="zh-CN" w:bidi="ar-SA"/>
        </w:rPr>
        <w:t>，</w:t>
      </w:r>
      <w:r>
        <w:rPr>
          <w:rFonts w:ascii="宋体" w:hAnsi="宋体" w:cs="宋体"/>
          <w:color w:val="000000"/>
          <w:sz w:val="24"/>
          <w:szCs w:val="24"/>
        </w:rPr>
        <w:t>执行按照国家相关标准、行业标准、地方标准或者其他标准、规范。</w:t>
      </w:r>
    </w:p>
    <w:p w14:paraId="1C086C89">
      <w:pPr>
        <w:pStyle w:val="8"/>
        <w:numPr>
          <w:ilvl w:val="0"/>
          <w:numId w:val="0"/>
        </w:num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lang w:val="en-US" w:eastAsia="zh-CN"/>
        </w:rPr>
        <w:t>四、</w:t>
      </w:r>
      <w:r>
        <w:rPr>
          <w:rFonts w:ascii="宋体" w:hAnsi="宋体" w:cs="宋体"/>
          <w:b/>
          <w:bCs/>
          <w:color w:val="000000"/>
          <w:sz w:val="24"/>
          <w:szCs w:val="24"/>
        </w:rPr>
        <w:t xml:space="preserve">服务标准、期限、效率等要求： </w:t>
      </w:r>
    </w:p>
    <w:p w14:paraId="00F8B55D">
      <w:pPr>
        <w:keepNext w:val="0"/>
        <w:keepLines w:val="0"/>
        <w:pageBreakBefore w:val="0"/>
        <w:widowControl/>
        <w:kinsoku/>
        <w:wordWrap/>
        <w:overflowPunct/>
        <w:topLinePunct w:val="0"/>
        <w:autoSpaceDE/>
        <w:autoSpaceDN/>
        <w:bidi w:val="0"/>
        <w:adjustRightInd/>
        <w:snapToGrid/>
        <w:spacing w:before="30" w:line="240" w:lineRule="auto"/>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1、交付（服务、完工）时间：自合同签订之日起30日历天。</w:t>
      </w:r>
    </w:p>
    <w:p w14:paraId="4DB83294">
      <w:pPr>
        <w:keepNext w:val="0"/>
        <w:keepLines w:val="0"/>
        <w:pageBreakBefore w:val="0"/>
        <w:widowControl/>
        <w:kinsoku/>
        <w:wordWrap/>
        <w:overflowPunct/>
        <w:topLinePunct w:val="0"/>
        <w:autoSpaceDE/>
        <w:autoSpaceDN/>
        <w:bidi w:val="0"/>
        <w:adjustRightInd/>
        <w:snapToGrid/>
        <w:spacing w:before="30" w:line="240" w:lineRule="auto"/>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2、交付（服务、施工）地点：甲方指定。</w:t>
      </w:r>
    </w:p>
    <w:p w14:paraId="08D028DE">
      <w:pPr>
        <w:pStyle w:val="8"/>
        <w:numPr>
          <w:ilvl w:val="0"/>
          <w:numId w:val="0"/>
        </w:num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26B107E2">
      <w:pPr>
        <w:pStyle w:val="8"/>
        <w:spacing w:before="183" w:line="324" w:lineRule="auto"/>
        <w:ind w:left="5" w:firstLine="492"/>
        <w:rPr>
          <w:spacing w:val="-1"/>
          <w:sz w:val="24"/>
          <w:szCs w:val="24"/>
        </w:rPr>
      </w:pPr>
      <w:r>
        <w:rPr>
          <w:spacing w:val="-2"/>
          <w:sz w:val="24"/>
          <w:szCs w:val="24"/>
        </w:rPr>
        <w:t>1、采购人在收到供应商项目验收建议之日起7</w:t>
      </w:r>
      <w:r>
        <w:rPr>
          <w:spacing w:val="-51"/>
          <w:sz w:val="24"/>
          <w:szCs w:val="24"/>
        </w:rPr>
        <w:t xml:space="preserve"> </w:t>
      </w:r>
      <w:r>
        <w:rPr>
          <w:spacing w:val="-2"/>
          <w:sz w:val="24"/>
          <w:szCs w:val="24"/>
        </w:rPr>
        <w:t>个工作日内，由采购人成立验收</w:t>
      </w:r>
      <w:r>
        <w:rPr>
          <w:spacing w:val="-1"/>
          <w:sz w:val="24"/>
          <w:szCs w:val="24"/>
        </w:rPr>
        <w:t>小组,按照采购合同的约定对中标人履约情况进行实质</w:t>
      </w:r>
      <w:r>
        <w:rPr>
          <w:spacing w:val="-2"/>
          <w:sz w:val="24"/>
          <w:szCs w:val="24"/>
        </w:rPr>
        <w:t>性验收。验收时按照采购合同</w:t>
      </w:r>
      <w:r>
        <w:rPr>
          <w:sz w:val="24"/>
          <w:szCs w:val="24"/>
        </w:rPr>
        <w:t>的约定对每一项技术、服务、安全标准的履约情</w:t>
      </w:r>
      <w:r>
        <w:rPr>
          <w:spacing w:val="-1"/>
          <w:sz w:val="24"/>
          <w:szCs w:val="24"/>
        </w:rPr>
        <w:t>况进行确认。验收结束后,出具验收书,列明各项标准的验收情况及项目总体评价,由验收双方共同签署。</w:t>
      </w:r>
    </w:p>
    <w:p w14:paraId="34E8FD4E">
      <w:pPr>
        <w:pStyle w:val="8"/>
        <w:spacing w:before="187" w:line="218" w:lineRule="auto"/>
        <w:ind w:left="483"/>
        <w:rPr>
          <w:rFonts w:ascii="仿宋" w:hAnsi="仿宋" w:eastAsia="仿宋" w:cs="仿宋"/>
          <w:sz w:val="24"/>
          <w:szCs w:val="24"/>
        </w:rPr>
      </w:pPr>
      <w:r>
        <w:rPr>
          <w:spacing w:val="-1"/>
          <w:sz w:val="24"/>
          <w:szCs w:val="24"/>
        </w:rPr>
        <w:t>2、按照招标文件要求、投标文件响应和承诺验收</w:t>
      </w:r>
      <w:r>
        <w:rPr>
          <w:rFonts w:ascii="仿宋" w:hAnsi="仿宋" w:eastAsia="仿宋" w:cs="仿宋"/>
          <w:spacing w:val="-1"/>
          <w:sz w:val="24"/>
          <w:szCs w:val="24"/>
        </w:rPr>
        <w:t>；</w:t>
      </w:r>
    </w:p>
    <w:p w14:paraId="439F1529">
      <w:pPr>
        <w:pStyle w:val="8"/>
        <w:spacing w:before="183" w:line="324" w:lineRule="auto"/>
        <w:ind w:left="5" w:firstLine="492"/>
        <w:rPr>
          <w:spacing w:val="-1"/>
          <w:sz w:val="24"/>
          <w:szCs w:val="24"/>
        </w:rPr>
      </w:pPr>
      <w:r>
        <w:rPr>
          <w:spacing w:val="-1"/>
          <w:sz w:val="24"/>
          <w:szCs w:val="24"/>
        </w:rPr>
        <w:t>3、按照国家相关标准、行业标准或者其他标准、规范验收。具体标准如下：</w:t>
      </w:r>
    </w:p>
    <w:p w14:paraId="391A2676">
      <w:pPr>
        <w:pStyle w:val="8"/>
        <w:spacing w:before="183" w:line="219" w:lineRule="auto"/>
        <w:ind w:left="486"/>
        <w:rPr>
          <w:sz w:val="24"/>
          <w:szCs w:val="24"/>
        </w:rPr>
      </w:pPr>
      <w:r>
        <w:rPr>
          <w:spacing w:val="-1"/>
          <w:sz w:val="24"/>
          <w:szCs w:val="24"/>
        </w:rPr>
        <w:t>《道路交通标志标线》（GB5768.2-2022）</w:t>
      </w:r>
    </w:p>
    <w:p w14:paraId="7F951847">
      <w:pPr>
        <w:pStyle w:val="8"/>
        <w:spacing w:before="183" w:line="219" w:lineRule="auto"/>
        <w:ind w:left="486"/>
        <w:rPr>
          <w:sz w:val="24"/>
          <w:szCs w:val="24"/>
        </w:rPr>
      </w:pPr>
      <w:r>
        <w:rPr>
          <w:spacing w:val="-1"/>
          <w:sz w:val="24"/>
          <w:szCs w:val="24"/>
        </w:rPr>
        <w:t>《城市道路交通标志和标线设置规范》（GB51038-2015）</w:t>
      </w:r>
    </w:p>
    <w:p w14:paraId="0ED7EF59">
      <w:pPr>
        <w:pStyle w:val="8"/>
        <w:spacing w:before="183" w:line="324" w:lineRule="auto"/>
        <w:ind w:left="5" w:firstLine="492"/>
        <w:rPr>
          <w:spacing w:val="-1"/>
          <w:sz w:val="24"/>
          <w:szCs w:val="24"/>
        </w:rPr>
      </w:pPr>
      <w:r>
        <w:rPr>
          <w:spacing w:val="-1"/>
          <w:sz w:val="24"/>
          <w:szCs w:val="24"/>
        </w:rPr>
        <w:t>《道路交通标志板及支撑件 》（GB/T 23827-2021</w:t>
      </w:r>
    </w:p>
    <w:p w14:paraId="193BBD07">
      <w:pPr>
        <w:pStyle w:val="8"/>
        <w:spacing w:before="78" w:line="219" w:lineRule="auto"/>
        <w:ind w:left="486"/>
        <w:rPr>
          <w:spacing w:val="-1"/>
          <w:sz w:val="24"/>
          <w:szCs w:val="24"/>
        </w:rPr>
      </w:pPr>
      <w:r>
        <w:rPr>
          <w:spacing w:val="-1"/>
          <w:sz w:val="24"/>
          <w:szCs w:val="24"/>
        </w:rPr>
        <w:t>《道路交通信号灯设置与安装规范》（GB14886-2016）</w:t>
      </w:r>
    </w:p>
    <w:p w14:paraId="1FCA79B1">
      <w:pPr>
        <w:ind w:firstLine="482" w:firstLineChars="200"/>
        <w:rPr>
          <w:rFonts w:hint="default"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、采购标的的其他技术、服务要求</w:t>
      </w:r>
    </w:p>
    <w:p w14:paraId="6374F957">
      <w:pPr>
        <w:pStyle w:val="14"/>
        <w:widowControl/>
        <w:shd w:val="clear" w:color="auto" w:fill="FFFFFF"/>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（1）供应商须提供免费保修，同时应提出故障响应时间，超过保修期发生故障，用户可自由选择维修单位，如委托给供应商，供应商不得借故推诿，并且维修费不能超过市场平均价格。</w:t>
      </w:r>
    </w:p>
    <w:p w14:paraId="76441487">
      <w:pPr>
        <w:pStyle w:val="14"/>
        <w:widowControl/>
        <w:shd w:val="clear" w:color="auto" w:fill="FFFFFF"/>
        <w:spacing w:line="360" w:lineRule="auto"/>
        <w:ind w:firstLine="480" w:firstLineChars="200"/>
        <w:contextualSpacing/>
        <w:rPr>
          <w:rFonts w:hint="eastAsia" w:ascii="仿宋" w:hAnsi="仿宋" w:eastAsia="仿宋" w:cs="仿宋"/>
          <w:color w:val="000000"/>
          <w:sz w:val="32"/>
          <w:szCs w:val="32"/>
          <w:shd w:val="clear" w:color="auto" w:fill="FFFFFF"/>
        </w:rPr>
      </w:pPr>
      <w:r>
        <w:rPr>
          <w:rFonts w:hint="eastAsia" w:ascii="宋体" w:hAnsi="宋体" w:eastAsia="宋体" w:cs="宋体"/>
          <w:color w:val="000000"/>
          <w:kern w:val="2"/>
          <w:sz w:val="24"/>
          <w:szCs w:val="24"/>
          <w:lang w:val="en-US" w:eastAsia="zh-CN" w:bidi="ar-SA"/>
        </w:rPr>
        <w:t>（2）供应商须在接到售后服务要求时的响应时间。须有售后服务点地址、售后联系人和联系电话。</w:t>
      </w:r>
    </w:p>
    <w:p w14:paraId="5D09CB4D">
      <w:pPr>
        <w:pStyle w:val="8"/>
        <w:spacing w:line="360" w:lineRule="auto"/>
        <w:ind w:left="420" w:leftChars="200"/>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8"/>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sz w:val="24"/>
          <w:szCs w:val="24"/>
          <w:lang w:val="en-US" w:eastAsia="zh-CN"/>
        </w:rPr>
        <w:t>4727280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kern w:val="0"/>
          <w:sz w:val="24"/>
          <w:szCs w:val="24"/>
          <w:lang w:val="en-US" w:eastAsia="zh-CN"/>
        </w:rPr>
        <w:t>472728</w:t>
      </w:r>
      <w:r>
        <w:rPr>
          <w:rFonts w:hint="eastAsia" w:ascii="宋体" w:hAnsi="宋体" w:cs="宋体"/>
          <w:sz w:val="24"/>
          <w:szCs w:val="24"/>
          <w:lang w:val="en-US" w:eastAsia="zh-CN"/>
        </w:rPr>
        <w:t>0元。第一标段：2957280元，第二标段：1770000元。</w:t>
      </w:r>
      <w:r>
        <w:rPr>
          <w:rFonts w:hint="eastAsia" w:ascii="宋体" w:hAnsi="宋体" w:cs="宋体"/>
          <w:b/>
          <w:kern w:val="0"/>
          <w:sz w:val="24"/>
          <w:szCs w:val="24"/>
          <w:lang w:val="zh-CN"/>
        </w:rPr>
        <w:t>（超出最高限价的投标无效）。</w:t>
      </w:r>
    </w:p>
    <w:p w14:paraId="66D9909C">
      <w:pPr>
        <w:pStyle w:val="8"/>
        <w:spacing w:line="360" w:lineRule="auto"/>
        <w:ind w:firstLine="482" w:firstLineChars="200"/>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6627D09E">
      <w:pPr>
        <w:widowControl/>
        <w:spacing w:before="226" w:line="360" w:lineRule="auto"/>
        <w:ind w:firstLine="480" w:firstLineChars="200"/>
        <w:jc w:val="left"/>
        <w:rPr>
          <w:rFonts w:hint="eastAsia" w:ascii="仿宋" w:hAnsi="仿宋" w:eastAsia="仿宋" w:cs="仿宋"/>
          <w:color w:val="000000"/>
          <w:kern w:val="0"/>
          <w:sz w:val="32"/>
          <w:szCs w:val="32"/>
          <w:shd w:val="clear" w:color="auto" w:fill="FFFFFF"/>
        </w:rPr>
      </w:pPr>
      <w:r>
        <w:rPr>
          <w:rFonts w:hint="eastAsia" w:ascii="宋体" w:hAnsi="宋体" w:eastAsia="宋体" w:cs="宋体"/>
          <w:kern w:val="0"/>
          <w:sz w:val="24"/>
          <w:szCs w:val="24"/>
          <w:lang w:val="en-US" w:eastAsia="zh-CN" w:bidi="ar-SA"/>
        </w:rPr>
        <w:t>2、支付时间及条件：</w:t>
      </w:r>
      <w:r>
        <w:rPr>
          <w:rFonts w:hint="eastAsia" w:ascii="宋体" w:hAnsi="宋体" w:eastAsia="宋体" w:cs="宋体"/>
          <w:kern w:val="2"/>
          <w:sz w:val="24"/>
          <w:szCs w:val="24"/>
          <w:lang w:val="en-US" w:eastAsia="zh-CN" w:bidi="ar-SA"/>
        </w:rPr>
        <w:t>合同签订生效</w:t>
      </w:r>
      <w:r>
        <w:rPr>
          <w:rFonts w:hint="eastAsia" w:ascii="宋体" w:hAnsi="宋体" w:cs="宋体"/>
          <w:kern w:val="2"/>
          <w:sz w:val="24"/>
          <w:szCs w:val="24"/>
          <w:lang w:val="en-US" w:eastAsia="zh-CN" w:bidi="ar-SA"/>
        </w:rPr>
        <w:t>后</w:t>
      </w:r>
      <w:r>
        <w:rPr>
          <w:rFonts w:hint="eastAsia" w:ascii="宋体" w:hAnsi="宋体" w:eastAsia="宋体" w:cs="宋体"/>
          <w:kern w:val="2"/>
          <w:sz w:val="24"/>
          <w:szCs w:val="24"/>
          <w:lang w:val="en-US" w:eastAsia="zh-CN" w:bidi="ar-SA"/>
        </w:rPr>
        <w:t>，完成设备供货、安装、调试并验收合格交付使用后，支付总金额97%</w:t>
      </w:r>
      <w:r>
        <w:rPr>
          <w:rFonts w:hint="eastAsia" w:ascii="宋体" w:hAnsi="宋体" w:cs="宋体"/>
          <w:kern w:val="2"/>
          <w:sz w:val="24"/>
          <w:szCs w:val="24"/>
          <w:lang w:val="en-US" w:eastAsia="zh-CN" w:bidi="ar-SA"/>
        </w:rPr>
        <w:t>(以政府最终决算价格为准）</w:t>
      </w:r>
      <w:r>
        <w:rPr>
          <w:rFonts w:hint="eastAsia" w:ascii="宋体" w:hAnsi="宋体" w:eastAsia="宋体" w:cs="宋体"/>
          <w:kern w:val="2"/>
          <w:sz w:val="24"/>
          <w:szCs w:val="24"/>
          <w:lang w:val="en-US" w:eastAsia="zh-CN" w:bidi="ar-SA"/>
        </w:rPr>
        <w:t>，一年后无质量问题无息支付剩余3%。</w:t>
      </w: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b/>
          <w:bCs/>
          <w:sz w:val="24"/>
          <w:szCs w:val="24"/>
        </w:rPr>
      </w:pPr>
      <w:r>
        <w:rPr>
          <w:rFonts w:hint="eastAsia" w:ascii="宋体" w:hAnsi="宋体"/>
          <w:b/>
          <w:bCs/>
          <w:sz w:val="24"/>
          <w:szCs w:val="24"/>
        </w:rPr>
        <w:t>投标人须知中凡标有★条款均为实质性要求条款，投标文件须完全响应，未实质响应的，按照无效投标处理。</w:t>
      </w: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735"/>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735"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735" w:type="dxa"/>
          </w:tcPr>
          <w:p w14:paraId="7BF60AAD">
            <w:pPr>
              <w:autoSpaceDE w:val="0"/>
              <w:autoSpaceDN w:val="0"/>
              <w:adjustRightInd w:val="0"/>
              <w:spacing w:line="360" w:lineRule="auto"/>
              <w:ind w:right="-11"/>
              <w:rPr>
                <w:rFonts w:hint="eastAsia" w:cs="宋体" w:asciiTheme="minorEastAsia" w:hAnsiTheme="minorEastAsia"/>
                <w:bCs/>
                <w:sz w:val="21"/>
                <w:szCs w:val="21"/>
                <w:highlight w:val="none"/>
                <w:lang w:val="en-US" w:eastAsia="zh-CN"/>
              </w:rPr>
            </w:pPr>
            <w:r>
              <w:rPr>
                <w:rFonts w:hint="eastAsia" w:cs="宋体" w:asciiTheme="minorEastAsia" w:hAnsiTheme="minorEastAsia"/>
                <w:bCs/>
                <w:szCs w:val="21"/>
                <w:highlight w:val="none"/>
              </w:rPr>
              <w:t>项</w:t>
            </w:r>
            <w:r>
              <w:rPr>
                <w:rFonts w:hint="eastAsia" w:cs="宋体" w:asciiTheme="minorEastAsia" w:hAnsiTheme="minorEastAsia"/>
                <w:bCs/>
                <w:szCs w:val="21"/>
                <w:highlight w:val="none"/>
                <w:lang w:val="en-US" w:eastAsia="zh-CN"/>
              </w:rPr>
              <w:t>目名称：</w:t>
            </w:r>
            <w:r>
              <w:rPr>
                <w:rFonts w:hint="eastAsia" w:asciiTheme="minorEastAsia" w:hAnsiTheme="minorEastAsia" w:eastAsiaTheme="minorEastAsia" w:cstheme="minorEastAsia"/>
                <w:sz w:val="21"/>
                <w:szCs w:val="21"/>
                <w:lang w:val="en-US"/>
              </w:rPr>
              <w:t>襄城县公安局增设交通信号灯</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rPr>
              <w:t>交通标志牌项目</w:t>
            </w:r>
          </w:p>
          <w:p w14:paraId="5E6DC8D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项目编号：襄财招标采购-2026-20</w:t>
            </w:r>
          </w:p>
          <w:p w14:paraId="2319A136">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项目内容：详见采购需求</w:t>
            </w:r>
          </w:p>
          <w:p w14:paraId="5BC1E595">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735" w:type="dxa"/>
            <w:vAlign w:val="center"/>
          </w:tcPr>
          <w:p w14:paraId="0E8C6DA3">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襄城县公安局</w:t>
            </w:r>
          </w:p>
          <w:p w14:paraId="35180054">
            <w:pPr>
              <w:autoSpaceDE w:val="0"/>
              <w:autoSpaceDN w:val="0"/>
              <w:adjustRightInd w:val="0"/>
              <w:spacing w:line="360" w:lineRule="auto"/>
              <w:ind w:right="-11"/>
              <w:rPr>
                <w:rFonts w:hint="eastAsia" w:eastAsia="宋体" w:cs="宋体" w:asciiTheme="minorEastAsia" w:hAnsiTheme="minorEastAsia"/>
                <w:bCs/>
                <w:szCs w:val="21"/>
                <w:highlight w:val="none"/>
                <w:lang w:val="en-US" w:eastAsia="zh-CN"/>
              </w:rPr>
            </w:pPr>
            <w:r>
              <w:rPr>
                <w:rFonts w:hint="eastAsia" w:cs="宋体" w:asciiTheme="minorEastAsia" w:hAnsiTheme="minorEastAsia"/>
                <w:bCs/>
                <w:szCs w:val="21"/>
                <w:highlight w:val="none"/>
              </w:rPr>
              <w:t>地  址：襄城县</w:t>
            </w:r>
            <w:r>
              <w:rPr>
                <w:rFonts w:hint="eastAsia" w:cs="宋体" w:asciiTheme="minorEastAsia" w:hAnsiTheme="minorEastAsia"/>
                <w:bCs/>
                <w:szCs w:val="21"/>
                <w:highlight w:val="none"/>
                <w:lang w:val="en-US" w:eastAsia="zh-CN"/>
              </w:rPr>
              <w:t>烟城路</w:t>
            </w:r>
          </w:p>
          <w:p w14:paraId="50C37A5E">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田许印</w:t>
            </w:r>
          </w:p>
          <w:p w14:paraId="095C4BAD">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18637465771</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735" w:type="dxa"/>
            <w:vAlign w:val="center"/>
          </w:tcPr>
          <w:p w14:paraId="5FB008D1">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37D4A90C">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01FD4BBA">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58E9DA5C">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投标人资格</w:t>
            </w:r>
          </w:p>
        </w:tc>
        <w:tc>
          <w:tcPr>
            <w:tcW w:w="6735"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747C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440C3B8D">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43710157">
            <w:pPr>
              <w:autoSpaceDE w:val="0"/>
              <w:autoSpaceDN w:val="0"/>
              <w:adjustRightInd w:val="0"/>
              <w:jc w:val="center"/>
              <w:rPr>
                <w:rFonts w:hint="eastAsia" w:ascii="宋体" w:hAnsi="宋体" w:eastAsia="宋体" w:cs="宋体"/>
                <w:b/>
                <w:szCs w:val="21"/>
                <w:highlight w:val="none"/>
              </w:rPr>
            </w:pPr>
          </w:p>
        </w:tc>
        <w:tc>
          <w:tcPr>
            <w:tcW w:w="6735" w:type="dxa"/>
            <w:vAlign w:val="center"/>
          </w:tcPr>
          <w:p w14:paraId="659E4F7B">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719D3C42">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734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9D28FF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39447632">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735" w:type="dxa"/>
            <w:vAlign w:val="center"/>
          </w:tcPr>
          <w:p w14:paraId="448703A4">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4EC1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564C7B15">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7C05BEE1">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szCs w:val="21"/>
                <w:highlight w:val="none"/>
              </w:rPr>
              <w:t>★</w:t>
            </w:r>
            <w:r>
              <w:rPr>
                <w:rFonts w:hint="eastAsia" w:ascii="宋体" w:hAnsi="宋体" w:eastAsia="宋体" w:cs="宋体"/>
                <w:bCs/>
                <w:szCs w:val="21"/>
                <w:highlight w:val="none"/>
                <w:lang w:eastAsia="zh-CN"/>
              </w:rPr>
              <w:t>预算金额</w:t>
            </w:r>
          </w:p>
          <w:p w14:paraId="1D7A734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735" w:type="dxa"/>
            <w:vAlign w:val="center"/>
          </w:tcPr>
          <w:p w14:paraId="67B85229">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cs="宋体"/>
                <w:kern w:val="0"/>
                <w:sz w:val="24"/>
                <w:szCs w:val="24"/>
                <w:lang w:val="zh-CN"/>
              </w:rPr>
              <w:t>预算金额：</w:t>
            </w:r>
            <w:r>
              <w:rPr>
                <w:rFonts w:hint="eastAsia" w:ascii="宋体" w:hAnsi="宋体" w:cs="宋体"/>
                <w:kern w:val="0"/>
                <w:sz w:val="24"/>
                <w:szCs w:val="24"/>
                <w:lang w:val="en-US" w:eastAsia="zh-CN"/>
              </w:rPr>
              <w:t>472728</w:t>
            </w:r>
            <w:r>
              <w:rPr>
                <w:rFonts w:hint="eastAsia" w:ascii="宋体" w:hAnsi="宋体" w:cs="宋体"/>
                <w:sz w:val="24"/>
                <w:szCs w:val="24"/>
                <w:lang w:val="en-US" w:eastAsia="zh-CN"/>
              </w:rPr>
              <w:t>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lang w:val="en-US" w:eastAsia="zh-CN"/>
              </w:rPr>
              <w:t>4727280元。第一标段：2957280元，第二标段：1770000元</w:t>
            </w:r>
            <w:r>
              <w:rPr>
                <w:rFonts w:hint="eastAsia" w:ascii="宋体" w:hAnsi="宋体" w:cs="宋体"/>
                <w:b/>
                <w:kern w:val="0"/>
                <w:sz w:val="24"/>
                <w:szCs w:val="24"/>
              </w:rPr>
              <w:t>（超出最高限价的投标无效）。</w:t>
            </w:r>
          </w:p>
        </w:tc>
      </w:tr>
      <w:tr w14:paraId="275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0A00C27F">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316BD546">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735" w:type="dxa"/>
            <w:vAlign w:val="center"/>
          </w:tcPr>
          <w:p w14:paraId="4B980034">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5E8E3AF5">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83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14E0CD4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38FCB5C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735" w:type="dxa"/>
            <w:vAlign w:val="center"/>
          </w:tcPr>
          <w:p w14:paraId="4E9E607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EBA064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73AA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E6E10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312FA04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735" w:type="dxa"/>
            <w:vAlign w:val="center"/>
          </w:tcPr>
          <w:p w14:paraId="449DA36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3890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3D982C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0FE80506">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735" w:type="dxa"/>
            <w:vAlign w:val="center"/>
          </w:tcPr>
          <w:p w14:paraId="74D92863">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70629B5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50F0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4CF143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0BEB13E">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735" w:type="dxa"/>
            <w:vAlign w:val="center"/>
          </w:tcPr>
          <w:p w14:paraId="68F7C4B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77B2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A175B0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759F9EBD">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05A22497">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735" w:type="dxa"/>
            <w:vAlign w:val="center"/>
          </w:tcPr>
          <w:p w14:paraId="6123ED39">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cs="宋体"/>
                <w:sz w:val="24"/>
                <w:szCs w:val="24"/>
                <w:lang w:val="en-US" w:eastAsia="zh-CN"/>
              </w:rPr>
              <w:t>5</w:t>
            </w:r>
            <w:r>
              <w:rPr>
                <w:rFonts w:hint="eastAsia" w:ascii="宋体" w:hAnsi="宋体" w:eastAsia="宋体" w:cs="宋体"/>
                <w:sz w:val="24"/>
                <w:szCs w:val="24"/>
                <w:lang w:val="zh-CN"/>
              </w:rPr>
              <w:t>月</w:t>
            </w:r>
            <w:r>
              <w:rPr>
                <w:rFonts w:hint="eastAsia" w:ascii="宋体" w:hAnsi="宋体" w:cs="宋体"/>
                <w:sz w:val="24"/>
                <w:szCs w:val="24"/>
                <w:lang w:val="en-US" w:eastAsia="zh-CN"/>
              </w:rPr>
              <w:t>13</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1B0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DB1889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7E73EC30">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735" w:type="dxa"/>
            <w:vAlign w:val="center"/>
          </w:tcPr>
          <w:p w14:paraId="057515E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527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1B2AC38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5338449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735" w:type="dxa"/>
            <w:vAlign w:val="center"/>
          </w:tcPr>
          <w:p w14:paraId="75E8AC8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7B6C56F0">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026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2EC9695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7E3CBD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735" w:type="dxa"/>
            <w:tcBorders>
              <w:top w:val="single" w:color="auto" w:sz="4" w:space="0"/>
            </w:tcBorders>
            <w:vAlign w:val="center"/>
          </w:tcPr>
          <w:p w14:paraId="2482F89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62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27FB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5F41C72D">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2D7444A3">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735" w:type="dxa"/>
            <w:vAlign w:val="center"/>
          </w:tcPr>
          <w:p w14:paraId="0E693F4C">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08C1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2BFE08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360F065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6DD3E424">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735" w:type="dxa"/>
            <w:vAlign w:val="center"/>
          </w:tcPr>
          <w:p w14:paraId="384EFB50">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297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222C2CB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1240EF6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735" w:type="dxa"/>
            <w:vAlign w:val="center"/>
          </w:tcPr>
          <w:p w14:paraId="0489665B">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166B9B9">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6723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337A91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03DE393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723B470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735" w:type="dxa"/>
            <w:vAlign w:val="center"/>
          </w:tcPr>
          <w:p w14:paraId="7FCB5221">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774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9BC69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A158C88">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735" w:type="dxa"/>
            <w:vAlign w:val="center"/>
          </w:tcPr>
          <w:p w14:paraId="7EF51758">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3F8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43CDD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3D9361DA">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735" w:type="dxa"/>
            <w:vAlign w:val="center"/>
          </w:tcPr>
          <w:p w14:paraId="2BC369C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211E8A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3D3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3FF4AA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24F9B67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735"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735" w:type="dxa"/>
            <w:shd w:val="clear" w:color="auto" w:fill="auto"/>
            <w:vAlign w:val="top"/>
          </w:tcPr>
          <w:p w14:paraId="456FA6A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依据《关于推动解决政府采购异常低价问题的通知》（财库〔2026〕2号）</w:t>
            </w:r>
            <w:r>
              <w:rPr>
                <w:rFonts w:hint="default" w:ascii="宋体" w:hAnsi="宋体" w:eastAsia="宋体" w:cs="宋体"/>
                <w:color w:val="auto"/>
                <w:szCs w:val="21"/>
                <w:highlight w:val="none"/>
                <w:lang w:val="en-US" w:eastAsia="zh-CN"/>
              </w:rPr>
              <w:t xml:space="preserve">政府采购评审中出现下列情形之一的，评审委员会应当启动异常低价投标（响应）审查程序： </w:t>
            </w:r>
          </w:p>
          <w:p w14:paraId="4D72119F">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1.投标（响应）报价低于全部通过符合性审查供应商投标（响应）报价平均值50%的，即投标（响应）报价&lt;全部通过符合性审查供应商投标（响应）报价平均值×50%； </w:t>
            </w:r>
          </w:p>
          <w:p w14:paraId="486B61F8">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2.投标（响应）报价低于通过符合性审查的次低报价供应商投标（响应）报价50%的，即投标（响应）报价&lt;通过符合性审查的次低报价供应商投标（响应）报价×50%； </w:t>
            </w:r>
          </w:p>
          <w:p w14:paraId="19F420F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3.投标（响应）报价低于采购项目最高限价45%的，即投标（响应）报价&lt;采购项目最高限价×45%； </w:t>
            </w:r>
          </w:p>
          <w:p w14:paraId="29A07B55">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4.评审委员会基于专业判断，认为供应商报价过低，有可能影响产品质量或者不能诚信履约的其他情形。</w:t>
            </w:r>
          </w:p>
          <w:p w14:paraId="441F8DF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出现以上1至4条任意情形时，</w:t>
            </w:r>
            <w:r>
              <w:rPr>
                <w:rFonts w:hint="eastAsia" w:ascii="宋体" w:hAnsi="宋体" w:eastAsia="宋体" w:cs="宋体"/>
                <w:color w:val="auto"/>
                <w:szCs w:val="21"/>
                <w:highlight w:val="none"/>
                <w:lang w:val="zh-CN" w:eastAsia="zh-CN"/>
              </w:rPr>
              <w:t xml:space="preserve">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C2CF9D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A4667EA">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6B286A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异常低价投标（响应）审查的启动原因、审查意见和审查结果应当在评审报告中记录，并随供应商提供的相关书面说明及证明材料，以及评审委员会有关互联网浏览、查询历史一并归档。</w:t>
            </w: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cs="宋体"/>
                <w:b/>
                <w:bCs w:val="0"/>
                <w:szCs w:val="21"/>
                <w:highlight w:val="none"/>
                <w:lang w:val="en-US" w:eastAsia="zh-CN"/>
              </w:rPr>
              <w:t>实施本国产品标准及相关政策</w:t>
            </w:r>
          </w:p>
        </w:tc>
        <w:tc>
          <w:tcPr>
            <w:tcW w:w="6735" w:type="dxa"/>
            <w:shd w:val="clear" w:color="auto" w:fill="auto"/>
            <w:vAlign w:val="center"/>
          </w:tcPr>
          <w:p w14:paraId="4891628B">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159E71B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spacing w:line="360" w:lineRule="auto"/>
              <w:jc w:val="left"/>
              <w:rPr>
                <w:rFonts w:hint="eastAsia" w:ascii="宋体" w:hAnsi="宋体" w:eastAsia="宋体" w:cs="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165090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7BCCE025">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735"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07F57C">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0D2318E7">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735"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43C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E01389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21E282FC">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735" w:type="dxa"/>
            <w:vAlign w:val="center"/>
          </w:tcPr>
          <w:p w14:paraId="0A8EBB19">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0C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A1F15E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35E7DE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35" w:type="dxa"/>
          </w:tcPr>
          <w:p w14:paraId="7D3D1D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4AB4A0D4">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2DC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AE6910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01A8A1A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735" w:type="dxa"/>
            <w:vAlign w:val="center"/>
          </w:tcPr>
          <w:p w14:paraId="66BEB388">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70AEC7E3">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4639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011A8ED">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2E1302D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735" w:type="dxa"/>
            <w:vAlign w:val="center"/>
          </w:tcPr>
          <w:p w14:paraId="0937F8CC">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2E25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20BCE0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3240B219">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659985C5">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735" w:type="dxa"/>
            <w:vAlign w:val="center"/>
          </w:tcPr>
          <w:p w14:paraId="036FDFA6">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7C5E0D7E">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63CA857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ascii="宋体" w:hAnsi="宋体" w:cs="宋体"/>
                <w:szCs w:val="21"/>
                <w:highlight w:val="none"/>
                <w:lang w:val="zh-CN"/>
              </w:rPr>
              <w:t>Jianzhenggu2024@1</w:t>
            </w:r>
            <w:r>
              <w:rPr>
                <w:rFonts w:hint="eastAsia" w:ascii="宋体" w:hAnsi="宋体" w:cs="宋体"/>
                <w:szCs w:val="21"/>
                <w:highlight w:val="none"/>
                <w:lang w:val="en-US" w:eastAsia="zh-CN"/>
              </w:rPr>
              <w:t>26</w:t>
            </w:r>
            <w:r>
              <w:rPr>
                <w:rFonts w:hint="eastAsia" w:ascii="宋体" w:hAnsi="宋体" w:cs="宋体"/>
                <w:szCs w:val="21"/>
                <w:highlight w:val="none"/>
                <w:lang w:val="zh-CN"/>
              </w:rPr>
              <w:t>.com</w:t>
            </w:r>
          </w:p>
        </w:tc>
      </w:tr>
      <w:tr w14:paraId="368A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E2216ED">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385B1FEF">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735" w:type="dxa"/>
            <w:shd w:val="clear" w:color="auto" w:fill="auto"/>
            <w:vAlign w:val="center"/>
          </w:tcPr>
          <w:p w14:paraId="1524E5F1">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1C5E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A833E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3C89CBA1">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735" w:type="dxa"/>
            <w:vAlign w:val="center"/>
          </w:tcPr>
          <w:p w14:paraId="779AD881">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59799AF8">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F017F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0B4BED5B">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735"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031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9BF3BF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08D0641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735" w:type="dxa"/>
            <w:vAlign w:val="center"/>
          </w:tcPr>
          <w:p w14:paraId="4E0EFE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6712DF7">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69D9A8E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8B3EA1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2FA9631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65FBE39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407AED0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7682A5C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1012962">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6D23AE0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09E0720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224EC026">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EF208F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3272C6D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0A5F31F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3792EC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3201278F">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46D8B5E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00C53F2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1D81DA32">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4F6FA92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13A95279">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4558C4C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64BD2E66">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45F3519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524C8D0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500F625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188FCF88">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8F67891">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48209AB">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6A998FCE">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A57E272">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563351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3C106DE8">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6C21195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30F91200">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4D65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452965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72C458D8">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735" w:type="dxa"/>
            <w:vAlign w:val="bottom"/>
          </w:tcPr>
          <w:p w14:paraId="74369BA2">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129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6CFB2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4BC3978E">
            <w:pPr>
              <w:widowControl w:val="0"/>
              <w:autoSpaceDE w:val="0"/>
              <w:autoSpaceDN w:val="0"/>
              <w:adjustRightInd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解释权</w:t>
            </w:r>
          </w:p>
        </w:tc>
        <w:tc>
          <w:tcPr>
            <w:tcW w:w="6735" w:type="dxa"/>
            <w:vAlign w:val="center"/>
          </w:tcPr>
          <w:p w14:paraId="4E9AAC0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DBB6E9D">
      <w:pPr>
        <w:widowControl/>
        <w:jc w:val="center"/>
        <w:rPr>
          <w:rFonts w:hint="eastAsia" w:ascii="宋体" w:hAnsi="宋体" w:eastAsia="宋体" w:cs="宋体"/>
          <w:b/>
          <w:kern w:val="0"/>
          <w:sz w:val="32"/>
          <w:szCs w:val="32"/>
          <w:highlight w:val="none"/>
        </w:rPr>
      </w:pPr>
    </w:p>
    <w:p w14:paraId="43388C9A">
      <w:pPr>
        <w:tabs>
          <w:tab w:val="left" w:pos="1260"/>
        </w:tabs>
        <w:autoSpaceDE w:val="0"/>
        <w:autoSpaceDN w:val="0"/>
        <w:adjustRightInd w:val="0"/>
        <w:spacing w:line="360" w:lineRule="auto"/>
        <w:contextualSpacing/>
        <w:jc w:val="both"/>
        <w:rPr>
          <w:rFonts w:ascii="宋体" w:hAnsi="宋体" w:cs="宋体"/>
          <w:b/>
          <w:kern w:val="0"/>
          <w:sz w:val="32"/>
          <w:szCs w:val="32"/>
        </w:rPr>
      </w:pPr>
    </w:p>
    <w:p w14:paraId="6D8A90AD">
      <w:pPr>
        <w:tabs>
          <w:tab w:val="left" w:pos="1260"/>
        </w:tabs>
        <w:autoSpaceDE w:val="0"/>
        <w:autoSpaceDN w:val="0"/>
        <w:adjustRightInd w:val="0"/>
        <w:spacing w:line="360" w:lineRule="auto"/>
        <w:contextualSpacing/>
        <w:jc w:val="both"/>
        <w:rPr>
          <w:rFonts w:ascii="宋体" w:hAnsi="宋体" w:cs="宋体"/>
          <w:b/>
          <w:kern w:val="0"/>
          <w:sz w:val="32"/>
          <w:szCs w:val="32"/>
        </w:rPr>
      </w:pPr>
    </w:p>
    <w:p w14:paraId="7F358711">
      <w:pPr>
        <w:tabs>
          <w:tab w:val="left" w:pos="1260"/>
        </w:tabs>
        <w:autoSpaceDE w:val="0"/>
        <w:autoSpaceDN w:val="0"/>
        <w:adjustRightInd w:val="0"/>
        <w:spacing w:line="360" w:lineRule="auto"/>
        <w:contextualSpacing/>
        <w:jc w:val="both"/>
        <w:rPr>
          <w:rFonts w:ascii="宋体" w:hAnsi="宋体" w:cs="宋体"/>
          <w:b/>
          <w:kern w:val="0"/>
          <w:sz w:val="32"/>
          <w:szCs w:val="32"/>
        </w:rPr>
      </w:pPr>
    </w:p>
    <w:p w14:paraId="56A09F7F">
      <w:pPr>
        <w:tabs>
          <w:tab w:val="left" w:pos="1260"/>
        </w:tabs>
        <w:autoSpaceDE w:val="0"/>
        <w:autoSpaceDN w:val="0"/>
        <w:adjustRightInd w:val="0"/>
        <w:spacing w:line="360" w:lineRule="auto"/>
        <w:contextualSpacing/>
        <w:jc w:val="both"/>
        <w:rPr>
          <w:rFonts w:ascii="宋体" w:hAnsi="宋体" w:cs="宋体"/>
          <w:b/>
          <w:kern w:val="0"/>
          <w:sz w:val="32"/>
          <w:szCs w:val="32"/>
        </w:rPr>
      </w:pPr>
    </w:p>
    <w:p w14:paraId="138AC275">
      <w:pPr>
        <w:pStyle w:val="2"/>
        <w:rPr>
          <w:rFonts w:ascii="宋体" w:hAnsi="宋体" w:cs="宋体"/>
          <w:b/>
          <w:kern w:val="0"/>
          <w:sz w:val="32"/>
          <w:szCs w:val="32"/>
        </w:rPr>
      </w:pPr>
    </w:p>
    <w:p w14:paraId="110AC328">
      <w:pPr>
        <w:rPr>
          <w:rFonts w:ascii="宋体" w:hAnsi="宋体" w:cs="宋体"/>
          <w:b/>
          <w:kern w:val="0"/>
          <w:sz w:val="32"/>
          <w:szCs w:val="32"/>
        </w:rPr>
      </w:pPr>
    </w:p>
    <w:p w14:paraId="32BAC3EA">
      <w:pPr>
        <w:pStyle w:val="2"/>
        <w:rPr>
          <w:rFonts w:ascii="宋体" w:hAnsi="宋体" w:cs="宋体"/>
          <w:b/>
          <w:kern w:val="0"/>
          <w:sz w:val="32"/>
          <w:szCs w:val="32"/>
        </w:rPr>
      </w:pPr>
    </w:p>
    <w:p w14:paraId="1589257C">
      <w:pPr>
        <w:rPr>
          <w:rFonts w:ascii="宋体" w:hAnsi="宋体" w:cs="宋体"/>
          <w:b/>
          <w:kern w:val="0"/>
          <w:sz w:val="32"/>
          <w:szCs w:val="32"/>
        </w:rPr>
      </w:pPr>
    </w:p>
    <w:p w14:paraId="453AAF73">
      <w:pPr>
        <w:pStyle w:val="2"/>
        <w:rPr>
          <w:rFonts w:ascii="宋体" w:hAnsi="宋体" w:cs="宋体"/>
          <w:b/>
          <w:kern w:val="0"/>
          <w:sz w:val="32"/>
          <w:szCs w:val="32"/>
        </w:rPr>
      </w:pPr>
    </w:p>
    <w:p w14:paraId="0DF6FC55">
      <w:pPr>
        <w:rPr>
          <w:rFonts w:ascii="宋体" w:hAnsi="宋体" w:cs="宋体"/>
          <w:b/>
          <w:kern w:val="0"/>
          <w:sz w:val="32"/>
          <w:szCs w:val="32"/>
        </w:rPr>
      </w:pPr>
    </w:p>
    <w:p w14:paraId="06835187">
      <w:pPr>
        <w:pStyle w:val="2"/>
        <w:rPr>
          <w:rFonts w:ascii="宋体" w:hAnsi="宋体" w:cs="宋体"/>
          <w:b/>
          <w:kern w:val="0"/>
          <w:sz w:val="32"/>
          <w:szCs w:val="32"/>
        </w:rPr>
      </w:pPr>
    </w:p>
    <w:p w14:paraId="205EA0E1">
      <w:pPr>
        <w:rPr>
          <w:rFonts w:ascii="宋体" w:hAnsi="宋体" w:cs="宋体"/>
          <w:b/>
          <w:kern w:val="0"/>
          <w:sz w:val="32"/>
          <w:szCs w:val="32"/>
        </w:rPr>
      </w:pPr>
    </w:p>
    <w:p w14:paraId="4F991F81">
      <w:pPr>
        <w:pStyle w:val="2"/>
        <w:rPr>
          <w:rFonts w:ascii="宋体" w:hAnsi="宋体" w:cs="宋体"/>
          <w:b/>
          <w:kern w:val="0"/>
          <w:sz w:val="32"/>
          <w:szCs w:val="32"/>
        </w:rPr>
      </w:pPr>
    </w:p>
    <w:p w14:paraId="2A183269">
      <w:pPr>
        <w:rPr>
          <w:rFonts w:ascii="宋体" w:hAnsi="宋体" w:cs="宋体"/>
          <w:b/>
          <w:kern w:val="0"/>
          <w:sz w:val="32"/>
          <w:szCs w:val="32"/>
        </w:rPr>
      </w:pPr>
    </w:p>
    <w:p w14:paraId="7E29CAFF">
      <w:pPr>
        <w:pStyle w:val="2"/>
        <w:rPr>
          <w:rFonts w:ascii="宋体" w:hAnsi="宋体" w:cs="宋体"/>
          <w:b/>
          <w:kern w:val="0"/>
          <w:sz w:val="32"/>
          <w:szCs w:val="32"/>
        </w:rPr>
      </w:pPr>
    </w:p>
    <w:p w14:paraId="4CD664EE">
      <w:pPr>
        <w:rPr>
          <w:rFonts w:ascii="宋体" w:hAnsi="宋体" w:cs="宋体"/>
          <w:b/>
          <w:kern w:val="0"/>
          <w:sz w:val="32"/>
          <w:szCs w:val="32"/>
        </w:rPr>
      </w:pPr>
    </w:p>
    <w:p w14:paraId="4DE31778">
      <w:pPr>
        <w:pStyle w:val="2"/>
        <w:rPr>
          <w:rFonts w:ascii="宋体" w:hAnsi="宋体" w:cs="宋体"/>
          <w:b/>
          <w:kern w:val="0"/>
          <w:sz w:val="32"/>
          <w:szCs w:val="32"/>
        </w:rPr>
      </w:pPr>
    </w:p>
    <w:p w14:paraId="5B90DE9E"/>
    <w:p w14:paraId="6F183D1E">
      <w:pPr>
        <w:spacing w:afterLines="100"/>
        <w:jc w:val="center"/>
        <w:outlineLvl w:val="0"/>
        <w:rPr>
          <w:rFonts w:hint="eastAsia" w:cs="宋体" w:asciiTheme="majorEastAsia" w:hAnsiTheme="majorEastAsia" w:eastAsiaTheme="majorEastAsia"/>
          <w:b/>
          <w:kern w:val="0"/>
          <w:sz w:val="32"/>
          <w:szCs w:val="32"/>
          <w:highlight w:val="none"/>
        </w:rPr>
      </w:pP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9" w:name="_Toc55293554"/>
      <w:r>
        <w:rPr>
          <w:rFonts w:hint="eastAsia" w:cs="宋体" w:asciiTheme="minorEastAsia" w:hAnsiTheme="minorEastAsia"/>
          <w:b/>
          <w:kern w:val="0"/>
          <w:sz w:val="24"/>
          <w:szCs w:val="24"/>
          <w:highlight w:val="none"/>
        </w:rPr>
        <w:t>一、概念释义</w:t>
      </w:r>
      <w:bookmarkEnd w:id="9"/>
    </w:p>
    <w:p w14:paraId="30BBCA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23"/>
        <w:autoSpaceDE w:val="0"/>
        <w:autoSpaceDN w:val="0"/>
        <w:spacing w:line="360" w:lineRule="auto"/>
        <w:contextualSpacing/>
        <w:rPr>
          <w:rStyle w:val="49"/>
          <w:rFonts w:asciiTheme="minorEastAsia" w:hAnsiTheme="minorEastAsia"/>
          <w:kern w:val="0"/>
          <w:sz w:val="24"/>
          <w:szCs w:val="24"/>
          <w:highlight w:val="none"/>
        </w:rPr>
      </w:pPr>
      <w:r>
        <w:rPr>
          <w:rStyle w:val="49"/>
          <w:rFonts w:asciiTheme="minorEastAsia" w:hAnsiTheme="minorEastAsia"/>
          <w:kern w:val="0"/>
          <w:sz w:val="24"/>
          <w:szCs w:val="24"/>
          <w:highlight w:val="none"/>
        </w:rPr>
        <w:t>1.1</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本招标文件仅适用于本次“投标邀请”中所述采购项目。</w:t>
      </w:r>
    </w:p>
    <w:p w14:paraId="5FB987FE">
      <w:pPr>
        <w:pStyle w:val="23"/>
        <w:autoSpaceDE w:val="0"/>
        <w:autoSpaceDN w:val="0"/>
        <w:spacing w:line="360" w:lineRule="auto"/>
        <w:contextualSpacing/>
        <w:rPr>
          <w:rFonts w:cs="宋体" w:asciiTheme="minorEastAsia" w:hAnsiTheme="minorEastAsia"/>
          <w:kern w:val="0"/>
          <w:sz w:val="24"/>
          <w:szCs w:val="24"/>
          <w:highlight w:val="none"/>
        </w:rPr>
      </w:pPr>
      <w:r>
        <w:rPr>
          <w:rStyle w:val="49"/>
          <w:rFonts w:asciiTheme="minorEastAsia" w:hAnsiTheme="minorEastAsia"/>
          <w:kern w:val="0"/>
          <w:sz w:val="24"/>
          <w:szCs w:val="24"/>
          <w:highlight w:val="none"/>
        </w:rPr>
        <w:t>1.2</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本招标文件解释权属于“投标邀请”所述的采购人。</w:t>
      </w:r>
    </w:p>
    <w:p w14:paraId="60F51113">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0" w:name="_Toc55293555"/>
      <w:r>
        <w:rPr>
          <w:rFonts w:hint="eastAsia" w:cs="宋体" w:asciiTheme="minorEastAsia" w:hAnsiTheme="minorEastAsia"/>
          <w:b/>
          <w:kern w:val="0"/>
          <w:sz w:val="24"/>
          <w:szCs w:val="24"/>
          <w:highlight w:val="none"/>
        </w:rPr>
        <w:t>二、招标文件说明</w:t>
      </w:r>
      <w:bookmarkEnd w:id="10"/>
    </w:p>
    <w:p w14:paraId="313D3857">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1" w:name="_Toc55293556"/>
      <w:r>
        <w:rPr>
          <w:rFonts w:hint="eastAsia" w:cs="宋体" w:asciiTheme="minorEastAsia" w:hAnsiTheme="minorEastAsia"/>
          <w:b/>
          <w:kern w:val="0"/>
          <w:sz w:val="24"/>
          <w:szCs w:val="24"/>
          <w:highlight w:val="none"/>
        </w:rPr>
        <w:t>三、投标文件的编制</w:t>
      </w:r>
      <w:bookmarkEnd w:id="11"/>
    </w:p>
    <w:p w14:paraId="5252BEE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2" w:name="_Toc55293557"/>
      <w:r>
        <w:rPr>
          <w:rFonts w:hint="eastAsia" w:cs="宋体" w:asciiTheme="minorEastAsia" w:hAnsiTheme="minorEastAsia"/>
          <w:b/>
          <w:kern w:val="0"/>
          <w:sz w:val="24"/>
          <w:szCs w:val="24"/>
          <w:highlight w:val="none"/>
        </w:rPr>
        <w:t>四、投标文件的提交</w:t>
      </w:r>
      <w:bookmarkEnd w:id="12"/>
    </w:p>
    <w:p w14:paraId="4FF24EA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3A654725">
      <w:pPr>
        <w:tabs>
          <w:tab w:val="left" w:pos="1260"/>
        </w:tabs>
        <w:autoSpaceDE w:val="0"/>
        <w:autoSpaceDN w:val="0"/>
        <w:adjustRightInd w:val="0"/>
        <w:spacing w:line="360" w:lineRule="auto"/>
        <w:contextualSpacing/>
        <w:jc w:val="center"/>
        <w:outlineLvl w:val="1"/>
        <w:rPr>
          <w:rFonts w:hint="eastAsia" w:cs="宋体" w:asciiTheme="minorEastAsia" w:hAnsiTheme="minorEastAsia"/>
          <w:b/>
          <w:kern w:val="0"/>
          <w:sz w:val="24"/>
          <w:szCs w:val="24"/>
          <w:highlight w:val="none"/>
        </w:rPr>
      </w:pPr>
      <w:bookmarkStart w:id="13" w:name="_Toc55293558"/>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五、开标和评标</w:t>
      </w:r>
      <w:bookmarkEnd w:id="13"/>
    </w:p>
    <w:p w14:paraId="46BD9B8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23"/>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61120DE0">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4" w:name="_Toc55293559"/>
      <w:r>
        <w:rPr>
          <w:rFonts w:hint="eastAsia" w:cs="宋体" w:asciiTheme="minorEastAsia" w:hAnsiTheme="minorEastAsia"/>
          <w:b/>
          <w:kern w:val="0"/>
          <w:sz w:val="24"/>
          <w:szCs w:val="24"/>
          <w:highlight w:val="none"/>
        </w:rPr>
        <w:t>六、定标和授予合同</w:t>
      </w:r>
      <w:bookmarkEnd w:id="14"/>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15" w:name="_Toc55293560"/>
      <w:r>
        <w:rPr>
          <w:rFonts w:hint="eastAsia" w:cs="宋体" w:asciiTheme="majorEastAsia" w:hAnsiTheme="majorEastAsia" w:eastAsiaTheme="majorEastAsia"/>
          <w:b/>
          <w:kern w:val="0"/>
          <w:sz w:val="32"/>
          <w:szCs w:val="32"/>
          <w:highlight w:val="none"/>
        </w:rPr>
        <w:t>第五章 政府采购政策功能</w:t>
      </w:r>
      <w:bookmarkEnd w:id="15"/>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6713E421">
      <w:pPr>
        <w:widowControl/>
        <w:jc w:val="left"/>
        <w:rPr>
          <w:rFonts w:hint="eastAsia" w:ascii="宋体" w:hAnsi="宋体" w:cs="宋体" w:eastAsiaTheme="majorEastAsia"/>
          <w:b/>
          <w:kern w:val="0"/>
          <w:sz w:val="32"/>
          <w:szCs w:val="32"/>
          <w:lang w:val="en-US" w:eastAsia="zh-CN"/>
        </w:rPr>
      </w:pPr>
      <w:r>
        <w:rPr>
          <w:rFonts w:cs="宋体" w:asciiTheme="majorEastAsia" w:hAnsiTheme="majorEastAsia" w:eastAsiaTheme="majorEastAsia"/>
          <w:b/>
          <w:kern w:val="0"/>
          <w:sz w:val="32"/>
          <w:szCs w:val="32"/>
          <w:highlight w:val="none"/>
        </w:rPr>
        <w:br w:type="page"/>
      </w:r>
    </w:p>
    <w:p w14:paraId="3E7529AC">
      <w:pPr>
        <w:tabs>
          <w:tab w:val="left" w:pos="1260"/>
        </w:tabs>
        <w:autoSpaceDE w:val="0"/>
        <w:autoSpaceDN w:val="0"/>
        <w:adjustRightInd w:val="0"/>
        <w:spacing w:line="360" w:lineRule="auto"/>
        <w:ind w:firstLine="2249" w:firstLineChars="700"/>
        <w:contextualSpacing/>
        <w:rPr>
          <w:rFonts w:ascii="宋体" w:hAnsi="宋体" w:cs="仿宋_GB2312"/>
          <w:lang w:val="zh-CN"/>
        </w:rPr>
      </w:pPr>
      <w:r>
        <w:rPr>
          <w:rFonts w:hint="eastAsia" w:ascii="宋体" w:hAnsi="宋体" w:cs="宋体"/>
          <w:b/>
          <w:kern w:val="0"/>
          <w:sz w:val="32"/>
          <w:szCs w:val="32"/>
        </w:rPr>
        <w:t>第六章 资格审查与评标</w:t>
      </w:r>
    </w:p>
    <w:p w14:paraId="44D0755F">
      <w:pPr>
        <w:pStyle w:val="11"/>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20" w:firstLineChars="50"/>
              <w:rPr>
                <w:rFonts w:ascii="宋体" w:hAnsi="宋体"/>
                <w:b/>
                <w:sz w:val="24"/>
                <w:szCs w:val="24"/>
              </w:rPr>
            </w:pPr>
            <w:r>
              <w:rPr>
                <w:rFonts w:hint="eastAsia" w:ascii="宋体" w:hAnsi="宋体"/>
                <w:b/>
                <w:sz w:val="24"/>
                <w:szCs w:val="24"/>
              </w:rPr>
              <w:t>襄城县政府采购</w:t>
            </w:r>
          </w:p>
          <w:p w14:paraId="6DC831AE">
            <w:pPr>
              <w:spacing w:line="360" w:lineRule="auto"/>
              <w:rPr>
                <w:rFonts w:ascii="宋体" w:hAnsi="宋体"/>
                <w:b/>
                <w:sz w:val="24"/>
                <w:szCs w:val="24"/>
              </w:rPr>
            </w:pPr>
            <w:r>
              <w:rPr>
                <w:rFonts w:hint="eastAsia" w:ascii="宋体" w:hAnsi="宋体"/>
                <w:b/>
                <w:sz w:val="24"/>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3B9D8D3C">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0A45516D">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3D03FE8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2C0CC1C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333CDB0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432D4046">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1603A2C3">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E11AAB9">
            <w:pPr>
              <w:spacing w:line="360" w:lineRule="auto"/>
            </w:pPr>
            <w:r>
              <w:rPr>
                <w:rFonts w:hint="eastAsia" w:ascii="宋体" w:hAnsi="宋体" w:eastAsia="宋体" w:cs="宋体"/>
                <w:bCs/>
                <w:sz w:val="24"/>
                <w:szCs w:val="24"/>
              </w:rPr>
              <w:t>③投标人为自然人的，无需填写法定代表人授权书</w:t>
            </w:r>
            <w:r>
              <w:rPr>
                <w:rFonts w:hint="eastAsia" w:ascii="楷体" w:hAnsi="楷体" w:eastAsia="楷体"/>
                <w:bCs/>
                <w:sz w:val="24"/>
                <w:szCs w:val="24"/>
              </w:rPr>
              <w:t>。</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6" w:name="baidusnap2"/>
            <w:bookmarkEnd w:id="16"/>
            <w:r>
              <w:rPr>
                <w:rFonts w:hint="eastAsia" w:ascii="宋体" w:hAnsi="宋体" w:cs="仿宋_GB2312"/>
                <w:sz w:val="24"/>
                <w:szCs w:val="24"/>
                <w:lang w:val="zh-CN"/>
              </w:rPr>
              <w:t>提供未为本项目提供整体设计、</w:t>
            </w:r>
            <w:bookmarkStart w:id="17" w:name="baidusnap9"/>
            <w:bookmarkEnd w:id="17"/>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2244C1B">
      <w:pPr>
        <w:pStyle w:val="11"/>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11"/>
        <w:spacing w:line="360" w:lineRule="auto"/>
        <w:ind w:firstLine="480" w:firstLineChars="2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11"/>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11"/>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11"/>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5251E62B">
      <w:pPr>
        <w:pStyle w:val="11"/>
        <w:spacing w:line="360" w:lineRule="auto"/>
        <w:ind w:firstLine="480" w:firstLineChars="200"/>
        <w:contextualSpacing/>
        <w:rPr>
          <w:rFonts w:ascii="宋体" w:hAnsi="宋体" w:cs="仿宋_GB2312"/>
          <w:szCs w:val="24"/>
          <w:lang w:val="zh-CN"/>
        </w:rPr>
      </w:pPr>
      <w:r>
        <w:rPr>
          <w:rFonts w:ascii="宋体" w:hAnsi="宋体" w:cs="仿宋_GB2312"/>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11"/>
        <w:spacing w:line="360" w:lineRule="auto"/>
        <w:ind w:firstLine="480" w:firstLineChars="200"/>
        <w:contextualSpacing/>
        <w:rPr>
          <w:rFonts w:ascii="宋体" w:hAnsi="宋体" w:cs="仿宋_GB2312"/>
          <w:szCs w:val="24"/>
          <w:lang w:val="zh-CN"/>
        </w:rPr>
      </w:pPr>
      <w:r>
        <w:rPr>
          <w:rFonts w:ascii="宋体" w:hAnsi="宋体"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11"/>
        <w:spacing w:line="360" w:lineRule="auto"/>
        <w:ind w:firstLine="465"/>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11"/>
        <w:spacing w:line="360" w:lineRule="auto"/>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11"/>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11"/>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11"/>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11"/>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11"/>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11"/>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5）</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241" w:firstLineChars="100"/>
        <w:contextualSpacing/>
        <w:rPr>
          <w:rFonts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tbl>
      <w:tblPr>
        <w:tblStyle w:val="1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634F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3BC90B5">
            <w:pPr>
              <w:widowControl/>
              <w:spacing w:before="226"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分值构成</w:t>
            </w:r>
          </w:p>
          <w:p w14:paraId="5C1D24F8">
            <w:pPr>
              <w:widowControl/>
              <w:spacing w:before="226"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07E49">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价格分值：30分</w:t>
            </w:r>
          </w:p>
          <w:p w14:paraId="4B798927">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商务部分：</w:t>
            </w:r>
            <w:r>
              <w:rPr>
                <w:rFonts w:hint="eastAsia" w:ascii="仿宋" w:hAnsi="仿宋" w:eastAsia="仿宋" w:cs="仿宋"/>
                <w:color w:val="000000"/>
                <w:kern w:val="0"/>
                <w:sz w:val="28"/>
                <w:szCs w:val="28"/>
                <w:shd w:val="clear" w:color="auto" w:fill="FFFFFF"/>
                <w:lang w:val="en-US" w:eastAsia="zh-CN"/>
              </w:rPr>
              <w:t>20</w:t>
            </w:r>
            <w:r>
              <w:rPr>
                <w:rFonts w:hint="eastAsia" w:ascii="仿宋" w:hAnsi="仿宋" w:eastAsia="仿宋" w:cs="仿宋"/>
                <w:color w:val="000000"/>
                <w:kern w:val="0"/>
                <w:sz w:val="28"/>
                <w:szCs w:val="28"/>
                <w:shd w:val="clear" w:color="auto" w:fill="FFFFFF"/>
              </w:rPr>
              <w:t xml:space="preserve"> 分</w:t>
            </w:r>
          </w:p>
          <w:p w14:paraId="6E80EFFA">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技术部分：</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0 分</w:t>
            </w:r>
          </w:p>
        </w:tc>
      </w:tr>
      <w:tr w14:paraId="4C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283A52">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一、价格部分（满分30分）</w:t>
            </w:r>
          </w:p>
        </w:tc>
      </w:tr>
      <w:tr w14:paraId="5650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239037F">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F98CFB1">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467271">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31DE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6605452">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投标报价</w:t>
            </w:r>
          </w:p>
          <w:p w14:paraId="0FB3990D">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B53EE71">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满足招标文件要求且价格最低的报价为评标基准价，其价格分为满分（即30分）。其他投标人的价格分统一按照下列公式计算：</w:t>
            </w:r>
          </w:p>
          <w:p w14:paraId="2FFEDE04">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报价得分=(评标基准价／报价)×价格权值（30分）。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88AD02">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30分</w:t>
            </w:r>
          </w:p>
        </w:tc>
      </w:tr>
      <w:tr w14:paraId="3ED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722C2F">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二、商务部分（满分 </w:t>
            </w:r>
            <w:r>
              <w:rPr>
                <w:rFonts w:hint="eastAsia" w:ascii="仿宋" w:hAnsi="仿宋" w:eastAsia="仿宋" w:cs="仿宋"/>
                <w:color w:val="000000"/>
                <w:kern w:val="0"/>
                <w:sz w:val="28"/>
                <w:szCs w:val="28"/>
                <w:shd w:val="clear" w:color="auto" w:fill="FFFFFF"/>
                <w:lang w:val="en-US" w:eastAsia="zh-CN"/>
              </w:rPr>
              <w:t>20</w:t>
            </w:r>
            <w:r>
              <w:rPr>
                <w:rFonts w:hint="eastAsia" w:ascii="仿宋" w:hAnsi="仿宋" w:eastAsia="仿宋" w:cs="仿宋"/>
                <w:color w:val="000000"/>
                <w:kern w:val="0"/>
                <w:sz w:val="28"/>
                <w:szCs w:val="28"/>
                <w:shd w:val="clear" w:color="auto" w:fill="FFFFFF"/>
              </w:rPr>
              <w:t>分）</w:t>
            </w:r>
          </w:p>
        </w:tc>
      </w:tr>
      <w:tr w14:paraId="5FB9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A2D5119">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F52453A">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E3C6ED">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5BF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493BDC1">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企业实力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B1A83DA">
            <w:pPr>
              <w:numPr>
                <w:ilvl w:val="0"/>
                <w:numId w:val="5"/>
              </w:numPr>
              <w:spacing w:line="4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投标人拟派项目负责人具有中华人民共和国人力资源和社会保障部（或中华人民共和国工业和信息化部）颁发的通信专业技术人员职业资格证书的得</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分，本项最高得</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分（提供证书和参加本次政府采购项目投标截止时间前六个月内任意一个月缴纳社会保险凭据。）</w:t>
            </w:r>
          </w:p>
          <w:p w14:paraId="2A2B89C2">
            <w:pPr>
              <w:numPr>
                <w:ilvl w:val="0"/>
                <w:numId w:val="0"/>
              </w:numPr>
              <w:spacing w:line="400" w:lineRule="exact"/>
              <w:rPr>
                <w:rFonts w:hint="eastAsia" w:ascii="仿宋" w:hAnsi="仿宋" w:eastAsia="仿宋" w:cs="仿宋"/>
                <w:color w:val="000000"/>
                <w:kern w:val="0"/>
                <w:sz w:val="28"/>
                <w:szCs w:val="28"/>
                <w:shd w:val="clear" w:color="auto" w:fill="FFFFFF"/>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rPr>
              <w:t>投标人拟派项目配备人员中具有应急管理部门颁发的《中华人民共和国特种作业操作证（高处作业</w:t>
            </w:r>
            <w:r>
              <w:rPr>
                <w:rFonts w:hint="eastAsia" w:ascii="仿宋" w:hAnsi="仿宋" w:eastAsia="仿宋" w:cs="仿宋"/>
                <w:color w:val="auto"/>
                <w:sz w:val="28"/>
                <w:szCs w:val="28"/>
                <w:lang w:val="en-US" w:eastAsia="zh-CN"/>
              </w:rPr>
              <w:t>类</w:t>
            </w:r>
            <w:r>
              <w:rPr>
                <w:rFonts w:hint="eastAsia" w:ascii="仿宋" w:hAnsi="仿宋" w:eastAsia="仿宋" w:cs="仿宋"/>
                <w:color w:val="auto"/>
                <w:sz w:val="28"/>
                <w:szCs w:val="28"/>
                <w:lang w:val="zh-CN"/>
              </w:rPr>
              <w:t>）》或《中华人民共和国特种作业操作证（电工作业</w:t>
            </w:r>
            <w:r>
              <w:rPr>
                <w:rFonts w:hint="eastAsia" w:ascii="仿宋" w:hAnsi="仿宋" w:eastAsia="仿宋" w:cs="仿宋"/>
                <w:color w:val="auto"/>
                <w:sz w:val="28"/>
                <w:szCs w:val="28"/>
                <w:lang w:val="en-US" w:eastAsia="zh-CN"/>
              </w:rPr>
              <w:t>类）高压或低压</w:t>
            </w:r>
            <w:r>
              <w:rPr>
                <w:rFonts w:hint="eastAsia" w:ascii="仿宋" w:hAnsi="仿宋" w:eastAsia="仿宋" w:cs="仿宋"/>
                <w:color w:val="auto"/>
                <w:sz w:val="28"/>
                <w:szCs w:val="28"/>
                <w:lang w:val="zh-CN"/>
              </w:rPr>
              <w:t>》，每有一人具备相关证书得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rPr>
              <w:t>分，满分</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分（提供证书和参加本次政府采购项目投标截止时间前六个月内任意一个月缴纳社会保险凭据，同一人员同时具备两个作业证书时，只认定其中一个作业证书。）</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2FC6A34">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8</w:t>
            </w:r>
            <w:r>
              <w:rPr>
                <w:rFonts w:hint="eastAsia" w:ascii="仿宋" w:hAnsi="仿宋" w:eastAsia="仿宋" w:cs="仿宋"/>
                <w:color w:val="000000"/>
                <w:kern w:val="0"/>
                <w:sz w:val="28"/>
                <w:szCs w:val="28"/>
                <w:shd w:val="clear" w:color="auto" w:fill="FFFFFF"/>
              </w:rPr>
              <w:t>分</w:t>
            </w:r>
          </w:p>
        </w:tc>
      </w:tr>
      <w:tr w14:paraId="61D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D95ECDD">
            <w:pPr>
              <w:widowControl/>
              <w:spacing w:before="226" w:line="360" w:lineRule="auto"/>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01BF2A5">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投标人自2022年12月1日以来承担过类似项目业绩的,每提供一份得4分，最多得12分。（以合同签订时间为准）（提供中标（成交）公示网页截图、合同、中标通知书电子扫描件，三者缺一不计分）。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5718E50">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12</w:t>
            </w:r>
            <w:r>
              <w:rPr>
                <w:rFonts w:hint="eastAsia" w:ascii="仿宋" w:hAnsi="仿宋" w:eastAsia="仿宋" w:cs="仿宋"/>
                <w:color w:val="000000"/>
                <w:kern w:val="0"/>
                <w:sz w:val="28"/>
                <w:szCs w:val="28"/>
                <w:shd w:val="clear" w:color="auto" w:fill="FFFFFF"/>
              </w:rPr>
              <w:t>分</w:t>
            </w:r>
          </w:p>
        </w:tc>
      </w:tr>
      <w:tr w14:paraId="71F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AB70C">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三、技术部分（满分 </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0分）</w:t>
            </w:r>
          </w:p>
        </w:tc>
      </w:tr>
      <w:tr w14:paraId="036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E79B289">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8FAA08D">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8118416">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2E1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3487D39F">
            <w:pPr>
              <w:spacing w:line="400" w:lineRule="exact"/>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项目技术实施</w:t>
            </w:r>
          </w:p>
          <w:p w14:paraId="0DD565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zh-CN"/>
              </w:rPr>
              <w:t>方案</w:t>
            </w:r>
          </w:p>
        </w:tc>
        <w:tc>
          <w:tcPr>
            <w:tcW w:w="5729" w:type="dxa"/>
            <w:noWrap w:val="0"/>
            <w:vAlign w:val="center"/>
          </w:tcPr>
          <w:p w14:paraId="2EC4E503">
            <w:pPr>
              <w:spacing w:line="400" w:lineRule="exact"/>
              <w:rPr>
                <w:rFonts w:hint="eastAsia" w:ascii="仿宋" w:hAnsi="仿宋" w:eastAsia="仿宋" w:cs="仿宋"/>
                <w:b/>
                <w:bCs/>
                <w:color w:val="000000"/>
                <w:sz w:val="24"/>
                <w:szCs w:val="21"/>
                <w:lang w:val="zh-CN"/>
              </w:rPr>
            </w:pPr>
            <w:r>
              <w:rPr>
                <w:rFonts w:hint="eastAsia" w:ascii="仿宋" w:hAnsi="仿宋" w:eastAsia="仿宋" w:cs="仿宋"/>
                <w:b/>
                <w:bCs/>
                <w:color w:val="000000"/>
                <w:sz w:val="24"/>
                <w:szCs w:val="21"/>
                <w:lang w:val="zh-CN"/>
              </w:rPr>
              <w:t>包含对电子警察、卡口、</w:t>
            </w:r>
            <w:r>
              <w:rPr>
                <w:rFonts w:hint="eastAsia" w:ascii="仿宋" w:hAnsi="仿宋" w:eastAsia="仿宋" w:cs="仿宋"/>
                <w:b/>
                <w:bCs/>
                <w:color w:val="000000"/>
                <w:sz w:val="24"/>
                <w:szCs w:val="21"/>
                <w:lang w:val="en-US" w:eastAsia="zh-CN"/>
              </w:rPr>
              <w:t>红绿</w:t>
            </w:r>
            <w:r>
              <w:rPr>
                <w:rFonts w:hint="eastAsia" w:ascii="仿宋" w:hAnsi="仿宋" w:eastAsia="仿宋" w:cs="仿宋"/>
                <w:b/>
                <w:bCs/>
                <w:color w:val="000000"/>
                <w:sz w:val="24"/>
                <w:szCs w:val="21"/>
                <w:lang w:val="zh-CN"/>
              </w:rPr>
              <w:t>灯等设备的</w:t>
            </w:r>
            <w:r>
              <w:rPr>
                <w:rFonts w:hint="eastAsia" w:ascii="仿宋" w:hAnsi="仿宋" w:eastAsia="仿宋" w:cs="仿宋"/>
                <w:b/>
                <w:bCs/>
                <w:color w:val="000000"/>
                <w:sz w:val="24"/>
                <w:szCs w:val="21"/>
                <w:lang w:val="en-US" w:eastAsia="zh-CN"/>
              </w:rPr>
              <w:t>安装</w:t>
            </w:r>
            <w:r>
              <w:rPr>
                <w:rFonts w:hint="eastAsia" w:ascii="仿宋" w:hAnsi="仿宋" w:eastAsia="仿宋" w:cs="仿宋"/>
                <w:b/>
                <w:bCs/>
                <w:color w:val="000000"/>
                <w:sz w:val="24"/>
                <w:szCs w:val="21"/>
                <w:lang w:val="zh-CN"/>
              </w:rPr>
              <w:t>、保养、故障处理流程。提供项目整体技术实施方案。对服务组织、服务流程、服务保障措施进行详细描述。</w:t>
            </w:r>
          </w:p>
          <w:p w14:paraId="4EBCE6A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6B113556">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35B8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967E4C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质量保证措施</w:t>
            </w:r>
          </w:p>
        </w:tc>
        <w:tc>
          <w:tcPr>
            <w:tcW w:w="5729" w:type="dxa"/>
            <w:noWrap w:val="0"/>
            <w:vAlign w:val="center"/>
          </w:tcPr>
          <w:p w14:paraId="5A9C36A9">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提供的质量保证措施</w:t>
            </w:r>
            <w:r>
              <w:rPr>
                <w:rFonts w:hint="eastAsia" w:ascii="仿宋" w:hAnsi="仿宋" w:eastAsia="仿宋" w:cs="仿宋"/>
                <w:b w:val="0"/>
                <w:bCs w:val="0"/>
                <w:color w:val="auto"/>
                <w:sz w:val="28"/>
                <w:szCs w:val="28"/>
                <w:highlight w:val="none"/>
                <w:vertAlign w:val="baseline"/>
                <w:lang w:eastAsia="zh-CN"/>
              </w:rPr>
              <w:t>（包括质量控制体系与职责、货物质量标准体系、全过程质量控制流程、质量评估与改进机制）</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53F218D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375718F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352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BC8CB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安装、调试方案</w:t>
            </w:r>
          </w:p>
        </w:tc>
        <w:tc>
          <w:tcPr>
            <w:tcW w:w="5729" w:type="dxa"/>
            <w:noWrap w:val="0"/>
            <w:vAlign w:val="center"/>
          </w:tcPr>
          <w:p w14:paraId="5BB53DA5">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提供的安装、调试方案</w:t>
            </w:r>
            <w:r>
              <w:rPr>
                <w:rFonts w:hint="eastAsia" w:ascii="仿宋" w:hAnsi="仿宋" w:eastAsia="仿宋" w:cs="仿宋"/>
                <w:b w:val="0"/>
                <w:bCs w:val="0"/>
                <w:color w:val="auto"/>
                <w:sz w:val="28"/>
                <w:szCs w:val="28"/>
                <w:highlight w:val="none"/>
                <w:vertAlign w:val="baseline"/>
                <w:lang w:eastAsia="zh-CN"/>
              </w:rPr>
              <w:t>（包括安装、调试实施方案、安装、调试中的安全管理措施、安装、调试后试运行措施、验收方案）</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2FC1D1B6">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6BBADC9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8分</w:t>
            </w:r>
          </w:p>
        </w:tc>
      </w:tr>
      <w:tr w14:paraId="059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66CE0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应急方案</w:t>
            </w:r>
          </w:p>
        </w:tc>
        <w:tc>
          <w:tcPr>
            <w:tcW w:w="5729" w:type="dxa"/>
            <w:noWrap w:val="0"/>
            <w:vAlign w:val="center"/>
          </w:tcPr>
          <w:p w14:paraId="7010B541">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w:t>
            </w:r>
            <w:r>
              <w:rPr>
                <w:rFonts w:hint="eastAsia" w:ascii="仿宋" w:hAnsi="仿宋" w:eastAsia="仿宋" w:cs="仿宋"/>
                <w:b w:val="0"/>
                <w:bCs w:val="0"/>
                <w:color w:val="auto"/>
                <w:sz w:val="28"/>
                <w:szCs w:val="28"/>
                <w:highlight w:val="none"/>
                <w:vertAlign w:val="baseline"/>
                <w:lang w:eastAsia="zh-CN"/>
              </w:rPr>
              <w:t>应急方案：</w:t>
            </w: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5113DCA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023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722630F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技术指导方案</w:t>
            </w:r>
          </w:p>
        </w:tc>
        <w:tc>
          <w:tcPr>
            <w:tcW w:w="5729" w:type="dxa"/>
            <w:noWrap w:val="0"/>
            <w:vAlign w:val="center"/>
          </w:tcPr>
          <w:p w14:paraId="7FFB5FAC">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提供的技术指导方案（包括技术指导服务体系架构、核心技术内容体系、技术推广与培训、产品销售与增值服务保障）等整体综合性能进行对比，</w:t>
            </w:r>
          </w:p>
          <w:p w14:paraId="371E3304">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415224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04B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restart"/>
            <w:shd w:val="clear" w:color="auto" w:fill="auto"/>
            <w:noWrap w:val="0"/>
            <w:vAlign w:val="center"/>
          </w:tcPr>
          <w:p w14:paraId="571963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服务</w:t>
            </w:r>
            <w:r>
              <w:rPr>
                <w:rFonts w:hint="eastAsia" w:ascii="仿宋" w:hAnsi="仿宋" w:eastAsia="仿宋" w:cs="仿宋"/>
                <w:b w:val="0"/>
                <w:bCs w:val="0"/>
                <w:color w:val="auto"/>
                <w:sz w:val="28"/>
                <w:szCs w:val="28"/>
                <w:lang w:eastAsia="zh-CN"/>
              </w:rPr>
              <w:t>承诺</w:t>
            </w:r>
          </w:p>
        </w:tc>
        <w:tc>
          <w:tcPr>
            <w:tcW w:w="5729" w:type="dxa"/>
            <w:shd w:val="clear" w:color="auto" w:fill="auto"/>
            <w:noWrap w:val="0"/>
            <w:vAlign w:val="center"/>
          </w:tcPr>
          <w:p w14:paraId="2328992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1400" w:type="dxa"/>
            <w:shd w:val="clear" w:color="auto" w:fill="auto"/>
            <w:noWrap w:val="0"/>
            <w:vAlign w:val="center"/>
          </w:tcPr>
          <w:p w14:paraId="07F7D84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4ED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shd w:val="clear" w:color="auto" w:fill="auto"/>
            <w:noWrap w:val="0"/>
            <w:vAlign w:val="center"/>
          </w:tcPr>
          <w:p w14:paraId="7AB230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sz w:val="28"/>
                <w:szCs w:val="28"/>
              </w:rPr>
            </w:pPr>
          </w:p>
        </w:tc>
        <w:tc>
          <w:tcPr>
            <w:tcW w:w="5729" w:type="dxa"/>
            <w:shd w:val="clear" w:color="auto" w:fill="auto"/>
            <w:noWrap w:val="0"/>
            <w:vAlign w:val="center"/>
          </w:tcPr>
          <w:p w14:paraId="40B8DE2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根据投标人提供的售后服务计划，售后维护方案、人员配备技术力量和问题响应及解决时间、具体实施方案。内容详实，科学、合理，措施到位，针对性强的内容:</w:t>
            </w:r>
          </w:p>
          <w:p w14:paraId="593CAF92">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完全能够满足项目的需要，得5分；售后服务体系及服务计划符合项目实际情况，但可行性及详细操作程度一般得3分；售后服务体系及服务计划不全面，实际操作、注意事项不全得1分，未提供的得0分；</w:t>
            </w:r>
          </w:p>
        </w:tc>
        <w:tc>
          <w:tcPr>
            <w:tcW w:w="1400" w:type="dxa"/>
            <w:shd w:val="clear" w:color="auto" w:fill="auto"/>
            <w:noWrap w:val="0"/>
            <w:vAlign w:val="center"/>
          </w:tcPr>
          <w:p w14:paraId="19F0999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bl>
    <w:p w14:paraId="4F101CBF">
      <w:pPr>
        <w:spacing w:line="360" w:lineRule="auto"/>
        <w:rPr>
          <w:rFonts w:hint="eastAsia"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
        <w:gridCol w:w="2981"/>
        <w:gridCol w:w="1985"/>
        <w:gridCol w:w="2727"/>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其他投标报价得分=（评标基准价/评标价格）×评标标准中价格分值</w:t>
            </w:r>
          </w:p>
        </w:tc>
      </w:tr>
    </w:tbl>
    <w:p w14:paraId="129E9C46">
      <w:pPr>
        <w:pStyle w:val="15"/>
        <w:ind w:left="0" w:leftChars="0" w:firstLine="0" w:firstLineChars="0"/>
        <w:rPr>
          <w:lang w:val="zh-CN"/>
        </w:rPr>
      </w:pPr>
    </w:p>
    <w:tbl>
      <w:tblPr>
        <w:tblStyle w:val="1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11"/>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（10）</w:t>
      </w:r>
      <w:r>
        <w:rPr>
          <w:rFonts w:ascii="宋体" w:hAnsi="宋体" w:cs="仿宋_GB2312"/>
          <w:b/>
          <w:sz w:val="24"/>
          <w:szCs w:val="24"/>
          <w:lang w:val="zh-CN"/>
        </w:rPr>
        <w:t>确定中标候选人名单，</w:t>
      </w:r>
      <w:r>
        <w:rPr>
          <w:rFonts w:hint="eastAsia" w:ascii="宋体" w:hAnsi="宋体" w:cs="仿宋_GB2312"/>
          <w:b/>
          <w:sz w:val="24"/>
          <w:szCs w:val="24"/>
          <w:lang w:val="zh-CN"/>
        </w:rPr>
        <w:t>评标委员会按得分从高到低推荐三名中标候选人。</w:t>
      </w:r>
    </w:p>
    <w:p w14:paraId="133AEE89">
      <w:pPr>
        <w:spacing w:line="360" w:lineRule="auto"/>
        <w:contextualSpacing/>
        <w:rPr>
          <w:rFonts w:ascii="宋体" w:hAnsi="宋体" w:cs="仿宋_GB2312"/>
          <w:b/>
          <w:sz w:val="24"/>
          <w:szCs w:val="24"/>
          <w:lang w:val="zh-CN"/>
        </w:rPr>
      </w:pPr>
    </w:p>
    <w:p w14:paraId="4824E84D">
      <w:pPr>
        <w:spacing w:line="360" w:lineRule="auto"/>
        <w:contextualSpacing/>
        <w:rPr>
          <w:rFonts w:ascii="宋体" w:hAnsi="宋体" w:cs="仿宋_GB2312"/>
          <w:b/>
          <w:sz w:val="24"/>
          <w:szCs w:val="24"/>
          <w:lang w:val="zh-CN"/>
        </w:rPr>
      </w:pPr>
    </w:p>
    <w:p w14:paraId="3F8C6196">
      <w:pPr>
        <w:spacing w:line="360" w:lineRule="auto"/>
        <w:contextualSpacing/>
        <w:rPr>
          <w:rFonts w:ascii="宋体" w:hAnsi="宋体" w:cs="仿宋_GB2312"/>
          <w:b/>
          <w:sz w:val="24"/>
          <w:szCs w:val="24"/>
          <w:lang w:val="zh-CN"/>
        </w:rPr>
      </w:pPr>
    </w:p>
    <w:p w14:paraId="1A239E6D">
      <w:pPr>
        <w:spacing w:line="360" w:lineRule="auto"/>
        <w:contextualSpacing/>
        <w:rPr>
          <w:rFonts w:ascii="宋体" w:hAnsi="宋体" w:cs="仿宋_GB2312"/>
          <w:b/>
          <w:sz w:val="24"/>
          <w:szCs w:val="24"/>
          <w:lang w:val="zh-CN"/>
        </w:rPr>
      </w:pPr>
    </w:p>
    <w:p w14:paraId="1930E23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66808ED7">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w:t>
      </w:r>
      <w:r>
        <w:rPr>
          <w:rFonts w:hint="eastAsia" w:ascii="宋体" w:hAnsi="宋体" w:cs="宋体"/>
          <w:b/>
          <w:bCs/>
          <w:color w:val="auto"/>
          <w:sz w:val="28"/>
          <w:szCs w:val="28"/>
          <w:lang w:val="en-US" w:eastAsia="zh-CN"/>
        </w:rPr>
        <w:t>招标</w:t>
      </w:r>
      <w:r>
        <w:rPr>
          <w:rFonts w:hint="eastAsia" w:ascii="宋体" w:hAnsi="宋体" w:eastAsia="宋体" w:cs="宋体"/>
          <w:b/>
          <w:bCs/>
          <w:color w:val="auto"/>
          <w:sz w:val="28"/>
          <w:szCs w:val="28"/>
        </w:rPr>
        <w:t>文件有冲突）</w:t>
      </w:r>
    </w:p>
    <w:p w14:paraId="24D915C4">
      <w:pPr>
        <w:spacing w:line="360" w:lineRule="auto"/>
        <w:rPr>
          <w:rFonts w:hint="eastAsia" w:ascii="仿宋" w:hAnsi="仿宋" w:eastAsia="仿宋" w:cs="仿宋"/>
          <w:sz w:val="24"/>
          <w:szCs w:val="28"/>
        </w:rPr>
      </w:pPr>
      <w:r>
        <w:rPr>
          <w:rFonts w:hint="eastAsia" w:ascii="仿宋" w:hAnsi="仿宋" w:eastAsia="仿宋" w:cs="仿宋"/>
          <w:sz w:val="24"/>
          <w:szCs w:val="28"/>
        </w:rPr>
        <w:t>合同编号：</w:t>
      </w:r>
    </w:p>
    <w:p w14:paraId="0B2858C2">
      <w:pPr>
        <w:spacing w:line="360" w:lineRule="auto"/>
        <w:rPr>
          <w:rFonts w:hint="eastAsia" w:ascii="仿宋" w:hAnsi="仿宋" w:eastAsia="仿宋" w:cs="仿宋"/>
          <w:sz w:val="24"/>
          <w:szCs w:val="28"/>
        </w:rPr>
      </w:pPr>
      <w:r>
        <w:rPr>
          <w:rFonts w:hint="eastAsia" w:ascii="仿宋" w:hAnsi="仿宋" w:eastAsia="仿宋" w:cs="仿宋"/>
          <w:sz w:val="24"/>
          <w:szCs w:val="28"/>
        </w:rPr>
        <w:t>供方：</w:t>
      </w:r>
    </w:p>
    <w:p w14:paraId="610BBA3A">
      <w:pPr>
        <w:spacing w:line="360" w:lineRule="auto"/>
        <w:rPr>
          <w:rFonts w:hint="eastAsia" w:ascii="仿宋" w:hAnsi="仿宋" w:eastAsia="仿宋" w:cs="仿宋"/>
          <w:sz w:val="24"/>
          <w:szCs w:val="28"/>
        </w:rPr>
      </w:pPr>
      <w:r>
        <w:rPr>
          <w:rFonts w:hint="eastAsia" w:ascii="仿宋" w:hAnsi="仿宋" w:eastAsia="仿宋" w:cs="仿宋"/>
          <w:sz w:val="24"/>
          <w:szCs w:val="28"/>
        </w:rPr>
        <w:t>需方：</w:t>
      </w:r>
    </w:p>
    <w:p w14:paraId="6D6B290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供、需双方根据   年   月   日襄城县政府采购中心签发的中标确认书和招投标文件，并经双方协商一致，在平等互利的基础上，达成以下合同条款：</w:t>
      </w:r>
    </w:p>
    <w:p w14:paraId="239A703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一、招标文件、投标文件、澄清文件及材料（如果有的话）、中标确认书、合同条款、补充协议（如果有的话）均为合同不可分割的部分。</w:t>
      </w:r>
    </w:p>
    <w:p w14:paraId="112BB9E9">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二、货物名称、数量、规格、型号、金额及交货期</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1274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22BC25BE">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序号</w:t>
            </w:r>
          </w:p>
        </w:tc>
        <w:tc>
          <w:tcPr>
            <w:tcW w:w="1144" w:type="dxa"/>
            <w:vAlign w:val="center"/>
          </w:tcPr>
          <w:p w14:paraId="7E98807B">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名称</w:t>
            </w:r>
          </w:p>
        </w:tc>
        <w:tc>
          <w:tcPr>
            <w:tcW w:w="1144" w:type="dxa"/>
            <w:vAlign w:val="center"/>
          </w:tcPr>
          <w:p w14:paraId="1B0E15B1">
            <w:pPr>
              <w:spacing w:line="360" w:lineRule="auto"/>
              <w:jc w:val="center"/>
              <w:rPr>
                <w:rFonts w:hint="eastAsia" w:ascii="仿宋" w:hAnsi="仿宋" w:eastAsia="仿宋" w:cs="仿宋"/>
                <w:sz w:val="24"/>
                <w:szCs w:val="28"/>
              </w:rPr>
            </w:pPr>
            <w:r>
              <w:rPr>
                <w:rFonts w:hint="eastAsia" w:ascii="仿宋" w:hAnsi="仿宋" w:eastAsia="仿宋" w:cs="仿宋"/>
                <w:sz w:val="24"/>
                <w:szCs w:val="28"/>
              </w:rPr>
              <w:t>规格及型号</w:t>
            </w:r>
          </w:p>
        </w:tc>
        <w:tc>
          <w:tcPr>
            <w:tcW w:w="1483" w:type="dxa"/>
            <w:vAlign w:val="center"/>
          </w:tcPr>
          <w:p w14:paraId="669EEE1F">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技术参数</w:t>
            </w:r>
          </w:p>
        </w:tc>
        <w:tc>
          <w:tcPr>
            <w:tcW w:w="1087" w:type="dxa"/>
            <w:vAlign w:val="center"/>
          </w:tcPr>
          <w:p w14:paraId="35319B2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单位</w:t>
            </w:r>
          </w:p>
        </w:tc>
        <w:tc>
          <w:tcPr>
            <w:tcW w:w="862" w:type="dxa"/>
            <w:vAlign w:val="center"/>
          </w:tcPr>
          <w:p w14:paraId="016821F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数量</w:t>
            </w:r>
          </w:p>
        </w:tc>
        <w:tc>
          <w:tcPr>
            <w:tcW w:w="1144" w:type="dxa"/>
            <w:vAlign w:val="center"/>
          </w:tcPr>
          <w:p w14:paraId="3181954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单价</w:t>
            </w:r>
          </w:p>
        </w:tc>
        <w:tc>
          <w:tcPr>
            <w:tcW w:w="1144" w:type="dxa"/>
            <w:vAlign w:val="center"/>
          </w:tcPr>
          <w:p w14:paraId="14F0369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总价</w:t>
            </w:r>
          </w:p>
        </w:tc>
        <w:tc>
          <w:tcPr>
            <w:tcW w:w="1144" w:type="dxa"/>
            <w:vAlign w:val="center"/>
          </w:tcPr>
          <w:p w14:paraId="6D8EA2CD">
            <w:pPr>
              <w:spacing w:line="360" w:lineRule="auto"/>
              <w:jc w:val="center"/>
              <w:rPr>
                <w:rFonts w:hint="eastAsia" w:ascii="仿宋" w:hAnsi="仿宋" w:eastAsia="仿宋" w:cs="仿宋"/>
                <w:sz w:val="24"/>
                <w:szCs w:val="28"/>
              </w:rPr>
            </w:pPr>
            <w:r>
              <w:rPr>
                <w:rFonts w:hint="eastAsia" w:ascii="仿宋" w:hAnsi="仿宋" w:eastAsia="仿宋" w:cs="仿宋"/>
                <w:sz w:val="24"/>
                <w:szCs w:val="28"/>
              </w:rPr>
              <w:t>供货期</w:t>
            </w:r>
          </w:p>
        </w:tc>
      </w:tr>
      <w:tr w14:paraId="6EC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08FB1381">
            <w:pPr>
              <w:spacing w:line="360" w:lineRule="auto"/>
              <w:jc w:val="center"/>
              <w:rPr>
                <w:rFonts w:hint="eastAsia" w:ascii="仿宋" w:hAnsi="仿宋" w:eastAsia="仿宋" w:cs="仿宋"/>
                <w:sz w:val="24"/>
                <w:szCs w:val="28"/>
              </w:rPr>
            </w:pPr>
          </w:p>
        </w:tc>
        <w:tc>
          <w:tcPr>
            <w:tcW w:w="1144" w:type="dxa"/>
            <w:vAlign w:val="center"/>
          </w:tcPr>
          <w:p w14:paraId="37CF10CA">
            <w:pPr>
              <w:spacing w:line="360" w:lineRule="auto"/>
              <w:jc w:val="center"/>
              <w:rPr>
                <w:rFonts w:hint="eastAsia" w:ascii="仿宋" w:hAnsi="仿宋" w:eastAsia="仿宋" w:cs="仿宋"/>
                <w:sz w:val="24"/>
                <w:szCs w:val="28"/>
              </w:rPr>
            </w:pPr>
          </w:p>
        </w:tc>
        <w:tc>
          <w:tcPr>
            <w:tcW w:w="1144" w:type="dxa"/>
            <w:vAlign w:val="center"/>
          </w:tcPr>
          <w:p w14:paraId="6E2F6978">
            <w:pPr>
              <w:spacing w:line="360" w:lineRule="auto"/>
              <w:jc w:val="center"/>
              <w:rPr>
                <w:rFonts w:hint="eastAsia" w:ascii="仿宋" w:hAnsi="仿宋" w:eastAsia="仿宋" w:cs="仿宋"/>
                <w:sz w:val="24"/>
                <w:szCs w:val="28"/>
              </w:rPr>
            </w:pPr>
          </w:p>
        </w:tc>
        <w:tc>
          <w:tcPr>
            <w:tcW w:w="1483" w:type="dxa"/>
            <w:vAlign w:val="center"/>
          </w:tcPr>
          <w:p w14:paraId="1AC40B8F">
            <w:pPr>
              <w:spacing w:line="360" w:lineRule="auto"/>
              <w:jc w:val="center"/>
              <w:rPr>
                <w:rFonts w:hint="eastAsia" w:ascii="仿宋" w:hAnsi="仿宋" w:eastAsia="仿宋" w:cs="仿宋"/>
                <w:sz w:val="24"/>
                <w:szCs w:val="28"/>
              </w:rPr>
            </w:pPr>
          </w:p>
        </w:tc>
        <w:tc>
          <w:tcPr>
            <w:tcW w:w="1087" w:type="dxa"/>
            <w:vAlign w:val="center"/>
          </w:tcPr>
          <w:p w14:paraId="09F686A7">
            <w:pPr>
              <w:spacing w:line="360" w:lineRule="auto"/>
              <w:jc w:val="center"/>
              <w:rPr>
                <w:rFonts w:hint="eastAsia" w:ascii="仿宋" w:hAnsi="仿宋" w:eastAsia="仿宋" w:cs="仿宋"/>
                <w:sz w:val="24"/>
                <w:szCs w:val="28"/>
              </w:rPr>
            </w:pPr>
          </w:p>
        </w:tc>
        <w:tc>
          <w:tcPr>
            <w:tcW w:w="862" w:type="dxa"/>
            <w:vAlign w:val="center"/>
          </w:tcPr>
          <w:p w14:paraId="43B2AC16">
            <w:pPr>
              <w:spacing w:line="360" w:lineRule="auto"/>
              <w:jc w:val="center"/>
              <w:rPr>
                <w:rFonts w:hint="eastAsia" w:ascii="仿宋" w:hAnsi="仿宋" w:eastAsia="仿宋" w:cs="仿宋"/>
                <w:sz w:val="24"/>
                <w:szCs w:val="28"/>
              </w:rPr>
            </w:pPr>
          </w:p>
        </w:tc>
        <w:tc>
          <w:tcPr>
            <w:tcW w:w="1144" w:type="dxa"/>
            <w:vAlign w:val="center"/>
          </w:tcPr>
          <w:p w14:paraId="5EA9380C">
            <w:pPr>
              <w:spacing w:line="360" w:lineRule="auto"/>
              <w:jc w:val="center"/>
              <w:rPr>
                <w:rFonts w:hint="eastAsia" w:ascii="仿宋" w:hAnsi="仿宋" w:eastAsia="仿宋" w:cs="仿宋"/>
                <w:sz w:val="24"/>
                <w:szCs w:val="28"/>
              </w:rPr>
            </w:pPr>
          </w:p>
        </w:tc>
        <w:tc>
          <w:tcPr>
            <w:tcW w:w="1144" w:type="dxa"/>
            <w:vAlign w:val="center"/>
          </w:tcPr>
          <w:p w14:paraId="3BF7C3E8">
            <w:pPr>
              <w:spacing w:line="360" w:lineRule="auto"/>
              <w:jc w:val="center"/>
              <w:rPr>
                <w:rFonts w:hint="eastAsia" w:ascii="仿宋" w:hAnsi="仿宋" w:eastAsia="仿宋" w:cs="仿宋"/>
                <w:sz w:val="24"/>
                <w:szCs w:val="28"/>
              </w:rPr>
            </w:pPr>
          </w:p>
        </w:tc>
        <w:tc>
          <w:tcPr>
            <w:tcW w:w="1144" w:type="dxa"/>
            <w:vAlign w:val="center"/>
          </w:tcPr>
          <w:p w14:paraId="56AD5620">
            <w:pPr>
              <w:spacing w:line="360" w:lineRule="auto"/>
              <w:jc w:val="center"/>
              <w:rPr>
                <w:rFonts w:hint="eastAsia" w:ascii="仿宋" w:hAnsi="仿宋" w:eastAsia="仿宋" w:cs="仿宋"/>
                <w:sz w:val="24"/>
                <w:szCs w:val="28"/>
              </w:rPr>
            </w:pPr>
          </w:p>
        </w:tc>
      </w:tr>
      <w:tr w14:paraId="19E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5B10D62A">
            <w:pPr>
              <w:spacing w:line="360" w:lineRule="auto"/>
              <w:rPr>
                <w:rFonts w:hint="eastAsia" w:ascii="仿宋" w:hAnsi="仿宋" w:eastAsia="仿宋" w:cs="仿宋"/>
                <w:sz w:val="24"/>
                <w:szCs w:val="28"/>
              </w:rPr>
            </w:pPr>
          </w:p>
        </w:tc>
        <w:tc>
          <w:tcPr>
            <w:tcW w:w="1144" w:type="dxa"/>
          </w:tcPr>
          <w:p w14:paraId="4457BBE8">
            <w:pPr>
              <w:spacing w:line="360" w:lineRule="auto"/>
              <w:rPr>
                <w:rFonts w:hint="eastAsia" w:ascii="仿宋" w:hAnsi="仿宋" w:eastAsia="仿宋" w:cs="仿宋"/>
                <w:sz w:val="24"/>
                <w:szCs w:val="28"/>
              </w:rPr>
            </w:pPr>
          </w:p>
        </w:tc>
        <w:tc>
          <w:tcPr>
            <w:tcW w:w="1144" w:type="dxa"/>
          </w:tcPr>
          <w:p w14:paraId="028BBA09">
            <w:pPr>
              <w:spacing w:line="360" w:lineRule="auto"/>
              <w:rPr>
                <w:rFonts w:hint="eastAsia" w:ascii="仿宋" w:hAnsi="仿宋" w:eastAsia="仿宋" w:cs="仿宋"/>
                <w:sz w:val="24"/>
                <w:szCs w:val="28"/>
              </w:rPr>
            </w:pPr>
          </w:p>
        </w:tc>
        <w:tc>
          <w:tcPr>
            <w:tcW w:w="1483" w:type="dxa"/>
          </w:tcPr>
          <w:p w14:paraId="5386914F">
            <w:pPr>
              <w:spacing w:line="360" w:lineRule="auto"/>
              <w:rPr>
                <w:rFonts w:hint="eastAsia" w:ascii="仿宋" w:hAnsi="仿宋" w:eastAsia="仿宋" w:cs="仿宋"/>
                <w:sz w:val="24"/>
                <w:szCs w:val="28"/>
              </w:rPr>
            </w:pPr>
          </w:p>
        </w:tc>
        <w:tc>
          <w:tcPr>
            <w:tcW w:w="1087" w:type="dxa"/>
          </w:tcPr>
          <w:p w14:paraId="2FB64B7D">
            <w:pPr>
              <w:spacing w:line="360" w:lineRule="auto"/>
              <w:rPr>
                <w:rFonts w:hint="eastAsia" w:ascii="仿宋" w:hAnsi="仿宋" w:eastAsia="仿宋" w:cs="仿宋"/>
                <w:sz w:val="24"/>
                <w:szCs w:val="28"/>
              </w:rPr>
            </w:pPr>
          </w:p>
        </w:tc>
        <w:tc>
          <w:tcPr>
            <w:tcW w:w="862" w:type="dxa"/>
          </w:tcPr>
          <w:p w14:paraId="258D7C5B">
            <w:pPr>
              <w:spacing w:line="360" w:lineRule="auto"/>
              <w:rPr>
                <w:rFonts w:hint="eastAsia" w:ascii="仿宋" w:hAnsi="仿宋" w:eastAsia="仿宋" w:cs="仿宋"/>
                <w:sz w:val="24"/>
                <w:szCs w:val="28"/>
              </w:rPr>
            </w:pPr>
          </w:p>
        </w:tc>
        <w:tc>
          <w:tcPr>
            <w:tcW w:w="1144" w:type="dxa"/>
          </w:tcPr>
          <w:p w14:paraId="59B2BA64">
            <w:pPr>
              <w:spacing w:line="360" w:lineRule="auto"/>
              <w:rPr>
                <w:rFonts w:hint="eastAsia" w:ascii="仿宋" w:hAnsi="仿宋" w:eastAsia="仿宋" w:cs="仿宋"/>
                <w:sz w:val="24"/>
                <w:szCs w:val="28"/>
              </w:rPr>
            </w:pPr>
          </w:p>
        </w:tc>
        <w:tc>
          <w:tcPr>
            <w:tcW w:w="1144" w:type="dxa"/>
          </w:tcPr>
          <w:p w14:paraId="762642FD">
            <w:pPr>
              <w:spacing w:line="360" w:lineRule="auto"/>
              <w:rPr>
                <w:rFonts w:hint="eastAsia" w:ascii="仿宋" w:hAnsi="仿宋" w:eastAsia="仿宋" w:cs="仿宋"/>
                <w:sz w:val="24"/>
                <w:szCs w:val="28"/>
              </w:rPr>
            </w:pPr>
          </w:p>
        </w:tc>
        <w:tc>
          <w:tcPr>
            <w:tcW w:w="1144" w:type="dxa"/>
          </w:tcPr>
          <w:p w14:paraId="614E56A3">
            <w:pPr>
              <w:spacing w:line="360" w:lineRule="auto"/>
              <w:rPr>
                <w:rFonts w:hint="eastAsia" w:ascii="仿宋" w:hAnsi="仿宋" w:eastAsia="仿宋" w:cs="仿宋"/>
                <w:sz w:val="24"/>
                <w:szCs w:val="28"/>
              </w:rPr>
            </w:pPr>
          </w:p>
        </w:tc>
      </w:tr>
      <w:tr w14:paraId="2BE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2F2D14AA">
            <w:pPr>
              <w:spacing w:line="360" w:lineRule="auto"/>
              <w:rPr>
                <w:rFonts w:hint="eastAsia" w:ascii="仿宋" w:hAnsi="仿宋" w:eastAsia="仿宋" w:cs="仿宋"/>
                <w:sz w:val="24"/>
                <w:szCs w:val="28"/>
              </w:rPr>
            </w:pPr>
            <w:r>
              <w:rPr>
                <w:rFonts w:hint="eastAsia" w:ascii="仿宋" w:hAnsi="仿宋" w:eastAsia="仿宋" w:cs="仿宋"/>
                <w:sz w:val="24"/>
                <w:szCs w:val="28"/>
              </w:rPr>
              <w:t>合计</w:t>
            </w:r>
          </w:p>
        </w:tc>
        <w:tc>
          <w:tcPr>
            <w:tcW w:w="8007" w:type="dxa"/>
            <w:gridSpan w:val="7"/>
          </w:tcPr>
          <w:p w14:paraId="66B3F112">
            <w:pPr>
              <w:spacing w:line="360" w:lineRule="auto"/>
              <w:rPr>
                <w:rFonts w:hint="eastAsia" w:ascii="仿宋" w:hAnsi="仿宋" w:eastAsia="仿宋" w:cs="仿宋"/>
                <w:sz w:val="24"/>
                <w:szCs w:val="28"/>
              </w:rPr>
            </w:pPr>
            <w:r>
              <w:rPr>
                <w:rFonts w:hint="eastAsia" w:ascii="仿宋" w:hAnsi="仿宋" w:eastAsia="仿宋" w:cs="仿宋"/>
                <w:sz w:val="24"/>
                <w:szCs w:val="28"/>
              </w:rPr>
              <w:t>大写：                              小写：</w:t>
            </w:r>
          </w:p>
        </w:tc>
      </w:tr>
    </w:tbl>
    <w:p w14:paraId="5D6CF31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三、设备质量要求及供方对质量负责的条件和期限</w:t>
      </w:r>
    </w:p>
    <w:p w14:paraId="6667659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1、供方提供的货物须是全新的且保证不是库存或积压品（包括零部件），符合国家、部委或地方相关标准以及该产品的出厂标准。</w:t>
      </w:r>
    </w:p>
    <w:p w14:paraId="376D9B81">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2、供方应在产品使用期限内，承担所提供的货物因自身质量原因产生的责任。</w:t>
      </w:r>
    </w:p>
    <w:p w14:paraId="3DB8684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四、交货时间、地点、方式：     年  月  日前，供方负责将货物按需方规定的地点交货、安装、调试完毕，并具备验收条件。</w:t>
      </w:r>
    </w:p>
    <w:p w14:paraId="0473127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五、货物标志、包装、运输：按招标文件办理。供方将货物直接运至规定的地点，运费自理。</w:t>
      </w:r>
    </w:p>
    <w:p w14:paraId="7A6A8F34">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六、技术资料及技术服务：供方在交货时应执行招标文件中有关技术资料、技术服务的规定，向需方交付技术资料并进行技术培训。</w:t>
      </w:r>
    </w:p>
    <w:p w14:paraId="7005D9F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七、货物验收：验收标准按招标文件规定执行。需方有权对供方所交货物抽样做试运行实验、实验室检查。</w:t>
      </w:r>
    </w:p>
    <w:p w14:paraId="152B5D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八、售后服务：按招标文件及投标文件相应条款执行。</w:t>
      </w:r>
    </w:p>
    <w:p w14:paraId="64DF1CD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九、结算方式：设备到货、安装调试经验收合格后   年  月  日前付总价的    %，一年后无质量问题无息支付剩余3%。</w:t>
      </w:r>
    </w:p>
    <w:p w14:paraId="0D4745E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十、法律责任</w:t>
      </w:r>
    </w:p>
    <w:p w14:paraId="4BBD063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70F987EE">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527B74CB">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3、供方在本合同规定的交货期内不能交货，应向需方支付全部合同金额5‰的违约金，需方有权终止合同。</w:t>
      </w:r>
    </w:p>
    <w:p w14:paraId="393BB7BD">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4、需方无正当理由拒收设备，应向供方支付无正当理由拒收设备金额5‰的违约金。</w:t>
      </w:r>
    </w:p>
    <w:p w14:paraId="4C9FBC9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5、因供方原因造成逾期付款，需方不承担责任。</w:t>
      </w:r>
    </w:p>
    <w:p w14:paraId="032A3AF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十一、质量鉴定：因质量问题发生争议，由襄城县技术监督局或其指定的机构进行质量鉴定，该鉴定结论是终局的，供需双方均应当接受鉴定结论。</w:t>
      </w:r>
    </w:p>
    <w:p w14:paraId="6E2A23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十二、合同生效及其它：本合同经双方法定代表人或委托代理人签字并加盖公章后生效。本合同一式五份，供需双方各一份、招标人三份。</w:t>
      </w:r>
    </w:p>
    <w:p w14:paraId="1EECA533">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供方：（公章）</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需方：（公章）</w:t>
      </w:r>
    </w:p>
    <w:p w14:paraId="7C7234A9">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法定代表人（授权代表）：               法定代表人（授权代表）：</w:t>
      </w:r>
    </w:p>
    <w:p w14:paraId="1750AAA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地址：</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地址：</w:t>
      </w:r>
    </w:p>
    <w:p w14:paraId="204D693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电话：                                电话：</w:t>
      </w:r>
    </w:p>
    <w:p w14:paraId="1D92D65D">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签订时间：                            签定时间：</w:t>
      </w:r>
    </w:p>
    <w:p w14:paraId="2C0528B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211E5641">
      <w:pPr>
        <w:rPr>
          <w:rFonts w:ascii="宋体" w:hAnsi="宋体" w:cs="仿宋_GB2312"/>
          <w:sz w:val="24"/>
          <w:szCs w:val="24"/>
          <w:lang w:val="zh-CN"/>
        </w:rPr>
      </w:pPr>
    </w:p>
    <w:p w14:paraId="0C7D6677">
      <w:pPr>
        <w:pStyle w:val="15"/>
        <w:rPr>
          <w:rFonts w:ascii="宋体" w:hAnsi="宋体" w:cs="仿宋_GB2312"/>
          <w:sz w:val="24"/>
          <w:szCs w:val="24"/>
          <w:lang w:val="zh-CN"/>
        </w:rPr>
      </w:pPr>
    </w:p>
    <w:p w14:paraId="41A2B55B">
      <w:pPr>
        <w:rPr>
          <w:rFonts w:ascii="宋体" w:hAnsi="宋体" w:cs="仿宋_GB2312"/>
          <w:sz w:val="24"/>
          <w:szCs w:val="24"/>
          <w:lang w:val="zh-CN"/>
        </w:rPr>
      </w:pPr>
    </w:p>
    <w:p w14:paraId="1ED92D38">
      <w:pPr>
        <w:pStyle w:val="15"/>
        <w:rPr>
          <w:rFonts w:ascii="宋体" w:hAnsi="宋体" w:cs="仿宋_GB2312"/>
          <w:sz w:val="24"/>
          <w:szCs w:val="24"/>
          <w:lang w:val="zh-CN"/>
        </w:rPr>
      </w:pPr>
    </w:p>
    <w:p w14:paraId="5D451FB8">
      <w:pPr>
        <w:rPr>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18" w:name="_Toc174185203"/>
      <w:bookmarkStart w:id="19" w:name="_Toc186274126"/>
      <w:bookmarkStart w:id="20" w:name="_Toc184023138"/>
    </w:p>
    <w:p w14:paraId="628ED112">
      <w:pPr>
        <w:autoSpaceDE w:val="0"/>
        <w:autoSpaceDN w:val="0"/>
        <w:adjustRightInd w:val="0"/>
        <w:spacing w:line="360" w:lineRule="auto"/>
        <w:jc w:val="center"/>
        <w:rPr>
          <w:rStyle w:val="27"/>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15"/>
        <w:ind w:firstLine="340"/>
      </w:pPr>
    </w:p>
    <w:p w14:paraId="473BD002">
      <w:pPr>
        <w:pStyle w:val="16"/>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18"/>
      <w:bookmarkEnd w:id="19"/>
      <w:bookmarkEnd w:id="20"/>
    </w:p>
    <w:p w14:paraId="35AA9E65">
      <w:pPr>
        <w:spacing w:line="360" w:lineRule="auto"/>
        <w:jc w:val="center"/>
        <w:rPr>
          <w:rFonts w:hint="eastAsia" w:ascii="宋体" w:hAnsi="宋体" w:cs="微软雅黑"/>
          <w:sz w:val="28"/>
          <w:szCs w:val="28"/>
        </w:rPr>
      </w:pPr>
    </w:p>
    <w:p w14:paraId="3E765BF8">
      <w:pPr>
        <w:pStyle w:val="28"/>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318"/>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ascii="宋体" w:hAnsi="宋体" w:cs="宋体"/>
                <w:sz w:val="24"/>
                <w:szCs w:val="24"/>
              </w:rPr>
            </w:pPr>
            <w:r>
              <w:rPr>
                <w:rFonts w:hint="eastAsia" w:ascii="宋体" w:hAnsi="宋体" w:cs="宋体"/>
                <w:sz w:val="24"/>
                <w:szCs w:val="24"/>
              </w:rPr>
              <w:t>22</w:t>
            </w:r>
          </w:p>
        </w:tc>
        <w:tc>
          <w:tcPr>
            <w:tcW w:w="4318" w:type="dxa"/>
            <w:noWrap/>
            <w:vAlign w:val="center"/>
          </w:tcPr>
          <w:p w14:paraId="42239BDE">
            <w:pPr>
              <w:rPr>
                <w:rFonts w:ascii="宋体" w:hAnsi="宋体" w:cs="宋体"/>
                <w:sz w:val="24"/>
                <w:szCs w:val="24"/>
              </w:rPr>
            </w:pPr>
            <w:r>
              <w:rPr>
                <w:rFonts w:hint="eastAsia" w:ascii="宋体" w:hAnsi="宋体" w:cs="宋体"/>
                <w:sz w:val="24"/>
                <w:szCs w:val="24"/>
                <w:lang w:val="en-US" w:eastAsia="zh-CN"/>
              </w:rPr>
              <w:t>关于符合本国产品标准的声明函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ascii="宋体" w:hAnsi="宋体" w:cs="宋体"/>
                <w:sz w:val="24"/>
                <w:szCs w:val="24"/>
              </w:rPr>
            </w:pPr>
            <w:r>
              <w:rPr>
                <w:rFonts w:hint="eastAsia" w:ascii="宋体" w:hAnsi="宋体" w:cs="宋体"/>
                <w:sz w:val="24"/>
                <w:szCs w:val="24"/>
              </w:rPr>
              <w:t>23</w:t>
            </w:r>
          </w:p>
        </w:tc>
        <w:tc>
          <w:tcPr>
            <w:tcW w:w="4318" w:type="dxa"/>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4318" w:type="dxa"/>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3CE9E2FF">
      <w:pPr>
        <w:pStyle w:val="11"/>
        <w:spacing w:line="360" w:lineRule="auto"/>
        <w:jc w:val="center"/>
        <w:rPr>
          <w:rFonts w:ascii="宋体" w:hAnsi="宋体"/>
          <w:b/>
          <w:snapToGrid w:val="0"/>
          <w:kern w:val="0"/>
          <w:sz w:val="28"/>
          <w:szCs w:val="28"/>
        </w:rPr>
      </w:pPr>
    </w:p>
    <w:p w14:paraId="3DC8D48F">
      <w:pPr>
        <w:pStyle w:val="11"/>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7"/>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大写：　　　　　　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日期：年月日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5778F786">
      <w:pPr>
        <w:pStyle w:val="11"/>
        <w:spacing w:line="360" w:lineRule="auto"/>
        <w:ind w:firstLine="3253" w:firstLineChars="1350"/>
        <w:rPr>
          <w:rFonts w:ascii="宋体" w:hAnsi="宋体"/>
          <w:b/>
          <w:snapToGrid w:val="0"/>
          <w:kern w:val="0"/>
          <w:szCs w:val="24"/>
        </w:rPr>
      </w:pPr>
      <w:r>
        <w:rPr>
          <w:rFonts w:hint="eastAsia" w:ascii="宋体" w:hAnsi="宋体"/>
          <w:b/>
          <w:snapToGrid w:val="0"/>
          <w:kern w:val="0"/>
          <w:szCs w:val="24"/>
        </w:rPr>
        <w:t>3.1 投 标 函</w:t>
      </w:r>
    </w:p>
    <w:p w14:paraId="62C3B43F">
      <w:pPr>
        <w:pStyle w:val="11"/>
        <w:spacing w:line="360" w:lineRule="auto"/>
        <w:jc w:val="center"/>
        <w:rPr>
          <w:rFonts w:ascii="宋体" w:hAnsi="宋体"/>
          <w:b/>
          <w:snapToGrid w:val="0"/>
          <w:kern w:val="0"/>
          <w:sz w:val="28"/>
          <w:szCs w:val="28"/>
        </w:rPr>
      </w:pP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4"/>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9"/>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9"/>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9"/>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9"/>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9"/>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9"/>
        <w:snapToGrid w:val="0"/>
        <w:spacing w:line="360" w:lineRule="auto"/>
        <w:rPr>
          <w:rFonts w:hAnsi="宋体"/>
          <w:sz w:val="22"/>
          <w:szCs w:val="21"/>
        </w:rPr>
      </w:pPr>
    </w:p>
    <w:p w14:paraId="5BE41552">
      <w:pPr>
        <w:pStyle w:val="29"/>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5"/>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09F39B35">
      <w:pPr>
        <w:spacing w:line="360" w:lineRule="auto"/>
        <w:ind w:firstLine="1928" w:firstLineChars="8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7D57447">
      <w:pPr>
        <w:autoSpaceDE w:val="0"/>
        <w:autoSpaceDN w:val="0"/>
        <w:adjustRightInd w:val="0"/>
        <w:spacing w:line="360" w:lineRule="auto"/>
        <w:ind w:firstLine="616" w:firstLineChars="257"/>
        <w:rPr>
          <w:rFonts w:ascii="宋体" w:hAnsi="宋体"/>
          <w:color w:val="000000"/>
          <w:sz w:val="24"/>
          <w:szCs w:val="24"/>
        </w:rPr>
      </w:pPr>
    </w:p>
    <w:p w14:paraId="333FB41A">
      <w:pPr>
        <w:pStyle w:val="30"/>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30"/>
        <w:ind w:firstLine="472" w:firstLineChars="225"/>
        <w:jc w:val="left"/>
        <w:rPr>
          <w:rFonts w:hAnsi="宋体"/>
          <w:color w:val="000000"/>
          <w:sz w:val="21"/>
          <w:szCs w:val="21"/>
        </w:rPr>
      </w:pPr>
      <w:r>
        <w:rPr>
          <w:rFonts w:hint="eastAsia" w:hAnsi="宋体"/>
          <w:color w:val="000000"/>
          <w:sz w:val="21"/>
          <w:szCs w:val="21"/>
        </w:rPr>
        <w:t>地址：</w:t>
      </w:r>
    </w:p>
    <w:p w14:paraId="000663EF">
      <w:pPr>
        <w:pStyle w:val="30"/>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30"/>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30"/>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30"/>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30"/>
        <w:ind w:firstLine="472" w:firstLineChars="225"/>
        <w:jc w:val="left"/>
        <w:rPr>
          <w:rFonts w:hAnsi="宋体"/>
          <w:color w:val="000000"/>
          <w:sz w:val="21"/>
          <w:szCs w:val="21"/>
        </w:rPr>
      </w:pPr>
    </w:p>
    <w:p w14:paraId="2500D14A">
      <w:pPr>
        <w:pStyle w:val="30"/>
        <w:ind w:firstLine="472" w:firstLineChars="225"/>
        <w:jc w:val="left"/>
        <w:rPr>
          <w:rFonts w:hAnsi="宋体"/>
          <w:color w:val="000000"/>
          <w:sz w:val="21"/>
          <w:szCs w:val="21"/>
        </w:rPr>
      </w:pPr>
    </w:p>
    <w:p w14:paraId="0DA20243">
      <w:pPr>
        <w:pStyle w:val="30"/>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30"/>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31"/>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  日</w:t>
      </w:r>
    </w:p>
    <w:p w14:paraId="29577DA0">
      <w:pPr>
        <w:pStyle w:val="32"/>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15"/>
        <w:spacing w:line="360" w:lineRule="auto"/>
        <w:ind w:firstLine="340"/>
      </w:pPr>
    </w:p>
    <w:p w14:paraId="3E64DC69">
      <w:pPr>
        <w:pStyle w:val="16"/>
        <w:ind w:firstLine="480"/>
      </w:pPr>
    </w:p>
    <w:p w14:paraId="666F7550">
      <w:pPr>
        <w:spacing w:line="360" w:lineRule="auto"/>
        <w:ind w:firstLine="1687" w:firstLineChars="7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38E2152E">
      <w:pPr>
        <w:spacing w:line="360" w:lineRule="auto"/>
        <w:jc w:val="center"/>
        <w:rPr>
          <w:rFonts w:ascii="宋体" w:hAnsi="宋体"/>
          <w:b/>
          <w:bCs/>
          <w:color w:val="000000"/>
          <w:sz w:val="36"/>
          <w:szCs w:val="36"/>
        </w:rPr>
      </w:pP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21" w:name="_资格证明文件"/>
            <w:bookmarkEnd w:id="21"/>
            <w:bookmarkStart w:id="22"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22"/>
          </w:p>
        </w:tc>
        <w:tc>
          <w:tcPr>
            <w:tcW w:w="4492" w:type="dxa"/>
            <w:gridSpan w:val="2"/>
            <w:noWrap/>
            <w:vAlign w:val="center"/>
          </w:tcPr>
          <w:p w14:paraId="03ABDDF0">
            <w:pPr>
              <w:spacing w:line="360" w:lineRule="auto"/>
              <w:jc w:val="center"/>
              <w:rPr>
                <w:rFonts w:ascii="宋体" w:hAnsi="宋体"/>
                <w:szCs w:val="21"/>
              </w:rPr>
            </w:pPr>
            <w:bookmarkStart w:id="23"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23"/>
          </w:p>
        </w:tc>
      </w:tr>
    </w:tbl>
    <w:p w14:paraId="61834AB7">
      <w:pPr>
        <w:pStyle w:val="15"/>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15"/>
        <w:spacing w:line="360" w:lineRule="auto"/>
        <w:ind w:firstLine="340"/>
      </w:pPr>
    </w:p>
    <w:p w14:paraId="3DC3486A">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3484B459">
      <w:pPr>
        <w:autoSpaceDE w:val="0"/>
        <w:autoSpaceDN w:val="0"/>
        <w:snapToGrid w:val="0"/>
        <w:spacing w:line="360" w:lineRule="auto"/>
        <w:jc w:val="center"/>
        <w:rPr>
          <w:rFonts w:ascii="宋体" w:hAnsi="宋体"/>
          <w:b/>
          <w:bCs/>
          <w:color w:val="000000"/>
          <w:sz w:val="24"/>
          <w:szCs w:val="24"/>
        </w:rPr>
      </w:pP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年____月日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15"/>
        <w:spacing w:line="360" w:lineRule="auto"/>
        <w:ind w:firstLine="340"/>
        <w:rPr>
          <w:lang w:val="zh-CN"/>
        </w:rPr>
      </w:pPr>
    </w:p>
    <w:p w14:paraId="35A44F24">
      <w:pPr>
        <w:pStyle w:val="16"/>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日期： 年月日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15"/>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15"/>
        <w:spacing w:line="360" w:lineRule="auto"/>
        <w:ind w:firstLine="340"/>
      </w:pPr>
    </w:p>
    <w:p w14:paraId="4D784805">
      <w:pPr>
        <w:pStyle w:val="16"/>
        <w:ind w:firstLine="480"/>
      </w:pPr>
    </w:p>
    <w:p w14:paraId="05F97956">
      <w:pPr>
        <w:spacing w:line="360" w:lineRule="auto"/>
        <w:jc w:val="center"/>
        <w:rPr>
          <w:rFonts w:ascii="宋体" w:hAnsi="宋体"/>
          <w:bCs/>
          <w:color w:val="000000"/>
          <w:sz w:val="24"/>
          <w:szCs w:val="24"/>
        </w:rPr>
      </w:pPr>
    </w:p>
    <w:p w14:paraId="74299412">
      <w:pPr>
        <w:spacing w:line="360" w:lineRule="auto"/>
        <w:jc w:val="center"/>
        <w:rPr>
          <w:rFonts w:ascii="宋体" w:hAnsi="宋体"/>
          <w:b/>
          <w:bCs/>
          <w:color w:val="000000"/>
          <w:sz w:val="24"/>
          <w:szCs w:val="24"/>
        </w:rPr>
      </w:pPr>
      <w:r>
        <w:rPr>
          <w:rFonts w:hint="eastAsia" w:ascii="宋体" w:hAnsi="宋体"/>
          <w:b/>
          <w:bCs/>
          <w:color w:val="000000"/>
          <w:sz w:val="24"/>
          <w:szCs w:val="24"/>
        </w:rPr>
        <w:t>3.8 其他资格证书或材料</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215A6DF7">
      <w:pPr>
        <w:autoSpaceDE w:val="0"/>
        <w:autoSpaceDN w:val="0"/>
        <w:adjustRightInd w:val="0"/>
        <w:spacing w:line="360" w:lineRule="auto"/>
        <w:ind w:firstLine="2249" w:firstLineChars="800"/>
        <w:rPr>
          <w:rFonts w:hint="eastAsia" w:ascii="宋体" w:hAnsi="宋体" w:cs="黑体"/>
          <w:b/>
          <w:bCs/>
          <w:sz w:val="28"/>
          <w:szCs w:val="28"/>
          <w:lang w:val="zh-CN"/>
        </w:rPr>
      </w:pPr>
    </w:p>
    <w:p w14:paraId="5A8B8DB5">
      <w:pPr>
        <w:autoSpaceDE w:val="0"/>
        <w:autoSpaceDN w:val="0"/>
        <w:adjustRightInd w:val="0"/>
        <w:spacing w:line="360" w:lineRule="auto"/>
        <w:ind w:firstLine="2249" w:firstLineChars="800"/>
        <w:jc w:val="both"/>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7"/>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15"/>
        <w:spacing w:line="360" w:lineRule="auto"/>
        <w:ind w:firstLine="340"/>
      </w:pPr>
    </w:p>
    <w:p w14:paraId="4E805483">
      <w:pPr>
        <w:pStyle w:val="16"/>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15"/>
        <w:spacing w:line="360" w:lineRule="auto"/>
        <w:ind w:firstLine="340"/>
      </w:pPr>
    </w:p>
    <w:p w14:paraId="3D4F2497">
      <w:pPr>
        <w:pStyle w:val="16"/>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6"/>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6"/>
              <w:spacing w:line="360" w:lineRule="auto"/>
              <w:rPr>
                <w:rFonts w:ascii="宋体" w:hAnsi="宋体" w:eastAsia="宋体" w:cs="Times New Roman"/>
                <w:sz w:val="21"/>
                <w:szCs w:val="21"/>
              </w:rPr>
            </w:pPr>
          </w:p>
        </w:tc>
        <w:tc>
          <w:tcPr>
            <w:tcW w:w="3579" w:type="dxa"/>
            <w:noWrap/>
            <w:vAlign w:val="center"/>
          </w:tcPr>
          <w:p w14:paraId="3728EFB0">
            <w:pPr>
              <w:pStyle w:val="6"/>
              <w:spacing w:line="360" w:lineRule="auto"/>
              <w:rPr>
                <w:rFonts w:ascii="宋体" w:hAnsi="宋体" w:eastAsia="宋体" w:cs="Times New Roman"/>
                <w:sz w:val="21"/>
                <w:szCs w:val="21"/>
              </w:rPr>
            </w:pPr>
          </w:p>
        </w:tc>
        <w:tc>
          <w:tcPr>
            <w:tcW w:w="1440" w:type="dxa"/>
            <w:noWrap/>
            <w:vAlign w:val="center"/>
          </w:tcPr>
          <w:p w14:paraId="68949478">
            <w:pPr>
              <w:pStyle w:val="6"/>
              <w:spacing w:line="360" w:lineRule="auto"/>
              <w:rPr>
                <w:rFonts w:ascii="宋体" w:hAnsi="宋体" w:eastAsia="宋体" w:cs="Times New Roman"/>
                <w:sz w:val="21"/>
                <w:szCs w:val="21"/>
              </w:rPr>
            </w:pPr>
          </w:p>
        </w:tc>
        <w:tc>
          <w:tcPr>
            <w:tcW w:w="1706" w:type="dxa"/>
            <w:noWrap/>
            <w:vAlign w:val="center"/>
          </w:tcPr>
          <w:p w14:paraId="29A1D46D">
            <w:pPr>
              <w:pStyle w:val="6"/>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6"/>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6"/>
              <w:spacing w:line="360" w:lineRule="auto"/>
              <w:rPr>
                <w:rFonts w:ascii="宋体" w:hAnsi="宋体" w:eastAsia="宋体" w:cs="Times New Roman"/>
                <w:sz w:val="21"/>
                <w:szCs w:val="21"/>
              </w:rPr>
            </w:pPr>
          </w:p>
        </w:tc>
        <w:tc>
          <w:tcPr>
            <w:tcW w:w="3579" w:type="dxa"/>
            <w:noWrap/>
            <w:vAlign w:val="center"/>
          </w:tcPr>
          <w:p w14:paraId="6D14243C">
            <w:pPr>
              <w:pStyle w:val="6"/>
              <w:spacing w:line="360" w:lineRule="auto"/>
              <w:rPr>
                <w:rFonts w:ascii="宋体" w:hAnsi="宋体" w:eastAsia="宋体" w:cs="Times New Roman"/>
                <w:sz w:val="21"/>
                <w:szCs w:val="21"/>
              </w:rPr>
            </w:pPr>
          </w:p>
        </w:tc>
        <w:tc>
          <w:tcPr>
            <w:tcW w:w="1440" w:type="dxa"/>
            <w:noWrap/>
            <w:vAlign w:val="center"/>
          </w:tcPr>
          <w:p w14:paraId="1839376D">
            <w:pPr>
              <w:pStyle w:val="6"/>
              <w:spacing w:line="360" w:lineRule="auto"/>
              <w:rPr>
                <w:rFonts w:ascii="宋体" w:hAnsi="宋体" w:eastAsia="宋体" w:cs="Times New Roman"/>
                <w:sz w:val="21"/>
                <w:szCs w:val="21"/>
              </w:rPr>
            </w:pPr>
          </w:p>
        </w:tc>
        <w:tc>
          <w:tcPr>
            <w:tcW w:w="1706" w:type="dxa"/>
            <w:noWrap/>
            <w:vAlign w:val="center"/>
          </w:tcPr>
          <w:p w14:paraId="1F7B357E">
            <w:pPr>
              <w:pStyle w:val="6"/>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6"/>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6"/>
              <w:spacing w:line="360" w:lineRule="auto"/>
              <w:rPr>
                <w:rFonts w:ascii="宋体" w:hAnsi="宋体" w:eastAsia="宋体" w:cs="Times New Roman"/>
                <w:sz w:val="21"/>
                <w:szCs w:val="21"/>
              </w:rPr>
            </w:pPr>
          </w:p>
        </w:tc>
        <w:tc>
          <w:tcPr>
            <w:tcW w:w="3579" w:type="dxa"/>
            <w:noWrap/>
            <w:vAlign w:val="center"/>
          </w:tcPr>
          <w:p w14:paraId="3668A099">
            <w:pPr>
              <w:pStyle w:val="6"/>
              <w:spacing w:line="360" w:lineRule="auto"/>
              <w:rPr>
                <w:rFonts w:ascii="宋体" w:hAnsi="宋体" w:eastAsia="宋体" w:cs="Times New Roman"/>
                <w:sz w:val="21"/>
                <w:szCs w:val="21"/>
              </w:rPr>
            </w:pPr>
          </w:p>
        </w:tc>
        <w:tc>
          <w:tcPr>
            <w:tcW w:w="1440" w:type="dxa"/>
            <w:noWrap/>
            <w:vAlign w:val="center"/>
          </w:tcPr>
          <w:p w14:paraId="25DAAB07">
            <w:pPr>
              <w:pStyle w:val="6"/>
              <w:spacing w:line="360" w:lineRule="auto"/>
              <w:rPr>
                <w:rFonts w:ascii="宋体" w:hAnsi="宋体" w:eastAsia="宋体" w:cs="Times New Roman"/>
                <w:sz w:val="21"/>
                <w:szCs w:val="21"/>
              </w:rPr>
            </w:pPr>
          </w:p>
        </w:tc>
        <w:tc>
          <w:tcPr>
            <w:tcW w:w="1706" w:type="dxa"/>
            <w:noWrap/>
            <w:vAlign w:val="center"/>
          </w:tcPr>
          <w:p w14:paraId="76657216">
            <w:pPr>
              <w:pStyle w:val="6"/>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6"/>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15"/>
        <w:spacing w:line="360" w:lineRule="auto"/>
        <w:ind w:firstLine="340"/>
      </w:pPr>
    </w:p>
    <w:p w14:paraId="2634A2A7">
      <w:pPr>
        <w:pStyle w:val="16"/>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15"/>
        <w:spacing w:line="360" w:lineRule="auto"/>
        <w:ind w:firstLine="340"/>
      </w:pPr>
    </w:p>
    <w:p w14:paraId="38352FDE">
      <w:pPr>
        <w:pStyle w:val="16"/>
        <w:ind w:firstLine="480"/>
      </w:pPr>
    </w:p>
    <w:p w14:paraId="3A9FA7A1">
      <w:pPr>
        <w:spacing w:line="360" w:lineRule="auto"/>
      </w:pPr>
    </w:p>
    <w:p w14:paraId="47CE9ED3">
      <w:pPr>
        <w:pStyle w:val="15"/>
        <w:spacing w:line="360" w:lineRule="auto"/>
        <w:ind w:firstLine="340"/>
      </w:pPr>
    </w:p>
    <w:p w14:paraId="2CFCE805">
      <w:pPr>
        <w:autoSpaceDE w:val="0"/>
        <w:autoSpaceDN w:val="0"/>
        <w:adjustRightInd w:val="0"/>
        <w:spacing w:line="360" w:lineRule="auto"/>
        <w:jc w:val="center"/>
        <w:rPr>
          <w:rFonts w:ascii="宋体" w:hAnsi="宋体" w:cs="宋体"/>
          <w:szCs w:val="21"/>
          <w:lang w:val="zh-CN"/>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ascii="宋体" w:hAnsi="宋体"/>
          <w:b/>
          <w:bCs/>
          <w:color w:val="000000"/>
          <w:sz w:val="28"/>
          <w:szCs w:val="28"/>
        </w:rPr>
      </w:pP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6"/>
              <w:spacing w:line="360" w:lineRule="auto"/>
              <w:rPr>
                <w:rFonts w:ascii="宋体" w:hAnsi="宋体" w:eastAsia="宋体" w:cs="Times New Roman"/>
                <w:sz w:val="21"/>
                <w:szCs w:val="21"/>
              </w:rPr>
            </w:pPr>
          </w:p>
        </w:tc>
        <w:tc>
          <w:tcPr>
            <w:tcW w:w="1428" w:type="dxa"/>
            <w:noWrap/>
            <w:vAlign w:val="center"/>
          </w:tcPr>
          <w:p w14:paraId="0C916431">
            <w:pPr>
              <w:pStyle w:val="6"/>
              <w:spacing w:line="360" w:lineRule="auto"/>
              <w:rPr>
                <w:rFonts w:ascii="宋体" w:hAnsi="宋体" w:eastAsia="宋体" w:cs="Times New Roman"/>
                <w:sz w:val="21"/>
                <w:szCs w:val="21"/>
              </w:rPr>
            </w:pPr>
          </w:p>
        </w:tc>
        <w:tc>
          <w:tcPr>
            <w:tcW w:w="1166" w:type="dxa"/>
            <w:noWrap/>
          </w:tcPr>
          <w:p w14:paraId="72433EC8">
            <w:pPr>
              <w:pStyle w:val="6"/>
              <w:spacing w:line="360" w:lineRule="auto"/>
              <w:rPr>
                <w:rFonts w:ascii="宋体" w:hAnsi="宋体" w:eastAsia="宋体" w:cs="Times New Roman"/>
                <w:sz w:val="21"/>
                <w:szCs w:val="21"/>
              </w:rPr>
            </w:pPr>
          </w:p>
        </w:tc>
        <w:tc>
          <w:tcPr>
            <w:tcW w:w="1550" w:type="dxa"/>
            <w:noWrap/>
          </w:tcPr>
          <w:p w14:paraId="635E0A60">
            <w:pPr>
              <w:pStyle w:val="6"/>
              <w:spacing w:line="360" w:lineRule="auto"/>
              <w:rPr>
                <w:rFonts w:ascii="宋体" w:hAnsi="宋体" w:eastAsia="宋体" w:cs="Times New Roman"/>
                <w:sz w:val="21"/>
                <w:szCs w:val="21"/>
              </w:rPr>
            </w:pPr>
          </w:p>
        </w:tc>
        <w:tc>
          <w:tcPr>
            <w:tcW w:w="1505" w:type="dxa"/>
            <w:noWrap/>
          </w:tcPr>
          <w:p w14:paraId="6303409A">
            <w:pPr>
              <w:pStyle w:val="6"/>
              <w:spacing w:line="360" w:lineRule="auto"/>
              <w:rPr>
                <w:rFonts w:ascii="宋体" w:hAnsi="宋体" w:eastAsia="宋体" w:cs="Times New Roman"/>
                <w:sz w:val="21"/>
                <w:szCs w:val="21"/>
              </w:rPr>
            </w:pPr>
          </w:p>
        </w:tc>
        <w:tc>
          <w:tcPr>
            <w:tcW w:w="1333" w:type="dxa"/>
            <w:noWrap/>
          </w:tcPr>
          <w:p w14:paraId="60887D91">
            <w:pPr>
              <w:pStyle w:val="6"/>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6"/>
              <w:spacing w:line="360" w:lineRule="auto"/>
              <w:rPr>
                <w:rFonts w:ascii="宋体" w:hAnsi="宋体" w:eastAsia="宋体" w:cs="Times New Roman"/>
                <w:sz w:val="21"/>
                <w:szCs w:val="21"/>
              </w:rPr>
            </w:pPr>
          </w:p>
        </w:tc>
        <w:tc>
          <w:tcPr>
            <w:tcW w:w="1428" w:type="dxa"/>
            <w:noWrap/>
            <w:vAlign w:val="center"/>
          </w:tcPr>
          <w:p w14:paraId="3E12CDF5">
            <w:pPr>
              <w:pStyle w:val="6"/>
              <w:spacing w:line="360" w:lineRule="auto"/>
              <w:rPr>
                <w:rFonts w:ascii="宋体" w:hAnsi="宋体" w:eastAsia="宋体" w:cs="Times New Roman"/>
                <w:sz w:val="21"/>
                <w:szCs w:val="21"/>
              </w:rPr>
            </w:pPr>
          </w:p>
        </w:tc>
        <w:tc>
          <w:tcPr>
            <w:tcW w:w="1166" w:type="dxa"/>
            <w:noWrap/>
          </w:tcPr>
          <w:p w14:paraId="6001D5F1">
            <w:pPr>
              <w:pStyle w:val="6"/>
              <w:spacing w:line="360" w:lineRule="auto"/>
              <w:rPr>
                <w:rFonts w:ascii="宋体" w:hAnsi="宋体" w:eastAsia="宋体" w:cs="Times New Roman"/>
                <w:sz w:val="21"/>
                <w:szCs w:val="21"/>
              </w:rPr>
            </w:pPr>
          </w:p>
        </w:tc>
        <w:tc>
          <w:tcPr>
            <w:tcW w:w="1550" w:type="dxa"/>
            <w:noWrap/>
          </w:tcPr>
          <w:p w14:paraId="1E2C793D">
            <w:pPr>
              <w:pStyle w:val="6"/>
              <w:spacing w:line="360" w:lineRule="auto"/>
              <w:rPr>
                <w:rFonts w:ascii="宋体" w:hAnsi="宋体" w:eastAsia="宋体" w:cs="Times New Roman"/>
                <w:sz w:val="21"/>
                <w:szCs w:val="21"/>
              </w:rPr>
            </w:pPr>
          </w:p>
        </w:tc>
        <w:tc>
          <w:tcPr>
            <w:tcW w:w="1505" w:type="dxa"/>
            <w:noWrap/>
          </w:tcPr>
          <w:p w14:paraId="3A9ABA17">
            <w:pPr>
              <w:pStyle w:val="6"/>
              <w:spacing w:line="360" w:lineRule="auto"/>
              <w:rPr>
                <w:rFonts w:ascii="宋体" w:hAnsi="宋体" w:eastAsia="宋体" w:cs="Times New Roman"/>
                <w:sz w:val="21"/>
                <w:szCs w:val="21"/>
              </w:rPr>
            </w:pPr>
          </w:p>
        </w:tc>
        <w:tc>
          <w:tcPr>
            <w:tcW w:w="1333" w:type="dxa"/>
            <w:noWrap/>
          </w:tcPr>
          <w:p w14:paraId="333A780D">
            <w:pPr>
              <w:pStyle w:val="6"/>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6"/>
              <w:spacing w:line="360" w:lineRule="auto"/>
              <w:rPr>
                <w:rFonts w:ascii="宋体" w:hAnsi="宋体" w:eastAsia="宋体" w:cs="Times New Roman"/>
                <w:sz w:val="21"/>
                <w:szCs w:val="21"/>
              </w:rPr>
            </w:pPr>
          </w:p>
        </w:tc>
        <w:tc>
          <w:tcPr>
            <w:tcW w:w="1428" w:type="dxa"/>
            <w:noWrap/>
            <w:vAlign w:val="center"/>
          </w:tcPr>
          <w:p w14:paraId="3B6B4D43">
            <w:pPr>
              <w:pStyle w:val="6"/>
              <w:spacing w:line="360" w:lineRule="auto"/>
              <w:rPr>
                <w:rFonts w:ascii="宋体" w:hAnsi="宋体" w:eastAsia="宋体" w:cs="Times New Roman"/>
                <w:sz w:val="21"/>
                <w:szCs w:val="21"/>
              </w:rPr>
            </w:pPr>
          </w:p>
        </w:tc>
        <w:tc>
          <w:tcPr>
            <w:tcW w:w="1166" w:type="dxa"/>
            <w:noWrap/>
          </w:tcPr>
          <w:p w14:paraId="6D7DBFB0">
            <w:pPr>
              <w:pStyle w:val="6"/>
              <w:spacing w:line="360" w:lineRule="auto"/>
              <w:rPr>
                <w:rFonts w:ascii="宋体" w:hAnsi="宋体" w:eastAsia="宋体" w:cs="Times New Roman"/>
                <w:sz w:val="21"/>
                <w:szCs w:val="21"/>
              </w:rPr>
            </w:pPr>
          </w:p>
        </w:tc>
        <w:tc>
          <w:tcPr>
            <w:tcW w:w="1550" w:type="dxa"/>
            <w:noWrap/>
          </w:tcPr>
          <w:p w14:paraId="42EF5786">
            <w:pPr>
              <w:pStyle w:val="6"/>
              <w:spacing w:line="360" w:lineRule="auto"/>
              <w:rPr>
                <w:rFonts w:ascii="宋体" w:hAnsi="宋体" w:eastAsia="宋体" w:cs="Times New Roman"/>
                <w:sz w:val="21"/>
                <w:szCs w:val="21"/>
              </w:rPr>
            </w:pPr>
          </w:p>
        </w:tc>
        <w:tc>
          <w:tcPr>
            <w:tcW w:w="1505" w:type="dxa"/>
            <w:noWrap/>
          </w:tcPr>
          <w:p w14:paraId="6F7BEA9E">
            <w:pPr>
              <w:pStyle w:val="6"/>
              <w:spacing w:line="360" w:lineRule="auto"/>
              <w:rPr>
                <w:rFonts w:ascii="宋体" w:hAnsi="宋体" w:eastAsia="宋体" w:cs="Times New Roman"/>
                <w:sz w:val="21"/>
                <w:szCs w:val="21"/>
              </w:rPr>
            </w:pPr>
          </w:p>
        </w:tc>
        <w:tc>
          <w:tcPr>
            <w:tcW w:w="1333" w:type="dxa"/>
            <w:noWrap/>
          </w:tcPr>
          <w:p w14:paraId="763D523E">
            <w:pPr>
              <w:pStyle w:val="6"/>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15"/>
        <w:spacing w:line="360" w:lineRule="auto"/>
        <w:ind w:firstLine="340"/>
      </w:pPr>
    </w:p>
    <w:p w14:paraId="4E722C77">
      <w:pPr>
        <w:pStyle w:val="16"/>
        <w:ind w:firstLine="480"/>
      </w:pPr>
    </w:p>
    <w:p w14:paraId="2939FC72">
      <w:pPr>
        <w:autoSpaceDE w:val="0"/>
        <w:autoSpaceDN w:val="0"/>
        <w:adjustRightInd w:val="0"/>
        <w:spacing w:line="360" w:lineRule="auto"/>
        <w:jc w:val="center"/>
        <w:outlineLvl w:val="0"/>
        <w:rPr>
          <w:rFonts w:ascii="宋体" w:hAnsi="宋体"/>
          <w:b/>
          <w:bCs/>
          <w:color w:val="000000"/>
          <w:sz w:val="24"/>
          <w:szCs w:val="24"/>
        </w:rPr>
      </w:pPr>
    </w:p>
    <w:p w14:paraId="6D8E36D5">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ascii="宋体" w:hAnsi="宋体"/>
          <w:b/>
          <w:bCs/>
          <w:color w:val="000000"/>
          <w:sz w:val="28"/>
          <w:szCs w:val="28"/>
        </w:rPr>
      </w:pP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6"/>
              <w:spacing w:line="360" w:lineRule="auto"/>
              <w:rPr>
                <w:rFonts w:ascii="宋体" w:hAnsi="宋体" w:eastAsia="宋体" w:cs="Times New Roman"/>
                <w:sz w:val="21"/>
                <w:szCs w:val="21"/>
              </w:rPr>
            </w:pPr>
          </w:p>
        </w:tc>
        <w:tc>
          <w:tcPr>
            <w:tcW w:w="1428" w:type="dxa"/>
            <w:noWrap/>
            <w:vAlign w:val="center"/>
          </w:tcPr>
          <w:p w14:paraId="33AFF375">
            <w:pPr>
              <w:pStyle w:val="6"/>
              <w:spacing w:line="360" w:lineRule="auto"/>
              <w:rPr>
                <w:rFonts w:ascii="宋体" w:hAnsi="宋体" w:eastAsia="宋体" w:cs="Times New Roman"/>
                <w:sz w:val="21"/>
                <w:szCs w:val="21"/>
              </w:rPr>
            </w:pPr>
          </w:p>
        </w:tc>
        <w:tc>
          <w:tcPr>
            <w:tcW w:w="1166" w:type="dxa"/>
            <w:noWrap/>
          </w:tcPr>
          <w:p w14:paraId="7276544E">
            <w:pPr>
              <w:pStyle w:val="6"/>
              <w:spacing w:line="360" w:lineRule="auto"/>
              <w:rPr>
                <w:rFonts w:ascii="宋体" w:hAnsi="宋体" w:eastAsia="宋体" w:cs="Times New Roman"/>
                <w:sz w:val="21"/>
                <w:szCs w:val="21"/>
              </w:rPr>
            </w:pPr>
          </w:p>
        </w:tc>
        <w:tc>
          <w:tcPr>
            <w:tcW w:w="1550" w:type="dxa"/>
            <w:noWrap/>
          </w:tcPr>
          <w:p w14:paraId="5511A764">
            <w:pPr>
              <w:pStyle w:val="6"/>
              <w:spacing w:line="360" w:lineRule="auto"/>
              <w:rPr>
                <w:rFonts w:ascii="宋体" w:hAnsi="宋体" w:eastAsia="宋体" w:cs="Times New Roman"/>
                <w:sz w:val="21"/>
                <w:szCs w:val="21"/>
              </w:rPr>
            </w:pPr>
          </w:p>
        </w:tc>
        <w:tc>
          <w:tcPr>
            <w:tcW w:w="1505" w:type="dxa"/>
            <w:noWrap/>
          </w:tcPr>
          <w:p w14:paraId="6C8B7E44">
            <w:pPr>
              <w:pStyle w:val="6"/>
              <w:spacing w:line="360" w:lineRule="auto"/>
              <w:rPr>
                <w:rFonts w:ascii="宋体" w:hAnsi="宋体" w:eastAsia="宋体" w:cs="Times New Roman"/>
                <w:sz w:val="21"/>
                <w:szCs w:val="21"/>
              </w:rPr>
            </w:pPr>
          </w:p>
        </w:tc>
        <w:tc>
          <w:tcPr>
            <w:tcW w:w="1333" w:type="dxa"/>
            <w:noWrap/>
          </w:tcPr>
          <w:p w14:paraId="36F8E17D">
            <w:pPr>
              <w:pStyle w:val="6"/>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6"/>
              <w:spacing w:line="360" w:lineRule="auto"/>
              <w:rPr>
                <w:rFonts w:ascii="宋体" w:hAnsi="宋体" w:eastAsia="宋体" w:cs="Times New Roman"/>
                <w:sz w:val="21"/>
                <w:szCs w:val="21"/>
              </w:rPr>
            </w:pPr>
          </w:p>
        </w:tc>
        <w:tc>
          <w:tcPr>
            <w:tcW w:w="1428" w:type="dxa"/>
            <w:noWrap/>
            <w:vAlign w:val="center"/>
          </w:tcPr>
          <w:p w14:paraId="3CB8B348">
            <w:pPr>
              <w:pStyle w:val="6"/>
              <w:spacing w:line="360" w:lineRule="auto"/>
              <w:rPr>
                <w:rFonts w:ascii="宋体" w:hAnsi="宋体" w:eastAsia="宋体" w:cs="Times New Roman"/>
                <w:sz w:val="21"/>
                <w:szCs w:val="21"/>
              </w:rPr>
            </w:pPr>
          </w:p>
        </w:tc>
        <w:tc>
          <w:tcPr>
            <w:tcW w:w="1166" w:type="dxa"/>
            <w:noWrap/>
          </w:tcPr>
          <w:p w14:paraId="1A29B341">
            <w:pPr>
              <w:pStyle w:val="6"/>
              <w:spacing w:line="360" w:lineRule="auto"/>
              <w:rPr>
                <w:rFonts w:ascii="宋体" w:hAnsi="宋体" w:eastAsia="宋体" w:cs="Times New Roman"/>
                <w:sz w:val="21"/>
                <w:szCs w:val="21"/>
              </w:rPr>
            </w:pPr>
          </w:p>
        </w:tc>
        <w:tc>
          <w:tcPr>
            <w:tcW w:w="1550" w:type="dxa"/>
            <w:noWrap/>
          </w:tcPr>
          <w:p w14:paraId="6D26FF42">
            <w:pPr>
              <w:pStyle w:val="6"/>
              <w:spacing w:line="360" w:lineRule="auto"/>
              <w:rPr>
                <w:rFonts w:ascii="宋体" w:hAnsi="宋体" w:eastAsia="宋体" w:cs="Times New Roman"/>
                <w:sz w:val="21"/>
                <w:szCs w:val="21"/>
              </w:rPr>
            </w:pPr>
          </w:p>
        </w:tc>
        <w:tc>
          <w:tcPr>
            <w:tcW w:w="1505" w:type="dxa"/>
            <w:noWrap/>
          </w:tcPr>
          <w:p w14:paraId="16A447A5">
            <w:pPr>
              <w:pStyle w:val="6"/>
              <w:spacing w:line="360" w:lineRule="auto"/>
              <w:rPr>
                <w:rFonts w:ascii="宋体" w:hAnsi="宋体" w:eastAsia="宋体" w:cs="Times New Roman"/>
                <w:sz w:val="21"/>
                <w:szCs w:val="21"/>
              </w:rPr>
            </w:pPr>
          </w:p>
        </w:tc>
        <w:tc>
          <w:tcPr>
            <w:tcW w:w="1333" w:type="dxa"/>
            <w:noWrap/>
          </w:tcPr>
          <w:p w14:paraId="55B6780F">
            <w:pPr>
              <w:pStyle w:val="6"/>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6"/>
              <w:spacing w:line="360" w:lineRule="auto"/>
              <w:rPr>
                <w:rFonts w:ascii="宋体" w:hAnsi="宋体" w:eastAsia="宋体" w:cs="Times New Roman"/>
                <w:sz w:val="21"/>
                <w:szCs w:val="21"/>
              </w:rPr>
            </w:pPr>
          </w:p>
        </w:tc>
        <w:tc>
          <w:tcPr>
            <w:tcW w:w="1428" w:type="dxa"/>
            <w:noWrap/>
            <w:vAlign w:val="center"/>
          </w:tcPr>
          <w:p w14:paraId="2156134C">
            <w:pPr>
              <w:pStyle w:val="6"/>
              <w:spacing w:line="360" w:lineRule="auto"/>
              <w:rPr>
                <w:rFonts w:ascii="宋体" w:hAnsi="宋体" w:eastAsia="宋体" w:cs="Times New Roman"/>
                <w:sz w:val="21"/>
                <w:szCs w:val="21"/>
              </w:rPr>
            </w:pPr>
          </w:p>
        </w:tc>
        <w:tc>
          <w:tcPr>
            <w:tcW w:w="1166" w:type="dxa"/>
            <w:noWrap/>
          </w:tcPr>
          <w:p w14:paraId="25E2A745">
            <w:pPr>
              <w:pStyle w:val="6"/>
              <w:spacing w:line="360" w:lineRule="auto"/>
              <w:rPr>
                <w:rFonts w:ascii="宋体" w:hAnsi="宋体" w:eastAsia="宋体" w:cs="Times New Roman"/>
                <w:sz w:val="21"/>
                <w:szCs w:val="21"/>
              </w:rPr>
            </w:pPr>
          </w:p>
        </w:tc>
        <w:tc>
          <w:tcPr>
            <w:tcW w:w="1550" w:type="dxa"/>
            <w:noWrap/>
          </w:tcPr>
          <w:p w14:paraId="27D3A146">
            <w:pPr>
              <w:pStyle w:val="6"/>
              <w:spacing w:line="360" w:lineRule="auto"/>
              <w:rPr>
                <w:rFonts w:ascii="宋体" w:hAnsi="宋体" w:eastAsia="宋体" w:cs="Times New Roman"/>
                <w:sz w:val="21"/>
                <w:szCs w:val="21"/>
              </w:rPr>
            </w:pPr>
          </w:p>
        </w:tc>
        <w:tc>
          <w:tcPr>
            <w:tcW w:w="1505" w:type="dxa"/>
            <w:noWrap/>
          </w:tcPr>
          <w:p w14:paraId="38351327">
            <w:pPr>
              <w:pStyle w:val="6"/>
              <w:spacing w:line="360" w:lineRule="auto"/>
              <w:rPr>
                <w:rFonts w:ascii="宋体" w:hAnsi="宋体" w:eastAsia="宋体" w:cs="Times New Roman"/>
                <w:sz w:val="21"/>
                <w:szCs w:val="21"/>
              </w:rPr>
            </w:pPr>
          </w:p>
        </w:tc>
        <w:tc>
          <w:tcPr>
            <w:tcW w:w="1333" w:type="dxa"/>
            <w:noWrap/>
          </w:tcPr>
          <w:p w14:paraId="352C7B2D">
            <w:pPr>
              <w:pStyle w:val="6"/>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34663967">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ascii="宋体" w:hAnsi="宋体"/>
          <w:b/>
          <w:bCs/>
          <w:color w:val="000000"/>
          <w:sz w:val="28"/>
          <w:szCs w:val="28"/>
        </w:rPr>
      </w:pP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6"/>
              <w:spacing w:line="360" w:lineRule="auto"/>
              <w:rPr>
                <w:rFonts w:ascii="宋体" w:hAnsi="宋体" w:eastAsia="宋体" w:cs="Times New Roman"/>
                <w:sz w:val="21"/>
                <w:szCs w:val="21"/>
              </w:rPr>
            </w:pPr>
          </w:p>
        </w:tc>
        <w:tc>
          <w:tcPr>
            <w:tcW w:w="1428" w:type="dxa"/>
            <w:noWrap/>
            <w:vAlign w:val="center"/>
          </w:tcPr>
          <w:p w14:paraId="0F6FC915">
            <w:pPr>
              <w:pStyle w:val="6"/>
              <w:spacing w:line="360" w:lineRule="auto"/>
              <w:rPr>
                <w:rFonts w:ascii="宋体" w:hAnsi="宋体" w:eastAsia="宋体" w:cs="Times New Roman"/>
                <w:sz w:val="21"/>
                <w:szCs w:val="21"/>
              </w:rPr>
            </w:pPr>
          </w:p>
        </w:tc>
        <w:tc>
          <w:tcPr>
            <w:tcW w:w="1166" w:type="dxa"/>
            <w:noWrap/>
          </w:tcPr>
          <w:p w14:paraId="174A704F">
            <w:pPr>
              <w:pStyle w:val="6"/>
              <w:spacing w:line="360" w:lineRule="auto"/>
              <w:rPr>
                <w:rFonts w:ascii="宋体" w:hAnsi="宋体" w:eastAsia="宋体" w:cs="Times New Roman"/>
                <w:sz w:val="21"/>
                <w:szCs w:val="21"/>
              </w:rPr>
            </w:pPr>
          </w:p>
        </w:tc>
        <w:tc>
          <w:tcPr>
            <w:tcW w:w="1550" w:type="dxa"/>
            <w:noWrap/>
          </w:tcPr>
          <w:p w14:paraId="5A2DCB42">
            <w:pPr>
              <w:pStyle w:val="6"/>
              <w:spacing w:line="360" w:lineRule="auto"/>
              <w:rPr>
                <w:rFonts w:ascii="宋体" w:hAnsi="宋体" w:eastAsia="宋体" w:cs="Times New Roman"/>
                <w:sz w:val="21"/>
                <w:szCs w:val="21"/>
              </w:rPr>
            </w:pPr>
          </w:p>
        </w:tc>
        <w:tc>
          <w:tcPr>
            <w:tcW w:w="1505" w:type="dxa"/>
            <w:noWrap/>
          </w:tcPr>
          <w:p w14:paraId="6365534B">
            <w:pPr>
              <w:pStyle w:val="6"/>
              <w:spacing w:line="360" w:lineRule="auto"/>
              <w:rPr>
                <w:rFonts w:ascii="宋体" w:hAnsi="宋体" w:eastAsia="宋体" w:cs="Times New Roman"/>
                <w:sz w:val="21"/>
                <w:szCs w:val="21"/>
              </w:rPr>
            </w:pPr>
          </w:p>
        </w:tc>
        <w:tc>
          <w:tcPr>
            <w:tcW w:w="1333" w:type="dxa"/>
            <w:noWrap/>
          </w:tcPr>
          <w:p w14:paraId="115C35CA">
            <w:pPr>
              <w:pStyle w:val="6"/>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6"/>
              <w:spacing w:line="360" w:lineRule="auto"/>
              <w:rPr>
                <w:rFonts w:ascii="宋体" w:hAnsi="宋体" w:eastAsia="宋体" w:cs="Times New Roman"/>
                <w:sz w:val="21"/>
                <w:szCs w:val="21"/>
              </w:rPr>
            </w:pPr>
          </w:p>
        </w:tc>
        <w:tc>
          <w:tcPr>
            <w:tcW w:w="1428" w:type="dxa"/>
            <w:noWrap/>
            <w:vAlign w:val="center"/>
          </w:tcPr>
          <w:p w14:paraId="68EE9852">
            <w:pPr>
              <w:pStyle w:val="6"/>
              <w:spacing w:line="360" w:lineRule="auto"/>
              <w:rPr>
                <w:rFonts w:ascii="宋体" w:hAnsi="宋体" w:eastAsia="宋体" w:cs="Times New Roman"/>
                <w:sz w:val="21"/>
                <w:szCs w:val="21"/>
              </w:rPr>
            </w:pPr>
          </w:p>
        </w:tc>
        <w:tc>
          <w:tcPr>
            <w:tcW w:w="1166" w:type="dxa"/>
            <w:noWrap/>
          </w:tcPr>
          <w:p w14:paraId="7BA47BF1">
            <w:pPr>
              <w:pStyle w:val="6"/>
              <w:spacing w:line="360" w:lineRule="auto"/>
              <w:rPr>
                <w:rFonts w:ascii="宋体" w:hAnsi="宋体" w:eastAsia="宋体" w:cs="Times New Roman"/>
                <w:sz w:val="21"/>
                <w:szCs w:val="21"/>
              </w:rPr>
            </w:pPr>
          </w:p>
        </w:tc>
        <w:tc>
          <w:tcPr>
            <w:tcW w:w="1550" w:type="dxa"/>
            <w:noWrap/>
          </w:tcPr>
          <w:p w14:paraId="13CD2848">
            <w:pPr>
              <w:pStyle w:val="6"/>
              <w:spacing w:line="360" w:lineRule="auto"/>
              <w:rPr>
                <w:rFonts w:ascii="宋体" w:hAnsi="宋体" w:eastAsia="宋体" w:cs="Times New Roman"/>
                <w:sz w:val="21"/>
                <w:szCs w:val="21"/>
              </w:rPr>
            </w:pPr>
          </w:p>
        </w:tc>
        <w:tc>
          <w:tcPr>
            <w:tcW w:w="1505" w:type="dxa"/>
            <w:noWrap/>
          </w:tcPr>
          <w:p w14:paraId="16BB640A">
            <w:pPr>
              <w:pStyle w:val="6"/>
              <w:spacing w:line="360" w:lineRule="auto"/>
              <w:rPr>
                <w:rFonts w:ascii="宋体" w:hAnsi="宋体" w:eastAsia="宋体" w:cs="Times New Roman"/>
                <w:sz w:val="21"/>
                <w:szCs w:val="21"/>
              </w:rPr>
            </w:pPr>
          </w:p>
        </w:tc>
        <w:tc>
          <w:tcPr>
            <w:tcW w:w="1333" w:type="dxa"/>
            <w:noWrap/>
          </w:tcPr>
          <w:p w14:paraId="055ACC6B">
            <w:pPr>
              <w:pStyle w:val="6"/>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6"/>
              <w:spacing w:line="360" w:lineRule="auto"/>
              <w:rPr>
                <w:rFonts w:ascii="宋体" w:hAnsi="宋体" w:eastAsia="宋体" w:cs="Times New Roman"/>
                <w:sz w:val="21"/>
                <w:szCs w:val="21"/>
              </w:rPr>
            </w:pPr>
          </w:p>
        </w:tc>
        <w:tc>
          <w:tcPr>
            <w:tcW w:w="1428" w:type="dxa"/>
            <w:noWrap/>
            <w:vAlign w:val="center"/>
          </w:tcPr>
          <w:p w14:paraId="7235CC39">
            <w:pPr>
              <w:pStyle w:val="6"/>
              <w:spacing w:line="360" w:lineRule="auto"/>
              <w:rPr>
                <w:rFonts w:ascii="宋体" w:hAnsi="宋体" w:eastAsia="宋体" w:cs="Times New Roman"/>
                <w:sz w:val="21"/>
                <w:szCs w:val="21"/>
              </w:rPr>
            </w:pPr>
          </w:p>
        </w:tc>
        <w:tc>
          <w:tcPr>
            <w:tcW w:w="1166" w:type="dxa"/>
            <w:noWrap/>
          </w:tcPr>
          <w:p w14:paraId="651361CE">
            <w:pPr>
              <w:pStyle w:val="6"/>
              <w:spacing w:line="360" w:lineRule="auto"/>
              <w:rPr>
                <w:rFonts w:ascii="宋体" w:hAnsi="宋体" w:eastAsia="宋体" w:cs="Times New Roman"/>
                <w:sz w:val="21"/>
                <w:szCs w:val="21"/>
              </w:rPr>
            </w:pPr>
          </w:p>
        </w:tc>
        <w:tc>
          <w:tcPr>
            <w:tcW w:w="1550" w:type="dxa"/>
            <w:noWrap/>
          </w:tcPr>
          <w:p w14:paraId="24B21598">
            <w:pPr>
              <w:pStyle w:val="6"/>
              <w:spacing w:line="360" w:lineRule="auto"/>
              <w:rPr>
                <w:rFonts w:ascii="宋体" w:hAnsi="宋体" w:eastAsia="宋体" w:cs="Times New Roman"/>
                <w:sz w:val="21"/>
                <w:szCs w:val="21"/>
              </w:rPr>
            </w:pPr>
          </w:p>
        </w:tc>
        <w:tc>
          <w:tcPr>
            <w:tcW w:w="1505" w:type="dxa"/>
            <w:noWrap/>
          </w:tcPr>
          <w:p w14:paraId="15E8FE23">
            <w:pPr>
              <w:pStyle w:val="6"/>
              <w:spacing w:line="360" w:lineRule="auto"/>
              <w:rPr>
                <w:rFonts w:ascii="宋体" w:hAnsi="宋体" w:eastAsia="宋体" w:cs="Times New Roman"/>
                <w:sz w:val="21"/>
                <w:szCs w:val="21"/>
              </w:rPr>
            </w:pPr>
          </w:p>
        </w:tc>
        <w:tc>
          <w:tcPr>
            <w:tcW w:w="1333" w:type="dxa"/>
            <w:noWrap/>
          </w:tcPr>
          <w:p w14:paraId="6FB99BA4">
            <w:pPr>
              <w:pStyle w:val="6"/>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58DE73F1">
      <w:pPr>
        <w:autoSpaceDE w:val="0"/>
        <w:autoSpaceDN w:val="0"/>
        <w:adjustRightInd w:val="0"/>
        <w:spacing w:line="360" w:lineRule="auto"/>
        <w:jc w:val="both"/>
        <w:rPr>
          <w:rFonts w:ascii="宋体" w:hAnsi="宋体" w:cs="黑体"/>
          <w:b/>
          <w:bCs/>
          <w:sz w:val="44"/>
          <w:szCs w:val="44"/>
          <w:lang w:val="zh-CN"/>
        </w:rPr>
      </w:pPr>
    </w:p>
    <w:p w14:paraId="72E7CDD1">
      <w:pPr>
        <w:autoSpaceDE w:val="0"/>
        <w:autoSpaceDN w:val="0"/>
        <w:adjustRightInd w:val="0"/>
        <w:spacing w:line="360" w:lineRule="auto"/>
        <w:jc w:val="both"/>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6"/>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04594662">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5E0D7DD8">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p>
    <w:p w14:paraId="11C62DF8">
      <w:pPr>
        <w:autoSpaceDE w:val="0"/>
        <w:autoSpaceDN w:val="0"/>
        <w:adjustRightInd w:val="0"/>
        <w:spacing w:line="360" w:lineRule="auto"/>
        <w:jc w:val="center"/>
        <w:outlineLvl w:val="0"/>
        <w:rPr>
          <w:rFonts w:ascii="宋体" w:hAnsi="宋体" w:eastAsiaTheme="minorEastAsia" w:cstheme="minorBidi"/>
          <w:b/>
          <w:bCs/>
          <w:color w:val="auto"/>
          <w:sz w:val="28"/>
          <w:szCs w:val="28"/>
          <w:highlight w:val="none"/>
        </w:rPr>
      </w:pPr>
      <w:r>
        <w:rPr>
          <w:rFonts w:hint="eastAsia" w:ascii="宋体" w:hAnsi="宋体" w:eastAsiaTheme="minorEastAsia" w:cstheme="minorBidi"/>
          <w:b/>
          <w:bCs/>
          <w:color w:val="auto"/>
          <w:sz w:val="28"/>
          <w:szCs w:val="28"/>
          <w:highlight w:val="none"/>
          <w:lang w:val="en-US" w:eastAsia="zh-CN"/>
        </w:rPr>
        <w:t>4.12 关于符合本国产品标准的声明函</w:t>
      </w:r>
    </w:p>
    <w:p w14:paraId="62F1F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2315A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的中国境内生产的组件成本占比≥（规定比例）3。</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（关键组件）4</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（关键工序）5</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87D3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（规定比例）</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FFB55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p>
    <w:p w14:paraId="08BEF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本公司（单位）对上述声明内容的真实性负责。如有虚假，愿承担相应法律责任。</w:t>
      </w:r>
    </w:p>
    <w:p w14:paraId="04C544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公司（单位）名称（盖章）：　        </w:t>
      </w:r>
    </w:p>
    <w:p w14:paraId="31F74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日期：　     年　  月　  日         </w:t>
      </w:r>
    </w:p>
    <w:p w14:paraId="198BD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p>
    <w:p w14:paraId="4FB60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1.产品如有型号，请在“产品名称”栏一并填写。</w:t>
      </w:r>
    </w:p>
    <w:p w14:paraId="270CF8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2.生产厂名与厂址应与生产厂营业执照载明的相关信息保持一致。</w:t>
      </w:r>
    </w:p>
    <w:p w14:paraId="7CBFF4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3.该产品的中国境内生产的组件成本占比相关要求实施前，“规定比例”栏可不填，下同。</w:t>
      </w:r>
    </w:p>
    <w:p w14:paraId="2E4177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4.该产品的关键组件要求实施前，“关键组件”栏可不填，下同。</w:t>
      </w:r>
    </w:p>
    <w:p w14:paraId="33500488">
      <w:pPr>
        <w:autoSpaceDE w:val="0"/>
        <w:autoSpaceDN w:val="0"/>
        <w:adjustRightInd w:val="0"/>
        <w:spacing w:line="360" w:lineRule="auto"/>
        <w:jc w:val="center"/>
        <w:outlineLvl w:val="0"/>
        <w:rPr>
          <w:rFonts w:ascii="宋体" w:hAnsi="宋体"/>
          <w:b/>
          <w:bCs/>
          <w:color w:val="000000"/>
          <w:szCs w:val="21"/>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5.该产品的关键工序要求实施前，“关键工序”栏可不填，下同。</w:t>
      </w:r>
    </w:p>
    <w:p w14:paraId="5FBC3DD8">
      <w:pPr>
        <w:autoSpaceDE w:val="0"/>
        <w:autoSpaceDN w:val="0"/>
        <w:adjustRightInd w:val="0"/>
        <w:spacing w:line="360" w:lineRule="auto"/>
        <w:ind w:firstLine="2811" w:firstLineChars="1000"/>
        <w:rPr>
          <w:rFonts w:hint="eastAsia" w:ascii="宋体" w:hAnsi="宋体" w:cs="黑体"/>
          <w:b/>
          <w:bCs/>
          <w:sz w:val="28"/>
          <w:szCs w:val="28"/>
          <w:lang w:val="zh-CN"/>
        </w:rPr>
      </w:pPr>
    </w:p>
    <w:p w14:paraId="55C734D1">
      <w:pPr>
        <w:autoSpaceDE w:val="0"/>
        <w:autoSpaceDN w:val="0"/>
        <w:adjustRightInd w:val="0"/>
        <w:spacing w:line="360" w:lineRule="auto"/>
        <w:ind w:firstLine="2811" w:firstLineChars="1000"/>
        <w:rPr>
          <w:rFonts w:hint="eastAsia" w:ascii="宋体" w:hAnsi="宋体" w:cs="黑体"/>
          <w:b/>
          <w:bCs/>
          <w:sz w:val="28"/>
          <w:szCs w:val="28"/>
          <w:lang w:val="zh-CN"/>
        </w:rPr>
      </w:pPr>
    </w:p>
    <w:p w14:paraId="3F464B12">
      <w:pPr>
        <w:autoSpaceDE w:val="0"/>
        <w:autoSpaceDN w:val="0"/>
        <w:adjustRightInd w:val="0"/>
        <w:spacing w:line="360" w:lineRule="auto"/>
        <w:ind w:firstLine="2811" w:firstLineChars="1000"/>
        <w:rPr>
          <w:rFonts w:hint="eastAsia" w:ascii="宋体" w:hAnsi="宋体" w:cs="黑体"/>
          <w:b/>
          <w:bCs/>
          <w:sz w:val="28"/>
          <w:szCs w:val="28"/>
          <w:lang w:val="zh-CN"/>
        </w:rPr>
      </w:pPr>
    </w:p>
    <w:p w14:paraId="343F56E8">
      <w:pPr>
        <w:autoSpaceDE w:val="0"/>
        <w:autoSpaceDN w:val="0"/>
        <w:adjustRightInd w:val="0"/>
        <w:spacing w:line="360" w:lineRule="auto"/>
        <w:ind w:firstLine="2811" w:firstLineChars="1000"/>
        <w:rPr>
          <w:rFonts w:hint="eastAsia" w:ascii="宋体" w:hAnsi="宋体" w:cs="黑体"/>
          <w:b/>
          <w:bCs/>
          <w:sz w:val="28"/>
          <w:szCs w:val="28"/>
          <w:lang w:val="zh-CN"/>
        </w:rPr>
      </w:pPr>
    </w:p>
    <w:p w14:paraId="6EF207BF">
      <w:pPr>
        <w:autoSpaceDE w:val="0"/>
        <w:autoSpaceDN w:val="0"/>
        <w:adjustRightInd w:val="0"/>
        <w:spacing w:line="360" w:lineRule="auto"/>
        <w:ind w:firstLine="2811" w:firstLineChars="1000"/>
        <w:rPr>
          <w:rFonts w:hint="eastAsia" w:ascii="宋体" w:hAnsi="宋体" w:cs="黑体"/>
          <w:b/>
          <w:bCs/>
          <w:sz w:val="28"/>
          <w:szCs w:val="28"/>
          <w:lang w:val="zh-CN"/>
        </w:rPr>
      </w:pPr>
    </w:p>
    <w:p w14:paraId="533F3031">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r>
        <w:rPr>
          <w:rFonts w:hint="eastAsia" w:ascii="宋体" w:hAnsi="宋体" w:eastAsiaTheme="minorEastAsia" w:cstheme="minorBidi"/>
          <w:b/>
          <w:bCs/>
          <w:color w:val="auto"/>
          <w:sz w:val="28"/>
          <w:szCs w:val="28"/>
          <w:highlight w:val="none"/>
          <w:lang w:val="en-US" w:eastAsia="zh-CN"/>
        </w:rPr>
        <w:t>4.13 关于产品成本的声明函</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49"/>
          <w:rFonts w:hint="eastAsia" w:ascii="宋体" w:hAnsi="宋体" w:eastAsia="宋体" w:cs="宋体"/>
          <w:b w:val="0"/>
          <w:bCs w:val="0"/>
          <w:color w:val="auto"/>
          <w:sz w:val="24"/>
          <w:szCs w:val="24"/>
          <w:highlight w:val="none"/>
        </w:rPr>
        <w:t>的</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49"/>
          <w:rFonts w:hint="eastAsia" w:ascii="宋体" w:hAnsi="宋体" w:eastAsia="宋体" w:cs="宋体"/>
          <w:b w:val="0"/>
          <w:bCs w:val="0"/>
          <w:color w:val="auto"/>
          <w:sz w:val="24"/>
          <w:szCs w:val="24"/>
          <w:highlight w:val="none"/>
        </w:rPr>
        <w:t>采购活动，为本项目</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49"/>
          <w:rFonts w:hint="eastAsia" w:ascii="宋体" w:hAnsi="宋体" w:eastAsia="宋体" w:cs="宋体"/>
          <w:b w:val="0"/>
          <w:bCs w:val="0"/>
          <w:color w:val="auto"/>
          <w:sz w:val="24"/>
          <w:szCs w:val="24"/>
          <w:highlight w:val="none"/>
        </w:rPr>
        <w:t>提供的全部产品</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49"/>
          <w:rFonts w:hint="eastAsia" w:ascii="宋体" w:hAnsi="宋体" w:eastAsia="宋体" w:cs="宋体"/>
          <w:b w:val="0"/>
          <w:bCs w:val="0"/>
          <w:color w:val="auto"/>
          <w:sz w:val="24"/>
          <w:szCs w:val="24"/>
          <w:highlight w:val="none"/>
        </w:rPr>
        <w:t>总报价为（大写）：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。其中：符合本国产品标准的产品成本之和为（大写）：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，全部产品成本之和为（大写）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49"/>
          <w:rFonts w:hint="eastAsia" w:ascii="宋体" w:hAnsi="宋体" w:eastAsia="宋体" w:cs="宋体"/>
          <w:b w:val="0"/>
          <w:bCs w:val="0"/>
          <w:color w:val="auto"/>
          <w:sz w:val="24"/>
          <w:szCs w:val="24"/>
          <w:highlight w:val="none"/>
        </w:rPr>
        <w:t>。符合本国产品标准的产品成本之和占全部产品成本之和的比例为</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49"/>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日期：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年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月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784128F0">
      <w:pPr>
        <w:autoSpaceDE w:val="0"/>
        <w:autoSpaceDN w:val="0"/>
        <w:adjustRightInd w:val="0"/>
        <w:spacing w:line="360" w:lineRule="auto"/>
        <w:ind w:firstLine="2811" w:firstLineChars="1000"/>
        <w:rPr>
          <w:rFonts w:hint="eastAsia" w:ascii="宋体" w:hAnsi="宋体" w:cs="黑体"/>
          <w:b/>
          <w:bCs/>
          <w:sz w:val="28"/>
          <w:szCs w:val="28"/>
          <w:lang w:val="zh-CN"/>
        </w:rPr>
      </w:pPr>
    </w:p>
    <w:p w14:paraId="7E3DC051">
      <w:pPr>
        <w:autoSpaceDE w:val="0"/>
        <w:autoSpaceDN w:val="0"/>
        <w:adjustRightInd w:val="0"/>
        <w:spacing w:line="360" w:lineRule="auto"/>
        <w:ind w:firstLine="2811" w:firstLineChars="1000"/>
        <w:rPr>
          <w:rFonts w:hint="eastAsia" w:ascii="宋体" w:hAnsi="宋体" w:cs="黑体"/>
          <w:b/>
          <w:bCs/>
          <w:sz w:val="28"/>
          <w:szCs w:val="28"/>
          <w:lang w:val="zh-CN"/>
        </w:rPr>
      </w:pPr>
    </w:p>
    <w:p w14:paraId="5E3EB5A5">
      <w:pPr>
        <w:autoSpaceDE w:val="0"/>
        <w:autoSpaceDN w:val="0"/>
        <w:adjustRightInd w:val="0"/>
        <w:spacing w:line="360" w:lineRule="auto"/>
        <w:ind w:firstLine="2811" w:firstLineChars="1000"/>
        <w:rPr>
          <w:rFonts w:hint="eastAsia" w:ascii="宋体" w:hAnsi="宋体" w:cs="黑体"/>
          <w:b/>
          <w:bCs/>
          <w:sz w:val="28"/>
          <w:szCs w:val="28"/>
          <w:lang w:val="zh-CN"/>
        </w:rPr>
      </w:pPr>
    </w:p>
    <w:p w14:paraId="2FBC2FE7">
      <w:pPr>
        <w:autoSpaceDE w:val="0"/>
        <w:autoSpaceDN w:val="0"/>
        <w:adjustRightInd w:val="0"/>
        <w:spacing w:line="360" w:lineRule="auto"/>
        <w:ind w:firstLine="2811" w:firstLineChars="1000"/>
        <w:rPr>
          <w:rFonts w:hint="eastAsia" w:ascii="宋体" w:hAnsi="宋体" w:cs="黑体"/>
          <w:b/>
          <w:bCs/>
          <w:sz w:val="28"/>
          <w:szCs w:val="28"/>
          <w:lang w:val="zh-CN"/>
        </w:rPr>
      </w:pPr>
    </w:p>
    <w:p w14:paraId="5BDA03A1">
      <w:pPr>
        <w:autoSpaceDE w:val="0"/>
        <w:autoSpaceDN w:val="0"/>
        <w:adjustRightInd w:val="0"/>
        <w:spacing w:line="360" w:lineRule="auto"/>
        <w:ind w:firstLine="2811" w:firstLineChars="1000"/>
        <w:rPr>
          <w:rFonts w:hint="eastAsia" w:ascii="宋体" w:hAnsi="宋体" w:cs="黑体"/>
          <w:b/>
          <w:bCs/>
          <w:sz w:val="28"/>
          <w:szCs w:val="28"/>
          <w:lang w:val="zh-CN"/>
        </w:rPr>
      </w:pPr>
    </w:p>
    <w:p w14:paraId="2350DB97">
      <w:pPr>
        <w:autoSpaceDE w:val="0"/>
        <w:autoSpaceDN w:val="0"/>
        <w:adjustRightInd w:val="0"/>
        <w:spacing w:line="360" w:lineRule="auto"/>
        <w:ind w:firstLine="2811" w:firstLineChars="1000"/>
        <w:rPr>
          <w:rFonts w:hint="eastAsia" w:ascii="宋体" w:hAnsi="宋体" w:cs="黑体"/>
          <w:b/>
          <w:bCs/>
          <w:sz w:val="28"/>
          <w:szCs w:val="28"/>
          <w:lang w:val="zh-CN"/>
        </w:rPr>
      </w:pPr>
    </w:p>
    <w:p w14:paraId="64D5F352">
      <w:pPr>
        <w:autoSpaceDE w:val="0"/>
        <w:autoSpaceDN w:val="0"/>
        <w:adjustRightInd w:val="0"/>
        <w:spacing w:line="360" w:lineRule="auto"/>
        <w:ind w:firstLine="2811" w:firstLineChars="1000"/>
        <w:rPr>
          <w:rFonts w:hint="eastAsia" w:ascii="宋体" w:hAnsi="宋体" w:cs="黑体"/>
          <w:b/>
          <w:bCs/>
          <w:sz w:val="28"/>
          <w:szCs w:val="28"/>
          <w:lang w:val="zh-CN"/>
        </w:rPr>
      </w:pPr>
    </w:p>
    <w:p w14:paraId="75352E90">
      <w:pPr>
        <w:autoSpaceDE w:val="0"/>
        <w:autoSpaceDN w:val="0"/>
        <w:adjustRightInd w:val="0"/>
        <w:spacing w:line="360" w:lineRule="auto"/>
        <w:ind w:firstLine="2811" w:firstLineChars="1000"/>
        <w:rPr>
          <w:rFonts w:hint="eastAsia" w:ascii="宋体" w:hAnsi="宋体" w:cs="黑体"/>
          <w:b/>
          <w:bCs/>
          <w:sz w:val="28"/>
          <w:szCs w:val="28"/>
          <w:lang w:val="zh-CN"/>
        </w:rPr>
      </w:pPr>
    </w:p>
    <w:p w14:paraId="667D08EF">
      <w:pPr>
        <w:autoSpaceDE w:val="0"/>
        <w:autoSpaceDN w:val="0"/>
        <w:adjustRightInd w:val="0"/>
        <w:spacing w:line="360" w:lineRule="auto"/>
        <w:ind w:firstLine="2811" w:firstLineChars="1000"/>
        <w:rPr>
          <w:rFonts w:hint="eastAsia" w:ascii="宋体" w:hAnsi="宋体" w:cs="黑体"/>
          <w:b/>
          <w:bCs/>
          <w:sz w:val="28"/>
          <w:szCs w:val="28"/>
          <w:lang w:val="zh-CN"/>
        </w:rPr>
      </w:pPr>
    </w:p>
    <w:p w14:paraId="3CA22E9F">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CB8A6A9">
      <w:pPr>
        <w:spacing w:line="360" w:lineRule="auto"/>
      </w:pPr>
    </w:p>
    <w:p w14:paraId="5F47DB66">
      <w:pPr>
        <w:spacing w:line="360" w:lineRule="auto"/>
      </w:pPr>
    </w:p>
    <w:p w14:paraId="5C7C6195">
      <w:pPr>
        <w:spacing w:line="360" w:lineRule="auto"/>
      </w:pP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p>
    <w:p w14:paraId="199CDF45">
      <w:pPr>
        <w:pStyle w:val="28"/>
        <w:numPr>
          <w:ilvl w:val="0"/>
          <w:numId w:val="0"/>
        </w:numPr>
        <w:tabs>
          <w:tab w:val="left" w:pos="660"/>
        </w:tabs>
        <w:snapToGrid w:val="0"/>
        <w:spacing w:before="0" w:line="360" w:lineRule="auto"/>
      </w:pPr>
    </w:p>
    <w:p w14:paraId="157C8FD3"/>
    <w:p w14:paraId="70622510"/>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宋体"/>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14:paraId="2A8BA86C">
                <w:pPr>
                  <w:pStyle w:val="12"/>
                </w:pPr>
                <w:r>
                  <w:fldChar w:fldCharType="begin"/>
                </w:r>
                <w:r>
                  <w:instrText xml:space="preserve"> PAGE  \* MERGEFORMAT </w:instrText>
                </w:r>
                <w:r>
                  <w:fldChar w:fldCharType="separate"/>
                </w:r>
                <w:r>
                  <w:t>79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B08B">
    <w:pPr>
      <w:pStyle w:val="12"/>
      <w:tabs>
        <w:tab w:val="center" w:pos="6979"/>
        <w:tab w:val="clear" w:pos="4153"/>
      </w:tabs>
      <w:rPr>
        <w:rFonts w:hint="eastAsia" w:eastAsia="宋体"/>
        <w:lang w:val="en-US" w:eastAsia="zh-CN"/>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7DDE6C">
                <w:pPr>
                  <w:pStyle w:val="12"/>
                </w:pPr>
                <w:r>
                  <w:fldChar w:fldCharType="begin"/>
                </w:r>
                <w:r>
                  <w:instrText xml:space="preserve"> PAGE  \* MERGEFORMAT </w:instrText>
                </w:r>
                <w:r>
                  <w:fldChar w:fldCharType="separate"/>
                </w:r>
                <w:r>
                  <w:t>79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C1EC">
    <w:pPr>
      <w:pStyle w:val="12"/>
      <w:tabs>
        <w:tab w:val="center" w:pos="6979"/>
        <w:tab w:val="clear" w:pos="4153"/>
      </w:tabs>
      <w:rPr>
        <w:rFonts w:hint="eastAsia" w:eastAsia="宋体"/>
        <w:lang w:val="en-US" w:eastAsia="zh-CN"/>
      </w:rP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0AC8C84">
                <w:pPr>
                  <w:pStyle w:val="12"/>
                </w:pPr>
                <w:r>
                  <w:fldChar w:fldCharType="begin"/>
                </w:r>
                <w:r>
                  <w:instrText xml:space="preserve"> PAGE  \* MERGEFORMAT </w:instrText>
                </w:r>
                <w:r>
                  <w:fldChar w:fldCharType="separate"/>
                </w:r>
                <w:r>
                  <w:t>79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439D1"/>
    <w:multiLevelType w:val="singleLevel"/>
    <w:tmpl w:val="B2E439D1"/>
    <w:lvl w:ilvl="0" w:tentative="0">
      <w:start w:val="1"/>
      <w:numFmt w:val="decimal"/>
      <w:suff w:val="nothing"/>
      <w:lvlText w:val="%1、"/>
      <w:lvlJc w:val="left"/>
    </w:lvl>
  </w:abstractNum>
  <w:abstractNum w:abstractNumId="1">
    <w:nsid w:val="CB905F4C"/>
    <w:multiLevelType w:val="singleLevel"/>
    <w:tmpl w:val="CB905F4C"/>
    <w:lvl w:ilvl="0" w:tentative="0">
      <w:start w:val="2"/>
      <w:numFmt w:val="chineseCounting"/>
      <w:suff w:val="nothing"/>
      <w:lvlText w:val="%1、"/>
      <w:lvlJc w:val="left"/>
      <w:rPr>
        <w:rFonts w:hint="eastAsia"/>
      </w:rPr>
    </w:lvl>
  </w:abstractNum>
  <w:abstractNum w:abstractNumId="2">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28FDC1B9"/>
    <w:multiLevelType w:val="singleLevel"/>
    <w:tmpl w:val="28FDC1B9"/>
    <w:lvl w:ilvl="0" w:tentative="0">
      <w:start w:val="3"/>
      <w:numFmt w:val="decimal"/>
      <w:suff w:val="nothing"/>
      <w:lvlText w:val="%1、"/>
      <w:lvlJc w:val="left"/>
    </w:lvl>
  </w:abstractNum>
  <w:abstractNum w:abstractNumId="4">
    <w:nsid w:val="59F817E8"/>
    <w:multiLevelType w:val="singleLevel"/>
    <w:tmpl w:val="59F817E8"/>
    <w:lvl w:ilvl="0" w:tentative="0">
      <w:start w:val="1"/>
      <w:numFmt w:val="chineseCounting"/>
      <w:pStyle w:val="28"/>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hMTM0ODQ4MjYwMzEwMWE4ZmNlNGY5YWM3ZTE4MjEifQ=="/>
    <w:docVar w:name="KSO_WPS_MARK_KEY" w:val="c3955a34-6bc5-4171-a7c8-f6be104383a6"/>
  </w:docVars>
  <w:rsids>
    <w:rsidRoot w:val="00941CB2"/>
    <w:rsid w:val="00094792"/>
    <w:rsid w:val="00123AAC"/>
    <w:rsid w:val="001416BD"/>
    <w:rsid w:val="00500138"/>
    <w:rsid w:val="00545050"/>
    <w:rsid w:val="007007DA"/>
    <w:rsid w:val="007756C4"/>
    <w:rsid w:val="00861F3D"/>
    <w:rsid w:val="00941CB2"/>
    <w:rsid w:val="00EA233A"/>
    <w:rsid w:val="00F734B3"/>
    <w:rsid w:val="011E3D92"/>
    <w:rsid w:val="01347A59"/>
    <w:rsid w:val="01850E01"/>
    <w:rsid w:val="019127B6"/>
    <w:rsid w:val="01BA6371"/>
    <w:rsid w:val="02C24BF1"/>
    <w:rsid w:val="02E66B31"/>
    <w:rsid w:val="038D7BEF"/>
    <w:rsid w:val="03AA7B5F"/>
    <w:rsid w:val="03C055D4"/>
    <w:rsid w:val="03F60FF6"/>
    <w:rsid w:val="04891E6A"/>
    <w:rsid w:val="04EC30BE"/>
    <w:rsid w:val="04EF04C7"/>
    <w:rsid w:val="05047743"/>
    <w:rsid w:val="05121E5F"/>
    <w:rsid w:val="05557F9E"/>
    <w:rsid w:val="06293905"/>
    <w:rsid w:val="065A3ABE"/>
    <w:rsid w:val="06F7755F"/>
    <w:rsid w:val="070D0B30"/>
    <w:rsid w:val="072A7934"/>
    <w:rsid w:val="07807554"/>
    <w:rsid w:val="079254DA"/>
    <w:rsid w:val="0869623A"/>
    <w:rsid w:val="08931509"/>
    <w:rsid w:val="08DC0EA8"/>
    <w:rsid w:val="09D5504C"/>
    <w:rsid w:val="09E55D95"/>
    <w:rsid w:val="09EA5159"/>
    <w:rsid w:val="0A014464"/>
    <w:rsid w:val="0A0B7FA2"/>
    <w:rsid w:val="0A3463D4"/>
    <w:rsid w:val="0ADD2F10"/>
    <w:rsid w:val="0BBE064B"/>
    <w:rsid w:val="0C2030B4"/>
    <w:rsid w:val="0CA05FA3"/>
    <w:rsid w:val="0CE70769"/>
    <w:rsid w:val="0D1C022A"/>
    <w:rsid w:val="0D42705A"/>
    <w:rsid w:val="0DA449CB"/>
    <w:rsid w:val="0DC64B59"/>
    <w:rsid w:val="0DFE1D29"/>
    <w:rsid w:val="0E220142"/>
    <w:rsid w:val="0E2F7018"/>
    <w:rsid w:val="0E462B7A"/>
    <w:rsid w:val="0EC67240"/>
    <w:rsid w:val="0EC71F0D"/>
    <w:rsid w:val="0EE82D63"/>
    <w:rsid w:val="0F394A0C"/>
    <w:rsid w:val="0F423341"/>
    <w:rsid w:val="0F713C26"/>
    <w:rsid w:val="0F87169C"/>
    <w:rsid w:val="0F972BED"/>
    <w:rsid w:val="0FA507F1"/>
    <w:rsid w:val="0FB13746"/>
    <w:rsid w:val="10142F30"/>
    <w:rsid w:val="10AD0822"/>
    <w:rsid w:val="115518F9"/>
    <w:rsid w:val="12DB277E"/>
    <w:rsid w:val="138959E3"/>
    <w:rsid w:val="13C22CA3"/>
    <w:rsid w:val="13CC58CF"/>
    <w:rsid w:val="142C15A3"/>
    <w:rsid w:val="14706BA3"/>
    <w:rsid w:val="147F49DD"/>
    <w:rsid w:val="14C8253B"/>
    <w:rsid w:val="14E8498B"/>
    <w:rsid w:val="14EC1333"/>
    <w:rsid w:val="15396F94"/>
    <w:rsid w:val="156F03BC"/>
    <w:rsid w:val="15E2203A"/>
    <w:rsid w:val="16297009"/>
    <w:rsid w:val="165A18B8"/>
    <w:rsid w:val="166E0EC0"/>
    <w:rsid w:val="1698174E"/>
    <w:rsid w:val="1699418F"/>
    <w:rsid w:val="16A62200"/>
    <w:rsid w:val="17716EB9"/>
    <w:rsid w:val="178070FD"/>
    <w:rsid w:val="17F65611"/>
    <w:rsid w:val="186E51A7"/>
    <w:rsid w:val="188D7D23"/>
    <w:rsid w:val="18DC65B5"/>
    <w:rsid w:val="18E84F59"/>
    <w:rsid w:val="19960E59"/>
    <w:rsid w:val="19E75211"/>
    <w:rsid w:val="1AD5150D"/>
    <w:rsid w:val="1B972C67"/>
    <w:rsid w:val="1C782A98"/>
    <w:rsid w:val="1CAE2016"/>
    <w:rsid w:val="1CB810E7"/>
    <w:rsid w:val="1CF54E8C"/>
    <w:rsid w:val="1D4E55A7"/>
    <w:rsid w:val="1D777A64"/>
    <w:rsid w:val="1D863A44"/>
    <w:rsid w:val="1DEA1774"/>
    <w:rsid w:val="1DFB128B"/>
    <w:rsid w:val="1E3453D5"/>
    <w:rsid w:val="1E3B5B2B"/>
    <w:rsid w:val="1E4D585F"/>
    <w:rsid w:val="1E9516DF"/>
    <w:rsid w:val="1EBA2EF4"/>
    <w:rsid w:val="1EC73524"/>
    <w:rsid w:val="1F672950"/>
    <w:rsid w:val="1F7F7C9A"/>
    <w:rsid w:val="1FA15E62"/>
    <w:rsid w:val="1FF95C9E"/>
    <w:rsid w:val="202645B9"/>
    <w:rsid w:val="203A004A"/>
    <w:rsid w:val="204D7834"/>
    <w:rsid w:val="207F24EA"/>
    <w:rsid w:val="20C91B14"/>
    <w:rsid w:val="20DF4E94"/>
    <w:rsid w:val="20F87D04"/>
    <w:rsid w:val="210466A8"/>
    <w:rsid w:val="21066251"/>
    <w:rsid w:val="213F5933"/>
    <w:rsid w:val="21BD6D71"/>
    <w:rsid w:val="21E40288"/>
    <w:rsid w:val="224B4D7D"/>
    <w:rsid w:val="22631AF5"/>
    <w:rsid w:val="226338A3"/>
    <w:rsid w:val="22C5455D"/>
    <w:rsid w:val="230B3B0B"/>
    <w:rsid w:val="233B037C"/>
    <w:rsid w:val="23432720"/>
    <w:rsid w:val="235B27CC"/>
    <w:rsid w:val="23627FFE"/>
    <w:rsid w:val="24BB1863"/>
    <w:rsid w:val="24F15196"/>
    <w:rsid w:val="24F37160"/>
    <w:rsid w:val="25076767"/>
    <w:rsid w:val="25830883"/>
    <w:rsid w:val="264B6B28"/>
    <w:rsid w:val="26BC0B4B"/>
    <w:rsid w:val="26F87C27"/>
    <w:rsid w:val="271909A1"/>
    <w:rsid w:val="27B801ED"/>
    <w:rsid w:val="28247630"/>
    <w:rsid w:val="28687E65"/>
    <w:rsid w:val="29E7650C"/>
    <w:rsid w:val="29FF0355"/>
    <w:rsid w:val="2A3F69A3"/>
    <w:rsid w:val="2AC86999"/>
    <w:rsid w:val="2B157704"/>
    <w:rsid w:val="2B253619"/>
    <w:rsid w:val="2B54022C"/>
    <w:rsid w:val="2B593A95"/>
    <w:rsid w:val="2B6D12EE"/>
    <w:rsid w:val="2B6E5792"/>
    <w:rsid w:val="2C352D18"/>
    <w:rsid w:val="2C363DD6"/>
    <w:rsid w:val="2C3B2E9C"/>
    <w:rsid w:val="2C4C35F9"/>
    <w:rsid w:val="2D164817"/>
    <w:rsid w:val="2D613652"/>
    <w:rsid w:val="2E104630"/>
    <w:rsid w:val="2E4E3A1B"/>
    <w:rsid w:val="2EDC1F99"/>
    <w:rsid w:val="2F146650"/>
    <w:rsid w:val="2F1877C3"/>
    <w:rsid w:val="2F8135BA"/>
    <w:rsid w:val="2F972DDE"/>
    <w:rsid w:val="300554A0"/>
    <w:rsid w:val="301F34FF"/>
    <w:rsid w:val="30315F04"/>
    <w:rsid w:val="3086532C"/>
    <w:rsid w:val="30BB6787"/>
    <w:rsid w:val="30F878AC"/>
    <w:rsid w:val="30F96330"/>
    <w:rsid w:val="313A1C81"/>
    <w:rsid w:val="314B3E80"/>
    <w:rsid w:val="3196159F"/>
    <w:rsid w:val="31BB68A5"/>
    <w:rsid w:val="32512C73"/>
    <w:rsid w:val="33024E7C"/>
    <w:rsid w:val="33064502"/>
    <w:rsid w:val="33093FF2"/>
    <w:rsid w:val="33307FCD"/>
    <w:rsid w:val="342C3A7B"/>
    <w:rsid w:val="344A041F"/>
    <w:rsid w:val="34526431"/>
    <w:rsid w:val="353B751C"/>
    <w:rsid w:val="36681030"/>
    <w:rsid w:val="369F684A"/>
    <w:rsid w:val="36F823B4"/>
    <w:rsid w:val="36FA25D0"/>
    <w:rsid w:val="370C40B1"/>
    <w:rsid w:val="38213B8C"/>
    <w:rsid w:val="382D2E86"/>
    <w:rsid w:val="38767C49"/>
    <w:rsid w:val="38926838"/>
    <w:rsid w:val="3A2252ED"/>
    <w:rsid w:val="3A3F02FA"/>
    <w:rsid w:val="3B337E5E"/>
    <w:rsid w:val="3B6444BC"/>
    <w:rsid w:val="3B7A783B"/>
    <w:rsid w:val="3B820DE6"/>
    <w:rsid w:val="3BDD7DCA"/>
    <w:rsid w:val="3C405547"/>
    <w:rsid w:val="3C522566"/>
    <w:rsid w:val="3C7A1ABD"/>
    <w:rsid w:val="3C814BF9"/>
    <w:rsid w:val="3C8D17F0"/>
    <w:rsid w:val="3CBE19AA"/>
    <w:rsid w:val="3CC75F2B"/>
    <w:rsid w:val="3CF47AC1"/>
    <w:rsid w:val="3CF74EBC"/>
    <w:rsid w:val="3D393726"/>
    <w:rsid w:val="3D477BF1"/>
    <w:rsid w:val="3D804EB1"/>
    <w:rsid w:val="3DA82244"/>
    <w:rsid w:val="3E0845DA"/>
    <w:rsid w:val="3E23240C"/>
    <w:rsid w:val="3EB219E2"/>
    <w:rsid w:val="3F3917BB"/>
    <w:rsid w:val="3F9828FD"/>
    <w:rsid w:val="3FFF2AF0"/>
    <w:rsid w:val="40332F17"/>
    <w:rsid w:val="406665E0"/>
    <w:rsid w:val="40D93256"/>
    <w:rsid w:val="41051279"/>
    <w:rsid w:val="411918A4"/>
    <w:rsid w:val="417C578A"/>
    <w:rsid w:val="426E7D87"/>
    <w:rsid w:val="42982C9D"/>
    <w:rsid w:val="42B37AD7"/>
    <w:rsid w:val="42EA799C"/>
    <w:rsid w:val="43210EE4"/>
    <w:rsid w:val="434C41B3"/>
    <w:rsid w:val="44044A8E"/>
    <w:rsid w:val="44753296"/>
    <w:rsid w:val="4476700E"/>
    <w:rsid w:val="44937BC0"/>
    <w:rsid w:val="44CF409A"/>
    <w:rsid w:val="452A0215"/>
    <w:rsid w:val="45B93656"/>
    <w:rsid w:val="46911EDD"/>
    <w:rsid w:val="46A9191C"/>
    <w:rsid w:val="46F21730"/>
    <w:rsid w:val="47975C19"/>
    <w:rsid w:val="47AA76FA"/>
    <w:rsid w:val="48115161"/>
    <w:rsid w:val="48141018"/>
    <w:rsid w:val="48691363"/>
    <w:rsid w:val="48693111"/>
    <w:rsid w:val="48BF0F83"/>
    <w:rsid w:val="49105C83"/>
    <w:rsid w:val="492359B6"/>
    <w:rsid w:val="49583186"/>
    <w:rsid w:val="49DB1DED"/>
    <w:rsid w:val="4A0A26D2"/>
    <w:rsid w:val="4AB97F49"/>
    <w:rsid w:val="4AD8632C"/>
    <w:rsid w:val="4AF62C56"/>
    <w:rsid w:val="4B3D0885"/>
    <w:rsid w:val="4BBA2F63"/>
    <w:rsid w:val="4BD27220"/>
    <w:rsid w:val="4C4579F1"/>
    <w:rsid w:val="4CCD4822"/>
    <w:rsid w:val="4D814A59"/>
    <w:rsid w:val="4D947D23"/>
    <w:rsid w:val="4DC31516"/>
    <w:rsid w:val="4DF451D9"/>
    <w:rsid w:val="4E52289A"/>
    <w:rsid w:val="4E660D69"/>
    <w:rsid w:val="4EA529C9"/>
    <w:rsid w:val="4EBB3F9B"/>
    <w:rsid w:val="4F005E52"/>
    <w:rsid w:val="4F5368C9"/>
    <w:rsid w:val="4F5973CF"/>
    <w:rsid w:val="4FC22869"/>
    <w:rsid w:val="4FE65048"/>
    <w:rsid w:val="503009B9"/>
    <w:rsid w:val="50342257"/>
    <w:rsid w:val="505521CD"/>
    <w:rsid w:val="508750F7"/>
    <w:rsid w:val="510E1E6E"/>
    <w:rsid w:val="51143E36"/>
    <w:rsid w:val="514C1822"/>
    <w:rsid w:val="519A6C48"/>
    <w:rsid w:val="52462715"/>
    <w:rsid w:val="52657D09"/>
    <w:rsid w:val="52C84ED8"/>
    <w:rsid w:val="52CF6267"/>
    <w:rsid w:val="52D94460"/>
    <w:rsid w:val="52EA30A1"/>
    <w:rsid w:val="531445C2"/>
    <w:rsid w:val="531E2D4A"/>
    <w:rsid w:val="533832DF"/>
    <w:rsid w:val="54054FBD"/>
    <w:rsid w:val="54077C82"/>
    <w:rsid w:val="541D3002"/>
    <w:rsid w:val="542B3971"/>
    <w:rsid w:val="5435659E"/>
    <w:rsid w:val="54774E08"/>
    <w:rsid w:val="554D5B69"/>
    <w:rsid w:val="55BF0815"/>
    <w:rsid w:val="561E64DA"/>
    <w:rsid w:val="565809C8"/>
    <w:rsid w:val="565D002E"/>
    <w:rsid w:val="56623BD2"/>
    <w:rsid w:val="56633896"/>
    <w:rsid w:val="57454D4A"/>
    <w:rsid w:val="574A2360"/>
    <w:rsid w:val="57566C8C"/>
    <w:rsid w:val="57574A7D"/>
    <w:rsid w:val="57B10631"/>
    <w:rsid w:val="58E46783"/>
    <w:rsid w:val="58F01BA8"/>
    <w:rsid w:val="58FE1654"/>
    <w:rsid w:val="59605E6B"/>
    <w:rsid w:val="59E36A9C"/>
    <w:rsid w:val="5A1D0200"/>
    <w:rsid w:val="5AA93841"/>
    <w:rsid w:val="5ABE70A1"/>
    <w:rsid w:val="5ACE32A8"/>
    <w:rsid w:val="5B42530F"/>
    <w:rsid w:val="5B6326C2"/>
    <w:rsid w:val="5B8F6EDB"/>
    <w:rsid w:val="5BA364E3"/>
    <w:rsid w:val="5BC14BBB"/>
    <w:rsid w:val="5BD82630"/>
    <w:rsid w:val="5BD91F04"/>
    <w:rsid w:val="5C207CC4"/>
    <w:rsid w:val="5C313AEE"/>
    <w:rsid w:val="5C367357"/>
    <w:rsid w:val="5C6C4B26"/>
    <w:rsid w:val="5C7142C5"/>
    <w:rsid w:val="5CE15514"/>
    <w:rsid w:val="5D2378DB"/>
    <w:rsid w:val="5DF1068B"/>
    <w:rsid w:val="5DFE5C52"/>
    <w:rsid w:val="5EAA5DDA"/>
    <w:rsid w:val="5EBE53E1"/>
    <w:rsid w:val="5EC40C4A"/>
    <w:rsid w:val="5EE65064"/>
    <w:rsid w:val="5F2E2567"/>
    <w:rsid w:val="5F4973A1"/>
    <w:rsid w:val="5FEE0B36"/>
    <w:rsid w:val="5FF23595"/>
    <w:rsid w:val="604162CA"/>
    <w:rsid w:val="60574295"/>
    <w:rsid w:val="6062071A"/>
    <w:rsid w:val="60793CB6"/>
    <w:rsid w:val="609603C4"/>
    <w:rsid w:val="60D1764E"/>
    <w:rsid w:val="60E90E3C"/>
    <w:rsid w:val="61565DA5"/>
    <w:rsid w:val="61D05B58"/>
    <w:rsid w:val="62092E18"/>
    <w:rsid w:val="62312A9A"/>
    <w:rsid w:val="6252656D"/>
    <w:rsid w:val="62A80882"/>
    <w:rsid w:val="62D710D5"/>
    <w:rsid w:val="62E01DCA"/>
    <w:rsid w:val="633640E0"/>
    <w:rsid w:val="634D3F4B"/>
    <w:rsid w:val="635822A8"/>
    <w:rsid w:val="639F57E1"/>
    <w:rsid w:val="63A74145"/>
    <w:rsid w:val="63AE1D8D"/>
    <w:rsid w:val="63D86F45"/>
    <w:rsid w:val="6481138B"/>
    <w:rsid w:val="64EA5182"/>
    <w:rsid w:val="65674A25"/>
    <w:rsid w:val="659375C8"/>
    <w:rsid w:val="65ED1655"/>
    <w:rsid w:val="661C136B"/>
    <w:rsid w:val="670619EC"/>
    <w:rsid w:val="671958AB"/>
    <w:rsid w:val="67656D42"/>
    <w:rsid w:val="676C00D0"/>
    <w:rsid w:val="67BD092C"/>
    <w:rsid w:val="67DE4BF3"/>
    <w:rsid w:val="680B78E9"/>
    <w:rsid w:val="68142C42"/>
    <w:rsid w:val="690A7BA1"/>
    <w:rsid w:val="691C78D4"/>
    <w:rsid w:val="69B1626F"/>
    <w:rsid w:val="69BA3375"/>
    <w:rsid w:val="69D81A4D"/>
    <w:rsid w:val="69DB32EB"/>
    <w:rsid w:val="69FA7C16"/>
    <w:rsid w:val="6A590DE0"/>
    <w:rsid w:val="6A841BD5"/>
    <w:rsid w:val="6AB9187F"/>
    <w:rsid w:val="6AE52674"/>
    <w:rsid w:val="6B28418D"/>
    <w:rsid w:val="6B3233DF"/>
    <w:rsid w:val="6B797260"/>
    <w:rsid w:val="6BB12556"/>
    <w:rsid w:val="6BCC7390"/>
    <w:rsid w:val="6BEF4A6F"/>
    <w:rsid w:val="6C172D01"/>
    <w:rsid w:val="6C444555"/>
    <w:rsid w:val="6C557385"/>
    <w:rsid w:val="6CA55DCD"/>
    <w:rsid w:val="6CB0280D"/>
    <w:rsid w:val="6D10133A"/>
    <w:rsid w:val="6DE44E65"/>
    <w:rsid w:val="6DFD5F26"/>
    <w:rsid w:val="6E2214E9"/>
    <w:rsid w:val="6E59333D"/>
    <w:rsid w:val="6EED5F9B"/>
    <w:rsid w:val="6F011A46"/>
    <w:rsid w:val="6F467459"/>
    <w:rsid w:val="701E2184"/>
    <w:rsid w:val="70327628"/>
    <w:rsid w:val="7040034C"/>
    <w:rsid w:val="70F8577C"/>
    <w:rsid w:val="71B0505E"/>
    <w:rsid w:val="71D23226"/>
    <w:rsid w:val="71EA2B00"/>
    <w:rsid w:val="72395B01"/>
    <w:rsid w:val="72B03567"/>
    <w:rsid w:val="73076EFF"/>
    <w:rsid w:val="732E4049"/>
    <w:rsid w:val="7370335C"/>
    <w:rsid w:val="73E21E46"/>
    <w:rsid w:val="744D4DE6"/>
    <w:rsid w:val="7476258E"/>
    <w:rsid w:val="752E10BB"/>
    <w:rsid w:val="753970A8"/>
    <w:rsid w:val="757A1C0A"/>
    <w:rsid w:val="763444AF"/>
    <w:rsid w:val="765273A7"/>
    <w:rsid w:val="76790114"/>
    <w:rsid w:val="76A21419"/>
    <w:rsid w:val="76D67314"/>
    <w:rsid w:val="77772EE9"/>
    <w:rsid w:val="77A75FC0"/>
    <w:rsid w:val="77D76992"/>
    <w:rsid w:val="78520C1D"/>
    <w:rsid w:val="78E8332F"/>
    <w:rsid w:val="79053EE1"/>
    <w:rsid w:val="796C5D0E"/>
    <w:rsid w:val="79DA35C0"/>
    <w:rsid w:val="79DF22FF"/>
    <w:rsid w:val="79E24222"/>
    <w:rsid w:val="79E65AC0"/>
    <w:rsid w:val="79EB30D7"/>
    <w:rsid w:val="79ED6E4F"/>
    <w:rsid w:val="79FD2E0A"/>
    <w:rsid w:val="7A17211E"/>
    <w:rsid w:val="7A5F5873"/>
    <w:rsid w:val="7A923E9A"/>
    <w:rsid w:val="7B5E7B97"/>
    <w:rsid w:val="7B672C31"/>
    <w:rsid w:val="7B8B4B71"/>
    <w:rsid w:val="7BC02190"/>
    <w:rsid w:val="7BE41D07"/>
    <w:rsid w:val="7C7E0232"/>
    <w:rsid w:val="7CBA4FE2"/>
    <w:rsid w:val="7CBD2018"/>
    <w:rsid w:val="7D480840"/>
    <w:rsid w:val="7D750338"/>
    <w:rsid w:val="7D76795F"/>
    <w:rsid w:val="7D937D0D"/>
    <w:rsid w:val="7DA102B2"/>
    <w:rsid w:val="7DAA5057"/>
    <w:rsid w:val="7E822A91"/>
    <w:rsid w:val="7EDE320A"/>
    <w:rsid w:val="7EF02F3D"/>
    <w:rsid w:val="7F645E05"/>
    <w:rsid w:val="7F903570"/>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4">
    <w:name w:val="Normal Indent"/>
    <w:basedOn w:val="1"/>
    <w:next w:val="5"/>
    <w:unhideWhenUsed/>
    <w:qFormat/>
    <w:uiPriority w:val="0"/>
    <w:pPr>
      <w:ind w:firstLine="425"/>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caption"/>
    <w:basedOn w:val="1"/>
    <w:next w:val="1"/>
    <w:qFormat/>
    <w:uiPriority w:val="0"/>
    <w:rPr>
      <w:rFonts w:ascii="Arial" w:hAnsi="Arial" w:eastAsia="黑体" w:cs="Arial"/>
      <w:sz w:val="20"/>
      <w:szCs w:val="20"/>
    </w:rPr>
  </w:style>
  <w:style w:type="paragraph" w:styleId="7">
    <w:name w:val="annotation text"/>
    <w:basedOn w:val="1"/>
    <w:next w:val="1"/>
    <w:qFormat/>
    <w:uiPriority w:val="0"/>
    <w:pPr>
      <w:jc w:val="left"/>
    </w:pPr>
  </w:style>
  <w:style w:type="paragraph" w:styleId="8">
    <w:name w:val="Body Text"/>
    <w:basedOn w:val="1"/>
    <w:next w:val="5"/>
    <w:unhideWhenUsed/>
    <w:qFormat/>
    <w:uiPriority w:val="1"/>
    <w:pPr>
      <w:spacing w:after="120"/>
    </w:pPr>
  </w:style>
  <w:style w:type="paragraph" w:styleId="9">
    <w:name w:val="Body Text Indent"/>
    <w:basedOn w:val="1"/>
    <w:next w:val="10"/>
    <w:qFormat/>
    <w:uiPriority w:val="0"/>
    <w:pPr>
      <w:adjustRightInd w:val="0"/>
      <w:spacing w:after="120" w:line="360" w:lineRule="atLeast"/>
      <w:ind w:left="420" w:leftChars="200"/>
      <w:jc w:val="left"/>
      <w:textAlignment w:val="baseline"/>
    </w:pPr>
    <w:rPr>
      <w:kern w:val="0"/>
      <w:sz w:val="24"/>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rPr>
      <w:rFonts w:ascii="Calibri" w:hAnsi="Calibri"/>
      <w:sz w:val="24"/>
      <w:szCs w:val="24"/>
    </w:rPr>
  </w:style>
  <w:style w:type="paragraph" w:styleId="15">
    <w:name w:val="Body Text First Indent"/>
    <w:basedOn w:val="8"/>
    <w:next w:val="16"/>
    <w:qFormat/>
    <w:uiPriority w:val="99"/>
    <w:pPr>
      <w:ind w:firstLine="420" w:firstLineChars="100"/>
    </w:pPr>
    <w:rPr>
      <w:rFonts w:ascii="宋体"/>
      <w:kern w:val="0"/>
      <w:sz w:val="34"/>
      <w:szCs w:val="20"/>
    </w:rPr>
  </w:style>
  <w:style w:type="paragraph" w:styleId="16">
    <w:name w:val="Body Text First Indent 2"/>
    <w:basedOn w:val="9"/>
    <w:next w:val="1"/>
    <w:qFormat/>
    <w:uiPriority w:val="0"/>
    <w:pPr>
      <w:adjustRightInd/>
      <w:spacing w:line="360" w:lineRule="auto"/>
      <w:ind w:firstLine="420" w:firstLineChars="200"/>
      <w:jc w:val="both"/>
      <w:textAlignment w:val="auto"/>
    </w:pPr>
    <w:rPr>
      <w:rFonts w:cs="黑体"/>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000000"/>
      <w:u w:val="none"/>
    </w:rPr>
  </w:style>
  <w:style w:type="character" w:styleId="21">
    <w:name w:val="Emphasis"/>
    <w:basedOn w:val="19"/>
    <w:qFormat/>
    <w:uiPriority w:val="0"/>
  </w:style>
  <w:style w:type="character" w:styleId="22">
    <w:name w:val="Hyperlink"/>
    <w:basedOn w:val="19"/>
    <w:qFormat/>
    <w:uiPriority w:val="0"/>
    <w:rPr>
      <w:color w:val="000000"/>
      <w:u w:val="none"/>
    </w:rPr>
  </w:style>
  <w:style w:type="paragraph" w:styleId="23">
    <w:name w:val="List Paragraph"/>
    <w:basedOn w:val="1"/>
    <w:qFormat/>
    <w:uiPriority w:val="34"/>
    <w:pPr>
      <w:ind w:firstLine="420" w:firstLineChars="200"/>
    </w:p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列出段落2"/>
    <w:basedOn w:val="1"/>
    <w:unhideWhenUsed/>
    <w:qFormat/>
    <w:uiPriority w:val="34"/>
    <w:pPr>
      <w:ind w:firstLine="420" w:firstLineChars="200"/>
    </w:pPr>
    <w:rPr>
      <w:rFonts w:ascii="Calibri" w:hAnsi="Calibri"/>
    </w:rPr>
  </w:style>
  <w:style w:type="character" w:customStyle="1" w:styleId="27">
    <w:name w:val="标题 2 Char"/>
    <w:basedOn w:val="19"/>
    <w:link w:val="3"/>
    <w:qFormat/>
    <w:uiPriority w:val="0"/>
    <w:rPr>
      <w:rFonts w:ascii="Arial" w:hAnsi="Arial" w:eastAsia="黑体" w:cs="Times New Roman"/>
      <w:b/>
      <w:bCs/>
      <w:kern w:val="0"/>
      <w:sz w:val="32"/>
      <w:szCs w:val="32"/>
    </w:rPr>
  </w:style>
  <w:style w:type="paragraph" w:customStyle="1" w:styleId="2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9">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0">
    <w:name w:val="正文文本缩进1"/>
    <w:basedOn w:val="1"/>
    <w:qFormat/>
    <w:uiPriority w:val="0"/>
    <w:pPr>
      <w:spacing w:line="360" w:lineRule="auto"/>
      <w:ind w:firstLine="480" w:firstLineChars="200"/>
    </w:pPr>
    <w:rPr>
      <w:rFonts w:ascii="宋体"/>
      <w:kern w:val="0"/>
      <w:sz w:val="24"/>
      <w:szCs w:val="20"/>
    </w:rPr>
  </w:style>
  <w:style w:type="paragraph" w:customStyle="1" w:styleId="31">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2">
    <w:name w:val="日期1"/>
    <w:basedOn w:val="1"/>
    <w:next w:val="1"/>
    <w:qFormat/>
    <w:uiPriority w:val="0"/>
    <w:rPr>
      <w:kern w:val="0"/>
      <w:sz w:val="24"/>
      <w:szCs w:val="20"/>
    </w:rPr>
  </w:style>
  <w:style w:type="paragraph" w:customStyle="1" w:styleId="33">
    <w:name w:val="Table Text"/>
    <w:basedOn w:val="1"/>
    <w:semiHidden/>
    <w:qFormat/>
    <w:uiPriority w:val="0"/>
    <w:rPr>
      <w:rFonts w:ascii="宋体" w:hAnsi="宋体" w:cs="宋体"/>
      <w:szCs w:val="21"/>
      <w:lang w:eastAsia="en-US"/>
    </w:rPr>
  </w:style>
  <w:style w:type="character" w:customStyle="1" w:styleId="34">
    <w:name w:val="active4"/>
    <w:basedOn w:val="19"/>
    <w:qFormat/>
    <w:uiPriority w:val="0"/>
    <w:rPr>
      <w:color w:val="FFFFFF"/>
      <w:shd w:val="clear" w:color="auto" w:fill="2B7AFC"/>
    </w:rPr>
  </w:style>
  <w:style w:type="character" w:customStyle="1" w:styleId="35">
    <w:name w:val="red"/>
    <w:basedOn w:val="19"/>
    <w:qFormat/>
    <w:uiPriority w:val="0"/>
    <w:rPr>
      <w:color w:val="FF0000"/>
    </w:rPr>
  </w:style>
  <w:style w:type="character" w:customStyle="1" w:styleId="36">
    <w:name w:val="red1"/>
    <w:basedOn w:val="19"/>
    <w:qFormat/>
    <w:uiPriority w:val="0"/>
    <w:rPr>
      <w:color w:val="FF0000"/>
      <w:sz w:val="14"/>
      <w:szCs w:val="14"/>
    </w:rPr>
  </w:style>
  <w:style w:type="character" w:customStyle="1" w:styleId="37">
    <w:name w:val="red2"/>
    <w:basedOn w:val="19"/>
    <w:qFormat/>
    <w:uiPriority w:val="0"/>
    <w:rPr>
      <w:color w:val="FF0000"/>
      <w:sz w:val="14"/>
      <w:szCs w:val="14"/>
    </w:rPr>
  </w:style>
  <w:style w:type="character" w:customStyle="1" w:styleId="38">
    <w:name w:val="red3"/>
    <w:basedOn w:val="19"/>
    <w:qFormat/>
    <w:uiPriority w:val="0"/>
    <w:rPr>
      <w:color w:val="CC0000"/>
    </w:rPr>
  </w:style>
  <w:style w:type="character" w:customStyle="1" w:styleId="39">
    <w:name w:val="hover25"/>
    <w:basedOn w:val="19"/>
    <w:qFormat/>
    <w:uiPriority w:val="0"/>
  </w:style>
  <w:style w:type="character" w:customStyle="1" w:styleId="40">
    <w:name w:val="green"/>
    <w:basedOn w:val="19"/>
    <w:qFormat/>
    <w:uiPriority w:val="0"/>
    <w:rPr>
      <w:color w:val="66AE00"/>
      <w:sz w:val="14"/>
      <w:szCs w:val="14"/>
    </w:rPr>
  </w:style>
  <w:style w:type="character" w:customStyle="1" w:styleId="41">
    <w:name w:val="green1"/>
    <w:basedOn w:val="19"/>
    <w:qFormat/>
    <w:uiPriority w:val="0"/>
    <w:rPr>
      <w:color w:val="66AE00"/>
      <w:sz w:val="14"/>
      <w:szCs w:val="14"/>
    </w:rPr>
  </w:style>
  <w:style w:type="character" w:customStyle="1" w:styleId="42">
    <w:name w:val="gb-jt"/>
    <w:basedOn w:val="19"/>
    <w:qFormat/>
    <w:uiPriority w:val="0"/>
  </w:style>
  <w:style w:type="character" w:customStyle="1" w:styleId="43">
    <w:name w:val="blue"/>
    <w:basedOn w:val="19"/>
    <w:qFormat/>
    <w:uiPriority w:val="0"/>
    <w:rPr>
      <w:color w:val="0371C6"/>
      <w:sz w:val="16"/>
      <w:szCs w:val="16"/>
    </w:rPr>
  </w:style>
  <w:style w:type="character" w:customStyle="1" w:styleId="44">
    <w:name w:val="right"/>
    <w:basedOn w:val="19"/>
    <w:qFormat/>
    <w:uiPriority w:val="0"/>
    <w:rPr>
      <w:color w:val="999999"/>
      <w:sz w:val="14"/>
      <w:szCs w:val="14"/>
    </w:rPr>
  </w:style>
  <w:style w:type="character" w:customStyle="1" w:styleId="45">
    <w:name w:val="active"/>
    <w:basedOn w:val="19"/>
    <w:qFormat/>
    <w:uiPriority w:val="0"/>
    <w:rPr>
      <w:color w:val="FFFFFF"/>
      <w:shd w:val="clear" w:color="auto" w:fill="2B7AFC"/>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页眉 Char"/>
    <w:basedOn w:val="19"/>
    <w:link w:val="13"/>
    <w:qFormat/>
    <w:uiPriority w:val="0"/>
    <w:rPr>
      <w:kern w:val="2"/>
      <w:sz w:val="18"/>
      <w:szCs w:val="18"/>
    </w:rPr>
  </w:style>
  <w:style w:type="paragraph" w:customStyle="1" w:styleId="4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47531</Words>
  <Characters>51812</Characters>
  <Lines>313</Lines>
  <Paragraphs>88</Paragraphs>
  <TotalTime>74</TotalTime>
  <ScaleCrop>false</ScaleCrop>
  <LinksUpToDate>false</LinksUpToDate>
  <CharactersWithSpaces>52899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襄城县公共资源交易中心:陈良民</cp:lastModifiedBy>
  <cp:lastPrinted>2026-04-22T09:49:05Z</cp:lastPrinted>
  <dcterms:modified xsi:type="dcterms:W3CDTF">2026-04-22T09:53:36Z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33DE0102C87A48F98A9C993677841230_12</vt:lpwstr>
  </property>
  <property fmtid="{D5CDD505-2E9C-101B-9397-08002B2CF9AE}" pid="4" name="KSOTemplateDocerSaveRecord">
    <vt:lpwstr>eyJoZGlkIjoiNGJhMTM0ODQ4MjYwMzEwMWE4ZmNlNGY5YWM3ZTE4MjEiLCJ1c2VySWQiOiIxNTYwNDIyNTA1In0=</vt:lpwstr>
  </property>
</Properties>
</file>