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E2C86">
      <w:pPr>
        <w:ind w:left="0"/>
        <w:jc w:val="center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YZCG-DLC2026027禹州市文化广电和旅游局禹州市白沙义勇武安王大殿修缮工程项目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废标公告</w:t>
      </w:r>
    </w:p>
    <w:p w14:paraId="6584E623">
      <w:pPr>
        <w:ind w:left="0"/>
        <w:rPr>
          <w:rFonts w:hint="eastAsia" w:ascii="宋体" w:hAnsi="宋体" w:eastAsia="宋体" w:cs="宋体"/>
          <w:b/>
          <w:kern w:val="0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一、项目基本情况</w:t>
      </w:r>
    </w:p>
    <w:p w14:paraId="367DB3E4">
      <w:pPr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1、采购项目编号：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YZCG-DLC2026027</w:t>
      </w:r>
    </w:p>
    <w:p w14:paraId="76435F17">
      <w:pPr>
        <w:ind w:left="0" w:firstLine="210" w:firstLineChars="100"/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2、采购项目名称：</w:t>
      </w:r>
      <w:r>
        <w:rPr>
          <w:rFonts w:hint="eastAsia" w:ascii="宋体" w:hAnsi="宋体" w:eastAsia="宋体" w:cs="宋体"/>
          <w:bCs/>
          <w:color w:val="000000"/>
          <w:szCs w:val="21"/>
          <w:lang w:val="en-US" w:eastAsia="zh-CN"/>
        </w:rPr>
        <w:t>禹州市文化广电和旅游局禹州市白沙义勇武安王大殿修缮工程项目</w:t>
      </w:r>
    </w:p>
    <w:p w14:paraId="195AC8E8">
      <w:pPr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3、公告类型：</w:t>
      </w:r>
      <w:r>
        <w:rPr>
          <w:rFonts w:hint="eastAsia" w:ascii="宋体" w:hAnsi="宋体" w:eastAsia="宋体" w:cs="宋体"/>
          <w:color w:val="000000"/>
          <w:szCs w:val="21"/>
        </w:rPr>
        <w:sym w:font="Wingdings 2" w:char="F052"/>
      </w:r>
      <w:r>
        <w:rPr>
          <w:rFonts w:hint="eastAsia" w:ascii="宋体" w:hAnsi="宋体" w:eastAsia="宋体" w:cs="宋体"/>
          <w:color w:val="000000"/>
          <w:szCs w:val="21"/>
        </w:rPr>
        <w:t>废标公告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sym w:font="Wingdings 2" w:char="F02A"/>
      </w:r>
      <w:r>
        <w:rPr>
          <w:rFonts w:hint="eastAsia" w:ascii="宋体" w:hAnsi="宋体" w:eastAsia="宋体" w:cs="宋体"/>
          <w:color w:val="000000"/>
          <w:szCs w:val="21"/>
        </w:rPr>
        <w:t>终止公告</w:t>
      </w:r>
    </w:p>
    <w:p w14:paraId="4ADA3077">
      <w:pPr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4、采购公告发布日期及原公告发布媒介：</w:t>
      </w:r>
    </w:p>
    <w:tbl>
      <w:tblPr>
        <w:tblStyle w:val="18"/>
        <w:tblW w:w="5558" w:type="pct"/>
        <w:tblCellSpacing w:w="0" w:type="dxa"/>
        <w:tblInd w:w="-2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5"/>
        <w:gridCol w:w="7185"/>
        <w:gridCol w:w="1048"/>
      </w:tblGrid>
      <w:tr w14:paraId="3022B7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tblCellSpacing w:w="0" w:type="dxa"/>
        </w:trPr>
        <w:tc>
          <w:tcPr>
            <w:tcW w:w="7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6820D14D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发布日期</w:t>
            </w:r>
          </w:p>
        </w:tc>
        <w:tc>
          <w:tcPr>
            <w:tcW w:w="36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4E0A595A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发布媒介</w:t>
            </w:r>
          </w:p>
        </w:tc>
        <w:tc>
          <w:tcPr>
            <w:tcW w:w="5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7E12BE7D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标段</w:t>
            </w:r>
          </w:p>
        </w:tc>
      </w:tr>
      <w:tr w14:paraId="3B17CE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</w:trPr>
        <w:tc>
          <w:tcPr>
            <w:tcW w:w="77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3EEF06DA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6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72E6C072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《河南省政府采购网》《许昌市政府采购网》《全国公共资源交易平台（河南省·许昌市）》</w:t>
            </w:r>
          </w:p>
        </w:tc>
        <w:tc>
          <w:tcPr>
            <w:tcW w:w="53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1971BACB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第一标包</w:t>
            </w:r>
          </w:p>
        </w:tc>
      </w:tr>
    </w:tbl>
    <w:p w14:paraId="2F822A4F">
      <w:pPr>
        <w:ind w:left="0" w:firstLine="210" w:firstLineChars="10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5、开标日期：</w:t>
      </w:r>
    </w:p>
    <w:tbl>
      <w:tblPr>
        <w:tblStyle w:val="18"/>
        <w:tblW w:w="5559" w:type="pct"/>
        <w:tblCellSpacing w:w="0" w:type="dxa"/>
        <w:tblInd w:w="-2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89"/>
        <w:gridCol w:w="5750"/>
      </w:tblGrid>
      <w:tr w14:paraId="5119A8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CellSpacing w:w="0" w:type="dxa"/>
        </w:trPr>
        <w:tc>
          <w:tcPr>
            <w:tcW w:w="20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5FEF3743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标段</w:t>
            </w:r>
          </w:p>
        </w:tc>
        <w:tc>
          <w:tcPr>
            <w:tcW w:w="29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7727E8C4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日期</w:t>
            </w:r>
          </w:p>
        </w:tc>
      </w:tr>
      <w:tr w14:paraId="6C6588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CellSpacing w:w="0" w:type="dxa"/>
        </w:trPr>
        <w:tc>
          <w:tcPr>
            <w:tcW w:w="204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606EB025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第一标包</w:t>
            </w:r>
          </w:p>
        </w:tc>
        <w:tc>
          <w:tcPr>
            <w:tcW w:w="295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</w:tcPr>
          <w:p w14:paraId="11686132">
            <w:pPr>
              <w:widowControl/>
              <w:wordWrap w:val="0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08:30:00</w:t>
            </w:r>
          </w:p>
        </w:tc>
      </w:tr>
    </w:tbl>
    <w:p w14:paraId="33807C8D">
      <w:pPr>
        <w:pStyle w:val="17"/>
        <w:ind w:left="0" w:firstLine="0" w:firstLine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二、废标(终止)原因</w:t>
      </w:r>
    </w:p>
    <w:p w14:paraId="5098482D">
      <w:pPr>
        <w:pStyle w:val="17"/>
        <w:ind w:left="0" w:firstLine="0" w:firstLineChars="0"/>
        <w:rPr>
          <w:rFonts w:hint="eastAsia" w:ascii="宋体" w:hAnsi="宋体" w:eastAsia="宋体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 根据禹州市财政局关于本项目</w:t>
      </w:r>
      <w:r>
        <w:rPr>
          <w:rFonts w:hint="eastAsia" w:ascii="宋体" w:hAnsi="宋体" w:eastAsia="宋体"/>
          <w:szCs w:val="21"/>
          <w:lang w:eastAsia="zh-CN"/>
        </w:rPr>
        <w:t>成交公告投诉</w:t>
      </w:r>
      <w:r>
        <w:rPr>
          <w:rFonts w:hint="eastAsia" w:ascii="宋体" w:hAnsi="宋体" w:eastAsia="宋体"/>
          <w:szCs w:val="21"/>
        </w:rPr>
        <w:t>处理结果的通知</w:t>
      </w:r>
    </w:p>
    <w:p w14:paraId="115CA42A">
      <w:pPr>
        <w:pStyle w:val="17"/>
        <w:ind w:left="0" w:firstLine="0"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1、本次采购结果无效。</w:t>
      </w:r>
    </w:p>
    <w:p w14:paraId="691FF8BC">
      <w:pPr>
        <w:pStyle w:val="17"/>
        <w:ind w:left="0" w:firstLine="0" w:firstLineChars="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2、</w:t>
      </w:r>
      <w:r>
        <w:rPr>
          <w:rFonts w:hint="eastAsia" w:ascii="宋体" w:hAnsi="宋体" w:eastAsia="宋体"/>
          <w:szCs w:val="21"/>
          <w:lang w:eastAsia="zh-CN"/>
        </w:rPr>
        <w:t>合格供应商不符合法定数量，</w:t>
      </w:r>
      <w:r>
        <w:rPr>
          <w:rFonts w:hint="eastAsia" w:ascii="宋体" w:hAnsi="宋体" w:eastAsia="宋体"/>
          <w:szCs w:val="21"/>
        </w:rPr>
        <w:t>重新开展政府采购活动。</w:t>
      </w:r>
    </w:p>
    <w:p w14:paraId="44D715FE">
      <w:pPr>
        <w:pStyle w:val="17"/>
        <w:ind w:left="0" w:firstLine="0" w:firstLine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三、其他补充事宜</w:t>
      </w:r>
    </w:p>
    <w:p w14:paraId="69E01540">
      <w:pPr>
        <w:pStyle w:val="17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1、监督单位：禹州市政府采购监督管理办公室</w:t>
      </w:r>
    </w:p>
    <w:p w14:paraId="1B19C2A1">
      <w:pPr>
        <w:pStyle w:val="17"/>
        <w:ind w:left="0" w:firstLine="210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2、电话：0374-8112523</w:t>
      </w:r>
    </w:p>
    <w:p w14:paraId="79F5BBC7">
      <w:pPr>
        <w:pStyle w:val="17"/>
        <w:ind w:left="0" w:firstLine="0" w:firstLine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四、凡对本次公告内容提出询问，请按以下方式联系。</w:t>
      </w:r>
    </w:p>
    <w:p w14:paraId="606A46AE">
      <w:pPr>
        <w:spacing w:line="360" w:lineRule="auto"/>
        <w:ind w:left="0" w:firstLine="210" w:firstLineChars="1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1.采购人信息</w:t>
      </w:r>
    </w:p>
    <w:p w14:paraId="4D1F8575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名称：禹州市文化广电和旅游局</w:t>
      </w:r>
    </w:p>
    <w:p w14:paraId="2D7FCB7C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禹州市禹王大道东段</w:t>
      </w:r>
    </w:p>
    <w:p w14:paraId="44B99434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郭先生</w:t>
      </w:r>
    </w:p>
    <w:p w14:paraId="5023151A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18567337778</w:t>
      </w:r>
    </w:p>
    <w:p w14:paraId="1E9A6A19">
      <w:pPr>
        <w:pStyle w:val="1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采购代理机构信息（如有）</w:t>
      </w:r>
    </w:p>
    <w:p w14:paraId="0481F992">
      <w:pPr>
        <w:pStyle w:val="1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480"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zh-CN" w:eastAsia="zh-CN"/>
        </w:rPr>
        <w:t>名称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zh-CN"/>
        </w:rPr>
        <w:t xml:space="preserve">中域安项目管理咨询有限公司 </w:t>
      </w:r>
    </w:p>
    <w:p w14:paraId="5B92A26F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zh-CN"/>
        </w:rPr>
        <w:t>禹州市柏山路7号</w:t>
      </w:r>
    </w:p>
    <w:p w14:paraId="3073FE15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杨先生</w:t>
      </w:r>
      <w:bookmarkStart w:id="0" w:name="_GoBack"/>
      <w:bookmarkEnd w:id="0"/>
    </w:p>
    <w:p w14:paraId="4531F75E">
      <w:pPr>
        <w:spacing w:line="360" w:lineRule="auto"/>
        <w:ind w:left="0"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13383748781</w:t>
      </w:r>
    </w:p>
    <w:p w14:paraId="5D9A75C9">
      <w:pPr>
        <w:spacing w:line="360" w:lineRule="auto"/>
        <w:ind w:left="0" w:firstLine="420" w:firstLineChars="200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3.项目联系方式</w:t>
      </w:r>
    </w:p>
    <w:p w14:paraId="09A5827B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项目联系人：杨先生</w:t>
      </w:r>
    </w:p>
    <w:p w14:paraId="2D8B4FB9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系方式：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13383748781</w:t>
      </w:r>
    </w:p>
    <w:p w14:paraId="52790E46">
      <w:pPr>
        <w:pStyle w:val="17"/>
        <w:ind w:left="0" w:firstLine="0" w:firstLine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</w:rPr>
        <w:t xml:space="preserve">                                     </w:t>
      </w:r>
    </w:p>
    <w:p w14:paraId="7D47F171">
      <w:pPr>
        <w:pStyle w:val="17"/>
        <w:ind w:left="0" w:firstLine="0" w:firstLineChars="0"/>
        <w:rPr>
          <w:rFonts w:hint="eastAsia" w:ascii="宋体" w:hAnsi="宋体" w:eastAsia="宋体" w:cs="宋体"/>
          <w:b/>
          <w:szCs w:val="21"/>
        </w:rPr>
      </w:pP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0BBF0"/>
    <w:multiLevelType w:val="singleLevel"/>
    <w:tmpl w:val="07E0BB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BB"/>
    <w:rsid w:val="002D75BB"/>
    <w:rsid w:val="00335C02"/>
    <w:rsid w:val="00466BA0"/>
    <w:rsid w:val="00495105"/>
    <w:rsid w:val="005462F7"/>
    <w:rsid w:val="005F7FB6"/>
    <w:rsid w:val="006D500B"/>
    <w:rsid w:val="007F4E58"/>
    <w:rsid w:val="008A510B"/>
    <w:rsid w:val="00A90B4E"/>
    <w:rsid w:val="00C10484"/>
    <w:rsid w:val="00CA73B6"/>
    <w:rsid w:val="00D14676"/>
    <w:rsid w:val="00F2334E"/>
    <w:rsid w:val="00F239FF"/>
    <w:rsid w:val="561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12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spacing w:after="160"/>
      <w:ind w:left="42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Body Text First Indent"/>
    <w:basedOn w:val="11"/>
    <w:link w:val="21"/>
    <w:semiHidden/>
    <w:unhideWhenUsed/>
    <w:qFormat/>
    <w:uiPriority w:val="99"/>
    <w:pPr>
      <w:ind w:firstLine="420" w:firstLineChars="100"/>
    </w:pPr>
  </w:style>
  <w:style w:type="character" w:customStyle="1" w:styleId="20">
    <w:name w:val="正文文本 字符"/>
    <w:basedOn w:val="19"/>
    <w:link w:val="11"/>
    <w:semiHidden/>
    <w:qFormat/>
    <w:uiPriority w:val="99"/>
    <w:rPr>
      <w14:ligatures w14:val="none"/>
    </w:rPr>
  </w:style>
  <w:style w:type="character" w:customStyle="1" w:styleId="21">
    <w:name w:val="正文文本首行缩进 字符"/>
    <w:basedOn w:val="20"/>
    <w:link w:val="17"/>
    <w:semiHidden/>
    <w:qFormat/>
    <w:uiPriority w:val="99"/>
    <w:rPr>
      <w14:ligatures w14:val="none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none"/>
    </w:rPr>
  </w:style>
  <w:style w:type="character" w:customStyle="1" w:styleId="23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none"/>
    </w:rPr>
  </w:style>
  <w:style w:type="character" w:customStyle="1" w:styleId="24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none"/>
    </w:rPr>
  </w:style>
  <w:style w:type="character" w:customStyle="1" w:styleId="25">
    <w:name w:val="标题 4 字符"/>
    <w:basedOn w:val="19"/>
    <w:link w:val="5"/>
    <w:semiHidden/>
    <w:uiPriority w:val="9"/>
    <w:rPr>
      <w:rFonts w:cstheme="majorBidi"/>
      <w:color w:val="104862" w:themeColor="accent1" w:themeShade="BF"/>
      <w:sz w:val="28"/>
      <w:szCs w:val="28"/>
      <w14:ligatures w14:val="none"/>
    </w:rPr>
  </w:style>
  <w:style w:type="character" w:customStyle="1" w:styleId="26">
    <w:name w:val="标题 5 字符"/>
    <w:basedOn w:val="19"/>
    <w:link w:val="6"/>
    <w:semiHidden/>
    <w:uiPriority w:val="9"/>
    <w:rPr>
      <w:rFonts w:cstheme="majorBidi"/>
      <w:color w:val="104862" w:themeColor="accent1" w:themeShade="BF"/>
      <w:sz w:val="24"/>
      <w:szCs w:val="24"/>
      <w14:ligatures w14:val="none"/>
    </w:rPr>
  </w:style>
  <w:style w:type="character" w:customStyle="1" w:styleId="27">
    <w:name w:val="标题 6 字符"/>
    <w:basedOn w:val="19"/>
    <w:link w:val="7"/>
    <w:semiHidden/>
    <w:uiPriority w:val="9"/>
    <w:rPr>
      <w:rFonts w:cstheme="majorBidi"/>
      <w:b/>
      <w:bCs/>
      <w:color w:val="104862" w:themeColor="accent1" w:themeShade="BF"/>
      <w14:ligatures w14:val="none"/>
    </w:rPr>
  </w:style>
  <w:style w:type="character" w:customStyle="1" w:styleId="28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9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0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1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character" w:customStyle="1" w:styleId="32">
    <w:name w:val="副标题 字符"/>
    <w:basedOn w:val="19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  <w14:ligatures w14:val="none"/>
    </w:rPr>
  </w:style>
  <w:style w:type="character" w:customStyle="1" w:styleId="39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3"/>
    <w:uiPriority w:val="99"/>
    <w:rPr>
      <w:sz w:val="18"/>
      <w:szCs w:val="18"/>
      <w14:ligatures w14:val="none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450</Words>
  <Characters>555</Characters>
  <Lines>27</Lines>
  <Paragraphs>46</Paragraphs>
  <TotalTime>11</TotalTime>
  <ScaleCrop>false</ScaleCrop>
  <LinksUpToDate>false</LinksUpToDate>
  <CharactersWithSpaces>612</CharactersWithSpaces>
  <Application>WPS Office_12.1.0.26895_F1E327BC-269C-435d-A152-05C5408002CA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2026-01-07T01:44:00Z</dcterms:created>
  <dc:creator>ZB</dc:creator>
  <cp:lastModifiedBy>中海域安项目管理咨询有限公司:马艳丽</cp:lastModifiedBy>
  <cp:lastPrinted>2026-01-07T01:43:00Z</cp:lastPrinted>
  <dcterms:modified xsi:type="dcterms:W3CDTF">2026-07-02T15:45:55Z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eyJoZGlkIjoiMjA3YzYzYjMwN2U3N2Y2Nzk0ZTA3ODY0YWY2ZjQ0YTEiLCJ1c2VySWQiOiIxMjE1MjQyNjk1In0=</vt:lpwstr>
  </property>
  <property fmtid="{D5CDD505-2E9C-101B-9397-08002B2CF9AE}" pid="3" name="KSOProductBuildVer">
    <vt:lpwstr>2052-12.1.0.26895</vt:lpwstr>
  </property>
  <property fmtid="{D5CDD505-2E9C-101B-9397-08002B2CF9AE}" pid="4" name="ICV">
    <vt:lpwstr>24FB49CAE43D4984B659F9780F744A73_12</vt:lpwstr>
  </property>
</Properties>
</file>