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154A">
      <w:pPr>
        <w:pStyle w:val="5"/>
        <w:numPr>
          <w:ilvl w:val="0"/>
          <w:numId w:val="1"/>
        </w:numPr>
        <w:ind w:firstLineChars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谈判邀请</w:t>
      </w:r>
    </w:p>
    <w:p w14:paraId="22D7663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项目概况</w:t>
      </w:r>
    </w:p>
    <w:p w14:paraId="17B97A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0" w:name="OLE_LINK12"/>
      <w:bookmarkStart w:id="1" w:name="OLE_LINK13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禹州市花石镇人民政府2026年禹州市花石镇王桥村中药材烘干贮存项目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的潜在投标人应在投标截止时间前登录《全国公共资源交易平台（河南省·许昌市）》（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</w:rPr>
        <w:instrText xml:space="preserve"> HYPERLINK "https://ggzy.xuchang.gov.cn" </w:instrText>
      </w:r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</w:rPr>
        <w:t>https://ggzy.xuchang.gov.cn</w:t>
      </w:r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</w:rPr>
        <w:t>）自行免费下载获取招标文件，并于 2026 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10 时 00 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（北京时间）前递交响应文件。</w:t>
      </w:r>
    </w:p>
    <w:bookmarkEnd w:id="0"/>
    <w:bookmarkEnd w:id="1"/>
    <w:p w14:paraId="298969A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一、项目基本情况</w:t>
      </w:r>
    </w:p>
    <w:p w14:paraId="0397B8F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 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YZCG-DLT2026062</w:t>
      </w:r>
    </w:p>
    <w:p w14:paraId="28E3ADE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禹州市花石镇人民政府2026年禹州市花石镇王桥村中药材烘干贮存项目</w:t>
      </w:r>
    </w:p>
    <w:p w14:paraId="7658AEA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 采购方式：</w:t>
      </w:r>
      <w:bookmarkStart w:id="2" w:name="OLE_LINK69"/>
      <w:bookmarkStart w:id="3" w:name="OLE_LINK76"/>
      <w:bookmarkStart w:id="4" w:name="OLE_LINK94"/>
      <w:r>
        <w:rPr>
          <w:rFonts w:hint="eastAsia" w:ascii="宋体" w:hAnsi="宋体" w:eastAsia="宋体" w:cs="宋体"/>
          <w:color w:val="auto"/>
          <w:sz w:val="21"/>
          <w:szCs w:val="21"/>
        </w:rPr>
        <w:t>竞争性谈判</w:t>
      </w:r>
      <w:bookmarkEnd w:id="2"/>
      <w:bookmarkEnd w:id="3"/>
      <w:bookmarkEnd w:id="4"/>
    </w:p>
    <w:p w14:paraId="0E5779B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 预算金额：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2884394.70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</w:p>
    <w:p w14:paraId="7E3474C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最高限价：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2884394.70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元 </w:t>
      </w:r>
    </w:p>
    <w:tbl>
      <w:tblPr>
        <w:tblStyle w:val="7"/>
        <w:tblW w:w="9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167"/>
        <w:gridCol w:w="1372"/>
        <w:gridCol w:w="1270"/>
        <w:gridCol w:w="1515"/>
        <w:gridCol w:w="1106"/>
        <w:gridCol w:w="1286"/>
      </w:tblGrid>
      <w:tr w14:paraId="02F92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34" w:type="dxa"/>
            <w:textDirection w:val="tbRlV"/>
            <w:vAlign w:val="top"/>
          </w:tcPr>
          <w:p w14:paraId="282FA71F">
            <w:pPr>
              <w:pStyle w:val="6"/>
              <w:spacing w:before="119" w:line="218" w:lineRule="auto"/>
              <w:ind w:left="213"/>
            </w:pPr>
            <w:r>
              <w:rPr>
                <w:spacing w:val="6"/>
              </w:rPr>
              <w:t>序 号</w:t>
            </w:r>
          </w:p>
        </w:tc>
        <w:tc>
          <w:tcPr>
            <w:tcW w:w="2167" w:type="dxa"/>
            <w:vAlign w:val="top"/>
          </w:tcPr>
          <w:p w14:paraId="74BAAEA5">
            <w:pPr>
              <w:spacing w:line="302" w:lineRule="auto"/>
              <w:rPr>
                <w:rFonts w:ascii="Arial"/>
                <w:sz w:val="21"/>
              </w:rPr>
            </w:pPr>
          </w:p>
          <w:p w14:paraId="34AB68C0">
            <w:pPr>
              <w:pStyle w:val="6"/>
              <w:spacing w:before="65" w:line="229" w:lineRule="auto"/>
              <w:ind w:left="687"/>
            </w:pPr>
            <w:r>
              <w:rPr>
                <w:spacing w:val="4"/>
              </w:rPr>
              <w:t>包号</w:t>
            </w:r>
          </w:p>
        </w:tc>
        <w:tc>
          <w:tcPr>
            <w:tcW w:w="1372" w:type="dxa"/>
            <w:vAlign w:val="center"/>
          </w:tcPr>
          <w:p w14:paraId="10E3185F">
            <w:pPr>
              <w:pStyle w:val="6"/>
              <w:tabs>
                <w:tab w:val="left" w:pos="414"/>
              </w:tabs>
              <w:spacing w:before="65" w:line="230" w:lineRule="auto"/>
              <w:jc w:val="center"/>
            </w:pPr>
            <w:r>
              <w:rPr>
                <w:spacing w:val="6"/>
              </w:rPr>
              <w:t>包名称</w:t>
            </w:r>
          </w:p>
        </w:tc>
        <w:tc>
          <w:tcPr>
            <w:tcW w:w="1270" w:type="dxa"/>
            <w:vAlign w:val="top"/>
          </w:tcPr>
          <w:p w14:paraId="442D4BDB">
            <w:pPr>
              <w:spacing w:line="302" w:lineRule="auto"/>
              <w:rPr>
                <w:rFonts w:ascii="Arial"/>
                <w:sz w:val="21"/>
              </w:rPr>
            </w:pPr>
          </w:p>
          <w:p w14:paraId="1BB145E6">
            <w:pPr>
              <w:pStyle w:val="6"/>
              <w:spacing w:before="65" w:line="228" w:lineRule="auto"/>
              <w:ind w:right="12"/>
              <w:jc w:val="right"/>
            </w:pPr>
            <w:r>
              <w:rPr>
                <w:spacing w:val="-10"/>
              </w:rPr>
              <w:t>包预算（元）</w:t>
            </w:r>
          </w:p>
        </w:tc>
        <w:tc>
          <w:tcPr>
            <w:tcW w:w="1515" w:type="dxa"/>
            <w:vAlign w:val="top"/>
          </w:tcPr>
          <w:p w14:paraId="5E2595B6">
            <w:pPr>
              <w:pStyle w:val="6"/>
              <w:spacing w:before="213" w:line="226" w:lineRule="auto"/>
              <w:ind w:left="239"/>
            </w:pPr>
            <w:r>
              <w:rPr>
                <w:spacing w:val="8"/>
              </w:rPr>
              <w:t>包最高限价</w:t>
            </w:r>
          </w:p>
          <w:p w14:paraId="7FC15620">
            <w:pPr>
              <w:pStyle w:val="6"/>
              <w:spacing w:before="67" w:line="228" w:lineRule="auto"/>
              <w:ind w:left="458"/>
            </w:pPr>
            <w:r>
              <w:rPr>
                <w:spacing w:val="-1"/>
              </w:rPr>
              <w:t>（元）</w:t>
            </w:r>
          </w:p>
        </w:tc>
        <w:tc>
          <w:tcPr>
            <w:tcW w:w="1106" w:type="dxa"/>
            <w:vAlign w:val="top"/>
          </w:tcPr>
          <w:p w14:paraId="355A17CB">
            <w:pPr>
              <w:pStyle w:val="6"/>
              <w:spacing w:before="57" w:line="228" w:lineRule="auto"/>
              <w:ind w:left="143"/>
            </w:pPr>
            <w:r>
              <w:rPr>
                <w:spacing w:val="6"/>
              </w:rPr>
              <w:t>是否专门</w:t>
            </w:r>
          </w:p>
          <w:p w14:paraId="0A3282F9">
            <w:pPr>
              <w:pStyle w:val="6"/>
              <w:spacing w:before="65" w:line="260" w:lineRule="auto"/>
              <w:ind w:left="352" w:right="130" w:hanging="211"/>
            </w:pPr>
            <w:r>
              <w:rPr>
                <w:spacing w:val="7"/>
              </w:rPr>
              <w:t>面向中小</w:t>
            </w:r>
            <w:r>
              <w:rPr>
                <w:spacing w:val="3"/>
              </w:rPr>
              <w:t>企业</w:t>
            </w:r>
          </w:p>
        </w:tc>
        <w:tc>
          <w:tcPr>
            <w:tcW w:w="1286" w:type="dxa"/>
            <w:vAlign w:val="top"/>
          </w:tcPr>
          <w:p w14:paraId="08869BB0">
            <w:pPr>
              <w:pStyle w:val="6"/>
              <w:spacing w:before="214" w:line="289" w:lineRule="auto"/>
              <w:ind w:left="229" w:right="116" w:hanging="106"/>
            </w:pPr>
            <w:r>
              <w:rPr>
                <w:spacing w:val="8"/>
              </w:rPr>
              <w:t>采购预留金</w:t>
            </w:r>
            <w:r>
              <w:rPr>
                <w:spacing w:val="5"/>
              </w:rPr>
              <w:t>额（元）</w:t>
            </w:r>
          </w:p>
        </w:tc>
      </w:tr>
      <w:tr w14:paraId="18D56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34" w:type="dxa"/>
            <w:vAlign w:val="center"/>
          </w:tcPr>
          <w:p w14:paraId="50302F2D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35FDC6D9">
            <w:pPr>
              <w:pStyle w:val="6"/>
              <w:spacing w:before="65" w:line="270" w:lineRule="exact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2167" w:type="dxa"/>
            <w:vAlign w:val="center"/>
          </w:tcPr>
          <w:p w14:paraId="2AE6DD1B">
            <w:pPr>
              <w:pStyle w:val="6"/>
              <w:spacing w:before="65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highlight w:val="none"/>
              </w:rPr>
              <w:t>YZCG-DLC20260</w:t>
            </w:r>
            <w:r>
              <w:rPr>
                <w:rFonts w:hint="eastAsia" w:cs="宋体"/>
                <w:spacing w:val="7"/>
                <w:sz w:val="20"/>
                <w:szCs w:val="20"/>
                <w:highlight w:val="none"/>
                <w:lang w:val="en-US" w:eastAsia="zh-CN"/>
              </w:rPr>
              <w:t>62-</w:t>
            </w:r>
            <w:r>
              <w:rPr>
                <w:rFonts w:hint="eastAsia"/>
                <w:spacing w:val="8"/>
                <w:position w:val="1"/>
                <w:highlight w:val="none"/>
                <w:lang w:val="en-US" w:eastAsia="zh-CN"/>
              </w:rPr>
              <w:t>A</w:t>
            </w:r>
          </w:p>
        </w:tc>
        <w:tc>
          <w:tcPr>
            <w:tcW w:w="1372" w:type="dxa"/>
            <w:vAlign w:val="center"/>
          </w:tcPr>
          <w:p w14:paraId="089FBB02">
            <w:pPr>
              <w:pStyle w:val="6"/>
              <w:spacing w:before="65" w:line="22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第一标段</w:t>
            </w:r>
          </w:p>
        </w:tc>
        <w:tc>
          <w:tcPr>
            <w:tcW w:w="1270" w:type="dxa"/>
            <w:vAlign w:val="center"/>
          </w:tcPr>
          <w:p w14:paraId="732A95AF">
            <w:pPr>
              <w:pStyle w:val="6"/>
              <w:spacing w:before="65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1831825.24</w:t>
            </w:r>
          </w:p>
        </w:tc>
        <w:tc>
          <w:tcPr>
            <w:tcW w:w="1515" w:type="dxa"/>
            <w:vAlign w:val="center"/>
          </w:tcPr>
          <w:p w14:paraId="3B275DC6">
            <w:pPr>
              <w:pStyle w:val="6"/>
              <w:spacing w:before="65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1831825.24</w:t>
            </w:r>
          </w:p>
        </w:tc>
        <w:tc>
          <w:tcPr>
            <w:tcW w:w="1106" w:type="dxa"/>
            <w:vAlign w:val="center"/>
          </w:tcPr>
          <w:p w14:paraId="004C3B7B">
            <w:pPr>
              <w:pStyle w:val="6"/>
              <w:spacing w:before="65" w:line="231" w:lineRule="auto"/>
              <w:jc w:val="center"/>
            </w:pPr>
            <w:r>
              <w:t>是</w:t>
            </w:r>
          </w:p>
        </w:tc>
        <w:tc>
          <w:tcPr>
            <w:tcW w:w="1286" w:type="dxa"/>
            <w:vAlign w:val="center"/>
          </w:tcPr>
          <w:p w14:paraId="6C78BB9C">
            <w:pPr>
              <w:pStyle w:val="6"/>
              <w:spacing w:before="65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1831825.24</w:t>
            </w:r>
          </w:p>
        </w:tc>
      </w:tr>
      <w:tr w14:paraId="5001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34" w:type="dxa"/>
            <w:vAlign w:val="center"/>
          </w:tcPr>
          <w:p w14:paraId="08781071">
            <w:pPr>
              <w:pStyle w:val="6"/>
              <w:spacing w:before="65" w:line="270" w:lineRule="exact"/>
              <w:jc w:val="center"/>
              <w:rPr>
                <w:rFonts w:hint="eastAsia" w:eastAsia="宋体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2167" w:type="dxa"/>
            <w:vAlign w:val="center"/>
          </w:tcPr>
          <w:p w14:paraId="4780DA3B">
            <w:pPr>
              <w:pStyle w:val="6"/>
              <w:spacing w:before="65" w:line="268" w:lineRule="exact"/>
              <w:jc w:val="center"/>
              <w:rPr>
                <w:position w:val="1"/>
                <w:highlight w:val="yellow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highlight w:val="none"/>
              </w:rPr>
              <w:t>YZCG-DLC20260</w:t>
            </w:r>
            <w:r>
              <w:rPr>
                <w:rFonts w:hint="eastAsia" w:cs="宋体"/>
                <w:spacing w:val="7"/>
                <w:sz w:val="20"/>
                <w:szCs w:val="20"/>
                <w:highlight w:val="none"/>
                <w:lang w:val="en-US" w:eastAsia="zh-CN"/>
              </w:rPr>
              <w:t>62-</w:t>
            </w:r>
            <w:r>
              <w:rPr>
                <w:rFonts w:hint="eastAsia"/>
                <w:spacing w:val="8"/>
                <w:position w:val="1"/>
                <w:highlight w:val="none"/>
                <w:lang w:val="en-US" w:eastAsia="zh-CN"/>
              </w:rPr>
              <w:t>B</w:t>
            </w:r>
          </w:p>
        </w:tc>
        <w:tc>
          <w:tcPr>
            <w:tcW w:w="1372" w:type="dxa"/>
            <w:vAlign w:val="center"/>
          </w:tcPr>
          <w:p w14:paraId="50E78FAC">
            <w:pPr>
              <w:pStyle w:val="6"/>
              <w:spacing w:before="65" w:line="228" w:lineRule="auto"/>
              <w:jc w:val="center"/>
              <w:rPr>
                <w:rFonts w:hint="eastAsia" w:eastAsia="宋体"/>
                <w:spacing w:val="7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第二标段</w:t>
            </w:r>
          </w:p>
        </w:tc>
        <w:tc>
          <w:tcPr>
            <w:tcW w:w="1270" w:type="dxa"/>
            <w:vAlign w:val="center"/>
          </w:tcPr>
          <w:p w14:paraId="753461A7">
            <w:pPr>
              <w:pStyle w:val="6"/>
              <w:spacing w:before="65" w:line="268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 xml:space="preserve"> 1052569.46</w:t>
            </w:r>
          </w:p>
        </w:tc>
        <w:tc>
          <w:tcPr>
            <w:tcW w:w="1515" w:type="dxa"/>
            <w:vAlign w:val="center"/>
          </w:tcPr>
          <w:p w14:paraId="63E6AA4C">
            <w:pPr>
              <w:pStyle w:val="6"/>
              <w:spacing w:before="65" w:line="268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1052569.46</w:t>
            </w:r>
          </w:p>
        </w:tc>
        <w:tc>
          <w:tcPr>
            <w:tcW w:w="1106" w:type="dxa"/>
            <w:vAlign w:val="center"/>
          </w:tcPr>
          <w:p w14:paraId="7DDC19B0">
            <w:pPr>
              <w:pStyle w:val="6"/>
              <w:spacing w:before="65" w:line="23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286" w:type="dxa"/>
            <w:vAlign w:val="center"/>
          </w:tcPr>
          <w:p w14:paraId="65C0E03A">
            <w:pPr>
              <w:pStyle w:val="6"/>
              <w:spacing w:before="65" w:line="268" w:lineRule="exact"/>
              <w:ind w:left="117"/>
              <w:jc w:val="both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1052569.46</w:t>
            </w:r>
          </w:p>
        </w:tc>
      </w:tr>
    </w:tbl>
    <w:p w14:paraId="4B1FEAE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 采购需求（包括但不限于标的的名称、数量、简要技术需求或服务要求等）</w:t>
      </w:r>
    </w:p>
    <w:p w14:paraId="5CCB39B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/>
          <w:lang w:val="en-US" w:eastAsia="zh-CN"/>
        </w:rPr>
        <w:t>第一标段</w:t>
      </w:r>
      <w:r>
        <w:rPr>
          <w:rFonts w:ascii="宋体" w:hAnsi="宋体" w:eastAsia="宋体" w:cs="宋体"/>
          <w:spacing w:val="8"/>
          <w:sz w:val="20"/>
          <w:szCs w:val="20"/>
        </w:rPr>
        <w:t>：新建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1000平方米标准库房1栋；硬化晾晒场1000平方米；新建600立方米保鲜库1座。</w:t>
      </w:r>
      <w:r>
        <w:rPr>
          <w:rFonts w:hint="eastAsia"/>
          <w:lang w:val="en-US" w:eastAsia="zh-CN"/>
        </w:rPr>
        <w:t>第二标段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购置闭式热泵电烤房10套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（详见谈判文件）</w:t>
      </w:r>
    </w:p>
    <w:p w14:paraId="4EA99E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 交付（服务、完工）时间：签订合同后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日历天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。</w:t>
      </w:r>
    </w:p>
    <w:p w14:paraId="60F30EB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 本项目是否接受联合体投标：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否</w:t>
      </w:r>
    </w:p>
    <w:p w14:paraId="6BE8257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 是否接受进口产品：否</w:t>
      </w:r>
    </w:p>
    <w:p w14:paraId="4C9575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 是否专门面向中小企业：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是</w:t>
      </w:r>
    </w:p>
    <w:p w14:paraId="57B3E0A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二、供应商资格要求</w:t>
      </w:r>
    </w:p>
    <w:p w14:paraId="14434F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1.满足《中华人民共和国政府采购法》第二十二条规定。</w:t>
      </w:r>
    </w:p>
    <w:p w14:paraId="38E1B1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2.落实政府采购政策满足的资格要求： </w:t>
      </w:r>
    </w:p>
    <w:p w14:paraId="470B4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5" w:name="OLE_LINK26"/>
      <w:bookmarkStart w:id="6" w:name="OLE_LINK25"/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本项目落实节约能源、保护环境、扶持不发达地区和少数民族地区、促进中小企业、监狱企业发展等政府采购政策。</w:t>
      </w:r>
      <w:bookmarkEnd w:id="5"/>
      <w:bookmarkEnd w:id="6"/>
    </w:p>
    <w:p w14:paraId="06C762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3.本项目的特定资格要求：</w:t>
      </w:r>
    </w:p>
    <w:p w14:paraId="4E61BFB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第一标段：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供应商须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同时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具备建设行政主管部门核发的建筑工程施工总承包贰级及以上资质（未换发新资质证书的按照原相关规定执行，即未换发新资质证书的须具备建筑工程施工总承包叁级及以上资质，且资质证书在有效期之内）且具备有效的企业安全生产许可证。</w:t>
      </w:r>
    </w:p>
    <w:p w14:paraId="148D4FE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 拟派项目负责人具有建筑工程专业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级及以上注册建造师执业资格和有效的安全生产考核合格证，且未担任其他在施建设工程的项目负责人（出具加盖公章的无在建工程承诺书）。</w:t>
      </w:r>
    </w:p>
    <w:p w14:paraId="1784343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第二标段：无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。</w:t>
      </w:r>
    </w:p>
    <w:p w14:paraId="7CA9A2D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 w:eastAsia="zh-CN"/>
        </w:rPr>
        <w:t>注：符合条件的供应商可以投报多个标包，可以中多个标包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。</w:t>
      </w:r>
    </w:p>
    <w:p w14:paraId="434D46E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三、谈判文件的获取</w:t>
      </w:r>
    </w:p>
    <w:p w14:paraId="0F4F6A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7" w:name="OLE_LINK29"/>
      <w:bookmarkStart w:id="8" w:name="OLE_LINK28"/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，每天上午00:00至12:00，下午12:0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至23:59（北京时间，法定节假日除外。） </w:t>
      </w:r>
    </w:p>
    <w:p w14:paraId="10725D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2.地点：《全国公共资源交易平台（河南省·许昌市）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（https://ggzy.xuchang.gov.cn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）</w:t>
      </w:r>
    </w:p>
    <w:p w14:paraId="12B05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3.方式：自行下载 </w:t>
      </w:r>
      <w:bookmarkStart w:id="26" w:name="_GoBack"/>
      <w:bookmarkEnd w:id="26"/>
    </w:p>
    <w:p w14:paraId="07DC5D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4.售价：0元 </w:t>
      </w:r>
      <w:bookmarkEnd w:id="7"/>
      <w:bookmarkEnd w:id="8"/>
    </w:p>
    <w:p w14:paraId="07546D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四、</w:t>
      </w:r>
      <w:bookmarkStart w:id="9" w:name="OLE_LINK31"/>
      <w:bookmarkStart w:id="10" w:name="OLE_LINK3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响应文件提交</w:t>
      </w:r>
    </w:p>
    <w:p w14:paraId="592E73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 时 00 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（北京时间） </w:t>
      </w:r>
    </w:p>
    <w:p w14:paraId="297015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2.地点：本项目为全流程电子化交易项目，供应商须提交电子响应文件。</w:t>
      </w:r>
    </w:p>
    <w:p w14:paraId="4C861E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 </w:t>
      </w:r>
      <w:bookmarkEnd w:id="9"/>
      <w:bookmarkEnd w:id="10"/>
    </w:p>
    <w:p w14:paraId="3E85E5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五、</w:t>
      </w:r>
      <w:bookmarkStart w:id="11" w:name="OLE_LINK32"/>
      <w:bookmarkStart w:id="12" w:name="OLE_LINK33"/>
      <w:r>
        <w:rPr>
          <w:rStyle w:val="4"/>
          <w:rFonts w:hint="eastAsia" w:ascii="宋体" w:hAnsi="宋体" w:eastAsia="宋体" w:cs="宋体"/>
          <w:color w:val="auto"/>
          <w:sz w:val="21"/>
          <w:szCs w:val="21"/>
        </w:rPr>
        <w:t>响应文件开启</w:t>
      </w:r>
    </w:p>
    <w:p w14:paraId="617A21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 时 00 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（北京时间）</w:t>
      </w:r>
    </w:p>
    <w:p w14:paraId="26E1ED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2.地点：供应商进入“全国公共资源交易平台（河南省•许昌市）”——点击“平台导航”下方左侧的“网上开标大厅”进入不见面大厅登录页面</w:t>
      </w:r>
      <w:bookmarkStart w:id="13" w:name="OLE_LINK1"/>
      <w:bookmarkStart w:id="14" w:name="OLE_LINK2"/>
      <w:r>
        <w:rPr>
          <w:rFonts w:hint="eastAsia" w:ascii="宋体" w:hAnsi="宋体" w:eastAsia="宋体" w:cs="宋体"/>
          <w:color w:val="auto"/>
          <w:sz w:val="21"/>
          <w:szCs w:val="21"/>
        </w:rPr>
        <w:t>——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选择“投标人”身份，使用 CA 数字证书或移动数字证书登录——在“今日开标项目”中找到已投标的项目——鼠标点击该项目即可进入开标操作界面，在规定的开标时间内进行解密开标。 </w:t>
      </w:r>
      <w:bookmarkEnd w:id="11"/>
      <w:bookmarkEnd w:id="12"/>
    </w:p>
    <w:p w14:paraId="60A8A7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六、发布公告的媒介及招标公告期限 </w:t>
      </w:r>
    </w:p>
    <w:p w14:paraId="11B0DC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1"/>
          <w:szCs w:val="21"/>
        </w:rPr>
        <w:t>本次招标公告在《河南省政府采购网》《许昌市政府采购网》《全国公共资源交易平台（河南省·许昌市）》上发布。招标公告期限为三个工作日。</w:t>
      </w:r>
      <w:bookmarkEnd w:id="15"/>
      <w:bookmarkEnd w:id="16"/>
    </w:p>
    <w:p w14:paraId="3B7A0FB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bookmarkStart w:id="17" w:name="OLE_LINK36"/>
      <w:bookmarkStart w:id="18" w:name="OLE_LINK37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七、其他补充事宜</w:t>
      </w:r>
    </w:p>
    <w:p w14:paraId="4F1D6BD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 监督单位：</w:t>
      </w:r>
      <w:bookmarkStart w:id="19" w:name="OLE_LINK99"/>
      <w:bookmarkStart w:id="20" w:name="OLE_LINK100"/>
      <w:r>
        <w:rPr>
          <w:rFonts w:hint="eastAsia" w:ascii="宋体" w:hAnsi="宋体" w:eastAsia="宋体" w:cs="宋体"/>
          <w:color w:val="auto"/>
          <w:sz w:val="21"/>
          <w:szCs w:val="21"/>
        </w:rPr>
        <w:t>禹州市政府采购监督管理办公室</w:t>
      </w:r>
      <w:bookmarkEnd w:id="19"/>
      <w:bookmarkEnd w:id="20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</w:t>
      </w:r>
      <w:bookmarkStart w:id="21" w:name="OLE_LINK101"/>
      <w:r>
        <w:rPr>
          <w:rFonts w:hint="eastAsia" w:ascii="宋体" w:hAnsi="宋体" w:eastAsia="宋体" w:cs="宋体"/>
          <w:color w:val="auto"/>
          <w:sz w:val="21"/>
          <w:szCs w:val="21"/>
        </w:rPr>
        <w:t>0374-8112523</w:t>
      </w:r>
      <w:bookmarkEnd w:id="21"/>
    </w:p>
    <w:p w14:paraId="0D0BCF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项目编号以本谈判文件中的采购编号为准，采购编号：</w:t>
      </w:r>
      <w:bookmarkEnd w:id="17"/>
      <w:bookmarkEnd w:id="1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YZCG-DLT2026062</w:t>
      </w:r>
    </w:p>
    <w:p w14:paraId="056992A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八、凡对本次招标提出询问，请按照以下方式联系</w:t>
      </w:r>
    </w:p>
    <w:p w14:paraId="2364D5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bookmarkStart w:id="22" w:name="OLE_LINK42"/>
      <w:bookmarkStart w:id="23" w:name="OLE_LINK43"/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1.采购人信息</w:t>
      </w:r>
      <w:bookmarkEnd w:id="22"/>
      <w:bookmarkEnd w:id="23"/>
    </w:p>
    <w:p w14:paraId="2AAAE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bookmarkStart w:id="24" w:name="OLE_LINK38"/>
      <w:bookmarkStart w:id="25" w:name="OLE_LINK39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：禹州市花石镇人民政府</w:t>
      </w:r>
    </w:p>
    <w:p w14:paraId="524D7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地址：</w:t>
      </w:r>
      <w:r>
        <w:rPr>
          <w:rFonts w:ascii="Arial" w:hAnsi="Arial" w:eastAsia="宋体" w:cs="Arial"/>
          <w:i w:val="0"/>
          <w:iCs w:val="0"/>
          <w:caps w:val="0"/>
          <w:spacing w:val="0"/>
          <w:sz w:val="21"/>
          <w:szCs w:val="21"/>
          <w:shd w:val="clear" w:fill="FFFFFF"/>
        </w:rPr>
        <w:t>禹州市花石镇平安大道1号院</w:t>
      </w:r>
    </w:p>
    <w:p w14:paraId="47D38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联系人：张先生</w:t>
      </w:r>
    </w:p>
    <w:p w14:paraId="42436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联系电话：15939906289</w:t>
      </w:r>
    </w:p>
    <w:p w14:paraId="0ABBAA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2.采购代理机构信息</w:t>
      </w:r>
    </w:p>
    <w:bookmarkEnd w:id="24"/>
    <w:bookmarkEnd w:id="25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名称：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北京中兴恒工程咨询有限公司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地址：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郑州市金水区黄河路1号瀚海璞丽中心A座1106号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联系人：席先生    </w:t>
      </w:r>
    </w:p>
    <w:p w14:paraId="1D613803">
      <w:pPr>
        <w:spacing w:line="360" w:lineRule="auto"/>
        <w:ind w:firstLine="420" w:firstLineChars="200"/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联系电话：</w:t>
      </w:r>
      <w:r>
        <w:rPr>
          <w:rFonts w:hint="eastAsia" w:ascii="宋体" w:hAnsi="宋体" w:eastAsia="宋体" w:cs="宋体"/>
          <w:spacing w:val="5"/>
          <w:sz w:val="20"/>
          <w:szCs w:val="20"/>
          <w:lang w:eastAsia="zh-CN"/>
        </w:rPr>
        <w:t>0371-55613600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A1C3C"/>
    <w:multiLevelType w:val="multilevel"/>
    <w:tmpl w:val="66CA1C3C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0BD4"/>
    <w:rsid w:val="28980822"/>
    <w:rsid w:val="46A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1794</Characters>
  <Lines>0</Lines>
  <Paragraphs>0</Paragraphs>
  <TotalTime>1</TotalTime>
  <ScaleCrop>false</ScaleCrop>
  <LinksUpToDate>false</LinksUpToDate>
  <CharactersWithSpaces>1851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2026-07-23T15:26:00Z</dcterms:created>
  <dc:creator>Administrator</dc:creator>
  <cp:lastModifiedBy>xhgcz</cp:lastModifiedBy>
  <dcterms:modified xsi:type="dcterms:W3CDTF">2026-07-23T16:22:48Z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0D297184475B47BDB39236F5E68FC848_13</vt:lpwstr>
  </property>
  <property fmtid="{D5CDD505-2E9C-101B-9397-08002B2CF9AE}" pid="4" name="KSOTemplateDocerSaveRecord">
    <vt:lpwstr>eyJoZGlkIjoiY2EwZTQ2N2QxYzM0ZGE5YTVlZDNmMzczOTA0ZDMzMjYiLCJ1c2VySWQiOiI2NTk4NDY4NTUifQ==</vt:lpwstr>
  </property>
</Properties>
</file>