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B1BC4">
      <w:pPr>
        <w:jc w:val="center"/>
        <w:rPr>
          <w:rFonts w:hint="eastAsia" w:ascii="宋体" w:hAnsi="宋体" w:eastAsia="宋体" w:cs="宋体"/>
          <w:bCs/>
          <w:color w:val="auto"/>
          <w:sz w:val="40"/>
          <w:szCs w:val="40"/>
          <w:highlight w:val="none"/>
          <w:lang w:eastAsia="zh-CN"/>
        </w:rPr>
      </w:pPr>
    </w:p>
    <w:p w14:paraId="6077D08A">
      <w:pPr>
        <w:jc w:val="center"/>
        <w:rPr>
          <w:rFonts w:hint="eastAsia" w:ascii="宋体" w:hAnsi="宋体" w:eastAsia="宋体" w:cs="宋体"/>
          <w:color w:val="auto"/>
          <w:highlight w:val="none"/>
        </w:rPr>
      </w:pPr>
      <w:r>
        <w:rPr>
          <w:rFonts w:hint="eastAsia" w:ascii="宋体" w:hAnsi="宋体" w:eastAsia="宋体" w:cs="宋体"/>
          <w:b/>
          <w:bCs/>
          <w:color w:val="auto"/>
          <w:sz w:val="44"/>
          <w:szCs w:val="44"/>
          <w:highlight w:val="none"/>
          <w:lang w:val="en-US" w:eastAsia="zh-CN"/>
        </w:rPr>
        <w:t>禹州市农业农村局2026年中央财政农业防灾减灾资金（防灾救灾第六批）采购项目</w:t>
      </w:r>
    </w:p>
    <w:p w14:paraId="0C49A1DD">
      <w:pPr>
        <w:rPr>
          <w:rFonts w:hint="eastAsia" w:ascii="宋体" w:hAnsi="宋体" w:eastAsia="宋体" w:cs="宋体"/>
          <w:color w:val="auto"/>
          <w:highlight w:val="none"/>
        </w:rPr>
      </w:pPr>
    </w:p>
    <w:p w14:paraId="5CE957EB">
      <w:pPr>
        <w:rPr>
          <w:rFonts w:hint="eastAsia" w:ascii="宋体" w:hAnsi="宋体" w:eastAsia="宋体" w:cs="宋体"/>
          <w:color w:val="auto"/>
          <w:highlight w:val="none"/>
        </w:rPr>
      </w:pPr>
    </w:p>
    <w:p w14:paraId="15E97D4B">
      <w:pPr>
        <w:rPr>
          <w:rFonts w:hint="eastAsia" w:ascii="宋体" w:hAnsi="宋体" w:eastAsia="宋体" w:cs="宋体"/>
          <w:color w:val="auto"/>
          <w:highlight w:val="none"/>
        </w:rPr>
      </w:pPr>
    </w:p>
    <w:p w14:paraId="7DC8164D">
      <w:pPr>
        <w:rPr>
          <w:rFonts w:hint="eastAsia" w:ascii="宋体" w:hAnsi="宋体" w:eastAsia="宋体" w:cs="宋体"/>
          <w:color w:val="auto"/>
          <w:highlight w:val="none"/>
        </w:rPr>
      </w:pPr>
    </w:p>
    <w:p w14:paraId="447C585A">
      <w:pPr>
        <w:rPr>
          <w:rFonts w:hint="eastAsia" w:ascii="宋体" w:hAnsi="宋体" w:eastAsia="宋体" w:cs="宋体"/>
          <w:color w:val="auto"/>
          <w:highlight w:val="none"/>
        </w:rPr>
      </w:pPr>
    </w:p>
    <w:p w14:paraId="25F67EC7">
      <w:pPr>
        <w:rPr>
          <w:rFonts w:hint="eastAsia" w:ascii="宋体" w:hAnsi="宋体" w:eastAsia="宋体" w:cs="宋体"/>
          <w:color w:val="auto"/>
          <w:highlight w:val="none"/>
        </w:rPr>
      </w:pPr>
    </w:p>
    <w:p w14:paraId="35240179">
      <w:pPr>
        <w:rPr>
          <w:rFonts w:hint="eastAsia" w:ascii="宋体" w:hAnsi="宋体" w:eastAsia="宋体" w:cs="宋体"/>
          <w:color w:val="auto"/>
          <w:highlight w:val="none"/>
        </w:rPr>
      </w:pPr>
    </w:p>
    <w:p w14:paraId="31A033FF">
      <w:pPr>
        <w:rPr>
          <w:rFonts w:hint="eastAsia" w:ascii="宋体" w:hAnsi="宋体" w:eastAsia="宋体" w:cs="宋体"/>
          <w:color w:val="auto"/>
          <w:highlight w:val="none"/>
        </w:rPr>
      </w:pPr>
    </w:p>
    <w:p w14:paraId="3851FB4D">
      <w:pPr>
        <w:rPr>
          <w:rFonts w:hint="eastAsia" w:ascii="宋体" w:hAnsi="宋体" w:eastAsia="宋体" w:cs="宋体"/>
          <w:color w:val="auto"/>
          <w:highlight w:val="none"/>
        </w:rPr>
      </w:pPr>
    </w:p>
    <w:p w14:paraId="50BC5E9D">
      <w:pPr>
        <w:jc w:val="center"/>
        <w:rPr>
          <w:rFonts w:hint="eastAsia" w:ascii="宋体" w:hAnsi="宋体" w:eastAsia="宋体" w:cs="宋体"/>
          <w:b/>
          <w:bCs/>
          <w:color w:val="auto"/>
          <w:w w:val="90"/>
          <w:sz w:val="72"/>
          <w:szCs w:val="72"/>
          <w:highlight w:val="none"/>
        </w:rPr>
      </w:pPr>
      <w:r>
        <w:rPr>
          <w:rFonts w:hint="eastAsia" w:ascii="宋体" w:hAnsi="宋体" w:eastAsia="宋体" w:cs="宋体"/>
          <w:b/>
          <w:bCs/>
          <w:color w:val="auto"/>
          <w:w w:val="90"/>
          <w:sz w:val="72"/>
          <w:szCs w:val="72"/>
          <w:highlight w:val="none"/>
        </w:rPr>
        <w:t>竞争性磋商文件</w:t>
      </w:r>
    </w:p>
    <w:p w14:paraId="614502D0">
      <w:pPr>
        <w:rPr>
          <w:rFonts w:hint="eastAsia" w:ascii="宋体" w:hAnsi="宋体" w:eastAsia="宋体" w:cs="宋体"/>
          <w:color w:val="auto"/>
          <w:highlight w:val="none"/>
        </w:rPr>
      </w:pPr>
    </w:p>
    <w:p w14:paraId="56AED1D2">
      <w:pPr>
        <w:rPr>
          <w:rFonts w:hint="eastAsia" w:ascii="宋体" w:hAnsi="宋体" w:eastAsia="宋体" w:cs="宋体"/>
          <w:color w:val="auto"/>
          <w:highlight w:val="none"/>
        </w:rPr>
      </w:pPr>
    </w:p>
    <w:p w14:paraId="577A9C4A">
      <w:pPr>
        <w:rPr>
          <w:rFonts w:hint="eastAsia" w:ascii="宋体" w:hAnsi="宋体" w:eastAsia="宋体" w:cs="宋体"/>
          <w:color w:val="auto"/>
          <w:highlight w:val="none"/>
        </w:rPr>
      </w:pPr>
    </w:p>
    <w:p w14:paraId="48360B5E">
      <w:pPr>
        <w:rPr>
          <w:rFonts w:hint="eastAsia" w:ascii="宋体" w:hAnsi="宋体" w:eastAsia="宋体" w:cs="宋体"/>
          <w:color w:val="auto"/>
          <w:highlight w:val="none"/>
        </w:rPr>
      </w:pPr>
    </w:p>
    <w:p w14:paraId="6FE1B63A">
      <w:pPr>
        <w:rPr>
          <w:rFonts w:hint="eastAsia" w:ascii="宋体" w:hAnsi="宋体" w:eastAsia="宋体" w:cs="宋体"/>
          <w:color w:val="auto"/>
          <w:highlight w:val="none"/>
        </w:rPr>
      </w:pPr>
    </w:p>
    <w:p w14:paraId="2176E2D7">
      <w:pPr>
        <w:rPr>
          <w:rFonts w:hint="eastAsia" w:ascii="宋体" w:hAnsi="宋体" w:eastAsia="宋体" w:cs="宋体"/>
          <w:color w:val="auto"/>
          <w:highlight w:val="none"/>
        </w:rPr>
      </w:pPr>
    </w:p>
    <w:p w14:paraId="0F97CA63">
      <w:pPr>
        <w:rPr>
          <w:rFonts w:hint="eastAsia" w:ascii="宋体" w:hAnsi="宋体" w:eastAsia="宋体" w:cs="宋体"/>
          <w:color w:val="auto"/>
          <w:highlight w:val="none"/>
        </w:rPr>
      </w:pPr>
    </w:p>
    <w:p w14:paraId="59A6A635">
      <w:pPr>
        <w:rPr>
          <w:rFonts w:hint="eastAsia" w:ascii="宋体" w:hAnsi="宋体" w:eastAsia="宋体" w:cs="宋体"/>
          <w:color w:val="auto"/>
          <w:highlight w:val="none"/>
        </w:rPr>
      </w:pPr>
    </w:p>
    <w:p w14:paraId="3874D2E6">
      <w:pPr>
        <w:rPr>
          <w:rFonts w:hint="eastAsia" w:ascii="宋体" w:hAnsi="宋体" w:eastAsia="宋体" w:cs="宋体"/>
          <w:color w:val="auto"/>
          <w:highlight w:val="none"/>
        </w:rPr>
      </w:pPr>
    </w:p>
    <w:p w14:paraId="3968CD8C">
      <w:pPr>
        <w:rPr>
          <w:rFonts w:hint="eastAsia" w:ascii="宋体" w:hAnsi="宋体" w:eastAsia="宋体" w:cs="宋体"/>
          <w:color w:val="auto"/>
          <w:highlight w:val="none"/>
        </w:rPr>
      </w:pPr>
    </w:p>
    <w:p w14:paraId="28DF0F99">
      <w:pPr>
        <w:rPr>
          <w:rFonts w:hint="eastAsia" w:ascii="宋体" w:hAnsi="宋体" w:eastAsia="宋体" w:cs="宋体"/>
          <w:color w:val="auto"/>
          <w:highlight w:val="none"/>
        </w:rPr>
      </w:pPr>
    </w:p>
    <w:p w14:paraId="1E611281">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default"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采购编号：</w:t>
      </w:r>
      <w:r>
        <w:rPr>
          <w:rFonts w:hint="eastAsia" w:ascii="宋体" w:hAnsi="宋体" w:eastAsia="宋体" w:cs="宋体"/>
          <w:b/>
          <w:bCs/>
          <w:color w:val="auto"/>
          <w:sz w:val="36"/>
          <w:szCs w:val="36"/>
          <w:highlight w:val="none"/>
          <w:lang w:eastAsia="zh-CN"/>
        </w:rPr>
        <w:t>YZCG-DLC2026</w:t>
      </w:r>
      <w:r>
        <w:rPr>
          <w:rFonts w:hint="eastAsia" w:ascii="宋体" w:hAnsi="宋体" w:eastAsia="宋体" w:cs="宋体"/>
          <w:b/>
          <w:bCs/>
          <w:color w:val="auto"/>
          <w:sz w:val="36"/>
          <w:szCs w:val="36"/>
          <w:highlight w:val="none"/>
          <w:lang w:val="en-US" w:eastAsia="zh-CN"/>
        </w:rPr>
        <w:t xml:space="preserve">084 </w:t>
      </w:r>
    </w:p>
    <w:p w14:paraId="59776248">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采购单位：</w:t>
      </w:r>
      <w:r>
        <w:rPr>
          <w:rFonts w:hint="eastAsia" w:ascii="宋体" w:hAnsi="宋体" w:eastAsia="宋体" w:cs="宋体"/>
          <w:b/>
          <w:bCs/>
          <w:color w:val="auto"/>
          <w:sz w:val="36"/>
          <w:szCs w:val="36"/>
          <w:highlight w:val="none"/>
          <w:lang w:eastAsia="zh-CN"/>
        </w:rPr>
        <w:t>禹州市农业农村局</w:t>
      </w:r>
    </w:p>
    <w:p w14:paraId="79DFECD2">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代理机构：</w:t>
      </w:r>
      <w:r>
        <w:rPr>
          <w:rFonts w:hint="eastAsia" w:ascii="宋体" w:hAnsi="宋体" w:eastAsia="宋体" w:cs="宋体"/>
          <w:b/>
          <w:bCs/>
          <w:color w:val="auto"/>
          <w:sz w:val="36"/>
          <w:szCs w:val="36"/>
          <w:highlight w:val="none"/>
          <w:lang w:eastAsia="zh-CN"/>
        </w:rPr>
        <w:t>师梦勘测设计集团有限公司</w:t>
      </w:r>
    </w:p>
    <w:p w14:paraId="16B20706">
      <w:pPr>
        <w:keepNext w:val="0"/>
        <w:keepLines w:val="0"/>
        <w:pageBreakBefore w:val="0"/>
        <w:widowControl w:val="0"/>
        <w:kinsoku/>
        <w:wordWrap/>
        <w:overflowPunct/>
        <w:topLinePunct w:val="0"/>
        <w:bidi w:val="0"/>
        <w:snapToGrid/>
        <w:spacing w:line="900" w:lineRule="exact"/>
        <w:ind w:firstLine="3408" w:firstLineChars="943"/>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二〇二</w:t>
      </w:r>
      <w:r>
        <w:rPr>
          <w:rFonts w:hint="eastAsia" w:ascii="宋体" w:hAnsi="宋体" w:eastAsia="宋体" w:cs="宋体"/>
          <w:b/>
          <w:bCs/>
          <w:color w:val="auto"/>
          <w:sz w:val="36"/>
          <w:szCs w:val="36"/>
          <w:highlight w:val="none"/>
          <w:lang w:val="en-US" w:eastAsia="zh-CN"/>
        </w:rPr>
        <w:t>六</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九</w:t>
      </w:r>
      <w:r>
        <w:rPr>
          <w:rFonts w:hint="eastAsia" w:ascii="宋体" w:hAnsi="宋体" w:eastAsia="宋体" w:cs="宋体"/>
          <w:b/>
          <w:bCs/>
          <w:color w:val="auto"/>
          <w:sz w:val="36"/>
          <w:szCs w:val="36"/>
          <w:highlight w:val="none"/>
        </w:rPr>
        <w:t>月</w:t>
      </w:r>
    </w:p>
    <w:p w14:paraId="534E946F">
      <w:pPr>
        <w:keepNext w:val="0"/>
        <w:keepLines w:val="0"/>
        <w:pageBreakBefore w:val="0"/>
        <w:widowControl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cs="宋体"/>
          <w:b/>
          <w:color w:val="auto"/>
          <w:kern w:val="0"/>
          <w:sz w:val="44"/>
          <w:szCs w:val="44"/>
          <w:highlight w:val="none"/>
        </w:rPr>
        <w:sectPr>
          <w:pgSz w:w="11906" w:h="16838"/>
          <w:pgMar w:top="1440" w:right="1531" w:bottom="1440" w:left="1531" w:header="851" w:footer="992" w:gutter="0"/>
          <w:pgNumType w:fmt="decimal" w:start="1"/>
          <w:cols w:space="425" w:num="1"/>
          <w:docGrid w:type="lines" w:linePitch="312" w:charSpace="0"/>
        </w:sectPr>
      </w:pPr>
    </w:p>
    <w:p w14:paraId="6F45ED73">
      <w:pPr>
        <w:autoSpaceDE w:val="0"/>
        <w:autoSpaceDN w:val="0"/>
        <w:adjustRightInd w:val="0"/>
        <w:spacing w:line="700" w:lineRule="exact"/>
        <w:jc w:val="cente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目    录</w:t>
      </w:r>
    </w:p>
    <w:p w14:paraId="7B4DEE9C">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p>
    <w:p w14:paraId="6B4ECD2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磋商邀请</w:t>
      </w:r>
    </w:p>
    <w:p w14:paraId="244B18D4">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644593CE">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66AD2311">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74334718">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7F12F102">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二、磋商文件说明</w:t>
      </w:r>
    </w:p>
    <w:p w14:paraId="2E119D29">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29E3929B">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513469F0">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五、磋商和评审</w:t>
      </w:r>
    </w:p>
    <w:p w14:paraId="64F8AA9D">
      <w:pPr>
        <w:autoSpaceDE w:val="0"/>
        <w:autoSpaceDN w:val="0"/>
        <w:adjustRightInd w:val="0"/>
        <w:spacing w:line="700" w:lineRule="exact"/>
        <w:ind w:firstLine="551"/>
        <w:rPr>
          <w:rFonts w:hint="eastAsia"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5DF8947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0590B42E">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0C27CF99">
      <w:pPr>
        <w:autoSpaceDE w:val="0"/>
        <w:autoSpaceDN w:val="0"/>
        <w:adjustRightInd w:val="0"/>
        <w:spacing w:line="700" w:lineRule="exact"/>
        <w:ind w:firstLine="551"/>
        <w:outlineLvl w:val="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14:paraId="28164D4B">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1ED4BA2F">
      <w:pPr>
        <w:jc w:val="both"/>
        <w:rPr>
          <w:rFonts w:hint="eastAsia" w:ascii="宋体" w:hAnsi="宋体" w:eastAsia="宋体" w:cs="宋体"/>
          <w:b/>
          <w:color w:val="auto"/>
          <w:kern w:val="0"/>
          <w:sz w:val="32"/>
          <w:szCs w:val="32"/>
          <w:highlight w:val="none"/>
        </w:rPr>
      </w:pPr>
    </w:p>
    <w:p w14:paraId="500D4DB7">
      <w:pPr>
        <w:jc w:val="both"/>
        <w:rPr>
          <w:rFonts w:hint="eastAsia" w:ascii="宋体" w:hAnsi="宋体" w:eastAsia="宋体" w:cs="宋体"/>
          <w:b/>
          <w:color w:val="auto"/>
          <w:kern w:val="0"/>
          <w:sz w:val="32"/>
          <w:szCs w:val="32"/>
          <w:highlight w:val="none"/>
        </w:rPr>
      </w:pPr>
    </w:p>
    <w:p w14:paraId="64C93F8C">
      <w:pPr>
        <w:jc w:val="both"/>
        <w:rPr>
          <w:rFonts w:hint="eastAsia" w:ascii="宋体" w:hAnsi="宋体" w:eastAsia="宋体" w:cs="宋体"/>
          <w:b/>
          <w:color w:val="auto"/>
          <w:kern w:val="0"/>
          <w:sz w:val="32"/>
          <w:szCs w:val="32"/>
          <w:highlight w:val="none"/>
        </w:rPr>
      </w:pPr>
    </w:p>
    <w:p w14:paraId="2EFA7C7B">
      <w:pPr>
        <w:jc w:val="both"/>
        <w:rPr>
          <w:rFonts w:hint="eastAsia" w:ascii="宋体" w:hAnsi="宋体" w:eastAsia="宋体" w:cs="宋体"/>
          <w:b/>
          <w:color w:val="auto"/>
          <w:kern w:val="0"/>
          <w:sz w:val="32"/>
          <w:szCs w:val="32"/>
          <w:highlight w:val="none"/>
        </w:rPr>
      </w:pPr>
    </w:p>
    <w:p w14:paraId="766586A4">
      <w:pPr>
        <w:numPr>
          <w:ilvl w:val="0"/>
          <w:numId w:val="3"/>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磋商邀请</w:t>
      </w:r>
    </w:p>
    <w:p w14:paraId="0540005C">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项目概况</w:t>
      </w:r>
    </w:p>
    <w:p w14:paraId="26BED912">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禹州市农业农村局2026年中央财政农业防灾减灾资金（防灾救灾第六批）采购项目的</w:t>
      </w:r>
      <w:r>
        <w:rPr>
          <w:rFonts w:hint="eastAsia" w:ascii="宋体" w:hAnsi="宋体" w:eastAsia="宋体" w:cs="宋体"/>
          <w:color w:val="auto"/>
          <w:sz w:val="21"/>
          <w:szCs w:val="21"/>
          <w:highlight w:val="none"/>
        </w:rPr>
        <w:t>潜在投标人应在投标截止时间前登录《全国公共资源交易平台（河南省·许昌市）》</w:t>
      </w:r>
      <w:r>
        <w:rPr>
          <w:rFonts w:hint="eastAsia" w:ascii="宋体" w:hAnsi="宋体" w:eastAsia="宋体" w:cs="宋体"/>
          <w:color w:val="auto"/>
          <w:sz w:val="21"/>
          <w:szCs w:val="21"/>
          <w:highlight w:val="none"/>
          <w:u w:val="none"/>
          <w:lang w:eastAsia="zh-CN"/>
        </w:rPr>
        <w:t>（</w:t>
      </w:r>
      <w:r>
        <w:rPr>
          <w:rStyle w:val="26"/>
          <w:rFonts w:hint="eastAsia" w:ascii="宋体" w:hAnsi="宋体" w:eastAsia="宋体" w:cs="宋体"/>
          <w:color w:val="auto"/>
          <w:sz w:val="21"/>
          <w:szCs w:val="21"/>
          <w:highlight w:val="none"/>
          <w:u w:val="none"/>
        </w:rPr>
        <w:t>https://ggzy.xuchang.gov.cn</w:t>
      </w:r>
      <w:r>
        <w:rPr>
          <w:rFonts w:hint="eastAsia" w:ascii="宋体" w:hAnsi="宋体" w:eastAsia="宋体" w:cs="宋体"/>
          <w:color w:val="auto"/>
          <w:sz w:val="21"/>
          <w:szCs w:val="21"/>
          <w:highlight w:val="none"/>
        </w:rPr>
        <w:t>）自行免费下载获取招标文件，并于202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08时3</w:t>
      </w:r>
      <w:r>
        <w:rPr>
          <w:rFonts w:hint="eastAsia" w:ascii="宋体" w:hAnsi="宋体" w:eastAsia="宋体" w:cs="宋体"/>
          <w:color w:val="auto"/>
          <w:sz w:val="21"/>
          <w:szCs w:val="21"/>
          <w:highlight w:val="none"/>
        </w:rPr>
        <w:t>0分（北京时间）前递交</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w:t>
      </w:r>
    </w:p>
    <w:p w14:paraId="01146CB9">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5A645B9E">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1.项目编号：</w:t>
      </w:r>
      <w:r>
        <w:rPr>
          <w:rFonts w:hint="eastAsia" w:ascii="宋体" w:hAnsi="宋体" w:eastAsia="宋体" w:cs="宋体"/>
          <w:color w:val="auto"/>
          <w:sz w:val="21"/>
          <w:szCs w:val="21"/>
          <w:highlight w:val="none"/>
          <w:lang w:eastAsia="zh-CN"/>
        </w:rPr>
        <w:t>YZCG-DLC2026</w:t>
      </w:r>
      <w:r>
        <w:rPr>
          <w:rFonts w:hint="eastAsia" w:ascii="宋体" w:hAnsi="宋体" w:eastAsia="宋体" w:cs="宋体"/>
          <w:color w:val="auto"/>
          <w:sz w:val="21"/>
          <w:szCs w:val="21"/>
          <w:highlight w:val="none"/>
          <w:lang w:val="en-US" w:eastAsia="zh-CN"/>
        </w:rPr>
        <w:t xml:space="preserve">084  </w:t>
      </w:r>
    </w:p>
    <w:p w14:paraId="1915C07D">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2.项目名称：</w:t>
      </w:r>
      <w:r>
        <w:rPr>
          <w:rFonts w:hint="eastAsia" w:ascii="宋体" w:hAnsi="宋体" w:eastAsia="宋体" w:cs="宋体"/>
          <w:color w:val="auto"/>
          <w:kern w:val="2"/>
          <w:sz w:val="21"/>
          <w:szCs w:val="21"/>
          <w:highlight w:val="none"/>
          <w:lang w:val="en-US" w:eastAsia="zh-CN" w:bidi="ar-SA"/>
        </w:rPr>
        <w:t>禹州市农业农村局2026年中央财政农业防灾减灾资金（防灾救灾第六批）采购项目</w:t>
      </w:r>
    </w:p>
    <w:p w14:paraId="091D2AA9">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14:paraId="2E552566">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4.预算金额：</w:t>
      </w:r>
      <w:r>
        <w:rPr>
          <w:rFonts w:hint="eastAsia" w:ascii="宋体" w:hAnsi="宋体" w:eastAsia="宋体" w:cs="宋体"/>
          <w:color w:val="auto"/>
          <w:sz w:val="21"/>
          <w:szCs w:val="21"/>
          <w:highlight w:val="none"/>
          <w:lang w:val="en-US" w:eastAsia="zh-CN"/>
        </w:rPr>
        <w:t>910000</w:t>
      </w:r>
      <w:r>
        <w:rPr>
          <w:rFonts w:hint="eastAsia" w:ascii="宋体" w:hAnsi="宋体" w:eastAsia="宋体" w:cs="宋体"/>
          <w:color w:val="auto"/>
          <w:sz w:val="21"/>
          <w:szCs w:val="21"/>
          <w:highlight w:val="none"/>
        </w:rPr>
        <w:t>元</w:t>
      </w:r>
    </w:p>
    <w:p w14:paraId="3D7A1567">
      <w:pPr>
        <w:keepNext w:val="0"/>
        <w:keepLines w:val="0"/>
        <w:pageBreakBefore w:val="0"/>
        <w:widowControl w:val="0"/>
        <w:kinsoku/>
        <w:overflowPunct/>
        <w:topLinePunct w:val="0"/>
        <w:autoSpaceDE/>
        <w:autoSpaceDN/>
        <w:bidi w:val="0"/>
        <w:adjustRightInd/>
        <w:snapToGrid/>
        <w:spacing w:line="520" w:lineRule="exact"/>
        <w:ind w:firstLine="630" w:firstLineChars="3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i w:val="0"/>
          <w:iCs w:val="0"/>
          <w:color w:val="auto"/>
          <w:sz w:val="21"/>
          <w:szCs w:val="21"/>
          <w:highlight w:val="none"/>
          <w:u w:val="none"/>
          <w:lang w:val="en-US" w:eastAsia="zh-CN"/>
        </w:rPr>
        <w:t>910000</w:t>
      </w:r>
      <w:r>
        <w:rPr>
          <w:rFonts w:hint="eastAsia" w:ascii="宋体" w:hAnsi="宋体" w:eastAsia="宋体" w:cs="宋体"/>
          <w:color w:val="auto"/>
          <w:sz w:val="21"/>
          <w:szCs w:val="21"/>
          <w:highlight w:val="none"/>
        </w:rPr>
        <w:t xml:space="preserve">元 </w:t>
      </w:r>
    </w:p>
    <w:tbl>
      <w:tblPr>
        <w:tblStyle w:val="17"/>
        <w:tblW w:w="504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6"/>
        <w:gridCol w:w="1568"/>
        <w:gridCol w:w="1711"/>
        <w:gridCol w:w="1516"/>
        <w:gridCol w:w="1516"/>
        <w:gridCol w:w="1107"/>
        <w:gridCol w:w="1282"/>
      </w:tblGrid>
      <w:tr w14:paraId="4DBA2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99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38A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包号</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E9A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包名称</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F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包预算（元）</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4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包最高限价（元）</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A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是否专门面向中小企业</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0A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采购预留金额（元）</w:t>
            </w:r>
          </w:p>
        </w:tc>
      </w:tr>
      <w:tr w14:paraId="2B3AE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2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5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CD1E">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 xml:space="preserve">YZCG-DLC2026084 </w:t>
            </w:r>
          </w:p>
        </w:tc>
        <w:tc>
          <w:tcPr>
            <w:tcW w:w="9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DB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color w:val="auto"/>
                <w:kern w:val="2"/>
                <w:sz w:val="21"/>
                <w:szCs w:val="21"/>
                <w:highlight w:val="none"/>
                <w:lang w:val="en-US" w:eastAsia="zh-CN" w:bidi="ar-SA"/>
              </w:rPr>
              <w:t>禹州市农业农村局2026年中央财政农业防灾减灾资金（防灾救灾第六批）采购项目</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E289">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910000</w:t>
            </w:r>
          </w:p>
        </w:tc>
        <w:tc>
          <w:tcPr>
            <w:tcW w:w="8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644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910000</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3F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7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A0BA3">
            <w:pPr>
              <w:keepNext w:val="0"/>
              <w:keepLines w:val="0"/>
              <w:widowControl/>
              <w:suppressLineNumbers w:val="0"/>
              <w:ind w:firstLine="210" w:firstLineChars="10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910000</w:t>
            </w:r>
          </w:p>
        </w:tc>
      </w:tr>
    </w:tbl>
    <w:p w14:paraId="22207662">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采购需求（包括但不限于标的的名称、数量、简要技术需求或服务要求等）：</w:t>
      </w:r>
    </w:p>
    <w:p w14:paraId="05F556B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禹州市农业农村局2026年中央财政农业防灾减灾资金（防灾救灾第六批）采购项目，</w:t>
      </w:r>
      <w:r>
        <w:rPr>
          <w:rFonts w:hint="eastAsia" w:asciiTheme="minorEastAsia" w:hAnsiTheme="minorEastAsia" w:eastAsiaTheme="minorEastAsia" w:cstheme="minorEastAsia"/>
          <w:color w:val="auto"/>
        </w:rPr>
        <w:t>统防统治</w:t>
      </w:r>
      <w:r>
        <w:rPr>
          <w:rFonts w:hint="eastAsia" w:asciiTheme="minorEastAsia" w:hAnsiTheme="minorEastAsia" w:cstheme="minorEastAsia"/>
          <w:color w:val="auto"/>
          <w:lang w:val="en-US" w:eastAsia="zh-CN"/>
        </w:rPr>
        <w:t>面积</w:t>
      </w:r>
      <w:r>
        <w:rPr>
          <w:rFonts w:hint="eastAsia" w:ascii="宋体" w:hAnsi="宋体" w:eastAsia="宋体" w:cs="宋体"/>
          <w:color w:val="auto"/>
          <w:kern w:val="2"/>
          <w:sz w:val="21"/>
          <w:szCs w:val="21"/>
          <w:highlight w:val="none"/>
          <w:lang w:val="en-US" w:eastAsia="zh-CN" w:bidi="ar-SA"/>
        </w:rPr>
        <w:t>72800亩，</w:t>
      </w:r>
      <w:r>
        <w:rPr>
          <w:rFonts w:hint="eastAsia" w:asciiTheme="minorEastAsia" w:hAnsiTheme="minorEastAsia" w:eastAsiaTheme="minorEastAsia" w:cstheme="minorEastAsia"/>
          <w:color w:val="auto"/>
        </w:rPr>
        <w:t>主要内容为飞防服务+药剂，药剂包括杀菌剂、叶面肥、植物生长调节剂、</w:t>
      </w:r>
      <w:r>
        <w:rPr>
          <w:rFonts w:hint="eastAsia" w:asciiTheme="minorEastAsia" w:hAnsiTheme="minorEastAsia" w:cstheme="minorEastAsia"/>
          <w:color w:val="auto"/>
          <w:lang w:val="en-US" w:eastAsia="zh-CN"/>
        </w:rPr>
        <w:t>飞防</w:t>
      </w:r>
      <w:r>
        <w:rPr>
          <w:rFonts w:hint="eastAsia" w:asciiTheme="minorEastAsia" w:hAnsiTheme="minorEastAsia" w:eastAsiaTheme="minorEastAsia" w:cstheme="minorEastAsia"/>
          <w:color w:val="auto"/>
        </w:rPr>
        <w:t>助剂等，用于提高防控效率和效果，推进</w:t>
      </w:r>
      <w:r>
        <w:rPr>
          <w:rFonts w:hint="eastAsia" w:asciiTheme="minorEastAsia" w:hAnsiTheme="minorEastAsia" w:cstheme="minorEastAsia"/>
          <w:color w:val="auto"/>
          <w:lang w:val="en-US" w:eastAsia="zh-CN"/>
        </w:rPr>
        <w:t>玉米、大豆灾后</w:t>
      </w:r>
      <w:r>
        <w:rPr>
          <w:rFonts w:hint="eastAsia" w:asciiTheme="minorEastAsia" w:hAnsiTheme="minorEastAsia" w:eastAsiaTheme="minorEastAsia" w:cstheme="minorEastAsia"/>
          <w:color w:val="auto"/>
        </w:rPr>
        <w:t>病虫害统防统治</w:t>
      </w:r>
      <w:r>
        <w:rPr>
          <w:rFonts w:hint="eastAsia" w:asciiTheme="minorEastAsia" w:hAnsiTheme="minorEastAsia" w:cstheme="minorEastAsia"/>
          <w:color w:val="auto"/>
          <w:lang w:eastAsia="zh-CN"/>
        </w:rPr>
        <w:t>。</w:t>
      </w:r>
      <w:r>
        <w:rPr>
          <w:rFonts w:hint="eastAsia" w:ascii="宋体" w:hAnsi="宋体" w:eastAsia="宋体" w:cs="宋体"/>
          <w:color w:val="auto"/>
          <w:sz w:val="21"/>
          <w:szCs w:val="21"/>
          <w:highlight w:val="none"/>
        </w:rPr>
        <w:t>（详见</w:t>
      </w:r>
      <w:r>
        <w:rPr>
          <w:rFonts w:hint="eastAsia" w:ascii="宋体" w:hAnsi="宋体" w:eastAsia="宋体" w:cs="宋体"/>
          <w:color w:val="auto"/>
          <w:sz w:val="21"/>
          <w:szCs w:val="21"/>
          <w:highlight w:val="none"/>
          <w:lang w:val="en-US" w:eastAsia="zh-CN"/>
        </w:rPr>
        <w:t>竞争性磋商</w:t>
      </w:r>
      <w:r>
        <w:rPr>
          <w:rFonts w:hint="eastAsia" w:ascii="宋体" w:hAnsi="宋体" w:eastAsia="宋体" w:cs="宋体"/>
          <w:color w:val="auto"/>
          <w:sz w:val="21"/>
          <w:szCs w:val="21"/>
          <w:highlight w:val="none"/>
        </w:rPr>
        <w:t>文件）</w:t>
      </w:r>
    </w:p>
    <w:p w14:paraId="2DB838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合同履行期限：签订合同后10个日历天</w:t>
      </w:r>
    </w:p>
    <w:p w14:paraId="2F574919">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本项目是否接受联合体投标：否</w:t>
      </w:r>
    </w:p>
    <w:p w14:paraId="38F4F9C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8.是否接受进口产品：否</w:t>
      </w:r>
    </w:p>
    <w:p w14:paraId="73BCA96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9.是否专门面向中小企业：是</w:t>
      </w:r>
    </w:p>
    <w:p w14:paraId="51FA0841">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二、申请人资格要求：</w:t>
      </w:r>
    </w:p>
    <w:p w14:paraId="6C72B2D5">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6027457">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14:paraId="4E7BB02E">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color w:val="auto"/>
          <w:sz w:val="21"/>
          <w:szCs w:val="21"/>
          <w:highlight w:val="none"/>
          <w:lang w:val="en-US" w:eastAsia="zh-CN"/>
        </w:rPr>
        <w:t>微</w:t>
      </w:r>
      <w:r>
        <w:rPr>
          <w:rFonts w:hint="eastAsia" w:ascii="宋体" w:hAnsi="宋体" w:eastAsia="宋体" w:cs="宋体"/>
          <w:color w:val="auto"/>
          <w:sz w:val="21"/>
          <w:szCs w:val="21"/>
          <w:highlight w:val="none"/>
        </w:rPr>
        <w:t>企业采购）</w:t>
      </w:r>
    </w:p>
    <w:p w14:paraId="102D29AA">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本项目的特定资格要求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lang w:val="zh-CN"/>
        </w:rPr>
        <w:t>供应商</w:t>
      </w:r>
      <w:r>
        <w:rPr>
          <w:rFonts w:hint="eastAsia" w:ascii="宋体" w:hAnsi="宋体" w:eastAsia="宋体" w:cs="宋体"/>
          <w:color w:val="auto"/>
          <w:szCs w:val="21"/>
          <w:lang w:val="en-US" w:eastAsia="zh-CN"/>
        </w:rPr>
        <w:t>须</w:t>
      </w:r>
      <w:r>
        <w:rPr>
          <w:rFonts w:hint="eastAsia" w:ascii="宋体" w:hAnsi="宋体" w:eastAsia="宋体" w:cs="宋体"/>
          <w:color w:val="auto"/>
          <w:szCs w:val="21"/>
          <w:lang w:val="zh-CN"/>
        </w:rPr>
        <w:t>具有有效的农药经营许可证。</w:t>
      </w:r>
    </w:p>
    <w:p w14:paraId="416480B7">
      <w:pPr>
        <w:keepNext w:val="0"/>
        <w:keepLines w:val="0"/>
        <w:pageBreakBefore w:val="0"/>
        <w:widowControl w:val="0"/>
        <w:numPr>
          <w:ilvl w:val="0"/>
          <w:numId w:val="0"/>
        </w:numPr>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三、获取采购文件</w:t>
      </w:r>
    </w:p>
    <w:p w14:paraId="6A242304">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日，每天上午00:00至12:00，下午12:01至23:59（北京时间，法定节假日除外）</w:t>
      </w:r>
    </w:p>
    <w:p w14:paraId="50EA9D02">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2.地点：《全国公共资源交易平台（河南省·许昌市）》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https://ggzy.xuchang.gov.cn）自行免费下载</w:t>
      </w:r>
    </w:p>
    <w:p w14:paraId="554F4706">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3.方式：网上自行下载</w:t>
      </w:r>
    </w:p>
    <w:p w14:paraId="723B9D73">
      <w:pPr>
        <w:keepNext w:val="0"/>
        <w:keepLines w:val="0"/>
        <w:pageBreakBefore w:val="0"/>
        <w:widowControl w:val="0"/>
        <w:tabs>
          <w:tab w:val="left" w:pos="7095"/>
        </w:tabs>
        <w:kinsoku/>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4.售价：0元</w:t>
      </w:r>
    </w:p>
    <w:p w14:paraId="5D96C90D">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四、响应文件提交</w:t>
      </w:r>
    </w:p>
    <w:p w14:paraId="21FCEBB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4CE7E3EF">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2.地点：本项目为全流程电子化交易项目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63BAB3E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五、响应文件开启</w:t>
      </w:r>
    </w:p>
    <w:p w14:paraId="78470F83">
      <w:pPr>
        <w:keepNext w:val="0"/>
        <w:keepLines w:val="0"/>
        <w:pageBreakBefore w:val="0"/>
        <w:widowControl w:val="0"/>
        <w:kinsoku/>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日0</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0分（北京时间）</w:t>
      </w:r>
    </w:p>
    <w:p w14:paraId="62D945BA">
      <w:pPr>
        <w:keepNext w:val="0"/>
        <w:keepLines w:val="0"/>
        <w:pageBreakBefore w:val="0"/>
        <w:widowControl w:val="0"/>
        <w:tabs>
          <w:tab w:val="left" w:pos="7095"/>
        </w:tabs>
        <w:kinsoku/>
        <w:wordWrap/>
        <w:overflowPunct/>
        <w:topLinePunct w:val="0"/>
        <w:autoSpaceDE/>
        <w:autoSpaceDN/>
        <w:bidi w:val="0"/>
        <w:adjustRightInd/>
        <w:snapToGrid/>
        <w:spacing w:line="520" w:lineRule="exact"/>
        <w:ind w:firstLine="420" w:firstLineChars="200"/>
        <w:contextualSpacing/>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2.地点：本项目采用“不见面”网上开标方式，请投标供应商使用CA数字证书</w:t>
      </w:r>
      <w:r>
        <w:rPr>
          <w:rFonts w:hint="eastAsia" w:ascii="宋体" w:hAnsi="宋体" w:eastAsia="宋体" w:cs="宋体"/>
          <w:color w:val="auto"/>
          <w:sz w:val="21"/>
          <w:szCs w:val="21"/>
          <w:highlight w:val="none"/>
          <w:shd w:val="clear" w:color="auto" w:fill="FFFFFF"/>
        </w:rPr>
        <w:t>或移动数字证书</w:t>
      </w:r>
      <w:r>
        <w:rPr>
          <w:rFonts w:hint="eastAsia" w:ascii="宋体" w:hAnsi="宋体" w:eastAsia="宋体" w:cs="宋体"/>
          <w:color w:val="auto"/>
          <w:sz w:val="21"/>
          <w:szCs w:val="21"/>
          <w:highlight w:val="none"/>
        </w:rPr>
        <w:t>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697047F8">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六、发布公告的媒介及招标公告期限</w:t>
      </w:r>
    </w:p>
    <w:p w14:paraId="7985C433">
      <w:pPr>
        <w:keepNext w:val="0"/>
        <w:keepLines w:val="0"/>
        <w:pageBreakBefore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本次招标公告在</w:t>
      </w:r>
      <w:r>
        <w:rPr>
          <w:rFonts w:hint="eastAsia" w:ascii="宋体" w:hAnsi="宋体" w:eastAsia="宋体" w:cs="宋体"/>
          <w:color w:val="auto"/>
          <w:sz w:val="21"/>
          <w:szCs w:val="21"/>
          <w:highlight w:val="none"/>
          <w:lang w:eastAsia="zh-CN"/>
        </w:rPr>
        <w:t>《河南省政府采购网》</w:t>
      </w:r>
      <w:r>
        <w:rPr>
          <w:rFonts w:hint="eastAsia" w:ascii="宋体" w:hAnsi="宋体" w:eastAsia="宋体" w:cs="宋体"/>
          <w:color w:val="auto"/>
          <w:sz w:val="21"/>
          <w:szCs w:val="21"/>
          <w:highlight w:val="none"/>
        </w:rPr>
        <w:t>《许昌市政府采购网》《全国公共资源交易平台（河南省·许昌市）》上发布。招标公告期限为三个工作日。</w:t>
      </w:r>
    </w:p>
    <w:p w14:paraId="0932D1BA">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p>
    <w:p w14:paraId="4C3FA062">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1.监督单位：禹州市政府采购监督管理办公室</w:t>
      </w:r>
    </w:p>
    <w:p w14:paraId="79D5DA1B">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2.电话：0374-8112523</w:t>
      </w:r>
    </w:p>
    <w:p w14:paraId="337F85AE">
      <w:pPr>
        <w:keepNext w:val="0"/>
        <w:keepLines w:val="0"/>
        <w:pageBreakBefore w:val="0"/>
        <w:widowControl w:val="0"/>
        <w:shd w:val="clear"/>
        <w:kinsoku/>
        <w:wordWrap w:val="0"/>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3.项目编号以本</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文件中的采购编号为准，采购编号：</w:t>
      </w:r>
      <w:r>
        <w:rPr>
          <w:rFonts w:hint="eastAsia" w:ascii="宋体" w:hAnsi="宋体" w:eastAsia="宋体" w:cs="宋体"/>
          <w:color w:val="auto"/>
          <w:sz w:val="21"/>
          <w:szCs w:val="21"/>
          <w:highlight w:val="none"/>
          <w:lang w:eastAsia="zh-CN"/>
        </w:rPr>
        <w:t>YZCG-DLC2026</w:t>
      </w:r>
      <w:r>
        <w:rPr>
          <w:rFonts w:hint="eastAsia" w:ascii="宋体" w:hAnsi="宋体" w:eastAsia="宋体" w:cs="宋体"/>
          <w:color w:val="auto"/>
          <w:sz w:val="21"/>
          <w:szCs w:val="21"/>
          <w:highlight w:val="none"/>
          <w:lang w:val="en-US" w:eastAsia="zh-CN"/>
        </w:rPr>
        <w:t xml:space="preserve">084  </w:t>
      </w:r>
    </w:p>
    <w:p w14:paraId="064B7255">
      <w:pPr>
        <w:keepNext w:val="0"/>
        <w:keepLines w:val="0"/>
        <w:pageBreakBefore w:val="0"/>
        <w:widowControl w:val="0"/>
        <w:kinsoku/>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八、凡对本次招标提出询问，请按照以下方式联系</w:t>
      </w:r>
    </w:p>
    <w:p w14:paraId="1926A8CF">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bookmarkStart w:id="0" w:name="OLE_LINK7"/>
      <w:r>
        <w:rPr>
          <w:rFonts w:hint="eastAsia" w:ascii="宋体" w:hAnsi="宋体" w:eastAsia="宋体" w:cs="宋体"/>
          <w:color w:val="auto"/>
          <w:sz w:val="21"/>
          <w:szCs w:val="21"/>
          <w:highlight w:val="none"/>
          <w:lang w:val="en-US" w:eastAsia="zh-CN"/>
        </w:rPr>
        <w:t>1.采购人信息</w:t>
      </w:r>
    </w:p>
    <w:bookmarkEnd w:id="0"/>
    <w:p w14:paraId="76484C0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名称：禹州市农业农村局</w:t>
      </w:r>
    </w:p>
    <w:p w14:paraId="5ACE29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 址：禹州市禹王大道29号</w:t>
      </w:r>
    </w:p>
    <w:p w14:paraId="4B580AB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联系人：董女士</w:t>
      </w:r>
    </w:p>
    <w:p w14:paraId="39FB93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联系电话：0374-8609623</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55C303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名称：师梦勘测设计集团有限公司</w:t>
      </w:r>
    </w:p>
    <w:p w14:paraId="00AB92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地址：郑州市高新技术开发区冬青街46号B区007号</w:t>
      </w:r>
    </w:p>
    <w:p w14:paraId="50DC25D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联系人：王女士</w:t>
      </w:r>
    </w:p>
    <w:p w14:paraId="6410C95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联系方式：13733156531</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712DA4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联系人：王女士</w:t>
      </w:r>
    </w:p>
    <w:p w14:paraId="4F4B39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联系方式：13733156531</w:t>
      </w:r>
    </w:p>
    <w:p w14:paraId="1F1E7336">
      <w:pPr>
        <w:pStyle w:val="1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olor w:val="auto"/>
          <w:spacing w:val="0"/>
          <w:w w:val="100"/>
          <w:sz w:val="24"/>
          <w:szCs w:val="24"/>
          <w:highlight w:val="none"/>
          <w:vertAlign w:val="baseline"/>
        </w:rPr>
        <w:t>本项目为全流程电子化交易项目，请注意以下事项。</w:t>
      </w:r>
    </w:p>
    <w:p w14:paraId="4DBA378F">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1.</w:t>
      </w:r>
      <w:r>
        <w:rPr>
          <w:rFonts w:hint="eastAsia" w:ascii="宋体" w:hAnsi="宋体" w:eastAsia="宋体" w:cs="宋体"/>
          <w:b w:val="0"/>
          <w:bCs w:val="0"/>
          <w:i w:val="0"/>
          <w:iCs w:val="0"/>
          <w:color w:val="auto"/>
          <w:spacing w:val="0"/>
          <w:w w:val="100"/>
          <w:sz w:val="21"/>
          <w:szCs w:val="21"/>
          <w:highlight w:val="none"/>
          <w:vertAlign w:val="baseline"/>
        </w:rPr>
        <w:t>供应商参加本项目投标，需提前自行联系CA数字证书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服务机构办理数字认证证书并进行电子签章。</w:t>
      </w:r>
    </w:p>
    <w:p w14:paraId="19D9FF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2.磋商</w:t>
      </w:r>
      <w:r>
        <w:rPr>
          <w:rFonts w:hint="eastAsia" w:ascii="宋体" w:hAnsi="宋体" w:eastAsia="宋体" w:cs="宋体"/>
          <w:b w:val="0"/>
          <w:bCs w:val="0"/>
          <w:i w:val="0"/>
          <w:iCs w:val="0"/>
          <w:color w:val="auto"/>
          <w:spacing w:val="0"/>
          <w:w w:val="100"/>
          <w:sz w:val="21"/>
          <w:szCs w:val="21"/>
          <w:highlight w:val="none"/>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（证书须在有效期内并可正常使用）。</w:t>
      </w:r>
    </w:p>
    <w:p w14:paraId="0653A720">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3.电子响应文件的制作</w:t>
      </w:r>
    </w:p>
    <w:p w14:paraId="0159244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3.1</w:t>
      </w:r>
      <w:r>
        <w:rPr>
          <w:rFonts w:hint="eastAsia" w:ascii="宋体" w:hAnsi="宋体" w:eastAsia="宋体" w:cs="宋体"/>
          <w:b w:val="0"/>
          <w:bCs w:val="0"/>
          <w:i w:val="0"/>
          <w:iCs w:val="0"/>
          <w:color w:val="auto"/>
          <w:spacing w:val="0"/>
          <w:w w:val="100"/>
          <w:sz w:val="21"/>
          <w:szCs w:val="21"/>
          <w:highlight w:val="none"/>
          <w:vertAlign w:val="baseline"/>
        </w:rPr>
        <w:t>供应商登录“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下载</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auto"/>
          <w:spacing w:val="0"/>
          <w:w w:val="100"/>
          <w:sz w:val="21"/>
          <w:szCs w:val="21"/>
          <w:highlight w:val="none"/>
          <w:vertAlign w:val="baseline"/>
        </w:rPr>
        <w:t>。</w:t>
      </w:r>
    </w:p>
    <w:p w14:paraId="62152F4E">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3.2</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其中后缀格式为“.XCSTF”的加密电子响应文件用于上传至交易系统中投标。</w:t>
      </w:r>
    </w:p>
    <w:p w14:paraId="4BA2B72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i w:val="0"/>
          <w:iCs w:val="0"/>
          <w:color w:val="auto"/>
          <w:spacing w:val="0"/>
          <w:w w:val="100"/>
          <w:sz w:val="21"/>
          <w:szCs w:val="21"/>
          <w:highlight w:val="none"/>
          <w:vertAlign w:val="baseline"/>
        </w:rPr>
        <w:t>加密电子响应文件的提交</w:t>
      </w:r>
    </w:p>
    <w:p w14:paraId="6FBE39A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供应商对同一项目多个标段进行响应的，加密电子响应文件应按标段分别提交。</w:t>
      </w:r>
    </w:p>
    <w:p w14:paraId="34BA854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b w:val="0"/>
          <w:bCs w:val="0"/>
          <w:i w:val="0"/>
          <w:iCs w:val="0"/>
          <w:color w:val="auto"/>
          <w:spacing w:val="0"/>
          <w:w w:val="100"/>
          <w:sz w:val="21"/>
          <w:szCs w:val="21"/>
          <w:highlight w:val="none"/>
          <w:vertAlign w:val="baseline"/>
        </w:rPr>
        <w:t>加密电子响应文件成功上传至“</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后，应在上传页面进行模拟解密，以验证是否能够成功解密。</w:t>
      </w:r>
    </w:p>
    <w:p w14:paraId="35743CF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i w:val="0"/>
          <w:iCs w:val="0"/>
          <w:color w:val="auto"/>
          <w:spacing w:val="0"/>
          <w:w w:val="100"/>
          <w:sz w:val="21"/>
          <w:szCs w:val="21"/>
          <w:highlight w:val="none"/>
          <w:vertAlign w:val="baseline"/>
        </w:rPr>
        <w:t>远程不见面开标（电子响应文件的解密）</w:t>
      </w:r>
    </w:p>
    <w:p w14:paraId="64447FA0">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b w:val="0"/>
          <w:bCs w:val="0"/>
          <w:i w:val="0"/>
          <w:iCs w:val="0"/>
          <w:color w:val="auto"/>
          <w:spacing w:val="0"/>
          <w:w w:val="100"/>
          <w:sz w:val="21"/>
          <w:szCs w:val="21"/>
          <w:highlight w:val="none"/>
          <w:vertAlign w:val="baseline"/>
        </w:rPr>
        <w:t>本项目采用远程不见面开标方式，投标前请详细阅读“</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eastAsia="宋体" w:cs="宋体"/>
          <w:b w:val="0"/>
          <w:bCs w:val="0"/>
          <w:i w:val="0"/>
          <w:iCs w:val="0"/>
          <w:color w:val="auto"/>
          <w:spacing w:val="0"/>
          <w:w w:val="100"/>
          <w:sz w:val="21"/>
          <w:szCs w:val="21"/>
          <w:highlight w:val="none"/>
          <w:vertAlign w:val="baseline"/>
        </w:rPr>
        <w:t>“服务指南”栏目下《新交易平台使用手册》中的相关内容。</w:t>
      </w:r>
    </w:p>
    <w:p w14:paraId="2D5A2159">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b w:val="0"/>
          <w:bCs w:val="0"/>
          <w:i w:val="0"/>
          <w:iCs w:val="0"/>
          <w:color w:val="auto"/>
          <w:spacing w:val="0"/>
          <w:w w:val="100"/>
          <w:sz w:val="21"/>
          <w:szCs w:val="21"/>
          <w:highlight w:val="none"/>
          <w:vertAlign w:val="baseline"/>
        </w:rPr>
        <w:t>供应商应按新交易平台使用手册提前设置好浏览器，并于开标时间前登录本项目网上开标大厅，按照规定的开标时间准时参加网上开标。</w:t>
      </w:r>
    </w:p>
    <w:p w14:paraId="417426E2">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w:t>
      </w:r>
      <w:r>
        <w:rPr>
          <w:rFonts w:hint="eastAsia" w:ascii="宋体" w:hAnsi="宋体" w:eastAsia="宋体" w:cs="宋体"/>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p>
    <w:p w14:paraId="64DE89AD">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65E9E366">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5.5</w:t>
      </w:r>
      <w:r>
        <w:rPr>
          <w:rFonts w:hint="eastAsia" w:ascii="宋体" w:hAnsi="宋体" w:eastAsia="宋体" w:cs="宋体"/>
          <w:b w:val="0"/>
          <w:bCs w:val="0"/>
          <w:i w:val="0"/>
          <w:iCs w:val="0"/>
          <w:color w:val="auto"/>
          <w:spacing w:val="0"/>
          <w:w w:val="100"/>
          <w:sz w:val="21"/>
          <w:szCs w:val="21"/>
          <w:highlight w:val="none"/>
          <w:vertAlign w:val="baseline"/>
        </w:rPr>
        <w:t>在“开标结束”环节，供应商应在《开标情况记录表》上进行电子签章。供应商未签章的，视同认可开标结果。</w:t>
      </w:r>
    </w:p>
    <w:p w14:paraId="419CB4D9">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5.6</w:t>
      </w:r>
      <w:r>
        <w:rPr>
          <w:rFonts w:hint="eastAsia" w:ascii="宋体" w:hAnsi="宋体" w:eastAsia="宋体" w:cs="宋体"/>
          <w:b w:val="0"/>
          <w:bCs w:val="0"/>
          <w:i w:val="0"/>
          <w:iCs w:val="0"/>
          <w:color w:val="auto"/>
          <w:spacing w:val="0"/>
          <w:w w:val="100"/>
          <w:sz w:val="21"/>
          <w:szCs w:val="21"/>
          <w:highlight w:val="none"/>
          <w:vertAlign w:val="baseline"/>
        </w:rPr>
        <w:t>供应商对开标过程和开标记录如有异议，可在本项目开标大厅界面右下方“发起异议”中</w:t>
      </w:r>
      <w:r>
        <w:rPr>
          <w:rFonts w:hint="eastAsia" w:ascii="宋体" w:hAnsi="宋体" w:eastAsia="宋体" w:cs="宋体"/>
          <w:b w:val="0"/>
          <w:bCs w:val="0"/>
          <w:i w:val="0"/>
          <w:iCs w:val="0"/>
          <w:color w:val="auto"/>
          <w:spacing w:val="0"/>
          <w:w w:val="100"/>
          <w:sz w:val="21"/>
          <w:szCs w:val="21"/>
          <w:highlight w:val="none"/>
          <w:vertAlign w:val="baseline"/>
          <w:lang w:eastAsia="zh-CN"/>
        </w:rPr>
        <w:t>提出</w:t>
      </w:r>
      <w:r>
        <w:rPr>
          <w:rFonts w:hint="eastAsia" w:ascii="宋体" w:hAnsi="宋体" w:eastAsia="宋体" w:cs="宋体"/>
          <w:b w:val="0"/>
          <w:bCs w:val="0"/>
          <w:i w:val="0"/>
          <w:iCs w:val="0"/>
          <w:color w:val="auto"/>
          <w:spacing w:val="0"/>
          <w:w w:val="100"/>
          <w:sz w:val="21"/>
          <w:szCs w:val="21"/>
          <w:highlight w:val="none"/>
          <w:vertAlign w:val="baseline"/>
        </w:rPr>
        <w:t>异议。</w:t>
      </w:r>
    </w:p>
    <w:p w14:paraId="18456BDC">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i w:val="0"/>
          <w:iCs w:val="0"/>
          <w:color w:val="auto"/>
          <w:spacing w:val="0"/>
          <w:w w:val="100"/>
          <w:sz w:val="21"/>
          <w:szCs w:val="21"/>
          <w:highlight w:val="none"/>
          <w:vertAlign w:val="baseline"/>
        </w:rPr>
        <w:t>评标依据</w:t>
      </w:r>
    </w:p>
    <w:p w14:paraId="1105BDE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b w:val="0"/>
          <w:bCs w:val="0"/>
          <w:i w:val="0"/>
          <w:iCs w:val="0"/>
          <w:color w:val="auto"/>
          <w:spacing w:val="0"/>
          <w:w w:val="100"/>
          <w:sz w:val="21"/>
          <w:szCs w:val="21"/>
          <w:highlight w:val="none"/>
          <w:vertAlign w:val="baseline"/>
        </w:rPr>
        <w:t>全流程电子化交易（不见面开标）项目，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小组以成功上传、解密的电子响应文件为评审依据。</w:t>
      </w:r>
    </w:p>
    <w:p w14:paraId="51CA537B">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b w:val="0"/>
          <w:bCs w:val="0"/>
          <w:i w:val="0"/>
          <w:iCs w:val="0"/>
          <w:color w:val="auto"/>
          <w:spacing w:val="0"/>
          <w:w w:val="100"/>
          <w:sz w:val="21"/>
          <w:szCs w:val="21"/>
          <w:highlight w:val="none"/>
          <w:vertAlign w:val="baseline"/>
        </w:rPr>
        <w:t>评审期间，供应商（参加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的法定代表人或其授权代表）应保持通讯手机畅通，并根据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小组要求在规定时间内提供：</w:t>
      </w:r>
    </w:p>
    <w:p w14:paraId="6A160D8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（1）最后报价（加盖公章，</w:t>
      </w:r>
      <w:r>
        <w:rPr>
          <w:rFonts w:hint="eastAsia" w:ascii="宋体" w:hAnsi="宋体" w:eastAsia="宋体" w:cs="宋体"/>
          <w:b w:val="0"/>
          <w:bCs w:val="0"/>
          <w:i w:val="0"/>
          <w:iCs w:val="0"/>
          <w:color w:val="auto"/>
          <w:spacing w:val="0"/>
          <w:w w:val="100"/>
          <w:sz w:val="21"/>
          <w:szCs w:val="21"/>
          <w:highlight w:val="none"/>
          <w:vertAlign w:val="baseline"/>
          <w:lang w:val="en-US" w:eastAsia="zh-CN"/>
        </w:rPr>
        <w:t>并</w:t>
      </w:r>
      <w:r>
        <w:rPr>
          <w:rFonts w:hint="eastAsia" w:ascii="宋体" w:hAnsi="宋体" w:eastAsia="宋体" w:cs="宋体"/>
          <w:b w:val="0"/>
          <w:bCs w:val="0"/>
          <w:i w:val="0"/>
          <w:iCs w:val="0"/>
          <w:color w:val="auto"/>
          <w:spacing w:val="0"/>
          <w:w w:val="100"/>
          <w:sz w:val="21"/>
          <w:szCs w:val="21"/>
          <w:highlight w:val="none"/>
          <w:vertAlign w:val="baseline"/>
        </w:rPr>
        <w:t>由法定代表人或其授权的代表签字）；</w:t>
      </w:r>
    </w:p>
    <w:p w14:paraId="1A7A9E25">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提交方式：供应商须使用CA数字证书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进行最后报价，最后报价应包括：①总报价②分项报价。</w:t>
      </w:r>
    </w:p>
    <w:p w14:paraId="127726BA">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注：①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小组要求供应商提交最后报价时，在</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小组规定时间内，供应商应提交最后报价（包括总报价及分项报价）。最后报价是供应商响应文件的有效组成部分。</w:t>
      </w:r>
    </w:p>
    <w:p w14:paraId="3D3C5874">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②</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文件第二章“采购需求”中“采购清单”以工程量清单提供的，供应商应以工程量清单方式提交最后报价。</w:t>
      </w:r>
    </w:p>
    <w:p w14:paraId="3289A74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③请供应商根据项目情况，可提前准备分项报价。</w:t>
      </w:r>
    </w:p>
    <w:p w14:paraId="0BE8515B">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（2）</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小组如要求供应商提供“澄清、说明或者更正”；“按照</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文件的变动情况和</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小组的要求重新提交响应文件”；“最终设计方案或解决方案”的，供应商提供的书面材料应加盖公章，或者由法定代表人或其授权的代表签字后通过电子邮件形式提供。</w:t>
      </w:r>
    </w:p>
    <w:p w14:paraId="7CE62953">
      <w:pPr>
        <w:pStyle w:val="1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6.3</w:t>
      </w:r>
      <w:r>
        <w:rPr>
          <w:rFonts w:hint="eastAsia" w:ascii="宋体" w:hAnsi="宋体" w:eastAsia="宋体" w:cs="宋体"/>
          <w:b w:val="0"/>
          <w:bCs w:val="0"/>
          <w:i w:val="0"/>
          <w:iCs w:val="0"/>
          <w:color w:val="auto"/>
          <w:spacing w:val="0"/>
          <w:w w:val="100"/>
          <w:sz w:val="21"/>
          <w:szCs w:val="21"/>
          <w:highlight w:val="none"/>
          <w:vertAlign w:val="baseline"/>
        </w:rPr>
        <w:t>如因供应商（参加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的法定代表人或其授权代表）未按照本项目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文件第八章“响应文件有关格式”二“报价一览表”要求，在响应文件中未预留手机号码或因供应商自身原因导致</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小组无法联系供应商参加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最后报价）的，其风险由供应商自行承担，采购人与采购</w:t>
      </w:r>
      <w:r>
        <w:rPr>
          <w:rFonts w:hint="eastAsia" w:ascii="宋体" w:hAnsi="宋体" w:eastAsia="宋体" w:cs="宋体"/>
          <w:b w:val="0"/>
          <w:bCs w:val="0"/>
          <w:i w:val="0"/>
          <w:iCs w:val="0"/>
          <w:color w:val="auto"/>
          <w:spacing w:val="0"/>
          <w:w w:val="100"/>
          <w:sz w:val="21"/>
          <w:szCs w:val="21"/>
          <w:highlight w:val="none"/>
          <w:vertAlign w:val="baseline"/>
          <w:lang w:val="en-US" w:eastAsia="zh-CN"/>
        </w:rPr>
        <w:t>代理</w:t>
      </w:r>
      <w:r>
        <w:rPr>
          <w:rFonts w:hint="eastAsia" w:ascii="宋体" w:hAnsi="宋体" w:eastAsia="宋体" w:cs="宋体"/>
          <w:b w:val="0"/>
          <w:bCs w:val="0"/>
          <w:i w:val="0"/>
          <w:iCs w:val="0"/>
          <w:color w:val="auto"/>
          <w:spacing w:val="0"/>
          <w:w w:val="100"/>
          <w:sz w:val="21"/>
          <w:szCs w:val="21"/>
          <w:highlight w:val="none"/>
          <w:vertAlign w:val="baseline"/>
        </w:rPr>
        <w:t>机构不承担任何责任。</w:t>
      </w:r>
    </w:p>
    <w:p w14:paraId="223184A7">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i w:val="0"/>
          <w:iCs w:val="0"/>
          <w:color w:val="auto"/>
          <w:spacing w:val="0"/>
          <w:w w:val="100"/>
          <w:sz w:val="21"/>
          <w:szCs w:val="21"/>
          <w:highlight w:val="none"/>
          <w:vertAlign w:val="baseline"/>
        </w:rPr>
        <w:t>相关事项</w:t>
      </w:r>
    </w:p>
    <w:p w14:paraId="054E2881">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 w:val="0"/>
          <w:bCs w:val="0"/>
          <w:i w:val="0"/>
          <w:iCs w:val="0"/>
          <w:color w:val="auto"/>
          <w:spacing w:val="0"/>
          <w:w w:val="100"/>
          <w:sz w:val="21"/>
          <w:szCs w:val="21"/>
          <w:highlight w:val="none"/>
          <w:vertAlign w:val="baseline"/>
        </w:rPr>
        <w:t>为使更多供应商能参加投标，本项目招标文件公告期限届满后仍允许下载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文件参加投标，但为提高采购效率，在公告期限届满之后下载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文件的质疑期限从公告期限届满之日起计算；在公告期限届满之前下载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文件的质疑期限从下载之日起计算。</w:t>
      </w:r>
    </w:p>
    <w:p w14:paraId="57326474">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采购公告栏提供的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文件仅供浏览。供应商下载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文件应使用 CA 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从</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“全国公共资源交易平台（河南省·许昌市）”的“投标人”登录入口获取本项目招标文件。</w:t>
      </w:r>
    </w:p>
    <w:p w14:paraId="1FA664ED">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CB55A28">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1ABB921">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ECA04F1">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1845300">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18589BD">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C2C2231">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B98652E">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F1B8E6E">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E1FFD44">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BF1451A">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DACF622">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15AC81C">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62E32A4">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13D721C">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BD2443C">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A40A792">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9CADC55">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36D57A6">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C2764CE">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8ED91A2">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79EE156">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737EA76">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96BD8AD">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1C45FB3">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F415182">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0FE975B">
      <w:pPr>
        <w:pStyle w:val="35"/>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49ADB6A">
      <w:pPr>
        <w:numPr>
          <w:ilvl w:val="0"/>
          <w:numId w:val="4"/>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采购需求</w:t>
      </w:r>
    </w:p>
    <w:p w14:paraId="480DE85D">
      <w:pPr>
        <w:widowControl/>
        <w:numPr>
          <w:ilvl w:val="0"/>
          <w:numId w:val="5"/>
        </w:numPr>
        <w:spacing w:line="360" w:lineRule="auto"/>
        <w:ind w:firstLine="422" w:firstLineChars="200"/>
        <w:contextualSpacing/>
        <w:jc w:val="left"/>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本项目需实现的功能或者目标</w:t>
      </w:r>
    </w:p>
    <w:p w14:paraId="6B3CFEB2">
      <w:pPr>
        <w:keepNext w:val="0"/>
        <w:keepLines w:val="0"/>
        <w:pageBreakBefore w:val="0"/>
        <w:widowControl/>
        <w:kinsoku/>
        <w:wordWrap/>
        <w:overflowPunct/>
        <w:autoSpaceDE/>
        <w:autoSpaceDN/>
        <w:bidi w:val="0"/>
        <w:adjustRightInd/>
        <w:spacing w:line="520" w:lineRule="exact"/>
        <w:ind w:firstLine="420" w:firstLineChars="200"/>
        <w:contextualSpacing/>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rPr>
        <w:t>禹州市农业农村局2026年中央财政农业防灾减灾资金（防灾救灾第六批）采购项目，主要内容为飞防服务+药剂，药剂包括杀菌剂、叶面肥、植物生长调节剂、</w:t>
      </w:r>
      <w:r>
        <w:rPr>
          <w:rFonts w:hint="eastAsia" w:asciiTheme="minorEastAsia" w:hAnsiTheme="minorEastAsia" w:eastAsiaTheme="minorEastAsia" w:cstheme="minorEastAsia"/>
          <w:lang w:val="en-US" w:eastAsia="zh-CN"/>
        </w:rPr>
        <w:t>飞防</w:t>
      </w:r>
      <w:r>
        <w:rPr>
          <w:rFonts w:hint="eastAsia" w:asciiTheme="minorEastAsia" w:hAnsiTheme="minorEastAsia" w:eastAsiaTheme="minorEastAsia" w:cstheme="minorEastAsia"/>
          <w:color w:val="auto"/>
        </w:rPr>
        <w:t>助剂等，用于提高防控效率和效果，推进</w:t>
      </w:r>
      <w:r>
        <w:rPr>
          <w:rFonts w:hint="eastAsia" w:asciiTheme="minorEastAsia" w:hAnsiTheme="minorEastAsia" w:eastAsiaTheme="minorEastAsia" w:cstheme="minorEastAsia"/>
          <w:color w:val="auto"/>
          <w:lang w:val="en-US" w:eastAsia="zh-CN"/>
        </w:rPr>
        <w:t>玉米</w:t>
      </w:r>
      <w:r>
        <w:rPr>
          <w:rFonts w:hint="eastAsia" w:asciiTheme="minorEastAsia" w:hAnsiTheme="minorEastAsia" w:cstheme="minorEastAsia"/>
          <w:color w:val="auto"/>
          <w:lang w:val="en-US" w:eastAsia="zh-CN"/>
        </w:rPr>
        <w:t>、大豆</w:t>
      </w:r>
      <w:r>
        <w:rPr>
          <w:rFonts w:hint="eastAsia" w:asciiTheme="minorEastAsia" w:hAnsiTheme="minorEastAsia" w:eastAsiaTheme="minorEastAsia" w:cstheme="minorEastAsia"/>
          <w:color w:val="auto"/>
          <w:lang w:val="en-US" w:eastAsia="zh-CN"/>
        </w:rPr>
        <w:t>灾后</w:t>
      </w:r>
      <w:r>
        <w:rPr>
          <w:rFonts w:hint="eastAsia" w:asciiTheme="minorEastAsia" w:hAnsiTheme="minorEastAsia" w:eastAsiaTheme="minorEastAsia" w:cstheme="minorEastAsia"/>
          <w:color w:val="auto"/>
        </w:rPr>
        <w:t>病虫害统防统治</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统防统治</w:t>
      </w:r>
      <w:r>
        <w:rPr>
          <w:rFonts w:hint="eastAsia" w:asciiTheme="minorEastAsia" w:hAnsiTheme="minorEastAsia" w:eastAsiaTheme="minorEastAsia" w:cstheme="minorEastAsia"/>
          <w:color w:val="auto"/>
          <w:lang w:eastAsia="zh-CN"/>
        </w:rPr>
        <w:t>面积72800亩，12.5元/亩，采购限价为910000元。</w:t>
      </w:r>
    </w:p>
    <w:p w14:paraId="7A6859B5">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二、服务具体内容及要求</w:t>
      </w:r>
    </w:p>
    <w:p w14:paraId="0E09C1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用药配方及要求</w:t>
      </w:r>
    </w:p>
    <w:p w14:paraId="2C8E064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1.1</w:t>
      </w:r>
      <w:r>
        <w:rPr>
          <w:rFonts w:hint="eastAsia" w:asciiTheme="minorEastAsia" w:hAnsiTheme="minorEastAsia" w:eastAsiaTheme="minorEastAsia" w:cstheme="minorEastAsia"/>
        </w:rPr>
        <w:t>用药配方</w:t>
      </w:r>
      <w:r>
        <w:rPr>
          <w:rFonts w:hint="eastAsia" w:asciiTheme="minorEastAsia" w:hAnsiTheme="minorEastAsia" w:eastAsiaTheme="minorEastAsia" w:cstheme="minorEastAsia"/>
          <w:lang w:eastAsia="zh-CN"/>
        </w:rPr>
        <w:t>：</w:t>
      </w:r>
    </w:p>
    <w:tbl>
      <w:tblPr>
        <w:tblStyle w:val="18"/>
        <w:tblW w:w="0" w:type="auto"/>
        <w:tblInd w:w="5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2975"/>
        <w:gridCol w:w="4585"/>
      </w:tblGrid>
      <w:tr w14:paraId="7220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14:paraId="6AC3FDCD">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序号</w:t>
            </w:r>
          </w:p>
        </w:tc>
        <w:tc>
          <w:tcPr>
            <w:tcW w:w="2975" w:type="dxa"/>
            <w:vAlign w:val="center"/>
          </w:tcPr>
          <w:p w14:paraId="7C786687">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名称</w:t>
            </w:r>
          </w:p>
        </w:tc>
        <w:tc>
          <w:tcPr>
            <w:tcW w:w="4585" w:type="dxa"/>
            <w:vAlign w:val="center"/>
          </w:tcPr>
          <w:p w14:paraId="6CAB44B6">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技术参数</w:t>
            </w:r>
          </w:p>
        </w:tc>
      </w:tr>
      <w:tr w14:paraId="2854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14:paraId="1A7B5C1B">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1</w:t>
            </w:r>
          </w:p>
        </w:tc>
        <w:tc>
          <w:tcPr>
            <w:tcW w:w="2975" w:type="dxa"/>
            <w:vAlign w:val="center"/>
          </w:tcPr>
          <w:p w14:paraId="5F892B3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40%唑醚·戊唑醇</w:t>
            </w:r>
          </w:p>
        </w:tc>
        <w:tc>
          <w:tcPr>
            <w:tcW w:w="4585" w:type="dxa"/>
            <w:vAlign w:val="center"/>
          </w:tcPr>
          <w:p w14:paraId="677AAA61">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剂型：悬浮剂，用量：20克/亩。</w:t>
            </w:r>
          </w:p>
        </w:tc>
      </w:tr>
      <w:tr w14:paraId="232E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14:paraId="395C34BA">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2</w:t>
            </w:r>
          </w:p>
        </w:tc>
        <w:tc>
          <w:tcPr>
            <w:tcW w:w="2975" w:type="dxa"/>
            <w:vAlign w:val="center"/>
          </w:tcPr>
          <w:p w14:paraId="1F2F4C3E">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0.01%28—表高芸苔素内酯</w:t>
            </w:r>
          </w:p>
        </w:tc>
        <w:tc>
          <w:tcPr>
            <w:tcW w:w="4585" w:type="dxa"/>
            <w:vAlign w:val="center"/>
          </w:tcPr>
          <w:p w14:paraId="54861EEE">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剂型：可溶液剂，用量：10ml/亩</w:t>
            </w:r>
          </w:p>
        </w:tc>
      </w:tr>
      <w:tr w14:paraId="456A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dxa"/>
          </w:tcPr>
          <w:p w14:paraId="74C399DC">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w:t>
            </w:r>
          </w:p>
        </w:tc>
        <w:tc>
          <w:tcPr>
            <w:tcW w:w="2975" w:type="dxa"/>
            <w:vAlign w:val="center"/>
          </w:tcPr>
          <w:p w14:paraId="720FBA8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磷酸二氢钾</w:t>
            </w:r>
          </w:p>
        </w:tc>
        <w:tc>
          <w:tcPr>
            <w:tcW w:w="4585" w:type="dxa"/>
            <w:vAlign w:val="center"/>
          </w:tcPr>
          <w:p w14:paraId="20D8706C">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color w:val="auto"/>
                <w:sz w:val="21"/>
                <w:szCs w:val="21"/>
                <w:lang w:val="en-US" w:eastAsia="zh-CN"/>
              </w:rPr>
              <w:t>纯度≥98%，速溶型。用量：100克/亩</w:t>
            </w:r>
          </w:p>
        </w:tc>
      </w:tr>
    </w:tbl>
    <w:p w14:paraId="04928C4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b w:val="0"/>
          <w:bCs w:val="0"/>
        </w:rPr>
      </w:pPr>
      <w:r>
        <w:rPr>
          <w:rFonts w:hint="eastAsia" w:asciiTheme="minorEastAsia" w:hAnsiTheme="minorEastAsia" w:eastAsiaTheme="minorEastAsia" w:cstheme="minorEastAsia"/>
          <w:b w:val="0"/>
          <w:bCs w:val="0"/>
          <w:color w:val="auto"/>
          <w:lang w:val="en-US" w:eastAsia="zh-CN"/>
        </w:rPr>
        <w:t>注：</w:t>
      </w:r>
      <w:r>
        <w:rPr>
          <w:rFonts w:hint="eastAsia" w:asciiTheme="minorEastAsia" w:hAnsiTheme="minorEastAsia" w:eastAsiaTheme="minorEastAsia" w:cstheme="minorEastAsia"/>
          <w:b w:val="0"/>
          <w:bCs w:val="0"/>
          <w:color w:val="auto"/>
        </w:rPr>
        <w:t>杀菌剂、叶面肥、植物生长调节剂、飞防助剂组成，亩用量、剂型均按照农药登记标准使用。</w:t>
      </w:r>
    </w:p>
    <w:p w14:paraId="4C2D079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1.2</w:t>
      </w:r>
      <w:r>
        <w:rPr>
          <w:rFonts w:hint="eastAsia" w:asciiTheme="minorEastAsia" w:hAnsiTheme="minorEastAsia" w:eastAsiaTheme="minorEastAsia" w:cstheme="minorEastAsia"/>
        </w:rPr>
        <w:t>用药要求</w:t>
      </w:r>
    </w:p>
    <w:p w14:paraId="597D89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（1）叶面肥类产品须提供肥料登记证</w:t>
      </w:r>
      <w:r>
        <w:rPr>
          <w:rFonts w:hint="eastAsia" w:asciiTheme="minorEastAsia" w:hAnsiTheme="minorEastAsia" w:cstheme="minorEastAsia"/>
          <w:lang w:val="en-US" w:eastAsia="zh-CN"/>
        </w:rPr>
        <w:t>或备案证明</w:t>
      </w:r>
      <w:r>
        <w:rPr>
          <w:rFonts w:hint="eastAsia" w:asciiTheme="minorEastAsia" w:hAnsiTheme="minorEastAsia" w:eastAsiaTheme="minorEastAsia" w:cstheme="minorEastAsia"/>
          <w:lang w:val="en-US" w:eastAsia="zh-CN"/>
        </w:rPr>
        <w:t>（免予登记的产品除外），</w:t>
      </w:r>
      <w:r>
        <w:rPr>
          <w:rFonts w:hint="eastAsia" w:asciiTheme="minorEastAsia" w:hAnsiTheme="minorEastAsia" w:cstheme="minorEastAsia"/>
          <w:lang w:val="en-US" w:eastAsia="zh-CN"/>
        </w:rPr>
        <w:t>且</w:t>
      </w:r>
      <w:r>
        <w:rPr>
          <w:rFonts w:hint="eastAsia" w:asciiTheme="minorEastAsia" w:hAnsiTheme="minorEastAsia" w:eastAsiaTheme="minorEastAsia" w:cstheme="minorEastAsia"/>
        </w:rPr>
        <w:t>在有效期内，</w:t>
      </w:r>
      <w:r>
        <w:rPr>
          <w:rFonts w:hint="eastAsia" w:asciiTheme="minorEastAsia" w:hAnsiTheme="minorEastAsia" w:eastAsiaTheme="minorEastAsia" w:cstheme="minorEastAsia"/>
          <w:lang w:val="en-US" w:eastAsia="zh-CN"/>
        </w:rPr>
        <w:t>并提供产品质量承诺书</w:t>
      </w:r>
      <w:r>
        <w:rPr>
          <w:rFonts w:hint="eastAsia" w:asciiTheme="minorEastAsia" w:hAnsiTheme="minorEastAsia" w:cstheme="minorEastAsia"/>
          <w:lang w:val="en-US" w:eastAsia="zh-CN"/>
        </w:rPr>
        <w:t>（格式自拟）</w:t>
      </w:r>
      <w:r>
        <w:rPr>
          <w:rFonts w:hint="eastAsia" w:asciiTheme="minorEastAsia" w:hAnsiTheme="minorEastAsia" w:eastAsiaTheme="minorEastAsia" w:cstheme="minorEastAsia"/>
          <w:lang w:val="en-US" w:eastAsia="zh-CN"/>
        </w:rPr>
        <w:t>。否则为无效响应。</w:t>
      </w:r>
    </w:p>
    <w:p w14:paraId="44E8A7D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（2）农药类</w:t>
      </w:r>
      <w:r>
        <w:rPr>
          <w:rFonts w:hint="eastAsia" w:asciiTheme="minorEastAsia" w:hAnsiTheme="minorEastAsia" w:cstheme="minorEastAsia"/>
          <w:lang w:val="en-US" w:eastAsia="zh-CN"/>
        </w:rPr>
        <w:t>须</w:t>
      </w:r>
      <w:r>
        <w:rPr>
          <w:rFonts w:hint="eastAsia" w:asciiTheme="minorEastAsia" w:hAnsiTheme="minorEastAsia" w:eastAsiaTheme="minorEastAsia" w:cstheme="minorEastAsia"/>
        </w:rPr>
        <w:t>“三证”</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农药登记证、生产许可证或生产批准证、</w:t>
      </w:r>
      <w:r>
        <w:rPr>
          <w:rFonts w:hint="eastAsia" w:asciiTheme="minorEastAsia" w:hAnsiTheme="minorEastAsia" w:eastAsiaTheme="minorEastAsia" w:cstheme="minorEastAsia"/>
          <w:lang w:val="en-US" w:eastAsia="zh-CN"/>
        </w:rPr>
        <w:t>产品</w:t>
      </w:r>
      <w:r>
        <w:rPr>
          <w:rFonts w:hint="eastAsia" w:asciiTheme="minorEastAsia" w:hAnsiTheme="minorEastAsia" w:eastAsiaTheme="minorEastAsia" w:cstheme="minorEastAsia"/>
        </w:rPr>
        <w:t>标准证</w:t>
      </w:r>
      <w:r>
        <w:rPr>
          <w:rFonts w:hint="eastAsia" w:asciiTheme="minorEastAsia" w:hAnsiTheme="minorEastAsia" w:eastAsiaTheme="minorEastAsia" w:cstheme="minorEastAsia"/>
          <w:lang w:eastAsia="zh-CN"/>
        </w:rPr>
        <w:t>）</w:t>
      </w:r>
      <w:r>
        <w:rPr>
          <w:rFonts w:hint="eastAsia" w:asciiTheme="minorEastAsia" w:hAnsiTheme="minorEastAsia" w:cstheme="minorEastAsia"/>
          <w:lang w:val="en-US" w:eastAsia="zh-CN"/>
        </w:rPr>
        <w:t>齐全</w:t>
      </w:r>
      <w:r>
        <w:rPr>
          <w:rFonts w:hint="eastAsia" w:asciiTheme="minorEastAsia" w:hAnsiTheme="minorEastAsia" w:eastAsiaTheme="minorEastAsia" w:cstheme="minorEastAsia"/>
        </w:rPr>
        <w:t>，</w:t>
      </w:r>
      <w:r>
        <w:rPr>
          <w:rFonts w:hint="eastAsia" w:asciiTheme="minorEastAsia" w:hAnsiTheme="minorEastAsia" w:cstheme="minorEastAsia"/>
          <w:lang w:val="en-US" w:eastAsia="zh-CN"/>
        </w:rPr>
        <w:t>且</w:t>
      </w:r>
      <w:r>
        <w:rPr>
          <w:rFonts w:hint="eastAsia" w:asciiTheme="minorEastAsia" w:hAnsiTheme="minorEastAsia" w:eastAsiaTheme="minorEastAsia" w:cstheme="minorEastAsia"/>
        </w:rPr>
        <w:t>在有效期内，</w:t>
      </w:r>
      <w:r>
        <w:rPr>
          <w:rFonts w:hint="eastAsia" w:asciiTheme="minorEastAsia" w:hAnsiTheme="minorEastAsia" w:eastAsiaTheme="minorEastAsia" w:cstheme="minorEastAsia"/>
          <w:lang w:val="en-US" w:eastAsia="zh-CN"/>
        </w:rPr>
        <w:t>并提供产品质量承诺书</w:t>
      </w:r>
      <w:r>
        <w:rPr>
          <w:rFonts w:hint="eastAsia" w:asciiTheme="minorEastAsia" w:hAnsiTheme="minorEastAsia" w:cstheme="minorEastAsia"/>
          <w:lang w:val="en-US" w:eastAsia="zh-CN"/>
        </w:rPr>
        <w:t>（格式自拟）</w:t>
      </w:r>
      <w:r>
        <w:rPr>
          <w:rFonts w:hint="eastAsia" w:asciiTheme="minorEastAsia" w:hAnsiTheme="minorEastAsia" w:eastAsiaTheme="minorEastAsia" w:cstheme="minorEastAsia"/>
          <w:lang w:val="en-US" w:eastAsia="zh-CN"/>
        </w:rPr>
        <w:t>。否则为无效响应。</w:t>
      </w:r>
    </w:p>
    <w:p w14:paraId="0940DA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供应商在以往的飞行作业中无重大安全事故发生、防治作业过程中从未发生过鱼、虾、蟹、蜂、蚕等死亡的次生灾害事故</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或因飞防引起的民事纠纷等</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，并提供承诺书</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否则为无效响应。</w:t>
      </w:r>
    </w:p>
    <w:p w14:paraId="4AF1B5F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飞防服务要求</w:t>
      </w:r>
    </w:p>
    <w:p w14:paraId="39DCD93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2.1飞防作业要纳入监管，实现作业面积、地点、药液量、喷洒质量全程信息化监管，保障喷施效果。中午太阳过于强烈不宜作业，具体作业时间分配可根据作业环境做适当调整。</w:t>
      </w:r>
    </w:p>
    <w:p w14:paraId="23A6CFE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2.2严格按照</w:t>
      </w:r>
      <w:r>
        <w:rPr>
          <w:rFonts w:hint="eastAsia" w:asciiTheme="minorEastAsia" w:hAnsiTheme="minorEastAsia" w:eastAsiaTheme="minorEastAsia" w:cstheme="minorEastAsia"/>
          <w:lang w:val="en-US" w:eastAsia="zh-CN"/>
        </w:rPr>
        <w:t>成交</w:t>
      </w:r>
      <w:r>
        <w:rPr>
          <w:rFonts w:hint="eastAsia" w:asciiTheme="minorEastAsia" w:hAnsiTheme="minorEastAsia" w:eastAsiaTheme="minorEastAsia" w:cstheme="minorEastAsia"/>
        </w:rPr>
        <w:t>药剂及符合产品使用说明书中、</w:t>
      </w:r>
      <w:r>
        <w:rPr>
          <w:rFonts w:hint="eastAsia" w:asciiTheme="minorEastAsia" w:hAnsiTheme="minorEastAsia" w:eastAsiaTheme="minorEastAsia" w:cstheme="minorEastAsia"/>
          <w:lang w:val="en-US" w:eastAsia="zh-CN"/>
        </w:rPr>
        <w:t>采购人</w:t>
      </w:r>
      <w:r>
        <w:rPr>
          <w:rFonts w:hint="eastAsia" w:asciiTheme="minorEastAsia" w:hAnsiTheme="minorEastAsia" w:eastAsiaTheme="minorEastAsia" w:cstheme="minorEastAsia"/>
        </w:rPr>
        <w:t>认可的使用量进行作业，严禁私自更换农药名称。如遇特殊情况，</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需立即报告</w:t>
      </w:r>
      <w:r>
        <w:rPr>
          <w:rFonts w:hint="eastAsia" w:asciiTheme="minorEastAsia" w:hAnsiTheme="minorEastAsia" w:eastAsiaTheme="minorEastAsia" w:cstheme="minorEastAsia"/>
          <w:lang w:val="en-US" w:eastAsia="zh-CN"/>
        </w:rPr>
        <w:t>采购人</w:t>
      </w:r>
      <w:r>
        <w:rPr>
          <w:rFonts w:hint="eastAsia" w:asciiTheme="minorEastAsia" w:hAnsiTheme="minorEastAsia" w:eastAsiaTheme="minorEastAsia" w:cstheme="minorEastAsia"/>
        </w:rPr>
        <w:t>，由</w:t>
      </w:r>
      <w:r>
        <w:rPr>
          <w:rFonts w:hint="eastAsia" w:asciiTheme="minorEastAsia" w:hAnsiTheme="minorEastAsia" w:eastAsiaTheme="minorEastAsia" w:cstheme="minorEastAsia"/>
          <w:lang w:val="en-US" w:eastAsia="zh-CN"/>
        </w:rPr>
        <w:t>采购人</w:t>
      </w:r>
      <w:r>
        <w:rPr>
          <w:rFonts w:hint="eastAsia" w:asciiTheme="minorEastAsia" w:hAnsiTheme="minorEastAsia" w:eastAsiaTheme="minorEastAsia" w:cstheme="minorEastAsia"/>
        </w:rPr>
        <w:t>根据实际情况作出调整。</w:t>
      </w:r>
    </w:p>
    <w:p w14:paraId="2004C3B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2.3飞防作业技术要求：</w:t>
      </w:r>
    </w:p>
    <w:p w14:paraId="0E327D8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cstheme="minorEastAsia"/>
          <w:lang w:eastAsia="zh-CN"/>
        </w:rPr>
        <w:t>（</w:t>
      </w:r>
      <w:r>
        <w:rPr>
          <w:rFonts w:hint="eastAsia" w:asciiTheme="minorEastAsia" w:hAnsiTheme="minorEastAsia" w:cstheme="minorEastAsia"/>
          <w:lang w:val="en-US" w:eastAsia="zh-CN"/>
        </w:rPr>
        <w:t>1</w:t>
      </w:r>
      <w:r>
        <w:rPr>
          <w:rFonts w:hint="eastAsia" w:asciiTheme="minorEastAsia" w:hAnsiTheme="minorEastAsia" w:cstheme="minorEastAsia"/>
          <w:lang w:eastAsia="zh-CN"/>
        </w:rPr>
        <w:t>）</w:t>
      </w:r>
      <w:r>
        <w:rPr>
          <w:rFonts w:hint="eastAsia" w:asciiTheme="minorEastAsia" w:hAnsiTheme="minorEastAsia" w:eastAsiaTheme="minorEastAsia" w:cstheme="minorEastAsia"/>
        </w:rPr>
        <w:t>飞防高度：除避让障碍物之外，距离作物冠层3.5—4米，不得高于4米。</w:t>
      </w:r>
    </w:p>
    <w:p w14:paraId="75ACCB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（2）飞行速度：3</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5米/秒。</w:t>
      </w:r>
    </w:p>
    <w:p w14:paraId="2328FC2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（3）喷洒亩用量：不低于</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升。</w:t>
      </w:r>
    </w:p>
    <w:p w14:paraId="3BF243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2.4飞防作业时应避开村庄、鱼塘、蜜蜂、桑蚕、畜禽养殖区域、敏感作物种植区。飞防服务组织对所有由飞防不当造成的损失承担全部责任，保证无飞防遗留问题（如农药漂移产生的次生灾害等）。</w:t>
      </w:r>
    </w:p>
    <w:p w14:paraId="5C2AA50A">
      <w:pPr>
        <w:keepNext w:val="0"/>
        <w:keepLines w:val="0"/>
        <w:pageBreakBefore w:val="0"/>
        <w:widowControl/>
        <w:numPr>
          <w:ilvl w:val="0"/>
          <w:numId w:val="0"/>
        </w:numPr>
        <w:shd w:val="clear" w:color="auto" w:fill="FFFFFF"/>
        <w:kinsoku/>
        <w:wordWrap/>
        <w:overflowPunct/>
        <w:autoSpaceDE/>
        <w:autoSpaceDN/>
        <w:bidi w:val="0"/>
        <w:adjustRightInd/>
        <w:spacing w:line="520" w:lineRule="exact"/>
        <w:ind w:firstLine="422" w:firstLineChars="200"/>
        <w:contextualSpacing/>
        <w:jc w:val="left"/>
        <w:textAlignment w:val="auto"/>
        <w:rPr>
          <w:rFonts w:hint="eastAsia" w:asciiTheme="minorEastAsia" w:hAnsiTheme="minorEastAsia" w:eastAsiaTheme="minorEastAsia" w:cstheme="minorEastAsia"/>
          <w:b/>
          <w:bCs/>
          <w:i w:val="0"/>
          <w:iCs w:val="0"/>
          <w:color w:val="auto"/>
          <w:kern w:val="2"/>
          <w:sz w:val="21"/>
          <w:szCs w:val="21"/>
          <w:highlight w:val="none"/>
          <w:lang w:val="zh-CN" w:eastAsia="zh-CN" w:bidi="ar-SA"/>
        </w:rPr>
      </w:pPr>
      <w:r>
        <w:rPr>
          <w:rFonts w:hint="eastAsia" w:asciiTheme="minorEastAsia" w:hAnsiTheme="minorEastAsia" w:eastAsiaTheme="minorEastAsia" w:cstheme="minorEastAsia"/>
          <w:b/>
          <w:bCs/>
          <w:i w:val="0"/>
          <w:iCs w:val="0"/>
          <w:color w:val="auto"/>
          <w:kern w:val="2"/>
          <w:sz w:val="21"/>
          <w:szCs w:val="21"/>
          <w:highlight w:val="none"/>
          <w:lang w:val="en-US" w:eastAsia="zh-CN" w:bidi="ar-SA"/>
        </w:rPr>
        <w:t>三</w:t>
      </w:r>
      <w:r>
        <w:rPr>
          <w:rFonts w:hint="eastAsia" w:asciiTheme="minorEastAsia" w:hAnsiTheme="minorEastAsia" w:eastAsiaTheme="minorEastAsia" w:cstheme="minorEastAsia"/>
          <w:b/>
          <w:bCs/>
          <w:i w:val="0"/>
          <w:iCs w:val="0"/>
          <w:color w:val="auto"/>
          <w:kern w:val="2"/>
          <w:sz w:val="21"/>
          <w:szCs w:val="21"/>
          <w:highlight w:val="none"/>
          <w:lang w:val="zh-CN" w:eastAsia="zh-CN" w:bidi="ar-SA"/>
        </w:rPr>
        <w:t>、服务标准、期限、效率等要求：</w:t>
      </w:r>
    </w:p>
    <w:p w14:paraId="790A7E3E">
      <w:pPr>
        <w:keepNext w:val="0"/>
        <w:keepLines w:val="0"/>
        <w:pageBreakBefore w:val="0"/>
        <w:widowControl/>
        <w:numPr>
          <w:ilvl w:val="0"/>
          <w:numId w:val="0"/>
        </w:numPr>
        <w:shd w:val="clear" w:color="auto" w:fill="FFFFFF"/>
        <w:kinsoku/>
        <w:wordWrap/>
        <w:overflowPunct/>
        <w:autoSpaceDE/>
        <w:autoSpaceDN/>
        <w:bidi w:val="0"/>
        <w:adjustRightInd/>
        <w:spacing w:line="520" w:lineRule="exact"/>
        <w:ind w:firstLine="420" w:firstLineChars="200"/>
        <w:contextualSpacing/>
        <w:jc w:val="left"/>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t>1.项目地点：禹州市，具体为采购人指定地点。</w:t>
      </w:r>
    </w:p>
    <w:p w14:paraId="7CF28658">
      <w:pPr>
        <w:keepNext w:val="0"/>
        <w:keepLines w:val="0"/>
        <w:pageBreakBefore w:val="0"/>
        <w:widowControl/>
        <w:numPr>
          <w:ilvl w:val="0"/>
          <w:numId w:val="0"/>
        </w:numPr>
        <w:shd w:val="clear" w:color="auto" w:fill="FFFFFF"/>
        <w:kinsoku/>
        <w:wordWrap/>
        <w:overflowPunct/>
        <w:autoSpaceDE/>
        <w:autoSpaceDN/>
        <w:bidi w:val="0"/>
        <w:adjustRightInd/>
        <w:spacing w:line="520" w:lineRule="exact"/>
        <w:ind w:firstLine="420" w:firstLineChars="200"/>
        <w:contextualSpacing/>
        <w:jc w:val="left"/>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t>2.合同履行期限：签订合同后10个日历天。</w:t>
      </w:r>
    </w:p>
    <w:p w14:paraId="7044D40E">
      <w:pPr>
        <w:keepNext w:val="0"/>
        <w:keepLines w:val="0"/>
        <w:pageBreakBefore w:val="0"/>
        <w:widowControl/>
        <w:numPr>
          <w:ilvl w:val="0"/>
          <w:numId w:val="0"/>
        </w:numPr>
        <w:shd w:val="clear" w:color="auto" w:fill="FFFFFF"/>
        <w:kinsoku/>
        <w:wordWrap/>
        <w:overflowPunct/>
        <w:autoSpaceDE/>
        <w:autoSpaceDN/>
        <w:bidi w:val="0"/>
        <w:adjustRightInd/>
        <w:spacing w:line="520" w:lineRule="exact"/>
        <w:ind w:firstLine="420" w:firstLineChars="200"/>
        <w:contextualSpacing/>
        <w:jc w:val="left"/>
        <w:textAlignment w:val="auto"/>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i w:val="0"/>
          <w:iCs w:val="0"/>
          <w:color w:val="auto"/>
          <w:kern w:val="2"/>
          <w:sz w:val="21"/>
          <w:szCs w:val="21"/>
          <w:highlight w:val="none"/>
          <w:lang w:val="en-US" w:eastAsia="zh-CN" w:bidi="ar-SA"/>
        </w:rPr>
        <w:t>3.质量标准：合格，符合国家或行业现行相关行业标准及要求。</w:t>
      </w:r>
    </w:p>
    <w:p w14:paraId="4B1181D5">
      <w:pPr>
        <w:keepNext w:val="0"/>
        <w:keepLines w:val="0"/>
        <w:pageBreakBefore w:val="0"/>
        <w:widowControl/>
        <w:numPr>
          <w:ilvl w:val="0"/>
          <w:numId w:val="0"/>
        </w:numPr>
        <w:shd w:val="clear" w:color="auto" w:fill="FFFFFF"/>
        <w:kinsoku/>
        <w:wordWrap/>
        <w:overflowPunct/>
        <w:autoSpaceDE/>
        <w:autoSpaceDN/>
        <w:bidi w:val="0"/>
        <w:adjustRightInd/>
        <w:spacing w:line="520" w:lineRule="exact"/>
        <w:ind w:leftChars="200"/>
        <w:contextualSpacing/>
        <w:jc w:val="left"/>
        <w:textAlignment w:val="auto"/>
        <w:rPr>
          <w:rFonts w:hint="eastAsia" w:asciiTheme="minorEastAsia" w:hAnsiTheme="minorEastAsia" w:eastAsiaTheme="minorEastAsia" w:cstheme="minorEastAsia"/>
          <w:b/>
          <w:color w:val="auto"/>
          <w:kern w:val="0"/>
          <w:szCs w:val="21"/>
          <w:highlight w:val="none"/>
          <w:lang w:val="zh-CN" w:eastAsia="zh-CN"/>
        </w:rPr>
      </w:pPr>
      <w:r>
        <w:rPr>
          <w:rFonts w:hint="eastAsia" w:asciiTheme="minorEastAsia" w:hAnsiTheme="minorEastAsia" w:eastAsiaTheme="minorEastAsia" w:cstheme="minorEastAsia"/>
          <w:b/>
          <w:color w:val="auto"/>
          <w:kern w:val="0"/>
          <w:szCs w:val="21"/>
          <w:highlight w:val="none"/>
          <w:lang w:val="en-US" w:eastAsia="zh-CN"/>
        </w:rPr>
        <w:t>四、</w:t>
      </w:r>
      <w:r>
        <w:rPr>
          <w:rFonts w:hint="eastAsia" w:asciiTheme="minorEastAsia" w:hAnsiTheme="minorEastAsia" w:eastAsiaTheme="minorEastAsia" w:cstheme="minorEastAsia"/>
          <w:b/>
          <w:color w:val="auto"/>
          <w:kern w:val="0"/>
          <w:szCs w:val="21"/>
          <w:highlight w:val="none"/>
          <w:lang w:val="zh-CN" w:eastAsia="zh-CN"/>
        </w:rPr>
        <w:t>采购标的的其他技术、服务等要求</w:t>
      </w:r>
    </w:p>
    <w:p w14:paraId="2724E7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w:t>
      </w:r>
      <w:r>
        <w:rPr>
          <w:rFonts w:hint="eastAsia" w:asciiTheme="minorEastAsia" w:hAnsiTheme="minorEastAsia" w:cstheme="minorEastAsia"/>
          <w:lang w:val="en-US" w:eastAsia="zh-CN"/>
        </w:rPr>
        <w:t>响应</w:t>
      </w:r>
      <w:r>
        <w:rPr>
          <w:rFonts w:hint="eastAsia" w:asciiTheme="minorEastAsia" w:hAnsiTheme="minorEastAsia" w:eastAsiaTheme="minorEastAsia" w:cstheme="minorEastAsia"/>
        </w:rPr>
        <w:t>报价应包含为完成本项目所需要的全部费用和税金，包括飞行费、航管手续费、飞机转场费、油料费、</w:t>
      </w:r>
      <w:r>
        <w:rPr>
          <w:rFonts w:hint="eastAsia" w:asciiTheme="minorEastAsia" w:hAnsiTheme="minorEastAsia" w:eastAsiaTheme="minorEastAsia" w:cstheme="minorEastAsia"/>
          <w:lang w:val="en-US" w:eastAsia="zh-CN"/>
        </w:rPr>
        <w:t>用药</w:t>
      </w:r>
      <w:r>
        <w:rPr>
          <w:rFonts w:hint="eastAsia" w:asciiTheme="minorEastAsia" w:hAnsiTheme="minorEastAsia" w:eastAsiaTheme="minorEastAsia" w:cstheme="minorEastAsia"/>
        </w:rPr>
        <w:t>费、</w:t>
      </w:r>
      <w:r>
        <w:rPr>
          <w:rFonts w:hint="eastAsia" w:asciiTheme="minorEastAsia" w:hAnsiTheme="minorEastAsia" w:eastAsiaTheme="minorEastAsia" w:cstheme="minorEastAsia"/>
          <w:lang w:val="en-US" w:eastAsia="zh-CN"/>
        </w:rPr>
        <w:t>飞防助剂、</w:t>
      </w:r>
      <w:r>
        <w:rPr>
          <w:rFonts w:hint="eastAsia" w:asciiTheme="minorEastAsia" w:hAnsiTheme="minorEastAsia" w:eastAsiaTheme="minorEastAsia" w:cstheme="minorEastAsia"/>
        </w:rPr>
        <w:t>第三方监督</w:t>
      </w:r>
      <w:r>
        <w:rPr>
          <w:rFonts w:hint="eastAsia" w:asciiTheme="minorEastAsia" w:hAnsiTheme="minorEastAsia" w:eastAsiaTheme="minorEastAsia" w:cstheme="minorEastAsia"/>
          <w:lang w:val="en-US" w:eastAsia="zh-CN"/>
        </w:rPr>
        <w:t>费用、</w:t>
      </w:r>
      <w:r>
        <w:rPr>
          <w:rFonts w:hint="eastAsia" w:asciiTheme="minorEastAsia" w:hAnsiTheme="minorEastAsia" w:eastAsiaTheme="minorEastAsia" w:cstheme="minorEastAsia"/>
        </w:rPr>
        <w:t>装药费、保障人员费用、飞行方人员的食宿等相关的所有费用。</w:t>
      </w:r>
    </w:p>
    <w:p w14:paraId="48D909E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违约责任：</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飞防效果达不到合同规定或者不能按期完成飞防，采购人有权拒绝验收，</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应负责重新实施补防并承担由此产生的实际费用，补防后仍达不到防治效果要求的，采购人有权拒绝付款，</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向采购人支付合同总价款5%的违约金。由于</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原因导致病虫害暴发的，</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向采购人赔偿控制病虫害所造成的损失。</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不按照技术要求，不使用无公害药剂，造成环境污染或中毒事件的，</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承担全部责任。</w:t>
      </w:r>
    </w:p>
    <w:p w14:paraId="3C6380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侵权责任：合同签订后，</w:t>
      </w:r>
      <w:r>
        <w:rPr>
          <w:rFonts w:hint="eastAsia" w:asciiTheme="minorEastAsia" w:hAnsiTheme="minorEastAsia" w:eastAsiaTheme="minorEastAsia" w:cstheme="minorEastAsia"/>
          <w:lang w:val="en-US" w:eastAsia="zh-CN"/>
        </w:rPr>
        <w:t>采购人</w:t>
      </w:r>
      <w:r>
        <w:rPr>
          <w:rFonts w:hint="eastAsia" w:asciiTheme="minorEastAsia" w:hAnsiTheme="minorEastAsia" w:eastAsiaTheme="minorEastAsia" w:cstheme="minorEastAsia"/>
        </w:rPr>
        <w:t>不承担涉及专利权、商标权、著作权、设备权等侵权责任，因侵权而引起的纠纷或赔偿均由</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承担。</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给第三方造成人身损害或财产损失的，由</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承担一切责任。</w:t>
      </w:r>
    </w:p>
    <w:p w14:paraId="540502D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w:t>
      </w:r>
      <w:r>
        <w:rPr>
          <w:rFonts w:hint="eastAsia" w:asciiTheme="minorEastAsia" w:hAnsiTheme="minorEastAsia" w:eastAsiaTheme="minorEastAsia" w:cstheme="minorEastAsia"/>
        </w:rPr>
        <w:t>废物回收要求：</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作业时不得乱丢乱放，应及时回收包装废弃物，特别是农药包装严禁随意丢弃，如不按要求作业造成不良影响的均由</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负责。</w:t>
      </w:r>
    </w:p>
    <w:p w14:paraId="6C1E761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响应文件中须有详细的实施（技术）方案，否则为无效响应文件。</w:t>
      </w:r>
    </w:p>
    <w:p w14:paraId="05207AC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.成交供应商</w:t>
      </w:r>
      <w:r>
        <w:rPr>
          <w:rFonts w:hint="eastAsia" w:asciiTheme="minorEastAsia" w:hAnsiTheme="minorEastAsia" w:eastAsiaTheme="minorEastAsia" w:cstheme="minorEastAsia"/>
          <w:lang w:val="en-US" w:eastAsia="zh-CN"/>
        </w:rPr>
        <w:t>在飞防前须</w:t>
      </w:r>
      <w:r>
        <w:rPr>
          <w:rFonts w:hint="eastAsia" w:asciiTheme="minorEastAsia" w:hAnsiTheme="minorEastAsia" w:eastAsiaTheme="minorEastAsia" w:cstheme="minorEastAsia"/>
        </w:rPr>
        <w:t>提供</w:t>
      </w:r>
      <w:r>
        <w:rPr>
          <w:rFonts w:hint="eastAsia" w:asciiTheme="minorEastAsia" w:hAnsiTheme="minorEastAsia" w:eastAsiaTheme="minorEastAsia" w:cstheme="minorEastAsia"/>
          <w:lang w:val="en-US" w:eastAsia="zh-CN"/>
        </w:rPr>
        <w:t>产品</w:t>
      </w:r>
      <w:r>
        <w:rPr>
          <w:rFonts w:hint="eastAsia" w:asciiTheme="minorEastAsia" w:hAnsiTheme="minorEastAsia" w:eastAsiaTheme="minorEastAsia" w:cstheme="minorEastAsia"/>
        </w:rPr>
        <w:t>的检测报告，采购人对采购物资应进行现场抽检、封样备查，</w:t>
      </w:r>
      <w:r>
        <w:rPr>
          <w:rFonts w:hint="eastAsia" w:asciiTheme="minorEastAsia" w:hAnsiTheme="minorEastAsia" w:eastAsiaTheme="minorEastAsia" w:cstheme="minorEastAsia"/>
          <w:lang w:val="en-US" w:eastAsia="zh-CN"/>
        </w:rPr>
        <w:t>供应商</w:t>
      </w:r>
      <w:r>
        <w:rPr>
          <w:rFonts w:hint="eastAsia" w:asciiTheme="minorEastAsia" w:hAnsiTheme="minorEastAsia" w:eastAsiaTheme="minorEastAsia" w:cstheme="minorEastAsia"/>
        </w:rPr>
        <w:t>对所</w:t>
      </w:r>
      <w:r>
        <w:rPr>
          <w:rFonts w:hint="eastAsia" w:asciiTheme="minorEastAsia" w:hAnsiTheme="minorEastAsia" w:eastAsiaTheme="minorEastAsia" w:cstheme="minorEastAsia"/>
          <w:lang w:val="en-US" w:eastAsia="zh-CN"/>
        </w:rPr>
        <w:t>用</w:t>
      </w:r>
      <w:r>
        <w:rPr>
          <w:rFonts w:hint="eastAsia" w:asciiTheme="minorEastAsia" w:hAnsiTheme="minorEastAsia" w:eastAsiaTheme="minorEastAsia" w:cstheme="minorEastAsia"/>
        </w:rPr>
        <w:t>产品质量负全责。否则为无效响应文件。</w:t>
      </w:r>
    </w:p>
    <w:p w14:paraId="19DC977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磋商</w:t>
      </w:r>
      <w:r>
        <w:rPr>
          <w:rFonts w:hint="eastAsia" w:asciiTheme="minorEastAsia" w:hAnsiTheme="minorEastAsia" w:eastAsiaTheme="minorEastAsia" w:cstheme="minorEastAsia"/>
        </w:rPr>
        <w:t>文件所列需求为最低要求，供应商不得低于此要求，否则为无效响应文</w:t>
      </w:r>
      <w:r>
        <w:rPr>
          <w:rFonts w:hint="eastAsia" w:asciiTheme="minorEastAsia" w:hAnsiTheme="minorEastAsia" w:eastAsiaTheme="minorEastAsia" w:cstheme="minorEastAsia"/>
          <w:lang w:val="en-US" w:eastAsia="zh-CN"/>
        </w:rPr>
        <w:t>件。</w:t>
      </w:r>
    </w:p>
    <w:p w14:paraId="3EF41F1A">
      <w:pPr>
        <w:keepNext w:val="0"/>
        <w:keepLines w:val="0"/>
        <w:pageBreakBefore w:val="0"/>
        <w:widowControl w:val="0"/>
        <w:kinsoku/>
        <w:wordWrap/>
        <w:overflowPunct/>
        <w:topLinePunct/>
        <w:autoSpaceDE/>
        <w:autoSpaceDN/>
        <w:bidi w:val="0"/>
        <w:adjustRightInd/>
        <w:snapToGrid w:val="0"/>
        <w:spacing w:line="520" w:lineRule="exact"/>
        <w:ind w:firstLine="422" w:firstLineChars="200"/>
        <w:textAlignment w:val="auto"/>
        <w:rPr>
          <w:rFonts w:hint="eastAsia" w:asciiTheme="minorEastAsia" w:hAnsiTheme="minorEastAsia" w:eastAsiaTheme="minorEastAsia" w:cstheme="minorEastAsia"/>
          <w:b/>
          <w:color w:val="auto"/>
          <w:kern w:val="0"/>
          <w:szCs w:val="21"/>
          <w:highlight w:val="none"/>
          <w:lang w:val="zh-CN"/>
        </w:rPr>
      </w:pPr>
      <w:r>
        <w:rPr>
          <w:rFonts w:hint="eastAsia" w:asciiTheme="minorEastAsia" w:hAnsiTheme="minorEastAsia" w:eastAsiaTheme="minorEastAsia" w:cstheme="minorEastAsia"/>
          <w:b/>
          <w:color w:val="auto"/>
          <w:kern w:val="0"/>
          <w:szCs w:val="21"/>
          <w:highlight w:val="none"/>
          <w:lang w:val="en-US" w:eastAsia="zh-CN"/>
        </w:rPr>
        <w:t>五</w:t>
      </w:r>
      <w:r>
        <w:rPr>
          <w:rFonts w:hint="eastAsia" w:asciiTheme="minorEastAsia" w:hAnsiTheme="minorEastAsia" w:eastAsiaTheme="minorEastAsia" w:cstheme="minorEastAsia"/>
          <w:b/>
          <w:color w:val="auto"/>
          <w:kern w:val="0"/>
          <w:szCs w:val="21"/>
          <w:highlight w:val="none"/>
          <w:lang w:val="zh-CN"/>
        </w:rPr>
        <w:t>、验收标准：</w:t>
      </w:r>
    </w:p>
    <w:p w14:paraId="701B6A9F">
      <w:pPr>
        <w:keepNext w:val="0"/>
        <w:keepLines w:val="0"/>
        <w:pageBreakBefore w:val="0"/>
        <w:widowControl w:val="0"/>
        <w:shd w:val="clear" w:color="auto" w:fill="FFFFFF"/>
        <w:kinsoku/>
        <w:wordWrap/>
        <w:overflowPunct/>
        <w:autoSpaceDE/>
        <w:autoSpaceDN/>
        <w:bidi w:val="0"/>
        <w:adjustRightInd/>
        <w:spacing w:line="52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由采购人成立验收小组</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按照采购合同的约定对中标人履约情况进行验收。验收时</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按照采购合同的约定对每一项技术、服务、安全标准的履约情况进行确认。验收结束后由验收小组出具验收报告</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列明各项标准的验收情况及项目总体评价</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由验收双方共同签署。</w:t>
      </w:r>
    </w:p>
    <w:p w14:paraId="2C421BA3">
      <w:pPr>
        <w:keepNext w:val="0"/>
        <w:keepLines w:val="0"/>
        <w:pageBreakBefore w:val="0"/>
        <w:widowControl w:val="0"/>
        <w:kinsoku/>
        <w:wordWrap/>
        <w:overflowPunct/>
        <w:autoSpaceDE/>
        <w:autoSpaceDN/>
        <w:bidi w:val="0"/>
        <w:adjustRightInd/>
        <w:spacing w:line="5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eastAsia="zh-CN"/>
        </w:rPr>
        <w:t>1.</w:t>
      </w:r>
      <w:r>
        <w:rPr>
          <w:rFonts w:hint="eastAsia" w:asciiTheme="minorEastAsia" w:hAnsiTheme="minorEastAsia" w:eastAsiaTheme="minorEastAsia" w:cstheme="minorEastAsia"/>
          <w:color w:val="auto"/>
          <w:kern w:val="0"/>
          <w:szCs w:val="21"/>
          <w:highlight w:val="none"/>
        </w:rPr>
        <w:t>按照国家相关标准、行业标准、地方标准或者其他标准、规范验收；</w:t>
      </w:r>
    </w:p>
    <w:p w14:paraId="71726447">
      <w:pPr>
        <w:keepNext w:val="0"/>
        <w:keepLines w:val="0"/>
        <w:pageBreakBefore w:val="0"/>
        <w:widowControl w:val="0"/>
        <w:kinsoku/>
        <w:wordWrap/>
        <w:overflowPunct/>
        <w:autoSpaceDE/>
        <w:autoSpaceDN/>
        <w:bidi w:val="0"/>
        <w:adjustRightInd/>
        <w:spacing w:line="520" w:lineRule="exact"/>
        <w:ind w:firstLine="420" w:firstLineChars="200"/>
        <w:textAlignment w:val="auto"/>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lang w:eastAsia="zh-CN"/>
        </w:rPr>
        <w:t>2.</w:t>
      </w:r>
      <w:r>
        <w:rPr>
          <w:rFonts w:hint="eastAsia" w:asciiTheme="minorEastAsia" w:hAnsiTheme="minorEastAsia" w:eastAsiaTheme="minorEastAsia" w:cstheme="minorEastAsia"/>
          <w:color w:val="auto"/>
          <w:kern w:val="0"/>
          <w:szCs w:val="21"/>
          <w:highlight w:val="none"/>
        </w:rPr>
        <w:t>按照磋商文件要求、投标文件响应和承诺验收</w:t>
      </w:r>
      <w:r>
        <w:rPr>
          <w:rFonts w:hint="eastAsia" w:asciiTheme="minorEastAsia" w:hAnsiTheme="minorEastAsia" w:eastAsiaTheme="minorEastAsia" w:cstheme="minorEastAsia"/>
          <w:color w:val="auto"/>
          <w:kern w:val="0"/>
          <w:szCs w:val="21"/>
          <w:highlight w:val="none"/>
          <w:lang w:eastAsia="zh-CN"/>
        </w:rPr>
        <w:t>。</w:t>
      </w:r>
    </w:p>
    <w:p w14:paraId="2CF2FEF8">
      <w:pPr>
        <w:keepNext w:val="0"/>
        <w:keepLines w:val="0"/>
        <w:pageBreakBefore w:val="0"/>
        <w:widowControl w:val="0"/>
        <w:shd w:val="clear" w:color="auto" w:fill="FFFFFF"/>
        <w:kinsoku/>
        <w:wordWrap/>
        <w:overflowPunct/>
        <w:autoSpaceDE/>
        <w:autoSpaceDN/>
        <w:bidi w:val="0"/>
        <w:adjustRightInd/>
        <w:spacing w:line="520" w:lineRule="exact"/>
        <w:ind w:firstLine="422" w:firstLineChars="200"/>
        <w:contextualSpacing/>
        <w:jc w:val="left"/>
        <w:textAlignment w:val="auto"/>
        <w:rPr>
          <w:rFonts w:hint="eastAsia" w:asciiTheme="minorEastAsia" w:hAnsiTheme="minorEastAsia" w:eastAsiaTheme="minorEastAsia" w:cstheme="minorEastAsia"/>
          <w:b/>
          <w:color w:val="auto"/>
          <w:kern w:val="0"/>
          <w:szCs w:val="21"/>
          <w:highlight w:val="none"/>
          <w:lang w:val="zh-CN"/>
        </w:rPr>
      </w:pPr>
      <w:r>
        <w:rPr>
          <w:rFonts w:hint="eastAsia" w:asciiTheme="minorEastAsia" w:hAnsiTheme="minorEastAsia" w:eastAsiaTheme="minorEastAsia" w:cstheme="minorEastAsia"/>
          <w:b/>
          <w:color w:val="auto"/>
          <w:kern w:val="0"/>
          <w:szCs w:val="21"/>
          <w:highlight w:val="none"/>
          <w:lang w:val="en-US" w:eastAsia="zh-CN"/>
        </w:rPr>
        <w:t>六</w:t>
      </w:r>
      <w:r>
        <w:rPr>
          <w:rFonts w:hint="eastAsia" w:asciiTheme="minorEastAsia" w:hAnsiTheme="minorEastAsia" w:eastAsiaTheme="minorEastAsia" w:cstheme="minorEastAsia"/>
          <w:b/>
          <w:color w:val="auto"/>
          <w:kern w:val="0"/>
          <w:szCs w:val="21"/>
          <w:highlight w:val="none"/>
          <w:lang w:val="zh-CN"/>
        </w:rPr>
        <w:t>、资金支付</w:t>
      </w:r>
    </w:p>
    <w:p w14:paraId="633691B1">
      <w:pPr>
        <w:keepNext w:val="0"/>
        <w:keepLines w:val="0"/>
        <w:pageBreakBefore w:val="0"/>
        <w:widowControl w:val="0"/>
        <w:shd w:val="clear" w:color="auto" w:fill="FFFFFF"/>
        <w:kinsoku/>
        <w:wordWrap/>
        <w:overflowPunct/>
        <w:autoSpaceDE/>
        <w:autoSpaceDN/>
        <w:bidi w:val="0"/>
        <w:adjustRightInd/>
        <w:spacing w:line="52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1.</w:t>
      </w:r>
      <w:r>
        <w:rPr>
          <w:rFonts w:hint="eastAsia" w:asciiTheme="minorEastAsia" w:hAnsiTheme="minorEastAsia" w:eastAsiaTheme="minorEastAsia" w:cstheme="minorEastAsia"/>
          <w:color w:val="auto"/>
          <w:kern w:val="0"/>
          <w:szCs w:val="21"/>
          <w:highlight w:val="none"/>
        </w:rPr>
        <w:t>支付方式：</w:t>
      </w:r>
      <w:r>
        <w:rPr>
          <w:rFonts w:hint="eastAsia" w:asciiTheme="minorEastAsia" w:hAnsiTheme="minorEastAsia" w:eastAsiaTheme="minorEastAsia" w:cstheme="minorEastAsia"/>
          <w:color w:val="auto"/>
          <w:kern w:val="0"/>
          <w:szCs w:val="21"/>
          <w:highlight w:val="none"/>
          <w:lang w:eastAsia="zh-CN"/>
        </w:rPr>
        <w:t>银行转账</w:t>
      </w:r>
      <w:r>
        <w:rPr>
          <w:rFonts w:hint="eastAsia" w:asciiTheme="minorEastAsia" w:hAnsiTheme="minorEastAsia" w:eastAsiaTheme="minorEastAsia" w:cstheme="minorEastAsia"/>
          <w:color w:val="auto"/>
          <w:kern w:val="0"/>
          <w:szCs w:val="21"/>
          <w:highlight w:val="none"/>
          <w:lang w:val="en-US" w:eastAsia="zh-CN"/>
        </w:rPr>
        <w:t>。</w:t>
      </w:r>
    </w:p>
    <w:p w14:paraId="48075ACD">
      <w:pPr>
        <w:keepNext w:val="0"/>
        <w:keepLines w:val="0"/>
        <w:pageBreakBefore w:val="0"/>
        <w:widowControl w:val="0"/>
        <w:shd w:val="clear" w:color="auto" w:fill="FFFFFF"/>
        <w:kinsoku/>
        <w:wordWrap/>
        <w:overflowPunct/>
        <w:autoSpaceDE/>
        <w:autoSpaceDN/>
        <w:bidi w:val="0"/>
        <w:adjustRightInd/>
        <w:spacing w:line="520" w:lineRule="exact"/>
        <w:ind w:firstLine="420" w:firstLineChars="200"/>
        <w:jc w:val="left"/>
        <w:textAlignment w:val="auto"/>
        <w:rPr>
          <w:rFonts w:hint="eastAsia" w:asciiTheme="minorEastAsia" w:hAnsiTheme="minorEastAsia" w:eastAsiaTheme="minorEastAsia" w:cstheme="minorEastAsia"/>
          <w:color w:val="auto"/>
          <w:kern w:val="0"/>
          <w:szCs w:val="21"/>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2.</w:t>
      </w:r>
      <w:r>
        <w:rPr>
          <w:rFonts w:hint="eastAsia" w:asciiTheme="minorEastAsia" w:hAnsiTheme="minorEastAsia" w:eastAsiaTheme="minorEastAsia" w:cstheme="minorEastAsia"/>
          <w:color w:val="auto"/>
          <w:kern w:val="0"/>
          <w:szCs w:val="21"/>
          <w:highlight w:val="none"/>
        </w:rPr>
        <w:t>支付时间及条件：</w:t>
      </w:r>
      <w:r>
        <w:rPr>
          <w:rFonts w:hint="eastAsia" w:asciiTheme="minorEastAsia" w:hAnsiTheme="minorEastAsia" w:eastAsiaTheme="minorEastAsia" w:cstheme="minorEastAsia"/>
          <w:color w:val="auto"/>
          <w:spacing w:val="7"/>
          <w:sz w:val="21"/>
          <w:szCs w:val="21"/>
          <w:highlight w:val="none"/>
          <w:lang w:val="zh-CN"/>
        </w:rPr>
        <w:t>验收合格后按政府采购资金拨付程序执行。</w:t>
      </w:r>
    </w:p>
    <w:p w14:paraId="417AB1BF">
      <w:pPr>
        <w:widowControl/>
        <w:shd w:val="clear" w:color="auto" w:fill="FFFFFF"/>
        <w:spacing w:line="560" w:lineRule="exact"/>
        <w:ind w:firstLine="600"/>
        <w:jc w:val="left"/>
        <w:rPr>
          <w:rFonts w:hint="eastAsia" w:ascii="宋体" w:hAnsi="宋体" w:eastAsia="宋体" w:cs="宋体"/>
          <w:color w:val="auto"/>
          <w:kern w:val="0"/>
          <w:szCs w:val="21"/>
          <w:highlight w:val="none"/>
        </w:rPr>
      </w:pPr>
    </w:p>
    <w:p w14:paraId="72F25C41">
      <w:pPr>
        <w:pStyle w:val="7"/>
        <w:rPr>
          <w:rFonts w:hint="eastAsia" w:ascii="宋体" w:hAnsi="宋体" w:eastAsia="宋体" w:cs="宋体"/>
          <w:b/>
          <w:color w:val="auto"/>
          <w:kern w:val="0"/>
          <w:sz w:val="32"/>
          <w:szCs w:val="32"/>
          <w:highlight w:val="none"/>
        </w:rPr>
      </w:pPr>
    </w:p>
    <w:p w14:paraId="050F6C06">
      <w:pPr>
        <w:widowControl/>
        <w:ind w:firstLine="2570" w:firstLineChars="800"/>
        <w:jc w:val="both"/>
        <w:rPr>
          <w:rFonts w:hint="eastAsia" w:ascii="宋体" w:hAnsi="宋体" w:eastAsia="宋体" w:cs="宋体"/>
          <w:b/>
          <w:color w:val="auto"/>
          <w:kern w:val="0"/>
          <w:sz w:val="32"/>
          <w:szCs w:val="32"/>
          <w:highlight w:val="none"/>
        </w:rPr>
      </w:pPr>
    </w:p>
    <w:p w14:paraId="3C6E6AE3">
      <w:pPr>
        <w:widowControl/>
        <w:ind w:firstLine="2570" w:firstLineChars="800"/>
        <w:jc w:val="both"/>
        <w:rPr>
          <w:rFonts w:hint="eastAsia" w:ascii="宋体" w:hAnsi="宋体" w:eastAsia="宋体" w:cs="宋体"/>
          <w:b/>
          <w:color w:val="auto"/>
          <w:kern w:val="0"/>
          <w:sz w:val="32"/>
          <w:szCs w:val="32"/>
          <w:highlight w:val="none"/>
        </w:rPr>
      </w:pPr>
    </w:p>
    <w:p w14:paraId="0C4AE99C">
      <w:pPr>
        <w:widowControl/>
        <w:ind w:firstLine="2570" w:firstLineChars="800"/>
        <w:jc w:val="both"/>
        <w:rPr>
          <w:rFonts w:hint="eastAsia" w:ascii="宋体" w:hAnsi="宋体" w:eastAsia="宋体" w:cs="宋体"/>
          <w:b/>
          <w:color w:val="auto"/>
          <w:kern w:val="0"/>
          <w:sz w:val="32"/>
          <w:szCs w:val="32"/>
          <w:highlight w:val="none"/>
        </w:rPr>
      </w:pPr>
    </w:p>
    <w:p w14:paraId="133A57EF">
      <w:pPr>
        <w:widowControl/>
        <w:ind w:firstLine="2570" w:firstLineChars="800"/>
        <w:jc w:val="both"/>
        <w:rPr>
          <w:rFonts w:hint="eastAsia" w:ascii="宋体" w:hAnsi="宋体" w:eastAsia="宋体" w:cs="宋体"/>
          <w:b/>
          <w:color w:val="auto"/>
          <w:kern w:val="0"/>
          <w:sz w:val="32"/>
          <w:szCs w:val="32"/>
          <w:highlight w:val="none"/>
        </w:rPr>
      </w:pPr>
    </w:p>
    <w:p w14:paraId="6F83EC46">
      <w:pPr>
        <w:widowControl/>
        <w:ind w:firstLine="2570" w:firstLineChars="800"/>
        <w:jc w:val="both"/>
        <w:rPr>
          <w:rFonts w:hint="eastAsia" w:ascii="宋体" w:hAnsi="宋体" w:eastAsia="宋体" w:cs="宋体"/>
          <w:b/>
          <w:color w:val="auto"/>
          <w:kern w:val="0"/>
          <w:sz w:val="32"/>
          <w:szCs w:val="32"/>
          <w:highlight w:val="none"/>
        </w:rPr>
      </w:pPr>
    </w:p>
    <w:p w14:paraId="76CB686E">
      <w:pPr>
        <w:widowControl/>
        <w:ind w:firstLine="2570" w:firstLineChars="800"/>
        <w:jc w:val="both"/>
        <w:rPr>
          <w:rFonts w:hint="eastAsia" w:ascii="宋体" w:hAnsi="宋体" w:eastAsia="宋体" w:cs="宋体"/>
          <w:b/>
          <w:color w:val="auto"/>
          <w:kern w:val="0"/>
          <w:sz w:val="32"/>
          <w:szCs w:val="32"/>
          <w:highlight w:val="none"/>
        </w:rPr>
      </w:pPr>
    </w:p>
    <w:p w14:paraId="2031CF71">
      <w:pPr>
        <w:widowControl/>
        <w:ind w:firstLine="2570" w:firstLineChars="800"/>
        <w:jc w:val="both"/>
        <w:rPr>
          <w:rFonts w:hint="eastAsia" w:ascii="宋体" w:hAnsi="宋体" w:eastAsia="宋体" w:cs="宋体"/>
          <w:b/>
          <w:color w:val="auto"/>
          <w:kern w:val="0"/>
          <w:sz w:val="32"/>
          <w:szCs w:val="32"/>
          <w:highlight w:val="none"/>
        </w:rPr>
      </w:pPr>
    </w:p>
    <w:p w14:paraId="104A5EED">
      <w:pPr>
        <w:widowControl/>
        <w:jc w:val="both"/>
        <w:rPr>
          <w:rFonts w:hint="eastAsia" w:ascii="宋体" w:hAnsi="宋体" w:eastAsia="宋体" w:cs="宋体"/>
          <w:b/>
          <w:color w:val="auto"/>
          <w:kern w:val="0"/>
          <w:sz w:val="32"/>
          <w:szCs w:val="32"/>
          <w:highlight w:val="none"/>
        </w:rPr>
      </w:pPr>
    </w:p>
    <w:p w14:paraId="154589AF">
      <w:pPr>
        <w:widowControl/>
        <w:ind w:firstLine="2249" w:firstLineChars="70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第三章 供应商须知前附表</w:t>
      </w:r>
    </w:p>
    <w:p w14:paraId="54F40861">
      <w:pPr>
        <w:autoSpaceDE w:val="0"/>
        <w:autoSpaceDN w:val="0"/>
        <w:adjustRightInd w:val="0"/>
        <w:spacing w:line="360" w:lineRule="auto"/>
        <w:ind w:right="-11"/>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磋商文件中凡标有★条款均为实质性要求条款，响应文件须完全响应，未实质响应的，按照无效响应处理。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7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7B67D776">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918" w:type="dxa"/>
            <w:vAlign w:val="center"/>
          </w:tcPr>
          <w:p w14:paraId="6D596FA2">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63" w:type="dxa"/>
            <w:vAlign w:val="center"/>
          </w:tcPr>
          <w:p w14:paraId="37407A0B">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767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06" w:type="dxa"/>
            <w:vAlign w:val="center"/>
          </w:tcPr>
          <w:p w14:paraId="0A7DDA4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18" w:type="dxa"/>
            <w:vAlign w:val="center"/>
          </w:tcPr>
          <w:p w14:paraId="5DD2D3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63" w:type="dxa"/>
            <w:vAlign w:val="center"/>
          </w:tcPr>
          <w:p w14:paraId="01A0B283">
            <w:pPr>
              <w:autoSpaceDE w:val="0"/>
              <w:autoSpaceDN w:val="0"/>
              <w:adjustRightInd w:val="0"/>
              <w:spacing w:line="276"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val="en-US" w:eastAsia="zh-CN"/>
              </w:rPr>
              <w:t>禹州市农业农村局2026年中央财政农业防灾减灾资金（防灾救灾第六批）采购项目</w:t>
            </w:r>
          </w:p>
        </w:tc>
      </w:tr>
      <w:tr w14:paraId="334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A83940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18" w:type="dxa"/>
            <w:vAlign w:val="center"/>
          </w:tcPr>
          <w:p w14:paraId="0C595B6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63" w:type="dxa"/>
            <w:vAlign w:val="center"/>
          </w:tcPr>
          <w:p w14:paraId="70D7FE5F">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名称：禹州市农业农村局</w:t>
            </w:r>
          </w:p>
          <w:p w14:paraId="5904CF4A">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 址：禹州市禹王大道29号</w:t>
            </w:r>
          </w:p>
          <w:p w14:paraId="1E25C331">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联系人：董女士</w:t>
            </w:r>
          </w:p>
          <w:p w14:paraId="41E246F4">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联系电话：0374-8609623</w:t>
            </w:r>
          </w:p>
        </w:tc>
      </w:tr>
      <w:tr w14:paraId="294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505F9C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18" w:type="dxa"/>
            <w:vAlign w:val="center"/>
          </w:tcPr>
          <w:p w14:paraId="3B309A0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w:t>
            </w:r>
          </w:p>
        </w:tc>
        <w:tc>
          <w:tcPr>
            <w:tcW w:w="7163" w:type="dxa"/>
            <w:vAlign w:val="center"/>
          </w:tcPr>
          <w:p w14:paraId="079972E8">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名称：师梦勘测设计集团有限公司</w:t>
            </w:r>
          </w:p>
          <w:p w14:paraId="44EEC755">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地址：郑州市高新技术开发区冬青街46号B区007号</w:t>
            </w:r>
          </w:p>
          <w:p w14:paraId="57190D07">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联系人：王女士</w:t>
            </w:r>
          </w:p>
          <w:p w14:paraId="31767330">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联系方式：</w:t>
            </w:r>
            <w:r>
              <w:rPr>
                <w:rFonts w:hint="eastAsia" w:ascii="宋体" w:hAnsi="宋体" w:eastAsia="宋体" w:cs="宋体"/>
                <w:color w:val="auto"/>
                <w:sz w:val="21"/>
                <w:szCs w:val="21"/>
                <w:highlight w:val="none"/>
                <w:lang w:val="en-US" w:eastAsia="zh-CN"/>
              </w:rPr>
              <w:t>13733156531</w:t>
            </w:r>
          </w:p>
        </w:tc>
      </w:tr>
      <w:tr w14:paraId="7F1A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34274D3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918" w:type="dxa"/>
            <w:vMerge w:val="restart"/>
            <w:vAlign w:val="center"/>
          </w:tcPr>
          <w:p w14:paraId="34AAFD6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7163" w:type="dxa"/>
            <w:vAlign w:val="center"/>
          </w:tcPr>
          <w:p w14:paraId="508DE345">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w:t>
            </w:r>
            <w:r>
              <w:rPr>
                <w:rFonts w:hint="eastAsia" w:ascii="宋体" w:hAnsi="宋体" w:eastAsia="宋体" w:cs="宋体"/>
                <w:color w:val="auto"/>
                <w:szCs w:val="21"/>
                <w:highlight w:val="none"/>
                <w:lang w:val="en-US" w:eastAsia="zh-CN"/>
              </w:rPr>
              <w:t>或</w:t>
            </w:r>
            <w:r>
              <w:rPr>
                <w:rFonts w:hint="eastAsia" w:ascii="宋体" w:hAnsi="宋体" w:eastAsia="宋体" w:cs="宋体"/>
                <w:color w:val="auto"/>
                <w:szCs w:val="21"/>
                <w:highlight w:val="none"/>
                <w:lang w:val="zh-CN"/>
              </w:rPr>
              <w:t>监狱企业证明文件</w:t>
            </w:r>
          </w:p>
          <w:p w14:paraId="7F03F9BB">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67AEDB06">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16387FC2">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监狱企业提供由省级以上监狱管理局、戒毒管理局（含新疆生产建设兵团）出具的属于监狱企业的证明文件</w:t>
            </w:r>
          </w:p>
        </w:tc>
      </w:tr>
      <w:tr w14:paraId="403C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7819E8D8">
            <w:pPr>
              <w:autoSpaceDE w:val="0"/>
              <w:autoSpaceDN w:val="0"/>
              <w:adjustRightInd w:val="0"/>
              <w:spacing w:line="276" w:lineRule="auto"/>
              <w:jc w:val="center"/>
              <w:rPr>
                <w:rFonts w:hint="eastAsia" w:ascii="宋体" w:hAnsi="宋体" w:eastAsia="宋体" w:cs="宋体"/>
                <w:color w:val="auto"/>
                <w:szCs w:val="21"/>
                <w:highlight w:val="none"/>
              </w:rPr>
            </w:pPr>
          </w:p>
        </w:tc>
        <w:tc>
          <w:tcPr>
            <w:tcW w:w="1918" w:type="dxa"/>
            <w:vMerge w:val="continue"/>
            <w:vAlign w:val="center"/>
          </w:tcPr>
          <w:p w14:paraId="1206ABD4">
            <w:pPr>
              <w:autoSpaceDE w:val="0"/>
              <w:autoSpaceDN w:val="0"/>
              <w:adjustRightInd w:val="0"/>
              <w:spacing w:line="276" w:lineRule="auto"/>
              <w:jc w:val="center"/>
              <w:rPr>
                <w:rFonts w:hint="eastAsia" w:ascii="宋体" w:hAnsi="宋体" w:eastAsia="宋体" w:cs="宋体"/>
                <w:color w:val="auto"/>
                <w:szCs w:val="21"/>
                <w:highlight w:val="none"/>
              </w:rPr>
            </w:pPr>
          </w:p>
        </w:tc>
        <w:tc>
          <w:tcPr>
            <w:tcW w:w="7163" w:type="dxa"/>
            <w:vAlign w:val="center"/>
          </w:tcPr>
          <w:p w14:paraId="781A1D73">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二、</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482885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4DC755F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463B9BE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290047F7">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27A9AE2D">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222D0319">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70D1CA82">
            <w:pPr>
              <w:pStyle w:val="35"/>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78E2EFFF">
            <w:pPr>
              <w:pStyle w:val="35"/>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62D896FA">
            <w:pPr>
              <w:pStyle w:val="35"/>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p w14:paraId="15B26680">
            <w:pPr>
              <w:pStyle w:val="35"/>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仿宋_GB2312"/>
                <w:szCs w:val="21"/>
              </w:rPr>
              <w:t>三、特定资格要求：详见</w:t>
            </w:r>
            <w:r>
              <w:rPr>
                <w:rFonts w:hint="eastAsia" w:ascii="宋体" w:hAnsi="宋体" w:eastAsia="宋体" w:cs="仿宋_GB2312"/>
                <w:szCs w:val="21"/>
                <w:lang w:val="en-US" w:eastAsia="zh-CN"/>
              </w:rPr>
              <w:t>磋商</w:t>
            </w:r>
            <w:r>
              <w:rPr>
                <w:rFonts w:hint="eastAsia" w:ascii="宋体" w:hAnsi="宋体" w:eastAsia="宋体" w:cs="仿宋_GB2312"/>
                <w:szCs w:val="21"/>
              </w:rPr>
              <w:t>公告</w:t>
            </w:r>
          </w:p>
        </w:tc>
      </w:tr>
      <w:tr w14:paraId="546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BED7C5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918" w:type="dxa"/>
            <w:vAlign w:val="center"/>
          </w:tcPr>
          <w:p w14:paraId="5AFB7AD2">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7163" w:type="dxa"/>
            <w:vAlign w:val="center"/>
          </w:tcPr>
          <w:p w14:paraId="7220E2D4">
            <w:pPr>
              <w:autoSpaceDE w:val="0"/>
              <w:autoSpaceDN w:val="0"/>
              <w:adjustRightInd w:val="0"/>
              <w:spacing w:line="276" w:lineRule="auto"/>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F14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605A2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918" w:type="dxa"/>
            <w:vAlign w:val="center"/>
          </w:tcPr>
          <w:p w14:paraId="04FD1AF2">
            <w:pPr>
              <w:autoSpaceDE w:val="0"/>
              <w:autoSpaceDN w:val="0"/>
              <w:adjustRightInd w:val="0"/>
              <w:spacing w:line="276" w:lineRule="auto"/>
              <w:jc w:val="center"/>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rPr>
              <w:t>★</w:t>
            </w:r>
            <w:r>
              <w:rPr>
                <w:rFonts w:hint="eastAsia" w:ascii="宋体" w:hAnsi="宋体" w:eastAsia="宋体" w:cs="宋体"/>
                <w:b/>
                <w:bCs w:val="0"/>
                <w:color w:val="auto"/>
                <w:szCs w:val="21"/>
                <w:highlight w:val="none"/>
                <w:lang w:val="en-US" w:eastAsia="zh-CN"/>
              </w:rPr>
              <w:t>最高限价</w:t>
            </w:r>
          </w:p>
        </w:tc>
        <w:tc>
          <w:tcPr>
            <w:tcW w:w="7163" w:type="dxa"/>
            <w:vAlign w:val="center"/>
          </w:tcPr>
          <w:p w14:paraId="6BCF689D">
            <w:pPr>
              <w:autoSpaceDE w:val="0"/>
              <w:autoSpaceDN w:val="0"/>
              <w:adjustRightInd w:val="0"/>
              <w:spacing w:line="276" w:lineRule="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shd w:val="clear" w:color="auto" w:fill="FFFFFF"/>
                <w:lang w:val="en-US" w:eastAsia="zh-CN"/>
              </w:rPr>
              <w:t>910000元</w:t>
            </w:r>
            <w:r>
              <w:rPr>
                <w:rFonts w:hint="eastAsia" w:ascii="宋体" w:hAnsi="宋体" w:eastAsia="宋体" w:cs="宋体"/>
                <w:b/>
                <w:bCs w:val="0"/>
                <w:color w:val="auto"/>
                <w:szCs w:val="21"/>
                <w:highlight w:val="none"/>
                <w:lang w:val="zh-CN"/>
              </w:rPr>
              <w:t>，超出</w:t>
            </w:r>
            <w:r>
              <w:rPr>
                <w:rFonts w:hint="eastAsia" w:ascii="宋体" w:hAnsi="宋体" w:eastAsia="宋体" w:cs="宋体"/>
                <w:b/>
                <w:bCs w:val="0"/>
                <w:color w:val="auto"/>
                <w:szCs w:val="21"/>
                <w:highlight w:val="none"/>
                <w:lang w:val="en-US" w:eastAsia="zh-CN"/>
              </w:rPr>
              <w:t>最高限价的</w:t>
            </w:r>
            <w:r>
              <w:rPr>
                <w:rFonts w:hint="eastAsia" w:ascii="宋体" w:hAnsi="宋体" w:eastAsia="宋体" w:cs="宋体"/>
                <w:b/>
                <w:bCs w:val="0"/>
                <w:color w:val="auto"/>
                <w:szCs w:val="21"/>
                <w:highlight w:val="none"/>
                <w:lang w:val="zh-CN"/>
              </w:rPr>
              <w:t>响应无效。</w:t>
            </w:r>
          </w:p>
        </w:tc>
      </w:tr>
      <w:tr w14:paraId="2CC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589528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918" w:type="dxa"/>
            <w:vAlign w:val="center"/>
          </w:tcPr>
          <w:p w14:paraId="189E358D">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7163" w:type="dxa"/>
            <w:vAlign w:val="center"/>
          </w:tcPr>
          <w:p w14:paraId="4986DFDF">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不组织</w:t>
            </w:r>
          </w:p>
          <w:p w14:paraId="55A688F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005F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77004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918" w:type="dxa"/>
            <w:vAlign w:val="center"/>
          </w:tcPr>
          <w:p w14:paraId="3774700C">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磋商前答疑会</w:t>
            </w:r>
          </w:p>
        </w:tc>
        <w:tc>
          <w:tcPr>
            <w:tcW w:w="7163" w:type="dxa"/>
            <w:vAlign w:val="center"/>
          </w:tcPr>
          <w:p w14:paraId="42F587C7">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D7EDC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27A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664A4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918" w:type="dxa"/>
            <w:vAlign w:val="center"/>
          </w:tcPr>
          <w:p w14:paraId="74BF300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7163" w:type="dxa"/>
            <w:vAlign w:val="center"/>
          </w:tcPr>
          <w:p w14:paraId="0C0368F1">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377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228F899">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918" w:type="dxa"/>
            <w:vAlign w:val="center"/>
          </w:tcPr>
          <w:p w14:paraId="304AD4C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磋商有效期</w:t>
            </w:r>
          </w:p>
        </w:tc>
        <w:tc>
          <w:tcPr>
            <w:tcW w:w="7163" w:type="dxa"/>
            <w:vAlign w:val="center"/>
          </w:tcPr>
          <w:p w14:paraId="523ABC8D">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提交磋商响应文件的截止之日起算</w:t>
            </w:r>
            <w:r>
              <w:rPr>
                <w:rFonts w:hint="eastAsia" w:ascii="宋体" w:hAnsi="宋体" w:eastAsia="宋体" w:cs="宋体"/>
                <w:color w:val="auto"/>
                <w:szCs w:val="21"/>
                <w:highlight w:val="none"/>
              </w:rPr>
              <w:t>）</w:t>
            </w:r>
          </w:p>
          <w:p w14:paraId="52D65156">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成交供应商磋商有效期延长至合同验收之日，</w:t>
            </w:r>
            <w:r>
              <w:rPr>
                <w:rFonts w:hint="eastAsia" w:ascii="宋体" w:hAnsi="宋体" w:eastAsia="宋体" w:cs="宋体"/>
                <w:color w:val="auto"/>
                <w:kern w:val="0"/>
                <w:szCs w:val="21"/>
                <w:highlight w:val="none"/>
              </w:rPr>
              <w:t>成交供应商全部合同义务履行完毕为止。</w:t>
            </w:r>
          </w:p>
        </w:tc>
      </w:tr>
      <w:tr w14:paraId="424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AA11FF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18" w:type="dxa"/>
            <w:vAlign w:val="center"/>
          </w:tcPr>
          <w:p w14:paraId="6351052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7163" w:type="dxa"/>
            <w:vAlign w:val="center"/>
          </w:tcPr>
          <w:p w14:paraId="4A64F37B">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646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C10D75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918" w:type="dxa"/>
            <w:vAlign w:val="center"/>
          </w:tcPr>
          <w:p w14:paraId="7E9B4BE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磋商响应截止及磋商时间</w:t>
            </w:r>
          </w:p>
        </w:tc>
        <w:tc>
          <w:tcPr>
            <w:tcW w:w="7163" w:type="dxa"/>
            <w:vAlign w:val="center"/>
          </w:tcPr>
          <w:p w14:paraId="6BCAE80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0000FF"/>
                <w:szCs w:val="21"/>
                <w:highlight w:val="none"/>
              </w:rPr>
              <w:t>202</w:t>
            </w:r>
            <w:r>
              <w:rPr>
                <w:rFonts w:hint="eastAsia" w:ascii="宋体" w:hAnsi="宋体" w:eastAsia="宋体" w:cs="宋体"/>
                <w:color w:val="0000FF"/>
                <w:szCs w:val="21"/>
                <w:highlight w:val="none"/>
                <w:lang w:val="en-US" w:eastAsia="zh-CN"/>
              </w:rPr>
              <w:t>6</w:t>
            </w:r>
            <w:r>
              <w:rPr>
                <w:rFonts w:hint="eastAsia" w:ascii="宋体" w:hAnsi="宋体" w:eastAsia="宋体" w:cs="宋体"/>
                <w:color w:val="0000FF"/>
                <w:szCs w:val="21"/>
                <w:highlight w:val="none"/>
              </w:rPr>
              <w:t>年</w:t>
            </w:r>
            <w:r>
              <w:rPr>
                <w:rFonts w:hint="eastAsia" w:ascii="宋体" w:hAnsi="宋体" w:eastAsia="宋体" w:cs="宋体"/>
                <w:color w:val="0000FF"/>
                <w:szCs w:val="21"/>
                <w:highlight w:val="none"/>
                <w:lang w:val="en-US" w:eastAsia="zh-CN"/>
              </w:rPr>
              <w:t>9</w:t>
            </w:r>
            <w:r>
              <w:rPr>
                <w:rFonts w:hint="eastAsia" w:ascii="宋体" w:hAnsi="宋体" w:eastAsia="宋体" w:cs="宋体"/>
                <w:color w:val="0000FF"/>
                <w:szCs w:val="21"/>
                <w:highlight w:val="none"/>
              </w:rPr>
              <w:t>月</w:t>
            </w:r>
            <w:r>
              <w:rPr>
                <w:rFonts w:hint="eastAsia" w:ascii="宋体" w:hAnsi="宋体" w:eastAsia="宋体" w:cs="宋体"/>
                <w:color w:val="0000FF"/>
                <w:szCs w:val="21"/>
                <w:highlight w:val="none"/>
                <w:lang w:val="en-US" w:eastAsia="zh-CN"/>
              </w:rPr>
              <w:t>14</w:t>
            </w:r>
            <w:r>
              <w:rPr>
                <w:rFonts w:hint="eastAsia" w:ascii="宋体" w:hAnsi="宋体" w:eastAsia="宋体" w:cs="宋体"/>
                <w:color w:val="0000FF"/>
                <w:szCs w:val="21"/>
                <w:highlight w:val="none"/>
              </w:rPr>
              <w:t>日</w:t>
            </w:r>
            <w:r>
              <w:rPr>
                <w:rFonts w:hint="eastAsia" w:ascii="宋体" w:hAnsi="宋体" w:eastAsia="宋体" w:cs="宋体"/>
                <w:color w:val="0000FF"/>
                <w:szCs w:val="21"/>
                <w:highlight w:val="none"/>
                <w:lang w:val="en-US" w:eastAsia="zh-CN"/>
              </w:rPr>
              <w:t>08</w:t>
            </w:r>
            <w:r>
              <w:rPr>
                <w:rFonts w:hint="eastAsia" w:ascii="宋体" w:hAnsi="宋体" w:eastAsia="宋体" w:cs="宋体"/>
                <w:color w:val="0000FF"/>
                <w:szCs w:val="21"/>
                <w:highlight w:val="none"/>
                <w:lang w:val="zh-CN"/>
              </w:rPr>
              <w:t>时</w:t>
            </w:r>
            <w:r>
              <w:rPr>
                <w:rFonts w:hint="eastAsia" w:ascii="宋体" w:hAnsi="宋体" w:eastAsia="宋体" w:cs="宋体"/>
                <w:color w:val="0000FF"/>
                <w:szCs w:val="21"/>
                <w:highlight w:val="none"/>
                <w:lang w:val="en-US" w:eastAsia="zh-CN"/>
              </w:rPr>
              <w:t>3</w:t>
            </w:r>
            <w:r>
              <w:rPr>
                <w:rFonts w:hint="eastAsia" w:ascii="宋体" w:hAnsi="宋体" w:eastAsia="宋体" w:cs="宋体"/>
                <w:color w:val="0000FF"/>
                <w:szCs w:val="21"/>
                <w:highlight w:val="none"/>
                <w:lang w:val="zh-CN"/>
              </w:rPr>
              <w:t>0分（北京时间）</w:t>
            </w:r>
          </w:p>
        </w:tc>
      </w:tr>
      <w:tr w14:paraId="427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37511A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918" w:type="dxa"/>
            <w:vAlign w:val="center"/>
          </w:tcPr>
          <w:p w14:paraId="1FEED83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3CA2B1D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7163" w:type="dxa"/>
            <w:vAlign w:val="center"/>
          </w:tcPr>
          <w:p w14:paraId="307E32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磋商响应文件开启地点：禹州市公共资源交易中心九楼不见面开标二室。（</w:t>
            </w:r>
            <w:r>
              <w:rPr>
                <w:rFonts w:hint="eastAsia" w:ascii="宋体" w:hAnsi="宋体" w:eastAsia="宋体" w:cs="宋体"/>
                <w:b/>
                <w:color w:val="auto"/>
                <w:szCs w:val="21"/>
                <w:highlight w:val="none"/>
              </w:rPr>
              <w:t>本项目采用远程不见面磋商，供应商无须到达现场</w:t>
            </w:r>
            <w:r>
              <w:rPr>
                <w:rFonts w:hint="eastAsia" w:ascii="宋体" w:hAnsi="宋体" w:eastAsia="宋体" w:cs="宋体"/>
                <w:color w:val="auto"/>
                <w:szCs w:val="21"/>
                <w:highlight w:val="none"/>
              </w:rPr>
              <w:t>）</w:t>
            </w:r>
          </w:p>
        </w:tc>
      </w:tr>
      <w:tr w14:paraId="679D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E359C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918" w:type="dxa"/>
            <w:vAlign w:val="center"/>
          </w:tcPr>
          <w:p w14:paraId="4236351B">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磋商保证金</w:t>
            </w:r>
          </w:p>
        </w:tc>
        <w:tc>
          <w:tcPr>
            <w:tcW w:w="7163" w:type="dxa"/>
            <w:vAlign w:val="center"/>
          </w:tcPr>
          <w:p w14:paraId="7F071590">
            <w:pPr>
              <w:tabs>
                <w:tab w:val="left" w:pos="1260"/>
              </w:tabs>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7B12E5E4">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供应商应提供磋商承诺函。</w:t>
            </w:r>
          </w:p>
        </w:tc>
      </w:tr>
      <w:tr w14:paraId="0A3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53F5E07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18" w:type="dxa"/>
            <w:vAlign w:val="center"/>
          </w:tcPr>
          <w:p w14:paraId="69B0212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7163" w:type="dxa"/>
            <w:tcBorders>
              <w:top w:val="single" w:color="auto" w:sz="4" w:space="0"/>
            </w:tcBorders>
            <w:vAlign w:val="center"/>
          </w:tcPr>
          <w:p w14:paraId="6D2E87E4">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rPr>
              <w:t>磋商公告、成交公告、变更（更正）公告、现场勘察答复等相关信息同时在以下网站发布：</w:t>
            </w:r>
            <w:r>
              <w:rPr>
                <w:rFonts w:hint="eastAsia" w:ascii="宋体" w:hAnsi="宋体" w:eastAsia="宋体" w:cs="宋体"/>
                <w:color w:val="auto"/>
                <w:szCs w:val="21"/>
                <w:highlight w:val="none"/>
                <w:lang w:eastAsia="zh-CN"/>
              </w:rPr>
              <w:t>《河南省政府采购网》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szCs w:val="21"/>
                <w:highlight w:val="none"/>
                <w:lang w:eastAsia="zh-CN"/>
              </w:rPr>
              <w:t>《全国公共资源交易平台（河南省·许昌市）》</w:t>
            </w:r>
          </w:p>
        </w:tc>
      </w:tr>
      <w:tr w14:paraId="1FE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EABE0DF">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918" w:type="dxa"/>
            <w:vAlign w:val="center"/>
          </w:tcPr>
          <w:p w14:paraId="5B12BE3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468D543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磋商文件时间</w:t>
            </w:r>
          </w:p>
        </w:tc>
        <w:tc>
          <w:tcPr>
            <w:tcW w:w="7163" w:type="dxa"/>
            <w:vAlign w:val="center"/>
          </w:tcPr>
          <w:p w14:paraId="5D132BB9">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磋商响应截止时间5日前（</w:t>
            </w:r>
            <w:r>
              <w:rPr>
                <w:rFonts w:hint="eastAsia" w:ascii="宋体" w:hAnsi="宋体" w:eastAsia="宋体" w:cs="宋体"/>
                <w:color w:val="auto"/>
                <w:szCs w:val="21"/>
                <w:highlight w:val="none"/>
                <w:lang w:val="zh-CN"/>
              </w:rPr>
              <w:t>澄清内容可能影响响应文件编制的）</w:t>
            </w:r>
          </w:p>
        </w:tc>
      </w:tr>
      <w:tr w14:paraId="6106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42EF6BD">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918" w:type="dxa"/>
            <w:vAlign w:val="center"/>
          </w:tcPr>
          <w:p w14:paraId="7854836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供应商对磋商文件</w:t>
            </w:r>
          </w:p>
          <w:p w14:paraId="551CCAC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7163" w:type="dxa"/>
            <w:vAlign w:val="center"/>
          </w:tcPr>
          <w:p w14:paraId="4160A0AC">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磋商公告期满之日起七个工作日</w:t>
            </w:r>
          </w:p>
        </w:tc>
      </w:tr>
      <w:tr w14:paraId="79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B397A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918" w:type="dxa"/>
            <w:vAlign w:val="center"/>
          </w:tcPr>
          <w:p w14:paraId="7564473B">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7163" w:type="dxa"/>
            <w:vAlign w:val="center"/>
          </w:tcPr>
          <w:p w14:paraId="70FD829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电子响应文件：成功上传至“全国公共资源交易平台（河南省•许昌市）”公共资源交易系统加密电子响应文件1份（后缀格式为.XCSTF）。</w:t>
            </w:r>
          </w:p>
          <w:p w14:paraId="740748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5886C54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20D630E7">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tc>
      </w:tr>
      <w:tr w14:paraId="4AC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D63A6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918" w:type="dxa"/>
            <w:vAlign w:val="center"/>
          </w:tcPr>
          <w:p w14:paraId="24083108">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723E846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7163" w:type="dxa"/>
            <w:vAlign w:val="center"/>
          </w:tcPr>
          <w:p w14:paraId="3927597D">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文件要求加盖供应商电子印章和法人电子印章。</w:t>
            </w:r>
          </w:p>
          <w:p w14:paraId="6A359436">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纸质响应文件：响应文件封面加盖供应商公章（响应文件是指供应商电子响应文件制作完成后生成的后缀名为“.nXCSTF”的文件打印的纸质响应文件）。</w:t>
            </w:r>
          </w:p>
        </w:tc>
      </w:tr>
      <w:tr w14:paraId="1B6C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C0FAE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1918" w:type="dxa"/>
            <w:vAlign w:val="center"/>
          </w:tcPr>
          <w:p w14:paraId="252F8C74">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磋商小组组建</w:t>
            </w:r>
          </w:p>
        </w:tc>
        <w:tc>
          <w:tcPr>
            <w:tcW w:w="7163" w:type="dxa"/>
            <w:vAlign w:val="center"/>
          </w:tcPr>
          <w:p w14:paraId="3155A98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lang w:val="zh-CN"/>
              </w:rPr>
              <w:t>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lang w:val="zh-CN"/>
              </w:rPr>
              <w:t>和评审专家</w:t>
            </w:r>
            <w:r>
              <w:rPr>
                <w:rFonts w:hint="eastAsia" w:ascii="宋体" w:hAnsi="宋体" w:eastAsia="宋体" w:cs="宋体"/>
                <w:color w:val="auto"/>
                <w:szCs w:val="21"/>
                <w:highlight w:val="none"/>
                <w:lang w:val="en-US" w:eastAsia="zh-CN"/>
              </w:rPr>
              <w:t>2人，共3人</w:t>
            </w:r>
            <w:r>
              <w:rPr>
                <w:rFonts w:hint="eastAsia" w:ascii="宋体" w:hAnsi="宋体" w:eastAsia="宋体" w:cs="宋体"/>
                <w:color w:val="auto"/>
                <w:szCs w:val="21"/>
                <w:highlight w:val="none"/>
                <w:lang w:val="zh-CN"/>
              </w:rPr>
              <w:t>组成，其中评审专家的人数不少于磋商小组成员总数的三分之二。评审专家从政府采购评审专家库中随机抽取。</w:t>
            </w:r>
          </w:p>
          <w:p w14:paraId="1846072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□由评审专家组成。评审专家从政府采购评审专家库中随机抽取。</w:t>
            </w:r>
          </w:p>
        </w:tc>
      </w:tr>
      <w:tr w14:paraId="330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E1CFD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918" w:type="dxa"/>
            <w:vAlign w:val="center"/>
          </w:tcPr>
          <w:p w14:paraId="71F5D18E">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7163" w:type="dxa"/>
            <w:vAlign w:val="center"/>
          </w:tcPr>
          <w:p w14:paraId="5F73CD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综合评分法</w:t>
            </w:r>
          </w:p>
        </w:tc>
      </w:tr>
      <w:tr w14:paraId="3784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5E1529B">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1918" w:type="dxa"/>
            <w:vAlign w:val="center"/>
          </w:tcPr>
          <w:p w14:paraId="5C49D01A">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7163" w:type="dxa"/>
            <w:vAlign w:val="center"/>
          </w:tcPr>
          <w:p w14:paraId="5E33C289">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本项目属于专门面向中小企业采购的项目</w:t>
            </w:r>
            <w:r>
              <w:rPr>
                <w:rFonts w:hint="eastAsia" w:ascii="宋体" w:hAnsi="宋体" w:eastAsia="宋体" w:cs="宋体"/>
                <w:color w:val="auto"/>
                <w:highlight w:val="none"/>
                <w:lang w:eastAsia="zh-CN"/>
              </w:rPr>
              <w:t>（不再执行价格评审优惠的扶持政策）。</w:t>
            </w:r>
          </w:p>
          <w:p w14:paraId="51950867">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本次采购标的对应的中小企业划分标准所属行业：</w:t>
            </w:r>
            <w:r>
              <w:rPr>
                <w:rFonts w:hint="eastAsia" w:ascii="宋体" w:hAnsi="宋体" w:eastAsia="宋体" w:cs="宋体"/>
                <w:b/>
                <w:bCs/>
                <w:color w:val="auto"/>
                <w:highlight w:val="none"/>
              </w:rPr>
              <w:t>农、林、牧、渔业</w:t>
            </w:r>
          </w:p>
          <w:p w14:paraId="76766AE6">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5795FCF1">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提供由省级以上监狱管理局、戒毒管理局（含新疆生产建设兵团）出具的属于监狱企业证明文件的，视同为小型和微型企业。</w:t>
            </w:r>
          </w:p>
          <w:p w14:paraId="7BF0249A">
            <w:pPr>
              <w:autoSpaceDE w:val="0"/>
              <w:autoSpaceDN w:val="0"/>
              <w:adjustRightInd w:val="0"/>
              <w:spacing w:line="360" w:lineRule="auto"/>
              <w:contextualSpacing/>
              <w:rPr>
                <w:rFonts w:hint="eastAsia"/>
                <w:lang w:val="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符合享受政府采购支持政策的残疾人福利性单位条件且提供《残疾人福利性单位声明函》的，视同为小型和微型企业。</w:t>
            </w:r>
          </w:p>
        </w:tc>
      </w:tr>
      <w:tr w14:paraId="7D47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12973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918" w:type="dxa"/>
            <w:vAlign w:val="center"/>
          </w:tcPr>
          <w:p w14:paraId="3B33FCC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节能环保要求</w:t>
            </w:r>
          </w:p>
        </w:tc>
        <w:tc>
          <w:tcPr>
            <w:tcW w:w="7163" w:type="dxa"/>
            <w:vAlign w:val="center"/>
          </w:tcPr>
          <w:p w14:paraId="44EF044A">
            <w:pPr>
              <w:autoSpaceDE w:val="0"/>
              <w:adjustRightInd w:val="0"/>
              <w:snapToGrid w:val="0"/>
              <w:spacing w:line="5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zh-CN"/>
              </w:rPr>
              <w:t>本项目强制节能产品：</w:t>
            </w:r>
            <w:r>
              <w:rPr>
                <w:rFonts w:hint="eastAsia" w:ascii="宋体" w:hAnsi="宋体" w:eastAsia="宋体" w:cs="宋体"/>
                <w:bCs/>
                <w:color w:val="auto"/>
                <w:szCs w:val="21"/>
                <w:highlight w:val="none"/>
                <w:lang w:val="en-US" w:eastAsia="zh-CN"/>
              </w:rPr>
              <w:t>无</w:t>
            </w:r>
          </w:p>
          <w:p w14:paraId="1E3D4C0E">
            <w:pPr>
              <w:autoSpaceDE w:val="0"/>
              <w:autoSpaceDN w:val="0"/>
              <w:adjustRightInd w:val="0"/>
              <w:spacing w:line="360" w:lineRule="auto"/>
              <w:rPr>
                <w:rFonts w:hint="eastAsia" w:ascii="宋体" w:hAnsi="宋体" w:eastAsia="宋体" w:cs="宋体"/>
                <w:color w:val="auto"/>
                <w:highlight w:val="none"/>
              </w:rPr>
            </w:pPr>
            <w:r>
              <w:rPr>
                <w:rFonts w:hint="eastAsia"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522E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190DCA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1918" w:type="dxa"/>
            <w:vAlign w:val="center"/>
          </w:tcPr>
          <w:p w14:paraId="45E9DA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网络关键设备、网络安全专用产品要求</w:t>
            </w:r>
          </w:p>
        </w:tc>
        <w:tc>
          <w:tcPr>
            <w:tcW w:w="7163" w:type="dxa"/>
            <w:vAlign w:val="center"/>
          </w:tcPr>
          <w:p w14:paraId="085E2BB6">
            <w:pPr>
              <w:autoSpaceDE w:val="0"/>
              <w:autoSpaceDN w:val="0"/>
              <w:adjustRightIn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val="zh-CN"/>
              </w:rPr>
              <w:t>本项目网络关键设备：</w:t>
            </w:r>
            <w:r>
              <w:rPr>
                <w:rFonts w:hint="eastAsia" w:ascii="宋体" w:hAnsi="宋体" w:eastAsia="宋体" w:cs="宋体"/>
                <w:bCs/>
                <w:color w:val="auto"/>
                <w:szCs w:val="21"/>
                <w:highlight w:val="none"/>
                <w:lang w:val="en-US" w:eastAsia="zh-CN"/>
              </w:rPr>
              <w:t>无</w:t>
            </w:r>
            <w:r>
              <w:rPr>
                <w:rFonts w:hint="eastAsia" w:ascii="宋体" w:hAnsi="宋体" w:eastAsia="宋体" w:cs="宋体"/>
                <w:bCs/>
                <w:color w:val="auto"/>
                <w:szCs w:val="21"/>
                <w:highlight w:val="none"/>
                <w:lang w:val="zh-CN"/>
              </w:rPr>
              <w:t>；网络安全专用产品：</w:t>
            </w:r>
            <w:r>
              <w:rPr>
                <w:rFonts w:hint="eastAsia" w:ascii="宋体" w:hAnsi="宋体" w:eastAsia="宋体" w:cs="宋体"/>
                <w:bCs/>
                <w:color w:val="auto"/>
                <w:szCs w:val="21"/>
                <w:highlight w:val="none"/>
                <w:lang w:val="en-US" w:eastAsia="zh-CN"/>
              </w:rPr>
              <w:t xml:space="preserve">无 </w:t>
            </w:r>
          </w:p>
          <w:p w14:paraId="34707C0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63AA6055">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3.提供资料（下列资料任意一项）</w:t>
            </w:r>
          </w:p>
          <w:p w14:paraId="1134889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1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①</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网络关键设备和网络安全专用产品安全认证证书；</w:t>
            </w:r>
          </w:p>
          <w:p w14:paraId="612DFDC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2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②</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网络关键设备安全检测证书、网络安全专用产品安全检测证书；</w:t>
            </w:r>
          </w:p>
          <w:p w14:paraId="6D2D98A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3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③</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计算机信息系统安全专用产品销售许可证；</w:t>
            </w:r>
          </w:p>
          <w:p w14:paraId="7E0603B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4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④</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中国网信网或工业和信息化部网站或公安部网站或国家认证认可监督管理委员会网站公布的认证、检测结果（提供公布安全认证、安全检测结果页面网址和安全认证、检测结果截图）。</w:t>
            </w:r>
          </w:p>
        </w:tc>
      </w:tr>
      <w:tr w14:paraId="13FC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BAD83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918" w:type="dxa"/>
            <w:shd w:val="clear" w:color="auto" w:fill="auto"/>
            <w:vAlign w:val="center"/>
          </w:tcPr>
          <w:p w14:paraId="041CCE08">
            <w:pPr>
              <w:pageBreakBefore w:val="0"/>
              <w:kinsoku/>
              <w:overflowPunct/>
              <w:autoSpaceDE w:val="0"/>
              <w:autoSpaceDN w:val="0"/>
              <w:bidi w:val="0"/>
              <w:adjustRightInd w:val="0"/>
              <w:snapToGrid/>
              <w:spacing w:line="360" w:lineRule="auto"/>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加快推广绿色建材发展应用</w:t>
            </w:r>
          </w:p>
        </w:tc>
        <w:tc>
          <w:tcPr>
            <w:tcW w:w="7163" w:type="dxa"/>
            <w:shd w:val="clear" w:color="auto" w:fill="auto"/>
            <w:vAlign w:val="center"/>
          </w:tcPr>
          <w:p w14:paraId="0DF8573A">
            <w:pPr>
              <w:pageBreakBefore w:val="0"/>
              <w:kinsoku/>
              <w:overflowPunct/>
              <w:autoSpaceDE w:val="0"/>
              <w:autoSpaceDN w:val="0"/>
              <w:bidi w:val="0"/>
              <w:adjustRightInd w:val="0"/>
              <w:snapToGrid/>
              <w:spacing w:line="360" w:lineRule="auto"/>
              <w:ind w:right="-11" w:rightChars="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1CC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E8ACD5C">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26</w:t>
            </w:r>
          </w:p>
        </w:tc>
        <w:tc>
          <w:tcPr>
            <w:tcW w:w="1918" w:type="dxa"/>
            <w:vAlign w:val="center"/>
          </w:tcPr>
          <w:p w14:paraId="505623A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7163" w:type="dxa"/>
            <w:vAlign w:val="center"/>
          </w:tcPr>
          <w:p w14:paraId="0CACCFD8">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无要求</w:t>
            </w:r>
          </w:p>
        </w:tc>
      </w:tr>
      <w:tr w14:paraId="10D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68FED4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27</w:t>
            </w:r>
          </w:p>
        </w:tc>
        <w:tc>
          <w:tcPr>
            <w:tcW w:w="1918" w:type="dxa"/>
            <w:vAlign w:val="center"/>
          </w:tcPr>
          <w:p w14:paraId="276A0B0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7163" w:type="dxa"/>
            <w:vAlign w:val="center"/>
          </w:tcPr>
          <w:p w14:paraId="7A89610F">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收取标准：以中标（成交）金额为基数参照《河南省招标代理服务收费指导意见》（豫招协[2023]002号）文件中所属类别的收费标准按差额定率累进法计算，由中标人（成交供应商）支付。</w:t>
            </w:r>
          </w:p>
        </w:tc>
      </w:tr>
      <w:tr w14:paraId="5BB6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64C9253">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28</w:t>
            </w:r>
          </w:p>
        </w:tc>
        <w:tc>
          <w:tcPr>
            <w:tcW w:w="1918" w:type="dxa"/>
            <w:vAlign w:val="center"/>
          </w:tcPr>
          <w:p w14:paraId="38615513">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7163" w:type="dxa"/>
            <w:vAlign w:val="center"/>
          </w:tcPr>
          <w:p w14:paraId="49FA099D">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采购单位委派代表参加磋商小组的，须向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出具授权函。除授权代表外，采购单位委派纪检监察人员对磋商过程实施监督的须进入禹州市公共资源交易中心九楼电子监督室，并向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EF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49527B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29</w:t>
            </w:r>
          </w:p>
        </w:tc>
        <w:tc>
          <w:tcPr>
            <w:tcW w:w="1918" w:type="dxa"/>
            <w:vAlign w:val="center"/>
          </w:tcPr>
          <w:p w14:paraId="0F656BD8">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7163" w:type="dxa"/>
            <w:vAlign w:val="center"/>
          </w:tcPr>
          <w:p w14:paraId="522CEC6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供应商投标时须成功上传、解密电子响应文件。供应商资质、业绩、荣誉及相关人员证明材料等资料原件不再提交（本磋商文件第六章另有要求提供原件的除外）。</w:t>
            </w:r>
          </w:p>
          <w:p w14:paraId="602B589D">
            <w:pPr>
              <w:autoSpaceDE w:val="0"/>
              <w:autoSpaceDN w:val="0"/>
              <w:adjustRightInd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□否。供应商投标时须提供纸质响应文件。供应商资质、业绩、荣誉及相关人员证明材料等资料原件根据磋商文件要求提供。</w:t>
            </w:r>
          </w:p>
        </w:tc>
      </w:tr>
      <w:tr w14:paraId="3FEB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CF87B1B">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w:t>
            </w:r>
          </w:p>
        </w:tc>
        <w:tc>
          <w:tcPr>
            <w:tcW w:w="1918" w:type="dxa"/>
            <w:vAlign w:val="center"/>
          </w:tcPr>
          <w:p w14:paraId="0C6C8931">
            <w:pPr>
              <w:autoSpaceDE w:val="0"/>
              <w:autoSpaceDN w:val="0"/>
              <w:adjustRightIn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最后报价</w:t>
            </w:r>
          </w:p>
        </w:tc>
        <w:tc>
          <w:tcPr>
            <w:tcW w:w="7163" w:type="dxa"/>
            <w:vAlign w:val="center"/>
          </w:tcPr>
          <w:p w14:paraId="2D37035F">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根据磋商小组要求，供应商须使用CA数字证书登录《全国公共资源交易平台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河南省▪许昌市</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》公共资源交易系统</w:t>
            </w:r>
            <w:r>
              <w:rPr>
                <w:rFonts w:hint="eastAsia" w:ascii="宋体" w:hAnsi="宋体" w:eastAsia="宋体" w:cs="宋体"/>
                <w:color w:val="auto"/>
                <w:szCs w:val="21"/>
                <w:highlight w:val="none"/>
              </w:rPr>
              <w:t>（</w:t>
            </w:r>
            <w:r>
              <w:rPr>
                <w:rFonts w:hint="eastAsia" w:ascii="宋体" w:hAnsi="宋体" w:eastAsia="宋体" w:cs="宋体"/>
                <w:color w:val="auto"/>
                <w:highlight w:val="none"/>
                <w:lang w:eastAsia="zh-CN"/>
              </w:rPr>
              <w:t>https://ggzy.xuchang.gov.cn）</w:t>
            </w:r>
            <w:r>
              <w:rPr>
                <w:rFonts w:hint="eastAsia" w:ascii="宋体" w:hAnsi="宋体" w:eastAsia="宋体" w:cs="宋体"/>
                <w:color w:val="auto"/>
                <w:highlight w:val="none"/>
              </w:rPr>
              <w:t>进行最后报价，最后报价应包括：①总报价②分项报价。</w:t>
            </w:r>
          </w:p>
          <w:p w14:paraId="47FCBE5D">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w:t>
            </w:r>
          </w:p>
          <w:p w14:paraId="10194085">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①磋商小组要求供应商提交最后报价时，在磋商小组规定时间内，供应商应提交最后报价（包括总报价及分项报价）。最后报价是供应商响应文件的有效组成部分。</w:t>
            </w:r>
          </w:p>
          <w:p w14:paraId="76249293">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②磋商文件第二章“采购需求”中“采购清单”以工程量清单提供的，供应商应以工程量清单方式提交最后报价。</w:t>
            </w:r>
          </w:p>
          <w:p w14:paraId="12D3F3B3">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zh-CN"/>
              </w:rPr>
              <w:t>③请供应商根据项目情况，可提前准备分项报价。</w:t>
            </w:r>
          </w:p>
        </w:tc>
      </w:tr>
      <w:tr w14:paraId="708D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2A674A7F">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918" w:type="dxa"/>
            <w:vAlign w:val="center"/>
          </w:tcPr>
          <w:p w14:paraId="542F755B">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Cs w:val="21"/>
                <w:highlight w:val="none"/>
              </w:rPr>
            </w:pPr>
            <w:r>
              <w:rPr>
                <w:rFonts w:hint="eastAsia" w:ascii="宋体" w:hAnsi="宋体" w:eastAsia="宋体" w:cs="宋体"/>
                <w:bCs/>
                <w:color w:val="auto"/>
                <w:sz w:val="21"/>
                <w:szCs w:val="21"/>
                <w:highlight w:val="none"/>
                <w:lang w:val="zh-CN"/>
              </w:rPr>
              <w:t>解释权</w:t>
            </w:r>
          </w:p>
        </w:tc>
        <w:tc>
          <w:tcPr>
            <w:tcW w:w="7163" w:type="dxa"/>
            <w:vAlign w:val="center"/>
          </w:tcPr>
          <w:p w14:paraId="066255D9">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构成磋商文件的各个组成文件应互为解释，互为说明；</w:t>
            </w:r>
          </w:p>
          <w:p w14:paraId="0C207851">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1.除磋商文件中有特别规定外，仅适用于磋商阶段的规定，按磋商公告（磋商邀请书）、磋商人须知、评标办法的先后顺序解释；</w:t>
            </w:r>
          </w:p>
          <w:p w14:paraId="227B3CE1">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lang w:val="zh-CN"/>
              </w:rPr>
              <w:t>同一组成文件中就同一事项的规定或约定不一致的，以编排顺序在后者为准；</w:t>
            </w:r>
          </w:p>
          <w:p w14:paraId="56509285">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lang w:val="zh-CN"/>
              </w:rPr>
              <w:t>同一组成文件不同版本之间有不一致的，以形成时间在后者为准；</w:t>
            </w:r>
          </w:p>
          <w:p w14:paraId="60B06391">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按本款前述规定仍不能形成结论的，由采购人负责解释</w:t>
            </w:r>
            <w:r>
              <w:rPr>
                <w:rFonts w:hint="eastAsia" w:ascii="宋体" w:hAnsi="宋体" w:eastAsia="宋体" w:cs="宋体"/>
                <w:color w:val="auto"/>
                <w:sz w:val="21"/>
                <w:szCs w:val="21"/>
                <w:highlight w:val="none"/>
                <w:lang w:val="zh-CN"/>
              </w:rPr>
              <w:t>。</w:t>
            </w:r>
          </w:p>
        </w:tc>
      </w:tr>
      <w:tr w14:paraId="3744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6F0A337">
            <w:pPr>
              <w:autoSpaceDE w:val="0"/>
              <w:autoSpaceDN w:val="0"/>
              <w:adjustRightInd w:val="0"/>
              <w:spacing w:line="276"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918" w:type="dxa"/>
            <w:vAlign w:val="center"/>
          </w:tcPr>
          <w:p w14:paraId="1A2A8211">
            <w:pPr>
              <w:keepLines w:val="0"/>
              <w:pageBreakBefore w:val="0"/>
              <w:widowControl/>
              <w:shd w:val="clear"/>
              <w:kinsoku w:val="0"/>
              <w:overflowPunct/>
              <w:topLinePunct w:val="0"/>
              <w:autoSpaceDE w:val="0"/>
              <w:autoSpaceDN w:val="0"/>
              <w:bidi w:val="0"/>
              <w:adjustRightInd w:val="0"/>
              <w:snapToGrid w:val="0"/>
              <w:spacing w:line="380" w:lineRule="exact"/>
              <w:jc w:val="center"/>
              <w:textAlignment w:val="baseline"/>
              <w:rPr>
                <w:rFonts w:hint="eastAsia" w:ascii="宋体" w:hAnsi="宋体" w:eastAsia="宋体" w:cs="宋体"/>
                <w:bCs/>
                <w:color w:val="auto"/>
                <w:szCs w:val="21"/>
                <w:highlight w:val="none"/>
              </w:rPr>
            </w:pPr>
            <w:r>
              <w:rPr>
                <w:rFonts w:hint="eastAsia" w:ascii="宋体" w:hAnsi="宋体" w:eastAsia="宋体" w:cs="宋体"/>
                <w:bCs/>
                <w:color w:val="auto"/>
                <w:sz w:val="21"/>
                <w:szCs w:val="21"/>
                <w:highlight w:val="none"/>
                <w:lang w:val="zh-CN"/>
              </w:rPr>
              <w:t>知识产权</w:t>
            </w:r>
          </w:p>
        </w:tc>
        <w:tc>
          <w:tcPr>
            <w:tcW w:w="7163" w:type="dxa"/>
            <w:vAlign w:val="top"/>
          </w:tcPr>
          <w:p w14:paraId="5EABAAAF">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构成本磋商文件各个组成部分的文件，未经采购人书面同意，供应商不得擅自复印和用于非本磋商项目所需的其他目的。采购人全部或者部分使用未中标人响应文件中的技术成果或技术方案时，需征得其书面同意，并不得擅自复印或提供给第三人。</w:t>
            </w:r>
          </w:p>
        </w:tc>
      </w:tr>
      <w:tr w14:paraId="2B3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441EB58A">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156C457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特别提示</w:t>
            </w:r>
          </w:p>
        </w:tc>
        <w:tc>
          <w:tcPr>
            <w:tcW w:w="7163" w:type="dxa"/>
            <w:vAlign w:val="center"/>
          </w:tcPr>
          <w:p w14:paraId="2097CDD7">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按照《关于推进全流程电子化交易和在线监管工作有关问题的通知》（许公管办</w:t>
            </w:r>
            <w:r>
              <w:rPr>
                <w:rFonts w:hint="eastAsia" w:ascii="宋体" w:hAnsi="宋体" w:eastAsia="宋体" w:cs="宋体"/>
                <w:color w:val="auto"/>
                <w:highlight w:val="none"/>
                <w:lang w:eastAsia="zh-CN"/>
              </w:rPr>
              <w:t>〔2019〕3号</w:t>
            </w:r>
            <w:r>
              <w:rPr>
                <w:rFonts w:hint="eastAsia" w:ascii="宋体" w:hAnsi="宋体" w:eastAsia="宋体" w:cs="宋体"/>
                <w:color w:val="auto"/>
                <w:highlight w:val="none"/>
              </w:rPr>
              <w:t>）规定：</w:t>
            </w:r>
          </w:p>
          <w:p w14:paraId="1F2845FB">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5F255E9D">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rPr>
              <w:t>评审专家应严格按照要求查看“硬件特征码”相关信息并进行评审，在评审报告中显示“不同供应商电子响应文件制作硬件特征码”是否雷同的分析及判定结果。</w:t>
            </w:r>
          </w:p>
        </w:tc>
      </w:tr>
      <w:tr w14:paraId="6D30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2E69DF1">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vAlign w:val="center"/>
          </w:tcPr>
          <w:p w14:paraId="1DCD29A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供应商资格</w:t>
            </w:r>
            <w:r>
              <w:rPr>
                <w:rFonts w:hint="eastAsia" w:ascii="宋体" w:hAnsi="宋体" w:eastAsia="宋体" w:cs="宋体"/>
                <w:color w:val="auto"/>
                <w:szCs w:val="21"/>
                <w:highlight w:val="none"/>
                <w:lang w:val="en-US" w:eastAsia="zh-CN"/>
              </w:rPr>
              <w:t>核验</w:t>
            </w:r>
          </w:p>
        </w:tc>
        <w:tc>
          <w:tcPr>
            <w:tcW w:w="7163" w:type="dxa"/>
            <w:vAlign w:val="center"/>
          </w:tcPr>
          <w:p w14:paraId="782DBC50">
            <w:pPr>
              <w:autoSpaceDE w:val="0"/>
              <w:autoSpaceDN w:val="0"/>
              <w:adjustRightInd w:val="0"/>
              <w:spacing w:line="360" w:lineRule="auto"/>
              <w:ind w:right="-11"/>
              <w:rPr>
                <w:rFonts w:hint="eastAsia" w:ascii="宋体" w:hAnsi="宋体" w:eastAsia="宋体" w:cs="宋体"/>
                <w:color w:val="auto"/>
                <w:highlight w:val="none"/>
              </w:rPr>
            </w:pPr>
            <w:r>
              <w:rPr>
                <w:rFonts w:hint="eastAsia" w:ascii="宋体" w:hAnsi="宋体" w:eastAsia="宋体" w:cs="宋体"/>
                <w:color w:val="auto"/>
                <w:highlight w:val="none"/>
              </w:rPr>
              <w:t>供应商在成交后，应将由《禹州市政府采购供应商信用承诺函》替代的证明材料提交采购人核验，经核验无误后，发出成交通知书。</w:t>
            </w:r>
          </w:p>
          <w:p w14:paraId="66565C00">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4BE9446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DF0CC9">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2945CE72">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35E1A88D">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523B9B7E">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0A6CFDA9">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673D3E65">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47301F2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2F1FB22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4A2658F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18B01571">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EAB6B17">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45A6A2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63C4AD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37F9068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64C8B42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2DBD9F14">
            <w:pPr>
              <w:autoSpaceDE w:val="0"/>
              <w:autoSpaceDN w:val="0"/>
              <w:adjustRightInd w:val="0"/>
              <w:spacing w:line="360" w:lineRule="auto"/>
              <w:ind w:right="-11"/>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430EE60D">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
                <w:sz w:val="22"/>
              </w:rPr>
              <w:t>三、依法缴纳税收相关材料</w:t>
            </w:r>
          </w:p>
          <w:p w14:paraId="2F10D818">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参加本次政府采购项目磋商响应截止时间前一年内任意一个月缴纳税收凭据。（依法免税的供应商，应提供相应文件证明依法免税）</w:t>
            </w:r>
          </w:p>
          <w:p w14:paraId="29DB9B1C">
            <w:pPr>
              <w:autoSpaceDE w:val="0"/>
              <w:autoSpaceDN w:val="0"/>
              <w:adjustRightInd w:val="0"/>
              <w:spacing w:line="360" w:lineRule="auto"/>
              <w:ind w:right="-11"/>
              <w:rPr>
                <w:rFonts w:asciiTheme="minorEastAsia" w:hAnsiTheme="minorEastAsia" w:cstheme="minorEastAsia"/>
                <w:b/>
                <w:bCs/>
                <w:sz w:val="22"/>
                <w:lang w:val="zh-CN"/>
              </w:rPr>
            </w:pPr>
            <w:r>
              <w:rPr>
                <w:rFonts w:hint="eastAsia" w:asciiTheme="minorEastAsia" w:hAnsiTheme="minorEastAsia" w:cstheme="minorEastAsia"/>
                <w:b/>
                <w:bCs/>
                <w:sz w:val="22"/>
                <w:lang w:val="zh-CN"/>
              </w:rPr>
              <w:t>四、依法缴纳社会保障资金的证明材料</w:t>
            </w:r>
          </w:p>
          <w:p w14:paraId="46AA67C4">
            <w:pPr>
              <w:autoSpaceDE w:val="0"/>
              <w:autoSpaceDN w:val="0"/>
              <w:adjustRightInd w:val="0"/>
              <w:spacing w:line="360" w:lineRule="auto"/>
              <w:ind w:right="-11"/>
              <w:rPr>
                <w:rFonts w:asciiTheme="minorEastAsia" w:hAnsiTheme="minorEastAsia" w:cstheme="minorEastAsia"/>
                <w:bCs/>
                <w:sz w:val="22"/>
                <w:lang w:val="zh-CN"/>
              </w:rPr>
            </w:pPr>
            <w:r>
              <w:rPr>
                <w:rFonts w:hint="eastAsia" w:asciiTheme="minorEastAsia" w:hAnsiTheme="minorEastAsia" w:cstheme="minorEastAsia"/>
                <w:bCs/>
                <w:sz w:val="22"/>
                <w:lang w:val="zh-CN"/>
              </w:rPr>
              <w:t>参加本次政府采购项目磋商响应截止时间前一年内任意一个月缴纳社会保险凭据。（依法不需要缴纳社会保障资金的供应商，应提供相应文件证明依法不需要缴纳社会保障资金）</w:t>
            </w:r>
          </w:p>
          <w:p w14:paraId="770CD745">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30A3BEDB">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593D2AF2">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w:t>
            </w:r>
            <w:r>
              <w:rPr>
                <w:rFonts w:hint="eastAsia" w:ascii="宋体" w:hAnsi="宋体" w:eastAsia="宋体" w:cs="宋体"/>
                <w:bCs/>
                <w:color w:val="auto"/>
                <w:szCs w:val="21"/>
                <w:highlight w:val="none"/>
                <w:lang w:eastAsia="zh-CN"/>
              </w:rPr>
              <w:t>所必需的</w:t>
            </w:r>
            <w:r>
              <w:rPr>
                <w:rFonts w:hint="eastAsia" w:ascii="宋体" w:hAnsi="宋体" w:eastAsia="宋体" w:cs="宋体"/>
                <w:bCs/>
                <w:color w:val="auto"/>
                <w:szCs w:val="21"/>
                <w:highlight w:val="none"/>
              </w:rPr>
              <w:t>设备和专业技术能力承诺函或声明（承诺函或声明格式自拟）。</w:t>
            </w:r>
          </w:p>
          <w:p w14:paraId="7A11B4A2">
            <w:pPr>
              <w:autoSpaceDE w:val="0"/>
              <w:autoSpaceDN w:val="0"/>
              <w:adjustRightInd w:val="0"/>
              <w:spacing w:line="360" w:lineRule="auto"/>
              <w:ind w:right="-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77D8C7C3">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41DC341B">
            <w:pPr>
              <w:autoSpaceDE w:val="0"/>
              <w:autoSpaceDN w:val="0"/>
              <w:spacing w:line="360" w:lineRule="auto"/>
              <w:contextualSpacing/>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2DF7D375">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③“中国社会组织政务服务平台”网站（https://chinanpo.mca.gov.cn）（仅查询社会组织）；</w:t>
            </w:r>
          </w:p>
        </w:tc>
      </w:tr>
      <w:tr w14:paraId="6135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3FD78D6">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0D3EBC12">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投诉渠道</w:t>
            </w:r>
          </w:p>
        </w:tc>
        <w:tc>
          <w:tcPr>
            <w:tcW w:w="7163" w:type="dxa"/>
            <w:vAlign w:val="center"/>
          </w:tcPr>
          <w:p w14:paraId="7A6103A4">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供应商在评标结果和中标结果公示期间，按照《政府采购质疑和投诉办法》的有关规定，已质疑的供应商可以依法向财政部门提起书面投诉。</w:t>
            </w:r>
          </w:p>
          <w:p w14:paraId="4C910E01">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受理部门：禹州市政府采购监督管理办公室</w:t>
            </w:r>
          </w:p>
          <w:p w14:paraId="04A4BB88">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受理电话：0374-8112523 </w:t>
            </w:r>
          </w:p>
          <w:p w14:paraId="5F7FC45B">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电子邮箱：yzscgb8112523@163.com</w:t>
            </w:r>
          </w:p>
          <w:p w14:paraId="6A4B4F16">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kern w:val="0"/>
                <w:szCs w:val="21"/>
                <w:highlight w:val="none"/>
              </w:rPr>
              <w:t xml:space="preserve">   通讯地址：禹州市行政北路2号禹州市财政局1305房间</w:t>
            </w:r>
          </w:p>
        </w:tc>
      </w:tr>
      <w:tr w14:paraId="67A1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A58FDEF">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shd w:val="clear" w:color="auto" w:fill="auto"/>
            <w:vAlign w:val="center"/>
          </w:tcPr>
          <w:p w14:paraId="27743C09">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7163" w:type="dxa"/>
            <w:shd w:val="clear" w:color="auto" w:fill="auto"/>
            <w:vAlign w:val="center"/>
          </w:tcPr>
          <w:p w14:paraId="46B5C5AA">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1.投标（响应）报价低于全部通过符合性审查供应商投标（响应）报价平均值50%的；</w:t>
            </w:r>
          </w:p>
          <w:p w14:paraId="729DAB33">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2.投标（响应）报价低于通过符合性审查的次低报价供应商投标（响应）报价50%的；</w:t>
            </w:r>
          </w:p>
          <w:p w14:paraId="44FD8338">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3.投标（响应）报价低于采购项目最高限价45%的；</w:t>
            </w:r>
          </w:p>
          <w:p w14:paraId="32295EFE">
            <w:pPr>
              <w:autoSpaceDE w:val="0"/>
              <w:autoSpaceDN w:val="0"/>
              <w:adjustRightInd w:val="0"/>
              <w:spacing w:line="360" w:lineRule="auto"/>
              <w:jc w:val="both"/>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en-US" w:eastAsia="zh-CN"/>
              </w:rPr>
              <w:t>4.磋商小组基于专业判断，认为供应商报价过低，有可能影响产品质量或者不能诚信履约的其他情形。</w:t>
            </w:r>
          </w:p>
          <w:p w14:paraId="01C0D5C4">
            <w:pPr>
              <w:autoSpaceDE w:val="0"/>
              <w:autoSpaceDN w:val="0"/>
              <w:adjustRightInd w:val="0"/>
              <w:spacing w:line="360" w:lineRule="auto"/>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bCs/>
                <w:color w:val="auto"/>
                <w:szCs w:val="21"/>
                <w:highlight w:val="none"/>
                <w:lang w:val="en-US" w:eastAsia="zh-CN"/>
              </w:rPr>
              <w:t>5.相关法律法规对供应商报价有规定的，从其规定。</w:t>
            </w:r>
          </w:p>
        </w:tc>
      </w:tr>
      <w:tr w14:paraId="012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A8C05BD">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position w:val="6"/>
                <w:szCs w:val="21"/>
                <w:highlight w:val="none"/>
              </w:rPr>
              <w:t>未尽事宜，按国家有关规定执行。</w:t>
            </w:r>
          </w:p>
        </w:tc>
      </w:tr>
    </w:tbl>
    <w:p w14:paraId="412A8050">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56A95CF">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61A8B238">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pPr>
    </w:p>
    <w:p w14:paraId="553CA24D">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191E8685">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13C69FAD">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50914F1D">
      <w:pPr>
        <w:pStyle w:val="35"/>
        <w:numPr>
          <w:ilvl w:val="0"/>
          <w:numId w:val="6"/>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6794C4B0">
      <w:p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4DA9E80C">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 </w:t>
      </w:r>
      <w:r>
        <w:rPr>
          <w:rFonts w:hint="eastAsia" w:ascii="宋体" w:hAnsi="宋体" w:eastAsia="宋体" w:cs="宋体"/>
          <w:color w:val="auto"/>
          <w:kern w:val="0"/>
          <w:szCs w:val="21"/>
          <w:highlight w:val="none"/>
        </w:rPr>
        <w:t>本磋商文件仅适用于本次“采购邀请”</w:t>
      </w:r>
      <w:r>
        <w:rPr>
          <w:rFonts w:hint="eastAsia" w:ascii="宋体" w:hAnsi="宋体" w:eastAsia="宋体" w:cs="宋体"/>
          <w:color w:val="auto"/>
          <w:szCs w:val="21"/>
          <w:highlight w:val="none"/>
        </w:rPr>
        <w:t>中所述采购项目的采购。</w:t>
      </w:r>
    </w:p>
    <w:p w14:paraId="3A8E123D">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 </w:t>
      </w:r>
      <w:r>
        <w:rPr>
          <w:rFonts w:hint="eastAsia" w:ascii="宋体" w:hAnsi="宋体" w:eastAsia="宋体" w:cs="宋体"/>
          <w:color w:val="auto"/>
          <w:kern w:val="0"/>
          <w:szCs w:val="21"/>
          <w:highlight w:val="none"/>
        </w:rPr>
        <w:t>本磋商文件解释权属于“采购邀请”所述的采购人。</w:t>
      </w:r>
    </w:p>
    <w:p w14:paraId="4646C36E">
      <w:pPr>
        <w:pStyle w:val="35"/>
        <w:autoSpaceDE w:val="0"/>
        <w:autoSpaceDN w:val="0"/>
        <w:spacing w:line="360" w:lineRule="auto"/>
        <w:ind w:left="-424" w:leftChars="-202" w:firstLine="424" w:firstLineChars="201"/>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783E793B">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 </w:t>
      </w:r>
      <w:r>
        <w:rPr>
          <w:rFonts w:hint="eastAsia" w:ascii="宋体" w:hAnsi="宋体" w:eastAsia="宋体" w:cs="宋体"/>
          <w:color w:val="auto"/>
          <w:kern w:val="0"/>
          <w:szCs w:val="21"/>
          <w:highlight w:val="none"/>
        </w:rPr>
        <w:t>“采购项目”：</w:t>
      </w:r>
      <w:r>
        <w:rPr>
          <w:rFonts w:hint="eastAsia" w:ascii="宋体" w:hAnsi="宋体" w:eastAsia="宋体" w:cs="宋体"/>
          <w:color w:val="auto"/>
          <w:szCs w:val="21"/>
          <w:highlight w:val="none"/>
        </w:rPr>
        <w:t>系指</w:t>
      </w:r>
      <w:r>
        <w:rPr>
          <w:rFonts w:hint="eastAsia" w:ascii="宋体" w:hAnsi="宋体" w:eastAsia="宋体" w:cs="宋体"/>
          <w:color w:val="auto"/>
          <w:kern w:val="0"/>
          <w:szCs w:val="21"/>
          <w:highlight w:val="none"/>
        </w:rPr>
        <w:t>“供应商须知前附表”中所述的采购项目。</w:t>
      </w:r>
    </w:p>
    <w:p w14:paraId="19D859BB">
      <w:pPr>
        <w:pStyle w:val="35"/>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2.2 </w:t>
      </w:r>
      <w:r>
        <w:rPr>
          <w:rFonts w:hint="eastAsia" w:ascii="宋体" w:hAnsi="宋体" w:eastAsia="宋体" w:cs="宋体"/>
          <w:color w:val="auto"/>
          <w:kern w:val="0"/>
          <w:szCs w:val="21"/>
          <w:highlight w:val="none"/>
        </w:rPr>
        <w:t>“招标人”：</w:t>
      </w:r>
      <w:r>
        <w:rPr>
          <w:rFonts w:hint="eastAsia" w:ascii="宋体" w:hAnsi="宋体" w:eastAsia="宋体" w:cs="宋体"/>
          <w:color w:val="auto"/>
          <w:szCs w:val="21"/>
          <w:highlight w:val="none"/>
        </w:rPr>
        <w:t>“供应商须知前附表”中所述的组织本次采购的代理机构和采购人。</w:t>
      </w:r>
    </w:p>
    <w:p w14:paraId="13FE4D65">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 </w:t>
      </w:r>
      <w:r>
        <w:rPr>
          <w:rFonts w:hint="eastAsia" w:ascii="宋体" w:hAnsi="宋体" w:eastAsia="宋体" w:cs="宋体"/>
          <w:color w:val="auto"/>
          <w:kern w:val="0"/>
          <w:szCs w:val="21"/>
          <w:highlight w:val="none"/>
        </w:rPr>
        <w:t>“采购人”：是指依法进行政府采购的国家机关、事业单位、团体组织。采购人名称、地址、电话、联系人见“供应商须知前附表”。</w:t>
      </w:r>
    </w:p>
    <w:p w14:paraId="7E644AF1">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2.4 </w:t>
      </w:r>
      <w:r>
        <w:rPr>
          <w:rFonts w:hint="eastAsia" w:ascii="宋体" w:hAnsi="宋体" w:eastAsia="宋体" w:cs="宋体"/>
          <w:color w:val="auto"/>
          <w:kern w:val="0"/>
          <w:szCs w:val="21"/>
          <w:highlight w:val="none"/>
        </w:rPr>
        <w:t>“代理机构”：接受采购人委托，代理采购项目的采购代理机构。代理机构名称、地址、 电话、联系人见“供应商须知前附表”。</w:t>
      </w:r>
    </w:p>
    <w:p w14:paraId="63FCB46B">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 </w:t>
      </w:r>
      <w:r>
        <w:rPr>
          <w:rFonts w:hint="eastAsia" w:ascii="宋体" w:hAnsi="宋体" w:eastAsia="宋体" w:cs="宋体"/>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财库</w:t>
      </w:r>
      <w:r>
        <w:rPr>
          <w:rFonts w:hint="eastAsia" w:ascii="宋体" w:hAnsi="宋体" w:eastAsia="宋体" w:cs="宋体"/>
          <w:color w:val="auto"/>
          <w:kern w:val="0"/>
          <w:szCs w:val="21"/>
          <w:highlight w:val="none"/>
          <w:lang w:eastAsia="zh-CN"/>
        </w:rPr>
        <w:t>〔2007〕119号）</w:t>
      </w:r>
      <w:r>
        <w:rPr>
          <w:rFonts w:hint="eastAsia" w:ascii="宋体" w:hAnsi="宋体" w:eastAsia="宋体" w:cs="宋体"/>
          <w:color w:val="auto"/>
          <w:kern w:val="0"/>
          <w:szCs w:val="21"/>
          <w:highlight w:val="none"/>
        </w:rPr>
        <w:t>、《关于政府采购进口产品管理有关问题的通知》（财办库</w:t>
      </w:r>
      <w:r>
        <w:rPr>
          <w:rFonts w:hint="eastAsia" w:ascii="宋体" w:hAnsi="宋体" w:eastAsia="宋体" w:cs="宋体"/>
          <w:color w:val="auto"/>
          <w:kern w:val="0"/>
          <w:szCs w:val="21"/>
          <w:highlight w:val="none"/>
          <w:lang w:eastAsia="zh-CN"/>
        </w:rPr>
        <w:t>〔2008〕</w:t>
      </w:r>
      <w:r>
        <w:rPr>
          <w:rFonts w:hint="eastAsia" w:ascii="宋体" w:hAnsi="宋体" w:eastAsia="宋体" w:cs="宋体"/>
          <w:color w:val="auto"/>
          <w:kern w:val="0"/>
          <w:szCs w:val="21"/>
          <w:highlight w:val="none"/>
        </w:rPr>
        <w:t>248 号）。</w:t>
      </w:r>
    </w:p>
    <w:p w14:paraId="4811E3EE">
      <w:pPr>
        <w:autoSpaceDE w:val="0"/>
        <w:autoSpaceDN w:val="0"/>
        <w:spacing w:line="360" w:lineRule="auto"/>
        <w:ind w:left="1415" w:leftChars="199"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2.5.1 磋商文件未列明允许进口产品参加响应的，均视为拒绝进口产品参加响应。</w:t>
      </w:r>
    </w:p>
    <w:p w14:paraId="1ACC91D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 如响应文件中已说明，经财政部门审核同意，允许部分或全部产品采购进口产品，供应商既可提供本国产品，也可以提供进口产品。</w:t>
      </w:r>
    </w:p>
    <w:p w14:paraId="0A3AA2F6">
      <w:pPr>
        <w:pStyle w:val="35"/>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 </w:t>
      </w:r>
      <w:r>
        <w:rPr>
          <w:rFonts w:hint="eastAsia" w:ascii="宋体" w:hAnsi="宋体" w:eastAsia="宋体" w:cs="宋体"/>
          <w:color w:val="auto"/>
          <w:kern w:val="0"/>
          <w:szCs w:val="21"/>
          <w:highlight w:val="none"/>
        </w:rPr>
        <w:t>磋商文件中凡标有“★”</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技术参数中的除外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的条款均系实质性要求条款。</w:t>
      </w:r>
    </w:p>
    <w:p w14:paraId="7956C3DB">
      <w:pPr>
        <w:pStyle w:val="35"/>
        <w:autoSpaceDE w:val="0"/>
        <w:autoSpaceDN w:val="0"/>
        <w:spacing w:line="360" w:lineRule="auto"/>
        <w:ind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6BD1EE1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 </w:t>
      </w:r>
      <w:r>
        <w:rPr>
          <w:rFonts w:hint="eastAsia" w:ascii="宋体" w:hAnsi="宋体" w:eastAsia="宋体" w:cs="宋体"/>
          <w:color w:val="auto"/>
          <w:kern w:val="0"/>
          <w:szCs w:val="21"/>
          <w:highlight w:val="none"/>
        </w:rPr>
        <w:t>在中华人民共和国境内注册，具有本项目生产、制造、供应或实施能力，符合、承认并承诺履行本磋商文件各项规定的法人、其他组织或者自然人。</w:t>
      </w:r>
    </w:p>
    <w:p w14:paraId="6CDDB75A">
      <w:pPr>
        <w:pStyle w:val="35"/>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 </w:t>
      </w:r>
      <w:r>
        <w:rPr>
          <w:rFonts w:hint="eastAsia" w:ascii="宋体" w:hAnsi="宋体" w:eastAsia="宋体" w:cs="宋体"/>
          <w:color w:val="auto"/>
          <w:kern w:val="0"/>
          <w:szCs w:val="21"/>
          <w:highlight w:val="none"/>
        </w:rPr>
        <w:t>符合本项目“投标邀请”和“供应商须知前附表”中规定的合格供应商所必须具备的条</w:t>
      </w:r>
    </w:p>
    <w:p w14:paraId="748EAFDC">
      <w:pPr>
        <w:pStyle w:val="35"/>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件。</w:t>
      </w:r>
    </w:p>
    <w:p w14:paraId="43145345">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 </w:t>
      </w:r>
      <w:r>
        <w:rPr>
          <w:rFonts w:hint="eastAsia" w:ascii="宋体" w:hAnsi="宋体" w:eastAsia="宋体" w:cs="宋体"/>
          <w:color w:val="auto"/>
          <w:szCs w:val="21"/>
          <w:highlight w:val="none"/>
        </w:rPr>
        <w:t>按照财政部《</w:t>
      </w:r>
      <w:r>
        <w:rPr>
          <w:rFonts w:hint="eastAsia" w:ascii="宋体" w:hAnsi="宋体" w:eastAsia="宋体" w:cs="宋体"/>
          <w:bCs/>
          <w:color w:val="auto"/>
          <w:szCs w:val="21"/>
          <w:highlight w:val="none"/>
        </w:rPr>
        <w:t>关于在政府采购活动中查询及使用信用记录有关问题的通知</w:t>
      </w:r>
      <w:r>
        <w:rPr>
          <w:rFonts w:hint="eastAsia" w:ascii="宋体" w:hAnsi="宋体" w:eastAsia="宋体" w:cs="宋体"/>
          <w:color w:val="auto"/>
          <w:szCs w:val="21"/>
          <w:highlight w:val="none"/>
        </w:rPr>
        <w:t>》（财库</w:t>
      </w:r>
      <w:r>
        <w:rPr>
          <w:rFonts w:hint="eastAsia" w:ascii="宋体" w:hAnsi="宋体" w:eastAsia="宋体" w:cs="宋体"/>
          <w:bCs/>
          <w:color w:val="auto"/>
          <w:szCs w:val="21"/>
          <w:highlight w:val="none"/>
        </w:rPr>
        <w:t>〔2016〕</w:t>
      </w:r>
      <w:r>
        <w:rPr>
          <w:rFonts w:hint="eastAsia" w:ascii="宋体" w:hAnsi="宋体" w:eastAsia="宋体" w:cs="宋体"/>
          <w:color w:val="auto"/>
          <w:szCs w:val="21"/>
          <w:highlight w:val="none"/>
        </w:rPr>
        <w:t>125号）要求，</w:t>
      </w:r>
      <w:r>
        <w:rPr>
          <w:rFonts w:hint="eastAsia" w:ascii="宋体" w:hAnsi="宋体" w:eastAsia="宋体" w:cs="宋体"/>
          <w:color w:val="auto"/>
          <w:kern w:val="0"/>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Cs w:val="21"/>
          <w:highlight w:val="none"/>
          <w:shd w:val="clear" w:color="auto" w:fill="FFFFFF"/>
        </w:rPr>
        <w:t>政府采购严重违法失信行为记录名单、</w:t>
      </w:r>
      <w:r>
        <w:rPr>
          <w:rFonts w:hint="eastAsia" w:ascii="宋体" w:hAnsi="宋体" w:eastAsia="宋体" w:cs="宋体"/>
          <w:color w:val="auto"/>
          <w:kern w:val="0"/>
          <w:szCs w:val="21"/>
          <w:highlight w:val="none"/>
        </w:rPr>
        <w:t>严重违法失信社会组织名单</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1B0A9DFA">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sectPr>
          <w:footerReference r:id="rId4" w:type="default"/>
          <w:pgSz w:w="11906" w:h="16838"/>
          <w:pgMar w:top="1440" w:right="1531" w:bottom="1440" w:left="1531" w:header="851" w:footer="992" w:gutter="0"/>
          <w:pgNumType w:fmt="decimal" w:start="19"/>
          <w:cols w:space="425" w:num="1"/>
          <w:docGrid w:type="lines" w:linePitch="312" w:charSpace="0"/>
        </w:sectPr>
      </w:pPr>
    </w:p>
    <w:p w14:paraId="707E3AE2">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3.3.1</w:t>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"http://www.chinanpo.gov.cn"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Cs w:val="21"/>
          <w:highlight w:val="none"/>
          <w:u w:val="none"/>
        </w:rPr>
        <w:t>https://chinanpo.mca.gov.cn</w:t>
      </w:r>
      <w:r>
        <w:rPr>
          <w:rStyle w:val="26"/>
          <w:rFonts w:hint="eastAsia" w:ascii="宋体" w:hAnsi="宋体" w:eastAsia="宋体" w:cs="宋体"/>
          <w:color w:val="auto"/>
          <w:szCs w:val="21"/>
          <w:highlight w:val="none"/>
          <w:u w:val="none"/>
        </w:rPr>
        <w:fldChar w:fldCharType="end"/>
      </w:r>
      <w:r>
        <w:rPr>
          <w:rFonts w:hint="eastAsia" w:ascii="宋体" w:hAnsi="宋体" w:eastAsia="宋体" w:cs="宋体"/>
          <w:color w:val="auto"/>
          <w:kern w:val="0"/>
          <w:szCs w:val="21"/>
          <w:highlight w:val="none"/>
        </w:rPr>
        <w:t>）；</w:t>
      </w:r>
    </w:p>
    <w:p w14:paraId="4C87E61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3.3.2 截止时间：同磋商响应截止时间； </w:t>
      </w:r>
    </w:p>
    <w:p w14:paraId="0F946B3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3.3.3 信用信息查询记录和证据留存具体方式：经采购人确认的查询结果网页截图作为查询记录和证据，与其他磋商文件一并保存； </w:t>
      </w:r>
    </w:p>
    <w:p w14:paraId="3996784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3.3.4 信用信息的使用原则：经采购人认定的被列入失信被执行人、重大税收违法失信主体、政府采购严重违法失信行为记录名单的供应商、严重违法失信社会组织名单的社会组织，将拒绝其参与本次政府采购活动； </w:t>
      </w:r>
    </w:p>
    <w:p w14:paraId="3CDC922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3.3.5 供应商无需提供信用记录查询结果网页截屏。供应商不良信用记录以采购人查询结果为准，采购人查询之后，网站信息发生的任何变更不再作为评审依据，供应商自行提供的与网站信息不一致的其他证明材料亦不作为评审依据。</w:t>
      </w:r>
    </w:p>
    <w:p w14:paraId="4DA70FC6">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 </w:t>
      </w:r>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p>
    <w:p w14:paraId="35C13BD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 </w:t>
      </w:r>
      <w:r>
        <w:rPr>
          <w:rFonts w:hint="eastAsia" w:ascii="宋体" w:hAnsi="宋体" w:eastAsia="宋体" w:cs="宋体"/>
          <w:color w:val="auto"/>
          <w:kern w:val="0"/>
          <w:szCs w:val="21"/>
          <w:highlight w:val="none"/>
        </w:rPr>
        <w:t>为采购项目提供整体设计、规范编制或者项目管理、监理、检测等服务的供应商，不得再参加该采购项目的其他采购活动。</w:t>
      </w:r>
    </w:p>
    <w:p w14:paraId="683DA2D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 </w:t>
      </w:r>
      <w:r>
        <w:rPr>
          <w:rFonts w:hint="eastAsia" w:ascii="宋体" w:hAnsi="宋体" w:eastAsia="宋体" w:cs="宋体"/>
          <w:color w:val="auto"/>
          <w:kern w:val="0"/>
          <w:szCs w:val="21"/>
          <w:highlight w:val="none"/>
        </w:rPr>
        <w:t>“投标邀请”和“供应商须知前附表”规定接受联合体投标的，除应符合本章第3.1项和3.2项要求外，还应遵守以下规定：</w:t>
      </w:r>
    </w:p>
    <w:p w14:paraId="7E412987">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3.6.1</w:t>
      </w:r>
      <w:r>
        <w:rPr>
          <w:rFonts w:hint="eastAsia" w:ascii="宋体" w:hAnsi="宋体" w:eastAsia="宋体" w:cs="宋体"/>
          <w:color w:val="auto"/>
          <w:kern w:val="0"/>
          <w:szCs w:val="21"/>
          <w:highlight w:val="none"/>
        </w:rPr>
        <w:t>在响应文件中向采购人提交联合体协议书，明确联合体各方承担的工作和义务；</w:t>
      </w:r>
    </w:p>
    <w:p w14:paraId="58366D57">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3.6.2</w:t>
      </w:r>
      <w:r>
        <w:rPr>
          <w:rFonts w:hint="eastAsia" w:ascii="宋体" w:hAnsi="宋体" w:eastAsia="宋体" w:cs="宋体"/>
          <w:color w:val="auto"/>
          <w:kern w:val="0"/>
          <w:szCs w:val="21"/>
          <w:highlight w:val="none"/>
        </w:rPr>
        <w:t>联合体中有同类资质的供应商按联合体分工承担相同工作的，应当按照资质等级较低的供应商确定资质等级；</w:t>
      </w:r>
    </w:p>
    <w:p w14:paraId="3F508FFB">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3.6.3</w:t>
      </w:r>
      <w:r>
        <w:rPr>
          <w:rFonts w:hint="eastAsia" w:ascii="宋体" w:hAnsi="宋体" w:eastAsia="宋体" w:cs="宋体"/>
          <w:color w:val="auto"/>
          <w:kern w:val="0"/>
          <w:szCs w:val="21"/>
          <w:highlight w:val="none"/>
        </w:rPr>
        <w:t>招标人根据采购项目的特殊要求规定供应商特定条件的，联合体各方中至少应当有一方符合采购规定的特定条件；</w:t>
      </w:r>
    </w:p>
    <w:p w14:paraId="347B8313">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3.6.4</w:t>
      </w:r>
      <w:r>
        <w:rPr>
          <w:rFonts w:hint="eastAsia" w:ascii="宋体" w:hAnsi="宋体" w:eastAsia="宋体" w:cs="宋体"/>
          <w:color w:val="auto"/>
          <w:kern w:val="0"/>
          <w:szCs w:val="21"/>
          <w:highlight w:val="none"/>
        </w:rPr>
        <w:t>联合体各方不得再单独参加或者与其他供应商另外组成联合体参加同一合同项下的政府采购活动；</w:t>
      </w:r>
    </w:p>
    <w:p w14:paraId="630CC7E2">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3.6.5</w:t>
      </w:r>
      <w:r>
        <w:rPr>
          <w:rFonts w:hint="eastAsia" w:ascii="宋体" w:hAnsi="宋体" w:eastAsia="宋体" w:cs="宋体"/>
          <w:color w:val="auto"/>
          <w:kern w:val="0"/>
          <w:szCs w:val="21"/>
          <w:highlight w:val="none"/>
        </w:rPr>
        <w:t>联合体各方应当共同与采购人签订采购合同，就采购合同约定的事项对采购人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"https://baike.baidu.com/item/%E6%89%BF%E6%8B%85%E8%BF%9E%E5%B8%A6%E8%B4%A3%E4%BB%BB" \t "_blank"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Cs w:val="21"/>
          <w:highlight w:val="none"/>
        </w:rPr>
        <w:t>承担连带责任</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highlight w:val="none"/>
        </w:rPr>
        <w:t>。</w:t>
      </w:r>
    </w:p>
    <w:p w14:paraId="48E63665">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 </w:t>
      </w:r>
      <w:r>
        <w:rPr>
          <w:rFonts w:hint="eastAsia" w:ascii="宋体" w:hAnsi="宋体" w:eastAsia="宋体" w:cs="宋体"/>
          <w:color w:val="auto"/>
          <w:kern w:val="0"/>
          <w:szCs w:val="21"/>
          <w:highlight w:val="none"/>
        </w:rPr>
        <w:t>法律、行政法规规定的其他条件。</w:t>
      </w:r>
    </w:p>
    <w:p w14:paraId="5D614287">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4.</w:t>
      </w:r>
      <w:r>
        <w:rPr>
          <w:rFonts w:hint="eastAsia" w:ascii="宋体" w:hAnsi="宋体" w:eastAsia="宋体" w:cs="宋体"/>
          <w:b/>
          <w:color w:val="auto"/>
          <w:kern w:val="0"/>
          <w:szCs w:val="21"/>
          <w:highlight w:val="none"/>
        </w:rPr>
        <w:t>合格的货物和服务</w:t>
      </w:r>
    </w:p>
    <w:p w14:paraId="00E750B4">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4.1 </w:t>
      </w:r>
      <w:r>
        <w:rPr>
          <w:rFonts w:hint="eastAsia" w:ascii="宋体" w:hAnsi="宋体" w:eastAsia="宋体" w:cs="宋体"/>
          <w:color w:val="auto"/>
          <w:kern w:val="0"/>
          <w:szCs w:val="21"/>
          <w:highlight w:val="none"/>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0E7B5CE">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4.2 </w:t>
      </w:r>
      <w:r>
        <w:rPr>
          <w:rFonts w:hint="eastAsia" w:ascii="宋体" w:hAnsi="宋体" w:eastAsia="宋体" w:cs="宋体"/>
          <w:color w:val="auto"/>
          <w:kern w:val="0"/>
          <w:szCs w:val="21"/>
          <w:highlight w:val="none"/>
        </w:rPr>
        <w:t>供应商所提供的服务应当没有侵犯任何第三方的知识产权、技术秘密等合法权利。</w:t>
      </w:r>
    </w:p>
    <w:p w14:paraId="167C9633">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4.3 </w:t>
      </w:r>
      <w:r>
        <w:rPr>
          <w:rFonts w:hint="eastAsia" w:ascii="宋体" w:hAnsi="宋体" w:eastAsia="宋体" w:cs="宋体"/>
          <w:color w:val="auto"/>
          <w:kern w:val="0"/>
          <w:szCs w:val="21"/>
          <w:highlight w:val="none"/>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37AC9940">
      <w:pPr>
        <w:autoSpaceDE w:val="0"/>
        <w:autoSpaceDN w:val="0"/>
        <w:spacing w:line="360" w:lineRule="auto"/>
        <w:contextualSpacing/>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 xml:space="preserve">    </w:t>
      </w:r>
      <w:r>
        <w:rPr>
          <w:rFonts w:hint="eastAsia" w:ascii="宋体" w:hAnsi="宋体" w:eastAsia="宋体" w:cs="宋体"/>
          <w:b w:val="0"/>
          <w:bCs/>
          <w:color w:val="auto"/>
          <w:kern w:val="0"/>
          <w:szCs w:val="21"/>
          <w:highlight w:val="none"/>
          <w:lang w:val="en-US" w:eastAsia="zh-CN"/>
        </w:rPr>
        <w:t>4.4 根据国家互联网信息办公室、工业和信息化部、公安部和国家认证认可监督管理委员会 2023年第2号《关于调整〈网络关键设备和网络安全专用产品目录〉的公告》及国家互联网信息办公室、工业和信息化部、公安部、财政部和国家认证认可监督管理委员会 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10AA318D">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5.</w:t>
      </w:r>
      <w:r>
        <w:rPr>
          <w:rFonts w:hint="eastAsia" w:ascii="宋体" w:hAnsi="宋体" w:eastAsia="宋体" w:cs="宋体"/>
          <w:b/>
          <w:color w:val="auto"/>
          <w:kern w:val="0"/>
          <w:szCs w:val="21"/>
          <w:highlight w:val="none"/>
        </w:rPr>
        <w:t>磋商费用</w:t>
      </w:r>
    </w:p>
    <w:p w14:paraId="4E511C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不论采购的结果如何，供应商均应自行承担所有与磋商有关的全部费用，采购人在任何情况下均无义务和责任承担这些费用。</w:t>
      </w:r>
    </w:p>
    <w:p w14:paraId="30A9FCB3">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6.</w:t>
      </w:r>
      <w:r>
        <w:rPr>
          <w:rFonts w:hint="eastAsia" w:ascii="宋体" w:hAnsi="宋体" w:eastAsia="宋体" w:cs="宋体"/>
          <w:b/>
          <w:color w:val="auto"/>
          <w:kern w:val="0"/>
          <w:szCs w:val="21"/>
          <w:highlight w:val="none"/>
        </w:rPr>
        <w:t>信息发布</w:t>
      </w:r>
    </w:p>
    <w:p w14:paraId="75A0A69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auto"/>
          <w:kern w:val="0"/>
          <w:szCs w:val="21"/>
          <w:highlight w:val="none"/>
          <w:lang w:eastAsia="zh-CN"/>
        </w:rPr>
        <w:t>通过《河南省政府采购网》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kern w:val="0"/>
          <w:szCs w:val="21"/>
          <w:highlight w:val="none"/>
        </w:rPr>
        <w:t>《全国公共资源交易平台（河南省·许昌市）》公开发布。供应商在参与本采购项目采购活动期间，请及时关注以上媒体上的相关信息，供应商因没有及时关注而未能如期获取相关信息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及因此所产生的一切后果和责任，由供应商自行承担，采购人在任何情况下均不对此承担任何责任。</w:t>
      </w:r>
    </w:p>
    <w:p w14:paraId="5FECB488">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7.</w:t>
      </w:r>
      <w:r>
        <w:rPr>
          <w:rFonts w:hint="eastAsia" w:ascii="宋体" w:hAnsi="宋体" w:eastAsia="宋体" w:cs="宋体"/>
          <w:b/>
          <w:color w:val="auto"/>
          <w:kern w:val="0"/>
          <w:szCs w:val="21"/>
          <w:highlight w:val="none"/>
        </w:rPr>
        <w:t>代理费用</w:t>
      </w:r>
    </w:p>
    <w:p w14:paraId="31D0ADE7">
      <w:pPr>
        <w:pStyle w:val="35"/>
        <w:autoSpaceDE w:val="0"/>
        <w:autoSpaceDN w:val="0"/>
        <w:spacing w:line="360" w:lineRule="auto"/>
        <w:ind w:left="0" w:leftChars="0"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详见供应商须知前附表</w:t>
      </w:r>
      <w:r>
        <w:rPr>
          <w:rFonts w:hint="eastAsia" w:ascii="宋体" w:hAnsi="宋体" w:eastAsia="宋体" w:cs="宋体"/>
          <w:color w:val="auto"/>
          <w:kern w:val="0"/>
          <w:szCs w:val="21"/>
          <w:highlight w:val="none"/>
          <w:lang w:eastAsia="zh-CN"/>
        </w:rPr>
        <w:t>。</w:t>
      </w:r>
    </w:p>
    <w:p w14:paraId="0F26FB1C">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8.</w:t>
      </w:r>
      <w:r>
        <w:rPr>
          <w:rFonts w:hint="eastAsia" w:ascii="宋体" w:hAnsi="宋体" w:eastAsia="宋体" w:cs="宋体"/>
          <w:b/>
          <w:color w:val="auto"/>
          <w:kern w:val="0"/>
          <w:szCs w:val="21"/>
          <w:highlight w:val="none"/>
        </w:rPr>
        <w:t>其他</w:t>
      </w:r>
    </w:p>
    <w:p w14:paraId="70BF8C69">
      <w:pPr>
        <w:autoSpaceDE w:val="0"/>
        <w:autoSpaceDN w:val="0"/>
        <w:spacing w:line="360" w:lineRule="auto"/>
        <w:ind w:firstLine="420" w:firstLineChars="200"/>
        <w:contextualSpacing/>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供应商须知前附表”和“对响应文件审查与评审”就同一内容的表述不一致的，以“采购邀请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供应商须知前附表”和“对响应文件审查与评审”中规定的内容为准。</w:t>
      </w:r>
    </w:p>
    <w:p w14:paraId="700BD536">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二、磋商文件说明</w:t>
      </w:r>
    </w:p>
    <w:p w14:paraId="4F99C064">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9.</w:t>
      </w:r>
      <w:r>
        <w:rPr>
          <w:rFonts w:hint="eastAsia" w:ascii="宋体" w:hAnsi="宋体" w:eastAsia="宋体" w:cs="宋体"/>
          <w:b/>
          <w:color w:val="auto"/>
          <w:kern w:val="0"/>
          <w:szCs w:val="21"/>
          <w:highlight w:val="none"/>
        </w:rPr>
        <w:t>磋商文件构成</w:t>
      </w:r>
    </w:p>
    <w:p w14:paraId="6AF47CCE">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9.1 </w:t>
      </w:r>
      <w:r>
        <w:rPr>
          <w:rFonts w:hint="eastAsia" w:ascii="宋体" w:hAnsi="宋体" w:eastAsia="宋体" w:cs="宋体"/>
          <w:color w:val="auto"/>
          <w:kern w:val="0"/>
          <w:szCs w:val="21"/>
          <w:highlight w:val="none"/>
        </w:rPr>
        <w:t>磋商文件由以下部分组成：</w:t>
      </w:r>
    </w:p>
    <w:p w14:paraId="50EB2ACF">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6E84A97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07AB44C3">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E5778E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6251810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2097329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（6）对响应文件审查与评审</w:t>
      </w:r>
    </w:p>
    <w:p w14:paraId="27DF602D">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（7）拟签订的合同文本</w:t>
      </w:r>
    </w:p>
    <w:p w14:paraId="124DF32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553DB84C">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（9）本项目磋商文件的澄清、答复、修改、补充内容（如有的话）</w:t>
      </w:r>
    </w:p>
    <w:p w14:paraId="707CF93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9.2 </w:t>
      </w:r>
      <w:r>
        <w:rPr>
          <w:rFonts w:hint="eastAsia" w:ascii="宋体" w:hAnsi="宋体" w:eastAsia="宋体" w:cs="宋体"/>
          <w:color w:val="auto"/>
          <w:kern w:val="0"/>
          <w:szCs w:val="21"/>
          <w:highlight w:val="none"/>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48861B48">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9.3 </w:t>
      </w:r>
      <w:r>
        <w:rPr>
          <w:rFonts w:hint="eastAsia" w:ascii="宋体" w:hAnsi="宋体" w:eastAsia="宋体" w:cs="宋体"/>
          <w:color w:val="auto"/>
          <w:kern w:val="0"/>
          <w:szCs w:val="21"/>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C89F2E3">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10.</w:t>
      </w:r>
      <w:r>
        <w:rPr>
          <w:rFonts w:hint="eastAsia" w:ascii="宋体" w:hAnsi="宋体" w:eastAsia="宋体" w:cs="宋体"/>
          <w:b/>
          <w:color w:val="auto"/>
          <w:kern w:val="0"/>
          <w:szCs w:val="21"/>
          <w:highlight w:val="none"/>
        </w:rPr>
        <w:t>现场考察、磋商前答疑会</w:t>
      </w:r>
    </w:p>
    <w:p w14:paraId="11583528">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10.1 </w:t>
      </w:r>
      <w:r>
        <w:rPr>
          <w:rFonts w:hint="eastAsia" w:ascii="宋体" w:hAnsi="宋体" w:eastAsia="宋体" w:cs="宋体"/>
          <w:color w:val="auto"/>
          <w:kern w:val="0"/>
          <w:szCs w:val="21"/>
          <w:highlight w:val="none"/>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2109E8CE">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10.2 </w:t>
      </w:r>
      <w:r>
        <w:rPr>
          <w:rFonts w:hint="eastAsia" w:ascii="宋体" w:hAnsi="宋体" w:eastAsia="宋体" w:cs="宋体"/>
          <w:color w:val="auto"/>
          <w:kern w:val="0"/>
          <w:szCs w:val="21"/>
          <w:highlight w:val="none"/>
        </w:rPr>
        <w:t>采购人组织现场考察或者召开答疑会的，应当在磋商文件中载明，或者在磋商文件公告期满后在财政部门指定的政府采购信息发布媒体和《全国公共资源交易平台（河南省·许昌市）》发布更正公告。</w:t>
      </w:r>
    </w:p>
    <w:p w14:paraId="4E1C9BA1">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10.3 </w:t>
      </w:r>
      <w:r>
        <w:rPr>
          <w:rFonts w:hint="eastAsia" w:ascii="宋体" w:hAnsi="宋体" w:eastAsia="宋体" w:cs="宋体"/>
          <w:color w:val="auto"/>
          <w:kern w:val="0"/>
          <w:szCs w:val="21"/>
          <w:highlight w:val="none"/>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4A2D38">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10.4 </w:t>
      </w:r>
      <w:r>
        <w:rPr>
          <w:rFonts w:hint="eastAsia" w:ascii="宋体" w:hAnsi="宋体" w:eastAsia="宋体" w:cs="宋体"/>
          <w:color w:val="auto"/>
          <w:kern w:val="0"/>
          <w:szCs w:val="21"/>
          <w:highlight w:val="none"/>
        </w:rPr>
        <w:t>现场考察及参加磋商前答疑会所发生的费用及一切责任由供应商自行承担。</w:t>
      </w:r>
    </w:p>
    <w:p w14:paraId="65BBE720">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11.</w:t>
      </w:r>
      <w:r>
        <w:rPr>
          <w:rFonts w:hint="eastAsia" w:ascii="宋体" w:hAnsi="宋体" w:eastAsia="宋体" w:cs="宋体"/>
          <w:b/>
          <w:color w:val="auto"/>
          <w:kern w:val="0"/>
          <w:szCs w:val="21"/>
          <w:highlight w:val="none"/>
        </w:rPr>
        <w:t>磋商文件的澄清或修改</w:t>
      </w:r>
    </w:p>
    <w:p w14:paraId="5041B34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11.1 </w:t>
      </w:r>
      <w:r>
        <w:rPr>
          <w:rFonts w:hint="eastAsia" w:ascii="宋体" w:hAnsi="宋体" w:eastAsia="宋体" w:cs="宋体"/>
          <w:color w:val="auto"/>
          <w:kern w:val="0"/>
          <w:szCs w:val="21"/>
          <w:highlight w:val="none"/>
        </w:rPr>
        <w:t>在磋商响应截止期前，无论出于何种原因，采购人可主动地或在解答供应商提出的澄清问题时对磋商文件进行修改。</w:t>
      </w:r>
    </w:p>
    <w:p w14:paraId="69545D61">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11.2 </w:t>
      </w:r>
      <w:r>
        <w:rPr>
          <w:rFonts w:hint="eastAsia" w:ascii="宋体" w:hAnsi="宋体" w:eastAsia="宋体" w:cs="宋体"/>
          <w:color w:val="auto"/>
          <w:kern w:val="0"/>
          <w:szCs w:val="21"/>
          <w:highlight w:val="none"/>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3C8A1F28">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11.3 </w:t>
      </w:r>
      <w:r>
        <w:rPr>
          <w:rFonts w:hint="eastAsia" w:ascii="宋体" w:hAnsi="宋体" w:eastAsia="宋体" w:cs="宋体"/>
          <w:color w:val="auto"/>
          <w:kern w:val="0"/>
          <w:szCs w:val="21"/>
          <w:highlight w:val="none"/>
        </w:rPr>
        <w:t>澄清或修改公告的内容为磋商文件的组成部分，并对供应商具有约束力。当磋商文件与澄清或修改公告就同一内容的表述不一致时，以最后发出的文件内容为准。</w:t>
      </w:r>
    </w:p>
    <w:p w14:paraId="422959C9">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11.4 </w:t>
      </w:r>
      <w:r>
        <w:rPr>
          <w:rFonts w:hint="eastAsia" w:ascii="宋体" w:hAnsi="宋体" w:eastAsia="宋体" w:cs="宋体"/>
          <w:color w:val="auto"/>
          <w:kern w:val="0"/>
          <w:szCs w:val="21"/>
          <w:highlight w:val="none"/>
        </w:rPr>
        <w:t>如果澄清或者修改发出的时间距规定的磋商响应截止时间不足5日的，采购人将顺延提交响应文件的截止时间。</w:t>
      </w:r>
    </w:p>
    <w:p w14:paraId="377FC683">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4EDA616D">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12.</w:t>
      </w:r>
      <w:r>
        <w:rPr>
          <w:rFonts w:hint="eastAsia" w:ascii="宋体" w:hAnsi="宋体" w:eastAsia="宋体" w:cs="宋体"/>
          <w:b/>
          <w:color w:val="auto"/>
          <w:kern w:val="0"/>
          <w:szCs w:val="21"/>
          <w:highlight w:val="none"/>
        </w:rPr>
        <w:t>响应文件的语言及计量单位</w:t>
      </w:r>
    </w:p>
    <w:p w14:paraId="21F2DFD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12.1 </w:t>
      </w:r>
      <w:r>
        <w:rPr>
          <w:rFonts w:hint="eastAsia" w:ascii="宋体" w:hAnsi="宋体" w:eastAsia="宋体" w:cs="宋体"/>
          <w:color w:val="auto"/>
          <w:kern w:val="0"/>
          <w:szCs w:val="21"/>
          <w:highlight w:val="none"/>
        </w:rPr>
        <w:t>供应商提交的响应文件以及供应商与采购人就有关采购事宜的所有来往书面文件均应使用中文。除签名、盖章、专用名称等特殊情形外，以中文以外的文字表述的响应文件视同未提供。</w:t>
      </w:r>
    </w:p>
    <w:p w14:paraId="0CCD2CA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12.2 </w:t>
      </w:r>
      <w:r>
        <w:rPr>
          <w:rFonts w:hint="eastAsia" w:ascii="宋体" w:hAnsi="宋体" w:eastAsia="宋体" w:cs="宋体"/>
          <w:color w:val="auto"/>
          <w:kern w:val="0"/>
          <w:szCs w:val="21"/>
          <w:highlight w:val="none"/>
        </w:rPr>
        <w:t>响应文件计量单位，磋商文件已有明确规定的，使用磋商文件规定的计量单位；磋商文件没有规定的，一律采用中华人民共和国法定计量单位。</w:t>
      </w:r>
    </w:p>
    <w:p w14:paraId="2B2AB315">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13.</w:t>
      </w:r>
      <w:r>
        <w:rPr>
          <w:rFonts w:hint="eastAsia" w:ascii="宋体" w:hAnsi="宋体" w:eastAsia="宋体" w:cs="宋体"/>
          <w:b/>
          <w:color w:val="auto"/>
          <w:kern w:val="0"/>
          <w:szCs w:val="21"/>
          <w:highlight w:val="none"/>
        </w:rPr>
        <w:t>报价</w:t>
      </w:r>
    </w:p>
    <w:p w14:paraId="6A94C421">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13.1 </w:t>
      </w:r>
      <w:r>
        <w:rPr>
          <w:rFonts w:hint="eastAsia" w:ascii="宋体" w:hAnsi="宋体" w:eastAsia="宋体" w:cs="宋体"/>
          <w:color w:val="auto"/>
          <w:kern w:val="0"/>
          <w:szCs w:val="21"/>
          <w:highlight w:val="none"/>
        </w:rPr>
        <w:t>本次磋商项目的报价均以人民币为计算单位。</w:t>
      </w:r>
    </w:p>
    <w:p w14:paraId="29C91081">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13.2 </w:t>
      </w:r>
      <w:r>
        <w:rPr>
          <w:rFonts w:hint="eastAsia" w:ascii="宋体" w:hAnsi="宋体" w:eastAsia="宋体" w:cs="宋体"/>
          <w:color w:val="auto"/>
          <w:kern w:val="0"/>
          <w:szCs w:val="21"/>
          <w:highlight w:val="none"/>
        </w:rPr>
        <w:t>供应商应对项目要求的全部内容进行报价，少报漏报将导致其响应为非实质性响应予以拒绝。</w:t>
      </w:r>
    </w:p>
    <w:p w14:paraId="33B62E7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13.3 </w:t>
      </w:r>
      <w:r>
        <w:rPr>
          <w:rFonts w:hint="eastAsia" w:ascii="宋体" w:hAnsi="宋体" w:eastAsia="宋体" w:cs="宋体"/>
          <w:color w:val="auto"/>
          <w:kern w:val="0"/>
          <w:szCs w:val="21"/>
          <w:highlight w:val="none"/>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633A0D4C">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13.4 </w:t>
      </w:r>
      <w:r>
        <w:rPr>
          <w:rFonts w:hint="eastAsia" w:ascii="宋体" w:hAnsi="宋体" w:eastAsia="宋体" w:cs="宋体"/>
          <w:color w:val="auto"/>
          <w:kern w:val="0"/>
          <w:szCs w:val="21"/>
          <w:highlight w:val="none"/>
        </w:rPr>
        <w:t>本项目所涉及的运输、施工、安装、集成、调试、验收、备品和工具等费用均包含在响应报价中。</w:t>
      </w:r>
    </w:p>
    <w:p w14:paraId="63A8EC24">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13.5 </w:t>
      </w:r>
      <w:r>
        <w:rPr>
          <w:rFonts w:hint="eastAsia" w:ascii="宋体" w:hAnsi="宋体" w:eastAsia="宋体" w:cs="宋体"/>
          <w:color w:val="auto"/>
          <w:kern w:val="0"/>
          <w:szCs w:val="21"/>
          <w:highlight w:val="none"/>
        </w:rPr>
        <w:t>报价不得高于本项目预算金额，且不低于成本价。供应商的响应报价高于预算金额（项目控制金额上限）的，该供应商的响应文件将被视为非实质性响应予以拒绝。</w:t>
      </w:r>
    </w:p>
    <w:p w14:paraId="534A0C07">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13.6 </w:t>
      </w:r>
      <w:r>
        <w:rPr>
          <w:rFonts w:hint="eastAsia" w:ascii="宋体" w:hAnsi="宋体" w:eastAsia="宋体" w:cs="宋体"/>
          <w:color w:val="auto"/>
          <w:kern w:val="0"/>
          <w:szCs w:val="21"/>
          <w:highlight w:val="none"/>
        </w:rPr>
        <w:t>最低报价不能</w:t>
      </w:r>
      <w:r>
        <w:rPr>
          <w:rFonts w:hint="eastAsia" w:ascii="宋体" w:hAnsi="宋体" w:eastAsia="宋体" w:cs="宋体"/>
          <w:color w:val="auto"/>
          <w:kern w:val="0"/>
          <w:szCs w:val="21"/>
          <w:highlight w:val="none"/>
          <w:lang w:eastAsia="zh-CN"/>
        </w:rPr>
        <w:t>作为</w:t>
      </w:r>
      <w:r>
        <w:rPr>
          <w:rFonts w:hint="eastAsia" w:ascii="宋体" w:hAnsi="宋体" w:eastAsia="宋体" w:cs="宋体"/>
          <w:color w:val="auto"/>
          <w:kern w:val="0"/>
          <w:szCs w:val="21"/>
          <w:highlight w:val="none"/>
        </w:rPr>
        <w:t>成交的保证。</w:t>
      </w:r>
    </w:p>
    <w:p w14:paraId="5A64F131">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14.</w:t>
      </w:r>
      <w:r>
        <w:rPr>
          <w:rFonts w:hint="eastAsia" w:ascii="宋体" w:hAnsi="宋体" w:eastAsia="宋体" w:cs="宋体"/>
          <w:b/>
          <w:color w:val="auto"/>
          <w:kern w:val="0"/>
          <w:szCs w:val="21"/>
          <w:highlight w:val="none"/>
        </w:rPr>
        <w:t>响应文件有效期</w:t>
      </w:r>
    </w:p>
    <w:p w14:paraId="268F93F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14.1 </w:t>
      </w:r>
      <w:r>
        <w:rPr>
          <w:rFonts w:hint="eastAsia" w:ascii="宋体" w:hAnsi="宋体" w:eastAsia="宋体" w:cs="宋体"/>
          <w:color w:val="auto"/>
          <w:kern w:val="0"/>
          <w:szCs w:val="21"/>
          <w:highlight w:val="none"/>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响应有效期比磋商文件规定短的属于非实质性响应，将被认定为无效投标。</w:t>
      </w:r>
    </w:p>
    <w:p w14:paraId="76E466F7">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14.2 </w:t>
      </w:r>
      <w:r>
        <w:rPr>
          <w:rFonts w:hint="eastAsia" w:ascii="宋体" w:hAnsi="宋体" w:eastAsia="宋体" w:cs="宋体"/>
          <w:color w:val="auto"/>
          <w:kern w:val="0"/>
          <w:szCs w:val="21"/>
          <w:highlight w:val="none"/>
        </w:rPr>
        <w:t>响应有效期内供应商撤销响应文件的，供应商将承担违背磋商承诺函的责任追究。</w:t>
      </w:r>
    </w:p>
    <w:p w14:paraId="4C1312DB">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14.3 </w:t>
      </w:r>
      <w:r>
        <w:rPr>
          <w:rFonts w:hint="eastAsia" w:ascii="宋体" w:hAnsi="宋体" w:eastAsia="宋体" w:cs="宋体"/>
          <w:color w:val="auto"/>
          <w:kern w:val="0"/>
          <w:szCs w:val="21"/>
          <w:highlight w:val="none"/>
        </w:rPr>
        <w:t>采购人</w:t>
      </w:r>
      <w:r>
        <w:rPr>
          <w:rFonts w:hint="eastAsia" w:ascii="宋体" w:hAnsi="宋体" w:eastAsia="宋体" w:cs="宋体"/>
          <w:color w:val="auto"/>
          <w:highlight w:val="none"/>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auto"/>
          <w:kern w:val="0"/>
          <w:szCs w:val="21"/>
          <w:highlight w:val="none"/>
        </w:rPr>
        <w:t>。</w:t>
      </w:r>
    </w:p>
    <w:p w14:paraId="34AF29F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14.4 </w:t>
      </w:r>
      <w:r>
        <w:rPr>
          <w:rFonts w:hint="eastAsia" w:ascii="宋体" w:hAnsi="宋体" w:eastAsia="宋体" w:cs="宋体"/>
          <w:color w:val="auto"/>
          <w:kern w:val="0"/>
          <w:szCs w:val="21"/>
          <w:highlight w:val="none"/>
        </w:rPr>
        <w:t>成交供应商的响应文件作为项目合同的附件，其有效期至成交供应商全部合同义务履行完毕为止。</w:t>
      </w:r>
    </w:p>
    <w:p w14:paraId="7BB3D1CF">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15.</w:t>
      </w:r>
      <w:r>
        <w:rPr>
          <w:rFonts w:hint="eastAsia" w:ascii="宋体" w:hAnsi="宋体" w:eastAsia="宋体" w:cs="宋体"/>
          <w:b/>
          <w:color w:val="auto"/>
          <w:kern w:val="0"/>
          <w:szCs w:val="21"/>
          <w:highlight w:val="none"/>
        </w:rPr>
        <w:t>响应文件构成</w:t>
      </w:r>
    </w:p>
    <w:p w14:paraId="2CE6273F">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15.1 </w:t>
      </w:r>
      <w:r>
        <w:rPr>
          <w:rFonts w:hint="eastAsia" w:ascii="宋体" w:hAnsi="宋体" w:eastAsia="宋体" w:cs="宋体"/>
          <w:color w:val="auto"/>
          <w:kern w:val="0"/>
          <w:szCs w:val="21"/>
          <w:highlight w:val="none"/>
        </w:rPr>
        <w:t>响应文件的构成应符合法律法规及磋商文件的要求。</w:t>
      </w:r>
    </w:p>
    <w:p w14:paraId="21DE4A1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15.2 </w:t>
      </w:r>
      <w:r>
        <w:rPr>
          <w:rFonts w:hint="eastAsia" w:ascii="宋体" w:hAnsi="宋体" w:eastAsia="宋体" w:cs="宋体"/>
          <w:color w:val="auto"/>
          <w:kern w:val="0"/>
          <w:szCs w:val="21"/>
          <w:highlight w:val="none"/>
        </w:rPr>
        <w:t>供应商应当按照磋商文件的要求编制响应文件。响应文件应当对磋商文件提出的要求和条件作出明确响应。</w:t>
      </w:r>
    </w:p>
    <w:p w14:paraId="67AD06E0">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15.3 </w:t>
      </w:r>
      <w:r>
        <w:rPr>
          <w:rFonts w:hint="eastAsia" w:ascii="宋体" w:hAnsi="宋体" w:eastAsia="宋体" w:cs="宋体"/>
          <w:color w:val="auto"/>
          <w:kern w:val="0"/>
          <w:szCs w:val="21"/>
          <w:highlight w:val="none"/>
        </w:rPr>
        <w:t>响应文件由资格证明材料、符合性证明材料、</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材料等组成。</w:t>
      </w:r>
    </w:p>
    <w:p w14:paraId="41EC8C6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15.4 </w:t>
      </w:r>
      <w:r>
        <w:rPr>
          <w:rFonts w:hint="eastAsia" w:ascii="宋体" w:hAnsi="宋体" w:eastAsia="宋体" w:cs="宋体"/>
          <w:color w:val="auto"/>
          <w:kern w:val="0"/>
          <w:szCs w:val="21"/>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2F92D85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15.5 </w:t>
      </w:r>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06428D23">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电子响应文件制作技术咨询：0374-2961598。</w:t>
      </w:r>
    </w:p>
    <w:p w14:paraId="40D19C2E">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16.</w:t>
      </w:r>
      <w:r>
        <w:rPr>
          <w:rFonts w:hint="eastAsia" w:ascii="宋体" w:hAnsi="宋体" w:eastAsia="宋体" w:cs="宋体"/>
          <w:b/>
          <w:color w:val="auto"/>
          <w:kern w:val="0"/>
          <w:szCs w:val="21"/>
          <w:highlight w:val="none"/>
        </w:rPr>
        <w:t>响应文件格式</w:t>
      </w:r>
    </w:p>
    <w:p w14:paraId="24917BF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16.1 </w:t>
      </w:r>
      <w:r>
        <w:rPr>
          <w:rFonts w:hint="eastAsia" w:ascii="宋体" w:hAnsi="宋体" w:eastAsia="宋体" w:cs="宋体"/>
          <w:color w:val="auto"/>
          <w:kern w:val="0"/>
          <w:szCs w:val="21"/>
          <w:highlight w:val="none"/>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56008FB4">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16.2 </w:t>
      </w:r>
      <w:r>
        <w:rPr>
          <w:rFonts w:hint="eastAsia" w:ascii="宋体" w:hAnsi="宋体" w:eastAsia="宋体" w:cs="宋体"/>
          <w:color w:val="auto"/>
          <w:kern w:val="0"/>
          <w:szCs w:val="21"/>
          <w:highlight w:val="none"/>
        </w:rPr>
        <w:t>磋商文件未提供标准格式的供应商可自行拟定。</w:t>
      </w:r>
    </w:p>
    <w:p w14:paraId="553B08EE">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17.</w:t>
      </w:r>
      <w:r>
        <w:rPr>
          <w:rFonts w:hint="eastAsia" w:ascii="宋体" w:hAnsi="宋体" w:eastAsia="宋体" w:cs="宋体"/>
          <w:b/>
          <w:color w:val="auto"/>
          <w:kern w:val="0"/>
          <w:szCs w:val="21"/>
          <w:highlight w:val="none"/>
        </w:rPr>
        <w:t>磋商保证金</w:t>
      </w:r>
    </w:p>
    <w:p w14:paraId="1E8EDDDB">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17.1 </w:t>
      </w:r>
      <w:r>
        <w:rPr>
          <w:rFonts w:hint="eastAsia" w:ascii="宋体" w:hAnsi="宋体" w:eastAsia="宋体" w:cs="宋体"/>
          <w:color w:val="auto"/>
          <w:kern w:val="0"/>
          <w:szCs w:val="21"/>
          <w:highlight w:val="none"/>
        </w:rPr>
        <w:t>本项目不收取磋商保证金。</w:t>
      </w:r>
    </w:p>
    <w:p w14:paraId="03FB58AF">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17.2 </w:t>
      </w:r>
      <w:r>
        <w:rPr>
          <w:rFonts w:hint="eastAsia" w:ascii="宋体" w:hAnsi="宋体" w:eastAsia="宋体" w:cs="宋体"/>
          <w:color w:val="auto"/>
          <w:kern w:val="0"/>
          <w:szCs w:val="21"/>
          <w:highlight w:val="none"/>
        </w:rPr>
        <w:t>供应商应提供磋商承诺函。</w:t>
      </w:r>
    </w:p>
    <w:p w14:paraId="600E6B61">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18.</w:t>
      </w:r>
      <w:r>
        <w:rPr>
          <w:rFonts w:hint="eastAsia" w:ascii="宋体" w:hAnsi="宋体" w:eastAsia="宋体" w:cs="宋体"/>
          <w:b/>
          <w:color w:val="auto"/>
          <w:kern w:val="0"/>
          <w:szCs w:val="21"/>
          <w:highlight w:val="none"/>
        </w:rPr>
        <w:t>磋商文件的数量和签署盖章</w:t>
      </w:r>
    </w:p>
    <w:p w14:paraId="4BCF8DAA">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18.1 </w:t>
      </w:r>
      <w:r>
        <w:rPr>
          <w:rFonts w:hint="eastAsia" w:ascii="宋体" w:hAnsi="宋体" w:eastAsia="宋体" w:cs="宋体"/>
          <w:color w:val="auto"/>
          <w:kern w:val="0"/>
          <w:szCs w:val="21"/>
          <w:highlight w:val="none"/>
        </w:rPr>
        <w:t>供应商应提交响应文件份数见“供应商须知前附表”。</w:t>
      </w:r>
    </w:p>
    <w:p w14:paraId="3B49509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18.2 </w:t>
      </w:r>
      <w:r>
        <w:rPr>
          <w:rFonts w:hint="eastAsia" w:ascii="宋体" w:hAnsi="宋体" w:eastAsia="宋体" w:cs="宋体"/>
          <w:color w:val="auto"/>
          <w:kern w:val="0"/>
          <w:szCs w:val="21"/>
          <w:highlight w:val="none"/>
        </w:rPr>
        <w:t>在磋商文件中已明示需盖章及签名之处，电子响应文件应按磋商文件要求加盖供应商电子印章和法人电子印章或授权代表电子印章。</w:t>
      </w:r>
    </w:p>
    <w:p w14:paraId="71CE86F1">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四、响应文件的提交</w:t>
      </w:r>
    </w:p>
    <w:p w14:paraId="2B0B79F6">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19.</w:t>
      </w:r>
      <w:r>
        <w:rPr>
          <w:rFonts w:hint="eastAsia" w:ascii="宋体" w:hAnsi="宋体" w:eastAsia="宋体" w:cs="宋体"/>
          <w:b/>
          <w:color w:val="auto"/>
          <w:kern w:val="0"/>
          <w:szCs w:val="21"/>
          <w:highlight w:val="none"/>
        </w:rPr>
        <w:t>磋商响应截止时间</w:t>
      </w:r>
    </w:p>
    <w:p w14:paraId="670BDE9A">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19.1 </w:t>
      </w:r>
      <w:r>
        <w:rPr>
          <w:rFonts w:hint="eastAsia" w:ascii="宋体" w:hAnsi="宋体" w:eastAsia="宋体" w:cs="宋体"/>
          <w:color w:val="auto"/>
          <w:kern w:val="0"/>
          <w:szCs w:val="21"/>
          <w:highlight w:val="none"/>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4979551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19.2 </w:t>
      </w:r>
      <w:r>
        <w:rPr>
          <w:rFonts w:hint="eastAsia" w:ascii="宋体" w:hAnsi="宋体" w:eastAsia="宋体" w:cs="宋体"/>
          <w:color w:val="auto"/>
          <w:kern w:val="0"/>
          <w:szCs w:val="21"/>
          <w:highlight w:val="none"/>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59988F8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19.3 </w:t>
      </w:r>
      <w:r>
        <w:rPr>
          <w:rFonts w:hint="eastAsia" w:ascii="宋体" w:hAnsi="宋体" w:eastAsia="宋体" w:cs="宋体"/>
          <w:color w:val="auto"/>
          <w:kern w:val="0"/>
          <w:szCs w:val="21"/>
          <w:highlight w:val="none"/>
        </w:rPr>
        <w:t>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12F7642">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20.</w:t>
      </w:r>
      <w:r>
        <w:rPr>
          <w:rFonts w:hint="eastAsia" w:ascii="宋体" w:hAnsi="宋体" w:eastAsia="宋体" w:cs="宋体"/>
          <w:b/>
          <w:color w:val="auto"/>
          <w:kern w:val="0"/>
          <w:szCs w:val="21"/>
          <w:highlight w:val="none"/>
        </w:rPr>
        <w:t>迟交的响应文件</w:t>
      </w:r>
    </w:p>
    <w:p w14:paraId="3A4F34F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磋商响应文件截止时间之后上传的响应文件，采购人</w:t>
      </w:r>
      <w:r>
        <w:rPr>
          <w:rFonts w:hint="eastAsia" w:ascii="宋体" w:hAnsi="宋体" w:eastAsia="宋体" w:cs="宋体"/>
          <w:color w:val="auto"/>
          <w:kern w:val="0"/>
          <w:szCs w:val="21"/>
          <w:highlight w:val="none"/>
          <w:lang w:eastAsia="zh-CN"/>
        </w:rPr>
        <w:t>将</w:t>
      </w:r>
      <w:r>
        <w:rPr>
          <w:rFonts w:hint="eastAsia" w:ascii="宋体" w:hAnsi="宋体" w:eastAsia="宋体" w:cs="宋体"/>
          <w:color w:val="auto"/>
          <w:kern w:val="0"/>
          <w:szCs w:val="21"/>
          <w:highlight w:val="none"/>
        </w:rPr>
        <w:t>拒绝接收。</w:t>
      </w:r>
    </w:p>
    <w:p w14:paraId="2C8A5EC0">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21.</w:t>
      </w:r>
      <w:r>
        <w:rPr>
          <w:rFonts w:hint="eastAsia" w:ascii="宋体" w:hAnsi="宋体" w:eastAsia="宋体" w:cs="宋体"/>
          <w:b/>
          <w:color w:val="auto"/>
          <w:kern w:val="0"/>
          <w:szCs w:val="21"/>
          <w:highlight w:val="none"/>
        </w:rPr>
        <w:t>响应文件的修改和撤回</w:t>
      </w:r>
    </w:p>
    <w:p w14:paraId="66EA2FFA">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21.1 </w:t>
      </w:r>
      <w:r>
        <w:rPr>
          <w:rFonts w:hint="eastAsia" w:ascii="宋体" w:hAnsi="宋体" w:eastAsia="宋体" w:cs="宋体"/>
          <w:color w:val="auto"/>
          <w:kern w:val="0"/>
          <w:szCs w:val="21"/>
          <w:highlight w:val="none"/>
        </w:rPr>
        <w:t>供应商在磋商响应截止时间前，对所提交的响应文件进行补充、修改或者撤回的，须书面通知采购人。</w:t>
      </w:r>
    </w:p>
    <w:p w14:paraId="2F3E4F1E">
      <w:pPr>
        <w:keepNext w:val="0"/>
        <w:keepLines w:val="0"/>
        <w:pageBreakBefore w:val="0"/>
        <w:widowControl w:val="0"/>
        <w:kinsoku/>
        <w:wordWrap/>
        <w:overflowPunct/>
        <w:topLinePunct w:val="0"/>
        <w:autoSpaceDE w:val="0"/>
        <w:autoSpaceDN w:val="0"/>
        <w:bidi w:val="0"/>
        <w:adjustRightInd/>
        <w:snapToGrid/>
        <w:spacing w:line="360" w:lineRule="auto"/>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供应商应当在磋商响应截止时间前完成电子响应文件的提交，可以补充、修改或撤回。磋商响应截止时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前未完成电子响应文件提交的，视为撤回响应文件。</w:t>
      </w:r>
    </w:p>
    <w:p w14:paraId="612AD8A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21.2 </w:t>
      </w:r>
      <w:r>
        <w:rPr>
          <w:rFonts w:hint="eastAsia" w:ascii="宋体" w:hAnsi="宋体" w:eastAsia="宋体" w:cs="宋体"/>
          <w:color w:val="auto"/>
          <w:kern w:val="0"/>
          <w:szCs w:val="21"/>
          <w:highlight w:val="none"/>
        </w:rPr>
        <w:t>供应商补充、修改的内容并作为响应文件的组成部分。补充或修改应当按磋商文件要求签署、盖章、提交，并应注明“修改”或“补充”字样。</w:t>
      </w:r>
    </w:p>
    <w:p w14:paraId="7F9ED5A9">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21.3 </w:t>
      </w:r>
      <w:r>
        <w:rPr>
          <w:rFonts w:hint="eastAsia" w:ascii="宋体" w:hAnsi="宋体" w:eastAsia="宋体" w:cs="宋体"/>
          <w:color w:val="auto"/>
          <w:kern w:val="0"/>
          <w:szCs w:val="21"/>
          <w:highlight w:val="none"/>
        </w:rPr>
        <w:t>供应商在提交响应文件后，可以撤回其投标，但供应商必须在规定的投标截止时间前以书面形式告知招标人。</w:t>
      </w:r>
    </w:p>
    <w:p w14:paraId="50D28AE6">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21.4 </w:t>
      </w:r>
      <w:r>
        <w:rPr>
          <w:rFonts w:hint="eastAsia" w:ascii="宋体" w:hAnsi="宋体" w:eastAsia="宋体" w:cs="宋体"/>
          <w:color w:val="auto"/>
          <w:kern w:val="0"/>
          <w:szCs w:val="21"/>
          <w:highlight w:val="none"/>
        </w:rPr>
        <w:t>供应商不得在响应有效期内撤销响应文件，否则供应商将承担违背磋商承诺函的责任追</w:t>
      </w:r>
    </w:p>
    <w:p w14:paraId="13001362">
      <w:pPr>
        <w:pStyle w:val="35"/>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究。</w:t>
      </w:r>
    </w:p>
    <w:p w14:paraId="7B6832BF">
      <w:pPr>
        <w:pStyle w:val="35"/>
        <w:numPr>
          <w:ilvl w:val="0"/>
          <w:numId w:val="0"/>
        </w:num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22.</w:t>
      </w:r>
      <w:r>
        <w:rPr>
          <w:rFonts w:hint="eastAsia" w:ascii="宋体" w:hAnsi="宋体" w:eastAsia="宋体" w:cs="宋体"/>
          <w:b/>
          <w:color w:val="auto"/>
          <w:kern w:val="0"/>
          <w:szCs w:val="21"/>
          <w:highlight w:val="none"/>
        </w:rPr>
        <w:t>除供应商须知前附表另有规定外，供应商所提交的电子响应文件不予退还。</w:t>
      </w:r>
    </w:p>
    <w:p w14:paraId="5B7704ED">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五、响应文件开启和磋商</w:t>
      </w:r>
    </w:p>
    <w:p w14:paraId="56ED0FC9">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23.</w:t>
      </w:r>
      <w:r>
        <w:rPr>
          <w:rFonts w:hint="eastAsia" w:ascii="宋体" w:hAnsi="宋体" w:eastAsia="宋体" w:cs="宋体"/>
          <w:b/>
          <w:color w:val="auto"/>
          <w:kern w:val="0"/>
          <w:szCs w:val="21"/>
          <w:highlight w:val="none"/>
        </w:rPr>
        <w:t>响应文件开启</w:t>
      </w:r>
    </w:p>
    <w:p w14:paraId="1867FE87">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23.1 </w:t>
      </w:r>
      <w:r>
        <w:rPr>
          <w:rFonts w:hint="eastAsia" w:ascii="宋体" w:hAnsi="宋体" w:eastAsia="宋体" w:cs="宋体"/>
          <w:color w:val="auto"/>
          <w:kern w:val="0"/>
          <w:szCs w:val="21"/>
          <w:highlight w:val="none"/>
        </w:rPr>
        <w:t>采购人将按磋商文件规定的</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和地点解密电子响应文件。由代理机构主持，供应商无须到现场。磋商小组成员不得参加开标活动。</w:t>
      </w:r>
    </w:p>
    <w:p w14:paraId="3F2FE5E9">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23.2 </w:t>
      </w:r>
      <w:r>
        <w:rPr>
          <w:rFonts w:hint="eastAsia" w:ascii="宋体" w:hAnsi="宋体" w:eastAsia="宋体" w:cs="宋体"/>
          <w:color w:val="auto"/>
          <w:kern w:val="0"/>
          <w:szCs w:val="21"/>
          <w:highlight w:val="none"/>
        </w:rPr>
        <w:t>招标人应当对开标、评标现场活动进行全程录音录像。录音录像应当清晰可辨，音像资料作为采购文件一并存档。</w:t>
      </w:r>
    </w:p>
    <w:p w14:paraId="16E31E04">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23.3 </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，由代理机构开通远程不见面开标大厅及开启“文字互动”等功能；供应商、代理机构进行电子响应文件的解密。解密后</w:t>
      </w:r>
      <w:r>
        <w:rPr>
          <w:rFonts w:hint="eastAsia" w:ascii="宋体" w:hAnsi="宋体" w:eastAsia="宋体" w:cs="宋体"/>
          <w:color w:val="auto"/>
          <w:szCs w:val="21"/>
          <w:highlight w:val="none"/>
        </w:rPr>
        <w:t>供应商选择功能栏“开标记录”按钮可查看</w:t>
      </w:r>
      <w:r>
        <w:rPr>
          <w:rFonts w:hint="eastAsia" w:ascii="宋体" w:hAnsi="宋体" w:eastAsia="宋体" w:cs="宋体"/>
          <w:color w:val="auto"/>
          <w:kern w:val="0"/>
          <w:szCs w:val="21"/>
          <w:highlight w:val="none"/>
        </w:rPr>
        <w:t>供应商名称、修改和撤回投标的通知（如有的话）和磋商文件规定的需要宣布的其他内容。</w:t>
      </w:r>
    </w:p>
    <w:p w14:paraId="2128FA3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w:t>
      </w:r>
      <w:r>
        <w:rPr>
          <w:rFonts w:hint="eastAsia" w:ascii="宋体" w:hAnsi="宋体" w:eastAsia="宋体" w:cs="宋体"/>
          <w:color w:val="auto"/>
          <w:kern w:val="0"/>
          <w:szCs w:val="21"/>
          <w:highlight w:val="none"/>
        </w:rPr>
        <w:t>电子响应文件的解密：全流程电子化交易项目电子响应文件采用双重加密。解密需分标段进行两次解密。</w:t>
      </w:r>
    </w:p>
    <w:p w14:paraId="7722F7BF">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23.3.1.1</w:t>
      </w:r>
      <w:r>
        <w:rPr>
          <w:rFonts w:hint="eastAsia" w:ascii="宋体" w:hAnsi="宋体" w:eastAsia="宋体" w:cs="宋体"/>
          <w:color w:val="auto"/>
          <w:kern w:val="0"/>
          <w:szCs w:val="21"/>
          <w:highlight w:val="none"/>
        </w:rPr>
        <w:t>供应商解密：供应商使用本单位CA数字证书进行远程解密。</w:t>
      </w:r>
    </w:p>
    <w:p w14:paraId="630AD824">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23.3.1.2</w:t>
      </w:r>
      <w:r>
        <w:rPr>
          <w:rFonts w:hint="eastAsia" w:ascii="宋体" w:hAnsi="宋体" w:eastAsia="宋体" w:cs="宋体"/>
          <w:color w:val="auto"/>
          <w:kern w:val="0"/>
          <w:szCs w:val="21"/>
          <w:highlight w:val="none"/>
        </w:rPr>
        <w:t>代理机构解密：代理机构按电子响应文件到达交易系统的先后顺序，使用本单位CA数字证书进行再次解密。</w:t>
      </w:r>
    </w:p>
    <w:p w14:paraId="364B6CD1">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23.3.1.3</w:t>
      </w:r>
      <w:r>
        <w:rPr>
          <w:rFonts w:hint="eastAsia" w:ascii="宋体" w:hAnsi="宋体" w:eastAsia="宋体" w:cs="宋体"/>
          <w:color w:val="auto"/>
          <w:kern w:val="0"/>
          <w:szCs w:val="21"/>
          <w:highlight w:val="none"/>
        </w:rPr>
        <w:t>因供应商原因电子响应文件解密失败的，其响应文件将被拒绝。</w:t>
      </w:r>
    </w:p>
    <w:p w14:paraId="0155449A">
      <w:pPr>
        <w:pStyle w:val="35"/>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23.4 </w:t>
      </w:r>
      <w:r>
        <w:rPr>
          <w:rFonts w:hint="eastAsia" w:ascii="宋体" w:hAnsi="宋体" w:eastAsia="宋体" w:cs="宋体"/>
          <w:color w:val="auto"/>
          <w:kern w:val="0"/>
          <w:szCs w:val="21"/>
          <w:highlight w:val="none"/>
        </w:rPr>
        <w:t>供应商不足3家的，本项目磋商活动终止。</w:t>
      </w:r>
    </w:p>
    <w:p w14:paraId="6F465762">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23.5 </w:t>
      </w:r>
      <w:r>
        <w:rPr>
          <w:rFonts w:hint="eastAsia" w:ascii="宋体" w:hAnsi="宋体" w:eastAsia="宋体" w:cs="宋体"/>
          <w:color w:val="auto"/>
          <w:kern w:val="0"/>
          <w:szCs w:val="21"/>
          <w:highlight w:val="none"/>
        </w:rPr>
        <w:t>开标过程由采购代理机构负责记录，</w:t>
      </w:r>
      <w:r>
        <w:rPr>
          <w:rFonts w:hint="eastAsia" w:ascii="宋体" w:hAnsi="宋体" w:eastAsia="宋体" w:cs="宋体"/>
          <w:color w:val="auto"/>
          <w:szCs w:val="21"/>
          <w:highlight w:val="none"/>
        </w:rPr>
        <w:t>《开标记录表》经供应商进行电子签章、</w:t>
      </w:r>
      <w:r>
        <w:rPr>
          <w:rFonts w:hint="eastAsia" w:ascii="宋体" w:hAnsi="宋体" w:eastAsia="宋体" w:cs="宋体"/>
          <w:color w:val="auto"/>
          <w:kern w:val="0"/>
          <w:szCs w:val="21"/>
          <w:highlight w:val="none"/>
        </w:rPr>
        <w:t>由参加开标相关工作人员签字确认后随采购文件一并存档。</w:t>
      </w:r>
      <w:r>
        <w:rPr>
          <w:rFonts w:hint="eastAsia" w:ascii="宋体" w:hAnsi="宋体" w:eastAsia="宋体" w:cs="宋体"/>
          <w:color w:val="auto"/>
          <w:szCs w:val="21"/>
          <w:highlight w:val="none"/>
        </w:rPr>
        <w:t>供应商未电子签章的，视同认可开标结果。</w:t>
      </w:r>
    </w:p>
    <w:p w14:paraId="1165425C">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23.6 </w:t>
      </w:r>
      <w:r>
        <w:rPr>
          <w:rFonts w:hint="eastAsia" w:ascii="宋体" w:hAnsi="宋体" w:eastAsia="宋体" w:cs="宋体"/>
          <w:color w:val="auto"/>
          <w:kern w:val="0"/>
          <w:szCs w:val="21"/>
          <w:highlight w:val="none"/>
        </w:rPr>
        <w:t>供应商对解密过程和记录有疑义，以及认为采购人、代理机构相关工作人员有需要回避的情形的，应当场提出询问或者回避申请。采购人、采购代理机构对供应商提出的询问或者回避申请应当及时处理。</w:t>
      </w:r>
    </w:p>
    <w:p w14:paraId="5E1A254F">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23.7 </w:t>
      </w:r>
      <w:r>
        <w:rPr>
          <w:rFonts w:hint="eastAsia" w:ascii="宋体" w:hAnsi="宋体" w:eastAsia="宋体" w:cs="宋体"/>
          <w:color w:val="auto"/>
          <w:szCs w:val="21"/>
          <w:highlight w:val="none"/>
        </w:rPr>
        <w:t>响应文件解密活动结束时，供应商应在《开标记录表》上进行电子签章。供应商未签章的，视同认可开标结果。</w:t>
      </w:r>
    </w:p>
    <w:p w14:paraId="1A526FB9">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24.</w:t>
      </w:r>
      <w:r>
        <w:rPr>
          <w:rFonts w:hint="eastAsia" w:ascii="宋体" w:hAnsi="宋体" w:eastAsia="宋体" w:cs="宋体"/>
          <w:b/>
          <w:color w:val="auto"/>
          <w:kern w:val="0"/>
          <w:szCs w:val="21"/>
          <w:highlight w:val="none"/>
        </w:rPr>
        <w:t>资格审查</w:t>
      </w:r>
    </w:p>
    <w:p w14:paraId="14E7EE40">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开标结束后，磋商小组依法对供应商的资格进行审查。合格供应商不足3家的，不得磋商。</w:t>
      </w:r>
    </w:p>
    <w:p w14:paraId="31C0FFAB">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25.</w:t>
      </w:r>
      <w:r>
        <w:rPr>
          <w:rFonts w:hint="eastAsia" w:ascii="宋体" w:hAnsi="宋体" w:eastAsia="宋体" w:cs="宋体"/>
          <w:b/>
          <w:color w:val="auto"/>
          <w:kern w:val="0"/>
          <w:szCs w:val="21"/>
          <w:highlight w:val="none"/>
        </w:rPr>
        <w:t>磋商小组组成</w:t>
      </w:r>
    </w:p>
    <w:p w14:paraId="6FB8324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25.1 </w:t>
      </w:r>
      <w:r>
        <w:rPr>
          <w:rFonts w:hint="eastAsia" w:ascii="宋体" w:hAnsi="宋体" w:eastAsia="宋体" w:cs="宋体"/>
          <w:color w:val="auto"/>
          <w:kern w:val="0"/>
          <w:szCs w:val="21"/>
          <w:highlight w:val="none"/>
        </w:rPr>
        <w:t>采购人将依法组建磋商小组，磋商小组</w:t>
      </w:r>
      <w:r>
        <w:rPr>
          <w:rFonts w:hint="eastAsia" w:ascii="宋体" w:hAnsi="宋体" w:eastAsia="宋体" w:cs="宋体"/>
          <w:color w:val="auto"/>
          <w:highlight w:val="none"/>
        </w:rPr>
        <w:t>由采购人代表和评审专家共3人以上单数组成，其中评审专家人数不得少于竞争性磋商小组成员总数</w:t>
      </w:r>
      <w:r>
        <w:rPr>
          <w:rFonts w:hint="eastAsia" w:ascii="宋体" w:hAnsi="宋体" w:eastAsia="宋体" w:cs="宋体"/>
          <w:color w:val="auto"/>
          <w:kern w:val="0"/>
          <w:szCs w:val="21"/>
          <w:highlight w:val="none"/>
        </w:rPr>
        <w:t>的三分之二。评审专家依法从政府采购评审专家库中随机抽取。</w:t>
      </w:r>
    </w:p>
    <w:p w14:paraId="6A40629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25.1.1</w:t>
      </w:r>
      <w:r>
        <w:rPr>
          <w:rFonts w:hint="eastAsia" w:ascii="宋体" w:hAnsi="宋体" w:eastAsia="宋体" w:cs="宋体"/>
          <w:color w:val="auto"/>
          <w:kern w:val="0"/>
          <w:szCs w:val="21"/>
          <w:highlight w:val="none"/>
        </w:rPr>
        <w:t>采购人将依法组建磋商小组，磋商小组由评审专家组成，成员人数应当为</w:t>
      </w:r>
      <w:r>
        <w:rPr>
          <w:rFonts w:hint="eastAsia" w:ascii="宋体" w:hAnsi="宋体" w:eastAsia="宋体" w:cs="宋体"/>
          <w:color w:val="auto"/>
          <w:highlight w:val="none"/>
        </w:rPr>
        <w:t>3人以上单数组成</w:t>
      </w:r>
      <w:r>
        <w:rPr>
          <w:rFonts w:hint="eastAsia" w:ascii="宋体" w:hAnsi="宋体" w:eastAsia="宋体" w:cs="宋体"/>
          <w:color w:val="auto"/>
          <w:kern w:val="0"/>
          <w:szCs w:val="21"/>
          <w:highlight w:val="none"/>
        </w:rPr>
        <w:t>。评审专家依法从政府采购评审专家库中随机抽取。</w:t>
      </w:r>
    </w:p>
    <w:p w14:paraId="4A2B988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color w:val="auto"/>
          <w:kern w:val="0"/>
          <w:szCs w:val="21"/>
          <w:highlight w:val="none"/>
        </w:rPr>
        <w:t>评审专家对本单位的采购项目只能作为采购人代表参与评标。采购代理机构工作人员不得参加由本机构代理的政府采购项目的评标。</w:t>
      </w:r>
    </w:p>
    <w:p w14:paraId="2E9C978C">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25.3 </w:t>
      </w:r>
      <w:r>
        <w:rPr>
          <w:rFonts w:hint="eastAsia" w:ascii="宋体" w:hAnsi="宋体" w:eastAsia="宋体" w:cs="宋体"/>
          <w:color w:val="auto"/>
          <w:kern w:val="0"/>
          <w:szCs w:val="21"/>
          <w:highlight w:val="none"/>
        </w:rPr>
        <w:t>磋商小组成员与供应商存在下列利害关系之一的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应当回避：</w:t>
      </w:r>
    </w:p>
    <w:p w14:paraId="060D009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25.3.1</w:t>
      </w:r>
      <w:r>
        <w:rPr>
          <w:rFonts w:hint="eastAsia" w:ascii="宋体" w:hAnsi="宋体" w:eastAsia="宋体" w:cs="宋体"/>
          <w:color w:val="auto"/>
          <w:kern w:val="0"/>
          <w:szCs w:val="21"/>
          <w:highlight w:val="none"/>
        </w:rPr>
        <w:t>参加采购活动前三年内</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与供应商存在劳动关系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或者担任过供应商的董事、监事</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或者是供应商的控股股东或实际控制人；</w:t>
      </w:r>
    </w:p>
    <w:p w14:paraId="438CFB30">
      <w:pPr>
        <w:pStyle w:val="35"/>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25.3.2</w:t>
      </w:r>
      <w:r>
        <w:rPr>
          <w:rFonts w:hint="eastAsia" w:ascii="宋体" w:hAnsi="宋体" w:eastAsia="宋体" w:cs="宋体"/>
          <w:color w:val="auto"/>
          <w:kern w:val="0"/>
          <w:szCs w:val="21"/>
          <w:highlight w:val="none"/>
        </w:rPr>
        <w:t>与供应商的法定代表人或者负责人有夫妻、直系血亲、三代以内旁系血亲或者近姻</w:t>
      </w:r>
    </w:p>
    <w:p w14:paraId="3968B704">
      <w:pPr>
        <w:pStyle w:val="35"/>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亲关系；</w:t>
      </w:r>
    </w:p>
    <w:p w14:paraId="75FA0DF5">
      <w:pPr>
        <w:pStyle w:val="35"/>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25.3.3</w:t>
      </w:r>
      <w:r>
        <w:rPr>
          <w:rFonts w:hint="eastAsia" w:ascii="宋体" w:hAnsi="宋体" w:eastAsia="宋体" w:cs="宋体"/>
          <w:color w:val="auto"/>
          <w:kern w:val="0"/>
          <w:szCs w:val="21"/>
          <w:highlight w:val="none"/>
        </w:rPr>
        <w:t>与供应商有其他可能影响政府采购活动公平、公正进行的关系。</w:t>
      </w:r>
    </w:p>
    <w:p w14:paraId="5225F9B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25.4 </w:t>
      </w:r>
      <w:r>
        <w:rPr>
          <w:rFonts w:hint="eastAsia" w:ascii="宋体" w:hAnsi="宋体" w:eastAsia="宋体" w:cs="宋体"/>
          <w:color w:val="auto"/>
          <w:kern w:val="0"/>
          <w:szCs w:val="21"/>
          <w:highlight w:val="none"/>
        </w:rPr>
        <w:t>评审专家发现本人与参加采购活动的供应商有利害关系的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应当主动提出回避。采购人或者代理机构发现评审专家与参加采购活动的供应商有利害关系的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应当要求其回避。</w:t>
      </w:r>
    </w:p>
    <w:p w14:paraId="686D1631">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25.5 </w:t>
      </w:r>
      <w:r>
        <w:rPr>
          <w:rFonts w:hint="eastAsia" w:ascii="宋体" w:hAnsi="宋体" w:eastAsia="宋体" w:cs="宋体"/>
          <w:color w:val="auto"/>
          <w:kern w:val="0"/>
          <w:szCs w:val="21"/>
          <w:highlight w:val="none"/>
        </w:rPr>
        <w:t>采购人不得担任磋商小组组长。</w:t>
      </w:r>
    </w:p>
    <w:p w14:paraId="4B546235">
      <w:pPr>
        <w:pStyle w:val="35"/>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25.6 </w:t>
      </w:r>
      <w:r>
        <w:rPr>
          <w:rFonts w:hint="eastAsia" w:ascii="宋体" w:hAnsi="宋体" w:eastAsia="宋体" w:cs="宋体"/>
          <w:color w:val="auto"/>
          <w:kern w:val="0"/>
          <w:szCs w:val="21"/>
          <w:highlight w:val="none"/>
        </w:rPr>
        <w:t>磋商小组成员名单在成交结果公告前应当保密。</w:t>
      </w:r>
    </w:p>
    <w:p w14:paraId="209F5DBA">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26.</w:t>
      </w:r>
      <w:r>
        <w:rPr>
          <w:rFonts w:hint="eastAsia" w:ascii="宋体" w:hAnsi="宋体" w:eastAsia="宋体" w:cs="宋体"/>
          <w:b/>
          <w:color w:val="auto"/>
          <w:kern w:val="0"/>
          <w:szCs w:val="21"/>
          <w:highlight w:val="none"/>
        </w:rPr>
        <w:t>符合性审查</w:t>
      </w:r>
    </w:p>
    <w:p w14:paraId="53568C47">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26.1 </w:t>
      </w:r>
      <w:r>
        <w:rPr>
          <w:rFonts w:hint="eastAsia" w:ascii="宋体" w:hAnsi="宋体" w:eastAsia="宋体" w:cs="宋体"/>
          <w:color w:val="auto"/>
          <w:kern w:val="0"/>
          <w:szCs w:val="21"/>
          <w:highlight w:val="none"/>
        </w:rPr>
        <w:t>磋商小组依据有关法律法规和磋商文件的规定，对符合资格的供应商的响应文件进行符合性审查，以确定其是否满足磋商文件的实质性要求。</w:t>
      </w:r>
    </w:p>
    <w:p w14:paraId="3BB3C725">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26.2 </w:t>
      </w:r>
      <w:r>
        <w:rPr>
          <w:rFonts w:hint="eastAsia" w:ascii="宋体" w:hAnsi="宋体" w:eastAsia="宋体" w:cs="宋体"/>
          <w:color w:val="auto"/>
          <w:kern w:val="0"/>
          <w:szCs w:val="21"/>
          <w:highlight w:val="none"/>
        </w:rPr>
        <w:t>审查、评价磋商文件是否符合磋商文件的商务、技术等实质性要求。</w:t>
      </w:r>
    </w:p>
    <w:p w14:paraId="46275E01">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26.3 </w:t>
      </w:r>
      <w:r>
        <w:rPr>
          <w:rFonts w:hint="eastAsia" w:ascii="宋体" w:hAnsi="宋体" w:eastAsia="宋体" w:cs="宋体"/>
          <w:color w:val="auto"/>
          <w:kern w:val="0"/>
          <w:szCs w:val="21"/>
          <w:highlight w:val="none"/>
        </w:rPr>
        <w:t>可要求供应商对响应文件有关事项作出澄清或者说明。</w:t>
      </w:r>
    </w:p>
    <w:p w14:paraId="0C42B066">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27.</w:t>
      </w:r>
      <w:r>
        <w:rPr>
          <w:rFonts w:hint="eastAsia" w:ascii="宋体" w:hAnsi="宋体" w:eastAsia="宋体" w:cs="宋体"/>
          <w:b/>
          <w:color w:val="auto"/>
          <w:kern w:val="0"/>
          <w:szCs w:val="21"/>
          <w:highlight w:val="none"/>
        </w:rPr>
        <w:t>响应文件的澄清</w:t>
      </w:r>
    </w:p>
    <w:p w14:paraId="02E103B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27.1 </w:t>
      </w:r>
      <w:r>
        <w:rPr>
          <w:rFonts w:hint="eastAsia" w:ascii="宋体" w:hAnsi="宋体" w:eastAsia="宋体" w:cs="宋体"/>
          <w:color w:val="auto"/>
          <w:kern w:val="0"/>
          <w:szCs w:val="21"/>
          <w:highlight w:val="none"/>
        </w:rPr>
        <w:t>对于响应文件中含义不明确、同类问题表述不一致或者有明显文字和计算错误的内容，磋商小组应当以书面形式要求供应商作出必要的澄清、说明或者补正。</w:t>
      </w:r>
    </w:p>
    <w:p w14:paraId="1111C69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27.2 </w:t>
      </w:r>
      <w:r>
        <w:rPr>
          <w:rFonts w:hint="eastAsia" w:ascii="宋体" w:hAnsi="宋体" w:eastAsia="宋体" w:cs="宋体"/>
          <w:color w:val="auto"/>
          <w:kern w:val="0"/>
          <w:szCs w:val="21"/>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296D2D5E">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27.3 </w:t>
      </w:r>
      <w:r>
        <w:rPr>
          <w:rFonts w:hint="eastAsia" w:ascii="宋体" w:hAnsi="宋体" w:eastAsia="宋体" w:cs="宋体"/>
          <w:color w:val="auto"/>
          <w:kern w:val="0"/>
          <w:szCs w:val="21"/>
          <w:highlight w:val="none"/>
        </w:rPr>
        <w:t>供应商的澄清文件是其响应文件的组成部分。</w:t>
      </w:r>
    </w:p>
    <w:p w14:paraId="4BA1DC52">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28.</w:t>
      </w:r>
      <w:r>
        <w:rPr>
          <w:rFonts w:hint="eastAsia" w:ascii="宋体" w:hAnsi="宋体" w:eastAsia="宋体" w:cs="宋体"/>
          <w:b/>
          <w:color w:val="auto"/>
          <w:kern w:val="0"/>
          <w:szCs w:val="21"/>
          <w:highlight w:val="none"/>
        </w:rPr>
        <w:t>响应文件报价出现前后不一致的修正</w:t>
      </w:r>
    </w:p>
    <w:p w14:paraId="0FA1C26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28.1磋商文件中开标一览表（报价表）内容与响应文件中相应内容不一致的，以开标一览表（报价表）为准；</w:t>
      </w:r>
    </w:p>
    <w:p w14:paraId="659C1888">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28.2大写金额和小写金额不一致的，以大写金额为准；</w:t>
      </w:r>
    </w:p>
    <w:p w14:paraId="03838739">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28.3单价金额小数点或者百分比有明显错位的，以开标一览表的总价为准，并修改单价；</w:t>
      </w:r>
    </w:p>
    <w:p w14:paraId="4E625EC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kern w:val="0"/>
          <w:szCs w:val="21"/>
        </w:rPr>
      </w:pPr>
      <w:r>
        <w:rPr>
          <w:rFonts w:hint="eastAsia" w:ascii="宋体" w:hAnsi="宋体" w:eastAsia="宋体" w:cs="宋体"/>
          <w:color w:val="auto"/>
          <w:kern w:val="0"/>
          <w:sz w:val="21"/>
          <w:szCs w:val="21"/>
          <w:highlight w:val="none"/>
          <w:lang w:val="en-US" w:eastAsia="zh-CN" w:bidi="ar-SA"/>
        </w:rPr>
        <w:t>28.4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2E54F8C">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29.</w:t>
      </w:r>
      <w:r>
        <w:rPr>
          <w:rFonts w:hint="eastAsia" w:ascii="宋体" w:hAnsi="宋体" w:eastAsia="宋体" w:cs="宋体"/>
          <w:b/>
          <w:color w:val="auto"/>
          <w:kern w:val="0"/>
          <w:szCs w:val="21"/>
          <w:highlight w:val="none"/>
        </w:rPr>
        <w:t>响应无效情形</w:t>
      </w:r>
    </w:p>
    <w:p w14:paraId="2C805B5C">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vanish/>
          <w:color w:val="auto"/>
          <w:kern w:val="0"/>
          <w:sz w:val="21"/>
          <w:szCs w:val="21"/>
          <w:highlight w:val="none"/>
          <w:lang w:val="en-US" w:eastAsia="zh-CN" w:bidi="ar-SA"/>
        </w:rPr>
        <w:t xml:space="preserve">29.1 </w:t>
      </w:r>
      <w:r>
        <w:rPr>
          <w:rFonts w:hint="eastAsia" w:ascii="宋体" w:hAnsi="宋体" w:eastAsia="宋体" w:cs="宋体"/>
          <w:color w:val="auto"/>
          <w:kern w:val="0"/>
          <w:szCs w:val="21"/>
          <w:highlight w:val="none"/>
        </w:rPr>
        <w:t>响应文件</w:t>
      </w:r>
      <w:r>
        <w:rPr>
          <w:rFonts w:hint="eastAsia" w:ascii="宋体" w:hAnsi="宋体" w:eastAsia="宋体" w:cs="宋体"/>
          <w:color w:val="auto"/>
          <w:kern w:val="0"/>
          <w:szCs w:val="21"/>
          <w:highlight w:val="none"/>
          <w:lang w:eastAsia="zh-CN"/>
        </w:rPr>
        <w:t>属于</w:t>
      </w:r>
      <w:r>
        <w:rPr>
          <w:rFonts w:hint="eastAsia" w:ascii="宋体" w:hAnsi="宋体" w:eastAsia="宋体" w:cs="宋体"/>
          <w:color w:val="auto"/>
          <w:kern w:val="0"/>
          <w:szCs w:val="21"/>
          <w:highlight w:val="none"/>
        </w:rPr>
        <w:t>下列情况之一的，按照无效响应处理：</w:t>
      </w:r>
    </w:p>
    <w:p w14:paraId="5D9DF48B">
      <w:pPr>
        <w:pStyle w:val="35"/>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29.1.1</w:t>
      </w:r>
      <w:r>
        <w:rPr>
          <w:rFonts w:hint="eastAsia" w:ascii="宋体" w:hAnsi="宋体" w:eastAsia="宋体" w:cs="宋体"/>
          <w:color w:val="auto"/>
          <w:kern w:val="0"/>
          <w:szCs w:val="21"/>
          <w:highlight w:val="none"/>
        </w:rPr>
        <w:t>未按照磋商文件的规定提交《禹州市政府采购供应商信用承诺函》的；</w:t>
      </w:r>
    </w:p>
    <w:p w14:paraId="0C9BDE0B">
      <w:pPr>
        <w:pStyle w:val="35"/>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29.1.2</w:t>
      </w:r>
      <w:r>
        <w:rPr>
          <w:rFonts w:hint="eastAsia" w:ascii="宋体" w:hAnsi="宋体" w:eastAsia="宋体" w:cs="宋体"/>
          <w:color w:val="auto"/>
          <w:kern w:val="0"/>
          <w:szCs w:val="21"/>
          <w:highlight w:val="none"/>
        </w:rPr>
        <w:t>未按照磋商文件的规定提交磋商承诺函的；</w:t>
      </w:r>
    </w:p>
    <w:p w14:paraId="02C8495B">
      <w:pPr>
        <w:pStyle w:val="35"/>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29.1.3</w:t>
      </w:r>
      <w:r>
        <w:rPr>
          <w:rFonts w:hint="eastAsia" w:ascii="宋体" w:hAnsi="宋体" w:eastAsia="宋体" w:cs="宋体"/>
          <w:color w:val="auto"/>
          <w:kern w:val="0"/>
          <w:szCs w:val="21"/>
          <w:highlight w:val="none"/>
        </w:rPr>
        <w:t>响应文件未按磋商文件要求签署、盖章的；</w:t>
      </w:r>
    </w:p>
    <w:p w14:paraId="5645CFF5">
      <w:pPr>
        <w:pStyle w:val="35"/>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29.1.4</w:t>
      </w:r>
      <w:r>
        <w:rPr>
          <w:rFonts w:hint="eastAsia" w:ascii="宋体" w:hAnsi="宋体" w:eastAsia="宋体" w:cs="宋体"/>
          <w:color w:val="auto"/>
          <w:kern w:val="0"/>
          <w:szCs w:val="21"/>
          <w:highlight w:val="none"/>
        </w:rPr>
        <w:t>报价超过磋商文件中规定的预算金额的；</w:t>
      </w:r>
    </w:p>
    <w:p w14:paraId="235EDC7A">
      <w:pPr>
        <w:pStyle w:val="35"/>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29.1.5</w:t>
      </w:r>
      <w:r>
        <w:rPr>
          <w:rFonts w:hint="eastAsia" w:ascii="宋体" w:hAnsi="宋体" w:eastAsia="宋体" w:cs="宋体"/>
          <w:color w:val="auto"/>
          <w:kern w:val="0"/>
          <w:szCs w:val="21"/>
          <w:highlight w:val="none"/>
        </w:rPr>
        <w:t>响应文件含有采购人不能接受的附加条件的。</w:t>
      </w:r>
    </w:p>
    <w:p w14:paraId="74396141">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29.2 </w:t>
      </w:r>
      <w:r>
        <w:rPr>
          <w:rFonts w:hint="eastAsia" w:ascii="宋体" w:hAnsi="宋体" w:eastAsia="宋体" w:cs="宋体"/>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011955C1">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29.2.1</w:t>
      </w:r>
      <w:r>
        <w:rPr>
          <w:rFonts w:hint="eastAsia" w:ascii="宋体" w:hAnsi="宋体" w:eastAsia="宋体" w:cs="宋体"/>
          <w:color w:val="auto"/>
          <w:kern w:val="0"/>
          <w:szCs w:val="21"/>
          <w:highlight w:val="none"/>
        </w:rPr>
        <w:t>不同供应商的电子响应文件上传计算机的网卡MAC地址、CPU序列号和硬盘序列号等硬件信息相同的；</w:t>
      </w:r>
    </w:p>
    <w:p w14:paraId="66CC4836">
      <w:pPr>
        <w:pStyle w:val="35"/>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29.2.2</w:t>
      </w:r>
      <w:r>
        <w:rPr>
          <w:rFonts w:hint="eastAsia" w:ascii="宋体" w:hAnsi="宋体" w:eastAsia="宋体" w:cs="宋体"/>
          <w:color w:val="auto"/>
          <w:kern w:val="0"/>
          <w:szCs w:val="21"/>
          <w:highlight w:val="none"/>
        </w:rPr>
        <w:t>不同供应商的响应文件由同一电子设备编制、打印加密或者上传；</w:t>
      </w:r>
    </w:p>
    <w:p w14:paraId="1C204D29">
      <w:pPr>
        <w:pStyle w:val="35"/>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29.2.3</w:t>
      </w:r>
      <w:r>
        <w:rPr>
          <w:rFonts w:hint="eastAsia" w:ascii="宋体" w:hAnsi="宋体" w:eastAsia="宋体" w:cs="宋体"/>
          <w:color w:val="auto"/>
          <w:kern w:val="0"/>
          <w:szCs w:val="21"/>
          <w:highlight w:val="none"/>
        </w:rPr>
        <w:t>不同供应商的响应文件由同一电子设备打印、复印；</w:t>
      </w:r>
    </w:p>
    <w:p w14:paraId="5B5374D4">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29.2.4</w:t>
      </w:r>
      <w:r>
        <w:rPr>
          <w:rFonts w:hint="eastAsia" w:ascii="宋体" w:hAnsi="宋体" w:eastAsia="宋体" w:cs="宋体"/>
          <w:color w:val="auto"/>
          <w:kern w:val="0"/>
          <w:szCs w:val="21"/>
          <w:highlight w:val="none"/>
        </w:rPr>
        <w:t>不同供应商的响应文件由同一人送达或者分发，或者不同供应商联系人为同一人或不同联系人的联系电话一致的；</w:t>
      </w:r>
    </w:p>
    <w:p w14:paraId="6BFE9DC9">
      <w:pPr>
        <w:pStyle w:val="35"/>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29.2.5</w:t>
      </w:r>
      <w:r>
        <w:rPr>
          <w:rFonts w:hint="eastAsia" w:ascii="宋体" w:hAnsi="宋体" w:eastAsia="宋体" w:cs="宋体"/>
          <w:color w:val="auto"/>
          <w:kern w:val="0"/>
          <w:szCs w:val="21"/>
          <w:highlight w:val="none"/>
        </w:rPr>
        <w:t>不同供应商的响应文件的内容存在两处以上细节错误一致；</w:t>
      </w:r>
    </w:p>
    <w:p w14:paraId="6A3AF82B">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29.2.6</w:t>
      </w:r>
      <w:r>
        <w:rPr>
          <w:rFonts w:hint="eastAsia" w:ascii="宋体" w:hAnsi="宋体" w:eastAsia="宋体" w:cs="宋体"/>
          <w:color w:val="auto"/>
          <w:kern w:val="0"/>
          <w:szCs w:val="21"/>
          <w:highlight w:val="none"/>
        </w:rPr>
        <w:t>不同供应商的法定代表人、委托代理人、项目经理、项目负责人等由同一个单位缴纳社会保险或者领取报酬的；</w:t>
      </w:r>
    </w:p>
    <w:p w14:paraId="5F1813D7">
      <w:pPr>
        <w:pStyle w:val="35"/>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29.2.7</w:t>
      </w:r>
      <w:r>
        <w:rPr>
          <w:rFonts w:hint="eastAsia" w:ascii="宋体" w:hAnsi="宋体" w:eastAsia="宋体" w:cs="宋体"/>
          <w:color w:val="auto"/>
          <w:kern w:val="0"/>
          <w:szCs w:val="21"/>
          <w:highlight w:val="none"/>
        </w:rPr>
        <w:t>不同供应商响应文件中法定代表人或者负责人签字出自同一人之手；</w:t>
      </w:r>
    </w:p>
    <w:p w14:paraId="21A20277">
      <w:pPr>
        <w:pStyle w:val="35"/>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29.2.8</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涉嫌串通的情形。</w:t>
      </w:r>
    </w:p>
    <w:p w14:paraId="1DE8B5A8">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29.3 </w:t>
      </w:r>
      <w:r>
        <w:rPr>
          <w:rFonts w:hint="eastAsia" w:ascii="宋体" w:hAnsi="宋体" w:eastAsia="宋体" w:cs="宋体"/>
          <w:color w:val="auto"/>
          <w:kern w:val="0"/>
          <w:szCs w:val="21"/>
          <w:highlight w:val="none"/>
        </w:rPr>
        <w:t>有下列情形之一的，视为供应商串通磋商，其响应无效：</w:t>
      </w:r>
    </w:p>
    <w:p w14:paraId="4BA9D50B">
      <w:pPr>
        <w:pStyle w:val="35"/>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29.3.1</w:t>
      </w:r>
      <w:r>
        <w:rPr>
          <w:rFonts w:hint="eastAsia" w:ascii="宋体" w:hAnsi="宋体" w:eastAsia="宋体" w:cs="宋体"/>
          <w:color w:val="auto"/>
          <w:kern w:val="0"/>
          <w:szCs w:val="21"/>
          <w:highlight w:val="none"/>
        </w:rPr>
        <w:t>不同供应商的响应文件由同一单位或者个人编制；</w:t>
      </w:r>
    </w:p>
    <w:p w14:paraId="2296081F">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29.3.2</w:t>
      </w:r>
      <w:r>
        <w:rPr>
          <w:rFonts w:hint="eastAsia" w:ascii="宋体" w:hAnsi="宋体" w:eastAsia="宋体" w:cs="宋体"/>
          <w:color w:val="auto"/>
          <w:kern w:val="0"/>
          <w:szCs w:val="21"/>
          <w:highlight w:val="none"/>
        </w:rPr>
        <w:t>不同供应商委托同一单位或者个人办理响应事宜；</w:t>
      </w:r>
    </w:p>
    <w:p w14:paraId="7BC6ED07">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29.3.3</w:t>
      </w:r>
      <w:r>
        <w:rPr>
          <w:rFonts w:hint="eastAsia" w:ascii="宋体" w:hAnsi="宋体" w:eastAsia="宋体" w:cs="宋体"/>
          <w:color w:val="auto"/>
          <w:kern w:val="0"/>
          <w:szCs w:val="21"/>
          <w:highlight w:val="none"/>
        </w:rPr>
        <w:t>不同供应商的响应文件载明的项目管理成员或者联系人员为同一人；</w:t>
      </w:r>
    </w:p>
    <w:p w14:paraId="2CCEB876">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29.3.4</w:t>
      </w:r>
      <w:r>
        <w:rPr>
          <w:rFonts w:hint="eastAsia" w:ascii="宋体" w:hAnsi="宋体" w:eastAsia="宋体" w:cs="宋体"/>
          <w:color w:val="auto"/>
          <w:kern w:val="0"/>
          <w:szCs w:val="21"/>
          <w:highlight w:val="none"/>
        </w:rPr>
        <w:t>不同供应商的响应文件异常一致或者投标报价呈规律性差异；</w:t>
      </w:r>
    </w:p>
    <w:p w14:paraId="62464DDB">
      <w:pPr>
        <w:pStyle w:val="35"/>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29.3.5</w:t>
      </w:r>
      <w:r>
        <w:rPr>
          <w:rFonts w:hint="eastAsia" w:ascii="宋体" w:hAnsi="宋体" w:eastAsia="宋体" w:cs="宋体"/>
          <w:color w:val="auto"/>
          <w:kern w:val="0"/>
          <w:szCs w:val="21"/>
          <w:highlight w:val="none"/>
        </w:rPr>
        <w:t>不同供应商的响应文件相互混装。</w:t>
      </w:r>
    </w:p>
    <w:p w14:paraId="640B3C1A">
      <w:pPr>
        <w:pStyle w:val="35"/>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29.4 </w:t>
      </w:r>
      <w:r>
        <w:rPr>
          <w:rFonts w:hint="eastAsia" w:ascii="宋体" w:hAnsi="宋体" w:eastAsia="宋体" w:cs="宋体"/>
          <w:color w:val="auto"/>
          <w:highlight w:val="none"/>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5420D901">
      <w:pPr>
        <w:pStyle w:val="35"/>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29.5 </w:t>
      </w:r>
      <w:r>
        <w:rPr>
          <w:rFonts w:hint="eastAsia" w:ascii="宋体" w:hAnsi="宋体" w:eastAsia="宋体" w:cs="宋体"/>
          <w:color w:val="auto"/>
          <w:kern w:val="0"/>
          <w:szCs w:val="21"/>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206C408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29.6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0928B19C">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29.7 法律法规</w:t>
      </w:r>
      <w:r>
        <w:rPr>
          <w:rFonts w:hint="eastAsia" w:ascii="宋体" w:hAnsi="宋体" w:eastAsia="宋体" w:cs="宋体"/>
          <w:color w:val="auto"/>
          <w:kern w:val="0"/>
          <w:szCs w:val="21"/>
          <w:highlight w:val="none"/>
        </w:rPr>
        <w:t>和响应文件规定的其他无效情形。</w:t>
      </w:r>
    </w:p>
    <w:p w14:paraId="7A2FE6E2">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30.</w:t>
      </w:r>
      <w:r>
        <w:rPr>
          <w:rFonts w:hint="eastAsia" w:ascii="宋体" w:hAnsi="宋体" w:eastAsia="宋体" w:cs="宋体"/>
          <w:b/>
          <w:color w:val="auto"/>
          <w:kern w:val="0"/>
          <w:szCs w:val="21"/>
          <w:highlight w:val="none"/>
        </w:rPr>
        <w:t>响应文件评审与评价</w:t>
      </w:r>
    </w:p>
    <w:p w14:paraId="3905D63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磋商小组按照磋商文件中规定的评标方法和标准，对符合性审查合格的响应文件进行商务和技术评估，综合比较与评价。</w:t>
      </w:r>
    </w:p>
    <w:p w14:paraId="219D0F15">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31.</w:t>
      </w:r>
      <w:r>
        <w:rPr>
          <w:rFonts w:hint="eastAsia" w:ascii="宋体" w:hAnsi="宋体" w:eastAsia="宋体" w:cs="宋体"/>
          <w:b/>
          <w:color w:val="auto"/>
          <w:kern w:val="0"/>
          <w:szCs w:val="21"/>
          <w:highlight w:val="none"/>
        </w:rPr>
        <w:t>评标方法、评标标准</w:t>
      </w:r>
    </w:p>
    <w:p w14:paraId="44E3E2AF">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31.1 </w:t>
      </w:r>
      <w:r>
        <w:rPr>
          <w:rFonts w:hint="eastAsia" w:ascii="宋体" w:hAnsi="宋体" w:eastAsia="宋体" w:cs="宋体"/>
          <w:color w:val="auto"/>
          <w:kern w:val="0"/>
          <w:szCs w:val="21"/>
          <w:highlight w:val="none"/>
        </w:rPr>
        <w:t>评标方法分为综合评分法。</w:t>
      </w:r>
    </w:p>
    <w:p w14:paraId="683CA414">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31.1.1</w:t>
      </w:r>
      <w:r>
        <w:rPr>
          <w:rFonts w:hint="eastAsia" w:ascii="宋体" w:hAnsi="宋体" w:eastAsia="宋体" w:cs="宋体"/>
          <w:color w:val="auto"/>
          <w:kern w:val="0"/>
          <w:szCs w:val="21"/>
          <w:highlight w:val="none"/>
        </w:rPr>
        <w:t>综合评分法，是指响应文件满足磋商文件全部实质性要求，且按照评审因素的量化指标评审得分最高的供应商为成交候选人的评标方法。</w:t>
      </w:r>
    </w:p>
    <w:p w14:paraId="2CFA6E4C">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31.2 </w:t>
      </w:r>
      <w:r>
        <w:rPr>
          <w:rFonts w:hint="eastAsia" w:ascii="宋体" w:hAnsi="宋体" w:eastAsia="宋体" w:cs="宋体"/>
          <w:color w:val="auto"/>
          <w:kern w:val="0"/>
          <w:szCs w:val="21"/>
          <w:highlight w:val="none"/>
        </w:rPr>
        <w:t>价格分</w:t>
      </w:r>
    </w:p>
    <w:p w14:paraId="33008BD9">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31.2.1</w:t>
      </w:r>
      <w:r>
        <w:rPr>
          <w:rFonts w:hint="eastAsia" w:ascii="宋体" w:hAnsi="宋体" w:eastAsia="宋体" w:cs="宋体"/>
          <w:color w:val="auto"/>
          <w:kern w:val="0"/>
          <w:szCs w:val="21"/>
          <w:highlight w:val="none"/>
        </w:rPr>
        <w:t>价格分采用低价优先法计算，即满足磋商文件要求且最后报价最低的供应商的价格为磋商基准价，其价格分为满分。其他供应商的价格分统一按照下列公式计算：</w:t>
      </w:r>
    </w:p>
    <w:p w14:paraId="0D5D6927">
      <w:pPr>
        <w:autoSpaceDE w:val="0"/>
        <w:autoSpaceDN w:val="0"/>
        <w:spacing w:line="360" w:lineRule="auto"/>
        <w:ind w:firstLine="420" w:firstLineChars="200"/>
        <w:contextualSpacing/>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磋商报价得分=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磋商基准价/最后磋商报价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30</w:t>
      </w:r>
    </w:p>
    <w:p w14:paraId="6624EE42">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31.2.2</w:t>
      </w:r>
      <w:r>
        <w:rPr>
          <w:rFonts w:hint="eastAsia" w:ascii="宋体" w:hAnsi="宋体" w:eastAsia="宋体" w:cs="宋体"/>
          <w:color w:val="auto"/>
          <w:kern w:val="0"/>
          <w:szCs w:val="21"/>
          <w:highlight w:val="none"/>
        </w:rPr>
        <w:t>评审过程中，不得去掉最后报价中的最高报价和最低报价。</w:t>
      </w:r>
    </w:p>
    <w:p w14:paraId="2FA44866">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31.2.3</w:t>
      </w:r>
      <w:r>
        <w:rPr>
          <w:rFonts w:hint="eastAsia" w:ascii="宋体" w:hAnsi="宋体" w:eastAsia="宋体" w:cs="宋体"/>
          <w:color w:val="auto"/>
          <w:kern w:val="0"/>
          <w:szCs w:val="21"/>
          <w:highlight w:val="none"/>
        </w:rPr>
        <w:t>因落实政府采购政策进行价格调整的，以调整后的价格计算磋商基准价和磋商报价。</w:t>
      </w:r>
    </w:p>
    <w:p w14:paraId="6989E532">
      <w:pPr>
        <w:pStyle w:val="35"/>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31.3 </w:t>
      </w:r>
      <w:r>
        <w:rPr>
          <w:rFonts w:hint="eastAsia" w:ascii="宋体" w:hAnsi="宋体" w:eastAsia="宋体" w:cs="宋体"/>
          <w:color w:val="auto"/>
          <w:kern w:val="0"/>
          <w:szCs w:val="21"/>
          <w:highlight w:val="none"/>
        </w:rPr>
        <w:t>本次磋商具体磋商方法、磋商标准见（第六章 对响应文件审查与评审）。</w:t>
      </w:r>
    </w:p>
    <w:p w14:paraId="69C3E2F9">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31.3异常低价审查。</w:t>
      </w:r>
    </w:p>
    <w:p w14:paraId="17B017FE">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31.3.1评审中出现下列情形之一的，磋商小组应当启动异常低价投标审查程序：</w:t>
      </w:r>
    </w:p>
    <w:p w14:paraId="11A38AA1">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（1）投标（响应）报价低于全部通过符合性审查供应商投标（响应）报价平均值50%的，即投标（响应）报价〈全部通过符合性审查供应商投标（响应）报价平均值×50%；</w:t>
      </w:r>
    </w:p>
    <w:p w14:paraId="6A972132">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（2）投标（响应）报价低于通过符合性审查的次低报价供应商投标（响应）报价50%的，即投标（响应）报价〈通过符合性审查的次低报价供应商投标（响应）报价×50%；</w:t>
      </w:r>
    </w:p>
    <w:p w14:paraId="6D96C1C9">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（3）投标（响应）报价低于采购项目最高限价45%的，即投标（响应）报价〈采购项目最高限价×45%；</w:t>
      </w:r>
    </w:p>
    <w:p w14:paraId="6FA27228">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（4）磋商小组基于专业判断，认为供应商报价过低，有可能影响产品质量或者不能诚信履约的其他情形。</w:t>
      </w:r>
    </w:p>
    <w:p w14:paraId="3E81EDAE">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35"/>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31.3.2磋商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434FA580">
      <w:pPr>
        <w:pStyle w:val="35"/>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31.3.3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投标处理。</w:t>
      </w:r>
    </w:p>
    <w:p w14:paraId="156FB3C8">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32.</w:t>
      </w:r>
      <w:r>
        <w:rPr>
          <w:rFonts w:hint="eastAsia" w:ascii="宋体" w:hAnsi="宋体" w:eastAsia="宋体" w:cs="宋体"/>
          <w:b/>
          <w:color w:val="auto"/>
          <w:kern w:val="0"/>
          <w:szCs w:val="21"/>
          <w:highlight w:val="none"/>
        </w:rPr>
        <w:t>磋商</w:t>
      </w:r>
    </w:p>
    <w:p w14:paraId="207B4BA9">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0"/>
          <w:szCs w:val="21"/>
          <w:highlight w:val="none"/>
        </w:rPr>
        <w:t>磋商小组与通过符合性审查合格的响应文件，即实质性响应磋商文件的供应商分别进行</w:t>
      </w:r>
    </w:p>
    <w:p w14:paraId="44312754">
      <w:pPr>
        <w:pStyle w:val="35"/>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w:t>
      </w:r>
    </w:p>
    <w:p w14:paraId="7C452D41">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32.2 </w:t>
      </w:r>
      <w:r>
        <w:rPr>
          <w:rFonts w:hint="eastAsia" w:ascii="宋体" w:hAnsi="宋体" w:eastAsia="宋体" w:cs="宋体"/>
          <w:color w:val="auto"/>
          <w:kern w:val="0"/>
          <w:szCs w:val="21"/>
          <w:highlight w:val="none"/>
        </w:rPr>
        <w:t>磋商小组所有成员应当集中与单一供应商分别进行磋商，并给予所有参加磋商的供应商</w:t>
      </w:r>
    </w:p>
    <w:p w14:paraId="22EDCD94">
      <w:pPr>
        <w:pStyle w:val="35"/>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平等的磋商机会。</w:t>
      </w:r>
    </w:p>
    <w:p w14:paraId="60F57DB6">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32.3 </w:t>
      </w:r>
      <w:r>
        <w:rPr>
          <w:rFonts w:hint="eastAsia" w:ascii="宋体" w:hAnsi="宋体" w:eastAsia="宋体" w:cs="宋体"/>
          <w:color w:val="auto"/>
          <w:kern w:val="0"/>
          <w:szCs w:val="21"/>
          <w:highlight w:val="none"/>
        </w:rPr>
        <w:t>在磋商中，磋商的任何一方不得透露与磋商有关的其他供应商的技术资料、价格和其他</w:t>
      </w:r>
    </w:p>
    <w:p w14:paraId="089892A7">
      <w:pPr>
        <w:pStyle w:val="35"/>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信息。</w:t>
      </w:r>
    </w:p>
    <w:p w14:paraId="4AE6FABF">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32.4 </w:t>
      </w:r>
      <w:r>
        <w:rPr>
          <w:rFonts w:hint="eastAsia" w:ascii="宋体" w:hAnsi="宋体" w:eastAsia="宋体" w:cs="宋体"/>
          <w:color w:val="auto"/>
          <w:kern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15A8B2B4">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32.5 </w:t>
      </w:r>
      <w:r>
        <w:rPr>
          <w:rFonts w:hint="eastAsia" w:ascii="宋体" w:hAnsi="宋体" w:eastAsia="宋体" w:cs="宋体"/>
          <w:color w:val="auto"/>
          <w:kern w:val="0"/>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59DA522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32.6 </w:t>
      </w:r>
      <w:r>
        <w:rPr>
          <w:rFonts w:hint="eastAsia" w:ascii="宋体" w:hAnsi="宋体" w:eastAsia="宋体" w:cs="宋体"/>
          <w:color w:val="auto"/>
          <w:kern w:val="0"/>
          <w:szCs w:val="21"/>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BD612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32.7 </w:t>
      </w:r>
      <w:r>
        <w:rPr>
          <w:rFonts w:hint="eastAsia" w:ascii="宋体" w:hAnsi="宋体" w:eastAsia="宋体" w:cs="宋体"/>
          <w:color w:val="auto"/>
          <w:kern w:val="0"/>
          <w:szCs w:val="21"/>
          <w:highlight w:val="none"/>
        </w:rPr>
        <w:t>如磋商中出现符合《财政部关于政府采购竞争性磋商采购方式管理暂行办法有关问题的补充通知》（财库〔2015〕124号）中的情形，则按财政部通知要求执行。</w:t>
      </w:r>
    </w:p>
    <w:p w14:paraId="5F8A4322">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 xml:space="preserve">32.8 </w:t>
      </w:r>
      <w:r>
        <w:rPr>
          <w:rFonts w:hint="eastAsia" w:ascii="宋体" w:hAnsi="宋体" w:eastAsia="宋体" w:cs="宋体"/>
          <w:color w:val="auto"/>
          <w:kern w:val="0"/>
          <w:szCs w:val="21"/>
          <w:highlight w:val="none"/>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auto"/>
          <w:kern w:val="0"/>
          <w:szCs w:val="21"/>
          <w:highlight w:val="none"/>
          <w:lang w:eastAsia="zh-CN"/>
        </w:rPr>
        <w:t>。</w:t>
      </w:r>
    </w:p>
    <w:p w14:paraId="7D14EAF8">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32.9 </w:t>
      </w:r>
      <w:r>
        <w:rPr>
          <w:rFonts w:hint="eastAsia" w:ascii="宋体" w:hAnsi="宋体" w:eastAsia="宋体" w:cs="宋体"/>
          <w:color w:val="auto"/>
          <w:kern w:val="0"/>
          <w:szCs w:val="21"/>
          <w:highlight w:val="none"/>
        </w:rPr>
        <w:t>已提交响应文件的供应商，在提交最后报价之前，可以根据磋商情况退出磋商。</w:t>
      </w:r>
    </w:p>
    <w:p w14:paraId="1455D016">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32.10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）规定，评审专家应严格按照要求查看“硬件特征码相”关信息并进行评审。</w:t>
      </w:r>
    </w:p>
    <w:p w14:paraId="53D53ACC">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33.</w:t>
      </w:r>
      <w:r>
        <w:rPr>
          <w:rFonts w:hint="eastAsia" w:ascii="宋体" w:hAnsi="宋体" w:eastAsia="宋体" w:cs="宋体"/>
          <w:b/>
          <w:color w:val="auto"/>
          <w:kern w:val="0"/>
          <w:szCs w:val="21"/>
          <w:highlight w:val="none"/>
        </w:rPr>
        <w:t>推荐成交候选人</w:t>
      </w:r>
    </w:p>
    <w:p w14:paraId="78A50D77">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33.1 </w:t>
      </w:r>
      <w:r>
        <w:rPr>
          <w:rFonts w:hint="eastAsia" w:ascii="宋体" w:hAnsi="宋体" w:eastAsia="宋体" w:cs="宋体"/>
          <w:color w:val="auto"/>
          <w:szCs w:val="21"/>
          <w:highlight w:val="none"/>
          <w:shd w:val="clear" w:color="auto" w:fill="FFFFFF"/>
        </w:rPr>
        <w:t>磋商小组应当根据综合评分情况，按照评审得分由高到低顺序推荐3名以上成交候选供应商，并编写评审报告。符合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5C7741D2">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33.2 </w:t>
      </w: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3F355D">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34.</w:t>
      </w:r>
      <w:r>
        <w:rPr>
          <w:rFonts w:hint="eastAsia" w:ascii="宋体" w:hAnsi="宋体" w:eastAsia="宋体" w:cs="宋体"/>
          <w:b/>
          <w:color w:val="auto"/>
          <w:kern w:val="0"/>
          <w:szCs w:val="21"/>
          <w:highlight w:val="none"/>
        </w:rPr>
        <w:t>保密</w:t>
      </w:r>
    </w:p>
    <w:p w14:paraId="5508F2B0">
      <w:pPr>
        <w:pStyle w:val="35"/>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34.1 </w:t>
      </w:r>
      <w:r>
        <w:rPr>
          <w:rFonts w:hint="eastAsia" w:ascii="宋体" w:hAnsi="宋体" w:eastAsia="宋体" w:cs="宋体"/>
          <w:color w:val="auto"/>
          <w:kern w:val="0"/>
          <w:szCs w:val="21"/>
          <w:highlight w:val="none"/>
        </w:rPr>
        <w:t>评审专家应当遵守评审工作纪律，不得泄露评审文件、评审情况和评审中获悉的商业秘</w:t>
      </w:r>
    </w:p>
    <w:p w14:paraId="128A521E">
      <w:pPr>
        <w:pStyle w:val="35"/>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密。</w:t>
      </w:r>
    </w:p>
    <w:p w14:paraId="1466050D">
      <w:pPr>
        <w:pStyle w:val="35"/>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34.2 </w:t>
      </w:r>
      <w:r>
        <w:rPr>
          <w:rFonts w:hint="eastAsia" w:ascii="宋体" w:hAnsi="宋体" w:eastAsia="宋体" w:cs="宋体"/>
          <w:color w:val="auto"/>
          <w:kern w:val="0"/>
          <w:szCs w:val="21"/>
          <w:highlight w:val="none"/>
        </w:rPr>
        <w:t>采购人、采购代理机构应当采取必要措施，保证评标在严格保密的情况下进行。有关人员对评审情况以及在评审过程中获悉的国家秘密、商业秘密负有保密责任。</w:t>
      </w:r>
    </w:p>
    <w:p w14:paraId="28B3D238">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六、定标和授予合同</w:t>
      </w:r>
    </w:p>
    <w:p w14:paraId="37527E3B">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35.</w:t>
      </w:r>
      <w:r>
        <w:rPr>
          <w:rFonts w:hint="eastAsia" w:ascii="宋体" w:hAnsi="宋体" w:eastAsia="宋体" w:cs="宋体"/>
          <w:b/>
          <w:color w:val="auto"/>
          <w:kern w:val="0"/>
          <w:szCs w:val="21"/>
          <w:highlight w:val="none"/>
        </w:rPr>
        <w:t>确定成交人</w:t>
      </w:r>
    </w:p>
    <w:p w14:paraId="1D65394D">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35.1 </w:t>
      </w:r>
      <w:r>
        <w:rPr>
          <w:rFonts w:hint="eastAsia" w:ascii="宋体" w:hAnsi="宋体" w:eastAsia="宋体" w:cs="宋体"/>
          <w:color w:val="auto"/>
          <w:kern w:val="0"/>
          <w:szCs w:val="21"/>
          <w:highlight w:val="none"/>
        </w:rPr>
        <w:t>采购人应当自收到评标报告之日起1个工作日内，在评标报告确定的成交候选人名单中按顺序确定成交人（核验成交供应商由《禹州市政府采购供应商信用承诺函》替代的证明材料）。</w:t>
      </w:r>
    </w:p>
    <w:p w14:paraId="3232DC7C">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35.2 </w:t>
      </w:r>
      <w:r>
        <w:rPr>
          <w:rFonts w:hint="eastAsia" w:ascii="宋体" w:hAnsi="宋体" w:eastAsia="宋体" w:cs="宋体"/>
          <w:color w:val="auto"/>
          <w:kern w:val="0"/>
          <w:szCs w:val="21"/>
          <w:highlight w:val="none"/>
        </w:rPr>
        <w:t>采购人在收到评标报告1个工作日内未按评标报告推荐的成交候选人顺序确定成交人，又不能说明合法理由的，视同按评标报告推荐的顺序确定排名第一的成交候选人为成交人。</w:t>
      </w:r>
    </w:p>
    <w:p w14:paraId="339102EE">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36.</w:t>
      </w:r>
      <w:r>
        <w:rPr>
          <w:rFonts w:hint="eastAsia" w:ascii="宋体" w:hAnsi="宋体" w:eastAsia="宋体" w:cs="宋体"/>
          <w:b/>
          <w:color w:val="auto"/>
          <w:kern w:val="0"/>
          <w:szCs w:val="21"/>
          <w:highlight w:val="none"/>
        </w:rPr>
        <w:t>成交公告、发出成交通知书</w:t>
      </w:r>
    </w:p>
    <w:p w14:paraId="49D2ED56">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36.1 </w:t>
      </w:r>
      <w:r>
        <w:rPr>
          <w:rFonts w:hint="eastAsia" w:ascii="宋体" w:hAnsi="宋体" w:eastAsia="宋体" w:cs="宋体"/>
          <w:color w:val="auto"/>
          <w:kern w:val="0"/>
          <w:szCs w:val="21"/>
          <w:highlight w:val="none"/>
        </w:rPr>
        <w:t>采购</w:t>
      </w:r>
      <w:r>
        <w:rPr>
          <w:rFonts w:hint="eastAsia" w:ascii="宋体" w:hAnsi="宋体" w:eastAsia="宋体" w:cs="宋体"/>
          <w:color w:val="auto"/>
          <w:kern w:val="0"/>
          <w:szCs w:val="21"/>
          <w:highlight w:val="none"/>
          <w:lang w:eastAsia="zh-CN"/>
        </w:rPr>
        <w:t>人在</w:t>
      </w:r>
      <w:r>
        <w:rPr>
          <w:rFonts w:hint="eastAsia" w:ascii="宋体" w:hAnsi="宋体" w:eastAsia="宋体" w:cs="宋体"/>
          <w:color w:val="auto"/>
          <w:kern w:val="0"/>
          <w:szCs w:val="21"/>
          <w:highlight w:val="none"/>
        </w:rPr>
        <w:t>确认成交人后公告成交结果的同时，向成交人发出成交通知书。</w:t>
      </w:r>
    </w:p>
    <w:p w14:paraId="33C228D7">
      <w:pPr>
        <w:pStyle w:val="35"/>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36.2 </w:t>
      </w:r>
      <w:r>
        <w:rPr>
          <w:rFonts w:hint="eastAsia" w:ascii="宋体" w:hAnsi="宋体" w:eastAsia="宋体" w:cs="宋体"/>
          <w:color w:val="auto"/>
          <w:kern w:val="0"/>
          <w:szCs w:val="21"/>
          <w:highlight w:val="none"/>
        </w:rPr>
        <w:t>成交通知书发出后，采购人不得违法改变成交结果，成交人无正当理由不得放弃成交。</w:t>
      </w:r>
    </w:p>
    <w:p w14:paraId="61ED8039">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37.</w:t>
      </w:r>
      <w:r>
        <w:rPr>
          <w:rFonts w:hint="eastAsia" w:ascii="宋体" w:hAnsi="宋体" w:eastAsia="宋体" w:cs="宋体"/>
          <w:b/>
          <w:color w:val="auto"/>
          <w:kern w:val="0"/>
          <w:szCs w:val="21"/>
          <w:highlight w:val="none"/>
        </w:rPr>
        <w:t>质疑提出与答复</w:t>
      </w:r>
    </w:p>
    <w:p w14:paraId="25FEFA6E">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37.1 </w:t>
      </w:r>
      <w:r>
        <w:rPr>
          <w:rFonts w:hint="eastAsia" w:ascii="宋体" w:hAnsi="宋体" w:eastAsia="宋体" w:cs="宋体"/>
          <w:color w:val="auto"/>
          <w:kern w:val="0"/>
          <w:szCs w:val="21"/>
          <w:highlight w:val="none"/>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86046C3">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37.1.1</w:t>
      </w:r>
      <w:r>
        <w:rPr>
          <w:rFonts w:hint="eastAsia" w:ascii="宋体" w:hAnsi="宋体" w:eastAsia="宋体" w:cs="宋体"/>
          <w:color w:val="auto"/>
          <w:kern w:val="0"/>
          <w:szCs w:val="21"/>
          <w:highlight w:val="none"/>
        </w:rPr>
        <w:t>对采购文件提出质疑的，潜在供应商</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auto"/>
          <w:kern w:val="0"/>
          <w:szCs w:val="21"/>
          <w:highlight w:val="none"/>
          <w:lang w:eastAsia="zh-CN"/>
        </w:rPr>
        <w:t>昌市</w:t>
      </w:r>
      <w:r>
        <w:rPr>
          <w:rFonts w:hint="eastAsia" w:ascii="宋体" w:hAnsi="宋体" w:eastAsia="宋体" w:cs="宋体"/>
          <w:color w:val="auto"/>
          <w:kern w:val="0"/>
          <w:szCs w:val="21"/>
          <w:highlight w:val="none"/>
        </w:rPr>
        <w:t>公共资源交易系统一次性提出，逾期提交或未按照要求提交的质疑函将不予受理。质疑提出后潜在投标人应及时联系招标公告中集采机构联系人查看。</w:t>
      </w:r>
    </w:p>
    <w:p w14:paraId="0F4A5A85">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37.1.2</w:t>
      </w:r>
      <w:r>
        <w:rPr>
          <w:rFonts w:hint="eastAsia" w:ascii="宋体" w:hAnsi="宋体" w:eastAsia="宋体" w:cs="宋体"/>
          <w:color w:val="auto"/>
          <w:kern w:val="0"/>
          <w:szCs w:val="21"/>
          <w:highlight w:val="none"/>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24D257EA">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37.1.3</w:t>
      </w:r>
      <w:r>
        <w:rPr>
          <w:rFonts w:hint="eastAsia" w:ascii="宋体" w:hAnsi="宋体" w:eastAsia="宋体" w:cs="宋体"/>
          <w:color w:val="auto"/>
          <w:kern w:val="0"/>
          <w:szCs w:val="21"/>
          <w:highlight w:val="none"/>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057DB3E0">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37.2 </w:t>
      </w:r>
      <w:r>
        <w:rPr>
          <w:rFonts w:hint="eastAsia" w:ascii="宋体" w:hAnsi="宋体" w:eastAsia="宋体" w:cs="宋体"/>
          <w:color w:val="auto"/>
          <w:kern w:val="0"/>
          <w:szCs w:val="21"/>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267313C6">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37.2.1</w:t>
      </w:r>
      <w:r>
        <w:rPr>
          <w:rFonts w:hint="eastAsia" w:ascii="宋体" w:hAnsi="宋体" w:eastAsia="宋体" w:cs="宋体"/>
          <w:color w:val="auto"/>
          <w:kern w:val="0"/>
          <w:szCs w:val="21"/>
          <w:highlight w:val="none"/>
        </w:rPr>
        <w:t>对磋商文件提出的质疑，依法通过澄清或者修改可以继续开展采购活动的，澄清或者修改磋商文件后继续开展采购活动；否则应当修改磋商文件后重新开展采购活动。</w:t>
      </w:r>
    </w:p>
    <w:p w14:paraId="73901009">
      <w:pPr>
        <w:pStyle w:val="35"/>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37.2.2</w:t>
      </w:r>
      <w:r>
        <w:rPr>
          <w:rFonts w:hint="eastAsia" w:ascii="宋体" w:hAnsi="宋体" w:eastAsia="宋体" w:cs="宋体"/>
          <w:color w:val="auto"/>
          <w:kern w:val="0"/>
          <w:szCs w:val="21"/>
          <w:highlight w:val="none"/>
        </w:rPr>
        <w:t>对采购过程、成交结果提出的质疑，合格供应商符合法定数量时，可以从合格的成交候选人中另行确定成交供应商的，应当依法另行确定成交供应商；否则应当重新开展采购活动。</w:t>
      </w:r>
    </w:p>
    <w:p w14:paraId="382ACF1C">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38.</w:t>
      </w:r>
      <w:r>
        <w:rPr>
          <w:rFonts w:hint="eastAsia" w:ascii="宋体" w:hAnsi="宋体" w:eastAsia="宋体" w:cs="宋体"/>
          <w:b/>
          <w:color w:val="auto"/>
          <w:kern w:val="0"/>
          <w:szCs w:val="21"/>
          <w:highlight w:val="none"/>
        </w:rPr>
        <w:t>签订合同与备案</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3124A0D1">
      <w:pPr>
        <w:pStyle w:val="35"/>
        <w:numPr>
          <w:ilvl w:val="0"/>
          <w:numId w:val="0"/>
        </w:numPr>
        <w:autoSpaceDE w:val="0"/>
        <w:autoSpaceDN w:val="0"/>
        <w:spacing w:line="360" w:lineRule="auto"/>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39.</w:t>
      </w:r>
      <w:r>
        <w:rPr>
          <w:rFonts w:hint="eastAsia" w:ascii="宋体" w:hAnsi="宋体" w:eastAsia="宋体" w:cs="宋体"/>
          <w:b/>
          <w:color w:val="auto"/>
          <w:kern w:val="0"/>
          <w:szCs w:val="21"/>
          <w:highlight w:val="none"/>
        </w:rPr>
        <w:t>履约保证金</w:t>
      </w:r>
    </w:p>
    <w:p w14:paraId="4ED8944D">
      <w:pPr>
        <w:pStyle w:val="35"/>
        <w:numPr>
          <w:ilvl w:val="0"/>
          <w:numId w:val="0"/>
        </w:numPr>
        <w:autoSpaceDE w:val="0"/>
        <w:autoSpaceDN w:val="0"/>
        <w:spacing w:line="360" w:lineRule="auto"/>
        <w:ind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“供应商须知前附表”中规定成交人提交履约保证金的，成交人应当以支票、汇票、本票或者金融机构、担保机构出具的保函等非现金形式向采购人提交。履约保证金的数额不得超过政府采购合同金额的10%。</w:t>
      </w:r>
    </w:p>
    <w:p w14:paraId="43E80667">
      <w:pPr>
        <w:pStyle w:val="35"/>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lang w:val="en-US" w:eastAsia="zh-CN"/>
        </w:rPr>
        <w:t>40.</w:t>
      </w:r>
      <w:r>
        <w:rPr>
          <w:rFonts w:hint="eastAsia" w:ascii="宋体" w:hAnsi="宋体" w:eastAsia="宋体" w:cs="宋体"/>
          <w:b/>
          <w:color w:val="auto"/>
          <w:kern w:val="0"/>
          <w:szCs w:val="21"/>
          <w:highlight w:val="none"/>
        </w:rPr>
        <w:t>政府采购合同融资</w:t>
      </w:r>
    </w:p>
    <w:p w14:paraId="0D29D631">
      <w:pPr>
        <w:pStyle w:val="35"/>
        <w:wordWrap w:val="0"/>
        <w:topLinePunct/>
        <w:autoSpaceDE w:val="0"/>
        <w:autoSpaceDN w:val="0"/>
        <w:adjustRightInd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.1缓解中小企业融资难题</w:t>
      </w:r>
    </w:p>
    <w:p w14:paraId="078F99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.2合作金融机构（排名不分先后）</w:t>
      </w:r>
    </w:p>
    <w:p w14:paraId="047A6A12">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336EA35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3387B30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.3“许昌市政府采购合同融资金融产品推介名录”链接</w:t>
      </w:r>
    </w:p>
    <w:p w14:paraId="3649A659">
      <w:pPr>
        <w:autoSpaceDE w:val="0"/>
        <w:autoSpaceDN w:val="0"/>
        <w:spacing w:line="360" w:lineRule="auto"/>
        <w:ind w:left="964"/>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文件未尽事项，以法律法规规定的为准。</w:t>
      </w:r>
    </w:p>
    <w:p w14:paraId="7727749A">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31E23AF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564FF08C">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7B69434B">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0B85B6E2">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65F5B61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F77532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第五章 政府采购政策功能</w:t>
      </w:r>
    </w:p>
    <w:p w14:paraId="6F5BC40E">
      <w:pPr>
        <w:pStyle w:val="9"/>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3ABB0843">
      <w:pPr>
        <w:pStyle w:val="9"/>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2685A212">
      <w:pPr>
        <w:pStyle w:val="9"/>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（财库〔2019〕18号）以及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《关于印发节能产品政府采购品目清单的通知》（财库〔2019〕19号）</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984B9DC">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二、促进中小企业发展（不含民办非企业）</w:t>
      </w:r>
    </w:p>
    <w:p w14:paraId="2B133F99">
      <w:pPr>
        <w:topLinePunct/>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（一）</w:t>
      </w:r>
      <w:r>
        <w:rPr>
          <w:rFonts w:hint="eastAsia" w:ascii="宋体" w:hAnsi="宋体" w:eastAsia="宋体" w:cs="宋体"/>
          <w:color w:val="auto"/>
          <w:szCs w:val="21"/>
          <w:highlight w:val="none"/>
          <w:lang w:val="en-US" w:eastAsia="zh-CN"/>
        </w:rPr>
        <w:t>本项目专门面向中小微企业采购（不再执行价格评审优惠的扶持政策）</w:t>
      </w:r>
    </w:p>
    <w:p w14:paraId="648C8BCF">
      <w:pPr>
        <w:topLinePunct/>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（二）非</w:t>
      </w:r>
      <w:r>
        <w:rPr>
          <w:rFonts w:hint="eastAsia" w:ascii="宋体" w:hAnsi="宋体" w:eastAsia="宋体" w:cs="宋体"/>
          <w:color w:val="auto"/>
          <w:szCs w:val="21"/>
          <w:highlight w:val="none"/>
          <w:lang w:val="zh-CN"/>
        </w:rPr>
        <w:t>专门面向中小企业预留采购份额</w:t>
      </w:r>
    </w:p>
    <w:p w14:paraId="40CDE547">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本项目如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32206F26">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2.在货物采购项目中，供应商提供的货物既有中小企业制造货物，也有大型企业制造货物的，不享受《政府采购促进中小企业发展管理办法》（财库〔2020〕46号）规定的中小企业扶持政策。</w:t>
      </w:r>
    </w:p>
    <w:p w14:paraId="7A72D69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3.以联合体形式参加政府采购活动，联合体各方均为中小企业的，联合体视同中小企业。其中，联合体各方均为小微企业的，联合体视同小微企业。</w:t>
      </w:r>
    </w:p>
    <w:p w14:paraId="1940D3D1">
      <w:pPr>
        <w:shd w:val="clear"/>
        <w:topLinePunct/>
        <w:spacing w:line="360" w:lineRule="auto"/>
        <w:ind w:firstLine="420" w:firstLineChars="200"/>
        <w:contextualSpacing/>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w:t>
      </w:r>
    </w:p>
    <w:p w14:paraId="50A08A64">
      <w:pPr>
        <w:shd w:val="clear"/>
        <w:topLinePunct/>
        <w:spacing w:line="360" w:lineRule="auto"/>
        <w:ind w:firstLine="420" w:firstLineChars="200"/>
        <w:contextualSpacing/>
        <w:rPr>
          <w:rFonts w:hint="eastAsia" w:ascii="宋体" w:hAnsi="宋体" w:eastAsia="宋体" w:cs="宋体"/>
          <w:b/>
          <w:bCs/>
          <w:color w:val="auto"/>
          <w:sz w:val="21"/>
          <w:szCs w:val="21"/>
          <w:highlight w:val="none"/>
          <w:lang w:val="zh-CN" w:eastAsia="zh-CN"/>
        </w:rPr>
      </w:pPr>
      <w:r>
        <w:rPr>
          <w:rFonts w:hint="eastAsia" w:ascii="宋体" w:hAnsi="宋体" w:eastAsia="宋体" w:cs="宋体"/>
          <w:color w:val="auto"/>
          <w:sz w:val="21"/>
          <w:szCs w:val="21"/>
          <w:highlight w:val="none"/>
          <w:lang w:val="zh-CN" w:eastAsia="zh-CN"/>
        </w:rPr>
        <w:t>5.按照本次采购标的所属行业的划型标准，符合条件的中小企业应按照磋商文件格式要求提供《中小企业声明函》，否则不得享受相关中小企业扶持政策。</w:t>
      </w:r>
    </w:p>
    <w:p w14:paraId="6D63FD19">
      <w:pPr>
        <w:topLinePunct/>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三、支持监狱企业发展</w:t>
      </w:r>
    </w:p>
    <w:p w14:paraId="2906A4D3">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按照财政部、司法部发布的《关于政府采购支持监狱企业发展有关问题的通知》（</w:t>
      </w:r>
      <w:bookmarkStart w:id="1" w:name="OLE_LINK6"/>
      <w:r>
        <w:rPr>
          <w:rFonts w:hint="eastAsia" w:ascii="宋体" w:hAnsi="宋体" w:eastAsia="宋体" w:cs="宋体"/>
          <w:color w:val="auto"/>
          <w:szCs w:val="21"/>
          <w:highlight w:val="none"/>
          <w:lang w:val="zh-CN"/>
        </w:rPr>
        <w:t>财库〔2014〕68号</w:t>
      </w:r>
      <w:bookmarkEnd w:id="1"/>
      <w:r>
        <w:rPr>
          <w:rFonts w:hint="eastAsia" w:ascii="宋体" w:hAnsi="宋体" w:eastAsia="宋体" w:cs="宋体"/>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478DA58">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四、促进残疾人就业</w:t>
      </w:r>
    </w:p>
    <w:p w14:paraId="562E8C6E">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auto"/>
          <w:sz w:val="21"/>
          <w:szCs w:val="21"/>
          <w:highlight w:val="none"/>
        </w:rPr>
        <w:t>残疾人福利性单位属于小型、微型企业的，不重复享受政策。</w:t>
      </w:r>
    </w:p>
    <w:p w14:paraId="3A901D0D">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7468505">
      <w:pPr>
        <w:pStyle w:val="9"/>
        <w:spacing w:line="360" w:lineRule="auto"/>
        <w:ind w:firstLine="420" w:firstLineChars="200"/>
        <w:contextualSpacing/>
        <w:rPr>
          <w:rFonts w:hint="eastAsia" w:ascii="宋体" w:hAnsi="宋体" w:eastAsia="宋体" w:cs="宋体"/>
          <w:color w:val="auto"/>
          <w:szCs w:val="24"/>
          <w:highlight w:val="none"/>
          <w:lang w:val="zh-CN"/>
        </w:rPr>
      </w:pPr>
      <w:r>
        <w:rPr>
          <w:rFonts w:hint="eastAsia" w:ascii="宋体" w:hAnsi="宋体" w:eastAsia="宋体" w:cs="宋体"/>
          <w:color w:val="auto"/>
          <w:sz w:val="21"/>
          <w:szCs w:val="21"/>
          <w:highlight w:val="none"/>
          <w:lang w:val="zh-CN"/>
        </w:rPr>
        <w:t>3.中标人为残疾人福利性单位的，招标人应当随中标结果同时公告其《残疾人福利性单位声明函》，接受社会监督。</w:t>
      </w:r>
    </w:p>
    <w:p w14:paraId="478FB73A">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6A7721C9">
      <w:pPr>
        <w:pStyle w:val="9"/>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1436FC1E">
      <w:pPr>
        <w:widowControl/>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E426FAE">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对响应文件审查与评审</w:t>
      </w:r>
    </w:p>
    <w:p w14:paraId="411D993D">
      <w:pPr>
        <w:pStyle w:val="9"/>
        <w:spacing w:line="360" w:lineRule="auto"/>
        <w:ind w:firstLine="422" w:firstLineChars="200"/>
        <w:contextualSpacing/>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lang w:val="zh-CN"/>
        </w:rPr>
        <w:t>一、资格审查</w:t>
      </w:r>
    </w:p>
    <w:p w14:paraId="1CF5CCCE">
      <w:pPr>
        <w:pStyle w:val="9"/>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（一）磋商小组依法对供应商资格进行审查。确定符合资格的供应商不少于3家，将对响应文件的有效性、完整性和响应程度进行审查并对响应文件进行评审。</w:t>
      </w:r>
    </w:p>
    <w:p w14:paraId="125FEA64">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（二）资格证明材料（本栏所列内容为本项目的资格审查条件，如有一项不符合要求，则不能进入下一步评审）。</w:t>
      </w:r>
    </w:p>
    <w:p w14:paraId="44B3BDC5">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（三）资格审查中所</w:t>
      </w:r>
      <w:r>
        <w:rPr>
          <w:rFonts w:hint="eastAsia" w:ascii="宋体" w:hAnsi="宋体" w:eastAsia="宋体" w:cs="宋体"/>
          <w:bCs/>
          <w:color w:val="auto"/>
          <w:szCs w:val="21"/>
          <w:highlight w:val="none"/>
          <w:lang w:eastAsia="zh-CN"/>
        </w:rPr>
        <w:t>涉及</w:t>
      </w:r>
      <w:r>
        <w:rPr>
          <w:rFonts w:hint="eastAsia" w:ascii="宋体" w:hAnsi="宋体" w:eastAsia="宋体" w:cs="宋体"/>
          <w:bCs/>
          <w:color w:val="auto"/>
          <w:szCs w:val="21"/>
          <w:highlight w:val="none"/>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3B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7D28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6063DA3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FB8EA4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3B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2A73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5E3D32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2E4F5D0A">
            <w:pPr>
              <w:spacing w:line="360" w:lineRule="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参考磋商文件第八章3.1格式填写</w:t>
            </w:r>
          </w:p>
        </w:tc>
      </w:tr>
      <w:tr w14:paraId="105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3430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10" w:type="dxa"/>
            <w:vAlign w:val="center"/>
          </w:tcPr>
          <w:p w14:paraId="07D804B4">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禹州市政府采购</w:t>
            </w:r>
          </w:p>
          <w:p w14:paraId="45357E0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供应商信用承诺函</w:t>
            </w:r>
          </w:p>
        </w:tc>
        <w:tc>
          <w:tcPr>
            <w:tcW w:w="5954" w:type="dxa"/>
            <w:vAlign w:val="center"/>
          </w:tcPr>
          <w:p w14:paraId="6EA15CC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按照磋商文件第八章3.5格式填写</w:t>
            </w:r>
          </w:p>
        </w:tc>
      </w:tr>
      <w:tr w14:paraId="1305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0054C7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p>
        </w:tc>
        <w:tc>
          <w:tcPr>
            <w:tcW w:w="2410" w:type="dxa"/>
            <w:vAlign w:val="center"/>
          </w:tcPr>
          <w:p w14:paraId="7B9ECCF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中小企业</w:t>
            </w:r>
          </w:p>
        </w:tc>
        <w:tc>
          <w:tcPr>
            <w:tcW w:w="5954" w:type="dxa"/>
          </w:tcPr>
          <w:p w14:paraId="703F4C97">
            <w:pPr>
              <w:numPr>
                <w:ilvl w:val="0"/>
                <w:numId w:val="0"/>
              </w:num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中小企业或者残疾人福利性单位声明函或监狱企业证明文件</w:t>
            </w:r>
          </w:p>
          <w:p w14:paraId="6F824D57">
            <w:pPr>
              <w:numPr>
                <w:ilvl w:val="0"/>
                <w:numId w:val="0"/>
              </w:num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1568F92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0054562F">
            <w:pP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监狱企业提供由省级以上监狱管理局、戒毒管理局（含新疆生产建设兵团）出具的属于监狱企业的证明文件</w:t>
            </w:r>
          </w:p>
        </w:tc>
      </w:tr>
      <w:tr w14:paraId="6303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CDC6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w:t>
            </w:r>
          </w:p>
        </w:tc>
        <w:tc>
          <w:tcPr>
            <w:tcW w:w="2410" w:type="dxa"/>
            <w:vAlign w:val="center"/>
          </w:tcPr>
          <w:p w14:paraId="4DD3A6D4">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供应商须具备的特殊</w:t>
            </w:r>
          </w:p>
          <w:p w14:paraId="484F7D04">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资质证书</w:t>
            </w:r>
          </w:p>
        </w:tc>
        <w:tc>
          <w:tcPr>
            <w:tcW w:w="5954" w:type="dxa"/>
          </w:tcPr>
          <w:p w14:paraId="1181F074">
            <w:pPr>
              <w:pStyle w:val="14"/>
              <w:widowControl/>
              <w:wordWrap/>
              <w:adjustRightInd/>
              <w:snapToGrid/>
              <w:spacing w:before="0" w:beforeAutospacing="0" w:after="0" w:afterAutospacing="0" w:line="440" w:lineRule="exact"/>
              <w:ind w:right="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SA"/>
              </w:rPr>
              <w:t>详见磋商邀请</w:t>
            </w:r>
          </w:p>
        </w:tc>
      </w:tr>
      <w:tr w14:paraId="27B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25F4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p>
        </w:tc>
        <w:tc>
          <w:tcPr>
            <w:tcW w:w="2410" w:type="dxa"/>
            <w:vAlign w:val="center"/>
          </w:tcPr>
          <w:p w14:paraId="7DE5A5C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磋商</w:t>
            </w:r>
            <w:r>
              <w:rPr>
                <w:rFonts w:hint="eastAsia" w:ascii="宋体" w:hAnsi="宋体" w:eastAsia="宋体" w:cs="宋体"/>
                <w:b/>
                <w:color w:val="auto"/>
                <w:szCs w:val="21"/>
                <w:highlight w:val="none"/>
                <w:lang w:val="zh-CN"/>
              </w:rPr>
              <w:t>报价</w:t>
            </w:r>
          </w:p>
        </w:tc>
        <w:tc>
          <w:tcPr>
            <w:tcW w:w="5954" w:type="dxa"/>
          </w:tcPr>
          <w:p w14:paraId="276E779E">
            <w:pPr>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zh-CN"/>
              </w:rPr>
              <w:t>响应报价是否超出磋商文件中规定的预算金额，超出预算金额的报价无效。</w:t>
            </w:r>
          </w:p>
        </w:tc>
      </w:tr>
      <w:tr w14:paraId="2A7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302015">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p>
        </w:tc>
        <w:tc>
          <w:tcPr>
            <w:tcW w:w="2410" w:type="dxa"/>
            <w:vAlign w:val="center"/>
          </w:tcPr>
          <w:p w14:paraId="583627BA">
            <w:pPr>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磋商承诺函</w:t>
            </w:r>
          </w:p>
        </w:tc>
        <w:tc>
          <w:tcPr>
            <w:tcW w:w="5954" w:type="dxa"/>
            <w:vAlign w:val="center"/>
          </w:tcPr>
          <w:p w14:paraId="0C71DE74">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供应商以磋商承诺函的形式替代响应保证金。</w:t>
            </w:r>
          </w:p>
        </w:tc>
      </w:tr>
      <w:tr w14:paraId="77D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58D2C9">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w:t>
            </w:r>
          </w:p>
        </w:tc>
        <w:tc>
          <w:tcPr>
            <w:tcW w:w="2410" w:type="dxa"/>
            <w:vAlign w:val="center"/>
          </w:tcPr>
          <w:p w14:paraId="5B909B4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联合体协议</w:t>
            </w:r>
          </w:p>
        </w:tc>
        <w:tc>
          <w:tcPr>
            <w:tcW w:w="5954" w:type="dxa"/>
          </w:tcPr>
          <w:p w14:paraId="4DAFC2B3">
            <w:pPr>
              <w:spacing w:line="36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磋商文件接受联合体响应且供应商为联合体的，供应商应提供本协议；否则无须提供。</w:t>
            </w:r>
          </w:p>
        </w:tc>
      </w:tr>
      <w:tr w14:paraId="698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D9E88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8</w:t>
            </w:r>
          </w:p>
        </w:tc>
        <w:tc>
          <w:tcPr>
            <w:tcW w:w="2410" w:type="dxa"/>
            <w:vAlign w:val="center"/>
          </w:tcPr>
          <w:p w14:paraId="382BA43B">
            <w:pPr>
              <w:spacing w:line="360" w:lineRule="auto"/>
              <w:contextualSpacing/>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供应商身份证明及授权</w:t>
            </w:r>
          </w:p>
        </w:tc>
        <w:tc>
          <w:tcPr>
            <w:tcW w:w="5954" w:type="dxa"/>
          </w:tcPr>
          <w:p w14:paraId="5B84D9B0">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（1）法定代表人身份证明或提供法定代表人授权委托书及被授权人身份证明。（法人提供）</w:t>
            </w:r>
          </w:p>
          <w:p w14:paraId="7253F3D7">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（2）单位负责人身份证明或提供单位负责人授权委托书及被授权人身份证明。（非法人提供）</w:t>
            </w:r>
          </w:p>
          <w:p w14:paraId="7D408F45">
            <w:pPr>
              <w:spacing w:line="360" w:lineRule="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注：</w:t>
            </w:r>
          </w:p>
          <w:p w14:paraId="7CF76EEF">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①企业（银行、保险、石油石化、电力、电信等行业除外）、事业单位和社会团体以法人身份参加磋商的，法定代表人应与实际提交的“营业执照等证明文件”载明的一致。</w:t>
            </w:r>
          </w:p>
          <w:p w14:paraId="584FEBB8">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3B57B619">
            <w:pPr>
              <w:spacing w:line="360" w:lineRule="auto"/>
              <w:contextualSpacing/>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kern w:val="0"/>
                <w:sz w:val="21"/>
                <w:szCs w:val="21"/>
                <w:highlight w:val="none"/>
              </w:rPr>
              <w:t>供应商为自然人的，无需填写法定代表人授权书。</w:t>
            </w:r>
          </w:p>
        </w:tc>
      </w:tr>
      <w:tr w14:paraId="4D9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2AB8D">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p>
        </w:tc>
        <w:tc>
          <w:tcPr>
            <w:tcW w:w="2410" w:type="dxa"/>
            <w:vAlign w:val="center"/>
          </w:tcPr>
          <w:p w14:paraId="073A852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vAlign w:val="center"/>
          </w:tcPr>
          <w:p w14:paraId="3326E1F8">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zh-CN" w:eastAsia="zh-CN"/>
              </w:rPr>
              <w:t>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p w14:paraId="5AB96B22">
            <w:pPr>
              <w:spacing w:line="360" w:lineRule="auto"/>
              <w:jc w:val="both"/>
              <w:rPr>
                <w:rFonts w:hint="eastAsia" w:ascii="宋体" w:hAnsi="宋体" w:eastAsia="宋体" w:cs="宋体"/>
                <w:color w:val="auto"/>
                <w:szCs w:val="21"/>
                <w:highlight w:val="none"/>
                <w:lang w:val="zh-CN"/>
              </w:rPr>
            </w:pPr>
          </w:p>
        </w:tc>
      </w:tr>
      <w:tr w14:paraId="3B17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6C6D6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10</w:t>
            </w:r>
          </w:p>
        </w:tc>
        <w:tc>
          <w:tcPr>
            <w:tcW w:w="2410" w:type="dxa"/>
            <w:vAlign w:val="center"/>
          </w:tcPr>
          <w:p w14:paraId="1623438C">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tcPr>
          <w:p w14:paraId="4F066049">
            <w:pP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193982EE">
            <w:pPr>
              <w:spacing w:line="360" w:lineRule="auto"/>
              <w:rPr>
                <w:rFonts w:hint="eastAsia" w:ascii="宋体" w:hAnsi="宋体" w:eastAsia="宋体" w:cs="宋体"/>
                <w:bCs/>
                <w:color w:val="auto"/>
                <w:szCs w:val="21"/>
                <w:highlight w:val="none"/>
              </w:rPr>
            </w:pPr>
          </w:p>
        </w:tc>
      </w:tr>
    </w:tbl>
    <w:p w14:paraId="75E9DC93">
      <w:pPr>
        <w:pStyle w:val="9"/>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二、评审</w:t>
      </w:r>
    </w:p>
    <w:p w14:paraId="54FB4C63">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（一）评审方法</w:t>
      </w:r>
    </w:p>
    <w:p w14:paraId="2A8730CE">
      <w:pPr>
        <w:pStyle w:val="9"/>
        <w:spacing w:line="360" w:lineRule="auto"/>
        <w:ind w:firstLine="420"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本项目采用综合评分法。总分为100分。</w:t>
      </w:r>
    </w:p>
    <w:p w14:paraId="05326957">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（二）磋商小组负责具体评标事务，并独立履行下列职责</w:t>
      </w:r>
    </w:p>
    <w:p w14:paraId="49FDF27F">
      <w:pPr>
        <w:pStyle w:val="9"/>
        <w:spacing w:line="360" w:lineRule="auto"/>
        <w:ind w:firstLine="422" w:firstLineChars="200"/>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1.审查、评价响应文件是否符合采购文件的商务、技术等实质性要求；</w:t>
      </w:r>
    </w:p>
    <w:p w14:paraId="3E866601">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磋商小组对符合资格的供应商的响应文件进行符合性审查，以确定其是否满足采购文件的商务、技术等实质性要求。</w:t>
      </w:r>
    </w:p>
    <w:p w14:paraId="49DB8212">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注：符合性审查中所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D9DECE">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2.要求供应商对磋商文件有关事项作出澄清或者说明；</w:t>
      </w:r>
    </w:p>
    <w:p w14:paraId="2BB4072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zh-CN"/>
        </w:rPr>
        <w:t>对于响应文件中含义不明确、同类问题表述不一致或者有明显文字和计算错误的内容，磋商小组应当以书面形式要求响应供应商作出必要的澄清、说明或者补正。</w:t>
      </w:r>
    </w:p>
    <w:p w14:paraId="70750A06">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响应供应商的澄清、说明或者补正应当采用书面形式，并加盖公章，或者由法定代表人或其授权的代表签字。响应供应商的澄清、说明或者补正不得超出响应文件的范围或者改变响应文件的实质性内容。</w:t>
      </w:r>
    </w:p>
    <w:p w14:paraId="5A40C987">
      <w:pPr>
        <w:pStyle w:val="9"/>
        <w:spacing w:line="360" w:lineRule="auto"/>
        <w:ind w:firstLine="420" w:firstLineChars="200"/>
        <w:contextualSpacing/>
        <w:jc w:val="left"/>
        <w:rPr>
          <w:rFonts w:hint="eastAsia" w:ascii="宋体" w:hAnsi="宋体" w:eastAsia="宋体" w:cs="仿宋_GB2312"/>
          <w:sz w:val="21"/>
          <w:szCs w:val="21"/>
          <w:lang w:val="zh-CN"/>
        </w:rPr>
      </w:pPr>
      <w:r>
        <w:rPr>
          <w:rFonts w:hint="eastAsia" w:ascii="宋体" w:hAnsi="宋体" w:eastAsia="宋体" w:cs="仿宋_GB2312"/>
          <w:sz w:val="21"/>
          <w:szCs w:val="21"/>
          <w:lang w:val="zh-CN"/>
        </w:rPr>
        <w:t>（2）</w:t>
      </w:r>
      <w:r>
        <w:rPr>
          <w:rFonts w:hint="eastAsia" w:ascii="宋体" w:hAnsi="宋体" w:cs="仿宋_GB2312"/>
          <w:sz w:val="21"/>
          <w:szCs w:val="21"/>
          <w:lang w:val="en-US" w:eastAsia="zh-CN"/>
        </w:rPr>
        <w:t>磋商小组</w:t>
      </w:r>
      <w:r>
        <w:rPr>
          <w:rFonts w:hint="eastAsia" w:ascii="宋体" w:hAnsi="宋体" w:eastAsia="宋体" w:cs="仿宋_GB2312"/>
          <w:sz w:val="21"/>
          <w:szCs w:val="21"/>
          <w:lang w:val="zh-CN"/>
        </w:rPr>
        <w:t>启动异常低价投标审查后，要求相关供应商在评审现场规定时间内（给予供应商的时间不少于 60 分钟）对投标价格作出解释、提供证明材料的，应当以书面形式要求供应商提供项目具体成本测算等与报价合理性相关的书面说明及必要的证明材料，包括但不限于原材料成本、人工成本、制造费用等。</w:t>
      </w:r>
    </w:p>
    <w:p w14:paraId="7664ECB7">
      <w:pPr>
        <w:pStyle w:val="9"/>
        <w:spacing w:line="360" w:lineRule="auto"/>
        <w:ind w:firstLine="420" w:firstLineChars="200"/>
        <w:contextualSpacing/>
        <w:jc w:val="left"/>
        <w:rPr>
          <w:rFonts w:hint="eastAsia" w:ascii="宋体" w:hAnsi="宋体" w:eastAsia="宋体" w:cs="仿宋_GB2312"/>
          <w:sz w:val="21"/>
          <w:szCs w:val="21"/>
          <w:lang w:val="zh-CN"/>
        </w:rPr>
      </w:pPr>
      <w:r>
        <w:rPr>
          <w:rFonts w:hint="eastAsia" w:ascii="宋体" w:hAnsi="宋体" w:cs="仿宋_GB2312"/>
          <w:sz w:val="21"/>
          <w:szCs w:val="21"/>
          <w:lang w:val="en-US" w:eastAsia="zh-CN"/>
        </w:rPr>
        <w:t>磋商</w:t>
      </w:r>
      <w:r>
        <w:rPr>
          <w:rFonts w:hint="eastAsia" w:ascii="宋体" w:hAnsi="宋体" w:eastAsia="宋体" w:cs="仿宋_GB2312"/>
          <w:sz w:val="21"/>
          <w:szCs w:val="21"/>
          <w:lang w:val="zh-CN"/>
        </w:rPr>
        <w:t>小组要求供应商澄清、说明或者更正响应文件应当以书面形式作出。供应商的澄清、说明或者更正应当由法定代表人或其授权代表签字或者加盖公章。由授权代表签字的，应当附法定代表人授权书。供应商为自然人的， 应当由本人签字并附身份证明。</w:t>
      </w:r>
    </w:p>
    <w:p w14:paraId="7C12F067">
      <w:pPr>
        <w:pStyle w:val="9"/>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cs="仿宋_GB2312"/>
          <w:sz w:val="21"/>
          <w:szCs w:val="21"/>
          <w:lang w:val="zh-CN"/>
        </w:rPr>
        <w:t>（</w:t>
      </w:r>
      <w:r>
        <w:rPr>
          <w:rFonts w:hint="eastAsia" w:ascii="宋体" w:hAnsi="宋体" w:cs="仿宋_GB2312"/>
          <w:sz w:val="21"/>
          <w:szCs w:val="21"/>
          <w:lang w:val="en-US" w:eastAsia="zh-CN"/>
        </w:rPr>
        <w:t>3）磋商</w:t>
      </w:r>
      <w:r>
        <w:rPr>
          <w:rFonts w:hint="eastAsia" w:ascii="宋体" w:hAnsi="宋体" w:eastAsia="宋体" w:cs="仿宋_GB2312"/>
          <w:sz w:val="21"/>
          <w:szCs w:val="21"/>
          <w:lang w:val="zh-CN"/>
        </w:rPr>
        <w:t>小组应严格按照电子化评标系统规定的流程要求投标供应商使用 CA 数字证书或 CA 移动数字证书登录许昌市公共资源电子交易系统进行报价，禁止通过交易系统中的聊天通讯页面要求投标供应商提交报价、工程量清单等相关材料。</w:t>
      </w:r>
    </w:p>
    <w:p w14:paraId="4829C6EB">
      <w:pPr>
        <w:pStyle w:val="9"/>
        <w:spacing w:line="360" w:lineRule="auto"/>
        <w:ind w:firstLine="465"/>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3.对响应文件进行比较和评价；</w:t>
      </w:r>
    </w:p>
    <w:p w14:paraId="391F04C7">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37DE8480">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注：评标标准中所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9C3D12">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（1）价格分计算</w:t>
      </w:r>
    </w:p>
    <w:p w14:paraId="2A013AB2">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价格分采用低价优先法计算，即满足采购文件要求且投标价格最低的投标报价为评标基准价，其价格分为满分。因落实政府采购政策进行价格调整的，以调整后的价格计算评标基准价和投标报价。（本项目专门面向中小</w:t>
      </w:r>
      <w:r>
        <w:rPr>
          <w:rFonts w:hint="eastAsia" w:ascii="宋体" w:hAnsi="宋体" w:cs="宋体"/>
          <w:color w:val="auto"/>
          <w:sz w:val="21"/>
          <w:szCs w:val="21"/>
          <w:highlight w:val="none"/>
          <w:lang w:val="en-US" w:eastAsia="zh-CN"/>
        </w:rPr>
        <w:t>微</w:t>
      </w:r>
      <w:r>
        <w:rPr>
          <w:rFonts w:hint="eastAsia" w:ascii="宋体" w:hAnsi="宋体" w:eastAsia="宋体" w:cs="宋体"/>
          <w:color w:val="auto"/>
          <w:sz w:val="21"/>
          <w:szCs w:val="21"/>
          <w:highlight w:val="none"/>
          <w:lang w:val="zh-CN"/>
        </w:rPr>
        <w:t>企业采购，不再执行价格评审优惠的扶持政策）</w:t>
      </w:r>
    </w:p>
    <w:p w14:paraId="217A4DC9">
      <w:pPr>
        <w:pStyle w:val="9"/>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（2）强制采购节能产品和优先采购节能产品、优先采购环保产品</w:t>
      </w:r>
    </w:p>
    <w:p w14:paraId="612E1D49">
      <w:pPr>
        <w:pStyle w:val="9"/>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1）对《节能产品政府采购品目清单》所列的政府强制采购节能产品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供应商响应文件中应提供具有国家确定的认证机构出具的、处于有效期之内的节能产品认证证书，否则将承担其投标被视为非实质性响应投标的风险。</w:t>
      </w:r>
    </w:p>
    <w:p w14:paraId="32A487FB">
      <w:pPr>
        <w:pStyle w:val="9"/>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投标人所投产品若属于《节能产品政府采购品目清单》优先采购产品，响应文件中应提供具有国家确定的认证机构出具的、处于有效期之内的节能产品认证证书，磋商小组根据本项目评标标准予以判定并赋分。</w:t>
      </w:r>
    </w:p>
    <w:p w14:paraId="61FA97F4">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2E6FB456">
      <w:pPr>
        <w:pStyle w:val="9"/>
        <w:spacing w:line="360" w:lineRule="auto"/>
        <w:ind w:firstLine="422" w:firstLineChars="200"/>
        <w:contextualSpacing/>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en-US" w:eastAsia="zh-CN"/>
        </w:rPr>
        <w:t xml:space="preserve">（3）网络关键设备、网络安全专用产品要求 </w:t>
      </w:r>
    </w:p>
    <w:p w14:paraId="04C17A19">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1）项目中涉及网络关键设备或网络安全专用产品的，至少符合以下条件之一：一是已由具备 </w:t>
      </w:r>
    </w:p>
    <w:p w14:paraId="0157B9DC">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资格的机构安全认证合格或安全检测符合要求；二是已获得《计算机信息系统安全专用产品销售 许可证》，且在有效期内。 </w:t>
      </w:r>
    </w:p>
    <w:p w14:paraId="210EBAAC">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提供资料（下列资料任意一项） </w:t>
      </w:r>
    </w:p>
    <w:p w14:paraId="3AD5D553">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①网络关键设备和网络安全专用产品安全认证证书； </w:t>
      </w:r>
    </w:p>
    <w:p w14:paraId="65F60F99">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②网络关键设备安全检测证书、网络安全专用产品安全检测证书； </w:t>
      </w:r>
    </w:p>
    <w:p w14:paraId="28ED70CB">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③计算机信息系统安全专用产品销售许可证； </w:t>
      </w:r>
    </w:p>
    <w:p w14:paraId="76ABF01A">
      <w:pPr>
        <w:pStyle w:val="9"/>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④中国网信网或工业和信息化部网站或公安部网站或国家认证认可监督管理委员会网站公布 </w:t>
      </w:r>
    </w:p>
    <w:p w14:paraId="06BDB231">
      <w:pPr>
        <w:pStyle w:val="9"/>
        <w:spacing w:line="360" w:lineRule="auto"/>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的认证、检测结果（提供公布安全认证、安全检测结果页面网址和安全认证、检测结果截图）。</w:t>
      </w:r>
    </w:p>
    <w:p w14:paraId="2F4A031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（4）响应无效情形</w:t>
      </w:r>
    </w:p>
    <w:p w14:paraId="005BA8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3ECF02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2）符合性审查资料未按磋商文件要求签署、盖章的；</w:t>
      </w:r>
    </w:p>
    <w:p w14:paraId="762783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3）有下列情形之一的，视为供应商串通投标，其投标无效：</w:t>
      </w:r>
    </w:p>
    <w:p w14:paraId="6D9387F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a.不同供应商的响应文件由同一单位或者个人编制；</w:t>
      </w:r>
    </w:p>
    <w:p w14:paraId="52C9261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614EFD4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c.不同供应商的响应文件载明的项目管理成员或者联系人员为同一人；</w:t>
      </w:r>
    </w:p>
    <w:p w14:paraId="7293FE6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d.不同供应商的响应文件异常一致或者投标报价呈规律性差异；</w:t>
      </w:r>
    </w:p>
    <w:p w14:paraId="206ED85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e.不同供应商的响应文件相互混装；</w:t>
      </w:r>
    </w:p>
    <w:p w14:paraId="6BE112E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0585EA7C">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启动异常低价投标（响应）审查后，要求相关供应商在评审现场规定时间内（给 予供应商的时间不少于60分钟）对投标（响应）价格作出解释、提供证明材料，投标（响应）供应商未在规定时间内提供书面说明、证明材料，或者提供的书面说明、证明材料不能证明其报价合理性的，</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应当将其作为无效投标（响应）处理。</w:t>
      </w:r>
    </w:p>
    <w:p w14:paraId="36BC2E8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val="zh-CN"/>
        </w:rPr>
        <w:t>）法律法规和磋商文件规定的其他无效情形。</w:t>
      </w:r>
    </w:p>
    <w:p w14:paraId="6C591A7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（5）评标标准</w:t>
      </w:r>
    </w:p>
    <w:tbl>
      <w:tblPr>
        <w:tblStyle w:val="55"/>
        <w:tblW w:w="93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9"/>
        <w:gridCol w:w="6401"/>
        <w:gridCol w:w="1205"/>
      </w:tblGrid>
      <w:tr w14:paraId="6579D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center"/>
          </w:tcPr>
          <w:p w14:paraId="14D9A93C">
            <w:pPr>
              <w:pStyle w:val="54"/>
              <w:keepNext w:val="0"/>
              <w:keepLines w:val="0"/>
              <w:pageBreakBefore w:val="0"/>
              <w:kinsoku/>
              <w:wordWrap/>
              <w:overflowPunct/>
              <w:topLinePunct w:val="0"/>
              <w:bidi w:val="0"/>
              <w:spacing w:before="65"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en-US" w:bidi="ar-SA"/>
              </w:rPr>
            </w:pPr>
            <w:r>
              <w:rPr>
                <w:rFonts w:hint="eastAsia" w:asciiTheme="minorEastAsia" w:hAnsiTheme="minorEastAsia" w:eastAsiaTheme="minorEastAsia" w:cstheme="minorEastAsia"/>
                <w:color w:val="auto"/>
                <w:spacing w:val="2"/>
                <w:sz w:val="21"/>
                <w:szCs w:val="21"/>
                <w:highlight w:val="none"/>
              </w:rPr>
              <w:t>分值构成</w:t>
            </w:r>
          </w:p>
        </w:tc>
        <w:tc>
          <w:tcPr>
            <w:tcW w:w="6401" w:type="dxa"/>
            <w:shd w:val="clear" w:color="auto" w:fill="auto"/>
            <w:vAlign w:val="center"/>
          </w:tcPr>
          <w:p w14:paraId="6B5858D3">
            <w:pPr>
              <w:pStyle w:val="5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价格分值：</w:t>
            </w:r>
            <w:r>
              <w:rPr>
                <w:rFonts w:hint="eastAsia" w:asciiTheme="minorEastAsia" w:hAnsiTheme="minorEastAsia" w:eastAsiaTheme="minorEastAsia" w:cstheme="minorEastAsia"/>
                <w:color w:val="auto"/>
                <w:spacing w:val="10"/>
                <w:sz w:val="21"/>
                <w:szCs w:val="21"/>
                <w:highlight w:val="none"/>
                <w:u w:val="single" w:color="auto"/>
              </w:rPr>
              <w:t>30</w:t>
            </w:r>
            <w:r>
              <w:rPr>
                <w:rFonts w:hint="eastAsia" w:asciiTheme="minorEastAsia" w:hAnsiTheme="minorEastAsia" w:eastAsiaTheme="minorEastAsia" w:cstheme="minorEastAsia"/>
                <w:color w:val="auto"/>
                <w:spacing w:val="10"/>
                <w:sz w:val="21"/>
                <w:szCs w:val="21"/>
                <w:highlight w:val="none"/>
              </w:rPr>
              <w:t>分</w:t>
            </w:r>
          </w:p>
          <w:p w14:paraId="7E287103">
            <w:pPr>
              <w:pStyle w:val="5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0"/>
                <w:sz w:val="21"/>
                <w:szCs w:val="21"/>
                <w:highlight w:val="none"/>
              </w:rPr>
              <w:t>商务部分：</w:t>
            </w:r>
            <w:r>
              <w:rPr>
                <w:rFonts w:hint="eastAsia" w:asciiTheme="minorEastAsia" w:hAnsiTheme="minorEastAsia" w:eastAsiaTheme="minorEastAsia" w:cstheme="minorEastAsia"/>
                <w:color w:val="auto"/>
                <w:spacing w:val="10"/>
                <w:sz w:val="21"/>
                <w:szCs w:val="21"/>
                <w:highlight w:val="none"/>
                <w:u w:val="single" w:color="auto"/>
                <w:lang w:val="en-US" w:eastAsia="zh-CN"/>
              </w:rPr>
              <w:t>15</w:t>
            </w:r>
            <w:r>
              <w:rPr>
                <w:rFonts w:hint="eastAsia" w:asciiTheme="minorEastAsia" w:hAnsiTheme="minorEastAsia" w:eastAsiaTheme="minorEastAsia" w:cstheme="minorEastAsia"/>
                <w:color w:val="auto"/>
                <w:spacing w:val="10"/>
                <w:sz w:val="21"/>
                <w:szCs w:val="21"/>
                <w:highlight w:val="none"/>
              </w:rPr>
              <w:t>分</w:t>
            </w:r>
          </w:p>
          <w:p w14:paraId="57EE3170">
            <w:pPr>
              <w:pStyle w:val="54"/>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en-US" w:bidi="ar-SA"/>
              </w:rPr>
            </w:pPr>
            <w:r>
              <w:rPr>
                <w:rFonts w:hint="eastAsia" w:asciiTheme="minorEastAsia" w:hAnsiTheme="minorEastAsia" w:eastAsiaTheme="minorEastAsia" w:cstheme="minorEastAsia"/>
                <w:color w:val="auto"/>
                <w:spacing w:val="7"/>
                <w:sz w:val="21"/>
                <w:szCs w:val="21"/>
                <w:highlight w:val="none"/>
              </w:rPr>
              <w:t>技术部分：</w:t>
            </w:r>
            <w:r>
              <w:rPr>
                <w:rFonts w:hint="eastAsia" w:asciiTheme="minorEastAsia" w:hAnsiTheme="minorEastAsia" w:eastAsiaTheme="minorEastAsia" w:cstheme="minorEastAsia"/>
                <w:color w:val="auto"/>
                <w:spacing w:val="7"/>
                <w:sz w:val="21"/>
                <w:szCs w:val="21"/>
                <w:highlight w:val="none"/>
                <w:u w:val="single" w:color="auto"/>
                <w:lang w:val="en-US" w:eastAsia="zh-CN"/>
              </w:rPr>
              <w:t>55</w:t>
            </w:r>
            <w:r>
              <w:rPr>
                <w:rFonts w:hint="eastAsia" w:asciiTheme="minorEastAsia" w:hAnsiTheme="minorEastAsia" w:eastAsiaTheme="minorEastAsia" w:cstheme="minorEastAsia"/>
                <w:color w:val="auto"/>
                <w:spacing w:val="7"/>
                <w:sz w:val="21"/>
                <w:szCs w:val="21"/>
                <w:highlight w:val="none"/>
              </w:rPr>
              <w:t>分</w:t>
            </w:r>
          </w:p>
        </w:tc>
        <w:tc>
          <w:tcPr>
            <w:tcW w:w="1205" w:type="dxa"/>
            <w:vAlign w:val="center"/>
          </w:tcPr>
          <w:p w14:paraId="28DE12F9">
            <w:pPr>
              <w:pStyle w:val="54"/>
              <w:keepNext w:val="0"/>
              <w:keepLines w:val="0"/>
              <w:pageBreakBefore w:val="0"/>
              <w:kinsoku/>
              <w:wordWrap/>
              <w:overflowPunct/>
              <w:topLinePunct w:val="0"/>
              <w:bidi w:val="0"/>
              <w:spacing w:before="207" w:line="400" w:lineRule="exact"/>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100分</w:t>
            </w:r>
          </w:p>
        </w:tc>
      </w:tr>
      <w:tr w14:paraId="150B4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375" w:type="dxa"/>
            <w:gridSpan w:val="3"/>
            <w:vAlign w:val="top"/>
          </w:tcPr>
          <w:p w14:paraId="5631124F">
            <w:pPr>
              <w:pStyle w:val="54"/>
              <w:keepNext w:val="0"/>
              <w:keepLines w:val="0"/>
              <w:pageBreakBefore w:val="0"/>
              <w:kinsoku/>
              <w:wordWrap/>
              <w:overflowPunct/>
              <w:topLinePunct w:val="0"/>
              <w:bidi w:val="0"/>
              <w:spacing w:before="207" w:line="400" w:lineRule="exact"/>
              <w:ind w:left="352"/>
              <w:jc w:val="center"/>
              <w:textAlignment w:val="auto"/>
              <w:rPr>
                <w:rFonts w:hint="eastAsia" w:asciiTheme="minorEastAsia" w:hAnsiTheme="minorEastAsia" w:eastAsiaTheme="minorEastAsia" w:cstheme="minorEastAsia"/>
                <w:b/>
                <w:bCs/>
                <w:color w:val="auto"/>
                <w:spacing w:val="-3"/>
                <w:sz w:val="21"/>
                <w:szCs w:val="21"/>
                <w:highlight w:val="none"/>
              </w:rPr>
            </w:pPr>
            <w:r>
              <w:rPr>
                <w:rFonts w:hint="eastAsia" w:asciiTheme="minorEastAsia" w:hAnsiTheme="minorEastAsia" w:eastAsiaTheme="minorEastAsia" w:cstheme="minorEastAsia"/>
                <w:b/>
                <w:bCs/>
                <w:color w:val="auto"/>
                <w:spacing w:val="-1"/>
                <w:sz w:val="21"/>
                <w:szCs w:val="21"/>
                <w:highlight w:val="none"/>
              </w:rPr>
              <w:t>价格部分（满分30</w:t>
            </w:r>
            <w:r>
              <w:rPr>
                <w:rFonts w:hint="eastAsia" w:asciiTheme="minorEastAsia" w:hAnsiTheme="minorEastAsia" w:eastAsiaTheme="minorEastAsia" w:cstheme="minorEastAsia"/>
                <w:color w:val="auto"/>
                <w:spacing w:val="-34"/>
                <w:sz w:val="21"/>
                <w:szCs w:val="21"/>
                <w:highlight w:val="none"/>
              </w:rPr>
              <w:t xml:space="preserve"> </w:t>
            </w:r>
            <w:r>
              <w:rPr>
                <w:rFonts w:hint="eastAsia" w:asciiTheme="minorEastAsia" w:hAnsiTheme="minorEastAsia" w:eastAsiaTheme="minorEastAsia" w:cstheme="minorEastAsia"/>
                <w:b/>
                <w:bCs/>
                <w:color w:val="auto"/>
                <w:spacing w:val="-1"/>
                <w:sz w:val="21"/>
                <w:szCs w:val="21"/>
                <w:highlight w:val="none"/>
              </w:rPr>
              <w:t>分）</w:t>
            </w:r>
          </w:p>
        </w:tc>
      </w:tr>
      <w:tr w14:paraId="5703B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top"/>
          </w:tcPr>
          <w:p w14:paraId="17C98ECF">
            <w:pPr>
              <w:pStyle w:val="54"/>
              <w:keepNext w:val="0"/>
              <w:keepLines w:val="0"/>
              <w:pageBreakBefore w:val="0"/>
              <w:kinsoku/>
              <w:wordWrap/>
              <w:overflowPunct/>
              <w:topLinePunct w:val="0"/>
              <w:bidi w:val="0"/>
              <w:spacing w:before="207" w:line="400" w:lineRule="exact"/>
              <w:ind w:left="342" w:leftChars="0"/>
              <w:textAlignment w:val="auto"/>
              <w:rPr>
                <w:rFonts w:hint="eastAsia" w:asciiTheme="minorEastAsia" w:hAnsiTheme="minorEastAsia" w:eastAsiaTheme="minorEastAsia" w:cstheme="minorEastAsia"/>
                <w:snapToGrid w:val="0"/>
                <w:color w:val="auto"/>
                <w:kern w:val="0"/>
                <w:sz w:val="21"/>
                <w:szCs w:val="21"/>
                <w:highlight w:val="none"/>
                <w:lang w:val="en-US" w:eastAsia="en-US" w:bidi="ar-SA"/>
              </w:rPr>
            </w:pPr>
            <w:r>
              <w:rPr>
                <w:rFonts w:hint="eastAsia" w:asciiTheme="minorEastAsia" w:hAnsiTheme="minorEastAsia" w:eastAsiaTheme="minorEastAsia" w:cstheme="minorEastAsia"/>
                <w:b/>
                <w:bCs/>
                <w:color w:val="auto"/>
                <w:sz w:val="21"/>
                <w:szCs w:val="21"/>
                <w:highlight w:val="none"/>
              </w:rPr>
              <w:t>评分因素</w:t>
            </w:r>
          </w:p>
        </w:tc>
        <w:tc>
          <w:tcPr>
            <w:tcW w:w="6401" w:type="dxa"/>
            <w:shd w:val="clear" w:color="auto" w:fill="auto"/>
            <w:vAlign w:val="top"/>
          </w:tcPr>
          <w:p w14:paraId="3BAEAD25">
            <w:pPr>
              <w:pStyle w:val="54"/>
              <w:keepNext w:val="0"/>
              <w:keepLines w:val="0"/>
              <w:pageBreakBefore w:val="0"/>
              <w:kinsoku/>
              <w:wordWrap/>
              <w:overflowPunct/>
              <w:topLinePunct w:val="0"/>
              <w:bidi w:val="0"/>
              <w:spacing w:before="208" w:line="400" w:lineRule="exact"/>
              <w:ind w:left="3027" w:leftChars="0"/>
              <w:textAlignment w:val="auto"/>
              <w:rPr>
                <w:rFonts w:hint="eastAsia" w:asciiTheme="minorEastAsia" w:hAnsiTheme="minorEastAsia" w:eastAsiaTheme="minorEastAsia" w:cstheme="minorEastAsia"/>
                <w:snapToGrid w:val="0"/>
                <w:color w:val="auto"/>
                <w:kern w:val="0"/>
                <w:sz w:val="21"/>
                <w:szCs w:val="21"/>
                <w:highlight w:val="none"/>
                <w:lang w:val="en-US" w:eastAsia="en-US" w:bidi="ar-SA"/>
              </w:rPr>
            </w:pPr>
            <w:r>
              <w:rPr>
                <w:rFonts w:hint="eastAsia" w:asciiTheme="minorEastAsia" w:hAnsiTheme="minorEastAsia" w:eastAsiaTheme="minorEastAsia" w:cstheme="minorEastAsia"/>
                <w:b/>
                <w:bCs/>
                <w:color w:val="auto"/>
                <w:sz w:val="21"/>
                <w:szCs w:val="21"/>
                <w:highlight w:val="none"/>
              </w:rPr>
              <w:t>评标标准</w:t>
            </w:r>
          </w:p>
        </w:tc>
        <w:tc>
          <w:tcPr>
            <w:tcW w:w="1205" w:type="dxa"/>
            <w:shd w:val="clear" w:color="auto" w:fill="auto"/>
            <w:vAlign w:val="top"/>
          </w:tcPr>
          <w:p w14:paraId="539FD0D7">
            <w:pPr>
              <w:pStyle w:val="54"/>
              <w:keepNext w:val="0"/>
              <w:keepLines w:val="0"/>
              <w:pageBreakBefore w:val="0"/>
              <w:kinsoku/>
              <w:wordWrap/>
              <w:overflowPunct/>
              <w:topLinePunct w:val="0"/>
              <w:bidi w:val="0"/>
              <w:spacing w:before="207" w:line="400" w:lineRule="exact"/>
              <w:ind w:left="352" w:leftChars="0"/>
              <w:textAlignment w:val="auto"/>
              <w:rPr>
                <w:rFonts w:hint="eastAsia" w:asciiTheme="minorEastAsia" w:hAnsiTheme="minorEastAsia" w:eastAsiaTheme="minorEastAsia" w:cstheme="minorEastAsia"/>
                <w:snapToGrid w:val="0"/>
                <w:color w:val="auto"/>
                <w:kern w:val="0"/>
                <w:sz w:val="21"/>
                <w:szCs w:val="21"/>
                <w:highlight w:val="none"/>
                <w:lang w:val="en-US" w:eastAsia="en-US" w:bidi="ar-SA"/>
              </w:rPr>
            </w:pPr>
            <w:r>
              <w:rPr>
                <w:rFonts w:hint="eastAsia" w:asciiTheme="minorEastAsia" w:hAnsiTheme="minorEastAsia" w:eastAsiaTheme="minorEastAsia" w:cstheme="minorEastAsia"/>
                <w:b/>
                <w:bCs/>
                <w:color w:val="auto"/>
                <w:spacing w:val="-3"/>
                <w:sz w:val="21"/>
                <w:szCs w:val="21"/>
                <w:highlight w:val="none"/>
              </w:rPr>
              <w:t>分值</w:t>
            </w:r>
          </w:p>
        </w:tc>
      </w:tr>
      <w:tr w14:paraId="38F1E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1769" w:type="dxa"/>
            <w:vAlign w:val="top"/>
          </w:tcPr>
          <w:p w14:paraId="002FBE3B">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6A665993">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25DFAE3D">
            <w:pPr>
              <w:pStyle w:val="54"/>
              <w:keepNext w:val="0"/>
              <w:keepLines w:val="0"/>
              <w:pageBreakBefore w:val="0"/>
              <w:kinsoku/>
              <w:wordWrap/>
              <w:overflowPunct/>
              <w:topLinePunct w:val="0"/>
              <w:bidi w:val="0"/>
              <w:spacing w:before="128" w:line="400" w:lineRule="exact"/>
              <w:ind w:right="1"/>
              <w:jc w:val="both"/>
              <w:textAlignment w:val="auto"/>
              <w:rPr>
                <w:rFonts w:hint="eastAsia" w:asciiTheme="minorEastAsia" w:hAnsiTheme="minorEastAsia" w:eastAsiaTheme="minorEastAsia" w:cstheme="minorEastAsia"/>
                <w:color w:val="auto"/>
                <w:spacing w:val="13"/>
                <w:sz w:val="21"/>
                <w:szCs w:val="21"/>
                <w:highlight w:val="none"/>
              </w:rPr>
            </w:pPr>
            <w:r>
              <w:rPr>
                <w:rFonts w:hint="eastAsia" w:asciiTheme="minorEastAsia" w:hAnsiTheme="minorEastAsia" w:eastAsiaTheme="minorEastAsia" w:cstheme="minorEastAsia"/>
                <w:color w:val="auto"/>
                <w:spacing w:val="13"/>
                <w:sz w:val="21"/>
                <w:szCs w:val="21"/>
                <w:highlight w:val="none"/>
              </w:rPr>
              <w:t>最终磋商报价</w:t>
            </w:r>
          </w:p>
          <w:p w14:paraId="5535AA85">
            <w:pPr>
              <w:pStyle w:val="54"/>
              <w:keepNext w:val="0"/>
              <w:keepLines w:val="0"/>
              <w:pageBreakBefore w:val="0"/>
              <w:kinsoku/>
              <w:wordWrap/>
              <w:overflowPunct/>
              <w:topLinePunct w:val="0"/>
              <w:bidi w:val="0"/>
              <w:spacing w:before="128" w:line="400" w:lineRule="exact"/>
              <w:ind w:right="1"/>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评分标准</w:t>
            </w:r>
          </w:p>
        </w:tc>
        <w:tc>
          <w:tcPr>
            <w:tcW w:w="6401" w:type="dxa"/>
            <w:vAlign w:val="top"/>
          </w:tcPr>
          <w:p w14:paraId="5F730156">
            <w:pPr>
              <w:pStyle w:val="54"/>
              <w:keepNext w:val="0"/>
              <w:keepLines w:val="0"/>
              <w:pageBreakBefore w:val="0"/>
              <w:kinsoku/>
              <w:wordWrap/>
              <w:overflowPunct/>
              <w:topLinePunct w:val="0"/>
              <w:bidi w:val="0"/>
              <w:spacing w:before="128" w:line="400" w:lineRule="exact"/>
              <w:ind w:left="9" w:right="1" w:firstLine="472" w:firstLineChars="200"/>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价格分采用低价优先法计算，即满足磋商文件要求且</w:t>
            </w:r>
            <w:r>
              <w:rPr>
                <w:rFonts w:hint="eastAsia" w:asciiTheme="minorEastAsia" w:hAnsiTheme="minorEastAsia" w:eastAsiaTheme="minorEastAsia" w:cstheme="minorEastAsia"/>
                <w:color w:val="auto"/>
                <w:spacing w:val="12"/>
                <w:sz w:val="21"/>
                <w:szCs w:val="21"/>
                <w:highlight w:val="none"/>
              </w:rPr>
              <w:t>最后报价最低的</w:t>
            </w:r>
            <w:r>
              <w:rPr>
                <w:rFonts w:hint="eastAsia" w:asciiTheme="minorEastAsia" w:hAnsiTheme="minorEastAsia" w:eastAsiaTheme="minorEastAsia" w:cstheme="minorEastAsia"/>
                <w:color w:val="auto"/>
                <w:spacing w:val="13"/>
                <w:sz w:val="21"/>
                <w:szCs w:val="21"/>
                <w:highlight w:val="none"/>
              </w:rPr>
              <w:t>供应商的价格为磋商基准价，其价格分为满分。其他供</w:t>
            </w:r>
            <w:r>
              <w:rPr>
                <w:rFonts w:hint="eastAsia" w:asciiTheme="minorEastAsia" w:hAnsiTheme="minorEastAsia" w:eastAsiaTheme="minorEastAsia" w:cstheme="minorEastAsia"/>
                <w:color w:val="auto"/>
                <w:spacing w:val="12"/>
                <w:sz w:val="21"/>
                <w:szCs w:val="21"/>
                <w:highlight w:val="none"/>
              </w:rPr>
              <w:t>应商的价格分</w:t>
            </w:r>
            <w:r>
              <w:rPr>
                <w:rFonts w:hint="eastAsia" w:asciiTheme="minorEastAsia" w:hAnsiTheme="minorEastAsia" w:eastAsiaTheme="minorEastAsia" w:cstheme="minorEastAsia"/>
                <w:color w:val="auto"/>
                <w:spacing w:val="8"/>
                <w:sz w:val="21"/>
                <w:szCs w:val="21"/>
                <w:highlight w:val="none"/>
              </w:rPr>
              <w:t>统一按照下列公式计算：</w:t>
            </w:r>
          </w:p>
          <w:p w14:paraId="18839157">
            <w:pPr>
              <w:pStyle w:val="54"/>
              <w:keepNext w:val="0"/>
              <w:keepLines w:val="0"/>
              <w:pageBreakBefore w:val="0"/>
              <w:kinsoku/>
              <w:wordWrap/>
              <w:overflowPunct/>
              <w:topLinePunct w:val="0"/>
              <w:bidi w:val="0"/>
              <w:spacing w:before="1" w:line="400" w:lineRule="exact"/>
              <w:ind w:left="8" w:right="1144"/>
              <w:textAlignment w:val="auto"/>
              <w:rPr>
                <w:rFonts w:hint="eastAsia" w:asciiTheme="minorEastAsia" w:hAnsiTheme="minorEastAsia" w:eastAsiaTheme="minorEastAsia" w:cstheme="minorEastAsia"/>
                <w:color w:val="auto"/>
                <w:spacing w:val="6"/>
                <w:sz w:val="21"/>
                <w:szCs w:val="21"/>
                <w:highlight w:val="none"/>
              </w:rPr>
            </w:pPr>
            <w:r>
              <w:rPr>
                <w:rFonts w:hint="eastAsia" w:asciiTheme="minorEastAsia" w:hAnsiTheme="minorEastAsia" w:eastAsiaTheme="minorEastAsia" w:cstheme="minorEastAsia"/>
                <w:color w:val="auto"/>
                <w:spacing w:val="6"/>
                <w:sz w:val="21"/>
                <w:szCs w:val="21"/>
                <w:highlight w:val="none"/>
              </w:rPr>
              <w:t>磋商报价得分=（磋商基准价/最后磋商报价）</w:t>
            </w:r>
            <w:r>
              <w:rPr>
                <w:rFonts w:hint="eastAsia" w:asciiTheme="minorEastAsia" w:hAnsiTheme="minorEastAsia" w:eastAsiaTheme="minorEastAsia" w:cstheme="minorEastAsia"/>
                <w:color w:val="auto"/>
                <w:spacing w:val="-33"/>
                <w:sz w:val="21"/>
                <w:szCs w:val="21"/>
                <w:highlight w:val="none"/>
              </w:rPr>
              <w:t xml:space="preserve"> </w:t>
            </w:r>
            <w:r>
              <w:rPr>
                <w:rFonts w:hint="eastAsia" w:asciiTheme="minorEastAsia" w:hAnsiTheme="minorEastAsia" w:eastAsiaTheme="minorEastAsia" w:cstheme="minorEastAsia"/>
                <w:color w:val="auto"/>
                <w:spacing w:val="6"/>
                <w:sz w:val="21"/>
                <w:szCs w:val="21"/>
                <w:highlight w:val="none"/>
              </w:rPr>
              <w:t>×30</w:t>
            </w:r>
          </w:p>
          <w:p w14:paraId="29D89D30">
            <w:pPr>
              <w:pStyle w:val="54"/>
              <w:keepNext w:val="0"/>
              <w:keepLines w:val="0"/>
              <w:pageBreakBefore w:val="0"/>
              <w:kinsoku/>
              <w:wordWrap/>
              <w:overflowPunct/>
              <w:topLinePunct w:val="0"/>
              <w:bidi w:val="0"/>
              <w:spacing w:before="1" w:line="400" w:lineRule="exact"/>
              <w:ind w:left="8" w:right="1144"/>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评标得分保留小数点后两位，四舍五入。</w:t>
            </w:r>
          </w:p>
        </w:tc>
        <w:tc>
          <w:tcPr>
            <w:tcW w:w="1205" w:type="dxa"/>
            <w:vAlign w:val="top"/>
          </w:tcPr>
          <w:p w14:paraId="675EC055">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41C632C5">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77589E12">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48071E6F">
            <w:pPr>
              <w:pStyle w:val="54"/>
              <w:keepNext w:val="0"/>
              <w:keepLines w:val="0"/>
              <w:pageBreakBefore w:val="0"/>
              <w:kinsoku/>
              <w:wordWrap/>
              <w:overflowPunct/>
              <w:topLinePunct w:val="0"/>
              <w:bidi w:val="0"/>
              <w:spacing w:before="65" w:line="400" w:lineRule="exact"/>
              <w:ind w:left="356"/>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2"/>
                <w:sz w:val="21"/>
                <w:szCs w:val="21"/>
                <w:highlight w:val="none"/>
              </w:rPr>
              <w:t>30</w:t>
            </w:r>
            <w:r>
              <w:rPr>
                <w:rFonts w:hint="eastAsia" w:asciiTheme="minorEastAsia" w:hAnsiTheme="minorEastAsia" w:eastAsiaTheme="minorEastAsia" w:cstheme="minorEastAsia"/>
                <w:color w:val="auto"/>
                <w:spacing w:val="-48"/>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分</w:t>
            </w:r>
          </w:p>
        </w:tc>
      </w:tr>
      <w:tr w14:paraId="37650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375" w:type="dxa"/>
            <w:gridSpan w:val="3"/>
            <w:vAlign w:val="top"/>
          </w:tcPr>
          <w:p w14:paraId="135AC1DC">
            <w:pPr>
              <w:pStyle w:val="54"/>
              <w:keepNext w:val="0"/>
              <w:keepLines w:val="0"/>
              <w:pageBreakBefore w:val="0"/>
              <w:kinsoku/>
              <w:wordWrap/>
              <w:overflowPunct/>
              <w:topLinePunct w:val="0"/>
              <w:bidi w:val="0"/>
              <w:spacing w:before="248" w:line="400" w:lineRule="exact"/>
              <w:ind w:left="3805"/>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1"/>
                <w:sz w:val="21"/>
                <w:szCs w:val="21"/>
                <w:highlight w:val="none"/>
              </w:rPr>
              <w:t>商务部分（满分</w:t>
            </w:r>
            <w:r>
              <w:rPr>
                <w:rFonts w:hint="eastAsia" w:asciiTheme="minorEastAsia" w:hAnsiTheme="minorEastAsia" w:eastAsiaTheme="minorEastAsia" w:cstheme="minorEastAsia"/>
                <w:b/>
                <w:bCs/>
                <w:color w:val="auto"/>
                <w:spacing w:val="-1"/>
                <w:sz w:val="21"/>
                <w:szCs w:val="21"/>
                <w:highlight w:val="none"/>
                <w:lang w:val="en-US" w:eastAsia="zh-CN"/>
              </w:rPr>
              <w:t>15</w:t>
            </w:r>
            <w:r>
              <w:rPr>
                <w:rFonts w:hint="eastAsia" w:asciiTheme="minorEastAsia" w:hAnsiTheme="minorEastAsia" w:eastAsiaTheme="minorEastAsia" w:cstheme="minorEastAsia"/>
                <w:b/>
                <w:bCs/>
                <w:color w:val="auto"/>
                <w:spacing w:val="-1"/>
                <w:sz w:val="21"/>
                <w:szCs w:val="21"/>
                <w:highlight w:val="none"/>
              </w:rPr>
              <w:t>分）</w:t>
            </w:r>
          </w:p>
        </w:tc>
      </w:tr>
      <w:tr w14:paraId="56958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769" w:type="dxa"/>
            <w:vAlign w:val="top"/>
          </w:tcPr>
          <w:p w14:paraId="318713EF">
            <w:pPr>
              <w:pStyle w:val="54"/>
              <w:keepNext w:val="0"/>
              <w:keepLines w:val="0"/>
              <w:pageBreakBefore w:val="0"/>
              <w:kinsoku/>
              <w:wordWrap/>
              <w:overflowPunct/>
              <w:topLinePunct w:val="0"/>
              <w:bidi w:val="0"/>
              <w:spacing w:before="206" w:line="400" w:lineRule="exact"/>
              <w:ind w:left="34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评分因素</w:t>
            </w:r>
          </w:p>
        </w:tc>
        <w:tc>
          <w:tcPr>
            <w:tcW w:w="6401" w:type="dxa"/>
            <w:vAlign w:val="top"/>
          </w:tcPr>
          <w:p w14:paraId="0F45A576">
            <w:pPr>
              <w:pStyle w:val="54"/>
              <w:keepNext w:val="0"/>
              <w:keepLines w:val="0"/>
              <w:pageBreakBefore w:val="0"/>
              <w:kinsoku/>
              <w:wordWrap/>
              <w:overflowPunct/>
              <w:topLinePunct w:val="0"/>
              <w:bidi w:val="0"/>
              <w:spacing w:before="207" w:line="400" w:lineRule="exact"/>
              <w:ind w:left="302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评标标准</w:t>
            </w:r>
          </w:p>
        </w:tc>
        <w:tc>
          <w:tcPr>
            <w:tcW w:w="1205" w:type="dxa"/>
            <w:vAlign w:val="top"/>
          </w:tcPr>
          <w:p w14:paraId="22E0EEDF">
            <w:pPr>
              <w:pStyle w:val="54"/>
              <w:keepNext w:val="0"/>
              <w:keepLines w:val="0"/>
              <w:pageBreakBefore w:val="0"/>
              <w:kinsoku/>
              <w:wordWrap/>
              <w:overflowPunct/>
              <w:topLinePunct w:val="0"/>
              <w:bidi w:val="0"/>
              <w:spacing w:before="206" w:line="400" w:lineRule="exact"/>
              <w:ind w:left="35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分值</w:t>
            </w:r>
          </w:p>
        </w:tc>
      </w:tr>
      <w:tr w14:paraId="07CB3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769" w:type="dxa"/>
            <w:vAlign w:val="top"/>
          </w:tcPr>
          <w:p w14:paraId="7DE41956">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1AA5847B">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053273D6">
            <w:pPr>
              <w:pStyle w:val="54"/>
              <w:keepNext w:val="0"/>
              <w:keepLines w:val="0"/>
              <w:pageBreakBefore w:val="0"/>
              <w:kinsoku/>
              <w:wordWrap/>
              <w:overflowPunct/>
              <w:topLinePunct w:val="0"/>
              <w:bidi w:val="0"/>
              <w:spacing w:before="65" w:line="400" w:lineRule="exact"/>
              <w:ind w:left="473"/>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6"/>
                <w:sz w:val="21"/>
                <w:szCs w:val="21"/>
                <w:highlight w:val="none"/>
              </w:rPr>
              <w:t>企业业绩</w:t>
            </w:r>
          </w:p>
        </w:tc>
        <w:tc>
          <w:tcPr>
            <w:tcW w:w="6401" w:type="dxa"/>
            <w:vAlign w:val="top"/>
          </w:tcPr>
          <w:p w14:paraId="6AA16AA3">
            <w:pPr>
              <w:pStyle w:val="54"/>
              <w:keepNext w:val="0"/>
              <w:keepLines w:val="0"/>
              <w:pageBreakBefore w:val="0"/>
              <w:kinsoku/>
              <w:wordWrap/>
              <w:overflowPunct/>
              <w:topLinePunct w:val="0"/>
              <w:bidi w:val="0"/>
              <w:spacing w:before="130" w:line="400" w:lineRule="exact"/>
              <w:ind w:left="7" w:right="3" w:firstLine="451" w:firstLineChars="215"/>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年1月1日以来</w:t>
            </w:r>
            <w:r>
              <w:rPr>
                <w:rFonts w:hint="eastAsia" w:asciiTheme="minorEastAsia" w:hAnsiTheme="minorEastAsia" w:eastAsiaTheme="minorEastAsia" w:cstheme="minorEastAsia"/>
                <w:color w:val="auto"/>
                <w:spacing w:val="6"/>
                <w:sz w:val="21"/>
                <w:szCs w:val="21"/>
                <w:highlight w:val="none"/>
              </w:rPr>
              <w:t>（以合同签订时间为准）</w:t>
            </w:r>
            <w:r>
              <w:rPr>
                <w:rFonts w:hint="eastAsia" w:asciiTheme="minorEastAsia" w:hAnsiTheme="minorEastAsia" w:eastAsiaTheme="minorEastAsia" w:cstheme="minorEastAsia"/>
                <w:color w:val="auto"/>
                <w:sz w:val="21"/>
                <w:szCs w:val="21"/>
                <w:highlight w:val="none"/>
              </w:rPr>
              <w:t>，承接有</w:t>
            </w:r>
            <w:r>
              <w:rPr>
                <w:rFonts w:hint="eastAsia" w:asciiTheme="minorEastAsia" w:hAnsiTheme="minorEastAsia" w:eastAsiaTheme="minorEastAsia" w:cstheme="minorEastAsia"/>
                <w:color w:val="auto"/>
                <w:sz w:val="21"/>
                <w:szCs w:val="21"/>
                <w:highlight w:val="none"/>
                <w:lang w:val="en-US" w:eastAsia="zh-CN"/>
              </w:rPr>
              <w:t>类似</w:t>
            </w:r>
            <w:r>
              <w:rPr>
                <w:rFonts w:hint="eastAsia" w:asciiTheme="minorEastAsia" w:hAnsiTheme="minorEastAsia" w:eastAsiaTheme="minorEastAsia" w:cstheme="minorEastAsia"/>
                <w:color w:val="auto"/>
                <w:sz w:val="21"/>
                <w:szCs w:val="21"/>
                <w:highlight w:val="none"/>
              </w:rPr>
              <w:t>项目业绩的每</w:t>
            </w:r>
            <w:r>
              <w:rPr>
                <w:rFonts w:hint="eastAsia" w:asciiTheme="minorEastAsia" w:hAnsiTheme="minorEastAsia" w:eastAsiaTheme="minorEastAsia" w:cstheme="minorEastAsia"/>
                <w:color w:val="auto"/>
                <w:sz w:val="21"/>
                <w:szCs w:val="21"/>
                <w:highlight w:val="none"/>
                <w:lang w:val="en-US" w:eastAsia="zh-CN"/>
              </w:rPr>
              <w:t>提供一个</w:t>
            </w:r>
            <w:r>
              <w:rPr>
                <w:rFonts w:hint="eastAsia" w:asciiTheme="minorEastAsia" w:hAnsiTheme="minorEastAsia" w:eastAsiaTheme="minorEastAsia" w:cstheme="minorEastAsia"/>
                <w:color w:val="auto"/>
                <w:sz w:val="21"/>
                <w:szCs w:val="21"/>
                <w:highlight w:val="none"/>
              </w:rPr>
              <w:t>得</w:t>
            </w:r>
            <w:r>
              <w:rPr>
                <w:rFonts w:hint="eastAsia" w:asciiTheme="minorEastAsia" w:hAnsiTheme="minorEastAsia" w:eastAsiaTheme="minorEastAsia" w:cstheme="minorEastAsia"/>
                <w:color w:val="auto"/>
                <w:sz w:val="21"/>
                <w:szCs w:val="21"/>
                <w:highlight w:val="none"/>
                <w:lang w:val="en-US" w:eastAsia="zh-CN"/>
              </w:rPr>
              <w:t>3.5</w:t>
            </w:r>
            <w:r>
              <w:rPr>
                <w:rFonts w:hint="eastAsia" w:asciiTheme="minorEastAsia" w:hAnsiTheme="minorEastAsia" w:eastAsiaTheme="minorEastAsia" w:cstheme="minorEastAsia"/>
                <w:color w:val="auto"/>
                <w:sz w:val="21"/>
                <w:szCs w:val="21"/>
                <w:highlight w:val="none"/>
              </w:rPr>
              <w:t>分，最高得</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lang w:val="zh-CN"/>
              </w:rPr>
              <w:t>未提供</w:t>
            </w:r>
            <w:r>
              <w:rPr>
                <w:rFonts w:hint="eastAsia" w:asciiTheme="minorEastAsia" w:hAnsiTheme="minorEastAsia" w:eastAsiaTheme="minorEastAsia" w:cstheme="minorEastAsia"/>
                <w:color w:val="auto"/>
                <w:sz w:val="21"/>
                <w:szCs w:val="21"/>
                <w:lang w:val="en-US" w:eastAsia="zh-CN"/>
              </w:rPr>
              <w:t>者</w:t>
            </w:r>
            <w:r>
              <w:rPr>
                <w:rFonts w:hint="eastAsia" w:asciiTheme="minorEastAsia" w:hAnsiTheme="minorEastAsia" w:eastAsiaTheme="minorEastAsia" w:cstheme="minorEastAsia"/>
                <w:color w:val="auto"/>
                <w:sz w:val="21"/>
                <w:szCs w:val="21"/>
                <w:lang w:val="zh-CN"/>
              </w:rPr>
              <w:t>不得分</w:t>
            </w:r>
            <w:r>
              <w:rPr>
                <w:rFonts w:hint="eastAsia" w:asciiTheme="minorEastAsia" w:hAnsiTheme="minorEastAsia" w:eastAsiaTheme="minorEastAsia" w:cstheme="minorEastAsia"/>
                <w:color w:val="auto"/>
                <w:sz w:val="21"/>
                <w:szCs w:val="21"/>
                <w:highlight w:val="none"/>
              </w:rPr>
              <w:t>。</w:t>
            </w:r>
          </w:p>
          <w:p w14:paraId="329B3D1B">
            <w:pPr>
              <w:pStyle w:val="54"/>
              <w:keepNext w:val="0"/>
              <w:keepLines w:val="0"/>
              <w:pageBreakBefore w:val="0"/>
              <w:kinsoku/>
              <w:wordWrap/>
              <w:overflowPunct/>
              <w:topLinePunct w:val="0"/>
              <w:bidi w:val="0"/>
              <w:spacing w:before="130" w:line="400" w:lineRule="exact"/>
              <w:ind w:left="7" w:right="3" w:firstLine="451" w:firstLineChars="215"/>
              <w:jc w:val="both"/>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w:t>
            </w:r>
            <w:r>
              <w:rPr>
                <w:rFonts w:hint="eastAsia" w:asciiTheme="minorEastAsia" w:hAnsiTheme="minorEastAsia" w:eastAsiaTheme="minorEastAsia" w:cstheme="minorEastAsia"/>
                <w:color w:val="auto"/>
                <w:sz w:val="21"/>
                <w:szCs w:val="21"/>
                <w:highlight w:val="none"/>
                <w:lang w:val="en-US" w:eastAsia="zh-CN"/>
              </w:rPr>
              <w:t>类似</w:t>
            </w:r>
            <w:r>
              <w:rPr>
                <w:rFonts w:hint="eastAsia" w:asciiTheme="minorEastAsia" w:hAnsiTheme="minorEastAsia" w:eastAsiaTheme="minorEastAsia" w:cstheme="minorEastAsia"/>
                <w:color w:val="auto"/>
                <w:sz w:val="21"/>
                <w:szCs w:val="21"/>
                <w:highlight w:val="none"/>
              </w:rPr>
              <w:t>项目”是指</w:t>
            </w:r>
            <w:r>
              <w:rPr>
                <w:rFonts w:hint="eastAsia" w:asciiTheme="minorEastAsia" w:hAnsiTheme="minorEastAsia" w:eastAsiaTheme="minorEastAsia" w:cstheme="minorEastAsia"/>
                <w:color w:val="auto"/>
                <w:sz w:val="21"/>
                <w:szCs w:val="21"/>
                <w:highlight w:val="none"/>
                <w:lang w:val="en-US" w:eastAsia="zh-CN"/>
              </w:rPr>
              <w:t>供应商</w:t>
            </w:r>
            <w:r>
              <w:rPr>
                <w:rFonts w:hint="eastAsia" w:asciiTheme="minorEastAsia" w:hAnsiTheme="minorEastAsia" w:eastAsiaTheme="minorEastAsia" w:cstheme="minorEastAsia"/>
                <w:color w:val="auto"/>
                <w:sz w:val="21"/>
                <w:szCs w:val="21"/>
                <w:highlight w:val="none"/>
              </w:rPr>
              <w:t>以往承担过的项目标的或服务内容、服务标准与本次招标的标的或服务内容、服务标准</w:t>
            </w:r>
            <w:r>
              <w:rPr>
                <w:rFonts w:hint="eastAsia" w:asciiTheme="minorEastAsia" w:hAnsiTheme="minorEastAsia" w:eastAsiaTheme="minorEastAsia" w:cstheme="minorEastAsia"/>
                <w:color w:val="auto"/>
                <w:sz w:val="21"/>
                <w:szCs w:val="21"/>
                <w:highlight w:val="none"/>
                <w:lang w:val="en-US" w:eastAsia="zh-CN"/>
              </w:rPr>
              <w:t>类似</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响应</w:t>
            </w:r>
            <w:r>
              <w:rPr>
                <w:rFonts w:hint="eastAsia" w:asciiTheme="minorEastAsia" w:hAnsiTheme="minorEastAsia" w:eastAsiaTheme="minorEastAsia" w:cstheme="minorEastAsia"/>
                <w:color w:val="auto"/>
                <w:sz w:val="21"/>
                <w:szCs w:val="21"/>
                <w:highlight w:val="none"/>
              </w:rPr>
              <w:t>文件中</w:t>
            </w:r>
            <w:r>
              <w:rPr>
                <w:rFonts w:hint="eastAsia" w:asciiTheme="minorEastAsia" w:hAnsiTheme="minorEastAsia" w:eastAsiaTheme="minorEastAsia" w:cstheme="minorEastAsia"/>
                <w:color w:val="auto"/>
                <w:sz w:val="21"/>
                <w:szCs w:val="21"/>
                <w:highlight w:val="none"/>
                <w:lang w:val="en-US" w:eastAsia="zh-CN"/>
              </w:rPr>
              <w:t>需</w:t>
            </w:r>
            <w:r>
              <w:rPr>
                <w:rFonts w:hint="eastAsia" w:asciiTheme="minorEastAsia" w:hAnsiTheme="minorEastAsia" w:eastAsiaTheme="minorEastAsia" w:cstheme="minorEastAsia"/>
                <w:color w:val="auto"/>
                <w:sz w:val="21"/>
                <w:szCs w:val="21"/>
                <w:highlight w:val="none"/>
              </w:rPr>
              <w:t>附合同书原件的扫描件</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或图片</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p>
        </w:tc>
        <w:tc>
          <w:tcPr>
            <w:tcW w:w="1205" w:type="dxa"/>
            <w:vAlign w:val="top"/>
          </w:tcPr>
          <w:p w14:paraId="274BBB3C">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23D4C7D2">
            <w:pPr>
              <w:pStyle w:val="54"/>
              <w:keepNext w:val="0"/>
              <w:keepLines w:val="0"/>
              <w:pageBreakBefore w:val="0"/>
              <w:kinsoku/>
              <w:wordWrap/>
              <w:overflowPunct/>
              <w:topLinePunct w:val="0"/>
              <w:bidi w:val="0"/>
              <w:spacing w:before="65" w:line="400" w:lineRule="exact"/>
              <w:ind w:left="399"/>
              <w:textAlignment w:val="auto"/>
              <w:rPr>
                <w:rFonts w:hint="eastAsia" w:asciiTheme="minorEastAsia" w:hAnsiTheme="minorEastAsia" w:eastAsiaTheme="minorEastAsia" w:cstheme="minorEastAsia"/>
                <w:color w:val="auto"/>
                <w:spacing w:val="-3"/>
                <w:sz w:val="21"/>
                <w:szCs w:val="21"/>
                <w:highlight w:val="none"/>
                <w:lang w:val="en-US" w:eastAsia="zh-CN"/>
              </w:rPr>
            </w:pPr>
          </w:p>
          <w:p w14:paraId="2829A064">
            <w:pPr>
              <w:pStyle w:val="54"/>
              <w:keepNext w:val="0"/>
              <w:keepLines w:val="0"/>
              <w:pageBreakBefore w:val="0"/>
              <w:kinsoku/>
              <w:wordWrap/>
              <w:overflowPunct/>
              <w:topLinePunct w:val="0"/>
              <w:bidi w:val="0"/>
              <w:spacing w:before="65" w:line="400" w:lineRule="exact"/>
              <w:ind w:left="399"/>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lang w:val="en-US" w:eastAsia="zh-CN"/>
              </w:rPr>
              <w:t>7</w:t>
            </w:r>
            <w:r>
              <w:rPr>
                <w:rFonts w:hint="eastAsia" w:asciiTheme="minorEastAsia" w:hAnsiTheme="minorEastAsia" w:eastAsiaTheme="minorEastAsia" w:cstheme="minorEastAsia"/>
                <w:color w:val="auto"/>
                <w:spacing w:val="-3"/>
                <w:sz w:val="21"/>
                <w:szCs w:val="21"/>
                <w:highlight w:val="none"/>
              </w:rPr>
              <w:t>分</w:t>
            </w:r>
          </w:p>
        </w:tc>
      </w:tr>
      <w:tr w14:paraId="63076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1769" w:type="dxa"/>
            <w:vAlign w:val="center"/>
          </w:tcPr>
          <w:p w14:paraId="0C8CF041">
            <w:pPr>
              <w:keepNext w:val="0"/>
              <w:keepLines w:val="0"/>
              <w:pageBreakBefore w:val="0"/>
              <w:tabs>
                <w:tab w:val="left" w:pos="1260"/>
              </w:tabs>
              <w:kinsoku/>
              <w:wordWrap/>
              <w:overflowPunct/>
              <w:topLinePunct w:val="0"/>
              <w:autoSpaceDE w:val="0"/>
              <w:autoSpaceDN w:val="0"/>
              <w:bidi w:val="0"/>
              <w:spacing w:line="400" w:lineRule="exact"/>
              <w:contextualSpacing/>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服务设备及人员</w:t>
            </w:r>
          </w:p>
          <w:p w14:paraId="54FDFC27">
            <w:pPr>
              <w:keepNext w:val="0"/>
              <w:keepLines w:val="0"/>
              <w:pageBreakBefore w:val="0"/>
              <w:kinsoku/>
              <w:wordWrap/>
              <w:overflowPunct/>
              <w:topLinePunct w:val="0"/>
              <w:bidi w:val="0"/>
              <w:spacing w:line="40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配备</w:t>
            </w:r>
          </w:p>
        </w:tc>
        <w:tc>
          <w:tcPr>
            <w:tcW w:w="6401" w:type="dxa"/>
            <w:vAlign w:val="center"/>
          </w:tcPr>
          <w:p w14:paraId="54913550">
            <w:pPr>
              <w:keepNext w:val="0"/>
              <w:keepLines w:val="0"/>
              <w:pageBreakBefore w:val="0"/>
              <w:numPr>
                <w:ilvl w:val="0"/>
                <w:numId w:val="0"/>
              </w:numPr>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en-US" w:eastAsia="zh-CN"/>
              </w:rPr>
              <w:t>1.供应商</w:t>
            </w:r>
            <w:r>
              <w:rPr>
                <w:rFonts w:hint="eastAsia" w:asciiTheme="minorEastAsia" w:hAnsiTheme="minorEastAsia" w:eastAsiaTheme="minorEastAsia" w:cstheme="minorEastAsia"/>
                <w:color w:val="auto"/>
                <w:sz w:val="21"/>
                <w:szCs w:val="21"/>
                <w:lang w:val="zh-CN"/>
              </w:rPr>
              <w:t>为本项目提供服务所采用的</w:t>
            </w:r>
            <w:r>
              <w:rPr>
                <w:rFonts w:hint="eastAsia" w:asciiTheme="minorEastAsia" w:hAnsiTheme="minorEastAsia" w:eastAsiaTheme="minorEastAsia" w:cstheme="minorEastAsia"/>
                <w:color w:val="auto"/>
                <w:sz w:val="21"/>
                <w:szCs w:val="21"/>
                <w:lang w:val="zh-CN" w:eastAsia="zh-CN"/>
              </w:rPr>
              <w:t>植保</w:t>
            </w:r>
            <w:r>
              <w:rPr>
                <w:rFonts w:hint="eastAsia" w:asciiTheme="minorEastAsia" w:hAnsiTheme="minorEastAsia" w:eastAsiaTheme="minorEastAsia" w:cstheme="minorEastAsia"/>
                <w:color w:val="auto"/>
                <w:sz w:val="21"/>
                <w:szCs w:val="21"/>
                <w:lang w:val="zh-CN"/>
              </w:rPr>
              <w:t>无人机数量不</w:t>
            </w:r>
            <w:r>
              <w:rPr>
                <w:rFonts w:hint="eastAsia" w:asciiTheme="minorEastAsia" w:hAnsiTheme="minorEastAsia" w:cstheme="minorEastAsia"/>
                <w:color w:val="auto"/>
                <w:sz w:val="21"/>
                <w:szCs w:val="21"/>
                <w:lang w:val="en-US" w:eastAsia="zh-CN"/>
              </w:rPr>
              <w:t>低于8</w:t>
            </w:r>
            <w:r>
              <w:rPr>
                <w:rFonts w:hint="eastAsia" w:asciiTheme="minorEastAsia" w:hAnsiTheme="minorEastAsia" w:eastAsiaTheme="minorEastAsia" w:cstheme="minorEastAsia"/>
                <w:color w:val="auto"/>
                <w:sz w:val="21"/>
                <w:szCs w:val="21"/>
                <w:lang w:val="zh-CN"/>
              </w:rPr>
              <w:t>架，</w:t>
            </w:r>
            <w:r>
              <w:rPr>
                <w:rFonts w:hint="eastAsia" w:asciiTheme="minorEastAsia" w:hAnsiTheme="minorEastAsia" w:cstheme="minorEastAsia"/>
                <w:color w:val="auto"/>
                <w:sz w:val="21"/>
                <w:szCs w:val="21"/>
                <w:lang w:val="en-US" w:eastAsia="zh-CN"/>
              </w:rPr>
              <w:t>满足条件者得4分，每少一架扣0.5分，扣完为止。</w:t>
            </w:r>
          </w:p>
          <w:p w14:paraId="083AC7C0">
            <w:pPr>
              <w:keepNext w:val="0"/>
              <w:keepLines w:val="0"/>
              <w:pageBreakBefore w:val="0"/>
              <w:numPr>
                <w:ilvl w:val="0"/>
                <w:numId w:val="0"/>
              </w:numPr>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en-US" w:eastAsia="zh-CN"/>
              </w:rPr>
              <w:t>注：</w:t>
            </w:r>
            <w:r>
              <w:rPr>
                <w:rFonts w:hint="eastAsia" w:asciiTheme="minorEastAsia" w:hAnsiTheme="minorEastAsia" w:eastAsiaTheme="minorEastAsia" w:cstheme="minorEastAsia"/>
                <w:color w:val="auto"/>
                <w:sz w:val="21"/>
                <w:szCs w:val="21"/>
                <w:highlight w:val="none"/>
                <w:lang w:val="en-US" w:eastAsia="zh-CN"/>
              </w:rPr>
              <w:t>响应</w:t>
            </w:r>
            <w:r>
              <w:rPr>
                <w:rFonts w:hint="eastAsia" w:asciiTheme="minorEastAsia" w:hAnsiTheme="minorEastAsia" w:eastAsiaTheme="minorEastAsia" w:cstheme="minorEastAsia"/>
                <w:color w:val="auto"/>
                <w:sz w:val="21"/>
                <w:szCs w:val="21"/>
                <w:highlight w:val="none"/>
              </w:rPr>
              <w:t>文件中</w:t>
            </w:r>
            <w:r>
              <w:rPr>
                <w:rFonts w:hint="eastAsia" w:asciiTheme="minorEastAsia" w:hAnsiTheme="minorEastAsia" w:eastAsiaTheme="minorEastAsia" w:cstheme="minorEastAsia"/>
                <w:color w:val="auto"/>
                <w:sz w:val="21"/>
                <w:szCs w:val="21"/>
                <w:lang w:val="zh-CN"/>
              </w:rPr>
              <w:t>需提供无人机购置发票或有效的租赁合同原件扫描件（</w:t>
            </w:r>
            <w:r>
              <w:rPr>
                <w:rFonts w:hint="eastAsia" w:asciiTheme="minorEastAsia" w:hAnsiTheme="minorEastAsia" w:eastAsiaTheme="minorEastAsia" w:cstheme="minorEastAsia"/>
                <w:color w:val="auto"/>
                <w:sz w:val="21"/>
                <w:szCs w:val="21"/>
                <w:lang w:val="en-US" w:eastAsia="zh-CN"/>
              </w:rPr>
              <w:t>或图片</w:t>
            </w:r>
            <w:r>
              <w:rPr>
                <w:rFonts w:hint="eastAsia" w:asciiTheme="minorEastAsia" w:hAnsiTheme="minorEastAsia" w:eastAsiaTheme="minorEastAsia" w:cstheme="minorEastAsia"/>
                <w:color w:val="auto"/>
                <w:sz w:val="21"/>
                <w:szCs w:val="21"/>
                <w:lang w:val="zh-CN"/>
              </w:rPr>
              <w:t>）</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zh-CN"/>
              </w:rPr>
              <w:t>未提供</w:t>
            </w:r>
            <w:r>
              <w:rPr>
                <w:rFonts w:hint="eastAsia" w:asciiTheme="minorEastAsia" w:hAnsiTheme="minorEastAsia" w:eastAsiaTheme="minorEastAsia" w:cstheme="minorEastAsia"/>
                <w:color w:val="auto"/>
                <w:sz w:val="21"/>
                <w:szCs w:val="21"/>
                <w:lang w:val="en-US" w:eastAsia="zh-CN"/>
              </w:rPr>
              <w:t>者</w:t>
            </w:r>
            <w:r>
              <w:rPr>
                <w:rFonts w:hint="eastAsia" w:asciiTheme="minorEastAsia" w:hAnsiTheme="minorEastAsia" w:eastAsiaTheme="minorEastAsia" w:cstheme="minorEastAsia"/>
                <w:color w:val="auto"/>
                <w:sz w:val="21"/>
                <w:szCs w:val="21"/>
                <w:lang w:val="zh-CN"/>
              </w:rPr>
              <w:t>不得分。</w:t>
            </w:r>
          </w:p>
          <w:p w14:paraId="4E0A01E2">
            <w:pPr>
              <w:keepNext w:val="0"/>
              <w:keepLines w:val="0"/>
              <w:pageBreakBefore w:val="0"/>
              <w:numPr>
                <w:ilvl w:val="0"/>
                <w:numId w:val="0"/>
              </w:numPr>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lang w:val="zh-CN"/>
              </w:rPr>
              <w:t>供应商</w:t>
            </w:r>
            <w:r>
              <w:rPr>
                <w:rFonts w:hint="eastAsia" w:asciiTheme="minorEastAsia" w:hAnsiTheme="minorEastAsia" w:eastAsiaTheme="minorEastAsia" w:cstheme="minorEastAsia"/>
                <w:color w:val="auto"/>
                <w:sz w:val="21"/>
                <w:szCs w:val="21"/>
                <w:lang w:val="en-US" w:eastAsia="zh-CN"/>
              </w:rPr>
              <w:t>提供</w:t>
            </w:r>
            <w:r>
              <w:rPr>
                <w:rFonts w:hint="eastAsia" w:asciiTheme="minorEastAsia" w:hAnsiTheme="minorEastAsia" w:eastAsiaTheme="minorEastAsia" w:cstheme="minorEastAsia"/>
                <w:color w:val="auto"/>
                <w:sz w:val="21"/>
                <w:szCs w:val="21"/>
                <w:lang w:val="zh-CN"/>
              </w:rPr>
              <w:t>植保机操作员及专业机械操作人员持有由办学许可单位颁发的航空器地面设备操作员证或无人机生产企业颁发的操作员证，操作人员不</w:t>
            </w:r>
            <w:r>
              <w:rPr>
                <w:rFonts w:hint="eastAsia" w:asciiTheme="minorEastAsia" w:hAnsiTheme="minorEastAsia" w:cstheme="minorEastAsia"/>
                <w:color w:val="auto"/>
                <w:sz w:val="21"/>
                <w:szCs w:val="21"/>
                <w:lang w:val="en-US" w:eastAsia="zh-CN"/>
              </w:rPr>
              <w:t>低于8</w:t>
            </w:r>
            <w:r>
              <w:rPr>
                <w:rFonts w:hint="eastAsia" w:asciiTheme="minorEastAsia" w:hAnsiTheme="minorEastAsia" w:eastAsiaTheme="minorEastAsia" w:cstheme="minorEastAsia"/>
                <w:color w:val="auto"/>
                <w:sz w:val="21"/>
                <w:szCs w:val="21"/>
                <w:lang w:val="zh-CN"/>
              </w:rPr>
              <w:t>人，</w:t>
            </w:r>
            <w:r>
              <w:rPr>
                <w:rFonts w:hint="eastAsia" w:asciiTheme="minorEastAsia" w:hAnsiTheme="minorEastAsia" w:cstheme="minorEastAsia"/>
                <w:color w:val="auto"/>
                <w:sz w:val="21"/>
                <w:szCs w:val="21"/>
                <w:lang w:val="en-US" w:eastAsia="zh-CN"/>
              </w:rPr>
              <w:t>满足条件者得4分，</w:t>
            </w:r>
            <w:r>
              <w:rPr>
                <w:rFonts w:hint="eastAsia" w:asciiTheme="minorEastAsia" w:hAnsiTheme="minorEastAsia" w:eastAsiaTheme="minorEastAsia" w:cstheme="minorEastAsia"/>
                <w:color w:val="auto"/>
                <w:sz w:val="21"/>
                <w:szCs w:val="21"/>
                <w:lang w:val="zh-CN"/>
              </w:rPr>
              <w:t>每</w:t>
            </w:r>
            <w:r>
              <w:rPr>
                <w:rFonts w:hint="eastAsia" w:asciiTheme="minorEastAsia" w:hAnsiTheme="minorEastAsia" w:cstheme="minorEastAsia"/>
                <w:color w:val="auto"/>
                <w:sz w:val="21"/>
                <w:szCs w:val="21"/>
                <w:lang w:val="en-US" w:eastAsia="zh-CN"/>
              </w:rPr>
              <w:t>少</w:t>
            </w:r>
            <w:r>
              <w:rPr>
                <w:rFonts w:hint="eastAsia" w:asciiTheme="minorEastAsia" w:hAnsiTheme="minorEastAsia" w:eastAsiaTheme="minorEastAsia" w:cstheme="minorEastAsia"/>
                <w:color w:val="auto"/>
                <w:sz w:val="21"/>
                <w:szCs w:val="21"/>
                <w:lang w:val="zh-CN"/>
              </w:rPr>
              <w:t>一人</w:t>
            </w:r>
            <w:r>
              <w:rPr>
                <w:rFonts w:hint="eastAsia" w:asciiTheme="minorEastAsia" w:hAnsiTheme="minorEastAsia" w:cstheme="minorEastAsia"/>
                <w:color w:val="auto"/>
                <w:sz w:val="21"/>
                <w:szCs w:val="21"/>
                <w:lang w:val="en-US" w:eastAsia="zh-CN"/>
              </w:rPr>
              <w:t>扣0.5分，扣完为止。</w:t>
            </w:r>
          </w:p>
          <w:p w14:paraId="41D0D992">
            <w:pPr>
              <w:keepNext w:val="0"/>
              <w:keepLines w:val="0"/>
              <w:pageBreakBefore w:val="0"/>
              <w:numPr>
                <w:ilvl w:val="0"/>
                <w:numId w:val="0"/>
              </w:numPr>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lang w:val="en-US" w:eastAsia="zh-CN"/>
              </w:rPr>
              <w:t>注：</w:t>
            </w:r>
            <w:r>
              <w:rPr>
                <w:rFonts w:hint="eastAsia" w:asciiTheme="minorEastAsia" w:hAnsiTheme="minorEastAsia" w:eastAsiaTheme="minorEastAsia" w:cstheme="minorEastAsia"/>
                <w:color w:val="auto"/>
                <w:sz w:val="21"/>
                <w:szCs w:val="21"/>
                <w:highlight w:val="none"/>
                <w:lang w:val="en-US" w:eastAsia="zh-CN"/>
              </w:rPr>
              <w:t>响应</w:t>
            </w:r>
            <w:r>
              <w:rPr>
                <w:rFonts w:hint="eastAsia" w:asciiTheme="minorEastAsia" w:hAnsiTheme="minorEastAsia" w:eastAsiaTheme="minorEastAsia" w:cstheme="minorEastAsia"/>
                <w:color w:val="auto"/>
                <w:sz w:val="21"/>
                <w:szCs w:val="21"/>
                <w:highlight w:val="none"/>
              </w:rPr>
              <w:t>文件中</w:t>
            </w:r>
            <w:r>
              <w:rPr>
                <w:rFonts w:hint="eastAsia" w:asciiTheme="minorEastAsia" w:hAnsiTheme="minorEastAsia" w:cstheme="minorEastAsia"/>
                <w:color w:val="auto"/>
                <w:sz w:val="21"/>
                <w:szCs w:val="21"/>
                <w:highlight w:val="none"/>
                <w:lang w:val="en-US" w:eastAsia="zh-CN"/>
              </w:rPr>
              <w:t>需</w:t>
            </w:r>
            <w:r>
              <w:rPr>
                <w:rFonts w:hint="eastAsia" w:asciiTheme="minorEastAsia" w:hAnsiTheme="minorEastAsia" w:eastAsiaTheme="minorEastAsia" w:cstheme="minorEastAsia"/>
                <w:color w:val="auto"/>
                <w:sz w:val="21"/>
                <w:szCs w:val="21"/>
                <w:lang w:val="zh-CN"/>
              </w:rPr>
              <w:t>提供</w:t>
            </w:r>
            <w:r>
              <w:rPr>
                <w:rFonts w:hint="eastAsia" w:asciiTheme="minorEastAsia" w:hAnsiTheme="minorEastAsia" w:cstheme="minorEastAsia"/>
                <w:color w:val="auto"/>
                <w:sz w:val="21"/>
                <w:szCs w:val="21"/>
                <w:lang w:val="en-US" w:eastAsia="zh-CN"/>
              </w:rPr>
              <w:t>人员</w:t>
            </w:r>
            <w:r>
              <w:rPr>
                <w:rFonts w:hint="eastAsia" w:ascii="宋体" w:hAnsi="宋体" w:eastAsia="宋体" w:cs="宋体"/>
                <w:color w:val="auto"/>
                <w:spacing w:val="6"/>
                <w:sz w:val="21"/>
                <w:szCs w:val="21"/>
                <w:highlight w:val="none"/>
                <w:lang w:val="en-US" w:eastAsia="zh-CN"/>
              </w:rPr>
              <w:t>社保缴纳凭证（或劳动合同）</w:t>
            </w:r>
            <w:r>
              <w:rPr>
                <w:rFonts w:hint="eastAsia" w:asciiTheme="minorEastAsia" w:hAnsiTheme="minorEastAsia" w:eastAsiaTheme="minorEastAsia" w:cstheme="minorEastAsia"/>
                <w:color w:val="auto"/>
                <w:sz w:val="21"/>
                <w:szCs w:val="21"/>
                <w:lang w:val="zh-CN"/>
              </w:rPr>
              <w:t>、</w:t>
            </w:r>
            <w:r>
              <w:rPr>
                <w:rFonts w:hint="eastAsia" w:asciiTheme="minorEastAsia" w:hAnsiTheme="minorEastAsia" w:eastAsiaTheme="minorEastAsia" w:cstheme="minorEastAsia"/>
                <w:color w:val="auto"/>
                <w:sz w:val="21"/>
                <w:szCs w:val="21"/>
                <w:lang w:val="en-US" w:eastAsia="zh-CN"/>
              </w:rPr>
              <w:t>相关</w:t>
            </w:r>
            <w:r>
              <w:rPr>
                <w:rFonts w:hint="eastAsia" w:asciiTheme="minorEastAsia" w:hAnsiTheme="minorEastAsia" w:eastAsiaTheme="minorEastAsia" w:cstheme="minorEastAsia"/>
                <w:color w:val="auto"/>
                <w:sz w:val="21"/>
                <w:szCs w:val="21"/>
                <w:lang w:val="zh-CN"/>
              </w:rPr>
              <w:t>证书原件扫描件</w:t>
            </w:r>
            <w:r>
              <w:rPr>
                <w:rFonts w:hint="eastAsia" w:asciiTheme="minorEastAsia" w:hAnsiTheme="minorEastAsia" w:eastAsiaTheme="minorEastAsia" w:cstheme="minorEastAsia"/>
                <w:color w:val="auto"/>
                <w:sz w:val="21"/>
                <w:szCs w:val="21"/>
                <w:lang w:val="en-US" w:eastAsia="zh-CN"/>
              </w:rPr>
              <w:t>或图片，</w:t>
            </w:r>
            <w:r>
              <w:rPr>
                <w:rFonts w:hint="eastAsia" w:asciiTheme="minorEastAsia" w:hAnsiTheme="minorEastAsia" w:eastAsiaTheme="minorEastAsia" w:cstheme="minorEastAsia"/>
                <w:color w:val="auto"/>
                <w:sz w:val="21"/>
                <w:szCs w:val="21"/>
                <w:lang w:val="zh-CN"/>
              </w:rPr>
              <w:t>未提供</w:t>
            </w:r>
            <w:r>
              <w:rPr>
                <w:rFonts w:hint="eastAsia" w:asciiTheme="minorEastAsia" w:hAnsiTheme="minorEastAsia" w:eastAsiaTheme="minorEastAsia" w:cstheme="minorEastAsia"/>
                <w:color w:val="auto"/>
                <w:sz w:val="21"/>
                <w:szCs w:val="21"/>
                <w:lang w:val="en-US" w:eastAsia="zh-CN"/>
              </w:rPr>
              <w:t>者</w:t>
            </w:r>
            <w:r>
              <w:rPr>
                <w:rFonts w:hint="eastAsia" w:asciiTheme="minorEastAsia" w:hAnsiTheme="minorEastAsia" w:eastAsiaTheme="minorEastAsia" w:cstheme="minorEastAsia"/>
                <w:color w:val="auto"/>
                <w:sz w:val="21"/>
                <w:szCs w:val="21"/>
                <w:lang w:val="zh-CN"/>
              </w:rPr>
              <w:t>不得分。</w:t>
            </w:r>
          </w:p>
        </w:tc>
        <w:tc>
          <w:tcPr>
            <w:tcW w:w="1205" w:type="dxa"/>
            <w:vAlign w:val="top"/>
          </w:tcPr>
          <w:p w14:paraId="4E66C9D8">
            <w:pPr>
              <w:keepNext w:val="0"/>
              <w:keepLines w:val="0"/>
              <w:pageBreakBefore w:val="0"/>
              <w:kinsoku/>
              <w:wordWrap/>
              <w:overflowPunct/>
              <w:topLinePunct w:val="0"/>
              <w:bidi w:val="0"/>
              <w:spacing w:line="400" w:lineRule="exact"/>
              <w:textAlignment w:val="auto"/>
              <w:rPr>
                <w:rFonts w:hint="eastAsia" w:asciiTheme="minorEastAsia" w:hAnsiTheme="minorEastAsia" w:eastAsiaTheme="minorEastAsia" w:cstheme="minorEastAsia"/>
                <w:color w:val="auto"/>
                <w:sz w:val="21"/>
                <w:szCs w:val="21"/>
                <w:highlight w:val="none"/>
              </w:rPr>
            </w:pPr>
          </w:p>
          <w:p w14:paraId="6951D3B9">
            <w:pPr>
              <w:pStyle w:val="54"/>
              <w:keepNext w:val="0"/>
              <w:keepLines w:val="0"/>
              <w:pageBreakBefore w:val="0"/>
              <w:kinsoku/>
              <w:wordWrap/>
              <w:overflowPunct/>
              <w:topLinePunct w:val="0"/>
              <w:bidi w:val="0"/>
              <w:spacing w:before="65" w:line="400" w:lineRule="exact"/>
              <w:ind w:left="428"/>
              <w:textAlignment w:val="auto"/>
              <w:rPr>
                <w:rFonts w:hint="eastAsia" w:asciiTheme="minorEastAsia" w:hAnsiTheme="minorEastAsia" w:eastAsiaTheme="minorEastAsia" w:cstheme="minorEastAsia"/>
                <w:color w:val="auto"/>
                <w:spacing w:val="-4"/>
                <w:sz w:val="21"/>
                <w:szCs w:val="21"/>
                <w:highlight w:val="none"/>
                <w:lang w:val="en-US" w:eastAsia="zh-CN"/>
              </w:rPr>
            </w:pPr>
          </w:p>
          <w:p w14:paraId="347FF176">
            <w:pPr>
              <w:pStyle w:val="54"/>
              <w:keepNext w:val="0"/>
              <w:keepLines w:val="0"/>
              <w:pageBreakBefore w:val="0"/>
              <w:kinsoku/>
              <w:wordWrap/>
              <w:overflowPunct/>
              <w:topLinePunct w:val="0"/>
              <w:bidi w:val="0"/>
              <w:spacing w:before="65" w:line="400" w:lineRule="exact"/>
              <w:ind w:left="428"/>
              <w:textAlignment w:val="auto"/>
              <w:rPr>
                <w:rFonts w:hint="eastAsia" w:asciiTheme="minorEastAsia" w:hAnsiTheme="minorEastAsia" w:eastAsiaTheme="minorEastAsia" w:cstheme="minorEastAsia"/>
                <w:color w:val="auto"/>
                <w:spacing w:val="-4"/>
                <w:sz w:val="21"/>
                <w:szCs w:val="21"/>
                <w:highlight w:val="none"/>
                <w:lang w:val="en-US" w:eastAsia="zh-CN"/>
              </w:rPr>
            </w:pPr>
          </w:p>
          <w:p w14:paraId="076E7115">
            <w:pPr>
              <w:pStyle w:val="54"/>
              <w:keepNext w:val="0"/>
              <w:keepLines w:val="0"/>
              <w:pageBreakBefore w:val="0"/>
              <w:kinsoku/>
              <w:wordWrap/>
              <w:overflowPunct/>
              <w:topLinePunct w:val="0"/>
              <w:bidi w:val="0"/>
              <w:spacing w:before="65" w:line="400" w:lineRule="exact"/>
              <w:ind w:left="428"/>
              <w:textAlignment w:val="auto"/>
              <w:rPr>
                <w:rFonts w:hint="eastAsia" w:asciiTheme="minorEastAsia" w:hAnsiTheme="minorEastAsia" w:eastAsiaTheme="minorEastAsia" w:cstheme="minorEastAsia"/>
                <w:color w:val="auto"/>
                <w:spacing w:val="-4"/>
                <w:sz w:val="21"/>
                <w:szCs w:val="21"/>
                <w:highlight w:val="none"/>
                <w:lang w:val="en-US" w:eastAsia="zh-CN"/>
              </w:rPr>
            </w:pPr>
          </w:p>
          <w:p w14:paraId="33DCC91F">
            <w:pPr>
              <w:pStyle w:val="54"/>
              <w:keepNext w:val="0"/>
              <w:keepLines w:val="0"/>
              <w:pageBreakBefore w:val="0"/>
              <w:kinsoku/>
              <w:wordWrap/>
              <w:overflowPunct/>
              <w:topLinePunct w:val="0"/>
              <w:bidi w:val="0"/>
              <w:spacing w:before="65" w:line="400" w:lineRule="exact"/>
              <w:ind w:left="428"/>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lang w:val="en-US" w:eastAsia="zh-CN"/>
              </w:rPr>
              <w:t>8</w:t>
            </w:r>
            <w:r>
              <w:rPr>
                <w:rFonts w:hint="eastAsia" w:asciiTheme="minorEastAsia" w:hAnsiTheme="minorEastAsia" w:eastAsiaTheme="minorEastAsia" w:cstheme="minorEastAsia"/>
                <w:color w:val="auto"/>
                <w:spacing w:val="-4"/>
                <w:sz w:val="21"/>
                <w:szCs w:val="21"/>
                <w:highlight w:val="none"/>
              </w:rPr>
              <w:t>分</w:t>
            </w:r>
          </w:p>
        </w:tc>
      </w:tr>
      <w:tr w14:paraId="796BA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375" w:type="dxa"/>
            <w:gridSpan w:val="3"/>
            <w:vAlign w:val="top"/>
          </w:tcPr>
          <w:p w14:paraId="193CE88A">
            <w:pPr>
              <w:pStyle w:val="54"/>
              <w:keepNext w:val="0"/>
              <w:keepLines w:val="0"/>
              <w:pageBreakBefore w:val="0"/>
              <w:kinsoku/>
              <w:wordWrap/>
              <w:overflowPunct/>
              <w:topLinePunct w:val="0"/>
              <w:bidi w:val="0"/>
              <w:spacing w:before="258" w:line="400" w:lineRule="exact"/>
              <w:ind w:left="3799"/>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2"/>
                <w:sz w:val="21"/>
                <w:szCs w:val="21"/>
                <w:highlight w:val="none"/>
              </w:rPr>
              <w:t>技术部分（满分5</w:t>
            </w:r>
            <w:r>
              <w:rPr>
                <w:rFonts w:hint="eastAsia" w:asciiTheme="minorEastAsia" w:hAnsiTheme="minorEastAsia" w:eastAsiaTheme="minorEastAsia" w:cstheme="minorEastAsia"/>
                <w:b/>
                <w:bCs/>
                <w:color w:val="auto"/>
                <w:spacing w:val="2"/>
                <w:sz w:val="21"/>
                <w:szCs w:val="21"/>
                <w:highlight w:val="none"/>
                <w:lang w:val="en-US" w:eastAsia="zh-CN"/>
              </w:rPr>
              <w:t>5</w:t>
            </w:r>
            <w:r>
              <w:rPr>
                <w:rFonts w:hint="eastAsia" w:asciiTheme="minorEastAsia" w:hAnsiTheme="minorEastAsia" w:eastAsiaTheme="minorEastAsia" w:cstheme="minorEastAsia"/>
                <w:b/>
                <w:bCs/>
                <w:color w:val="auto"/>
                <w:spacing w:val="2"/>
                <w:sz w:val="21"/>
                <w:szCs w:val="21"/>
                <w:highlight w:val="none"/>
              </w:rPr>
              <w:t>分）</w:t>
            </w:r>
          </w:p>
        </w:tc>
      </w:tr>
      <w:tr w14:paraId="6FFEE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69" w:type="dxa"/>
            <w:vAlign w:val="top"/>
          </w:tcPr>
          <w:p w14:paraId="4D04A729">
            <w:pPr>
              <w:pStyle w:val="54"/>
              <w:keepNext w:val="0"/>
              <w:keepLines w:val="0"/>
              <w:pageBreakBefore w:val="0"/>
              <w:kinsoku/>
              <w:wordWrap/>
              <w:overflowPunct/>
              <w:topLinePunct w:val="0"/>
              <w:bidi w:val="0"/>
              <w:spacing w:before="245" w:line="400" w:lineRule="exact"/>
              <w:ind w:left="34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评分因素</w:t>
            </w:r>
          </w:p>
        </w:tc>
        <w:tc>
          <w:tcPr>
            <w:tcW w:w="6401" w:type="dxa"/>
            <w:vAlign w:val="top"/>
          </w:tcPr>
          <w:p w14:paraId="007FEF2D">
            <w:pPr>
              <w:pStyle w:val="54"/>
              <w:keepNext w:val="0"/>
              <w:keepLines w:val="0"/>
              <w:pageBreakBefore w:val="0"/>
              <w:kinsoku/>
              <w:wordWrap/>
              <w:overflowPunct/>
              <w:topLinePunct w:val="0"/>
              <w:bidi w:val="0"/>
              <w:spacing w:before="248" w:line="400" w:lineRule="exact"/>
              <w:ind w:left="3027"/>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评标标准</w:t>
            </w:r>
          </w:p>
        </w:tc>
        <w:tc>
          <w:tcPr>
            <w:tcW w:w="1205" w:type="dxa"/>
            <w:vAlign w:val="top"/>
          </w:tcPr>
          <w:p w14:paraId="7942FDBC">
            <w:pPr>
              <w:pStyle w:val="54"/>
              <w:keepNext w:val="0"/>
              <w:keepLines w:val="0"/>
              <w:pageBreakBefore w:val="0"/>
              <w:kinsoku/>
              <w:wordWrap/>
              <w:overflowPunct/>
              <w:topLinePunct w:val="0"/>
              <w:bidi w:val="0"/>
              <w:spacing w:before="245" w:line="400" w:lineRule="exact"/>
              <w:ind w:left="352"/>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pacing w:val="-3"/>
                <w:sz w:val="21"/>
                <w:szCs w:val="21"/>
                <w:highlight w:val="none"/>
              </w:rPr>
              <w:t>分值</w:t>
            </w:r>
          </w:p>
        </w:tc>
      </w:tr>
      <w:tr w14:paraId="66B76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769" w:type="dxa"/>
            <w:vAlign w:val="center"/>
          </w:tcPr>
          <w:p w14:paraId="456DC7BE">
            <w:pPr>
              <w:keepNext w:val="0"/>
              <w:keepLines w:val="0"/>
              <w:pageBreakBefore w:val="0"/>
              <w:tabs>
                <w:tab w:val="left" w:pos="1260"/>
              </w:tabs>
              <w:kinsoku/>
              <w:wordWrap/>
              <w:overflowPunct/>
              <w:topLinePunct w:val="0"/>
              <w:autoSpaceDE w:val="0"/>
              <w:autoSpaceDN w:val="0"/>
              <w:bidi w:val="0"/>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rPr>
              <w:t>实施方案</w:t>
            </w:r>
          </w:p>
        </w:tc>
        <w:tc>
          <w:tcPr>
            <w:tcW w:w="6401" w:type="dxa"/>
            <w:vAlign w:val="center"/>
          </w:tcPr>
          <w:p w14:paraId="48D163A8">
            <w:pPr>
              <w:keepNext w:val="0"/>
              <w:keepLines w:val="0"/>
              <w:pageBreakBefore w:val="0"/>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根据供应商</w:t>
            </w:r>
            <w:r>
              <w:rPr>
                <w:rFonts w:hint="eastAsia" w:asciiTheme="minorEastAsia" w:hAnsiTheme="minorEastAsia" w:eastAsiaTheme="minorEastAsia" w:cstheme="minorEastAsia"/>
                <w:color w:val="auto"/>
                <w:sz w:val="21"/>
                <w:szCs w:val="21"/>
                <w:lang w:val="zh-CN"/>
              </w:rPr>
              <w:t>提供针对本项目的实施方案，包括①</w:t>
            </w:r>
            <w:r>
              <w:rPr>
                <w:rFonts w:hint="eastAsia" w:asciiTheme="minorEastAsia" w:hAnsiTheme="minorEastAsia" w:eastAsiaTheme="minorEastAsia" w:cstheme="minorEastAsia"/>
                <w:color w:val="auto"/>
                <w:sz w:val="21"/>
                <w:szCs w:val="21"/>
                <w:lang w:val="en-US" w:eastAsia="zh-CN"/>
              </w:rPr>
              <w:t>整体项目</w:t>
            </w:r>
            <w:r>
              <w:rPr>
                <w:rFonts w:hint="eastAsia" w:asciiTheme="minorEastAsia" w:hAnsiTheme="minorEastAsia" w:eastAsiaTheme="minorEastAsia" w:cstheme="minorEastAsia"/>
                <w:color w:val="auto"/>
                <w:sz w:val="21"/>
                <w:szCs w:val="21"/>
                <w:lang w:val="zh-CN"/>
              </w:rPr>
              <w:t>服务方案。②主要机械与设备配置安排③</w:t>
            </w:r>
            <w:r>
              <w:rPr>
                <w:rFonts w:hint="eastAsia" w:asciiTheme="minorEastAsia" w:hAnsiTheme="minorEastAsia" w:eastAsiaTheme="minorEastAsia" w:cstheme="minorEastAsia"/>
                <w:color w:val="auto"/>
                <w:sz w:val="21"/>
                <w:szCs w:val="21"/>
                <w:lang w:val="en-US" w:eastAsia="zh-CN"/>
              </w:rPr>
              <w:t>作业时序进度安排</w:t>
            </w:r>
            <w:r>
              <w:rPr>
                <w:rFonts w:hint="eastAsia" w:asciiTheme="minorEastAsia" w:hAnsiTheme="minorEastAsia" w:eastAsiaTheme="minorEastAsia" w:cstheme="minorEastAsia"/>
                <w:color w:val="auto"/>
                <w:sz w:val="21"/>
                <w:szCs w:val="21"/>
                <w:lang w:val="zh-CN"/>
              </w:rPr>
              <w:t>④作业质量管控</w:t>
            </w:r>
            <w:r>
              <w:rPr>
                <w:rFonts w:hint="eastAsia" w:asciiTheme="minorEastAsia" w:hAnsiTheme="minorEastAsia" w:cstheme="minorEastAsia"/>
                <w:color w:val="auto"/>
                <w:sz w:val="21"/>
                <w:szCs w:val="21"/>
                <w:lang w:val="zh-CN"/>
              </w:rPr>
              <w:t>。</w:t>
            </w:r>
            <w:r>
              <w:rPr>
                <w:rFonts w:hint="eastAsia" w:asciiTheme="minorEastAsia" w:hAnsiTheme="minorEastAsia" w:cstheme="minorEastAsia"/>
                <w:color w:val="auto"/>
                <w:sz w:val="21"/>
                <w:szCs w:val="21"/>
                <w:lang w:val="en-US" w:eastAsia="zh-CN"/>
              </w:rPr>
              <w:t xml:space="preserve">      </w:t>
            </w:r>
          </w:p>
          <w:p w14:paraId="7C5A4F7F">
            <w:pPr>
              <w:keepNext w:val="0"/>
              <w:keepLines w:val="0"/>
              <w:pageBreakBefore w:val="0"/>
              <w:tabs>
                <w:tab w:val="left" w:pos="1260"/>
              </w:tabs>
              <w:kinsoku/>
              <w:wordWrap/>
              <w:overflowPunct/>
              <w:topLinePunct w:val="0"/>
              <w:autoSpaceDE w:val="0"/>
              <w:autoSpaceDN w:val="0"/>
              <w:bidi w:val="0"/>
              <w:spacing w:line="400" w:lineRule="exact"/>
              <w:ind w:firstLine="472"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3"/>
                <w:sz w:val="21"/>
                <w:szCs w:val="21"/>
                <w:highlight w:val="none"/>
              </w:rPr>
              <w:t>供应商</w:t>
            </w:r>
            <w:r>
              <w:rPr>
                <w:rFonts w:hint="eastAsia" w:asciiTheme="minorEastAsia" w:hAnsiTheme="minorEastAsia" w:eastAsiaTheme="minorEastAsia" w:cstheme="minorEastAsia"/>
                <w:color w:val="auto"/>
                <w:spacing w:val="7"/>
                <w:sz w:val="21"/>
                <w:szCs w:val="21"/>
                <w:highlight w:val="none"/>
              </w:rPr>
              <w:t>每提供上述一项内容，内容完整、可落地，贴合本区域农业生产实际</w:t>
            </w:r>
            <w:r>
              <w:rPr>
                <w:rFonts w:hint="eastAsia" w:asciiTheme="minorEastAsia" w:hAnsiTheme="minorEastAsia" w:eastAsiaTheme="minorEastAsia" w:cstheme="minorEastAsia"/>
                <w:color w:val="auto"/>
                <w:spacing w:val="7"/>
                <w:sz w:val="21"/>
                <w:szCs w:val="21"/>
                <w:highlight w:val="none"/>
                <w:lang w:val="en-US" w:eastAsia="zh-CN"/>
              </w:rPr>
              <w:t>的</w:t>
            </w:r>
            <w:r>
              <w:rPr>
                <w:rFonts w:hint="eastAsia" w:asciiTheme="minorEastAsia" w:hAnsiTheme="minorEastAsia" w:eastAsiaTheme="minorEastAsia" w:cstheme="minorEastAsia"/>
                <w:color w:val="auto"/>
                <w:sz w:val="21"/>
                <w:szCs w:val="21"/>
                <w:lang w:val="zh-CN"/>
              </w:rPr>
              <w:t>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不缺项</w:t>
            </w:r>
            <w:r>
              <w:rPr>
                <w:rFonts w:hint="eastAsia" w:asciiTheme="minorEastAsia" w:hAnsiTheme="minorEastAsia" w:eastAsiaTheme="minorEastAsia" w:cstheme="minorEastAsia"/>
                <w:color w:val="auto"/>
                <w:sz w:val="21"/>
                <w:szCs w:val="21"/>
                <w:lang w:val="zh-CN"/>
              </w:rPr>
              <w:t>仅有简单描述的得</w:t>
            </w:r>
            <w:r>
              <w:rPr>
                <w:rFonts w:hint="eastAsia" w:asciiTheme="minorEastAsia" w:hAnsiTheme="minorEastAsia" w:eastAsiaTheme="minorEastAsia" w:cstheme="minorEastAsia"/>
                <w:color w:val="auto"/>
                <w:sz w:val="21"/>
                <w:szCs w:val="21"/>
                <w:lang w:val="en-US" w:eastAsia="zh-CN"/>
              </w:rPr>
              <w:t>2.8</w:t>
            </w:r>
            <w:r>
              <w:rPr>
                <w:rFonts w:hint="eastAsia" w:asciiTheme="minorEastAsia" w:hAnsiTheme="minorEastAsia" w:eastAsiaTheme="minorEastAsia" w:cstheme="minorEastAsia"/>
                <w:color w:val="auto"/>
                <w:sz w:val="21"/>
                <w:szCs w:val="21"/>
                <w:lang w:val="zh-CN"/>
              </w:rPr>
              <w:t>分；内容不完整，</w:t>
            </w:r>
            <w:r>
              <w:rPr>
                <w:rFonts w:hint="eastAsia" w:asciiTheme="minorEastAsia" w:hAnsiTheme="minorEastAsia" w:eastAsiaTheme="minorEastAsia" w:cstheme="minorEastAsia"/>
                <w:color w:val="auto"/>
                <w:sz w:val="21"/>
                <w:szCs w:val="21"/>
                <w:lang w:val="en-US" w:eastAsia="zh-CN"/>
              </w:rPr>
              <w:t>缺乏</w:t>
            </w:r>
            <w:r>
              <w:rPr>
                <w:rFonts w:hint="eastAsia" w:asciiTheme="minorEastAsia" w:hAnsiTheme="minorEastAsia" w:eastAsiaTheme="minorEastAsia" w:cstheme="minorEastAsia"/>
                <w:color w:val="auto"/>
                <w:sz w:val="21"/>
                <w:szCs w:val="21"/>
                <w:lang w:val="zh-CN"/>
              </w:rPr>
              <w:t>科学合理的得</w:t>
            </w:r>
            <w:r>
              <w:rPr>
                <w:rFonts w:hint="eastAsia" w:asciiTheme="minorEastAsia" w:hAnsiTheme="minorEastAsia" w:eastAsiaTheme="minorEastAsia" w:cstheme="minorEastAsia"/>
                <w:color w:val="auto"/>
                <w:sz w:val="21"/>
                <w:szCs w:val="21"/>
                <w:lang w:val="en-US" w:eastAsia="zh-CN"/>
              </w:rPr>
              <w:t>1.6</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；本项最高得16分。</w:t>
            </w:r>
            <w:r>
              <w:rPr>
                <w:rFonts w:hint="eastAsia" w:asciiTheme="minorEastAsia" w:hAnsiTheme="minorEastAsia" w:eastAsiaTheme="minorEastAsia" w:cstheme="minorEastAsia"/>
                <w:color w:val="auto"/>
                <w:sz w:val="21"/>
                <w:szCs w:val="21"/>
                <w:lang w:val="zh-CN"/>
              </w:rPr>
              <w:t>不提供的不得分。</w:t>
            </w:r>
          </w:p>
        </w:tc>
        <w:tc>
          <w:tcPr>
            <w:tcW w:w="1205" w:type="dxa"/>
            <w:vAlign w:val="center"/>
          </w:tcPr>
          <w:p w14:paraId="04AF607C">
            <w:pPr>
              <w:keepNext w:val="0"/>
              <w:keepLines w:val="0"/>
              <w:pageBreakBefore w:val="0"/>
              <w:tabs>
                <w:tab w:val="left" w:pos="1260"/>
              </w:tabs>
              <w:kinsoku/>
              <w:wordWrap/>
              <w:overflowPunct/>
              <w:topLinePunct w:val="0"/>
              <w:autoSpaceDE w:val="0"/>
              <w:autoSpaceDN w:val="0"/>
              <w:bidi w:val="0"/>
              <w:spacing w:line="400" w:lineRule="exact"/>
              <w:contextualSpacing/>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16</w:t>
            </w:r>
            <w:r>
              <w:rPr>
                <w:rFonts w:hint="eastAsia" w:asciiTheme="minorEastAsia" w:hAnsiTheme="minorEastAsia" w:eastAsiaTheme="minorEastAsia" w:cstheme="minorEastAsia"/>
                <w:color w:val="auto"/>
                <w:spacing w:val="-2"/>
                <w:sz w:val="21"/>
                <w:szCs w:val="21"/>
                <w:highlight w:val="none"/>
              </w:rPr>
              <w:t>分</w:t>
            </w:r>
          </w:p>
        </w:tc>
      </w:tr>
      <w:tr w14:paraId="650C9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center"/>
          </w:tcPr>
          <w:p w14:paraId="60F621A9">
            <w:pPr>
              <w:keepNext w:val="0"/>
              <w:keepLines w:val="0"/>
              <w:pageBreakBefore w:val="0"/>
              <w:widowControl/>
              <w:kinsoku/>
              <w:wordWrap/>
              <w:overflowPunct/>
              <w:topLinePunct w:val="0"/>
              <w:bidi w:val="0"/>
              <w:spacing w:line="40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确保质量管理</w:t>
            </w:r>
          </w:p>
          <w:p w14:paraId="56225B84">
            <w:pPr>
              <w:keepNext w:val="0"/>
              <w:keepLines w:val="0"/>
              <w:pageBreakBefore w:val="0"/>
              <w:widowControl/>
              <w:kinsoku/>
              <w:wordWrap/>
              <w:overflowPunct/>
              <w:topLinePunct w:val="0"/>
              <w:bidi w:val="0"/>
              <w:spacing w:line="400" w:lineRule="exact"/>
              <w:jc w:val="center"/>
              <w:textAlignment w:val="auto"/>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z w:val="21"/>
                <w:szCs w:val="21"/>
              </w:rPr>
              <w:t>与措施</w:t>
            </w:r>
            <w:r>
              <w:rPr>
                <w:rFonts w:hint="eastAsia" w:asciiTheme="minorEastAsia" w:hAnsiTheme="minorEastAsia" w:eastAsiaTheme="minorEastAsia" w:cstheme="minorEastAsia"/>
                <w:color w:val="auto"/>
                <w:sz w:val="21"/>
                <w:szCs w:val="21"/>
                <w:lang w:val="en-US" w:eastAsia="zh-CN"/>
              </w:rPr>
              <w:t>方案</w:t>
            </w:r>
          </w:p>
        </w:tc>
        <w:tc>
          <w:tcPr>
            <w:tcW w:w="6401" w:type="dxa"/>
            <w:vAlign w:val="center"/>
          </w:tcPr>
          <w:p w14:paraId="7A9A0485">
            <w:pPr>
              <w:keepNext w:val="0"/>
              <w:keepLines w:val="0"/>
              <w:pageBreakBefore w:val="0"/>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en-US" w:eastAsia="zh-CN"/>
              </w:rPr>
              <w:t>根据供应商</w:t>
            </w:r>
            <w:r>
              <w:rPr>
                <w:rFonts w:hint="eastAsia" w:asciiTheme="minorEastAsia" w:hAnsiTheme="minorEastAsia" w:eastAsiaTheme="minorEastAsia" w:cstheme="minorEastAsia"/>
                <w:color w:val="auto"/>
                <w:sz w:val="21"/>
                <w:szCs w:val="21"/>
                <w:lang w:val="zh-CN"/>
              </w:rPr>
              <w:t>提供针对本项目的质量管理与措施</w:t>
            </w:r>
            <w:r>
              <w:rPr>
                <w:rFonts w:hint="eastAsia" w:asciiTheme="minorEastAsia" w:hAnsiTheme="minorEastAsia" w:eastAsiaTheme="minorEastAsia" w:cstheme="minorEastAsia"/>
                <w:color w:val="auto"/>
                <w:sz w:val="21"/>
                <w:szCs w:val="21"/>
                <w:lang w:val="en-US" w:eastAsia="zh-CN"/>
              </w:rPr>
              <w:t>方案</w:t>
            </w:r>
            <w:r>
              <w:rPr>
                <w:rFonts w:hint="eastAsia" w:asciiTheme="minorEastAsia" w:hAnsiTheme="minorEastAsia" w:eastAsiaTheme="minorEastAsia" w:cstheme="minorEastAsia"/>
                <w:color w:val="auto"/>
                <w:sz w:val="21"/>
                <w:szCs w:val="21"/>
                <w:lang w:val="zh-CN"/>
              </w:rPr>
              <w:t>：包括①作业前后田间调查、飞防作业记录台账②药液配比管控、漏喷重喷防控③作业效果回访、效果核查办法、后期补防预案。</w:t>
            </w:r>
          </w:p>
          <w:p w14:paraId="5F969311">
            <w:pPr>
              <w:keepNext w:val="0"/>
              <w:keepLines w:val="0"/>
              <w:pageBreakBefore w:val="0"/>
              <w:tabs>
                <w:tab w:val="left" w:pos="1260"/>
              </w:tabs>
              <w:kinsoku/>
              <w:wordWrap/>
              <w:overflowPunct/>
              <w:topLinePunct w:val="0"/>
              <w:autoSpaceDE w:val="0"/>
              <w:autoSpaceDN w:val="0"/>
              <w:bidi w:val="0"/>
              <w:spacing w:line="400" w:lineRule="exact"/>
              <w:ind w:firstLine="472" w:firstLineChars="200"/>
              <w:contextualSpacing/>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pacing w:val="13"/>
                <w:sz w:val="21"/>
                <w:szCs w:val="21"/>
                <w:highlight w:val="none"/>
              </w:rPr>
              <w:t>供应商</w:t>
            </w:r>
            <w:r>
              <w:rPr>
                <w:rFonts w:hint="eastAsia" w:asciiTheme="minorEastAsia" w:hAnsiTheme="minorEastAsia" w:eastAsiaTheme="minorEastAsia" w:cstheme="minorEastAsia"/>
                <w:color w:val="auto"/>
                <w:spacing w:val="7"/>
                <w:sz w:val="21"/>
                <w:szCs w:val="21"/>
                <w:highlight w:val="none"/>
              </w:rPr>
              <w:t>每提供上述一项内容，内容完整、可落地，贴合本区域农业生产实际</w:t>
            </w:r>
            <w:r>
              <w:rPr>
                <w:rFonts w:hint="eastAsia" w:asciiTheme="minorEastAsia" w:hAnsiTheme="minorEastAsia" w:eastAsiaTheme="minorEastAsia" w:cstheme="minorEastAsia"/>
                <w:color w:val="auto"/>
                <w:spacing w:val="7"/>
                <w:sz w:val="21"/>
                <w:szCs w:val="21"/>
                <w:highlight w:val="none"/>
                <w:lang w:val="en-US" w:eastAsia="zh-CN"/>
              </w:rPr>
              <w:t>的</w:t>
            </w:r>
            <w:r>
              <w:rPr>
                <w:rFonts w:hint="eastAsia" w:asciiTheme="minorEastAsia" w:hAnsiTheme="minorEastAsia" w:eastAsiaTheme="minorEastAsia" w:cstheme="minorEastAsia"/>
                <w:color w:val="auto"/>
                <w:sz w:val="21"/>
                <w:szCs w:val="21"/>
                <w:lang w:val="zh-CN"/>
              </w:rPr>
              <w:t>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不缺项</w:t>
            </w:r>
            <w:r>
              <w:rPr>
                <w:rFonts w:hint="eastAsia" w:asciiTheme="minorEastAsia" w:hAnsiTheme="minorEastAsia" w:eastAsiaTheme="minorEastAsia" w:cstheme="minorEastAsia"/>
                <w:color w:val="auto"/>
                <w:sz w:val="21"/>
                <w:szCs w:val="21"/>
                <w:lang w:val="zh-CN"/>
              </w:rPr>
              <w:t>仅有简单描述的得</w:t>
            </w:r>
            <w:r>
              <w:rPr>
                <w:rFonts w:hint="eastAsia" w:asciiTheme="minorEastAsia" w:hAnsiTheme="minorEastAsia" w:eastAsiaTheme="minorEastAsia" w:cstheme="minorEastAsia"/>
                <w:color w:val="auto"/>
                <w:sz w:val="21"/>
                <w:szCs w:val="21"/>
                <w:lang w:val="en-US" w:eastAsia="zh-CN"/>
              </w:rPr>
              <w:t>2.8</w:t>
            </w:r>
            <w:r>
              <w:rPr>
                <w:rFonts w:hint="eastAsia" w:asciiTheme="minorEastAsia" w:hAnsiTheme="minorEastAsia" w:eastAsiaTheme="minorEastAsia" w:cstheme="minorEastAsia"/>
                <w:color w:val="auto"/>
                <w:sz w:val="21"/>
                <w:szCs w:val="21"/>
                <w:lang w:val="zh-CN"/>
              </w:rPr>
              <w:t>分；内容不完整，</w:t>
            </w:r>
            <w:r>
              <w:rPr>
                <w:rFonts w:hint="eastAsia" w:asciiTheme="minorEastAsia" w:hAnsiTheme="minorEastAsia" w:eastAsiaTheme="minorEastAsia" w:cstheme="minorEastAsia"/>
                <w:color w:val="auto"/>
                <w:sz w:val="21"/>
                <w:szCs w:val="21"/>
                <w:lang w:val="en-US" w:eastAsia="zh-CN"/>
              </w:rPr>
              <w:t>缺乏</w:t>
            </w:r>
            <w:r>
              <w:rPr>
                <w:rFonts w:hint="eastAsia" w:asciiTheme="minorEastAsia" w:hAnsiTheme="minorEastAsia" w:eastAsiaTheme="minorEastAsia" w:cstheme="minorEastAsia"/>
                <w:color w:val="auto"/>
                <w:sz w:val="21"/>
                <w:szCs w:val="21"/>
                <w:lang w:val="zh-CN"/>
              </w:rPr>
              <w:t>科学合理的得</w:t>
            </w:r>
            <w:r>
              <w:rPr>
                <w:rFonts w:hint="eastAsia" w:asciiTheme="minorEastAsia" w:hAnsiTheme="minorEastAsia" w:eastAsiaTheme="minorEastAsia" w:cstheme="minorEastAsia"/>
                <w:color w:val="auto"/>
                <w:sz w:val="21"/>
                <w:szCs w:val="21"/>
                <w:lang w:val="en-US" w:eastAsia="zh-CN"/>
              </w:rPr>
              <w:t>1.6</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；本项最高得12分。</w:t>
            </w:r>
            <w:r>
              <w:rPr>
                <w:rFonts w:hint="eastAsia" w:asciiTheme="minorEastAsia" w:hAnsiTheme="minorEastAsia" w:eastAsiaTheme="minorEastAsia" w:cstheme="minorEastAsia"/>
                <w:color w:val="auto"/>
                <w:sz w:val="21"/>
                <w:szCs w:val="21"/>
                <w:lang w:val="zh-CN"/>
              </w:rPr>
              <w:t>不提供的不得分。</w:t>
            </w:r>
          </w:p>
        </w:tc>
        <w:tc>
          <w:tcPr>
            <w:tcW w:w="1205" w:type="dxa"/>
            <w:vAlign w:val="center"/>
          </w:tcPr>
          <w:p w14:paraId="4FE07A19">
            <w:pPr>
              <w:keepNext w:val="0"/>
              <w:keepLines w:val="0"/>
              <w:pageBreakBefore w:val="0"/>
              <w:widowControl/>
              <w:kinsoku/>
              <w:wordWrap/>
              <w:overflowPunct/>
              <w:topLinePunct w:val="0"/>
              <w:bidi w:val="0"/>
              <w:spacing w:line="400" w:lineRule="exact"/>
              <w:jc w:val="center"/>
              <w:textAlignment w:val="auto"/>
              <w:rPr>
                <w:rFonts w:hint="eastAsia" w:asciiTheme="minorEastAsia" w:hAnsiTheme="minorEastAsia" w:eastAsiaTheme="minorEastAsia" w:cstheme="minorEastAsia"/>
                <w:color w:val="auto"/>
                <w:spacing w:val="-3"/>
                <w:sz w:val="21"/>
                <w:szCs w:val="21"/>
                <w:highlight w:val="none"/>
                <w:lang w:val="en-US"/>
              </w:rPr>
            </w:pP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pacing w:val="-2"/>
                <w:sz w:val="21"/>
                <w:szCs w:val="21"/>
                <w:highlight w:val="none"/>
              </w:rPr>
              <w:t>分</w:t>
            </w:r>
          </w:p>
        </w:tc>
      </w:tr>
      <w:tr w14:paraId="3A8A2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center"/>
          </w:tcPr>
          <w:p w14:paraId="6EEA65FC">
            <w:pPr>
              <w:keepNext w:val="0"/>
              <w:keepLines w:val="0"/>
              <w:pageBreakBefore w:val="0"/>
              <w:widowControl/>
              <w:kinsoku/>
              <w:wordWrap/>
              <w:overflowPunct/>
              <w:topLinePunct w:val="0"/>
              <w:bidi w:val="0"/>
              <w:spacing w:before="46" w:beforeLines="15" w:line="400" w:lineRule="exact"/>
              <w:ind w:left="105" w:leftChars="50" w:right="142" w:rightChars="0"/>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安全管理及</w:t>
            </w:r>
          </w:p>
          <w:p w14:paraId="05AAFE27">
            <w:pPr>
              <w:keepNext w:val="0"/>
              <w:keepLines w:val="0"/>
              <w:pageBreakBefore w:val="0"/>
              <w:widowControl/>
              <w:kinsoku/>
              <w:wordWrap/>
              <w:overflowPunct/>
              <w:topLinePunct w:val="0"/>
              <w:bidi w:val="0"/>
              <w:spacing w:before="46" w:beforeLines="15" w:line="400" w:lineRule="exact"/>
              <w:ind w:left="105" w:leftChars="50" w:right="142" w:rightChars="0"/>
              <w:jc w:val="center"/>
              <w:textAlignment w:val="auto"/>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z w:val="21"/>
                <w:szCs w:val="21"/>
              </w:rPr>
              <w:t>措施</w:t>
            </w:r>
            <w:r>
              <w:rPr>
                <w:rFonts w:hint="eastAsia" w:asciiTheme="minorEastAsia" w:hAnsiTheme="minorEastAsia" w:eastAsiaTheme="minorEastAsia" w:cstheme="minorEastAsia"/>
                <w:color w:val="auto"/>
                <w:sz w:val="21"/>
                <w:szCs w:val="21"/>
                <w:lang w:val="en-US" w:eastAsia="zh-CN"/>
              </w:rPr>
              <w:t>方案</w:t>
            </w:r>
          </w:p>
        </w:tc>
        <w:tc>
          <w:tcPr>
            <w:tcW w:w="6401" w:type="dxa"/>
            <w:vAlign w:val="center"/>
          </w:tcPr>
          <w:p w14:paraId="21307FD6">
            <w:pPr>
              <w:keepNext w:val="0"/>
              <w:keepLines w:val="0"/>
              <w:pageBreakBefore w:val="0"/>
              <w:tabs>
                <w:tab w:val="left" w:pos="1260"/>
              </w:tabs>
              <w:kinsoku/>
              <w:wordWrap/>
              <w:overflowPunct/>
              <w:topLinePunct w:val="0"/>
              <w:autoSpaceDE w:val="0"/>
              <w:autoSpaceDN w:val="0"/>
              <w:bidi w:val="0"/>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lang w:val="zh-CN"/>
              </w:rPr>
            </w:pPr>
            <w:r>
              <w:rPr>
                <w:rFonts w:hint="eastAsia" w:asciiTheme="minorEastAsia" w:hAnsiTheme="minorEastAsia" w:eastAsiaTheme="minorEastAsia" w:cstheme="minorEastAsia"/>
                <w:color w:val="auto"/>
                <w:sz w:val="21"/>
                <w:szCs w:val="21"/>
                <w:lang w:val="en-US" w:eastAsia="zh-CN"/>
              </w:rPr>
              <w:t>根据供应商</w:t>
            </w:r>
            <w:r>
              <w:rPr>
                <w:rFonts w:hint="eastAsia" w:asciiTheme="minorEastAsia" w:hAnsiTheme="minorEastAsia" w:eastAsiaTheme="minorEastAsia" w:cstheme="minorEastAsia"/>
                <w:color w:val="auto"/>
                <w:sz w:val="21"/>
                <w:szCs w:val="21"/>
                <w:lang w:val="zh-CN"/>
              </w:rPr>
              <w:t>提供针对本项目的安全管理与措施</w:t>
            </w:r>
            <w:r>
              <w:rPr>
                <w:rFonts w:hint="eastAsia" w:asciiTheme="minorEastAsia" w:hAnsiTheme="minorEastAsia" w:eastAsiaTheme="minorEastAsia" w:cstheme="minorEastAsia"/>
                <w:color w:val="auto"/>
                <w:sz w:val="21"/>
                <w:szCs w:val="21"/>
                <w:lang w:val="en-US" w:eastAsia="zh-CN"/>
              </w:rPr>
              <w:t>方案</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zh-CN"/>
              </w:rPr>
              <w:t>包括①无人机飞行安全管理②人员安全防护、避开村庄、鱼塘、蜂场等敏感区域；③农药废弃物包装回收、药液废液处置、人畜安全防护、防止药害措施</w:t>
            </w:r>
          </w:p>
          <w:p w14:paraId="0A116313">
            <w:pPr>
              <w:keepNext w:val="0"/>
              <w:keepLines w:val="0"/>
              <w:pageBreakBefore w:val="0"/>
              <w:tabs>
                <w:tab w:val="left" w:pos="1260"/>
              </w:tabs>
              <w:kinsoku/>
              <w:wordWrap/>
              <w:overflowPunct/>
              <w:topLinePunct w:val="0"/>
              <w:autoSpaceDE w:val="0"/>
              <w:autoSpaceDN w:val="0"/>
              <w:bidi w:val="0"/>
              <w:spacing w:line="400" w:lineRule="exact"/>
              <w:ind w:firstLine="472" w:firstLineChars="200"/>
              <w:contextualSpacing/>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pacing w:val="13"/>
                <w:sz w:val="21"/>
                <w:szCs w:val="21"/>
                <w:highlight w:val="none"/>
              </w:rPr>
              <w:t>供应商</w:t>
            </w:r>
            <w:r>
              <w:rPr>
                <w:rFonts w:hint="eastAsia" w:asciiTheme="minorEastAsia" w:hAnsiTheme="minorEastAsia" w:eastAsiaTheme="minorEastAsia" w:cstheme="minorEastAsia"/>
                <w:color w:val="auto"/>
                <w:spacing w:val="7"/>
                <w:sz w:val="21"/>
                <w:szCs w:val="21"/>
                <w:highlight w:val="none"/>
              </w:rPr>
              <w:t>每提供上述一项内容，方案科学合理、可实施性高、内容完整的</w:t>
            </w:r>
            <w:r>
              <w:rPr>
                <w:rFonts w:hint="eastAsia" w:asciiTheme="minorEastAsia" w:hAnsiTheme="minorEastAsia" w:eastAsiaTheme="minorEastAsia" w:cstheme="minorEastAsia"/>
                <w:color w:val="auto"/>
                <w:sz w:val="21"/>
                <w:szCs w:val="21"/>
                <w:lang w:val="zh-CN"/>
              </w:rPr>
              <w:t>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不缺项</w:t>
            </w:r>
            <w:r>
              <w:rPr>
                <w:rFonts w:hint="eastAsia" w:asciiTheme="minorEastAsia" w:hAnsiTheme="minorEastAsia" w:eastAsiaTheme="minorEastAsia" w:cstheme="minorEastAsia"/>
                <w:color w:val="auto"/>
                <w:sz w:val="21"/>
                <w:szCs w:val="21"/>
                <w:lang w:val="zh-CN"/>
              </w:rPr>
              <w:t>仅有简单描述的得</w:t>
            </w:r>
            <w:r>
              <w:rPr>
                <w:rFonts w:hint="eastAsia" w:asciiTheme="minorEastAsia" w:hAnsiTheme="minorEastAsia" w:eastAsiaTheme="minorEastAsia" w:cstheme="minorEastAsia"/>
                <w:color w:val="auto"/>
                <w:sz w:val="21"/>
                <w:szCs w:val="21"/>
                <w:lang w:val="en-US" w:eastAsia="zh-CN"/>
              </w:rPr>
              <w:t>2.8</w:t>
            </w:r>
            <w:r>
              <w:rPr>
                <w:rFonts w:hint="eastAsia" w:asciiTheme="minorEastAsia" w:hAnsiTheme="minorEastAsia" w:eastAsiaTheme="minorEastAsia" w:cstheme="minorEastAsia"/>
                <w:color w:val="auto"/>
                <w:sz w:val="21"/>
                <w:szCs w:val="21"/>
                <w:lang w:val="zh-CN"/>
              </w:rPr>
              <w:t>分；内容不完整，</w:t>
            </w:r>
            <w:r>
              <w:rPr>
                <w:rFonts w:hint="eastAsia" w:asciiTheme="minorEastAsia" w:hAnsiTheme="minorEastAsia" w:eastAsiaTheme="minorEastAsia" w:cstheme="minorEastAsia"/>
                <w:color w:val="auto"/>
                <w:sz w:val="21"/>
                <w:szCs w:val="21"/>
                <w:lang w:val="en-US" w:eastAsia="zh-CN"/>
              </w:rPr>
              <w:t>缺乏</w:t>
            </w:r>
            <w:r>
              <w:rPr>
                <w:rFonts w:hint="eastAsia" w:asciiTheme="minorEastAsia" w:hAnsiTheme="minorEastAsia" w:eastAsiaTheme="minorEastAsia" w:cstheme="minorEastAsia"/>
                <w:color w:val="auto"/>
                <w:sz w:val="21"/>
                <w:szCs w:val="21"/>
                <w:lang w:val="zh-CN"/>
              </w:rPr>
              <w:t>科学合理的得</w:t>
            </w:r>
            <w:r>
              <w:rPr>
                <w:rFonts w:hint="eastAsia" w:asciiTheme="minorEastAsia" w:hAnsiTheme="minorEastAsia" w:eastAsiaTheme="minorEastAsia" w:cstheme="minorEastAsia"/>
                <w:color w:val="auto"/>
                <w:sz w:val="21"/>
                <w:szCs w:val="21"/>
                <w:lang w:val="en-US" w:eastAsia="zh-CN"/>
              </w:rPr>
              <w:t>1.6</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；本项最高得12分。</w:t>
            </w:r>
            <w:r>
              <w:rPr>
                <w:rFonts w:hint="eastAsia" w:asciiTheme="minorEastAsia" w:hAnsiTheme="minorEastAsia" w:eastAsiaTheme="minorEastAsia" w:cstheme="minorEastAsia"/>
                <w:color w:val="auto"/>
                <w:sz w:val="21"/>
                <w:szCs w:val="21"/>
                <w:lang w:val="zh-CN"/>
              </w:rPr>
              <w:t>不提供的不得分。</w:t>
            </w:r>
          </w:p>
        </w:tc>
        <w:tc>
          <w:tcPr>
            <w:tcW w:w="1205" w:type="dxa"/>
            <w:vAlign w:val="center"/>
          </w:tcPr>
          <w:p w14:paraId="2B98BE8B">
            <w:pPr>
              <w:keepNext w:val="0"/>
              <w:keepLines w:val="0"/>
              <w:pageBreakBefore w:val="0"/>
              <w:widowControl/>
              <w:kinsoku/>
              <w:wordWrap/>
              <w:overflowPunct/>
              <w:topLinePunct w:val="0"/>
              <w:bidi w:val="0"/>
              <w:adjustRightInd w:val="0"/>
              <w:snapToGrid w:val="0"/>
              <w:spacing w:before="46" w:beforeLines="15" w:line="400" w:lineRule="exact"/>
              <w:jc w:val="center"/>
              <w:textAlignment w:val="auto"/>
              <w:rPr>
                <w:rFonts w:hint="eastAsia" w:asciiTheme="minorEastAsia" w:hAnsiTheme="minorEastAsia" w:eastAsiaTheme="minorEastAsia" w:cstheme="minorEastAsia"/>
                <w:color w:val="auto"/>
                <w:spacing w:val="-3"/>
                <w:sz w:val="21"/>
                <w:szCs w:val="21"/>
                <w:highlight w:val="none"/>
                <w:lang w:val="en-US"/>
              </w:rPr>
            </w:pP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pacing w:val="-2"/>
                <w:sz w:val="21"/>
                <w:szCs w:val="21"/>
                <w:highlight w:val="none"/>
              </w:rPr>
              <w:t>分</w:t>
            </w:r>
          </w:p>
        </w:tc>
      </w:tr>
      <w:tr w14:paraId="0D60D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8" w:hRule="atLeast"/>
        </w:trPr>
        <w:tc>
          <w:tcPr>
            <w:tcW w:w="1769" w:type="dxa"/>
            <w:vAlign w:val="center"/>
          </w:tcPr>
          <w:p w14:paraId="70C31863">
            <w:pPr>
              <w:keepNext w:val="0"/>
              <w:keepLines w:val="0"/>
              <w:pageBreakBefore w:val="0"/>
              <w:widowControl/>
              <w:kinsoku/>
              <w:wordWrap/>
              <w:overflowPunct/>
              <w:topLinePunct w:val="0"/>
              <w:bidi w:val="0"/>
              <w:spacing w:before="46" w:beforeLines="15" w:line="400" w:lineRule="exact"/>
              <w:ind w:right="142" w:rightChars="0"/>
              <w:jc w:val="center"/>
              <w:textAlignment w:val="auto"/>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突发事件</w:t>
            </w:r>
          </w:p>
          <w:p w14:paraId="0D272B34">
            <w:pPr>
              <w:keepNext w:val="0"/>
              <w:keepLines w:val="0"/>
              <w:pageBreakBefore w:val="0"/>
              <w:widowControl/>
              <w:kinsoku/>
              <w:wordWrap/>
              <w:overflowPunct/>
              <w:topLinePunct w:val="0"/>
              <w:bidi w:val="0"/>
              <w:spacing w:before="46" w:beforeLines="15" w:line="400" w:lineRule="exact"/>
              <w:ind w:right="142" w:rightChars="0"/>
              <w:jc w:val="center"/>
              <w:textAlignment w:val="auto"/>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pacing w:val="5"/>
                <w:sz w:val="21"/>
                <w:szCs w:val="21"/>
                <w:highlight w:val="none"/>
              </w:rPr>
              <w:t>应急预案</w:t>
            </w:r>
          </w:p>
        </w:tc>
        <w:tc>
          <w:tcPr>
            <w:tcW w:w="6401" w:type="dxa"/>
            <w:vAlign w:val="center"/>
          </w:tcPr>
          <w:p w14:paraId="0C5FC212">
            <w:pPr>
              <w:pStyle w:val="54"/>
              <w:keepNext w:val="0"/>
              <w:keepLines w:val="0"/>
              <w:pageBreakBefore w:val="0"/>
              <w:kinsoku/>
              <w:wordWrap/>
              <w:overflowPunct/>
              <w:topLinePunct w:val="0"/>
              <w:bidi w:val="0"/>
              <w:spacing w:before="35" w:line="400" w:lineRule="exact"/>
              <w:ind w:left="8" w:right="1"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根据供应商</w:t>
            </w:r>
            <w:r>
              <w:rPr>
                <w:rFonts w:hint="eastAsia" w:asciiTheme="minorEastAsia" w:hAnsiTheme="minorEastAsia" w:eastAsiaTheme="minorEastAsia" w:cstheme="minorEastAsia"/>
                <w:color w:val="auto"/>
                <w:sz w:val="21"/>
                <w:szCs w:val="21"/>
                <w:lang w:val="zh-CN"/>
              </w:rPr>
              <w:t>提供针对本项目的突发事件应急预案：</w:t>
            </w:r>
            <w:r>
              <w:rPr>
                <w:rFonts w:hint="eastAsia" w:asciiTheme="minorEastAsia" w:hAnsiTheme="minorEastAsia" w:eastAsiaTheme="minorEastAsia" w:cstheme="minorEastAsia"/>
                <w:color w:val="auto"/>
                <w:spacing w:val="4"/>
                <w:sz w:val="21"/>
                <w:szCs w:val="21"/>
                <w:highlight w:val="none"/>
                <w:lang w:val="en-US" w:eastAsia="zh-CN"/>
              </w:rPr>
              <w:t>包括</w:t>
            </w:r>
            <w:r>
              <w:rPr>
                <w:rFonts w:hint="eastAsia" w:asciiTheme="minorEastAsia" w:hAnsiTheme="minorEastAsia" w:eastAsiaTheme="minorEastAsia" w:cstheme="minorEastAsia"/>
                <w:color w:val="auto"/>
                <w:spacing w:val="13"/>
                <w:sz w:val="21"/>
                <w:szCs w:val="21"/>
                <w:highlight w:val="none"/>
              </w:rPr>
              <w:t>①</w:t>
            </w:r>
            <w:r>
              <w:rPr>
                <w:rFonts w:hint="eastAsia" w:asciiTheme="minorEastAsia" w:hAnsiTheme="minorEastAsia" w:eastAsiaTheme="minorEastAsia" w:cstheme="minorEastAsia"/>
                <w:color w:val="auto"/>
                <w:spacing w:val="8"/>
                <w:sz w:val="21"/>
                <w:szCs w:val="21"/>
                <w:highlight w:val="none"/>
              </w:rPr>
              <w:t>针对大风降雨等极端天气</w:t>
            </w:r>
            <w:r>
              <w:rPr>
                <w:rFonts w:hint="eastAsia" w:asciiTheme="minorEastAsia" w:hAnsiTheme="minorEastAsia" w:eastAsiaTheme="minorEastAsia" w:cstheme="minorEastAsia"/>
                <w:color w:val="auto"/>
                <w:spacing w:val="13"/>
                <w:sz w:val="21"/>
                <w:szCs w:val="21"/>
                <w:highlight w:val="none"/>
              </w:rPr>
              <w:t>②</w:t>
            </w:r>
            <w:r>
              <w:rPr>
                <w:rFonts w:hint="eastAsia" w:asciiTheme="minorEastAsia" w:hAnsiTheme="minorEastAsia" w:eastAsiaTheme="minorEastAsia" w:cstheme="minorEastAsia"/>
                <w:color w:val="auto"/>
                <w:spacing w:val="8"/>
                <w:sz w:val="21"/>
                <w:szCs w:val="21"/>
                <w:highlight w:val="none"/>
              </w:rPr>
              <w:t>无人机故障</w:t>
            </w:r>
            <w:r>
              <w:rPr>
                <w:rFonts w:hint="eastAsia" w:asciiTheme="minorEastAsia" w:hAnsiTheme="minorEastAsia" w:eastAsiaTheme="minorEastAsia" w:cstheme="minorEastAsia"/>
                <w:color w:val="auto"/>
                <w:spacing w:val="13"/>
                <w:sz w:val="21"/>
                <w:szCs w:val="21"/>
                <w:highlight w:val="none"/>
              </w:rPr>
              <w:t>③</w:t>
            </w:r>
            <w:r>
              <w:rPr>
                <w:rFonts w:hint="eastAsia" w:asciiTheme="minorEastAsia" w:hAnsiTheme="minorEastAsia" w:eastAsiaTheme="minorEastAsia" w:cstheme="minorEastAsia"/>
                <w:color w:val="auto"/>
                <w:spacing w:val="8"/>
                <w:sz w:val="21"/>
                <w:szCs w:val="21"/>
                <w:highlight w:val="none"/>
              </w:rPr>
              <w:t>人畜安全事故、需要应急补防等情形。</w:t>
            </w:r>
          </w:p>
          <w:p w14:paraId="18E0239A">
            <w:pPr>
              <w:keepNext w:val="0"/>
              <w:keepLines w:val="0"/>
              <w:pageBreakBefore w:val="0"/>
              <w:widowControl/>
              <w:kinsoku/>
              <w:wordWrap/>
              <w:overflowPunct/>
              <w:topLinePunct w:val="0"/>
              <w:bidi w:val="0"/>
              <w:adjustRightInd w:val="0"/>
              <w:snapToGrid w:val="0"/>
              <w:spacing w:before="46" w:beforeLines="15" w:line="400" w:lineRule="exact"/>
              <w:ind w:right="142" w:rightChars="0" w:firstLine="472" w:firstLineChars="200"/>
              <w:jc w:val="left"/>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pacing w:val="13"/>
                <w:sz w:val="21"/>
                <w:szCs w:val="21"/>
                <w:highlight w:val="none"/>
              </w:rPr>
              <w:t>供应商</w:t>
            </w:r>
            <w:r>
              <w:rPr>
                <w:rFonts w:hint="eastAsia" w:asciiTheme="minorEastAsia" w:hAnsiTheme="minorEastAsia" w:eastAsiaTheme="minorEastAsia" w:cstheme="minorEastAsia"/>
                <w:color w:val="auto"/>
                <w:spacing w:val="7"/>
                <w:sz w:val="21"/>
                <w:szCs w:val="21"/>
                <w:highlight w:val="none"/>
              </w:rPr>
              <w:t>每提供上述</w:t>
            </w:r>
            <w:r>
              <w:rPr>
                <w:rFonts w:hint="eastAsia" w:asciiTheme="minorEastAsia" w:hAnsiTheme="minorEastAsia" w:eastAsiaTheme="minorEastAsia" w:cstheme="minorEastAsia"/>
                <w:color w:val="auto"/>
                <w:sz w:val="21"/>
                <w:szCs w:val="21"/>
                <w:lang w:val="en-US" w:eastAsia="zh-CN"/>
              </w:rPr>
              <w:t>一项内容， 组织机构、处置流程、响应时限清晰</w:t>
            </w:r>
            <w:r>
              <w:rPr>
                <w:rFonts w:hint="eastAsia" w:asciiTheme="minorEastAsia" w:hAnsiTheme="minorEastAsia" w:eastAsiaTheme="minorEastAsia" w:cstheme="minorEastAsia"/>
                <w:color w:val="auto"/>
                <w:sz w:val="21"/>
                <w:szCs w:val="21"/>
                <w:lang w:val="zh-CN" w:eastAsia="zh-CN"/>
              </w:rPr>
              <w:t>的得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lang w:val="zh-CN" w:eastAsia="zh-CN"/>
              </w:rPr>
              <w:t>分；</w:t>
            </w:r>
            <w:r>
              <w:rPr>
                <w:rFonts w:hint="eastAsia" w:asciiTheme="minorEastAsia" w:hAnsiTheme="minorEastAsia" w:eastAsiaTheme="minorEastAsia" w:cstheme="minorEastAsia"/>
                <w:color w:val="auto"/>
                <w:sz w:val="21"/>
                <w:szCs w:val="21"/>
                <w:lang w:val="en-US" w:eastAsia="zh-CN"/>
              </w:rPr>
              <w:t>不缺项</w:t>
            </w:r>
            <w:r>
              <w:rPr>
                <w:rFonts w:hint="eastAsia" w:asciiTheme="minorEastAsia" w:hAnsiTheme="minorEastAsia" w:eastAsiaTheme="minorEastAsia" w:cstheme="minorEastAsia"/>
                <w:color w:val="auto"/>
                <w:sz w:val="21"/>
                <w:szCs w:val="21"/>
                <w:lang w:val="zh-CN" w:eastAsia="zh-CN"/>
              </w:rPr>
              <w:t>仅有简</w:t>
            </w:r>
            <w:r>
              <w:rPr>
                <w:rFonts w:hint="eastAsia" w:asciiTheme="minorEastAsia" w:hAnsiTheme="minorEastAsia" w:eastAsiaTheme="minorEastAsia" w:cstheme="minorEastAsia"/>
                <w:color w:val="auto"/>
                <w:sz w:val="21"/>
                <w:szCs w:val="21"/>
                <w:lang w:val="zh-CN"/>
              </w:rPr>
              <w:t>单描述的得</w:t>
            </w:r>
            <w:r>
              <w:rPr>
                <w:rFonts w:hint="eastAsia" w:asciiTheme="minorEastAsia" w:hAnsiTheme="minorEastAsia" w:eastAsiaTheme="minorEastAsia" w:cstheme="minorEastAsia"/>
                <w:color w:val="auto"/>
                <w:sz w:val="21"/>
                <w:szCs w:val="21"/>
                <w:lang w:val="en-US" w:eastAsia="zh-CN"/>
              </w:rPr>
              <w:t>2.8</w:t>
            </w:r>
            <w:r>
              <w:rPr>
                <w:rFonts w:hint="eastAsia" w:asciiTheme="minorEastAsia" w:hAnsiTheme="minorEastAsia" w:eastAsiaTheme="minorEastAsia" w:cstheme="minorEastAsia"/>
                <w:color w:val="auto"/>
                <w:sz w:val="21"/>
                <w:szCs w:val="21"/>
                <w:lang w:val="zh-CN"/>
              </w:rPr>
              <w:t>分；内容不完整，</w:t>
            </w:r>
            <w:r>
              <w:rPr>
                <w:rFonts w:hint="eastAsia" w:asciiTheme="minorEastAsia" w:hAnsiTheme="minorEastAsia" w:eastAsiaTheme="minorEastAsia" w:cstheme="minorEastAsia"/>
                <w:color w:val="auto"/>
                <w:sz w:val="21"/>
                <w:szCs w:val="21"/>
                <w:lang w:val="en-US" w:eastAsia="zh-CN"/>
              </w:rPr>
              <w:t>缺乏</w:t>
            </w:r>
            <w:r>
              <w:rPr>
                <w:rFonts w:hint="eastAsia" w:asciiTheme="minorEastAsia" w:hAnsiTheme="minorEastAsia" w:eastAsiaTheme="minorEastAsia" w:cstheme="minorEastAsia"/>
                <w:color w:val="auto"/>
                <w:sz w:val="21"/>
                <w:szCs w:val="21"/>
                <w:lang w:val="zh-CN"/>
              </w:rPr>
              <w:t>科学合理的得</w:t>
            </w:r>
            <w:r>
              <w:rPr>
                <w:rFonts w:hint="eastAsia" w:asciiTheme="minorEastAsia" w:hAnsiTheme="minorEastAsia" w:eastAsiaTheme="minorEastAsia" w:cstheme="minorEastAsia"/>
                <w:color w:val="auto"/>
                <w:sz w:val="21"/>
                <w:szCs w:val="21"/>
                <w:lang w:val="en-US" w:eastAsia="zh-CN"/>
              </w:rPr>
              <w:t>1.6</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；本项最高得12分。</w:t>
            </w:r>
            <w:r>
              <w:rPr>
                <w:rFonts w:hint="eastAsia" w:asciiTheme="minorEastAsia" w:hAnsiTheme="minorEastAsia" w:eastAsiaTheme="minorEastAsia" w:cstheme="minorEastAsia"/>
                <w:color w:val="auto"/>
                <w:sz w:val="21"/>
                <w:szCs w:val="21"/>
                <w:lang w:val="zh-CN"/>
              </w:rPr>
              <w:t>不提供的不得分。</w:t>
            </w:r>
          </w:p>
        </w:tc>
        <w:tc>
          <w:tcPr>
            <w:tcW w:w="1205" w:type="dxa"/>
            <w:vAlign w:val="center"/>
          </w:tcPr>
          <w:p w14:paraId="7C7EF21A">
            <w:pPr>
              <w:keepNext w:val="0"/>
              <w:keepLines w:val="0"/>
              <w:pageBreakBefore w:val="0"/>
              <w:widowControl/>
              <w:kinsoku/>
              <w:wordWrap/>
              <w:overflowPunct/>
              <w:topLinePunct w:val="0"/>
              <w:bidi w:val="0"/>
              <w:adjustRightInd w:val="0"/>
              <w:snapToGrid w:val="0"/>
              <w:spacing w:before="46" w:beforeLines="15" w:line="400" w:lineRule="exact"/>
              <w:jc w:val="center"/>
              <w:textAlignment w:val="auto"/>
              <w:rPr>
                <w:rFonts w:hint="eastAsia" w:asciiTheme="minorEastAsia" w:hAnsiTheme="minorEastAsia" w:eastAsiaTheme="minorEastAsia" w:cstheme="minorEastAsia"/>
                <w:color w:val="auto"/>
                <w:spacing w:val="-3"/>
                <w:sz w:val="21"/>
                <w:szCs w:val="21"/>
                <w:highlight w:val="none"/>
                <w:lang w:val="en-US"/>
              </w:rPr>
            </w:pP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pacing w:val="-2"/>
                <w:sz w:val="21"/>
                <w:szCs w:val="21"/>
                <w:highlight w:val="none"/>
              </w:rPr>
              <w:t>分</w:t>
            </w:r>
          </w:p>
        </w:tc>
      </w:tr>
      <w:tr w14:paraId="776AC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3" w:hRule="atLeast"/>
        </w:trPr>
        <w:tc>
          <w:tcPr>
            <w:tcW w:w="1769" w:type="dxa"/>
            <w:vAlign w:val="center"/>
          </w:tcPr>
          <w:p w14:paraId="646D90C8">
            <w:pPr>
              <w:pStyle w:val="9"/>
              <w:keepNext w:val="0"/>
              <w:keepLines w:val="0"/>
              <w:pageBreakBefore w:val="0"/>
              <w:kinsoku/>
              <w:wordWrap/>
              <w:overflowPunct/>
              <w:topLinePunct w:val="0"/>
              <w:bidi w:val="0"/>
              <w:spacing w:line="400" w:lineRule="exact"/>
              <w:contextualSpacing/>
              <w:jc w:val="center"/>
              <w:textAlignment w:val="auto"/>
              <w:rPr>
                <w:rFonts w:hint="eastAsia" w:asciiTheme="minorEastAsia" w:hAnsiTheme="minorEastAsia" w:eastAsiaTheme="minorEastAsia" w:cstheme="minorEastAsia"/>
                <w:color w:val="auto"/>
                <w:spacing w:val="5"/>
                <w:sz w:val="21"/>
                <w:szCs w:val="21"/>
                <w:highlight w:val="none"/>
              </w:rPr>
            </w:pPr>
            <w:r>
              <w:rPr>
                <w:rFonts w:hint="eastAsia" w:asciiTheme="minorEastAsia" w:hAnsiTheme="minorEastAsia" w:eastAsiaTheme="minorEastAsia" w:cstheme="minorEastAsia"/>
                <w:color w:val="auto"/>
                <w:sz w:val="21"/>
                <w:szCs w:val="21"/>
                <w:lang w:val="zh-CN"/>
              </w:rPr>
              <w:t>售后服务承诺</w:t>
            </w:r>
          </w:p>
        </w:tc>
        <w:tc>
          <w:tcPr>
            <w:tcW w:w="6401" w:type="dxa"/>
            <w:vAlign w:val="center"/>
          </w:tcPr>
          <w:p w14:paraId="18081497">
            <w:pPr>
              <w:pStyle w:val="54"/>
              <w:keepNext w:val="0"/>
              <w:keepLines w:val="0"/>
              <w:pageBreakBefore w:val="0"/>
              <w:kinsoku/>
              <w:wordWrap/>
              <w:overflowPunct/>
              <w:topLinePunct w:val="0"/>
              <w:bidi w:val="0"/>
              <w:spacing w:before="28" w:line="400" w:lineRule="exact"/>
              <w:ind w:left="110" w:leftChars="0" w:right="105"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根据供应商</w:t>
            </w:r>
            <w:r>
              <w:rPr>
                <w:rFonts w:hint="eastAsia" w:asciiTheme="minorEastAsia" w:hAnsiTheme="minorEastAsia" w:eastAsiaTheme="minorEastAsia" w:cstheme="minorEastAsia"/>
                <w:color w:val="auto"/>
                <w:sz w:val="21"/>
                <w:szCs w:val="21"/>
                <w:lang w:val="zh-CN"/>
              </w:rPr>
              <w:t>提供针对本项目的</w:t>
            </w:r>
            <w:r>
              <w:rPr>
                <w:rFonts w:hint="eastAsia" w:asciiTheme="minorEastAsia" w:hAnsiTheme="minorEastAsia" w:eastAsiaTheme="minorEastAsia" w:cstheme="minorEastAsia"/>
                <w:color w:val="auto"/>
                <w:sz w:val="21"/>
                <w:szCs w:val="21"/>
                <w:lang w:eastAsia="zh-CN"/>
              </w:rPr>
              <w:t>售后服务承诺：具体的违约责任承诺，</w:t>
            </w:r>
            <w:r>
              <w:rPr>
                <w:rFonts w:hint="eastAsia" w:asciiTheme="minorEastAsia" w:hAnsiTheme="minorEastAsia" w:eastAsiaTheme="minorEastAsia" w:cstheme="minorEastAsia"/>
                <w:color w:val="auto"/>
                <w:sz w:val="21"/>
                <w:szCs w:val="21"/>
                <w:lang w:val="en-US" w:eastAsia="zh-CN"/>
              </w:rPr>
              <w:t>在实施过程中若</w:t>
            </w:r>
            <w:r>
              <w:rPr>
                <w:rFonts w:hint="eastAsia" w:asciiTheme="minorEastAsia" w:hAnsiTheme="minorEastAsia" w:eastAsiaTheme="minorEastAsia" w:cstheme="minorEastAsia"/>
                <w:color w:val="auto"/>
                <w:sz w:val="21"/>
                <w:szCs w:val="21"/>
                <w:lang w:eastAsia="zh-CN"/>
              </w:rPr>
              <w:t>发生</w:t>
            </w:r>
            <w:r>
              <w:rPr>
                <w:rFonts w:hint="eastAsia" w:asciiTheme="minorEastAsia" w:hAnsiTheme="minorEastAsia" w:eastAsiaTheme="minorEastAsia" w:cstheme="minorEastAsia"/>
                <w:color w:val="auto"/>
                <w:sz w:val="21"/>
                <w:szCs w:val="21"/>
                <w:lang w:val="en-US" w:eastAsia="zh-CN"/>
              </w:rPr>
              <w:t>人员</w:t>
            </w:r>
            <w:r>
              <w:rPr>
                <w:rFonts w:hint="eastAsia" w:asciiTheme="minorEastAsia" w:hAnsiTheme="minorEastAsia" w:eastAsiaTheme="minorEastAsia" w:cstheme="minorEastAsia"/>
                <w:color w:val="auto"/>
                <w:sz w:val="21"/>
                <w:szCs w:val="21"/>
                <w:lang w:eastAsia="zh-CN"/>
              </w:rPr>
              <w:t>意外，意外伤害赔偿及善后工作处理承诺</w:t>
            </w:r>
            <w:r>
              <w:rPr>
                <w:rFonts w:hint="eastAsia" w:asciiTheme="minorEastAsia" w:hAnsiTheme="minorEastAsia" w:eastAsiaTheme="minorEastAsia" w:cstheme="minorEastAsia"/>
                <w:color w:val="auto"/>
                <w:sz w:val="21"/>
                <w:szCs w:val="21"/>
                <w:lang w:val="en-US" w:eastAsia="zh-CN"/>
              </w:rPr>
              <w:t>及</w:t>
            </w:r>
            <w:r>
              <w:rPr>
                <w:rFonts w:hint="eastAsia" w:asciiTheme="minorEastAsia" w:hAnsiTheme="minorEastAsia" w:eastAsiaTheme="minorEastAsia" w:cstheme="minorEastAsia"/>
                <w:color w:val="auto"/>
                <w:sz w:val="21"/>
                <w:szCs w:val="21"/>
                <w:lang w:eastAsia="zh-CN"/>
              </w:rPr>
              <w:t>针对性保证措施。</w:t>
            </w:r>
          </w:p>
          <w:p w14:paraId="2D91C847">
            <w:pPr>
              <w:pStyle w:val="54"/>
              <w:keepNext w:val="0"/>
              <w:keepLines w:val="0"/>
              <w:pageBreakBefore w:val="0"/>
              <w:kinsoku/>
              <w:wordWrap/>
              <w:overflowPunct/>
              <w:topLinePunct w:val="0"/>
              <w:bidi w:val="0"/>
              <w:spacing w:before="28" w:line="400" w:lineRule="exact"/>
              <w:ind w:left="110" w:leftChars="0" w:right="105" w:rightChars="0" w:firstLine="420" w:firstLineChars="200"/>
              <w:textAlignment w:val="auto"/>
              <w:rPr>
                <w:rFonts w:hint="eastAsia" w:asciiTheme="minorEastAsia" w:hAnsiTheme="minorEastAsia" w:eastAsiaTheme="minorEastAsia" w:cstheme="minorEastAsia"/>
                <w:color w:val="auto"/>
                <w:spacing w:val="4"/>
                <w:sz w:val="21"/>
                <w:szCs w:val="21"/>
                <w:highlight w:val="none"/>
              </w:rPr>
            </w:pPr>
            <w:r>
              <w:rPr>
                <w:rFonts w:hint="eastAsia" w:asciiTheme="minorEastAsia" w:hAnsiTheme="minorEastAsia" w:eastAsiaTheme="minorEastAsia" w:cstheme="minorEastAsia"/>
                <w:color w:val="auto"/>
                <w:sz w:val="21"/>
                <w:szCs w:val="21"/>
              </w:rPr>
              <w:t>方案科学合理、可实施性高、内容完整</w:t>
            </w:r>
            <w:r>
              <w:rPr>
                <w:rFonts w:hint="eastAsia" w:asciiTheme="minorEastAsia" w:hAnsiTheme="minorEastAsia" w:eastAsiaTheme="minorEastAsia" w:cstheme="minorEastAsia"/>
                <w:color w:val="auto"/>
                <w:sz w:val="21"/>
                <w:szCs w:val="21"/>
                <w:lang w:eastAsia="zh-CN"/>
              </w:rPr>
              <w:t>的</w:t>
            </w:r>
            <w:r>
              <w:rPr>
                <w:rFonts w:hint="eastAsia" w:asciiTheme="minorEastAsia" w:hAnsiTheme="minorEastAsia" w:eastAsiaTheme="minorEastAsia" w:cstheme="minorEastAsia"/>
                <w:color w:val="auto"/>
                <w:kern w:val="0"/>
                <w:sz w:val="21"/>
                <w:szCs w:val="21"/>
              </w:rPr>
              <w:t>得</w:t>
            </w:r>
            <w:r>
              <w:rPr>
                <w:rFonts w:hint="eastAsia" w:asciiTheme="minorEastAsia" w:hAnsiTheme="minorEastAsia" w:eastAsiaTheme="minorEastAsia" w:cstheme="minorEastAsia"/>
                <w:color w:val="auto"/>
                <w:kern w:val="0"/>
                <w:sz w:val="21"/>
                <w:szCs w:val="21"/>
                <w:lang w:val="en-US" w:eastAsia="zh-CN"/>
              </w:rPr>
              <w:t>3</w:t>
            </w:r>
            <w:r>
              <w:rPr>
                <w:rFonts w:hint="eastAsia" w:asciiTheme="minorEastAsia" w:hAnsiTheme="minorEastAsia" w:eastAsiaTheme="minorEastAsia" w:cstheme="minorEastAsia"/>
                <w:color w:val="auto"/>
                <w:kern w:val="0"/>
                <w:sz w:val="21"/>
                <w:szCs w:val="21"/>
              </w:rPr>
              <w:t>分；</w:t>
            </w:r>
            <w:r>
              <w:rPr>
                <w:rFonts w:hint="eastAsia" w:asciiTheme="minorEastAsia" w:hAnsiTheme="minorEastAsia" w:eastAsiaTheme="minorEastAsia" w:cstheme="minorEastAsia"/>
                <w:color w:val="auto"/>
                <w:sz w:val="21"/>
                <w:szCs w:val="21"/>
                <w:lang w:val="en-US" w:eastAsia="zh-CN"/>
              </w:rPr>
              <w:t>不缺项</w:t>
            </w:r>
            <w:r>
              <w:rPr>
                <w:rFonts w:hint="eastAsia" w:asciiTheme="minorEastAsia" w:hAnsiTheme="minorEastAsia" w:eastAsiaTheme="minorEastAsia" w:cstheme="minorEastAsia"/>
                <w:color w:val="auto"/>
                <w:sz w:val="21"/>
                <w:szCs w:val="21"/>
              </w:rPr>
              <w:t>仅有简单描述的</w:t>
            </w:r>
            <w:r>
              <w:rPr>
                <w:rFonts w:hint="eastAsia" w:asciiTheme="minorEastAsia" w:hAnsiTheme="minorEastAsia" w:eastAsiaTheme="minorEastAsia" w:cstheme="minorEastAsia"/>
                <w:color w:val="auto"/>
                <w:kern w:val="0"/>
                <w:sz w:val="21"/>
                <w:szCs w:val="21"/>
              </w:rPr>
              <w:t>得</w:t>
            </w:r>
            <w:r>
              <w:rPr>
                <w:rFonts w:hint="eastAsia" w:asciiTheme="minorEastAsia" w:hAnsiTheme="minorEastAsia" w:eastAsiaTheme="minorEastAsia" w:cstheme="minorEastAsia"/>
                <w:color w:val="auto"/>
                <w:kern w:val="0"/>
                <w:sz w:val="21"/>
                <w:szCs w:val="21"/>
                <w:lang w:val="en-US" w:eastAsia="zh-CN"/>
              </w:rPr>
              <w:t>2.1</w:t>
            </w:r>
            <w:r>
              <w:rPr>
                <w:rFonts w:hint="eastAsia" w:asciiTheme="minorEastAsia" w:hAnsiTheme="minorEastAsia" w:eastAsiaTheme="minorEastAsia" w:cstheme="minorEastAsia"/>
                <w:color w:val="auto"/>
                <w:kern w:val="0"/>
                <w:sz w:val="21"/>
                <w:szCs w:val="21"/>
              </w:rPr>
              <w:t>分；</w:t>
            </w:r>
            <w:r>
              <w:rPr>
                <w:rFonts w:hint="eastAsia" w:asciiTheme="minorEastAsia" w:hAnsiTheme="minorEastAsia" w:eastAsiaTheme="minorEastAsia" w:cstheme="minorEastAsia"/>
                <w:color w:val="auto"/>
                <w:sz w:val="21"/>
                <w:szCs w:val="21"/>
                <w:lang w:val="zh-CN"/>
              </w:rPr>
              <w:t>内容不完整，</w:t>
            </w:r>
            <w:r>
              <w:rPr>
                <w:rFonts w:hint="eastAsia" w:asciiTheme="minorEastAsia" w:hAnsiTheme="minorEastAsia" w:eastAsiaTheme="minorEastAsia" w:cstheme="minorEastAsia"/>
                <w:color w:val="auto"/>
                <w:sz w:val="21"/>
                <w:szCs w:val="21"/>
                <w:lang w:val="en-US" w:eastAsia="zh-CN"/>
              </w:rPr>
              <w:t>缺乏</w:t>
            </w:r>
            <w:r>
              <w:rPr>
                <w:rFonts w:hint="eastAsia" w:asciiTheme="minorEastAsia" w:hAnsiTheme="minorEastAsia" w:eastAsiaTheme="minorEastAsia" w:cstheme="minorEastAsia"/>
                <w:color w:val="auto"/>
                <w:sz w:val="21"/>
                <w:szCs w:val="21"/>
                <w:lang w:val="zh-CN"/>
              </w:rPr>
              <w:t>科学合理的得</w:t>
            </w:r>
            <w:r>
              <w:rPr>
                <w:rFonts w:hint="eastAsia" w:asciiTheme="minorEastAsia" w:hAnsiTheme="minorEastAsia" w:eastAsiaTheme="minorEastAsia" w:cstheme="minorEastAsia"/>
                <w:color w:val="auto"/>
                <w:sz w:val="21"/>
                <w:szCs w:val="21"/>
                <w:lang w:val="en-US" w:eastAsia="zh-CN"/>
              </w:rPr>
              <w:t>1.2</w:t>
            </w:r>
            <w:r>
              <w:rPr>
                <w:rFonts w:hint="eastAsia" w:asciiTheme="minorEastAsia" w:hAnsiTheme="minorEastAsia" w:eastAsiaTheme="minorEastAsia" w:cstheme="minorEastAsia"/>
                <w:color w:val="auto"/>
                <w:sz w:val="21"/>
                <w:szCs w:val="21"/>
                <w:lang w:val="zh-CN"/>
              </w:rPr>
              <w:t>分</w:t>
            </w:r>
            <w:r>
              <w:rPr>
                <w:rFonts w:hint="eastAsia" w:asciiTheme="minorEastAsia" w:hAnsiTheme="minorEastAsia" w:eastAsiaTheme="minorEastAsia" w:cstheme="minorEastAsia"/>
                <w:color w:val="auto"/>
                <w:sz w:val="21"/>
                <w:szCs w:val="21"/>
                <w:lang w:val="en-US" w:eastAsia="zh-CN"/>
              </w:rPr>
              <w:t>；本项最高得3分。</w:t>
            </w:r>
            <w:r>
              <w:rPr>
                <w:rFonts w:hint="eastAsia" w:asciiTheme="minorEastAsia" w:hAnsiTheme="minorEastAsia" w:eastAsiaTheme="minorEastAsia" w:cstheme="minorEastAsia"/>
                <w:color w:val="auto"/>
                <w:kern w:val="0"/>
                <w:sz w:val="21"/>
                <w:szCs w:val="21"/>
              </w:rPr>
              <w:t>不提供的不得分。</w:t>
            </w:r>
          </w:p>
        </w:tc>
        <w:tc>
          <w:tcPr>
            <w:tcW w:w="1205" w:type="dxa"/>
            <w:vAlign w:val="center"/>
          </w:tcPr>
          <w:p w14:paraId="745B79B4">
            <w:pPr>
              <w:keepNext w:val="0"/>
              <w:keepLines w:val="0"/>
              <w:pageBreakBefore w:val="0"/>
              <w:tabs>
                <w:tab w:val="left" w:pos="1260"/>
              </w:tabs>
              <w:kinsoku/>
              <w:wordWrap/>
              <w:overflowPunct/>
              <w:topLinePunct w:val="0"/>
              <w:autoSpaceDE w:val="0"/>
              <w:autoSpaceDN w:val="0"/>
              <w:bidi w:val="0"/>
              <w:spacing w:line="400" w:lineRule="exact"/>
              <w:contextualSpacing/>
              <w:jc w:val="center"/>
              <w:textAlignment w:val="auto"/>
              <w:rPr>
                <w:rFonts w:hint="eastAsia" w:asciiTheme="minorEastAsia" w:hAnsiTheme="minorEastAsia" w:eastAsiaTheme="minorEastAsia" w:cstheme="minorEastAsia"/>
                <w:color w:val="auto"/>
                <w:spacing w:val="-3"/>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pacing w:val="-2"/>
                <w:sz w:val="21"/>
                <w:szCs w:val="21"/>
                <w:highlight w:val="none"/>
              </w:rPr>
              <w:t>分</w:t>
            </w:r>
          </w:p>
        </w:tc>
      </w:tr>
    </w:tbl>
    <w:p w14:paraId="2CC6B5DB">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（6）评标结果汇总完成后，除下列情形外，任何人不得修改评标结果：</w:t>
      </w:r>
    </w:p>
    <w:p w14:paraId="3C95C79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14:paraId="585BE49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14:paraId="474D766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3）磋商小组成员对客观评审因素评分不一致的；</w:t>
      </w:r>
    </w:p>
    <w:p w14:paraId="4F33DA1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4）经磋商小组认定评分畸高、畸低的。</w:t>
      </w:r>
    </w:p>
    <w:p w14:paraId="35FEE028">
      <w:pPr>
        <w:tabs>
          <w:tab w:val="left" w:pos="1260"/>
        </w:tabs>
        <w:autoSpaceDE w:val="0"/>
        <w:autoSpaceDN w:val="0"/>
        <w:spacing w:line="360" w:lineRule="auto"/>
        <w:ind w:firstLine="422" w:firstLineChars="200"/>
        <w:contextualSpacing/>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（7）</w:t>
      </w:r>
      <w:r>
        <w:rPr>
          <w:rFonts w:hint="eastAsia" w:ascii="宋体" w:hAnsi="宋体" w:eastAsia="宋体" w:cs="宋体"/>
          <w:b/>
          <w:bCs/>
          <w:color w:val="auto"/>
          <w:szCs w:val="21"/>
          <w:highlight w:val="none"/>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22E70CBE">
      <w:pPr>
        <w:pStyle w:val="9"/>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（8）推荐成交候选供应商</w:t>
      </w:r>
    </w:p>
    <w:p w14:paraId="05B3D1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磋商小组应当根据综合评分情况，按照评审得分由高到低顺序推荐3名成交候选供应商，并编写评审报告。符合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6245105C">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（9）磋商小组争议处理</w:t>
      </w:r>
    </w:p>
    <w:p w14:paraId="5598B0C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43005B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4.确定成交候选人名单，以及根据采购人委托直接确定成交人。</w:t>
      </w:r>
    </w:p>
    <w:p w14:paraId="6E0E951A">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 xml:space="preserve">（三）除资格性检查认定错误、分值汇总计算错误、分项评分超出评分标准范围、客观分评分不一致、经磋商小组一致认定评分畸高、畸低的情形外，采购人或者采购代理机构不得以任何理由组织重新评审。 </w:t>
      </w:r>
    </w:p>
    <w:p w14:paraId="4702506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 xml:space="preserve">采购人、采购代理机构发现磋商小组未按照磋商文件规定的评审标准进行评审的，应当重新开展采购活动，并同时书面报告本级财政部门。 </w:t>
      </w:r>
    </w:p>
    <w:p w14:paraId="06213AD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lang w:val="en-US" w:eastAsia="zh-CN"/>
        </w:rPr>
        <w:t>采购人或者采购代理机构不得通过对样品进行检测、对供应商进行考察等方式改变评审结果。</w:t>
      </w:r>
    </w:p>
    <w:p w14:paraId="42B2BDC3">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p>
    <w:p w14:paraId="12F92EB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p>
    <w:p w14:paraId="3CE5BC05">
      <w:pPr>
        <w:spacing w:line="360" w:lineRule="auto"/>
        <w:ind w:firstLine="422" w:firstLineChars="200"/>
        <w:contextualSpacing/>
        <w:rPr>
          <w:rFonts w:hint="eastAsia" w:ascii="宋体" w:hAnsi="宋体" w:eastAsia="宋体" w:cs="宋体"/>
          <w:b/>
          <w:color w:val="auto"/>
          <w:szCs w:val="21"/>
          <w:highlight w:val="none"/>
          <w:lang w:val="zh-CN"/>
        </w:rPr>
      </w:pPr>
    </w:p>
    <w:p w14:paraId="6F18B042">
      <w:pPr>
        <w:widowControl/>
        <w:ind w:firstLine="2393" w:firstLineChars="745"/>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2"/>
          <w:szCs w:val="32"/>
          <w:highlight w:val="none"/>
        </w:rPr>
        <w:t>第七章 拟签订的合同文本</w:t>
      </w:r>
    </w:p>
    <w:p w14:paraId="7BC2EAB9">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以最终采购人与中标人签订的合同条款为准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p w14:paraId="6C17410E">
      <w:pPr>
        <w:spacing w:line="360" w:lineRule="auto"/>
        <w:jc w:val="center"/>
        <w:rPr>
          <w:rFonts w:hint="eastAsia" w:ascii="宋体" w:hAnsi="宋体" w:eastAsia="宋体" w:cs="宋体"/>
          <w:b/>
          <w:bCs/>
          <w:color w:val="auto"/>
          <w:szCs w:val="21"/>
          <w:highlight w:val="none"/>
        </w:rPr>
      </w:pPr>
    </w:p>
    <w:p w14:paraId="13AF15AD">
      <w:pPr>
        <w:spacing w:line="360" w:lineRule="auto"/>
        <w:jc w:val="right"/>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本合同口是/口否中小企业预留合同</w:t>
      </w:r>
    </w:p>
    <w:p w14:paraId="42F161E1">
      <w:pPr>
        <w:spacing w:line="360" w:lineRule="auto"/>
        <w:ind w:firstLine="2520" w:firstLineChars="1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政府采购服务合同（范本）</w:t>
      </w:r>
    </w:p>
    <w:p w14:paraId="36B8E11D">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合同编号：</w:t>
      </w:r>
    </w:p>
    <w:p w14:paraId="1FD3CDCF">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签订地：</w:t>
      </w:r>
    </w:p>
    <w:p w14:paraId="7426708A">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甲方（采购人）：</w:t>
      </w:r>
    </w:p>
    <w:p w14:paraId="43626567">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4195A60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乙方（中标人）：</w:t>
      </w:r>
    </w:p>
    <w:p w14:paraId="65B0BB69">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住所地：</w:t>
      </w:r>
    </w:p>
    <w:p w14:paraId="13A97663">
      <w:pPr>
        <w:spacing w:line="360" w:lineRule="auto"/>
        <w:ind w:firstLine="315" w:firstLineChars="150"/>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乙方于年月日参加了</w:t>
      </w:r>
      <w:r>
        <w:rPr>
          <w:rFonts w:hint="eastAsia" w:ascii="宋体" w:hAnsi="宋体" w:eastAsia="宋体" w:cs="宋体"/>
          <w:color w:val="auto"/>
          <w:sz w:val="21"/>
          <w:szCs w:val="21"/>
          <w:highlight w:val="none"/>
          <w:u w:val="single"/>
        </w:rPr>
        <w:t>（采购代理机构）</w:t>
      </w:r>
      <w:r>
        <w:rPr>
          <w:rFonts w:hint="eastAsia" w:ascii="宋体" w:hAnsi="宋体" w:eastAsia="宋体" w:cs="宋体"/>
          <w:color w:val="auto"/>
          <w:sz w:val="21"/>
          <w:szCs w:val="21"/>
          <w:highlight w:val="none"/>
        </w:rPr>
        <w:t xml:space="preserve"> 组织的“（</w:t>
      </w:r>
      <w:r>
        <w:rPr>
          <w:rFonts w:hint="eastAsia" w:ascii="宋体" w:hAnsi="宋体" w:eastAsia="宋体" w:cs="宋体"/>
          <w:color w:val="auto"/>
          <w:sz w:val="21"/>
          <w:szCs w:val="21"/>
          <w:highlight w:val="none"/>
          <w:u w:val="single"/>
        </w:rPr>
        <w:t>项目名称及项目编号）</w:t>
      </w:r>
      <w:r>
        <w:rPr>
          <w:rFonts w:hint="eastAsia" w:ascii="宋体" w:hAnsi="宋体" w:eastAsia="宋体" w:cs="宋体"/>
          <w:color w:val="auto"/>
          <w:sz w:val="21"/>
          <w:szCs w:val="21"/>
          <w:highlight w:val="none"/>
        </w:rPr>
        <w:t>” 政府采购活动，经评标委员会评审确定乙方为 （</w:t>
      </w:r>
      <w:r>
        <w:rPr>
          <w:rFonts w:hint="eastAsia" w:ascii="宋体" w:hAnsi="宋体" w:eastAsia="宋体" w:cs="宋体"/>
          <w:color w:val="auto"/>
          <w:sz w:val="21"/>
          <w:szCs w:val="21"/>
          <w:highlight w:val="none"/>
          <w:u w:val="single"/>
        </w:rPr>
        <w:t>包及包名称）</w:t>
      </w:r>
      <w:r>
        <w:rPr>
          <w:rFonts w:hint="eastAsia" w:ascii="宋体" w:hAnsi="宋体" w:eastAsia="宋体" w:cs="宋体"/>
          <w:color w:val="auto"/>
          <w:sz w:val="21"/>
          <w:szCs w:val="21"/>
          <w:highlight w:val="none"/>
        </w:rPr>
        <w:t>中标人，按照《中华人民共和国民法典》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《中华人民共和国政府采购法》和相关的法律法规规定，以及招标文件规定，经甲乙双方协商一致，签订本政府采购合同。</w:t>
      </w:r>
    </w:p>
    <w:p w14:paraId="7C407FDC">
      <w:pPr>
        <w:spacing w:line="360" w:lineRule="auto"/>
        <w:ind w:firstLine="42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第一条合同标的</w:t>
      </w:r>
    </w:p>
    <w:p w14:paraId="42B3B98E">
      <w:pPr>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服务名称：</w:t>
      </w:r>
    </w:p>
    <w:p w14:paraId="439DB889">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p w14:paraId="1B3F0977">
      <w:pPr>
        <w:spacing w:line="360" w:lineRule="auto"/>
        <w:ind w:firstLine="525" w:firstLineChars="2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w:t>
      </w:r>
    </w:p>
    <w:p w14:paraId="50B70991">
      <w:pPr>
        <w:widowControl w:val="0"/>
        <w:numPr>
          <w:ilvl w:val="0"/>
          <w:numId w:val="7"/>
        </w:numPr>
        <w:spacing w:line="360" w:lineRule="auto"/>
        <w:ind w:left="720" w:hanging="720" w:firstLineChars="0"/>
        <w:jc w:val="both"/>
        <w:rPr>
          <w:rFonts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合同总金额</w:t>
      </w:r>
    </w:p>
    <w:p w14:paraId="4582ADB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合同总金额为人民币（大写）： _____  (￥_____ )</w:t>
      </w:r>
    </w:p>
    <w:p w14:paraId="7C0D7C1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此价格为合同执行不变价，不因国家政策变化而变化，该价款</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货物及与之配套的设计，制造，正版软件。检验，包装。运输。保险、税费以及安装。组织验收、培训、技术服务（包括技术资料。图纸提供等）。质保期服务等全部价格，除此之外，甲方不再向乙方支付其他任何费用。 .</w:t>
      </w:r>
    </w:p>
    <w:p w14:paraId="77BBF7BA">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第三条    服务交付</w:t>
      </w:r>
    </w:p>
    <w:p w14:paraId="3D4528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1.交付日期：</w:t>
      </w:r>
    </w:p>
    <w:p w14:paraId="1C8C903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2.交付地点：</w:t>
      </w:r>
    </w:p>
    <w:p w14:paraId="76AEA1C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第四条   交付验收</w:t>
      </w:r>
    </w:p>
    <w:p w14:paraId="2BCE509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作出全面检查和整理，并列出清单，作为甲方验收和使用技术条件依据，清单应随提交的服务成果交给甲方。</w:t>
      </w:r>
    </w:p>
    <w:p w14:paraId="009345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2.对大型或复杂的政府采购项目，甲方应当邀请国家认可的质量检测机构参与验收工作，并出具验收报告，相关费用负担由甲乙双方约定。</w:t>
      </w:r>
    </w:p>
    <w:p w14:paraId="58762B4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3.乙方在指定地点提交服务成果后，甲乙双方应依据招标文件、投标文件等文件材料的要求共同验收。并且出具书面验收报告，履约验收报告应当依法依规及时在市政府采购网公开发布。</w:t>
      </w:r>
    </w:p>
    <w:p w14:paraId="40DE29B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根据财政部等三部门《关于印发〈商品包装政府采购需求标准（试行）〉〈快递包装政府采购需求标准（试行）〉的通知》规定，采购文件对商品包装和快递包装提出具体要求的，对乙方所提供包装的履约验收要求（必要时要求乙方在履约验收环节出具检测报告）：</w:t>
      </w:r>
    </w:p>
    <w:p w14:paraId="775BA9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第五条   权利瑕疵担当</w:t>
      </w:r>
    </w:p>
    <w:p w14:paraId="3A7A14F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57899C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6F8324A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3.乙方应保证其所出售的标的物没有侵害任何第三人的知识产权和商业秘密等权利：</w:t>
      </w:r>
    </w:p>
    <w:p w14:paraId="0ED9CEB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39A17B5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第六条   所有权归属</w:t>
      </w:r>
    </w:p>
    <w:p w14:paraId="4FC4A36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乙方将服务成果交付甲方，并且经甲乙双方共同验收合格后所有权转</w:t>
      </w:r>
      <w:r>
        <w:rPr>
          <w:rFonts w:hint="eastAsia" w:ascii="宋体" w:hAnsi="宋体" w:eastAsia="宋体" w:cs="宋体"/>
          <w:color w:val="auto"/>
          <w:sz w:val="21"/>
          <w:szCs w:val="21"/>
          <w:highlight w:val="none"/>
          <w:lang w:eastAsia="zh-CN"/>
        </w:rPr>
        <w:t>移给</w:t>
      </w:r>
      <w:r>
        <w:rPr>
          <w:rFonts w:hint="eastAsia" w:ascii="宋体" w:hAnsi="宋体" w:eastAsia="宋体" w:cs="宋体"/>
          <w:color w:val="auto"/>
          <w:sz w:val="21"/>
          <w:szCs w:val="21"/>
          <w:highlight w:val="none"/>
        </w:rPr>
        <w:t>甲方，在所有权转移之前，标的物损毁。灭失的风险归乙方，乙方保证所交付的服务成果的所有权完全属于乙方且无任何抵押、查封等产权瑕疵。</w:t>
      </w:r>
    </w:p>
    <w:p w14:paraId="3312315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如乙方交付的服务成果有产权实施的，视为乙方违约，乙方须向甲方支付_ %的违约金：如果合同总金额价款已经支付完毕或者开始支付合同价款时才发现产权有瑕疵的，乙方仍须支付上述违约金并且赔偿甲 方由此所遭受的一切损失。</w:t>
      </w:r>
    </w:p>
    <w:p w14:paraId="7D3FD7E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第七条   包装， 装运及运输</w:t>
      </w:r>
    </w:p>
    <w:p w14:paraId="4E169B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乙方负责包装、装运和运输，由于不适当的包装。装运和运输造成任何损坏均由乙方负责。</w:t>
      </w:r>
    </w:p>
    <w:p w14:paraId="387E77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2.包装费、运费及相关费用已包含在合同总金额内。</w:t>
      </w:r>
    </w:p>
    <w:p w14:paraId="7A23AB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3.根据财政部等三部门关于印发〈商品包装政府采购需求标准（试行）〉《快递包装政府采购需求标准（试行）的通知》规定，对乙方提出的具体包装要求：</w:t>
      </w:r>
    </w:p>
    <w:p w14:paraId="3512156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第八条   款项支付</w:t>
      </w:r>
    </w:p>
    <w:p w14:paraId="2571197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1.服务成果交付甲方，经甲乙双方共同验收合格后由甲方负责办理支付手续。</w:t>
      </w:r>
    </w:p>
    <w:p w14:paraId="62B680B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2.允许并鼓励乙方提供电子发票，甲方自收到发票之日起2个工作日内支付资金，并不得附加未经约定的其他条件。</w:t>
      </w:r>
    </w:p>
    <w:p w14:paraId="7DED781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3.付款方式</w:t>
      </w:r>
    </w:p>
    <w:p w14:paraId="2001FB4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3.1预付款比例：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 于政府采购合同签订生效并具备实施条件后2个工作日内支付。</w:t>
      </w:r>
    </w:p>
    <w:p w14:paraId="55A910F7">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第九条   履约保证金</w:t>
      </w:r>
    </w:p>
    <w:p w14:paraId="72D4AD0D">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根据许昌市优化政府采购营商环境要求。项目不收取履约保证金。</w:t>
      </w:r>
    </w:p>
    <w:p w14:paraId="09C9D4E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第十条   售后服务及承诺</w:t>
      </w:r>
    </w:p>
    <w:p w14:paraId="554A1AD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1.服务质量保证期限自提交服务验收合格之日起___ 年，在质量保证期内，乙方应对服务出现的问题负责处理并承担一切费用，</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赔偿甲方的损失。</w:t>
      </w:r>
    </w:p>
    <w:p w14:paraId="5EDA9AAD">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2.乙方有完善的服务体系，有能力提供持续的、本地化售后服务。</w:t>
      </w:r>
    </w:p>
    <w:p w14:paraId="3DFB314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3.乙方负责系统安装和调试以及操作人员培训，并制定详细的培训计划，使操作人员能独立进行管理，操作、维护和故障处理等工作，做好相关记录及技术文档收集整理，验收后移交。</w:t>
      </w:r>
    </w:p>
    <w:p w14:paraId="194136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4.服务范围：负责招标文件所涉及的所有服务。</w:t>
      </w:r>
    </w:p>
    <w:p w14:paraId="0EFDB9C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第十一  条知识产权</w:t>
      </w:r>
    </w:p>
    <w:p w14:paraId="71F0810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1.乙方保证，甲方在享受服务或者服务的任何一部分时，免受第三方提出的侵犯其专利权、商标权或其他知识产权的起诉。如发生此类纠纷，由乙方承担一切责任：如因此给甲方</w:t>
      </w:r>
      <w:r>
        <w:rPr>
          <w:rFonts w:hint="eastAsia" w:ascii="宋体" w:hAnsi="宋体" w:eastAsia="宋体" w:cs="宋体"/>
          <w:color w:val="auto"/>
          <w:sz w:val="21"/>
          <w:szCs w:val="21"/>
          <w:highlight w:val="none"/>
          <w:lang w:eastAsia="zh-CN"/>
        </w:rPr>
        <w:t>造成损失的，由乙方</w:t>
      </w:r>
      <w:r>
        <w:rPr>
          <w:rFonts w:hint="eastAsia" w:ascii="宋体" w:hAnsi="宋体" w:eastAsia="宋体" w:cs="宋体"/>
          <w:color w:val="auto"/>
          <w:sz w:val="21"/>
          <w:szCs w:val="21"/>
          <w:highlight w:val="none"/>
        </w:rPr>
        <w:t>负责全额赔偿。</w:t>
      </w:r>
    </w:p>
    <w:p w14:paraId="3E72FD5C">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2.乙方为执行本合同而提供的技术资料或者其他相关资料，软件等由甲方永久免费使用。</w:t>
      </w:r>
    </w:p>
    <w:p w14:paraId="19AAE4C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第十二   条甲方责任</w:t>
      </w:r>
    </w:p>
    <w:p w14:paraId="2FFC515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1.及时办理付款手续。</w:t>
      </w:r>
    </w:p>
    <w:p w14:paraId="4B2B12F3">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2.负责提供工作场地，协助乙方办理有关事宜。</w:t>
      </w:r>
    </w:p>
    <w:p w14:paraId="14F255F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对合同条款及所知悉的乙方商业秘密负有保密义务。</w:t>
      </w:r>
    </w:p>
    <w:p w14:paraId="13DEE303">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第十三条   乙方责任</w:t>
      </w:r>
    </w:p>
    <w:p w14:paraId="13AD9B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1.保证所提供服务为投标文件承诺服务，符合相关法律法规规定并且满足甲方的需求，保证其配套项目部件为全新的未使用的且符合相关的质量要求。</w:t>
      </w:r>
    </w:p>
    <w:p w14:paraId="45161449">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2.保证所提供服务的售后服务。严格依据投标文件及相关承诺，对服务以及与之配套的项目进行保修、维护等服务。</w:t>
      </w:r>
    </w:p>
    <w:p w14:paraId="6D6566E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3.保证其所提供服务不存在侵犯第三方知识产权的行为，否则由此产生的损失由乙方承担。</w:t>
      </w:r>
    </w:p>
    <w:p w14:paraId="34098210">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第十四条   违约责任</w:t>
      </w:r>
    </w:p>
    <w:p w14:paraId="352AE0A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1.乙方所提供服务成果及与之配套项目等不符合合同约定标准，甲方有权拒收。同时，乙方向甲方支付合同总金额__ %的违约金。</w:t>
      </w:r>
    </w:p>
    <w:p w14:paraId="2A4FFCC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乙方不能交付服务成果时，乙方向甲方支付合同总金额_ %的违约金。</w:t>
      </w:r>
    </w:p>
    <w:p w14:paraId="1248D01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乙方逾期交付服务成果时，每逾__日乙方向甲方支付合同总金额_ %的滞纳金。逾期交付超过_日， 甲方有权决定是否继续履行合同，如甲方决定终止履行合同的，乙方向甲方支付合同总金额_ %的违约金， 并且赔偿甲方因此所遭受的损失。</w:t>
      </w:r>
    </w:p>
    <w:p w14:paraId="0953E8B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4.甲方逾期退还履约保证金的违约责任：采购人延迟退还供应商缴纳的履约保证金的，应当支付逾期利息。双方对逾期利息的利率有约定的，约定利率不得低于合同订立时__年期贷款市场报价利率： 未作约定的，按照每日利率___支付逾期利息。</w:t>
      </w:r>
    </w:p>
    <w:p w14:paraId="6751D474">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5.甲方逾期支付资金的违约责任：</w:t>
      </w:r>
    </w:p>
    <w:p w14:paraId="5F88296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6.因甲方原因导致变更、中止或者终止政府采购合同的，甲方对供应商受到的损失予以赔偿或者补偿：</w:t>
      </w:r>
    </w:p>
    <w:p w14:paraId="017F898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7.因甲方过错给乙方造成的损失，由甲方负担。</w:t>
      </w:r>
    </w:p>
    <w:p w14:paraId="26D160A5">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第十五条   不可抗力</w:t>
      </w:r>
    </w:p>
    <w:p w14:paraId="684B69B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部分或全部免于承担违约责任。</w:t>
      </w:r>
    </w:p>
    <w:p w14:paraId="7B95DFEB">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第十六条   保密</w:t>
      </w:r>
    </w:p>
    <w:p w14:paraId="3CAC6B3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乙方在合同履行期间知悉甲方的工作秘密（包括相关业务信息）。不得披露或以其他方式提供结合双方以外的其他方（包括乙方内部与本合同无关的任何人员）。乙方的保密责任不因本合同的终止而终止。</w:t>
      </w:r>
    </w:p>
    <w:p w14:paraId="7EC3B11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乙方违反本合同所规定的保密义务，应按照本合同总金额的_ %支付违约金。</w:t>
      </w:r>
    </w:p>
    <w:p w14:paraId="30CA76B4">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第十七条   争议解决</w:t>
      </w:r>
    </w:p>
    <w:p w14:paraId="4C117DA8">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甲乙双方在合同履行</w:t>
      </w:r>
      <w:r>
        <w:rPr>
          <w:rFonts w:hint="eastAsia" w:ascii="宋体" w:hAnsi="宋体" w:eastAsia="宋体" w:cs="宋体"/>
          <w:color w:val="auto"/>
          <w:sz w:val="21"/>
          <w:szCs w:val="21"/>
          <w:highlight w:val="none"/>
          <w:lang w:eastAsia="zh-CN"/>
        </w:rPr>
        <w:t>过程中发生争议</w:t>
      </w:r>
      <w:r>
        <w:rPr>
          <w:rFonts w:hint="eastAsia" w:ascii="宋体" w:hAnsi="宋体" w:eastAsia="宋体" w:cs="宋体"/>
          <w:color w:val="auto"/>
          <w:sz w:val="21"/>
          <w:szCs w:val="21"/>
          <w:highlight w:val="none"/>
        </w:rPr>
        <w:t>，应通过协商解决。如协商不成，可以向合同签订地法院提起诉讼。</w:t>
      </w:r>
    </w:p>
    <w:p w14:paraId="4AEED182">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第十八条   合同生效及其他</w:t>
      </w:r>
    </w:p>
    <w:p w14:paraId="26901A98">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1.除招标文件规定且甲方事先书面同意外，乙方不得部分或者全部转让、分包履行其应履行的合同项下的义务。</w:t>
      </w:r>
    </w:p>
    <w:p w14:paraId="36EA88E2">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合同由甲、乙双方法定代表人（或者被授权代表）签字并加盖单位公章。</w:t>
      </w:r>
    </w:p>
    <w:p w14:paraId="73C4F2D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本合同一式份，甲方_份，乙方_份。</w:t>
      </w:r>
    </w:p>
    <w:p w14:paraId="3345D14C">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第十九条   服务期限</w:t>
      </w:r>
    </w:p>
    <w:p w14:paraId="41648ABB">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本合同服务期限为_年：服务期限自_年_ 月_ 日起至_ 年月日止。本合同期限未定，如需续签，根据《政府采购目录</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有关规定，经财政部门批准，双方可以根据法律及各项规定另行签订书面合同。</w:t>
      </w:r>
    </w:p>
    <w:p w14:paraId="2A7A7C66">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第二十条   政府采购合 同融资</w:t>
      </w:r>
    </w:p>
    <w:p w14:paraId="1C47F85E">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经贷款银行同意，不随意更改合同付款账户。</w:t>
      </w:r>
    </w:p>
    <w:p w14:paraId="459D0A4F">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w:t>
      </w:r>
      <w:r>
        <w:rPr>
          <w:rFonts w:hint="eastAsia" w:ascii="宋体" w:hAnsi="宋体" w:eastAsia="宋体" w:cs="宋体"/>
          <w:color w:val="auto"/>
          <w:sz w:val="21"/>
          <w:szCs w:val="21"/>
          <w:highlight w:val="none"/>
          <w:lang w:eastAsia="zh-CN"/>
        </w:rPr>
        <w:t>融资</w:t>
      </w:r>
      <w:r>
        <w:rPr>
          <w:rFonts w:hint="eastAsia" w:ascii="宋体" w:hAnsi="宋体" w:eastAsia="宋体" w:cs="宋体"/>
          <w:color w:val="auto"/>
          <w:sz w:val="21"/>
          <w:szCs w:val="21"/>
          <w:highlight w:val="none"/>
        </w:rPr>
        <w:t>账户管理。在合同履约期间，中标（成交）供应商持已签订的政府采购合同向金融机构申请合同融资，可能出现政府采购合同中供应商收款的银行账户与报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14:paraId="667CDAD7">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7D96F6E">
      <w:pPr>
        <w:spacing w:line="360" w:lineRule="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第二十一条   下列文件为本合同不可分割部分</w:t>
      </w:r>
    </w:p>
    <w:p w14:paraId="0F1AE0F1">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1.政府采购招标文件（包括澄清、修改）；</w:t>
      </w:r>
    </w:p>
    <w:p w14:paraId="1F717DE6">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乙方投标文件：</w:t>
      </w:r>
    </w:p>
    <w:p w14:paraId="6E7196D5">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中标（成交）通知书：</w:t>
      </w:r>
    </w:p>
    <w:p w14:paraId="77A4F610">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4.中标人在评标过程中做出的有关澄清、说明，承诺或者补正文件：</w:t>
      </w:r>
    </w:p>
    <w:p w14:paraId="76F1A9EA">
      <w:pPr>
        <w:spacing w:line="360" w:lineRule="auto"/>
        <w:ind w:firstLine="315" w:firstLineChars="1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5.政府采购委托协议书。</w:t>
      </w:r>
    </w:p>
    <w:p w14:paraId="57C34203">
      <w:pPr>
        <w:spacing w:line="360" w:lineRule="auto"/>
        <w:ind w:firstLine="210" w:firstLineChars="1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甲  方：                                       乙   方：</w:t>
      </w:r>
    </w:p>
    <w:p w14:paraId="1F8D66DB">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                              单位名称（公章）：</w:t>
      </w:r>
    </w:p>
    <w:p w14:paraId="23396A18">
      <w:pPr>
        <w:spacing w:line="360" w:lineRule="auto"/>
        <w:ind w:firstLine="105" w:firstLineChars="50"/>
        <w:rPr>
          <w:rFonts w:ascii="宋体" w:hAnsi="宋体" w:eastAsia="宋体" w:cs="宋体"/>
          <w:color w:val="auto"/>
          <w:sz w:val="21"/>
          <w:szCs w:val="21"/>
          <w:highlight w:val="none"/>
        </w:rPr>
      </w:pPr>
    </w:p>
    <w:p w14:paraId="7E690763">
      <w:pPr>
        <w:spacing w:line="360" w:lineRule="auto"/>
        <w:ind w:left="3520" w:hanging="3360" w:hangingChars="16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法定代表人（被授权代表）签字：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法定代表人（被授权代表）签字：</w:t>
      </w:r>
    </w:p>
    <w:p w14:paraId="7D065C4F">
      <w:pPr>
        <w:spacing w:line="360" w:lineRule="auto"/>
        <w:ind w:firstLine="105" w:firstLineChars="5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电    话：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电   话：</w:t>
      </w:r>
    </w:p>
    <w:p w14:paraId="35EF1A6A">
      <w:pPr>
        <w:jc w:val="both"/>
        <w:rPr>
          <w:rFonts w:hint="eastAsia" w:ascii="宋体" w:hAnsi="宋体" w:eastAsia="宋体" w:cs="宋体"/>
          <w:color w:val="auto"/>
          <w:sz w:val="44"/>
          <w:szCs w:val="44"/>
          <w:highlight w:val="none"/>
          <w:lang w:val="zh-CN"/>
        </w:rPr>
      </w:pPr>
    </w:p>
    <w:p w14:paraId="14027066">
      <w:pPr>
        <w:numPr>
          <w:ilvl w:val="0"/>
          <w:numId w:val="8"/>
        </w:numPr>
        <w:autoSpaceDE w:val="0"/>
        <w:autoSpaceDN w:val="0"/>
        <w:adjustRightInd w:val="0"/>
        <w:spacing w:line="700" w:lineRule="exact"/>
        <w:ind w:firstLine="551"/>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响应文件有关格式</w:t>
      </w:r>
    </w:p>
    <w:p w14:paraId="7AE02F6E">
      <w:pPr>
        <w:numPr>
          <w:ilvl w:val="0"/>
          <w:numId w:val="0"/>
        </w:numPr>
        <w:autoSpaceDE w:val="0"/>
        <w:autoSpaceDN w:val="0"/>
        <w:adjustRightInd w:val="0"/>
        <w:spacing w:line="7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6B728813">
      <w:pPr>
        <w:spacing w:line="480" w:lineRule="exact"/>
        <w:ind w:firstLine="540" w:firstLineChars="19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p>
    <w:p w14:paraId="3E7A010F">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w:t>
      </w:r>
      <w:r>
        <w:rPr>
          <w:rFonts w:hint="eastAsia" w:ascii="宋体" w:hAnsi="宋体" w:eastAsia="宋体" w:cs="宋体"/>
          <w:b/>
          <w:color w:val="auto"/>
          <w:kern w:val="0"/>
          <w:sz w:val="24"/>
          <w:szCs w:val="24"/>
          <w:highlight w:val="none"/>
          <w:lang w:val="en-US" w:eastAsia="zh-CN"/>
        </w:rPr>
        <w:t>供应商</w:t>
      </w:r>
      <w:r>
        <w:rPr>
          <w:rFonts w:hint="eastAsia" w:ascii="宋体" w:hAnsi="宋体" w:eastAsia="宋体" w:cs="宋体"/>
          <w:b/>
          <w:color w:val="auto"/>
          <w:kern w:val="0"/>
          <w:sz w:val="24"/>
          <w:szCs w:val="24"/>
          <w:highlight w:val="none"/>
        </w:rPr>
        <w:t>在制作响应文件时应以</w:t>
      </w:r>
      <w:r>
        <w:rPr>
          <w:rFonts w:hint="eastAsia" w:ascii="宋体" w:hAnsi="宋体" w:eastAsia="宋体" w:cs="宋体"/>
          <w:b/>
          <w:color w:val="auto"/>
          <w:kern w:val="0"/>
          <w:sz w:val="24"/>
          <w:szCs w:val="24"/>
          <w:highlight w:val="none"/>
          <w:lang w:val="en-US" w:eastAsia="zh-CN"/>
        </w:rPr>
        <w:t>磋商</w:t>
      </w:r>
      <w:r>
        <w:rPr>
          <w:rFonts w:hint="eastAsia" w:ascii="宋体" w:hAnsi="宋体" w:eastAsia="宋体" w:cs="宋体"/>
          <w:b/>
          <w:color w:val="auto"/>
          <w:kern w:val="0"/>
          <w:sz w:val="24"/>
          <w:szCs w:val="24"/>
          <w:highlight w:val="none"/>
        </w:rPr>
        <w:t>文件内容要求为准，选择相应的响应文件格式。</w:t>
      </w:r>
    </w:p>
    <w:p w14:paraId="06B72B7D">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2.没有给定格式的，投标人可以自行设计。</w:t>
      </w:r>
    </w:p>
    <w:p w14:paraId="4B2EE2FA">
      <w:pPr>
        <w:pStyle w:val="15"/>
        <w:rPr>
          <w:rFonts w:hint="eastAsia" w:ascii="宋体" w:hAnsi="宋体" w:eastAsia="宋体" w:cs="宋体"/>
          <w:b/>
          <w:color w:val="auto"/>
          <w:kern w:val="0"/>
          <w:sz w:val="24"/>
          <w:szCs w:val="24"/>
          <w:highlight w:val="none"/>
        </w:rPr>
      </w:pPr>
    </w:p>
    <w:p w14:paraId="08EE8311">
      <w:pPr>
        <w:pStyle w:val="16"/>
        <w:rPr>
          <w:rFonts w:hint="eastAsia" w:ascii="宋体" w:hAnsi="宋体" w:eastAsia="宋体" w:cs="宋体"/>
          <w:b/>
          <w:color w:val="auto"/>
          <w:kern w:val="0"/>
          <w:sz w:val="24"/>
          <w:szCs w:val="24"/>
          <w:highlight w:val="none"/>
        </w:rPr>
      </w:pPr>
    </w:p>
    <w:p w14:paraId="5305C65C">
      <w:pPr>
        <w:rPr>
          <w:rFonts w:hint="eastAsia" w:ascii="宋体" w:hAnsi="宋体" w:eastAsia="宋体" w:cs="宋体"/>
          <w:b/>
          <w:color w:val="auto"/>
          <w:kern w:val="0"/>
          <w:sz w:val="24"/>
          <w:szCs w:val="24"/>
          <w:highlight w:val="none"/>
        </w:rPr>
      </w:pPr>
    </w:p>
    <w:p w14:paraId="432D788A">
      <w:pPr>
        <w:pStyle w:val="15"/>
        <w:rPr>
          <w:rFonts w:hint="eastAsia" w:ascii="宋体" w:hAnsi="宋体" w:eastAsia="宋体" w:cs="宋体"/>
          <w:b/>
          <w:color w:val="auto"/>
          <w:kern w:val="0"/>
          <w:sz w:val="24"/>
          <w:szCs w:val="24"/>
          <w:highlight w:val="none"/>
        </w:rPr>
      </w:pPr>
    </w:p>
    <w:p w14:paraId="50347BB7">
      <w:pPr>
        <w:pStyle w:val="16"/>
        <w:rPr>
          <w:rFonts w:hint="eastAsia" w:ascii="宋体" w:hAnsi="宋体" w:eastAsia="宋体" w:cs="宋体"/>
          <w:b/>
          <w:color w:val="auto"/>
          <w:kern w:val="0"/>
          <w:sz w:val="24"/>
          <w:szCs w:val="24"/>
          <w:highlight w:val="none"/>
        </w:rPr>
      </w:pPr>
    </w:p>
    <w:p w14:paraId="2F199146">
      <w:pPr>
        <w:rPr>
          <w:rFonts w:hint="eastAsia" w:ascii="宋体" w:hAnsi="宋体" w:eastAsia="宋体" w:cs="宋体"/>
          <w:b/>
          <w:color w:val="auto"/>
          <w:kern w:val="0"/>
          <w:sz w:val="24"/>
          <w:szCs w:val="24"/>
          <w:highlight w:val="none"/>
        </w:rPr>
      </w:pPr>
    </w:p>
    <w:p w14:paraId="6AFE0CA5">
      <w:pPr>
        <w:pStyle w:val="15"/>
        <w:rPr>
          <w:rFonts w:hint="eastAsia" w:ascii="宋体" w:hAnsi="宋体" w:eastAsia="宋体" w:cs="宋体"/>
          <w:b/>
          <w:color w:val="auto"/>
          <w:kern w:val="0"/>
          <w:sz w:val="24"/>
          <w:szCs w:val="24"/>
          <w:highlight w:val="none"/>
        </w:rPr>
      </w:pPr>
    </w:p>
    <w:p w14:paraId="1A5DD50F">
      <w:pPr>
        <w:pStyle w:val="16"/>
        <w:rPr>
          <w:rFonts w:hint="eastAsia" w:ascii="宋体" w:hAnsi="宋体" w:eastAsia="宋体" w:cs="宋体"/>
          <w:b/>
          <w:color w:val="auto"/>
          <w:kern w:val="0"/>
          <w:sz w:val="24"/>
          <w:szCs w:val="24"/>
          <w:highlight w:val="none"/>
        </w:rPr>
      </w:pPr>
    </w:p>
    <w:p w14:paraId="5DACA503">
      <w:pPr>
        <w:rPr>
          <w:rFonts w:hint="eastAsia" w:ascii="宋体" w:hAnsi="宋体" w:eastAsia="宋体" w:cs="宋体"/>
          <w:b/>
          <w:color w:val="auto"/>
          <w:kern w:val="0"/>
          <w:sz w:val="24"/>
          <w:szCs w:val="24"/>
          <w:highlight w:val="none"/>
        </w:rPr>
      </w:pPr>
    </w:p>
    <w:p w14:paraId="2DFA9F9F">
      <w:pPr>
        <w:pStyle w:val="15"/>
        <w:rPr>
          <w:rFonts w:hint="eastAsia" w:ascii="宋体" w:hAnsi="宋体" w:eastAsia="宋体" w:cs="宋体"/>
          <w:b/>
          <w:color w:val="auto"/>
          <w:kern w:val="0"/>
          <w:sz w:val="24"/>
          <w:szCs w:val="24"/>
          <w:highlight w:val="none"/>
        </w:rPr>
      </w:pPr>
    </w:p>
    <w:p w14:paraId="303012C0">
      <w:pPr>
        <w:pStyle w:val="16"/>
        <w:rPr>
          <w:rFonts w:hint="eastAsia" w:ascii="宋体" w:hAnsi="宋体" w:eastAsia="宋体" w:cs="宋体"/>
          <w:b/>
          <w:color w:val="auto"/>
          <w:kern w:val="0"/>
          <w:sz w:val="24"/>
          <w:szCs w:val="24"/>
          <w:highlight w:val="none"/>
        </w:rPr>
      </w:pPr>
    </w:p>
    <w:p w14:paraId="63D06C7F">
      <w:pPr>
        <w:rPr>
          <w:rFonts w:hint="eastAsia" w:ascii="宋体" w:hAnsi="宋体" w:eastAsia="宋体" w:cs="宋体"/>
          <w:b/>
          <w:color w:val="auto"/>
          <w:kern w:val="0"/>
          <w:sz w:val="24"/>
          <w:szCs w:val="24"/>
          <w:highlight w:val="none"/>
        </w:rPr>
      </w:pPr>
    </w:p>
    <w:p w14:paraId="6926364D">
      <w:pPr>
        <w:pStyle w:val="15"/>
        <w:rPr>
          <w:rFonts w:hint="eastAsia" w:ascii="宋体" w:hAnsi="宋体" w:eastAsia="宋体" w:cs="宋体"/>
          <w:b/>
          <w:color w:val="auto"/>
          <w:kern w:val="0"/>
          <w:sz w:val="24"/>
          <w:szCs w:val="24"/>
          <w:highlight w:val="none"/>
        </w:rPr>
      </w:pPr>
    </w:p>
    <w:p w14:paraId="7AC7830E">
      <w:pPr>
        <w:pStyle w:val="16"/>
        <w:rPr>
          <w:rFonts w:hint="eastAsia" w:ascii="宋体" w:hAnsi="宋体" w:eastAsia="宋体" w:cs="宋体"/>
          <w:b/>
          <w:color w:val="auto"/>
          <w:kern w:val="0"/>
          <w:sz w:val="24"/>
          <w:szCs w:val="24"/>
          <w:highlight w:val="none"/>
        </w:rPr>
      </w:pPr>
    </w:p>
    <w:p w14:paraId="271CD4D9">
      <w:pPr>
        <w:rPr>
          <w:rFonts w:hint="eastAsia" w:ascii="宋体" w:hAnsi="宋体" w:eastAsia="宋体" w:cs="宋体"/>
          <w:b/>
          <w:color w:val="auto"/>
          <w:kern w:val="0"/>
          <w:sz w:val="24"/>
          <w:szCs w:val="24"/>
          <w:highlight w:val="none"/>
        </w:rPr>
      </w:pPr>
    </w:p>
    <w:p w14:paraId="6DCCB913">
      <w:pPr>
        <w:pStyle w:val="15"/>
        <w:rPr>
          <w:rFonts w:hint="eastAsia" w:ascii="宋体" w:hAnsi="宋体" w:eastAsia="宋体" w:cs="宋体"/>
          <w:b/>
          <w:color w:val="auto"/>
          <w:kern w:val="0"/>
          <w:sz w:val="24"/>
          <w:szCs w:val="24"/>
          <w:highlight w:val="none"/>
        </w:rPr>
      </w:pPr>
    </w:p>
    <w:p w14:paraId="53699987">
      <w:pPr>
        <w:pStyle w:val="16"/>
        <w:rPr>
          <w:rFonts w:hint="eastAsia" w:ascii="宋体" w:hAnsi="宋体" w:eastAsia="宋体" w:cs="宋体"/>
          <w:b/>
          <w:color w:val="auto"/>
          <w:kern w:val="0"/>
          <w:sz w:val="24"/>
          <w:szCs w:val="24"/>
          <w:highlight w:val="none"/>
        </w:rPr>
      </w:pPr>
    </w:p>
    <w:p w14:paraId="415C1CFD">
      <w:pPr>
        <w:rPr>
          <w:rFonts w:hint="eastAsia" w:ascii="宋体" w:hAnsi="宋体" w:eastAsia="宋体" w:cs="宋体"/>
          <w:b/>
          <w:color w:val="auto"/>
          <w:kern w:val="0"/>
          <w:sz w:val="24"/>
          <w:szCs w:val="24"/>
          <w:highlight w:val="none"/>
        </w:rPr>
      </w:pPr>
    </w:p>
    <w:p w14:paraId="026E577A">
      <w:pPr>
        <w:pStyle w:val="15"/>
        <w:rPr>
          <w:rFonts w:hint="eastAsia"/>
          <w:color w:val="auto"/>
          <w:highlight w:val="none"/>
        </w:rPr>
      </w:pPr>
    </w:p>
    <w:p w14:paraId="43B223EA">
      <w:pPr>
        <w:ind w:firstLine="1260" w:firstLineChars="350"/>
        <w:rPr>
          <w:rFonts w:hint="eastAsia" w:ascii="宋体" w:hAnsi="宋体" w:eastAsia="宋体" w:cs="宋体"/>
          <w:b/>
          <w:bCs/>
          <w:color w:val="auto"/>
          <w:sz w:val="44"/>
          <w:szCs w:val="44"/>
          <w:highlight w:val="none"/>
        </w:rPr>
      </w:pPr>
      <w:r>
        <w:rPr>
          <w:rFonts w:hint="eastAsia" w:ascii="宋体" w:hAnsi="宋体" w:eastAsia="宋体" w:cs="宋体"/>
          <w:color w:val="auto"/>
          <w:sz w:val="36"/>
          <w:szCs w:val="36"/>
          <w:highlight w:val="none"/>
          <w:u w:val="single"/>
        </w:rPr>
        <w:t xml:space="preserve">                        （项目名称）</w:t>
      </w:r>
    </w:p>
    <w:p w14:paraId="1CC00AFB">
      <w:pPr>
        <w:spacing w:line="380" w:lineRule="exact"/>
        <w:rPr>
          <w:rFonts w:hint="eastAsia" w:ascii="宋体" w:hAnsi="宋体" w:eastAsia="宋体" w:cs="宋体"/>
          <w:color w:val="auto"/>
          <w:sz w:val="24"/>
          <w:highlight w:val="none"/>
        </w:rPr>
      </w:pPr>
    </w:p>
    <w:p w14:paraId="5A20C22A">
      <w:pPr>
        <w:spacing w:line="380" w:lineRule="exact"/>
        <w:rPr>
          <w:rFonts w:hint="eastAsia" w:ascii="宋体" w:hAnsi="宋体" w:eastAsia="宋体" w:cs="宋体"/>
          <w:color w:val="auto"/>
          <w:sz w:val="24"/>
          <w:highlight w:val="none"/>
        </w:rPr>
      </w:pPr>
    </w:p>
    <w:p w14:paraId="7DD98CC4">
      <w:pPr>
        <w:pStyle w:val="16"/>
        <w:ind w:left="0" w:leftChars="0" w:firstLine="0" w:firstLineChars="0"/>
        <w:rPr>
          <w:rFonts w:hint="eastAsia" w:ascii="宋体" w:hAnsi="宋体" w:eastAsia="宋体" w:cs="宋体"/>
          <w:color w:val="auto"/>
          <w:highlight w:val="none"/>
          <w:lang w:eastAsia="zh-CN"/>
        </w:rPr>
      </w:pPr>
    </w:p>
    <w:p w14:paraId="6B6BE73D">
      <w:pPr>
        <w:rPr>
          <w:rFonts w:hint="eastAsia" w:ascii="宋体" w:hAnsi="宋体" w:eastAsia="宋体" w:cs="宋体"/>
          <w:color w:val="auto"/>
          <w:highlight w:val="none"/>
          <w:lang w:eastAsia="zh-CN"/>
        </w:rPr>
      </w:pPr>
    </w:p>
    <w:p w14:paraId="10F3317F">
      <w:pPr>
        <w:pStyle w:val="15"/>
        <w:rPr>
          <w:rFonts w:hint="eastAsia" w:ascii="宋体" w:hAnsi="宋体" w:eastAsia="宋体" w:cs="宋体"/>
          <w:color w:val="auto"/>
          <w:highlight w:val="none"/>
          <w:lang w:eastAsia="zh-CN"/>
        </w:rPr>
      </w:pPr>
    </w:p>
    <w:p w14:paraId="7B307C20">
      <w:pPr>
        <w:pStyle w:val="16"/>
        <w:rPr>
          <w:rFonts w:hint="eastAsia"/>
          <w:color w:val="auto"/>
          <w:highlight w:val="none"/>
          <w:lang w:eastAsia="zh-CN"/>
        </w:rPr>
      </w:pPr>
    </w:p>
    <w:p w14:paraId="77F70EB9">
      <w:pPr>
        <w:spacing w:line="380" w:lineRule="exact"/>
        <w:jc w:val="center"/>
        <w:rPr>
          <w:rFonts w:hint="eastAsia" w:ascii="宋体" w:hAnsi="宋体" w:eastAsia="宋体" w:cs="宋体"/>
          <w:b/>
          <w:bCs/>
          <w:color w:val="auto"/>
          <w:sz w:val="48"/>
          <w:szCs w:val="48"/>
          <w:highlight w:val="none"/>
        </w:rPr>
      </w:pPr>
    </w:p>
    <w:p w14:paraId="298B21F6">
      <w:pPr>
        <w:spacing w:line="380" w:lineRule="exact"/>
        <w:jc w:val="center"/>
        <w:rPr>
          <w:rFonts w:hint="eastAsia" w:ascii="宋体" w:hAnsi="宋体" w:eastAsia="宋体" w:cs="宋体"/>
          <w:b/>
          <w:bCs/>
          <w:color w:val="auto"/>
          <w:sz w:val="48"/>
          <w:szCs w:val="48"/>
          <w:highlight w:val="none"/>
        </w:rPr>
      </w:pPr>
    </w:p>
    <w:p w14:paraId="10089696">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137E64F9">
      <w:pPr>
        <w:spacing w:line="380" w:lineRule="exact"/>
        <w:rPr>
          <w:rFonts w:hint="eastAsia" w:ascii="宋体" w:hAnsi="宋体" w:eastAsia="宋体" w:cs="宋体"/>
          <w:color w:val="auto"/>
          <w:sz w:val="24"/>
          <w:highlight w:val="none"/>
        </w:rPr>
      </w:pPr>
    </w:p>
    <w:p w14:paraId="38E1665D">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A1A9B72">
      <w:pPr>
        <w:spacing w:after="120"/>
        <w:ind w:right="63"/>
        <w:rPr>
          <w:rFonts w:hint="eastAsia" w:ascii="宋体" w:hAnsi="宋体" w:eastAsia="宋体" w:cs="宋体"/>
          <w:color w:val="auto"/>
          <w:kern w:val="0"/>
          <w:sz w:val="34"/>
          <w:szCs w:val="20"/>
          <w:highlight w:val="none"/>
        </w:rPr>
      </w:pPr>
    </w:p>
    <w:p w14:paraId="637B3235">
      <w:pPr>
        <w:pStyle w:val="15"/>
        <w:ind w:firstLine="340"/>
        <w:rPr>
          <w:rFonts w:hint="eastAsia" w:ascii="宋体" w:hAnsi="宋体" w:eastAsia="宋体" w:cs="宋体"/>
          <w:color w:val="auto"/>
          <w:highlight w:val="none"/>
        </w:rPr>
      </w:pPr>
    </w:p>
    <w:p w14:paraId="2A334186">
      <w:pPr>
        <w:spacing w:line="380" w:lineRule="exact"/>
        <w:rPr>
          <w:rFonts w:hint="eastAsia" w:ascii="宋体" w:hAnsi="宋体" w:eastAsia="宋体" w:cs="宋体"/>
          <w:color w:val="auto"/>
          <w:sz w:val="24"/>
          <w:highlight w:val="none"/>
        </w:rPr>
      </w:pPr>
    </w:p>
    <w:p w14:paraId="08EAD144">
      <w:pPr>
        <w:pStyle w:val="15"/>
        <w:rPr>
          <w:rFonts w:hint="eastAsia" w:ascii="宋体" w:hAnsi="宋体" w:eastAsia="宋体" w:cs="宋体"/>
          <w:color w:val="auto"/>
          <w:sz w:val="24"/>
          <w:highlight w:val="none"/>
        </w:rPr>
      </w:pPr>
    </w:p>
    <w:p w14:paraId="600D3BD1">
      <w:pPr>
        <w:pStyle w:val="16"/>
        <w:rPr>
          <w:rFonts w:hint="eastAsia"/>
          <w:color w:val="auto"/>
          <w:highlight w:val="none"/>
        </w:rPr>
      </w:pPr>
    </w:p>
    <w:p w14:paraId="1444E831">
      <w:pPr>
        <w:rPr>
          <w:rFonts w:hint="eastAsia"/>
          <w:color w:val="auto"/>
          <w:highlight w:val="none"/>
        </w:rPr>
      </w:pPr>
    </w:p>
    <w:p w14:paraId="580A81CD">
      <w:pPr>
        <w:spacing w:line="380" w:lineRule="exact"/>
        <w:rPr>
          <w:rFonts w:hint="eastAsia" w:ascii="宋体" w:hAnsi="宋体" w:eastAsia="宋体" w:cs="宋体"/>
          <w:color w:val="auto"/>
          <w:sz w:val="24"/>
          <w:highlight w:val="none"/>
        </w:rPr>
      </w:pPr>
    </w:p>
    <w:p w14:paraId="42491446">
      <w:pPr>
        <w:spacing w:line="380" w:lineRule="exact"/>
        <w:rPr>
          <w:rFonts w:hint="eastAsia" w:ascii="宋体" w:hAnsi="宋体" w:eastAsia="宋体" w:cs="宋体"/>
          <w:color w:val="auto"/>
          <w:sz w:val="24"/>
          <w:highlight w:val="none"/>
        </w:rPr>
      </w:pPr>
    </w:p>
    <w:p w14:paraId="51388A24">
      <w:pPr>
        <w:spacing w:line="380" w:lineRule="exact"/>
        <w:rPr>
          <w:rFonts w:hint="eastAsia" w:ascii="宋体" w:hAnsi="宋体" w:eastAsia="宋体" w:cs="宋体"/>
          <w:color w:val="auto"/>
          <w:sz w:val="24"/>
          <w:highlight w:val="none"/>
        </w:rPr>
      </w:pPr>
    </w:p>
    <w:p w14:paraId="2E20482B">
      <w:pPr>
        <w:spacing w:line="480" w:lineRule="auto"/>
        <w:ind w:firstLine="2100" w:firstLineChars="750"/>
        <w:rPr>
          <w:rFonts w:hint="eastAsia" w:ascii="宋体" w:hAnsi="宋体" w:eastAsia="宋体" w:cs="宋体"/>
          <w:color w:val="auto"/>
          <w:sz w:val="24"/>
          <w:highlight w:val="none"/>
        </w:rPr>
      </w:pPr>
      <w:bookmarkStart w:id="2" w:name="_Toc27760_WPSOffice_Level1"/>
      <w:bookmarkStart w:id="3" w:name="_Toc7428_WPSOffice_Level1"/>
      <w:r>
        <w:rPr>
          <w:rFonts w:hint="eastAsia" w:ascii="宋体" w:hAnsi="宋体" w:eastAsia="宋体" w:cs="宋体"/>
          <w:color w:val="auto"/>
          <w:sz w:val="28"/>
          <w:szCs w:val="28"/>
          <w:highlight w:val="none"/>
          <w:lang w:val="en-US" w:eastAsia="zh-CN"/>
        </w:rPr>
        <w:t>供 应 商</w:t>
      </w:r>
      <w:r>
        <w:rPr>
          <w:rFonts w:hint="eastAsia" w:ascii="宋体" w:hAnsi="宋体" w:eastAsia="宋体" w:cs="宋体"/>
          <w:color w:val="auto"/>
          <w:sz w:val="28"/>
          <w:szCs w:val="28"/>
          <w:highlight w:val="none"/>
        </w:rPr>
        <w:t>：（全称并加盖公章）</w:t>
      </w:r>
      <w:bookmarkEnd w:id="2"/>
      <w:bookmarkEnd w:id="3"/>
    </w:p>
    <w:p w14:paraId="166A7D4B">
      <w:pPr>
        <w:spacing w:line="480" w:lineRule="auto"/>
        <w:ind w:firstLine="1820" w:firstLineChars="650"/>
        <w:rPr>
          <w:rFonts w:hint="eastAsia" w:ascii="宋体" w:hAnsi="宋体" w:eastAsia="宋体" w:cs="宋体"/>
          <w:b/>
          <w:bCs/>
          <w:color w:val="auto"/>
          <w:sz w:val="28"/>
          <w:szCs w:val="28"/>
          <w:highlight w:val="none"/>
        </w:rPr>
      </w:pPr>
      <w:bookmarkStart w:id="4" w:name="_Toc4840_WPSOffice_Level1"/>
      <w:bookmarkStart w:id="5" w:name="_Toc28157_WPSOffice_Level1"/>
      <w:r>
        <w:rPr>
          <w:rFonts w:hint="eastAsia" w:ascii="宋体" w:hAnsi="宋体" w:eastAsia="宋体" w:cs="宋体"/>
          <w:color w:val="auto"/>
          <w:sz w:val="28"/>
          <w:szCs w:val="28"/>
          <w:highlight w:val="none"/>
        </w:rPr>
        <w:t>法定代表人或委托代理人（签字）：</w:t>
      </w:r>
      <w:bookmarkEnd w:id="4"/>
      <w:bookmarkEnd w:id="5"/>
    </w:p>
    <w:p w14:paraId="651234A4">
      <w:pPr>
        <w:spacing w:line="480" w:lineRule="auto"/>
        <w:ind w:firstLine="2100" w:firstLineChars="750"/>
        <w:rPr>
          <w:rFonts w:hint="eastAsia" w:ascii="宋体" w:hAnsi="宋体" w:eastAsia="宋体" w:cs="宋体"/>
          <w:color w:val="auto"/>
          <w:sz w:val="28"/>
          <w:szCs w:val="28"/>
          <w:highlight w:val="none"/>
        </w:rPr>
      </w:pPr>
      <w:bookmarkStart w:id="6" w:name="_Toc15640_WPSOffice_Level1"/>
      <w:bookmarkStart w:id="7" w:name="_Toc2311_WPSOffice_Level1"/>
      <w:r>
        <w:rPr>
          <w:rFonts w:hint="eastAsia" w:ascii="宋体" w:hAnsi="宋体" w:eastAsia="宋体" w:cs="宋体"/>
          <w:color w:val="auto"/>
          <w:sz w:val="28"/>
          <w:szCs w:val="28"/>
          <w:highlight w:val="none"/>
        </w:rPr>
        <w:t>日    期：年 月 日</w:t>
      </w:r>
      <w:bookmarkEnd w:id="6"/>
      <w:bookmarkEnd w:id="7"/>
    </w:p>
    <w:p w14:paraId="13D28EB4">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p>
    <w:p w14:paraId="1E6223A2">
      <w:pPr>
        <w:pStyle w:val="36"/>
        <w:numPr>
          <w:ilvl w:val="0"/>
          <w:numId w:val="0"/>
        </w:numPr>
        <w:tabs>
          <w:tab w:val="left" w:pos="660"/>
        </w:tabs>
        <w:snapToGrid w:val="0"/>
        <w:spacing w:before="0" w:line="400" w:lineRule="exact"/>
        <w:jc w:val="center"/>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171"/>
        <w:gridCol w:w="1512"/>
        <w:gridCol w:w="1476"/>
        <w:gridCol w:w="1729"/>
      </w:tblGrid>
      <w:tr w14:paraId="1B2B9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1" w:hRule="atLeast"/>
        </w:trPr>
        <w:tc>
          <w:tcPr>
            <w:tcW w:w="468" w:type="dxa"/>
            <w:vAlign w:val="center"/>
          </w:tcPr>
          <w:p w14:paraId="003B60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4171" w:type="dxa"/>
            <w:vAlign w:val="center"/>
          </w:tcPr>
          <w:p w14:paraId="51871CFF">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  目</w:t>
            </w:r>
          </w:p>
        </w:tc>
        <w:tc>
          <w:tcPr>
            <w:tcW w:w="1512" w:type="dxa"/>
            <w:vAlign w:val="center"/>
          </w:tcPr>
          <w:p w14:paraId="7E03799B">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供应商应答</w:t>
            </w:r>
          </w:p>
          <w:p w14:paraId="51B90F41">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（有/没有）</w:t>
            </w:r>
          </w:p>
        </w:tc>
        <w:tc>
          <w:tcPr>
            <w:tcW w:w="1476" w:type="dxa"/>
            <w:vAlign w:val="center"/>
          </w:tcPr>
          <w:p w14:paraId="2EE8F800">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响应文件中所在页码</w:t>
            </w:r>
          </w:p>
        </w:tc>
        <w:tc>
          <w:tcPr>
            <w:tcW w:w="1729" w:type="dxa"/>
            <w:vAlign w:val="center"/>
          </w:tcPr>
          <w:p w14:paraId="3CEDA2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备注说明</w:t>
            </w:r>
          </w:p>
        </w:tc>
      </w:tr>
      <w:tr w14:paraId="6F70D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97EB0C">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4171" w:type="dxa"/>
            <w:vAlign w:val="center"/>
          </w:tcPr>
          <w:p w14:paraId="1EAFC0A2">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供应商应答索引表</w:t>
            </w:r>
          </w:p>
        </w:tc>
        <w:tc>
          <w:tcPr>
            <w:tcW w:w="1512" w:type="dxa"/>
            <w:vAlign w:val="center"/>
          </w:tcPr>
          <w:p w14:paraId="6D732D0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EA11411">
            <w:pPr>
              <w:snapToGrid w:val="0"/>
              <w:spacing w:line="400" w:lineRule="exact"/>
              <w:rPr>
                <w:rFonts w:hint="eastAsia" w:ascii="宋体" w:hAnsi="宋体" w:eastAsia="宋体" w:cs="宋体"/>
                <w:color w:val="auto"/>
                <w:szCs w:val="21"/>
                <w:highlight w:val="none"/>
              </w:rPr>
            </w:pPr>
          </w:p>
        </w:tc>
        <w:tc>
          <w:tcPr>
            <w:tcW w:w="1729" w:type="dxa"/>
            <w:vAlign w:val="center"/>
          </w:tcPr>
          <w:p w14:paraId="1CEF2D09">
            <w:pPr>
              <w:snapToGrid w:val="0"/>
              <w:spacing w:line="400" w:lineRule="exact"/>
              <w:rPr>
                <w:rFonts w:hint="eastAsia" w:ascii="宋体" w:hAnsi="宋体" w:eastAsia="宋体" w:cs="宋体"/>
                <w:color w:val="auto"/>
                <w:szCs w:val="21"/>
                <w:highlight w:val="none"/>
              </w:rPr>
            </w:pPr>
          </w:p>
        </w:tc>
      </w:tr>
      <w:tr w14:paraId="678F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DF60B6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4171" w:type="dxa"/>
            <w:vAlign w:val="center"/>
          </w:tcPr>
          <w:p w14:paraId="3FC412CD">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报价一览表</w:t>
            </w:r>
          </w:p>
        </w:tc>
        <w:tc>
          <w:tcPr>
            <w:tcW w:w="1512" w:type="dxa"/>
            <w:vAlign w:val="center"/>
          </w:tcPr>
          <w:p w14:paraId="07E645D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09C75E8E">
            <w:pPr>
              <w:snapToGrid w:val="0"/>
              <w:spacing w:line="400" w:lineRule="exact"/>
              <w:rPr>
                <w:rFonts w:hint="eastAsia" w:ascii="宋体" w:hAnsi="宋体" w:eastAsia="宋体" w:cs="宋体"/>
                <w:color w:val="auto"/>
                <w:szCs w:val="21"/>
                <w:highlight w:val="none"/>
              </w:rPr>
            </w:pPr>
          </w:p>
        </w:tc>
        <w:tc>
          <w:tcPr>
            <w:tcW w:w="1729" w:type="dxa"/>
            <w:vAlign w:val="center"/>
          </w:tcPr>
          <w:p w14:paraId="31B28955">
            <w:pPr>
              <w:snapToGrid w:val="0"/>
              <w:spacing w:line="400" w:lineRule="exact"/>
              <w:rPr>
                <w:rFonts w:hint="eastAsia" w:ascii="宋体" w:hAnsi="宋体" w:eastAsia="宋体" w:cs="宋体"/>
                <w:color w:val="auto"/>
                <w:szCs w:val="21"/>
                <w:highlight w:val="none"/>
              </w:rPr>
            </w:pPr>
          </w:p>
        </w:tc>
      </w:tr>
      <w:tr w14:paraId="6F5F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859AC0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4171" w:type="dxa"/>
            <w:vAlign w:val="center"/>
          </w:tcPr>
          <w:p w14:paraId="72410ED8">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cs="宋体"/>
                <w:color w:val="auto"/>
                <w:kern w:val="0"/>
                <w:sz w:val="21"/>
                <w:szCs w:val="21"/>
                <w:highlight w:val="none"/>
                <w:lang w:val="en-US" w:eastAsia="zh-CN"/>
              </w:rPr>
              <w:t>投标</w:t>
            </w:r>
            <w:r>
              <w:rPr>
                <w:rFonts w:hint="eastAsia" w:ascii="宋体" w:hAnsi="宋体" w:eastAsia="宋体" w:cs="宋体"/>
                <w:color w:val="auto"/>
                <w:kern w:val="0"/>
                <w:sz w:val="21"/>
                <w:szCs w:val="21"/>
                <w:highlight w:val="none"/>
              </w:rPr>
              <w:t>函</w:t>
            </w:r>
          </w:p>
        </w:tc>
        <w:tc>
          <w:tcPr>
            <w:tcW w:w="1512" w:type="dxa"/>
            <w:vAlign w:val="center"/>
          </w:tcPr>
          <w:p w14:paraId="33E10FC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4746E30">
            <w:pPr>
              <w:snapToGrid w:val="0"/>
              <w:spacing w:line="400" w:lineRule="exact"/>
              <w:rPr>
                <w:rFonts w:hint="eastAsia" w:ascii="宋体" w:hAnsi="宋体" w:eastAsia="宋体" w:cs="宋体"/>
                <w:color w:val="auto"/>
                <w:szCs w:val="21"/>
                <w:highlight w:val="none"/>
              </w:rPr>
            </w:pPr>
          </w:p>
        </w:tc>
        <w:tc>
          <w:tcPr>
            <w:tcW w:w="1729" w:type="dxa"/>
            <w:vAlign w:val="center"/>
          </w:tcPr>
          <w:p w14:paraId="74298302">
            <w:pPr>
              <w:snapToGrid w:val="0"/>
              <w:spacing w:line="400" w:lineRule="exact"/>
              <w:rPr>
                <w:rFonts w:hint="eastAsia" w:ascii="宋体" w:hAnsi="宋体" w:eastAsia="宋体" w:cs="宋体"/>
                <w:color w:val="auto"/>
                <w:szCs w:val="21"/>
                <w:highlight w:val="none"/>
              </w:rPr>
            </w:pPr>
          </w:p>
        </w:tc>
      </w:tr>
      <w:tr w14:paraId="75151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406D4D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4171" w:type="dxa"/>
            <w:vAlign w:val="center"/>
          </w:tcPr>
          <w:p w14:paraId="152C63BB">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法定代表人（单位负责人）资格证明书</w:t>
            </w:r>
          </w:p>
        </w:tc>
        <w:tc>
          <w:tcPr>
            <w:tcW w:w="1512" w:type="dxa"/>
            <w:vAlign w:val="center"/>
          </w:tcPr>
          <w:p w14:paraId="132CBD79">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7780851">
            <w:pPr>
              <w:snapToGrid w:val="0"/>
              <w:spacing w:line="400" w:lineRule="exact"/>
              <w:rPr>
                <w:rFonts w:hint="eastAsia" w:ascii="宋体" w:hAnsi="宋体" w:eastAsia="宋体" w:cs="宋体"/>
                <w:color w:val="auto"/>
                <w:szCs w:val="21"/>
                <w:highlight w:val="none"/>
              </w:rPr>
            </w:pPr>
          </w:p>
        </w:tc>
        <w:tc>
          <w:tcPr>
            <w:tcW w:w="1729" w:type="dxa"/>
            <w:vAlign w:val="center"/>
          </w:tcPr>
          <w:p w14:paraId="5E98DDA1">
            <w:pPr>
              <w:snapToGrid w:val="0"/>
              <w:spacing w:line="400" w:lineRule="exact"/>
              <w:rPr>
                <w:rFonts w:hint="eastAsia" w:ascii="宋体" w:hAnsi="宋体" w:eastAsia="宋体" w:cs="宋体"/>
                <w:color w:val="auto"/>
                <w:szCs w:val="21"/>
                <w:highlight w:val="none"/>
              </w:rPr>
            </w:pPr>
          </w:p>
        </w:tc>
      </w:tr>
      <w:tr w14:paraId="51477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27C90C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4171" w:type="dxa"/>
            <w:vAlign w:val="center"/>
          </w:tcPr>
          <w:p w14:paraId="6B4DCC1E">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法定代表人（单位负责人）授权书</w:t>
            </w:r>
          </w:p>
        </w:tc>
        <w:tc>
          <w:tcPr>
            <w:tcW w:w="1512" w:type="dxa"/>
            <w:vAlign w:val="center"/>
          </w:tcPr>
          <w:p w14:paraId="12E253F5">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55D6815">
            <w:pPr>
              <w:snapToGrid w:val="0"/>
              <w:spacing w:line="400" w:lineRule="exact"/>
              <w:rPr>
                <w:rFonts w:hint="eastAsia" w:ascii="宋体" w:hAnsi="宋体" w:eastAsia="宋体" w:cs="宋体"/>
                <w:color w:val="auto"/>
                <w:szCs w:val="21"/>
                <w:highlight w:val="none"/>
              </w:rPr>
            </w:pPr>
          </w:p>
        </w:tc>
        <w:tc>
          <w:tcPr>
            <w:tcW w:w="1729" w:type="dxa"/>
            <w:vAlign w:val="center"/>
          </w:tcPr>
          <w:p w14:paraId="7992E9A2">
            <w:pPr>
              <w:snapToGrid w:val="0"/>
              <w:spacing w:line="400" w:lineRule="exact"/>
              <w:rPr>
                <w:rFonts w:hint="eastAsia" w:ascii="宋体" w:hAnsi="宋体" w:eastAsia="宋体" w:cs="宋体"/>
                <w:color w:val="auto"/>
                <w:szCs w:val="21"/>
                <w:highlight w:val="none"/>
              </w:rPr>
            </w:pPr>
          </w:p>
        </w:tc>
      </w:tr>
      <w:tr w14:paraId="42D2F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ACB47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4171" w:type="dxa"/>
            <w:vAlign w:val="center"/>
          </w:tcPr>
          <w:p w14:paraId="490E24FE">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中小企业声明函</w:t>
            </w:r>
          </w:p>
        </w:tc>
        <w:tc>
          <w:tcPr>
            <w:tcW w:w="1512" w:type="dxa"/>
            <w:vAlign w:val="center"/>
          </w:tcPr>
          <w:p w14:paraId="3D49103B">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87BC35E">
            <w:pPr>
              <w:snapToGrid w:val="0"/>
              <w:spacing w:line="400" w:lineRule="exact"/>
              <w:rPr>
                <w:rFonts w:hint="eastAsia" w:ascii="宋体" w:hAnsi="宋体" w:eastAsia="宋体" w:cs="宋体"/>
                <w:color w:val="auto"/>
                <w:szCs w:val="21"/>
                <w:highlight w:val="none"/>
              </w:rPr>
            </w:pPr>
          </w:p>
        </w:tc>
        <w:tc>
          <w:tcPr>
            <w:tcW w:w="1729" w:type="dxa"/>
            <w:vAlign w:val="center"/>
          </w:tcPr>
          <w:p w14:paraId="652E6DE4">
            <w:pPr>
              <w:snapToGrid w:val="0"/>
              <w:spacing w:line="400" w:lineRule="exact"/>
              <w:rPr>
                <w:rFonts w:hint="eastAsia" w:ascii="宋体" w:hAnsi="宋体" w:eastAsia="宋体" w:cs="宋体"/>
                <w:color w:val="auto"/>
                <w:szCs w:val="21"/>
                <w:highlight w:val="none"/>
              </w:rPr>
            </w:pPr>
          </w:p>
        </w:tc>
      </w:tr>
      <w:tr w14:paraId="5006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78AF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4171" w:type="dxa"/>
            <w:vAlign w:val="center"/>
          </w:tcPr>
          <w:p w14:paraId="0369F62A">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残疾人福利企业声明函</w:t>
            </w:r>
          </w:p>
        </w:tc>
        <w:tc>
          <w:tcPr>
            <w:tcW w:w="1512" w:type="dxa"/>
            <w:vAlign w:val="center"/>
          </w:tcPr>
          <w:p w14:paraId="105E19D3">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C318CA3">
            <w:pPr>
              <w:snapToGrid w:val="0"/>
              <w:spacing w:line="400" w:lineRule="exact"/>
              <w:rPr>
                <w:rFonts w:hint="eastAsia" w:ascii="宋体" w:hAnsi="宋体" w:eastAsia="宋体" w:cs="宋体"/>
                <w:color w:val="auto"/>
                <w:szCs w:val="21"/>
                <w:highlight w:val="none"/>
              </w:rPr>
            </w:pPr>
          </w:p>
        </w:tc>
        <w:tc>
          <w:tcPr>
            <w:tcW w:w="1729" w:type="dxa"/>
            <w:vAlign w:val="center"/>
          </w:tcPr>
          <w:p w14:paraId="47BE59D6">
            <w:pPr>
              <w:snapToGrid w:val="0"/>
              <w:spacing w:line="400" w:lineRule="exact"/>
              <w:rPr>
                <w:rFonts w:hint="eastAsia" w:ascii="宋体" w:hAnsi="宋体" w:eastAsia="宋体" w:cs="宋体"/>
                <w:color w:val="auto"/>
                <w:szCs w:val="21"/>
                <w:highlight w:val="none"/>
              </w:rPr>
            </w:pPr>
          </w:p>
        </w:tc>
      </w:tr>
      <w:tr w14:paraId="76D37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F55143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4171" w:type="dxa"/>
            <w:vAlign w:val="center"/>
          </w:tcPr>
          <w:p w14:paraId="71F1FA55">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磋商承诺函</w:t>
            </w:r>
          </w:p>
        </w:tc>
        <w:tc>
          <w:tcPr>
            <w:tcW w:w="1512" w:type="dxa"/>
            <w:vAlign w:val="center"/>
          </w:tcPr>
          <w:p w14:paraId="5DDC6F16">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B07BF4E">
            <w:pPr>
              <w:snapToGrid w:val="0"/>
              <w:spacing w:line="400" w:lineRule="exact"/>
              <w:rPr>
                <w:rFonts w:hint="eastAsia" w:ascii="宋体" w:hAnsi="宋体" w:eastAsia="宋体" w:cs="宋体"/>
                <w:color w:val="auto"/>
                <w:szCs w:val="21"/>
                <w:highlight w:val="none"/>
              </w:rPr>
            </w:pPr>
          </w:p>
        </w:tc>
        <w:tc>
          <w:tcPr>
            <w:tcW w:w="1729" w:type="dxa"/>
            <w:vAlign w:val="center"/>
          </w:tcPr>
          <w:p w14:paraId="601488C3">
            <w:pPr>
              <w:snapToGrid w:val="0"/>
              <w:spacing w:line="400" w:lineRule="exact"/>
              <w:rPr>
                <w:rFonts w:hint="eastAsia" w:ascii="宋体" w:hAnsi="宋体" w:eastAsia="宋体" w:cs="宋体"/>
                <w:color w:val="auto"/>
                <w:szCs w:val="21"/>
                <w:highlight w:val="none"/>
              </w:rPr>
            </w:pPr>
          </w:p>
        </w:tc>
      </w:tr>
      <w:tr w14:paraId="070C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F067C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4171" w:type="dxa"/>
            <w:vAlign w:val="center"/>
          </w:tcPr>
          <w:p w14:paraId="75F80DEF">
            <w:pPr>
              <w:pStyle w:val="9"/>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禹州市政府采购供应商信用承诺函</w:t>
            </w:r>
          </w:p>
        </w:tc>
        <w:tc>
          <w:tcPr>
            <w:tcW w:w="1512" w:type="dxa"/>
            <w:vAlign w:val="center"/>
          </w:tcPr>
          <w:p w14:paraId="72F0DA5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15DE055">
            <w:pPr>
              <w:snapToGrid w:val="0"/>
              <w:spacing w:line="400" w:lineRule="exact"/>
              <w:rPr>
                <w:rFonts w:hint="eastAsia" w:ascii="宋体" w:hAnsi="宋体" w:eastAsia="宋体" w:cs="宋体"/>
                <w:color w:val="auto"/>
                <w:szCs w:val="21"/>
                <w:highlight w:val="none"/>
              </w:rPr>
            </w:pPr>
          </w:p>
        </w:tc>
        <w:tc>
          <w:tcPr>
            <w:tcW w:w="1729" w:type="dxa"/>
            <w:vAlign w:val="center"/>
          </w:tcPr>
          <w:p w14:paraId="41317703">
            <w:pPr>
              <w:snapToGrid w:val="0"/>
              <w:spacing w:line="400" w:lineRule="exact"/>
              <w:rPr>
                <w:rFonts w:hint="eastAsia" w:ascii="宋体" w:hAnsi="宋体" w:eastAsia="宋体" w:cs="宋体"/>
                <w:color w:val="auto"/>
                <w:szCs w:val="21"/>
                <w:highlight w:val="none"/>
              </w:rPr>
            </w:pPr>
          </w:p>
        </w:tc>
      </w:tr>
      <w:tr w14:paraId="2E754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53D2B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4171" w:type="dxa"/>
            <w:vAlign w:val="center"/>
          </w:tcPr>
          <w:p w14:paraId="08A8981F">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联合体协议</w:t>
            </w:r>
          </w:p>
        </w:tc>
        <w:tc>
          <w:tcPr>
            <w:tcW w:w="1512" w:type="dxa"/>
            <w:vAlign w:val="center"/>
          </w:tcPr>
          <w:p w14:paraId="2F455E1F">
            <w:pPr>
              <w:jc w:val="center"/>
              <w:rPr>
                <w:rFonts w:hint="eastAsia" w:ascii="宋体" w:hAnsi="宋体" w:eastAsia="宋体" w:cs="宋体"/>
                <w:color w:val="auto"/>
                <w:szCs w:val="21"/>
                <w:highlight w:val="none"/>
              </w:rPr>
            </w:pPr>
          </w:p>
        </w:tc>
        <w:tc>
          <w:tcPr>
            <w:tcW w:w="1476" w:type="dxa"/>
            <w:vAlign w:val="center"/>
          </w:tcPr>
          <w:p w14:paraId="1FBD0BDE">
            <w:pPr>
              <w:snapToGrid w:val="0"/>
              <w:spacing w:line="400" w:lineRule="exact"/>
              <w:rPr>
                <w:rFonts w:hint="eastAsia" w:ascii="宋体" w:hAnsi="宋体" w:eastAsia="宋体" w:cs="宋体"/>
                <w:color w:val="auto"/>
                <w:szCs w:val="21"/>
                <w:highlight w:val="none"/>
              </w:rPr>
            </w:pPr>
          </w:p>
        </w:tc>
        <w:tc>
          <w:tcPr>
            <w:tcW w:w="1729" w:type="dxa"/>
            <w:vAlign w:val="center"/>
          </w:tcPr>
          <w:p w14:paraId="3895F9C6">
            <w:pPr>
              <w:snapToGrid w:val="0"/>
              <w:spacing w:line="400" w:lineRule="exact"/>
              <w:rPr>
                <w:rFonts w:hint="eastAsia" w:ascii="宋体" w:hAnsi="宋体" w:eastAsia="宋体" w:cs="宋体"/>
                <w:color w:val="auto"/>
                <w:szCs w:val="21"/>
                <w:highlight w:val="none"/>
              </w:rPr>
            </w:pPr>
          </w:p>
        </w:tc>
      </w:tr>
      <w:tr w14:paraId="7606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0F6E3E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4171" w:type="dxa"/>
            <w:vAlign w:val="center"/>
          </w:tcPr>
          <w:p w14:paraId="37EE121F">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12" w:type="dxa"/>
            <w:vAlign w:val="center"/>
          </w:tcPr>
          <w:p w14:paraId="634122C5">
            <w:pPr>
              <w:jc w:val="center"/>
              <w:rPr>
                <w:rFonts w:hint="eastAsia" w:ascii="宋体" w:hAnsi="宋体" w:eastAsia="宋体" w:cs="宋体"/>
                <w:color w:val="auto"/>
                <w:szCs w:val="21"/>
                <w:highlight w:val="none"/>
              </w:rPr>
            </w:pPr>
          </w:p>
        </w:tc>
        <w:tc>
          <w:tcPr>
            <w:tcW w:w="1476" w:type="dxa"/>
            <w:vAlign w:val="center"/>
          </w:tcPr>
          <w:p w14:paraId="2D5981F8">
            <w:pPr>
              <w:snapToGrid w:val="0"/>
              <w:spacing w:line="400" w:lineRule="exact"/>
              <w:rPr>
                <w:rFonts w:hint="eastAsia" w:ascii="宋体" w:hAnsi="宋体" w:eastAsia="宋体" w:cs="宋体"/>
                <w:color w:val="auto"/>
                <w:szCs w:val="21"/>
                <w:highlight w:val="none"/>
              </w:rPr>
            </w:pPr>
          </w:p>
        </w:tc>
        <w:tc>
          <w:tcPr>
            <w:tcW w:w="1729" w:type="dxa"/>
            <w:vAlign w:val="center"/>
          </w:tcPr>
          <w:p w14:paraId="6E6C8FCC">
            <w:pPr>
              <w:snapToGrid w:val="0"/>
              <w:spacing w:line="400" w:lineRule="exact"/>
              <w:rPr>
                <w:rFonts w:hint="eastAsia" w:ascii="宋体" w:hAnsi="宋体" w:eastAsia="宋体" w:cs="宋体"/>
                <w:color w:val="auto"/>
                <w:szCs w:val="21"/>
                <w:highlight w:val="none"/>
              </w:rPr>
            </w:pPr>
          </w:p>
        </w:tc>
      </w:tr>
      <w:tr w14:paraId="406A5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3D805E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4171" w:type="dxa"/>
            <w:vAlign w:val="center"/>
          </w:tcPr>
          <w:p w14:paraId="4651EE1B">
            <w:pPr>
              <w:pStyle w:val="9"/>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12" w:type="dxa"/>
            <w:vAlign w:val="center"/>
          </w:tcPr>
          <w:p w14:paraId="09DB266F">
            <w:pPr>
              <w:jc w:val="center"/>
              <w:rPr>
                <w:rFonts w:hint="eastAsia" w:ascii="宋体" w:hAnsi="宋体" w:eastAsia="宋体" w:cs="宋体"/>
                <w:color w:val="auto"/>
                <w:szCs w:val="21"/>
                <w:highlight w:val="none"/>
              </w:rPr>
            </w:pPr>
          </w:p>
        </w:tc>
        <w:tc>
          <w:tcPr>
            <w:tcW w:w="1476" w:type="dxa"/>
            <w:vAlign w:val="center"/>
          </w:tcPr>
          <w:p w14:paraId="639DC6E3">
            <w:pPr>
              <w:snapToGrid w:val="0"/>
              <w:spacing w:line="400" w:lineRule="exact"/>
              <w:rPr>
                <w:rFonts w:hint="eastAsia" w:ascii="宋体" w:hAnsi="宋体" w:eastAsia="宋体" w:cs="宋体"/>
                <w:color w:val="auto"/>
                <w:szCs w:val="21"/>
                <w:highlight w:val="none"/>
              </w:rPr>
            </w:pPr>
          </w:p>
        </w:tc>
        <w:tc>
          <w:tcPr>
            <w:tcW w:w="1729" w:type="dxa"/>
            <w:vAlign w:val="center"/>
          </w:tcPr>
          <w:p w14:paraId="052CE6F8">
            <w:pPr>
              <w:snapToGrid w:val="0"/>
              <w:spacing w:line="400" w:lineRule="exact"/>
              <w:rPr>
                <w:rFonts w:hint="eastAsia" w:ascii="宋体" w:hAnsi="宋体" w:eastAsia="宋体" w:cs="宋体"/>
                <w:color w:val="auto"/>
                <w:szCs w:val="21"/>
                <w:highlight w:val="none"/>
              </w:rPr>
            </w:pPr>
          </w:p>
        </w:tc>
      </w:tr>
      <w:tr w14:paraId="6ECFE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3D29C68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4171" w:type="dxa"/>
            <w:tcBorders>
              <w:top w:val="double" w:color="auto" w:sz="4" w:space="0"/>
            </w:tcBorders>
            <w:vAlign w:val="center"/>
          </w:tcPr>
          <w:p w14:paraId="54DB4363">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分项报价表</w:t>
            </w:r>
          </w:p>
        </w:tc>
        <w:tc>
          <w:tcPr>
            <w:tcW w:w="1512" w:type="dxa"/>
            <w:tcBorders>
              <w:top w:val="double" w:color="auto" w:sz="4" w:space="0"/>
            </w:tcBorders>
            <w:vAlign w:val="center"/>
          </w:tcPr>
          <w:p w14:paraId="0BE9E620">
            <w:pPr>
              <w:jc w:val="center"/>
              <w:rPr>
                <w:rFonts w:hint="eastAsia" w:ascii="宋体" w:hAnsi="宋体" w:eastAsia="宋体" w:cs="宋体"/>
                <w:color w:val="auto"/>
                <w:szCs w:val="21"/>
                <w:highlight w:val="none"/>
              </w:rPr>
            </w:pPr>
          </w:p>
        </w:tc>
        <w:tc>
          <w:tcPr>
            <w:tcW w:w="1476" w:type="dxa"/>
            <w:tcBorders>
              <w:top w:val="double" w:color="auto" w:sz="4" w:space="0"/>
            </w:tcBorders>
            <w:vAlign w:val="center"/>
          </w:tcPr>
          <w:p w14:paraId="00217052">
            <w:pPr>
              <w:snapToGrid w:val="0"/>
              <w:spacing w:line="400" w:lineRule="exact"/>
              <w:rPr>
                <w:rFonts w:hint="eastAsia" w:ascii="宋体" w:hAnsi="宋体" w:eastAsia="宋体" w:cs="宋体"/>
                <w:color w:val="auto"/>
                <w:szCs w:val="21"/>
                <w:highlight w:val="none"/>
              </w:rPr>
            </w:pPr>
          </w:p>
        </w:tc>
        <w:tc>
          <w:tcPr>
            <w:tcW w:w="1729" w:type="dxa"/>
            <w:tcBorders>
              <w:top w:val="double" w:color="auto" w:sz="4" w:space="0"/>
            </w:tcBorders>
            <w:vAlign w:val="center"/>
          </w:tcPr>
          <w:p w14:paraId="51048505">
            <w:pPr>
              <w:snapToGrid w:val="0"/>
              <w:spacing w:line="400" w:lineRule="exact"/>
              <w:rPr>
                <w:rFonts w:hint="eastAsia" w:ascii="宋体" w:hAnsi="宋体" w:eastAsia="宋体" w:cs="宋体"/>
                <w:color w:val="auto"/>
                <w:szCs w:val="21"/>
                <w:highlight w:val="none"/>
              </w:rPr>
            </w:pPr>
          </w:p>
        </w:tc>
      </w:tr>
      <w:tr w14:paraId="415F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2C884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4171" w:type="dxa"/>
            <w:shd w:val="clear" w:color="auto" w:fill="auto"/>
            <w:vAlign w:val="center"/>
          </w:tcPr>
          <w:p w14:paraId="225F37F7">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技术方案（实施方案）</w:t>
            </w:r>
          </w:p>
        </w:tc>
        <w:tc>
          <w:tcPr>
            <w:tcW w:w="1512" w:type="dxa"/>
            <w:vAlign w:val="center"/>
          </w:tcPr>
          <w:p w14:paraId="32C72E8D">
            <w:pPr>
              <w:jc w:val="center"/>
              <w:rPr>
                <w:rFonts w:hint="eastAsia" w:ascii="宋体" w:hAnsi="宋体" w:eastAsia="宋体" w:cs="宋体"/>
                <w:color w:val="auto"/>
                <w:szCs w:val="21"/>
                <w:highlight w:val="none"/>
              </w:rPr>
            </w:pPr>
          </w:p>
        </w:tc>
        <w:tc>
          <w:tcPr>
            <w:tcW w:w="1476" w:type="dxa"/>
            <w:vAlign w:val="center"/>
          </w:tcPr>
          <w:p w14:paraId="7CE0704B">
            <w:pPr>
              <w:snapToGrid w:val="0"/>
              <w:spacing w:line="400" w:lineRule="exact"/>
              <w:rPr>
                <w:rFonts w:hint="eastAsia" w:ascii="宋体" w:hAnsi="宋体" w:eastAsia="宋体" w:cs="宋体"/>
                <w:color w:val="auto"/>
                <w:szCs w:val="21"/>
                <w:highlight w:val="none"/>
              </w:rPr>
            </w:pPr>
          </w:p>
        </w:tc>
        <w:tc>
          <w:tcPr>
            <w:tcW w:w="1729" w:type="dxa"/>
            <w:vAlign w:val="center"/>
          </w:tcPr>
          <w:p w14:paraId="082316D4">
            <w:pPr>
              <w:snapToGrid w:val="0"/>
              <w:spacing w:line="400" w:lineRule="exact"/>
              <w:rPr>
                <w:rFonts w:hint="eastAsia" w:ascii="宋体" w:hAnsi="宋体" w:eastAsia="宋体" w:cs="宋体"/>
                <w:color w:val="auto"/>
                <w:szCs w:val="21"/>
                <w:highlight w:val="none"/>
              </w:rPr>
            </w:pPr>
          </w:p>
        </w:tc>
      </w:tr>
      <w:tr w14:paraId="60A0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9144E1">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4171" w:type="dxa"/>
            <w:shd w:val="clear" w:color="auto" w:fill="auto"/>
            <w:vAlign w:val="center"/>
          </w:tcPr>
          <w:p w14:paraId="2ED4D442">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12" w:type="dxa"/>
            <w:vAlign w:val="center"/>
          </w:tcPr>
          <w:p w14:paraId="1BEE8568">
            <w:pPr>
              <w:jc w:val="center"/>
              <w:rPr>
                <w:rFonts w:hint="eastAsia" w:ascii="宋体" w:hAnsi="宋体" w:eastAsia="宋体" w:cs="宋体"/>
                <w:color w:val="auto"/>
                <w:szCs w:val="21"/>
                <w:highlight w:val="none"/>
              </w:rPr>
            </w:pPr>
          </w:p>
        </w:tc>
        <w:tc>
          <w:tcPr>
            <w:tcW w:w="1476" w:type="dxa"/>
            <w:vAlign w:val="center"/>
          </w:tcPr>
          <w:p w14:paraId="4AD81E5B">
            <w:pPr>
              <w:snapToGrid w:val="0"/>
              <w:spacing w:line="400" w:lineRule="exact"/>
              <w:rPr>
                <w:rFonts w:hint="eastAsia" w:ascii="宋体" w:hAnsi="宋体" w:eastAsia="宋体" w:cs="宋体"/>
                <w:color w:val="auto"/>
                <w:szCs w:val="21"/>
                <w:highlight w:val="none"/>
              </w:rPr>
            </w:pPr>
          </w:p>
        </w:tc>
        <w:tc>
          <w:tcPr>
            <w:tcW w:w="1729" w:type="dxa"/>
            <w:vAlign w:val="center"/>
          </w:tcPr>
          <w:p w14:paraId="4AFD7325">
            <w:pPr>
              <w:snapToGrid w:val="0"/>
              <w:spacing w:line="400" w:lineRule="exact"/>
              <w:rPr>
                <w:rFonts w:hint="eastAsia" w:ascii="宋体" w:hAnsi="宋体" w:eastAsia="宋体" w:cs="宋体"/>
                <w:color w:val="auto"/>
                <w:szCs w:val="21"/>
                <w:highlight w:val="none"/>
              </w:rPr>
            </w:pPr>
          </w:p>
        </w:tc>
      </w:tr>
      <w:tr w14:paraId="5D81D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BF3652">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4171" w:type="dxa"/>
            <w:shd w:val="clear" w:color="auto" w:fill="auto"/>
            <w:vAlign w:val="center"/>
          </w:tcPr>
          <w:p w14:paraId="6CC59171">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业绩情况表</w:t>
            </w:r>
          </w:p>
        </w:tc>
        <w:tc>
          <w:tcPr>
            <w:tcW w:w="1512" w:type="dxa"/>
            <w:vAlign w:val="center"/>
          </w:tcPr>
          <w:p w14:paraId="2D9CD2A5">
            <w:pPr>
              <w:jc w:val="center"/>
              <w:rPr>
                <w:rFonts w:hint="eastAsia" w:ascii="宋体" w:hAnsi="宋体" w:eastAsia="宋体" w:cs="宋体"/>
                <w:color w:val="auto"/>
                <w:szCs w:val="21"/>
                <w:highlight w:val="none"/>
              </w:rPr>
            </w:pPr>
          </w:p>
        </w:tc>
        <w:tc>
          <w:tcPr>
            <w:tcW w:w="1476" w:type="dxa"/>
            <w:tcBorders>
              <w:top w:val="single" w:color="auto" w:sz="4" w:space="0"/>
            </w:tcBorders>
            <w:vAlign w:val="center"/>
          </w:tcPr>
          <w:p w14:paraId="23AEFB8D">
            <w:pPr>
              <w:snapToGrid w:val="0"/>
              <w:spacing w:line="400" w:lineRule="exact"/>
              <w:rPr>
                <w:rFonts w:hint="eastAsia" w:ascii="宋体" w:hAnsi="宋体" w:eastAsia="宋体" w:cs="宋体"/>
                <w:color w:val="auto"/>
                <w:szCs w:val="21"/>
                <w:highlight w:val="none"/>
              </w:rPr>
            </w:pPr>
          </w:p>
        </w:tc>
        <w:tc>
          <w:tcPr>
            <w:tcW w:w="1729" w:type="dxa"/>
            <w:tcBorders>
              <w:top w:val="single" w:color="auto" w:sz="4" w:space="0"/>
            </w:tcBorders>
            <w:vAlign w:val="center"/>
          </w:tcPr>
          <w:p w14:paraId="0216A9EB">
            <w:pPr>
              <w:snapToGrid w:val="0"/>
              <w:spacing w:line="400" w:lineRule="exact"/>
              <w:rPr>
                <w:rFonts w:hint="eastAsia" w:ascii="宋体" w:hAnsi="宋体" w:eastAsia="宋体" w:cs="宋体"/>
                <w:color w:val="auto"/>
                <w:szCs w:val="21"/>
                <w:highlight w:val="none"/>
              </w:rPr>
            </w:pPr>
          </w:p>
        </w:tc>
      </w:tr>
      <w:tr w14:paraId="6E84E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A524C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4171" w:type="dxa"/>
            <w:shd w:val="clear" w:color="auto" w:fill="auto"/>
            <w:vAlign w:val="center"/>
          </w:tcPr>
          <w:p w14:paraId="0CB598F5">
            <w:pPr>
              <w:pStyle w:val="9"/>
              <w:kinsoku w:val="0"/>
              <w:overflowPunct w:val="0"/>
              <w:autoSpaceDE w:val="0"/>
              <w:autoSpaceDN w:val="0"/>
              <w:spacing w:line="320" w:lineRule="exact"/>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项目</w:t>
            </w:r>
            <w:r>
              <w:rPr>
                <w:rFonts w:hint="eastAsia" w:ascii="宋体" w:hAnsi="宋体" w:cs="宋体"/>
                <w:bCs/>
                <w:color w:val="auto"/>
                <w:kern w:val="0"/>
                <w:sz w:val="21"/>
                <w:szCs w:val="21"/>
                <w:highlight w:val="none"/>
                <w:lang w:val="en-US" w:eastAsia="zh-CN" w:bidi="ar-SA"/>
              </w:rPr>
              <w:t>人员</w:t>
            </w:r>
            <w:r>
              <w:rPr>
                <w:rFonts w:hint="eastAsia" w:ascii="宋体" w:hAnsi="宋体" w:eastAsia="宋体" w:cs="宋体"/>
                <w:bCs/>
                <w:color w:val="auto"/>
                <w:kern w:val="0"/>
                <w:sz w:val="21"/>
                <w:szCs w:val="21"/>
                <w:highlight w:val="none"/>
                <w:lang w:val="en-US" w:eastAsia="zh-CN" w:bidi="ar-SA"/>
              </w:rPr>
              <w:t>配备</w:t>
            </w:r>
          </w:p>
        </w:tc>
        <w:tc>
          <w:tcPr>
            <w:tcW w:w="1512" w:type="dxa"/>
            <w:vAlign w:val="center"/>
          </w:tcPr>
          <w:p w14:paraId="1705EEA4">
            <w:pPr>
              <w:jc w:val="center"/>
              <w:rPr>
                <w:rFonts w:hint="eastAsia" w:ascii="宋体" w:hAnsi="宋体" w:eastAsia="宋体" w:cs="宋体"/>
                <w:color w:val="auto"/>
                <w:szCs w:val="21"/>
                <w:highlight w:val="none"/>
              </w:rPr>
            </w:pPr>
          </w:p>
        </w:tc>
        <w:tc>
          <w:tcPr>
            <w:tcW w:w="1476" w:type="dxa"/>
            <w:vAlign w:val="center"/>
          </w:tcPr>
          <w:p w14:paraId="5A4B8810">
            <w:pPr>
              <w:snapToGrid w:val="0"/>
              <w:spacing w:line="400" w:lineRule="exact"/>
              <w:rPr>
                <w:rFonts w:hint="eastAsia" w:ascii="宋体" w:hAnsi="宋体" w:eastAsia="宋体" w:cs="宋体"/>
                <w:color w:val="auto"/>
                <w:szCs w:val="21"/>
                <w:highlight w:val="none"/>
              </w:rPr>
            </w:pPr>
          </w:p>
        </w:tc>
        <w:tc>
          <w:tcPr>
            <w:tcW w:w="1729" w:type="dxa"/>
            <w:vAlign w:val="center"/>
          </w:tcPr>
          <w:p w14:paraId="44401720">
            <w:pPr>
              <w:snapToGrid w:val="0"/>
              <w:spacing w:line="400" w:lineRule="exact"/>
              <w:rPr>
                <w:rFonts w:hint="eastAsia" w:ascii="宋体" w:hAnsi="宋体" w:eastAsia="宋体" w:cs="宋体"/>
                <w:color w:val="auto"/>
                <w:szCs w:val="21"/>
                <w:highlight w:val="none"/>
              </w:rPr>
            </w:pPr>
          </w:p>
        </w:tc>
      </w:tr>
      <w:tr w14:paraId="7DF49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14CF7D">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4171" w:type="dxa"/>
            <w:shd w:val="clear" w:color="auto" w:fill="auto"/>
            <w:vAlign w:val="center"/>
          </w:tcPr>
          <w:p w14:paraId="04127639">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监狱企业证明文件</w:t>
            </w:r>
          </w:p>
        </w:tc>
        <w:tc>
          <w:tcPr>
            <w:tcW w:w="1512" w:type="dxa"/>
            <w:vAlign w:val="center"/>
          </w:tcPr>
          <w:p w14:paraId="28887268">
            <w:pPr>
              <w:jc w:val="center"/>
              <w:rPr>
                <w:rFonts w:hint="eastAsia" w:ascii="宋体" w:hAnsi="宋体" w:eastAsia="宋体" w:cs="宋体"/>
                <w:color w:val="auto"/>
                <w:szCs w:val="21"/>
                <w:highlight w:val="none"/>
              </w:rPr>
            </w:pPr>
          </w:p>
        </w:tc>
        <w:tc>
          <w:tcPr>
            <w:tcW w:w="1476" w:type="dxa"/>
            <w:vAlign w:val="center"/>
          </w:tcPr>
          <w:p w14:paraId="297F6B91">
            <w:pPr>
              <w:snapToGrid w:val="0"/>
              <w:spacing w:line="400" w:lineRule="exact"/>
              <w:rPr>
                <w:rFonts w:hint="eastAsia" w:ascii="宋体" w:hAnsi="宋体" w:eastAsia="宋体" w:cs="宋体"/>
                <w:color w:val="auto"/>
                <w:szCs w:val="21"/>
                <w:highlight w:val="none"/>
              </w:rPr>
            </w:pPr>
          </w:p>
        </w:tc>
        <w:tc>
          <w:tcPr>
            <w:tcW w:w="1729" w:type="dxa"/>
            <w:vAlign w:val="center"/>
          </w:tcPr>
          <w:p w14:paraId="4D08BB8B">
            <w:pPr>
              <w:snapToGrid w:val="0"/>
              <w:spacing w:line="400" w:lineRule="exact"/>
              <w:rPr>
                <w:rFonts w:hint="eastAsia" w:ascii="宋体" w:hAnsi="宋体" w:eastAsia="宋体" w:cs="宋体"/>
                <w:color w:val="auto"/>
                <w:szCs w:val="21"/>
                <w:highlight w:val="none"/>
              </w:rPr>
            </w:pPr>
          </w:p>
        </w:tc>
      </w:tr>
      <w:tr w14:paraId="11FF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4ABCD3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4171" w:type="dxa"/>
            <w:shd w:val="clear" w:color="auto" w:fill="auto"/>
            <w:vAlign w:val="center"/>
          </w:tcPr>
          <w:p w14:paraId="4F6078B8">
            <w:pPr>
              <w:pStyle w:val="9"/>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12" w:type="dxa"/>
            <w:vAlign w:val="center"/>
          </w:tcPr>
          <w:p w14:paraId="0D571244">
            <w:pPr>
              <w:jc w:val="center"/>
              <w:rPr>
                <w:rFonts w:hint="eastAsia" w:ascii="宋体" w:hAnsi="宋体" w:eastAsia="宋体" w:cs="宋体"/>
                <w:color w:val="auto"/>
                <w:szCs w:val="21"/>
                <w:highlight w:val="none"/>
              </w:rPr>
            </w:pPr>
          </w:p>
        </w:tc>
        <w:tc>
          <w:tcPr>
            <w:tcW w:w="1476" w:type="dxa"/>
            <w:vAlign w:val="center"/>
          </w:tcPr>
          <w:p w14:paraId="317A61B0">
            <w:pPr>
              <w:snapToGrid w:val="0"/>
              <w:spacing w:line="400" w:lineRule="exact"/>
              <w:rPr>
                <w:rFonts w:hint="eastAsia" w:ascii="宋体" w:hAnsi="宋体" w:eastAsia="宋体" w:cs="宋体"/>
                <w:color w:val="auto"/>
                <w:szCs w:val="21"/>
                <w:highlight w:val="none"/>
              </w:rPr>
            </w:pPr>
          </w:p>
        </w:tc>
        <w:tc>
          <w:tcPr>
            <w:tcW w:w="1729" w:type="dxa"/>
            <w:vAlign w:val="center"/>
          </w:tcPr>
          <w:p w14:paraId="66905954">
            <w:pPr>
              <w:snapToGrid w:val="0"/>
              <w:spacing w:line="400" w:lineRule="exact"/>
              <w:rPr>
                <w:rFonts w:hint="eastAsia" w:ascii="宋体" w:hAnsi="宋体" w:eastAsia="宋体" w:cs="宋体"/>
                <w:color w:val="auto"/>
                <w:szCs w:val="21"/>
                <w:highlight w:val="none"/>
              </w:rPr>
            </w:pPr>
          </w:p>
        </w:tc>
      </w:tr>
    </w:tbl>
    <w:p w14:paraId="6E530B36">
      <w:pPr>
        <w:widowControl/>
        <w:jc w:val="left"/>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br w:type="page"/>
      </w:r>
    </w:p>
    <w:p w14:paraId="6591C872">
      <w:pPr>
        <w:pStyle w:val="9"/>
        <w:spacing w:line="360" w:lineRule="auto"/>
        <w:jc w:val="center"/>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二、报价一览表</w:t>
      </w:r>
    </w:p>
    <w:p w14:paraId="5566958E">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6C11A41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单位：元（人民币）</w:t>
      </w:r>
    </w:p>
    <w:tbl>
      <w:tblPr>
        <w:tblStyle w:val="17"/>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11F7799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6BC970">
            <w:pPr>
              <w:autoSpaceDE w:val="0"/>
              <w:autoSpaceDN w:val="0"/>
              <w:adjustRightInd w:val="0"/>
              <w:spacing w:line="480" w:lineRule="exact"/>
              <w:jc w:val="center"/>
              <w:rPr>
                <w:rFonts w:hint="eastAsia" w:ascii="宋体" w:hAnsi="宋体" w:eastAsia="宋体" w:cs="宋体"/>
                <w:b/>
                <w:color w:val="auto"/>
                <w:szCs w:val="21"/>
                <w:highlight w:val="none"/>
                <w:lang w:val="zh-CN" w:eastAsia="zh-CN"/>
              </w:rPr>
            </w:pPr>
            <w:r>
              <w:rPr>
                <w:rFonts w:hint="eastAsia" w:ascii="宋体" w:hAnsi="宋体" w:eastAsia="宋体" w:cs="宋体"/>
                <w:b/>
                <w:color w:val="auto"/>
                <w:szCs w:val="21"/>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E290F5">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1203D4A">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FCE67DD">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合同履约期限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55D2CE1">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备注</w:t>
            </w:r>
          </w:p>
        </w:tc>
      </w:tr>
      <w:tr w14:paraId="70AC5116">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BFAE83">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352A4AB4">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30D3E529">
            <w:pPr>
              <w:autoSpaceDE w:val="0"/>
              <w:autoSpaceDN w:val="0"/>
              <w:adjustRightInd w:val="0"/>
              <w:spacing w:line="48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7E973B11">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678D185D">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r>
    </w:tbl>
    <w:p w14:paraId="6706443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u w:val="single"/>
          <w:lang w:val="zh-CN"/>
        </w:rPr>
        <w:t xml:space="preserve">     （全称）   </w:t>
      </w:r>
      <w:r>
        <w:rPr>
          <w:rFonts w:hint="eastAsia" w:ascii="宋体" w:hAnsi="宋体" w:eastAsia="宋体" w:cs="宋体"/>
          <w:color w:val="auto"/>
          <w:szCs w:val="21"/>
          <w:highlight w:val="none"/>
          <w:lang w:val="zh-CN"/>
        </w:rPr>
        <w:t>（公章）：</w:t>
      </w:r>
    </w:p>
    <w:p w14:paraId="54668EFA">
      <w:pPr>
        <w:shd w:val="clear"/>
        <w:autoSpaceDE w:val="0"/>
        <w:autoSpaceDN w:val="0"/>
        <w:adjustRightInd w:val="0"/>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联系电话（手机）：</w:t>
      </w:r>
    </w:p>
    <w:p w14:paraId="157FEDE6">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     年    月     日</w:t>
      </w:r>
    </w:p>
    <w:p w14:paraId="236B1408">
      <w:pPr>
        <w:autoSpaceDE w:val="0"/>
        <w:autoSpaceDN w:val="0"/>
        <w:adjustRightInd w:val="0"/>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注：</w:t>
      </w:r>
    </w:p>
    <w:p w14:paraId="53374C89">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1.合同履约期限指完成该项目的最终时间（日历天）。</w:t>
      </w:r>
    </w:p>
    <w:p w14:paraId="29A70760">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2.如磋商公告明确项目合同履约期限以年为单位，本表应填写完成该项目的年限。</w:t>
      </w:r>
    </w:p>
    <w:p w14:paraId="05D2C6D6">
      <w:pPr>
        <w:autoSpaceDE w:val="0"/>
        <w:autoSpaceDN w:val="0"/>
        <w:adjustRightInd w:val="0"/>
        <w:spacing w:line="360" w:lineRule="auto"/>
        <w:rPr>
          <w:rFonts w:hint="eastAsia" w:ascii="宋体" w:hAnsi="宋体" w:eastAsia="宋体" w:cs="宋体"/>
          <w:color w:val="auto"/>
          <w:sz w:val="24"/>
          <w:highlight w:val="none"/>
          <w:lang w:val="zh-CN"/>
        </w:rPr>
      </w:pPr>
    </w:p>
    <w:p w14:paraId="74C5FDFB">
      <w:pPr>
        <w:autoSpaceDE w:val="0"/>
        <w:autoSpaceDN w:val="0"/>
        <w:adjustRightInd w:val="0"/>
        <w:spacing w:line="360" w:lineRule="auto"/>
        <w:rPr>
          <w:rFonts w:hint="eastAsia" w:ascii="宋体" w:hAnsi="宋体" w:eastAsia="宋体" w:cs="宋体"/>
          <w:color w:val="auto"/>
          <w:sz w:val="24"/>
          <w:highlight w:val="none"/>
          <w:lang w:val="zh-CN"/>
        </w:rPr>
      </w:pPr>
    </w:p>
    <w:p w14:paraId="6B3CB359">
      <w:pPr>
        <w:autoSpaceDE w:val="0"/>
        <w:autoSpaceDN w:val="0"/>
        <w:adjustRightInd w:val="0"/>
        <w:spacing w:line="360" w:lineRule="auto"/>
        <w:rPr>
          <w:rFonts w:hint="eastAsia" w:ascii="宋体" w:hAnsi="宋体" w:eastAsia="宋体" w:cs="宋体"/>
          <w:color w:val="auto"/>
          <w:sz w:val="24"/>
          <w:highlight w:val="none"/>
          <w:lang w:val="zh-CN"/>
        </w:rPr>
      </w:pPr>
    </w:p>
    <w:p w14:paraId="450FB5E5">
      <w:pPr>
        <w:autoSpaceDE w:val="0"/>
        <w:autoSpaceDN w:val="0"/>
        <w:adjustRightInd w:val="0"/>
        <w:spacing w:line="360" w:lineRule="auto"/>
        <w:rPr>
          <w:rFonts w:hint="eastAsia" w:ascii="宋体" w:hAnsi="宋体" w:eastAsia="宋体" w:cs="宋体"/>
          <w:color w:val="auto"/>
          <w:sz w:val="24"/>
          <w:highlight w:val="none"/>
          <w:lang w:val="zh-CN"/>
        </w:rPr>
      </w:pPr>
    </w:p>
    <w:p w14:paraId="4E677957">
      <w:pPr>
        <w:autoSpaceDE w:val="0"/>
        <w:autoSpaceDN w:val="0"/>
        <w:adjustRightInd w:val="0"/>
        <w:spacing w:line="360" w:lineRule="auto"/>
        <w:rPr>
          <w:rFonts w:hint="eastAsia" w:ascii="宋体" w:hAnsi="宋体" w:eastAsia="宋体" w:cs="宋体"/>
          <w:color w:val="auto"/>
          <w:sz w:val="24"/>
          <w:highlight w:val="none"/>
          <w:lang w:val="zh-CN"/>
        </w:rPr>
      </w:pPr>
    </w:p>
    <w:p w14:paraId="3434E6A3">
      <w:pPr>
        <w:autoSpaceDE w:val="0"/>
        <w:autoSpaceDN w:val="0"/>
        <w:adjustRightInd w:val="0"/>
        <w:spacing w:line="360" w:lineRule="auto"/>
        <w:rPr>
          <w:rFonts w:hint="eastAsia" w:ascii="宋体" w:hAnsi="宋体" w:eastAsia="宋体" w:cs="宋体"/>
          <w:color w:val="auto"/>
          <w:sz w:val="24"/>
          <w:highlight w:val="none"/>
          <w:lang w:val="zh-CN"/>
        </w:rPr>
      </w:pPr>
    </w:p>
    <w:p w14:paraId="3892A941">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6CFC94BB">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328F59C">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EA1A3DF">
      <w:pPr>
        <w:pStyle w:val="31"/>
        <w:rPr>
          <w:rFonts w:hint="eastAsia" w:ascii="宋体" w:hAnsi="宋体" w:eastAsia="宋体" w:cs="宋体"/>
          <w:color w:val="auto"/>
          <w:highlight w:val="none"/>
          <w:lang w:val="zh-CN"/>
        </w:rPr>
      </w:pPr>
    </w:p>
    <w:p w14:paraId="21FC47D0">
      <w:pPr>
        <w:pStyle w:val="31"/>
        <w:ind w:left="0" w:leftChars="0" w:firstLine="0" w:firstLineChars="0"/>
        <w:rPr>
          <w:rFonts w:hint="eastAsia" w:ascii="宋体" w:hAnsi="宋体" w:eastAsia="宋体" w:cs="宋体"/>
          <w:color w:val="auto"/>
          <w:highlight w:val="none"/>
          <w:lang w:val="zh-CN"/>
        </w:rPr>
      </w:pPr>
    </w:p>
    <w:p w14:paraId="12A047F4">
      <w:pPr>
        <w:pStyle w:val="31"/>
        <w:ind w:left="0" w:leftChars="0" w:firstLine="0" w:firstLineChars="0"/>
        <w:rPr>
          <w:rFonts w:hint="eastAsia" w:ascii="宋体" w:hAnsi="宋体" w:eastAsia="宋体" w:cs="宋体"/>
          <w:color w:val="auto"/>
          <w:highlight w:val="none"/>
          <w:lang w:val="zh-CN"/>
        </w:rPr>
      </w:pPr>
    </w:p>
    <w:p w14:paraId="221587B9">
      <w:pPr>
        <w:pStyle w:val="31"/>
        <w:ind w:left="0" w:leftChars="0" w:firstLine="0" w:firstLineChars="0"/>
        <w:rPr>
          <w:rFonts w:hint="eastAsia" w:ascii="宋体" w:hAnsi="宋体" w:eastAsia="宋体" w:cs="宋体"/>
          <w:color w:val="auto"/>
          <w:highlight w:val="none"/>
          <w:lang w:val="zh-CN"/>
        </w:rPr>
      </w:pPr>
    </w:p>
    <w:p w14:paraId="20EC6BD8">
      <w:pPr>
        <w:pStyle w:val="31"/>
        <w:ind w:left="0" w:leftChars="0" w:firstLine="0" w:firstLineChars="0"/>
        <w:rPr>
          <w:rFonts w:hint="eastAsia" w:ascii="宋体" w:hAnsi="宋体" w:eastAsia="宋体" w:cs="宋体"/>
          <w:color w:val="auto"/>
          <w:highlight w:val="none"/>
          <w:lang w:val="zh-CN"/>
        </w:rPr>
      </w:pPr>
    </w:p>
    <w:p w14:paraId="27CCA2D5">
      <w:pPr>
        <w:pStyle w:val="31"/>
        <w:ind w:left="0" w:leftChars="0" w:firstLine="0" w:firstLineChars="0"/>
        <w:rPr>
          <w:rFonts w:hint="eastAsia" w:ascii="宋体" w:hAnsi="宋体" w:eastAsia="宋体" w:cs="宋体"/>
          <w:color w:val="auto"/>
          <w:highlight w:val="none"/>
          <w:lang w:val="zh-CN"/>
        </w:rPr>
      </w:pPr>
    </w:p>
    <w:p w14:paraId="2B3C659C">
      <w:pPr>
        <w:pStyle w:val="31"/>
        <w:ind w:left="0" w:leftChars="0" w:firstLine="0" w:firstLineChars="0"/>
        <w:rPr>
          <w:rFonts w:hint="eastAsia" w:ascii="宋体" w:hAnsi="宋体" w:eastAsia="宋体" w:cs="宋体"/>
          <w:color w:val="auto"/>
          <w:highlight w:val="none"/>
          <w:lang w:val="zh-CN"/>
        </w:rPr>
      </w:pPr>
    </w:p>
    <w:p w14:paraId="38B07FA5">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三、资格审查相关材料</w:t>
      </w:r>
    </w:p>
    <w:p w14:paraId="2198F6CB">
      <w:pPr>
        <w:pStyle w:val="9"/>
        <w:spacing w:line="360" w:lineRule="auto"/>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 xml:space="preserve">3.1 </w:t>
      </w:r>
      <w:r>
        <w:rPr>
          <w:rFonts w:hint="eastAsia" w:ascii="宋体" w:hAnsi="宋体" w:cs="宋体"/>
          <w:b/>
          <w:snapToGrid w:val="0"/>
          <w:color w:val="auto"/>
          <w:kern w:val="0"/>
          <w:szCs w:val="24"/>
          <w:highlight w:val="none"/>
          <w:lang w:val="en-US" w:eastAsia="zh-CN"/>
        </w:rPr>
        <w:t>投 标</w:t>
      </w:r>
      <w:r>
        <w:rPr>
          <w:rFonts w:hint="eastAsia" w:ascii="宋体" w:hAnsi="宋体" w:eastAsia="宋体" w:cs="宋体"/>
          <w:b/>
          <w:snapToGrid w:val="0"/>
          <w:color w:val="auto"/>
          <w:kern w:val="0"/>
          <w:szCs w:val="24"/>
          <w:highlight w:val="none"/>
        </w:rPr>
        <w:t xml:space="preserve"> 函</w:t>
      </w:r>
    </w:p>
    <w:p w14:paraId="3D315743">
      <w:pPr>
        <w:pStyle w:val="9"/>
        <w:spacing w:line="360" w:lineRule="auto"/>
        <w:jc w:val="center"/>
        <w:rPr>
          <w:rFonts w:hint="eastAsia" w:ascii="宋体" w:hAnsi="宋体" w:eastAsia="宋体" w:cs="宋体"/>
          <w:b/>
          <w:snapToGrid w:val="0"/>
          <w:color w:val="auto"/>
          <w:kern w:val="0"/>
          <w:sz w:val="28"/>
          <w:szCs w:val="28"/>
          <w:highlight w:val="none"/>
        </w:rPr>
      </w:pPr>
    </w:p>
    <w:p w14:paraId="1C32B3CC">
      <w:pPr>
        <w:adjustRightInd w:val="0"/>
        <w:spacing w:line="360" w:lineRule="auto"/>
        <w:contextualSpacing/>
        <w:rPr>
          <w:rFonts w:hint="eastAsia" w:ascii="宋体" w:hAnsi="宋体" w:eastAsia="宋体" w:cs="宋体"/>
          <w:b/>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lang w:val="en-US" w:eastAsia="zh-CN"/>
        </w:rPr>
        <w:t xml:space="preserve">       （采购人）</w:t>
      </w:r>
    </w:p>
    <w:p w14:paraId="74F1FC5D">
      <w:pPr>
        <w:adjustRightInd w:val="0"/>
        <w:spacing w:line="360" w:lineRule="auto"/>
        <w:ind w:firstLine="420" w:firstLineChars="200"/>
        <w:contextualSpacing/>
        <w:outlineLvl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根据贵方________（项目名称、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Cs w:val="21"/>
          <w:highlight w:val="none"/>
        </w:rPr>
        <w:t>编号）采购的竞争性磋商公告及磋商邀请，_______（姓名和职务）被正式授权并代表供应商</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（供应商名称、地址）</w:t>
      </w:r>
      <w:r>
        <w:rPr>
          <w:rFonts w:hint="eastAsia" w:ascii="宋体" w:hAnsi="宋体" w:eastAsia="宋体" w:cs="宋体"/>
          <w:snapToGrid w:val="0"/>
          <w:color w:val="auto"/>
          <w:kern w:val="0"/>
          <w:szCs w:val="21"/>
          <w:highlight w:val="none"/>
        </w:rPr>
        <w:t>提交。</w:t>
      </w:r>
    </w:p>
    <w:p w14:paraId="7C0D7FB6">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 w:val="21"/>
          <w:szCs w:val="21"/>
          <w:highlight w:val="none"/>
        </w:rPr>
        <w:t>编号）磋商文件的全部内容。</w:t>
      </w:r>
    </w:p>
    <w:p w14:paraId="73B6DDFD">
      <w:pPr>
        <w:pStyle w:val="9"/>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6A93B63B">
      <w:pPr>
        <w:adjustRightInd w:val="0"/>
        <w:spacing w:line="360" w:lineRule="auto"/>
        <w:ind w:firstLine="525" w:firstLineChars="2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我方已完全明白磋商文件的所有条款要求，并申明如下：</w:t>
      </w:r>
    </w:p>
    <w:p w14:paraId="2EAA934C">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一、按磋商文件提供的全部货物与相关服务的响应总价详见《报价一览表》。</w:t>
      </w:r>
    </w:p>
    <w:p w14:paraId="3A7E059B">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二、我方同意在本项目磋商文件中规定的开标日起</w:t>
      </w:r>
      <w:r>
        <w:rPr>
          <w:rFonts w:hint="eastAsia" w:ascii="宋体" w:hAnsi="宋体" w:eastAsia="宋体" w:cs="宋体"/>
          <w:color w:val="auto"/>
          <w:szCs w:val="21"/>
          <w:highlight w:val="none"/>
          <w:u w:val="none"/>
          <w:lang w:val="en-US" w:eastAsia="zh-CN"/>
        </w:rPr>
        <w:t>90</w:t>
      </w:r>
      <w:r>
        <w:rPr>
          <w:rFonts w:hint="eastAsia" w:ascii="宋体" w:hAnsi="宋体" w:eastAsia="宋体" w:cs="宋体"/>
          <w:color w:val="auto"/>
          <w:szCs w:val="21"/>
          <w:highlight w:val="none"/>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F440C2F">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响应有效期之内撤销磋商响应的，则我方承担违背响应承诺的责任追究。</w:t>
      </w:r>
      <w:bookmarkStart w:id="10" w:name="_GoBack"/>
      <w:bookmarkEnd w:id="10"/>
    </w:p>
    <w:p w14:paraId="73729A8C">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499D2577">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0716DBEE">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3C0FF9A8">
      <w:pPr>
        <w:pStyle w:val="14"/>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737EF28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八、我方响应报价已包含应向知识产权所有权人支付的所有相关税费，并保证采购人在中国使用我方提供的货物</w:t>
      </w:r>
      <w:r>
        <w:rPr>
          <w:rFonts w:hint="eastAsia" w:ascii="宋体" w:hAnsi="宋体" w:cs="宋体"/>
          <w:color w:val="auto"/>
          <w:sz w:val="21"/>
          <w:szCs w:val="21"/>
          <w:highlight w:val="none"/>
          <w:lang w:val="en-US" w:eastAsia="zh-CN"/>
        </w:rPr>
        <w:t>及服务</w:t>
      </w:r>
      <w:r>
        <w:rPr>
          <w:rFonts w:hint="eastAsia" w:ascii="宋体" w:hAnsi="宋体" w:eastAsia="宋体" w:cs="宋体"/>
          <w:color w:val="auto"/>
          <w:sz w:val="21"/>
          <w:szCs w:val="21"/>
          <w:highlight w:val="none"/>
        </w:rPr>
        <w:t xml:space="preserve">时，如有第三方提出侵犯其知识产权主张的，责任由我方承担。 </w:t>
      </w:r>
    </w:p>
    <w:p w14:paraId="7B01D55D">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》第二十二条规定的条件；承诺如下：</w:t>
      </w:r>
    </w:p>
    <w:p w14:paraId="01147DB3">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13FC368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我方已依法缴纳了各项税费及社会保险费用，如有需要，可随时向采购人提供近</w:t>
      </w:r>
      <w:r>
        <w:rPr>
          <w:rFonts w:hint="eastAsia" w:ascii="宋体" w:hAnsi="宋体" w:eastAsia="宋体" w:cs="宋体"/>
          <w:color w:val="auto"/>
          <w:szCs w:val="21"/>
          <w:highlight w:val="none"/>
          <w:lang w:val="en-US" w:eastAsia="zh-CN"/>
        </w:rPr>
        <w:t>一年</w:t>
      </w:r>
      <w:r>
        <w:rPr>
          <w:rFonts w:hint="eastAsia" w:ascii="宋体" w:hAnsi="宋体" w:eastAsia="宋体" w:cs="宋体"/>
          <w:color w:val="auto"/>
          <w:szCs w:val="21"/>
          <w:highlight w:val="none"/>
        </w:rPr>
        <w:t>内的相关缴费证明，以便核查。</w:t>
      </w:r>
    </w:p>
    <w:p w14:paraId="26C298FC">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075B3722">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205593EA">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3BE7C03D">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以上内容如有虚假或与事实不符的，磋商小组可将我方</w:t>
      </w:r>
      <w:r>
        <w:rPr>
          <w:rFonts w:hint="eastAsia" w:ascii="宋体" w:hAnsi="宋体" w:eastAsia="宋体" w:cs="宋体"/>
          <w:color w:val="auto"/>
          <w:szCs w:val="21"/>
          <w:highlight w:val="none"/>
          <w:lang w:eastAsia="zh-CN"/>
        </w:rPr>
        <w:t>作</w:t>
      </w:r>
      <w:r>
        <w:rPr>
          <w:rFonts w:hint="eastAsia" w:ascii="宋体" w:hAnsi="宋体" w:eastAsia="宋体" w:cs="宋体"/>
          <w:color w:val="auto"/>
          <w:szCs w:val="21"/>
          <w:highlight w:val="none"/>
        </w:rPr>
        <w:t>无效投标处理，我方愿意承担相应的法律责任。</w:t>
      </w:r>
    </w:p>
    <w:p w14:paraId="530FC721">
      <w:pPr>
        <w:pStyle w:val="9"/>
        <w:numPr>
          <w:ilvl w:val="0"/>
          <w:numId w:val="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十、</w:t>
      </w:r>
      <w:r>
        <w:rPr>
          <w:rFonts w:hint="eastAsia" w:ascii="宋体" w:hAnsi="宋体" w:eastAsia="宋体" w:cs="宋体"/>
          <w:color w:val="auto"/>
          <w:sz w:val="21"/>
          <w:szCs w:val="21"/>
          <w:highlight w:val="none"/>
        </w:rPr>
        <w:t>我方具备履行合同所必需的设备和专业技术能力。</w:t>
      </w:r>
    </w:p>
    <w:p w14:paraId="1C21C7C8">
      <w:pPr>
        <w:pStyle w:val="9"/>
        <w:numPr>
          <w:ilvl w:val="0"/>
          <w:numId w:val="0"/>
        </w:numPr>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十一、若我方中标，愿意按招标文件规定向代理机构支付招标代理服务费。</w:t>
      </w:r>
    </w:p>
    <w:p w14:paraId="3CFEA052">
      <w:pPr>
        <w:pStyle w:val="9"/>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w:t>
      </w:r>
      <w:r>
        <w:rPr>
          <w:rFonts w:hint="eastAsia" w:ascii="宋体" w:hAnsi="宋体" w:cs="宋体"/>
          <w:snapToGrid w:val="0"/>
          <w:color w:val="auto"/>
          <w:kern w:val="0"/>
          <w:sz w:val="21"/>
          <w:szCs w:val="21"/>
          <w:highlight w:val="none"/>
          <w:lang w:val="en-US" w:eastAsia="zh-CN"/>
        </w:rPr>
        <w:t>二</w:t>
      </w:r>
      <w:r>
        <w:rPr>
          <w:rFonts w:hint="eastAsia" w:ascii="宋体" w:hAnsi="宋体" w:eastAsia="宋体" w:cs="宋体"/>
          <w:snapToGrid w:val="0"/>
          <w:color w:val="auto"/>
          <w:kern w:val="0"/>
          <w:sz w:val="21"/>
          <w:szCs w:val="21"/>
          <w:highlight w:val="none"/>
        </w:rPr>
        <w:t>、</w:t>
      </w:r>
      <w:r>
        <w:rPr>
          <w:rFonts w:hint="eastAsia" w:ascii="宋体" w:hAnsi="宋体" w:eastAsia="宋体" w:cs="宋体"/>
          <w:color w:val="auto"/>
          <w:sz w:val="21"/>
          <w:szCs w:val="21"/>
          <w:highlight w:val="none"/>
        </w:rPr>
        <w:t>我方对在本函及响应文件中所作的所有承诺承担法律责任。</w:t>
      </w:r>
    </w:p>
    <w:p w14:paraId="6168A16D">
      <w:pPr>
        <w:pStyle w:val="9"/>
        <w:adjustRightInd w:val="0"/>
        <w:snapToGrid w:val="0"/>
        <w:spacing w:line="360" w:lineRule="auto"/>
        <w:rPr>
          <w:rFonts w:hint="eastAsia" w:ascii="宋体" w:hAnsi="宋体" w:eastAsia="宋体" w:cs="宋体"/>
          <w:color w:val="auto"/>
          <w:sz w:val="21"/>
          <w:szCs w:val="21"/>
          <w:highlight w:val="none"/>
        </w:rPr>
      </w:pPr>
    </w:p>
    <w:p w14:paraId="58A16C3B">
      <w:pPr>
        <w:pStyle w:val="9"/>
        <w:adjustRightInd w:val="0"/>
        <w:snapToGrid w:val="0"/>
        <w:spacing w:line="360" w:lineRule="auto"/>
        <w:rPr>
          <w:rFonts w:hint="eastAsia" w:ascii="宋体" w:hAnsi="宋体" w:eastAsia="宋体" w:cs="宋体"/>
          <w:color w:val="auto"/>
          <w:sz w:val="21"/>
          <w:szCs w:val="21"/>
          <w:highlight w:val="none"/>
        </w:rPr>
      </w:pPr>
    </w:p>
    <w:p w14:paraId="7B1FBC37">
      <w:pPr>
        <w:pStyle w:val="9"/>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6295F29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eastAsia="zh-CN"/>
        </w:rPr>
        <w:t>：</w:t>
      </w:r>
    </w:p>
    <w:p w14:paraId="497A8ED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传    真</w:t>
      </w:r>
      <w:r>
        <w:rPr>
          <w:rFonts w:hint="eastAsia" w:ascii="宋体" w:hAnsi="宋体" w:eastAsia="宋体" w:cs="宋体"/>
          <w:color w:val="auto"/>
          <w:szCs w:val="21"/>
          <w:highlight w:val="none"/>
          <w:lang w:eastAsia="zh-CN"/>
        </w:rPr>
        <w:t>：</w:t>
      </w:r>
    </w:p>
    <w:p w14:paraId="42C43ABC">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r>
        <w:rPr>
          <w:rFonts w:hint="eastAsia" w:ascii="宋体" w:hAnsi="宋体" w:eastAsia="宋体" w:cs="宋体"/>
          <w:color w:val="auto"/>
          <w:szCs w:val="21"/>
          <w:highlight w:val="none"/>
          <w:lang w:eastAsia="zh-CN"/>
        </w:rPr>
        <w:t>：</w:t>
      </w:r>
    </w:p>
    <w:p w14:paraId="3BC61BBD">
      <w:pPr>
        <w:adjustRightInd w:val="0"/>
        <w:snapToGrid w:val="0"/>
        <w:spacing w:line="360" w:lineRule="auto"/>
        <w:rPr>
          <w:rFonts w:hint="eastAsia" w:ascii="宋体" w:hAnsi="宋体" w:eastAsia="宋体" w:cs="宋体"/>
          <w:color w:val="auto"/>
          <w:szCs w:val="21"/>
          <w:highlight w:val="none"/>
          <w:u w:val="single"/>
        </w:rPr>
      </w:pPr>
    </w:p>
    <w:p w14:paraId="271EA72A">
      <w:pPr>
        <w:adjustRightInd w:val="0"/>
        <w:snapToGrid w:val="0"/>
        <w:spacing w:line="360" w:lineRule="auto"/>
        <w:rPr>
          <w:rFonts w:hint="eastAsia" w:ascii="宋体" w:hAnsi="宋体" w:eastAsia="宋体" w:cs="宋体"/>
          <w:color w:val="auto"/>
          <w:szCs w:val="21"/>
          <w:highlight w:val="none"/>
          <w:u w:val="single"/>
        </w:rPr>
      </w:pPr>
    </w:p>
    <w:p w14:paraId="30B0B628">
      <w:pPr>
        <w:adjustRightInd w:val="0"/>
        <w:snapToGrid w:val="0"/>
        <w:spacing w:line="360" w:lineRule="auto"/>
        <w:rPr>
          <w:rFonts w:hint="eastAsia" w:ascii="宋体" w:hAnsi="宋体" w:eastAsia="宋体" w:cs="宋体"/>
          <w:color w:val="auto"/>
          <w:szCs w:val="21"/>
          <w:highlight w:val="none"/>
          <w:u w:val="single"/>
        </w:rPr>
      </w:pPr>
    </w:p>
    <w:p w14:paraId="01BF1F5F">
      <w:pPr>
        <w:adjustRightInd w:val="0"/>
        <w:snapToGrid w:val="0"/>
        <w:spacing w:line="360" w:lineRule="auto"/>
        <w:rPr>
          <w:rFonts w:hint="eastAsia" w:ascii="宋体" w:hAnsi="宋体" w:eastAsia="宋体" w:cs="宋体"/>
          <w:color w:val="auto"/>
          <w:szCs w:val="21"/>
          <w:highlight w:val="none"/>
          <w:u w:val="single"/>
        </w:rPr>
      </w:pPr>
    </w:p>
    <w:p w14:paraId="20128A7D">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03B1A0BC">
      <w:pPr>
        <w:adjustRightInd w:val="0"/>
        <w:snapToGrid w:val="0"/>
        <w:spacing w:line="360" w:lineRule="auto"/>
        <w:ind w:firstLine="4305" w:firstLineChars="2050"/>
        <w:rPr>
          <w:rFonts w:hint="eastAsia" w:ascii="宋体" w:hAnsi="宋体" w:eastAsia="宋体" w:cs="宋体"/>
          <w:color w:val="auto"/>
          <w:szCs w:val="21"/>
          <w:highlight w:val="none"/>
        </w:rPr>
      </w:pPr>
    </w:p>
    <w:p w14:paraId="204E15F1">
      <w:pPr>
        <w:adjustRightInd w:val="0"/>
        <w:snapToGrid w:val="0"/>
        <w:spacing w:line="360" w:lineRule="auto"/>
        <w:ind w:firstLine="4305" w:firstLineChars="20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321603E">
      <w:pPr>
        <w:adjustRightInd w:val="0"/>
        <w:snapToGrid w:val="0"/>
        <w:spacing w:line="360" w:lineRule="auto"/>
        <w:ind w:firstLine="4305" w:firstLineChars="2050"/>
        <w:rPr>
          <w:rFonts w:hint="eastAsia" w:ascii="宋体" w:hAnsi="宋体" w:eastAsia="宋体" w:cs="宋体"/>
          <w:color w:val="auto"/>
          <w:szCs w:val="21"/>
          <w:highlight w:val="none"/>
        </w:rPr>
      </w:pPr>
    </w:p>
    <w:p w14:paraId="3203D22F">
      <w:pPr>
        <w:adjustRightInd w:val="0"/>
        <w:snapToGrid w:val="0"/>
        <w:spacing w:line="360" w:lineRule="auto"/>
        <w:rPr>
          <w:rFonts w:hint="eastAsia" w:ascii="宋体" w:hAnsi="宋体" w:eastAsia="宋体" w:cs="宋体"/>
          <w:color w:val="auto"/>
          <w:szCs w:val="21"/>
          <w:highlight w:val="none"/>
        </w:rPr>
      </w:pPr>
    </w:p>
    <w:p w14:paraId="12AAEE54">
      <w:pPr>
        <w:adjustRightInd w:val="0"/>
        <w:snapToGrid w:val="0"/>
        <w:spacing w:line="360" w:lineRule="auto"/>
        <w:rPr>
          <w:rFonts w:hint="eastAsia" w:ascii="宋体" w:hAnsi="宋体" w:eastAsia="宋体" w:cs="宋体"/>
          <w:color w:val="auto"/>
          <w:szCs w:val="21"/>
          <w:highlight w:val="none"/>
        </w:rPr>
      </w:pPr>
    </w:p>
    <w:p w14:paraId="022DA19A">
      <w:pPr>
        <w:adjustRightInd w:val="0"/>
        <w:snapToGrid w:val="0"/>
        <w:spacing w:line="360" w:lineRule="auto"/>
        <w:rPr>
          <w:rFonts w:hint="eastAsia" w:ascii="宋体" w:hAnsi="宋体" w:eastAsia="宋体" w:cs="宋体"/>
          <w:color w:val="auto"/>
          <w:szCs w:val="21"/>
          <w:highlight w:val="none"/>
        </w:rPr>
      </w:pPr>
    </w:p>
    <w:p w14:paraId="69BD3062">
      <w:pPr>
        <w:adjustRightInd w:val="0"/>
        <w:snapToGrid w:val="0"/>
        <w:spacing w:line="360" w:lineRule="auto"/>
        <w:rPr>
          <w:rFonts w:hint="eastAsia" w:ascii="宋体" w:hAnsi="宋体" w:eastAsia="宋体" w:cs="宋体"/>
          <w:color w:val="auto"/>
          <w:szCs w:val="21"/>
          <w:highlight w:val="none"/>
        </w:rPr>
      </w:pPr>
    </w:p>
    <w:p w14:paraId="592B65E1">
      <w:pPr>
        <w:adjustRightInd w:val="0"/>
        <w:snapToGrid w:val="0"/>
        <w:spacing w:line="360" w:lineRule="auto"/>
        <w:rPr>
          <w:rFonts w:hint="eastAsia" w:ascii="宋体" w:hAnsi="宋体" w:eastAsia="宋体" w:cs="宋体"/>
          <w:color w:val="auto"/>
          <w:szCs w:val="21"/>
          <w:highlight w:val="none"/>
        </w:rPr>
      </w:pPr>
    </w:p>
    <w:p w14:paraId="0A762D95">
      <w:pPr>
        <w:adjustRightInd w:val="0"/>
        <w:snapToGrid w:val="0"/>
        <w:spacing w:line="360" w:lineRule="auto"/>
        <w:rPr>
          <w:rFonts w:hint="eastAsia" w:ascii="宋体" w:hAnsi="宋体" w:eastAsia="宋体" w:cs="宋体"/>
          <w:color w:val="auto"/>
          <w:szCs w:val="21"/>
          <w:highlight w:val="none"/>
        </w:rPr>
      </w:pPr>
    </w:p>
    <w:p w14:paraId="64D49642">
      <w:pPr>
        <w:adjustRightInd w:val="0"/>
        <w:snapToGrid w:val="0"/>
        <w:spacing w:line="360" w:lineRule="auto"/>
        <w:rPr>
          <w:rFonts w:hint="eastAsia" w:ascii="宋体" w:hAnsi="宋体" w:eastAsia="宋体" w:cs="宋体"/>
          <w:color w:val="auto"/>
          <w:szCs w:val="21"/>
          <w:highlight w:val="none"/>
        </w:rPr>
      </w:pPr>
    </w:p>
    <w:p w14:paraId="07D0431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0330645C">
      <w:pPr>
        <w:pStyle w:val="37"/>
        <w:spacing w:line="480" w:lineRule="auto"/>
        <w:ind w:firstLine="0" w:firstLineChars="0"/>
        <w:jc w:val="left"/>
        <w:rPr>
          <w:rFonts w:hint="eastAsia" w:ascii="宋体" w:hAnsi="宋体" w:eastAsia="宋体" w:cs="宋体"/>
          <w:color w:val="auto"/>
          <w:sz w:val="21"/>
          <w:szCs w:val="21"/>
          <w:highlight w:val="none"/>
        </w:rPr>
      </w:pPr>
    </w:p>
    <w:p w14:paraId="347E7FBC">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1DB58305">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63559D9F">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3ABA2C0B">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0FB78F06">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C49A8CD">
      <w:pPr>
        <w:pStyle w:val="37"/>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2E0FBFFD">
      <w:pPr>
        <w:pStyle w:val="37"/>
        <w:spacing w:line="480" w:lineRule="auto"/>
        <w:ind w:firstLine="472" w:firstLineChars="225"/>
        <w:jc w:val="left"/>
        <w:rPr>
          <w:rFonts w:hint="eastAsia" w:ascii="宋体" w:hAnsi="宋体" w:eastAsia="宋体" w:cs="宋体"/>
          <w:color w:val="auto"/>
          <w:sz w:val="21"/>
          <w:szCs w:val="21"/>
          <w:highlight w:val="none"/>
        </w:rPr>
      </w:pPr>
    </w:p>
    <w:p w14:paraId="54894E12">
      <w:pPr>
        <w:pStyle w:val="37"/>
        <w:spacing w:line="480" w:lineRule="auto"/>
        <w:ind w:firstLine="472" w:firstLineChars="225"/>
        <w:jc w:val="left"/>
        <w:rPr>
          <w:rFonts w:hint="eastAsia" w:ascii="宋体" w:hAnsi="宋体" w:eastAsia="宋体" w:cs="宋体"/>
          <w:color w:val="auto"/>
          <w:sz w:val="21"/>
          <w:szCs w:val="21"/>
          <w:highlight w:val="none"/>
        </w:rPr>
      </w:pPr>
    </w:p>
    <w:p w14:paraId="719A9ADF">
      <w:pPr>
        <w:pStyle w:val="37"/>
        <w:spacing w:line="480" w:lineRule="auto"/>
        <w:ind w:left="-538" w:leftChars="-256" w:firstLine="539" w:firstLineChars="257"/>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1D9E0E42">
      <w:pPr>
        <w:pStyle w:val="37"/>
        <w:spacing w:line="480" w:lineRule="auto"/>
        <w:ind w:left="-538" w:leftChars="-256" w:firstLine="539" w:firstLineChars="257"/>
        <w:jc w:val="center"/>
        <w:rPr>
          <w:rFonts w:hint="eastAsia" w:ascii="宋体" w:hAnsi="宋体" w:eastAsia="宋体" w:cs="宋体"/>
          <w:bCs/>
          <w:color w:val="auto"/>
          <w:sz w:val="21"/>
          <w:szCs w:val="21"/>
          <w:highlight w:val="none"/>
        </w:rPr>
      </w:pPr>
    </w:p>
    <w:p w14:paraId="13507436">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41F8C1CF">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2A37041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748EB7CA">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62C8E268">
      <w:pPr>
        <w:pStyle w:val="38"/>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582A9A3C">
      <w:pPr>
        <w:pStyle w:val="39"/>
        <w:spacing w:line="480" w:lineRule="auto"/>
        <w:rPr>
          <w:rFonts w:hint="eastAsia" w:ascii="宋体" w:hAnsi="宋体" w:eastAsia="宋体" w:cs="宋体"/>
          <w:color w:val="auto"/>
          <w:sz w:val="21"/>
          <w:szCs w:val="21"/>
          <w:highlight w:val="none"/>
        </w:rPr>
      </w:pPr>
    </w:p>
    <w:p w14:paraId="27D571E6">
      <w:pPr>
        <w:rPr>
          <w:rFonts w:hint="eastAsia" w:ascii="宋体" w:hAnsi="宋体" w:eastAsia="宋体" w:cs="宋体"/>
          <w:color w:val="auto"/>
          <w:szCs w:val="21"/>
          <w:highlight w:val="none"/>
        </w:rPr>
      </w:pPr>
    </w:p>
    <w:p w14:paraId="0B05E903">
      <w:pPr>
        <w:spacing w:line="320" w:lineRule="exact"/>
        <w:ind w:firstLine="420" w:firstLineChars="200"/>
        <w:rPr>
          <w:rFonts w:hint="eastAsia"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说明：法定代表人（单位负责人）参加本竞争性磋商项目响应的，仅</w:t>
      </w:r>
      <w:r>
        <w:rPr>
          <w:rFonts w:hint="eastAsia" w:ascii="宋体" w:hAnsi="宋体" w:eastAsia="宋体" w:cs="宋体"/>
          <w:bCs/>
          <w:color w:val="auto"/>
          <w:kern w:val="12"/>
          <w:szCs w:val="21"/>
          <w:highlight w:val="none"/>
          <w:lang w:eastAsia="zh-CN"/>
        </w:rPr>
        <w:t>需</w:t>
      </w:r>
      <w:r>
        <w:rPr>
          <w:rFonts w:hint="eastAsia" w:ascii="宋体" w:hAnsi="宋体" w:eastAsia="宋体" w:cs="宋体"/>
          <w:bCs/>
          <w:color w:val="auto"/>
          <w:kern w:val="12"/>
          <w:szCs w:val="21"/>
          <w:highlight w:val="none"/>
        </w:rPr>
        <w:t>出具此证明书。</w:t>
      </w:r>
    </w:p>
    <w:p w14:paraId="5CDC324E">
      <w:pPr>
        <w:spacing w:line="480" w:lineRule="exact"/>
        <w:jc w:val="center"/>
        <w:rPr>
          <w:rFonts w:hint="eastAsia" w:ascii="宋体" w:hAnsi="宋体" w:eastAsia="宋体" w:cs="宋体"/>
          <w:b/>
          <w:bCs/>
          <w:color w:val="auto"/>
          <w:sz w:val="24"/>
          <w:szCs w:val="24"/>
          <w:highlight w:val="none"/>
        </w:rPr>
      </w:pPr>
    </w:p>
    <w:p w14:paraId="5AA12D8D">
      <w:pPr>
        <w:spacing w:line="480" w:lineRule="exact"/>
        <w:jc w:val="center"/>
        <w:rPr>
          <w:rFonts w:hint="eastAsia" w:ascii="宋体" w:hAnsi="宋体" w:eastAsia="宋体" w:cs="宋体"/>
          <w:b/>
          <w:bCs/>
          <w:color w:val="auto"/>
          <w:sz w:val="24"/>
          <w:szCs w:val="24"/>
          <w:highlight w:val="none"/>
        </w:rPr>
      </w:pPr>
    </w:p>
    <w:p w14:paraId="602160F0">
      <w:pPr>
        <w:spacing w:line="480" w:lineRule="exact"/>
        <w:jc w:val="center"/>
        <w:rPr>
          <w:rFonts w:hint="eastAsia" w:ascii="宋体" w:hAnsi="宋体" w:eastAsia="宋体" w:cs="宋体"/>
          <w:b/>
          <w:bCs/>
          <w:color w:val="auto"/>
          <w:sz w:val="24"/>
          <w:szCs w:val="24"/>
          <w:highlight w:val="none"/>
        </w:rPr>
      </w:pPr>
    </w:p>
    <w:p w14:paraId="0C924EE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64F98A4D">
      <w:pPr>
        <w:spacing w:line="480" w:lineRule="exact"/>
        <w:jc w:val="center"/>
        <w:rPr>
          <w:rFonts w:hint="eastAsia" w:ascii="宋体" w:hAnsi="宋体" w:eastAsia="宋体" w:cs="宋体"/>
          <w:b/>
          <w:bCs/>
          <w:color w:val="auto"/>
          <w:sz w:val="36"/>
          <w:szCs w:val="36"/>
          <w:highlight w:val="none"/>
        </w:rPr>
      </w:pPr>
    </w:p>
    <w:p w14:paraId="179DA21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以我方的名义参加贵方______________________项目的磋商响应活动，并代表我方全权办理针对上述项目的磋商、响应文件澄清、签约等一切具体事务和签署相关文件。</w:t>
      </w:r>
    </w:p>
    <w:p w14:paraId="05409DA9">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4B297E4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4E8B6AE">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47BEB9B">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7D05FE3F">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055552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5805E388">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A5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05674A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85" w:type="dxa"/>
            <w:gridSpan w:val="2"/>
            <w:vAlign w:val="center"/>
          </w:tcPr>
          <w:p w14:paraId="7D9E6B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0C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23B791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33DB1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2" w:type="dxa"/>
            <w:gridSpan w:val="2"/>
            <w:vAlign w:val="center"/>
          </w:tcPr>
          <w:p w14:paraId="0198FB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4FB068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53E922CF">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0488ED8E">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磋商承诺函</w:t>
      </w:r>
    </w:p>
    <w:p w14:paraId="2D8CF3CD">
      <w:pPr>
        <w:autoSpaceDE w:val="0"/>
        <w:autoSpaceDN w:val="0"/>
        <w:snapToGrid w:val="0"/>
        <w:spacing w:line="360" w:lineRule="auto"/>
        <w:jc w:val="center"/>
        <w:rPr>
          <w:rFonts w:hint="eastAsia" w:ascii="宋体" w:hAnsi="宋体" w:eastAsia="宋体" w:cs="宋体"/>
          <w:b/>
          <w:bCs/>
          <w:color w:val="auto"/>
          <w:sz w:val="24"/>
          <w:szCs w:val="24"/>
          <w:highlight w:val="none"/>
        </w:rPr>
      </w:pPr>
    </w:p>
    <w:p w14:paraId="5E2CE4E6">
      <w:pPr>
        <w:spacing w:beforeLines="50" w:afterLines="50"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en-US" w:eastAsia="zh-CN"/>
        </w:rPr>
        <w:t xml:space="preserve">     （采购人）</w:t>
      </w:r>
      <w:r>
        <w:rPr>
          <w:rFonts w:hint="eastAsia" w:ascii="宋体" w:hAnsi="宋体" w:eastAsia="宋体" w:cs="宋体"/>
          <w:color w:val="auto"/>
          <w:szCs w:val="21"/>
          <w:highlight w:val="none"/>
          <w:lang w:val="zh-CN"/>
        </w:rPr>
        <w:t>：</w:t>
      </w:r>
    </w:p>
    <w:p w14:paraId="52F2EDAD">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2A13449A">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DC3ECF5">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32B6A317">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三、除因不可抗力或磋商文件认可的情形以外，成交后不与采购人签订合同；</w:t>
      </w:r>
    </w:p>
    <w:p w14:paraId="4894D029">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71D5209B">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五、法律法规及本磋商文件规定的其他严重违法行为。</w:t>
      </w:r>
    </w:p>
    <w:p w14:paraId="2D6A177A">
      <w:pPr>
        <w:rPr>
          <w:rFonts w:hint="eastAsia" w:ascii="宋体" w:hAnsi="宋体" w:eastAsia="宋体" w:cs="宋体"/>
          <w:color w:val="auto"/>
          <w:sz w:val="28"/>
          <w:szCs w:val="28"/>
          <w:highlight w:val="none"/>
          <w:u w:val="single"/>
        </w:rPr>
      </w:pPr>
    </w:p>
    <w:p w14:paraId="545FC852">
      <w:pPr>
        <w:rPr>
          <w:rFonts w:hint="eastAsia" w:ascii="宋体" w:hAnsi="宋体" w:eastAsia="宋体" w:cs="宋体"/>
          <w:color w:val="auto"/>
          <w:sz w:val="28"/>
          <w:szCs w:val="28"/>
          <w:highlight w:val="none"/>
          <w:u w:val="single"/>
        </w:rPr>
      </w:pPr>
    </w:p>
    <w:p w14:paraId="6767B1BC">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4836E9FD">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34CCDB3">
      <w:pPr>
        <w:autoSpaceDE w:val="0"/>
        <w:autoSpaceDN w:val="0"/>
        <w:adjustRightInd w:val="0"/>
        <w:spacing w:line="360" w:lineRule="auto"/>
        <w:jc w:val="center"/>
        <w:rPr>
          <w:rFonts w:hint="eastAsia" w:ascii="宋体" w:hAnsi="宋体" w:eastAsia="宋体" w:cs="宋体"/>
          <w:color w:val="auto"/>
          <w:szCs w:val="21"/>
          <w:highlight w:val="none"/>
          <w:lang w:val="zh-CN"/>
        </w:rPr>
      </w:pPr>
    </w:p>
    <w:p w14:paraId="438CDFE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6EAE4C0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67DFA4B">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B22D25A">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C010D46">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04F1E6D7">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264062F">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99D8ED3">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1801179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54FAF24">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B018810">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27AE134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79C0EC11">
      <w:pPr>
        <w:rPr>
          <w:rFonts w:hint="eastAsia" w:ascii="宋体" w:hAnsi="宋体" w:eastAsia="宋体" w:cs="宋体"/>
          <w:color w:val="auto"/>
          <w:szCs w:val="21"/>
          <w:highlight w:val="none"/>
          <w:lang w:val="zh-CN"/>
        </w:rPr>
      </w:pPr>
    </w:p>
    <w:p w14:paraId="45715C44">
      <w:pPr>
        <w:spacing w:line="60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72DD258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0ED72FC6">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33D8BF6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4102577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54214BD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46D7B7D3">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D9DBC2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1BCD9597">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4A28B2B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07104">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3DE3EFBA">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111AB9D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（六）未被列入经营异常名录或者严重违法失信名单、失信被执行人，重大税收违法案件当事人名单、政府采购严重违法失信行为记录名单；</w:t>
      </w:r>
    </w:p>
    <w:p w14:paraId="53652EC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7FA384E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4F914B8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08D8381E">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2F7B25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6626485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29020B2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val="zh-CN"/>
        </w:rPr>
        <w:t>日</w:t>
      </w:r>
    </w:p>
    <w:p w14:paraId="409D0102">
      <w:pPr>
        <w:rPr>
          <w:rFonts w:hint="eastAsia" w:ascii="宋体" w:hAnsi="宋体" w:eastAsia="宋体" w:cs="宋体"/>
          <w:color w:val="auto"/>
          <w:szCs w:val="21"/>
          <w:highlight w:val="none"/>
          <w:lang w:val="zh-CN"/>
        </w:rPr>
      </w:pPr>
    </w:p>
    <w:p w14:paraId="3EA7B6DA">
      <w:pPr>
        <w:rPr>
          <w:rFonts w:hint="eastAsia" w:ascii="宋体" w:hAnsi="宋体" w:eastAsia="宋体" w:cs="宋体"/>
          <w:color w:val="auto"/>
          <w:szCs w:val="21"/>
          <w:highlight w:val="none"/>
        </w:rPr>
      </w:pPr>
    </w:p>
    <w:p w14:paraId="5BD92A85">
      <w:pPr>
        <w:rPr>
          <w:rFonts w:hint="eastAsia" w:ascii="宋体" w:hAnsi="宋体" w:eastAsia="宋体" w:cs="宋体"/>
          <w:color w:val="auto"/>
          <w:highlight w:val="none"/>
        </w:rPr>
      </w:pPr>
      <w:r>
        <w:rPr>
          <w:rFonts w:hint="eastAsia" w:ascii="宋体" w:hAnsi="宋体" w:eastAsia="宋体" w:cs="宋体"/>
          <w:color w:val="auto"/>
          <w:szCs w:val="21"/>
          <w:highlight w:val="none"/>
        </w:rPr>
        <w:t>注：1.供应商须在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文件中按此模板提供承诺函，未提供视为未实质性响应</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文件要求，按无效投标处理。</w:t>
      </w:r>
    </w:p>
    <w:p w14:paraId="71C65391">
      <w:pPr>
        <w:rPr>
          <w:rFonts w:hint="eastAsia" w:ascii="宋体" w:hAnsi="宋体" w:eastAsia="宋体" w:cs="宋体"/>
          <w:color w:val="auto"/>
          <w:highlight w:val="none"/>
        </w:rPr>
      </w:pPr>
      <w:r>
        <w:rPr>
          <w:rFonts w:hint="eastAsia" w:ascii="宋体" w:hAnsi="宋体" w:eastAsia="宋体" w:cs="宋体"/>
          <w:color w:val="auto"/>
          <w:szCs w:val="21"/>
          <w:highlight w:val="none"/>
        </w:rPr>
        <w:t>2.供应商的法定代表人</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授权代表的签字或盖章应真实、有效，如由授权代表签字或盖章的，应提供“法定代表人授权书”。</w:t>
      </w:r>
    </w:p>
    <w:p w14:paraId="6E14C8B3">
      <w:pPr>
        <w:rPr>
          <w:rFonts w:hint="eastAsia" w:ascii="宋体" w:hAnsi="宋体" w:eastAsia="宋体" w:cs="宋体"/>
          <w:color w:val="auto"/>
          <w:sz w:val="32"/>
          <w:szCs w:val="32"/>
          <w:highlight w:val="none"/>
        </w:rPr>
      </w:pPr>
    </w:p>
    <w:p w14:paraId="105AB67E">
      <w:pPr>
        <w:rPr>
          <w:rFonts w:hint="eastAsia" w:ascii="宋体" w:hAnsi="宋体" w:eastAsia="宋体" w:cs="宋体"/>
          <w:b/>
          <w:bCs/>
          <w:color w:val="auto"/>
          <w:kern w:val="0"/>
          <w:sz w:val="29"/>
          <w:highlight w:val="none"/>
          <w:lang w:val="en-US" w:eastAsia="zh-CN"/>
        </w:rPr>
      </w:pPr>
      <w:r>
        <w:rPr>
          <w:rFonts w:hint="eastAsia" w:ascii="宋体" w:hAnsi="宋体" w:eastAsia="宋体" w:cs="宋体"/>
          <w:b/>
          <w:bCs/>
          <w:color w:val="auto"/>
          <w:kern w:val="0"/>
          <w:sz w:val="29"/>
          <w:highlight w:val="none"/>
          <w:lang w:val="en-US" w:eastAsia="zh-CN"/>
        </w:rPr>
        <w:br w:type="page"/>
      </w:r>
    </w:p>
    <w:p w14:paraId="1AB15943">
      <w:pPr>
        <w:keepNext w:val="0"/>
        <w:keepLines w:val="0"/>
        <w:pageBreakBefore w:val="0"/>
        <w:kinsoku/>
        <w:wordWrap/>
        <w:overflowPunct/>
        <w:topLinePunct w:val="0"/>
        <w:autoSpaceDE w:val="0"/>
        <w:autoSpaceDN w:val="0"/>
        <w:bidi w:val="0"/>
        <w:adjustRightInd w:val="0"/>
        <w:spacing w:beforeAutospacing="0" w:afterAutospacing="0" w:line="520" w:lineRule="exact"/>
        <w:jc w:val="center"/>
        <w:textAlignment w:val="auto"/>
        <w:outlineLvl w:val="0"/>
        <w:rPr>
          <w:rFonts w:hint="default" w:ascii="宋体" w:hAnsi="宋体" w:eastAsia="宋体" w:cs="Times New Roman"/>
          <w:b/>
          <w:bCs/>
          <w:color w:val="auto"/>
          <w:sz w:val="24"/>
          <w:szCs w:val="24"/>
          <w:highlight w:val="none"/>
          <w:lang w:val="en-US" w:eastAsia="zh-CN"/>
        </w:rPr>
      </w:pPr>
      <w:bookmarkStart w:id="8" w:name="OLE_LINK14"/>
      <w:bookmarkStart w:id="9" w:name="OLE_LINK13"/>
      <w:r>
        <w:rPr>
          <w:rFonts w:hint="eastAsia" w:ascii="宋体" w:hAnsi="宋体" w:eastAsia="宋体" w:cs="Times New Roman"/>
          <w:b/>
          <w:bCs/>
          <w:color w:val="auto"/>
          <w:sz w:val="24"/>
          <w:szCs w:val="24"/>
          <w:highlight w:val="none"/>
        </w:rPr>
        <w:t xml:space="preserve"> </w:t>
      </w:r>
      <w:r>
        <w:rPr>
          <w:rFonts w:hint="eastAsia" w:ascii="宋体" w:hAnsi="宋体" w:eastAsia="宋体"/>
          <w:b/>
          <w:bCs/>
          <w:sz w:val="24"/>
          <w:szCs w:val="24"/>
        </w:rPr>
        <w:t>3.</w:t>
      </w:r>
      <w:r>
        <w:rPr>
          <w:rFonts w:hint="eastAsia" w:ascii="宋体" w:hAnsi="宋体" w:eastAsia="宋体"/>
          <w:b/>
          <w:bCs/>
          <w:sz w:val="24"/>
          <w:szCs w:val="24"/>
          <w:lang w:val="en-US" w:eastAsia="zh-CN"/>
        </w:rPr>
        <w:t xml:space="preserve">6 </w:t>
      </w:r>
      <w:r>
        <w:rPr>
          <w:rFonts w:hint="eastAsia" w:ascii="宋体" w:hAnsi="宋体" w:eastAsia="宋体" w:cs="Times New Roman"/>
          <w:b/>
          <w:bCs/>
          <w:color w:val="auto"/>
          <w:sz w:val="24"/>
          <w:szCs w:val="24"/>
          <w:highlight w:val="none"/>
        </w:rPr>
        <w:t>中小企业声明函</w:t>
      </w:r>
      <w:r>
        <w:rPr>
          <w:rFonts w:hint="eastAsia" w:ascii="宋体" w:hAnsi="宋体" w:eastAsia="宋体" w:cs="Times New Roman"/>
          <w:b/>
          <w:bCs/>
          <w:color w:val="auto"/>
          <w:sz w:val="24"/>
          <w:szCs w:val="24"/>
          <w:highlight w:val="none"/>
          <w:lang w:eastAsia="zh-CN"/>
        </w:rPr>
        <w:t>（</w:t>
      </w:r>
      <w:r>
        <w:rPr>
          <w:rFonts w:hint="eastAsia" w:ascii="宋体" w:hAnsi="宋体" w:eastAsia="宋体" w:cs="Times New Roman"/>
          <w:b/>
          <w:bCs/>
          <w:color w:val="auto"/>
          <w:sz w:val="24"/>
          <w:szCs w:val="24"/>
          <w:highlight w:val="none"/>
          <w:lang w:val="en-US" w:eastAsia="zh-CN"/>
        </w:rPr>
        <w:t>服务</w:t>
      </w:r>
      <w:r>
        <w:rPr>
          <w:rFonts w:hint="eastAsia" w:ascii="宋体" w:hAnsi="宋体" w:eastAsia="宋体" w:cs="Times New Roman"/>
          <w:b/>
          <w:bCs/>
          <w:color w:val="auto"/>
          <w:sz w:val="24"/>
          <w:szCs w:val="24"/>
          <w:highlight w:val="none"/>
          <w:lang w:eastAsia="zh-CN"/>
        </w:rPr>
        <w:t>）</w:t>
      </w:r>
    </w:p>
    <w:p w14:paraId="786F48B3">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Cs w:val="21"/>
          <w:highlight w:val="none"/>
        </w:rPr>
      </w:pPr>
    </w:p>
    <w:p w14:paraId="574D581C">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本公司（联合体）郑重声明，根据《政府采购促进中小企业发展管理办法》（财库﹝2020﹞46 号）的规定，本公司参加</w:t>
      </w:r>
      <w:r>
        <w:rPr>
          <w:rFonts w:ascii="宋体" w:hAnsi="宋体" w:eastAsia="宋体" w:cs="Times New Roman"/>
          <w:i w:val="0"/>
          <w:iCs w:val="0"/>
          <w:color w:val="auto"/>
          <w:sz w:val="21"/>
          <w:szCs w:val="21"/>
          <w:highlight w:val="none"/>
          <w:u w:val="single"/>
        </w:rPr>
        <w:t>（单位名称）</w:t>
      </w:r>
      <w:r>
        <w:rPr>
          <w:rFonts w:ascii="宋体" w:hAnsi="宋体" w:eastAsia="宋体" w:cs="Times New Roman"/>
          <w:i w:val="0"/>
          <w:iCs w:val="0"/>
          <w:color w:val="auto"/>
          <w:sz w:val="21"/>
          <w:szCs w:val="21"/>
          <w:highlight w:val="none"/>
        </w:rPr>
        <w:t>的</w:t>
      </w:r>
      <w:r>
        <w:rPr>
          <w:rFonts w:ascii="宋体" w:hAnsi="宋体" w:eastAsia="宋体" w:cs="Times New Roman"/>
          <w:i w:val="0"/>
          <w:iCs w:val="0"/>
          <w:color w:val="auto"/>
          <w:sz w:val="21"/>
          <w:szCs w:val="21"/>
          <w:highlight w:val="none"/>
          <w:u w:val="single"/>
        </w:rPr>
        <w:t>（项目名称）</w:t>
      </w:r>
      <w:r>
        <w:rPr>
          <w:rFonts w:ascii="宋体" w:hAnsi="宋体" w:eastAsia="宋体" w:cs="Times New Roman"/>
          <w:i w:val="0"/>
          <w:iCs w:val="0"/>
          <w:color w:val="auto"/>
          <w:sz w:val="21"/>
          <w:szCs w:val="21"/>
          <w:highlight w:val="none"/>
        </w:rPr>
        <w:t>采购活动，提供</w:t>
      </w:r>
      <w:r>
        <w:rPr>
          <w:rFonts w:hint="eastAsia" w:ascii="宋体" w:hAnsi="宋体" w:eastAsia="宋体" w:cs="Times New Roman"/>
          <w:i w:val="0"/>
          <w:iCs w:val="0"/>
          <w:color w:val="auto"/>
          <w:sz w:val="21"/>
          <w:szCs w:val="21"/>
          <w:highlight w:val="none"/>
        </w:rPr>
        <w:t>本招标文件中所采购的服务</w:t>
      </w:r>
      <w:r>
        <w:rPr>
          <w:rFonts w:ascii="宋体" w:hAnsi="宋体" w:eastAsia="宋体" w:cs="Times New Roman"/>
          <w:i w:val="0"/>
          <w:iCs w:val="0"/>
          <w:color w:val="auto"/>
          <w:sz w:val="21"/>
          <w:szCs w:val="21"/>
          <w:highlight w:val="none"/>
        </w:rPr>
        <w:t>全部由</w:t>
      </w:r>
      <w:r>
        <w:rPr>
          <w:rFonts w:hint="eastAsia" w:ascii="宋体" w:hAnsi="宋体" w:eastAsia="宋体" w:cs="Times New Roman"/>
          <w:i w:val="0"/>
          <w:iCs w:val="0"/>
          <w:color w:val="auto"/>
          <w:sz w:val="21"/>
          <w:szCs w:val="21"/>
          <w:highlight w:val="none"/>
        </w:rPr>
        <w:t>符合</w:t>
      </w:r>
      <w:r>
        <w:rPr>
          <w:rFonts w:ascii="宋体" w:hAnsi="宋体" w:eastAsia="宋体" w:cs="Times New Roman"/>
          <w:i w:val="0"/>
          <w:iCs w:val="0"/>
          <w:color w:val="auto"/>
          <w:sz w:val="21"/>
          <w:szCs w:val="21"/>
          <w:highlight w:val="none"/>
        </w:rPr>
        <w:t>政策要求的中小企业</w:t>
      </w:r>
      <w:r>
        <w:rPr>
          <w:rFonts w:hint="eastAsia" w:ascii="宋体" w:hAnsi="宋体" w:eastAsia="宋体" w:cs="Times New Roman"/>
          <w:i w:val="0"/>
          <w:iCs w:val="0"/>
          <w:color w:val="auto"/>
          <w:sz w:val="21"/>
          <w:szCs w:val="21"/>
          <w:highlight w:val="none"/>
        </w:rPr>
        <w:t>承接</w:t>
      </w:r>
      <w:r>
        <w:rPr>
          <w:rFonts w:ascii="宋体" w:hAnsi="宋体" w:eastAsia="宋体" w:cs="Times New Roman"/>
          <w:i w:val="0"/>
          <w:iCs w:val="0"/>
          <w:color w:val="auto"/>
          <w:sz w:val="21"/>
          <w:szCs w:val="21"/>
          <w:highlight w:val="none"/>
        </w:rPr>
        <w:t>。相关企业的具体情况如下：</w:t>
      </w:r>
    </w:p>
    <w:p w14:paraId="0117A2DA">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1. </w:t>
      </w:r>
      <w:r>
        <w:rPr>
          <w:rFonts w:ascii="宋体" w:hAnsi="宋体" w:eastAsia="宋体" w:cs="Times New Roman"/>
          <w:i w:val="0"/>
          <w:iCs w:val="0"/>
          <w:color w:val="auto"/>
          <w:sz w:val="21"/>
          <w:szCs w:val="21"/>
          <w:highlight w:val="none"/>
          <w:u w:val="single"/>
        </w:rPr>
        <w:t>（标的名称）</w:t>
      </w:r>
      <w:r>
        <w:rPr>
          <w:rFonts w:ascii="宋体" w:hAnsi="宋体" w:eastAsia="宋体" w:cs="Times New Roman"/>
          <w:i w:val="0"/>
          <w:iCs w:val="0"/>
          <w:color w:val="auto"/>
          <w:sz w:val="21"/>
          <w:szCs w:val="21"/>
          <w:highlight w:val="none"/>
        </w:rPr>
        <w:t>，属于</w:t>
      </w:r>
      <w:r>
        <w:rPr>
          <w:rFonts w:ascii="宋体" w:hAnsi="宋体" w:eastAsia="宋体" w:cs="Times New Roman"/>
          <w:i w:val="0"/>
          <w:iCs w:val="0"/>
          <w:color w:val="auto"/>
          <w:sz w:val="21"/>
          <w:szCs w:val="21"/>
          <w:highlight w:val="none"/>
          <w:u w:val="single"/>
        </w:rPr>
        <w:t>（采购文件中明确的所属行业）</w:t>
      </w:r>
      <w:r>
        <w:rPr>
          <w:rFonts w:ascii="宋体" w:hAnsi="宋体" w:eastAsia="宋体" w:cs="Times New Roman"/>
          <w:i w:val="0"/>
          <w:iCs w:val="0"/>
          <w:color w:val="auto"/>
          <w:sz w:val="21"/>
          <w:szCs w:val="21"/>
          <w:highlight w:val="none"/>
        </w:rPr>
        <w:t>行业；</w:t>
      </w:r>
      <w:r>
        <w:rPr>
          <w:rFonts w:hint="eastAsia" w:ascii="宋体" w:hAnsi="宋体" w:eastAsia="宋体" w:cs="Times New Roman"/>
          <w:i w:val="0"/>
          <w:iCs w:val="0"/>
          <w:color w:val="auto"/>
          <w:sz w:val="21"/>
          <w:szCs w:val="21"/>
          <w:highlight w:val="none"/>
        </w:rPr>
        <w:t>承接企业</w:t>
      </w:r>
      <w:r>
        <w:rPr>
          <w:rFonts w:ascii="宋体" w:hAnsi="宋体" w:eastAsia="宋体" w:cs="Times New Roman"/>
          <w:i w:val="0"/>
          <w:iCs w:val="0"/>
          <w:color w:val="auto"/>
          <w:sz w:val="21"/>
          <w:szCs w:val="21"/>
          <w:highlight w:val="none"/>
        </w:rPr>
        <w:t>为</w:t>
      </w:r>
      <w:r>
        <w:rPr>
          <w:rFonts w:ascii="宋体" w:hAnsi="宋体" w:eastAsia="宋体" w:cs="Times New Roman"/>
          <w:i w:val="0"/>
          <w:iCs w:val="0"/>
          <w:color w:val="auto"/>
          <w:sz w:val="21"/>
          <w:szCs w:val="21"/>
          <w:highlight w:val="none"/>
          <w:u w:val="single"/>
        </w:rPr>
        <w:t>（企业名称）</w:t>
      </w:r>
      <w:r>
        <w:rPr>
          <w:rFonts w:ascii="宋体" w:hAnsi="宋体" w:eastAsia="宋体" w:cs="Times New Roman"/>
          <w:i w:val="0"/>
          <w:iCs w:val="0"/>
          <w:color w:val="auto"/>
          <w:sz w:val="21"/>
          <w:szCs w:val="21"/>
          <w:highlight w:val="none"/>
        </w:rPr>
        <w:t>，从业人员</w:t>
      </w:r>
      <w:r>
        <w:rPr>
          <w:rFonts w:hint="eastAsia" w:ascii="宋体" w:hAnsi="宋体" w:eastAsia="宋体" w:cs="Times New Roman"/>
          <w:i w:val="0"/>
          <w:iCs w:val="0"/>
          <w:color w:val="auto"/>
          <w:sz w:val="21"/>
          <w:szCs w:val="21"/>
          <w:highlight w:val="none"/>
          <w:u w:val="single"/>
          <w:lang w:val="en-US" w:eastAsia="zh-CN"/>
        </w:rPr>
        <w:t xml:space="preserve">    </w:t>
      </w:r>
      <w:r>
        <w:rPr>
          <w:rFonts w:ascii="宋体" w:hAnsi="宋体" w:eastAsia="宋体" w:cs="Times New Roman"/>
          <w:i w:val="0"/>
          <w:iCs w:val="0"/>
          <w:color w:val="auto"/>
          <w:sz w:val="21"/>
          <w:szCs w:val="21"/>
          <w:highlight w:val="none"/>
        </w:rPr>
        <w:t>人，营业收入为</w:t>
      </w:r>
      <w:r>
        <w:rPr>
          <w:rFonts w:hint="eastAsia" w:ascii="宋体" w:hAnsi="宋体" w:eastAsia="宋体" w:cs="Times New Roman"/>
          <w:i w:val="0"/>
          <w:iCs w:val="0"/>
          <w:color w:val="auto"/>
          <w:sz w:val="21"/>
          <w:szCs w:val="21"/>
          <w:highlight w:val="none"/>
          <w:u w:val="single"/>
          <w:lang w:val="en-US" w:eastAsia="zh-CN"/>
        </w:rPr>
        <w:t xml:space="preserve">    </w:t>
      </w:r>
      <w:r>
        <w:rPr>
          <w:rFonts w:ascii="宋体" w:hAnsi="宋体" w:eastAsia="宋体" w:cs="Times New Roman"/>
          <w:i w:val="0"/>
          <w:iCs w:val="0"/>
          <w:color w:val="auto"/>
          <w:sz w:val="21"/>
          <w:szCs w:val="21"/>
          <w:highlight w:val="none"/>
        </w:rPr>
        <w:t>万元，资产总额为</w:t>
      </w:r>
      <w:r>
        <w:rPr>
          <w:rFonts w:hint="eastAsia" w:ascii="宋体" w:hAnsi="宋体" w:eastAsia="宋体" w:cs="Times New Roman"/>
          <w:i w:val="0"/>
          <w:iCs w:val="0"/>
          <w:color w:val="auto"/>
          <w:sz w:val="21"/>
          <w:szCs w:val="21"/>
          <w:highlight w:val="none"/>
          <w:u w:val="single"/>
          <w:lang w:val="en-US" w:eastAsia="zh-CN"/>
        </w:rPr>
        <w:t xml:space="preserve">    </w:t>
      </w:r>
      <w:r>
        <w:rPr>
          <w:rFonts w:ascii="宋体" w:hAnsi="宋体" w:eastAsia="宋体" w:cs="Times New Roman"/>
          <w:i w:val="0"/>
          <w:iCs w:val="0"/>
          <w:color w:val="auto"/>
          <w:sz w:val="21"/>
          <w:szCs w:val="21"/>
          <w:highlight w:val="none"/>
        </w:rPr>
        <w:t>万元，属于</w:t>
      </w:r>
      <w:r>
        <w:rPr>
          <w:rFonts w:ascii="宋体" w:hAnsi="宋体" w:eastAsia="宋体" w:cs="Times New Roman"/>
          <w:i w:val="0"/>
          <w:iCs w:val="0"/>
          <w:color w:val="auto"/>
          <w:sz w:val="21"/>
          <w:szCs w:val="21"/>
          <w:highlight w:val="none"/>
          <w:u w:val="single"/>
        </w:rPr>
        <w:t>（中型企业、小型企业、微型企业）</w:t>
      </w:r>
      <w:r>
        <w:rPr>
          <w:rFonts w:ascii="宋体" w:hAnsi="宋体" w:eastAsia="宋体" w:cs="Times New Roman"/>
          <w:i w:val="0"/>
          <w:iCs w:val="0"/>
          <w:color w:val="auto"/>
          <w:sz w:val="21"/>
          <w:szCs w:val="21"/>
          <w:highlight w:val="none"/>
        </w:rPr>
        <w:t>；</w:t>
      </w:r>
    </w:p>
    <w:p w14:paraId="412A809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 xml:space="preserve">…… </w:t>
      </w:r>
    </w:p>
    <w:p w14:paraId="366A8D5E">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i w:val="0"/>
          <w:iCs w:val="0"/>
          <w:color w:val="auto"/>
          <w:sz w:val="21"/>
          <w:szCs w:val="21"/>
          <w:highlight w:val="none"/>
        </w:rPr>
      </w:pPr>
      <w:r>
        <w:rPr>
          <w:rFonts w:ascii="宋体" w:hAnsi="宋体" w:eastAsia="宋体" w:cs="Times New Roman"/>
          <w:i w:val="0"/>
          <w:iCs w:val="0"/>
          <w:color w:val="auto"/>
          <w:sz w:val="21"/>
          <w:szCs w:val="21"/>
          <w:highlight w:val="none"/>
        </w:rPr>
        <w:t>以上企业，不属于大企业的分支机构，不存在控股股东为大企业的情形，也不存在与大企业的负责人为同一人的情形。</w:t>
      </w:r>
    </w:p>
    <w:p w14:paraId="72D5F3A4">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r>
        <w:rPr>
          <w:rFonts w:ascii="宋体" w:hAnsi="宋体" w:eastAsia="宋体" w:cs="Times New Roman"/>
          <w:i w:val="0"/>
          <w:iCs w:val="0"/>
          <w:color w:val="auto"/>
          <w:sz w:val="21"/>
          <w:szCs w:val="21"/>
          <w:highlight w:val="none"/>
        </w:rPr>
        <w:t>本企业对上述声明内容的真实</w:t>
      </w:r>
      <w:r>
        <w:rPr>
          <w:rFonts w:ascii="宋体" w:hAnsi="宋体" w:eastAsia="宋体" w:cs="Times New Roman"/>
          <w:color w:val="auto"/>
          <w:sz w:val="21"/>
          <w:szCs w:val="21"/>
          <w:highlight w:val="none"/>
        </w:rPr>
        <w:t>性负责。如有虚假，将依法承担相应责任。</w:t>
      </w:r>
    </w:p>
    <w:p w14:paraId="4EE61699">
      <w:pPr>
        <w:keepNext w:val="0"/>
        <w:keepLines w:val="0"/>
        <w:pageBreakBefore w:val="0"/>
        <w:kinsoku/>
        <w:wordWrap/>
        <w:overflowPunct/>
        <w:topLinePunct w:val="0"/>
        <w:bidi w:val="0"/>
        <w:spacing w:beforeAutospacing="0" w:afterAutospacing="0" w:line="520" w:lineRule="exact"/>
        <w:ind w:firstLine="707" w:firstLineChars="337"/>
        <w:jc w:val="left"/>
        <w:textAlignment w:val="auto"/>
        <w:rPr>
          <w:rFonts w:ascii="宋体" w:hAnsi="宋体" w:eastAsia="宋体" w:cs="Times New Roman"/>
          <w:color w:val="auto"/>
          <w:sz w:val="21"/>
          <w:szCs w:val="21"/>
          <w:highlight w:val="none"/>
        </w:rPr>
      </w:pPr>
    </w:p>
    <w:p w14:paraId="52743236">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Times New Roman"/>
          <w:color w:val="auto"/>
          <w:sz w:val="21"/>
          <w:szCs w:val="21"/>
          <w:highlight w:val="none"/>
        </w:rPr>
      </w:pPr>
      <w:r>
        <w:rPr>
          <w:rFonts w:ascii="宋体" w:hAnsi="宋体" w:eastAsia="宋体" w:cs="Times New Roman"/>
          <w:color w:val="auto"/>
          <w:sz w:val="21"/>
          <w:szCs w:val="21"/>
          <w:highlight w:val="none"/>
        </w:rPr>
        <w:t>企业名称（盖章）：</w:t>
      </w:r>
    </w:p>
    <w:p w14:paraId="38E2636C">
      <w:pPr>
        <w:keepNext w:val="0"/>
        <w:keepLines w:val="0"/>
        <w:pageBreakBefore w:val="0"/>
        <w:kinsoku/>
        <w:wordWrap/>
        <w:overflowPunct/>
        <w:topLinePunct w:val="0"/>
        <w:bidi w:val="0"/>
        <w:spacing w:beforeAutospacing="0" w:afterAutospacing="0" w:line="520" w:lineRule="exact"/>
        <w:ind w:firstLine="5957" w:firstLineChars="2837"/>
        <w:jc w:val="left"/>
        <w:textAlignment w:val="auto"/>
        <w:rPr>
          <w:rFonts w:ascii="宋体" w:hAnsi="宋体" w:eastAsia="宋体" w:cs="Arial"/>
          <w:color w:val="auto"/>
          <w:sz w:val="21"/>
          <w:szCs w:val="21"/>
          <w:highlight w:val="none"/>
        </w:rPr>
      </w:pPr>
      <w:r>
        <w:rPr>
          <w:rFonts w:ascii="宋体" w:hAnsi="宋体" w:eastAsia="宋体" w:cs="Times New Roman"/>
          <w:color w:val="auto"/>
          <w:sz w:val="21"/>
          <w:szCs w:val="21"/>
          <w:highlight w:val="none"/>
        </w:rPr>
        <w:t>日期：</w:t>
      </w:r>
    </w:p>
    <w:p w14:paraId="69D3BFE3">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p>
    <w:p w14:paraId="71A659D1">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说明：</w:t>
      </w:r>
    </w:p>
    <w:p w14:paraId="149510CE">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1.从业人员、营业收入、资产总额填报上一年度数据，无上一年度数据的新成立企业可不填报。</w:t>
      </w:r>
    </w:p>
    <w:p w14:paraId="2D14066E">
      <w:pPr>
        <w:keepNext w:val="0"/>
        <w:keepLines w:val="0"/>
        <w:pageBreakBefore w:val="0"/>
        <w:kinsoku/>
        <w:wordWrap/>
        <w:overflowPunct/>
        <w:topLinePunct w:val="0"/>
        <w:bidi w:val="0"/>
        <w:snapToGrid/>
        <w:spacing w:beforeAutospacing="0" w:afterAutospacing="0" w:line="520" w:lineRule="exact"/>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2.中小企业参加政府采购活动，应当出具《中小企业声明函》，否则不得享受相关中小企业扶持政策</w:t>
      </w:r>
    </w:p>
    <w:p w14:paraId="1C1CD93C">
      <w:pPr>
        <w:keepNext w:val="0"/>
        <w:keepLines w:val="0"/>
        <w:pageBreakBefore w:val="0"/>
        <w:kinsoku/>
        <w:wordWrap/>
        <w:overflowPunct/>
        <w:topLinePunct w:val="0"/>
        <w:bidi w:val="0"/>
        <w:spacing w:beforeAutospacing="0" w:afterAutospacing="0" w:line="520" w:lineRule="exact"/>
        <w:jc w:val="center"/>
        <w:textAlignment w:val="auto"/>
        <w:rPr>
          <w:rFonts w:ascii="宋体" w:hAnsi="宋体" w:eastAsia="宋体" w:cs="Times New Roman"/>
          <w:b/>
          <w:bCs/>
          <w:color w:val="auto"/>
          <w:sz w:val="21"/>
          <w:szCs w:val="21"/>
          <w:highlight w:val="none"/>
        </w:rPr>
      </w:pPr>
    </w:p>
    <w:p w14:paraId="5A6E7817">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65BAF51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3.7 </w:t>
      </w:r>
      <w:r>
        <w:rPr>
          <w:rFonts w:hint="eastAsia" w:ascii="宋体" w:hAnsi="宋体" w:eastAsia="宋体" w:cs="宋体"/>
          <w:b/>
          <w:bCs/>
          <w:color w:val="auto"/>
          <w:sz w:val="24"/>
          <w:szCs w:val="24"/>
          <w:highlight w:val="none"/>
        </w:rPr>
        <w:t xml:space="preserve"> 残疾人福利性单位声明函</w:t>
      </w:r>
    </w:p>
    <w:bookmarkEnd w:id="8"/>
    <w:bookmarkEnd w:id="9"/>
    <w:p w14:paraId="4D6D6CFA">
      <w:pPr>
        <w:spacing w:line="360" w:lineRule="auto"/>
        <w:rPr>
          <w:rFonts w:hint="eastAsia" w:ascii="宋体" w:hAnsi="宋体" w:eastAsia="宋体" w:cs="宋体"/>
          <w:color w:val="auto"/>
          <w:szCs w:val="21"/>
          <w:highlight w:val="none"/>
        </w:rPr>
      </w:pPr>
    </w:p>
    <w:p w14:paraId="3736EE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val="en-US" w:eastAsia="zh-CN"/>
        </w:rPr>
        <w:t>/不为）</w:t>
      </w:r>
      <w:r>
        <w:rPr>
          <w:rFonts w:hint="eastAsia" w:ascii="宋体" w:hAnsi="宋体" w:eastAsia="宋体" w:cs="宋体"/>
          <w:color w:val="auto"/>
          <w:szCs w:val="21"/>
          <w:highlight w:val="none"/>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F3673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3E6F57F2">
      <w:pPr>
        <w:spacing w:line="360" w:lineRule="auto"/>
        <w:rPr>
          <w:rFonts w:hint="eastAsia" w:ascii="宋体" w:hAnsi="宋体" w:eastAsia="宋体" w:cs="宋体"/>
          <w:color w:val="auto"/>
          <w:szCs w:val="21"/>
          <w:highlight w:val="none"/>
        </w:rPr>
      </w:pPr>
    </w:p>
    <w:p w14:paraId="711C7113">
      <w:pPr>
        <w:spacing w:line="360" w:lineRule="auto"/>
        <w:rPr>
          <w:rFonts w:hint="eastAsia" w:ascii="宋体" w:hAnsi="宋体" w:eastAsia="宋体" w:cs="宋体"/>
          <w:color w:val="auto"/>
          <w:szCs w:val="21"/>
          <w:highlight w:val="none"/>
        </w:rPr>
      </w:pPr>
    </w:p>
    <w:p w14:paraId="7FD96BF2">
      <w:pPr>
        <w:spacing w:line="360" w:lineRule="auto"/>
        <w:rPr>
          <w:rFonts w:hint="eastAsia" w:ascii="宋体" w:hAnsi="宋体" w:eastAsia="宋体" w:cs="宋体"/>
          <w:color w:val="auto"/>
          <w:szCs w:val="21"/>
          <w:highlight w:val="none"/>
        </w:rPr>
      </w:pPr>
    </w:p>
    <w:p w14:paraId="167EC7C6">
      <w:pPr>
        <w:adjustRightInd w:val="0"/>
        <w:snapToGrid w:val="0"/>
        <w:spacing w:line="360" w:lineRule="auto"/>
        <w:ind w:firstLine="3150" w:firstLineChars="15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4A9B4F06">
      <w:pPr>
        <w:spacing w:line="480" w:lineRule="auto"/>
        <w:ind w:left="4358" w:left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7795F413">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6D5FFF00">
      <w:pPr>
        <w:pStyle w:val="15"/>
        <w:rPr>
          <w:rFonts w:hint="eastAsia" w:ascii="宋体" w:hAnsi="宋体" w:eastAsia="宋体" w:cs="宋体"/>
          <w:b/>
          <w:bCs/>
          <w:color w:val="auto"/>
          <w:sz w:val="24"/>
          <w:szCs w:val="24"/>
          <w:highlight w:val="none"/>
        </w:rPr>
      </w:pPr>
    </w:p>
    <w:p w14:paraId="016CDB16">
      <w:pPr>
        <w:pStyle w:val="16"/>
        <w:rPr>
          <w:rFonts w:hint="eastAsia" w:ascii="宋体" w:hAnsi="宋体" w:eastAsia="宋体" w:cs="宋体"/>
          <w:b/>
          <w:bCs/>
          <w:color w:val="auto"/>
          <w:sz w:val="24"/>
          <w:szCs w:val="24"/>
          <w:highlight w:val="none"/>
        </w:rPr>
      </w:pPr>
    </w:p>
    <w:p w14:paraId="0618E9B8">
      <w:pPr>
        <w:rPr>
          <w:rFonts w:hint="eastAsia" w:ascii="宋体" w:hAnsi="宋体" w:eastAsia="宋体" w:cs="宋体"/>
          <w:b/>
          <w:bCs/>
          <w:color w:val="auto"/>
          <w:sz w:val="24"/>
          <w:szCs w:val="24"/>
          <w:highlight w:val="none"/>
        </w:rPr>
      </w:pPr>
    </w:p>
    <w:p w14:paraId="59651CA6">
      <w:pPr>
        <w:rPr>
          <w:rFonts w:hint="eastAsia" w:ascii="宋体" w:hAnsi="宋体" w:eastAsia="宋体" w:cs="宋体"/>
          <w:b/>
          <w:bCs/>
          <w:color w:val="auto"/>
          <w:sz w:val="24"/>
          <w:szCs w:val="24"/>
          <w:highlight w:val="none"/>
        </w:rPr>
      </w:pPr>
    </w:p>
    <w:p w14:paraId="3A474279">
      <w:pPr>
        <w:rPr>
          <w:rFonts w:hint="eastAsia" w:ascii="宋体" w:hAnsi="宋体" w:eastAsia="宋体" w:cs="宋体"/>
          <w:b/>
          <w:bCs/>
          <w:color w:val="auto"/>
          <w:sz w:val="24"/>
          <w:szCs w:val="24"/>
          <w:highlight w:val="none"/>
        </w:rPr>
      </w:pPr>
    </w:p>
    <w:p w14:paraId="7B3B01AC">
      <w:pPr>
        <w:rPr>
          <w:rFonts w:hint="eastAsia" w:ascii="宋体" w:hAnsi="宋体" w:eastAsia="宋体" w:cs="宋体"/>
          <w:b/>
          <w:bCs/>
          <w:color w:val="auto"/>
          <w:sz w:val="24"/>
          <w:szCs w:val="24"/>
          <w:highlight w:val="none"/>
        </w:rPr>
      </w:pPr>
    </w:p>
    <w:p w14:paraId="2B409949">
      <w:pPr>
        <w:rPr>
          <w:rFonts w:hint="eastAsia" w:ascii="宋体" w:hAnsi="宋体" w:eastAsia="宋体" w:cs="宋体"/>
          <w:b/>
          <w:bCs/>
          <w:color w:val="auto"/>
          <w:sz w:val="24"/>
          <w:szCs w:val="24"/>
          <w:highlight w:val="none"/>
        </w:rPr>
      </w:pPr>
    </w:p>
    <w:p w14:paraId="37442AEF">
      <w:pPr>
        <w:rPr>
          <w:rFonts w:hint="eastAsia" w:ascii="宋体" w:hAnsi="宋体" w:eastAsia="宋体" w:cs="宋体"/>
          <w:b/>
          <w:bCs/>
          <w:color w:val="auto"/>
          <w:sz w:val="24"/>
          <w:szCs w:val="24"/>
          <w:highlight w:val="none"/>
        </w:rPr>
      </w:pPr>
    </w:p>
    <w:p w14:paraId="58E4EEAD">
      <w:pPr>
        <w:rPr>
          <w:rFonts w:hint="eastAsia" w:ascii="宋体" w:hAnsi="宋体" w:eastAsia="宋体" w:cs="宋体"/>
          <w:b/>
          <w:bCs/>
          <w:color w:val="auto"/>
          <w:sz w:val="24"/>
          <w:szCs w:val="24"/>
          <w:highlight w:val="none"/>
        </w:rPr>
      </w:pPr>
    </w:p>
    <w:p w14:paraId="752D0FCB">
      <w:pPr>
        <w:rPr>
          <w:rFonts w:hint="eastAsia" w:ascii="宋体" w:hAnsi="宋体" w:eastAsia="宋体" w:cs="宋体"/>
          <w:b/>
          <w:bCs/>
          <w:color w:val="auto"/>
          <w:sz w:val="24"/>
          <w:szCs w:val="24"/>
          <w:highlight w:val="none"/>
        </w:rPr>
      </w:pPr>
    </w:p>
    <w:p w14:paraId="57E26460">
      <w:pPr>
        <w:rPr>
          <w:rFonts w:hint="eastAsia" w:ascii="宋体" w:hAnsi="宋体" w:eastAsia="宋体" w:cs="宋体"/>
          <w:b/>
          <w:bCs/>
          <w:color w:val="auto"/>
          <w:sz w:val="24"/>
          <w:szCs w:val="24"/>
          <w:highlight w:val="none"/>
        </w:rPr>
      </w:pPr>
    </w:p>
    <w:p w14:paraId="21CBFA17">
      <w:pPr>
        <w:rPr>
          <w:rFonts w:hint="eastAsia" w:ascii="宋体" w:hAnsi="宋体" w:eastAsia="宋体" w:cs="宋体"/>
          <w:b/>
          <w:bCs/>
          <w:color w:val="auto"/>
          <w:sz w:val="24"/>
          <w:szCs w:val="24"/>
          <w:highlight w:val="none"/>
        </w:rPr>
      </w:pPr>
    </w:p>
    <w:p w14:paraId="379C45FD">
      <w:pPr>
        <w:rPr>
          <w:rFonts w:hint="eastAsia" w:ascii="宋体" w:hAnsi="宋体" w:eastAsia="宋体" w:cs="宋体"/>
          <w:b/>
          <w:bCs/>
          <w:color w:val="auto"/>
          <w:sz w:val="24"/>
          <w:szCs w:val="24"/>
          <w:highlight w:val="none"/>
        </w:rPr>
      </w:pPr>
    </w:p>
    <w:p w14:paraId="622A173A">
      <w:pPr>
        <w:rPr>
          <w:rFonts w:hint="eastAsia" w:ascii="宋体" w:hAnsi="宋体" w:eastAsia="宋体" w:cs="宋体"/>
          <w:b/>
          <w:bCs/>
          <w:color w:val="auto"/>
          <w:sz w:val="24"/>
          <w:szCs w:val="24"/>
          <w:highlight w:val="none"/>
        </w:rPr>
      </w:pPr>
    </w:p>
    <w:p w14:paraId="474EBC9B">
      <w:pPr>
        <w:rPr>
          <w:rFonts w:hint="eastAsia" w:ascii="宋体" w:hAnsi="宋体" w:eastAsia="宋体" w:cs="宋体"/>
          <w:b/>
          <w:bCs/>
          <w:color w:val="auto"/>
          <w:sz w:val="24"/>
          <w:szCs w:val="24"/>
          <w:highlight w:val="none"/>
        </w:rPr>
      </w:pPr>
    </w:p>
    <w:p w14:paraId="368D310B">
      <w:pPr>
        <w:rPr>
          <w:rFonts w:hint="eastAsia" w:ascii="宋体" w:hAnsi="宋体" w:eastAsia="宋体" w:cs="宋体"/>
          <w:b/>
          <w:bCs/>
          <w:color w:val="auto"/>
          <w:sz w:val="24"/>
          <w:szCs w:val="24"/>
          <w:highlight w:val="none"/>
        </w:rPr>
      </w:pPr>
    </w:p>
    <w:p w14:paraId="1C0CBF1E">
      <w:pPr>
        <w:rPr>
          <w:rFonts w:hint="eastAsia" w:ascii="宋体" w:hAnsi="宋体" w:eastAsia="宋体" w:cs="宋体"/>
          <w:b/>
          <w:bCs/>
          <w:color w:val="auto"/>
          <w:sz w:val="24"/>
          <w:szCs w:val="24"/>
          <w:highlight w:val="none"/>
        </w:rPr>
      </w:pPr>
    </w:p>
    <w:p w14:paraId="53AD0D55">
      <w:pPr>
        <w:rPr>
          <w:rFonts w:hint="eastAsia" w:ascii="宋体" w:hAnsi="宋体" w:eastAsia="宋体" w:cs="宋体"/>
          <w:b/>
          <w:bCs/>
          <w:color w:val="auto"/>
          <w:sz w:val="24"/>
          <w:szCs w:val="24"/>
          <w:highlight w:val="none"/>
        </w:rPr>
      </w:pPr>
    </w:p>
    <w:p w14:paraId="566CBF9F">
      <w:pPr>
        <w:pStyle w:val="15"/>
        <w:rPr>
          <w:rFonts w:hint="eastAsia"/>
          <w:color w:val="auto"/>
          <w:highlight w:val="none"/>
        </w:rPr>
      </w:pPr>
    </w:p>
    <w:p w14:paraId="13914948">
      <w:pPr>
        <w:widowControl/>
        <w:jc w:val="left"/>
        <w:rPr>
          <w:rFonts w:hint="eastAsia" w:ascii="宋体" w:hAnsi="宋体" w:eastAsia="宋体" w:cs="宋体"/>
          <w:b/>
          <w:bCs/>
          <w:color w:val="auto"/>
          <w:sz w:val="24"/>
          <w:szCs w:val="24"/>
          <w:highlight w:val="none"/>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0DD23734">
      <w:pPr>
        <w:autoSpaceDE w:val="0"/>
        <w:autoSpaceDN w:val="0"/>
        <w:adjustRightInd w:val="0"/>
        <w:spacing w:line="360" w:lineRule="auto"/>
        <w:jc w:val="center"/>
        <w:outlineLvl w:val="0"/>
        <w:rPr>
          <w:rFonts w:ascii="宋体" w:hAnsi="宋体"/>
          <w:b/>
          <w:bCs/>
          <w:sz w:val="24"/>
          <w:szCs w:val="24"/>
        </w:rPr>
      </w:pPr>
    </w:p>
    <w:p w14:paraId="53452DF9">
      <w:pPr>
        <w:autoSpaceDE w:val="0"/>
        <w:autoSpaceDN w:val="0"/>
        <w:adjustRightInd w:val="0"/>
        <w:spacing w:line="360" w:lineRule="auto"/>
        <w:jc w:val="center"/>
        <w:outlineLvl w:val="0"/>
        <w:rPr>
          <w:rFonts w:ascii="宋体" w:hAnsi="宋体"/>
          <w:b/>
          <w:bCs/>
          <w:sz w:val="24"/>
          <w:szCs w:val="24"/>
        </w:rPr>
      </w:pPr>
    </w:p>
    <w:p w14:paraId="074A2E65">
      <w:pPr>
        <w:autoSpaceDE w:val="0"/>
        <w:autoSpaceDN w:val="0"/>
        <w:adjustRightInd w:val="0"/>
        <w:spacing w:line="360" w:lineRule="auto"/>
        <w:jc w:val="center"/>
        <w:outlineLvl w:val="0"/>
        <w:rPr>
          <w:rFonts w:ascii="宋体" w:hAnsi="宋体"/>
          <w:b/>
          <w:bCs/>
          <w:sz w:val="24"/>
          <w:szCs w:val="24"/>
        </w:rPr>
      </w:pPr>
    </w:p>
    <w:p w14:paraId="02279FE3">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43565F6D">
      <w:pPr>
        <w:autoSpaceDE w:val="0"/>
        <w:autoSpaceDN w:val="0"/>
        <w:adjustRightInd w:val="0"/>
        <w:spacing w:line="360" w:lineRule="auto"/>
        <w:jc w:val="center"/>
        <w:outlineLvl w:val="0"/>
        <w:rPr>
          <w:rFonts w:ascii="宋体" w:hAnsi="宋体"/>
          <w:b/>
          <w:bCs/>
          <w:sz w:val="24"/>
          <w:szCs w:val="24"/>
        </w:rPr>
      </w:pPr>
    </w:p>
    <w:p w14:paraId="6A55889A">
      <w:pPr>
        <w:autoSpaceDE w:val="0"/>
        <w:autoSpaceDN w:val="0"/>
        <w:adjustRightInd w:val="0"/>
        <w:spacing w:line="360" w:lineRule="auto"/>
        <w:jc w:val="center"/>
        <w:outlineLvl w:val="0"/>
        <w:rPr>
          <w:rFonts w:ascii="宋体" w:hAnsi="宋体"/>
          <w:b/>
          <w:bCs/>
          <w:sz w:val="24"/>
          <w:szCs w:val="24"/>
        </w:rPr>
      </w:pPr>
    </w:p>
    <w:p w14:paraId="5E2D2DF3">
      <w:pPr>
        <w:autoSpaceDE w:val="0"/>
        <w:autoSpaceDN w:val="0"/>
        <w:adjustRightInd w:val="0"/>
        <w:spacing w:line="360" w:lineRule="auto"/>
        <w:jc w:val="center"/>
        <w:outlineLvl w:val="0"/>
        <w:rPr>
          <w:rFonts w:ascii="宋体" w:hAnsi="宋体"/>
          <w:b/>
          <w:bCs/>
          <w:sz w:val="24"/>
          <w:szCs w:val="24"/>
        </w:rPr>
      </w:pPr>
    </w:p>
    <w:p w14:paraId="0F97099A">
      <w:pPr>
        <w:autoSpaceDE w:val="0"/>
        <w:autoSpaceDN w:val="0"/>
        <w:adjustRightInd w:val="0"/>
        <w:spacing w:line="360" w:lineRule="auto"/>
        <w:jc w:val="center"/>
        <w:outlineLvl w:val="0"/>
        <w:rPr>
          <w:rFonts w:ascii="宋体" w:hAnsi="宋体"/>
          <w:b/>
          <w:bCs/>
          <w:sz w:val="24"/>
          <w:szCs w:val="24"/>
        </w:rPr>
      </w:pPr>
    </w:p>
    <w:p w14:paraId="16E12E15">
      <w:pPr>
        <w:autoSpaceDE w:val="0"/>
        <w:autoSpaceDN w:val="0"/>
        <w:adjustRightInd w:val="0"/>
        <w:spacing w:line="360" w:lineRule="auto"/>
        <w:jc w:val="center"/>
        <w:outlineLvl w:val="0"/>
        <w:rPr>
          <w:rFonts w:ascii="宋体" w:hAnsi="宋体"/>
          <w:b/>
          <w:bCs/>
          <w:sz w:val="24"/>
          <w:szCs w:val="24"/>
        </w:rPr>
      </w:pPr>
    </w:p>
    <w:p w14:paraId="3BEFDE6F">
      <w:pPr>
        <w:autoSpaceDE w:val="0"/>
        <w:autoSpaceDN w:val="0"/>
        <w:adjustRightInd w:val="0"/>
        <w:spacing w:line="360" w:lineRule="auto"/>
        <w:jc w:val="center"/>
        <w:outlineLvl w:val="0"/>
        <w:rPr>
          <w:rFonts w:ascii="宋体" w:hAnsi="宋体"/>
          <w:b/>
          <w:bCs/>
          <w:sz w:val="24"/>
          <w:szCs w:val="24"/>
        </w:rPr>
      </w:pPr>
    </w:p>
    <w:p w14:paraId="1C8E7928">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528E1FDB">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0C8267F">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EDCE23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1D22FA9">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101FFC8">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6554E5E3">
      <w:pPr>
        <w:widowControl/>
        <w:rPr>
          <w:rFonts w:hint="eastAsia" w:ascii="宋体" w:hAnsi="宋体" w:eastAsia="宋体" w:cs="宋体"/>
          <w:b/>
          <w:bCs/>
          <w:color w:val="auto"/>
          <w:sz w:val="28"/>
          <w:szCs w:val="28"/>
          <w:highlight w:val="none"/>
          <w:lang w:val="zh-CN"/>
        </w:rPr>
      </w:pPr>
    </w:p>
    <w:p w14:paraId="4A69B797">
      <w:pPr>
        <w:widowControl/>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四、响应文件审查相关材料</w:t>
      </w:r>
    </w:p>
    <w:p w14:paraId="454EDA1D">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2EC3EC7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17EE18F8">
      <w:pPr>
        <w:autoSpaceDE w:val="0"/>
        <w:autoSpaceDN w:val="0"/>
        <w:adjustRightInd w:val="0"/>
        <w:spacing w:line="360" w:lineRule="auto"/>
        <w:jc w:val="center"/>
        <w:outlineLvl w:val="0"/>
        <w:rPr>
          <w:rFonts w:hint="default"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rPr>
        <w:t xml:space="preserve">4.1 </w:t>
      </w:r>
      <w:r>
        <w:rPr>
          <w:rFonts w:hint="eastAsia" w:ascii="宋体" w:hAnsi="宋体" w:eastAsia="宋体" w:cs="宋体"/>
          <w:b/>
          <w:bCs/>
          <w:color w:val="auto"/>
          <w:sz w:val="24"/>
          <w:szCs w:val="24"/>
          <w:highlight w:val="none"/>
          <w:lang w:val="en-US" w:eastAsia="zh-CN"/>
        </w:rPr>
        <w:t>分项报价表</w:t>
      </w:r>
    </w:p>
    <w:p w14:paraId="34E3AE52">
      <w:pPr>
        <w:autoSpaceDE w:val="0"/>
        <w:autoSpaceDN w:val="0"/>
        <w:adjustRightInd w:val="0"/>
        <w:spacing w:line="360" w:lineRule="auto"/>
        <w:jc w:val="center"/>
        <w:rPr>
          <w:rFonts w:ascii="宋体" w:hAnsi="宋体" w:eastAsia="宋体" w:cs="宋体"/>
          <w:sz w:val="18"/>
          <w:szCs w:val="18"/>
          <w:lang w:val="zh-CN"/>
        </w:rPr>
      </w:pPr>
      <w:r>
        <w:rPr>
          <w:rFonts w:hint="eastAsia" w:ascii="宋体" w:hAnsi="宋体" w:eastAsia="宋体" w:cs="宋体"/>
          <w:sz w:val="21"/>
          <w:szCs w:val="21"/>
          <w:lang w:val="zh-CN"/>
        </w:rPr>
        <w:t>（</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根据磋商文件要求自行编制）</w:t>
      </w:r>
    </w:p>
    <w:p w14:paraId="2ECF3EE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C482649">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646ADC6">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ACDD04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0D5F2483">
      <w:pPr>
        <w:autoSpaceDE w:val="0"/>
        <w:autoSpaceDN w:val="0"/>
        <w:adjustRightInd w:val="0"/>
        <w:spacing w:line="360" w:lineRule="auto"/>
        <w:jc w:val="center"/>
        <w:outlineLvl w:val="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4.2 技术规格偏离表</w:t>
      </w:r>
    </w:p>
    <w:p w14:paraId="1429313C">
      <w:pPr>
        <w:spacing w:line="360" w:lineRule="auto"/>
        <w:contextualSpacing/>
        <w:jc w:val="left"/>
        <w:rPr>
          <w:rFonts w:ascii="宋体" w:hAnsi="宋体" w:eastAsia="宋体"/>
          <w:szCs w:val="21"/>
        </w:rPr>
      </w:pPr>
      <w:r>
        <w:rPr>
          <w:rFonts w:hint="eastAsia" w:ascii="宋体" w:hAnsi="宋体" w:eastAsia="宋体"/>
          <w:szCs w:val="21"/>
        </w:rPr>
        <w:t>项目编号：</w:t>
      </w:r>
    </w:p>
    <w:p w14:paraId="070AA028">
      <w:pPr>
        <w:autoSpaceDE w:val="0"/>
        <w:autoSpaceDN w:val="0"/>
        <w:adjustRightInd w:val="0"/>
        <w:spacing w:line="360" w:lineRule="auto"/>
        <w:outlineLvl w:val="0"/>
        <w:rPr>
          <w:rFonts w:ascii="宋体" w:hAnsi="宋体" w:eastAsia="宋体"/>
          <w:b/>
          <w:snapToGrid w:val="0"/>
          <w:kern w:val="0"/>
          <w:szCs w:val="21"/>
        </w:rPr>
      </w:pPr>
      <w:r>
        <w:rPr>
          <w:rFonts w:hint="eastAsia" w:ascii="宋体" w:hAnsi="宋体" w:eastAsia="宋体"/>
          <w:szCs w:val="21"/>
        </w:rPr>
        <w:t xml:space="preserve">项目名称：   </w:t>
      </w:r>
    </w:p>
    <w:tbl>
      <w:tblPr>
        <w:tblStyle w:val="17"/>
        <w:tblW w:w="9315" w:type="dxa"/>
        <w:tblInd w:w="0" w:type="dxa"/>
        <w:tblLayout w:type="fixed"/>
        <w:tblCellMar>
          <w:top w:w="0" w:type="dxa"/>
          <w:left w:w="108" w:type="dxa"/>
          <w:bottom w:w="0" w:type="dxa"/>
          <w:right w:w="108" w:type="dxa"/>
        </w:tblCellMar>
      </w:tblPr>
      <w:tblGrid>
        <w:gridCol w:w="674"/>
        <w:gridCol w:w="1417"/>
        <w:gridCol w:w="2383"/>
        <w:gridCol w:w="1866"/>
        <w:gridCol w:w="1559"/>
        <w:gridCol w:w="1416"/>
      </w:tblGrid>
      <w:tr w14:paraId="3D265416">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2EA0BAA">
            <w:pPr>
              <w:pStyle w:val="5"/>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7D748C">
            <w:pPr>
              <w:pStyle w:val="5"/>
              <w:jc w:val="center"/>
              <w:rPr>
                <w:rFonts w:ascii="宋体" w:hAnsi="宋体" w:eastAsia="宋体" w:cs="宋体"/>
                <w:b/>
                <w:bCs/>
                <w:sz w:val="21"/>
                <w:szCs w:val="21"/>
              </w:rPr>
            </w:pPr>
            <w:r>
              <w:rPr>
                <w:rFonts w:hint="eastAsia" w:ascii="宋体" w:hAnsi="宋体" w:eastAsia="宋体" w:cs="宋体"/>
                <w:b/>
                <w:bCs/>
                <w:sz w:val="21"/>
                <w:szCs w:val="21"/>
                <w:lang w:val="en-US" w:eastAsia="zh-CN"/>
              </w:rPr>
              <w:t>服务</w:t>
            </w:r>
            <w:r>
              <w:rPr>
                <w:rFonts w:hint="eastAsia" w:ascii="宋体" w:hAnsi="宋体" w:eastAsia="宋体" w:cs="宋体"/>
                <w:b/>
                <w:bCs/>
                <w:sz w:val="21"/>
                <w:szCs w:val="21"/>
              </w:rPr>
              <w:t>名称</w:t>
            </w:r>
          </w:p>
        </w:tc>
        <w:tc>
          <w:tcPr>
            <w:tcW w:w="238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6407DC6">
            <w:pPr>
              <w:pStyle w:val="5"/>
              <w:jc w:val="center"/>
              <w:rPr>
                <w:rFonts w:ascii="宋体" w:hAnsi="宋体" w:eastAsia="宋体" w:cs="宋体"/>
                <w:b/>
                <w:bCs/>
                <w:sz w:val="21"/>
                <w:szCs w:val="21"/>
              </w:rPr>
            </w:pPr>
            <w:r>
              <w:rPr>
                <w:rFonts w:hint="eastAsia" w:ascii="宋体" w:hAnsi="宋体" w:eastAsia="宋体" w:cs="宋体"/>
                <w:b/>
                <w:bCs/>
                <w:sz w:val="21"/>
                <w:szCs w:val="21"/>
                <w:lang w:val="en-US" w:eastAsia="zh-CN"/>
              </w:rPr>
              <w:t>磋商</w:t>
            </w:r>
            <w:r>
              <w:rPr>
                <w:rFonts w:hint="eastAsia" w:ascii="宋体" w:hAnsi="宋体" w:eastAsia="宋体" w:cs="宋体"/>
                <w:b/>
                <w:bCs/>
                <w:sz w:val="21"/>
                <w:szCs w:val="21"/>
              </w:rPr>
              <w:t>文件</w:t>
            </w:r>
          </w:p>
          <w:p w14:paraId="1F56A562">
            <w:pPr>
              <w:pStyle w:val="5"/>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8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5C83225">
            <w:pPr>
              <w:pStyle w:val="5"/>
              <w:jc w:val="center"/>
              <w:rPr>
                <w:rFonts w:ascii="宋体" w:hAnsi="宋体" w:eastAsia="宋体" w:cs="宋体"/>
                <w:b/>
                <w:bCs/>
                <w:sz w:val="21"/>
                <w:szCs w:val="21"/>
              </w:rPr>
            </w:pPr>
            <w:r>
              <w:rPr>
                <w:rFonts w:hint="eastAsia" w:ascii="宋体" w:hAnsi="宋体" w:eastAsia="宋体" w:cs="宋体"/>
                <w:b/>
                <w:bCs/>
                <w:sz w:val="21"/>
                <w:szCs w:val="21"/>
                <w:lang w:val="en-US" w:eastAsia="zh-CN"/>
              </w:rPr>
              <w:t>响应</w:t>
            </w:r>
            <w:r>
              <w:rPr>
                <w:rFonts w:hint="eastAsia" w:ascii="宋体" w:hAnsi="宋体" w:eastAsia="宋体" w:cs="宋体"/>
                <w:b/>
                <w:bCs/>
                <w:sz w:val="21"/>
                <w:szCs w:val="21"/>
              </w:rPr>
              <w:t>文件</w:t>
            </w:r>
          </w:p>
          <w:p w14:paraId="1ED05ADD">
            <w:pPr>
              <w:pStyle w:val="5"/>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8FD7822">
            <w:pPr>
              <w:pStyle w:val="5"/>
              <w:jc w:val="center"/>
              <w:rPr>
                <w:rFonts w:ascii="宋体" w:hAnsi="宋体" w:eastAsia="宋体" w:cs="宋体"/>
                <w:b/>
                <w:bCs/>
                <w:sz w:val="21"/>
                <w:szCs w:val="21"/>
              </w:rPr>
            </w:pPr>
            <w:r>
              <w:rPr>
                <w:rFonts w:hint="eastAsia" w:ascii="宋体" w:hAnsi="宋体" w:eastAsia="宋体" w:cs="宋体"/>
                <w:b/>
                <w:bCs/>
                <w:sz w:val="21"/>
                <w:szCs w:val="21"/>
              </w:rPr>
              <w:t>偏离</w:t>
            </w:r>
          </w:p>
          <w:p w14:paraId="732E2762">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B2C2A49">
            <w:pPr>
              <w:pStyle w:val="5"/>
              <w:jc w:val="center"/>
              <w:rPr>
                <w:rFonts w:ascii="宋体" w:hAnsi="宋体" w:eastAsia="宋体" w:cs="宋体"/>
                <w:b/>
                <w:bCs/>
                <w:sz w:val="21"/>
                <w:szCs w:val="21"/>
              </w:rPr>
            </w:pPr>
            <w:r>
              <w:rPr>
                <w:rFonts w:hint="eastAsia" w:ascii="宋体" w:hAnsi="宋体" w:eastAsia="宋体" w:cs="宋体"/>
                <w:b/>
                <w:bCs/>
                <w:sz w:val="21"/>
                <w:szCs w:val="21"/>
              </w:rPr>
              <w:t>偏离内容</w:t>
            </w:r>
          </w:p>
          <w:p w14:paraId="02099346">
            <w:pPr>
              <w:pStyle w:val="5"/>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48AF080F">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vAlign w:val="center"/>
          </w:tcPr>
          <w:p w14:paraId="2F558C4E">
            <w:pPr>
              <w:autoSpaceDE w:val="0"/>
              <w:autoSpaceDN w:val="0"/>
              <w:adjustRightInd w:val="0"/>
              <w:spacing w:line="480" w:lineRule="exact"/>
              <w:jc w:val="center"/>
              <w:rPr>
                <w:rFonts w:ascii="宋体" w:hAnsi="宋体" w:eastAsia="宋体"/>
                <w:bCs/>
                <w:szCs w:val="21"/>
              </w:rPr>
            </w:pPr>
            <w:r>
              <w:rPr>
                <w:rFonts w:hint="eastAsia" w:ascii="宋体" w:hAnsi="宋体" w:eastAsia="宋体"/>
                <w:bCs/>
                <w:szCs w:val="21"/>
              </w:rPr>
              <w:t>1</w:t>
            </w:r>
          </w:p>
        </w:tc>
        <w:tc>
          <w:tcPr>
            <w:tcW w:w="1417" w:type="dxa"/>
            <w:tcBorders>
              <w:top w:val="single" w:color="auto" w:sz="6" w:space="0"/>
              <w:left w:val="single" w:color="auto" w:sz="6" w:space="0"/>
              <w:bottom w:val="single" w:color="auto" w:sz="6" w:space="0"/>
              <w:right w:val="single" w:color="auto" w:sz="6" w:space="0"/>
            </w:tcBorders>
          </w:tcPr>
          <w:p w14:paraId="1D25EC6C">
            <w:pPr>
              <w:autoSpaceDE w:val="0"/>
              <w:autoSpaceDN w:val="0"/>
              <w:adjustRightInd w:val="0"/>
              <w:spacing w:line="480" w:lineRule="exact"/>
              <w:rPr>
                <w:rFonts w:ascii="宋体" w:hAnsi="宋体" w:eastAsia="宋体"/>
                <w:b/>
                <w:bCs/>
                <w:szCs w:val="21"/>
              </w:rPr>
            </w:pPr>
          </w:p>
        </w:tc>
        <w:tc>
          <w:tcPr>
            <w:tcW w:w="2383" w:type="dxa"/>
            <w:tcBorders>
              <w:top w:val="single" w:color="auto" w:sz="6" w:space="0"/>
              <w:left w:val="single" w:color="auto" w:sz="6" w:space="0"/>
              <w:bottom w:val="single" w:color="auto" w:sz="6" w:space="0"/>
              <w:right w:val="single" w:color="auto" w:sz="6" w:space="0"/>
            </w:tcBorders>
          </w:tcPr>
          <w:p w14:paraId="322FD6A5">
            <w:pPr>
              <w:autoSpaceDE w:val="0"/>
              <w:autoSpaceDN w:val="0"/>
              <w:adjustRightInd w:val="0"/>
              <w:spacing w:line="480" w:lineRule="exact"/>
              <w:rPr>
                <w:rFonts w:ascii="宋体" w:hAnsi="宋体" w:eastAsia="宋体"/>
                <w:b/>
                <w:bCs/>
                <w:szCs w:val="21"/>
              </w:rPr>
            </w:pPr>
          </w:p>
        </w:tc>
        <w:tc>
          <w:tcPr>
            <w:tcW w:w="1866" w:type="dxa"/>
            <w:tcBorders>
              <w:top w:val="single" w:color="auto" w:sz="6" w:space="0"/>
              <w:left w:val="single" w:color="auto" w:sz="6" w:space="0"/>
              <w:bottom w:val="single" w:color="auto" w:sz="6" w:space="0"/>
              <w:right w:val="single" w:color="auto" w:sz="6" w:space="0"/>
            </w:tcBorders>
          </w:tcPr>
          <w:p w14:paraId="144013D8">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2F50A20F">
            <w:pPr>
              <w:autoSpaceDE w:val="0"/>
              <w:autoSpaceDN w:val="0"/>
              <w:adjustRightInd w:val="0"/>
              <w:spacing w:line="480" w:lineRule="exact"/>
              <w:rPr>
                <w:rFonts w:ascii="宋体" w:hAnsi="宋体" w:eastAsia="宋体"/>
                <w:b/>
                <w:bCs/>
                <w:szCs w:val="21"/>
              </w:rPr>
            </w:pPr>
          </w:p>
        </w:tc>
        <w:tc>
          <w:tcPr>
            <w:tcW w:w="1416" w:type="dxa"/>
            <w:tcBorders>
              <w:top w:val="single" w:color="auto" w:sz="6" w:space="0"/>
              <w:left w:val="single" w:color="auto" w:sz="6" w:space="0"/>
              <w:bottom w:val="single" w:color="auto" w:sz="6" w:space="0"/>
              <w:right w:val="single" w:color="auto" w:sz="6" w:space="0"/>
            </w:tcBorders>
            <w:vAlign w:val="center"/>
          </w:tcPr>
          <w:p w14:paraId="0D0E5A6C">
            <w:pPr>
              <w:autoSpaceDE w:val="0"/>
              <w:autoSpaceDN w:val="0"/>
              <w:adjustRightInd w:val="0"/>
              <w:spacing w:line="480" w:lineRule="exact"/>
              <w:jc w:val="center"/>
              <w:rPr>
                <w:rFonts w:ascii="宋体" w:hAnsi="宋体" w:eastAsia="宋体"/>
                <w:b/>
                <w:bCs/>
                <w:szCs w:val="21"/>
              </w:rPr>
            </w:pPr>
          </w:p>
        </w:tc>
      </w:tr>
      <w:tr w14:paraId="3191EAB6">
        <w:tblPrEx>
          <w:tblCellMar>
            <w:top w:w="0" w:type="dxa"/>
            <w:left w:w="108" w:type="dxa"/>
            <w:bottom w:w="0" w:type="dxa"/>
            <w:right w:w="108" w:type="dxa"/>
          </w:tblCellMar>
        </w:tblPrEx>
        <w:trPr>
          <w:trHeight w:val="851" w:hRule="atLeast"/>
        </w:trPr>
        <w:tc>
          <w:tcPr>
            <w:tcW w:w="674" w:type="dxa"/>
            <w:tcBorders>
              <w:top w:val="single" w:color="auto" w:sz="6" w:space="0"/>
              <w:left w:val="single" w:color="auto" w:sz="6" w:space="0"/>
              <w:bottom w:val="single" w:color="auto" w:sz="6" w:space="0"/>
              <w:right w:val="single" w:color="auto" w:sz="6" w:space="0"/>
            </w:tcBorders>
            <w:vAlign w:val="center"/>
          </w:tcPr>
          <w:p w14:paraId="7A250F73">
            <w:pPr>
              <w:autoSpaceDE w:val="0"/>
              <w:autoSpaceDN w:val="0"/>
              <w:adjustRightInd w:val="0"/>
              <w:spacing w:line="480" w:lineRule="exact"/>
              <w:jc w:val="center"/>
              <w:rPr>
                <w:rFonts w:ascii="宋体" w:hAnsi="宋体" w:eastAsia="宋体"/>
                <w:bCs/>
                <w:szCs w:val="21"/>
              </w:rPr>
            </w:pPr>
            <w:r>
              <w:rPr>
                <w:rFonts w:hint="eastAsia" w:ascii="宋体" w:hAnsi="宋体" w:eastAsia="宋体"/>
                <w:szCs w:val="21"/>
              </w:rPr>
              <w:t>…</w:t>
            </w:r>
          </w:p>
        </w:tc>
        <w:tc>
          <w:tcPr>
            <w:tcW w:w="1417" w:type="dxa"/>
            <w:tcBorders>
              <w:top w:val="single" w:color="auto" w:sz="6" w:space="0"/>
              <w:left w:val="single" w:color="auto" w:sz="6" w:space="0"/>
              <w:bottom w:val="single" w:color="auto" w:sz="6" w:space="0"/>
              <w:right w:val="single" w:color="auto" w:sz="6" w:space="0"/>
            </w:tcBorders>
          </w:tcPr>
          <w:p w14:paraId="4118294E">
            <w:pPr>
              <w:autoSpaceDE w:val="0"/>
              <w:autoSpaceDN w:val="0"/>
              <w:adjustRightInd w:val="0"/>
              <w:spacing w:line="480" w:lineRule="exact"/>
              <w:rPr>
                <w:rFonts w:ascii="宋体" w:hAnsi="宋体" w:eastAsia="宋体"/>
                <w:b/>
                <w:bCs/>
                <w:szCs w:val="21"/>
              </w:rPr>
            </w:pPr>
          </w:p>
        </w:tc>
        <w:tc>
          <w:tcPr>
            <w:tcW w:w="2383" w:type="dxa"/>
            <w:tcBorders>
              <w:top w:val="single" w:color="auto" w:sz="6" w:space="0"/>
              <w:left w:val="single" w:color="auto" w:sz="6" w:space="0"/>
              <w:bottom w:val="single" w:color="auto" w:sz="6" w:space="0"/>
              <w:right w:val="single" w:color="auto" w:sz="6" w:space="0"/>
            </w:tcBorders>
          </w:tcPr>
          <w:p w14:paraId="7346E856">
            <w:pPr>
              <w:autoSpaceDE w:val="0"/>
              <w:autoSpaceDN w:val="0"/>
              <w:adjustRightInd w:val="0"/>
              <w:spacing w:line="480" w:lineRule="exact"/>
              <w:rPr>
                <w:rFonts w:ascii="宋体" w:hAnsi="宋体" w:eastAsia="宋体"/>
                <w:b/>
                <w:bCs/>
                <w:szCs w:val="21"/>
              </w:rPr>
            </w:pPr>
          </w:p>
        </w:tc>
        <w:tc>
          <w:tcPr>
            <w:tcW w:w="1866" w:type="dxa"/>
            <w:tcBorders>
              <w:top w:val="single" w:color="auto" w:sz="6" w:space="0"/>
              <w:left w:val="single" w:color="auto" w:sz="6" w:space="0"/>
              <w:bottom w:val="single" w:color="auto" w:sz="6" w:space="0"/>
              <w:right w:val="single" w:color="auto" w:sz="6" w:space="0"/>
            </w:tcBorders>
          </w:tcPr>
          <w:p w14:paraId="43C77917">
            <w:pPr>
              <w:autoSpaceDE w:val="0"/>
              <w:autoSpaceDN w:val="0"/>
              <w:adjustRightInd w:val="0"/>
              <w:spacing w:line="480" w:lineRule="exact"/>
              <w:rPr>
                <w:rFonts w:ascii="宋体" w:hAnsi="宋体" w:eastAsia="宋体"/>
                <w:b/>
                <w:bCs/>
                <w:szCs w:val="21"/>
              </w:rPr>
            </w:pPr>
          </w:p>
        </w:tc>
        <w:tc>
          <w:tcPr>
            <w:tcW w:w="1559" w:type="dxa"/>
            <w:tcBorders>
              <w:top w:val="single" w:color="auto" w:sz="6" w:space="0"/>
              <w:left w:val="single" w:color="auto" w:sz="6" w:space="0"/>
              <w:bottom w:val="single" w:color="auto" w:sz="6" w:space="0"/>
              <w:right w:val="single" w:color="auto" w:sz="6" w:space="0"/>
            </w:tcBorders>
          </w:tcPr>
          <w:p w14:paraId="0C60A90F">
            <w:pPr>
              <w:autoSpaceDE w:val="0"/>
              <w:autoSpaceDN w:val="0"/>
              <w:adjustRightInd w:val="0"/>
              <w:spacing w:line="480" w:lineRule="exact"/>
              <w:rPr>
                <w:rFonts w:ascii="宋体" w:hAnsi="宋体" w:eastAsia="宋体"/>
                <w:b/>
                <w:bCs/>
                <w:szCs w:val="21"/>
              </w:rPr>
            </w:pPr>
          </w:p>
        </w:tc>
        <w:tc>
          <w:tcPr>
            <w:tcW w:w="1416" w:type="dxa"/>
            <w:tcBorders>
              <w:top w:val="single" w:color="auto" w:sz="6" w:space="0"/>
              <w:left w:val="single" w:color="auto" w:sz="6" w:space="0"/>
              <w:bottom w:val="single" w:color="auto" w:sz="6" w:space="0"/>
              <w:right w:val="single" w:color="auto" w:sz="6" w:space="0"/>
            </w:tcBorders>
            <w:vAlign w:val="center"/>
          </w:tcPr>
          <w:p w14:paraId="4624FD7D">
            <w:pPr>
              <w:autoSpaceDE w:val="0"/>
              <w:autoSpaceDN w:val="0"/>
              <w:adjustRightInd w:val="0"/>
              <w:spacing w:line="480" w:lineRule="exact"/>
              <w:jc w:val="center"/>
              <w:rPr>
                <w:rFonts w:ascii="宋体" w:hAnsi="宋体" w:eastAsia="宋体"/>
                <w:b/>
                <w:bCs/>
                <w:szCs w:val="21"/>
              </w:rPr>
            </w:pPr>
          </w:p>
        </w:tc>
      </w:tr>
    </w:tbl>
    <w:p w14:paraId="0D967FB0">
      <w:pPr>
        <w:autoSpaceDE w:val="0"/>
        <w:autoSpaceDN w:val="0"/>
        <w:adjustRightInd w:val="0"/>
        <w:spacing w:line="480" w:lineRule="auto"/>
        <w:rPr>
          <w:rFonts w:ascii="宋体" w:hAnsi="宋体" w:eastAsia="宋体" w:cs="宋体"/>
          <w:szCs w:val="21"/>
          <w:lang w:val="zh-CN"/>
        </w:rPr>
      </w:pPr>
    </w:p>
    <w:p w14:paraId="70E02F72">
      <w:pPr>
        <w:autoSpaceDE w:val="0"/>
        <w:autoSpaceDN w:val="0"/>
        <w:adjustRightInd w:val="0"/>
        <w:spacing w:line="480" w:lineRule="auto"/>
        <w:rPr>
          <w:rFonts w:ascii="宋体" w:hAnsi="宋体" w:eastAsia="宋体" w:cs="宋体"/>
          <w:szCs w:val="21"/>
          <w:lang w:val="zh-CN"/>
        </w:rPr>
      </w:pPr>
      <w:r>
        <w:rPr>
          <w:rFonts w:hint="eastAsia" w:ascii="宋体" w:hAnsi="宋体" w:eastAsia="宋体" w:cs="宋体"/>
          <w:szCs w:val="21"/>
          <w:lang w:val="zh-CN"/>
        </w:rPr>
        <w:t>供应商名称（</w:t>
      </w:r>
      <w:r>
        <w:rPr>
          <w:rFonts w:hint="eastAsia" w:ascii="宋体" w:hAnsi="宋体" w:eastAsia="宋体" w:cs="Arial"/>
          <w:szCs w:val="21"/>
        </w:rPr>
        <w:t>并加盖公章</w:t>
      </w:r>
      <w:r>
        <w:rPr>
          <w:rFonts w:hint="eastAsia" w:ascii="宋体" w:hAnsi="宋体" w:eastAsia="宋体" w:cs="宋体"/>
          <w:szCs w:val="21"/>
          <w:lang w:val="zh-CN"/>
        </w:rPr>
        <w:t>）：</w:t>
      </w:r>
    </w:p>
    <w:p w14:paraId="00DD3A7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48F9F7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B4AC486">
      <w:pPr>
        <w:pStyle w:val="7"/>
        <w:rPr>
          <w:rFonts w:hint="eastAsia"/>
        </w:rPr>
      </w:pPr>
    </w:p>
    <w:p w14:paraId="50253CB4">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 xml:space="preserve"> 技术方案（实施方案）</w:t>
      </w:r>
    </w:p>
    <w:p w14:paraId="60D0C70A">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232CAC13">
      <w:pPr>
        <w:snapToGrid w:val="0"/>
        <w:spacing w:line="360" w:lineRule="auto"/>
        <w:jc w:val="center"/>
        <w:rPr>
          <w:rFonts w:hint="eastAsia" w:ascii="宋体" w:hAnsi="宋体" w:eastAsia="宋体" w:cs="宋体"/>
          <w:b/>
          <w:snapToGrid w:val="0"/>
          <w:color w:val="auto"/>
          <w:kern w:val="0"/>
          <w:sz w:val="36"/>
          <w:szCs w:val="36"/>
          <w:highlight w:val="none"/>
        </w:rPr>
      </w:pPr>
    </w:p>
    <w:p w14:paraId="6ABC02E4">
      <w:pPr>
        <w:snapToGrid w:val="0"/>
        <w:spacing w:line="360" w:lineRule="auto"/>
        <w:jc w:val="both"/>
        <w:rPr>
          <w:rFonts w:hint="eastAsia" w:ascii="宋体" w:hAnsi="宋体" w:eastAsia="宋体" w:cs="宋体"/>
          <w:b/>
          <w:snapToGrid w:val="0"/>
          <w:color w:val="auto"/>
          <w:kern w:val="0"/>
          <w:sz w:val="36"/>
          <w:szCs w:val="36"/>
          <w:highlight w:val="none"/>
        </w:rPr>
      </w:pPr>
    </w:p>
    <w:p w14:paraId="4FDEC387">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业绩情况表</w:t>
      </w:r>
    </w:p>
    <w:p w14:paraId="42512CA1">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648D9A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4A28ACA7">
      <w:pPr>
        <w:snapToGrid w:val="0"/>
        <w:spacing w:line="360" w:lineRule="auto"/>
        <w:rPr>
          <w:rFonts w:hint="eastAsia" w:ascii="宋体" w:hAnsi="宋体" w:eastAsia="宋体" w:cs="宋体"/>
          <w:b/>
          <w:snapToGrid w:val="0"/>
          <w:color w:val="auto"/>
          <w:kern w:val="0"/>
          <w:szCs w:val="21"/>
          <w:highlight w:val="none"/>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967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FC4A7A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06600F96">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EB1CD55">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36AC892B">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6EB1D04D">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78437397">
            <w:pPr>
              <w:pStyle w:val="5"/>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1CB4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C5CE7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635D0A1A">
            <w:pPr>
              <w:pStyle w:val="5"/>
              <w:spacing w:line="360" w:lineRule="auto"/>
              <w:rPr>
                <w:rFonts w:hint="eastAsia" w:ascii="宋体" w:hAnsi="宋体" w:eastAsia="宋体" w:cs="宋体"/>
                <w:color w:val="auto"/>
                <w:sz w:val="21"/>
                <w:szCs w:val="21"/>
                <w:highlight w:val="none"/>
              </w:rPr>
            </w:pPr>
          </w:p>
        </w:tc>
        <w:tc>
          <w:tcPr>
            <w:tcW w:w="3579" w:type="dxa"/>
            <w:vAlign w:val="center"/>
          </w:tcPr>
          <w:p w14:paraId="19F6AA78">
            <w:pPr>
              <w:pStyle w:val="5"/>
              <w:spacing w:line="360" w:lineRule="auto"/>
              <w:rPr>
                <w:rFonts w:hint="eastAsia" w:ascii="宋体" w:hAnsi="宋体" w:eastAsia="宋体" w:cs="宋体"/>
                <w:color w:val="auto"/>
                <w:sz w:val="21"/>
                <w:szCs w:val="21"/>
                <w:highlight w:val="none"/>
              </w:rPr>
            </w:pPr>
          </w:p>
        </w:tc>
        <w:tc>
          <w:tcPr>
            <w:tcW w:w="1440" w:type="dxa"/>
            <w:vAlign w:val="center"/>
          </w:tcPr>
          <w:p w14:paraId="0F72945F">
            <w:pPr>
              <w:pStyle w:val="5"/>
              <w:spacing w:line="360" w:lineRule="auto"/>
              <w:rPr>
                <w:rFonts w:hint="eastAsia" w:ascii="宋体" w:hAnsi="宋体" w:eastAsia="宋体" w:cs="宋体"/>
                <w:color w:val="auto"/>
                <w:sz w:val="21"/>
                <w:szCs w:val="21"/>
                <w:highlight w:val="none"/>
              </w:rPr>
            </w:pPr>
          </w:p>
        </w:tc>
        <w:tc>
          <w:tcPr>
            <w:tcW w:w="1706" w:type="dxa"/>
            <w:vAlign w:val="center"/>
          </w:tcPr>
          <w:p w14:paraId="5E8EDA09">
            <w:pPr>
              <w:pStyle w:val="5"/>
              <w:spacing w:line="360" w:lineRule="auto"/>
              <w:rPr>
                <w:rFonts w:hint="eastAsia" w:ascii="宋体" w:hAnsi="宋体" w:eastAsia="宋体" w:cs="宋体"/>
                <w:color w:val="auto"/>
                <w:sz w:val="21"/>
                <w:szCs w:val="21"/>
                <w:highlight w:val="none"/>
              </w:rPr>
            </w:pPr>
          </w:p>
        </w:tc>
      </w:tr>
      <w:tr w14:paraId="37D0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485C744">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7757091E">
            <w:pPr>
              <w:pStyle w:val="5"/>
              <w:spacing w:line="360" w:lineRule="auto"/>
              <w:rPr>
                <w:rFonts w:hint="eastAsia" w:ascii="宋体" w:hAnsi="宋体" w:eastAsia="宋体" w:cs="宋体"/>
                <w:color w:val="auto"/>
                <w:sz w:val="21"/>
                <w:szCs w:val="21"/>
                <w:highlight w:val="none"/>
              </w:rPr>
            </w:pPr>
          </w:p>
        </w:tc>
        <w:tc>
          <w:tcPr>
            <w:tcW w:w="3579" w:type="dxa"/>
            <w:vAlign w:val="center"/>
          </w:tcPr>
          <w:p w14:paraId="6A20F46E">
            <w:pPr>
              <w:pStyle w:val="5"/>
              <w:spacing w:line="360" w:lineRule="auto"/>
              <w:rPr>
                <w:rFonts w:hint="eastAsia" w:ascii="宋体" w:hAnsi="宋体" w:eastAsia="宋体" w:cs="宋体"/>
                <w:color w:val="auto"/>
                <w:sz w:val="21"/>
                <w:szCs w:val="21"/>
                <w:highlight w:val="none"/>
              </w:rPr>
            </w:pPr>
          </w:p>
        </w:tc>
        <w:tc>
          <w:tcPr>
            <w:tcW w:w="1440" w:type="dxa"/>
            <w:vAlign w:val="center"/>
          </w:tcPr>
          <w:p w14:paraId="25006394">
            <w:pPr>
              <w:pStyle w:val="5"/>
              <w:spacing w:line="360" w:lineRule="auto"/>
              <w:rPr>
                <w:rFonts w:hint="eastAsia" w:ascii="宋体" w:hAnsi="宋体" w:eastAsia="宋体" w:cs="宋体"/>
                <w:color w:val="auto"/>
                <w:sz w:val="21"/>
                <w:szCs w:val="21"/>
                <w:highlight w:val="none"/>
              </w:rPr>
            </w:pPr>
          </w:p>
        </w:tc>
        <w:tc>
          <w:tcPr>
            <w:tcW w:w="1706" w:type="dxa"/>
            <w:vAlign w:val="center"/>
          </w:tcPr>
          <w:p w14:paraId="29CF16F7">
            <w:pPr>
              <w:pStyle w:val="5"/>
              <w:spacing w:line="360" w:lineRule="auto"/>
              <w:rPr>
                <w:rFonts w:hint="eastAsia" w:ascii="宋体" w:hAnsi="宋体" w:eastAsia="宋体" w:cs="宋体"/>
                <w:color w:val="auto"/>
                <w:sz w:val="21"/>
                <w:szCs w:val="21"/>
                <w:highlight w:val="none"/>
              </w:rPr>
            </w:pPr>
          </w:p>
        </w:tc>
      </w:tr>
      <w:tr w14:paraId="308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49B4602">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57C75CF3">
            <w:pPr>
              <w:pStyle w:val="5"/>
              <w:spacing w:line="360" w:lineRule="auto"/>
              <w:rPr>
                <w:rFonts w:hint="eastAsia" w:ascii="宋体" w:hAnsi="宋体" w:eastAsia="宋体" w:cs="宋体"/>
                <w:color w:val="auto"/>
                <w:sz w:val="21"/>
                <w:szCs w:val="21"/>
                <w:highlight w:val="none"/>
              </w:rPr>
            </w:pPr>
          </w:p>
        </w:tc>
        <w:tc>
          <w:tcPr>
            <w:tcW w:w="3579" w:type="dxa"/>
            <w:vAlign w:val="center"/>
          </w:tcPr>
          <w:p w14:paraId="48F4DCFA">
            <w:pPr>
              <w:pStyle w:val="5"/>
              <w:spacing w:line="360" w:lineRule="auto"/>
              <w:rPr>
                <w:rFonts w:hint="eastAsia" w:ascii="宋体" w:hAnsi="宋体" w:eastAsia="宋体" w:cs="宋体"/>
                <w:color w:val="auto"/>
                <w:sz w:val="21"/>
                <w:szCs w:val="21"/>
                <w:highlight w:val="none"/>
              </w:rPr>
            </w:pPr>
          </w:p>
        </w:tc>
        <w:tc>
          <w:tcPr>
            <w:tcW w:w="1440" w:type="dxa"/>
            <w:vAlign w:val="center"/>
          </w:tcPr>
          <w:p w14:paraId="3F9FE9BD">
            <w:pPr>
              <w:pStyle w:val="5"/>
              <w:spacing w:line="360" w:lineRule="auto"/>
              <w:rPr>
                <w:rFonts w:hint="eastAsia" w:ascii="宋体" w:hAnsi="宋体" w:eastAsia="宋体" w:cs="宋体"/>
                <w:color w:val="auto"/>
                <w:sz w:val="21"/>
                <w:szCs w:val="21"/>
                <w:highlight w:val="none"/>
              </w:rPr>
            </w:pPr>
          </w:p>
        </w:tc>
        <w:tc>
          <w:tcPr>
            <w:tcW w:w="1706" w:type="dxa"/>
            <w:vAlign w:val="center"/>
          </w:tcPr>
          <w:p w14:paraId="54A8EFBF">
            <w:pPr>
              <w:pStyle w:val="5"/>
              <w:spacing w:line="360" w:lineRule="auto"/>
              <w:rPr>
                <w:rFonts w:hint="eastAsia" w:ascii="宋体" w:hAnsi="宋体" w:eastAsia="宋体" w:cs="宋体"/>
                <w:color w:val="auto"/>
                <w:sz w:val="21"/>
                <w:szCs w:val="21"/>
                <w:highlight w:val="none"/>
              </w:rPr>
            </w:pPr>
          </w:p>
        </w:tc>
      </w:tr>
      <w:tr w14:paraId="3F6B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A32842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4BD4775">
            <w:pPr>
              <w:rPr>
                <w:rFonts w:hint="eastAsia" w:ascii="宋体" w:hAnsi="宋体" w:eastAsia="宋体" w:cs="宋体"/>
                <w:color w:val="auto"/>
                <w:szCs w:val="21"/>
                <w:highlight w:val="none"/>
              </w:rPr>
            </w:pPr>
          </w:p>
        </w:tc>
        <w:tc>
          <w:tcPr>
            <w:tcW w:w="3579" w:type="dxa"/>
            <w:vAlign w:val="center"/>
          </w:tcPr>
          <w:p w14:paraId="4C041F29">
            <w:pPr>
              <w:rPr>
                <w:rFonts w:hint="eastAsia" w:ascii="宋体" w:hAnsi="宋体" w:eastAsia="宋体" w:cs="宋体"/>
                <w:color w:val="auto"/>
                <w:szCs w:val="21"/>
                <w:highlight w:val="none"/>
              </w:rPr>
            </w:pPr>
          </w:p>
        </w:tc>
        <w:tc>
          <w:tcPr>
            <w:tcW w:w="1440" w:type="dxa"/>
            <w:vAlign w:val="center"/>
          </w:tcPr>
          <w:p w14:paraId="7414A766">
            <w:pPr>
              <w:rPr>
                <w:rFonts w:hint="eastAsia" w:ascii="宋体" w:hAnsi="宋体" w:eastAsia="宋体" w:cs="宋体"/>
                <w:color w:val="auto"/>
                <w:szCs w:val="21"/>
                <w:highlight w:val="none"/>
              </w:rPr>
            </w:pPr>
          </w:p>
        </w:tc>
        <w:tc>
          <w:tcPr>
            <w:tcW w:w="1706" w:type="dxa"/>
            <w:vAlign w:val="center"/>
          </w:tcPr>
          <w:p w14:paraId="63452F59">
            <w:pPr>
              <w:rPr>
                <w:rFonts w:hint="eastAsia" w:ascii="宋体" w:hAnsi="宋体" w:eastAsia="宋体" w:cs="宋体"/>
                <w:color w:val="auto"/>
                <w:szCs w:val="21"/>
                <w:highlight w:val="none"/>
              </w:rPr>
            </w:pPr>
          </w:p>
        </w:tc>
      </w:tr>
      <w:tr w14:paraId="4001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50A1C83">
            <w:pPr>
              <w:pStyle w:val="5"/>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C7F7329">
            <w:pPr>
              <w:rPr>
                <w:rFonts w:hint="eastAsia" w:ascii="宋体" w:hAnsi="宋体" w:eastAsia="宋体" w:cs="宋体"/>
                <w:color w:val="auto"/>
                <w:szCs w:val="21"/>
                <w:highlight w:val="none"/>
              </w:rPr>
            </w:pPr>
          </w:p>
        </w:tc>
        <w:tc>
          <w:tcPr>
            <w:tcW w:w="3579" w:type="dxa"/>
            <w:vAlign w:val="center"/>
          </w:tcPr>
          <w:p w14:paraId="09A0E382">
            <w:pPr>
              <w:rPr>
                <w:rFonts w:hint="eastAsia" w:ascii="宋体" w:hAnsi="宋体" w:eastAsia="宋体" w:cs="宋体"/>
                <w:color w:val="auto"/>
                <w:szCs w:val="21"/>
                <w:highlight w:val="none"/>
              </w:rPr>
            </w:pPr>
          </w:p>
        </w:tc>
        <w:tc>
          <w:tcPr>
            <w:tcW w:w="1440" w:type="dxa"/>
            <w:vAlign w:val="center"/>
          </w:tcPr>
          <w:p w14:paraId="6A35EE72">
            <w:pPr>
              <w:rPr>
                <w:rFonts w:hint="eastAsia" w:ascii="宋体" w:hAnsi="宋体" w:eastAsia="宋体" w:cs="宋体"/>
                <w:color w:val="auto"/>
                <w:szCs w:val="21"/>
                <w:highlight w:val="none"/>
              </w:rPr>
            </w:pPr>
          </w:p>
        </w:tc>
        <w:tc>
          <w:tcPr>
            <w:tcW w:w="1706" w:type="dxa"/>
            <w:vAlign w:val="center"/>
          </w:tcPr>
          <w:p w14:paraId="46401132">
            <w:pPr>
              <w:rPr>
                <w:rFonts w:hint="eastAsia" w:ascii="宋体" w:hAnsi="宋体" w:eastAsia="宋体" w:cs="宋体"/>
                <w:color w:val="auto"/>
                <w:szCs w:val="21"/>
                <w:highlight w:val="none"/>
              </w:rPr>
            </w:pPr>
          </w:p>
        </w:tc>
      </w:tr>
    </w:tbl>
    <w:p w14:paraId="59DF9929">
      <w:pPr>
        <w:autoSpaceDE w:val="0"/>
        <w:autoSpaceDN w:val="0"/>
        <w:adjustRightInd w:val="0"/>
        <w:spacing w:line="480" w:lineRule="auto"/>
        <w:rPr>
          <w:rFonts w:hint="eastAsia" w:ascii="宋体" w:hAnsi="宋体" w:eastAsia="宋体" w:cs="宋体"/>
          <w:color w:val="auto"/>
          <w:szCs w:val="21"/>
          <w:highlight w:val="none"/>
          <w:lang w:val="zh-CN"/>
        </w:rPr>
      </w:pPr>
    </w:p>
    <w:p w14:paraId="6745FE4F">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供应商</w:t>
      </w:r>
      <w:r>
        <w:rPr>
          <w:rFonts w:hint="eastAsia" w:ascii="宋体" w:hAnsi="宋体" w:eastAsia="宋体" w:cs="宋体"/>
          <w:szCs w:val="21"/>
          <w:lang w:val="zh-CN"/>
        </w:rPr>
        <w:t>名称</w:t>
      </w:r>
      <w:r>
        <w:rPr>
          <w:rFonts w:hint="eastAsia" w:ascii="宋体" w:hAnsi="宋体" w:eastAsia="宋体" w:cs="宋体"/>
          <w:color w:val="auto"/>
          <w:szCs w:val="21"/>
          <w:highlight w:val="none"/>
          <w:lang w:val="zh-CN"/>
        </w:rPr>
        <w:t>（并加盖公章）：</w:t>
      </w:r>
    </w:p>
    <w:p w14:paraId="2BC00C55">
      <w:pPr>
        <w:autoSpaceDE w:val="0"/>
        <w:autoSpaceDN w:val="0"/>
        <w:adjustRightInd w:val="0"/>
        <w:spacing w:line="480" w:lineRule="auto"/>
        <w:rPr>
          <w:rFonts w:hint="eastAsia" w:ascii="宋体" w:hAnsi="宋体" w:eastAsia="宋体" w:cs="宋体"/>
          <w:color w:val="auto"/>
          <w:szCs w:val="21"/>
          <w:highlight w:val="none"/>
          <w:lang w:val="zh-CN"/>
        </w:rPr>
      </w:pPr>
    </w:p>
    <w:p w14:paraId="706D4D79">
      <w:pPr>
        <w:autoSpaceDE w:val="0"/>
        <w:autoSpaceDN w:val="0"/>
        <w:adjustRightInd w:val="0"/>
        <w:spacing w:line="480" w:lineRule="auto"/>
        <w:rPr>
          <w:rFonts w:hint="eastAsia" w:ascii="宋体" w:hAnsi="宋体" w:eastAsia="宋体" w:cs="宋体"/>
          <w:color w:val="auto"/>
          <w:sz w:val="24"/>
          <w:szCs w:val="24"/>
          <w:highlight w:val="none"/>
          <w:lang w:val="zh-CN"/>
        </w:rPr>
      </w:pPr>
    </w:p>
    <w:p w14:paraId="1D5D4B8D">
      <w:pPr>
        <w:autoSpaceDE w:val="0"/>
        <w:autoSpaceDN w:val="0"/>
        <w:adjustRightInd w:val="0"/>
        <w:spacing w:line="480" w:lineRule="auto"/>
        <w:rPr>
          <w:rFonts w:hint="eastAsia" w:ascii="宋体" w:hAnsi="宋体" w:eastAsia="宋体" w:cs="宋体"/>
          <w:color w:val="auto"/>
          <w:sz w:val="24"/>
          <w:szCs w:val="24"/>
          <w:highlight w:val="none"/>
          <w:lang w:val="zh-CN"/>
        </w:rPr>
      </w:pPr>
    </w:p>
    <w:p w14:paraId="31440228">
      <w:pPr>
        <w:autoSpaceDE w:val="0"/>
        <w:autoSpaceDN w:val="0"/>
        <w:adjustRightInd w:val="0"/>
        <w:spacing w:line="480" w:lineRule="auto"/>
        <w:rPr>
          <w:rFonts w:hint="eastAsia" w:ascii="宋体" w:hAnsi="宋体" w:eastAsia="宋体" w:cs="宋体"/>
          <w:color w:val="auto"/>
          <w:sz w:val="24"/>
          <w:szCs w:val="24"/>
          <w:highlight w:val="none"/>
          <w:lang w:val="zh-CN"/>
        </w:rPr>
      </w:pPr>
    </w:p>
    <w:p w14:paraId="565317C1">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23C4D71">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4.5 项目人员配备</w:t>
      </w:r>
    </w:p>
    <w:p w14:paraId="6F09E0B7">
      <w:pPr>
        <w:pStyle w:val="7"/>
        <w:rPr>
          <w:rFonts w:hint="eastAsia" w:ascii="宋体" w:hAnsi="宋体" w:eastAsia="宋体" w:cs="宋体"/>
          <w:b/>
          <w:bCs/>
          <w:color w:val="auto"/>
          <w:sz w:val="24"/>
          <w:szCs w:val="24"/>
          <w:highlight w:val="none"/>
        </w:rPr>
      </w:pPr>
    </w:p>
    <w:p w14:paraId="5CAEAC46">
      <w:pPr>
        <w:pStyle w:val="7"/>
        <w:rPr>
          <w:rFonts w:hint="eastAsia" w:ascii="宋体" w:hAnsi="宋体" w:eastAsia="宋体" w:cs="宋体"/>
          <w:b/>
          <w:bCs/>
          <w:color w:val="auto"/>
          <w:sz w:val="24"/>
          <w:szCs w:val="24"/>
          <w:highlight w:val="none"/>
        </w:rPr>
      </w:pPr>
    </w:p>
    <w:p w14:paraId="61FEC20D">
      <w:pPr>
        <w:pStyle w:val="7"/>
        <w:rPr>
          <w:rFonts w:hint="eastAsia" w:ascii="宋体" w:hAnsi="宋体" w:eastAsia="宋体" w:cs="宋体"/>
          <w:b/>
          <w:bCs/>
          <w:color w:val="auto"/>
          <w:sz w:val="24"/>
          <w:szCs w:val="24"/>
          <w:highlight w:val="none"/>
        </w:rPr>
      </w:pPr>
    </w:p>
    <w:p w14:paraId="4745F064">
      <w:pPr>
        <w:pStyle w:val="7"/>
        <w:rPr>
          <w:rFonts w:hint="eastAsia" w:ascii="宋体" w:hAnsi="宋体" w:eastAsia="宋体" w:cs="宋体"/>
          <w:b/>
          <w:bCs/>
          <w:color w:val="auto"/>
          <w:sz w:val="24"/>
          <w:szCs w:val="24"/>
          <w:highlight w:val="none"/>
        </w:rPr>
      </w:pPr>
    </w:p>
    <w:p w14:paraId="3A507B77">
      <w:pPr>
        <w:pStyle w:val="7"/>
        <w:rPr>
          <w:rFonts w:hint="eastAsia" w:ascii="宋体" w:hAnsi="宋体" w:eastAsia="宋体" w:cs="宋体"/>
          <w:b/>
          <w:bCs/>
          <w:color w:val="auto"/>
          <w:sz w:val="24"/>
          <w:szCs w:val="24"/>
          <w:highlight w:val="none"/>
        </w:rPr>
      </w:pPr>
    </w:p>
    <w:p w14:paraId="7EC573A9">
      <w:pPr>
        <w:pStyle w:val="7"/>
        <w:rPr>
          <w:rFonts w:hint="eastAsia" w:ascii="宋体" w:hAnsi="宋体" w:eastAsia="宋体" w:cs="宋体"/>
          <w:b/>
          <w:bCs/>
          <w:color w:val="auto"/>
          <w:sz w:val="24"/>
          <w:szCs w:val="24"/>
          <w:highlight w:val="none"/>
        </w:rPr>
      </w:pPr>
    </w:p>
    <w:p w14:paraId="74449F13">
      <w:pPr>
        <w:pStyle w:val="7"/>
        <w:rPr>
          <w:rFonts w:hint="eastAsia" w:ascii="宋体" w:hAnsi="宋体" w:eastAsia="宋体" w:cs="宋体"/>
          <w:b/>
          <w:bCs/>
          <w:color w:val="auto"/>
          <w:sz w:val="24"/>
          <w:szCs w:val="24"/>
          <w:highlight w:val="none"/>
        </w:rPr>
      </w:pPr>
    </w:p>
    <w:p w14:paraId="008CFCEA">
      <w:pPr>
        <w:pStyle w:val="7"/>
        <w:rPr>
          <w:rFonts w:hint="eastAsia" w:ascii="宋体" w:hAnsi="宋体" w:eastAsia="宋体" w:cs="宋体"/>
          <w:b/>
          <w:bCs/>
          <w:color w:val="auto"/>
          <w:sz w:val="24"/>
          <w:szCs w:val="24"/>
          <w:highlight w:val="none"/>
        </w:rPr>
      </w:pPr>
    </w:p>
    <w:p w14:paraId="583D0E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6 售后</w:t>
      </w:r>
      <w:r>
        <w:rPr>
          <w:rFonts w:hint="eastAsia" w:ascii="宋体" w:hAnsi="宋体" w:eastAsia="宋体" w:cs="宋体"/>
          <w:b/>
          <w:bCs/>
          <w:color w:val="auto"/>
          <w:sz w:val="24"/>
          <w:szCs w:val="24"/>
          <w:highlight w:val="none"/>
        </w:rPr>
        <w:t>服务方案</w:t>
      </w:r>
    </w:p>
    <w:p w14:paraId="378FC177">
      <w:pPr>
        <w:autoSpaceDE w:val="0"/>
        <w:autoSpaceDN w:val="0"/>
        <w:adjustRightInd w:val="0"/>
        <w:spacing w:line="360" w:lineRule="auto"/>
        <w:jc w:val="both"/>
        <w:outlineLvl w:val="0"/>
        <w:rPr>
          <w:rFonts w:hint="eastAsia" w:ascii="宋体" w:hAnsi="宋体" w:eastAsia="宋体" w:cs="宋体"/>
          <w:b/>
          <w:bCs/>
          <w:color w:val="auto"/>
          <w:sz w:val="36"/>
          <w:szCs w:val="36"/>
          <w:highlight w:val="none"/>
        </w:rPr>
      </w:pPr>
    </w:p>
    <w:p w14:paraId="316F9094">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425191D4">
      <w:pPr>
        <w:autoSpaceDE w:val="0"/>
        <w:autoSpaceDN w:val="0"/>
        <w:adjustRightInd w:val="0"/>
        <w:spacing w:line="360" w:lineRule="auto"/>
        <w:jc w:val="center"/>
        <w:outlineLvl w:val="0"/>
        <w:rPr>
          <w:rFonts w:hint="eastAsia" w:ascii="宋体" w:hAnsi="宋体" w:eastAsia="宋体" w:cs="宋体"/>
          <w:b/>
          <w:bCs/>
          <w:color w:val="auto"/>
          <w:sz w:val="36"/>
          <w:szCs w:val="36"/>
          <w:highlight w:val="none"/>
        </w:rPr>
      </w:pPr>
    </w:p>
    <w:p w14:paraId="4296B6A7">
      <w:pPr>
        <w:spacing w:line="360" w:lineRule="auto"/>
        <w:jc w:val="both"/>
        <w:rPr>
          <w:rFonts w:hint="eastAsia" w:ascii="宋体" w:hAnsi="宋体" w:eastAsia="宋体" w:cs="宋体"/>
          <w:color w:val="auto"/>
          <w:szCs w:val="21"/>
          <w:highlight w:val="none"/>
          <w:lang w:val="zh-CN"/>
        </w:rPr>
      </w:pPr>
    </w:p>
    <w:p w14:paraId="1563702C">
      <w:pPr>
        <w:spacing w:line="360" w:lineRule="auto"/>
        <w:jc w:val="both"/>
        <w:rPr>
          <w:rFonts w:hint="eastAsia" w:ascii="宋体" w:hAnsi="宋体" w:eastAsia="宋体" w:cs="宋体"/>
          <w:color w:val="auto"/>
          <w:szCs w:val="21"/>
          <w:highlight w:val="none"/>
          <w:lang w:val="zh-CN"/>
        </w:rPr>
      </w:pPr>
    </w:p>
    <w:p w14:paraId="1CF9555D">
      <w:pPr>
        <w:spacing w:line="360" w:lineRule="auto"/>
        <w:jc w:val="both"/>
        <w:rPr>
          <w:rFonts w:hint="eastAsia" w:ascii="宋体" w:hAnsi="宋体" w:eastAsia="宋体" w:cs="宋体"/>
          <w:color w:val="auto"/>
          <w:szCs w:val="21"/>
          <w:highlight w:val="none"/>
          <w:lang w:val="zh-CN"/>
        </w:rPr>
      </w:pPr>
    </w:p>
    <w:p w14:paraId="05D753C4">
      <w:pPr>
        <w:spacing w:line="360" w:lineRule="auto"/>
        <w:jc w:val="both"/>
        <w:rPr>
          <w:rFonts w:hint="eastAsia" w:ascii="宋体" w:hAnsi="宋体" w:eastAsia="宋体" w:cs="宋体"/>
          <w:color w:val="auto"/>
          <w:szCs w:val="21"/>
          <w:highlight w:val="none"/>
          <w:lang w:val="zh-CN"/>
        </w:rPr>
      </w:pPr>
    </w:p>
    <w:p w14:paraId="7CF12BA9">
      <w:pPr>
        <w:spacing w:line="360" w:lineRule="auto"/>
        <w:jc w:val="both"/>
        <w:rPr>
          <w:rFonts w:hint="eastAsia" w:ascii="宋体" w:hAnsi="宋体" w:eastAsia="宋体" w:cs="宋体"/>
          <w:color w:val="auto"/>
          <w:szCs w:val="21"/>
          <w:highlight w:val="none"/>
          <w:lang w:val="zh-CN"/>
        </w:rPr>
      </w:pPr>
    </w:p>
    <w:p w14:paraId="0147737D">
      <w:pPr>
        <w:spacing w:line="360" w:lineRule="auto"/>
        <w:jc w:val="center"/>
        <w:rPr>
          <w:rFonts w:hint="eastAsia" w:ascii="宋体" w:hAnsi="宋体" w:eastAsia="宋体" w:cs="宋体"/>
          <w:color w:val="auto"/>
          <w:szCs w:val="21"/>
          <w:highlight w:val="none"/>
          <w:lang w:val="zh-CN"/>
        </w:rPr>
      </w:pPr>
    </w:p>
    <w:p w14:paraId="7277632C">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48F617ED">
      <w:pPr>
        <w:rPr>
          <w:rFonts w:hint="eastAsia" w:ascii="宋体" w:hAnsi="宋体" w:eastAsia="宋体" w:cs="宋体"/>
          <w:color w:val="auto"/>
          <w:highlight w:val="none"/>
        </w:rPr>
      </w:pPr>
    </w:p>
    <w:p w14:paraId="05D55BC7">
      <w:pPr>
        <w:rPr>
          <w:rFonts w:hint="eastAsia" w:ascii="宋体" w:hAnsi="宋体" w:eastAsia="宋体" w:cs="宋体"/>
          <w:color w:val="auto"/>
          <w:highlight w:val="none"/>
        </w:rPr>
      </w:pPr>
    </w:p>
    <w:p w14:paraId="07F519D1">
      <w:pPr>
        <w:rPr>
          <w:rFonts w:hint="eastAsia" w:ascii="宋体" w:hAnsi="宋体" w:eastAsia="宋体" w:cs="宋体"/>
          <w:color w:val="auto"/>
          <w:sz w:val="24"/>
          <w:szCs w:val="24"/>
          <w:highlight w:val="none"/>
        </w:rPr>
      </w:pPr>
    </w:p>
    <w:p w14:paraId="7152CF8A">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除</w:t>
      </w: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文件另有规定外，</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认为需要提交的其他证明材料或资料加盖投标人单位公章后应在此项下提交。</w:t>
      </w:r>
    </w:p>
    <w:p w14:paraId="489CD0B7">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5D746D46">
      <w:pPr>
        <w:snapToGrid w:val="0"/>
        <w:spacing w:line="360" w:lineRule="auto"/>
        <w:jc w:val="both"/>
        <w:rPr>
          <w:rFonts w:hint="eastAsia" w:ascii="宋体" w:hAnsi="宋体" w:eastAsia="宋体" w:cs="宋体"/>
          <w:b/>
          <w:snapToGrid w:val="0"/>
          <w:color w:val="auto"/>
          <w:kern w:val="0"/>
          <w:sz w:val="36"/>
          <w:szCs w:val="36"/>
          <w:highlight w:val="none"/>
        </w:rPr>
      </w:pPr>
    </w:p>
    <w:p w14:paraId="59054CF2">
      <w:pPr>
        <w:autoSpaceDE w:val="0"/>
        <w:autoSpaceDN w:val="0"/>
        <w:adjustRightInd w:val="0"/>
        <w:spacing w:line="360" w:lineRule="auto"/>
        <w:rPr>
          <w:rFonts w:hint="eastAsia" w:ascii="宋体" w:hAnsi="宋体" w:eastAsia="宋体" w:cs="宋体"/>
          <w:color w:val="auto"/>
          <w:sz w:val="24"/>
          <w:highlight w:val="none"/>
          <w:lang w:val="zh-CN"/>
        </w:rPr>
      </w:pPr>
    </w:p>
    <w:p w14:paraId="2F3C6B0C">
      <w:pPr>
        <w:autoSpaceDE w:val="0"/>
        <w:autoSpaceDN w:val="0"/>
        <w:adjustRightInd w:val="0"/>
        <w:spacing w:line="360" w:lineRule="auto"/>
        <w:rPr>
          <w:rFonts w:hint="eastAsia" w:ascii="宋体" w:hAnsi="宋体" w:eastAsia="宋体" w:cs="宋体"/>
          <w:color w:val="auto"/>
          <w:sz w:val="24"/>
          <w:highlight w:val="none"/>
          <w:lang w:val="zh-CN"/>
        </w:rPr>
      </w:pPr>
    </w:p>
    <w:p w14:paraId="73095320">
      <w:pPr>
        <w:autoSpaceDE w:val="0"/>
        <w:autoSpaceDN w:val="0"/>
        <w:adjustRightInd w:val="0"/>
        <w:spacing w:line="360" w:lineRule="auto"/>
        <w:rPr>
          <w:rFonts w:hint="eastAsia" w:ascii="宋体" w:hAnsi="宋体" w:eastAsia="宋体" w:cs="宋体"/>
          <w:color w:val="auto"/>
          <w:sz w:val="24"/>
          <w:highlight w:val="none"/>
          <w:lang w:val="zh-CN"/>
        </w:rPr>
      </w:pPr>
    </w:p>
    <w:p w14:paraId="35463C97">
      <w:pPr>
        <w:autoSpaceDE w:val="0"/>
        <w:autoSpaceDN w:val="0"/>
        <w:adjustRightInd w:val="0"/>
        <w:spacing w:line="360" w:lineRule="auto"/>
        <w:rPr>
          <w:rFonts w:hint="eastAsia" w:ascii="宋体" w:hAnsi="宋体" w:eastAsia="宋体" w:cs="宋体"/>
          <w:color w:val="auto"/>
          <w:sz w:val="24"/>
          <w:highlight w:val="none"/>
          <w:lang w:val="zh-CN"/>
        </w:rPr>
      </w:pPr>
    </w:p>
    <w:p w14:paraId="37B43E7E">
      <w:pPr>
        <w:autoSpaceDE w:val="0"/>
        <w:autoSpaceDN w:val="0"/>
        <w:adjustRightInd w:val="0"/>
        <w:spacing w:line="360" w:lineRule="auto"/>
        <w:rPr>
          <w:rFonts w:hint="eastAsia" w:ascii="宋体" w:hAnsi="宋体" w:eastAsia="宋体" w:cs="宋体"/>
          <w:color w:val="auto"/>
          <w:sz w:val="24"/>
          <w:highlight w:val="none"/>
          <w:lang w:val="zh-CN"/>
        </w:rPr>
      </w:pPr>
    </w:p>
    <w:p w14:paraId="1946E523">
      <w:pPr>
        <w:autoSpaceDE w:val="0"/>
        <w:autoSpaceDN w:val="0"/>
        <w:adjustRightInd w:val="0"/>
        <w:spacing w:line="360" w:lineRule="auto"/>
        <w:rPr>
          <w:rFonts w:hint="eastAsia" w:ascii="宋体" w:hAnsi="宋体" w:eastAsia="宋体" w:cs="宋体"/>
          <w:color w:val="auto"/>
          <w:sz w:val="24"/>
          <w:highlight w:val="none"/>
          <w:lang w:val="zh-CN"/>
        </w:rPr>
      </w:pPr>
    </w:p>
    <w:p w14:paraId="1EFF7EA5">
      <w:pPr>
        <w:autoSpaceDE w:val="0"/>
        <w:autoSpaceDN w:val="0"/>
        <w:adjustRightInd w:val="0"/>
        <w:spacing w:line="360" w:lineRule="auto"/>
        <w:rPr>
          <w:rFonts w:hint="eastAsia" w:ascii="宋体" w:hAnsi="宋体" w:eastAsia="宋体" w:cs="宋体"/>
          <w:color w:val="auto"/>
          <w:sz w:val="24"/>
          <w:highlight w:val="none"/>
          <w:lang w:val="zh-CN"/>
        </w:rPr>
      </w:pPr>
    </w:p>
    <w:p w14:paraId="5ACA827A">
      <w:pPr>
        <w:autoSpaceDE w:val="0"/>
        <w:autoSpaceDN w:val="0"/>
        <w:adjustRightInd w:val="0"/>
        <w:spacing w:line="360" w:lineRule="auto"/>
        <w:rPr>
          <w:rFonts w:hint="eastAsia" w:ascii="宋体" w:hAnsi="宋体" w:eastAsia="宋体" w:cs="宋体"/>
          <w:color w:val="auto"/>
          <w:sz w:val="24"/>
          <w:highlight w:val="none"/>
          <w:lang w:val="zh-CN"/>
        </w:rPr>
      </w:pPr>
    </w:p>
    <w:p w14:paraId="6B4B8AA1">
      <w:pPr>
        <w:autoSpaceDE w:val="0"/>
        <w:autoSpaceDN w:val="0"/>
        <w:adjustRightInd w:val="0"/>
        <w:spacing w:line="360" w:lineRule="auto"/>
        <w:rPr>
          <w:rFonts w:hint="eastAsia" w:ascii="宋体" w:hAnsi="宋体" w:eastAsia="宋体" w:cs="宋体"/>
          <w:color w:val="auto"/>
          <w:sz w:val="24"/>
          <w:highlight w:val="none"/>
          <w:lang w:val="en-US" w:eastAsia="zh-CN"/>
        </w:rPr>
      </w:pPr>
    </w:p>
    <w:sectPr>
      <w:footerReference r:id="rId5" w:type="default"/>
      <w:pgSz w:w="11906" w:h="16838"/>
      <w:pgMar w:top="1440" w:right="1531" w:bottom="1440" w:left="1531" w:header="851" w:footer="992" w:gutter="0"/>
      <w:pgNumType w:fmt="decimal" w:start="2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8DF3">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F1BFA">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DF1BFA">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F62A4">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4D865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14D865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5C67">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0F91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20F91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0E02F"/>
    <w:multiLevelType w:val="singleLevel"/>
    <w:tmpl w:val="8490E02F"/>
    <w:lvl w:ilvl="0" w:tentative="0">
      <w:start w:val="1"/>
      <w:numFmt w:val="chineseCounting"/>
      <w:suff w:val="nothing"/>
      <w:lvlText w:val="%1、"/>
      <w:lvlJc w:val="left"/>
      <w:rPr>
        <w:rFonts w:hint="eastAsia"/>
      </w:rPr>
    </w:lvl>
  </w:abstractNum>
  <w:abstractNum w:abstractNumId="1">
    <w:nsid w:val="CFD8F72A"/>
    <w:multiLevelType w:val="singleLevel"/>
    <w:tmpl w:val="CFD8F72A"/>
    <w:lvl w:ilvl="0" w:tentative="0">
      <w:start w:val="1"/>
      <w:numFmt w:val="chineseCounting"/>
      <w:suff w:val="space"/>
      <w:lvlText w:val="第%1章"/>
      <w:lvlJc w:val="left"/>
      <w:rPr>
        <w:rFonts w:hint="eastAsia"/>
      </w:rPr>
    </w:lvl>
  </w:abstractNum>
  <w:abstractNum w:abstractNumId="2">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310DB13"/>
    <w:multiLevelType w:val="singleLevel"/>
    <w:tmpl w:val="5310DB13"/>
    <w:lvl w:ilvl="0" w:tentative="0">
      <w:start w:val="8"/>
      <w:numFmt w:val="chineseCounting"/>
      <w:suff w:val="space"/>
      <w:lvlText w:val="第%1章"/>
      <w:lvlJc w:val="left"/>
      <w:rPr>
        <w:rFonts w:hint="eastAsia"/>
      </w:rPr>
    </w:lvl>
  </w:abstractNum>
  <w:abstractNum w:abstractNumId="6">
    <w:nsid w:val="59F817C2"/>
    <w:multiLevelType w:val="singleLevel"/>
    <w:tmpl w:val="59F817C2"/>
    <w:lvl w:ilvl="0" w:tentative="0">
      <w:start w:val="2"/>
      <w:numFmt w:val="chineseCounting"/>
      <w:suff w:val="space"/>
      <w:lvlText w:val="第%1章"/>
      <w:lvlJc w:val="left"/>
    </w:lvl>
  </w:abstractNum>
  <w:abstractNum w:abstractNumId="7">
    <w:nsid w:val="59F817E8"/>
    <w:multiLevelType w:val="singleLevel"/>
    <w:tmpl w:val="59F817E8"/>
    <w:lvl w:ilvl="0" w:tentative="0">
      <w:start w:val="1"/>
      <w:numFmt w:val="chineseCounting"/>
      <w:pStyle w:val="36"/>
      <w:suff w:val="nothing"/>
      <w:lvlText w:val="%1、"/>
      <w:lvlJc w:val="left"/>
    </w:lvl>
  </w:abstractNum>
  <w:num w:numId="1">
    <w:abstractNumId w:val="2"/>
  </w:num>
  <w:num w:numId="2">
    <w:abstractNumId w:val="7"/>
  </w:num>
  <w:num w:numId="3">
    <w:abstractNumId w:val="1"/>
  </w:num>
  <w:num w:numId="4">
    <w:abstractNumId w:val="6"/>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6D2A98"/>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2D7A8C"/>
    <w:rsid w:val="01613ABA"/>
    <w:rsid w:val="01626374"/>
    <w:rsid w:val="017062CC"/>
    <w:rsid w:val="017D6BBC"/>
    <w:rsid w:val="019468D5"/>
    <w:rsid w:val="019B3634"/>
    <w:rsid w:val="01AB47D5"/>
    <w:rsid w:val="01B6636C"/>
    <w:rsid w:val="01D47411"/>
    <w:rsid w:val="0212598F"/>
    <w:rsid w:val="022A6766"/>
    <w:rsid w:val="024F4E41"/>
    <w:rsid w:val="02691984"/>
    <w:rsid w:val="027D2680"/>
    <w:rsid w:val="028505E2"/>
    <w:rsid w:val="0286634E"/>
    <w:rsid w:val="031E4962"/>
    <w:rsid w:val="0328714A"/>
    <w:rsid w:val="033775C3"/>
    <w:rsid w:val="033C2BF5"/>
    <w:rsid w:val="03724C7F"/>
    <w:rsid w:val="03791753"/>
    <w:rsid w:val="03995B4A"/>
    <w:rsid w:val="039E11BA"/>
    <w:rsid w:val="03C926DB"/>
    <w:rsid w:val="03EB08A3"/>
    <w:rsid w:val="03EB72C0"/>
    <w:rsid w:val="03F1118F"/>
    <w:rsid w:val="03FB03BA"/>
    <w:rsid w:val="04285764"/>
    <w:rsid w:val="0495080F"/>
    <w:rsid w:val="04A647CA"/>
    <w:rsid w:val="04B35764"/>
    <w:rsid w:val="04B635B2"/>
    <w:rsid w:val="054B35C3"/>
    <w:rsid w:val="05AC4062"/>
    <w:rsid w:val="05BC77FC"/>
    <w:rsid w:val="05D435B9"/>
    <w:rsid w:val="064E5119"/>
    <w:rsid w:val="065B5B0B"/>
    <w:rsid w:val="06AE76EE"/>
    <w:rsid w:val="06B83EA4"/>
    <w:rsid w:val="06FA0DFD"/>
    <w:rsid w:val="07013F3A"/>
    <w:rsid w:val="07083BAF"/>
    <w:rsid w:val="074777BA"/>
    <w:rsid w:val="076E4888"/>
    <w:rsid w:val="07C271DC"/>
    <w:rsid w:val="07D24D0F"/>
    <w:rsid w:val="07EA2C20"/>
    <w:rsid w:val="0802143B"/>
    <w:rsid w:val="080261BB"/>
    <w:rsid w:val="08031F33"/>
    <w:rsid w:val="08364A1F"/>
    <w:rsid w:val="085406EF"/>
    <w:rsid w:val="08591B53"/>
    <w:rsid w:val="085F6B82"/>
    <w:rsid w:val="087A4BC2"/>
    <w:rsid w:val="08AB6853"/>
    <w:rsid w:val="08EE6740"/>
    <w:rsid w:val="090441B5"/>
    <w:rsid w:val="09594501"/>
    <w:rsid w:val="097633EB"/>
    <w:rsid w:val="097D1872"/>
    <w:rsid w:val="09A137B2"/>
    <w:rsid w:val="09C83435"/>
    <w:rsid w:val="09CB6DEC"/>
    <w:rsid w:val="09DF42DA"/>
    <w:rsid w:val="0A110938"/>
    <w:rsid w:val="0A122F22"/>
    <w:rsid w:val="0A375EC4"/>
    <w:rsid w:val="0A394F6F"/>
    <w:rsid w:val="0A466107"/>
    <w:rsid w:val="0AB67731"/>
    <w:rsid w:val="0AC871A0"/>
    <w:rsid w:val="0AD55E09"/>
    <w:rsid w:val="0AD64D7F"/>
    <w:rsid w:val="0B444D3D"/>
    <w:rsid w:val="0B473F7A"/>
    <w:rsid w:val="0B81243B"/>
    <w:rsid w:val="0BFA364D"/>
    <w:rsid w:val="0BFE4671"/>
    <w:rsid w:val="0C010A28"/>
    <w:rsid w:val="0C566AD6"/>
    <w:rsid w:val="0C796C68"/>
    <w:rsid w:val="0C935A2F"/>
    <w:rsid w:val="0CC047BE"/>
    <w:rsid w:val="0CDE49B7"/>
    <w:rsid w:val="0D093090"/>
    <w:rsid w:val="0D605732"/>
    <w:rsid w:val="0D8C53E4"/>
    <w:rsid w:val="0DA03BB0"/>
    <w:rsid w:val="0DA41F3F"/>
    <w:rsid w:val="0DF95AA1"/>
    <w:rsid w:val="0DFD4D97"/>
    <w:rsid w:val="0E6D6359"/>
    <w:rsid w:val="0E7250C9"/>
    <w:rsid w:val="0E7616B1"/>
    <w:rsid w:val="0E8846BF"/>
    <w:rsid w:val="0E9E794E"/>
    <w:rsid w:val="0EBC4DBA"/>
    <w:rsid w:val="0ECF2B6F"/>
    <w:rsid w:val="0F1D6E95"/>
    <w:rsid w:val="0F331350"/>
    <w:rsid w:val="0F36F647"/>
    <w:rsid w:val="0F4E1CE6"/>
    <w:rsid w:val="0F607C6B"/>
    <w:rsid w:val="0F780EBB"/>
    <w:rsid w:val="0F7C2CF7"/>
    <w:rsid w:val="0F827BE2"/>
    <w:rsid w:val="0F944B88"/>
    <w:rsid w:val="0FA834AB"/>
    <w:rsid w:val="0FCE1048"/>
    <w:rsid w:val="10172E9E"/>
    <w:rsid w:val="10572219"/>
    <w:rsid w:val="106F1A32"/>
    <w:rsid w:val="10771710"/>
    <w:rsid w:val="10AE7F47"/>
    <w:rsid w:val="110F36F7"/>
    <w:rsid w:val="112371A2"/>
    <w:rsid w:val="1164145B"/>
    <w:rsid w:val="11967EB9"/>
    <w:rsid w:val="11E00E51"/>
    <w:rsid w:val="123A0C48"/>
    <w:rsid w:val="12876025"/>
    <w:rsid w:val="12BE3627"/>
    <w:rsid w:val="12FE1C75"/>
    <w:rsid w:val="13140A84"/>
    <w:rsid w:val="1388077F"/>
    <w:rsid w:val="138E37D4"/>
    <w:rsid w:val="13D455A0"/>
    <w:rsid w:val="13D824C6"/>
    <w:rsid w:val="13F05B34"/>
    <w:rsid w:val="14BC1DE8"/>
    <w:rsid w:val="150463EA"/>
    <w:rsid w:val="154222ED"/>
    <w:rsid w:val="154A488A"/>
    <w:rsid w:val="15712BD2"/>
    <w:rsid w:val="158C299F"/>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910ECB"/>
    <w:rsid w:val="18A14941"/>
    <w:rsid w:val="18BC5F12"/>
    <w:rsid w:val="18F2402A"/>
    <w:rsid w:val="18F4074B"/>
    <w:rsid w:val="190D2C12"/>
    <w:rsid w:val="191F46F3"/>
    <w:rsid w:val="19232435"/>
    <w:rsid w:val="19AF54EA"/>
    <w:rsid w:val="19BC2BD7"/>
    <w:rsid w:val="19D454DE"/>
    <w:rsid w:val="19E962F6"/>
    <w:rsid w:val="19EE17C2"/>
    <w:rsid w:val="1A1D6E85"/>
    <w:rsid w:val="1A4B6150"/>
    <w:rsid w:val="1A5F749D"/>
    <w:rsid w:val="1A634911"/>
    <w:rsid w:val="1AD03EF7"/>
    <w:rsid w:val="1B361346"/>
    <w:rsid w:val="1B373F76"/>
    <w:rsid w:val="1B9E2247"/>
    <w:rsid w:val="1BB6133F"/>
    <w:rsid w:val="1BD17F22"/>
    <w:rsid w:val="1BDD4B1E"/>
    <w:rsid w:val="1C515B8A"/>
    <w:rsid w:val="1C7170CF"/>
    <w:rsid w:val="1C9571A6"/>
    <w:rsid w:val="1CA53161"/>
    <w:rsid w:val="1CB33AD0"/>
    <w:rsid w:val="1CCC1778"/>
    <w:rsid w:val="1D1E2032"/>
    <w:rsid w:val="1D647400"/>
    <w:rsid w:val="1D934FDE"/>
    <w:rsid w:val="1DE32BCD"/>
    <w:rsid w:val="1DFE6FCD"/>
    <w:rsid w:val="1E0343C5"/>
    <w:rsid w:val="1E31278D"/>
    <w:rsid w:val="1E357DB2"/>
    <w:rsid w:val="1E871A30"/>
    <w:rsid w:val="1EA01E32"/>
    <w:rsid w:val="1EAF02C7"/>
    <w:rsid w:val="1ECE322F"/>
    <w:rsid w:val="1EE75CB3"/>
    <w:rsid w:val="1EE95587"/>
    <w:rsid w:val="1EF0174A"/>
    <w:rsid w:val="1F1D33C1"/>
    <w:rsid w:val="1F253903"/>
    <w:rsid w:val="1F262635"/>
    <w:rsid w:val="1F2E5690"/>
    <w:rsid w:val="1F8E5A9C"/>
    <w:rsid w:val="1FB54FB9"/>
    <w:rsid w:val="1FC47C9B"/>
    <w:rsid w:val="1FF2006D"/>
    <w:rsid w:val="1FF468DA"/>
    <w:rsid w:val="20036B1D"/>
    <w:rsid w:val="200939CC"/>
    <w:rsid w:val="20330CED"/>
    <w:rsid w:val="203F5E7C"/>
    <w:rsid w:val="204F3443"/>
    <w:rsid w:val="208F215E"/>
    <w:rsid w:val="20BD5418"/>
    <w:rsid w:val="20C225C0"/>
    <w:rsid w:val="20C305B3"/>
    <w:rsid w:val="20C4005A"/>
    <w:rsid w:val="20D254D7"/>
    <w:rsid w:val="20E775D8"/>
    <w:rsid w:val="20EC135F"/>
    <w:rsid w:val="21247AE2"/>
    <w:rsid w:val="21817483"/>
    <w:rsid w:val="21BE2CFB"/>
    <w:rsid w:val="21CF4F08"/>
    <w:rsid w:val="21F50295"/>
    <w:rsid w:val="21F66939"/>
    <w:rsid w:val="223631D9"/>
    <w:rsid w:val="226D793A"/>
    <w:rsid w:val="228C128A"/>
    <w:rsid w:val="22A97407"/>
    <w:rsid w:val="22AD3550"/>
    <w:rsid w:val="22CF0F38"/>
    <w:rsid w:val="22E03145"/>
    <w:rsid w:val="22EA05C1"/>
    <w:rsid w:val="2338088B"/>
    <w:rsid w:val="234E0DFC"/>
    <w:rsid w:val="23EE3640"/>
    <w:rsid w:val="240864B0"/>
    <w:rsid w:val="241A61E3"/>
    <w:rsid w:val="2424309D"/>
    <w:rsid w:val="242A756D"/>
    <w:rsid w:val="242B03F0"/>
    <w:rsid w:val="24372D12"/>
    <w:rsid w:val="245931AF"/>
    <w:rsid w:val="24E72569"/>
    <w:rsid w:val="24FC1B91"/>
    <w:rsid w:val="253B5CAB"/>
    <w:rsid w:val="25494FD2"/>
    <w:rsid w:val="255231DD"/>
    <w:rsid w:val="257B4ED5"/>
    <w:rsid w:val="258C3110"/>
    <w:rsid w:val="26151358"/>
    <w:rsid w:val="268A3AF4"/>
    <w:rsid w:val="27824E7A"/>
    <w:rsid w:val="27DD7D71"/>
    <w:rsid w:val="280B42F7"/>
    <w:rsid w:val="285C14C0"/>
    <w:rsid w:val="286B1703"/>
    <w:rsid w:val="288A7DDB"/>
    <w:rsid w:val="28A6273B"/>
    <w:rsid w:val="291465A8"/>
    <w:rsid w:val="29283150"/>
    <w:rsid w:val="293B43FD"/>
    <w:rsid w:val="294601F2"/>
    <w:rsid w:val="295C2DFA"/>
    <w:rsid w:val="29822B46"/>
    <w:rsid w:val="298C1931"/>
    <w:rsid w:val="29C0782D"/>
    <w:rsid w:val="29D54FEB"/>
    <w:rsid w:val="2A3F69A3"/>
    <w:rsid w:val="2A5C0B48"/>
    <w:rsid w:val="2A6552B4"/>
    <w:rsid w:val="2A773C1D"/>
    <w:rsid w:val="2A832D34"/>
    <w:rsid w:val="2A8A1456"/>
    <w:rsid w:val="2ABC1728"/>
    <w:rsid w:val="2AD510B6"/>
    <w:rsid w:val="2AFF1C79"/>
    <w:rsid w:val="2B31540B"/>
    <w:rsid w:val="2B342280"/>
    <w:rsid w:val="2B4635A9"/>
    <w:rsid w:val="2B537E56"/>
    <w:rsid w:val="2B6130DC"/>
    <w:rsid w:val="2B697BDD"/>
    <w:rsid w:val="2BC248D6"/>
    <w:rsid w:val="2C091017"/>
    <w:rsid w:val="2C210A56"/>
    <w:rsid w:val="2C3C1D4C"/>
    <w:rsid w:val="2C534988"/>
    <w:rsid w:val="2C610E7B"/>
    <w:rsid w:val="2C76438E"/>
    <w:rsid w:val="2C8A5492"/>
    <w:rsid w:val="2C932503"/>
    <w:rsid w:val="2CF41CC7"/>
    <w:rsid w:val="2D0B0DBF"/>
    <w:rsid w:val="2D1E4F96"/>
    <w:rsid w:val="2D597D7C"/>
    <w:rsid w:val="2D7352E2"/>
    <w:rsid w:val="2D7506B6"/>
    <w:rsid w:val="2D915768"/>
    <w:rsid w:val="2D955EB4"/>
    <w:rsid w:val="2DAF26D7"/>
    <w:rsid w:val="2E026666"/>
    <w:rsid w:val="2E552C39"/>
    <w:rsid w:val="2E7F3812"/>
    <w:rsid w:val="2E976DAE"/>
    <w:rsid w:val="2ECC76B5"/>
    <w:rsid w:val="2EE6563F"/>
    <w:rsid w:val="2EF04710"/>
    <w:rsid w:val="2F102DB2"/>
    <w:rsid w:val="2F416D1A"/>
    <w:rsid w:val="2F6F7D2B"/>
    <w:rsid w:val="2FA34225"/>
    <w:rsid w:val="2FD2696D"/>
    <w:rsid w:val="300B1A7E"/>
    <w:rsid w:val="30116FD4"/>
    <w:rsid w:val="301937F3"/>
    <w:rsid w:val="304970DC"/>
    <w:rsid w:val="304B42F4"/>
    <w:rsid w:val="30506713"/>
    <w:rsid w:val="308E2433"/>
    <w:rsid w:val="308E655F"/>
    <w:rsid w:val="30954C40"/>
    <w:rsid w:val="30CE06A3"/>
    <w:rsid w:val="30D44173"/>
    <w:rsid w:val="30DC448B"/>
    <w:rsid w:val="30FA7AC8"/>
    <w:rsid w:val="30FF5980"/>
    <w:rsid w:val="31167642"/>
    <w:rsid w:val="31197C45"/>
    <w:rsid w:val="311B0223"/>
    <w:rsid w:val="312406A1"/>
    <w:rsid w:val="31244B45"/>
    <w:rsid w:val="31264CAE"/>
    <w:rsid w:val="31280191"/>
    <w:rsid w:val="316B4522"/>
    <w:rsid w:val="318555E4"/>
    <w:rsid w:val="3195334D"/>
    <w:rsid w:val="31A33CBC"/>
    <w:rsid w:val="31BC6B2B"/>
    <w:rsid w:val="32043477"/>
    <w:rsid w:val="32196176"/>
    <w:rsid w:val="323906AC"/>
    <w:rsid w:val="32446066"/>
    <w:rsid w:val="32957AA8"/>
    <w:rsid w:val="32C043F9"/>
    <w:rsid w:val="32E47AED"/>
    <w:rsid w:val="32FC5B89"/>
    <w:rsid w:val="332112FE"/>
    <w:rsid w:val="33233306"/>
    <w:rsid w:val="332C2234"/>
    <w:rsid w:val="335A2D4A"/>
    <w:rsid w:val="33EF143A"/>
    <w:rsid w:val="33EF5573"/>
    <w:rsid w:val="340842AA"/>
    <w:rsid w:val="34242F97"/>
    <w:rsid w:val="343F2879"/>
    <w:rsid w:val="348A3678"/>
    <w:rsid w:val="34D50630"/>
    <w:rsid w:val="34D657D8"/>
    <w:rsid w:val="34E4369E"/>
    <w:rsid w:val="34F96D7F"/>
    <w:rsid w:val="35026F4B"/>
    <w:rsid w:val="35550544"/>
    <w:rsid w:val="3566287D"/>
    <w:rsid w:val="36003843"/>
    <w:rsid w:val="3629542E"/>
    <w:rsid w:val="3653763E"/>
    <w:rsid w:val="368C2A58"/>
    <w:rsid w:val="36B204FD"/>
    <w:rsid w:val="36B424C7"/>
    <w:rsid w:val="36B50719"/>
    <w:rsid w:val="36CA3A99"/>
    <w:rsid w:val="36DF7544"/>
    <w:rsid w:val="36E36908"/>
    <w:rsid w:val="37076A9B"/>
    <w:rsid w:val="371525D8"/>
    <w:rsid w:val="375168B8"/>
    <w:rsid w:val="375A7F6A"/>
    <w:rsid w:val="377F4883"/>
    <w:rsid w:val="379F0A81"/>
    <w:rsid w:val="37A03884"/>
    <w:rsid w:val="37B26816"/>
    <w:rsid w:val="37DB1893"/>
    <w:rsid w:val="38037262"/>
    <w:rsid w:val="383276A8"/>
    <w:rsid w:val="383A0B46"/>
    <w:rsid w:val="38706B58"/>
    <w:rsid w:val="38BB131C"/>
    <w:rsid w:val="38C033A5"/>
    <w:rsid w:val="390A2872"/>
    <w:rsid w:val="391536F1"/>
    <w:rsid w:val="392A2B57"/>
    <w:rsid w:val="395444FA"/>
    <w:rsid w:val="395C1320"/>
    <w:rsid w:val="396B17C1"/>
    <w:rsid w:val="397402C9"/>
    <w:rsid w:val="398C3287"/>
    <w:rsid w:val="3992139A"/>
    <w:rsid w:val="39C80763"/>
    <w:rsid w:val="39CD2122"/>
    <w:rsid w:val="3A0C650E"/>
    <w:rsid w:val="3A2D5366"/>
    <w:rsid w:val="3A5515C3"/>
    <w:rsid w:val="3A5F18F6"/>
    <w:rsid w:val="3A7D56BC"/>
    <w:rsid w:val="3AC34131"/>
    <w:rsid w:val="3AD97CC9"/>
    <w:rsid w:val="3B014F9B"/>
    <w:rsid w:val="3B1F0857"/>
    <w:rsid w:val="3B2146DC"/>
    <w:rsid w:val="3B2714BA"/>
    <w:rsid w:val="3B4200A1"/>
    <w:rsid w:val="3B505A43"/>
    <w:rsid w:val="3B533FF5"/>
    <w:rsid w:val="3B7B1FE2"/>
    <w:rsid w:val="3BCE6BE6"/>
    <w:rsid w:val="3BDA477E"/>
    <w:rsid w:val="3BDB2B47"/>
    <w:rsid w:val="3BDB4052"/>
    <w:rsid w:val="3BF16C99"/>
    <w:rsid w:val="3C035F1A"/>
    <w:rsid w:val="3C0417FB"/>
    <w:rsid w:val="3C181DDF"/>
    <w:rsid w:val="3C1F6635"/>
    <w:rsid w:val="3C4D7203"/>
    <w:rsid w:val="3C750E27"/>
    <w:rsid w:val="3CD32E37"/>
    <w:rsid w:val="3CE17490"/>
    <w:rsid w:val="3D1D2B74"/>
    <w:rsid w:val="3D1E49C5"/>
    <w:rsid w:val="3D2A34E3"/>
    <w:rsid w:val="3D2C4A02"/>
    <w:rsid w:val="3D5E05E5"/>
    <w:rsid w:val="3D6A2BB3"/>
    <w:rsid w:val="3D86647B"/>
    <w:rsid w:val="3DB35CA9"/>
    <w:rsid w:val="3DCB0822"/>
    <w:rsid w:val="3DE73182"/>
    <w:rsid w:val="3E46434D"/>
    <w:rsid w:val="3E5D2FF1"/>
    <w:rsid w:val="3E95067F"/>
    <w:rsid w:val="3EAF3CA0"/>
    <w:rsid w:val="3EB56143"/>
    <w:rsid w:val="3EBF0F87"/>
    <w:rsid w:val="3ECD6E4D"/>
    <w:rsid w:val="3F0C10F2"/>
    <w:rsid w:val="3F1660F0"/>
    <w:rsid w:val="3F1E2D7C"/>
    <w:rsid w:val="3F3B7691"/>
    <w:rsid w:val="3FD61700"/>
    <w:rsid w:val="3FEE1126"/>
    <w:rsid w:val="3FF42167"/>
    <w:rsid w:val="400B3158"/>
    <w:rsid w:val="40243841"/>
    <w:rsid w:val="40392451"/>
    <w:rsid w:val="40463AB2"/>
    <w:rsid w:val="406E1939"/>
    <w:rsid w:val="40747399"/>
    <w:rsid w:val="407C22A8"/>
    <w:rsid w:val="408530DC"/>
    <w:rsid w:val="41235D86"/>
    <w:rsid w:val="41780CC1"/>
    <w:rsid w:val="41904802"/>
    <w:rsid w:val="41B617E9"/>
    <w:rsid w:val="41B64AD1"/>
    <w:rsid w:val="41E719A3"/>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125F38"/>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561319"/>
    <w:rsid w:val="459B5DCC"/>
    <w:rsid w:val="45C85F51"/>
    <w:rsid w:val="45CC5137"/>
    <w:rsid w:val="45E14471"/>
    <w:rsid w:val="45F7593E"/>
    <w:rsid w:val="46052FFA"/>
    <w:rsid w:val="462F1B6A"/>
    <w:rsid w:val="46744A27"/>
    <w:rsid w:val="469F2BD0"/>
    <w:rsid w:val="46B53E1D"/>
    <w:rsid w:val="46B67B95"/>
    <w:rsid w:val="46BD7176"/>
    <w:rsid w:val="46D75774"/>
    <w:rsid w:val="46FA774D"/>
    <w:rsid w:val="471351A0"/>
    <w:rsid w:val="47775577"/>
    <w:rsid w:val="47867568"/>
    <w:rsid w:val="479354BC"/>
    <w:rsid w:val="47C507BE"/>
    <w:rsid w:val="47EB1BDC"/>
    <w:rsid w:val="47FA684C"/>
    <w:rsid w:val="48021C3E"/>
    <w:rsid w:val="483C1B05"/>
    <w:rsid w:val="48435459"/>
    <w:rsid w:val="484B5204"/>
    <w:rsid w:val="484D6779"/>
    <w:rsid w:val="48650722"/>
    <w:rsid w:val="48711FC6"/>
    <w:rsid w:val="48934632"/>
    <w:rsid w:val="489E1C29"/>
    <w:rsid w:val="48B73831"/>
    <w:rsid w:val="48BA396D"/>
    <w:rsid w:val="49007DEC"/>
    <w:rsid w:val="492A1DB5"/>
    <w:rsid w:val="49D9424A"/>
    <w:rsid w:val="4A0600C1"/>
    <w:rsid w:val="4A4831FA"/>
    <w:rsid w:val="4A600544"/>
    <w:rsid w:val="4AD45146"/>
    <w:rsid w:val="4AD934F1"/>
    <w:rsid w:val="4B0C5FD6"/>
    <w:rsid w:val="4B1D01E3"/>
    <w:rsid w:val="4B35552D"/>
    <w:rsid w:val="4B3D6AD7"/>
    <w:rsid w:val="4BB74194"/>
    <w:rsid w:val="4BDA206F"/>
    <w:rsid w:val="4C1C66ED"/>
    <w:rsid w:val="4C3F62C6"/>
    <w:rsid w:val="4C433C79"/>
    <w:rsid w:val="4C63256E"/>
    <w:rsid w:val="4C80554E"/>
    <w:rsid w:val="4CC530DC"/>
    <w:rsid w:val="4CCC5320"/>
    <w:rsid w:val="4CD9638C"/>
    <w:rsid w:val="4CDA3DB2"/>
    <w:rsid w:val="4D055724"/>
    <w:rsid w:val="4D0B1261"/>
    <w:rsid w:val="4D494383"/>
    <w:rsid w:val="4D510618"/>
    <w:rsid w:val="4D514513"/>
    <w:rsid w:val="4D5F2EA5"/>
    <w:rsid w:val="4D7507CE"/>
    <w:rsid w:val="4D8409ED"/>
    <w:rsid w:val="4DCB3F26"/>
    <w:rsid w:val="4DD54445"/>
    <w:rsid w:val="4DE80F7C"/>
    <w:rsid w:val="4E0B59DB"/>
    <w:rsid w:val="4E113E2F"/>
    <w:rsid w:val="4E2F670D"/>
    <w:rsid w:val="4E564138"/>
    <w:rsid w:val="4E6B1A41"/>
    <w:rsid w:val="4E7370E0"/>
    <w:rsid w:val="4EA330F5"/>
    <w:rsid w:val="4F253B0A"/>
    <w:rsid w:val="4F38383D"/>
    <w:rsid w:val="4F490422"/>
    <w:rsid w:val="4F583EE0"/>
    <w:rsid w:val="4F764366"/>
    <w:rsid w:val="4F790A9F"/>
    <w:rsid w:val="4F8C0C60"/>
    <w:rsid w:val="4F9C3DCC"/>
    <w:rsid w:val="4FAB04B3"/>
    <w:rsid w:val="4FAF18DD"/>
    <w:rsid w:val="4FE65048"/>
    <w:rsid w:val="4FEB0DB6"/>
    <w:rsid w:val="5040703F"/>
    <w:rsid w:val="5043693E"/>
    <w:rsid w:val="50856264"/>
    <w:rsid w:val="50A13664"/>
    <w:rsid w:val="50A56CB1"/>
    <w:rsid w:val="50AF3513"/>
    <w:rsid w:val="50B43398"/>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50634A"/>
    <w:rsid w:val="529E1AAF"/>
    <w:rsid w:val="52A75737"/>
    <w:rsid w:val="52E75AB2"/>
    <w:rsid w:val="5322283B"/>
    <w:rsid w:val="533802F4"/>
    <w:rsid w:val="536746F1"/>
    <w:rsid w:val="537E2096"/>
    <w:rsid w:val="537F7C8D"/>
    <w:rsid w:val="53894668"/>
    <w:rsid w:val="53B42B45"/>
    <w:rsid w:val="53DA3854"/>
    <w:rsid w:val="53DA43C7"/>
    <w:rsid w:val="53FF0872"/>
    <w:rsid w:val="543C792C"/>
    <w:rsid w:val="545936D6"/>
    <w:rsid w:val="546821EA"/>
    <w:rsid w:val="54891A20"/>
    <w:rsid w:val="54901A26"/>
    <w:rsid w:val="553777B3"/>
    <w:rsid w:val="554747DA"/>
    <w:rsid w:val="55730445"/>
    <w:rsid w:val="55976C69"/>
    <w:rsid w:val="55BF4CF2"/>
    <w:rsid w:val="55D700A5"/>
    <w:rsid w:val="55D93366"/>
    <w:rsid w:val="55F1262A"/>
    <w:rsid w:val="56174265"/>
    <w:rsid w:val="562E7748"/>
    <w:rsid w:val="56705FB3"/>
    <w:rsid w:val="5688510F"/>
    <w:rsid w:val="568C17D3"/>
    <w:rsid w:val="56951C22"/>
    <w:rsid w:val="56BA5480"/>
    <w:rsid w:val="56E36785"/>
    <w:rsid w:val="56EA5EC0"/>
    <w:rsid w:val="56FB72B2"/>
    <w:rsid w:val="56FE5EA0"/>
    <w:rsid w:val="57243A84"/>
    <w:rsid w:val="573B1B9F"/>
    <w:rsid w:val="576A0F74"/>
    <w:rsid w:val="577218B7"/>
    <w:rsid w:val="57A51C8C"/>
    <w:rsid w:val="57D83E10"/>
    <w:rsid w:val="57EA3B34"/>
    <w:rsid w:val="57EF51BB"/>
    <w:rsid w:val="58032243"/>
    <w:rsid w:val="584371A5"/>
    <w:rsid w:val="584A1A3B"/>
    <w:rsid w:val="58647D30"/>
    <w:rsid w:val="58A550E1"/>
    <w:rsid w:val="58A71A42"/>
    <w:rsid w:val="58D75E75"/>
    <w:rsid w:val="58EF4F12"/>
    <w:rsid w:val="58F22A32"/>
    <w:rsid w:val="58F9403E"/>
    <w:rsid w:val="590A1602"/>
    <w:rsid w:val="590A4959"/>
    <w:rsid w:val="59201619"/>
    <w:rsid w:val="59271254"/>
    <w:rsid w:val="593C03CE"/>
    <w:rsid w:val="594D6137"/>
    <w:rsid w:val="59611F3F"/>
    <w:rsid w:val="59621016"/>
    <w:rsid w:val="597F77E2"/>
    <w:rsid w:val="59837DAB"/>
    <w:rsid w:val="59B63CDD"/>
    <w:rsid w:val="59FB283E"/>
    <w:rsid w:val="5A0872E8"/>
    <w:rsid w:val="5A234D3B"/>
    <w:rsid w:val="5A9E49E8"/>
    <w:rsid w:val="5AAB75B9"/>
    <w:rsid w:val="5AAC3332"/>
    <w:rsid w:val="5AE64A95"/>
    <w:rsid w:val="5B0311A3"/>
    <w:rsid w:val="5B101B12"/>
    <w:rsid w:val="5B204F53"/>
    <w:rsid w:val="5B8A0A45"/>
    <w:rsid w:val="5B955B74"/>
    <w:rsid w:val="5B9A708F"/>
    <w:rsid w:val="5BDE576D"/>
    <w:rsid w:val="5BEE14A4"/>
    <w:rsid w:val="5C2D331C"/>
    <w:rsid w:val="5C8F696A"/>
    <w:rsid w:val="5CAF369E"/>
    <w:rsid w:val="5CAF3AF1"/>
    <w:rsid w:val="5CBC2CD4"/>
    <w:rsid w:val="5CBD7121"/>
    <w:rsid w:val="5D047455"/>
    <w:rsid w:val="5D096819"/>
    <w:rsid w:val="5D1458EA"/>
    <w:rsid w:val="5D213B63"/>
    <w:rsid w:val="5D4F6922"/>
    <w:rsid w:val="5D5264DD"/>
    <w:rsid w:val="5D883BE2"/>
    <w:rsid w:val="5DA86C9F"/>
    <w:rsid w:val="5E2A0546"/>
    <w:rsid w:val="5E2A4C99"/>
    <w:rsid w:val="5E421FE3"/>
    <w:rsid w:val="5E457475"/>
    <w:rsid w:val="5E6C4FDF"/>
    <w:rsid w:val="5EFF7C1D"/>
    <w:rsid w:val="5F0357D4"/>
    <w:rsid w:val="5F076D88"/>
    <w:rsid w:val="5F851915"/>
    <w:rsid w:val="5F8529FE"/>
    <w:rsid w:val="5F97635E"/>
    <w:rsid w:val="5FBE3A34"/>
    <w:rsid w:val="5FCD5B8D"/>
    <w:rsid w:val="5FD924D3"/>
    <w:rsid w:val="60275934"/>
    <w:rsid w:val="6028345A"/>
    <w:rsid w:val="6029789A"/>
    <w:rsid w:val="605A41EA"/>
    <w:rsid w:val="605C7343"/>
    <w:rsid w:val="60870523"/>
    <w:rsid w:val="608B79B6"/>
    <w:rsid w:val="60941816"/>
    <w:rsid w:val="60C26AA1"/>
    <w:rsid w:val="60D24A13"/>
    <w:rsid w:val="60E83CC0"/>
    <w:rsid w:val="60FF6129"/>
    <w:rsid w:val="610E2650"/>
    <w:rsid w:val="6110461A"/>
    <w:rsid w:val="61695AD8"/>
    <w:rsid w:val="616D69D4"/>
    <w:rsid w:val="616E7593"/>
    <w:rsid w:val="61995A39"/>
    <w:rsid w:val="619D5782"/>
    <w:rsid w:val="61A15C96"/>
    <w:rsid w:val="61E228BD"/>
    <w:rsid w:val="61F730E4"/>
    <w:rsid w:val="62037CDB"/>
    <w:rsid w:val="622D4D58"/>
    <w:rsid w:val="628F77C1"/>
    <w:rsid w:val="62B27141"/>
    <w:rsid w:val="63131CC5"/>
    <w:rsid w:val="633B5253"/>
    <w:rsid w:val="635037FE"/>
    <w:rsid w:val="636B3D8A"/>
    <w:rsid w:val="63770981"/>
    <w:rsid w:val="639C5D44"/>
    <w:rsid w:val="63F77A34"/>
    <w:rsid w:val="63FA5FBC"/>
    <w:rsid w:val="64201EC1"/>
    <w:rsid w:val="645A7A6B"/>
    <w:rsid w:val="64DE2339"/>
    <w:rsid w:val="64ED07CF"/>
    <w:rsid w:val="64FC400C"/>
    <w:rsid w:val="650224CC"/>
    <w:rsid w:val="65045E61"/>
    <w:rsid w:val="651B358E"/>
    <w:rsid w:val="65476131"/>
    <w:rsid w:val="655962D4"/>
    <w:rsid w:val="657A6506"/>
    <w:rsid w:val="658904F7"/>
    <w:rsid w:val="65984BDE"/>
    <w:rsid w:val="65F00576"/>
    <w:rsid w:val="65FE7137"/>
    <w:rsid w:val="66260B80"/>
    <w:rsid w:val="6665759F"/>
    <w:rsid w:val="66C22463"/>
    <w:rsid w:val="66DE4C33"/>
    <w:rsid w:val="67803B7C"/>
    <w:rsid w:val="67BB6DD6"/>
    <w:rsid w:val="67BD26DA"/>
    <w:rsid w:val="67BF4C48"/>
    <w:rsid w:val="67CF52F1"/>
    <w:rsid w:val="67DD0FCE"/>
    <w:rsid w:val="68165D00"/>
    <w:rsid w:val="68182006"/>
    <w:rsid w:val="685B6444"/>
    <w:rsid w:val="686F7E78"/>
    <w:rsid w:val="68967C0D"/>
    <w:rsid w:val="68BC69A9"/>
    <w:rsid w:val="68CA77A4"/>
    <w:rsid w:val="68ED3493"/>
    <w:rsid w:val="69306407"/>
    <w:rsid w:val="696A285A"/>
    <w:rsid w:val="6991057D"/>
    <w:rsid w:val="699456BD"/>
    <w:rsid w:val="699A63F4"/>
    <w:rsid w:val="69AA3132"/>
    <w:rsid w:val="69CE5072"/>
    <w:rsid w:val="69E20B1E"/>
    <w:rsid w:val="69E414FB"/>
    <w:rsid w:val="6A1615CD"/>
    <w:rsid w:val="6A31115D"/>
    <w:rsid w:val="6A69484A"/>
    <w:rsid w:val="6A814492"/>
    <w:rsid w:val="6A987763"/>
    <w:rsid w:val="6AA973C3"/>
    <w:rsid w:val="6AE37117"/>
    <w:rsid w:val="6B040620"/>
    <w:rsid w:val="6B144D07"/>
    <w:rsid w:val="6B4A5DA3"/>
    <w:rsid w:val="6B5643C1"/>
    <w:rsid w:val="6B947BF6"/>
    <w:rsid w:val="6B95269F"/>
    <w:rsid w:val="6BB813C6"/>
    <w:rsid w:val="6BBC0931"/>
    <w:rsid w:val="6BC32289"/>
    <w:rsid w:val="6BC73D09"/>
    <w:rsid w:val="6BDB5825"/>
    <w:rsid w:val="6C266360"/>
    <w:rsid w:val="6C2947E2"/>
    <w:rsid w:val="6C3C758F"/>
    <w:rsid w:val="6C480CC0"/>
    <w:rsid w:val="6C4C7672"/>
    <w:rsid w:val="6C81017A"/>
    <w:rsid w:val="6C9C070F"/>
    <w:rsid w:val="6CC557C5"/>
    <w:rsid w:val="6CFC3B1A"/>
    <w:rsid w:val="6D0F3C1B"/>
    <w:rsid w:val="6D245923"/>
    <w:rsid w:val="6D732541"/>
    <w:rsid w:val="6D7E504C"/>
    <w:rsid w:val="6D9674D0"/>
    <w:rsid w:val="6DAF5006"/>
    <w:rsid w:val="6DE309C1"/>
    <w:rsid w:val="6DEC505A"/>
    <w:rsid w:val="6E2747C7"/>
    <w:rsid w:val="6E4F194C"/>
    <w:rsid w:val="6E5223CE"/>
    <w:rsid w:val="6E531FEA"/>
    <w:rsid w:val="6E5F44EB"/>
    <w:rsid w:val="6E712470"/>
    <w:rsid w:val="6E9C129B"/>
    <w:rsid w:val="6EA224B9"/>
    <w:rsid w:val="6F141CC9"/>
    <w:rsid w:val="6F4A6F49"/>
    <w:rsid w:val="6F5914CB"/>
    <w:rsid w:val="6FA069AA"/>
    <w:rsid w:val="6FB005D6"/>
    <w:rsid w:val="6FB95E7D"/>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D4593"/>
    <w:rsid w:val="71810315"/>
    <w:rsid w:val="718A3D98"/>
    <w:rsid w:val="71A52E08"/>
    <w:rsid w:val="71CF0956"/>
    <w:rsid w:val="71FE04BF"/>
    <w:rsid w:val="724C122A"/>
    <w:rsid w:val="72B96067"/>
    <w:rsid w:val="72D15B2E"/>
    <w:rsid w:val="72F247EE"/>
    <w:rsid w:val="733F2189"/>
    <w:rsid w:val="73816CB2"/>
    <w:rsid w:val="73893625"/>
    <w:rsid w:val="73B01345"/>
    <w:rsid w:val="73B01B6C"/>
    <w:rsid w:val="74116287"/>
    <w:rsid w:val="74237D69"/>
    <w:rsid w:val="744132FF"/>
    <w:rsid w:val="74420E31"/>
    <w:rsid w:val="748206C7"/>
    <w:rsid w:val="748C639C"/>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61A74FF"/>
    <w:rsid w:val="76286F0E"/>
    <w:rsid w:val="768014A2"/>
    <w:rsid w:val="7682134D"/>
    <w:rsid w:val="76962A74"/>
    <w:rsid w:val="76A624F8"/>
    <w:rsid w:val="76BF021D"/>
    <w:rsid w:val="76D87530"/>
    <w:rsid w:val="76F15303"/>
    <w:rsid w:val="77050673"/>
    <w:rsid w:val="77265814"/>
    <w:rsid w:val="77302EC9"/>
    <w:rsid w:val="77334767"/>
    <w:rsid w:val="773A3D47"/>
    <w:rsid w:val="775947BB"/>
    <w:rsid w:val="77957B2F"/>
    <w:rsid w:val="77A345CB"/>
    <w:rsid w:val="77B91110"/>
    <w:rsid w:val="77CC1D2B"/>
    <w:rsid w:val="78003B51"/>
    <w:rsid w:val="781F6A99"/>
    <w:rsid w:val="783267CC"/>
    <w:rsid w:val="78357AF5"/>
    <w:rsid w:val="78365861"/>
    <w:rsid w:val="78420919"/>
    <w:rsid w:val="786B6B93"/>
    <w:rsid w:val="7875400A"/>
    <w:rsid w:val="78767454"/>
    <w:rsid w:val="7877401B"/>
    <w:rsid w:val="787A3D0F"/>
    <w:rsid w:val="789A2290"/>
    <w:rsid w:val="789F36DD"/>
    <w:rsid w:val="78B167C1"/>
    <w:rsid w:val="78CA15A4"/>
    <w:rsid w:val="78CC09CF"/>
    <w:rsid w:val="78D179BA"/>
    <w:rsid w:val="79679FFF"/>
    <w:rsid w:val="79870D9A"/>
    <w:rsid w:val="79951709"/>
    <w:rsid w:val="799C2A97"/>
    <w:rsid w:val="79D53106"/>
    <w:rsid w:val="79D81B69"/>
    <w:rsid w:val="79DC3E13"/>
    <w:rsid w:val="7A12324A"/>
    <w:rsid w:val="7A4D0A59"/>
    <w:rsid w:val="7A625B0D"/>
    <w:rsid w:val="7A7D3D06"/>
    <w:rsid w:val="7A831561"/>
    <w:rsid w:val="7A8B6F6A"/>
    <w:rsid w:val="7AA87D54"/>
    <w:rsid w:val="7AE364A4"/>
    <w:rsid w:val="7AF44D2F"/>
    <w:rsid w:val="7B5B420B"/>
    <w:rsid w:val="7B7273FA"/>
    <w:rsid w:val="7B784E3E"/>
    <w:rsid w:val="7BE81FC4"/>
    <w:rsid w:val="7BF24BF0"/>
    <w:rsid w:val="7C0533D7"/>
    <w:rsid w:val="7C1D1542"/>
    <w:rsid w:val="7C2A25DC"/>
    <w:rsid w:val="7C3A20F4"/>
    <w:rsid w:val="7C5F1B5A"/>
    <w:rsid w:val="7CA659DB"/>
    <w:rsid w:val="7CAF130B"/>
    <w:rsid w:val="7CB400F8"/>
    <w:rsid w:val="7CB57EBA"/>
    <w:rsid w:val="7CBB76D8"/>
    <w:rsid w:val="7CBC51FE"/>
    <w:rsid w:val="7D1666BD"/>
    <w:rsid w:val="7D250FF6"/>
    <w:rsid w:val="7D441E80"/>
    <w:rsid w:val="7D721356"/>
    <w:rsid w:val="7D861F78"/>
    <w:rsid w:val="7DBB012F"/>
    <w:rsid w:val="7DDB16B4"/>
    <w:rsid w:val="7DFF35F5"/>
    <w:rsid w:val="7E060918"/>
    <w:rsid w:val="7E195A09"/>
    <w:rsid w:val="7E286F6A"/>
    <w:rsid w:val="7E2C2746"/>
    <w:rsid w:val="7ED91F60"/>
    <w:rsid w:val="7EED2764"/>
    <w:rsid w:val="7F1C3D32"/>
    <w:rsid w:val="7F376C47"/>
    <w:rsid w:val="7F5E55C0"/>
    <w:rsid w:val="7F72273D"/>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4">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5">
    <w:name w:val="caption"/>
    <w:basedOn w:val="1"/>
    <w:next w:val="1"/>
    <w:qFormat/>
    <w:uiPriority w:val="0"/>
    <w:rPr>
      <w:rFonts w:ascii="Arial" w:hAnsi="Arial" w:eastAsia="黑体" w:cs="Arial"/>
      <w:sz w:val="20"/>
      <w:szCs w:val="20"/>
    </w:rPr>
  </w:style>
  <w:style w:type="paragraph" w:styleId="6">
    <w:name w:val="index 5"/>
    <w:basedOn w:val="1"/>
    <w:next w:val="1"/>
    <w:qFormat/>
    <w:uiPriority w:val="0"/>
    <w:pPr>
      <w:ind w:left="1680"/>
    </w:pPr>
    <w:rPr>
      <w:rFonts w:ascii="Calibri" w:hAnsi="Calibri" w:eastAsia="宋体" w:cs="Times New Roman"/>
    </w:rPr>
  </w:style>
  <w:style w:type="paragraph" w:styleId="7">
    <w:name w:val="Body Text"/>
    <w:basedOn w:val="1"/>
    <w:link w:val="42"/>
    <w:unhideWhenUsed/>
    <w:qFormat/>
    <w:uiPriority w:val="99"/>
    <w:pPr>
      <w:spacing w:after="120"/>
    </w:pPr>
  </w:style>
  <w:style w:type="paragraph" w:styleId="8">
    <w:name w:val="Body Text Indent"/>
    <w:basedOn w:val="1"/>
    <w:next w:val="3"/>
    <w:qFormat/>
    <w:uiPriority w:val="0"/>
    <w:pPr>
      <w:adjustRightInd w:val="0"/>
      <w:spacing w:after="120" w:line="360" w:lineRule="atLeast"/>
      <w:ind w:left="420" w:leftChars="200"/>
      <w:jc w:val="left"/>
      <w:textAlignment w:val="baseline"/>
    </w:pPr>
    <w:rPr>
      <w:kern w:val="0"/>
      <w:sz w:val="24"/>
      <w:szCs w:val="20"/>
    </w:rPr>
  </w:style>
  <w:style w:type="paragraph" w:styleId="9">
    <w:name w:val="Plain Text"/>
    <w:basedOn w:val="1"/>
    <w:link w:val="41"/>
    <w:qFormat/>
    <w:uiPriority w:val="0"/>
    <w:rPr>
      <w:rFonts w:eastAsia="宋体"/>
      <w:sz w:val="24"/>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envelope return"/>
    <w:basedOn w:val="1"/>
    <w:unhideWhenUsed/>
    <w:qFormat/>
    <w:uiPriority w:val="99"/>
    <w:pPr>
      <w:snapToGrid w:val="0"/>
    </w:pPr>
    <w:rPr>
      <w:rFonts w:ascii="Arial" w:hAnsi="Arial"/>
    </w:rPr>
  </w:style>
  <w:style w:type="paragraph" w:styleId="12">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widowControl/>
      <w:spacing w:before="100" w:beforeAutospacing="1" w:after="100" w:afterAutospacing="1"/>
      <w:jc w:val="left"/>
    </w:pPr>
    <w:rPr>
      <w:rFonts w:ascii="宋体" w:hAnsi="宋体"/>
      <w:kern w:val="0"/>
      <w:sz w:val="24"/>
    </w:rPr>
  </w:style>
  <w:style w:type="paragraph" w:styleId="14">
    <w:name w:val="Normal (Web)"/>
    <w:basedOn w:val="1"/>
    <w:qFormat/>
    <w:uiPriority w:val="99"/>
    <w:rPr>
      <w:rFonts w:ascii="Calibri" w:hAnsi="Calibri" w:eastAsia="宋体" w:cs="Times New Roman"/>
      <w:sz w:val="24"/>
      <w:szCs w:val="24"/>
    </w:rPr>
  </w:style>
  <w:style w:type="paragraph" w:styleId="15">
    <w:name w:val="Body Text First Indent"/>
    <w:basedOn w:val="7"/>
    <w:next w:val="16"/>
    <w:qFormat/>
    <w:uiPriority w:val="0"/>
    <w:pPr>
      <w:spacing w:after="120"/>
      <w:ind w:firstLine="420" w:firstLineChars="100"/>
    </w:pPr>
    <w:rPr>
      <w:rFonts w:ascii="Times New Roman" w:eastAsia="宋体"/>
      <w:szCs w:val="24"/>
    </w:rPr>
  </w:style>
  <w:style w:type="paragraph" w:styleId="16">
    <w:name w:val="Body Text First Indent 2"/>
    <w:basedOn w:val="8"/>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Strong"/>
    <w:basedOn w:val="19"/>
    <w:qFormat/>
    <w:uiPriority w:val="0"/>
    <w:rPr>
      <w:b/>
    </w:rPr>
  </w:style>
  <w:style w:type="character" w:styleId="21">
    <w:name w:val="FollowedHyperlink"/>
    <w:basedOn w:val="19"/>
    <w:qFormat/>
    <w:uiPriority w:val="0"/>
    <w:rPr>
      <w:color w:val="800080"/>
      <w:u w:val="none"/>
    </w:rPr>
  </w:style>
  <w:style w:type="character" w:styleId="22">
    <w:name w:val="HTML Definition"/>
    <w:basedOn w:val="19"/>
    <w:qFormat/>
    <w:uiPriority w:val="0"/>
  </w:style>
  <w:style w:type="character" w:styleId="23">
    <w:name w:val="HTML Typewriter"/>
    <w:basedOn w:val="19"/>
    <w:qFormat/>
    <w:uiPriority w:val="0"/>
    <w:rPr>
      <w:rFonts w:ascii="monospace" w:hAnsi="monospace" w:eastAsia="monospace" w:cs="monospace"/>
      <w:sz w:val="20"/>
    </w:rPr>
  </w:style>
  <w:style w:type="character" w:styleId="24">
    <w:name w:val="HTML Acronym"/>
    <w:basedOn w:val="19"/>
    <w:qFormat/>
    <w:uiPriority w:val="0"/>
  </w:style>
  <w:style w:type="character" w:styleId="25">
    <w:name w:val="HTML Variable"/>
    <w:basedOn w:val="19"/>
    <w:qFormat/>
    <w:uiPriority w:val="0"/>
  </w:style>
  <w:style w:type="character" w:styleId="26">
    <w:name w:val="Hyperlink"/>
    <w:basedOn w:val="19"/>
    <w:unhideWhenUsed/>
    <w:qFormat/>
    <w:uiPriority w:val="0"/>
    <w:rPr>
      <w:color w:val="0000FF"/>
      <w:u w:val="single"/>
    </w:rPr>
  </w:style>
  <w:style w:type="character" w:styleId="27">
    <w:name w:val="HTML Code"/>
    <w:basedOn w:val="19"/>
    <w:qFormat/>
    <w:uiPriority w:val="0"/>
    <w:rPr>
      <w:rFonts w:hint="default" w:ascii="monospace" w:hAnsi="monospace" w:eastAsia="monospace" w:cs="monospace"/>
      <w:sz w:val="20"/>
    </w:rPr>
  </w:style>
  <w:style w:type="character" w:styleId="28">
    <w:name w:val="HTML Cite"/>
    <w:basedOn w:val="19"/>
    <w:qFormat/>
    <w:uiPriority w:val="0"/>
  </w:style>
  <w:style w:type="character" w:styleId="29">
    <w:name w:val="HTML Keyboard"/>
    <w:basedOn w:val="19"/>
    <w:qFormat/>
    <w:uiPriority w:val="0"/>
    <w:rPr>
      <w:rFonts w:hint="default" w:ascii="monospace" w:hAnsi="monospace" w:eastAsia="monospace" w:cs="monospace"/>
      <w:sz w:val="20"/>
    </w:rPr>
  </w:style>
  <w:style w:type="character" w:styleId="30">
    <w:name w:val="HTML Sample"/>
    <w:basedOn w:val="19"/>
    <w:qFormat/>
    <w:uiPriority w:val="0"/>
    <w:rPr>
      <w:rFonts w:hint="default" w:ascii="monospace" w:hAnsi="monospace" w:eastAsia="monospace" w:cs="monospace"/>
    </w:rPr>
  </w:style>
  <w:style w:type="paragraph" w:customStyle="1" w:styleId="31">
    <w:name w:val="列出段落1"/>
    <w:basedOn w:val="1"/>
    <w:qFormat/>
    <w:uiPriority w:val="99"/>
    <w:pPr>
      <w:ind w:firstLine="420" w:firstLineChars="200"/>
    </w:pPr>
  </w:style>
  <w:style w:type="paragraph" w:customStyle="1" w:styleId="32">
    <w:name w:val="表格文字"/>
    <w:basedOn w:val="1"/>
    <w:next w:val="7"/>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3">
    <w:name w:val="*正文"/>
    <w:basedOn w:val="1"/>
    <w:qFormat/>
    <w:uiPriority w:val="0"/>
    <w:pPr>
      <w:keepNext/>
      <w:keepLines/>
      <w:spacing w:line="360" w:lineRule="auto"/>
      <w:ind w:firstLine="200" w:firstLineChars="200"/>
    </w:pPr>
    <w:rPr>
      <w:rFonts w:ascii="宋体" w:hAnsi="宋体"/>
    </w:rPr>
  </w:style>
  <w:style w:type="paragraph" w:customStyle="1" w:styleId="34">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5">
    <w:name w:val="List Paragraph"/>
    <w:basedOn w:val="1"/>
    <w:unhideWhenUsed/>
    <w:qFormat/>
    <w:uiPriority w:val="99"/>
    <w:pPr>
      <w:ind w:firstLine="420" w:firstLineChars="200"/>
    </w:pPr>
  </w:style>
  <w:style w:type="paragraph" w:customStyle="1" w:styleId="36">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7">
    <w:name w:val="正文文本缩进1"/>
    <w:basedOn w:val="1"/>
    <w:link w:val="46"/>
    <w:qFormat/>
    <w:uiPriority w:val="0"/>
    <w:pPr>
      <w:spacing w:line="360" w:lineRule="auto"/>
      <w:ind w:firstLine="480" w:firstLineChars="200"/>
    </w:pPr>
    <w:rPr>
      <w:rFonts w:ascii="宋体"/>
      <w:sz w:val="24"/>
    </w:rPr>
  </w:style>
  <w:style w:type="paragraph" w:customStyle="1" w:styleId="3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9">
    <w:name w:val="日期1"/>
    <w:basedOn w:val="1"/>
    <w:next w:val="1"/>
    <w:link w:val="47"/>
    <w:qFormat/>
    <w:uiPriority w:val="0"/>
    <w:rPr>
      <w:sz w:val="24"/>
    </w:rPr>
  </w:style>
  <w:style w:type="character" w:customStyle="1" w:styleId="40">
    <w:name w:val="页眉 Char"/>
    <w:basedOn w:val="19"/>
    <w:link w:val="12"/>
    <w:qFormat/>
    <w:uiPriority w:val="0"/>
    <w:rPr>
      <w:kern w:val="2"/>
      <w:sz w:val="18"/>
      <w:szCs w:val="18"/>
    </w:rPr>
  </w:style>
  <w:style w:type="character" w:customStyle="1" w:styleId="41">
    <w:name w:val="纯文本 Char"/>
    <w:basedOn w:val="19"/>
    <w:link w:val="9"/>
    <w:qFormat/>
    <w:uiPriority w:val="0"/>
    <w:rPr>
      <w:rFonts w:eastAsia="宋体"/>
      <w:kern w:val="2"/>
      <w:sz w:val="24"/>
      <w:szCs w:val="22"/>
    </w:rPr>
  </w:style>
  <w:style w:type="character" w:customStyle="1" w:styleId="42">
    <w:name w:val="正文文本 Char"/>
    <w:basedOn w:val="19"/>
    <w:link w:val="7"/>
    <w:qFormat/>
    <w:uiPriority w:val="99"/>
    <w:rPr>
      <w:kern w:val="2"/>
      <w:sz w:val="21"/>
      <w:szCs w:val="22"/>
    </w:rPr>
  </w:style>
  <w:style w:type="character" w:customStyle="1" w:styleId="43">
    <w:name w:val="NormalCharacter"/>
    <w:qFormat/>
    <w:uiPriority w:val="0"/>
  </w:style>
  <w:style w:type="paragraph" w:customStyle="1" w:styleId="44">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5">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6">
    <w:name w:val="正文文本缩进 Char Char"/>
    <w:link w:val="37"/>
    <w:qFormat/>
    <w:uiPriority w:val="0"/>
    <w:rPr>
      <w:rFonts w:ascii="宋体"/>
      <w:kern w:val="2"/>
      <w:sz w:val="24"/>
      <w:szCs w:val="22"/>
    </w:rPr>
  </w:style>
  <w:style w:type="character" w:customStyle="1" w:styleId="47">
    <w:name w:val="日期 Char Char"/>
    <w:link w:val="39"/>
    <w:qFormat/>
    <w:uiPriority w:val="0"/>
    <w:rPr>
      <w:kern w:val="2"/>
      <w:sz w:val="24"/>
      <w:szCs w:val="22"/>
    </w:rPr>
  </w:style>
  <w:style w:type="paragraph" w:customStyle="1" w:styleId="48">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9">
    <w:name w:val="Table Paragraph"/>
    <w:basedOn w:val="1"/>
    <w:qFormat/>
    <w:uiPriority w:val="1"/>
    <w:rPr>
      <w:rFonts w:ascii="宋体" w:hAnsi="宋体" w:eastAsia="宋体" w:cs="宋体"/>
      <w:lang w:val="en-US" w:eastAsia="zh-CN" w:bidi="ar-SA"/>
    </w:rPr>
  </w:style>
  <w:style w:type="character" w:customStyle="1" w:styleId="50">
    <w:name w:val="layui-this"/>
    <w:basedOn w:val="19"/>
    <w:qFormat/>
    <w:uiPriority w:val="0"/>
    <w:rPr>
      <w:bdr w:val="single" w:color="EEEEEE" w:sz="4" w:space="0"/>
      <w:shd w:val="clear" w:fill="FFFFFF"/>
    </w:rPr>
  </w:style>
  <w:style w:type="character" w:customStyle="1" w:styleId="51">
    <w:name w:val="first-child"/>
    <w:basedOn w:val="19"/>
    <w:qFormat/>
    <w:uiPriority w:val="0"/>
  </w:style>
  <w:style w:type="character" w:customStyle="1" w:styleId="52">
    <w:name w:val="hover5"/>
    <w:basedOn w:val="19"/>
    <w:qFormat/>
    <w:uiPriority w:val="0"/>
    <w:rPr>
      <w:color w:val="0282FF"/>
    </w:rPr>
  </w:style>
  <w:style w:type="character" w:customStyle="1" w:styleId="53">
    <w:name w:val="nth-child(n+2)"/>
    <w:basedOn w:val="19"/>
    <w:qFormat/>
    <w:uiPriority w:val="0"/>
  </w:style>
  <w:style w:type="paragraph" w:customStyle="1" w:styleId="54">
    <w:name w:val="Table Text"/>
    <w:basedOn w:val="1"/>
    <w:semiHidden/>
    <w:qFormat/>
    <w:uiPriority w:val="0"/>
    <w:rPr>
      <w:rFonts w:ascii="宋体" w:hAnsi="宋体" w:eastAsia="宋体" w:cs="宋体"/>
      <w:sz w:val="20"/>
      <w:szCs w:val="20"/>
      <w:lang w:val="en-US" w:eastAsia="en-US" w:bidi="ar-SA"/>
    </w:rPr>
  </w:style>
  <w:style w:type="table" w:customStyle="1" w:styleId="5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7d13a6da-6469-48af-9aee-5073a0741547</errorID>
      <errorWord>日至2026年</errorWord>
      <group>L1_Word</group>
      <groupName>字词问题</groupName>
      <ability>L2_Typo</ability>
      <abilityName>字词错误</abilityName>
      <candidateList>
        <item>日起至2026年</item>
      </candidateList>
      <explain/>
      <paraID>6A242304</paraID>
      <start>13</start>
      <end>20</end>
      <status>ignored</status>
      <modifiedWord/>
      <trackRevisions>false</trackRevisions>
    </reviewItem>
    <reviewItem>
      <errorID>cba39c11-9d33-4e9f-ae03-55edd50a7f2c</errorID>
      <errorWord>上午00:00</errorWord>
      <group>L1_Knowledge</group>
      <groupName>知识性问题</groupName>
      <ability>L2_Time</ability>
      <abilityName>日期时间</abilityName>
      <candidateList/>
      <explain>时间与前缀不匹配，可能的时间前缀有“下午、晚上、凌晨、午夜”。</explain>
      <paraID>6A242304</paraID>
      <start>28</start>
      <end>35</end>
      <status>ignored</status>
      <modifiedWord/>
      <trackRevisions>false</trackRevisions>
    </reviewItem>
    <reviewItem>
      <errorID>9b3114bc-4d5b-498c-9afc-1dc2fd58b86a</errorID>
      <errorWord>.</errorWord>
      <group>L1_Format</group>
      <groupName>格式问题</groupName>
      <ability>L2_HalfPunc_CN</ability>
      <abilityName>全半角问题</abilityName>
      <candidateList>
        <item>。</item>
      </candidateList>
      <explain>文本全半角错误。</explain>
      <paraID>4CE7E3EF</paraID>
      <start>81</start>
      <end>82</end>
      <status>ignored</status>
      <modifiedWord/>
      <trackRevisions>false</trackRevisions>
    </reviewItem>
    <reviewItem>
      <errorID>fe6e2f9f-edfd-421f-a45c-d3332c3f2148</errorID>
      <errorWord>.</errorWord>
      <group>L1_Format</group>
      <groupName>格式问题</groupName>
      <ability>L2_HalfPunc_CN</ability>
      <abilityName>全半角问题</abilityName>
      <candidateList>
        <item>。</item>
      </candidateList>
      <explain>文本全半角错误。</explain>
      <paraID>62152F4E</paraID>
      <start>68</start>
      <end>69</end>
      <status>ignored</status>
      <modifiedWord/>
      <trackRevisions>false</trackRevisions>
    </reviewItem>
    <reviewItem>
      <errorID>baa14526-18a8-4908-8143-d46cee368a36</errorID>
      <errorWord>.</errorWord>
      <group>L1_Format</group>
      <groupName>格式问题</groupName>
      <ability>L2_HalfPunc_CN</ability>
      <abilityName>全半角问题</abilityName>
      <candidateList>
        <item>。</item>
      </candidateList>
      <explain>文本全半角错误。</explain>
      <paraID>62152F4E</paraID>
      <start>75</start>
      <end>76</end>
      <status>ignored</status>
      <modifiedWord/>
      <trackRevisions>false</trackRevisions>
    </reviewItem>
    <reviewItem>
      <errorID>8ddca31a-342e-49b6-a3e2-b93181e32e7f</errorID>
      <errorWord>“.</errorWord>
      <group>L1_Punc</group>
      <groupName>标点问题</groupName>
      <ability>L2_Punc_CN</ability>
      <abilityName>标点符号问题</abilityName>
      <candidateList>
        <item>“</item>
      </candidateList>
      <explain/>
      <paraID>62152F4E</paraID>
      <start>91</start>
      <end>93</end>
      <status>ignored</status>
      <modifiedWord/>
      <trackRevisions>false</trackRevisions>
    </reviewItem>
    <reviewItem>
      <errorID>551137db-1771-4de7-b92a-cd9420f38f7d</errorID>
      <errorWord>.</errorWord>
      <group>L1_Format</group>
      <groupName>格式问题</groupName>
      <ability>L2_HalfPunc_CN</ability>
      <abilityName>全半角问题</abilityName>
      <candidateList>
        <item>。</item>
      </candidateList>
      <explain>文本全半角错误。</explain>
      <paraID>70FD8290</paraID>
      <start>72</start>
      <end>73</end>
      <status>ignored</status>
      <modifiedWord/>
      <trackRevisions>false</trackRevisions>
    </reviewItem>
    <reviewItem>
      <errorID>089cae32-95c2-4d60-9e01-78b2d4376f93</errorID>
      <errorWord>.</errorWord>
      <group>L1_Format</group>
      <groupName>格式问题</groupName>
      <ability>L2_HalfPunc_CN</ability>
      <abilityName>全半角问题</abilityName>
      <candidateList>
        <item>。</item>
      </candidateList>
      <explain>文本全半角错误。</explain>
      <paraID>5886C549</paraID>
      <start>65</start>
      <end>66</end>
      <status>ignored</status>
      <modifiedWord/>
      <trackRevisions>false</trackRevisions>
    </reviewItem>
    <reviewItem>
      <errorID>38333d52-86ec-45c5-b405-445d0c94508e</errorID>
      <errorWord>.</errorWord>
      <group>L1_Format</group>
      <groupName>格式问题</groupName>
      <ability>L2_HalfPunc_CN</ability>
      <abilityName>全半角问题</abilityName>
      <candidateList>
        <item>。</item>
      </candidateList>
      <explain>文本全半角错误。</explain>
      <paraID>5886C549</paraID>
      <start>72</start>
      <end>73</end>
      <status>ignored</status>
      <modifiedWord/>
      <trackRevisions>false</trackRevisions>
    </reviewItem>
    <reviewItem>
      <errorID>dc50c8dc-d117-467b-9987-4d09c90cf498</errorID>
      <errorWord>“.</errorWord>
      <group>L1_Punc</group>
      <groupName>标点问题</groupName>
      <ability>L2_Punc_CN</ability>
      <abilityName>标点符号问题</abilityName>
      <candidateList>
        <item>“</item>
      </candidateList>
      <explain/>
      <paraID>5886C549</paraID>
      <start>88</start>
      <end>90</end>
      <status>ignored</status>
      <modifiedWord/>
      <trackRevisions>false</trackRevisions>
    </reviewItem>
    <reviewItem>
      <errorID>129ab4c2-4821-4c2b-b5e2-76e8ca1f4bc6</errorID>
      <errorWord>.</errorWord>
      <group>L1_Format</group>
      <groupName>格式问题</groupName>
      <ability>L2_HalfPunc_CN</ability>
      <abilityName>全半角问题</abilityName>
      <candidateList>
        <item>。</item>
      </candidateList>
      <explain>文本全半角错误。</explain>
      <paraID>20D630E7</paraID>
      <start>33</start>
      <end>34</end>
      <status>ignored</status>
      <modifiedWord/>
      <trackRevisions>false</trackRevisions>
    </reviewItem>
    <reviewItem>
      <errorID>5d1d6ddd-18e0-4960-9b15-55d6e060973c</errorID>
      <errorWord>“.</errorWord>
      <group>L1_Punc</group>
      <groupName>标点问题</groupName>
      <ability>L2_Punc_CN</ability>
      <abilityName>标点符号问题</abilityName>
      <candidateList>
        <item>“</item>
      </candidateList>
      <explain/>
      <paraID>6A359436</paraID>
      <start>49</start>
      <end>51</end>
      <status>ignored</status>
      <modifiedWord/>
      <trackRevisions>false</trackRevisions>
    </reviewItem>
    <reviewItem>
      <errorID>9ba3f3da-0bcc-42d0-ab51-f8938dea6e43</errorID>
      <errorWord>[2023]002号</errorWord>
      <group>L1_Knowledge</group>
      <groupName>知识性问题</groupName>
      <ability>L2_Knowledge</ability>
      <abilityName>其他知识</abilityName>
      <candidateList>
        <item>〔2023〕2号</item>
      </candidateList>
      <explain>发文字号格式错误。</explain>
      <paraID>7A89610F</paraID>
      <start>40</start>
      <end>50</end>
      <status>ignored</status>
      <modifiedWord/>
      <trackRevisions>false</trackRevisions>
    </reviewItem>
    <reviewItem>
      <errorID>5a00e00d-cd5d-46c0-bd5e-0a6158892b22</errorID>
      <errorWord>.</errorWord>
      <group>L1_Format</group>
      <groupName>格式问题</groupName>
      <ability>L2_HalfPunc_CN</ability>
      <abilityName>全半角问题</abilityName>
      <candidateList>
        <item>。</item>
      </candidateList>
      <explain>文本全半角错误。</explain>
      <paraID>2F92D85D</paraID>
      <start>101</start>
      <end>102</end>
      <status>ignored</status>
      <modifiedWord/>
      <trackRevisions>false</trackRevisions>
    </reviewItem>
    <reviewItem>
      <errorID>be49c235-3382-4ba2-ac4b-1ac3baece781</errorID>
      <errorWord>.</errorWord>
      <group>L1_Format</group>
      <groupName>格式问题</groupName>
      <ability>L2_HalfPunc_CN</ability>
      <abilityName>全半角问题</abilityName>
      <candidateList>
        <item>。</item>
      </candidateList>
      <explain>文本全半角错误。</explain>
      <paraID>2F92D85D</paraID>
      <start>108</start>
      <end>109</end>
      <status>ignored</status>
      <modifiedWord/>
      <trackRevisions>false</trackRevisions>
    </reviewItem>
    <reviewItem>
      <errorID>b53d5ecd-967b-456b-9731-ca7ca03d7356</errorID>
      <errorWord>“.</errorWord>
      <group>L1_Punc</group>
      <groupName>标点问题</groupName>
      <ability>L2_Punc_CN</ability>
      <abilityName>标点符号问题</abilityName>
      <candidateList>
        <item>“</item>
      </candidateList>
      <explain/>
      <paraID>2F92D85D</paraID>
      <start>124</start>
      <end>126</end>
      <status>ignored</status>
      <modifiedWord/>
      <trackRevisions>false</trackRevisions>
    </reviewItem>
    <reviewItem>
      <errorID>701bc163-3985-4840-904d-f1b023cc7bfd</errorID>
      <errorWord>.</errorWord>
      <group>L1_Format</group>
      <groupName>格式问题</groupName>
      <ability>L2_HalfPunc_CN</ability>
      <abilityName>全半角问题</abilityName>
      <candidateList>
        <item>。</item>
      </candidateList>
      <explain>文本全半角错误。</explain>
      <paraID>670BDE9A</paraID>
      <start>55</start>
      <end>56</end>
      <status>ignored</status>
      <modifiedWord/>
      <trackRevisions>false</trackRevisions>
    </reviewItem>
    <reviewItem>
      <errorID>0195cf4f-3b89-42c9-9384-cd49d19fe243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11A38AA1</paraID>
      <start>50</start>
      <end>51</end>
      <status>ignored</status>
      <modifiedWord/>
      <trackRevisions>false</trackRevisions>
    </reviewItem>
    <reviewItem>
      <errorID>49aaf7e8-a83d-4413-ac1e-0993e94419e7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6A972132</paraID>
      <start>50</start>
      <end>51</end>
      <status>ignored</status>
      <modifiedWord/>
      <trackRevisions>false</trackRevisions>
    </reviewItem>
    <reviewItem>
      <errorID>f876f8fc-0601-4889-8982-d77234bd1ed8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6D96C1C9</paraID>
      <start>35</start>
      <end>36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b2c9c1-25c0-484b-9cf8-c72ef6dea207}">
  <ds:schemaRefs/>
</ds:datastoreItem>
</file>

<file path=docProps/app.xml><?xml version="1.0" encoding="utf-8"?>
<Properties xmlns="http://schemas.openxmlformats.org/officeDocument/2006/extended-properties" xmlns:vt="http://schemas.openxmlformats.org/officeDocument/2006/docPropsVTypes">
  <Template>Normal</Template>
  <Pages>66</Pages>
  <Words>8143</Words>
  <Characters>8684</Characters>
  <Lines>313</Lines>
  <Paragraphs>88</Paragraphs>
  <TotalTime>12</TotalTime>
  <ScaleCrop>false</ScaleCrop>
  <LinksUpToDate>false</LinksUpToDate>
  <CharactersWithSpaces>8732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Administrator</cp:lastModifiedBy>
  <cp:lastPrinted>2026-09-03T02:07:44Z</cp:lastPrinted>
  <dcterms:modified xsi:type="dcterms:W3CDTF">2026-09-03T02:10:34Z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6CFA49EB0508429DAA231D38BA228D67_13</vt:lpwstr>
  </property>
  <property fmtid="{D5CDD505-2E9C-101B-9397-08002B2CF9AE}" pid="4" name="KSOTemplateDocerSaveRecord">
    <vt:lpwstr>eyJoZGlkIjoiYzc3ZjE3ZmVjZjMyZjE2MzUwYzE2YWE4MTQ5OWRjYzYiLCJ1c2VySWQiOiIxNTUwNTcwODY2In0=</vt:lpwstr>
  </property>
</Properties>
</file>