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B1DDE">
      <w:pPr>
        <w:jc w:val="center"/>
        <w:rPr>
          <w:rFonts w:hint="eastAsia" w:ascii="宋体" w:hAnsi="宋体" w:eastAsia="宋体" w:cs="宋体"/>
          <w:b/>
          <w:bCs/>
          <w:color w:val="auto"/>
          <w:sz w:val="44"/>
          <w:szCs w:val="44"/>
          <w:lang w:eastAsia="zh-CN"/>
        </w:rPr>
      </w:pPr>
      <w:r>
        <w:rPr>
          <w:rFonts w:hint="eastAsia" w:ascii="宋体" w:hAnsi="宋体" w:eastAsia="宋体" w:cs="宋体"/>
          <w:b/>
          <w:bCs/>
          <w:color w:val="auto"/>
          <w:sz w:val="44"/>
          <w:szCs w:val="44"/>
          <w:lang w:eastAsia="zh-CN"/>
        </w:rPr>
        <w:t>禹州市农业农村局2026年补充耕地</w:t>
      </w:r>
    </w:p>
    <w:p w14:paraId="2B89CE56">
      <w:pPr>
        <w:jc w:val="center"/>
        <w:rPr>
          <w:rFonts w:hint="eastAsia" w:ascii="宋体" w:hAnsi="宋体" w:eastAsia="宋体" w:cs="宋体"/>
          <w:b/>
          <w:bCs/>
          <w:color w:val="auto"/>
          <w:sz w:val="44"/>
          <w:szCs w:val="44"/>
          <w:lang w:eastAsia="zh-CN"/>
        </w:rPr>
      </w:pPr>
      <w:r>
        <w:rPr>
          <w:rFonts w:hint="eastAsia" w:ascii="宋体" w:hAnsi="宋体" w:eastAsia="宋体" w:cs="宋体"/>
          <w:b/>
          <w:bCs/>
          <w:color w:val="auto"/>
          <w:sz w:val="44"/>
          <w:szCs w:val="44"/>
          <w:lang w:eastAsia="zh-CN"/>
        </w:rPr>
        <w:t>质量验收项目</w:t>
      </w:r>
    </w:p>
    <w:p w14:paraId="2B89CE57">
      <w:pPr>
        <w:pStyle w:val="6"/>
        <w:rPr>
          <w:rFonts w:hint="eastAsia" w:ascii="宋体" w:hAnsi="宋体" w:eastAsia="宋体" w:cs="宋体"/>
          <w:bCs/>
          <w:color w:val="auto"/>
          <w:w w:val="90"/>
          <w:sz w:val="72"/>
          <w:szCs w:val="72"/>
        </w:rPr>
      </w:pPr>
    </w:p>
    <w:p w14:paraId="2B89CE58">
      <w:pPr>
        <w:pStyle w:val="25"/>
        <w:rPr>
          <w:rFonts w:hint="eastAsia" w:ascii="宋体" w:hAnsi="宋体" w:eastAsia="宋体" w:cs="宋体"/>
          <w:color w:val="auto"/>
        </w:rPr>
      </w:pPr>
    </w:p>
    <w:p w14:paraId="138B7F63">
      <w:pPr>
        <w:pStyle w:val="26"/>
        <w:rPr>
          <w:rFonts w:hint="eastAsia" w:ascii="宋体" w:hAnsi="宋体" w:eastAsia="宋体" w:cs="宋体"/>
          <w:color w:val="auto"/>
        </w:rPr>
      </w:pPr>
    </w:p>
    <w:p w14:paraId="29F4982E">
      <w:pPr>
        <w:rPr>
          <w:rFonts w:hint="eastAsia" w:ascii="宋体" w:hAnsi="宋体" w:eastAsia="宋体" w:cs="宋体"/>
          <w:color w:val="auto"/>
        </w:rPr>
      </w:pPr>
    </w:p>
    <w:p w14:paraId="104EF1B9">
      <w:pPr>
        <w:pStyle w:val="16"/>
        <w:rPr>
          <w:rFonts w:hint="eastAsia" w:ascii="宋体" w:hAnsi="宋体" w:eastAsia="宋体" w:cs="宋体"/>
          <w:color w:val="auto"/>
        </w:rPr>
      </w:pPr>
    </w:p>
    <w:p w14:paraId="179B1CAA">
      <w:pPr>
        <w:pStyle w:val="9"/>
        <w:rPr>
          <w:rFonts w:hint="eastAsia" w:ascii="宋体" w:hAnsi="宋体" w:eastAsia="宋体" w:cs="宋体"/>
        </w:rPr>
      </w:pPr>
    </w:p>
    <w:p w14:paraId="2B89CE59">
      <w:pPr>
        <w:pStyle w:val="6"/>
        <w:rPr>
          <w:rFonts w:hint="eastAsia" w:ascii="宋体" w:hAnsi="宋体" w:eastAsia="宋体" w:cs="宋体"/>
          <w:color w:val="auto"/>
        </w:rPr>
      </w:pPr>
    </w:p>
    <w:p w14:paraId="2B89CE5A">
      <w:pPr>
        <w:jc w:val="center"/>
        <w:rPr>
          <w:rFonts w:hint="eastAsia" w:ascii="宋体" w:hAnsi="宋体" w:eastAsia="宋体" w:cs="宋体"/>
          <w:b/>
          <w:bCs w:val="0"/>
          <w:color w:val="auto"/>
          <w:w w:val="90"/>
          <w:sz w:val="72"/>
          <w:szCs w:val="72"/>
        </w:rPr>
      </w:pPr>
      <w:r>
        <w:rPr>
          <w:rFonts w:hint="eastAsia" w:ascii="宋体" w:hAnsi="宋体" w:eastAsia="宋体" w:cs="宋体"/>
          <w:b/>
          <w:bCs w:val="0"/>
          <w:color w:val="auto"/>
          <w:w w:val="90"/>
          <w:sz w:val="72"/>
          <w:szCs w:val="72"/>
        </w:rPr>
        <w:t>招 标 文 件</w:t>
      </w:r>
    </w:p>
    <w:p w14:paraId="2B89CE5B">
      <w:pPr>
        <w:rPr>
          <w:rFonts w:hint="eastAsia" w:ascii="宋体" w:hAnsi="宋体" w:eastAsia="宋体" w:cs="宋体"/>
          <w:color w:val="auto"/>
        </w:rPr>
      </w:pPr>
    </w:p>
    <w:p w14:paraId="2B89CE5C">
      <w:pPr>
        <w:rPr>
          <w:rFonts w:hint="eastAsia" w:ascii="宋体" w:hAnsi="宋体" w:eastAsia="宋体" w:cs="宋体"/>
          <w:color w:val="auto"/>
        </w:rPr>
      </w:pPr>
    </w:p>
    <w:p w14:paraId="2B89CE5D">
      <w:pPr>
        <w:rPr>
          <w:rFonts w:hint="eastAsia" w:ascii="宋体" w:hAnsi="宋体" w:eastAsia="宋体" w:cs="宋体"/>
          <w:color w:val="auto"/>
        </w:rPr>
      </w:pPr>
    </w:p>
    <w:p w14:paraId="2B89CE5E">
      <w:pPr>
        <w:rPr>
          <w:rFonts w:hint="eastAsia" w:ascii="宋体" w:hAnsi="宋体" w:eastAsia="宋体" w:cs="宋体"/>
          <w:color w:val="auto"/>
        </w:rPr>
      </w:pPr>
    </w:p>
    <w:p w14:paraId="2B89CE5F">
      <w:pPr>
        <w:rPr>
          <w:rFonts w:hint="eastAsia" w:ascii="宋体" w:hAnsi="宋体" w:eastAsia="宋体" w:cs="宋体"/>
          <w:color w:val="auto"/>
        </w:rPr>
      </w:pPr>
    </w:p>
    <w:p w14:paraId="2B89CE60">
      <w:pPr>
        <w:rPr>
          <w:rFonts w:hint="eastAsia" w:ascii="宋体" w:hAnsi="宋体" w:eastAsia="宋体" w:cs="宋体"/>
          <w:color w:val="auto"/>
        </w:rPr>
      </w:pPr>
    </w:p>
    <w:p w14:paraId="2B89CE61">
      <w:pPr>
        <w:rPr>
          <w:rFonts w:hint="eastAsia" w:ascii="宋体" w:hAnsi="宋体" w:eastAsia="宋体" w:cs="宋体"/>
          <w:color w:val="auto"/>
        </w:rPr>
      </w:pPr>
    </w:p>
    <w:p w14:paraId="2B89CE66">
      <w:pPr>
        <w:pStyle w:val="25"/>
        <w:rPr>
          <w:rFonts w:hint="eastAsia" w:ascii="宋体" w:hAnsi="宋体" w:eastAsia="宋体" w:cs="宋体"/>
          <w:color w:val="auto"/>
        </w:rPr>
      </w:pPr>
    </w:p>
    <w:p w14:paraId="2B89CE67">
      <w:pPr>
        <w:pStyle w:val="26"/>
        <w:rPr>
          <w:rFonts w:hint="eastAsia" w:ascii="宋体" w:hAnsi="宋体" w:eastAsia="宋体" w:cs="宋体"/>
          <w:color w:val="auto"/>
        </w:rPr>
      </w:pPr>
    </w:p>
    <w:p w14:paraId="2B89CE68">
      <w:pPr>
        <w:spacing w:line="600" w:lineRule="exact"/>
        <w:ind w:firstLine="1066" w:firstLineChars="295"/>
        <w:rPr>
          <w:rFonts w:hint="default" w:ascii="宋体" w:hAnsi="宋体" w:eastAsia="宋体" w:cs="宋体"/>
          <w:b/>
          <w:bCs/>
          <w:color w:val="auto"/>
          <w:sz w:val="36"/>
          <w:szCs w:val="36"/>
          <w:lang w:val="en-US" w:eastAsia="zh-CN"/>
        </w:rPr>
      </w:pPr>
      <w:bookmarkStart w:id="0" w:name="_Hlk82421398"/>
      <w:r>
        <w:rPr>
          <w:rFonts w:hint="eastAsia" w:ascii="宋体" w:hAnsi="宋体" w:eastAsia="宋体" w:cs="宋体"/>
          <w:b/>
          <w:bCs/>
          <w:color w:val="auto"/>
          <w:sz w:val="36"/>
          <w:szCs w:val="36"/>
        </w:rPr>
        <w:t>采购编号：YZCG-DLG202</w:t>
      </w:r>
      <w:r>
        <w:rPr>
          <w:rFonts w:hint="eastAsia" w:ascii="宋体" w:hAnsi="宋体" w:eastAsia="宋体" w:cs="宋体"/>
          <w:b/>
          <w:bCs/>
          <w:color w:val="auto"/>
          <w:sz w:val="36"/>
          <w:szCs w:val="36"/>
          <w:lang w:val="en-US" w:eastAsia="zh-CN"/>
        </w:rPr>
        <w:t xml:space="preserve">6095 </w:t>
      </w:r>
    </w:p>
    <w:bookmarkEnd w:id="0"/>
    <w:p w14:paraId="2B89CE69">
      <w:pPr>
        <w:ind w:firstLine="1066" w:firstLineChars="295"/>
        <w:rPr>
          <w:rFonts w:hint="eastAsia" w:ascii="宋体" w:hAnsi="宋体" w:eastAsia="宋体" w:cs="宋体"/>
          <w:b/>
          <w:bCs/>
          <w:color w:val="auto"/>
          <w:sz w:val="36"/>
          <w:szCs w:val="36"/>
        </w:rPr>
      </w:pPr>
      <w:r>
        <w:rPr>
          <w:rFonts w:hint="eastAsia" w:ascii="宋体" w:hAnsi="宋体" w:eastAsia="宋体" w:cs="宋体"/>
          <w:b/>
          <w:bCs/>
          <w:color w:val="auto"/>
          <w:sz w:val="36"/>
          <w:szCs w:val="36"/>
        </w:rPr>
        <w:t>采购单位：禹州市农业农村局</w:t>
      </w:r>
    </w:p>
    <w:p w14:paraId="2B89CE6A">
      <w:pPr>
        <w:ind w:firstLine="1066" w:firstLineChars="295"/>
        <w:rPr>
          <w:rFonts w:hint="eastAsia" w:ascii="宋体" w:hAnsi="宋体" w:eastAsia="宋体" w:cs="宋体"/>
          <w:color w:val="auto"/>
        </w:rPr>
      </w:pPr>
      <w:r>
        <w:rPr>
          <w:rFonts w:hint="eastAsia" w:ascii="宋体" w:hAnsi="宋体" w:eastAsia="宋体" w:cs="宋体"/>
          <w:b/>
          <w:bCs/>
          <w:color w:val="auto"/>
          <w:sz w:val="36"/>
          <w:szCs w:val="36"/>
        </w:rPr>
        <w:t>代理机构：师梦勘测设计集团有限公司</w:t>
      </w:r>
    </w:p>
    <w:p w14:paraId="2B89CE6B">
      <w:pPr>
        <w:ind w:firstLine="1084" w:firstLineChars="300"/>
        <w:rPr>
          <w:rFonts w:hint="eastAsia" w:ascii="宋体" w:hAnsi="宋体" w:eastAsia="宋体" w:cs="宋体"/>
          <w:b/>
          <w:bCs/>
          <w:color w:val="auto"/>
          <w:sz w:val="36"/>
          <w:szCs w:val="36"/>
        </w:rPr>
      </w:pPr>
      <w:r>
        <w:rPr>
          <w:rFonts w:hint="eastAsia" w:ascii="宋体" w:hAnsi="宋体" w:eastAsia="宋体" w:cs="宋体"/>
          <w:b/>
          <w:bCs/>
          <w:color w:val="auto"/>
          <w:sz w:val="36"/>
          <w:szCs w:val="36"/>
        </w:rPr>
        <w:t>日    期：二〇二</w:t>
      </w:r>
      <w:r>
        <w:rPr>
          <w:rFonts w:hint="eastAsia" w:ascii="宋体" w:hAnsi="宋体" w:eastAsia="宋体" w:cs="宋体"/>
          <w:b/>
          <w:bCs/>
          <w:color w:val="auto"/>
          <w:sz w:val="36"/>
          <w:szCs w:val="36"/>
          <w:lang w:val="en-US" w:eastAsia="zh-CN"/>
        </w:rPr>
        <w:t>六</w:t>
      </w:r>
      <w:r>
        <w:rPr>
          <w:rFonts w:hint="eastAsia" w:ascii="宋体" w:hAnsi="宋体" w:eastAsia="宋体" w:cs="宋体"/>
          <w:b/>
          <w:bCs/>
          <w:color w:val="auto"/>
          <w:sz w:val="36"/>
          <w:szCs w:val="36"/>
        </w:rPr>
        <w:t>年</w:t>
      </w:r>
      <w:r>
        <w:rPr>
          <w:rFonts w:hint="eastAsia" w:ascii="宋体" w:hAnsi="宋体" w:eastAsia="宋体" w:cs="宋体"/>
          <w:b/>
          <w:bCs/>
          <w:color w:val="auto"/>
          <w:sz w:val="36"/>
          <w:szCs w:val="36"/>
          <w:lang w:val="en-US" w:eastAsia="zh-CN"/>
        </w:rPr>
        <w:t>九</w:t>
      </w:r>
      <w:r>
        <w:rPr>
          <w:rFonts w:hint="eastAsia" w:ascii="宋体" w:hAnsi="宋体" w:eastAsia="宋体" w:cs="宋体"/>
          <w:b/>
          <w:bCs/>
          <w:color w:val="auto"/>
          <w:sz w:val="36"/>
          <w:szCs w:val="36"/>
        </w:rPr>
        <w:t>月</w:t>
      </w:r>
    </w:p>
    <w:p w14:paraId="2B89CE6C">
      <w:pPr>
        <w:autoSpaceDE w:val="0"/>
        <w:autoSpaceDN w:val="0"/>
        <w:adjustRightInd w:val="0"/>
        <w:spacing w:line="700" w:lineRule="exact"/>
        <w:rPr>
          <w:rFonts w:hint="eastAsia" w:ascii="宋体" w:hAnsi="宋体" w:eastAsia="宋体" w:cs="宋体"/>
          <w:b/>
          <w:bCs/>
          <w:color w:val="auto"/>
          <w:sz w:val="44"/>
          <w:szCs w:val="44"/>
        </w:rPr>
        <w:sectPr>
          <w:pgSz w:w="11906" w:h="16838"/>
          <w:pgMar w:top="1928" w:right="1474" w:bottom="1928" w:left="1588" w:header="851" w:footer="992" w:gutter="0"/>
          <w:pgNumType w:start="1"/>
          <w:cols w:space="425" w:num="1"/>
          <w:docGrid w:type="lines" w:linePitch="312" w:charSpace="0"/>
        </w:sectPr>
      </w:pPr>
    </w:p>
    <w:p w14:paraId="2B89CE6D">
      <w:pPr>
        <w:autoSpaceDE w:val="0"/>
        <w:autoSpaceDN w:val="0"/>
        <w:adjustRightInd w:val="0"/>
        <w:spacing w:line="700" w:lineRule="exact"/>
        <w:jc w:val="center"/>
        <w:rPr>
          <w:rFonts w:hint="eastAsia" w:ascii="宋体" w:hAnsi="宋体" w:eastAsia="宋体" w:cs="宋体"/>
          <w:b/>
          <w:bCs/>
          <w:color w:val="auto"/>
          <w:sz w:val="44"/>
          <w:szCs w:val="44"/>
          <w:lang w:val="zh-CN"/>
        </w:rPr>
      </w:pPr>
      <w:r>
        <w:rPr>
          <w:rFonts w:hint="eastAsia" w:ascii="宋体" w:hAnsi="宋体" w:eastAsia="宋体" w:cs="宋体"/>
          <w:b/>
          <w:bCs/>
          <w:color w:val="auto"/>
          <w:sz w:val="44"/>
          <w:szCs w:val="44"/>
          <w:lang w:val="zh-CN"/>
        </w:rPr>
        <w:t>目    录</w:t>
      </w:r>
    </w:p>
    <w:p w14:paraId="2B89CE6E">
      <w:pPr>
        <w:autoSpaceDE w:val="0"/>
        <w:autoSpaceDN w:val="0"/>
        <w:adjustRightInd w:val="0"/>
        <w:spacing w:line="700" w:lineRule="exact"/>
        <w:ind w:firstLine="551"/>
        <w:rPr>
          <w:rFonts w:hint="eastAsia" w:ascii="宋体" w:hAnsi="宋体" w:eastAsia="宋体" w:cs="宋体"/>
          <w:b/>
          <w:bCs/>
          <w:color w:val="auto"/>
          <w:sz w:val="32"/>
          <w:szCs w:val="32"/>
          <w:lang w:val="zh-CN"/>
        </w:rPr>
      </w:pPr>
    </w:p>
    <w:p w14:paraId="2B89CE6F">
      <w:pPr>
        <w:autoSpaceDE w:val="0"/>
        <w:autoSpaceDN w:val="0"/>
        <w:adjustRightInd w:val="0"/>
        <w:spacing w:line="700" w:lineRule="exact"/>
        <w:ind w:firstLine="551"/>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第一章 投标邀请</w:t>
      </w:r>
    </w:p>
    <w:p w14:paraId="2B89CE70">
      <w:pPr>
        <w:autoSpaceDE w:val="0"/>
        <w:autoSpaceDN w:val="0"/>
        <w:adjustRightInd w:val="0"/>
        <w:spacing w:line="700" w:lineRule="exact"/>
        <w:ind w:firstLine="551"/>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第二章 项目需求</w:t>
      </w:r>
    </w:p>
    <w:p w14:paraId="2B89CE71">
      <w:pPr>
        <w:autoSpaceDE w:val="0"/>
        <w:autoSpaceDN w:val="0"/>
        <w:adjustRightInd w:val="0"/>
        <w:spacing w:line="700" w:lineRule="exact"/>
        <w:ind w:firstLine="560"/>
        <w:rPr>
          <w:rFonts w:hint="eastAsia" w:ascii="宋体" w:hAnsi="宋体" w:eastAsia="宋体" w:cs="宋体"/>
          <w:b/>
          <w:color w:val="auto"/>
          <w:kern w:val="0"/>
          <w:sz w:val="30"/>
          <w:szCs w:val="30"/>
        </w:rPr>
      </w:pPr>
      <w:r>
        <w:rPr>
          <w:rFonts w:hint="eastAsia" w:ascii="宋体" w:hAnsi="宋体" w:eastAsia="宋体" w:cs="宋体"/>
          <w:b/>
          <w:bCs/>
          <w:color w:val="auto"/>
          <w:sz w:val="30"/>
          <w:szCs w:val="30"/>
          <w:lang w:val="zh-CN"/>
        </w:rPr>
        <w:t xml:space="preserve">第三章 </w:t>
      </w:r>
      <w:r>
        <w:rPr>
          <w:rFonts w:hint="eastAsia" w:ascii="宋体" w:hAnsi="宋体" w:eastAsia="宋体" w:cs="宋体"/>
          <w:b/>
          <w:color w:val="auto"/>
          <w:kern w:val="0"/>
          <w:sz w:val="30"/>
          <w:szCs w:val="30"/>
        </w:rPr>
        <w:t>投标人须知前附表</w:t>
      </w:r>
    </w:p>
    <w:p w14:paraId="2B89CE72">
      <w:pPr>
        <w:autoSpaceDE w:val="0"/>
        <w:autoSpaceDN w:val="0"/>
        <w:adjustRightInd w:val="0"/>
        <w:spacing w:line="700" w:lineRule="exact"/>
        <w:ind w:firstLine="560"/>
        <w:rPr>
          <w:rFonts w:hint="eastAsia" w:ascii="宋体" w:hAnsi="宋体" w:eastAsia="宋体" w:cs="宋体"/>
          <w:b/>
          <w:color w:val="auto"/>
          <w:kern w:val="0"/>
          <w:sz w:val="30"/>
          <w:szCs w:val="30"/>
        </w:rPr>
      </w:pPr>
      <w:r>
        <w:rPr>
          <w:rFonts w:hint="eastAsia" w:ascii="宋体" w:hAnsi="宋体" w:eastAsia="宋体" w:cs="宋体"/>
          <w:b/>
          <w:bCs/>
          <w:color w:val="auto"/>
          <w:sz w:val="30"/>
          <w:szCs w:val="30"/>
          <w:lang w:val="zh-CN"/>
        </w:rPr>
        <w:t xml:space="preserve">第四章 </w:t>
      </w:r>
      <w:r>
        <w:rPr>
          <w:rFonts w:hint="eastAsia" w:ascii="宋体" w:hAnsi="宋体" w:eastAsia="宋体" w:cs="宋体"/>
          <w:b/>
          <w:color w:val="auto"/>
          <w:kern w:val="0"/>
          <w:sz w:val="30"/>
          <w:szCs w:val="30"/>
        </w:rPr>
        <w:t>投标人须知</w:t>
      </w:r>
    </w:p>
    <w:p w14:paraId="2B89CE73">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一、概念释义</w:t>
      </w:r>
    </w:p>
    <w:p w14:paraId="2B89CE74">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二、招标文件说明</w:t>
      </w:r>
    </w:p>
    <w:p w14:paraId="2B89CE75">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三、投标文件的编制</w:t>
      </w:r>
    </w:p>
    <w:p w14:paraId="2B89CE76">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四、投标文件的递交</w:t>
      </w:r>
    </w:p>
    <w:p w14:paraId="2B89CE77">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五、开标和评标</w:t>
      </w:r>
    </w:p>
    <w:p w14:paraId="2B89CE78">
      <w:pPr>
        <w:autoSpaceDE w:val="0"/>
        <w:autoSpaceDN w:val="0"/>
        <w:adjustRightInd w:val="0"/>
        <w:spacing w:line="700" w:lineRule="exact"/>
        <w:ind w:firstLine="551"/>
        <w:rPr>
          <w:rFonts w:hint="eastAsia" w:ascii="宋体" w:hAnsi="宋体" w:eastAsia="宋体" w:cs="宋体"/>
          <w:b/>
          <w:bCs/>
          <w:color w:val="auto"/>
          <w:sz w:val="30"/>
          <w:szCs w:val="30"/>
          <w:lang w:val="zh-CN"/>
        </w:rPr>
      </w:pPr>
      <w:r>
        <w:rPr>
          <w:rFonts w:hint="eastAsia" w:ascii="宋体" w:hAnsi="宋体" w:eastAsia="宋体" w:cs="宋体"/>
          <w:color w:val="auto"/>
          <w:sz w:val="30"/>
          <w:szCs w:val="30"/>
          <w:lang w:val="zh-CN"/>
        </w:rPr>
        <w:t>六、定标和授予合同</w:t>
      </w:r>
    </w:p>
    <w:p w14:paraId="2B89CE79">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第五章 政府采购政策功能</w:t>
      </w:r>
    </w:p>
    <w:p w14:paraId="2B89CE7A">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第六章 资格审查与评标</w:t>
      </w:r>
    </w:p>
    <w:p w14:paraId="2B89CE7B">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第七章 拟签订的合同文本</w:t>
      </w:r>
    </w:p>
    <w:p w14:paraId="2B89CE7C">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第八章 投标文件有关格式</w:t>
      </w:r>
    </w:p>
    <w:p w14:paraId="2B89CE7D">
      <w:pPr>
        <w:pStyle w:val="15"/>
        <w:ind w:firstLine="301"/>
        <w:rPr>
          <w:rFonts w:hint="eastAsia" w:ascii="宋体" w:hAnsi="宋体" w:eastAsia="宋体" w:cs="宋体"/>
          <w:b/>
          <w:bCs/>
          <w:color w:val="auto"/>
          <w:sz w:val="30"/>
          <w:szCs w:val="30"/>
          <w:lang w:val="zh-CN"/>
        </w:rPr>
      </w:pPr>
    </w:p>
    <w:p w14:paraId="2B89CE7E">
      <w:pPr>
        <w:pStyle w:val="16"/>
        <w:ind w:firstLine="480"/>
        <w:rPr>
          <w:rFonts w:hint="eastAsia" w:ascii="宋体" w:hAnsi="宋体" w:eastAsia="宋体" w:cs="宋体"/>
          <w:color w:val="auto"/>
        </w:rPr>
      </w:pPr>
    </w:p>
    <w:p w14:paraId="2B89CE7F">
      <w:pPr>
        <w:rPr>
          <w:rFonts w:hint="eastAsia" w:ascii="宋体" w:hAnsi="宋体" w:eastAsia="宋体" w:cs="宋体"/>
          <w:color w:val="auto"/>
        </w:rPr>
      </w:pPr>
    </w:p>
    <w:p w14:paraId="2B89CE80">
      <w:pPr>
        <w:pStyle w:val="6"/>
        <w:rPr>
          <w:rFonts w:hint="eastAsia" w:ascii="宋体" w:hAnsi="宋体" w:eastAsia="宋体" w:cs="宋体"/>
          <w:color w:val="auto"/>
        </w:rPr>
      </w:pPr>
    </w:p>
    <w:p w14:paraId="5D6F7296">
      <w:pPr>
        <w:pStyle w:val="6"/>
        <w:rPr>
          <w:rFonts w:hint="eastAsia" w:ascii="宋体" w:hAnsi="宋体" w:eastAsia="宋体" w:cs="宋体"/>
          <w:color w:val="auto"/>
        </w:rPr>
      </w:pPr>
    </w:p>
    <w:p w14:paraId="2B89CE82">
      <w:pPr>
        <w:pStyle w:val="6"/>
        <w:rPr>
          <w:rFonts w:hint="eastAsia" w:ascii="宋体" w:hAnsi="宋体" w:eastAsia="宋体" w:cs="宋体"/>
          <w:color w:val="auto"/>
        </w:rPr>
      </w:pPr>
    </w:p>
    <w:p w14:paraId="2B89CE83">
      <w:pPr>
        <w:jc w:val="center"/>
        <w:rPr>
          <w:rFonts w:hint="eastAsia" w:ascii="宋体" w:hAnsi="宋体" w:eastAsia="宋体" w:cs="宋体"/>
          <w:color w:val="auto"/>
          <w:sz w:val="30"/>
          <w:szCs w:val="30"/>
        </w:rPr>
      </w:pPr>
      <w:r>
        <w:rPr>
          <w:rFonts w:hint="eastAsia" w:ascii="宋体" w:hAnsi="宋体" w:eastAsia="宋体" w:cs="宋体"/>
          <w:b/>
          <w:color w:val="auto"/>
          <w:kern w:val="0"/>
          <w:sz w:val="30"/>
          <w:szCs w:val="30"/>
        </w:rPr>
        <w:t>第一章 投标邀请</w:t>
      </w:r>
    </w:p>
    <w:p w14:paraId="2B89CE84">
      <w:pPr>
        <w:keepNext w:val="0"/>
        <w:keepLines w:val="0"/>
        <w:pageBreakBefore w:val="0"/>
        <w:kinsoku/>
        <w:wordWrap w:val="0"/>
        <w:overflowPunct/>
        <w:topLinePunct w:val="0"/>
        <w:autoSpaceDE/>
        <w:autoSpaceDN/>
        <w:bidi w:val="0"/>
        <w:adjustRightInd/>
        <w:snapToGrid/>
        <w:spacing w:line="460" w:lineRule="exac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项目概况</w:t>
      </w:r>
    </w:p>
    <w:p w14:paraId="2B89CE85">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禹州市农业农村局2026年补充耕地质量验收项目的潜在投标人应在投标截止时间前登录《全国公共资源交易平台（河南省·许昌市）》“投标人/供应商登录”入口（下文所述“全国公共资源交易平台（河南省•许昌市）”的地址均为https://ggzy.xuchang.gov.cn）自行免费下载获取招标文件，并于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val="zh-CN"/>
        </w:rPr>
        <w:t>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lang w:val="zh-CN"/>
        </w:rPr>
        <w:t>月</w:t>
      </w:r>
      <w:r>
        <w:rPr>
          <w:rFonts w:hint="eastAsia" w:ascii="宋体" w:hAnsi="宋体" w:eastAsia="宋体" w:cs="宋体"/>
          <w:color w:val="auto"/>
          <w:sz w:val="21"/>
          <w:szCs w:val="21"/>
          <w:lang w:val="en-US" w:eastAsia="zh-CN"/>
        </w:rPr>
        <w:t>13</w:t>
      </w:r>
      <w:r>
        <w:rPr>
          <w:rFonts w:hint="eastAsia" w:ascii="宋体" w:hAnsi="宋体" w:eastAsia="宋体" w:cs="宋体"/>
          <w:color w:val="auto"/>
          <w:sz w:val="21"/>
          <w:szCs w:val="21"/>
          <w:lang w:val="zh-CN"/>
        </w:rPr>
        <w:t>日08时30分（北京时间）前递交投标文件。</w:t>
      </w:r>
    </w:p>
    <w:p w14:paraId="2B89CE86">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一、项目基本情况</w:t>
      </w:r>
    </w:p>
    <w:p w14:paraId="2B89CE87">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1.项目编号：YZCG-DLG202</w:t>
      </w:r>
      <w:r>
        <w:rPr>
          <w:rFonts w:hint="eastAsia" w:ascii="宋体" w:hAnsi="宋体" w:eastAsia="宋体" w:cs="宋体"/>
          <w:color w:val="auto"/>
          <w:sz w:val="21"/>
          <w:szCs w:val="21"/>
          <w:lang w:val="en-US" w:eastAsia="zh-CN"/>
        </w:rPr>
        <w:t xml:space="preserve">6095 </w:t>
      </w:r>
      <w:r>
        <w:rPr>
          <w:rFonts w:hint="eastAsia" w:ascii="宋体" w:hAnsi="宋体" w:eastAsia="宋体" w:cs="宋体"/>
          <w:color w:val="auto"/>
          <w:sz w:val="21"/>
          <w:szCs w:val="21"/>
        </w:rPr>
        <w:t xml:space="preserve">    </w:t>
      </w:r>
    </w:p>
    <w:p w14:paraId="2B89CE88">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2.项目名称：</w:t>
      </w:r>
      <w:r>
        <w:rPr>
          <w:rFonts w:hint="eastAsia" w:ascii="宋体" w:hAnsi="宋体" w:eastAsia="宋体" w:cs="宋体"/>
          <w:color w:val="auto"/>
          <w:sz w:val="21"/>
          <w:szCs w:val="21"/>
          <w:lang w:eastAsia="zh-CN"/>
        </w:rPr>
        <w:t>禹州市农业农村局2026年补充耕地质量验收项目</w:t>
      </w:r>
    </w:p>
    <w:p w14:paraId="2B89CE89">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3.采购方式：公开招标</w:t>
      </w:r>
    </w:p>
    <w:p w14:paraId="41C2F06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4.</w:t>
      </w:r>
      <w:r>
        <w:rPr>
          <w:rFonts w:hint="eastAsia" w:ascii="宋体" w:hAnsi="宋体" w:eastAsia="宋体" w:cs="宋体"/>
          <w:color w:val="auto"/>
          <w:sz w:val="21"/>
          <w:szCs w:val="21"/>
          <w:highlight w:val="none"/>
        </w:rPr>
        <w:t>预算金额：</w:t>
      </w:r>
      <w:r>
        <w:rPr>
          <w:rFonts w:hint="eastAsia" w:ascii="宋体" w:hAnsi="宋体" w:eastAsia="宋体" w:cs="宋体"/>
          <w:color w:val="auto"/>
          <w:sz w:val="21"/>
          <w:szCs w:val="21"/>
          <w:highlight w:val="none"/>
          <w:lang w:val="en-US" w:eastAsia="zh-CN"/>
        </w:rPr>
        <w:t>3324000</w:t>
      </w:r>
      <w:r>
        <w:rPr>
          <w:rFonts w:hint="eastAsia" w:ascii="宋体" w:hAnsi="宋体" w:eastAsia="宋体" w:cs="宋体"/>
          <w:color w:val="auto"/>
          <w:sz w:val="21"/>
          <w:szCs w:val="21"/>
          <w:highlight w:val="none"/>
        </w:rPr>
        <w:t xml:space="preserve">元   </w:t>
      </w:r>
    </w:p>
    <w:p w14:paraId="2B89CE8B">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最高限价：</w:t>
      </w:r>
      <w:r>
        <w:rPr>
          <w:rFonts w:hint="eastAsia" w:ascii="宋体" w:hAnsi="宋体" w:eastAsia="宋体" w:cs="宋体"/>
          <w:color w:val="auto"/>
          <w:sz w:val="21"/>
          <w:szCs w:val="21"/>
          <w:highlight w:val="none"/>
          <w:lang w:val="en-US" w:eastAsia="zh-CN"/>
        </w:rPr>
        <w:t>3324000</w:t>
      </w:r>
      <w:r>
        <w:rPr>
          <w:rFonts w:hint="eastAsia" w:ascii="宋体" w:hAnsi="宋体" w:eastAsia="宋体" w:cs="宋体"/>
          <w:color w:val="auto"/>
          <w:sz w:val="21"/>
          <w:szCs w:val="21"/>
          <w:highlight w:val="none"/>
        </w:rPr>
        <w:t>元</w:t>
      </w:r>
    </w:p>
    <w:tbl>
      <w:tblPr>
        <w:tblStyle w:val="18"/>
        <w:tblpPr w:leftFromText="180" w:rightFromText="180" w:vertAnchor="text" w:horzAnchor="page" w:tblpX="1705" w:tblpY="461"/>
        <w:tblOverlap w:val="never"/>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2100"/>
        <w:gridCol w:w="1405"/>
        <w:gridCol w:w="1595"/>
        <w:gridCol w:w="1868"/>
        <w:gridCol w:w="1582"/>
      </w:tblGrid>
      <w:tr w14:paraId="2B89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844" w:type="dxa"/>
            <w:vAlign w:val="center"/>
          </w:tcPr>
          <w:p w14:paraId="2B89CE8C">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序号</w:t>
            </w:r>
          </w:p>
        </w:tc>
        <w:tc>
          <w:tcPr>
            <w:tcW w:w="2100" w:type="dxa"/>
            <w:vAlign w:val="center"/>
          </w:tcPr>
          <w:p w14:paraId="2B89CE8D">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包号</w:t>
            </w:r>
          </w:p>
        </w:tc>
        <w:tc>
          <w:tcPr>
            <w:tcW w:w="1405" w:type="dxa"/>
            <w:vAlign w:val="center"/>
          </w:tcPr>
          <w:p w14:paraId="2B89CE8E">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包名称</w:t>
            </w:r>
          </w:p>
        </w:tc>
        <w:tc>
          <w:tcPr>
            <w:tcW w:w="1595" w:type="dxa"/>
            <w:vAlign w:val="center"/>
          </w:tcPr>
          <w:p w14:paraId="2B89CE90">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包预算（元）</w:t>
            </w:r>
          </w:p>
        </w:tc>
        <w:tc>
          <w:tcPr>
            <w:tcW w:w="1868" w:type="dxa"/>
            <w:vAlign w:val="center"/>
          </w:tcPr>
          <w:p w14:paraId="2B89CE91">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包最高限价（元）</w:t>
            </w:r>
          </w:p>
        </w:tc>
        <w:tc>
          <w:tcPr>
            <w:tcW w:w="1582" w:type="dxa"/>
            <w:vAlign w:val="center"/>
          </w:tcPr>
          <w:p w14:paraId="2B89CE92">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是否专门面向中小企业</w:t>
            </w:r>
          </w:p>
        </w:tc>
      </w:tr>
      <w:tr w14:paraId="2B89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2B89CE94">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100" w:type="dxa"/>
            <w:vAlign w:val="center"/>
          </w:tcPr>
          <w:p w14:paraId="2B89CE95">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YZCG-DLG202</w:t>
            </w:r>
            <w:r>
              <w:rPr>
                <w:rFonts w:hint="eastAsia" w:ascii="宋体" w:hAnsi="宋体" w:eastAsia="宋体" w:cs="宋体"/>
                <w:color w:val="auto"/>
                <w:sz w:val="21"/>
                <w:szCs w:val="21"/>
                <w:lang w:val="en-US" w:eastAsia="zh-CN"/>
              </w:rPr>
              <w:t>6095-A</w:t>
            </w:r>
          </w:p>
        </w:tc>
        <w:tc>
          <w:tcPr>
            <w:tcW w:w="1405" w:type="dxa"/>
            <w:vAlign w:val="center"/>
          </w:tcPr>
          <w:p w14:paraId="2B89CE96">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第一标段</w:t>
            </w:r>
          </w:p>
        </w:tc>
        <w:tc>
          <w:tcPr>
            <w:tcW w:w="1595" w:type="dxa"/>
            <w:vAlign w:val="center"/>
          </w:tcPr>
          <w:p w14:paraId="2B89CE97">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831000</w:t>
            </w:r>
          </w:p>
        </w:tc>
        <w:tc>
          <w:tcPr>
            <w:tcW w:w="1868" w:type="dxa"/>
            <w:vAlign w:val="center"/>
          </w:tcPr>
          <w:p w14:paraId="2B89CE98">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831000</w:t>
            </w:r>
          </w:p>
        </w:tc>
        <w:tc>
          <w:tcPr>
            <w:tcW w:w="1582" w:type="dxa"/>
            <w:vAlign w:val="center"/>
          </w:tcPr>
          <w:p w14:paraId="2B89CE99">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否</w:t>
            </w:r>
          </w:p>
        </w:tc>
      </w:tr>
      <w:tr w14:paraId="35B76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6509E371">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2100" w:type="dxa"/>
            <w:vAlign w:val="center"/>
          </w:tcPr>
          <w:p w14:paraId="70D6F0F3">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default" w:ascii="宋体" w:hAnsi="宋体" w:eastAsia="宋体" w:cs="宋体"/>
                <w:color w:val="auto"/>
                <w:sz w:val="21"/>
                <w:szCs w:val="21"/>
                <w:lang w:val="en-US"/>
              </w:rPr>
            </w:pPr>
            <w:r>
              <w:rPr>
                <w:rFonts w:hint="eastAsia" w:ascii="宋体" w:hAnsi="宋体" w:eastAsia="宋体" w:cs="宋体"/>
                <w:color w:val="auto"/>
                <w:sz w:val="21"/>
                <w:szCs w:val="21"/>
              </w:rPr>
              <w:t>YZCG-DLG202</w:t>
            </w:r>
            <w:r>
              <w:rPr>
                <w:rFonts w:hint="eastAsia" w:ascii="宋体" w:hAnsi="宋体" w:eastAsia="宋体" w:cs="宋体"/>
                <w:color w:val="auto"/>
                <w:sz w:val="21"/>
                <w:szCs w:val="21"/>
                <w:lang w:val="en-US" w:eastAsia="zh-CN"/>
              </w:rPr>
              <w:t>6095-B</w:t>
            </w:r>
          </w:p>
        </w:tc>
        <w:tc>
          <w:tcPr>
            <w:tcW w:w="1405" w:type="dxa"/>
            <w:vAlign w:val="center"/>
          </w:tcPr>
          <w:p w14:paraId="67DEEAA7">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w:t>
            </w:r>
            <w:r>
              <w:rPr>
                <w:rFonts w:hint="eastAsia" w:ascii="宋体" w:hAnsi="宋体" w:eastAsia="宋体" w:cs="宋体"/>
                <w:color w:val="auto"/>
                <w:sz w:val="21"/>
                <w:szCs w:val="21"/>
                <w:lang w:val="en-US" w:eastAsia="zh-CN"/>
              </w:rPr>
              <w:t>二</w:t>
            </w:r>
            <w:r>
              <w:rPr>
                <w:rFonts w:hint="eastAsia" w:ascii="宋体" w:hAnsi="宋体" w:eastAsia="宋体" w:cs="宋体"/>
                <w:color w:val="auto"/>
                <w:sz w:val="21"/>
                <w:szCs w:val="21"/>
              </w:rPr>
              <w:t>标段</w:t>
            </w:r>
          </w:p>
        </w:tc>
        <w:tc>
          <w:tcPr>
            <w:tcW w:w="1595" w:type="dxa"/>
            <w:vAlign w:val="center"/>
          </w:tcPr>
          <w:p w14:paraId="15718710">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831000</w:t>
            </w:r>
          </w:p>
        </w:tc>
        <w:tc>
          <w:tcPr>
            <w:tcW w:w="1868" w:type="dxa"/>
            <w:vAlign w:val="center"/>
          </w:tcPr>
          <w:p w14:paraId="5F26D343">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831000</w:t>
            </w:r>
          </w:p>
        </w:tc>
        <w:tc>
          <w:tcPr>
            <w:tcW w:w="1582" w:type="dxa"/>
            <w:vAlign w:val="center"/>
          </w:tcPr>
          <w:p w14:paraId="3F074E69">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否</w:t>
            </w:r>
          </w:p>
        </w:tc>
      </w:tr>
      <w:tr w14:paraId="0C19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465A79B2">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2100" w:type="dxa"/>
            <w:vAlign w:val="center"/>
          </w:tcPr>
          <w:p w14:paraId="45B05BEE">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default" w:ascii="宋体" w:hAnsi="宋体" w:eastAsia="宋体" w:cs="宋体"/>
                <w:color w:val="auto"/>
                <w:sz w:val="21"/>
                <w:szCs w:val="21"/>
                <w:lang w:val="en-US"/>
              </w:rPr>
            </w:pPr>
            <w:r>
              <w:rPr>
                <w:rFonts w:hint="eastAsia" w:ascii="宋体" w:hAnsi="宋体" w:eastAsia="宋体" w:cs="宋体"/>
                <w:color w:val="auto"/>
                <w:sz w:val="21"/>
                <w:szCs w:val="21"/>
              </w:rPr>
              <w:t>YZCG-DLG202</w:t>
            </w:r>
            <w:r>
              <w:rPr>
                <w:rFonts w:hint="eastAsia" w:ascii="宋体" w:hAnsi="宋体" w:eastAsia="宋体" w:cs="宋体"/>
                <w:color w:val="auto"/>
                <w:sz w:val="21"/>
                <w:szCs w:val="21"/>
                <w:lang w:val="en-US" w:eastAsia="zh-CN"/>
              </w:rPr>
              <w:t>6095-C</w:t>
            </w:r>
          </w:p>
        </w:tc>
        <w:tc>
          <w:tcPr>
            <w:tcW w:w="1405" w:type="dxa"/>
            <w:vAlign w:val="center"/>
          </w:tcPr>
          <w:p w14:paraId="6627455B">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w:t>
            </w:r>
            <w:r>
              <w:rPr>
                <w:rFonts w:hint="eastAsia" w:ascii="宋体" w:hAnsi="宋体" w:eastAsia="宋体" w:cs="宋体"/>
                <w:color w:val="auto"/>
                <w:sz w:val="21"/>
                <w:szCs w:val="21"/>
                <w:lang w:val="en-US" w:eastAsia="zh-CN"/>
              </w:rPr>
              <w:t>三</w:t>
            </w:r>
            <w:r>
              <w:rPr>
                <w:rFonts w:hint="eastAsia" w:ascii="宋体" w:hAnsi="宋体" w:eastAsia="宋体" w:cs="宋体"/>
                <w:color w:val="auto"/>
                <w:sz w:val="21"/>
                <w:szCs w:val="21"/>
              </w:rPr>
              <w:t>标段</w:t>
            </w:r>
          </w:p>
        </w:tc>
        <w:tc>
          <w:tcPr>
            <w:tcW w:w="1595" w:type="dxa"/>
            <w:vAlign w:val="center"/>
          </w:tcPr>
          <w:p w14:paraId="3486E150">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831000</w:t>
            </w:r>
          </w:p>
        </w:tc>
        <w:tc>
          <w:tcPr>
            <w:tcW w:w="1868" w:type="dxa"/>
            <w:vAlign w:val="center"/>
          </w:tcPr>
          <w:p w14:paraId="7887686E">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831000</w:t>
            </w:r>
          </w:p>
        </w:tc>
        <w:tc>
          <w:tcPr>
            <w:tcW w:w="1582" w:type="dxa"/>
            <w:vAlign w:val="center"/>
          </w:tcPr>
          <w:p w14:paraId="0275A959">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否</w:t>
            </w:r>
          </w:p>
        </w:tc>
      </w:tr>
      <w:tr w14:paraId="191B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3EE00839">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2100" w:type="dxa"/>
            <w:vAlign w:val="center"/>
          </w:tcPr>
          <w:p w14:paraId="33B834A7">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default" w:ascii="宋体" w:hAnsi="宋体" w:eastAsia="宋体" w:cs="宋体"/>
                <w:color w:val="auto"/>
                <w:sz w:val="21"/>
                <w:szCs w:val="21"/>
                <w:lang w:val="en-US"/>
              </w:rPr>
            </w:pPr>
            <w:r>
              <w:rPr>
                <w:rFonts w:hint="eastAsia" w:ascii="宋体" w:hAnsi="宋体" w:eastAsia="宋体" w:cs="宋体"/>
                <w:color w:val="auto"/>
                <w:sz w:val="21"/>
                <w:szCs w:val="21"/>
              </w:rPr>
              <w:t>YZCG-DLG202</w:t>
            </w:r>
            <w:r>
              <w:rPr>
                <w:rFonts w:hint="eastAsia" w:ascii="宋体" w:hAnsi="宋体" w:eastAsia="宋体" w:cs="宋体"/>
                <w:color w:val="auto"/>
                <w:sz w:val="21"/>
                <w:szCs w:val="21"/>
                <w:lang w:val="en-US" w:eastAsia="zh-CN"/>
              </w:rPr>
              <w:t>6095-D</w:t>
            </w:r>
          </w:p>
        </w:tc>
        <w:tc>
          <w:tcPr>
            <w:tcW w:w="1405" w:type="dxa"/>
            <w:vAlign w:val="center"/>
          </w:tcPr>
          <w:p w14:paraId="7E01A1EC">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w:t>
            </w:r>
            <w:r>
              <w:rPr>
                <w:rFonts w:hint="eastAsia" w:ascii="宋体" w:hAnsi="宋体" w:eastAsia="宋体" w:cs="宋体"/>
                <w:color w:val="auto"/>
                <w:sz w:val="21"/>
                <w:szCs w:val="21"/>
                <w:lang w:val="en-US" w:eastAsia="zh-CN"/>
              </w:rPr>
              <w:t>四</w:t>
            </w:r>
            <w:r>
              <w:rPr>
                <w:rFonts w:hint="eastAsia" w:ascii="宋体" w:hAnsi="宋体" w:eastAsia="宋体" w:cs="宋体"/>
                <w:color w:val="auto"/>
                <w:sz w:val="21"/>
                <w:szCs w:val="21"/>
              </w:rPr>
              <w:t>标段</w:t>
            </w:r>
          </w:p>
        </w:tc>
        <w:tc>
          <w:tcPr>
            <w:tcW w:w="1595" w:type="dxa"/>
            <w:vAlign w:val="center"/>
          </w:tcPr>
          <w:p w14:paraId="43467174">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831000</w:t>
            </w:r>
          </w:p>
        </w:tc>
        <w:tc>
          <w:tcPr>
            <w:tcW w:w="1868" w:type="dxa"/>
            <w:vAlign w:val="center"/>
          </w:tcPr>
          <w:p w14:paraId="7CB6AA61">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831000</w:t>
            </w:r>
          </w:p>
        </w:tc>
        <w:tc>
          <w:tcPr>
            <w:tcW w:w="1582" w:type="dxa"/>
            <w:vAlign w:val="center"/>
          </w:tcPr>
          <w:p w14:paraId="7F53B58E">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否</w:t>
            </w:r>
          </w:p>
        </w:tc>
      </w:tr>
    </w:tbl>
    <w:p w14:paraId="754037ED">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p>
    <w:p w14:paraId="2B89CEA3">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5.采购需求（包括但不限于标的的名称、数量、简要技术需求等）</w:t>
      </w:r>
    </w:p>
    <w:p w14:paraId="429F44A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禹州市农业农村局2026年补充耕地质量验收项目，本项目包括但不限于内外业资料收集与审核；实地踏勘；专家踏勘及评审；样点采集和全程照片采集；土壤样品制备、检测化验、区级初鉴报告及数据库建设。</w:t>
      </w:r>
      <w:r>
        <w:rPr>
          <w:rFonts w:hint="eastAsia" w:ascii="宋体" w:hAnsi="宋体" w:eastAsia="宋体" w:cs="宋体"/>
          <w:color w:val="auto"/>
          <w:sz w:val="21"/>
          <w:szCs w:val="21"/>
          <w:lang w:val="en-US" w:eastAsia="zh-CN"/>
        </w:rPr>
        <w:t>本项目共划分四个标段。</w:t>
      </w:r>
    </w:p>
    <w:p w14:paraId="2B89CEA5">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6.合同履行期限：自合同签订之日起</w:t>
      </w:r>
      <w:r>
        <w:rPr>
          <w:rFonts w:hint="eastAsia" w:ascii="宋体" w:hAnsi="宋体" w:eastAsia="宋体" w:cs="宋体"/>
          <w:color w:val="auto"/>
          <w:sz w:val="21"/>
          <w:szCs w:val="21"/>
          <w:lang w:val="en-US" w:eastAsia="zh-CN"/>
        </w:rPr>
        <w:t>40</w:t>
      </w:r>
      <w:r>
        <w:rPr>
          <w:rFonts w:hint="eastAsia" w:ascii="宋体" w:hAnsi="宋体" w:eastAsia="宋体" w:cs="宋体"/>
          <w:color w:val="auto"/>
          <w:sz w:val="21"/>
          <w:szCs w:val="21"/>
        </w:rPr>
        <w:t>日内完成全部工作并提交成果文件</w:t>
      </w:r>
    </w:p>
    <w:p w14:paraId="2B89CEA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7.本项目是否接受联合体投标：否</w:t>
      </w:r>
    </w:p>
    <w:p w14:paraId="2B89CEA7">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8.是否接受进口产品：否</w:t>
      </w:r>
    </w:p>
    <w:p w14:paraId="2B89CEA8">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9.是否专门面向中小企业：</w:t>
      </w:r>
      <w:r>
        <w:rPr>
          <w:rFonts w:hint="eastAsia" w:ascii="宋体" w:hAnsi="宋体" w:eastAsia="宋体" w:cs="宋体"/>
          <w:color w:val="auto"/>
          <w:sz w:val="21"/>
          <w:szCs w:val="21"/>
          <w:highlight w:val="none"/>
          <w:lang w:val="en-US" w:eastAsia="zh-CN"/>
        </w:rPr>
        <w:t>否</w:t>
      </w:r>
    </w:p>
    <w:p w14:paraId="2B89CEA9">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二、申请人资格要求：</w:t>
      </w:r>
    </w:p>
    <w:p w14:paraId="3A016B6D">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1.满足《中华人民共和国政府采购法》第二十二条规定。</w:t>
      </w:r>
    </w:p>
    <w:p w14:paraId="2F285541">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2.落实政府采购政策满足的资格要求：</w:t>
      </w:r>
    </w:p>
    <w:p w14:paraId="14014770">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本项目落实节约能源、保护环境、扶持不发达地区和少数民族地区、促进中小企业、监狱企业发展等政府采购政策。</w:t>
      </w:r>
    </w:p>
    <w:p w14:paraId="087AE744">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3.本项目的特定资格要求</w:t>
      </w:r>
    </w:p>
    <w:p w14:paraId="4CE0D3CA">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cstheme="minorEastAsia"/>
          <w:color w:val="auto"/>
          <w:szCs w:val="21"/>
          <w:shd w:val="clear" w:color="auto" w:fill="FFFFFF"/>
          <w:lang w:val="en-US" w:eastAsia="zh-CN"/>
        </w:rPr>
        <w:t>第1-4标段：</w:t>
      </w:r>
      <w:r>
        <w:rPr>
          <w:rFonts w:hint="eastAsia" w:asciiTheme="minorEastAsia" w:hAnsiTheme="minorEastAsia" w:eastAsiaTheme="minorEastAsia" w:cstheme="minorEastAsia"/>
          <w:color w:val="auto"/>
          <w:szCs w:val="21"/>
          <w:shd w:val="clear" w:color="auto" w:fill="FFFFFF"/>
        </w:rPr>
        <w:t>投标人须具有行政主管部门颁发有效期内的测绘乙级及以上资质证书（专业须包含</w:t>
      </w:r>
      <w:r>
        <w:rPr>
          <w:rFonts w:hint="eastAsia"/>
          <w:color w:val="auto"/>
          <w:lang w:eastAsia="zh-CN"/>
        </w:rPr>
        <w:t>工程测量</w:t>
      </w:r>
      <w:r>
        <w:rPr>
          <w:rFonts w:hint="eastAsia"/>
          <w:color w:val="auto"/>
          <w:lang w:val="en-US" w:eastAsia="zh-CN"/>
        </w:rPr>
        <w:t>或</w:t>
      </w:r>
      <w:r>
        <w:rPr>
          <w:rFonts w:hint="eastAsia" w:asciiTheme="minorEastAsia" w:hAnsiTheme="minorEastAsia" w:cstheme="minorEastAsia"/>
          <w:color w:val="auto"/>
          <w:szCs w:val="21"/>
          <w:shd w:val="clear" w:color="auto" w:fill="FFFFFF"/>
          <w:lang w:val="en-US" w:eastAsia="zh-CN"/>
        </w:rPr>
        <w:t>地理信息系统工程</w:t>
      </w:r>
      <w:r>
        <w:rPr>
          <w:rFonts w:hint="eastAsia" w:asciiTheme="minorEastAsia" w:hAnsiTheme="minorEastAsia" w:eastAsiaTheme="minorEastAsia" w:cstheme="minorEastAsia"/>
          <w:color w:val="auto"/>
          <w:szCs w:val="21"/>
          <w:shd w:val="clear" w:color="auto" w:fill="FFFFFF"/>
        </w:rPr>
        <w:t>），项目负责人须具备</w:t>
      </w:r>
      <w:r>
        <w:rPr>
          <w:rFonts w:hint="eastAsia" w:asciiTheme="minorEastAsia" w:hAnsiTheme="minorEastAsia" w:cstheme="minorEastAsia"/>
          <w:color w:val="auto"/>
          <w:szCs w:val="21"/>
          <w:shd w:val="clear" w:color="auto" w:fill="FFFFFF"/>
          <w:lang w:val="en-US" w:eastAsia="zh-CN"/>
        </w:rPr>
        <w:t>相关</w:t>
      </w:r>
      <w:r>
        <w:rPr>
          <w:rFonts w:hint="eastAsia" w:asciiTheme="minorEastAsia" w:hAnsiTheme="minorEastAsia" w:eastAsiaTheme="minorEastAsia" w:cstheme="minorEastAsia"/>
          <w:color w:val="auto"/>
          <w:szCs w:val="21"/>
          <w:shd w:val="clear" w:color="auto" w:fill="FFFFFF"/>
        </w:rPr>
        <w:t>专业中级及以上技术职称。</w:t>
      </w:r>
    </w:p>
    <w:p w14:paraId="29A536BA">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4.本项目实行资格后审；</w:t>
      </w:r>
    </w:p>
    <w:p w14:paraId="63C983A6">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5.本次采购不接受联合体响应。</w:t>
      </w:r>
    </w:p>
    <w:p w14:paraId="2B89CEB2">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三、招标文件的获取</w:t>
      </w:r>
    </w:p>
    <w:p w14:paraId="2B89CEB3">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1.时间：202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22</w:t>
      </w:r>
      <w:r>
        <w:rPr>
          <w:rFonts w:hint="eastAsia" w:ascii="宋体" w:hAnsi="宋体" w:eastAsia="宋体" w:cs="宋体"/>
          <w:color w:val="auto"/>
          <w:sz w:val="21"/>
          <w:szCs w:val="21"/>
        </w:rPr>
        <w:t>日至202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13</w:t>
      </w:r>
      <w:r>
        <w:rPr>
          <w:rFonts w:hint="eastAsia" w:ascii="宋体" w:hAnsi="宋体" w:eastAsia="宋体" w:cs="宋体"/>
          <w:color w:val="auto"/>
          <w:sz w:val="21"/>
          <w:szCs w:val="21"/>
        </w:rPr>
        <w:t>日</w:t>
      </w:r>
      <w:r>
        <w:rPr>
          <w:rFonts w:hint="eastAsia" w:ascii="宋体" w:hAnsi="宋体" w:eastAsia="宋体" w:cs="宋体"/>
          <w:color w:val="auto"/>
          <w:sz w:val="21"/>
          <w:szCs w:val="21"/>
        </w:rPr>
        <w:t>，每天上午00:00至12:00，下午12:01至23:59（北京时间，法定节假日除外）。</w:t>
      </w:r>
    </w:p>
    <w:p w14:paraId="2B89CEB4">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2.地点：投标文件提交截止时间前登录《全国公共资源交易平台（河南省·许昌市）》“投标人/供应商登录”入口（https://ggzy.xuchang.gov.cn）自行免费下载。</w:t>
      </w:r>
    </w:p>
    <w:p w14:paraId="2B89CEB5">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3.方式：网上自行下载</w:t>
      </w:r>
    </w:p>
    <w:p w14:paraId="2B89CEB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4.售价：0元</w:t>
      </w:r>
    </w:p>
    <w:p w14:paraId="2B89CEB7">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四、投标截止时间及地点</w:t>
      </w:r>
    </w:p>
    <w:p w14:paraId="2B89CEB8">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1.时间：202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13</w:t>
      </w:r>
      <w:r>
        <w:rPr>
          <w:rFonts w:hint="eastAsia" w:ascii="宋体" w:hAnsi="宋体" w:eastAsia="宋体" w:cs="宋体"/>
          <w:color w:val="auto"/>
          <w:sz w:val="21"/>
          <w:szCs w:val="21"/>
        </w:rPr>
        <w:t>日08时30分</w:t>
      </w:r>
      <w:r>
        <w:rPr>
          <w:rFonts w:hint="eastAsia" w:ascii="宋体" w:hAnsi="宋体" w:eastAsia="宋体" w:cs="宋体"/>
          <w:color w:val="auto"/>
          <w:sz w:val="21"/>
          <w:szCs w:val="21"/>
        </w:rPr>
        <w:t>（北京时间）</w:t>
      </w:r>
    </w:p>
    <w:p w14:paraId="2B89CEB9">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地点：本项目为全流程电子化交易项目，投标人必须通过许昌公共资源交易系统下载“新点投标文件制作软件（河南省版）”的最新版本制作并上传加密电子投标文件（后缀格式为.XCSTF）。截至投标截止时间，交易系统投标通道将关闭，投标人未完成电子投标文件上传的，投标将被拒绝。</w:t>
      </w:r>
    </w:p>
    <w:p w14:paraId="2B89CEBA">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五、开标时间及地点</w:t>
      </w:r>
    </w:p>
    <w:p w14:paraId="2B89CEBB">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1.时间：202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13</w:t>
      </w:r>
      <w:r>
        <w:rPr>
          <w:rFonts w:hint="eastAsia" w:ascii="宋体" w:hAnsi="宋体" w:eastAsia="宋体" w:cs="宋体"/>
          <w:color w:val="auto"/>
          <w:sz w:val="21"/>
          <w:szCs w:val="21"/>
        </w:rPr>
        <w:t>日08时30分</w:t>
      </w:r>
      <w:r>
        <w:rPr>
          <w:rFonts w:hint="eastAsia" w:ascii="宋体" w:hAnsi="宋体" w:eastAsia="宋体" w:cs="宋体"/>
          <w:color w:val="auto"/>
          <w:sz w:val="21"/>
          <w:szCs w:val="21"/>
        </w:rPr>
        <w:t>（北京时间）</w:t>
      </w:r>
    </w:p>
    <w:p w14:paraId="03F7D68A">
      <w:pPr>
        <w:keepNext w:val="0"/>
        <w:keepLines w:val="0"/>
        <w:pageBreakBefore w:val="0"/>
        <w:widowControl w:val="0"/>
        <w:tabs>
          <w:tab w:val="left" w:pos="7095"/>
        </w:tabs>
        <w:kinsoku/>
        <w:wordWrap/>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2.地点：</w:t>
      </w:r>
      <w:r>
        <w:rPr>
          <w:rFonts w:hint="eastAsia" w:ascii="宋体" w:hAnsi="宋体" w:eastAsia="宋体" w:cs="宋体"/>
          <w:color w:val="auto"/>
          <w:sz w:val="21"/>
          <w:szCs w:val="21"/>
          <w:highlight w:val="none"/>
        </w:rPr>
        <w:t>本项目采用“不见面”网上开标方式，请投标供应商使用CA数字证书</w:t>
      </w:r>
      <w:r>
        <w:rPr>
          <w:rFonts w:hint="eastAsia" w:ascii="宋体" w:hAnsi="宋体" w:eastAsia="宋体" w:cs="宋体"/>
          <w:color w:val="auto"/>
          <w:sz w:val="21"/>
          <w:szCs w:val="21"/>
          <w:highlight w:val="none"/>
          <w:shd w:val="clear" w:color="auto" w:fill="FFFFFF"/>
        </w:rPr>
        <w:t>或移动数字证书</w:t>
      </w:r>
      <w:r>
        <w:rPr>
          <w:rFonts w:hint="eastAsia" w:ascii="宋体" w:hAnsi="宋体" w:eastAsia="宋体" w:cs="宋体"/>
          <w:color w:val="auto"/>
          <w:sz w:val="21"/>
          <w:szCs w:val="21"/>
          <w:highlight w:val="none"/>
        </w:rPr>
        <w:t>登录《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2B89CEBD">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六、发布公告的媒介及招标公告期限</w:t>
      </w:r>
    </w:p>
    <w:p w14:paraId="2B89CEBE">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本次招标公告在《河南省政府采购网》《许昌市政府采购网》《全国公共资源交易平台（河南省•许昌市）》上发布。招标公告期限为五个工作日。</w:t>
      </w:r>
    </w:p>
    <w:p w14:paraId="2B89CEBF">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七、其他补充事宜</w:t>
      </w:r>
    </w:p>
    <w:p w14:paraId="12716647">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1.监督单位：禹州市政府采购监督管理办公室</w:t>
      </w:r>
    </w:p>
    <w:p w14:paraId="2B89CEC1">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电话：0374-8112523</w:t>
      </w:r>
    </w:p>
    <w:p w14:paraId="2B89CEC2">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.项目编号以本</w:t>
      </w:r>
      <w:r>
        <w:rPr>
          <w:rFonts w:hint="eastAsia" w:ascii="宋体" w:hAnsi="宋体" w:eastAsia="宋体" w:cs="宋体"/>
          <w:color w:val="auto"/>
          <w:sz w:val="21"/>
          <w:szCs w:val="21"/>
          <w:lang w:val="en-US" w:eastAsia="zh-CN"/>
        </w:rPr>
        <w:t>招标</w:t>
      </w:r>
      <w:r>
        <w:rPr>
          <w:rFonts w:hint="eastAsia" w:ascii="宋体" w:hAnsi="宋体" w:eastAsia="宋体" w:cs="宋体"/>
          <w:color w:val="auto"/>
          <w:sz w:val="21"/>
          <w:szCs w:val="21"/>
        </w:rPr>
        <w:t>文件中的采购编号为准，采购编号：YZCG-DL</w:t>
      </w:r>
      <w:r>
        <w:rPr>
          <w:rFonts w:hint="eastAsia" w:ascii="宋体" w:hAnsi="宋体" w:eastAsia="宋体" w:cs="宋体"/>
          <w:color w:val="auto"/>
          <w:sz w:val="21"/>
          <w:szCs w:val="21"/>
          <w:lang w:val="en-US" w:eastAsia="zh-CN"/>
        </w:rPr>
        <w:t>G</w:t>
      </w:r>
      <w:r>
        <w:rPr>
          <w:rFonts w:hint="eastAsia" w:ascii="宋体" w:hAnsi="宋体" w:eastAsia="宋体" w:cs="宋体"/>
          <w:color w:val="auto"/>
          <w:sz w:val="21"/>
          <w:szCs w:val="21"/>
        </w:rPr>
        <w:t>2026</w:t>
      </w:r>
      <w:r>
        <w:rPr>
          <w:rFonts w:hint="eastAsia" w:ascii="宋体" w:hAnsi="宋体" w:eastAsia="宋体" w:cs="宋体"/>
          <w:color w:val="auto"/>
          <w:sz w:val="21"/>
          <w:szCs w:val="21"/>
          <w:lang w:val="en-US" w:eastAsia="zh-CN"/>
        </w:rPr>
        <w:t xml:space="preserve">095 </w:t>
      </w:r>
    </w:p>
    <w:p w14:paraId="2B89CEC3">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八、凡对本次招标提出询问，请按照以下方式联系</w:t>
      </w:r>
    </w:p>
    <w:p w14:paraId="1634A84E">
      <w:pPr>
        <w:spacing w:line="440" w:lineRule="atLeast"/>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1.采购人信息</w:t>
      </w:r>
    </w:p>
    <w:p w14:paraId="4BFC879D">
      <w:pPr>
        <w:spacing w:line="440" w:lineRule="atLeast"/>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名称：禹州市农业农村局</w:t>
      </w:r>
    </w:p>
    <w:p w14:paraId="776682B6">
      <w:pPr>
        <w:spacing w:line="440" w:lineRule="atLeast"/>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地址：禹州市禹王大道29号</w:t>
      </w:r>
    </w:p>
    <w:p w14:paraId="768B5BD8">
      <w:pPr>
        <w:spacing w:line="440" w:lineRule="atLeast"/>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联系人：</w:t>
      </w:r>
      <w:r>
        <w:rPr>
          <w:rFonts w:hint="eastAsia" w:asciiTheme="minorEastAsia" w:hAnsiTheme="minorEastAsia" w:cstheme="minorEastAsia"/>
          <w:color w:val="auto"/>
          <w:szCs w:val="21"/>
          <w:lang w:val="en-US" w:eastAsia="zh-CN"/>
        </w:rPr>
        <w:t>彭先生</w:t>
      </w:r>
    </w:p>
    <w:p w14:paraId="5780E459">
      <w:pPr>
        <w:spacing w:line="440" w:lineRule="atLeast"/>
        <w:ind w:firstLine="420" w:firstLineChars="200"/>
        <w:jc w:val="left"/>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联系</w:t>
      </w:r>
      <w:r>
        <w:rPr>
          <w:rFonts w:hint="eastAsia" w:asciiTheme="minorEastAsia" w:hAnsiTheme="minorEastAsia" w:cstheme="minorEastAsia"/>
          <w:szCs w:val="21"/>
          <w:lang w:val="en-US" w:eastAsia="zh-CN"/>
        </w:rPr>
        <w:t>方</w:t>
      </w:r>
      <w:r>
        <w:rPr>
          <w:rFonts w:hint="eastAsia" w:asciiTheme="minorEastAsia" w:hAnsiTheme="minorEastAsia" w:cstheme="minorEastAsia"/>
          <w:color w:val="auto"/>
          <w:szCs w:val="21"/>
          <w:lang w:val="en-US" w:eastAsia="zh-CN"/>
        </w:rPr>
        <w:t>式</w:t>
      </w:r>
      <w:r>
        <w:rPr>
          <w:rFonts w:hint="eastAsia" w:asciiTheme="minorEastAsia" w:hAnsiTheme="minorEastAsia" w:eastAsiaTheme="minorEastAsia" w:cstheme="minorEastAsia"/>
          <w:color w:val="auto"/>
          <w:szCs w:val="21"/>
        </w:rPr>
        <w:t>：0374-860</w:t>
      </w:r>
      <w:r>
        <w:rPr>
          <w:rFonts w:hint="eastAsia" w:asciiTheme="minorEastAsia" w:hAnsiTheme="minorEastAsia" w:cstheme="minorEastAsia"/>
          <w:color w:val="auto"/>
          <w:szCs w:val="21"/>
          <w:lang w:val="en-US" w:eastAsia="zh-CN"/>
        </w:rPr>
        <w:t>9650</w:t>
      </w:r>
    </w:p>
    <w:p w14:paraId="64F11E3B">
      <w:pPr>
        <w:spacing w:line="440" w:lineRule="atLeas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2.采购代理机构信息</w:t>
      </w:r>
    </w:p>
    <w:p w14:paraId="438FC233">
      <w:pPr>
        <w:tabs>
          <w:tab w:val="left" w:pos="7095"/>
        </w:tabs>
        <w:spacing w:line="440" w:lineRule="atLeast"/>
        <w:ind w:firstLine="420" w:firstLineChars="200"/>
        <w:contextualSpacing/>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rPr>
        <w:t>名称：师梦勘测设计集团有限公司</w:t>
      </w:r>
    </w:p>
    <w:p w14:paraId="7930E512">
      <w:pPr>
        <w:tabs>
          <w:tab w:val="left" w:pos="7095"/>
        </w:tabs>
        <w:spacing w:line="440" w:lineRule="atLeast"/>
        <w:ind w:firstLine="420" w:firstLineChars="200"/>
        <w:contextualSpacing/>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rPr>
        <w:t>地址：郑州市高新技术开发区冬青街46号B区007号</w:t>
      </w:r>
    </w:p>
    <w:p w14:paraId="4B0908C0">
      <w:pPr>
        <w:tabs>
          <w:tab w:val="left" w:pos="7095"/>
        </w:tabs>
        <w:spacing w:line="440" w:lineRule="atLeast"/>
        <w:ind w:firstLine="420" w:firstLineChars="200"/>
        <w:contextualSpacing/>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rPr>
        <w:t>联系人：王女士</w:t>
      </w:r>
    </w:p>
    <w:p w14:paraId="517B5D74">
      <w:pPr>
        <w:tabs>
          <w:tab w:val="left" w:pos="7095"/>
        </w:tabs>
        <w:spacing w:line="440" w:lineRule="atLeast"/>
        <w:ind w:firstLine="420" w:firstLineChars="200"/>
        <w:contextualSpacing/>
        <w:jc w:val="left"/>
        <w:rPr>
          <w:rFonts w:hint="default" w:asciiTheme="minorEastAsia" w:hAnsiTheme="minorEastAsia" w:eastAsiaTheme="minorEastAsia" w:cstheme="minorEastAsia"/>
          <w:szCs w:val="21"/>
          <w:shd w:val="clear" w:color="auto" w:fill="FFFFFF"/>
          <w:lang w:val="en-US" w:eastAsia="zh-CN"/>
        </w:rPr>
      </w:pPr>
      <w:r>
        <w:rPr>
          <w:rFonts w:hint="eastAsia" w:asciiTheme="minorEastAsia" w:hAnsiTheme="minorEastAsia" w:eastAsiaTheme="minorEastAsia" w:cstheme="minorEastAsia"/>
          <w:szCs w:val="21"/>
          <w:shd w:val="clear" w:color="auto" w:fill="FFFFFF"/>
        </w:rPr>
        <w:t>联系方式：</w:t>
      </w:r>
      <w:r>
        <w:rPr>
          <w:rFonts w:hint="eastAsia" w:asciiTheme="minorEastAsia" w:hAnsiTheme="minorEastAsia" w:cstheme="minorEastAsia"/>
          <w:szCs w:val="21"/>
          <w:shd w:val="clear" w:color="auto" w:fill="FFFFFF"/>
          <w:lang w:val="en-US" w:eastAsia="zh-CN"/>
        </w:rPr>
        <w:t>13733156531</w:t>
      </w:r>
    </w:p>
    <w:p w14:paraId="29DE3050">
      <w:pPr>
        <w:tabs>
          <w:tab w:val="left" w:pos="7095"/>
        </w:tabs>
        <w:spacing w:line="440" w:lineRule="atLeast"/>
        <w:ind w:firstLine="420" w:firstLineChars="200"/>
        <w:contextualSpacing/>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rPr>
        <w:t>3.项目联系方式</w:t>
      </w:r>
    </w:p>
    <w:p w14:paraId="6F79E93B">
      <w:pPr>
        <w:tabs>
          <w:tab w:val="left" w:pos="7095"/>
        </w:tabs>
        <w:spacing w:line="440" w:lineRule="atLeast"/>
        <w:ind w:firstLine="420" w:firstLineChars="200"/>
        <w:contextualSpacing/>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rPr>
        <w:t>联系人：王女士</w:t>
      </w:r>
    </w:p>
    <w:p w14:paraId="66DED70E">
      <w:pPr>
        <w:tabs>
          <w:tab w:val="left" w:pos="7095"/>
        </w:tabs>
        <w:spacing w:line="440" w:lineRule="atLeast"/>
        <w:ind w:firstLine="420" w:firstLineChars="200"/>
        <w:contextualSpacing/>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rPr>
        <w:t>联系方式：</w:t>
      </w:r>
      <w:r>
        <w:rPr>
          <w:rFonts w:hint="eastAsia" w:asciiTheme="minorEastAsia" w:hAnsiTheme="minorEastAsia" w:cstheme="minorEastAsia"/>
          <w:szCs w:val="21"/>
          <w:shd w:val="clear" w:color="auto" w:fill="FFFFFF"/>
          <w:lang w:val="en-US" w:eastAsia="zh-CN"/>
        </w:rPr>
        <w:t>13733156531</w:t>
      </w:r>
    </w:p>
    <w:p w14:paraId="10026D27">
      <w:pPr>
        <w:pStyle w:val="10"/>
        <w:rPr>
          <w:rFonts w:hint="eastAsia" w:ascii="宋体" w:hAnsi="宋体" w:eastAsia="宋体" w:cs="宋体"/>
          <w:b/>
          <w:bCs/>
          <w:color w:val="auto"/>
          <w:szCs w:val="21"/>
          <w:shd w:val="clear" w:color="auto" w:fill="FFFFFF"/>
        </w:rPr>
      </w:pPr>
    </w:p>
    <w:p w14:paraId="2B89CED1">
      <w:pPr>
        <w:keepNext w:val="0"/>
        <w:keepLines w:val="0"/>
        <w:pageBreakBefore w:val="0"/>
        <w:tabs>
          <w:tab w:val="left" w:pos="7095"/>
        </w:tabs>
        <w:kinsoku/>
        <w:wordWrap/>
        <w:overflowPunct/>
        <w:topLinePunct w:val="0"/>
        <w:autoSpaceDE/>
        <w:autoSpaceDN/>
        <w:bidi w:val="0"/>
        <w:adjustRightInd/>
        <w:snapToGrid/>
        <w:spacing w:line="460" w:lineRule="exact"/>
        <w:ind w:firstLine="422" w:firstLineChars="200"/>
        <w:contextualSpacing/>
        <w:jc w:val="left"/>
        <w:textAlignment w:val="auto"/>
        <w:rPr>
          <w:rFonts w:hint="eastAsia" w:ascii="宋体" w:hAnsi="宋体" w:eastAsia="宋体" w:cs="宋体"/>
          <w:b/>
          <w:bCs/>
          <w:color w:val="auto"/>
          <w:szCs w:val="21"/>
          <w:shd w:val="clear" w:color="auto" w:fill="FFFFFF"/>
        </w:rPr>
      </w:pPr>
      <w:r>
        <w:rPr>
          <w:rFonts w:hint="eastAsia" w:ascii="宋体" w:hAnsi="宋体" w:eastAsia="宋体" w:cs="宋体"/>
          <w:b/>
          <w:bCs/>
          <w:color w:val="auto"/>
          <w:szCs w:val="21"/>
          <w:shd w:val="clear" w:color="auto" w:fill="FFFFFF"/>
        </w:rPr>
        <w:t>温馨提示：本项目为全流程电子化交易项目，请注意以下事项。</w:t>
      </w:r>
    </w:p>
    <w:p w14:paraId="490D1CCD">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1.投标人参加本项目投标，需提前自行联系CA服务机构办理数字认证证书并进行电子签章。</w:t>
      </w:r>
    </w:p>
    <w:p w14:paraId="64E8B20F">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2.招标文件下载、投标文件制作、提交、远程不见面开标（电子投标文件的解密）环节，投标人须使用同一个CA数字证书（证书须在有效期内并可正常使用）。</w:t>
      </w:r>
    </w:p>
    <w:p w14:paraId="60CC5BF9">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left="420" w:leftChars="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3.电子投标文件的制作</w:t>
      </w:r>
    </w:p>
    <w:p w14:paraId="54618C4E">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3.1供应商登录“全国公共资源交易平台（河南省·许昌市）”下载“新点投标文件制作软件（河南省版）”的最新版本制作电子响应文件。</w:t>
      </w:r>
    </w:p>
    <w:p w14:paraId="4EF8F44C">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3.2供应商对同一项目多个标段进行响应的，应分别下载所投标段的招标文件，按标段制作响应文件。一个标段对应生成2份电子响应文件（后缀格式为.XCSTF和.nXCSTF），其中后缀格式为“.XCSTF”的加密电子响应文件用于上传至交易系统中投标。后缀格式为“.nXCSTF”的不加密电子投标文件用于查看投标文件</w:t>
      </w:r>
    </w:p>
    <w:p w14:paraId="17A95A70">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内容或导出PDF 格式投标文件。</w:t>
      </w:r>
    </w:p>
    <w:p w14:paraId="7D6B6DFE">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4.加密电子投标文件的提交</w:t>
      </w:r>
    </w:p>
    <w:p w14:paraId="24B58906">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4.1投标人对同一项目多个标段进行投标的，加密电子投标文件应按标段分别提交。</w:t>
      </w:r>
    </w:p>
    <w:p w14:paraId="5ED6C4F9">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4.2加密电子响应文件成功上传至“全国公共资源交易平台（河南省·许昌市）”后，应在上传页面进行模拟解密，以验证是否能够成功解密。</w:t>
      </w:r>
    </w:p>
    <w:p w14:paraId="46726741">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left="420" w:leftChars="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5.远程不见面开标（电子投标文件的解密）</w:t>
      </w:r>
    </w:p>
    <w:p w14:paraId="28566F76">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5.1本项目采用远程不见面开标方式，投标前请详细阅读“全国公共资源交易平台（河南省·许昌市）”的“服务指南”栏目下《新交易平台使用手册》中的相关内容。</w:t>
      </w:r>
    </w:p>
    <w:p w14:paraId="4A176017">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5.2投标人应按新交易平台使用手册提前设置好浏览器，并于开标时间前登录本项目不见面开标大厅，按照规定的开标时间准时参加网上开标。</w:t>
      </w:r>
    </w:p>
    <w:p w14:paraId="2835356F">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5.3根据开标大厅界面右侧“公告栏”中的系统提示，投标人应在“标书解密”环节完成解密操作（自代理机构点击“开启投标解密”按钮后投标人解密，系统初设解密时间为30分钟，投标人应在30分钟内完成解密。如因网络、系统原因未完成解密的，招标人（代理机构）报经相关监督管理部门同意后可适当延长解密时间）。投标人未解密或因投标人原因解密失败的，其投标文件将被退回。</w:t>
      </w:r>
    </w:p>
    <w:p w14:paraId="6E11343D">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5.4 在开标结束环节，投标人应在《开标情况记录表》上进行电子签章。投标人未签章的，视同认可开标结果。</w:t>
      </w:r>
    </w:p>
    <w:p w14:paraId="64D83E51">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5.5 投标人对开标过程和开标记录如有异议，可在本项目开标大厅界面右下方“发起异议”中在线提出异议。</w:t>
      </w:r>
    </w:p>
    <w:p w14:paraId="23FD86D3">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6.评标依据</w:t>
      </w:r>
    </w:p>
    <w:p w14:paraId="695F76EC">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6.1全流程电子化交易（不见面开标）项目，评标委员会以成功上传、解密的电子投标文件为依据评审。</w:t>
      </w:r>
    </w:p>
    <w:p w14:paraId="02A1355B">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6.2评标期间，投标人应保持通讯手机畅通。评标委员会如要求投标人作出澄清、说明或者补正等，投标人应在评标委员会要求的评标期间合理的时间内通过电子邮件形式提供。</w:t>
      </w:r>
    </w:p>
    <w:p w14:paraId="0DC7CDF1">
      <w:pPr>
        <w:pStyle w:val="29"/>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6.3投标人通过电子邮件提供的书面说明或相关证明材料应加盖公章，或者由法定代表人或其授权的代表签字。</w:t>
      </w:r>
    </w:p>
    <w:p w14:paraId="402C92B3">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outlineLvl w:val="2"/>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7.相关事项</w:t>
      </w:r>
    </w:p>
    <w:p w14:paraId="31955F67">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7.1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7F502B19">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p w14:paraId="3EDB8EE7">
      <w:pPr>
        <w:tabs>
          <w:tab w:val="left" w:pos="7095"/>
        </w:tabs>
        <w:spacing w:line="440" w:lineRule="atLeast"/>
        <w:ind w:firstLine="643" w:firstLineChars="200"/>
        <w:contextualSpacing/>
        <w:jc w:val="left"/>
        <w:rPr>
          <w:rFonts w:hint="eastAsia" w:ascii="宋体" w:hAnsi="宋体" w:eastAsia="宋体" w:cs="宋体"/>
          <w:b/>
          <w:bCs/>
          <w:color w:val="auto"/>
          <w:kern w:val="0"/>
          <w:sz w:val="32"/>
          <w:szCs w:val="32"/>
        </w:rPr>
      </w:pPr>
    </w:p>
    <w:p w14:paraId="2B89CEEA">
      <w:pPr>
        <w:pStyle w:val="27"/>
        <w:rPr>
          <w:rFonts w:hint="eastAsia" w:ascii="宋体" w:hAnsi="宋体" w:eastAsia="宋体" w:cs="宋体"/>
          <w:color w:val="auto"/>
        </w:rPr>
      </w:pPr>
    </w:p>
    <w:p w14:paraId="5AB4CBF7">
      <w:pPr>
        <w:pStyle w:val="27"/>
        <w:rPr>
          <w:rFonts w:hint="eastAsia" w:ascii="宋体" w:hAnsi="宋体" w:eastAsia="宋体" w:cs="宋体"/>
          <w:color w:val="auto"/>
        </w:rPr>
      </w:pPr>
    </w:p>
    <w:p w14:paraId="7D405A8C">
      <w:pPr>
        <w:pStyle w:val="27"/>
        <w:rPr>
          <w:rFonts w:hint="eastAsia" w:ascii="宋体" w:hAnsi="宋体" w:eastAsia="宋体" w:cs="宋体"/>
          <w:color w:val="auto"/>
        </w:rPr>
      </w:pPr>
    </w:p>
    <w:p w14:paraId="730EF899">
      <w:pPr>
        <w:pStyle w:val="27"/>
        <w:rPr>
          <w:rFonts w:hint="eastAsia" w:ascii="宋体" w:hAnsi="宋体" w:eastAsia="宋体" w:cs="宋体"/>
          <w:color w:val="auto"/>
        </w:rPr>
      </w:pPr>
    </w:p>
    <w:p w14:paraId="143A931A">
      <w:pPr>
        <w:pStyle w:val="27"/>
        <w:rPr>
          <w:rFonts w:hint="eastAsia" w:ascii="宋体" w:hAnsi="宋体" w:eastAsia="宋体" w:cs="宋体"/>
          <w:color w:val="auto"/>
        </w:rPr>
      </w:pPr>
    </w:p>
    <w:p w14:paraId="2B4F6611">
      <w:pPr>
        <w:pStyle w:val="27"/>
        <w:rPr>
          <w:rFonts w:hint="eastAsia" w:ascii="宋体" w:hAnsi="宋体" w:eastAsia="宋体" w:cs="宋体"/>
          <w:color w:val="auto"/>
        </w:rPr>
      </w:pPr>
    </w:p>
    <w:p w14:paraId="14AD4803">
      <w:pPr>
        <w:pStyle w:val="27"/>
        <w:rPr>
          <w:rFonts w:hint="eastAsia" w:ascii="宋体" w:hAnsi="宋体" w:eastAsia="宋体" w:cs="宋体"/>
          <w:color w:val="auto"/>
        </w:rPr>
      </w:pPr>
    </w:p>
    <w:p w14:paraId="3BBC303B">
      <w:pPr>
        <w:pStyle w:val="27"/>
        <w:rPr>
          <w:rFonts w:hint="eastAsia" w:ascii="宋体" w:hAnsi="宋体" w:eastAsia="宋体" w:cs="宋体"/>
          <w:color w:val="auto"/>
        </w:rPr>
      </w:pPr>
    </w:p>
    <w:p w14:paraId="0CCE9E41">
      <w:pPr>
        <w:pStyle w:val="27"/>
        <w:rPr>
          <w:rFonts w:hint="eastAsia" w:ascii="宋体" w:hAnsi="宋体" w:eastAsia="宋体" w:cs="宋体"/>
          <w:color w:val="auto"/>
        </w:rPr>
      </w:pPr>
    </w:p>
    <w:p w14:paraId="04038F7F">
      <w:pPr>
        <w:pStyle w:val="27"/>
        <w:rPr>
          <w:rFonts w:hint="eastAsia" w:ascii="宋体" w:hAnsi="宋体" w:eastAsia="宋体" w:cs="宋体"/>
          <w:color w:val="auto"/>
        </w:rPr>
      </w:pPr>
    </w:p>
    <w:p w14:paraId="25781DC5">
      <w:pPr>
        <w:pStyle w:val="27"/>
        <w:rPr>
          <w:rFonts w:hint="eastAsia" w:ascii="宋体" w:hAnsi="宋体" w:eastAsia="宋体" w:cs="宋体"/>
          <w:color w:val="auto"/>
        </w:rPr>
      </w:pPr>
    </w:p>
    <w:p w14:paraId="449F1E16">
      <w:pPr>
        <w:pStyle w:val="27"/>
        <w:rPr>
          <w:rFonts w:hint="eastAsia" w:ascii="宋体" w:hAnsi="宋体" w:eastAsia="宋体" w:cs="宋体"/>
          <w:color w:val="auto"/>
        </w:rPr>
      </w:pPr>
    </w:p>
    <w:p w14:paraId="2D158843">
      <w:pPr>
        <w:pStyle w:val="27"/>
        <w:rPr>
          <w:rFonts w:hint="eastAsia" w:ascii="宋体" w:hAnsi="宋体" w:eastAsia="宋体" w:cs="宋体"/>
          <w:color w:val="auto"/>
        </w:rPr>
      </w:pPr>
    </w:p>
    <w:p w14:paraId="6AB1C7DA">
      <w:pPr>
        <w:pStyle w:val="27"/>
        <w:rPr>
          <w:rFonts w:hint="eastAsia" w:ascii="宋体" w:hAnsi="宋体" w:eastAsia="宋体" w:cs="宋体"/>
          <w:color w:val="auto"/>
        </w:rPr>
      </w:pPr>
    </w:p>
    <w:p w14:paraId="584DDF5E">
      <w:pPr>
        <w:pStyle w:val="27"/>
        <w:rPr>
          <w:rFonts w:hint="eastAsia" w:ascii="宋体" w:hAnsi="宋体" w:eastAsia="宋体" w:cs="宋体"/>
          <w:color w:val="auto"/>
        </w:rPr>
      </w:pPr>
    </w:p>
    <w:p w14:paraId="51161961">
      <w:pPr>
        <w:pStyle w:val="27"/>
        <w:rPr>
          <w:rFonts w:hint="eastAsia" w:ascii="宋体" w:hAnsi="宋体" w:eastAsia="宋体" w:cs="宋体"/>
          <w:color w:val="auto"/>
        </w:rPr>
      </w:pPr>
    </w:p>
    <w:p w14:paraId="0C0490ED">
      <w:pPr>
        <w:pStyle w:val="27"/>
        <w:rPr>
          <w:rFonts w:hint="eastAsia" w:ascii="宋体" w:hAnsi="宋体" w:eastAsia="宋体" w:cs="宋体"/>
          <w:color w:val="auto"/>
        </w:rPr>
      </w:pPr>
    </w:p>
    <w:p w14:paraId="504C891A">
      <w:pPr>
        <w:pStyle w:val="27"/>
        <w:rPr>
          <w:rFonts w:hint="eastAsia" w:ascii="宋体" w:hAnsi="宋体" w:eastAsia="宋体" w:cs="宋体"/>
          <w:color w:val="auto"/>
        </w:rPr>
      </w:pPr>
    </w:p>
    <w:p w14:paraId="006821D3">
      <w:pPr>
        <w:pStyle w:val="27"/>
        <w:rPr>
          <w:rFonts w:hint="eastAsia" w:ascii="宋体" w:hAnsi="宋体" w:eastAsia="宋体" w:cs="宋体"/>
          <w:color w:val="auto"/>
        </w:rPr>
      </w:pPr>
    </w:p>
    <w:p w14:paraId="210DB26E">
      <w:pPr>
        <w:pStyle w:val="27"/>
        <w:rPr>
          <w:rFonts w:hint="eastAsia" w:ascii="宋体" w:hAnsi="宋体" w:eastAsia="宋体" w:cs="宋体"/>
          <w:color w:val="auto"/>
        </w:rPr>
      </w:pPr>
    </w:p>
    <w:p w14:paraId="5EC4140C">
      <w:pPr>
        <w:pStyle w:val="27"/>
        <w:rPr>
          <w:rFonts w:hint="eastAsia" w:ascii="宋体" w:hAnsi="宋体" w:eastAsia="宋体" w:cs="宋体"/>
          <w:color w:val="auto"/>
        </w:rPr>
      </w:pPr>
    </w:p>
    <w:p w14:paraId="12E3AAD5">
      <w:pPr>
        <w:pStyle w:val="27"/>
        <w:rPr>
          <w:rFonts w:hint="eastAsia" w:ascii="宋体" w:hAnsi="宋体" w:eastAsia="宋体" w:cs="宋体"/>
          <w:color w:val="auto"/>
        </w:rPr>
      </w:pPr>
    </w:p>
    <w:p w14:paraId="24CE0B73">
      <w:pPr>
        <w:pStyle w:val="27"/>
        <w:rPr>
          <w:rFonts w:hint="eastAsia" w:ascii="宋体" w:hAnsi="宋体" w:eastAsia="宋体" w:cs="宋体"/>
          <w:color w:val="auto"/>
        </w:rPr>
      </w:pPr>
    </w:p>
    <w:p w14:paraId="53BDE7C8">
      <w:pPr>
        <w:pStyle w:val="27"/>
        <w:rPr>
          <w:rFonts w:hint="eastAsia" w:ascii="宋体" w:hAnsi="宋体" w:eastAsia="宋体" w:cs="宋体"/>
          <w:color w:val="auto"/>
        </w:rPr>
      </w:pPr>
    </w:p>
    <w:p w14:paraId="717493B3">
      <w:pPr>
        <w:pStyle w:val="27"/>
        <w:rPr>
          <w:rFonts w:hint="eastAsia" w:ascii="宋体" w:hAnsi="宋体" w:eastAsia="宋体" w:cs="宋体"/>
          <w:color w:val="auto"/>
        </w:rPr>
      </w:pPr>
    </w:p>
    <w:p w14:paraId="62747078">
      <w:pPr>
        <w:pStyle w:val="27"/>
        <w:rPr>
          <w:rFonts w:hint="eastAsia" w:ascii="宋体" w:hAnsi="宋体" w:eastAsia="宋体" w:cs="宋体"/>
          <w:color w:val="auto"/>
        </w:rPr>
      </w:pPr>
    </w:p>
    <w:p w14:paraId="16125BC8">
      <w:pPr>
        <w:pStyle w:val="27"/>
        <w:rPr>
          <w:rFonts w:hint="eastAsia" w:ascii="宋体" w:hAnsi="宋体" w:eastAsia="宋体" w:cs="宋体"/>
          <w:color w:val="auto"/>
        </w:rPr>
      </w:pPr>
    </w:p>
    <w:p w14:paraId="32AF050A">
      <w:pPr>
        <w:pStyle w:val="27"/>
        <w:rPr>
          <w:rFonts w:hint="eastAsia" w:ascii="宋体" w:hAnsi="宋体" w:eastAsia="宋体" w:cs="宋体"/>
          <w:color w:val="auto"/>
        </w:rPr>
      </w:pPr>
    </w:p>
    <w:p w14:paraId="4AAC2694">
      <w:pPr>
        <w:pStyle w:val="27"/>
        <w:rPr>
          <w:rFonts w:hint="eastAsia" w:ascii="宋体" w:hAnsi="宋体" w:eastAsia="宋体" w:cs="宋体"/>
          <w:color w:val="auto"/>
        </w:rPr>
      </w:pPr>
    </w:p>
    <w:p w14:paraId="2FE1FB37">
      <w:pPr>
        <w:pStyle w:val="27"/>
        <w:rPr>
          <w:rFonts w:hint="eastAsia" w:ascii="宋体" w:hAnsi="宋体" w:eastAsia="宋体" w:cs="宋体"/>
          <w:color w:val="auto"/>
        </w:rPr>
      </w:pPr>
    </w:p>
    <w:p w14:paraId="2B89CEFE">
      <w:pPr>
        <w:pStyle w:val="27"/>
        <w:rPr>
          <w:rFonts w:hint="eastAsia" w:ascii="宋体" w:hAnsi="宋体" w:eastAsia="宋体" w:cs="宋体"/>
          <w:color w:val="auto"/>
        </w:rPr>
      </w:pPr>
    </w:p>
    <w:p w14:paraId="2B89CEFF">
      <w:pPr>
        <w:numPr>
          <w:ilvl w:val="0"/>
          <w:numId w:val="0"/>
        </w:numPr>
        <w:tabs>
          <w:tab w:val="left" w:pos="7095"/>
        </w:tabs>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lang w:val="en-US" w:eastAsia="zh-CN"/>
        </w:rPr>
        <w:t>第二章</w:t>
      </w:r>
      <w:r>
        <w:rPr>
          <w:rFonts w:hint="eastAsia" w:ascii="宋体" w:hAnsi="宋体" w:eastAsia="宋体" w:cs="宋体"/>
          <w:b/>
          <w:color w:val="auto"/>
          <w:kern w:val="0"/>
          <w:sz w:val="30"/>
          <w:szCs w:val="30"/>
        </w:rPr>
        <w:t xml:space="preserve"> </w:t>
      </w:r>
      <w:r>
        <w:rPr>
          <w:rFonts w:hint="eastAsia" w:ascii="宋体" w:hAnsi="宋体" w:eastAsia="宋体" w:cs="宋体"/>
          <w:b/>
          <w:color w:val="auto"/>
          <w:kern w:val="0"/>
          <w:sz w:val="30"/>
          <w:szCs w:val="30"/>
          <w:lang w:val="en-US" w:eastAsia="zh-CN"/>
        </w:rPr>
        <w:t>项目</w:t>
      </w:r>
      <w:r>
        <w:rPr>
          <w:rFonts w:hint="eastAsia" w:ascii="宋体" w:hAnsi="宋体" w:eastAsia="宋体" w:cs="宋体"/>
          <w:b/>
          <w:color w:val="auto"/>
          <w:kern w:val="0"/>
          <w:sz w:val="30"/>
          <w:szCs w:val="30"/>
        </w:rPr>
        <w:t>需求</w:t>
      </w:r>
    </w:p>
    <w:p w14:paraId="6AE2DA51">
      <w:pPr>
        <w:pStyle w:val="41"/>
        <w:keepNext w:val="0"/>
        <w:keepLines w:val="0"/>
        <w:pageBreakBefore w:val="0"/>
        <w:wordWrap/>
        <w:overflowPunct/>
        <w:topLinePunct w:val="0"/>
        <w:bidi w:val="0"/>
        <w:spacing w:line="520" w:lineRule="exact"/>
        <w:rPr>
          <w:rStyle w:val="31"/>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color w:val="000000"/>
          <w:sz w:val="21"/>
          <w:szCs w:val="21"/>
          <w:shd w:val="clear" w:color="auto" w:fill="FFFFFF"/>
        </w:rPr>
        <w:t>一、项目概况</w:t>
      </w:r>
    </w:p>
    <w:p w14:paraId="7042579C">
      <w:pPr>
        <w:keepNext w:val="0"/>
        <w:keepLines w:val="0"/>
        <w:pageBreakBefore w:val="0"/>
        <w:widowControl w:val="0"/>
        <w:kinsoku/>
        <w:wordWrap/>
        <w:overflowPunct/>
        <w:topLinePunct w:val="0"/>
        <w:autoSpaceDN/>
        <w:bidi w:val="0"/>
        <w:spacing w:line="520" w:lineRule="exact"/>
        <w:ind w:firstLine="420" w:firstLineChars="200"/>
        <w:textAlignment w:val="auto"/>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禹州市农业农村局2026年补充耕地质量验收项目，对禹州市2026年8000亩拟入库补充耕地开展质量鉴定验收技术服务。包括但不限于内外业资料收集与审核；实地踏勘；专家踏勘及评审；样点采集和全程照片采集；土壤样品制备、检测化验、区级初鉴报告及数据库建设。</w:t>
      </w:r>
    </w:p>
    <w:p w14:paraId="32841705">
      <w:pPr>
        <w:pStyle w:val="41"/>
        <w:keepNext w:val="0"/>
        <w:keepLines w:val="0"/>
        <w:pageBreakBefore w:val="0"/>
        <w:wordWrap/>
        <w:overflowPunct/>
        <w:topLinePunct w:val="0"/>
        <w:bidi w:val="0"/>
        <w:spacing w:line="520" w:lineRule="exact"/>
        <w:rPr>
          <w:rFonts w:hint="eastAsia" w:asciiTheme="minorEastAsia" w:hAnsiTheme="minorEastAsia" w:eastAsiaTheme="minorEastAsia" w:cstheme="minorEastAsia"/>
          <w:b/>
          <w:bCs/>
          <w:color w:val="000000"/>
          <w:sz w:val="21"/>
          <w:szCs w:val="21"/>
          <w:shd w:val="clear" w:color="auto" w:fill="FFFFFF"/>
        </w:rPr>
      </w:pPr>
      <w:r>
        <w:rPr>
          <w:rFonts w:hint="eastAsia" w:asciiTheme="minorEastAsia" w:hAnsiTheme="minorEastAsia" w:eastAsiaTheme="minorEastAsia" w:cstheme="minorEastAsia"/>
          <w:b/>
          <w:bCs/>
          <w:color w:val="000000"/>
          <w:sz w:val="21"/>
          <w:szCs w:val="21"/>
          <w:shd w:val="clear" w:color="auto" w:fill="FFFFFF"/>
        </w:rPr>
        <w:t>★二、采购清单</w:t>
      </w:r>
    </w:p>
    <w:p w14:paraId="7BAD3EC5">
      <w:pPr>
        <w:pStyle w:val="41"/>
        <w:keepNext w:val="0"/>
        <w:keepLines w:val="0"/>
        <w:pageBreakBefore w:val="0"/>
        <w:numPr>
          <w:ilvl w:val="0"/>
          <w:numId w:val="0"/>
        </w:numPr>
        <w:wordWrap/>
        <w:overflowPunct/>
        <w:topLinePunct w:val="0"/>
        <w:bidi w:val="0"/>
        <w:spacing w:line="520" w:lineRule="exact"/>
        <w:ind w:left="481" w:leftChars="0"/>
        <w:rPr>
          <w:rStyle w:val="31"/>
          <w:rFonts w:hint="eastAsia" w:asciiTheme="minorEastAsia" w:hAnsiTheme="minorEastAsia" w:eastAsiaTheme="minorEastAsia" w:cstheme="minorEastAsia"/>
          <w:color w:val="000000"/>
          <w:kern w:val="2"/>
          <w:sz w:val="21"/>
          <w:szCs w:val="21"/>
          <w:lang w:val="en-US" w:eastAsia="zh-CN" w:bidi="ar-SA"/>
        </w:rPr>
      </w:pPr>
      <w:r>
        <w:rPr>
          <w:rStyle w:val="31"/>
          <w:rFonts w:hint="eastAsia" w:asciiTheme="minorEastAsia" w:hAnsiTheme="minorEastAsia" w:eastAsiaTheme="minorEastAsia" w:cstheme="minorEastAsia"/>
          <w:color w:val="000000"/>
          <w:kern w:val="2"/>
          <w:sz w:val="21"/>
          <w:szCs w:val="21"/>
          <w:lang w:val="en-US" w:eastAsia="zh-CN" w:bidi="ar-SA"/>
        </w:rPr>
        <w:t>1.标段划分</w:t>
      </w:r>
    </w:p>
    <w:tbl>
      <w:tblPr>
        <w:tblStyle w:val="38"/>
        <w:tblW w:w="88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7"/>
        <w:gridCol w:w="4052"/>
        <w:gridCol w:w="1800"/>
        <w:gridCol w:w="1569"/>
      </w:tblGrid>
      <w:tr w14:paraId="222B5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jc w:val="center"/>
        </w:trPr>
        <w:tc>
          <w:tcPr>
            <w:tcW w:w="1477" w:type="dxa"/>
            <w:vAlign w:val="center"/>
          </w:tcPr>
          <w:p w14:paraId="0E1601E7">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pacing w:val="-6"/>
                <w:sz w:val="21"/>
                <w:szCs w:val="21"/>
              </w:rPr>
              <w:t>标段</w:t>
            </w:r>
          </w:p>
        </w:tc>
        <w:tc>
          <w:tcPr>
            <w:tcW w:w="4052" w:type="dxa"/>
            <w:vAlign w:val="center"/>
          </w:tcPr>
          <w:p w14:paraId="545177B9">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396" w:firstLineChars="200"/>
              <w:jc w:val="center"/>
              <w:textAlignment w:val="baseline"/>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pacing w:val="-6"/>
                <w:sz w:val="21"/>
                <w:szCs w:val="21"/>
              </w:rPr>
              <w:t>实施</w:t>
            </w:r>
            <w:r>
              <w:rPr>
                <w:rFonts w:hint="eastAsia" w:asciiTheme="minorEastAsia" w:hAnsiTheme="minorEastAsia" w:eastAsiaTheme="minorEastAsia" w:cstheme="minorEastAsia"/>
                <w:b w:val="0"/>
                <w:bCs w:val="0"/>
                <w:color w:val="auto"/>
                <w:spacing w:val="-6"/>
                <w:sz w:val="21"/>
                <w:szCs w:val="21"/>
                <w:lang w:val="en-US" w:eastAsia="zh-CN"/>
              </w:rPr>
              <w:t>区域</w:t>
            </w:r>
          </w:p>
        </w:tc>
        <w:tc>
          <w:tcPr>
            <w:tcW w:w="1800" w:type="dxa"/>
            <w:vAlign w:val="center"/>
          </w:tcPr>
          <w:p w14:paraId="0CA7DB77">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pacing w:val="4"/>
                <w:sz w:val="21"/>
                <w:szCs w:val="21"/>
              </w:rPr>
              <w:t>数量</w:t>
            </w:r>
            <w:r>
              <w:rPr>
                <w:rFonts w:hint="eastAsia" w:asciiTheme="minorEastAsia" w:hAnsiTheme="minorEastAsia" w:eastAsiaTheme="minorEastAsia" w:cstheme="minorEastAsia"/>
                <w:b w:val="0"/>
                <w:bCs w:val="0"/>
                <w:color w:val="auto"/>
                <w:spacing w:val="4"/>
                <w:sz w:val="21"/>
                <w:szCs w:val="21"/>
                <w:lang w:eastAsia="zh-CN"/>
              </w:rPr>
              <w:t>（</w:t>
            </w:r>
            <w:r>
              <w:rPr>
                <w:rFonts w:hint="eastAsia" w:asciiTheme="minorEastAsia" w:hAnsiTheme="minorEastAsia" w:eastAsiaTheme="minorEastAsia" w:cstheme="minorEastAsia"/>
                <w:b w:val="0"/>
                <w:bCs w:val="0"/>
                <w:color w:val="auto"/>
                <w:spacing w:val="4"/>
                <w:sz w:val="21"/>
                <w:szCs w:val="21"/>
              </w:rPr>
              <w:t>亩</w:t>
            </w:r>
            <w:r>
              <w:rPr>
                <w:rFonts w:hint="eastAsia" w:asciiTheme="minorEastAsia" w:hAnsiTheme="minorEastAsia" w:eastAsiaTheme="minorEastAsia" w:cstheme="minorEastAsia"/>
                <w:b w:val="0"/>
                <w:bCs w:val="0"/>
                <w:color w:val="auto"/>
                <w:spacing w:val="4"/>
                <w:sz w:val="21"/>
                <w:szCs w:val="21"/>
                <w:lang w:eastAsia="zh-CN"/>
              </w:rPr>
              <w:t>）</w:t>
            </w:r>
          </w:p>
        </w:tc>
        <w:tc>
          <w:tcPr>
            <w:tcW w:w="1569" w:type="dxa"/>
            <w:vAlign w:val="center"/>
          </w:tcPr>
          <w:p w14:paraId="1BD4B77A">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440" w:firstLineChars="200"/>
              <w:jc w:val="center"/>
              <w:textAlignment w:val="baseline"/>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pacing w:val="5"/>
                <w:sz w:val="21"/>
                <w:szCs w:val="21"/>
              </w:rPr>
              <w:t>金额</w:t>
            </w:r>
            <w:r>
              <w:rPr>
                <w:rFonts w:hint="eastAsia" w:asciiTheme="minorEastAsia" w:hAnsiTheme="minorEastAsia" w:eastAsiaTheme="minorEastAsia" w:cstheme="minorEastAsia"/>
                <w:b w:val="0"/>
                <w:bCs w:val="0"/>
                <w:color w:val="auto"/>
                <w:spacing w:val="5"/>
                <w:sz w:val="21"/>
                <w:szCs w:val="21"/>
                <w:lang w:eastAsia="zh-CN"/>
              </w:rPr>
              <w:t>（</w:t>
            </w:r>
            <w:r>
              <w:rPr>
                <w:rFonts w:hint="eastAsia" w:asciiTheme="minorEastAsia" w:hAnsiTheme="minorEastAsia" w:eastAsiaTheme="minorEastAsia" w:cstheme="minorEastAsia"/>
                <w:b w:val="0"/>
                <w:bCs w:val="0"/>
                <w:color w:val="auto"/>
                <w:spacing w:val="5"/>
                <w:sz w:val="21"/>
                <w:szCs w:val="21"/>
              </w:rPr>
              <w:t>元</w:t>
            </w:r>
            <w:r>
              <w:rPr>
                <w:rFonts w:hint="eastAsia" w:asciiTheme="minorEastAsia" w:hAnsiTheme="minorEastAsia" w:eastAsiaTheme="minorEastAsia" w:cstheme="minorEastAsia"/>
                <w:b w:val="0"/>
                <w:bCs w:val="0"/>
                <w:color w:val="auto"/>
                <w:spacing w:val="5"/>
                <w:sz w:val="21"/>
                <w:szCs w:val="21"/>
                <w:lang w:eastAsia="zh-CN"/>
              </w:rPr>
              <w:t>）</w:t>
            </w:r>
          </w:p>
        </w:tc>
      </w:tr>
      <w:tr w14:paraId="2BD08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jc w:val="center"/>
        </w:trPr>
        <w:tc>
          <w:tcPr>
            <w:tcW w:w="1477" w:type="dxa"/>
            <w:vAlign w:val="center"/>
          </w:tcPr>
          <w:p w14:paraId="6F836FD0">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rPr>
              <w:t>第一标段</w:t>
            </w:r>
          </w:p>
        </w:tc>
        <w:tc>
          <w:tcPr>
            <w:tcW w:w="4052" w:type="dxa"/>
            <w:vAlign w:val="center"/>
          </w:tcPr>
          <w:p w14:paraId="465D468F">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lang w:val="en-US" w:eastAsia="zh-CN"/>
              </w:rPr>
              <w:t>苌庄镇、方岗镇、鸿畅镇，花石镇、磨街乡、顺店镇、文殊镇</w:t>
            </w:r>
          </w:p>
        </w:tc>
        <w:tc>
          <w:tcPr>
            <w:tcW w:w="1800" w:type="dxa"/>
            <w:vAlign w:val="center"/>
          </w:tcPr>
          <w:p w14:paraId="321B6DD0">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lang w:val="en-US" w:eastAsia="zh-CN"/>
              </w:rPr>
              <w:t>2000</w:t>
            </w:r>
          </w:p>
        </w:tc>
        <w:tc>
          <w:tcPr>
            <w:tcW w:w="1569" w:type="dxa"/>
            <w:vAlign w:val="center"/>
          </w:tcPr>
          <w:p w14:paraId="646B610A">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Theme="minorEastAsia" w:hAnsiTheme="minorEastAsia" w:eastAsiaTheme="minorEastAsia" w:cstheme="minorEastAsia"/>
                <w:b w:val="0"/>
                <w:bCs w:val="0"/>
                <w:color w:val="auto"/>
                <w:spacing w:val="-6"/>
                <w:sz w:val="21"/>
                <w:szCs w:val="21"/>
                <w:lang w:val="en-US" w:eastAsia="zh-CN"/>
              </w:rPr>
            </w:pPr>
            <w:r>
              <w:rPr>
                <w:rFonts w:hint="eastAsia" w:ascii="宋体" w:hAnsi="宋体" w:eastAsia="宋体" w:cs="宋体"/>
                <w:color w:val="auto"/>
                <w:sz w:val="21"/>
                <w:szCs w:val="21"/>
                <w:lang w:val="en-US" w:eastAsia="zh-CN"/>
              </w:rPr>
              <w:t>831000</w:t>
            </w:r>
          </w:p>
        </w:tc>
      </w:tr>
      <w:tr w14:paraId="5A9BC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jc w:val="center"/>
        </w:trPr>
        <w:tc>
          <w:tcPr>
            <w:tcW w:w="1477" w:type="dxa"/>
            <w:vAlign w:val="center"/>
          </w:tcPr>
          <w:p w14:paraId="45BB0EDA">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rPr>
              <w:t>第二标段</w:t>
            </w:r>
          </w:p>
        </w:tc>
        <w:tc>
          <w:tcPr>
            <w:tcW w:w="4052" w:type="dxa"/>
            <w:vAlign w:val="center"/>
          </w:tcPr>
          <w:p w14:paraId="773D99F1">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lang w:val="en-US" w:eastAsia="zh-CN"/>
              </w:rPr>
              <w:t>褚河街道、古城镇、郭连镇</w:t>
            </w:r>
          </w:p>
        </w:tc>
        <w:tc>
          <w:tcPr>
            <w:tcW w:w="1800" w:type="dxa"/>
            <w:vAlign w:val="center"/>
          </w:tcPr>
          <w:p w14:paraId="6C243E5C">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lang w:val="en-US" w:eastAsia="zh-CN"/>
              </w:rPr>
              <w:t>2000</w:t>
            </w:r>
          </w:p>
        </w:tc>
        <w:tc>
          <w:tcPr>
            <w:tcW w:w="1569" w:type="dxa"/>
            <w:vAlign w:val="center"/>
          </w:tcPr>
          <w:p w14:paraId="7793ABD7">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Theme="minorEastAsia" w:hAnsiTheme="minorEastAsia" w:eastAsiaTheme="minorEastAsia" w:cstheme="minorEastAsia"/>
                <w:b w:val="0"/>
                <w:bCs w:val="0"/>
                <w:color w:val="auto"/>
                <w:spacing w:val="-6"/>
                <w:sz w:val="21"/>
                <w:szCs w:val="21"/>
                <w:lang w:val="en-US" w:eastAsia="zh-CN"/>
              </w:rPr>
            </w:pPr>
            <w:r>
              <w:rPr>
                <w:rFonts w:hint="eastAsia" w:ascii="宋体" w:hAnsi="宋体" w:eastAsia="宋体" w:cs="宋体"/>
                <w:color w:val="auto"/>
                <w:sz w:val="21"/>
                <w:szCs w:val="21"/>
                <w:lang w:val="en-US" w:eastAsia="zh-CN"/>
              </w:rPr>
              <w:t>831000</w:t>
            </w:r>
          </w:p>
        </w:tc>
      </w:tr>
      <w:tr w14:paraId="28D3B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jc w:val="center"/>
        </w:trPr>
        <w:tc>
          <w:tcPr>
            <w:tcW w:w="1477" w:type="dxa"/>
            <w:vAlign w:val="center"/>
          </w:tcPr>
          <w:p w14:paraId="5CF60944">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rPr>
              <w:t>第三标段</w:t>
            </w:r>
          </w:p>
        </w:tc>
        <w:tc>
          <w:tcPr>
            <w:tcW w:w="4052" w:type="dxa"/>
            <w:vAlign w:val="center"/>
          </w:tcPr>
          <w:p w14:paraId="47637A68">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lang w:val="en-US" w:eastAsia="zh-CN"/>
              </w:rPr>
              <w:t>范坡镇、小吕镇、张得镇</w:t>
            </w:r>
          </w:p>
        </w:tc>
        <w:tc>
          <w:tcPr>
            <w:tcW w:w="1800" w:type="dxa"/>
            <w:vAlign w:val="center"/>
          </w:tcPr>
          <w:p w14:paraId="37A6632A">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lang w:val="en-US" w:eastAsia="zh-CN"/>
              </w:rPr>
              <w:t>2000</w:t>
            </w:r>
          </w:p>
        </w:tc>
        <w:tc>
          <w:tcPr>
            <w:tcW w:w="1569" w:type="dxa"/>
            <w:vAlign w:val="center"/>
          </w:tcPr>
          <w:p w14:paraId="6A5CA15D">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Theme="minorEastAsia" w:hAnsiTheme="minorEastAsia" w:eastAsiaTheme="minorEastAsia" w:cstheme="minorEastAsia"/>
                <w:b w:val="0"/>
                <w:bCs w:val="0"/>
                <w:color w:val="auto"/>
                <w:spacing w:val="-6"/>
                <w:sz w:val="21"/>
                <w:szCs w:val="21"/>
                <w:lang w:val="en-US" w:eastAsia="zh-CN"/>
              </w:rPr>
            </w:pPr>
            <w:r>
              <w:rPr>
                <w:rFonts w:hint="eastAsia" w:ascii="宋体" w:hAnsi="宋体" w:eastAsia="宋体" w:cs="宋体"/>
                <w:color w:val="auto"/>
                <w:sz w:val="21"/>
                <w:szCs w:val="21"/>
                <w:lang w:val="en-US" w:eastAsia="zh-CN"/>
              </w:rPr>
              <w:t>831000</w:t>
            </w:r>
          </w:p>
        </w:tc>
      </w:tr>
      <w:tr w14:paraId="48B1E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8" w:hRule="atLeast"/>
          <w:jc w:val="center"/>
        </w:trPr>
        <w:tc>
          <w:tcPr>
            <w:tcW w:w="1477" w:type="dxa"/>
            <w:vAlign w:val="center"/>
          </w:tcPr>
          <w:p w14:paraId="64749F0D">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rPr>
              <w:t>第</w:t>
            </w:r>
            <w:r>
              <w:rPr>
                <w:rFonts w:hint="eastAsia" w:asciiTheme="minorEastAsia" w:hAnsiTheme="minorEastAsia" w:eastAsiaTheme="minorEastAsia" w:cstheme="minorEastAsia"/>
                <w:b w:val="0"/>
                <w:bCs w:val="0"/>
                <w:color w:val="auto"/>
                <w:spacing w:val="-6"/>
                <w:sz w:val="21"/>
                <w:szCs w:val="21"/>
                <w:lang w:val="en-US" w:eastAsia="zh-CN"/>
              </w:rPr>
              <w:t>四</w:t>
            </w:r>
            <w:r>
              <w:rPr>
                <w:rFonts w:hint="eastAsia" w:asciiTheme="minorEastAsia" w:hAnsiTheme="minorEastAsia" w:eastAsiaTheme="minorEastAsia" w:cstheme="minorEastAsia"/>
                <w:b w:val="0"/>
                <w:bCs w:val="0"/>
                <w:color w:val="auto"/>
                <w:spacing w:val="-6"/>
                <w:sz w:val="21"/>
                <w:szCs w:val="21"/>
              </w:rPr>
              <w:t>标段</w:t>
            </w:r>
          </w:p>
        </w:tc>
        <w:tc>
          <w:tcPr>
            <w:tcW w:w="4052" w:type="dxa"/>
            <w:tcBorders>
              <w:right w:val="single" w:color="auto" w:sz="4" w:space="0"/>
            </w:tcBorders>
            <w:vAlign w:val="center"/>
          </w:tcPr>
          <w:p w14:paraId="3F9567D8">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lang w:val="en-US" w:eastAsia="zh-CN"/>
              </w:rPr>
            </w:pPr>
            <w:r>
              <w:rPr>
                <w:rFonts w:hint="eastAsia" w:asciiTheme="minorEastAsia" w:hAnsiTheme="minorEastAsia" w:eastAsiaTheme="minorEastAsia" w:cstheme="minorEastAsia"/>
                <w:b w:val="0"/>
                <w:bCs w:val="0"/>
                <w:color w:val="auto"/>
                <w:spacing w:val="-6"/>
                <w:sz w:val="21"/>
                <w:szCs w:val="21"/>
                <w:lang w:val="en-US" w:eastAsia="zh-CN"/>
              </w:rPr>
              <w:t>火龙镇、钧台街道、梁北镇、夏都街道、朱阁镇</w:t>
            </w:r>
          </w:p>
        </w:tc>
        <w:tc>
          <w:tcPr>
            <w:tcW w:w="1800" w:type="dxa"/>
            <w:tcBorders>
              <w:left w:val="single" w:color="auto" w:sz="4" w:space="0"/>
            </w:tcBorders>
            <w:vAlign w:val="center"/>
          </w:tcPr>
          <w:p w14:paraId="061DD826">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lang w:val="en-US" w:eastAsia="zh-CN"/>
              </w:rPr>
            </w:pPr>
            <w:r>
              <w:rPr>
                <w:rFonts w:hint="eastAsia" w:asciiTheme="minorEastAsia" w:hAnsiTheme="minorEastAsia" w:eastAsiaTheme="minorEastAsia" w:cstheme="minorEastAsia"/>
                <w:b w:val="0"/>
                <w:bCs w:val="0"/>
                <w:color w:val="auto"/>
                <w:spacing w:val="-6"/>
                <w:sz w:val="21"/>
                <w:szCs w:val="21"/>
                <w:lang w:val="en-US" w:eastAsia="zh-CN"/>
              </w:rPr>
              <w:t>2000</w:t>
            </w:r>
          </w:p>
        </w:tc>
        <w:tc>
          <w:tcPr>
            <w:tcW w:w="1569" w:type="dxa"/>
            <w:vAlign w:val="center"/>
          </w:tcPr>
          <w:p w14:paraId="1874A4EE">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Theme="minorEastAsia" w:hAnsiTheme="minorEastAsia" w:eastAsiaTheme="minorEastAsia" w:cstheme="minorEastAsia"/>
                <w:b w:val="0"/>
                <w:bCs w:val="0"/>
                <w:color w:val="auto"/>
                <w:spacing w:val="-6"/>
                <w:sz w:val="21"/>
                <w:szCs w:val="21"/>
                <w:lang w:val="en-US" w:eastAsia="zh-CN"/>
              </w:rPr>
            </w:pPr>
            <w:r>
              <w:rPr>
                <w:rFonts w:hint="eastAsia" w:ascii="宋体" w:hAnsi="宋体" w:eastAsia="宋体" w:cs="宋体"/>
                <w:color w:val="auto"/>
                <w:sz w:val="21"/>
                <w:szCs w:val="21"/>
                <w:lang w:val="en-US" w:eastAsia="zh-CN"/>
              </w:rPr>
              <w:t>831000</w:t>
            </w:r>
          </w:p>
        </w:tc>
      </w:tr>
      <w:tr w14:paraId="264D0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 w:hRule="atLeast"/>
          <w:jc w:val="center"/>
        </w:trPr>
        <w:tc>
          <w:tcPr>
            <w:tcW w:w="5529" w:type="dxa"/>
            <w:gridSpan w:val="2"/>
            <w:tcBorders>
              <w:right w:val="single" w:color="auto" w:sz="4" w:space="0"/>
            </w:tcBorders>
            <w:vAlign w:val="center"/>
          </w:tcPr>
          <w:p w14:paraId="06513C03">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rPr>
              <w:t>总计</w:t>
            </w:r>
          </w:p>
        </w:tc>
        <w:tc>
          <w:tcPr>
            <w:tcW w:w="1800" w:type="dxa"/>
            <w:tcBorders>
              <w:left w:val="single" w:color="auto" w:sz="4" w:space="0"/>
            </w:tcBorders>
            <w:vAlign w:val="center"/>
          </w:tcPr>
          <w:p w14:paraId="69369816">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lang w:val="en-US" w:eastAsia="zh-CN"/>
              </w:rPr>
            </w:pPr>
            <w:r>
              <w:rPr>
                <w:rFonts w:hint="eastAsia" w:asciiTheme="minorEastAsia" w:hAnsiTheme="minorEastAsia" w:eastAsiaTheme="minorEastAsia" w:cstheme="minorEastAsia"/>
                <w:b w:val="0"/>
                <w:bCs w:val="0"/>
                <w:color w:val="auto"/>
                <w:spacing w:val="-6"/>
                <w:sz w:val="21"/>
                <w:szCs w:val="21"/>
                <w:lang w:val="en-US" w:eastAsia="zh-CN"/>
              </w:rPr>
              <w:t>8000亩</w:t>
            </w:r>
          </w:p>
        </w:tc>
        <w:tc>
          <w:tcPr>
            <w:tcW w:w="1569" w:type="dxa"/>
            <w:vAlign w:val="center"/>
          </w:tcPr>
          <w:p w14:paraId="25A9323F">
            <w:pPr>
              <w:pStyle w:val="37"/>
              <w:keepNext w:val="0"/>
              <w:keepLines w:val="0"/>
              <w:pageBreakBefore w:val="0"/>
              <w:widowControl/>
              <w:kinsoku w:val="0"/>
              <w:wordWrap/>
              <w:overflowPunct/>
              <w:topLinePunct w:val="0"/>
              <w:autoSpaceDE w:val="0"/>
              <w:autoSpaceDN w:val="0"/>
              <w:bidi w:val="0"/>
              <w:adjustRightInd w:val="0"/>
              <w:snapToGrid w:val="0"/>
              <w:spacing w:line="520" w:lineRule="exact"/>
              <w:ind w:right="0"/>
              <w:jc w:val="center"/>
              <w:textAlignment w:val="baseline"/>
              <w:rPr>
                <w:rFonts w:hint="eastAsia" w:asciiTheme="minorEastAsia" w:hAnsiTheme="minorEastAsia" w:eastAsiaTheme="minorEastAsia" w:cstheme="minorEastAsia"/>
                <w:b w:val="0"/>
                <w:bCs w:val="0"/>
                <w:color w:val="auto"/>
                <w:spacing w:val="-6"/>
                <w:sz w:val="21"/>
                <w:szCs w:val="21"/>
                <w:lang w:val="en-US" w:eastAsia="zh-CN"/>
              </w:rPr>
            </w:pPr>
            <w:r>
              <w:rPr>
                <w:rFonts w:hint="eastAsia" w:asciiTheme="minorEastAsia" w:hAnsiTheme="minorEastAsia" w:eastAsiaTheme="minorEastAsia" w:cstheme="minorEastAsia"/>
                <w:b w:val="0"/>
                <w:bCs w:val="0"/>
                <w:color w:val="auto"/>
                <w:spacing w:val="-6"/>
                <w:sz w:val="21"/>
                <w:szCs w:val="21"/>
                <w:lang w:val="en-US"/>
              </w:rPr>
              <w:t>3324000</w:t>
            </w:r>
            <w:r>
              <w:rPr>
                <w:rFonts w:hint="eastAsia" w:asciiTheme="minorEastAsia" w:hAnsiTheme="minorEastAsia" w:eastAsiaTheme="minorEastAsia" w:cstheme="minorEastAsia"/>
                <w:b w:val="0"/>
                <w:bCs w:val="0"/>
                <w:color w:val="auto"/>
                <w:spacing w:val="-6"/>
                <w:sz w:val="21"/>
                <w:szCs w:val="21"/>
                <w:lang w:val="en-US" w:eastAsia="zh-CN"/>
              </w:rPr>
              <w:t>元</w:t>
            </w:r>
          </w:p>
        </w:tc>
      </w:tr>
    </w:tbl>
    <w:p w14:paraId="5C2FE6F6">
      <w:pPr>
        <w:keepNext w:val="0"/>
        <w:keepLines w:val="0"/>
        <w:pageBreakBefore w:val="0"/>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color w:val="000000"/>
          <w:sz w:val="21"/>
          <w:szCs w:val="21"/>
          <w:lang w:val="en-US" w:eastAsia="zh-CN"/>
        </w:rPr>
        <w:t xml:space="preserve">2.资料审核与布点 </w:t>
      </w:r>
    </w:p>
    <w:p w14:paraId="58026EF7">
      <w:pPr>
        <w:keepNext w:val="0"/>
        <w:keepLines w:val="0"/>
        <w:pageBreakBefore w:val="0"/>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color w:val="000000"/>
          <w:sz w:val="21"/>
          <w:szCs w:val="21"/>
          <w:lang w:val="en-US" w:eastAsia="zh-CN"/>
        </w:rPr>
        <w:t xml:space="preserve">依据《河南省补充耕地质量鉴定技术规程（试行）》确定具体工作内容。对图斑信息进行全面审核，依据《河南省补充耕地质量鉴定技术规程（试行）》对图斑进行评价单元划分并布设踏勘点位。 </w:t>
      </w:r>
    </w:p>
    <w:p w14:paraId="2C038889">
      <w:pPr>
        <w:keepNext w:val="0"/>
        <w:keepLines w:val="0"/>
        <w:pageBreakBefore w:val="0"/>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color w:val="000000"/>
          <w:sz w:val="21"/>
          <w:szCs w:val="21"/>
          <w:lang w:val="en-US" w:eastAsia="zh-CN"/>
        </w:rPr>
        <w:t xml:space="preserve">3.现场踏勘及采样 </w:t>
      </w:r>
    </w:p>
    <w:p w14:paraId="4B707DB8">
      <w:pPr>
        <w:keepNext w:val="0"/>
        <w:keepLines w:val="0"/>
        <w:pageBreakBefore w:val="0"/>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color w:val="000000"/>
          <w:sz w:val="21"/>
          <w:szCs w:val="21"/>
          <w:lang w:val="en-US" w:eastAsia="zh-CN"/>
        </w:rPr>
        <w:t>新增耕地图斑需要实地踏勘和采样。依据《河南省补充耕地质量鉴定技术规程</w:t>
      </w:r>
      <w:r>
        <w:rPr>
          <w:rStyle w:val="31"/>
          <w:rFonts w:hint="eastAsia" w:asciiTheme="minorEastAsia" w:hAnsiTheme="minorEastAsia" w:cstheme="minorEastAsia"/>
          <w:color w:val="000000"/>
          <w:sz w:val="21"/>
          <w:szCs w:val="21"/>
          <w:lang w:val="en-US" w:eastAsia="zh-CN"/>
        </w:rPr>
        <w:t>（</w:t>
      </w:r>
      <w:r>
        <w:rPr>
          <w:rStyle w:val="31"/>
          <w:rFonts w:hint="eastAsia" w:asciiTheme="minorEastAsia" w:hAnsiTheme="minorEastAsia" w:eastAsiaTheme="minorEastAsia" w:cstheme="minorEastAsia"/>
          <w:color w:val="000000"/>
          <w:sz w:val="21"/>
          <w:szCs w:val="21"/>
          <w:lang w:val="en-US" w:eastAsia="zh-CN"/>
        </w:rPr>
        <w:t xml:space="preserve">试行）》 中内容实地踏勘农业生产符合性评价指标和耕地质量等级评价指标以及土壤样品采集。 </w:t>
      </w:r>
    </w:p>
    <w:p w14:paraId="275B4087">
      <w:pPr>
        <w:keepNext w:val="0"/>
        <w:keepLines w:val="0"/>
        <w:pageBreakBefore w:val="0"/>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color w:val="000000"/>
          <w:sz w:val="21"/>
          <w:szCs w:val="21"/>
          <w:lang w:val="en-US" w:eastAsia="zh-CN"/>
        </w:rPr>
        <w:t xml:space="preserve">4.样品制备 </w:t>
      </w:r>
    </w:p>
    <w:p w14:paraId="176C0397">
      <w:pPr>
        <w:keepNext w:val="0"/>
        <w:keepLines w:val="0"/>
        <w:pageBreakBefore w:val="0"/>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color w:val="000000"/>
          <w:sz w:val="21"/>
          <w:szCs w:val="21"/>
          <w:lang w:val="en-US" w:eastAsia="zh-CN"/>
        </w:rPr>
        <w:t xml:space="preserve">样品制备：土壤表层样品的接收、制备、风干、保存和流转。 </w:t>
      </w:r>
    </w:p>
    <w:p w14:paraId="4CD96A59">
      <w:pPr>
        <w:keepNext w:val="0"/>
        <w:keepLines w:val="0"/>
        <w:pageBreakBefore w:val="0"/>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color w:val="000000"/>
          <w:sz w:val="21"/>
          <w:szCs w:val="21"/>
          <w:lang w:val="en-US" w:eastAsia="zh-CN"/>
        </w:rPr>
        <w:t xml:space="preserve">5.专家评审 </w:t>
      </w:r>
    </w:p>
    <w:p w14:paraId="28C057F0">
      <w:pPr>
        <w:keepNext w:val="0"/>
        <w:keepLines w:val="0"/>
        <w:pageBreakBefore w:val="0"/>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color w:val="000000"/>
          <w:sz w:val="21"/>
          <w:szCs w:val="21"/>
          <w:lang w:val="en-US" w:eastAsia="zh-CN"/>
        </w:rPr>
        <w:t xml:space="preserve">依据《河南省补充耕地质量验收实施细则（试行）》，抽取专家野外实地踏勘并采集土壤样品，确定土壤样品检测项目，选定评价因素指标值，综合评价补充耕地质量。 </w:t>
      </w:r>
    </w:p>
    <w:p w14:paraId="5E32109C">
      <w:pPr>
        <w:keepNext w:val="0"/>
        <w:keepLines w:val="0"/>
        <w:pageBreakBefore w:val="0"/>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color w:val="000000"/>
          <w:sz w:val="21"/>
          <w:szCs w:val="21"/>
          <w:lang w:val="en-US" w:eastAsia="zh-CN"/>
        </w:rPr>
        <w:t xml:space="preserve">6.报告编写及数据库建设 </w:t>
      </w:r>
    </w:p>
    <w:p w14:paraId="0622AAF5">
      <w:pPr>
        <w:keepNext w:val="0"/>
        <w:keepLines w:val="0"/>
        <w:pageBreakBefore w:val="0"/>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color w:val="000000"/>
          <w:sz w:val="21"/>
          <w:szCs w:val="21"/>
          <w:lang w:val="en-US" w:eastAsia="zh-CN"/>
        </w:rPr>
        <w:t>根据耕地质量评价区域划分确定耕地质量评价指标体系，开展耕地质量等级评价并编 写报告，形成评价数据库；对质量等级低于上一年度县域各类占用耕地质量平均等级的补充耕地，提出5年以内的土壤培肥改良指导意见。</w:t>
      </w:r>
    </w:p>
    <w:p w14:paraId="6AD30C08">
      <w:pPr>
        <w:keepNext w:val="0"/>
        <w:keepLines w:val="0"/>
        <w:pageBreakBefore w:val="0"/>
        <w:numPr>
          <w:ilvl w:val="0"/>
          <w:numId w:val="0"/>
        </w:numPr>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en-US" w:eastAsia="zh-CN"/>
        </w:rPr>
      </w:pPr>
      <w:r>
        <w:rPr>
          <w:rStyle w:val="31"/>
          <w:rFonts w:hint="eastAsia" w:asciiTheme="minorEastAsia" w:hAnsiTheme="minorEastAsia" w:eastAsiaTheme="minorEastAsia" w:cstheme="minorEastAsia"/>
          <w:color w:val="000000"/>
          <w:sz w:val="21"/>
          <w:szCs w:val="21"/>
          <w:lang w:val="en-US" w:eastAsia="zh-CN"/>
        </w:rPr>
        <w:t>7.需对补充耕地开展鉴定，包括农业中心生产符合性评价和耕地质量等级评价。</w:t>
      </w:r>
    </w:p>
    <w:p w14:paraId="35FF0B84">
      <w:pPr>
        <w:keepNext w:val="0"/>
        <w:keepLines w:val="0"/>
        <w:pageBreakBefore w:val="0"/>
        <w:numPr>
          <w:ilvl w:val="0"/>
          <w:numId w:val="0"/>
        </w:numPr>
        <w:wordWrap/>
        <w:overflowPunct/>
        <w:topLinePunct w:val="0"/>
        <w:autoSpaceDE w:val="0"/>
        <w:autoSpaceDN w:val="0"/>
        <w:bidi w:val="0"/>
        <w:adjustRightInd w:val="0"/>
        <w:spacing w:line="520" w:lineRule="exact"/>
        <w:ind w:firstLine="420" w:firstLineChars="200"/>
        <w:rPr>
          <w:rStyle w:val="31"/>
          <w:rFonts w:hint="eastAsia" w:asciiTheme="minorEastAsia" w:hAnsiTheme="minorEastAsia" w:eastAsiaTheme="minorEastAsia" w:cstheme="minorEastAsia"/>
          <w:color w:val="000000"/>
          <w:sz w:val="21"/>
          <w:szCs w:val="21"/>
          <w:lang w:val="en-US" w:eastAsia="zh-CN"/>
        </w:rPr>
      </w:pPr>
      <w:r>
        <w:rPr>
          <w:rStyle w:val="31"/>
          <w:rFonts w:hint="eastAsia" w:asciiTheme="minorEastAsia" w:hAnsiTheme="minorEastAsia" w:eastAsiaTheme="minorEastAsia" w:cstheme="minorEastAsia"/>
          <w:color w:val="000000"/>
          <w:sz w:val="21"/>
          <w:szCs w:val="21"/>
          <w:lang w:val="en-US" w:eastAsia="zh-CN"/>
        </w:rPr>
        <w:t>8.</w:t>
      </w:r>
      <w:r>
        <w:rPr>
          <w:rStyle w:val="31"/>
          <w:rFonts w:hint="eastAsia" w:asciiTheme="minorEastAsia" w:hAnsiTheme="minorEastAsia" w:cstheme="minorEastAsia"/>
          <w:color w:val="000000"/>
          <w:sz w:val="21"/>
          <w:szCs w:val="21"/>
          <w:lang w:val="en-US" w:eastAsia="zh-CN"/>
        </w:rPr>
        <w:t>中标人成果文件中</w:t>
      </w:r>
      <w:r>
        <w:rPr>
          <w:rStyle w:val="31"/>
          <w:rFonts w:hint="eastAsia" w:asciiTheme="minorEastAsia" w:hAnsiTheme="minorEastAsia" w:eastAsiaTheme="minorEastAsia" w:cstheme="minorEastAsia"/>
          <w:color w:val="000000"/>
          <w:sz w:val="21"/>
          <w:szCs w:val="21"/>
          <w:lang w:val="en-US" w:eastAsia="zh-CN"/>
        </w:rPr>
        <w:t>须提供具备CMA检验检测资质机构出具的有效完整CMA检测报告；检测机构须执行《农业农村部办公厅关于印发《补充耕地质量鉴定技术规范</w:t>
      </w:r>
      <w:r>
        <w:rPr>
          <w:rStyle w:val="31"/>
          <w:rFonts w:hint="eastAsia" w:asciiTheme="minorEastAsia" w:hAnsiTheme="minorEastAsia" w:cstheme="minorEastAsia"/>
          <w:color w:val="000000"/>
          <w:sz w:val="21"/>
          <w:szCs w:val="21"/>
          <w:lang w:val="en-US" w:eastAsia="zh-CN"/>
        </w:rPr>
        <w:t>（</w:t>
      </w:r>
      <w:r>
        <w:rPr>
          <w:rStyle w:val="31"/>
          <w:rFonts w:hint="eastAsia" w:asciiTheme="minorEastAsia" w:hAnsiTheme="minorEastAsia" w:eastAsiaTheme="minorEastAsia" w:cstheme="minorEastAsia"/>
          <w:color w:val="000000"/>
          <w:sz w:val="21"/>
          <w:szCs w:val="21"/>
          <w:lang w:val="en-US" w:eastAsia="zh-CN"/>
        </w:rPr>
        <w:t>试行</w:t>
      </w:r>
      <w:r>
        <w:rPr>
          <w:rStyle w:val="31"/>
          <w:rFonts w:hint="eastAsia" w:asciiTheme="minorEastAsia" w:hAnsiTheme="minorEastAsia" w:cstheme="minorEastAsia"/>
          <w:color w:val="000000"/>
          <w:sz w:val="21"/>
          <w:szCs w:val="21"/>
          <w:lang w:val="en-US" w:eastAsia="zh-CN"/>
        </w:rPr>
        <w:t>）</w:t>
      </w:r>
      <w:r>
        <w:rPr>
          <w:rStyle w:val="31"/>
          <w:rFonts w:hint="eastAsia" w:asciiTheme="minorEastAsia" w:hAnsiTheme="minorEastAsia" w:eastAsiaTheme="minorEastAsia" w:cstheme="minorEastAsia"/>
          <w:color w:val="000000"/>
          <w:sz w:val="21"/>
          <w:szCs w:val="21"/>
          <w:lang w:val="en-US" w:eastAsia="zh-CN"/>
        </w:rPr>
        <w:t>》等最新相关法规。</w:t>
      </w:r>
      <w:r>
        <w:rPr>
          <w:rStyle w:val="31"/>
          <w:rFonts w:hint="eastAsia" w:asciiTheme="minorEastAsia" w:hAnsiTheme="minorEastAsia" w:cstheme="minorEastAsia"/>
          <w:color w:val="000000"/>
          <w:sz w:val="21"/>
          <w:szCs w:val="21"/>
          <w:lang w:val="en-US" w:eastAsia="zh-CN"/>
        </w:rPr>
        <w:t>投标人需对此项做出单独承诺，否则为无效投标。</w:t>
      </w:r>
      <w:r>
        <w:rPr>
          <w:rStyle w:val="31"/>
          <w:rFonts w:hint="eastAsia" w:asciiTheme="minorEastAsia" w:hAnsiTheme="minorEastAsia" w:eastAsiaTheme="minorEastAsia" w:cstheme="minorEastAsia"/>
          <w:color w:val="000000"/>
          <w:sz w:val="21"/>
          <w:szCs w:val="21"/>
          <w:lang w:val="en-US" w:eastAsia="zh-CN"/>
        </w:rPr>
        <w:t xml:space="preserve"> </w:t>
      </w:r>
    </w:p>
    <w:p w14:paraId="54B810FD">
      <w:pPr>
        <w:keepNext w:val="0"/>
        <w:keepLines w:val="0"/>
        <w:pageBreakBefore w:val="0"/>
        <w:wordWrap/>
        <w:overflowPunct/>
        <w:topLinePunct w:val="0"/>
        <w:bidi w:val="0"/>
        <w:snapToGrid w:val="0"/>
        <w:spacing w:line="520" w:lineRule="exact"/>
        <w:ind w:firstLine="422" w:firstLineChars="200"/>
        <w:rPr>
          <w:rFonts w:hint="eastAsia" w:asciiTheme="minorEastAsia" w:hAnsiTheme="minorEastAsia" w:eastAsiaTheme="minorEastAsia" w:cstheme="minorEastAsia"/>
          <w:color w:val="000000"/>
          <w:sz w:val="21"/>
          <w:szCs w:val="21"/>
          <w:lang w:val="zh-CN"/>
        </w:rPr>
      </w:pPr>
      <w:r>
        <w:rPr>
          <w:rStyle w:val="31"/>
          <w:rFonts w:hint="eastAsia" w:asciiTheme="minorEastAsia" w:hAnsiTheme="minorEastAsia" w:eastAsiaTheme="minorEastAsia" w:cstheme="minorEastAsia"/>
          <w:b/>
          <w:bCs/>
          <w:color w:val="000000"/>
          <w:sz w:val="21"/>
          <w:szCs w:val="21"/>
        </w:rPr>
        <w:t>注：本采购清单中所列技术规格或参数要求为最低要求，</w:t>
      </w:r>
      <w:r>
        <w:rPr>
          <w:rStyle w:val="31"/>
          <w:rFonts w:hint="eastAsia" w:asciiTheme="minorEastAsia" w:hAnsiTheme="minorEastAsia" w:eastAsiaTheme="minorEastAsia" w:cstheme="minorEastAsia"/>
          <w:b/>
          <w:bCs/>
          <w:color w:val="000000"/>
          <w:sz w:val="21"/>
          <w:szCs w:val="21"/>
          <w:lang w:val="en-US" w:eastAsia="zh-CN"/>
        </w:rPr>
        <w:t>需对上述参数进行实质性响应，</w:t>
      </w:r>
      <w:r>
        <w:rPr>
          <w:rStyle w:val="31"/>
          <w:rFonts w:hint="eastAsia" w:asciiTheme="minorEastAsia" w:hAnsiTheme="minorEastAsia" w:eastAsiaTheme="minorEastAsia" w:cstheme="minorEastAsia"/>
          <w:b/>
          <w:bCs/>
          <w:color w:val="000000"/>
          <w:sz w:val="21"/>
          <w:szCs w:val="21"/>
        </w:rPr>
        <w:t>不允许负偏离，否则将承担其投标被视为非实质性响应投标的风险。</w:t>
      </w:r>
    </w:p>
    <w:p w14:paraId="375982DF">
      <w:pPr>
        <w:pStyle w:val="41"/>
        <w:keepNext w:val="0"/>
        <w:keepLines w:val="0"/>
        <w:pageBreakBefore w:val="0"/>
        <w:wordWrap/>
        <w:overflowPunct/>
        <w:topLinePunct w:val="0"/>
        <w:bidi w:val="0"/>
        <w:spacing w:line="520" w:lineRule="exact"/>
        <w:rPr>
          <w:rFonts w:hint="eastAsia" w:asciiTheme="minorEastAsia" w:hAnsiTheme="minorEastAsia" w:eastAsiaTheme="minorEastAsia" w:cstheme="minorEastAsia"/>
          <w:b/>
          <w:bCs/>
          <w:color w:val="000000"/>
          <w:sz w:val="21"/>
          <w:szCs w:val="21"/>
          <w:shd w:val="clear" w:color="auto" w:fill="FFFFFF"/>
          <w:lang w:val="zh-CN"/>
        </w:rPr>
      </w:pPr>
      <w:r>
        <w:rPr>
          <w:rFonts w:hint="eastAsia" w:asciiTheme="minorEastAsia" w:hAnsiTheme="minorEastAsia" w:eastAsiaTheme="minorEastAsia" w:cstheme="minorEastAsia"/>
          <w:b/>
          <w:bCs/>
          <w:color w:val="000000"/>
          <w:sz w:val="21"/>
          <w:szCs w:val="21"/>
          <w:shd w:val="clear" w:color="auto" w:fill="FFFFFF"/>
        </w:rPr>
        <w:t>★三</w:t>
      </w:r>
      <w:r>
        <w:rPr>
          <w:rFonts w:hint="eastAsia" w:asciiTheme="minorEastAsia" w:hAnsiTheme="minorEastAsia" w:eastAsiaTheme="minorEastAsia" w:cstheme="minorEastAsia"/>
          <w:b/>
          <w:bCs/>
          <w:color w:val="000000"/>
          <w:sz w:val="21"/>
          <w:szCs w:val="21"/>
          <w:shd w:val="clear" w:color="auto" w:fill="FFFFFF"/>
          <w:lang w:val="zh-CN"/>
        </w:rPr>
        <w:t>、服务</w:t>
      </w:r>
      <w:r>
        <w:rPr>
          <w:rFonts w:hint="eastAsia" w:asciiTheme="minorEastAsia" w:hAnsiTheme="minorEastAsia" w:eastAsiaTheme="minorEastAsia" w:cstheme="minorEastAsia"/>
          <w:b/>
          <w:bCs/>
          <w:color w:val="000000"/>
          <w:sz w:val="21"/>
          <w:szCs w:val="21"/>
          <w:shd w:val="clear" w:color="auto" w:fill="FFFFFF"/>
        </w:rPr>
        <w:t>标准</w:t>
      </w:r>
      <w:r>
        <w:rPr>
          <w:rFonts w:hint="eastAsia" w:asciiTheme="minorEastAsia" w:hAnsiTheme="minorEastAsia" w:eastAsiaTheme="minorEastAsia" w:cstheme="minorEastAsia"/>
          <w:b/>
          <w:bCs/>
          <w:color w:val="000000"/>
          <w:sz w:val="21"/>
          <w:szCs w:val="21"/>
          <w:shd w:val="clear" w:color="auto" w:fill="FFFFFF"/>
          <w:lang w:val="zh-CN"/>
        </w:rPr>
        <w:t>、期限等要求</w:t>
      </w:r>
    </w:p>
    <w:p w14:paraId="3457280F">
      <w:pPr>
        <w:keepNext w:val="0"/>
        <w:keepLines w:val="0"/>
        <w:pageBreakBefore w:val="0"/>
        <w:numPr>
          <w:ilvl w:val="0"/>
          <w:numId w:val="0"/>
        </w:numPr>
        <w:wordWrap/>
        <w:overflowPunct/>
        <w:topLinePunct w:val="0"/>
        <w:autoSpaceDE w:val="0"/>
        <w:autoSpaceDN w:val="0"/>
        <w:bidi w:val="0"/>
        <w:adjustRightInd w:val="0"/>
        <w:spacing w:line="520" w:lineRule="exact"/>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000000"/>
          <w:sz w:val="21"/>
          <w:szCs w:val="21"/>
          <w:lang w:val="en-US" w:eastAsia="zh-CN"/>
        </w:rPr>
        <w:t>1.</w:t>
      </w:r>
      <w:r>
        <w:rPr>
          <w:rFonts w:hint="eastAsia" w:asciiTheme="minorEastAsia" w:hAnsiTheme="minorEastAsia" w:eastAsiaTheme="minorEastAsia" w:cstheme="minorEastAsia"/>
          <w:color w:val="000000"/>
          <w:sz w:val="21"/>
          <w:szCs w:val="21"/>
          <w:lang w:val="en-US" w:eastAsia="zh-CN"/>
        </w:rPr>
        <w:t>合同</w:t>
      </w:r>
      <w:r>
        <w:rPr>
          <w:rFonts w:hint="eastAsia" w:asciiTheme="minorEastAsia" w:hAnsiTheme="minorEastAsia" w:eastAsiaTheme="minorEastAsia" w:cstheme="minorEastAsia"/>
          <w:color w:val="auto"/>
          <w:sz w:val="21"/>
          <w:szCs w:val="21"/>
          <w:lang w:val="en-US" w:eastAsia="zh-CN"/>
        </w:rPr>
        <w:t>履行期限</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b w:val="0"/>
          <w:bCs w:val="0"/>
          <w:color w:val="auto"/>
          <w:spacing w:val="-6"/>
          <w:kern w:val="2"/>
          <w:sz w:val="21"/>
          <w:szCs w:val="21"/>
          <w:lang w:val="en-US" w:eastAsia="zh-CN" w:bidi="ar-SA"/>
        </w:rPr>
        <w:t>自合同签订之日起40日内完成全部工作并提交成果文件。</w:t>
      </w:r>
      <w:r>
        <w:rPr>
          <w:rFonts w:hint="eastAsia" w:asciiTheme="minorEastAsia" w:hAnsiTheme="minorEastAsia" w:eastAsiaTheme="minorEastAsia" w:cstheme="minorEastAsia"/>
          <w:color w:val="auto"/>
          <w:sz w:val="21"/>
          <w:szCs w:val="21"/>
        </w:rPr>
        <w:t xml:space="preserve"> </w:t>
      </w:r>
    </w:p>
    <w:p w14:paraId="21891D10">
      <w:pPr>
        <w:keepNext w:val="0"/>
        <w:keepLines w:val="0"/>
        <w:pageBreakBefore w:val="0"/>
        <w:numPr>
          <w:ilvl w:val="0"/>
          <w:numId w:val="0"/>
        </w:numPr>
        <w:wordWrap/>
        <w:overflowPunct/>
        <w:topLinePunct w:val="0"/>
        <w:autoSpaceDE w:val="0"/>
        <w:autoSpaceDN w:val="0"/>
        <w:bidi w:val="0"/>
        <w:adjustRightInd w:val="0"/>
        <w:spacing w:line="520" w:lineRule="exact"/>
        <w:ind w:firstLine="420"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成交单位服务义务履行至全部成果均通过省级抽核、全套资料完整归档为止，服务期</w:t>
      </w:r>
      <w:r>
        <w:rPr>
          <w:rFonts w:hint="eastAsia" w:asciiTheme="minorEastAsia" w:hAnsiTheme="minorEastAsia" w:eastAsiaTheme="minorEastAsia" w:cstheme="minorEastAsia"/>
          <w:color w:val="000000"/>
          <w:sz w:val="21"/>
          <w:szCs w:val="21"/>
        </w:rPr>
        <w:t>不以固定日历天数截止。</w:t>
      </w:r>
    </w:p>
    <w:p w14:paraId="40428600">
      <w:pPr>
        <w:keepNext w:val="0"/>
        <w:keepLines w:val="0"/>
        <w:pageBreakBefore w:val="0"/>
        <w:wordWrap/>
        <w:overflowPunct/>
        <w:topLinePunct w:val="0"/>
        <w:autoSpaceDE w:val="0"/>
        <w:autoSpaceDN w:val="0"/>
        <w:bidi w:val="0"/>
        <w:adjustRightInd w:val="0"/>
        <w:spacing w:line="520" w:lineRule="exact"/>
        <w:ind w:firstLine="420"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cstheme="minorEastAsia"/>
          <w:color w:val="000000"/>
          <w:sz w:val="21"/>
          <w:szCs w:val="21"/>
          <w:lang w:val="en-US" w:eastAsia="zh-CN"/>
        </w:rPr>
        <w:t>3.</w:t>
      </w:r>
      <w:r>
        <w:rPr>
          <w:rFonts w:hint="eastAsia" w:asciiTheme="minorEastAsia" w:hAnsiTheme="minorEastAsia" w:eastAsiaTheme="minorEastAsia" w:cstheme="minorEastAsia"/>
          <w:color w:val="000000"/>
          <w:sz w:val="21"/>
          <w:szCs w:val="21"/>
        </w:rPr>
        <w:t>质量要求：</w:t>
      </w:r>
      <w:r>
        <w:rPr>
          <w:rFonts w:hint="eastAsia" w:asciiTheme="minorEastAsia" w:hAnsiTheme="minorEastAsia" w:eastAsiaTheme="minorEastAsia" w:cstheme="minorEastAsia"/>
          <w:b w:val="0"/>
          <w:bCs w:val="0"/>
          <w:color w:val="000000"/>
          <w:sz w:val="21"/>
          <w:szCs w:val="21"/>
        </w:rPr>
        <w:t>符合国家现行规范和要求</w:t>
      </w:r>
      <w:r>
        <w:rPr>
          <w:rFonts w:hint="eastAsia" w:asciiTheme="minorEastAsia" w:hAnsiTheme="minorEastAsia" w:eastAsiaTheme="minorEastAsia" w:cstheme="minorEastAsia"/>
          <w:color w:val="000000"/>
          <w:sz w:val="21"/>
          <w:szCs w:val="21"/>
          <w:lang w:val="zh-CN"/>
        </w:rPr>
        <w:t>。</w:t>
      </w:r>
    </w:p>
    <w:p w14:paraId="19D45E4B">
      <w:pPr>
        <w:pStyle w:val="41"/>
        <w:keepNext w:val="0"/>
        <w:keepLines w:val="0"/>
        <w:pageBreakBefore w:val="0"/>
        <w:wordWrap/>
        <w:overflowPunct/>
        <w:topLinePunct w:val="0"/>
        <w:bidi w:val="0"/>
        <w:spacing w:line="520" w:lineRule="exact"/>
        <w:rPr>
          <w:rFonts w:hint="eastAsia" w:asciiTheme="minorEastAsia" w:hAnsiTheme="minorEastAsia" w:eastAsiaTheme="minorEastAsia" w:cstheme="minorEastAsia"/>
          <w:b/>
          <w:bCs/>
          <w:color w:val="000000"/>
          <w:sz w:val="21"/>
          <w:szCs w:val="21"/>
          <w:shd w:val="clear" w:color="auto" w:fill="FFFFFF"/>
          <w:lang w:val="zh-CN"/>
        </w:rPr>
      </w:pPr>
      <w:r>
        <w:rPr>
          <w:rFonts w:hint="eastAsia" w:asciiTheme="minorEastAsia" w:hAnsiTheme="minorEastAsia" w:eastAsiaTheme="minorEastAsia" w:cstheme="minorEastAsia"/>
          <w:b/>
          <w:bCs/>
          <w:color w:val="000000"/>
          <w:sz w:val="21"/>
          <w:szCs w:val="21"/>
          <w:shd w:val="clear" w:color="auto" w:fill="FFFFFF"/>
        </w:rPr>
        <w:t>★四、采购标的的其他技术、服务等要求</w:t>
      </w:r>
    </w:p>
    <w:p w14:paraId="0B76EE72">
      <w:pPr>
        <w:keepNext w:val="0"/>
        <w:keepLines w:val="0"/>
        <w:pageBreakBefore w:val="0"/>
        <w:widowControl/>
        <w:shd w:val="clear" w:color="auto" w:fill="FFFFFF"/>
        <w:wordWrap/>
        <w:overflowPunct/>
        <w:topLinePunct w:val="0"/>
        <w:bidi w:val="0"/>
        <w:spacing w:line="520" w:lineRule="exact"/>
        <w:ind w:firstLine="420" w:firstLineChars="200"/>
        <w:jc w:val="left"/>
        <w:rPr>
          <w:rFonts w:hint="eastAsia" w:asciiTheme="minorEastAsia" w:hAnsiTheme="minorEastAsia" w:eastAsiaTheme="minorEastAsia" w:cstheme="minorEastAsia"/>
          <w:bCs/>
          <w:color w:val="000000"/>
          <w:sz w:val="21"/>
          <w:szCs w:val="21"/>
        </w:rPr>
      </w:pPr>
      <w:r>
        <w:rPr>
          <w:rFonts w:hint="eastAsia" w:asciiTheme="minorEastAsia" w:hAnsiTheme="minorEastAsia" w:cstheme="minorEastAsia"/>
          <w:bCs/>
          <w:color w:val="000000"/>
          <w:sz w:val="21"/>
          <w:szCs w:val="21"/>
          <w:lang w:val="en-US" w:eastAsia="zh-CN"/>
        </w:rPr>
        <w:t>1.</w:t>
      </w:r>
      <w:r>
        <w:rPr>
          <w:rFonts w:hint="eastAsia" w:asciiTheme="minorEastAsia" w:hAnsiTheme="minorEastAsia" w:eastAsiaTheme="minorEastAsia" w:cstheme="minorEastAsia"/>
          <w:bCs/>
          <w:color w:val="000000"/>
          <w:sz w:val="21"/>
          <w:szCs w:val="21"/>
        </w:rPr>
        <w:t>投标人应就本项目完整投标，</w:t>
      </w:r>
      <w:r>
        <w:rPr>
          <w:rFonts w:hint="eastAsia" w:asciiTheme="minorEastAsia" w:hAnsiTheme="minorEastAsia" w:eastAsiaTheme="minorEastAsia" w:cstheme="minorEastAsia"/>
          <w:b/>
          <w:color w:val="000000"/>
          <w:sz w:val="21"/>
          <w:szCs w:val="21"/>
        </w:rPr>
        <w:t>否则为无效投标</w:t>
      </w:r>
      <w:r>
        <w:rPr>
          <w:rFonts w:hint="eastAsia" w:asciiTheme="minorEastAsia" w:hAnsiTheme="minorEastAsia" w:eastAsiaTheme="minorEastAsia" w:cstheme="minorEastAsia"/>
          <w:bCs/>
          <w:color w:val="000000"/>
          <w:sz w:val="21"/>
          <w:szCs w:val="21"/>
        </w:rPr>
        <w:t>。</w:t>
      </w:r>
    </w:p>
    <w:p w14:paraId="6E0A5F51">
      <w:pPr>
        <w:keepNext w:val="0"/>
        <w:keepLines w:val="0"/>
        <w:pageBreakBefore w:val="0"/>
        <w:wordWrap/>
        <w:overflowPunct/>
        <w:topLinePunct w:val="0"/>
        <w:bidi w:val="0"/>
        <w:spacing w:line="520" w:lineRule="exact"/>
        <w:ind w:firstLine="420" w:firstLineChars="200"/>
        <w:textAlignment w:val="baseline"/>
        <w:rPr>
          <w:rFonts w:hint="eastAsia" w:asciiTheme="minorEastAsia" w:hAnsiTheme="minorEastAsia" w:eastAsiaTheme="minorEastAsia" w:cstheme="minorEastAsia"/>
          <w:bCs/>
          <w:color w:val="000000"/>
          <w:sz w:val="21"/>
          <w:szCs w:val="21"/>
        </w:rPr>
      </w:pPr>
      <w:r>
        <w:rPr>
          <w:rFonts w:hint="eastAsia" w:asciiTheme="minorEastAsia" w:hAnsiTheme="minorEastAsia" w:cstheme="minorEastAsia"/>
          <w:bCs/>
          <w:color w:val="000000"/>
          <w:sz w:val="21"/>
          <w:szCs w:val="21"/>
          <w:lang w:val="en-US" w:eastAsia="zh-CN"/>
        </w:rPr>
        <w:t>2.</w:t>
      </w:r>
      <w:r>
        <w:rPr>
          <w:rFonts w:hint="eastAsia" w:asciiTheme="minorEastAsia" w:hAnsiTheme="minorEastAsia" w:eastAsiaTheme="minorEastAsia" w:cstheme="minorEastAsia"/>
          <w:bCs/>
          <w:color w:val="000000"/>
          <w:sz w:val="21"/>
          <w:szCs w:val="21"/>
        </w:rPr>
        <w:t>投标文件中须有技术（实施）方案，</w:t>
      </w:r>
      <w:r>
        <w:rPr>
          <w:rFonts w:hint="eastAsia" w:asciiTheme="minorEastAsia" w:hAnsiTheme="minorEastAsia" w:eastAsiaTheme="minorEastAsia" w:cstheme="minorEastAsia"/>
          <w:b/>
          <w:color w:val="000000"/>
          <w:sz w:val="21"/>
          <w:szCs w:val="21"/>
        </w:rPr>
        <w:t>否则为无效投标</w:t>
      </w:r>
      <w:r>
        <w:rPr>
          <w:rFonts w:hint="eastAsia" w:asciiTheme="minorEastAsia" w:hAnsiTheme="minorEastAsia" w:eastAsiaTheme="minorEastAsia" w:cstheme="minorEastAsia"/>
          <w:bCs/>
          <w:color w:val="000000"/>
          <w:sz w:val="21"/>
          <w:szCs w:val="21"/>
        </w:rPr>
        <w:t>。</w:t>
      </w:r>
    </w:p>
    <w:p w14:paraId="7DC5E63B">
      <w:pPr>
        <w:keepNext w:val="0"/>
        <w:keepLines w:val="0"/>
        <w:pageBreakBefore w:val="0"/>
        <w:wordWrap/>
        <w:overflowPunct/>
        <w:topLinePunct w:val="0"/>
        <w:bidi w:val="0"/>
        <w:spacing w:line="520" w:lineRule="exact"/>
        <w:ind w:firstLine="420" w:firstLineChars="200"/>
        <w:textAlignment w:val="baseline"/>
        <w:rPr>
          <w:rFonts w:hint="eastAsia" w:asciiTheme="minorEastAsia" w:hAnsiTheme="minorEastAsia" w:eastAsiaTheme="minorEastAsia" w:cstheme="minorEastAsia"/>
          <w:bCs/>
          <w:color w:val="000000"/>
          <w:sz w:val="21"/>
          <w:szCs w:val="21"/>
        </w:rPr>
      </w:pPr>
      <w:r>
        <w:rPr>
          <w:rFonts w:hint="eastAsia" w:asciiTheme="minorEastAsia" w:hAnsiTheme="minorEastAsia" w:cstheme="minorEastAsia"/>
          <w:bCs/>
          <w:color w:val="000000"/>
          <w:sz w:val="21"/>
          <w:szCs w:val="21"/>
          <w:lang w:val="en-US" w:eastAsia="zh-CN"/>
        </w:rPr>
        <w:t>3.</w:t>
      </w:r>
      <w:r>
        <w:rPr>
          <w:rFonts w:hint="eastAsia" w:asciiTheme="minorEastAsia" w:hAnsiTheme="minorEastAsia" w:eastAsiaTheme="minorEastAsia" w:cstheme="minorEastAsia"/>
          <w:bCs/>
          <w:color w:val="000000"/>
          <w:sz w:val="21"/>
          <w:szCs w:val="21"/>
        </w:rPr>
        <w:t>若投标人在服务期间有违反行业主管部门的规定的，招标人视情节严重，招标人有权调整服务内容或者终止合同。</w:t>
      </w:r>
    </w:p>
    <w:p w14:paraId="2AD37AB3">
      <w:pPr>
        <w:keepNext w:val="0"/>
        <w:keepLines w:val="0"/>
        <w:pageBreakBefore w:val="0"/>
        <w:wordWrap/>
        <w:overflowPunct/>
        <w:topLinePunct w:val="0"/>
        <w:bidi w:val="0"/>
        <w:spacing w:line="520" w:lineRule="exact"/>
        <w:textAlignment w:val="baseline"/>
        <w:rPr>
          <w:rFonts w:hint="eastAsia" w:asciiTheme="minorEastAsia" w:hAnsiTheme="minorEastAsia" w:eastAsiaTheme="minorEastAsia" w:cstheme="minorEastAsia"/>
          <w:b/>
          <w:bCs/>
          <w:color w:val="000000"/>
          <w:sz w:val="21"/>
          <w:szCs w:val="21"/>
          <w:shd w:val="clear" w:color="auto" w:fill="FFFFFF"/>
        </w:rPr>
      </w:pPr>
      <w:r>
        <w:rPr>
          <w:rFonts w:hint="eastAsia" w:asciiTheme="minorEastAsia" w:hAnsiTheme="minorEastAsia" w:eastAsiaTheme="minorEastAsia" w:cstheme="minorEastAsia"/>
          <w:b/>
          <w:bCs/>
          <w:color w:val="000000"/>
          <w:sz w:val="21"/>
          <w:szCs w:val="21"/>
          <w:shd w:val="clear" w:color="auto" w:fill="FFFFFF"/>
        </w:rPr>
        <w:t>五、验收标准</w:t>
      </w:r>
    </w:p>
    <w:p w14:paraId="1B9553CE">
      <w:pPr>
        <w:keepNext w:val="0"/>
        <w:keepLines w:val="0"/>
        <w:pageBreakBefore w:val="0"/>
        <w:kinsoku/>
        <w:wordWrap/>
        <w:overflowPunct/>
        <w:topLinePunct w:val="0"/>
        <w:autoSpaceDE/>
        <w:autoSpaceDN/>
        <w:bidi w:val="0"/>
        <w:adjustRightInd/>
        <w:snapToGrid/>
        <w:spacing w:line="52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1.</w:t>
      </w:r>
      <w:r>
        <w:rPr>
          <w:rFonts w:hint="eastAsia" w:asciiTheme="minorEastAsia" w:hAnsiTheme="minorEastAsia" w:eastAsiaTheme="minorEastAsia" w:cstheme="minorEastAsia"/>
          <w:sz w:val="21"/>
          <w:szCs w:val="21"/>
        </w:rPr>
        <w:t>由采购人成立验收小组</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按照采购合同的约定对中标人履约情况进行验收。验收时，按照采购合同的约定对每一项技术、服务、安全标准的履约情况进行确认；列明各项标准的验收情况及项目总体评价</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由验收双方共同签署。</w:t>
      </w:r>
    </w:p>
    <w:p w14:paraId="53A5BDA0">
      <w:pPr>
        <w:keepNext w:val="0"/>
        <w:keepLines w:val="0"/>
        <w:pageBreakBefore w:val="0"/>
        <w:widowControl/>
        <w:kinsoku/>
        <w:wordWrap/>
        <w:overflowPunct/>
        <w:topLinePunct w:val="0"/>
        <w:autoSpaceDE/>
        <w:autoSpaceDN/>
        <w:bidi w:val="0"/>
        <w:adjustRightInd/>
        <w:snapToGrid/>
        <w:spacing w:line="520" w:lineRule="exact"/>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2.</w:t>
      </w:r>
      <w:r>
        <w:rPr>
          <w:rFonts w:hint="eastAsia" w:asciiTheme="minorEastAsia" w:hAnsiTheme="minorEastAsia" w:eastAsiaTheme="minorEastAsia" w:cstheme="minorEastAsia"/>
          <w:sz w:val="21"/>
          <w:szCs w:val="21"/>
        </w:rPr>
        <w:t>按照招标文件要求、投标文件响应和承诺验收。</w:t>
      </w:r>
    </w:p>
    <w:p w14:paraId="3EB8A403">
      <w:pPr>
        <w:keepNext w:val="0"/>
        <w:keepLines w:val="0"/>
        <w:pageBreakBefore w:val="0"/>
        <w:kinsoku/>
        <w:wordWrap/>
        <w:overflowPunct/>
        <w:topLinePunct w:val="0"/>
        <w:autoSpaceDE/>
        <w:autoSpaceDN/>
        <w:bidi w:val="0"/>
        <w:adjustRightInd/>
        <w:snapToGrid/>
        <w:spacing w:line="52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3.</w:t>
      </w:r>
      <w:r>
        <w:rPr>
          <w:rFonts w:hint="eastAsia" w:asciiTheme="minorEastAsia" w:hAnsiTheme="minorEastAsia" w:eastAsiaTheme="minorEastAsia" w:cstheme="minorEastAsia"/>
          <w:sz w:val="21"/>
          <w:szCs w:val="21"/>
        </w:rPr>
        <w:t>按照国家及行业相关标准验收。</w:t>
      </w:r>
    </w:p>
    <w:p w14:paraId="5ECA4D99">
      <w:pPr>
        <w:keepNext w:val="0"/>
        <w:keepLines w:val="0"/>
        <w:pageBreakBefore w:val="0"/>
        <w:wordWrap/>
        <w:overflowPunct/>
        <w:topLinePunct w:val="0"/>
        <w:bidi w:val="0"/>
        <w:spacing w:line="520" w:lineRule="exact"/>
        <w:textAlignment w:val="baseline"/>
        <w:rPr>
          <w:rFonts w:hint="eastAsia" w:asciiTheme="minorEastAsia" w:hAnsiTheme="minorEastAsia" w:eastAsiaTheme="minorEastAsia" w:cstheme="minorEastAsia"/>
          <w:b/>
          <w:bCs/>
          <w:color w:val="000000"/>
          <w:sz w:val="21"/>
          <w:szCs w:val="21"/>
          <w:shd w:val="clear" w:color="auto" w:fill="FFFFFF"/>
        </w:rPr>
      </w:pPr>
      <w:r>
        <w:rPr>
          <w:rFonts w:hint="eastAsia" w:asciiTheme="minorEastAsia" w:hAnsiTheme="minorEastAsia" w:eastAsiaTheme="minorEastAsia" w:cstheme="minorEastAsia"/>
          <w:b/>
          <w:bCs/>
          <w:color w:val="000000"/>
          <w:sz w:val="21"/>
          <w:szCs w:val="21"/>
          <w:shd w:val="clear" w:color="auto" w:fill="FFFFFF"/>
          <w:lang w:val="en-US" w:eastAsia="zh-CN"/>
        </w:rPr>
        <w:t>六</w:t>
      </w:r>
      <w:r>
        <w:rPr>
          <w:rFonts w:hint="eastAsia" w:asciiTheme="minorEastAsia" w:hAnsiTheme="minorEastAsia" w:eastAsiaTheme="minorEastAsia" w:cstheme="minorEastAsia"/>
          <w:b/>
          <w:bCs/>
          <w:color w:val="000000"/>
          <w:sz w:val="21"/>
          <w:szCs w:val="21"/>
          <w:shd w:val="clear" w:color="auto" w:fill="FFFFFF"/>
        </w:rPr>
        <w:t>、资金支付</w:t>
      </w:r>
    </w:p>
    <w:p w14:paraId="615DFAB2">
      <w:pPr>
        <w:pStyle w:val="41"/>
        <w:keepNext w:val="0"/>
        <w:keepLines w:val="0"/>
        <w:pageBreakBefore w:val="0"/>
        <w:wordWrap/>
        <w:overflowPunct/>
        <w:topLinePunct w:val="0"/>
        <w:bidi w:val="0"/>
        <w:spacing w:line="520" w:lineRule="exact"/>
        <w:ind w:firstLine="420" w:firstLineChars="2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kern w:val="2"/>
          <w:sz w:val="21"/>
          <w:szCs w:val="21"/>
          <w:lang w:val="en-US" w:eastAsia="zh-CN" w:bidi="ar-SA"/>
        </w:rPr>
        <w:t>1.</w:t>
      </w:r>
      <w:r>
        <w:rPr>
          <w:rFonts w:hint="eastAsia" w:asciiTheme="minorEastAsia" w:hAnsiTheme="minorEastAsia" w:eastAsiaTheme="minorEastAsia" w:cstheme="minorEastAsia"/>
          <w:kern w:val="2"/>
          <w:sz w:val="21"/>
          <w:szCs w:val="21"/>
          <w:lang w:val="en-US" w:eastAsia="zh-CN" w:bidi="ar-SA"/>
        </w:rPr>
        <w:t>支付方式：银行转账。</w:t>
      </w:r>
    </w:p>
    <w:p w14:paraId="6241CFAF">
      <w:pPr>
        <w:pStyle w:val="41"/>
        <w:keepNext w:val="0"/>
        <w:keepLines w:val="0"/>
        <w:pageBreakBefore w:val="0"/>
        <w:wordWrap/>
        <w:overflowPunct/>
        <w:topLinePunct w:val="0"/>
        <w:bidi w:val="0"/>
        <w:spacing w:line="520" w:lineRule="exact"/>
        <w:ind w:firstLine="42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kern w:val="2"/>
          <w:sz w:val="21"/>
          <w:szCs w:val="21"/>
          <w:lang w:val="en-US" w:eastAsia="zh-CN" w:bidi="ar-SA"/>
        </w:rPr>
        <w:t>2.</w:t>
      </w:r>
      <w:r>
        <w:rPr>
          <w:rFonts w:hint="eastAsia" w:asciiTheme="minorEastAsia" w:hAnsiTheme="minorEastAsia" w:eastAsiaTheme="minorEastAsia" w:cstheme="minorEastAsia"/>
          <w:kern w:val="2"/>
          <w:sz w:val="21"/>
          <w:szCs w:val="21"/>
          <w:lang w:val="en-US" w:eastAsia="zh-CN" w:bidi="ar-SA"/>
        </w:rPr>
        <w:t>支付时间及条件：项目验收合格后按政府采购资金拨付程序执行。</w:t>
      </w:r>
    </w:p>
    <w:p w14:paraId="40F6CDAC">
      <w:pPr>
        <w:autoSpaceDE w:val="0"/>
        <w:autoSpaceDN w:val="0"/>
        <w:adjustRightInd w:val="0"/>
        <w:jc w:val="both"/>
        <w:rPr>
          <w:rFonts w:hint="eastAsia" w:ascii="宋体" w:hAnsi="宋体" w:eastAsia="宋体" w:cs="宋体"/>
          <w:b/>
          <w:color w:val="auto"/>
          <w:kern w:val="0"/>
          <w:sz w:val="30"/>
          <w:szCs w:val="30"/>
        </w:rPr>
      </w:pPr>
    </w:p>
    <w:p w14:paraId="7458666E">
      <w:pPr>
        <w:autoSpaceDE w:val="0"/>
        <w:autoSpaceDN w:val="0"/>
        <w:adjustRightInd w:val="0"/>
        <w:jc w:val="both"/>
        <w:rPr>
          <w:rFonts w:hint="eastAsia" w:ascii="宋体" w:hAnsi="宋体" w:eastAsia="宋体" w:cs="宋体"/>
          <w:b/>
          <w:color w:val="auto"/>
          <w:kern w:val="0"/>
          <w:sz w:val="30"/>
          <w:szCs w:val="30"/>
        </w:rPr>
      </w:pPr>
    </w:p>
    <w:p w14:paraId="74A4D48A">
      <w:pPr>
        <w:autoSpaceDE w:val="0"/>
        <w:autoSpaceDN w:val="0"/>
        <w:adjustRightInd w:val="0"/>
        <w:jc w:val="both"/>
        <w:rPr>
          <w:rFonts w:hint="eastAsia" w:ascii="宋体" w:hAnsi="宋体" w:eastAsia="宋体" w:cs="宋体"/>
          <w:b/>
          <w:color w:val="auto"/>
          <w:kern w:val="0"/>
          <w:sz w:val="30"/>
          <w:szCs w:val="30"/>
        </w:rPr>
      </w:pPr>
    </w:p>
    <w:p w14:paraId="53E9073D">
      <w:pPr>
        <w:autoSpaceDE w:val="0"/>
        <w:autoSpaceDN w:val="0"/>
        <w:adjustRightInd w:val="0"/>
        <w:jc w:val="both"/>
        <w:rPr>
          <w:rFonts w:hint="eastAsia" w:ascii="宋体" w:hAnsi="宋体" w:eastAsia="宋体" w:cs="宋体"/>
          <w:b/>
          <w:color w:val="auto"/>
          <w:kern w:val="0"/>
          <w:sz w:val="30"/>
          <w:szCs w:val="30"/>
        </w:rPr>
      </w:pPr>
    </w:p>
    <w:p w14:paraId="0EED5AE1">
      <w:pPr>
        <w:autoSpaceDE w:val="0"/>
        <w:autoSpaceDN w:val="0"/>
        <w:adjustRightInd w:val="0"/>
        <w:jc w:val="both"/>
        <w:rPr>
          <w:rFonts w:hint="eastAsia" w:ascii="宋体" w:hAnsi="宋体" w:eastAsia="宋体" w:cs="宋体"/>
          <w:b/>
          <w:color w:val="auto"/>
          <w:kern w:val="0"/>
          <w:sz w:val="30"/>
          <w:szCs w:val="30"/>
        </w:rPr>
      </w:pPr>
    </w:p>
    <w:p w14:paraId="4CBB13DD">
      <w:pPr>
        <w:autoSpaceDE w:val="0"/>
        <w:autoSpaceDN w:val="0"/>
        <w:adjustRightInd w:val="0"/>
        <w:jc w:val="both"/>
        <w:rPr>
          <w:rFonts w:hint="eastAsia" w:ascii="宋体" w:hAnsi="宋体" w:eastAsia="宋体" w:cs="宋体"/>
          <w:b/>
          <w:color w:val="auto"/>
          <w:kern w:val="0"/>
          <w:sz w:val="30"/>
          <w:szCs w:val="30"/>
        </w:rPr>
      </w:pPr>
    </w:p>
    <w:p w14:paraId="1F18BAEB">
      <w:pPr>
        <w:autoSpaceDE w:val="0"/>
        <w:autoSpaceDN w:val="0"/>
        <w:adjustRightInd w:val="0"/>
        <w:jc w:val="both"/>
        <w:rPr>
          <w:rFonts w:hint="eastAsia" w:ascii="宋体" w:hAnsi="宋体" w:eastAsia="宋体" w:cs="宋体"/>
          <w:b/>
          <w:color w:val="auto"/>
          <w:kern w:val="0"/>
          <w:sz w:val="30"/>
          <w:szCs w:val="30"/>
        </w:rPr>
      </w:pPr>
    </w:p>
    <w:p w14:paraId="4F75CC15">
      <w:pPr>
        <w:autoSpaceDE w:val="0"/>
        <w:autoSpaceDN w:val="0"/>
        <w:adjustRightInd w:val="0"/>
        <w:jc w:val="both"/>
        <w:rPr>
          <w:rFonts w:hint="eastAsia" w:ascii="宋体" w:hAnsi="宋体" w:eastAsia="宋体" w:cs="宋体"/>
          <w:b/>
          <w:color w:val="auto"/>
          <w:kern w:val="0"/>
          <w:sz w:val="30"/>
          <w:szCs w:val="30"/>
        </w:rPr>
      </w:pPr>
    </w:p>
    <w:p w14:paraId="61518033">
      <w:pPr>
        <w:autoSpaceDE w:val="0"/>
        <w:autoSpaceDN w:val="0"/>
        <w:adjustRightInd w:val="0"/>
        <w:jc w:val="both"/>
        <w:rPr>
          <w:rFonts w:hint="eastAsia" w:ascii="宋体" w:hAnsi="宋体" w:eastAsia="宋体" w:cs="宋体"/>
          <w:b/>
          <w:color w:val="auto"/>
          <w:kern w:val="0"/>
          <w:sz w:val="30"/>
          <w:szCs w:val="30"/>
        </w:rPr>
      </w:pPr>
    </w:p>
    <w:p w14:paraId="70CB31D3">
      <w:pPr>
        <w:autoSpaceDE w:val="0"/>
        <w:autoSpaceDN w:val="0"/>
        <w:adjustRightInd w:val="0"/>
        <w:jc w:val="both"/>
        <w:rPr>
          <w:rFonts w:hint="eastAsia" w:ascii="宋体" w:hAnsi="宋体" w:eastAsia="宋体" w:cs="宋体"/>
          <w:b/>
          <w:color w:val="auto"/>
          <w:kern w:val="0"/>
          <w:sz w:val="30"/>
          <w:szCs w:val="30"/>
        </w:rPr>
      </w:pPr>
    </w:p>
    <w:p w14:paraId="4792013C">
      <w:pPr>
        <w:autoSpaceDE w:val="0"/>
        <w:autoSpaceDN w:val="0"/>
        <w:adjustRightInd w:val="0"/>
        <w:jc w:val="both"/>
        <w:rPr>
          <w:rFonts w:hint="eastAsia" w:ascii="宋体" w:hAnsi="宋体" w:eastAsia="宋体" w:cs="宋体"/>
          <w:b/>
          <w:color w:val="auto"/>
          <w:kern w:val="0"/>
          <w:sz w:val="30"/>
          <w:szCs w:val="30"/>
        </w:rPr>
      </w:pPr>
    </w:p>
    <w:p w14:paraId="73C67D1F">
      <w:pPr>
        <w:autoSpaceDE w:val="0"/>
        <w:autoSpaceDN w:val="0"/>
        <w:adjustRightInd w:val="0"/>
        <w:jc w:val="both"/>
        <w:rPr>
          <w:rFonts w:hint="eastAsia" w:ascii="宋体" w:hAnsi="宋体" w:eastAsia="宋体" w:cs="宋体"/>
          <w:b/>
          <w:color w:val="auto"/>
          <w:kern w:val="0"/>
          <w:sz w:val="30"/>
          <w:szCs w:val="30"/>
        </w:rPr>
      </w:pPr>
    </w:p>
    <w:p w14:paraId="77B6968A">
      <w:pPr>
        <w:autoSpaceDE w:val="0"/>
        <w:autoSpaceDN w:val="0"/>
        <w:adjustRightInd w:val="0"/>
        <w:jc w:val="both"/>
        <w:rPr>
          <w:rFonts w:hint="eastAsia" w:ascii="宋体" w:hAnsi="宋体" w:eastAsia="宋体" w:cs="宋体"/>
          <w:b/>
          <w:color w:val="auto"/>
          <w:kern w:val="0"/>
          <w:sz w:val="30"/>
          <w:szCs w:val="30"/>
        </w:rPr>
      </w:pPr>
    </w:p>
    <w:p w14:paraId="4AEA943A">
      <w:pPr>
        <w:autoSpaceDE w:val="0"/>
        <w:autoSpaceDN w:val="0"/>
        <w:adjustRightInd w:val="0"/>
        <w:jc w:val="both"/>
        <w:rPr>
          <w:rFonts w:hint="eastAsia" w:ascii="宋体" w:hAnsi="宋体" w:eastAsia="宋体" w:cs="宋体"/>
          <w:b/>
          <w:color w:val="auto"/>
          <w:kern w:val="0"/>
          <w:sz w:val="30"/>
          <w:szCs w:val="30"/>
        </w:rPr>
      </w:pPr>
    </w:p>
    <w:p w14:paraId="606FF02D">
      <w:pPr>
        <w:autoSpaceDE w:val="0"/>
        <w:autoSpaceDN w:val="0"/>
        <w:adjustRightInd w:val="0"/>
        <w:jc w:val="both"/>
        <w:rPr>
          <w:rFonts w:hint="eastAsia" w:ascii="宋体" w:hAnsi="宋体" w:eastAsia="宋体" w:cs="宋体"/>
          <w:b/>
          <w:color w:val="auto"/>
          <w:kern w:val="0"/>
          <w:sz w:val="30"/>
          <w:szCs w:val="30"/>
        </w:rPr>
      </w:pPr>
    </w:p>
    <w:p w14:paraId="2B89D00B">
      <w:pPr>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第三章 投标人须知前附表</w:t>
      </w:r>
    </w:p>
    <w:p w14:paraId="2B89D00C">
      <w:pPr>
        <w:autoSpaceDE w:val="0"/>
        <w:autoSpaceDN w:val="0"/>
        <w:adjustRightInd w:val="0"/>
        <w:spacing w:line="360" w:lineRule="auto"/>
        <w:ind w:right="-11"/>
        <w:jc w:val="left"/>
        <w:rPr>
          <w:rFonts w:hint="eastAsia" w:ascii="宋体" w:hAnsi="宋体" w:eastAsia="宋体" w:cs="宋体"/>
          <w:b/>
          <w:color w:val="auto"/>
          <w:kern w:val="0"/>
          <w:szCs w:val="21"/>
        </w:rPr>
      </w:pPr>
      <w:r>
        <w:rPr>
          <w:rFonts w:hint="eastAsia" w:ascii="宋体" w:hAnsi="宋体" w:eastAsia="宋体" w:cs="宋体"/>
          <w:b/>
          <w:color w:val="auto"/>
          <w:szCs w:val="21"/>
        </w:rPr>
        <w:t>招标文件中凡标有★条款均为实质性要求条款，投标文件须完全响应，未实质响应的，按照无效投标处理。</w:t>
      </w:r>
    </w:p>
    <w:tbl>
      <w:tblPr>
        <w:tblStyle w:val="17"/>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268"/>
        <w:gridCol w:w="6813"/>
      </w:tblGrid>
      <w:tr w14:paraId="2B89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vAlign w:val="center"/>
          </w:tcPr>
          <w:p w14:paraId="2B89D00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268" w:type="dxa"/>
            <w:vAlign w:val="center"/>
          </w:tcPr>
          <w:p w14:paraId="2B89D00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条款名称</w:t>
            </w:r>
          </w:p>
        </w:tc>
        <w:tc>
          <w:tcPr>
            <w:tcW w:w="6813" w:type="dxa"/>
            <w:vAlign w:val="center"/>
          </w:tcPr>
          <w:p w14:paraId="2B89D00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说明和要求</w:t>
            </w:r>
          </w:p>
        </w:tc>
      </w:tr>
      <w:tr w14:paraId="2B89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06" w:type="dxa"/>
            <w:vAlign w:val="center"/>
          </w:tcPr>
          <w:p w14:paraId="2B89D011">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w:t>
            </w:r>
          </w:p>
        </w:tc>
        <w:tc>
          <w:tcPr>
            <w:tcW w:w="2268" w:type="dxa"/>
            <w:vAlign w:val="center"/>
          </w:tcPr>
          <w:p w14:paraId="2B89D012">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采购项目</w:t>
            </w:r>
          </w:p>
        </w:tc>
        <w:tc>
          <w:tcPr>
            <w:tcW w:w="6813" w:type="dxa"/>
            <w:vAlign w:val="center"/>
          </w:tcPr>
          <w:p w14:paraId="37372CEE">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lang w:val="en-US" w:eastAsia="zh-CN"/>
              </w:rPr>
            </w:pPr>
            <w:r>
              <w:rPr>
                <w:rFonts w:hint="eastAsia" w:ascii="宋体" w:hAnsi="宋体" w:eastAsia="宋体" w:cs="宋体"/>
                <w:color w:val="auto"/>
                <w:szCs w:val="21"/>
                <w:lang w:eastAsia="zh-CN"/>
              </w:rPr>
              <w:t>禹州市农业农村局2026年补充耕地质量验收项目</w:t>
            </w:r>
          </w:p>
        </w:tc>
      </w:tr>
      <w:tr w14:paraId="2B89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806" w:type="dxa"/>
            <w:vAlign w:val="center"/>
          </w:tcPr>
          <w:p w14:paraId="2B89D01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2</w:t>
            </w:r>
          </w:p>
        </w:tc>
        <w:tc>
          <w:tcPr>
            <w:tcW w:w="2268" w:type="dxa"/>
            <w:vAlign w:val="center"/>
          </w:tcPr>
          <w:p w14:paraId="2B89D01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采购人</w:t>
            </w:r>
          </w:p>
        </w:tc>
        <w:tc>
          <w:tcPr>
            <w:tcW w:w="6813" w:type="dxa"/>
            <w:vAlign w:val="center"/>
          </w:tcPr>
          <w:p w14:paraId="1EE774B5">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名称：禹州市农业农村局</w:t>
            </w:r>
          </w:p>
          <w:p w14:paraId="63442333">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地址：禹州市禹王大道29号</w:t>
            </w:r>
          </w:p>
          <w:p w14:paraId="4339E9BE">
            <w:pPr>
              <w:keepNext w:val="0"/>
              <w:keepLines w:val="0"/>
              <w:pageBreakBefore w:val="0"/>
              <w:widowControl w:val="0"/>
              <w:tabs>
                <w:tab w:val="left" w:pos="7095"/>
              </w:tabs>
              <w:kinsoku/>
              <w:overflowPunct/>
              <w:topLinePunct w:val="0"/>
              <w:bidi w:val="0"/>
              <w:snapToGrid/>
              <w:spacing w:line="460" w:lineRule="exact"/>
              <w:contextualSpacing/>
              <w:textAlignment w:val="auto"/>
              <w:rPr>
                <w:rFonts w:hint="default" w:ascii="宋体" w:hAnsi="宋体" w:eastAsia="宋体" w:cs="宋体"/>
                <w:color w:val="auto"/>
                <w:lang w:val="en-US"/>
              </w:rPr>
            </w:pPr>
            <w:r>
              <w:rPr>
                <w:rFonts w:hint="eastAsia" w:ascii="宋体" w:hAnsi="宋体" w:eastAsia="宋体" w:cs="宋体"/>
                <w:color w:val="auto"/>
              </w:rPr>
              <w:t>联系人：</w:t>
            </w:r>
            <w:r>
              <w:rPr>
                <w:rFonts w:hint="eastAsia" w:ascii="宋体" w:hAnsi="宋体" w:eastAsia="宋体" w:cs="宋体"/>
                <w:color w:val="auto"/>
                <w:lang w:val="en-US" w:eastAsia="zh-CN"/>
              </w:rPr>
              <w:t>彭先生</w:t>
            </w:r>
          </w:p>
          <w:p w14:paraId="39811951">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rPr>
              <w:t>联系</w:t>
            </w:r>
            <w:r>
              <w:rPr>
                <w:rFonts w:hint="eastAsia" w:ascii="宋体" w:hAnsi="宋体" w:eastAsia="宋体" w:cs="宋体"/>
                <w:color w:val="auto"/>
                <w:lang w:val="en-US" w:eastAsia="zh-CN"/>
              </w:rPr>
              <w:t>方式</w:t>
            </w:r>
            <w:r>
              <w:rPr>
                <w:rFonts w:hint="eastAsia" w:ascii="宋体" w:hAnsi="宋体" w:eastAsia="宋体" w:cs="宋体"/>
                <w:color w:val="auto"/>
              </w:rPr>
              <w:t>：</w:t>
            </w:r>
            <w:r>
              <w:rPr>
                <w:rFonts w:hint="eastAsia" w:asciiTheme="minorEastAsia" w:hAnsiTheme="minorEastAsia" w:eastAsiaTheme="minorEastAsia" w:cstheme="minorEastAsia"/>
                <w:color w:val="auto"/>
                <w:szCs w:val="21"/>
              </w:rPr>
              <w:t>0374-860</w:t>
            </w:r>
            <w:r>
              <w:rPr>
                <w:rFonts w:hint="eastAsia" w:asciiTheme="minorEastAsia" w:hAnsiTheme="minorEastAsia" w:cstheme="minorEastAsia"/>
                <w:color w:val="auto"/>
                <w:szCs w:val="21"/>
                <w:lang w:val="en-US" w:eastAsia="zh-CN"/>
              </w:rPr>
              <w:t>9650</w:t>
            </w:r>
          </w:p>
        </w:tc>
      </w:tr>
      <w:tr w14:paraId="2B89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1" w:hRule="atLeast"/>
          <w:jc w:val="center"/>
        </w:trPr>
        <w:tc>
          <w:tcPr>
            <w:tcW w:w="806" w:type="dxa"/>
            <w:vAlign w:val="center"/>
          </w:tcPr>
          <w:p w14:paraId="2B89D01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3</w:t>
            </w:r>
          </w:p>
        </w:tc>
        <w:tc>
          <w:tcPr>
            <w:tcW w:w="2268" w:type="dxa"/>
            <w:vAlign w:val="center"/>
          </w:tcPr>
          <w:p w14:paraId="2B89D01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代理机构</w:t>
            </w:r>
          </w:p>
        </w:tc>
        <w:tc>
          <w:tcPr>
            <w:tcW w:w="6813" w:type="dxa"/>
            <w:vAlign w:val="center"/>
          </w:tcPr>
          <w:p w14:paraId="07935AE4">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名称：师梦勘测设计集团有限公司</w:t>
            </w:r>
          </w:p>
          <w:p w14:paraId="1F0F703E">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地址：郑州市高新技术开发区冬青街46号B区007号</w:t>
            </w:r>
          </w:p>
          <w:p w14:paraId="30264A17">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联系人：王女士</w:t>
            </w:r>
          </w:p>
          <w:p w14:paraId="00E581BE">
            <w:pPr>
              <w:keepNext w:val="0"/>
              <w:keepLines w:val="0"/>
              <w:pageBreakBefore w:val="0"/>
              <w:widowControl w:val="0"/>
              <w:tabs>
                <w:tab w:val="left" w:pos="7095"/>
              </w:tabs>
              <w:kinsoku/>
              <w:overflowPunct/>
              <w:topLinePunct w:val="0"/>
              <w:bidi w:val="0"/>
              <w:snapToGrid/>
              <w:spacing w:line="460" w:lineRule="exact"/>
              <w:contextualSpacing/>
              <w:textAlignment w:val="auto"/>
              <w:rPr>
                <w:rFonts w:hint="default" w:ascii="宋体" w:hAnsi="宋体" w:eastAsia="宋体" w:cs="宋体"/>
                <w:color w:val="auto"/>
                <w:lang w:val="en-US" w:eastAsia="zh-CN"/>
              </w:rPr>
            </w:pPr>
            <w:r>
              <w:rPr>
                <w:rFonts w:hint="eastAsia" w:ascii="宋体" w:hAnsi="宋体" w:eastAsia="宋体" w:cs="宋体"/>
                <w:color w:val="auto"/>
              </w:rPr>
              <w:t>联系方式：</w:t>
            </w:r>
            <w:r>
              <w:rPr>
                <w:rFonts w:hint="eastAsia" w:ascii="宋体" w:hAnsi="宋体" w:eastAsia="宋体" w:cs="宋体"/>
                <w:color w:val="auto"/>
                <w:lang w:val="en-US" w:eastAsia="zh-CN"/>
              </w:rPr>
              <w:t>13733156531</w:t>
            </w:r>
          </w:p>
        </w:tc>
      </w:tr>
      <w:tr w14:paraId="2B89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06" w:type="dxa"/>
            <w:vAlign w:val="center"/>
          </w:tcPr>
          <w:p w14:paraId="2B89D02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4</w:t>
            </w:r>
          </w:p>
        </w:tc>
        <w:tc>
          <w:tcPr>
            <w:tcW w:w="2268" w:type="dxa"/>
            <w:vAlign w:val="center"/>
          </w:tcPr>
          <w:p w14:paraId="2B89D02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b/>
                <w:color w:val="auto"/>
                <w:szCs w:val="21"/>
              </w:rPr>
              <w:t>★</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资格</w:t>
            </w:r>
          </w:p>
        </w:tc>
        <w:tc>
          <w:tcPr>
            <w:tcW w:w="6813" w:type="dxa"/>
            <w:vAlign w:val="center"/>
          </w:tcPr>
          <w:p w14:paraId="3494054B">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一</w:t>
            </w:r>
            <w:r>
              <w:rPr>
                <w:rFonts w:hint="eastAsia" w:ascii="宋体" w:hAnsi="宋体" w:eastAsia="宋体" w:cs="宋体"/>
                <w:color w:val="auto"/>
                <w:szCs w:val="21"/>
              </w:rPr>
              <w:t>、符合《中华人民共和国政府采购法》第二十二条规定</w:t>
            </w:r>
          </w:p>
          <w:p w14:paraId="6328EFBE">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1.具有独立承担民事责任的能力；</w:t>
            </w:r>
          </w:p>
          <w:p w14:paraId="3C3E4BCD">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2.具有良好的商业信誉和健全的财务会计制度；</w:t>
            </w:r>
          </w:p>
          <w:p w14:paraId="23BDCDF1">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3.具有履行合同所必需的设备和专业技术能力；</w:t>
            </w:r>
          </w:p>
          <w:p w14:paraId="77D478C7">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4.具有依法缴纳税收和社会保障资金的良好记录；</w:t>
            </w:r>
          </w:p>
          <w:p w14:paraId="751FA48B">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5.参加政府采购活动前三年内，在经营活动中没有重大违法记录。</w:t>
            </w:r>
          </w:p>
          <w:p w14:paraId="4DA72D00">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注：</w:t>
            </w:r>
          </w:p>
          <w:p w14:paraId="7470DDBD">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在响应时，提供《</w:t>
            </w:r>
            <w:r>
              <w:rPr>
                <w:rFonts w:hint="eastAsia" w:ascii="宋体" w:hAnsi="宋体" w:eastAsia="宋体" w:cs="宋体"/>
                <w:color w:val="auto"/>
                <w:szCs w:val="21"/>
                <w:lang w:val="en-US" w:eastAsia="zh-CN"/>
              </w:rPr>
              <w:t>禹州市</w:t>
            </w:r>
            <w:r>
              <w:rPr>
                <w:rFonts w:hint="eastAsia" w:ascii="宋体" w:hAnsi="宋体" w:eastAsia="宋体" w:cs="宋体"/>
                <w:color w:val="auto"/>
                <w:szCs w:val="21"/>
                <w:lang w:val="zh-CN"/>
              </w:rPr>
              <w:t>政府采购供应商信用承诺函》（详见</w:t>
            </w:r>
            <w:r>
              <w:rPr>
                <w:rFonts w:hint="eastAsia" w:ascii="宋体" w:hAnsi="宋体" w:eastAsia="宋体" w:cs="宋体"/>
                <w:color w:val="auto"/>
                <w:szCs w:val="21"/>
                <w:lang w:val="en-US" w:eastAsia="zh-CN"/>
              </w:rPr>
              <w:t>投标</w:t>
            </w:r>
            <w:r>
              <w:rPr>
                <w:rFonts w:hint="eastAsia" w:ascii="宋体" w:hAnsi="宋体" w:eastAsia="宋体" w:cs="宋体"/>
                <w:color w:val="auto"/>
                <w:szCs w:val="21"/>
                <w:lang w:val="zh-CN"/>
              </w:rPr>
              <w:t>文件第八章3.</w:t>
            </w:r>
            <w:r>
              <w:rPr>
                <w:rFonts w:hint="eastAsia" w:ascii="宋体" w:hAnsi="宋体" w:eastAsia="宋体" w:cs="宋体"/>
                <w:color w:val="auto"/>
                <w:szCs w:val="21"/>
                <w:lang w:val="en-US" w:eastAsia="zh-CN"/>
              </w:rPr>
              <w:t>4</w:t>
            </w:r>
            <w:r>
              <w:rPr>
                <w:rFonts w:hint="eastAsia" w:ascii="宋体" w:hAnsi="宋体" w:eastAsia="宋体" w:cs="宋体"/>
                <w:color w:val="auto"/>
                <w:szCs w:val="21"/>
                <w:lang w:val="zh-CN"/>
              </w:rPr>
              <w:t>格式），无需再提交上述证明材料。</w:t>
            </w:r>
          </w:p>
          <w:p w14:paraId="669DE162">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2.采购人有权在签订合同前要求</w:t>
            </w:r>
            <w:r>
              <w:rPr>
                <w:rFonts w:hint="eastAsia" w:ascii="宋体" w:hAnsi="宋体" w:eastAsia="宋体" w:cs="宋体"/>
                <w:color w:val="auto"/>
                <w:szCs w:val="21"/>
                <w:lang w:val="en-US" w:eastAsia="zh-CN"/>
              </w:rPr>
              <w:t>中标人</w:t>
            </w:r>
            <w:r>
              <w:rPr>
                <w:rFonts w:hint="eastAsia" w:ascii="宋体" w:hAnsi="宋体" w:eastAsia="宋体" w:cs="宋体"/>
                <w:color w:val="auto"/>
                <w:szCs w:val="21"/>
                <w:lang w:val="zh-CN"/>
              </w:rPr>
              <w:t>提供相关证明材料以核实</w:t>
            </w:r>
            <w:r>
              <w:rPr>
                <w:rFonts w:hint="eastAsia" w:ascii="宋体" w:hAnsi="宋体" w:eastAsia="宋体" w:cs="宋体"/>
                <w:color w:val="auto"/>
                <w:szCs w:val="21"/>
                <w:lang w:val="en-US" w:eastAsia="zh-CN"/>
              </w:rPr>
              <w:t>中标人</w:t>
            </w:r>
            <w:r>
              <w:rPr>
                <w:rFonts w:hint="eastAsia" w:ascii="宋体" w:hAnsi="宋体" w:eastAsia="宋体" w:cs="宋体"/>
                <w:color w:val="auto"/>
                <w:szCs w:val="21"/>
                <w:lang w:val="zh-CN"/>
              </w:rPr>
              <w:t>承诺事项的真实性。</w:t>
            </w:r>
          </w:p>
          <w:p w14:paraId="25786C13">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对信用承诺内容的真实性、合法性、有效性负责。如作出虚假信用承诺，视同为“提供虚假材料谋取中标”的违法行为。</w:t>
            </w:r>
          </w:p>
          <w:p w14:paraId="3601DE8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二</w:t>
            </w:r>
            <w:r>
              <w:rPr>
                <w:rFonts w:hint="eastAsia" w:ascii="宋体" w:hAnsi="宋体" w:eastAsia="宋体" w:cs="宋体"/>
                <w:color w:val="auto"/>
                <w:szCs w:val="21"/>
              </w:rPr>
              <w:t>、特定资格要求：详见招标公告</w:t>
            </w:r>
          </w:p>
        </w:tc>
      </w:tr>
      <w:tr w14:paraId="2B89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5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5</w:t>
            </w:r>
          </w:p>
        </w:tc>
        <w:tc>
          <w:tcPr>
            <w:tcW w:w="2268" w:type="dxa"/>
            <w:vAlign w:val="center"/>
          </w:tcPr>
          <w:p w14:paraId="2B89D05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
                <w:color w:val="auto"/>
                <w:szCs w:val="21"/>
              </w:rPr>
              <w:t>★</w:t>
            </w:r>
            <w:r>
              <w:rPr>
                <w:rFonts w:hint="eastAsia" w:ascii="宋体" w:hAnsi="宋体" w:eastAsia="宋体" w:cs="宋体"/>
                <w:bCs/>
                <w:color w:val="auto"/>
                <w:szCs w:val="21"/>
                <w:lang w:val="zh-CN"/>
              </w:rPr>
              <w:t>联合体投标</w:t>
            </w:r>
          </w:p>
        </w:tc>
        <w:tc>
          <w:tcPr>
            <w:tcW w:w="6813" w:type="dxa"/>
            <w:vAlign w:val="center"/>
          </w:tcPr>
          <w:p w14:paraId="2B89D05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kern w:val="0"/>
                <w:szCs w:val="21"/>
              </w:rPr>
              <w:t>本项目</w:t>
            </w: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color w:val="auto"/>
                <w:kern w:val="0"/>
                <w:szCs w:val="21"/>
              </w:rPr>
              <w:t>不接受</w:t>
            </w:r>
            <w:r>
              <w:rPr>
                <w:rFonts w:hint="eastAsia" w:ascii="宋体" w:hAnsi="宋体" w:eastAsia="宋体" w:cs="宋体"/>
                <w:bCs/>
                <w:color w:val="auto"/>
                <w:szCs w:val="21"/>
                <w:lang w:val="zh-CN"/>
              </w:rPr>
              <w:t>□接受</w:t>
            </w:r>
            <w:r>
              <w:rPr>
                <w:rFonts w:hint="eastAsia" w:ascii="宋体" w:hAnsi="宋体" w:eastAsia="宋体" w:cs="宋体"/>
                <w:color w:val="auto"/>
                <w:kern w:val="0"/>
                <w:szCs w:val="21"/>
              </w:rPr>
              <w:t>联合体</w:t>
            </w:r>
          </w:p>
        </w:tc>
      </w:tr>
      <w:tr w14:paraId="2B89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5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6</w:t>
            </w:r>
          </w:p>
        </w:tc>
        <w:tc>
          <w:tcPr>
            <w:tcW w:w="2268" w:type="dxa"/>
            <w:vAlign w:val="center"/>
          </w:tcPr>
          <w:p w14:paraId="2B89D05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
                <w:color w:val="auto"/>
                <w:szCs w:val="21"/>
              </w:rPr>
              <w:t>★</w:t>
            </w:r>
            <w:r>
              <w:rPr>
                <w:rFonts w:hint="eastAsia" w:ascii="宋体" w:hAnsi="宋体" w:eastAsia="宋体" w:cs="宋体"/>
                <w:bCs/>
                <w:color w:val="auto"/>
                <w:szCs w:val="21"/>
                <w:lang w:val="zh-CN"/>
              </w:rPr>
              <w:t>最高限价</w:t>
            </w:r>
          </w:p>
        </w:tc>
        <w:tc>
          <w:tcPr>
            <w:tcW w:w="6813" w:type="dxa"/>
            <w:vAlign w:val="center"/>
          </w:tcPr>
          <w:p w14:paraId="2B89D05C">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bCs/>
                <w:color w:val="auto"/>
              </w:rPr>
            </w:pPr>
            <w:r>
              <w:rPr>
                <w:rFonts w:hint="eastAsia" w:ascii="宋体" w:hAnsi="宋体" w:eastAsia="宋体" w:cs="宋体"/>
                <w:bCs/>
                <w:color w:val="auto"/>
              </w:rPr>
              <w:t>采购预算（最高限价）：第一标段：</w:t>
            </w:r>
            <w:r>
              <w:rPr>
                <w:rFonts w:hint="eastAsia" w:ascii="宋体" w:hAnsi="宋体" w:eastAsia="宋体" w:cs="宋体"/>
                <w:color w:val="auto"/>
                <w:sz w:val="21"/>
                <w:szCs w:val="21"/>
                <w:lang w:val="en-US" w:eastAsia="zh-CN"/>
              </w:rPr>
              <w:t>831000</w:t>
            </w:r>
            <w:r>
              <w:rPr>
                <w:rFonts w:hint="eastAsia" w:ascii="宋体" w:hAnsi="宋体" w:eastAsia="宋体" w:cs="宋体"/>
                <w:bCs/>
                <w:color w:val="auto"/>
              </w:rPr>
              <w:t>元，第二标段：</w:t>
            </w:r>
            <w:r>
              <w:rPr>
                <w:rFonts w:hint="eastAsia" w:ascii="宋体" w:hAnsi="宋体" w:eastAsia="宋体" w:cs="宋体"/>
                <w:color w:val="auto"/>
                <w:sz w:val="21"/>
                <w:szCs w:val="21"/>
                <w:lang w:val="en-US" w:eastAsia="zh-CN"/>
              </w:rPr>
              <w:t>831000</w:t>
            </w:r>
            <w:r>
              <w:rPr>
                <w:rFonts w:hint="eastAsia" w:ascii="宋体" w:hAnsi="宋体" w:eastAsia="宋体" w:cs="宋体"/>
                <w:bCs/>
                <w:color w:val="auto"/>
              </w:rPr>
              <w:t>元，第三标段：</w:t>
            </w:r>
            <w:r>
              <w:rPr>
                <w:rFonts w:hint="eastAsia" w:ascii="宋体" w:hAnsi="宋体" w:eastAsia="宋体" w:cs="宋体"/>
                <w:color w:val="auto"/>
                <w:sz w:val="21"/>
                <w:szCs w:val="21"/>
                <w:lang w:val="en-US" w:eastAsia="zh-CN"/>
              </w:rPr>
              <w:t>831000</w:t>
            </w:r>
            <w:r>
              <w:rPr>
                <w:rFonts w:hint="eastAsia" w:ascii="宋体" w:hAnsi="宋体" w:eastAsia="宋体" w:cs="宋体"/>
                <w:bCs/>
                <w:color w:val="auto"/>
              </w:rPr>
              <w:t>元，第四标段：</w:t>
            </w:r>
            <w:r>
              <w:rPr>
                <w:rFonts w:hint="eastAsia" w:ascii="宋体" w:hAnsi="宋体" w:eastAsia="宋体" w:cs="宋体"/>
                <w:color w:val="auto"/>
                <w:sz w:val="21"/>
                <w:szCs w:val="21"/>
                <w:lang w:val="en-US" w:eastAsia="zh-CN"/>
              </w:rPr>
              <w:t>831000</w:t>
            </w:r>
            <w:r>
              <w:rPr>
                <w:rFonts w:hint="eastAsia" w:ascii="宋体" w:hAnsi="宋体" w:eastAsia="宋体" w:cs="宋体"/>
                <w:bCs/>
                <w:color w:val="auto"/>
              </w:rPr>
              <w:t>元。</w:t>
            </w:r>
          </w:p>
          <w:p w14:paraId="2B89D05E">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bCs/>
                <w:color w:val="auto"/>
                <w:szCs w:val="21"/>
                <w:lang w:val="zh-CN"/>
              </w:rPr>
            </w:pPr>
            <w:r>
              <w:rPr>
                <w:rFonts w:hint="eastAsia" w:ascii="宋体" w:hAnsi="宋体" w:eastAsia="宋体" w:cs="宋体"/>
                <w:bCs/>
                <w:color w:val="auto"/>
                <w:lang w:val="zh-CN"/>
              </w:rPr>
              <w:t>注</w:t>
            </w:r>
            <w:r>
              <w:rPr>
                <w:rFonts w:hint="eastAsia" w:ascii="宋体" w:hAnsi="宋体" w:eastAsia="宋体" w:cs="宋体"/>
                <w:bCs/>
                <w:color w:val="auto"/>
                <w:szCs w:val="21"/>
                <w:lang w:val="zh-CN"/>
              </w:rPr>
              <w:t>：超出最高限价的投标无效</w:t>
            </w:r>
            <w:r>
              <w:rPr>
                <w:rFonts w:hint="eastAsia" w:ascii="宋体" w:hAnsi="宋体" w:eastAsia="宋体" w:cs="宋体"/>
                <w:bCs/>
                <w:color w:val="auto"/>
              </w:rPr>
              <w:t>。</w:t>
            </w:r>
          </w:p>
        </w:tc>
      </w:tr>
      <w:tr w14:paraId="2B89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B89D06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7</w:t>
            </w:r>
          </w:p>
        </w:tc>
        <w:tc>
          <w:tcPr>
            <w:tcW w:w="2268" w:type="dxa"/>
            <w:vAlign w:val="center"/>
          </w:tcPr>
          <w:p w14:paraId="2B89D061">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现场考察</w:t>
            </w:r>
          </w:p>
        </w:tc>
        <w:tc>
          <w:tcPr>
            <w:tcW w:w="6813" w:type="dxa"/>
            <w:vAlign w:val="center"/>
          </w:tcPr>
          <w:p w14:paraId="2B89D062">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不组织</w:t>
            </w:r>
          </w:p>
          <w:p w14:paraId="2B89D063">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bCs/>
                <w:color w:val="auto"/>
                <w:szCs w:val="21"/>
                <w:lang w:val="zh-CN"/>
              </w:rPr>
              <w:t>组织，时间：      地点：</w:t>
            </w:r>
          </w:p>
        </w:tc>
      </w:tr>
      <w:tr w14:paraId="2B89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B89D06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8</w:t>
            </w:r>
          </w:p>
        </w:tc>
        <w:tc>
          <w:tcPr>
            <w:tcW w:w="2268" w:type="dxa"/>
            <w:vAlign w:val="center"/>
          </w:tcPr>
          <w:p w14:paraId="2B89D06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开标前答疑会</w:t>
            </w:r>
          </w:p>
        </w:tc>
        <w:tc>
          <w:tcPr>
            <w:tcW w:w="6813" w:type="dxa"/>
            <w:vAlign w:val="center"/>
          </w:tcPr>
          <w:p w14:paraId="2B89D06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不召开</w:t>
            </w:r>
          </w:p>
          <w:p w14:paraId="2B89D068">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□召开，时间：      地点：</w:t>
            </w:r>
          </w:p>
        </w:tc>
      </w:tr>
      <w:tr w14:paraId="2B89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6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9</w:t>
            </w:r>
          </w:p>
        </w:tc>
        <w:tc>
          <w:tcPr>
            <w:tcW w:w="2268" w:type="dxa"/>
            <w:vAlign w:val="center"/>
          </w:tcPr>
          <w:p w14:paraId="2B89D06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进口产品参与</w:t>
            </w:r>
          </w:p>
        </w:tc>
        <w:tc>
          <w:tcPr>
            <w:tcW w:w="6813" w:type="dxa"/>
            <w:vAlign w:val="center"/>
          </w:tcPr>
          <w:p w14:paraId="2B89D06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 xml:space="preserve">不允许    </w:t>
            </w:r>
            <w:r>
              <w:rPr>
                <w:rFonts w:hint="eastAsia" w:ascii="宋体" w:hAnsi="宋体" w:eastAsia="宋体" w:cs="宋体"/>
                <w:b/>
                <w:bCs/>
                <w:color w:val="auto"/>
                <w:szCs w:val="21"/>
                <w:lang w:val="zh-CN"/>
              </w:rPr>
              <w:t>□</w:t>
            </w:r>
            <w:r>
              <w:rPr>
                <w:rFonts w:hint="eastAsia" w:ascii="宋体" w:hAnsi="宋体" w:eastAsia="宋体" w:cs="宋体"/>
                <w:color w:val="auto"/>
                <w:szCs w:val="21"/>
              </w:rPr>
              <w:t>允许</w:t>
            </w:r>
          </w:p>
        </w:tc>
      </w:tr>
      <w:tr w14:paraId="2B89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6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10</w:t>
            </w:r>
          </w:p>
        </w:tc>
        <w:tc>
          <w:tcPr>
            <w:tcW w:w="2268" w:type="dxa"/>
            <w:vAlign w:val="center"/>
          </w:tcPr>
          <w:p w14:paraId="2B89D06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b/>
                <w:color w:val="auto"/>
                <w:szCs w:val="21"/>
              </w:rPr>
              <w:t>★</w:t>
            </w:r>
            <w:r>
              <w:rPr>
                <w:rFonts w:hint="eastAsia" w:ascii="宋体" w:hAnsi="宋体" w:eastAsia="宋体" w:cs="宋体"/>
                <w:color w:val="auto"/>
                <w:szCs w:val="21"/>
              </w:rPr>
              <w:t>投标有效期</w:t>
            </w:r>
          </w:p>
        </w:tc>
        <w:tc>
          <w:tcPr>
            <w:tcW w:w="6813" w:type="dxa"/>
            <w:vAlign w:val="center"/>
          </w:tcPr>
          <w:p w14:paraId="2B89D07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color w:val="auto"/>
                <w:szCs w:val="21"/>
              </w:rPr>
              <w:t>90天（自</w:t>
            </w:r>
            <w:r>
              <w:rPr>
                <w:rFonts w:hint="eastAsia" w:ascii="宋体" w:hAnsi="宋体" w:eastAsia="宋体" w:cs="宋体"/>
                <w:color w:val="auto"/>
                <w:kern w:val="0"/>
                <w:szCs w:val="21"/>
              </w:rPr>
              <w:t>提交投标</w:t>
            </w:r>
            <w:r>
              <w:rPr>
                <w:rFonts w:hint="eastAsia" w:ascii="宋体" w:hAnsi="宋体" w:eastAsia="宋体" w:cs="宋体"/>
                <w:color w:val="auto"/>
                <w:kern w:val="0"/>
                <w:szCs w:val="21"/>
                <w:lang w:eastAsia="zh-CN"/>
              </w:rPr>
              <w:t>文件</w:t>
            </w:r>
            <w:r>
              <w:rPr>
                <w:rFonts w:hint="eastAsia" w:ascii="宋体" w:hAnsi="宋体" w:eastAsia="宋体" w:cs="宋体"/>
                <w:color w:val="auto"/>
                <w:kern w:val="0"/>
                <w:szCs w:val="21"/>
              </w:rPr>
              <w:t>截止之日起</w:t>
            </w:r>
            <w:r>
              <w:rPr>
                <w:rFonts w:hint="eastAsia" w:ascii="宋体" w:hAnsi="宋体" w:eastAsia="宋体" w:cs="宋体"/>
                <w:color w:val="auto"/>
                <w:kern w:val="0"/>
                <w:szCs w:val="21"/>
                <w:lang w:val="en-US" w:eastAsia="zh-CN"/>
              </w:rPr>
              <w:t>算</w:t>
            </w:r>
            <w:r>
              <w:rPr>
                <w:rFonts w:hint="eastAsia" w:ascii="宋体" w:hAnsi="宋体" w:eastAsia="宋体" w:cs="宋体"/>
                <w:color w:val="auto"/>
                <w:szCs w:val="21"/>
              </w:rPr>
              <w:t>）</w:t>
            </w:r>
          </w:p>
        </w:tc>
      </w:tr>
      <w:tr w14:paraId="2B89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7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11</w:t>
            </w:r>
          </w:p>
        </w:tc>
        <w:tc>
          <w:tcPr>
            <w:tcW w:w="2268" w:type="dxa"/>
            <w:vAlign w:val="center"/>
          </w:tcPr>
          <w:p w14:paraId="2B89D074">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Cs/>
                <w:color w:val="auto"/>
                <w:szCs w:val="21"/>
                <w:lang w:val="en-US" w:eastAsia="zh-CN"/>
              </w:rPr>
              <w:t>中标人</w:t>
            </w:r>
            <w:r>
              <w:rPr>
                <w:rFonts w:hint="eastAsia" w:ascii="宋体" w:hAnsi="宋体" w:eastAsia="宋体" w:cs="宋体"/>
                <w:bCs/>
                <w:color w:val="auto"/>
                <w:szCs w:val="21"/>
                <w:lang w:val="zh-CN"/>
              </w:rPr>
              <w:t>将本项目非主体、非关键性工作分包</w:t>
            </w:r>
          </w:p>
        </w:tc>
        <w:tc>
          <w:tcPr>
            <w:tcW w:w="6813" w:type="dxa"/>
            <w:vAlign w:val="center"/>
          </w:tcPr>
          <w:p w14:paraId="2B89D07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 w:val="13"/>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 xml:space="preserve">不允许   </w:t>
            </w:r>
            <w:r>
              <w:rPr>
                <w:rFonts w:hint="eastAsia" w:ascii="宋体" w:hAnsi="宋体" w:eastAsia="宋体" w:cs="宋体"/>
                <w:b/>
                <w:bCs/>
                <w:color w:val="auto"/>
                <w:szCs w:val="21"/>
                <w:lang w:val="zh-CN"/>
              </w:rPr>
              <w:t>□</w:t>
            </w:r>
            <w:r>
              <w:rPr>
                <w:rFonts w:hint="eastAsia" w:ascii="宋体" w:hAnsi="宋体" w:eastAsia="宋体" w:cs="宋体"/>
                <w:color w:val="auto"/>
                <w:szCs w:val="21"/>
              </w:rPr>
              <w:t>允许</w:t>
            </w:r>
          </w:p>
        </w:tc>
      </w:tr>
      <w:tr w14:paraId="2B89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77">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12</w:t>
            </w:r>
          </w:p>
        </w:tc>
        <w:tc>
          <w:tcPr>
            <w:tcW w:w="2268" w:type="dxa"/>
            <w:vAlign w:val="center"/>
          </w:tcPr>
          <w:p w14:paraId="2B89D07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shd w:val="clear" w:color="auto" w:fill="FFFFFF"/>
              </w:rPr>
              <w:t>投标文件提交截止</w:t>
            </w:r>
            <w:r>
              <w:rPr>
                <w:rFonts w:hint="eastAsia" w:ascii="宋体" w:hAnsi="宋体" w:eastAsia="宋体" w:cs="宋体"/>
                <w:bCs/>
                <w:color w:val="auto"/>
                <w:szCs w:val="21"/>
                <w:lang w:val="zh-CN"/>
              </w:rPr>
              <w:t>及开标时间</w:t>
            </w:r>
          </w:p>
        </w:tc>
        <w:tc>
          <w:tcPr>
            <w:tcW w:w="6813" w:type="dxa"/>
            <w:vAlign w:val="center"/>
          </w:tcPr>
          <w:p w14:paraId="2B89D079">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0000FF"/>
                <w:szCs w:val="21"/>
                <w:lang w:val="zh-CN"/>
              </w:rPr>
              <w:t>202</w:t>
            </w:r>
            <w:r>
              <w:rPr>
                <w:rFonts w:hint="eastAsia" w:ascii="宋体" w:hAnsi="宋体" w:eastAsia="宋体" w:cs="宋体"/>
                <w:color w:val="0000FF"/>
                <w:szCs w:val="21"/>
                <w:lang w:val="en-US" w:eastAsia="zh-CN"/>
              </w:rPr>
              <w:t>6</w:t>
            </w:r>
            <w:r>
              <w:rPr>
                <w:rFonts w:hint="eastAsia" w:ascii="宋体" w:hAnsi="宋体" w:eastAsia="宋体" w:cs="宋体"/>
                <w:color w:val="0000FF"/>
                <w:szCs w:val="21"/>
                <w:lang w:val="zh-CN"/>
              </w:rPr>
              <w:t>年</w:t>
            </w:r>
            <w:r>
              <w:rPr>
                <w:rFonts w:hint="eastAsia" w:ascii="宋体" w:hAnsi="宋体" w:eastAsia="宋体" w:cs="宋体"/>
                <w:color w:val="0000FF"/>
                <w:szCs w:val="21"/>
                <w:lang w:val="en-US" w:eastAsia="zh-CN"/>
              </w:rPr>
              <w:t>10</w:t>
            </w:r>
            <w:r>
              <w:rPr>
                <w:rFonts w:hint="eastAsia" w:ascii="宋体" w:hAnsi="宋体" w:eastAsia="宋体" w:cs="宋体"/>
                <w:color w:val="0000FF"/>
                <w:szCs w:val="21"/>
                <w:lang w:val="zh-CN"/>
              </w:rPr>
              <w:t>月</w:t>
            </w:r>
            <w:r>
              <w:rPr>
                <w:rFonts w:hint="eastAsia" w:ascii="宋体" w:hAnsi="宋体" w:eastAsia="宋体" w:cs="宋体"/>
                <w:color w:val="0000FF"/>
                <w:szCs w:val="21"/>
                <w:lang w:val="en-US" w:eastAsia="zh-CN"/>
              </w:rPr>
              <w:t>13</w:t>
            </w:r>
            <w:r>
              <w:rPr>
                <w:rFonts w:hint="eastAsia" w:ascii="宋体" w:hAnsi="宋体" w:eastAsia="宋体" w:cs="宋体"/>
                <w:color w:val="0000FF"/>
                <w:szCs w:val="21"/>
                <w:lang w:val="zh-CN"/>
              </w:rPr>
              <w:t>日08时30分（北京时间）</w:t>
            </w:r>
          </w:p>
        </w:tc>
      </w:tr>
      <w:tr w14:paraId="2B89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7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13</w:t>
            </w:r>
          </w:p>
        </w:tc>
        <w:tc>
          <w:tcPr>
            <w:tcW w:w="2268" w:type="dxa"/>
            <w:vAlign w:val="center"/>
          </w:tcPr>
          <w:p w14:paraId="2B89D07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开标地点</w:t>
            </w:r>
          </w:p>
        </w:tc>
        <w:tc>
          <w:tcPr>
            <w:tcW w:w="6813" w:type="dxa"/>
            <w:vAlign w:val="center"/>
          </w:tcPr>
          <w:p w14:paraId="2B89D07E">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en-US" w:eastAsia="zh-CN"/>
              </w:rPr>
              <w:t>开标地点：</w:t>
            </w:r>
            <w:r>
              <w:rPr>
                <w:rFonts w:hint="eastAsia" w:ascii="宋体" w:hAnsi="宋体" w:eastAsia="宋体" w:cs="宋体"/>
                <w:color w:val="auto"/>
                <w:szCs w:val="21"/>
              </w:rPr>
              <w:t>禹州市公共资源交易中心开标</w:t>
            </w:r>
            <w:r>
              <w:rPr>
                <w:rFonts w:hint="eastAsia" w:ascii="宋体" w:hAnsi="宋体" w:eastAsia="宋体" w:cs="宋体"/>
                <w:color w:val="auto"/>
                <w:szCs w:val="21"/>
                <w:lang w:eastAsia="zh-CN"/>
              </w:rPr>
              <w:t>二</w:t>
            </w:r>
            <w:r>
              <w:rPr>
                <w:rFonts w:hint="eastAsia" w:ascii="宋体" w:hAnsi="宋体" w:eastAsia="宋体" w:cs="宋体"/>
                <w:color w:val="auto"/>
                <w:szCs w:val="21"/>
              </w:rPr>
              <w:t>室（地址：禹州市行政服务中心楼九楼）（</w:t>
            </w:r>
            <w:r>
              <w:rPr>
                <w:rFonts w:hint="eastAsia" w:ascii="宋体" w:hAnsi="宋体" w:eastAsia="宋体" w:cs="宋体"/>
                <w:b/>
                <w:color w:val="auto"/>
                <w:szCs w:val="21"/>
              </w:rPr>
              <w:t>本项目采用远程不见面开标，</w:t>
            </w:r>
            <w:r>
              <w:rPr>
                <w:rFonts w:hint="eastAsia" w:ascii="宋体" w:hAnsi="宋体" w:eastAsia="宋体" w:cs="宋体"/>
                <w:b/>
                <w:color w:val="auto"/>
                <w:szCs w:val="21"/>
                <w:lang w:val="en-US" w:eastAsia="zh-CN"/>
              </w:rPr>
              <w:t>投标人</w:t>
            </w:r>
            <w:r>
              <w:rPr>
                <w:rFonts w:hint="eastAsia" w:ascii="宋体" w:hAnsi="宋体" w:eastAsia="宋体" w:cs="宋体"/>
                <w:b/>
                <w:color w:val="auto"/>
                <w:szCs w:val="21"/>
              </w:rPr>
              <w:t>无须到达现场</w:t>
            </w:r>
            <w:r>
              <w:rPr>
                <w:rFonts w:hint="eastAsia" w:ascii="宋体" w:hAnsi="宋体" w:eastAsia="宋体" w:cs="宋体"/>
                <w:color w:val="auto"/>
                <w:szCs w:val="21"/>
              </w:rPr>
              <w:t>）</w:t>
            </w:r>
          </w:p>
        </w:tc>
      </w:tr>
      <w:tr w14:paraId="2B89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8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14</w:t>
            </w:r>
          </w:p>
        </w:tc>
        <w:tc>
          <w:tcPr>
            <w:tcW w:w="2268" w:type="dxa"/>
            <w:vAlign w:val="center"/>
          </w:tcPr>
          <w:p w14:paraId="2B89D081">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kern w:val="0"/>
                <w:szCs w:val="21"/>
              </w:rPr>
              <w:t>投标保证金</w:t>
            </w:r>
          </w:p>
        </w:tc>
        <w:tc>
          <w:tcPr>
            <w:tcW w:w="6813" w:type="dxa"/>
            <w:vAlign w:val="center"/>
          </w:tcPr>
          <w:p w14:paraId="2B89D082">
            <w:pPr>
              <w:keepNext w:val="0"/>
              <w:keepLines w:val="0"/>
              <w:pageBreakBefore w:val="0"/>
              <w:widowControl w:val="0"/>
              <w:tabs>
                <w:tab w:val="left" w:pos="1260"/>
              </w:tabs>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本项目不收取。</w:t>
            </w:r>
          </w:p>
          <w:p w14:paraId="2B89D083">
            <w:pPr>
              <w:keepNext w:val="0"/>
              <w:keepLines w:val="0"/>
              <w:pageBreakBefore w:val="0"/>
              <w:widowControl w:val="0"/>
              <w:tabs>
                <w:tab w:val="left" w:pos="1260"/>
              </w:tabs>
              <w:kinsoku/>
              <w:overflowPunct/>
              <w:topLinePunct w:val="0"/>
              <w:autoSpaceDE w:val="0"/>
              <w:autoSpaceDN w:val="0"/>
              <w:bidi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应提供投标承诺函。</w:t>
            </w:r>
          </w:p>
        </w:tc>
      </w:tr>
      <w:tr w14:paraId="2B89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2B89D08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15</w:t>
            </w:r>
          </w:p>
        </w:tc>
        <w:tc>
          <w:tcPr>
            <w:tcW w:w="2268" w:type="dxa"/>
            <w:vAlign w:val="center"/>
          </w:tcPr>
          <w:p w14:paraId="2B89D08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公告发布</w:t>
            </w:r>
          </w:p>
        </w:tc>
        <w:tc>
          <w:tcPr>
            <w:tcW w:w="6813" w:type="dxa"/>
            <w:tcBorders>
              <w:top w:val="single" w:color="auto" w:sz="4" w:space="0"/>
            </w:tcBorders>
            <w:vAlign w:val="center"/>
          </w:tcPr>
          <w:p w14:paraId="2B89D08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采购公告、</w:t>
            </w:r>
            <w:r>
              <w:rPr>
                <w:rFonts w:hint="eastAsia" w:ascii="宋体" w:hAnsi="宋体" w:eastAsia="宋体" w:cs="宋体"/>
                <w:color w:val="auto"/>
                <w:szCs w:val="21"/>
                <w:lang w:val="en-US" w:eastAsia="zh-CN"/>
              </w:rPr>
              <w:t>中标</w:t>
            </w:r>
            <w:r>
              <w:rPr>
                <w:rFonts w:hint="eastAsia" w:ascii="宋体" w:hAnsi="宋体" w:eastAsia="宋体" w:cs="宋体"/>
                <w:color w:val="auto"/>
                <w:szCs w:val="21"/>
              </w:rPr>
              <w:t>公告、变更（更正）公告、现场勘察答复等相关信息同时在以下网站发布：《河南省政府采购网》《许昌市政府采购网》《全国公共资源交易平台（河南省·许昌市）》。</w:t>
            </w:r>
          </w:p>
        </w:tc>
      </w:tr>
      <w:tr w14:paraId="2B89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8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16</w:t>
            </w:r>
          </w:p>
        </w:tc>
        <w:tc>
          <w:tcPr>
            <w:tcW w:w="2268" w:type="dxa"/>
            <w:vAlign w:val="center"/>
          </w:tcPr>
          <w:p w14:paraId="2B89D08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采购人澄清或修改</w:t>
            </w:r>
          </w:p>
          <w:p w14:paraId="2B89D08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招标文件时间</w:t>
            </w:r>
          </w:p>
        </w:tc>
        <w:tc>
          <w:tcPr>
            <w:tcW w:w="6813" w:type="dxa"/>
            <w:vAlign w:val="center"/>
          </w:tcPr>
          <w:p w14:paraId="2B89D08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en-US" w:eastAsia="zh-CN"/>
              </w:rPr>
            </w:pPr>
            <w:r>
              <w:rPr>
                <w:rFonts w:hint="eastAsia" w:ascii="宋体" w:hAnsi="宋体" w:eastAsia="宋体" w:cs="宋体"/>
                <w:bCs/>
                <w:color w:val="auto"/>
                <w:szCs w:val="21"/>
                <w:lang w:val="zh-CN"/>
              </w:rPr>
              <w:t>投标截止时间</w:t>
            </w:r>
            <w:r>
              <w:rPr>
                <w:rFonts w:hint="eastAsia" w:ascii="宋体" w:hAnsi="宋体" w:eastAsia="宋体" w:cs="宋体"/>
                <w:bCs/>
                <w:color w:val="auto"/>
                <w:szCs w:val="21"/>
              </w:rPr>
              <w:t>15</w:t>
            </w:r>
            <w:r>
              <w:rPr>
                <w:rFonts w:hint="eastAsia" w:ascii="宋体" w:hAnsi="宋体" w:eastAsia="宋体" w:cs="宋体"/>
                <w:bCs/>
                <w:color w:val="auto"/>
                <w:szCs w:val="21"/>
                <w:lang w:val="zh-CN"/>
              </w:rPr>
              <w:t>个工作日前（</w:t>
            </w:r>
            <w:r>
              <w:rPr>
                <w:rFonts w:hint="eastAsia" w:ascii="宋体" w:hAnsi="宋体" w:eastAsia="宋体" w:cs="宋体"/>
                <w:color w:val="auto"/>
                <w:szCs w:val="21"/>
                <w:lang w:val="zh-CN"/>
              </w:rPr>
              <w:t>澄清内容可能影响投标文件编制的），</w:t>
            </w:r>
            <w:r>
              <w:rPr>
                <w:rFonts w:hint="eastAsia" w:ascii="宋体" w:hAnsi="宋体" w:eastAsia="宋体" w:cs="宋体"/>
                <w:color w:val="auto"/>
                <w:szCs w:val="21"/>
                <w:lang w:val="en-US" w:eastAsia="zh-CN"/>
              </w:rPr>
              <w:t>通过全国公共资源交易平台（河南省.许昌市）交易系统电子平台发出；不足15日的，采购人或者采购代理机构应当顺延提交投标文件的截止时间。</w:t>
            </w:r>
          </w:p>
        </w:tc>
      </w:tr>
      <w:tr w14:paraId="2B89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8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17</w:t>
            </w:r>
          </w:p>
        </w:tc>
        <w:tc>
          <w:tcPr>
            <w:tcW w:w="2268" w:type="dxa"/>
            <w:vAlign w:val="center"/>
          </w:tcPr>
          <w:p w14:paraId="2B89D08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对招标文件</w:t>
            </w:r>
          </w:p>
          <w:p w14:paraId="2B89D09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质疑截止时间</w:t>
            </w:r>
          </w:p>
        </w:tc>
        <w:tc>
          <w:tcPr>
            <w:tcW w:w="6813" w:type="dxa"/>
            <w:vAlign w:val="center"/>
          </w:tcPr>
          <w:p w14:paraId="2B89D09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采购公告期满之日起七个工作日</w:t>
            </w:r>
          </w:p>
        </w:tc>
      </w:tr>
      <w:tr w14:paraId="2B89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9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18</w:t>
            </w:r>
          </w:p>
        </w:tc>
        <w:tc>
          <w:tcPr>
            <w:tcW w:w="2268" w:type="dxa"/>
            <w:vAlign w:val="center"/>
          </w:tcPr>
          <w:p w14:paraId="2B89D09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投标文件份数</w:t>
            </w:r>
          </w:p>
        </w:tc>
        <w:tc>
          <w:tcPr>
            <w:tcW w:w="6813" w:type="dxa"/>
            <w:vAlign w:val="center"/>
          </w:tcPr>
          <w:p w14:paraId="2B89D09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rPr>
              <w:fldChar w:fldCharType="begin"/>
            </w:r>
            <w:r>
              <w:rPr>
                <w:rFonts w:hint="eastAsia" w:ascii="宋体" w:hAnsi="宋体" w:eastAsia="宋体" w:cs="宋体"/>
                <w:bCs/>
                <w:color w:val="auto"/>
                <w:szCs w:val="21"/>
              </w:rPr>
              <w:instrText xml:space="preserve">eq \o\ac(</w:instrText>
            </w:r>
            <w:r>
              <w:rPr>
                <w:rFonts w:hint="eastAsia" w:ascii="宋体" w:hAnsi="宋体" w:eastAsia="宋体" w:cs="宋体"/>
                <w:bCs/>
                <w:color w:val="auto"/>
                <w:position w:val="-4"/>
                <w:sz w:val="31"/>
                <w:szCs w:val="21"/>
              </w:rPr>
              <w:instrText xml:space="preserve">□</w:instrText>
            </w:r>
            <w:r>
              <w:rPr>
                <w:rFonts w:hint="eastAsia" w:ascii="宋体" w:hAnsi="宋体" w:eastAsia="宋体" w:cs="宋体"/>
                <w:bCs/>
                <w:color w:val="auto"/>
                <w:szCs w:val="21"/>
              </w:rPr>
              <w:instrText xml:space="preserve">,√)</w:instrText>
            </w:r>
            <w:r>
              <w:rPr>
                <w:rFonts w:hint="eastAsia" w:ascii="宋体" w:hAnsi="宋体" w:eastAsia="宋体" w:cs="宋体"/>
                <w:bCs/>
                <w:color w:val="auto"/>
                <w:szCs w:val="21"/>
              </w:rPr>
              <w:fldChar w:fldCharType="end"/>
            </w:r>
            <w:r>
              <w:rPr>
                <w:rFonts w:hint="eastAsia" w:ascii="宋体" w:hAnsi="宋体" w:eastAsia="宋体" w:cs="宋体"/>
                <w:bCs/>
                <w:color w:val="auto"/>
                <w:szCs w:val="21"/>
                <w:lang w:val="zh-CN"/>
              </w:rPr>
              <w:t>电子投标文件：成功上传至《全国公共资源交易平台（河南省·许昌市）》公共资源交易系统加密电子投标文件1份（后缀格式为“.XCSTF”的加密电子响应文件）。</w:t>
            </w:r>
          </w:p>
          <w:p w14:paraId="2B89D096">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注：供应商登录“全国公共资源交易平台（河南省·许昌市）”下载“新点投标文件制作软件（河南省版）”的最新版本制作电子响应文件。</w:t>
            </w:r>
          </w:p>
          <w:p w14:paraId="2B89D09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供应商对同一项目多个标段进行响应的，应分别下载所投标段的招标文件，按标段制作响应文件。一个标段对应生成2份电子响应文件（后缀格式为.XCSTF和.nXCSTF），其中后缀格式为“.XCSTF”的加密电子响应文件用于上传至交易系统中投标。</w:t>
            </w:r>
          </w:p>
        </w:tc>
      </w:tr>
      <w:tr w14:paraId="2B89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9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19</w:t>
            </w:r>
          </w:p>
        </w:tc>
        <w:tc>
          <w:tcPr>
            <w:tcW w:w="2268" w:type="dxa"/>
            <w:vAlign w:val="center"/>
          </w:tcPr>
          <w:p w14:paraId="2B89D09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投标文件的</w:t>
            </w:r>
          </w:p>
          <w:p w14:paraId="2B89D09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签署盖章</w:t>
            </w:r>
          </w:p>
        </w:tc>
        <w:tc>
          <w:tcPr>
            <w:tcW w:w="6813" w:type="dxa"/>
            <w:vAlign w:val="center"/>
          </w:tcPr>
          <w:p w14:paraId="2B89D09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eq \o\ac(□,√)</w:instrText>
            </w:r>
            <w:r>
              <w:rPr>
                <w:rFonts w:hint="eastAsia" w:ascii="宋体" w:hAnsi="宋体" w:eastAsia="宋体" w:cs="宋体"/>
                <w:b/>
                <w:color w:val="auto"/>
                <w:szCs w:val="21"/>
              </w:rPr>
              <w:fldChar w:fldCharType="end"/>
            </w:r>
            <w:r>
              <w:rPr>
                <w:rFonts w:hint="eastAsia" w:ascii="宋体" w:hAnsi="宋体" w:eastAsia="宋体" w:cs="宋体"/>
                <w:color w:val="auto"/>
                <w:szCs w:val="21"/>
              </w:rPr>
              <w:t>电子投标文件：按招标文件要求加盖供应商电子印章和法人电子印章。</w:t>
            </w:r>
          </w:p>
          <w:p w14:paraId="2B89D09D">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bCs/>
                <w:color w:val="auto"/>
                <w:szCs w:val="21"/>
                <w:lang w:val="zh-CN"/>
              </w:rPr>
              <w:t>□</w:t>
            </w:r>
            <w:r>
              <w:rPr>
                <w:rFonts w:hint="eastAsia" w:ascii="宋体" w:hAnsi="宋体" w:eastAsia="宋体" w:cs="宋体"/>
                <w:color w:val="auto"/>
                <w:szCs w:val="21"/>
              </w:rPr>
              <w:t>纸质投标文件：投标文件封面加盖投标人公章（投标文件是指投标人电子投标文件制作完成后生成的后缀名为“.PDF”的文件打印的纸质投标文件）。</w:t>
            </w:r>
          </w:p>
        </w:tc>
      </w:tr>
      <w:tr w14:paraId="2B89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9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20</w:t>
            </w:r>
          </w:p>
        </w:tc>
        <w:tc>
          <w:tcPr>
            <w:tcW w:w="2268" w:type="dxa"/>
            <w:vAlign w:val="center"/>
          </w:tcPr>
          <w:p w14:paraId="2B89D0A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评标委员会组建</w:t>
            </w:r>
          </w:p>
        </w:tc>
        <w:tc>
          <w:tcPr>
            <w:tcW w:w="6813" w:type="dxa"/>
            <w:vAlign w:val="center"/>
          </w:tcPr>
          <w:p w14:paraId="2B89D0A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eq \o\ac(□,</w:instrText>
            </w:r>
            <w:r>
              <w:rPr>
                <w:rFonts w:hint="eastAsia" w:ascii="宋体" w:hAnsi="宋体" w:eastAsia="宋体" w:cs="宋体"/>
                <w:b/>
                <w:color w:val="auto"/>
                <w:position w:val="2"/>
                <w:sz w:val="13"/>
                <w:szCs w:val="21"/>
              </w:rPr>
              <w:instrText xml:space="preserve">√</w:instrText>
            </w:r>
            <w:r>
              <w:rPr>
                <w:rFonts w:hint="eastAsia" w:ascii="宋体" w:hAnsi="宋体" w:eastAsia="宋体" w:cs="宋体"/>
                <w:b/>
                <w:color w:val="auto"/>
                <w:szCs w:val="21"/>
              </w:rPr>
              <w:instrText xml:space="preserve">)</w:instrText>
            </w:r>
            <w:r>
              <w:rPr>
                <w:rFonts w:hint="eastAsia" w:ascii="宋体" w:hAnsi="宋体" w:eastAsia="宋体" w:cs="宋体"/>
                <w:b/>
                <w:color w:val="auto"/>
                <w:szCs w:val="21"/>
              </w:rPr>
              <w:fldChar w:fldCharType="end"/>
            </w:r>
            <w:r>
              <w:rPr>
                <w:rFonts w:hint="eastAsia" w:ascii="宋体" w:hAnsi="宋体" w:eastAsia="宋体" w:cs="宋体"/>
                <w:color w:val="auto"/>
                <w:szCs w:val="21"/>
                <w:lang w:val="zh-CN"/>
              </w:rPr>
              <w:t>由采购人代表</w:t>
            </w:r>
            <w:r>
              <w:rPr>
                <w:rFonts w:hint="eastAsia" w:ascii="宋体" w:hAnsi="宋体" w:eastAsia="宋体" w:cs="宋体"/>
                <w:color w:val="auto"/>
                <w:szCs w:val="21"/>
              </w:rPr>
              <w:t>1人</w:t>
            </w:r>
            <w:r>
              <w:rPr>
                <w:rFonts w:hint="eastAsia" w:ascii="宋体" w:hAnsi="宋体" w:eastAsia="宋体" w:cs="宋体"/>
                <w:color w:val="auto"/>
                <w:szCs w:val="21"/>
                <w:lang w:val="zh-CN"/>
              </w:rPr>
              <w:t>和评审专家</w:t>
            </w:r>
            <w:r>
              <w:rPr>
                <w:rFonts w:hint="eastAsia" w:ascii="宋体" w:hAnsi="宋体" w:eastAsia="宋体" w:cs="宋体"/>
                <w:color w:val="auto"/>
                <w:szCs w:val="21"/>
              </w:rPr>
              <w:t>4人</w:t>
            </w:r>
            <w:r>
              <w:rPr>
                <w:rFonts w:hint="eastAsia" w:ascii="宋体" w:hAnsi="宋体" w:eastAsia="宋体" w:cs="宋体"/>
                <w:color w:val="auto"/>
                <w:szCs w:val="21"/>
                <w:lang w:val="zh-CN"/>
              </w:rPr>
              <w:t>组成，其中评审专家的人数不少于评标委员会成员总数的三分之二。评审专家从政府采购评审专家库中随机抽取。</w:t>
            </w:r>
          </w:p>
          <w:p w14:paraId="2B89D0A2">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eq \o\ac(□)</w:instrText>
            </w:r>
            <w:r>
              <w:rPr>
                <w:rFonts w:hint="eastAsia" w:ascii="宋体" w:hAnsi="宋体" w:eastAsia="宋体" w:cs="宋体"/>
                <w:b/>
                <w:color w:val="auto"/>
                <w:szCs w:val="21"/>
              </w:rPr>
              <w:fldChar w:fldCharType="end"/>
            </w:r>
            <w:r>
              <w:rPr>
                <w:rFonts w:hint="eastAsia" w:ascii="宋体" w:hAnsi="宋体" w:eastAsia="宋体" w:cs="宋体"/>
                <w:color w:val="auto"/>
                <w:szCs w:val="21"/>
                <w:lang w:val="zh-CN"/>
              </w:rPr>
              <w:t>由评审专家组成。评审专家从政府采购评审专家库中随机抽取。</w:t>
            </w:r>
          </w:p>
        </w:tc>
      </w:tr>
      <w:tr w14:paraId="2B89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A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21</w:t>
            </w:r>
          </w:p>
        </w:tc>
        <w:tc>
          <w:tcPr>
            <w:tcW w:w="2268" w:type="dxa"/>
            <w:vAlign w:val="center"/>
          </w:tcPr>
          <w:p w14:paraId="2B89D0A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评标方法</w:t>
            </w:r>
          </w:p>
        </w:tc>
        <w:tc>
          <w:tcPr>
            <w:tcW w:w="6813" w:type="dxa"/>
            <w:vAlign w:val="center"/>
          </w:tcPr>
          <w:p w14:paraId="2B89D0A6">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综合评分法</w:t>
            </w:r>
            <w:r>
              <w:rPr>
                <w:rFonts w:hint="eastAsia" w:ascii="宋体" w:hAnsi="宋体" w:eastAsia="宋体" w:cs="宋体"/>
                <w:b/>
                <w:bCs/>
                <w:color w:val="auto"/>
                <w:szCs w:val="21"/>
                <w:lang w:val="zh-CN"/>
              </w:rPr>
              <w:t>□</w:t>
            </w:r>
            <w:r>
              <w:rPr>
                <w:rFonts w:hint="eastAsia" w:ascii="宋体" w:hAnsi="宋体" w:eastAsia="宋体" w:cs="宋体"/>
                <w:color w:val="auto"/>
                <w:szCs w:val="21"/>
                <w:lang w:val="zh-CN"/>
              </w:rPr>
              <w:t>最低评标价法</w:t>
            </w:r>
          </w:p>
        </w:tc>
      </w:tr>
      <w:tr w14:paraId="2881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AB7045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22</w:t>
            </w:r>
          </w:p>
        </w:tc>
        <w:tc>
          <w:tcPr>
            <w:tcW w:w="2268" w:type="dxa"/>
            <w:vAlign w:val="center"/>
          </w:tcPr>
          <w:p w14:paraId="1152FE7B">
            <w:pPr>
              <w:autoSpaceDE w:val="0"/>
              <w:autoSpaceDN w:val="0"/>
              <w:adjustRightInd w:val="0"/>
              <w:spacing w:line="360" w:lineRule="auto"/>
              <w:jc w:val="center"/>
              <w:rPr>
                <w:rFonts w:hint="eastAsia" w:ascii="宋体" w:hAnsi="宋体" w:eastAsia="宋体" w:cs="宋体"/>
                <w:color w:val="auto"/>
                <w:szCs w:val="21"/>
              </w:rPr>
            </w:pPr>
            <w:r>
              <w:rPr>
                <w:rFonts w:hint="eastAsia" w:cs="宋体" w:asciiTheme="minorEastAsia" w:hAnsiTheme="minorEastAsia"/>
                <w:bCs/>
                <w:color w:val="auto"/>
                <w:szCs w:val="21"/>
                <w:highlight w:val="none"/>
                <w:lang w:val="zh-CN"/>
              </w:rPr>
              <w:t>异常低价审核</w:t>
            </w:r>
          </w:p>
        </w:tc>
        <w:tc>
          <w:tcPr>
            <w:tcW w:w="6813" w:type="dxa"/>
            <w:vAlign w:val="center"/>
          </w:tcPr>
          <w:p w14:paraId="72D357B9">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1.投标报价低于全部通过符合性审查</w:t>
            </w:r>
            <w:r>
              <w:rPr>
                <w:rFonts w:hint="eastAsia" w:ascii="ˎ̥" w:hAnsi="ˎ̥"/>
                <w:color w:val="auto"/>
                <w:highlight w:val="none"/>
                <w:lang w:val="en-US" w:eastAsia="zh-CN"/>
              </w:rPr>
              <w:t>投标人</w:t>
            </w:r>
            <w:r>
              <w:rPr>
                <w:rFonts w:hint="eastAsia" w:ascii="ˎ̥" w:hAnsi="ˎ̥"/>
                <w:color w:val="auto"/>
                <w:highlight w:val="none"/>
                <w:lang w:val="zh-CN"/>
              </w:rPr>
              <w:t>投标报价平均值50%的；</w:t>
            </w:r>
          </w:p>
          <w:p w14:paraId="191A8EF0">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2.投标报价低于通过符合性审查的次低报价</w:t>
            </w:r>
            <w:r>
              <w:rPr>
                <w:rFonts w:hint="eastAsia" w:ascii="ˎ̥" w:hAnsi="ˎ̥"/>
                <w:color w:val="auto"/>
                <w:highlight w:val="none"/>
                <w:lang w:val="en-US" w:eastAsia="zh-CN"/>
              </w:rPr>
              <w:t>投标人</w:t>
            </w:r>
            <w:r>
              <w:rPr>
                <w:rFonts w:hint="eastAsia" w:ascii="ˎ̥" w:hAnsi="ˎ̥"/>
                <w:color w:val="auto"/>
                <w:highlight w:val="none"/>
                <w:lang w:val="zh-CN"/>
              </w:rPr>
              <w:t>投标报价50%的；</w:t>
            </w:r>
          </w:p>
          <w:p w14:paraId="1A2A846A">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3.投标报价低于采购项目最高限价45%的；</w:t>
            </w:r>
          </w:p>
          <w:p w14:paraId="6C067C98">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4.评标委员会基于专业判断，认为</w:t>
            </w:r>
            <w:r>
              <w:rPr>
                <w:rFonts w:hint="eastAsia" w:ascii="ˎ̥" w:hAnsi="ˎ̥"/>
                <w:color w:val="auto"/>
                <w:highlight w:val="none"/>
                <w:lang w:val="en-US" w:eastAsia="zh-CN"/>
              </w:rPr>
              <w:t>投标人</w:t>
            </w:r>
            <w:r>
              <w:rPr>
                <w:rFonts w:hint="eastAsia" w:ascii="ˎ̥" w:hAnsi="ˎ̥"/>
                <w:color w:val="auto"/>
                <w:highlight w:val="none"/>
                <w:lang w:val="zh-CN"/>
              </w:rPr>
              <w:t>报价过低，有可能影响产品质量或者不能诚信履约的其他情形。</w:t>
            </w:r>
          </w:p>
          <w:p w14:paraId="207F36B5">
            <w:pPr>
              <w:autoSpaceDE w:val="0"/>
              <w:autoSpaceDN w:val="0"/>
              <w:adjustRightInd w:val="0"/>
              <w:spacing w:line="360" w:lineRule="auto"/>
              <w:jc w:val="both"/>
              <w:rPr>
                <w:rFonts w:hint="eastAsia" w:ascii="宋体" w:hAnsi="宋体" w:eastAsia="宋体" w:cs="宋体"/>
                <w:b/>
                <w:color w:val="auto"/>
                <w:kern w:val="0"/>
                <w:szCs w:val="21"/>
                <w:lang w:val="zh-CN"/>
              </w:rPr>
            </w:pPr>
            <w:r>
              <w:rPr>
                <w:rFonts w:hint="eastAsia" w:ascii="ˎ̥" w:hAnsi="ˎ̥"/>
                <w:color w:val="auto"/>
                <w:highlight w:val="none"/>
                <w:lang w:val="zh-CN"/>
              </w:rPr>
              <w:t>5.相关法律法规对</w:t>
            </w:r>
            <w:r>
              <w:rPr>
                <w:rFonts w:hint="eastAsia" w:ascii="ˎ̥" w:hAnsi="ˎ̥"/>
                <w:color w:val="auto"/>
                <w:highlight w:val="none"/>
                <w:lang w:val="en-US" w:eastAsia="zh-CN"/>
              </w:rPr>
              <w:t>投标人</w:t>
            </w:r>
            <w:r>
              <w:rPr>
                <w:rFonts w:hint="eastAsia" w:ascii="ˎ̥" w:hAnsi="ˎ̥"/>
                <w:color w:val="auto"/>
                <w:highlight w:val="none"/>
                <w:lang w:val="zh-CN"/>
              </w:rPr>
              <w:t>报价有规定的，从其规定。</w:t>
            </w:r>
          </w:p>
        </w:tc>
      </w:tr>
      <w:tr w14:paraId="2B89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A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3</w:t>
            </w:r>
          </w:p>
        </w:tc>
        <w:tc>
          <w:tcPr>
            <w:tcW w:w="2268" w:type="dxa"/>
            <w:vAlign w:val="center"/>
          </w:tcPr>
          <w:p w14:paraId="2B89D0A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授权函</w:t>
            </w:r>
          </w:p>
        </w:tc>
        <w:tc>
          <w:tcPr>
            <w:tcW w:w="6813" w:type="dxa"/>
            <w:vAlign w:val="center"/>
          </w:tcPr>
          <w:p w14:paraId="71179137">
            <w:pPr>
              <w:pStyle w:val="22"/>
              <w:keepNext w:val="0"/>
              <w:keepLines w:val="0"/>
              <w:pageBreakBefore w:val="0"/>
              <w:widowControl w:val="0"/>
              <w:kinsoku/>
              <w:overflowPunct/>
              <w:topLinePunct w:val="0"/>
              <w:bidi w:val="0"/>
              <w:snapToGrid/>
              <w:spacing w:line="460" w:lineRule="exact"/>
              <w:ind w:left="0" w:leftChars="0" w:firstLine="0" w:firstLineChars="0"/>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采购单位委派代表参加资格审查和评审委员会的，须出具授权函。除授权代表外，采购单位委派监察人员对评标过程实施监督的须进入禹州市公共资源交易中心电子监督室，且不得超过2人。监察人员对评审工作实施监督，并签字登记备案、备查，监督人员应切实履行监督责任。</w:t>
            </w:r>
          </w:p>
        </w:tc>
      </w:tr>
      <w:tr w14:paraId="2B89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A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4</w:t>
            </w:r>
          </w:p>
        </w:tc>
        <w:tc>
          <w:tcPr>
            <w:tcW w:w="2268" w:type="dxa"/>
            <w:vAlign w:val="center"/>
          </w:tcPr>
          <w:p w14:paraId="5741EE7A">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bCs/>
                <w:color w:val="auto"/>
                <w:szCs w:val="21"/>
                <w:lang w:val="zh-CN"/>
              </w:rPr>
            </w:pPr>
          </w:p>
          <w:p w14:paraId="2B89D0A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中小企业有关政策</w:t>
            </w:r>
          </w:p>
        </w:tc>
        <w:tc>
          <w:tcPr>
            <w:tcW w:w="6813" w:type="dxa"/>
            <w:vAlign w:val="center"/>
          </w:tcPr>
          <w:p w14:paraId="7746CC5F">
            <w:pPr>
              <w:keepNext w:val="0"/>
              <w:keepLines w:val="0"/>
              <w:pageBreakBefore w:val="0"/>
              <w:widowControl w:val="0"/>
              <w:numPr>
                <w:ilvl w:val="0"/>
                <w:numId w:val="3"/>
              </w:numPr>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eastAsia="zh-CN"/>
              </w:rPr>
              <w:t>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扶持政策。本次采购标的对应的中小企业划分标准所属行业：其他未列明行业。</w:t>
            </w:r>
          </w:p>
          <w:p w14:paraId="4AFB9A74">
            <w:pPr>
              <w:keepNext w:val="0"/>
              <w:keepLines w:val="0"/>
              <w:pageBreakBefore w:val="0"/>
              <w:widowControl w:val="0"/>
              <w:numPr>
                <w:ilvl w:val="0"/>
                <w:numId w:val="3"/>
              </w:numPr>
              <w:kinsoku/>
              <w:overflowPunct/>
              <w:topLinePunct w:val="0"/>
              <w:bidi w:val="0"/>
              <w:snapToGrid/>
              <w:spacing w:line="460" w:lineRule="exact"/>
              <w:ind w:left="0" w:leftChars="0" w:firstLine="0" w:firstLineChars="0"/>
              <w:textAlignment w:val="auto"/>
              <w:rPr>
                <w:rFonts w:hint="eastAsia" w:ascii="宋体" w:hAnsi="宋体" w:eastAsia="宋体" w:cs="宋体"/>
                <w:color w:val="auto"/>
                <w:lang w:eastAsia="zh-CN"/>
              </w:rPr>
            </w:pPr>
            <w:r>
              <w:rPr>
                <w:rFonts w:hint="eastAsia" w:ascii="宋体" w:hAnsi="宋体" w:eastAsia="宋体" w:cs="宋体"/>
                <w:color w:val="auto"/>
                <w:lang w:eastAsia="zh-CN"/>
              </w:rPr>
              <w:t>根据财政部、工业和信息化部发布的《政府采购促进中小企业发展管理办法》（财库〔2020〕46号）、《关于进一步加大政府采购支持中小企业力度的通知》（财库〔2022〕19号）规定，对小型和微型企业投标价格给予20%（10%—20%）的扣除，用扣除后的价格参与评审。</w:t>
            </w:r>
          </w:p>
          <w:p w14:paraId="174EAED5">
            <w:pPr>
              <w:keepNext w:val="0"/>
              <w:keepLines w:val="0"/>
              <w:pageBreakBefore w:val="0"/>
              <w:widowControl w:val="0"/>
              <w:numPr>
                <w:ilvl w:val="0"/>
                <w:numId w:val="0"/>
              </w:numPr>
              <w:kinsoku/>
              <w:overflowPunct/>
              <w:topLinePunct w:val="0"/>
              <w:bidi w:val="0"/>
              <w:snapToGrid/>
              <w:spacing w:line="460" w:lineRule="exact"/>
              <w:ind w:leftChars="0"/>
              <w:textAlignment w:val="auto"/>
              <w:rPr>
                <w:rFonts w:hint="eastAsia" w:ascii="宋体" w:hAnsi="宋体" w:eastAsia="宋体" w:cs="宋体"/>
                <w:color w:val="auto"/>
                <w:lang w:eastAsia="zh-CN"/>
              </w:rPr>
            </w:pPr>
            <w:r>
              <w:rPr>
                <w:rFonts w:hint="eastAsia" w:ascii="宋体" w:hAnsi="宋体" w:eastAsia="宋体" w:cs="宋体"/>
                <w:color w:val="auto"/>
                <w:lang w:val="en-US" w:eastAsia="zh-CN"/>
              </w:rPr>
              <w:t>3.</w:t>
            </w:r>
            <w:r>
              <w:rPr>
                <w:rFonts w:hint="eastAsia" w:ascii="宋体" w:hAnsi="宋体" w:eastAsia="宋体" w:cs="宋体"/>
                <w:color w:val="auto"/>
                <w:lang w:eastAsia="zh-CN"/>
              </w:rPr>
              <w:t>本项目不接受联合体投标。</w:t>
            </w:r>
          </w:p>
          <w:p w14:paraId="7DE9D802">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val="en-US" w:eastAsia="zh-CN"/>
              </w:rPr>
              <w:t>4</w:t>
            </w:r>
            <w:r>
              <w:rPr>
                <w:rFonts w:hint="eastAsia" w:ascii="宋体" w:hAnsi="宋体" w:eastAsia="宋体" w:cs="宋体"/>
                <w:color w:val="auto"/>
                <w:lang w:eastAsia="zh-CN"/>
              </w:rPr>
              <w:t>.提供由省级以上监狱管理局、戒毒管理局（含新疆生产建设兵团）出具的属于监狱企业证明文件的，视同为小型和微型企业。</w:t>
            </w:r>
          </w:p>
          <w:p w14:paraId="2B89D0B4">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val="en-US" w:eastAsia="zh-CN"/>
              </w:rPr>
              <w:t>5</w:t>
            </w:r>
            <w:r>
              <w:rPr>
                <w:rFonts w:hint="eastAsia" w:ascii="宋体" w:hAnsi="宋体" w:eastAsia="宋体" w:cs="宋体"/>
                <w:color w:val="auto"/>
                <w:lang w:eastAsia="zh-CN"/>
              </w:rPr>
              <w:t>.符合享受政府采购支持政策的残疾人福利性单位条件且提供《残疾人福利性单位声明函》的，视同为小型和微型企业。</w:t>
            </w:r>
          </w:p>
          <w:p w14:paraId="0FDD5364">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eastAsia="zh-CN"/>
              </w:rPr>
              <w:t>6.符合中小企业划分标准的个体工商户，在政府采购活动中视同中小企业。</w:t>
            </w:r>
          </w:p>
        </w:tc>
      </w:tr>
      <w:tr w14:paraId="2B89D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B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5</w:t>
            </w:r>
          </w:p>
        </w:tc>
        <w:tc>
          <w:tcPr>
            <w:tcW w:w="2268" w:type="dxa"/>
            <w:vAlign w:val="center"/>
          </w:tcPr>
          <w:p w14:paraId="2B89D0B7">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节能环保要求</w:t>
            </w:r>
          </w:p>
        </w:tc>
        <w:tc>
          <w:tcPr>
            <w:tcW w:w="6813" w:type="dxa"/>
            <w:vAlign w:val="center"/>
          </w:tcPr>
          <w:p w14:paraId="2B89D0B8">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 xml:space="preserve">1.本项目强制采购的节能产品：（无） </w:t>
            </w:r>
          </w:p>
          <w:p w14:paraId="2B89D0B9">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lang w:val="zh-CN"/>
              </w:rPr>
            </w:pPr>
            <w:r>
              <w:rPr>
                <w:rFonts w:hint="eastAsia" w:ascii="宋体" w:hAnsi="宋体" w:eastAsia="宋体" w:cs="宋体"/>
                <w:bCs/>
                <w:color w:val="auto"/>
                <w:szCs w:val="21"/>
                <w:lang w:val="zh-CN"/>
              </w:rPr>
              <w:t>2.执行《财政部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环境标志产品认证证书，否则投标无效；属于政府优先采购产品类别的，须按照要求提供依据国家确定的认证机构出具的、处于有效期之内的节能产品、环境标志产品认证证书，否则不予认定。</w:t>
            </w:r>
          </w:p>
        </w:tc>
      </w:tr>
      <w:tr w14:paraId="2B89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B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6</w:t>
            </w:r>
          </w:p>
        </w:tc>
        <w:tc>
          <w:tcPr>
            <w:tcW w:w="2268" w:type="dxa"/>
            <w:vAlign w:val="center"/>
          </w:tcPr>
          <w:p w14:paraId="2B89D0B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网络关键设备、网络安全专用产品要求</w:t>
            </w:r>
          </w:p>
        </w:tc>
        <w:tc>
          <w:tcPr>
            <w:tcW w:w="6813" w:type="dxa"/>
            <w:vAlign w:val="center"/>
          </w:tcPr>
          <w:p w14:paraId="2B89D0BD">
            <w:pPr>
              <w:keepNext w:val="0"/>
              <w:keepLines w:val="0"/>
              <w:pageBreakBefore w:val="0"/>
              <w:widowControl w:val="0"/>
              <w:numPr>
                <w:ilvl w:val="0"/>
                <w:numId w:val="4"/>
              </w:numPr>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color w:val="auto"/>
                <w:szCs w:val="21"/>
              </w:rPr>
              <w:t>本项目网络关键设备：（无）；网络安全专用产品：（无）</w:t>
            </w:r>
          </w:p>
          <w:p w14:paraId="2B89D0BE">
            <w:pPr>
              <w:keepNext w:val="0"/>
              <w:keepLines w:val="0"/>
              <w:pageBreakBefore w:val="0"/>
              <w:widowControl w:val="0"/>
              <w:numPr>
                <w:ilvl w:val="0"/>
                <w:numId w:val="4"/>
              </w:numPr>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项目中涉及网络关键设备或网络安全专用产品的，执行国家互联网信息办公室、工业和信息化部、公安部和国家认证认可监督管理委员会2023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2B89D0BF">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eastAsia="zh-CN"/>
              </w:rPr>
              <w:t>3.</w:t>
            </w:r>
            <w:r>
              <w:rPr>
                <w:rFonts w:hint="eastAsia" w:ascii="宋体" w:hAnsi="宋体" w:eastAsia="宋体" w:cs="宋体"/>
                <w:color w:val="auto"/>
                <w:szCs w:val="21"/>
              </w:rPr>
              <w:t>提供资料（下列资料任意一项）①网络关键设备和网络安全专用产品安全认证证书；②网络关键设备安全检测证书、网络安全专用产品安全检测证书；③计算机信息系统安全专用产品销售许可证；④中国网信网或工业和信息化部网站或公安部网站或国家认证认可监督管理委员会网站公布的认证、检测结果（提供公布安全认证、安全检测结果页面网址和安全认证、检测结果截图）。</w:t>
            </w:r>
          </w:p>
        </w:tc>
      </w:tr>
      <w:tr w14:paraId="2B89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C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7</w:t>
            </w:r>
          </w:p>
        </w:tc>
        <w:tc>
          <w:tcPr>
            <w:tcW w:w="2268" w:type="dxa"/>
            <w:vAlign w:val="center"/>
          </w:tcPr>
          <w:p w14:paraId="2B89D0C9">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lang w:val="zh-CN"/>
              </w:rPr>
            </w:pPr>
          </w:p>
          <w:p w14:paraId="2B89D0C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政府采购合同融资 </w:t>
            </w:r>
          </w:p>
          <w:p w14:paraId="2B89D0C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政策告知函</w:t>
            </w:r>
          </w:p>
        </w:tc>
        <w:tc>
          <w:tcPr>
            <w:tcW w:w="6813" w:type="dxa"/>
            <w:vAlign w:val="center"/>
          </w:tcPr>
          <w:p w14:paraId="2B89D0C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rPr>
              <w:t>政府采购合同融资是支持中小微企业发展，针对参与政府采购活动的供应商融资难、融资贵问题推出的一项融资政策。根据河南省财政厅《关于印发深入推进政府采购合同融资工作实施方案的通知》精神，我市目前已与部分金融机构合作开展政府采购信用融资业务，中标</w:t>
            </w:r>
            <w:r>
              <w:rPr>
                <w:rFonts w:hint="eastAsia" w:ascii="宋体" w:hAnsi="宋体" w:eastAsia="宋体" w:cs="宋体"/>
                <w:color w:val="auto"/>
                <w:szCs w:val="21"/>
                <w:lang w:val="en-US" w:eastAsia="zh-CN"/>
              </w:rPr>
              <w:t>人</w:t>
            </w:r>
            <w:r>
              <w:rPr>
                <w:rFonts w:hint="eastAsia" w:ascii="宋体" w:hAnsi="宋体" w:eastAsia="宋体" w:cs="宋体"/>
                <w:color w:val="auto"/>
                <w:szCs w:val="21"/>
              </w:rPr>
              <w:t>可持政府采购合同，通过“许昌市政府采购网”向所选的金融机构申请贷款，无需抵押、担保，融资机构将根据《河南省政府采购合同融资工作实施方案》（豫财购〔2017〕10号），按照双方自愿的原则提供便捷、优惠的贷款服务。合作金融机构名单可在《全国公共资源交易平台（河南省•许昌市）》“许昌市公共资源交易中心•金融服务平台”查询联系。</w:t>
            </w:r>
          </w:p>
        </w:tc>
      </w:tr>
      <w:tr w14:paraId="2B89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70142C56">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rPr>
            </w:pPr>
          </w:p>
          <w:p w14:paraId="411200A7">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8</w:t>
            </w:r>
          </w:p>
        </w:tc>
        <w:tc>
          <w:tcPr>
            <w:tcW w:w="2268" w:type="dxa"/>
            <w:vAlign w:val="center"/>
          </w:tcPr>
          <w:p w14:paraId="2B89D0C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kern w:val="0"/>
                <w:szCs w:val="21"/>
              </w:rPr>
              <w:t>加快推广绿色建材发展应用</w:t>
            </w:r>
          </w:p>
        </w:tc>
        <w:tc>
          <w:tcPr>
            <w:tcW w:w="6813" w:type="dxa"/>
            <w:vAlign w:val="center"/>
          </w:tcPr>
          <w:p w14:paraId="2B89D0D0">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kern w:val="0"/>
                <w:szCs w:val="21"/>
              </w:rPr>
            </w:pPr>
            <w:r>
              <w:rPr>
                <w:rFonts w:hint="eastAsia" w:ascii="宋体" w:hAnsi="宋体" w:eastAsia="宋体" w:cs="宋体"/>
                <w:bCs/>
                <w:color w:val="auto"/>
                <w:szCs w:val="21"/>
                <w:lang w:val="zh-CN"/>
              </w:rPr>
              <w:t>本项目</w:t>
            </w:r>
            <w:r>
              <w:rPr>
                <w:rFonts w:hint="eastAsia" w:ascii="宋体" w:hAnsi="宋体" w:eastAsia="宋体" w:cs="宋体"/>
                <w:color w:val="auto"/>
                <w:kern w:val="0"/>
                <w:szCs w:val="21"/>
              </w:rPr>
              <w:t>绿色建材</w:t>
            </w:r>
            <w:r>
              <w:rPr>
                <w:rFonts w:hint="eastAsia" w:ascii="宋体" w:hAnsi="宋体" w:eastAsia="宋体" w:cs="宋体"/>
                <w:bCs/>
                <w:color w:val="auto"/>
                <w:szCs w:val="21"/>
                <w:lang w:val="zh-CN"/>
              </w:rPr>
              <w:t xml:space="preserve">产品：（无） </w:t>
            </w:r>
          </w:p>
          <w:p w14:paraId="2B89D0D1">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szCs w:val="21"/>
              </w:rPr>
            </w:pPr>
            <w:r>
              <w:rPr>
                <w:rFonts w:hint="eastAsia" w:ascii="宋体" w:hAnsi="宋体" w:eastAsia="宋体" w:cs="宋体"/>
                <w:color w:val="auto"/>
                <w:kern w:val="0"/>
                <w:szCs w:val="21"/>
              </w:rPr>
              <w:t>根据财政部、住房和城乡建设部《关于政府采购支持绿色建材促进建筑品质提升试点工作的通知》（财库〔2020〕31号）要求，该项目应优先使用可循环利用建材、高强度高耐久建材、绿色部品部件、绿色装修装饰材料、节水节能建材等绿色建材产品。</w:t>
            </w:r>
          </w:p>
        </w:tc>
      </w:tr>
      <w:tr w14:paraId="2B89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D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9</w:t>
            </w:r>
          </w:p>
        </w:tc>
        <w:tc>
          <w:tcPr>
            <w:tcW w:w="2268" w:type="dxa"/>
            <w:vAlign w:val="center"/>
          </w:tcPr>
          <w:p w14:paraId="2B89D0D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履约保证金</w:t>
            </w:r>
          </w:p>
        </w:tc>
        <w:tc>
          <w:tcPr>
            <w:tcW w:w="6813" w:type="dxa"/>
            <w:vAlign w:val="center"/>
          </w:tcPr>
          <w:p w14:paraId="2B89D0D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无要求</w:t>
            </w:r>
          </w:p>
          <w:p w14:paraId="2B89D0D6">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color w:val="auto"/>
                <w:szCs w:val="21"/>
                <w:lang w:val="zh-CN"/>
              </w:rPr>
              <w:t>要求提交。履约保证金的数额为合同金额的%。成交供应商以支票、汇票、本票或者金融机构、担保机构出具的保函等非现金形式向采购人提交。</w:t>
            </w:r>
          </w:p>
        </w:tc>
      </w:tr>
      <w:tr w14:paraId="2B89D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5" w:hRule="atLeast"/>
          <w:jc w:val="center"/>
        </w:trPr>
        <w:tc>
          <w:tcPr>
            <w:tcW w:w="806" w:type="dxa"/>
            <w:vAlign w:val="center"/>
          </w:tcPr>
          <w:p w14:paraId="2B89D0D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30</w:t>
            </w:r>
          </w:p>
        </w:tc>
        <w:tc>
          <w:tcPr>
            <w:tcW w:w="2268" w:type="dxa"/>
            <w:vAlign w:val="center"/>
          </w:tcPr>
          <w:p w14:paraId="2B89D0D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代理服务费</w:t>
            </w:r>
          </w:p>
        </w:tc>
        <w:tc>
          <w:tcPr>
            <w:tcW w:w="6813" w:type="dxa"/>
            <w:vAlign w:val="center"/>
          </w:tcPr>
          <w:p w14:paraId="2B89D0DA">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lang w:val="zh-CN"/>
              </w:rPr>
              <w:t>☑收取，</w:t>
            </w:r>
            <w:r>
              <w:rPr>
                <w:rFonts w:hint="eastAsia" w:ascii="宋体" w:hAnsi="宋体" w:eastAsia="宋体" w:cs="宋体"/>
                <w:color w:val="auto"/>
              </w:rPr>
              <w:t>招标代理服务费由中标人支付，按照豫招协〔2023〕002《河南省招标代理服务收费指导意见》收取，由中标单位在领取中标通知书时</w:t>
            </w:r>
            <w:r>
              <w:rPr>
                <w:rFonts w:hint="eastAsia" w:ascii="宋体" w:hAnsi="宋体" w:eastAsia="宋体" w:cs="宋体"/>
                <w:color w:val="auto"/>
                <w:lang w:eastAsia="zh-CN"/>
              </w:rPr>
              <w:t>一次性支付</w:t>
            </w:r>
            <w:r>
              <w:rPr>
                <w:rFonts w:hint="eastAsia" w:ascii="宋体" w:hAnsi="宋体" w:eastAsia="宋体" w:cs="宋体"/>
                <w:color w:val="auto"/>
              </w:rPr>
              <w:t>代理机构。</w:t>
            </w:r>
          </w:p>
          <w:p w14:paraId="2B89D0DB">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招标代理服务收费按差额定率累计法计算：</w:t>
            </w:r>
          </w:p>
          <w:p w14:paraId="2B89D0DC">
            <w:pPr>
              <w:pStyle w:val="15"/>
              <w:keepNext w:val="0"/>
              <w:keepLines w:val="0"/>
              <w:pageBreakBefore w:val="0"/>
              <w:widowControl w:val="0"/>
              <w:kinsoku/>
              <w:overflowPunct/>
              <w:topLinePunct w:val="0"/>
              <w:bidi w:val="0"/>
              <w:snapToGrid/>
              <w:spacing w:after="0" w:line="460" w:lineRule="exact"/>
              <w:ind w:firstLine="340"/>
              <w:textAlignment w:val="auto"/>
              <w:rPr>
                <w:rFonts w:hint="eastAsia" w:ascii="宋体" w:hAnsi="宋体" w:eastAsia="宋体" w:cs="宋体"/>
                <w:bCs/>
                <w:color w:val="auto"/>
                <w:szCs w:val="21"/>
                <w:lang w:val="zh-CN"/>
              </w:rPr>
            </w:pPr>
            <w:r>
              <w:rPr>
                <w:rFonts w:hint="eastAsia" w:ascii="宋体" w:hAnsi="宋体" w:eastAsia="宋体" w:cs="宋体"/>
                <w:color w:val="auto"/>
              </w:rPr>
              <w:drawing>
                <wp:anchor distT="0" distB="0" distL="114300" distR="114300" simplePos="0" relativeHeight="251659264" behindDoc="0" locked="0" layoutInCell="1" allowOverlap="1">
                  <wp:simplePos x="0" y="0"/>
                  <wp:positionH relativeFrom="column">
                    <wp:posOffset>-10795</wp:posOffset>
                  </wp:positionH>
                  <wp:positionV relativeFrom="paragraph">
                    <wp:posOffset>251460</wp:posOffset>
                  </wp:positionV>
                  <wp:extent cx="3671570" cy="2573020"/>
                  <wp:effectExtent l="0" t="0" r="5080" b="17780"/>
                  <wp:wrapSquare wrapText="bothSides"/>
                  <wp:docPr id="2" name="图片 2" descr="beb982d9b13b73535a8dfa2cb990f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eb982d9b13b73535a8dfa2cb990fd7"/>
                          <pic:cNvPicPr>
                            <a:picLocks noChangeAspect="1"/>
                          </pic:cNvPicPr>
                        </pic:nvPicPr>
                        <pic:blipFill>
                          <a:blip r:embed="rId5"/>
                          <a:stretch>
                            <a:fillRect/>
                          </a:stretch>
                        </pic:blipFill>
                        <pic:spPr>
                          <a:xfrm>
                            <a:off x="0" y="0"/>
                            <a:ext cx="3671570" cy="2573020"/>
                          </a:xfrm>
                          <a:prstGeom prst="rect">
                            <a:avLst/>
                          </a:prstGeom>
                          <a:noFill/>
                          <a:ln>
                            <a:noFill/>
                          </a:ln>
                        </pic:spPr>
                      </pic:pic>
                    </a:graphicData>
                  </a:graphic>
                </wp:anchor>
              </w:drawing>
            </w:r>
          </w:p>
        </w:tc>
      </w:tr>
      <w:tr w14:paraId="2B89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D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31</w:t>
            </w:r>
          </w:p>
        </w:tc>
        <w:tc>
          <w:tcPr>
            <w:tcW w:w="2268" w:type="dxa"/>
            <w:vAlign w:val="center"/>
          </w:tcPr>
          <w:p w14:paraId="2B89D0D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en-US" w:eastAsia="zh-CN"/>
              </w:rPr>
              <w:t>中标人</w:t>
            </w:r>
            <w:r>
              <w:rPr>
                <w:rFonts w:hint="eastAsia" w:ascii="宋体" w:hAnsi="宋体" w:eastAsia="宋体" w:cs="宋体"/>
                <w:bCs/>
                <w:color w:val="auto"/>
                <w:szCs w:val="21"/>
                <w:lang w:val="zh-CN"/>
              </w:rPr>
              <w:t>需提交</w:t>
            </w:r>
          </w:p>
          <w:p w14:paraId="2B89D0E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的资料</w:t>
            </w:r>
          </w:p>
        </w:tc>
        <w:tc>
          <w:tcPr>
            <w:tcW w:w="6813" w:type="dxa"/>
            <w:vAlign w:val="center"/>
          </w:tcPr>
          <w:p w14:paraId="2B89D0E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zh-CN"/>
              </w:rPr>
              <w:t>中标人在接到中标通知时，须向代理机构发送投标报价及分项报价一览表（包含主要中标标的的名称、规格型号、数量、单价、服务要求等）电子文档，联系电话：</w:t>
            </w:r>
            <w:r>
              <w:rPr>
                <w:rFonts w:hint="eastAsia" w:ascii="宋体" w:hAnsi="宋体" w:eastAsia="宋体" w:cs="宋体"/>
                <w:color w:val="auto"/>
                <w:szCs w:val="21"/>
                <w:lang w:val="en-US" w:eastAsia="zh-CN"/>
              </w:rPr>
              <w:t>13733156531</w:t>
            </w:r>
            <w:r>
              <w:rPr>
                <w:rFonts w:hint="eastAsia" w:ascii="宋体" w:hAnsi="宋体" w:eastAsia="宋体" w:cs="宋体"/>
                <w:color w:val="auto"/>
                <w:szCs w:val="21"/>
                <w:lang w:val="zh-CN"/>
              </w:rPr>
              <w:t>，邮箱：shimengzb2024@163.com。并配合业主需要提供纸质投标文件。</w:t>
            </w:r>
          </w:p>
        </w:tc>
      </w:tr>
      <w:tr w14:paraId="2B89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E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2</w:t>
            </w:r>
          </w:p>
        </w:tc>
        <w:tc>
          <w:tcPr>
            <w:tcW w:w="2268" w:type="dxa"/>
            <w:vAlign w:val="center"/>
          </w:tcPr>
          <w:p w14:paraId="2B89D0E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电子化采购模式</w:t>
            </w:r>
          </w:p>
        </w:tc>
        <w:tc>
          <w:tcPr>
            <w:tcW w:w="6813" w:type="dxa"/>
            <w:vAlign w:val="center"/>
          </w:tcPr>
          <w:p w14:paraId="2B89D0E5">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是。</w:t>
            </w:r>
            <w:r>
              <w:rPr>
                <w:rFonts w:hint="eastAsia" w:ascii="宋体" w:hAnsi="宋体" w:eastAsia="宋体" w:cs="宋体"/>
                <w:color w:val="auto"/>
                <w:szCs w:val="21"/>
                <w:lang w:val="zh-CN"/>
              </w:rPr>
              <w:t>投标人投标时须成功上传、解密电子投标文件。投标人资质、业绩、荣誉及相关人员证明材料等资料原件不再提交（本招标文件第六章另有要求提供原件的除外）。</w:t>
            </w:r>
          </w:p>
          <w:p w14:paraId="2B89D0E6">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zh-CN"/>
              </w:rPr>
              <w:t>□否。投标人投标时须提供纸质投标文件。投标人资质、业绩、荣誉及相关人员证明材料等资料原件根据招标文件要求提供。</w:t>
            </w:r>
          </w:p>
        </w:tc>
      </w:tr>
      <w:tr w14:paraId="2B89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06" w:type="dxa"/>
            <w:vAlign w:val="center"/>
          </w:tcPr>
          <w:p w14:paraId="2B89D0E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3</w:t>
            </w:r>
          </w:p>
        </w:tc>
        <w:tc>
          <w:tcPr>
            <w:tcW w:w="2268" w:type="dxa"/>
            <w:vAlign w:val="center"/>
          </w:tcPr>
          <w:p w14:paraId="2B89D0E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投标人代表出席开标会及其他</w:t>
            </w:r>
          </w:p>
        </w:tc>
        <w:tc>
          <w:tcPr>
            <w:tcW w:w="6813" w:type="dxa"/>
            <w:vAlign w:val="center"/>
          </w:tcPr>
          <w:p w14:paraId="2B89D0EA">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投标人准时在网上参加投标、开标活动。</w:t>
            </w:r>
          </w:p>
        </w:tc>
      </w:tr>
      <w:tr w14:paraId="2B89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E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4</w:t>
            </w:r>
          </w:p>
        </w:tc>
        <w:tc>
          <w:tcPr>
            <w:tcW w:w="2268" w:type="dxa"/>
            <w:vAlign w:val="center"/>
          </w:tcPr>
          <w:p w14:paraId="2B89D0E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解释权</w:t>
            </w:r>
          </w:p>
        </w:tc>
        <w:tc>
          <w:tcPr>
            <w:tcW w:w="6813" w:type="dxa"/>
            <w:vAlign w:val="center"/>
          </w:tcPr>
          <w:p w14:paraId="2B89D0EE">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构成本招标文件的各个组成文件应互为解释，互为说明；</w:t>
            </w:r>
          </w:p>
          <w:p w14:paraId="2B89D0E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1.除招标文件中有特别规定外，仅适用于招标投标阶段的规定，按招标公告（投标邀请书）、投标人须知、评标办法的先后顺序解释；</w:t>
            </w:r>
          </w:p>
          <w:p w14:paraId="2B89D0F0">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eastAsia="zh-CN"/>
              </w:rPr>
              <w:t>2.</w:t>
            </w:r>
            <w:r>
              <w:rPr>
                <w:rFonts w:hint="eastAsia" w:ascii="宋体" w:hAnsi="宋体" w:eastAsia="宋体" w:cs="宋体"/>
                <w:color w:val="auto"/>
                <w:szCs w:val="21"/>
                <w:lang w:val="zh-CN"/>
              </w:rPr>
              <w:t>同一组成文件中就同一事项的规定或约定不一致的，以编排顺序在后者为准；</w:t>
            </w:r>
          </w:p>
          <w:p w14:paraId="2B89D0F1">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eastAsia="zh-CN"/>
              </w:rPr>
              <w:t>3.</w:t>
            </w:r>
            <w:r>
              <w:rPr>
                <w:rFonts w:hint="eastAsia" w:ascii="宋体" w:hAnsi="宋体" w:eastAsia="宋体" w:cs="宋体"/>
                <w:color w:val="auto"/>
                <w:szCs w:val="21"/>
                <w:lang w:val="zh-CN"/>
              </w:rPr>
              <w:t>同一组成文件不同版本之间有不一致的，以形成时间在后者为准；</w:t>
            </w:r>
          </w:p>
          <w:p w14:paraId="2B89D0F2">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按本款前述规定仍不能形成结论的，由招标人负责解释。</w:t>
            </w:r>
          </w:p>
        </w:tc>
      </w:tr>
      <w:tr w14:paraId="2B89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F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5</w:t>
            </w:r>
          </w:p>
        </w:tc>
        <w:tc>
          <w:tcPr>
            <w:tcW w:w="2268" w:type="dxa"/>
            <w:vAlign w:val="center"/>
          </w:tcPr>
          <w:p w14:paraId="2B89D0F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知识产权</w:t>
            </w:r>
          </w:p>
        </w:tc>
        <w:tc>
          <w:tcPr>
            <w:tcW w:w="6813" w:type="dxa"/>
            <w:vAlign w:val="center"/>
          </w:tcPr>
          <w:p w14:paraId="2B89D0F6">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构成本采购文件各个组成部分的文件，未经采购人书面同意，</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不得擅自复印和用于非本招标项目所需的其他目的。采购人全部或者部分使用未中标人投标文件中的技术成果或技术方案时，需征得其书面同意，并不得擅自复印或提供给第三人。</w:t>
            </w:r>
          </w:p>
        </w:tc>
      </w:tr>
      <w:tr w14:paraId="2B89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10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36</w:t>
            </w:r>
          </w:p>
        </w:tc>
        <w:tc>
          <w:tcPr>
            <w:tcW w:w="2268" w:type="dxa"/>
            <w:vAlign w:val="center"/>
          </w:tcPr>
          <w:p w14:paraId="2B89D10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特别提示</w:t>
            </w:r>
          </w:p>
        </w:tc>
        <w:tc>
          <w:tcPr>
            <w:tcW w:w="6813" w:type="dxa"/>
            <w:vAlign w:val="center"/>
          </w:tcPr>
          <w:p w14:paraId="2B89D107">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lang w:eastAsia="zh-CN"/>
              </w:rPr>
              <w:t>1.</w:t>
            </w:r>
            <w:r>
              <w:rPr>
                <w:rFonts w:hint="eastAsia" w:ascii="宋体" w:hAnsi="宋体" w:eastAsia="宋体" w:cs="宋体"/>
                <w:color w:val="auto"/>
              </w:rPr>
              <w:t>按照《关于推进全流程电子化交易和在线监管工作有关问题的通知》（许公管办〔2019〕3号）规定：</w:t>
            </w:r>
          </w:p>
          <w:p w14:paraId="2B89D108">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不同</w:t>
            </w:r>
            <w:r>
              <w:rPr>
                <w:rFonts w:hint="eastAsia" w:ascii="宋体" w:hAnsi="宋体" w:eastAsia="宋体" w:cs="宋体"/>
                <w:color w:val="auto"/>
                <w:lang w:val="en-US" w:eastAsia="zh-CN"/>
              </w:rPr>
              <w:t>投标人</w:t>
            </w:r>
            <w:r>
              <w:rPr>
                <w:rFonts w:hint="eastAsia" w:ascii="宋体" w:hAnsi="宋体" w:eastAsia="宋体" w:cs="宋体"/>
                <w:color w:val="auto"/>
              </w:rPr>
              <w:t>电子投标文件制作硬件特征码（网卡MAC地址、CPU序号、硬盘序列号）均一致时，视为‘不同投标人的投标文件由同一单位或者个人编制’或‘不同投标人委托同一单位或者个人办理投标事宜’，其投标无效。</w:t>
            </w:r>
          </w:p>
          <w:p w14:paraId="2B89D109">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评审专家应严格按照要求查看“硬件特征码” 相关信息并进行评审，在评审报告中显示“不同投标人电子投标文件制作硬件特征码”是否雷同的分析及判定结果。</w:t>
            </w:r>
          </w:p>
          <w:p w14:paraId="2B89D10A">
            <w:pPr>
              <w:pStyle w:val="6"/>
              <w:keepNext w:val="0"/>
              <w:keepLines w:val="0"/>
              <w:pageBreakBefore w:val="0"/>
              <w:widowControl w:val="0"/>
              <w:kinsoku/>
              <w:overflowPunct/>
              <w:topLinePunct w:val="0"/>
              <w:bidi w:val="0"/>
              <w:snapToGrid/>
              <w:spacing w:after="0" w:line="460" w:lineRule="exact"/>
              <w:textAlignment w:val="auto"/>
              <w:rPr>
                <w:rFonts w:hint="eastAsia" w:ascii="宋体" w:hAnsi="宋体" w:eastAsia="宋体" w:cs="宋体"/>
                <w:color w:val="auto"/>
                <w:lang w:val="zh-CN"/>
              </w:rPr>
            </w:pPr>
            <w:r>
              <w:rPr>
                <w:rFonts w:hint="eastAsia" w:ascii="宋体" w:hAnsi="宋体" w:eastAsia="宋体" w:cs="宋体"/>
                <w:color w:val="auto"/>
                <w:lang w:eastAsia="zh-CN"/>
              </w:rPr>
              <w:t>2.</w:t>
            </w:r>
            <w:r>
              <w:rPr>
                <w:rFonts w:hint="eastAsia" w:ascii="宋体" w:hAnsi="宋体" w:eastAsia="宋体" w:cs="宋体"/>
                <w:color w:val="auto"/>
                <w:lang w:val="zh-CN"/>
              </w:rPr>
              <w:t>项目编号以本项目招标文件</w:t>
            </w:r>
            <w:r>
              <w:rPr>
                <w:rFonts w:hint="eastAsia" w:ascii="宋体" w:hAnsi="宋体" w:eastAsia="宋体" w:cs="宋体"/>
                <w:color w:val="auto"/>
                <w:lang w:val="en-US" w:eastAsia="zh-CN"/>
              </w:rPr>
              <w:t>采购</w:t>
            </w:r>
            <w:r>
              <w:rPr>
                <w:rFonts w:hint="eastAsia" w:ascii="宋体" w:hAnsi="宋体" w:eastAsia="宋体" w:cs="宋体"/>
                <w:color w:val="auto"/>
                <w:lang w:val="zh-CN"/>
              </w:rPr>
              <w:t>编号为准。</w:t>
            </w:r>
          </w:p>
          <w:p w14:paraId="2B89D10B">
            <w:pPr>
              <w:pStyle w:val="6"/>
              <w:keepNext w:val="0"/>
              <w:keepLines w:val="0"/>
              <w:pageBreakBefore w:val="0"/>
              <w:widowControl w:val="0"/>
              <w:kinsoku/>
              <w:overflowPunct/>
              <w:topLinePunct w:val="0"/>
              <w:bidi w:val="0"/>
              <w:snapToGrid/>
              <w:spacing w:after="0" w:line="460" w:lineRule="exact"/>
              <w:textAlignment w:val="auto"/>
              <w:rPr>
                <w:rFonts w:hint="eastAsia" w:ascii="宋体" w:hAnsi="宋体" w:eastAsia="宋体" w:cs="宋体"/>
                <w:color w:val="auto"/>
                <w:lang w:val="zh-CN"/>
              </w:rPr>
            </w:pPr>
            <w:r>
              <w:rPr>
                <w:rFonts w:hint="eastAsia" w:ascii="宋体" w:hAnsi="宋体" w:eastAsia="宋体" w:cs="宋体"/>
                <w:color w:val="auto"/>
                <w:lang w:eastAsia="zh-CN"/>
              </w:rPr>
              <w:t>3.</w:t>
            </w:r>
            <w:r>
              <w:rPr>
                <w:rFonts w:hint="eastAsia" w:ascii="宋体" w:hAnsi="宋体" w:eastAsia="宋体" w:cs="宋体"/>
                <w:color w:val="auto"/>
                <w:lang w:val="zh-CN"/>
              </w:rPr>
              <w:t>投标文件格式的先后顺序不作为废标项。</w:t>
            </w:r>
          </w:p>
        </w:tc>
      </w:tr>
      <w:tr w14:paraId="2B89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10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37</w:t>
            </w:r>
          </w:p>
        </w:tc>
        <w:tc>
          <w:tcPr>
            <w:tcW w:w="2268" w:type="dxa"/>
            <w:vAlign w:val="center"/>
          </w:tcPr>
          <w:p w14:paraId="2B89D10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资格核验</w:t>
            </w:r>
          </w:p>
        </w:tc>
        <w:tc>
          <w:tcPr>
            <w:tcW w:w="6813" w:type="dxa"/>
            <w:vAlign w:val="center"/>
          </w:tcPr>
          <w:p w14:paraId="2B89D10F">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rPr>
            </w:pPr>
            <w:r>
              <w:rPr>
                <w:rFonts w:hint="eastAsia" w:ascii="宋体" w:hAnsi="宋体" w:eastAsia="宋体" w:cs="宋体"/>
                <w:color w:val="auto"/>
                <w:lang w:val="en-US" w:eastAsia="zh-CN"/>
              </w:rPr>
              <w:t>投标人</w:t>
            </w:r>
            <w:r>
              <w:rPr>
                <w:rFonts w:hint="eastAsia" w:ascii="宋体" w:hAnsi="宋体" w:eastAsia="宋体" w:cs="宋体"/>
                <w:color w:val="auto"/>
              </w:rPr>
              <w:t>在</w:t>
            </w:r>
            <w:r>
              <w:rPr>
                <w:rFonts w:hint="eastAsia" w:ascii="宋体" w:hAnsi="宋体" w:eastAsia="宋体" w:cs="宋体"/>
                <w:color w:val="auto"/>
                <w:lang w:val="en-US" w:eastAsia="zh-CN"/>
              </w:rPr>
              <w:t>中标</w:t>
            </w:r>
            <w:r>
              <w:rPr>
                <w:rFonts w:hint="eastAsia" w:ascii="宋体" w:hAnsi="宋体" w:eastAsia="宋体" w:cs="宋体"/>
                <w:color w:val="auto"/>
              </w:rPr>
              <w:t>后，应将由《禹州市政府采购供应商信用承诺函》替代的证明材料提交采购人核验，经核验无误后，采购人发出</w:t>
            </w:r>
            <w:r>
              <w:rPr>
                <w:rFonts w:hint="eastAsia" w:ascii="宋体" w:hAnsi="宋体" w:eastAsia="宋体" w:cs="宋体"/>
                <w:color w:val="auto"/>
                <w:lang w:val="en-US" w:eastAsia="zh-CN"/>
              </w:rPr>
              <w:t>中标</w:t>
            </w:r>
            <w:r>
              <w:rPr>
                <w:rFonts w:hint="eastAsia" w:ascii="宋体" w:hAnsi="宋体" w:eastAsia="宋体" w:cs="宋体"/>
                <w:color w:val="auto"/>
              </w:rPr>
              <w:t>通知书。</w:t>
            </w:r>
          </w:p>
          <w:p w14:paraId="2B89D110">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一、法人或者其他组织的营业执照等证明文件，自然人的身份证明</w:t>
            </w:r>
          </w:p>
          <w:p w14:paraId="2B89D111">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1.企业法人营业执照或营业执照。（企业提供）</w:t>
            </w:r>
          </w:p>
          <w:p w14:paraId="2B89D112">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2.事业单位法人证书。（事业单位提供）</w:t>
            </w:r>
          </w:p>
          <w:p w14:paraId="2B89D113">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3.执业许可证。（非企业专业服务机构提供）</w:t>
            </w:r>
          </w:p>
          <w:p w14:paraId="2B89D114">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4.个体工商户营业执照。（个体工商户提供）</w:t>
            </w:r>
          </w:p>
          <w:p w14:paraId="2B89D115">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5.自然人身份证明。（自然人提供）</w:t>
            </w:r>
          </w:p>
          <w:p w14:paraId="2B89D116">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6.民办非企业单位登记证书。（民办非企业单位提供）</w:t>
            </w:r>
          </w:p>
          <w:p w14:paraId="2B89D117">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二、财务状况报告相关材料</w:t>
            </w:r>
          </w:p>
          <w:p w14:paraId="2B89D118">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投标人</w:t>
            </w:r>
            <w:r>
              <w:rPr>
                <w:rFonts w:hint="eastAsia" w:ascii="宋体" w:hAnsi="宋体" w:eastAsia="宋体" w:cs="宋体"/>
                <w:color w:val="auto"/>
              </w:rPr>
              <w:t>是法人（法人包括企业法人、机关法人、事业单位法人和社会团体法人），提供本单位：</w:t>
            </w:r>
          </w:p>
          <w:p w14:paraId="2B89D119">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①</w:t>
            </w:r>
            <w:r>
              <w:rPr>
                <w:rFonts w:hint="eastAsia" w:ascii="宋体" w:hAnsi="宋体" w:eastAsia="宋体" w:cs="宋体"/>
                <w:color w:val="auto"/>
                <w:szCs w:val="21"/>
              </w:rPr>
              <w:t>202</w:t>
            </w:r>
            <w:r>
              <w:rPr>
                <w:rFonts w:hint="eastAsia" w:ascii="宋体" w:hAnsi="宋体" w:eastAsia="宋体" w:cs="宋体"/>
                <w:color w:val="auto"/>
                <w:szCs w:val="21"/>
                <w:lang w:val="en-US" w:eastAsia="zh-CN"/>
              </w:rPr>
              <w:t>5</w:t>
            </w:r>
            <w:r>
              <w:rPr>
                <w:rFonts w:hint="eastAsia" w:ascii="宋体" w:hAnsi="宋体" w:eastAsia="宋体" w:cs="宋体"/>
                <w:color w:val="auto"/>
                <w:szCs w:val="21"/>
              </w:rPr>
              <w:t>年度</w:t>
            </w:r>
            <w:r>
              <w:rPr>
                <w:rFonts w:hint="eastAsia" w:ascii="宋体" w:hAnsi="宋体" w:eastAsia="宋体" w:cs="宋体"/>
                <w:color w:val="auto"/>
              </w:rPr>
              <w:t>经审计的财务报告</w:t>
            </w:r>
            <w:r>
              <w:rPr>
                <w:rFonts w:hint="eastAsia" w:ascii="宋体" w:hAnsi="宋体" w:eastAsia="宋体" w:cs="宋体"/>
                <w:color w:val="auto"/>
                <w:lang w:eastAsia="zh-CN"/>
              </w:rPr>
              <w:t>，包括资产负债表、利润表、现金流量表、所有者权益变动表及其附注；</w:t>
            </w:r>
          </w:p>
          <w:p w14:paraId="2B89D11A">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②基本开户银行出具的资信证明；</w:t>
            </w:r>
          </w:p>
          <w:p w14:paraId="2B89D11B">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③财政部门认可的政府采购专业担保机构的证明文件和担保机构出具的投标担保函。</w:t>
            </w:r>
          </w:p>
          <w:p w14:paraId="2B89D11C">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lang w:val="zh-CN"/>
              </w:rPr>
              <w:t>注：仅需提供序号</w:t>
            </w:r>
            <w:r>
              <w:rPr>
                <w:rFonts w:hint="eastAsia" w:ascii="宋体" w:hAnsi="宋体" w:eastAsia="宋体" w:cs="宋体"/>
                <w:color w:val="auto"/>
              </w:rPr>
              <w:t>①～③其中之一即可。</w:t>
            </w:r>
          </w:p>
          <w:p w14:paraId="2B89D11D">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en-US" w:eastAsia="zh-CN"/>
              </w:rPr>
              <w:t>投标人</w:t>
            </w:r>
            <w:r>
              <w:rPr>
                <w:rFonts w:hint="eastAsia" w:ascii="宋体" w:hAnsi="宋体" w:eastAsia="宋体" w:cs="宋体"/>
                <w:color w:val="auto"/>
              </w:rPr>
              <w:t>（其他组织和自然人）提供本单位：</w:t>
            </w:r>
          </w:p>
          <w:p w14:paraId="5E8875E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rPr>
              <w:t>①</w:t>
            </w:r>
            <w:r>
              <w:rPr>
                <w:rFonts w:hint="eastAsia" w:ascii="宋体" w:hAnsi="宋体" w:eastAsia="宋体" w:cs="宋体"/>
                <w:color w:val="auto"/>
                <w:szCs w:val="21"/>
              </w:rPr>
              <w:t>202</w:t>
            </w:r>
            <w:r>
              <w:rPr>
                <w:rFonts w:hint="eastAsia" w:ascii="宋体" w:hAnsi="宋体" w:eastAsia="宋体" w:cs="宋体"/>
                <w:color w:val="auto"/>
                <w:szCs w:val="21"/>
                <w:lang w:val="en-US" w:eastAsia="zh-CN"/>
              </w:rPr>
              <w:t>5</w:t>
            </w:r>
            <w:r>
              <w:rPr>
                <w:rFonts w:hint="eastAsia" w:ascii="宋体" w:hAnsi="宋体" w:eastAsia="宋体" w:cs="宋体"/>
                <w:color w:val="auto"/>
                <w:szCs w:val="21"/>
              </w:rPr>
              <w:t>年度</w:t>
            </w:r>
            <w:r>
              <w:rPr>
                <w:rFonts w:hint="eastAsia" w:ascii="宋体" w:hAnsi="宋体" w:eastAsia="宋体" w:cs="宋体"/>
                <w:color w:val="auto"/>
              </w:rPr>
              <w:t>经审计的财务报告</w:t>
            </w:r>
            <w:r>
              <w:rPr>
                <w:rFonts w:hint="eastAsia" w:ascii="宋体" w:hAnsi="宋体" w:eastAsia="宋体" w:cs="宋体"/>
                <w:color w:val="auto"/>
                <w:lang w:eastAsia="zh-CN"/>
              </w:rPr>
              <w:t>，包括资产负债表、利润表、现金流量表、所有者权益变动表及其附注；</w:t>
            </w:r>
          </w:p>
          <w:p w14:paraId="2B89D11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②银行出具的资信证明；</w:t>
            </w:r>
          </w:p>
          <w:p w14:paraId="2B89D120">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③财政部门认可的政府采购专业担保机构的证明文件和担保机构出具的投标担保函。</w:t>
            </w:r>
          </w:p>
          <w:p w14:paraId="2B89D121">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注：仅需提供序号</w:t>
            </w:r>
            <w:r>
              <w:rPr>
                <w:rFonts w:hint="eastAsia" w:ascii="宋体" w:hAnsi="宋体" w:eastAsia="宋体" w:cs="宋体"/>
                <w:color w:val="auto"/>
              </w:rPr>
              <w:t>①～③其中之一即可。</w:t>
            </w:r>
          </w:p>
          <w:p w14:paraId="2B89D122">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rPr>
              <w:t>三、依法缴纳税收相关材料</w:t>
            </w:r>
          </w:p>
          <w:p w14:paraId="2B89D123">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参加本次政府采购项目</w:t>
            </w:r>
            <w:r>
              <w:rPr>
                <w:rFonts w:hint="eastAsia" w:ascii="宋体" w:hAnsi="宋体" w:eastAsia="宋体" w:cs="宋体"/>
                <w:color w:val="auto"/>
                <w:lang w:val="en-US" w:eastAsia="zh-CN"/>
              </w:rPr>
              <w:t>投标</w:t>
            </w:r>
            <w:r>
              <w:rPr>
                <w:rFonts w:hint="eastAsia" w:ascii="宋体" w:hAnsi="宋体" w:eastAsia="宋体" w:cs="宋体"/>
                <w:color w:val="auto"/>
                <w:lang w:val="zh-CN"/>
              </w:rPr>
              <w:t>截止时间前一年内任意一个月缴纳税收凭据。（依法免税的</w:t>
            </w:r>
            <w:r>
              <w:rPr>
                <w:rFonts w:hint="eastAsia" w:ascii="宋体" w:hAnsi="宋体" w:eastAsia="宋体" w:cs="宋体"/>
                <w:color w:val="auto"/>
                <w:lang w:val="en-US" w:eastAsia="zh-CN"/>
              </w:rPr>
              <w:t>投标人</w:t>
            </w:r>
            <w:r>
              <w:rPr>
                <w:rFonts w:hint="eastAsia" w:ascii="宋体" w:hAnsi="宋体" w:eastAsia="宋体" w:cs="宋体"/>
                <w:color w:val="auto"/>
                <w:lang w:val="zh-CN"/>
              </w:rPr>
              <w:t>，应提供相应文件证明依法免税）</w:t>
            </w:r>
          </w:p>
          <w:p w14:paraId="2B89D124">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四、依法缴纳社会保障资金的证明材料</w:t>
            </w:r>
          </w:p>
          <w:p w14:paraId="2B89D125">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参加本次政府采购项目</w:t>
            </w:r>
            <w:r>
              <w:rPr>
                <w:rFonts w:hint="eastAsia" w:ascii="宋体" w:hAnsi="宋体" w:eastAsia="宋体" w:cs="宋体"/>
                <w:color w:val="auto"/>
                <w:lang w:val="en-US" w:eastAsia="zh-CN"/>
              </w:rPr>
              <w:t>投标</w:t>
            </w:r>
            <w:r>
              <w:rPr>
                <w:rFonts w:hint="eastAsia" w:ascii="宋体" w:hAnsi="宋体" w:eastAsia="宋体" w:cs="宋体"/>
                <w:color w:val="auto"/>
                <w:lang w:val="zh-CN"/>
              </w:rPr>
              <w:t>截止时间前一年内月内任意一个月缴纳社会保险凭据。（依法不需要缴纳社会保障资金的</w:t>
            </w:r>
            <w:r>
              <w:rPr>
                <w:rFonts w:hint="eastAsia" w:ascii="宋体" w:hAnsi="宋体" w:eastAsia="宋体" w:cs="宋体"/>
                <w:color w:val="auto"/>
                <w:lang w:val="en-US" w:eastAsia="zh-CN"/>
              </w:rPr>
              <w:t>投标人</w:t>
            </w:r>
            <w:r>
              <w:rPr>
                <w:rFonts w:hint="eastAsia" w:ascii="宋体" w:hAnsi="宋体" w:eastAsia="宋体" w:cs="宋体"/>
                <w:color w:val="auto"/>
                <w:lang w:val="zh-CN"/>
              </w:rPr>
              <w:t>，应提供相应文件证明依法不需要缴纳社会保障资金）</w:t>
            </w:r>
          </w:p>
          <w:p w14:paraId="2B89D126">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五、履行合同所必需的设备和专业技术能力的证明材料</w:t>
            </w:r>
          </w:p>
          <w:p w14:paraId="2B89D127">
            <w:pPr>
              <w:keepNext w:val="0"/>
              <w:keepLines w:val="0"/>
              <w:pageBreakBefore w:val="0"/>
              <w:widowControl w:val="0"/>
              <w:kinsoku/>
              <w:overflowPunct/>
              <w:topLinePunct w:val="0"/>
              <w:autoSpaceDE w:val="0"/>
              <w:autoSpaceDN w:val="0"/>
              <w:bidi w:val="0"/>
              <w:adjustRightInd w:val="0"/>
              <w:snapToGrid/>
              <w:spacing w:line="460" w:lineRule="exact"/>
              <w:jc w:val="left"/>
              <w:textAlignment w:val="auto"/>
              <w:rPr>
                <w:rFonts w:hint="eastAsia" w:ascii="宋体" w:hAnsi="宋体" w:eastAsia="宋体" w:cs="宋体"/>
                <w:color w:val="auto"/>
                <w:lang w:val="zh-CN"/>
              </w:rPr>
            </w:pPr>
            <w:r>
              <w:rPr>
                <w:rFonts w:hint="eastAsia" w:ascii="宋体" w:hAnsi="宋体" w:eastAsia="宋体" w:cs="宋体"/>
                <w:color w:val="auto"/>
                <w:lang w:val="zh-CN"/>
              </w:rPr>
              <w:t>①相关设备的购置发票、专业技术人员职称证书、用工合同等；</w:t>
            </w:r>
          </w:p>
          <w:p w14:paraId="2B89D128">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②</w:t>
            </w:r>
            <w:r>
              <w:rPr>
                <w:rFonts w:hint="eastAsia" w:ascii="宋体" w:hAnsi="宋体" w:eastAsia="宋体" w:cs="宋体"/>
                <w:color w:val="auto"/>
                <w:lang w:val="en-US" w:eastAsia="zh-CN"/>
              </w:rPr>
              <w:t>投标人</w:t>
            </w:r>
            <w:r>
              <w:rPr>
                <w:rFonts w:hint="eastAsia" w:ascii="宋体" w:hAnsi="宋体" w:eastAsia="宋体" w:cs="宋体"/>
                <w:color w:val="auto"/>
              </w:rPr>
              <w:t>具备履行合同所必需的设备和专业技术能力承诺函或声明（承诺函或声明格式自拟）。</w:t>
            </w:r>
          </w:p>
          <w:p w14:paraId="2B89D129">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rPr>
            </w:pPr>
            <w:r>
              <w:rPr>
                <w:rFonts w:hint="eastAsia" w:ascii="宋体" w:hAnsi="宋体" w:eastAsia="宋体" w:cs="宋体"/>
                <w:color w:val="auto"/>
                <w:lang w:val="zh-CN"/>
              </w:rPr>
              <w:t>注：仅需提供序号</w:t>
            </w:r>
            <w:r>
              <w:rPr>
                <w:rFonts w:hint="eastAsia" w:ascii="宋体" w:hAnsi="宋体" w:eastAsia="宋体" w:cs="宋体"/>
                <w:color w:val="auto"/>
              </w:rPr>
              <w:t>①～②其中之一即可。</w:t>
            </w:r>
          </w:p>
          <w:p w14:paraId="2B89D12A">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rPr>
              <w:t>六、</w:t>
            </w:r>
            <w:r>
              <w:rPr>
                <w:rFonts w:hint="eastAsia" w:ascii="宋体" w:hAnsi="宋体" w:eastAsia="宋体" w:cs="宋体"/>
                <w:color w:val="auto"/>
                <w:lang w:val="zh-CN"/>
              </w:rPr>
              <w:t>参加政府采购活动前3年内在经营活动中没有重大违法记录的声明</w:t>
            </w:r>
          </w:p>
          <w:p w14:paraId="2B89D12B">
            <w:pPr>
              <w:keepNext w:val="0"/>
              <w:keepLines w:val="0"/>
              <w:pageBreakBefore w:val="0"/>
              <w:widowControl w:val="0"/>
              <w:kinsoku/>
              <w:overflowPunct/>
              <w:topLinePunct w:val="0"/>
              <w:autoSpaceDE w:val="0"/>
              <w:autoSpaceDN w:val="0"/>
              <w:bidi w:val="0"/>
              <w:snapToGrid/>
              <w:spacing w:line="460" w:lineRule="exact"/>
              <w:contextualSpacing/>
              <w:jc w:val="left"/>
              <w:textAlignment w:val="auto"/>
              <w:rPr>
                <w:rFonts w:hint="eastAsia" w:ascii="宋体" w:hAnsi="宋体" w:eastAsia="宋体" w:cs="宋体"/>
                <w:color w:val="auto"/>
                <w:lang w:val="zh-CN"/>
              </w:rPr>
            </w:pPr>
            <w:r>
              <w:rPr>
                <w:rFonts w:hint="eastAsia" w:ascii="宋体" w:hAnsi="宋体" w:eastAsia="宋体" w:cs="宋体"/>
                <w:color w:val="auto"/>
                <w:lang w:val="en-US" w:eastAsia="zh-CN"/>
              </w:rPr>
              <w:t>投标人</w:t>
            </w:r>
            <w:r>
              <w:rPr>
                <w:rFonts w:hint="eastAsia" w:ascii="宋体" w:hAnsi="宋体" w:eastAsia="宋体" w:cs="宋体"/>
                <w:color w:val="auto"/>
                <w:lang w:val="zh-CN"/>
              </w:rPr>
              <w:t>“参加政府采购活动前3年内在经营活动中没有重大违法记录的书面声明”。重大违法记录，是指</w:t>
            </w:r>
            <w:r>
              <w:rPr>
                <w:rFonts w:hint="eastAsia" w:ascii="宋体" w:hAnsi="宋体" w:eastAsia="宋体" w:cs="宋体"/>
                <w:color w:val="auto"/>
                <w:lang w:val="en-US" w:eastAsia="zh-CN"/>
              </w:rPr>
              <w:t>投标人</w:t>
            </w:r>
            <w:r>
              <w:rPr>
                <w:rFonts w:hint="eastAsia" w:ascii="宋体" w:hAnsi="宋体" w:eastAsia="宋体" w:cs="宋体"/>
                <w:color w:val="auto"/>
                <w:lang w:val="zh-CN"/>
              </w:rPr>
              <w:t>因违法经营受到刑事处罚或者责令停产停业、吊销许可证或者执照、较大数额罚款等行政处罚。</w:t>
            </w:r>
          </w:p>
          <w:p w14:paraId="2B89D12C">
            <w:pPr>
              <w:keepNext w:val="0"/>
              <w:keepLines w:val="0"/>
              <w:pageBreakBefore w:val="0"/>
              <w:widowControl w:val="0"/>
              <w:kinsoku/>
              <w:wordWrap w:val="0"/>
              <w:overflowPunct/>
              <w:topLinePunct w:val="0"/>
              <w:autoSpaceDE w:val="0"/>
              <w:autoSpaceDN w:val="0"/>
              <w:bidi w:val="0"/>
              <w:snapToGrid/>
              <w:spacing w:line="460" w:lineRule="exact"/>
              <w:contextualSpacing/>
              <w:jc w:val="left"/>
              <w:textAlignment w:val="auto"/>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lang w:val="zh-CN"/>
              </w:rPr>
              <w:t>七、</w:t>
            </w:r>
            <w:r>
              <w:rPr>
                <w:rFonts w:hint="eastAsia" w:ascii="宋体" w:hAnsi="宋体" w:eastAsia="宋体" w:cs="宋体"/>
                <w:color w:val="auto"/>
                <w:szCs w:val="21"/>
                <w:highlight w:val="none"/>
                <w:shd w:val="clear" w:color="auto" w:fill="FFFFFF"/>
              </w:rPr>
              <w:t>未被列入“信用中国”网站（www.creditchina.gov.cn）失信被执行人、重大税收违法失信主体的</w:t>
            </w:r>
            <w:r>
              <w:rPr>
                <w:rFonts w:hint="eastAsia" w:ascii="宋体" w:hAnsi="宋体" w:eastAsia="宋体" w:cs="宋体"/>
                <w:color w:val="auto"/>
                <w:szCs w:val="21"/>
                <w:highlight w:val="none"/>
                <w:shd w:val="clear" w:color="auto" w:fill="FFFFFF"/>
                <w:lang w:val="en-US" w:eastAsia="zh-CN"/>
              </w:rPr>
              <w:t>投标人</w:t>
            </w:r>
            <w:r>
              <w:rPr>
                <w:rFonts w:hint="eastAsia" w:ascii="宋体" w:hAnsi="宋体" w:eastAsia="宋体" w:cs="宋体"/>
                <w:color w:val="auto"/>
                <w:szCs w:val="21"/>
                <w:highlight w:val="none"/>
                <w:shd w:val="clear" w:color="auto" w:fill="FFFFFF"/>
              </w:rPr>
              <w:t>；“中国政府采购网”（www.ccgp.gov.cn）政府采购严重违法失信行为记录名单的</w:t>
            </w:r>
            <w:r>
              <w:rPr>
                <w:rFonts w:hint="eastAsia" w:ascii="宋体" w:hAnsi="宋体" w:eastAsia="宋体" w:cs="宋体"/>
                <w:color w:val="auto"/>
                <w:szCs w:val="21"/>
                <w:highlight w:val="none"/>
                <w:shd w:val="clear" w:color="auto" w:fill="FFFFFF"/>
                <w:lang w:val="en-US" w:eastAsia="zh-CN"/>
              </w:rPr>
              <w:t>投标人</w:t>
            </w:r>
            <w:r>
              <w:rPr>
                <w:rFonts w:hint="eastAsia" w:ascii="宋体" w:hAnsi="宋体" w:eastAsia="宋体" w:cs="宋体"/>
                <w:bCs/>
                <w:color w:val="auto"/>
                <w:szCs w:val="21"/>
                <w:highlight w:val="none"/>
                <w:lang w:val="zh-CN"/>
              </w:rPr>
              <w:t>；</w:t>
            </w:r>
            <w:r>
              <w:rPr>
                <w:rFonts w:hint="eastAsia" w:ascii="宋体" w:hAnsi="宋体" w:eastAsia="宋体" w:cs="宋体"/>
                <w:color w:val="auto"/>
                <w:szCs w:val="21"/>
                <w:highlight w:val="none"/>
                <w:shd w:val="clear" w:color="auto" w:fill="FFFFFF"/>
              </w:rPr>
              <w:t xml:space="preserve"> “中国社会组织政务服务平台”网站（https://chinanpo.mca.gov.cn）严重违法失信社会组织名单的</w:t>
            </w:r>
            <w:r>
              <w:rPr>
                <w:rFonts w:hint="eastAsia" w:ascii="宋体" w:hAnsi="宋体" w:eastAsia="宋体" w:cs="宋体"/>
                <w:color w:val="auto"/>
                <w:szCs w:val="21"/>
                <w:highlight w:val="none"/>
                <w:shd w:val="clear" w:color="auto" w:fill="FFFFFF"/>
                <w:lang w:val="en-US" w:eastAsia="zh-CN"/>
              </w:rPr>
              <w:t>投标人</w:t>
            </w:r>
            <w:r>
              <w:rPr>
                <w:rFonts w:hint="eastAsia" w:ascii="宋体" w:hAnsi="宋体" w:eastAsia="宋体" w:cs="宋体"/>
                <w:color w:val="auto"/>
                <w:szCs w:val="21"/>
                <w:highlight w:val="none"/>
                <w:shd w:val="clear" w:color="auto" w:fill="FFFFFF"/>
                <w:lang w:eastAsia="zh-CN"/>
              </w:rPr>
              <w:t>（以</w:t>
            </w:r>
            <w:r>
              <w:rPr>
                <w:rFonts w:hint="eastAsia" w:ascii="宋体" w:hAnsi="宋体" w:eastAsia="宋体" w:cs="宋体"/>
                <w:color w:val="auto"/>
                <w:kern w:val="0"/>
                <w:szCs w:val="21"/>
                <w:highlight w:val="none"/>
              </w:rPr>
              <w:t>联合体形式投标的，联合体成员存在不良信用记录，视同联合体存在不良信用记录）。</w:t>
            </w:r>
          </w:p>
          <w:p w14:paraId="2B89D12D">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lang w:eastAsia="zh-CN"/>
              </w:rPr>
              <w:t>1.</w:t>
            </w:r>
            <w:r>
              <w:rPr>
                <w:rFonts w:hint="eastAsia" w:ascii="宋体" w:hAnsi="宋体" w:eastAsia="宋体" w:cs="宋体"/>
                <w:color w:val="auto"/>
                <w:kern w:val="0"/>
                <w:szCs w:val="21"/>
              </w:rPr>
              <w:t>查询渠道：</w:t>
            </w:r>
          </w:p>
          <w:p w14:paraId="2B89D12E">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①“信用中国”网站（</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"http://www.creditchina.gov.cn" </w:instrText>
            </w:r>
            <w:r>
              <w:rPr>
                <w:rFonts w:hint="eastAsia" w:ascii="宋体" w:hAnsi="宋体" w:eastAsia="宋体" w:cs="宋体"/>
                <w:color w:val="auto"/>
              </w:rPr>
              <w:fldChar w:fldCharType="separate"/>
            </w:r>
            <w:r>
              <w:rPr>
                <w:rFonts w:hint="eastAsia" w:ascii="宋体" w:hAnsi="宋体" w:eastAsia="宋体" w:cs="宋体"/>
                <w:color w:val="auto"/>
                <w:kern w:val="0"/>
              </w:rPr>
              <w:t>www.creditchina.gov.cn</w:t>
            </w:r>
            <w:r>
              <w:rPr>
                <w:rFonts w:hint="eastAsia" w:ascii="宋体" w:hAnsi="宋体" w:eastAsia="宋体" w:cs="宋体"/>
                <w:color w:val="auto"/>
                <w:kern w:val="0"/>
              </w:rPr>
              <w:fldChar w:fldCharType="end"/>
            </w:r>
            <w:r>
              <w:rPr>
                <w:rFonts w:hint="eastAsia" w:ascii="宋体" w:hAnsi="宋体" w:eastAsia="宋体" w:cs="宋体"/>
                <w:color w:val="auto"/>
                <w:kern w:val="0"/>
                <w:szCs w:val="21"/>
              </w:rPr>
              <w:t>）</w:t>
            </w:r>
          </w:p>
          <w:p w14:paraId="2B89D12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②“中国政府采购网”（www.ccgp.gov.cn）</w:t>
            </w:r>
          </w:p>
          <w:p w14:paraId="5A5595FE">
            <w:pPr>
              <w:keepNext w:val="0"/>
              <w:keepLines w:val="0"/>
              <w:pageBreakBefore w:val="0"/>
              <w:widowControl w:val="0"/>
              <w:kinsoku/>
              <w:overflowPunct/>
              <w:topLinePunct w:val="0"/>
              <w:bidi w:val="0"/>
              <w:snapToGrid/>
              <w:spacing w:line="460" w:lineRule="exact"/>
              <w:textAlignment w:val="auto"/>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rPr>
              <w:t>③“中国社会组织政务服务平台”网站（https://chinanpo.mca.gov.cn）（仅查询社会组织）；</w:t>
            </w:r>
          </w:p>
        </w:tc>
      </w:tr>
      <w:tr w14:paraId="2B89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132">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38</w:t>
            </w:r>
          </w:p>
        </w:tc>
        <w:tc>
          <w:tcPr>
            <w:tcW w:w="2268" w:type="dxa"/>
            <w:vAlign w:val="center"/>
          </w:tcPr>
          <w:p w14:paraId="2B89D13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投诉渠道</w:t>
            </w:r>
          </w:p>
        </w:tc>
        <w:tc>
          <w:tcPr>
            <w:tcW w:w="6813" w:type="dxa"/>
            <w:vAlign w:val="center"/>
          </w:tcPr>
          <w:p w14:paraId="2B89D134">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投标人</w:t>
            </w:r>
            <w:r>
              <w:rPr>
                <w:rFonts w:hint="eastAsia" w:ascii="宋体" w:hAnsi="宋体" w:eastAsia="宋体" w:cs="宋体"/>
                <w:color w:val="auto"/>
                <w:kern w:val="0"/>
                <w:szCs w:val="21"/>
              </w:rPr>
              <w:t>在评标结果和中标结果公示期间， 按照《政府采购质疑和投诉办法》的有关规定，已质疑的</w:t>
            </w:r>
            <w:r>
              <w:rPr>
                <w:rFonts w:hint="eastAsia" w:ascii="宋体" w:hAnsi="宋体" w:eastAsia="宋体" w:cs="宋体"/>
                <w:color w:val="auto"/>
                <w:kern w:val="0"/>
                <w:szCs w:val="21"/>
                <w:lang w:val="en-US" w:eastAsia="zh-CN"/>
              </w:rPr>
              <w:t>投标人</w:t>
            </w:r>
            <w:r>
              <w:rPr>
                <w:rFonts w:hint="eastAsia" w:ascii="宋体" w:hAnsi="宋体" w:eastAsia="宋体" w:cs="宋体"/>
                <w:color w:val="auto"/>
                <w:kern w:val="0"/>
                <w:szCs w:val="21"/>
              </w:rPr>
              <w:t>可以依法向财政部门提起书面投诉。</w:t>
            </w:r>
          </w:p>
          <w:p w14:paraId="2B89D135">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受理部门：禹州市政府采购监督管理办公室</w:t>
            </w:r>
          </w:p>
          <w:p w14:paraId="2B89D136">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受理电话：0374-8112523   </w:t>
            </w:r>
          </w:p>
          <w:p w14:paraId="2B89D137">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电子邮箱：yzscgb8112523@163.com</w:t>
            </w:r>
          </w:p>
          <w:p w14:paraId="2B89D138">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通讯地址：禹州市行政北路2号禹州市财政局1305房间</w:t>
            </w:r>
          </w:p>
        </w:tc>
      </w:tr>
    </w:tbl>
    <w:p w14:paraId="638AE2F0">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1B50DB92">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25371391">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75DEEB39">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318ED574">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7C5F4F6A">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1DC07C58">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1A2EBA91">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5B30E2D2">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51F18219">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5055E59F">
      <w:pPr>
        <w:tabs>
          <w:tab w:val="left" w:pos="1260"/>
        </w:tabs>
        <w:autoSpaceDE w:val="0"/>
        <w:autoSpaceDN w:val="0"/>
        <w:adjustRightInd w:val="0"/>
        <w:spacing w:line="360" w:lineRule="auto"/>
        <w:contextualSpacing/>
        <w:jc w:val="both"/>
        <w:rPr>
          <w:rFonts w:hint="eastAsia" w:ascii="宋体" w:hAnsi="宋体" w:eastAsia="宋体" w:cs="宋体"/>
          <w:b/>
          <w:color w:val="auto"/>
          <w:kern w:val="0"/>
          <w:sz w:val="30"/>
          <w:szCs w:val="30"/>
        </w:rPr>
      </w:pPr>
    </w:p>
    <w:p w14:paraId="2B89D144">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第四章 投标人须知</w:t>
      </w:r>
    </w:p>
    <w:p w14:paraId="2B89D256">
      <w:pPr>
        <w:keepNext w:val="0"/>
        <w:keepLines w:val="0"/>
        <w:pageBreakBefore w:val="0"/>
        <w:widowControl w:val="0"/>
        <w:tabs>
          <w:tab w:val="left" w:pos="1260"/>
        </w:tabs>
        <w:kinsoku/>
        <w:overflowPunct/>
        <w:autoSpaceDE w:val="0"/>
        <w:autoSpaceDN w:val="0"/>
        <w:bidi w:val="0"/>
        <w:adjustRightInd w:val="0"/>
        <w:snapToGrid/>
        <w:spacing w:line="460" w:lineRule="exact"/>
        <w:contextualSpacing/>
        <w:jc w:val="center"/>
        <w:textAlignment w:val="auto"/>
        <w:rPr>
          <w:rFonts w:hint="eastAsia" w:ascii="宋体" w:hAnsi="宋体" w:eastAsia="宋体" w:cs="宋体"/>
          <w:b/>
          <w:color w:val="auto"/>
          <w:kern w:val="0"/>
          <w:szCs w:val="21"/>
        </w:rPr>
      </w:pPr>
      <w:r>
        <w:rPr>
          <w:rFonts w:hint="eastAsia" w:ascii="宋体" w:hAnsi="宋体" w:eastAsia="宋体" w:cs="宋体"/>
          <w:b/>
          <w:color w:val="auto"/>
          <w:kern w:val="0"/>
          <w:szCs w:val="21"/>
        </w:rPr>
        <w:t>一、概念释义</w:t>
      </w:r>
    </w:p>
    <w:p w14:paraId="333AC858">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w:t>
      </w:r>
      <w:r>
        <w:rPr>
          <w:rFonts w:hint="eastAsia" w:asciiTheme="minorEastAsia" w:hAnsiTheme="minorEastAsia" w:eastAsiaTheme="minorEastAsia" w:cstheme="minorEastAsia"/>
          <w:b/>
          <w:color w:val="auto"/>
          <w:kern w:val="0"/>
          <w:sz w:val="21"/>
          <w:szCs w:val="21"/>
          <w:highlight w:val="none"/>
        </w:rPr>
        <w:t>适用范围</w:t>
      </w:r>
    </w:p>
    <w:p w14:paraId="178C0161">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1.1本招标文件仅适用于本次“投标邀请”中所述采购项目。</w:t>
      </w:r>
    </w:p>
    <w:p w14:paraId="3001DC58">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1.2本招标文件解释权属于“投标邀请”所述的采购人。</w:t>
      </w:r>
    </w:p>
    <w:p w14:paraId="21ECE8B3">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w:t>
      </w:r>
      <w:r>
        <w:rPr>
          <w:rFonts w:hint="eastAsia" w:asciiTheme="minorEastAsia" w:hAnsiTheme="minorEastAsia" w:eastAsiaTheme="minorEastAsia" w:cstheme="minorEastAsia"/>
          <w:b/>
          <w:color w:val="auto"/>
          <w:kern w:val="0"/>
          <w:sz w:val="21"/>
          <w:szCs w:val="21"/>
          <w:highlight w:val="none"/>
        </w:rPr>
        <w:t>定义</w:t>
      </w:r>
    </w:p>
    <w:p w14:paraId="551E334A">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2.1</w:t>
      </w:r>
      <w:r>
        <w:rPr>
          <w:rFonts w:hint="eastAsia" w:asciiTheme="minorEastAsia" w:hAnsiTheme="minorEastAsia" w:eastAsiaTheme="minorEastAsia" w:cstheme="minorEastAsia"/>
          <w:color w:val="auto"/>
          <w:kern w:val="0"/>
          <w:sz w:val="21"/>
          <w:szCs w:val="21"/>
          <w:highlight w:val="none"/>
        </w:rPr>
        <w:t>“采购项目”：“投标人须知前附表”中所述的采购项目。</w:t>
      </w:r>
    </w:p>
    <w:p w14:paraId="3D0B8C37">
      <w:pPr>
        <w:pStyle w:val="29"/>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2.2</w:t>
      </w:r>
      <w:r>
        <w:rPr>
          <w:rFonts w:hint="eastAsia" w:asciiTheme="minorEastAsia" w:hAnsiTheme="minorEastAsia" w:eastAsiaTheme="minorEastAsia" w:cstheme="minorEastAsia"/>
          <w:color w:val="auto"/>
          <w:kern w:val="0"/>
          <w:sz w:val="21"/>
          <w:szCs w:val="21"/>
          <w:highlight w:val="none"/>
        </w:rPr>
        <w:t>“招标人”：“投标人须知前附表”中所述的组织本次招标的代理机构和采购人。</w:t>
      </w:r>
    </w:p>
    <w:p w14:paraId="3F2E3EFE">
      <w:pPr>
        <w:pStyle w:val="29"/>
        <w:keepNext w:val="0"/>
        <w:keepLines w:val="0"/>
        <w:pageBreakBefore w:val="0"/>
        <w:numPr>
          <w:ilvl w:val="1"/>
          <w:numId w:val="0"/>
        </w:numPr>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2.3</w:t>
      </w:r>
      <w:r>
        <w:rPr>
          <w:rFonts w:hint="eastAsia" w:asciiTheme="minorEastAsia" w:hAnsiTheme="minorEastAsia" w:eastAsiaTheme="minorEastAsia" w:cstheme="minorEastAsia"/>
          <w:color w:val="auto"/>
          <w:kern w:val="0"/>
          <w:sz w:val="21"/>
          <w:szCs w:val="21"/>
          <w:highlight w:val="none"/>
        </w:rPr>
        <w:t>“采购人”：是指依法进行政府采购的国家机关、事业单位、团体组织。采购人名称、地址、电话、联系人见“投标人须知前附表”。</w:t>
      </w:r>
    </w:p>
    <w:p w14:paraId="01E25A2F">
      <w:pPr>
        <w:pStyle w:val="29"/>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2.4</w:t>
      </w:r>
      <w:r>
        <w:rPr>
          <w:rFonts w:hint="eastAsia" w:asciiTheme="minorEastAsia" w:hAnsiTheme="minorEastAsia" w:eastAsiaTheme="minorEastAsia" w:cstheme="minorEastAsia"/>
          <w:color w:val="auto"/>
          <w:kern w:val="0"/>
          <w:sz w:val="21"/>
          <w:szCs w:val="21"/>
          <w:highlight w:val="none"/>
        </w:rPr>
        <w:t>“代理机构”：接受采购人委托，代理采购项目的采购代理机构。代理机构名称、地址、 电话、联系人见“投标人须知前附表”。</w:t>
      </w:r>
    </w:p>
    <w:p w14:paraId="62E770BE">
      <w:pPr>
        <w:pStyle w:val="29"/>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采购代理机构及其分支机构不得在所代理的采购项目中投标或者代理投标，不得为所代理的采购项目的投标人参加本项目提供投标咨询。</w:t>
      </w:r>
    </w:p>
    <w:p w14:paraId="315D36BA">
      <w:pPr>
        <w:pStyle w:val="29"/>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2.5</w:t>
      </w:r>
      <w:r>
        <w:rPr>
          <w:rFonts w:hint="eastAsia" w:asciiTheme="minorEastAsia" w:hAnsiTheme="minorEastAsia" w:eastAsiaTheme="minorEastAsia" w:cstheme="minorEastAsia"/>
          <w:color w:val="auto"/>
          <w:kern w:val="0"/>
          <w:sz w:val="21"/>
          <w:szCs w:val="21"/>
          <w:highlight w:val="none"/>
        </w:rPr>
        <w:t>“潜在投标人”指符合《中华人民共和国政府采购法》及相关法律法规和本招标文件的各项规定，且按照本项目招标公告及招标文件规定的方式获取招标文件的法人、其他组 织或者自然人。</w:t>
      </w:r>
    </w:p>
    <w:p w14:paraId="52ADACC7">
      <w:pPr>
        <w:pStyle w:val="29"/>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2.6</w:t>
      </w:r>
      <w:r>
        <w:rPr>
          <w:rFonts w:hint="eastAsia" w:asciiTheme="minorEastAsia" w:hAnsiTheme="minorEastAsia" w:eastAsiaTheme="minorEastAsia" w:cstheme="minorEastAsia"/>
          <w:color w:val="auto"/>
          <w:kern w:val="0"/>
          <w:sz w:val="21"/>
          <w:szCs w:val="21"/>
          <w:highlight w:val="none"/>
        </w:rPr>
        <w:t>“投标人”：是指符合《中华人民共和国政府采购法》及相关法律法规和本招标文件的各项规定，响应招标、参加投标竞争，从招标人处按规定获取招标文件，并按照招标文</w:t>
      </w:r>
      <w:r>
        <w:rPr>
          <w:rFonts w:hint="eastAsia" w:asciiTheme="minorEastAsia" w:hAnsiTheme="minorEastAsia" w:eastAsiaTheme="minorEastAsia" w:cstheme="minorEastAsia"/>
          <w:color w:val="auto"/>
          <w:kern w:val="0"/>
          <w:sz w:val="21"/>
          <w:szCs w:val="21"/>
          <w:highlight w:val="none"/>
          <w:lang w:val="en-US" w:eastAsia="zh-CN" w:bidi="ar-SA"/>
        </w:rPr>
        <w:t>件要求向招标人提交投标文件的法人、其他组织或者自然人。</w:t>
      </w:r>
    </w:p>
    <w:p w14:paraId="5A0358D8">
      <w:pPr>
        <w:pStyle w:val="29"/>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2.7“进口产品”：是指通过中国海关报关验放进入中国境内且产自关境外的产品，包括已经进入中国境内的进口产品。详见《政府采购进口产品管理办法》（财库〔2007〕119号）、《关于政府采购进口产品管理有关问题的通知》（财办库〔2008〕248 号）。</w:t>
      </w:r>
    </w:p>
    <w:p w14:paraId="72504C52">
      <w:pPr>
        <w:pStyle w:val="29"/>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2.7.1招标文件列明不允许或未列明允许进口产品参加投标的，均视为拒绝进口产品参加投标。</w:t>
      </w:r>
    </w:p>
    <w:p w14:paraId="2FCE0A6B">
      <w:pPr>
        <w:pStyle w:val="29"/>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2.7.2如招标文件中已说明，经财政部门审核同意，允许部分或全部产品采购进口产品，投标人既可提供本国产品，也可以提供进口产品。</w:t>
      </w:r>
    </w:p>
    <w:p w14:paraId="0F0D4518">
      <w:pPr>
        <w:pStyle w:val="29"/>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2.8 招标文件中凡标有“★”的条款均系实质性要求条款。</w:t>
      </w:r>
    </w:p>
    <w:p w14:paraId="6F16A3DA">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3.</w:t>
      </w:r>
      <w:r>
        <w:rPr>
          <w:rFonts w:hint="eastAsia" w:asciiTheme="minorEastAsia" w:hAnsiTheme="minorEastAsia" w:eastAsiaTheme="minorEastAsia" w:cstheme="minorEastAsia"/>
          <w:b/>
          <w:color w:val="auto"/>
          <w:kern w:val="0"/>
          <w:sz w:val="21"/>
          <w:szCs w:val="21"/>
          <w:highlight w:val="none"/>
        </w:rPr>
        <w:t>合格的投标人</w:t>
      </w:r>
    </w:p>
    <w:p w14:paraId="1E08FA9A">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3.1 </w:t>
      </w:r>
      <w:r>
        <w:rPr>
          <w:rFonts w:hint="eastAsia" w:asciiTheme="minorEastAsia" w:hAnsiTheme="minorEastAsia" w:eastAsiaTheme="minorEastAsia" w:cstheme="minorEastAsia"/>
          <w:color w:val="auto"/>
          <w:kern w:val="0"/>
          <w:sz w:val="21"/>
          <w:szCs w:val="21"/>
          <w:highlight w:val="none"/>
        </w:rPr>
        <w:t>在中华人民共和国境内注册，具有本项目生产、制造、供应或实施能力，符合、承认并承诺履行本招标文件各项规定的法人、其他组织或者自然人。</w:t>
      </w:r>
    </w:p>
    <w:p w14:paraId="740BD663">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3.2 </w:t>
      </w:r>
      <w:r>
        <w:rPr>
          <w:rFonts w:hint="eastAsia" w:asciiTheme="minorEastAsia" w:hAnsiTheme="minorEastAsia" w:eastAsiaTheme="minorEastAsia" w:cstheme="minorEastAsia"/>
          <w:color w:val="auto"/>
          <w:kern w:val="0"/>
          <w:sz w:val="21"/>
          <w:szCs w:val="21"/>
          <w:highlight w:val="none"/>
        </w:rPr>
        <w:t>符合本项目“投标邀请”和“投标人须知前附表”中规定的合格投标人所必须具备的条件。</w:t>
      </w:r>
    </w:p>
    <w:p w14:paraId="56D6472D">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3.3 </w:t>
      </w:r>
      <w:r>
        <w:rPr>
          <w:rFonts w:hint="eastAsia" w:asciiTheme="minorEastAsia" w:hAnsiTheme="minorEastAsia" w:eastAsiaTheme="minorEastAsia" w:cstheme="minorEastAsia"/>
          <w:color w:val="auto"/>
          <w:sz w:val="21"/>
          <w:szCs w:val="21"/>
          <w:highlight w:val="none"/>
        </w:rPr>
        <w:t>按照财政部《</w:t>
      </w:r>
      <w:r>
        <w:rPr>
          <w:rFonts w:hint="eastAsia" w:asciiTheme="minorEastAsia" w:hAnsiTheme="minorEastAsia" w:eastAsiaTheme="minorEastAsia" w:cstheme="minorEastAsia"/>
          <w:bCs/>
          <w:color w:val="auto"/>
          <w:sz w:val="21"/>
          <w:szCs w:val="21"/>
          <w:highlight w:val="none"/>
        </w:rPr>
        <w:t>关于在政府采购活动中查询及使用信用记录有关问题的通知</w:t>
      </w:r>
      <w:r>
        <w:rPr>
          <w:rFonts w:hint="eastAsia" w:asciiTheme="minorEastAsia" w:hAnsiTheme="minorEastAsia" w:eastAsiaTheme="minorEastAsia" w:cstheme="minorEastAsia"/>
          <w:color w:val="auto"/>
          <w:sz w:val="21"/>
          <w:szCs w:val="21"/>
          <w:highlight w:val="none"/>
        </w:rPr>
        <w:t>》（财库</w:t>
      </w:r>
      <w:r>
        <w:rPr>
          <w:rFonts w:hint="eastAsia" w:asciiTheme="minorEastAsia" w:hAnsiTheme="minorEastAsia" w:eastAsiaTheme="minorEastAsia" w:cstheme="minorEastAsia"/>
          <w:bCs/>
          <w:color w:val="auto"/>
          <w:sz w:val="21"/>
          <w:szCs w:val="21"/>
          <w:highlight w:val="none"/>
        </w:rPr>
        <w:t>〔2016〕</w:t>
      </w:r>
      <w:r>
        <w:rPr>
          <w:rFonts w:hint="eastAsia" w:asciiTheme="minorEastAsia" w:hAnsiTheme="minorEastAsia" w:eastAsiaTheme="minorEastAsia" w:cstheme="minorEastAsia"/>
          <w:color w:val="auto"/>
          <w:sz w:val="21"/>
          <w:szCs w:val="21"/>
          <w:highlight w:val="none"/>
        </w:rPr>
        <w:t>125号）要求，</w:t>
      </w:r>
      <w:r>
        <w:rPr>
          <w:rFonts w:hint="eastAsia" w:asciiTheme="minorEastAsia" w:hAnsiTheme="minorEastAsia" w:eastAsiaTheme="minorEastAsia" w:cstheme="minorEastAsia"/>
          <w:color w:val="auto"/>
          <w:kern w:val="0"/>
          <w:sz w:val="21"/>
          <w:szCs w:val="21"/>
          <w:highlight w:val="none"/>
        </w:rPr>
        <w:t>政府采购活动中查询及使用投标人信用记录的具体要求为：投标人未被列入失信被执行人、重大税收违法失信主体、</w:t>
      </w:r>
      <w:r>
        <w:rPr>
          <w:rFonts w:hint="eastAsia" w:asciiTheme="minorEastAsia" w:hAnsiTheme="minorEastAsia" w:eastAsiaTheme="minorEastAsia" w:cstheme="minorEastAsia"/>
          <w:color w:val="auto"/>
          <w:sz w:val="21"/>
          <w:szCs w:val="21"/>
          <w:highlight w:val="none"/>
          <w:shd w:val="clear" w:color="auto" w:fill="FFFFFF"/>
        </w:rPr>
        <w:t>政府采购严重违法失信行为记录名单、</w:t>
      </w:r>
      <w:r>
        <w:rPr>
          <w:rFonts w:hint="eastAsia" w:asciiTheme="minorEastAsia" w:hAnsiTheme="minorEastAsia" w:eastAsiaTheme="minorEastAsia" w:cstheme="minorEastAsia"/>
          <w:color w:val="auto"/>
          <w:kern w:val="0"/>
          <w:sz w:val="21"/>
          <w:szCs w:val="21"/>
          <w:highlight w:val="none"/>
        </w:rPr>
        <w:t>严重违法失信社会组织名单（联合体形式投标的，联合体成员存在不良信用记录，视同联合体存在不良信用记录）。</w:t>
      </w:r>
    </w:p>
    <w:p w14:paraId="78EEE819">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查询渠道：“信用中国”网站（www.creditchina.gov.cn）、“中国政府采购网”（www.ccgp.gov.cn）、“中国社会组织政务服务平台”网站（</w:t>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"http://www.chinanpo.gov.cn" </w:instrText>
      </w:r>
      <w:r>
        <w:rPr>
          <w:rFonts w:hint="eastAsia" w:asciiTheme="minorEastAsia" w:hAnsiTheme="minorEastAsia" w:eastAsiaTheme="minorEastAsia" w:cstheme="minorEastAsia"/>
          <w:color w:val="auto"/>
          <w:sz w:val="21"/>
          <w:szCs w:val="21"/>
          <w:highlight w:val="none"/>
        </w:rPr>
        <w:fldChar w:fldCharType="separate"/>
      </w:r>
      <w:r>
        <w:rPr>
          <w:rStyle w:val="21"/>
          <w:rFonts w:hint="eastAsia" w:asciiTheme="minorEastAsia" w:hAnsiTheme="minorEastAsia" w:eastAsiaTheme="minorEastAsia" w:cstheme="minorEastAsia"/>
          <w:color w:val="auto"/>
          <w:kern w:val="0"/>
          <w:sz w:val="21"/>
          <w:szCs w:val="21"/>
          <w:highlight w:val="none"/>
        </w:rPr>
        <w:t>https://chinanpo.mca.gov.cn</w:t>
      </w:r>
      <w:r>
        <w:rPr>
          <w:rStyle w:val="21"/>
          <w:rFonts w:hint="eastAsia" w:asciiTheme="minorEastAsia" w:hAnsiTheme="minorEastAsia" w:eastAsiaTheme="minorEastAsia" w:cstheme="minorEastAsia"/>
          <w:color w:val="auto"/>
          <w:kern w:val="0"/>
          <w:sz w:val="21"/>
          <w:szCs w:val="21"/>
          <w:highlight w:val="none"/>
        </w:rPr>
        <w:fldChar w:fldCharType="end"/>
      </w:r>
      <w:r>
        <w:rPr>
          <w:rFonts w:hint="eastAsia" w:asciiTheme="minorEastAsia" w:hAnsiTheme="minorEastAsia" w:eastAsiaTheme="minorEastAsia" w:cstheme="minorEastAsia"/>
          <w:color w:val="auto"/>
          <w:kern w:val="0"/>
          <w:sz w:val="21"/>
          <w:szCs w:val="21"/>
          <w:highlight w:val="none"/>
        </w:rPr>
        <w:t>）；</w:t>
      </w:r>
    </w:p>
    <w:p w14:paraId="4D94B6D5">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3.4</w:t>
      </w:r>
      <w:r>
        <w:rPr>
          <w:rFonts w:hint="eastAsia" w:asciiTheme="minorEastAsia" w:hAnsiTheme="minorEastAsia" w:eastAsiaTheme="minorEastAsia" w:cstheme="minorEastAsia"/>
          <w:color w:val="auto"/>
          <w:kern w:val="0"/>
          <w:sz w:val="21"/>
          <w:szCs w:val="21"/>
          <w:highlight w:val="none"/>
        </w:rPr>
        <w:t>信用信息的使用原则：经采购人认定的被列入失信被执行人、</w:t>
      </w:r>
      <w:r>
        <w:rPr>
          <w:rFonts w:hint="eastAsia" w:asciiTheme="minorEastAsia" w:hAnsiTheme="minorEastAsia" w:eastAsiaTheme="minorEastAsia" w:cstheme="minorEastAsia"/>
          <w:color w:val="auto"/>
          <w:kern w:val="0"/>
          <w:sz w:val="21"/>
          <w:szCs w:val="21"/>
          <w:highlight w:val="none"/>
          <w:lang w:val="en-US" w:eastAsia="zh-CN"/>
        </w:rPr>
        <w:t>重大税收违法失信主体</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sz w:val="21"/>
          <w:szCs w:val="21"/>
          <w:highlight w:val="none"/>
          <w:shd w:val="clear" w:color="auto" w:fill="FFFFFF"/>
        </w:rPr>
        <w:t>政府采购严重违法失信行为记录名单的投标人、</w:t>
      </w:r>
      <w:r>
        <w:rPr>
          <w:rFonts w:hint="eastAsia" w:asciiTheme="minorEastAsia" w:hAnsiTheme="minorEastAsia" w:eastAsiaTheme="minorEastAsia" w:cstheme="minorEastAsia"/>
          <w:color w:val="auto"/>
          <w:kern w:val="0"/>
          <w:sz w:val="21"/>
          <w:szCs w:val="21"/>
          <w:highlight w:val="none"/>
        </w:rPr>
        <w:t>严重违法失信社会组织名单的社会组织，将拒绝其参与本次政府采购活动；</w:t>
      </w:r>
    </w:p>
    <w:p w14:paraId="2F1612A0">
      <w:pPr>
        <w:pStyle w:val="29"/>
        <w:keepNext w:val="0"/>
        <w:keepLines w:val="0"/>
        <w:pageBreakBefore w:val="0"/>
        <w:numPr>
          <w:ilvl w:val="0"/>
          <w:numId w:val="0"/>
        </w:numPr>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3.5 </w:t>
      </w:r>
      <w:r>
        <w:rPr>
          <w:rFonts w:hint="eastAsia" w:asciiTheme="minorEastAsia" w:hAnsiTheme="minorEastAsia" w:eastAsiaTheme="minorEastAsia" w:cstheme="minorEastAsia"/>
          <w:color w:val="auto"/>
          <w:kern w:val="0"/>
          <w:sz w:val="21"/>
          <w:szCs w:val="21"/>
          <w:highlight w:val="none"/>
        </w:rPr>
        <w:t>投标人无须提供</w:t>
      </w:r>
      <w:r>
        <w:rPr>
          <w:rFonts w:hint="eastAsia" w:asciiTheme="minorEastAsia" w:hAnsiTheme="minorEastAsia" w:eastAsiaTheme="minorEastAsia" w:cstheme="minorEastAsia"/>
          <w:bCs/>
          <w:color w:val="auto"/>
          <w:sz w:val="21"/>
          <w:szCs w:val="21"/>
          <w:highlight w:val="none"/>
        </w:rPr>
        <w:t>信用记录查询结果网页截屏。</w:t>
      </w:r>
      <w:r>
        <w:rPr>
          <w:rFonts w:hint="eastAsia" w:asciiTheme="minorEastAsia" w:hAnsiTheme="minorEastAsia" w:eastAsiaTheme="minorEastAsia" w:cstheme="minorEastAsia"/>
          <w:color w:val="auto"/>
          <w:kern w:val="0"/>
          <w:sz w:val="21"/>
          <w:szCs w:val="21"/>
          <w:highlight w:val="none"/>
        </w:rPr>
        <w:t>投标人不良信用记录以采购人查询结果为准，采购人查询之后，网站信息发生的任何变更不再作为评审依据，投标人自行提供的与网站信息不一致的其他证明材料亦不作为评审依据。</w:t>
      </w:r>
    </w:p>
    <w:p w14:paraId="388E2886">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3.6 单位负责人为同一人或者存在直接控股、管理关系的不同供应商，不得同时参加本项目投标。违反规定的，相关投标均无效。</w:t>
      </w:r>
    </w:p>
    <w:p w14:paraId="04C4B3BA">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3.7为采购项目提供整体设计、规范编制或者项目管理、监理、检测等服务的供应商，不得再参加该采购项目的其他采购活动。</w:t>
      </w:r>
    </w:p>
    <w:p w14:paraId="2F5FE957">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3.8“投标邀请”和“投标人须知前附表”规定接受联合体投标的，除应符合本章第3.1项和3.2项要求外，还应遵守以下规定：</w:t>
      </w:r>
    </w:p>
    <w:p w14:paraId="18DD4731">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3.9</w:t>
      </w:r>
      <w:r>
        <w:rPr>
          <w:rFonts w:hint="eastAsia" w:asciiTheme="minorEastAsia" w:hAnsiTheme="minorEastAsia" w:eastAsiaTheme="minorEastAsia" w:cstheme="minorEastAsia"/>
          <w:color w:val="auto"/>
          <w:kern w:val="0"/>
          <w:sz w:val="21"/>
          <w:szCs w:val="21"/>
          <w:highlight w:val="none"/>
        </w:rPr>
        <w:t>在投标文件中向采购人提交联合体协议书，明确联合体各方承担的工作和义务；</w:t>
      </w:r>
    </w:p>
    <w:p w14:paraId="38B21F29">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3.10 </w:t>
      </w:r>
      <w:r>
        <w:rPr>
          <w:rFonts w:hint="eastAsia" w:asciiTheme="minorEastAsia" w:hAnsiTheme="minorEastAsia" w:eastAsiaTheme="minorEastAsia" w:cstheme="minorEastAsia"/>
          <w:color w:val="auto"/>
          <w:kern w:val="0"/>
          <w:sz w:val="21"/>
          <w:szCs w:val="21"/>
          <w:highlight w:val="none"/>
        </w:rPr>
        <w:t>联合体中有同类资质的供应商按联合体分工承担相同工作的，应当按照资质等级较低的供应商确定资质等级；</w:t>
      </w:r>
    </w:p>
    <w:p w14:paraId="46C1D59A">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3.11 </w:t>
      </w:r>
      <w:r>
        <w:rPr>
          <w:rFonts w:hint="eastAsia" w:asciiTheme="minorEastAsia" w:hAnsiTheme="minorEastAsia" w:eastAsiaTheme="minorEastAsia" w:cstheme="minorEastAsia"/>
          <w:color w:val="auto"/>
          <w:kern w:val="0"/>
          <w:sz w:val="21"/>
          <w:szCs w:val="21"/>
          <w:highlight w:val="none"/>
        </w:rPr>
        <w:t>招标人根据采购项目的特殊要求规定投标人特定条件的，联合体各方中至少应当有一方符合采购规定的特定条件。</w:t>
      </w:r>
    </w:p>
    <w:p w14:paraId="3E4E1F9E">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3.12 </w:t>
      </w:r>
      <w:r>
        <w:rPr>
          <w:rFonts w:hint="eastAsia" w:asciiTheme="minorEastAsia" w:hAnsiTheme="minorEastAsia" w:eastAsiaTheme="minorEastAsia" w:cstheme="minorEastAsia"/>
          <w:color w:val="auto"/>
          <w:kern w:val="0"/>
          <w:sz w:val="21"/>
          <w:szCs w:val="21"/>
          <w:highlight w:val="none"/>
        </w:rPr>
        <w:t>联合体各方不得再单独参加或者与其他供应商另外组成联合体参加同一合同项下的政府采购活动。</w:t>
      </w:r>
    </w:p>
    <w:p w14:paraId="0B2803E0">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3.13 </w:t>
      </w:r>
      <w:r>
        <w:rPr>
          <w:rFonts w:hint="eastAsia" w:asciiTheme="minorEastAsia" w:hAnsiTheme="minorEastAsia" w:eastAsiaTheme="minorEastAsia" w:cstheme="minorEastAsia"/>
          <w:color w:val="auto"/>
          <w:kern w:val="0"/>
          <w:sz w:val="21"/>
          <w:szCs w:val="21"/>
          <w:highlight w:val="none"/>
        </w:rPr>
        <w:t>联合体各方应当共同与采购人签订采购合同，就采购合同约定的事项对采购人</w:t>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"https://baike.baidu.com/item/%E6%89%BF%E6%8B%85%E8%BF%9E%E5%B8%A6%E8%B4%A3%E4%BB%BB" \t "_blank"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kern w:val="0"/>
          <w:sz w:val="21"/>
          <w:szCs w:val="21"/>
          <w:highlight w:val="none"/>
        </w:rPr>
        <w:t>承担连带责任</w:t>
      </w:r>
      <w:r>
        <w:rPr>
          <w:rFonts w:hint="eastAsia" w:asciiTheme="minorEastAsia" w:hAnsiTheme="minorEastAsia" w:eastAsiaTheme="minorEastAsia" w:cstheme="minorEastAsia"/>
          <w:color w:val="auto"/>
          <w:kern w:val="0"/>
          <w:sz w:val="21"/>
          <w:szCs w:val="21"/>
          <w:highlight w:val="none"/>
        </w:rPr>
        <w:fldChar w:fldCharType="end"/>
      </w:r>
      <w:r>
        <w:rPr>
          <w:rFonts w:hint="eastAsia" w:asciiTheme="minorEastAsia" w:hAnsiTheme="minorEastAsia" w:eastAsiaTheme="minorEastAsia" w:cstheme="minorEastAsia"/>
          <w:color w:val="auto"/>
          <w:kern w:val="0"/>
          <w:sz w:val="21"/>
          <w:szCs w:val="21"/>
          <w:highlight w:val="none"/>
        </w:rPr>
        <w:t>。</w:t>
      </w:r>
    </w:p>
    <w:p w14:paraId="6B7D564D">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3.14 </w:t>
      </w:r>
      <w:r>
        <w:rPr>
          <w:rFonts w:hint="eastAsia" w:asciiTheme="minorEastAsia" w:hAnsiTheme="minorEastAsia" w:eastAsiaTheme="minorEastAsia" w:cstheme="minorEastAsia"/>
          <w:color w:val="auto"/>
          <w:kern w:val="0"/>
          <w:sz w:val="21"/>
          <w:szCs w:val="21"/>
          <w:highlight w:val="none"/>
        </w:rPr>
        <w:t>法律、行政法规规定的其他条件。</w:t>
      </w:r>
    </w:p>
    <w:p w14:paraId="5FCDBADB">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4.</w:t>
      </w:r>
      <w:r>
        <w:rPr>
          <w:rFonts w:hint="eastAsia" w:asciiTheme="minorEastAsia" w:hAnsiTheme="minorEastAsia" w:eastAsiaTheme="minorEastAsia" w:cstheme="minorEastAsia"/>
          <w:b/>
          <w:color w:val="auto"/>
          <w:kern w:val="0"/>
          <w:sz w:val="21"/>
          <w:szCs w:val="21"/>
          <w:highlight w:val="none"/>
        </w:rPr>
        <w:t>合格的货物和服务</w:t>
      </w:r>
    </w:p>
    <w:p w14:paraId="7B7D4CF1">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4.1 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7A7FC023">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4.2 投标人所提供的服务应当没有侵犯任何第三方的知识产权、技术秘密等合法权利。</w:t>
      </w:r>
    </w:p>
    <w:p w14:paraId="471693E2">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4.3 根据《财政部、发展改革委、生态环境部、市场监管总局关于调整优化节能产品、环境 标志产品政府采购执行机制的通知》（财库〔2019〕9号）要求，采购属于政府强制采 </w:t>
      </w:r>
    </w:p>
    <w:p w14:paraId="77D17533">
      <w:pPr>
        <w:pStyle w:val="29"/>
        <w:keepNext w:val="0"/>
        <w:keepLines w:val="0"/>
        <w:pageBreakBefore w:val="0"/>
        <w:numPr>
          <w:ilvl w:val="0"/>
          <w:numId w:val="0"/>
        </w:numPr>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购产品的，该产品必须具有国家确定的认证机构出具的、处于有效期之内的节能产品认证证书，否则其投标将被拒绝。</w:t>
      </w:r>
    </w:p>
    <w:p w14:paraId="3BF8E2FF">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w:t>
      </w:r>
      <w:r>
        <w:rPr>
          <w:rFonts w:hint="eastAsia" w:asciiTheme="minorEastAsia" w:hAnsiTheme="minorEastAsia" w:eastAsiaTheme="minorEastAsia" w:cstheme="minorEastAsia"/>
          <w:color w:val="auto"/>
          <w:kern w:val="0"/>
          <w:sz w:val="21"/>
          <w:szCs w:val="21"/>
          <w:highlight w:val="none"/>
          <w:lang w:val="zh-CN" w:eastAsia="zh-CN"/>
        </w:rPr>
        <w:t>.</w:t>
      </w:r>
      <w:r>
        <w:rPr>
          <w:rFonts w:hint="eastAsia" w:asciiTheme="minorEastAsia" w:hAnsiTheme="minorEastAsia" w:eastAsiaTheme="minorEastAsia" w:cstheme="minorEastAsia"/>
          <w:color w:val="auto"/>
          <w:kern w:val="0"/>
          <w:sz w:val="21"/>
          <w:szCs w:val="21"/>
          <w:highlight w:val="none"/>
          <w:lang w:val="en-US" w:eastAsia="zh-CN"/>
        </w:rPr>
        <w:t>4 根据国家互联网信息办公室、工业和信息化部、公安部和国家认证认可监督管理委员会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号《关于调整网络安全专用产品安全管理有关事项的公告》等相关文件要求，项目中涉及网络关键设备或网络安全专用产品的，至少符合以下条件之一：一是已 由具备资格的机构安全认证合格或安全检测符合要求；二是已获得《计算机信息系统安全专用产品销售许可证》，且在有效期内。</w:t>
      </w:r>
    </w:p>
    <w:p w14:paraId="69A57640">
      <w:pPr>
        <w:pStyle w:val="29"/>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bidi="ar-SA"/>
        </w:rPr>
        <w:t>5.</w:t>
      </w:r>
      <w:r>
        <w:rPr>
          <w:rFonts w:hint="eastAsia" w:asciiTheme="minorEastAsia" w:hAnsiTheme="minorEastAsia" w:eastAsiaTheme="minorEastAsia" w:cstheme="minorEastAsia"/>
          <w:b/>
          <w:color w:val="auto"/>
          <w:kern w:val="0"/>
          <w:sz w:val="21"/>
          <w:szCs w:val="21"/>
          <w:highlight w:val="none"/>
        </w:rPr>
        <w:t>投</w:t>
      </w:r>
      <w:r>
        <w:rPr>
          <w:rFonts w:hint="eastAsia" w:asciiTheme="minorEastAsia" w:hAnsiTheme="minorEastAsia" w:eastAsiaTheme="minorEastAsia" w:cstheme="minorEastAsia"/>
          <w:b/>
          <w:bCs/>
          <w:color w:val="auto"/>
          <w:kern w:val="0"/>
          <w:sz w:val="21"/>
          <w:szCs w:val="21"/>
          <w:highlight w:val="none"/>
          <w:lang w:val="en-US" w:eastAsia="zh-CN"/>
        </w:rPr>
        <w:t>标费用</w:t>
      </w:r>
    </w:p>
    <w:p w14:paraId="6FF4D369">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不论投标的结果如何，投标人均应自行承担所有与投标有关的全部费用，招标人在任何情况下均无义务和责任承担这些费用。</w:t>
      </w:r>
    </w:p>
    <w:p w14:paraId="0CCB1905">
      <w:pPr>
        <w:pStyle w:val="29"/>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bidi="ar-SA"/>
        </w:rPr>
        <w:t>6.</w:t>
      </w:r>
      <w:r>
        <w:rPr>
          <w:rFonts w:hint="eastAsia" w:asciiTheme="minorEastAsia" w:hAnsiTheme="minorEastAsia" w:eastAsiaTheme="minorEastAsia" w:cstheme="minorEastAsia"/>
          <w:b/>
          <w:color w:val="auto"/>
          <w:kern w:val="0"/>
          <w:sz w:val="21"/>
          <w:szCs w:val="21"/>
          <w:highlight w:val="none"/>
        </w:rPr>
        <w:t>信息发</w:t>
      </w:r>
      <w:r>
        <w:rPr>
          <w:rFonts w:hint="eastAsia" w:asciiTheme="minorEastAsia" w:hAnsiTheme="minorEastAsia" w:eastAsiaTheme="minorEastAsia" w:cstheme="minorEastAsia"/>
          <w:b/>
          <w:color w:val="auto"/>
          <w:kern w:val="0"/>
          <w:sz w:val="21"/>
          <w:szCs w:val="21"/>
          <w:highlight w:val="none"/>
          <w:lang w:val="en-US" w:eastAsia="zh-CN"/>
        </w:rPr>
        <w:t>布</w:t>
      </w:r>
    </w:p>
    <w:p w14:paraId="73582FAA">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本采购项目需要公开的有关信息，包括招标公告、招标文件澄清或修改公告、中标公告以及延长投标截止时间等与招标活动有关的通知，招标人均将通过《河南省政府采购网》《许昌市政府采购网》《全国公共资源交易平台（河南省·许昌市）》公开发布。投标人在参与本采购项目招投标活动期间，请及时关注以上媒体上的相关信息，投标人因没有及时关注而未能如期获取相关信息，以及因此所产生的一切后果和责任，由投标人自行承担，招标人在任何情况下均不对此承担任何责任。</w:t>
      </w:r>
    </w:p>
    <w:p w14:paraId="275D88F2">
      <w:pPr>
        <w:pStyle w:val="29"/>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bidi="ar-SA"/>
        </w:rPr>
        <w:t>7.</w:t>
      </w:r>
      <w:r>
        <w:rPr>
          <w:rFonts w:hint="eastAsia" w:asciiTheme="minorEastAsia" w:hAnsiTheme="minorEastAsia" w:eastAsiaTheme="minorEastAsia" w:cstheme="minorEastAsia"/>
          <w:b/>
          <w:color w:val="auto"/>
          <w:kern w:val="0"/>
          <w:sz w:val="21"/>
          <w:szCs w:val="21"/>
          <w:highlight w:val="none"/>
        </w:rPr>
        <w:t>采购代理机构代理费用收取标准和方式</w:t>
      </w:r>
    </w:p>
    <w:p w14:paraId="4D0CEECE">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本项目收取代理费用。招标代理服务费由中标人支付，按照豫招协〔2023〕002《河南省招标代理服务收费指导意见》收取，由中标单位在领取中标通知书时</w:t>
      </w:r>
      <w:r>
        <w:rPr>
          <w:rFonts w:hint="eastAsia" w:asciiTheme="minorEastAsia" w:hAnsiTheme="minorEastAsia" w:cstheme="minorEastAsia"/>
          <w:color w:val="auto"/>
          <w:kern w:val="0"/>
          <w:sz w:val="21"/>
          <w:szCs w:val="21"/>
          <w:highlight w:val="none"/>
          <w:lang w:val="en-US" w:eastAsia="zh-CN"/>
        </w:rPr>
        <w:t>一次性支付</w:t>
      </w:r>
      <w:r>
        <w:rPr>
          <w:rFonts w:hint="eastAsia" w:asciiTheme="minorEastAsia" w:hAnsiTheme="minorEastAsia" w:eastAsiaTheme="minorEastAsia" w:cstheme="minorEastAsia"/>
          <w:color w:val="auto"/>
          <w:kern w:val="0"/>
          <w:sz w:val="21"/>
          <w:szCs w:val="21"/>
          <w:highlight w:val="none"/>
          <w:lang w:val="en-US" w:eastAsia="zh-CN"/>
        </w:rPr>
        <w:t>代理机构。</w:t>
      </w:r>
    </w:p>
    <w:p w14:paraId="639DBB16">
      <w:pPr>
        <w:pStyle w:val="29"/>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bidi="ar-SA"/>
        </w:rPr>
        <w:t>8.</w:t>
      </w:r>
      <w:r>
        <w:rPr>
          <w:rFonts w:hint="eastAsia" w:asciiTheme="minorEastAsia" w:hAnsiTheme="minorEastAsia" w:eastAsiaTheme="minorEastAsia" w:cstheme="minorEastAsia"/>
          <w:b/>
          <w:color w:val="auto"/>
          <w:kern w:val="0"/>
          <w:sz w:val="21"/>
          <w:szCs w:val="21"/>
          <w:highlight w:val="none"/>
        </w:rPr>
        <w:t>其他</w:t>
      </w:r>
    </w:p>
    <w:p w14:paraId="35E3BBFB">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本“投标人须知”的条款如与“投标邀请”“项目需求”“投标人须知前附表”和“资格审查与评标”就同一内容的表述不一致的，以“投标邀请”“ 项目需求”、 “投标人须知前附表”和“资格审查与评标”中规定的内容为准。</w:t>
      </w:r>
    </w:p>
    <w:p w14:paraId="5B19BB3C">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二、招标文件说明</w:t>
      </w:r>
    </w:p>
    <w:p w14:paraId="152D1857">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9.</w:t>
      </w:r>
      <w:r>
        <w:rPr>
          <w:rFonts w:hint="eastAsia" w:asciiTheme="minorEastAsia" w:hAnsiTheme="minorEastAsia" w:eastAsiaTheme="minorEastAsia" w:cstheme="minorEastAsia"/>
          <w:b/>
          <w:color w:val="auto"/>
          <w:kern w:val="0"/>
          <w:sz w:val="21"/>
          <w:szCs w:val="21"/>
          <w:highlight w:val="none"/>
        </w:rPr>
        <w:t>招标文件构成</w:t>
      </w:r>
    </w:p>
    <w:p w14:paraId="1676EAD5">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9.1</w:t>
      </w:r>
      <w:r>
        <w:rPr>
          <w:rFonts w:hint="eastAsia" w:asciiTheme="minorEastAsia" w:hAnsiTheme="minorEastAsia" w:eastAsiaTheme="minorEastAsia" w:cstheme="minorEastAsia"/>
          <w:color w:val="auto"/>
          <w:kern w:val="0"/>
          <w:sz w:val="21"/>
          <w:szCs w:val="21"/>
          <w:highlight w:val="none"/>
        </w:rPr>
        <w:t>招标文件由以下部分组成：</w:t>
      </w:r>
    </w:p>
    <w:p w14:paraId="7E152778">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（1）投标邀请（招标公告）</w:t>
      </w:r>
    </w:p>
    <w:p w14:paraId="26B04D8A">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（2）项目需求</w:t>
      </w:r>
    </w:p>
    <w:p w14:paraId="3E4C53DC">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（3）投标人须知前附表</w:t>
      </w:r>
    </w:p>
    <w:p w14:paraId="0C56A719">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（4）投标人须知</w:t>
      </w:r>
    </w:p>
    <w:p w14:paraId="5BDBFD2F">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（5）政府采购政策功能</w:t>
      </w:r>
    </w:p>
    <w:p w14:paraId="0261544D">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（6）资格审查与评标</w:t>
      </w:r>
    </w:p>
    <w:p w14:paraId="1FDE073A">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（7）拟签订的合同文本</w:t>
      </w:r>
    </w:p>
    <w:p w14:paraId="0ED9A0CE">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（8）投标文件有关格式</w:t>
      </w:r>
    </w:p>
    <w:p w14:paraId="0D01F42D">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（9）本项目招标文件的澄清、答复、修改、补充内容（如有的话）</w:t>
      </w:r>
    </w:p>
    <w:p w14:paraId="1B053682">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9.2 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3C50B795">
      <w:pPr>
        <w:pStyle w:val="29"/>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9.3 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07346093">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10.</w:t>
      </w:r>
      <w:r>
        <w:rPr>
          <w:rFonts w:hint="eastAsia" w:asciiTheme="minorEastAsia" w:hAnsiTheme="minorEastAsia" w:eastAsiaTheme="minorEastAsia" w:cstheme="minorEastAsia"/>
          <w:b/>
          <w:color w:val="auto"/>
          <w:kern w:val="0"/>
          <w:sz w:val="21"/>
          <w:szCs w:val="21"/>
          <w:highlight w:val="none"/>
        </w:rPr>
        <w:t>现场考察、开标前答疑会</w:t>
      </w:r>
    </w:p>
    <w:p w14:paraId="4B1AE322">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10.1 </w:t>
      </w:r>
      <w:r>
        <w:rPr>
          <w:rFonts w:hint="eastAsia" w:asciiTheme="minorEastAsia" w:hAnsiTheme="minorEastAsia" w:eastAsiaTheme="minorEastAsia" w:cstheme="minorEastAsia"/>
          <w:color w:val="auto"/>
          <w:kern w:val="0"/>
          <w:sz w:val="21"/>
          <w:szCs w:val="21"/>
          <w:highlight w:val="none"/>
        </w:rPr>
        <w:t>招标人根据采购项目的具体情况，可以在招标文件公告期满后，组织已获取招标文件的潜在投标人现场考察或者召开开标前答疑会。</w:t>
      </w:r>
    </w:p>
    <w:p w14:paraId="129C9406">
      <w:pPr>
        <w:keepNext w:val="0"/>
        <w:keepLines w:val="0"/>
        <w:pageBreakBefore w:val="0"/>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4428D667">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10.2 招标人组织现场考察或者召开答疑会的，应当在招标文件中载明，或者在招标文件公告期满后在财政部门指定的政府采购信息发布媒体和《全国公共资源交易平台（河南省·许昌市）》发布更正公告。</w:t>
      </w:r>
    </w:p>
    <w:p w14:paraId="31D1EA42">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10.3 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0BE62F5B">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10.4 </w:t>
      </w:r>
      <w:r>
        <w:rPr>
          <w:rFonts w:hint="eastAsia" w:asciiTheme="minorEastAsia" w:hAnsiTheme="minorEastAsia" w:eastAsiaTheme="minorEastAsia" w:cstheme="minorEastAsia"/>
          <w:color w:val="auto"/>
          <w:kern w:val="0"/>
          <w:sz w:val="21"/>
          <w:szCs w:val="21"/>
          <w:highlight w:val="none"/>
        </w:rPr>
        <w:t>现场考察及参加开标前答疑会所发生的费用及一切责任由投标人自行承担。</w:t>
      </w:r>
    </w:p>
    <w:p w14:paraId="3E6327D1">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11.</w:t>
      </w:r>
      <w:r>
        <w:rPr>
          <w:rFonts w:hint="eastAsia" w:asciiTheme="minorEastAsia" w:hAnsiTheme="minorEastAsia" w:eastAsiaTheme="minorEastAsia" w:cstheme="minorEastAsia"/>
          <w:b/>
          <w:color w:val="auto"/>
          <w:kern w:val="0"/>
          <w:sz w:val="21"/>
          <w:szCs w:val="21"/>
          <w:highlight w:val="none"/>
        </w:rPr>
        <w:t>招标文件的澄清或修改</w:t>
      </w:r>
    </w:p>
    <w:p w14:paraId="0F4352BF">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11.1 在投标截止期前，无论出于何种原因，招标人可主动地或在解答潜在投标人提出的澄清问题时对招标文件进行修改。</w:t>
      </w:r>
    </w:p>
    <w:p w14:paraId="65DCFA25">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11.2 招标人可以对已发出的招标文件进行必要的澄清或者修改。澄清或者修改的内容可能影响投标文件编制的，招标人将在投标截止时间15日前，在财政部门指定的政府采购信息发布媒体和《全国公共资源交易平台（河南省·许昌市）》发布更正公告。</w:t>
      </w:r>
    </w:p>
    <w:p w14:paraId="3490A00F">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11.3 澄清或修改公告的内容为招标文件的组成部分，并对投标人具有约束力。当招标文件与澄清或修改公告就同一内容的表述不一致时，以最后发出的文件内容为准。</w:t>
      </w:r>
    </w:p>
    <w:p w14:paraId="14A7B34F">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11.4 如果澄清或者修改发出的时间距规定的投标截止时间不足15日，招标人将顺延提交投标文件的截止时间。</w:t>
      </w:r>
    </w:p>
    <w:p w14:paraId="1F457160">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三、投标文件的编制</w:t>
      </w:r>
    </w:p>
    <w:p w14:paraId="2D1D0A47">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12.</w:t>
      </w:r>
      <w:r>
        <w:rPr>
          <w:rFonts w:hint="eastAsia" w:asciiTheme="minorEastAsia" w:hAnsiTheme="minorEastAsia" w:eastAsiaTheme="minorEastAsia" w:cstheme="minorEastAsia"/>
          <w:b/>
          <w:color w:val="auto"/>
          <w:kern w:val="0"/>
          <w:sz w:val="21"/>
          <w:szCs w:val="21"/>
          <w:highlight w:val="none"/>
        </w:rPr>
        <w:t>投标的语言及计量单位</w:t>
      </w:r>
    </w:p>
    <w:p w14:paraId="54796A6A">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12.1 投标人提交的投标文件以及投标人与招标人就有关投标事宜的所有来往书面文件均应使用中文。除签名、盖章、专用名称等特殊情形外，以中文以外的文字表述的投标文件视同未提供。</w:t>
      </w:r>
    </w:p>
    <w:p w14:paraId="6F63361B">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12.2 投标计量单位，招标文件已有明确规定的，使用招标文件规定的计量单位；招标文件没有规定的，一律采用中华人民共和国法定计量单位。</w:t>
      </w:r>
    </w:p>
    <w:p w14:paraId="3F2FD9E6">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13.</w:t>
      </w:r>
      <w:r>
        <w:rPr>
          <w:rFonts w:hint="eastAsia" w:asciiTheme="minorEastAsia" w:hAnsiTheme="minorEastAsia" w:eastAsiaTheme="minorEastAsia" w:cstheme="minorEastAsia"/>
          <w:b/>
          <w:color w:val="auto"/>
          <w:kern w:val="0"/>
          <w:sz w:val="21"/>
          <w:szCs w:val="21"/>
          <w:highlight w:val="none"/>
        </w:rPr>
        <w:t>投标报价</w:t>
      </w:r>
    </w:p>
    <w:p w14:paraId="73507F90">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13.1 本次招标项目的投标均以人民币为计算单位。</w:t>
      </w:r>
    </w:p>
    <w:p w14:paraId="2FE1CBA5">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13.2 采购人不得向投标人索要或者接受其给予的赠品、回扣或者与采购无关的其他商品、服务。</w:t>
      </w:r>
    </w:p>
    <w:p w14:paraId="3FD498B2">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13.3 投标人应对项目要求的全部内容进行报价，少报漏报将导致其投标为非实质性响应予以拒绝。</w:t>
      </w:r>
    </w:p>
    <w:p w14:paraId="4EC8A76E">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13.4 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35612CD9">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13.5 本项目所涉及的运输、施工、安装、集成、调试、验收、备品和工具等费用均包含在投标报价中。</w:t>
      </w:r>
    </w:p>
    <w:p w14:paraId="3C5B952E">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13.6 本次招标不接受可选择或可调整的投标方案和报价，任何有选择的或可调整的投标方案和报价将被视为非实质性响应投标而作无效投标处理。</w:t>
      </w:r>
    </w:p>
    <w:p w14:paraId="10FFBA45">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13.7 报价不得高于本项目最高限价，且不低于成本价。本次招标实行“最高限价（项目控制金额上限）”，投标人的投标报价高于最高限价（项目控制金额上限）的，该投标人的投标文件将被视为非实质性响应予以拒绝。</w:t>
      </w:r>
    </w:p>
    <w:p w14:paraId="399D151A">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13.8 </w:t>
      </w:r>
      <w:r>
        <w:rPr>
          <w:rFonts w:hint="eastAsia" w:asciiTheme="minorEastAsia" w:hAnsiTheme="minorEastAsia" w:eastAsiaTheme="minorEastAsia" w:cstheme="minorEastAsia"/>
          <w:color w:val="auto"/>
          <w:kern w:val="0"/>
          <w:sz w:val="21"/>
          <w:szCs w:val="21"/>
          <w:highlight w:val="none"/>
        </w:rPr>
        <w:t>最低报价不能作为中标的保证。</w:t>
      </w:r>
    </w:p>
    <w:p w14:paraId="62863C94">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14.</w:t>
      </w:r>
      <w:r>
        <w:rPr>
          <w:rFonts w:hint="eastAsia" w:asciiTheme="minorEastAsia" w:hAnsiTheme="minorEastAsia" w:eastAsiaTheme="minorEastAsia" w:cstheme="minorEastAsia"/>
          <w:b/>
          <w:color w:val="auto"/>
          <w:kern w:val="0"/>
          <w:sz w:val="21"/>
          <w:szCs w:val="21"/>
          <w:highlight w:val="none"/>
        </w:rPr>
        <w:t>投标有效期</w:t>
      </w:r>
    </w:p>
    <w:p w14:paraId="768AFC75">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14.1 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6B0577C">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14.2 </w:t>
      </w:r>
      <w:r>
        <w:rPr>
          <w:rFonts w:hint="eastAsia" w:asciiTheme="minorEastAsia" w:hAnsiTheme="minorEastAsia" w:eastAsiaTheme="minorEastAsia" w:cstheme="minorEastAsia"/>
          <w:color w:val="auto"/>
          <w:kern w:val="0"/>
          <w:sz w:val="21"/>
          <w:szCs w:val="21"/>
          <w:highlight w:val="none"/>
        </w:rPr>
        <w:t>投标有效期内投标人撤销投标文件的，投标人将承担违背投标承诺函的责任追究。</w:t>
      </w:r>
    </w:p>
    <w:p w14:paraId="1B83BBFF">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14.3 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了的有效期内继续有效。同意延期的投标人在原投标有效期内应享之权利及应负之责任也相应延续。</w:t>
      </w:r>
    </w:p>
    <w:p w14:paraId="59E228BE">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14.4 中标人的投标文件作为项目合同的附件，其有效期至中标人全部合同义务履行完毕为止。</w:t>
      </w:r>
    </w:p>
    <w:p w14:paraId="2C3DBA1F">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15.</w:t>
      </w:r>
      <w:r>
        <w:rPr>
          <w:rFonts w:hint="eastAsia" w:asciiTheme="minorEastAsia" w:hAnsiTheme="minorEastAsia" w:eastAsiaTheme="minorEastAsia" w:cstheme="minorEastAsia"/>
          <w:b/>
          <w:color w:val="auto"/>
          <w:kern w:val="0"/>
          <w:sz w:val="21"/>
          <w:szCs w:val="21"/>
          <w:highlight w:val="none"/>
        </w:rPr>
        <w:t>投标文件构成</w:t>
      </w:r>
    </w:p>
    <w:p w14:paraId="22AC0954">
      <w:pPr>
        <w:pStyle w:val="29"/>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15.1 </w:t>
      </w:r>
      <w:r>
        <w:rPr>
          <w:rFonts w:hint="eastAsia" w:asciiTheme="minorEastAsia" w:hAnsiTheme="minorEastAsia" w:eastAsiaTheme="minorEastAsia" w:cstheme="minorEastAsia"/>
          <w:color w:val="auto"/>
          <w:kern w:val="0"/>
          <w:sz w:val="21"/>
          <w:szCs w:val="21"/>
          <w:highlight w:val="none"/>
        </w:rPr>
        <w:t>投标文件的构成应符合法律法规及招标文件的要求。</w:t>
      </w:r>
    </w:p>
    <w:p w14:paraId="62B1C443">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15.2 投标人应当按照招标文件的要求编制投标文件。投标文件应当对招标文件提出的要求和条件作出明确响应。</w:t>
      </w:r>
    </w:p>
    <w:p w14:paraId="175DCF46">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15.3 </w:t>
      </w:r>
      <w:r>
        <w:rPr>
          <w:rFonts w:hint="eastAsia" w:asciiTheme="minorEastAsia" w:hAnsiTheme="minorEastAsia" w:eastAsiaTheme="minorEastAsia" w:cstheme="minorEastAsia"/>
          <w:color w:val="auto"/>
          <w:kern w:val="0"/>
          <w:sz w:val="21"/>
          <w:szCs w:val="21"/>
          <w:highlight w:val="none"/>
        </w:rPr>
        <w:t>投标文件由资格证明材料、符合性证明材料、</w:t>
      </w:r>
      <w:r>
        <w:rPr>
          <w:rFonts w:hint="eastAsia" w:asciiTheme="minorEastAsia" w:hAnsiTheme="minorEastAsia" w:eastAsiaTheme="minorEastAsia" w:cstheme="minorEastAsia"/>
          <w:color w:val="auto"/>
          <w:kern w:val="0"/>
          <w:sz w:val="21"/>
          <w:szCs w:val="21"/>
          <w:highlight w:val="none"/>
          <w:lang w:eastAsia="zh-CN"/>
        </w:rPr>
        <w:t>其他</w:t>
      </w:r>
      <w:r>
        <w:rPr>
          <w:rFonts w:hint="eastAsia" w:asciiTheme="minorEastAsia" w:hAnsiTheme="minorEastAsia" w:eastAsiaTheme="minorEastAsia" w:cstheme="minorEastAsia"/>
          <w:color w:val="auto"/>
          <w:kern w:val="0"/>
          <w:sz w:val="21"/>
          <w:szCs w:val="21"/>
          <w:highlight w:val="none"/>
        </w:rPr>
        <w:t>材料等组成。</w:t>
      </w:r>
    </w:p>
    <w:p w14:paraId="6CF42D65">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15.4 投标人根据招标文件的规定和采购项目的实际情况，拟在中标后将中标项目的非主体、非关键性工作分包的，应当在投标文件中载明分包承担主体，分包承担主体应当具备相应资质条件且不得再次分包。</w:t>
      </w:r>
    </w:p>
    <w:p w14:paraId="2BB4FBFB">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15.5 投标人登录“全国公共资源交易平台（河南省·许昌市）”下载“新点投标文件制作软件（河南省版）”（在 “投标人”登录页面右下方“投标文件制作工具下载”）制作电子投标文件，按所投标段招标文件的要求制作电子投标文件。一个标段对应生成2份电子投标文件（后缀格式 为.XCSTF和.nXCSTF），其中后缀格式为“.XCSTF”的加密电子投标文件用于上传至交易 系统中投标，后缀格式为“.nXCSTF”的不加密电子投标文件用于查看投标文件内容或导出PDF格式投标文件。</w:t>
      </w:r>
    </w:p>
    <w:p w14:paraId="6CD73985">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Chars="0" w:right="0" w:rightChars="0" w:firstLine="420" w:firstLineChars="200"/>
        <w:jc w:val="both"/>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15.6 电子响应文件制作技术咨询：0374-2961598。</w:t>
      </w:r>
    </w:p>
    <w:p w14:paraId="40F98800">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16.</w:t>
      </w:r>
      <w:r>
        <w:rPr>
          <w:rFonts w:hint="eastAsia" w:asciiTheme="minorEastAsia" w:hAnsiTheme="minorEastAsia" w:eastAsiaTheme="minorEastAsia" w:cstheme="minorEastAsia"/>
          <w:b/>
          <w:color w:val="auto"/>
          <w:kern w:val="0"/>
          <w:sz w:val="21"/>
          <w:szCs w:val="21"/>
          <w:highlight w:val="none"/>
        </w:rPr>
        <w:t>投标文件格式</w:t>
      </w:r>
    </w:p>
    <w:p w14:paraId="71194DCC">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16.1 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14:paraId="07326492">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16.2 </w:t>
      </w:r>
      <w:r>
        <w:rPr>
          <w:rFonts w:hint="eastAsia" w:asciiTheme="minorEastAsia" w:hAnsiTheme="minorEastAsia" w:eastAsiaTheme="minorEastAsia" w:cstheme="minorEastAsia"/>
          <w:color w:val="auto"/>
          <w:kern w:val="0"/>
          <w:sz w:val="21"/>
          <w:szCs w:val="21"/>
          <w:highlight w:val="none"/>
        </w:rPr>
        <w:t>招标文件未提供标准格式的投标人可自行拟定。</w:t>
      </w:r>
    </w:p>
    <w:p w14:paraId="3D8904AB">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17.</w:t>
      </w:r>
      <w:r>
        <w:rPr>
          <w:rFonts w:hint="eastAsia" w:asciiTheme="minorEastAsia" w:hAnsiTheme="minorEastAsia" w:eastAsiaTheme="minorEastAsia" w:cstheme="minorEastAsia"/>
          <w:b/>
          <w:color w:val="auto"/>
          <w:kern w:val="0"/>
          <w:sz w:val="21"/>
          <w:szCs w:val="21"/>
          <w:highlight w:val="none"/>
        </w:rPr>
        <w:t>投标保证金</w:t>
      </w:r>
    </w:p>
    <w:p w14:paraId="0989D474">
      <w:pPr>
        <w:pStyle w:val="29"/>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17.1 </w:t>
      </w:r>
      <w:r>
        <w:rPr>
          <w:rFonts w:hint="eastAsia" w:asciiTheme="minorEastAsia" w:hAnsiTheme="minorEastAsia" w:eastAsiaTheme="minorEastAsia" w:cstheme="minorEastAsia"/>
          <w:color w:val="auto"/>
          <w:kern w:val="0"/>
          <w:sz w:val="21"/>
          <w:szCs w:val="21"/>
          <w:highlight w:val="none"/>
        </w:rPr>
        <w:t>本项目不收取投标保证金。</w:t>
      </w:r>
    </w:p>
    <w:p w14:paraId="5705B75A">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17.2 </w:t>
      </w:r>
      <w:r>
        <w:rPr>
          <w:rFonts w:hint="eastAsia" w:asciiTheme="minorEastAsia" w:hAnsiTheme="minorEastAsia" w:eastAsiaTheme="minorEastAsia" w:cstheme="minorEastAsia"/>
          <w:color w:val="auto"/>
          <w:kern w:val="0"/>
          <w:sz w:val="21"/>
          <w:szCs w:val="21"/>
          <w:highlight w:val="none"/>
        </w:rPr>
        <w:t>投标人应提供投标承诺函。</w:t>
      </w:r>
    </w:p>
    <w:p w14:paraId="6094E855">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18.</w:t>
      </w:r>
      <w:r>
        <w:rPr>
          <w:rFonts w:hint="eastAsia" w:asciiTheme="minorEastAsia" w:hAnsiTheme="minorEastAsia" w:eastAsiaTheme="minorEastAsia" w:cstheme="minorEastAsia"/>
          <w:b/>
          <w:color w:val="auto"/>
          <w:kern w:val="0"/>
          <w:sz w:val="21"/>
          <w:szCs w:val="21"/>
          <w:highlight w:val="none"/>
        </w:rPr>
        <w:t>投标文件的数量和签署盖章</w:t>
      </w:r>
    </w:p>
    <w:p w14:paraId="4CFD46CE">
      <w:pPr>
        <w:pStyle w:val="29"/>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18.1 </w:t>
      </w:r>
      <w:r>
        <w:rPr>
          <w:rFonts w:hint="eastAsia" w:asciiTheme="minorEastAsia" w:hAnsiTheme="minorEastAsia" w:eastAsiaTheme="minorEastAsia" w:cstheme="minorEastAsia"/>
          <w:color w:val="auto"/>
          <w:kern w:val="0"/>
          <w:sz w:val="21"/>
          <w:szCs w:val="21"/>
          <w:highlight w:val="none"/>
        </w:rPr>
        <w:t>投标人应提交投标文件份数见“投标人须知前附表”。</w:t>
      </w:r>
    </w:p>
    <w:p w14:paraId="2E918311">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18.2 在招标文件中已明示需盖章及签名之处，电子投标文件应按招标文件要求加盖投标人电子印章和法人电子印章或授权代表电子印章。</w:t>
      </w:r>
    </w:p>
    <w:p w14:paraId="52266F2C">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四、投标文件的提交</w:t>
      </w:r>
    </w:p>
    <w:p w14:paraId="19D0A2DA">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19.</w:t>
      </w:r>
      <w:r>
        <w:rPr>
          <w:rFonts w:hint="eastAsia" w:asciiTheme="minorEastAsia" w:hAnsiTheme="minorEastAsia" w:eastAsiaTheme="minorEastAsia" w:cstheme="minorEastAsia"/>
          <w:b/>
          <w:color w:val="auto"/>
          <w:kern w:val="0"/>
          <w:sz w:val="21"/>
          <w:szCs w:val="21"/>
          <w:highlight w:val="none"/>
        </w:rPr>
        <w:t>投标截止时间</w:t>
      </w:r>
    </w:p>
    <w:p w14:paraId="344C682E">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19.1 投标人必须在“投标邀请”和“投标人须知前附表”中规定的投标截止时间前，将加密电子投标文件（后缀格式为.XCSTF）通过《全国公共资源交易平台（河南省▪许昌市）》（https://ggzy.xuchang.gov.cn/）公共资源交易系统成功上传。</w:t>
      </w:r>
    </w:p>
    <w:p w14:paraId="477BEE46">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19.2 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18518F3C">
      <w:pPr>
        <w:pStyle w:val="29"/>
        <w:keepNext w:val="0"/>
        <w:keepLines w:val="0"/>
        <w:pageBreakBefore w:val="0"/>
        <w:numPr>
          <w:ilvl w:val="0"/>
          <w:numId w:val="0"/>
        </w:numPr>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rPr>
        <w:t>20.迟交的投标文件</w:t>
      </w:r>
    </w:p>
    <w:p w14:paraId="4CCA6446">
      <w:pPr>
        <w:pStyle w:val="29"/>
        <w:keepNext w:val="0"/>
        <w:keepLines w:val="0"/>
        <w:pageBreakBefore w:val="0"/>
        <w:numPr>
          <w:ilvl w:val="0"/>
          <w:numId w:val="0"/>
        </w:numPr>
        <w:kinsoku/>
        <w:overflowPunct/>
        <w:autoSpaceDE w:val="0"/>
        <w:autoSpaceDN w:val="0"/>
        <w:bidi w:val="0"/>
        <w:snapToGrid/>
        <w:spacing w:line="460" w:lineRule="exact"/>
        <w:ind w:left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投标截止时间之后上传的投标文件，招标人将拒绝接收。</w:t>
      </w:r>
    </w:p>
    <w:p w14:paraId="37CAACE9">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21.</w:t>
      </w:r>
      <w:r>
        <w:rPr>
          <w:rFonts w:hint="eastAsia" w:asciiTheme="minorEastAsia" w:hAnsiTheme="minorEastAsia" w:eastAsiaTheme="minorEastAsia" w:cstheme="minorEastAsia"/>
          <w:b/>
          <w:color w:val="auto"/>
          <w:kern w:val="0"/>
          <w:sz w:val="21"/>
          <w:szCs w:val="21"/>
          <w:highlight w:val="none"/>
        </w:rPr>
        <w:t>投标文件的修改和撤回</w:t>
      </w:r>
    </w:p>
    <w:p w14:paraId="5EF9CBB6">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21.1 投标人在投标截止时间前，对投标文件进行补充、修改或者撤回的，须书面通知招标人。投标人应当在投标截止时间前完成电子投标文件的提交，可以补充、修改或撤回。投标截止时间前未完成电子投标文件提交的，视为撤回投标文件。</w:t>
      </w:r>
    </w:p>
    <w:p w14:paraId="0BCD823D">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21.2 投标人补充、修改的内容并作为投标文件的组成部分。补充或修改应当按招标文件要求签署、盖章、提交，并应注明“修改”或“补充”字样。</w:t>
      </w:r>
    </w:p>
    <w:p w14:paraId="1B7C8851">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21.3 投标人在提交投标文件后，可以撤回其投标，但投标人必须在规定的投标截止时间前以书面形式告知招标人。</w:t>
      </w:r>
    </w:p>
    <w:p w14:paraId="467E4792">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21.4 投标人不得在投标有效期内撤销投标文件，否则投标人将承担违背投标承诺函的责任追究。</w:t>
      </w:r>
    </w:p>
    <w:p w14:paraId="02F3E134">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22.</w:t>
      </w:r>
      <w:r>
        <w:rPr>
          <w:rFonts w:hint="eastAsia" w:asciiTheme="minorEastAsia" w:hAnsiTheme="minorEastAsia" w:eastAsiaTheme="minorEastAsia" w:cstheme="minorEastAsia"/>
          <w:b/>
          <w:color w:val="auto"/>
          <w:kern w:val="0"/>
          <w:sz w:val="21"/>
          <w:szCs w:val="21"/>
          <w:highlight w:val="none"/>
        </w:rPr>
        <w:t>除投标人须知前附表另有规定外，投标人所提交的电子投标文件不予退还。</w:t>
      </w:r>
    </w:p>
    <w:p w14:paraId="49EB058A">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五、开标和评标</w:t>
      </w:r>
    </w:p>
    <w:p w14:paraId="44A28D91">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23.</w:t>
      </w:r>
      <w:r>
        <w:rPr>
          <w:rFonts w:hint="eastAsia" w:asciiTheme="minorEastAsia" w:hAnsiTheme="minorEastAsia" w:eastAsiaTheme="minorEastAsia" w:cstheme="minorEastAsia"/>
          <w:b/>
          <w:color w:val="auto"/>
          <w:kern w:val="0"/>
          <w:sz w:val="21"/>
          <w:szCs w:val="21"/>
          <w:highlight w:val="none"/>
        </w:rPr>
        <w:t>开标</w:t>
      </w:r>
    </w:p>
    <w:p w14:paraId="198535BB">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23.1 招标人将按招标文件规定的时间和地点组织远程不见面开标。开标由代理机构主持，投标人无须到现场。评标委员会成员不得参加开标活动。</w:t>
      </w:r>
    </w:p>
    <w:p w14:paraId="3E0C2B38">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23.2 招标人应当对开标、评标现场活动进行全程录音录像。录音录像应当清晰可辨，音像资料作为采购文件一并存档。</w:t>
      </w:r>
    </w:p>
    <w:p w14:paraId="007A1BB2">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23.3 开标时，由代理机构开通网上开标大厅及开启“群聊”等功能；投标人进行电子投标文件的解密。</w:t>
      </w:r>
    </w:p>
    <w:p w14:paraId="414C3B47">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23.4 电子投标文件的解密。全流程电子化交易项目电子投标文件采用投标人一层加密。解密时由投标人进行一次解密即可。</w:t>
      </w:r>
    </w:p>
    <w:p w14:paraId="3F0CA710">
      <w:pPr>
        <w:pStyle w:val="29"/>
        <w:keepNext w:val="0"/>
        <w:keepLines w:val="0"/>
        <w:pageBreakBefore w:val="0"/>
        <w:numPr>
          <w:ilvl w:val="1"/>
          <w:numId w:val="0"/>
        </w:numPr>
        <w:kinsoku/>
        <w:overflowPunct/>
        <w:autoSpaceDE w:val="0"/>
        <w:autoSpaceDN w:val="0"/>
        <w:bidi w:val="0"/>
        <w:snapToGrid/>
        <w:spacing w:line="460" w:lineRule="exact"/>
        <w:ind w:left="1839" w:leftChars="200" w:hanging="1419" w:hangingChars="676"/>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23.5 </w:t>
      </w:r>
      <w:r>
        <w:rPr>
          <w:rFonts w:hint="eastAsia" w:asciiTheme="minorEastAsia" w:hAnsiTheme="minorEastAsia" w:eastAsiaTheme="minorEastAsia" w:cstheme="minorEastAsia"/>
          <w:color w:val="auto"/>
          <w:kern w:val="0"/>
          <w:sz w:val="21"/>
          <w:szCs w:val="21"/>
          <w:highlight w:val="none"/>
        </w:rPr>
        <w:t>投标人解密：投标人使用本单位CA数字证书</w:t>
      </w:r>
      <w:r>
        <w:rPr>
          <w:rFonts w:hint="eastAsia" w:asciiTheme="minorEastAsia" w:hAnsiTheme="minorEastAsia" w:eastAsiaTheme="minorEastAsia" w:cstheme="minorEastAsia"/>
          <w:color w:val="auto"/>
          <w:kern w:val="0"/>
          <w:sz w:val="21"/>
          <w:szCs w:val="21"/>
          <w:highlight w:val="none"/>
          <w:lang w:val="en-US" w:eastAsia="zh-CN"/>
        </w:rPr>
        <w:t>或CA移动数字证书</w:t>
      </w:r>
      <w:r>
        <w:rPr>
          <w:rFonts w:hint="eastAsia" w:asciiTheme="minorEastAsia" w:hAnsiTheme="minorEastAsia" w:eastAsiaTheme="minorEastAsia" w:cstheme="minorEastAsia"/>
          <w:color w:val="auto"/>
          <w:kern w:val="0"/>
          <w:sz w:val="21"/>
          <w:szCs w:val="21"/>
          <w:highlight w:val="none"/>
        </w:rPr>
        <w:t>远程进行解密。</w:t>
      </w:r>
    </w:p>
    <w:p w14:paraId="4440D2E8">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23.6 </w:t>
      </w:r>
      <w:r>
        <w:rPr>
          <w:rFonts w:hint="eastAsia" w:asciiTheme="minorEastAsia" w:hAnsiTheme="minorEastAsia" w:eastAsiaTheme="minorEastAsia" w:cstheme="minorEastAsia"/>
          <w:color w:val="auto"/>
          <w:kern w:val="0"/>
          <w:sz w:val="21"/>
          <w:szCs w:val="21"/>
          <w:highlight w:val="none"/>
        </w:rPr>
        <w:t>因投标人原因电子投标文件解密失败的，其投标将被拒绝。</w:t>
      </w:r>
    </w:p>
    <w:p w14:paraId="24000335">
      <w:pPr>
        <w:pStyle w:val="29"/>
        <w:keepNext w:val="0"/>
        <w:keepLines w:val="0"/>
        <w:pageBreakBefore w:val="0"/>
        <w:numPr>
          <w:ilvl w:val="1"/>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23.7 </w:t>
      </w:r>
      <w:r>
        <w:rPr>
          <w:rFonts w:hint="eastAsia" w:asciiTheme="minorEastAsia" w:hAnsiTheme="minorEastAsia" w:eastAsiaTheme="minorEastAsia" w:cstheme="minorEastAsia"/>
          <w:color w:val="auto"/>
          <w:kern w:val="0"/>
          <w:sz w:val="21"/>
          <w:szCs w:val="21"/>
          <w:highlight w:val="none"/>
        </w:rPr>
        <w:t>投标人不足3家的，不得开标。</w:t>
      </w:r>
    </w:p>
    <w:p w14:paraId="1A66D181">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23.8 开标过程由采购代理机构负责记录，《开标记录表》经投标人进行电子签章、由参加开标相关工作人员签字确认后随采购文件一并存档。投标人未电子签章的，视同认可开标结果。</w:t>
      </w:r>
    </w:p>
    <w:p w14:paraId="4E53A077">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23.9 投标人对开标过程和开标记录如有疑义，以及认为采购人、采购代理机构相关工作人员有需要回避的情形的，应在不见面开标大厅的“发起异议”功能在线提出询问或者回避申请。采购人、采购代理机构对投标人代表提出的询问或者回避申请应当及时处理。</w:t>
      </w:r>
    </w:p>
    <w:p w14:paraId="353D1869">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23.10 项目远程不见面开标活动结束时，投标人应在《开标记录表》上进行电子签章。投标人未签章的，视同认可开标结果。</w:t>
      </w:r>
    </w:p>
    <w:p w14:paraId="27EBA567">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24.</w:t>
      </w:r>
      <w:r>
        <w:rPr>
          <w:rFonts w:hint="eastAsia" w:asciiTheme="minorEastAsia" w:hAnsiTheme="minorEastAsia" w:eastAsiaTheme="minorEastAsia" w:cstheme="minorEastAsia"/>
          <w:b/>
          <w:color w:val="auto"/>
          <w:kern w:val="0"/>
          <w:sz w:val="21"/>
          <w:szCs w:val="21"/>
          <w:highlight w:val="none"/>
        </w:rPr>
        <w:t>资格审查</w:t>
      </w:r>
    </w:p>
    <w:p w14:paraId="491789A3">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开标结束后，采购人依法对投标人的资格进行审查。合格投标人不足3家的，不得评标。</w:t>
      </w:r>
    </w:p>
    <w:p w14:paraId="7BA11890">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25.</w:t>
      </w:r>
      <w:r>
        <w:rPr>
          <w:rFonts w:hint="eastAsia" w:asciiTheme="minorEastAsia" w:hAnsiTheme="minorEastAsia" w:eastAsiaTheme="minorEastAsia" w:cstheme="minorEastAsia"/>
          <w:b/>
          <w:color w:val="auto"/>
          <w:kern w:val="0"/>
          <w:sz w:val="21"/>
          <w:szCs w:val="21"/>
          <w:highlight w:val="none"/>
        </w:rPr>
        <w:t>评标委员会的组成</w:t>
      </w:r>
    </w:p>
    <w:p w14:paraId="19159668">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25.1 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7D1F1626">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25.1.1 招标人将依法组建评标委员会，评标委员会由评审专家组成，成员人数应当为5人以上单 数。评审专家依法从政府采购评审专家库中随机抽取。</w:t>
      </w:r>
    </w:p>
    <w:p w14:paraId="22B99C3B">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25.1.2</w:t>
      </w:r>
      <w:r>
        <w:rPr>
          <w:rFonts w:hint="eastAsia" w:asciiTheme="minorEastAsia" w:hAnsiTheme="minorEastAsia" w:eastAsiaTheme="minorEastAsia" w:cstheme="minorEastAsia"/>
          <w:color w:val="auto"/>
          <w:kern w:val="0"/>
          <w:sz w:val="21"/>
          <w:szCs w:val="21"/>
          <w:highlight w:val="none"/>
        </w:rPr>
        <w:t>采购项目符合下列情形之一的，评标委员会成员人数应当为7人以上单数：</w:t>
      </w:r>
    </w:p>
    <w:p w14:paraId="7B78FB46">
      <w:pPr>
        <w:pStyle w:val="29"/>
        <w:keepNext w:val="0"/>
        <w:keepLines w:val="0"/>
        <w:pageBreakBefore w:val="0"/>
        <w:numPr>
          <w:ilvl w:val="0"/>
          <w:numId w:val="0"/>
        </w:numPr>
        <w:kinsoku/>
        <w:overflowPunct/>
        <w:autoSpaceDE w:val="0"/>
        <w:autoSpaceDN w:val="0"/>
        <w:bidi w:val="0"/>
        <w:snapToGrid/>
        <w:spacing w:line="460" w:lineRule="exact"/>
        <w:ind w:left="1839" w:leftChars="200" w:hanging="1419" w:hangingChars="676"/>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lang w:val="en-US" w:eastAsia="zh-CN"/>
        </w:rPr>
        <w:t>一</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 xml:space="preserve"> 采购预算金额在1000万元以上；</w:t>
      </w:r>
    </w:p>
    <w:p w14:paraId="5B5A9B14">
      <w:pPr>
        <w:pStyle w:val="29"/>
        <w:keepNext w:val="0"/>
        <w:keepLines w:val="0"/>
        <w:pageBreakBefore w:val="0"/>
        <w:numPr>
          <w:ilvl w:val="0"/>
          <w:numId w:val="0"/>
        </w:numPr>
        <w:kinsoku/>
        <w:overflowPunct/>
        <w:autoSpaceDE w:val="0"/>
        <w:autoSpaceDN w:val="0"/>
        <w:bidi w:val="0"/>
        <w:snapToGrid/>
        <w:spacing w:line="460" w:lineRule="exact"/>
        <w:ind w:left="1839" w:leftChars="200" w:hanging="1419" w:hangingChars="676"/>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（二）</w:t>
      </w:r>
      <w:r>
        <w:rPr>
          <w:rFonts w:hint="eastAsia" w:asciiTheme="minorEastAsia" w:hAnsiTheme="minorEastAsia" w:eastAsiaTheme="minorEastAsia" w:cstheme="minorEastAsia"/>
          <w:color w:val="auto"/>
          <w:kern w:val="0"/>
          <w:sz w:val="21"/>
          <w:szCs w:val="21"/>
          <w:highlight w:val="none"/>
        </w:rPr>
        <w:t xml:space="preserve"> 技术复杂；</w:t>
      </w:r>
    </w:p>
    <w:p w14:paraId="26CF8A40">
      <w:pPr>
        <w:pStyle w:val="29"/>
        <w:keepNext w:val="0"/>
        <w:keepLines w:val="0"/>
        <w:pageBreakBefore w:val="0"/>
        <w:numPr>
          <w:ilvl w:val="0"/>
          <w:numId w:val="0"/>
        </w:numPr>
        <w:kinsoku/>
        <w:overflowPunct/>
        <w:autoSpaceDE w:val="0"/>
        <w:autoSpaceDN w:val="0"/>
        <w:bidi w:val="0"/>
        <w:snapToGrid/>
        <w:spacing w:line="460" w:lineRule="exact"/>
        <w:ind w:left="1839" w:leftChars="200" w:hanging="1419" w:hangingChars="676"/>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（三）</w:t>
      </w:r>
      <w:r>
        <w:rPr>
          <w:rFonts w:hint="eastAsia" w:asciiTheme="minorEastAsia" w:hAnsiTheme="minorEastAsia" w:eastAsiaTheme="minorEastAsia" w:cstheme="minorEastAsia"/>
          <w:color w:val="auto"/>
          <w:kern w:val="0"/>
          <w:sz w:val="21"/>
          <w:szCs w:val="21"/>
          <w:highlight w:val="none"/>
        </w:rPr>
        <w:t xml:space="preserve"> 社会影响较大。</w:t>
      </w:r>
    </w:p>
    <w:p w14:paraId="2C3A56F1">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25.2 评审专家对本单位的采购项目只能作为采购人代表参与评标。采购代理机构工作人员不得参加由本机构代理的政府采购项目的评标。</w:t>
      </w:r>
    </w:p>
    <w:p w14:paraId="6C788E35">
      <w:pPr>
        <w:pStyle w:val="29"/>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25.3 </w:t>
      </w:r>
      <w:r>
        <w:rPr>
          <w:rFonts w:hint="eastAsia" w:asciiTheme="minorEastAsia" w:hAnsiTheme="minorEastAsia" w:eastAsiaTheme="minorEastAsia" w:cstheme="minorEastAsia"/>
          <w:color w:val="auto"/>
          <w:kern w:val="0"/>
          <w:sz w:val="21"/>
          <w:szCs w:val="21"/>
          <w:highlight w:val="none"/>
        </w:rPr>
        <w:t>评审专家与投标人存在下列利害关系之一的</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应当回避</w:t>
      </w:r>
      <w:r>
        <w:rPr>
          <w:rFonts w:hint="eastAsia" w:asciiTheme="minorEastAsia" w:hAnsiTheme="minorEastAsia" w:eastAsiaTheme="minorEastAsia" w:cstheme="minorEastAsia"/>
          <w:color w:val="auto"/>
          <w:kern w:val="0"/>
          <w:sz w:val="21"/>
          <w:szCs w:val="21"/>
          <w:highlight w:val="none"/>
          <w:lang w:eastAsia="zh-CN"/>
        </w:rPr>
        <w:t>：</w:t>
      </w:r>
    </w:p>
    <w:p w14:paraId="6EAAD867">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（一）参加采购活动前三年内，与供应商存在劳动关系，或者担任过供应商的董事、监事，或者是供应商的控股股东或实际控制人；</w:t>
      </w:r>
    </w:p>
    <w:p w14:paraId="464F14AE">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（二）与供应商的法定代表人或者负责人有夫妻、直系血亲、三代以内旁系血亲或者近姻亲关系；</w:t>
      </w:r>
    </w:p>
    <w:p w14:paraId="184030F7">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（三）</w:t>
      </w:r>
      <w:r>
        <w:rPr>
          <w:rFonts w:hint="eastAsia" w:asciiTheme="minorEastAsia" w:hAnsiTheme="minorEastAsia" w:eastAsiaTheme="minorEastAsia" w:cstheme="minorEastAsia"/>
          <w:color w:val="auto"/>
          <w:kern w:val="0"/>
          <w:sz w:val="21"/>
          <w:szCs w:val="21"/>
          <w:highlight w:val="none"/>
        </w:rPr>
        <w:t>与供应商有其他可能影响政府采购活动公平、公正进行的关系。</w:t>
      </w:r>
    </w:p>
    <w:p w14:paraId="5963A8A4">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25.4 评审专家发现本人与参加采购活动的供应商有利害关系的，应当主动提出回避。采购人或者代理机构发现评审专家与参加采购活动的供应商有利害关系的，应当要求其回避。</w:t>
      </w:r>
    </w:p>
    <w:p w14:paraId="563E4C34">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25.5 </w:t>
      </w:r>
      <w:r>
        <w:rPr>
          <w:rFonts w:hint="eastAsia" w:asciiTheme="minorEastAsia" w:hAnsiTheme="minorEastAsia" w:eastAsiaTheme="minorEastAsia" w:cstheme="minorEastAsia"/>
          <w:color w:val="auto"/>
          <w:kern w:val="0"/>
          <w:sz w:val="21"/>
          <w:szCs w:val="21"/>
          <w:highlight w:val="none"/>
        </w:rPr>
        <w:t>采购人不得担任评标小组长。</w:t>
      </w:r>
    </w:p>
    <w:p w14:paraId="4683F0E5">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25.6 采购人可以在评标前说明项目背景和采购需求，说明内容不得含有歧视性、倾向性意见，不得超出招标文件所述范围。说明应当提交书面材料，并随采购文件一并存档。</w:t>
      </w:r>
    </w:p>
    <w:p w14:paraId="72EA0917">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25.7 </w:t>
      </w:r>
      <w:r>
        <w:rPr>
          <w:rFonts w:hint="eastAsia" w:asciiTheme="minorEastAsia" w:hAnsiTheme="minorEastAsia" w:eastAsiaTheme="minorEastAsia" w:cstheme="minorEastAsia"/>
          <w:color w:val="auto"/>
          <w:kern w:val="0"/>
          <w:sz w:val="21"/>
          <w:szCs w:val="21"/>
          <w:highlight w:val="none"/>
        </w:rPr>
        <w:t>评标委员会成员名单在评标结果公告前应当保密。</w:t>
      </w:r>
    </w:p>
    <w:p w14:paraId="64FB1288">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26.</w:t>
      </w:r>
      <w:r>
        <w:rPr>
          <w:rFonts w:hint="eastAsia" w:asciiTheme="minorEastAsia" w:hAnsiTheme="minorEastAsia" w:eastAsiaTheme="minorEastAsia" w:cstheme="minorEastAsia"/>
          <w:b/>
          <w:color w:val="auto"/>
          <w:kern w:val="0"/>
          <w:sz w:val="21"/>
          <w:szCs w:val="21"/>
          <w:highlight w:val="none"/>
        </w:rPr>
        <w:t>符合性审查</w:t>
      </w:r>
    </w:p>
    <w:p w14:paraId="416E073A">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26.1 评标委员会依据有关法律法规和招标文件的规定，对符合资格的投标人的投标文件进行符合性审查，以确定其是否满足招标文件的实质性要求。</w:t>
      </w:r>
    </w:p>
    <w:p w14:paraId="633654CB">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26.2 </w:t>
      </w:r>
      <w:r>
        <w:rPr>
          <w:rFonts w:hint="eastAsia" w:asciiTheme="minorEastAsia" w:hAnsiTheme="minorEastAsia" w:eastAsiaTheme="minorEastAsia" w:cstheme="minorEastAsia"/>
          <w:color w:val="auto"/>
          <w:kern w:val="0"/>
          <w:sz w:val="21"/>
          <w:szCs w:val="21"/>
          <w:highlight w:val="none"/>
        </w:rPr>
        <w:t>审查、评价投标文件是否符合招标文件的商务、技术等实质性要求。</w:t>
      </w:r>
    </w:p>
    <w:p w14:paraId="4E2D76FE">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26.3 </w:t>
      </w:r>
      <w:r>
        <w:rPr>
          <w:rFonts w:hint="eastAsia" w:asciiTheme="minorEastAsia" w:hAnsiTheme="minorEastAsia" w:eastAsiaTheme="minorEastAsia" w:cstheme="minorEastAsia"/>
          <w:color w:val="auto"/>
          <w:kern w:val="0"/>
          <w:sz w:val="21"/>
          <w:szCs w:val="21"/>
          <w:highlight w:val="none"/>
        </w:rPr>
        <w:t>可要求投标人对投标文件有关事项作出澄清或者说明。</w:t>
      </w:r>
    </w:p>
    <w:p w14:paraId="668C29A2">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 xml:space="preserve">27. </w:t>
      </w:r>
      <w:r>
        <w:rPr>
          <w:rFonts w:hint="eastAsia" w:asciiTheme="minorEastAsia" w:hAnsiTheme="minorEastAsia" w:eastAsiaTheme="minorEastAsia" w:cstheme="minorEastAsia"/>
          <w:b/>
          <w:color w:val="auto"/>
          <w:kern w:val="0"/>
          <w:sz w:val="21"/>
          <w:szCs w:val="21"/>
          <w:highlight w:val="none"/>
        </w:rPr>
        <w:t>投标文件的澄清</w:t>
      </w:r>
    </w:p>
    <w:p w14:paraId="329BF5DD">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27.1 对于投标文件中含义不明确、同类问题表述不一致或者有明显文字和计算错误的内容，评标委员会应当以书面形式要求投标人作出必要的澄清、说明或者补正。</w:t>
      </w:r>
    </w:p>
    <w:p w14:paraId="63EC659E">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27.2 投标人的澄清、说明或者补正应当采用书面形式，并加盖公章，或者由法定代表人或其授权的代表签字。投标人的澄清、说明或者补正不得超出投标文件的范围或者改变投标文件的实质性内容。</w:t>
      </w:r>
    </w:p>
    <w:p w14:paraId="08A1C7B8">
      <w:pPr>
        <w:pStyle w:val="29"/>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27.3 </w:t>
      </w:r>
      <w:r>
        <w:rPr>
          <w:rFonts w:hint="eastAsia" w:asciiTheme="minorEastAsia" w:hAnsiTheme="minorEastAsia" w:eastAsiaTheme="minorEastAsia" w:cstheme="minorEastAsia"/>
          <w:color w:val="auto"/>
          <w:kern w:val="0"/>
          <w:sz w:val="21"/>
          <w:szCs w:val="21"/>
          <w:highlight w:val="none"/>
        </w:rPr>
        <w:t>投标人的澄清文件是其投标文件的组成部分。</w:t>
      </w:r>
    </w:p>
    <w:p w14:paraId="25F0ED71">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28.投标价格的审查</w:t>
      </w:r>
    </w:p>
    <w:p w14:paraId="04E55F8E">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28.1 投标文件报价出现前后不一致的修正</w:t>
      </w:r>
    </w:p>
    <w:p w14:paraId="4D5DC172">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28.1.1 投标文件中开标一览表（报价表）内容与投标文件中相应内容不一致的，以开标一览表（报价表）为准；</w:t>
      </w:r>
    </w:p>
    <w:p w14:paraId="69825AD8">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28.1.2 大写金额和小写金额不一致的，以大写金额为准；</w:t>
      </w:r>
    </w:p>
    <w:p w14:paraId="7667859B">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28.1.3 单价金额小数点或者百分比有明显错位的，以开标一览表的总价为准，并修改单价；</w:t>
      </w:r>
    </w:p>
    <w:p w14:paraId="32332852">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28.1.4 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14:paraId="2D624A51">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28.2 异常低价审查。 </w:t>
      </w:r>
    </w:p>
    <w:p w14:paraId="4B8A1903">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28.2.1 评审中出现下列情形之一的，评标委员会应当启动异常低价投标审查程序：</w:t>
      </w:r>
    </w:p>
    <w:p w14:paraId="5E718923">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 </w:t>
      </w:r>
      <w:r>
        <w:rPr>
          <w:rFonts w:hint="eastAsia" w:asciiTheme="minorEastAsia" w:hAnsiTheme="minorEastAsia" w:cstheme="minorEastAsia"/>
          <w:color w:val="auto"/>
          <w:kern w:val="0"/>
          <w:sz w:val="21"/>
          <w:szCs w:val="21"/>
          <w:highlight w:val="none"/>
          <w:lang w:val="en-US" w:eastAsia="zh-CN"/>
        </w:rPr>
        <w:t xml:space="preserve"> </w:t>
      </w:r>
      <w:r>
        <w:rPr>
          <w:rFonts w:hint="eastAsia" w:asciiTheme="minorEastAsia" w:hAnsiTheme="minorEastAsia" w:eastAsiaTheme="minorEastAsia" w:cstheme="minorEastAsia"/>
          <w:color w:val="auto"/>
          <w:kern w:val="0"/>
          <w:sz w:val="21"/>
          <w:szCs w:val="21"/>
          <w:highlight w:val="none"/>
          <w:lang w:val="en-US" w:eastAsia="zh-CN"/>
        </w:rPr>
        <w:t>（1）投标报价低于全部通过符合性审查供应商投标报价平均值50%的，即投标报价〈全部通过符合性审查</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投标报价平均值×50%；</w:t>
      </w:r>
    </w:p>
    <w:p w14:paraId="48EBCE78">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 </w:t>
      </w:r>
      <w:r>
        <w:rPr>
          <w:rFonts w:hint="eastAsia" w:asciiTheme="minorEastAsia" w:hAnsiTheme="minorEastAsia" w:cstheme="minorEastAsia"/>
          <w:color w:val="auto"/>
          <w:kern w:val="0"/>
          <w:sz w:val="21"/>
          <w:szCs w:val="21"/>
          <w:highlight w:val="none"/>
          <w:lang w:val="en-US" w:eastAsia="zh-CN"/>
        </w:rPr>
        <w:t xml:space="preserve"> </w:t>
      </w:r>
      <w:r>
        <w:rPr>
          <w:rFonts w:hint="eastAsia" w:asciiTheme="minorEastAsia" w:hAnsiTheme="minorEastAsia" w:eastAsiaTheme="minorEastAsia" w:cstheme="minorEastAsia"/>
          <w:color w:val="auto"/>
          <w:kern w:val="0"/>
          <w:sz w:val="21"/>
          <w:szCs w:val="21"/>
          <w:highlight w:val="none"/>
          <w:lang w:val="en-US" w:eastAsia="zh-CN"/>
        </w:rPr>
        <w:t>（2）投标报价低于通过符合性审查的次低报价供应商投标报价50%的，即投标报价〈通过符合性审查的次低报价</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投标报价×50%；</w:t>
      </w:r>
    </w:p>
    <w:p w14:paraId="156EF4F7">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 </w:t>
      </w:r>
      <w:r>
        <w:rPr>
          <w:rFonts w:hint="eastAsia" w:asciiTheme="minorEastAsia" w:hAnsiTheme="minorEastAsia" w:cstheme="minorEastAsia"/>
          <w:color w:val="auto"/>
          <w:kern w:val="0"/>
          <w:sz w:val="21"/>
          <w:szCs w:val="21"/>
          <w:highlight w:val="none"/>
          <w:lang w:val="en-US" w:eastAsia="zh-CN"/>
        </w:rPr>
        <w:t xml:space="preserve"> </w:t>
      </w:r>
      <w:r>
        <w:rPr>
          <w:rFonts w:hint="eastAsia" w:asciiTheme="minorEastAsia" w:hAnsiTheme="minorEastAsia" w:eastAsiaTheme="minorEastAsia" w:cstheme="minorEastAsia"/>
          <w:color w:val="auto"/>
          <w:kern w:val="0"/>
          <w:sz w:val="21"/>
          <w:szCs w:val="21"/>
          <w:highlight w:val="none"/>
          <w:lang w:val="en-US" w:eastAsia="zh-CN"/>
        </w:rPr>
        <w:t xml:space="preserve">（3）投标报价低于采购项目最高限价45%的，即投标报价〈采购项目最高限价×45%； </w:t>
      </w:r>
    </w:p>
    <w:p w14:paraId="4128C088">
      <w:pPr>
        <w:pStyle w:val="29"/>
        <w:keepNext w:val="0"/>
        <w:keepLines w:val="0"/>
        <w:pageBreakBefore w:val="0"/>
        <w:numPr>
          <w:ilvl w:val="0"/>
          <w:numId w:val="0"/>
        </w:numPr>
        <w:kinsoku/>
        <w:overflowPunct/>
        <w:autoSpaceDE w:val="0"/>
        <w:autoSpaceDN w:val="0"/>
        <w:bidi w:val="0"/>
        <w:snapToGrid/>
        <w:spacing w:line="460" w:lineRule="exact"/>
        <w:ind w:firstLine="630" w:firstLineChars="3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（4）评标委员会基于专业判断，认为</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报价过低，有可能影响产品质量或者不能诚信履约的其他情形。</w:t>
      </w:r>
    </w:p>
    <w:p w14:paraId="25B94F50">
      <w:pPr>
        <w:pStyle w:val="29"/>
        <w:keepNext w:val="0"/>
        <w:keepLines w:val="0"/>
        <w:pageBreakBefore w:val="0"/>
        <w:numPr>
          <w:ilvl w:val="0"/>
          <w:numId w:val="0"/>
        </w:numPr>
        <w:kinsoku/>
        <w:overflowPunct/>
        <w:autoSpaceDE w:val="0"/>
        <w:autoSpaceDN w:val="0"/>
        <w:bidi w:val="0"/>
        <w:snapToGrid/>
        <w:spacing w:line="460" w:lineRule="exact"/>
        <w:ind w:leftChars="0" w:firstLine="630" w:firstLineChars="3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（5）相关法律法规对</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报价有规定的，从其规定。</w:t>
      </w:r>
    </w:p>
    <w:p w14:paraId="0F5D036E">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28.2.2 评标委员会启动异常低价投标审查后，属于前述第1项至第4项情形的，应当要求相关</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在评审现场规定时间内（给予</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的时间不少于</w:t>
      </w:r>
      <w:r>
        <w:rPr>
          <w:rFonts w:hint="eastAsia" w:asciiTheme="minorEastAsia" w:hAnsiTheme="minorEastAsia" w:cstheme="minorEastAsia"/>
          <w:color w:val="auto"/>
          <w:kern w:val="0"/>
          <w:sz w:val="21"/>
          <w:szCs w:val="21"/>
          <w:highlight w:val="none"/>
          <w:lang w:val="en-US" w:eastAsia="zh-CN"/>
        </w:rPr>
        <w:t>60</w:t>
      </w:r>
      <w:r>
        <w:rPr>
          <w:rFonts w:hint="eastAsia" w:asciiTheme="minorEastAsia" w:hAnsiTheme="minorEastAsia" w:eastAsiaTheme="minorEastAsia" w:cstheme="minorEastAsia"/>
          <w:color w:val="auto"/>
          <w:kern w:val="0"/>
          <w:sz w:val="21"/>
          <w:szCs w:val="21"/>
          <w:highlight w:val="none"/>
          <w:lang w:val="en-US" w:eastAsia="zh-CN"/>
        </w:rPr>
        <w:t>分钟）对投标价格作出解释，提供项目具体成本测算等与报价合理性相关的书面说明及必要的证明材料，包括但不限于原材料成本、人工成本、制造费用等。其中，属于第3项情形，</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已随投标文件一并提交相关书面说明及必要的 证明材料的，在评审现场可不再重复提交。</w:t>
      </w:r>
    </w:p>
    <w:p w14:paraId="344B13A5">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 28.2.3 评标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1C70E0BF">
      <w:pPr>
        <w:pStyle w:val="29"/>
        <w:keepNext w:val="0"/>
        <w:keepLines w:val="0"/>
        <w:pageBreakBefore w:val="0"/>
        <w:numPr>
          <w:ilvl w:val="0"/>
          <w:numId w:val="5"/>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投标无效情形</w:t>
      </w:r>
    </w:p>
    <w:p w14:paraId="7D52A200">
      <w:pPr>
        <w:pStyle w:val="29"/>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29.1 </w:t>
      </w:r>
      <w:r>
        <w:rPr>
          <w:rFonts w:hint="eastAsia" w:asciiTheme="minorEastAsia" w:hAnsiTheme="minorEastAsia" w:eastAsiaTheme="minorEastAsia" w:cstheme="minorEastAsia"/>
          <w:color w:val="auto"/>
          <w:kern w:val="0"/>
          <w:sz w:val="21"/>
          <w:szCs w:val="21"/>
          <w:highlight w:val="none"/>
        </w:rPr>
        <w:t>投标文件属下列情况之一的，按照无效投标处理：</w:t>
      </w:r>
    </w:p>
    <w:p w14:paraId="0FC8439A">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29.1.1</w:t>
      </w:r>
      <w:r>
        <w:rPr>
          <w:rFonts w:hint="eastAsia" w:asciiTheme="minorEastAsia" w:hAnsiTheme="minorEastAsia" w:eastAsiaTheme="minorEastAsia" w:cstheme="minorEastAsia"/>
          <w:color w:val="auto"/>
          <w:kern w:val="0"/>
          <w:sz w:val="21"/>
          <w:szCs w:val="21"/>
          <w:highlight w:val="none"/>
        </w:rPr>
        <w:t>未按照招标文件的规定提交《禹州市政府采购供应商信用承诺函》的；</w:t>
      </w:r>
    </w:p>
    <w:p w14:paraId="76D14427">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29.1.2</w:t>
      </w:r>
      <w:r>
        <w:rPr>
          <w:rFonts w:hint="eastAsia" w:asciiTheme="minorEastAsia" w:hAnsiTheme="minorEastAsia" w:eastAsiaTheme="minorEastAsia" w:cstheme="minorEastAsia"/>
          <w:color w:val="auto"/>
          <w:kern w:val="0"/>
          <w:sz w:val="21"/>
          <w:szCs w:val="21"/>
          <w:highlight w:val="none"/>
        </w:rPr>
        <w:t>未按照招标文件的规定提交投标承诺函的；</w:t>
      </w:r>
    </w:p>
    <w:p w14:paraId="0C36C798">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29.1.3</w:t>
      </w:r>
      <w:r>
        <w:rPr>
          <w:rFonts w:hint="eastAsia" w:asciiTheme="minorEastAsia" w:hAnsiTheme="minorEastAsia" w:eastAsiaTheme="minorEastAsia" w:cstheme="minorEastAsia"/>
          <w:color w:val="auto"/>
          <w:kern w:val="0"/>
          <w:sz w:val="21"/>
          <w:szCs w:val="21"/>
          <w:highlight w:val="none"/>
        </w:rPr>
        <w:t>投标文件未按招标文件要求签署、盖章的；</w:t>
      </w:r>
    </w:p>
    <w:p w14:paraId="73D1C2B4">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29.1.4</w:t>
      </w:r>
      <w:r>
        <w:rPr>
          <w:rFonts w:hint="eastAsia" w:asciiTheme="minorEastAsia" w:hAnsiTheme="minorEastAsia" w:eastAsiaTheme="minorEastAsia" w:cstheme="minorEastAsia"/>
          <w:color w:val="auto"/>
          <w:kern w:val="0"/>
          <w:sz w:val="21"/>
          <w:szCs w:val="21"/>
          <w:highlight w:val="none"/>
        </w:rPr>
        <w:t>报价超过招标文件中规定的预算金额或者最高限价的；</w:t>
      </w:r>
    </w:p>
    <w:p w14:paraId="328952E0">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29.1.5</w:t>
      </w:r>
      <w:r>
        <w:rPr>
          <w:rFonts w:hint="eastAsia" w:asciiTheme="minorEastAsia" w:hAnsiTheme="minorEastAsia" w:eastAsiaTheme="minorEastAsia" w:cstheme="minorEastAsia"/>
          <w:color w:val="auto"/>
          <w:kern w:val="0"/>
          <w:sz w:val="21"/>
          <w:szCs w:val="21"/>
          <w:highlight w:val="none"/>
        </w:rPr>
        <w:t>投标文件含有采购人不能接受的附加条件的。</w:t>
      </w:r>
    </w:p>
    <w:p w14:paraId="0EDAC67B">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29.2根据《河南省财政厅关于防范供应商串通投标促进政府采购公平竞争的通知》（豫财购﹝2021﹞6号）要求，参与同一个标段的供应商存在下列情形之一的，其投标文件无效：</w:t>
      </w:r>
    </w:p>
    <w:p w14:paraId="4E7A36CD">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29.2.1不同供应商的电子投标文件上传计算机的网卡MAC地址、CPU序列号和硬盘序列号等硬件信息相同的；</w:t>
      </w:r>
    </w:p>
    <w:p w14:paraId="4FAB679E">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29.2.2不同供应商的投标文件由同一电子设备编制、打印加密或者上传；</w:t>
      </w:r>
    </w:p>
    <w:p w14:paraId="108A0AEB">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29.2.3不同供应商的投标文件由同一电子设备打印、复印；</w:t>
      </w:r>
    </w:p>
    <w:p w14:paraId="35EEA056">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29.2.4不同供应商的投标文件由同一人送达或者分发，或者不同供应商联系人为同一人或不同联系人的联系电话一致的；</w:t>
      </w:r>
    </w:p>
    <w:p w14:paraId="31252233">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29.2.5不同供应商的投标文件的内容存在两处以上细节错误一致；</w:t>
      </w:r>
    </w:p>
    <w:p w14:paraId="4453A324">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29.2.6不同供应商的法定代表人、委托代理人、项目经理、项目负责人等由同一个单位缴纳社会保险或者领取报酬的；</w:t>
      </w:r>
    </w:p>
    <w:p w14:paraId="2636741E">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29.2.7</w:t>
      </w:r>
      <w:r>
        <w:rPr>
          <w:rFonts w:hint="eastAsia" w:asciiTheme="minorEastAsia" w:hAnsiTheme="minorEastAsia" w:eastAsiaTheme="minorEastAsia" w:cstheme="minorEastAsia"/>
          <w:color w:val="auto"/>
          <w:kern w:val="0"/>
          <w:sz w:val="21"/>
          <w:szCs w:val="21"/>
          <w:highlight w:val="none"/>
        </w:rPr>
        <w:t>不同供应商投标文件中法定代表人或者负责人签字出自同一人之手；</w:t>
      </w:r>
    </w:p>
    <w:p w14:paraId="3AC7894F">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29.2.8其他</w:t>
      </w:r>
      <w:r>
        <w:rPr>
          <w:rFonts w:hint="eastAsia" w:asciiTheme="minorEastAsia" w:hAnsiTheme="minorEastAsia" w:eastAsiaTheme="minorEastAsia" w:cstheme="minorEastAsia"/>
          <w:color w:val="auto"/>
          <w:kern w:val="0"/>
          <w:sz w:val="21"/>
          <w:szCs w:val="21"/>
          <w:highlight w:val="none"/>
        </w:rPr>
        <w:t>涉嫌串通的情形。</w:t>
      </w:r>
    </w:p>
    <w:p w14:paraId="6ADBC1DE">
      <w:pPr>
        <w:pStyle w:val="29"/>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w:t>
      </w:r>
      <w:r>
        <w:rPr>
          <w:rFonts w:hint="eastAsia" w:asciiTheme="minorEastAsia" w:hAnsiTheme="minorEastAsia" w:eastAsiaTheme="minorEastAsia" w:cstheme="minorEastAsia"/>
          <w:color w:val="auto"/>
          <w:kern w:val="0"/>
          <w:sz w:val="21"/>
          <w:szCs w:val="21"/>
          <w:highlight w:val="none"/>
        </w:rPr>
        <w:t>有下列情形之一的，视为投标人串通投标，其投标无效：</w:t>
      </w:r>
    </w:p>
    <w:p w14:paraId="68416FCD">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29.3.1</w:t>
      </w:r>
      <w:r>
        <w:rPr>
          <w:rFonts w:hint="eastAsia" w:asciiTheme="minorEastAsia" w:hAnsiTheme="minorEastAsia" w:eastAsiaTheme="minorEastAsia" w:cstheme="minorEastAsia"/>
          <w:color w:val="auto"/>
          <w:kern w:val="0"/>
          <w:sz w:val="21"/>
          <w:szCs w:val="21"/>
          <w:highlight w:val="none"/>
        </w:rPr>
        <w:t>不同投标人的投标文件由同一单位或者个人编制；</w:t>
      </w:r>
    </w:p>
    <w:p w14:paraId="445730F5">
      <w:pPr>
        <w:pStyle w:val="29"/>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29.3.2</w:t>
      </w:r>
      <w:r>
        <w:rPr>
          <w:rFonts w:hint="eastAsia" w:asciiTheme="minorEastAsia" w:hAnsiTheme="minorEastAsia" w:eastAsiaTheme="minorEastAsia" w:cstheme="minorEastAsia"/>
          <w:color w:val="auto"/>
          <w:kern w:val="0"/>
          <w:sz w:val="21"/>
          <w:szCs w:val="21"/>
          <w:highlight w:val="none"/>
        </w:rPr>
        <w:t>不同投标人委托同一单位或者个人办理投标事宜；</w:t>
      </w:r>
    </w:p>
    <w:p w14:paraId="7294F89E">
      <w:pPr>
        <w:pStyle w:val="29"/>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29.3.3</w:t>
      </w:r>
      <w:r>
        <w:rPr>
          <w:rFonts w:hint="eastAsia" w:asciiTheme="minorEastAsia" w:hAnsiTheme="minorEastAsia" w:eastAsiaTheme="minorEastAsia" w:cstheme="minorEastAsia"/>
          <w:color w:val="auto"/>
          <w:kern w:val="0"/>
          <w:sz w:val="21"/>
          <w:szCs w:val="21"/>
          <w:highlight w:val="none"/>
        </w:rPr>
        <w:t>不同投标人的投标文件载明的项目管理成员或者联系人员为同一人；</w:t>
      </w:r>
    </w:p>
    <w:p w14:paraId="08E204DD">
      <w:pPr>
        <w:pStyle w:val="29"/>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29.3.4</w:t>
      </w:r>
      <w:r>
        <w:rPr>
          <w:rFonts w:hint="eastAsia" w:asciiTheme="minorEastAsia" w:hAnsiTheme="minorEastAsia" w:eastAsiaTheme="minorEastAsia" w:cstheme="minorEastAsia"/>
          <w:color w:val="auto"/>
          <w:kern w:val="0"/>
          <w:sz w:val="21"/>
          <w:szCs w:val="21"/>
          <w:highlight w:val="none"/>
        </w:rPr>
        <w:t>不同投标人的投标文件异常一致或者投标报价呈规律性差异；</w:t>
      </w:r>
    </w:p>
    <w:p w14:paraId="5AA12C84">
      <w:pPr>
        <w:pStyle w:val="29"/>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29.3.5</w:t>
      </w:r>
      <w:r>
        <w:rPr>
          <w:rFonts w:hint="eastAsia" w:asciiTheme="minorEastAsia" w:hAnsiTheme="minorEastAsia" w:eastAsiaTheme="minorEastAsia" w:cstheme="minorEastAsia"/>
          <w:color w:val="auto"/>
          <w:kern w:val="0"/>
          <w:sz w:val="21"/>
          <w:szCs w:val="21"/>
          <w:highlight w:val="none"/>
        </w:rPr>
        <w:t>不同投标人的投标文件相互混装。</w:t>
      </w:r>
    </w:p>
    <w:p w14:paraId="16A184BF">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29.4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89D17EC">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29.5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2B77AB04">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29.6评标委员会启动异常低价投标审查后，要求相关供应商在规定时间内对投标价格作出解释、提供证明材料，投标供应商未在规定时间内提供书面说明、证明材料，或者提供的书面说明、证明材料不能证明其报价合理性的，评标委员会应当将其作为无效投标处理。</w:t>
      </w:r>
    </w:p>
    <w:p w14:paraId="5D8293F7">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29.7按照《关于推进全流程电子化交易和在线监管工作有关问题的通知》（许公管办〔2019〕3号）规定，不同投标人电子投标文件记录的网卡MAC地址、CPU序号、硬盘序列号等硬件特征码均相同时，视为‘不同投标人的投标文件由同一单位或者个人编制’或‘不同投标人委托同一单位或者个人办理响应事宜’，其投标无效。</w:t>
      </w:r>
    </w:p>
    <w:p w14:paraId="06ADCEA6">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29.8法律法规和招标文件规定的其他无效情形。</w:t>
      </w:r>
    </w:p>
    <w:p w14:paraId="41105D47">
      <w:pPr>
        <w:pStyle w:val="29"/>
        <w:keepNext w:val="0"/>
        <w:keepLines w:val="0"/>
        <w:pageBreakBefore w:val="0"/>
        <w:numPr>
          <w:ilvl w:val="0"/>
          <w:numId w:val="5"/>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相同品牌投标人的认定</w:t>
      </w:r>
      <w:r>
        <w:rPr>
          <w:rFonts w:hint="eastAsia" w:asciiTheme="minorEastAsia" w:hAnsiTheme="minorEastAsia" w:eastAsiaTheme="minorEastAsia" w:cstheme="minorEastAsia"/>
          <w:b/>
          <w:bCs/>
          <w:color w:val="auto"/>
          <w:sz w:val="21"/>
          <w:szCs w:val="21"/>
          <w:highlight w:val="none"/>
          <w:lang w:val="zh-CN"/>
        </w:rPr>
        <w:t>（服务类项目不适用本条款规定）</w:t>
      </w:r>
    </w:p>
    <w:p w14:paraId="31747494">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30.1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19CA3F1E">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30.2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0106615">
      <w:pPr>
        <w:pStyle w:val="29"/>
        <w:keepNext w:val="0"/>
        <w:keepLines w:val="0"/>
        <w:pageBreakBefore w:val="0"/>
        <w:numPr>
          <w:ilvl w:val="0"/>
          <w:numId w:val="0"/>
        </w:numPr>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rPr>
        <w:t>31.</w:t>
      </w:r>
      <w:r>
        <w:rPr>
          <w:rFonts w:hint="eastAsia" w:asciiTheme="minorEastAsia" w:hAnsiTheme="minorEastAsia" w:eastAsiaTheme="minorEastAsia" w:cstheme="minorEastAsia"/>
          <w:b/>
          <w:color w:val="auto"/>
          <w:kern w:val="0"/>
          <w:sz w:val="21"/>
          <w:szCs w:val="21"/>
          <w:highlight w:val="none"/>
        </w:rPr>
        <w:t>投标文件的比较与评价</w:t>
      </w:r>
    </w:p>
    <w:p w14:paraId="57108771">
      <w:pPr>
        <w:pStyle w:val="29"/>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评标委员会按照招标文件中规定的评标方法和标准，对符合性审查合格的投标文件进行商务和技术评估，综合比较与评价。</w:t>
      </w:r>
    </w:p>
    <w:p w14:paraId="09691254">
      <w:pPr>
        <w:pStyle w:val="29"/>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32.</w:t>
      </w:r>
      <w:r>
        <w:rPr>
          <w:rFonts w:hint="eastAsia" w:asciiTheme="minorEastAsia" w:hAnsiTheme="minorEastAsia" w:eastAsiaTheme="minorEastAsia" w:cstheme="minorEastAsia"/>
          <w:b/>
          <w:color w:val="auto"/>
          <w:kern w:val="0"/>
          <w:sz w:val="21"/>
          <w:szCs w:val="21"/>
          <w:highlight w:val="none"/>
        </w:rPr>
        <w:t>评标方法、评标标准</w:t>
      </w:r>
    </w:p>
    <w:p w14:paraId="05D31B88">
      <w:pPr>
        <w:pStyle w:val="29"/>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32.1</w:t>
      </w:r>
      <w:r>
        <w:rPr>
          <w:rFonts w:hint="eastAsia" w:asciiTheme="minorEastAsia" w:hAnsiTheme="minorEastAsia" w:eastAsiaTheme="minorEastAsia" w:cstheme="minorEastAsia"/>
          <w:color w:val="auto"/>
          <w:kern w:val="0"/>
          <w:sz w:val="21"/>
          <w:szCs w:val="21"/>
          <w:highlight w:val="none"/>
        </w:rPr>
        <w:t>评标方法分为最低评标价法和综合评分法。</w:t>
      </w:r>
    </w:p>
    <w:p w14:paraId="7F296381">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32.1.1</w:t>
      </w:r>
      <w:r>
        <w:rPr>
          <w:rFonts w:hint="eastAsia" w:asciiTheme="minorEastAsia" w:hAnsiTheme="minorEastAsia" w:eastAsiaTheme="minorEastAsia" w:cstheme="minorEastAsia"/>
          <w:color w:val="auto"/>
          <w:kern w:val="0"/>
          <w:sz w:val="21"/>
          <w:szCs w:val="21"/>
          <w:highlight w:val="none"/>
        </w:rPr>
        <w:t>最低评标价法</w:t>
      </w:r>
    </w:p>
    <w:p w14:paraId="0A22362B">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32.1.1.1</w:t>
      </w:r>
      <w:r>
        <w:rPr>
          <w:rFonts w:hint="eastAsia" w:asciiTheme="minorEastAsia" w:hAnsiTheme="minorEastAsia" w:eastAsiaTheme="minorEastAsia" w:cstheme="minorEastAsia"/>
          <w:color w:val="auto"/>
          <w:sz w:val="21"/>
          <w:szCs w:val="21"/>
          <w:highlight w:val="none"/>
        </w:rPr>
        <w:t>最低评标价法，是指投标文件满足招标文件全部实质性要求，且投标报价最低的投标人为中标候选人的评标方法。</w:t>
      </w:r>
    </w:p>
    <w:p w14:paraId="03B45668">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32.1.1.2</w:t>
      </w:r>
      <w:r>
        <w:rPr>
          <w:rFonts w:hint="eastAsia" w:asciiTheme="minorEastAsia" w:hAnsiTheme="minorEastAsia" w:eastAsiaTheme="minorEastAsia" w:cstheme="minorEastAsia"/>
          <w:color w:val="auto"/>
          <w:sz w:val="21"/>
          <w:szCs w:val="21"/>
          <w:highlight w:val="none"/>
        </w:rPr>
        <w:t>采用最低评标价法评标时，除了算术修正和落实政府采购政策需进行的价格扣除外，不能对投标人的投标价格进行任何调整。</w:t>
      </w:r>
    </w:p>
    <w:p w14:paraId="0414FC69">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32.1.2</w:t>
      </w:r>
      <w:r>
        <w:rPr>
          <w:rFonts w:hint="eastAsia" w:asciiTheme="minorEastAsia" w:hAnsiTheme="minorEastAsia" w:eastAsiaTheme="minorEastAsia" w:cstheme="minorEastAsia"/>
          <w:color w:val="auto"/>
          <w:sz w:val="21"/>
          <w:szCs w:val="21"/>
          <w:highlight w:val="none"/>
        </w:rPr>
        <w:t>综合评分法，是指投标文件满足招标文件全部实质性要求，且按照评审因素的量化指标评审得分最高的投标人为中标候选人的评标方法。</w:t>
      </w:r>
    </w:p>
    <w:p w14:paraId="42BFDF6E">
      <w:pPr>
        <w:pStyle w:val="29"/>
        <w:keepNext w:val="0"/>
        <w:keepLines w:val="0"/>
        <w:pageBreakBefore w:val="0"/>
        <w:numPr>
          <w:ilvl w:val="0"/>
          <w:numId w:val="0"/>
        </w:numPr>
        <w:kinsoku/>
        <w:overflowPunct/>
        <w:autoSpaceDE w:val="0"/>
        <w:autoSpaceDN w:val="0"/>
        <w:bidi w:val="0"/>
        <w:snapToGrid/>
        <w:spacing w:line="460" w:lineRule="exact"/>
        <w:ind w:left="991" w:leftChars="200" w:hanging="571" w:hangingChars="272"/>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32.2 </w:t>
      </w:r>
      <w:r>
        <w:rPr>
          <w:rFonts w:hint="eastAsia" w:asciiTheme="minorEastAsia" w:hAnsiTheme="minorEastAsia" w:eastAsiaTheme="minorEastAsia" w:cstheme="minorEastAsia"/>
          <w:color w:val="auto"/>
          <w:kern w:val="0"/>
          <w:sz w:val="21"/>
          <w:szCs w:val="21"/>
          <w:highlight w:val="none"/>
        </w:rPr>
        <w:t>价格分</w:t>
      </w:r>
    </w:p>
    <w:p w14:paraId="753D3EEE">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32.2.1</w:t>
      </w:r>
      <w:r>
        <w:rPr>
          <w:rFonts w:hint="eastAsia" w:asciiTheme="minorEastAsia" w:hAnsiTheme="minorEastAsia" w:eastAsiaTheme="minorEastAsia" w:cstheme="minorEastAsia"/>
          <w:color w:val="auto"/>
          <w:sz w:val="21"/>
          <w:szCs w:val="21"/>
          <w:highlight w:val="none"/>
        </w:rPr>
        <w:t>价格分采用低价优先法计算，即满足招标文件要求且投标价格最低的投标报价为评标基准价，其价格分为满分。其他投标人的价格分统一按照下列公式计算：</w:t>
      </w:r>
    </w:p>
    <w:p w14:paraId="1901D5C2">
      <w:pPr>
        <w:pStyle w:val="34"/>
        <w:keepNext w:val="0"/>
        <w:keepLines w:val="0"/>
        <w:pageBreakBefore w:val="0"/>
        <w:kinsoku/>
        <w:overflowPunct/>
        <w:bidi w:val="0"/>
        <w:snapToGrid/>
        <w:spacing w:line="460" w:lineRule="exact"/>
        <w:ind w:left="0" w:leftChars="0" w:firstLine="0" w:firstLineChars="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投标报价得分=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评标基准价/投标报价</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×100</w:t>
      </w:r>
    </w:p>
    <w:p w14:paraId="215557FE">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评标总得分=F1×A1+F2×A2+……+Fn×An</w:t>
      </w:r>
    </w:p>
    <w:p w14:paraId="1C8751E6">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F1、F2……Fn分别为各项评审因素的得分</w:t>
      </w:r>
      <w:r>
        <w:rPr>
          <w:rFonts w:hint="eastAsia" w:asciiTheme="minorEastAsia" w:hAnsiTheme="minorEastAsia" w:eastAsiaTheme="minorEastAsia" w:cstheme="minorEastAsia"/>
          <w:color w:val="auto"/>
          <w:sz w:val="21"/>
          <w:szCs w:val="21"/>
          <w:highlight w:val="none"/>
          <w:lang w:eastAsia="zh-CN"/>
        </w:rPr>
        <w:t>；</w:t>
      </w:r>
    </w:p>
    <w:p w14:paraId="4448FFEC">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A1、A2、……An 分别为各项评审因素所占的权重</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A1+A2+……+An=1</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p>
    <w:p w14:paraId="1B016D17">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32.2.2</w:t>
      </w:r>
      <w:r>
        <w:rPr>
          <w:rFonts w:hint="eastAsia" w:asciiTheme="minorEastAsia" w:hAnsiTheme="minorEastAsia" w:eastAsiaTheme="minorEastAsia" w:cstheme="minorEastAsia"/>
          <w:color w:val="auto"/>
          <w:sz w:val="21"/>
          <w:szCs w:val="21"/>
          <w:highlight w:val="none"/>
        </w:rPr>
        <w:t>评标过程中，不得去掉报价中的最高报价和最低报价。</w:t>
      </w:r>
    </w:p>
    <w:p w14:paraId="5AA8E801">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32.2.3</w:t>
      </w:r>
      <w:r>
        <w:rPr>
          <w:rFonts w:hint="eastAsia" w:asciiTheme="minorEastAsia" w:hAnsiTheme="minorEastAsia" w:eastAsiaTheme="minorEastAsia" w:cstheme="minorEastAsia"/>
          <w:color w:val="auto"/>
          <w:sz w:val="21"/>
          <w:szCs w:val="21"/>
          <w:highlight w:val="none"/>
        </w:rPr>
        <w:t>因落实政府采购政策进行价格调整的，以调整后的价格计算评标基准</w:t>
      </w:r>
      <w:r>
        <w:rPr>
          <w:rFonts w:hint="eastAsia" w:asciiTheme="minorEastAsia" w:hAnsiTheme="minorEastAsia" w:eastAsiaTheme="minorEastAsia" w:cstheme="minorEastAsia"/>
          <w:color w:val="auto"/>
          <w:kern w:val="0"/>
          <w:sz w:val="21"/>
          <w:szCs w:val="21"/>
          <w:highlight w:val="none"/>
        </w:rPr>
        <w:t>价和投标报价。</w:t>
      </w:r>
    </w:p>
    <w:p w14:paraId="349DEBB7">
      <w:pPr>
        <w:pStyle w:val="29"/>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32.3 </w:t>
      </w:r>
      <w:r>
        <w:rPr>
          <w:rFonts w:hint="eastAsia" w:asciiTheme="minorEastAsia" w:hAnsiTheme="minorEastAsia" w:eastAsiaTheme="minorEastAsia" w:cstheme="minorEastAsia"/>
          <w:b/>
          <w:color w:val="auto"/>
          <w:kern w:val="0"/>
          <w:sz w:val="21"/>
          <w:szCs w:val="21"/>
          <w:highlight w:val="none"/>
        </w:rPr>
        <w:t>本次评标具体评标方法、评标标准见（第六章 资格审查与评标）</w:t>
      </w:r>
      <w:r>
        <w:rPr>
          <w:rFonts w:hint="eastAsia" w:asciiTheme="minorEastAsia" w:hAnsiTheme="minorEastAsia" w:eastAsiaTheme="minorEastAsia" w:cstheme="minorEastAsia"/>
          <w:color w:val="auto"/>
          <w:kern w:val="0"/>
          <w:sz w:val="21"/>
          <w:szCs w:val="21"/>
          <w:highlight w:val="none"/>
        </w:rPr>
        <w:t>。</w:t>
      </w:r>
    </w:p>
    <w:p w14:paraId="4DC0CEE3">
      <w:pPr>
        <w:pStyle w:val="29"/>
        <w:keepNext w:val="0"/>
        <w:keepLines w:val="0"/>
        <w:pageBreakBefore w:val="0"/>
        <w:numPr>
          <w:ilvl w:val="0"/>
          <w:numId w:val="0"/>
        </w:numPr>
        <w:kinsoku/>
        <w:overflowPunct/>
        <w:autoSpaceDE w:val="0"/>
        <w:autoSpaceDN w:val="0"/>
        <w:bidi w:val="0"/>
        <w:snapToGrid/>
        <w:spacing w:line="460" w:lineRule="exact"/>
        <w:ind w:left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rPr>
        <w:t>33.</w:t>
      </w:r>
      <w:r>
        <w:rPr>
          <w:rFonts w:hint="eastAsia" w:asciiTheme="minorEastAsia" w:hAnsiTheme="minorEastAsia" w:eastAsiaTheme="minorEastAsia" w:cstheme="minorEastAsia"/>
          <w:b/>
          <w:color w:val="auto"/>
          <w:kern w:val="0"/>
          <w:sz w:val="21"/>
          <w:szCs w:val="21"/>
          <w:highlight w:val="none"/>
        </w:rPr>
        <w:t>推荐中标候选人</w:t>
      </w:r>
    </w:p>
    <w:p w14:paraId="29290C94">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33.1采用最低评标价法的，评标结果按投标报价由低到高顺序排列。投标报价相同的并列。投标文件满足招标文件全部实质性要求且投标报价最低的投标人为排名第一的中标候选人。</w:t>
      </w:r>
    </w:p>
    <w:p w14:paraId="254CCDF7">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33.2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82E399D">
      <w:pPr>
        <w:pStyle w:val="29"/>
        <w:keepNext w:val="0"/>
        <w:keepLines w:val="0"/>
        <w:pageBreakBefore w:val="0"/>
        <w:numPr>
          <w:ilvl w:val="0"/>
          <w:numId w:val="6"/>
        </w:numPr>
        <w:kinsoku/>
        <w:overflowPunct/>
        <w:autoSpaceDE w:val="0"/>
        <w:autoSpaceDN w:val="0"/>
        <w:bidi w:val="0"/>
        <w:snapToGrid/>
        <w:spacing w:line="460" w:lineRule="exact"/>
        <w:ind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评审意见无效情形</w:t>
      </w:r>
    </w:p>
    <w:p w14:paraId="4D165982">
      <w:pPr>
        <w:pStyle w:val="29"/>
        <w:keepNext w:val="0"/>
        <w:keepLines w:val="0"/>
        <w:pageBreakBefore w:val="0"/>
        <w:numPr>
          <w:ilvl w:val="0"/>
          <w:numId w:val="0"/>
        </w:numPr>
        <w:kinsoku/>
        <w:overflowPunct/>
        <w:autoSpaceDE w:val="0"/>
        <w:autoSpaceDN w:val="0"/>
        <w:bidi w:val="0"/>
        <w:snapToGrid/>
        <w:spacing w:line="460" w:lineRule="exact"/>
        <w:ind w:left="991" w:leftChars="200" w:hanging="571" w:hangingChars="272"/>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w:t>
      </w:r>
      <w:r>
        <w:rPr>
          <w:rFonts w:hint="eastAsia" w:asciiTheme="minorEastAsia" w:hAnsiTheme="minorEastAsia" w:eastAsiaTheme="minorEastAsia" w:cstheme="minorEastAsia"/>
          <w:color w:val="auto"/>
          <w:kern w:val="0"/>
          <w:sz w:val="21"/>
          <w:szCs w:val="21"/>
          <w:highlight w:val="none"/>
        </w:rPr>
        <w:t>评标委员会及其成员有下列行为之一的，其评审意见无效：</w:t>
      </w:r>
    </w:p>
    <w:p w14:paraId="2406BAA0">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34.1.1</w:t>
      </w:r>
      <w:r>
        <w:rPr>
          <w:rFonts w:hint="eastAsia" w:asciiTheme="minorEastAsia" w:hAnsiTheme="minorEastAsia" w:eastAsiaTheme="minorEastAsia" w:cstheme="minorEastAsia"/>
          <w:color w:val="auto"/>
          <w:kern w:val="0"/>
          <w:sz w:val="21"/>
          <w:szCs w:val="21"/>
          <w:highlight w:val="none"/>
        </w:rPr>
        <w:t>确定参与评标至评标结束前私自接触投标人；</w:t>
      </w:r>
    </w:p>
    <w:p w14:paraId="6151AA7E">
      <w:pPr>
        <w:pStyle w:val="34"/>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34.1.2接受投标人提出的与投标文件不一致的澄清或者说明，《投标人须知》第26条规定的情形除外；</w:t>
      </w:r>
    </w:p>
    <w:p w14:paraId="2801E75C">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34.1.3</w:t>
      </w:r>
      <w:r>
        <w:rPr>
          <w:rFonts w:hint="eastAsia" w:asciiTheme="minorEastAsia" w:hAnsiTheme="minorEastAsia" w:eastAsiaTheme="minorEastAsia" w:cstheme="minorEastAsia"/>
          <w:color w:val="auto"/>
          <w:kern w:val="0"/>
          <w:sz w:val="21"/>
          <w:szCs w:val="21"/>
          <w:highlight w:val="none"/>
        </w:rPr>
        <w:t>违反评标纪律发表倾向性意见或者征询采购人的倾向性意见；</w:t>
      </w:r>
    </w:p>
    <w:p w14:paraId="737AA6FE">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34.1.4</w:t>
      </w:r>
      <w:r>
        <w:rPr>
          <w:rFonts w:hint="eastAsia" w:asciiTheme="minorEastAsia" w:hAnsiTheme="minorEastAsia" w:eastAsiaTheme="minorEastAsia" w:cstheme="minorEastAsia"/>
          <w:color w:val="auto"/>
          <w:kern w:val="0"/>
          <w:sz w:val="21"/>
          <w:szCs w:val="21"/>
          <w:highlight w:val="none"/>
        </w:rPr>
        <w:t>对需要专业判断的主观评审因素协商评分；</w:t>
      </w:r>
    </w:p>
    <w:p w14:paraId="226EE13F">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34.1.5</w:t>
      </w:r>
      <w:r>
        <w:rPr>
          <w:rFonts w:hint="eastAsia" w:asciiTheme="minorEastAsia" w:hAnsiTheme="minorEastAsia" w:eastAsiaTheme="minorEastAsia" w:cstheme="minorEastAsia"/>
          <w:color w:val="auto"/>
          <w:kern w:val="0"/>
          <w:sz w:val="21"/>
          <w:szCs w:val="21"/>
          <w:highlight w:val="none"/>
        </w:rPr>
        <w:t>在评标过程中擅离职守，影响评标程序正常进行的；</w:t>
      </w:r>
    </w:p>
    <w:p w14:paraId="2723C3D3">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34.1.6</w:t>
      </w:r>
      <w:r>
        <w:rPr>
          <w:rFonts w:hint="eastAsia" w:asciiTheme="minorEastAsia" w:hAnsiTheme="minorEastAsia" w:eastAsiaTheme="minorEastAsia" w:cstheme="minorEastAsia"/>
          <w:color w:val="auto"/>
          <w:kern w:val="0"/>
          <w:sz w:val="21"/>
          <w:szCs w:val="21"/>
          <w:highlight w:val="none"/>
        </w:rPr>
        <w:t>记录、复制或者带走任何评标资料；</w:t>
      </w:r>
    </w:p>
    <w:p w14:paraId="494454C7">
      <w:pPr>
        <w:pStyle w:val="29"/>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34.1.7</w:t>
      </w:r>
      <w:r>
        <w:rPr>
          <w:rFonts w:hint="eastAsia" w:asciiTheme="minorEastAsia" w:hAnsiTheme="minorEastAsia" w:eastAsiaTheme="minorEastAsia" w:cstheme="minorEastAsia"/>
          <w:color w:val="auto"/>
          <w:kern w:val="0"/>
          <w:sz w:val="21"/>
          <w:szCs w:val="21"/>
          <w:highlight w:val="none"/>
        </w:rPr>
        <w:t>其他不遵守评标纪律的行为。</w:t>
      </w:r>
    </w:p>
    <w:p w14:paraId="708A14F6">
      <w:pPr>
        <w:pStyle w:val="29"/>
        <w:keepNext w:val="0"/>
        <w:keepLines w:val="0"/>
        <w:pageBreakBefore w:val="0"/>
        <w:numPr>
          <w:ilvl w:val="0"/>
          <w:numId w:val="6"/>
        </w:numPr>
        <w:kinsoku/>
        <w:overflowPunct/>
        <w:autoSpaceDE w:val="0"/>
        <w:autoSpaceDN w:val="0"/>
        <w:bidi w:val="0"/>
        <w:snapToGrid/>
        <w:spacing w:line="460" w:lineRule="exact"/>
        <w:ind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保密</w:t>
      </w:r>
    </w:p>
    <w:p w14:paraId="1755F12B">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35.1</w:t>
      </w:r>
      <w:r>
        <w:rPr>
          <w:rFonts w:hint="eastAsia" w:asciiTheme="minorEastAsia" w:hAnsiTheme="minorEastAsia" w:eastAsiaTheme="minorEastAsia" w:cstheme="minorEastAsia"/>
          <w:color w:val="auto"/>
          <w:kern w:val="0"/>
          <w:sz w:val="21"/>
          <w:szCs w:val="21"/>
          <w:highlight w:val="none"/>
        </w:rPr>
        <w:t>评审专家应当遵守评审工作纪律，不得泄露评审文件、评审情况和评审中获悉的商业秘密。</w:t>
      </w:r>
    </w:p>
    <w:p w14:paraId="3D54DD80">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35.2采购人、采购代理机构应当采取必要措施，保证评标在严格保密的情况下进行。有关人员对评标情况以及在评标过程中获悉的国家秘密、商业秘密负有保密责任。</w:t>
      </w:r>
    </w:p>
    <w:p w14:paraId="4F0BCF8A">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六、定标和授予合同</w:t>
      </w:r>
    </w:p>
    <w:p w14:paraId="1D6A858C">
      <w:pPr>
        <w:pStyle w:val="29"/>
        <w:keepNext w:val="0"/>
        <w:keepLines w:val="0"/>
        <w:pageBreakBefore w:val="0"/>
        <w:numPr>
          <w:ilvl w:val="0"/>
          <w:numId w:val="6"/>
        </w:numPr>
        <w:kinsoku/>
        <w:overflowPunct/>
        <w:autoSpaceDE w:val="0"/>
        <w:autoSpaceDN w:val="0"/>
        <w:bidi w:val="0"/>
        <w:snapToGrid/>
        <w:spacing w:line="460" w:lineRule="exact"/>
        <w:ind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确定中标人</w:t>
      </w:r>
    </w:p>
    <w:p w14:paraId="795C8EEA">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36.1</w:t>
      </w:r>
      <w:r>
        <w:rPr>
          <w:rFonts w:hint="eastAsia" w:asciiTheme="minorEastAsia" w:hAnsiTheme="minorEastAsia" w:eastAsiaTheme="minorEastAsia" w:cstheme="minorEastAsia"/>
          <w:color w:val="auto"/>
          <w:kern w:val="0"/>
          <w:sz w:val="21"/>
          <w:szCs w:val="21"/>
          <w:highlight w:val="none"/>
        </w:rPr>
        <w:t>采购人应当自收到评标报告之日起1个工作日内，在评标报告确定的中标候选人名单中按顺序确定中标人（核验中标供应商由《禹州市政府采购供应商信用承诺函》替代的证明材料）。中标候选人并列的，由采购人采取随机抽取的方式确定。</w:t>
      </w:r>
    </w:p>
    <w:p w14:paraId="2B8741D4">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36.2</w:t>
      </w:r>
      <w:r>
        <w:rPr>
          <w:rFonts w:hint="eastAsia" w:asciiTheme="minorEastAsia" w:hAnsiTheme="minorEastAsia" w:eastAsiaTheme="minorEastAsia" w:cstheme="minorEastAsia"/>
          <w:color w:val="auto"/>
          <w:kern w:val="0"/>
          <w:sz w:val="21"/>
          <w:szCs w:val="21"/>
          <w:highlight w:val="none"/>
        </w:rPr>
        <w:t>采购人在收到评标报告1个工作日内未按评标报告推荐的中标候选人顺序确定中标人，又不能说明合法理由的，视同按评标报告推荐的顺序确定排名第一的中标候选人为中标人。</w:t>
      </w:r>
    </w:p>
    <w:p w14:paraId="59E89E90">
      <w:pPr>
        <w:pStyle w:val="29"/>
        <w:keepNext w:val="0"/>
        <w:keepLines w:val="0"/>
        <w:pageBreakBefore w:val="0"/>
        <w:numPr>
          <w:ilvl w:val="0"/>
          <w:numId w:val="6"/>
        </w:numPr>
        <w:kinsoku/>
        <w:overflowPunct/>
        <w:autoSpaceDE w:val="0"/>
        <w:autoSpaceDN w:val="0"/>
        <w:bidi w:val="0"/>
        <w:snapToGrid/>
        <w:spacing w:line="460" w:lineRule="exact"/>
        <w:ind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中标公告、发出中标通知书</w:t>
      </w:r>
    </w:p>
    <w:p w14:paraId="1580DC7F">
      <w:pPr>
        <w:pStyle w:val="29"/>
        <w:keepNext w:val="0"/>
        <w:keepLines w:val="0"/>
        <w:pageBreakBefore w:val="0"/>
        <w:numPr>
          <w:ilvl w:val="0"/>
          <w:numId w:val="0"/>
        </w:numPr>
        <w:kinsoku/>
        <w:overflowPunct/>
        <w:autoSpaceDE w:val="0"/>
        <w:autoSpaceDN w:val="0"/>
        <w:bidi w:val="0"/>
        <w:snapToGrid/>
        <w:spacing w:line="460" w:lineRule="exact"/>
        <w:ind w:left="840" w:leftChars="200" w:hanging="420" w:hanging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37.1采购人确认中标人后公告中标结果的同时，向中标人发出中标通知书。</w:t>
      </w:r>
    </w:p>
    <w:p w14:paraId="42382EB6">
      <w:pPr>
        <w:pStyle w:val="29"/>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37.2中标通知书发出后，采购人不得违法改变中标结果，中标人无正当理由不得放弃中标。</w:t>
      </w:r>
    </w:p>
    <w:p w14:paraId="179F8806">
      <w:pPr>
        <w:pStyle w:val="29"/>
        <w:keepNext w:val="0"/>
        <w:keepLines w:val="0"/>
        <w:pageBreakBefore w:val="0"/>
        <w:numPr>
          <w:ilvl w:val="0"/>
          <w:numId w:val="6"/>
        </w:numPr>
        <w:kinsoku/>
        <w:overflowPunct/>
        <w:autoSpaceDE w:val="0"/>
        <w:autoSpaceDN w:val="0"/>
        <w:bidi w:val="0"/>
        <w:snapToGrid/>
        <w:spacing w:line="460" w:lineRule="exact"/>
        <w:ind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质疑提出与答复</w:t>
      </w:r>
    </w:p>
    <w:p w14:paraId="0BDDF6AF">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38.1供应商认为采购文件、采购过程和中标结果使自己的权益受到损害的，可以按照《政府采购质疑和投诉办法》（财政部令第94号）质疑。提出质疑的供应商应当是参与本项目采购活动的供应商。提出时应按照《政府采购质疑和投诉办法》（财政部令第94号）第十二条规定提交质疑函和必要的证明材料，质疑提出后潜在投标人应及时联系招标公告中代理机构联系人查看。如未提出视为全面接受。</w:t>
      </w:r>
    </w:p>
    <w:p w14:paraId="77E308C1">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38.1.1对采购文件提出质疑的，潜在投标人应已依法获取采购文件，且应当在获取采购文件或者采购文件公告期限届满之日起7个工作日内使用CA数字证书或CA移动数字证书登录 《全国公共资源交易平台（河南省·许昌市）》（https://ggzy.xuchang.gov.cn/），通过许昌市公共资源电子交易系统一次性提出，逾期提交或未按照要求提交的质疑函将不予受理。质疑提出后潜在投标人应及时联系招标公告中代理机构联系人查看。</w:t>
      </w:r>
    </w:p>
    <w:p w14:paraId="56FD888C">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38.1.2对采购过程提出质疑的，为各采购程序环节结束之日起七个工作日内，投标人使 用CA数字证书或CA移动数字证书登录《全国公共资源交易平台（河南省·许昌市）》 （https://ggzy.xuchang.gov.cn/），通过许昌市公共资源电子交易系统一次性提出，逾期提交或未按照要求提交的质疑函将不予受理。质疑提出后投标人应及时联系招标公告中代理机构联系人查看。</w:t>
      </w:r>
    </w:p>
    <w:p w14:paraId="70AD0CBB">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38.1.3对中标结果提出质疑的，为中标结果公告期限届满之日起七个工作日内，投标人使用CA数字证书或CA移动数字证书登录《全国公共资源交易平台（河南省·许昌市）》（https://ggzy.xuchang.gov.cn/），通过许昌市公共资源电子交易系统 一次性提出，逾期提交或未按照要求提交的质疑函将不予受理。质疑提出后投标 人应及时联系招标公告中代理机构联系人查看。</w:t>
      </w:r>
    </w:p>
    <w:p w14:paraId="6467752A">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38.2采购人、采购代理机构认为供应商质疑不成立，或者成立但未对中标结果构成影响的，在收到质疑函7个工作日内通过《全国公共资源交易平台（河南省·许昌市）》交易系统作出答复，并继续开展采购活动；认为供应商质疑成立且影响或者可能影响中标结果的，在收到质疑函7个工作日内通过《全国公共资源交易平台（河南省·许昌市）》交易系统作出答复，并按照下列情况处理。</w:t>
      </w:r>
    </w:p>
    <w:p w14:paraId="01E4642C">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38.2.1对采购文件提出的质疑，依法通过澄清或者修改可以继续开展采购活动的，澄清或者修改采购文件后继续开展采购活动；否则应当修改采购文件后重新开展采购活动。</w:t>
      </w:r>
    </w:p>
    <w:p w14:paraId="6A0D2B2D">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38.2.2对采购过程、中标结果提出的质疑，合格供应商符合法定数量时，可以从合格的中标候选人中另行确定中标供应商的，应当依法另行确定中标供应商；否则应当重新开展采购活动。</w:t>
      </w:r>
    </w:p>
    <w:p w14:paraId="600AD887">
      <w:pPr>
        <w:keepNext w:val="0"/>
        <w:keepLines w:val="0"/>
        <w:pageBreakBefore w:val="0"/>
        <w:widowControl/>
        <w:suppressLineNumbers w:val="0"/>
        <w:kinsoku/>
        <w:overflowPunct/>
        <w:bidi w:val="0"/>
        <w:snapToGrid/>
        <w:spacing w:line="46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39. 投诉 </w:t>
      </w:r>
    </w:p>
    <w:p w14:paraId="2D074F9A">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39.1若对质疑答复不满意或质疑答复未在答复期限内作出，质疑供应商可在答复期满后15个工作日内按照《政府采购质疑和投诉办法》的有关规定向招标文件第一章载明的本项目监督管理部门提起投诉。 </w:t>
      </w:r>
    </w:p>
    <w:p w14:paraId="775A7463">
      <w:pPr>
        <w:keepNext w:val="0"/>
        <w:keepLines w:val="0"/>
        <w:pageBreakBefore w:val="0"/>
        <w:widowControl/>
        <w:suppressLineNumbers w:val="0"/>
        <w:kinsoku/>
        <w:overflowPunct/>
        <w:bidi w:val="0"/>
        <w:snapToGrid/>
        <w:spacing w:line="460" w:lineRule="exact"/>
        <w:ind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39.2投诉应有明确的请求和必要的证明材料，投诉的事项不得超出已质疑事项的范围。</w:t>
      </w:r>
    </w:p>
    <w:p w14:paraId="4F4B6F58">
      <w:pPr>
        <w:keepNext w:val="0"/>
        <w:keepLines w:val="0"/>
        <w:pageBreakBefore w:val="0"/>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bidi="ar-SA"/>
        </w:rPr>
        <w:t xml:space="preserve">40. </w:t>
      </w:r>
      <w:r>
        <w:rPr>
          <w:rFonts w:hint="eastAsia" w:asciiTheme="minorEastAsia" w:hAnsiTheme="minorEastAsia" w:eastAsiaTheme="minorEastAsia" w:cstheme="minorEastAsia"/>
          <w:b/>
          <w:color w:val="auto"/>
          <w:kern w:val="0"/>
          <w:sz w:val="21"/>
          <w:szCs w:val="21"/>
          <w:highlight w:val="none"/>
        </w:rPr>
        <w:t>签订合同与备案</w:t>
      </w:r>
    </w:p>
    <w:p w14:paraId="39ADD95C">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采购人应当自中标通知书发出之日起15日内，按照招标文件和中标人投标文件的规定，与中标人签订书面合同。所签订的合同不得对招标文件确定的事项和中标人投标文件作实质性修改。</w:t>
      </w:r>
    </w:p>
    <w:p w14:paraId="4466BAE1">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采购人自采购合同签订之日起2个工作日内，到禹州市政府采购监督管理办公室进行合同备案，并登录“河南省政府采购网”进行网上备案。</w:t>
      </w:r>
    </w:p>
    <w:p w14:paraId="387B5AE8">
      <w:pPr>
        <w:keepNext w:val="0"/>
        <w:keepLines w:val="0"/>
        <w:pageBreakBefore w:val="0"/>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rPr>
        <w:t>41.</w:t>
      </w:r>
      <w:r>
        <w:rPr>
          <w:rFonts w:hint="eastAsia" w:asciiTheme="minorEastAsia" w:hAnsiTheme="minorEastAsia" w:eastAsiaTheme="minorEastAsia" w:cstheme="minorEastAsia"/>
          <w:b/>
          <w:color w:val="auto"/>
          <w:kern w:val="0"/>
          <w:sz w:val="21"/>
          <w:szCs w:val="21"/>
          <w:highlight w:val="none"/>
        </w:rPr>
        <w:t>履约保证金</w:t>
      </w:r>
    </w:p>
    <w:p w14:paraId="398F7DFD">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“投标人须知前附表”中规定中标人提交履约保证金的，中标人应当以支票、汇票、本票或者金融机构、担保机构出具的保函等非现金形式向采购人提交。履约保证金的数额不得超过政府采购合同金额的10%。</w:t>
      </w:r>
    </w:p>
    <w:p w14:paraId="3734034A">
      <w:pPr>
        <w:pStyle w:val="29"/>
        <w:keepNext w:val="0"/>
        <w:keepLines w:val="0"/>
        <w:pageBreakBefore w:val="0"/>
        <w:numPr>
          <w:ilvl w:val="0"/>
          <w:numId w:val="0"/>
        </w:numPr>
        <w:kinsoku/>
        <w:overflowPunct/>
        <w:autoSpaceDE w:val="0"/>
        <w:autoSpaceDN w:val="0"/>
        <w:bidi w:val="0"/>
        <w:snapToGrid/>
        <w:spacing w:line="460" w:lineRule="exact"/>
        <w:ind w:leftChars="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rPr>
        <w:t>42.</w:t>
      </w:r>
      <w:r>
        <w:rPr>
          <w:rFonts w:hint="eastAsia" w:asciiTheme="minorEastAsia" w:hAnsiTheme="minorEastAsia" w:eastAsiaTheme="minorEastAsia" w:cstheme="minorEastAsia"/>
          <w:b/>
          <w:color w:val="auto"/>
          <w:kern w:val="0"/>
          <w:sz w:val="21"/>
          <w:szCs w:val="21"/>
          <w:highlight w:val="none"/>
        </w:rPr>
        <w:t>政府采购合同融资</w:t>
      </w:r>
    </w:p>
    <w:p w14:paraId="627D7670">
      <w:pPr>
        <w:pStyle w:val="29"/>
        <w:keepNext w:val="0"/>
        <w:keepLines w:val="0"/>
        <w:pageBreakBefore w:val="0"/>
        <w:numPr>
          <w:ilvl w:val="0"/>
          <w:numId w:val="0"/>
        </w:numPr>
        <w:kinsoku/>
        <w:wordWrap w:val="0"/>
        <w:overflowPunct/>
        <w:topLinePunct/>
        <w:autoSpaceDE w:val="0"/>
        <w:autoSpaceDN w:val="0"/>
        <w:bidi w:val="0"/>
        <w:adjustRightInd w:val="0"/>
        <w:snapToGrid/>
        <w:spacing w:line="460" w:lineRule="exact"/>
        <w:ind w:leftChars="0" w:firstLine="420" w:firstLineChars="200"/>
        <w:contextualSpacing/>
        <w:textAlignment w:val="auto"/>
        <w:outlineLvl w:val="3"/>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42.1</w:t>
      </w:r>
      <w:r>
        <w:rPr>
          <w:rFonts w:hint="eastAsia" w:asciiTheme="minorEastAsia" w:hAnsiTheme="minorEastAsia" w:eastAsiaTheme="minorEastAsia" w:cstheme="minorEastAsia"/>
          <w:color w:val="auto"/>
          <w:kern w:val="0"/>
          <w:sz w:val="21"/>
          <w:szCs w:val="21"/>
          <w:highlight w:val="none"/>
        </w:rPr>
        <w:t>缓解中小企业融资难题</w:t>
      </w:r>
    </w:p>
    <w:p w14:paraId="09D16031">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650FC8EA">
      <w:pPr>
        <w:keepNext w:val="0"/>
        <w:keepLines w:val="0"/>
        <w:pageBreakBefore w:val="0"/>
        <w:kinsoku/>
        <w:overflowPunct/>
        <w:autoSpaceDE w:val="0"/>
        <w:autoSpaceDN w:val="0"/>
        <w:bidi w:val="0"/>
        <w:snapToGrid/>
        <w:spacing w:line="460" w:lineRule="exact"/>
        <w:ind w:firstLine="420" w:firstLineChars="200"/>
        <w:contextualSpacing/>
        <w:jc w:val="left"/>
        <w:textAlignment w:val="auto"/>
        <w:outlineLvl w:val="3"/>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42</w:t>
      </w:r>
      <w:r>
        <w:rPr>
          <w:rFonts w:hint="eastAsia" w:asciiTheme="minorEastAsia" w:hAnsiTheme="minorEastAsia" w:eastAsiaTheme="minorEastAsia" w:cstheme="minorEastAsia"/>
          <w:color w:val="auto"/>
          <w:kern w:val="0"/>
          <w:sz w:val="21"/>
          <w:szCs w:val="21"/>
          <w:highlight w:val="none"/>
        </w:rPr>
        <w:t>.2合作金融机构（排名不分先后）</w:t>
      </w:r>
    </w:p>
    <w:p w14:paraId="6D0CB88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1）合作金融机构名称：中原银行许昌分行（小微金融部）</w:t>
      </w:r>
    </w:p>
    <w:p w14:paraId="760E942E">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联系人及电话：陈阳 13137407575   方金龙  15836539901</w:t>
      </w:r>
    </w:p>
    <w:p w14:paraId="5FAEC6F3">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地址：许昌市建安大道与紫云路交汇处中原银行</w:t>
      </w:r>
    </w:p>
    <w:p w14:paraId="1449EE4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2）合作金融机构名称：浦发银行许昌分行</w:t>
      </w:r>
    </w:p>
    <w:p w14:paraId="00DCBA27">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联系人及电话：赵勇  0374-7313569、7313502 18937459920</w:t>
      </w:r>
    </w:p>
    <w:p w14:paraId="342EE7A4">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地址：许昌市许继大道1163号许继花园</w:t>
      </w:r>
    </w:p>
    <w:p w14:paraId="51EBF63B">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3）合作金融机构名称：交通银行许昌分行</w:t>
      </w:r>
    </w:p>
    <w:p w14:paraId="66E5EE3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联系人：宋纪刚  0374-2369912  13733951305</w:t>
      </w:r>
    </w:p>
    <w:p w14:paraId="07145FB4">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地址：许昌市莲城大道114号</w:t>
      </w:r>
    </w:p>
    <w:p w14:paraId="49DCCBB2">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4）合作金融机构名称：光大银行许昌分行</w:t>
      </w:r>
    </w:p>
    <w:p w14:paraId="4425589F">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联系人：李东磊  0374-2928168 18569936868</w:t>
      </w:r>
    </w:p>
    <w:p w14:paraId="3E745BA5">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地址：许昌市魏都区八一</w:t>
      </w:r>
      <w:r>
        <w:rPr>
          <w:rFonts w:hint="eastAsia" w:asciiTheme="minorEastAsia" w:hAnsiTheme="minorEastAsia" w:eastAsiaTheme="minorEastAsia" w:cstheme="minorEastAsia"/>
          <w:color w:val="auto"/>
          <w:kern w:val="0"/>
          <w:sz w:val="21"/>
          <w:szCs w:val="21"/>
          <w:highlight w:val="none"/>
          <w:lang w:eastAsia="zh-CN"/>
        </w:rPr>
        <w:t>路与</w:t>
      </w:r>
      <w:r>
        <w:rPr>
          <w:rFonts w:hint="eastAsia" w:asciiTheme="minorEastAsia" w:hAnsiTheme="minorEastAsia" w:eastAsiaTheme="minorEastAsia" w:cstheme="minorEastAsia"/>
          <w:color w:val="auto"/>
          <w:kern w:val="0"/>
          <w:sz w:val="21"/>
          <w:szCs w:val="21"/>
          <w:highlight w:val="none"/>
        </w:rPr>
        <w:t>文峰路交叉口西北角</w:t>
      </w:r>
    </w:p>
    <w:p w14:paraId="17627F5F">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5）合作金融机构名称：招商银行许昌分行</w:t>
      </w:r>
    </w:p>
    <w:p w14:paraId="59F28F36">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联系人及电话：崔星迪  0374-5376058  18839983051</w:t>
      </w:r>
    </w:p>
    <w:p w14:paraId="129ADCED">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地址：许昌市建安大道中段新天下AB座</w:t>
      </w:r>
    </w:p>
    <w:p w14:paraId="0EBADB5F">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6）合作金融机构名称：邮储银行许昌市分行</w:t>
      </w:r>
    </w:p>
    <w:p w14:paraId="793BAE3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联系人及电话：张彦峰13839001972 武松涛18839902679</w:t>
      </w:r>
    </w:p>
    <w:p w14:paraId="3C19518D">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徐亚爽15038297574</w:t>
      </w:r>
    </w:p>
    <w:p w14:paraId="1A3FD695">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地址：许昌市莲城大道邮储银行莲城支行二楼</w:t>
      </w:r>
    </w:p>
    <w:p w14:paraId="35C4E2C9">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7）合作金融机构名称：中国银行许昌分行</w:t>
      </w:r>
    </w:p>
    <w:p w14:paraId="407C60F7">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联系人及电话：白炜 13938772680   刘晓飞  0374-3338596</w:t>
      </w:r>
    </w:p>
    <w:p w14:paraId="19EBD67E">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地址：许昌市魏都区建设路1488号</w:t>
      </w:r>
    </w:p>
    <w:p w14:paraId="27FBB5AA">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8）合作金融机构名称：中信银行郑州红专路支行</w:t>
      </w:r>
    </w:p>
    <w:p w14:paraId="2F8840DB">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联系人：韩晨  13253490679</w:t>
      </w:r>
    </w:p>
    <w:p w14:paraId="1DCE5006">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地址：郑州市金水区经三路北26号中信银行郑州红专路支行</w:t>
      </w:r>
    </w:p>
    <w:p w14:paraId="0510FAAE">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9）合作金融机构名称：郑州银行许昌分行 </w:t>
      </w:r>
    </w:p>
    <w:p w14:paraId="7D3FB8B7">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联系人：王晶 0374-2298011 18339062222 </w:t>
      </w:r>
    </w:p>
    <w:p w14:paraId="111B618C">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地址：河南省许昌市魏都区莲城大道与魏文路交叉口西南角亨通君成国际大厦 </w:t>
      </w:r>
    </w:p>
    <w:p w14:paraId="22A973C6">
      <w:pPr>
        <w:keepNext w:val="0"/>
        <w:keepLines w:val="0"/>
        <w:pageBreakBefore w:val="0"/>
        <w:numPr>
          <w:ilvl w:val="0"/>
          <w:numId w:val="0"/>
        </w:numPr>
        <w:kinsoku/>
        <w:wordWrap w:val="0"/>
        <w:overflowPunct/>
        <w:topLinePunct/>
        <w:autoSpaceDE w:val="0"/>
        <w:autoSpaceDN w:val="0"/>
        <w:bidi w:val="0"/>
        <w:adjustRightInd w:val="0"/>
        <w:snapToGrid/>
        <w:spacing w:line="460" w:lineRule="exact"/>
        <w:ind w:leftChars="0" w:firstLine="420" w:firstLineChars="200"/>
        <w:contextualSpacing/>
        <w:textAlignment w:val="auto"/>
        <w:outlineLvl w:val="3"/>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42.3</w:t>
      </w:r>
      <w:r>
        <w:rPr>
          <w:rFonts w:hint="eastAsia" w:asciiTheme="minorEastAsia" w:hAnsiTheme="minorEastAsia" w:eastAsiaTheme="minorEastAsia" w:cstheme="minorEastAsia"/>
          <w:color w:val="auto"/>
          <w:kern w:val="0"/>
          <w:sz w:val="21"/>
          <w:szCs w:val="21"/>
          <w:highlight w:val="none"/>
        </w:rPr>
        <w:t xml:space="preserve"> “政府采购合同融资金融产品推介名录”链接</w:t>
      </w:r>
    </w:p>
    <w:p w14:paraId="0AEF08B6">
      <w:pPr>
        <w:keepNext w:val="0"/>
        <w:keepLines w:val="0"/>
        <w:pageBreakBefore w:val="0"/>
        <w:widowControl/>
        <w:suppressLineNumbers w:val="0"/>
        <w:kinsoku/>
        <w:overflowPunct/>
        <w:bidi w:val="0"/>
        <w:snapToGrid/>
        <w:spacing w:line="46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http://ccgp-henan.gov.cn/xuchang/content?infoId=1606365368231095</w:t>
      </w:r>
    </w:p>
    <w:p w14:paraId="57FD0413">
      <w:pPr>
        <w:autoSpaceDE w:val="0"/>
        <w:autoSpaceDN w:val="0"/>
        <w:spacing w:line="360" w:lineRule="auto"/>
        <w:contextualSpacing/>
        <w:rPr>
          <w:rFonts w:ascii="宋体" w:cs="宋体"/>
          <w:b/>
          <w:color w:val="auto"/>
          <w:szCs w:val="21"/>
          <w:highlight w:val="none"/>
        </w:rPr>
      </w:pPr>
      <w:r>
        <w:rPr>
          <w:rFonts w:ascii="宋体" w:hAnsi="宋体" w:cs="宋体"/>
          <w:b/>
          <w:color w:val="auto"/>
          <w:szCs w:val="21"/>
          <w:highlight w:val="none"/>
        </w:rPr>
        <w:t>4</w:t>
      </w:r>
      <w:r>
        <w:rPr>
          <w:rFonts w:hint="eastAsia" w:ascii="宋体" w:hAnsi="宋体" w:cs="宋体"/>
          <w:b/>
          <w:color w:val="auto"/>
          <w:szCs w:val="21"/>
          <w:highlight w:val="none"/>
        </w:rPr>
        <w:t>3</w:t>
      </w:r>
      <w:r>
        <w:rPr>
          <w:rFonts w:ascii="宋体" w:hAnsi="宋体" w:cs="宋体"/>
          <w:b/>
          <w:color w:val="auto"/>
          <w:szCs w:val="21"/>
          <w:highlight w:val="none"/>
        </w:rPr>
        <w:t xml:space="preserve">. </w:t>
      </w:r>
      <w:r>
        <w:rPr>
          <w:rFonts w:hint="eastAsia" w:ascii="宋体" w:hAnsi="宋体" w:cs="宋体"/>
          <w:b/>
          <w:color w:val="auto"/>
          <w:szCs w:val="21"/>
          <w:highlight w:val="none"/>
        </w:rPr>
        <w:t>其他</w:t>
      </w:r>
    </w:p>
    <w:p w14:paraId="313B33CD">
      <w:pPr>
        <w:tabs>
          <w:tab w:val="left" w:pos="1260"/>
        </w:tabs>
        <w:autoSpaceDE w:val="0"/>
        <w:autoSpaceDN w:val="0"/>
        <w:spacing w:line="360" w:lineRule="auto"/>
        <w:ind w:firstLine="420" w:firstLineChars="200"/>
        <w:contextualSpacing/>
        <w:jc w:val="left"/>
        <w:rPr>
          <w:rFonts w:hint="eastAsia" w:ascii="宋体" w:hAnsi="宋体" w:eastAsia="宋体" w:cs="宋体"/>
          <w:b/>
          <w:color w:val="auto"/>
          <w:kern w:val="0"/>
          <w:sz w:val="32"/>
          <w:szCs w:val="32"/>
        </w:rPr>
      </w:pPr>
      <w:r>
        <w:rPr>
          <w:rFonts w:hint="eastAsia" w:ascii="宋体" w:hAnsi="宋体" w:cs="宋体"/>
          <w:color w:val="auto"/>
          <w:kern w:val="0"/>
          <w:szCs w:val="21"/>
          <w:highlight w:val="none"/>
        </w:rPr>
        <w:t>本次招标文件未尽事项，以法律法规规定的为准。</w:t>
      </w:r>
    </w:p>
    <w:p w14:paraId="6280F390">
      <w:pPr>
        <w:autoSpaceDE w:val="0"/>
        <w:autoSpaceDN w:val="0"/>
        <w:spacing w:line="360" w:lineRule="auto"/>
        <w:contextualSpacing/>
        <w:jc w:val="center"/>
        <w:rPr>
          <w:rFonts w:hint="eastAsia" w:ascii="宋体" w:hAnsi="宋体" w:eastAsia="宋体" w:cs="宋体"/>
          <w:b/>
          <w:color w:val="auto"/>
          <w:kern w:val="0"/>
          <w:sz w:val="30"/>
          <w:szCs w:val="30"/>
        </w:rPr>
      </w:pPr>
    </w:p>
    <w:p w14:paraId="2B89D265">
      <w:pPr>
        <w:autoSpaceDE w:val="0"/>
        <w:autoSpaceDN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第五章 政府采购政策功能</w:t>
      </w:r>
    </w:p>
    <w:p w14:paraId="2B89D266">
      <w:pPr>
        <w:pStyle w:val="8"/>
        <w:keepNext w:val="0"/>
        <w:keepLines w:val="0"/>
        <w:pageBreakBefore w:val="0"/>
        <w:widowControl w:val="0"/>
        <w:kinsoku/>
        <w:wordWrap/>
        <w:overflowPunct/>
        <w:autoSpaceDE/>
        <w:autoSpaceDN/>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 w:val="21"/>
          <w:szCs w:val="21"/>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14:paraId="2B89D267">
      <w:pPr>
        <w:pStyle w:val="8"/>
        <w:keepNext w:val="0"/>
        <w:keepLines w:val="0"/>
        <w:pageBreakBefore w:val="0"/>
        <w:widowControl w:val="0"/>
        <w:kinsoku/>
        <w:wordWrap/>
        <w:overflowPunct/>
        <w:autoSpaceDE/>
        <w:autoSpaceDN/>
        <w:bidi w:val="0"/>
        <w:adjustRightInd/>
        <w:snapToGrid/>
        <w:spacing w:line="460" w:lineRule="exact"/>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一、节约能源、保护环境</w:t>
      </w:r>
    </w:p>
    <w:p w14:paraId="2B89D268">
      <w:pPr>
        <w:pStyle w:val="8"/>
        <w:keepNext w:val="0"/>
        <w:keepLines w:val="0"/>
        <w:pageBreakBefore w:val="0"/>
        <w:widowControl w:val="0"/>
        <w:kinsoku/>
        <w:wordWrap/>
        <w:overflowPunct/>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按照《财政部、发展改革委、生态环境部、市场监管总局关于调整优化节能产品、环境标志产品政府采购执行机制的通知》（财库〔2019〕9号）和</w:t>
      </w:r>
      <w:r>
        <w:rPr>
          <w:rFonts w:hint="eastAsia" w:ascii="宋体" w:hAnsi="宋体" w:eastAsia="宋体" w:cs="宋体"/>
          <w:color w:val="auto"/>
          <w:sz w:val="21"/>
          <w:szCs w:val="21"/>
        </w:rPr>
        <w:t>财政部、生态环境部</w:t>
      </w:r>
      <w:r>
        <w:rPr>
          <w:rFonts w:hint="eastAsia" w:ascii="宋体" w:hAnsi="宋体" w:eastAsia="宋体" w:cs="宋体"/>
          <w:color w:val="auto"/>
          <w:sz w:val="21"/>
          <w:szCs w:val="21"/>
          <w:lang w:val="zh-CN"/>
        </w:rPr>
        <w:t>《关于印发环境标志产品政府采购品目清单的通知》</w:t>
      </w:r>
      <w:r>
        <w:rPr>
          <w:rFonts w:hint="eastAsia" w:ascii="宋体" w:hAnsi="宋体" w:eastAsia="宋体" w:cs="宋体"/>
          <w:color w:val="auto"/>
          <w:sz w:val="21"/>
          <w:szCs w:val="21"/>
        </w:rPr>
        <w:t>（财库〔2019〕18号）以及</w:t>
      </w:r>
      <w:r>
        <w:rPr>
          <w:rFonts w:hint="eastAsia" w:ascii="宋体" w:hAnsi="宋体" w:eastAsia="宋体" w:cs="宋体"/>
          <w:color w:val="auto"/>
          <w:sz w:val="21"/>
          <w:szCs w:val="21"/>
          <w:lang w:val="zh-CN"/>
        </w:rPr>
        <w:t>财政部、发展改革委</w:t>
      </w:r>
      <w:r>
        <w:rPr>
          <w:rFonts w:hint="eastAsia" w:ascii="宋体" w:hAnsi="宋体" w:eastAsia="宋体" w:cs="宋体"/>
          <w:color w:val="auto"/>
          <w:sz w:val="21"/>
          <w:szCs w:val="21"/>
        </w:rPr>
        <w:t>《关于印发节能产品政府采购品目清单的通知》（财库〔2019〕19号）</w:t>
      </w:r>
      <w:r>
        <w:rPr>
          <w:rFonts w:hint="eastAsia" w:ascii="宋体" w:hAnsi="宋体" w:eastAsia="宋体" w:cs="宋体"/>
          <w:color w:val="auto"/>
          <w:sz w:val="21"/>
          <w:szCs w:val="21"/>
          <w:lang w:val="zh-CN"/>
        </w:rPr>
        <w:t>，</w:t>
      </w:r>
      <w:r>
        <w:rPr>
          <w:rFonts w:hint="eastAsia" w:ascii="宋体" w:hAnsi="宋体" w:eastAsia="宋体" w:cs="宋体"/>
          <w:color w:val="auto"/>
          <w:sz w:val="21"/>
          <w:szCs w:val="21"/>
        </w:rPr>
        <w:t>采购政府强</w:t>
      </w:r>
      <w:r>
        <w:rPr>
          <w:rFonts w:hint="eastAsia" w:ascii="宋体" w:hAnsi="宋体" w:eastAsia="宋体" w:cs="宋体"/>
          <w:color w:val="auto"/>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2B89D269">
      <w:pPr>
        <w:pStyle w:val="8"/>
        <w:keepNext w:val="0"/>
        <w:keepLines w:val="0"/>
        <w:pageBreakBefore w:val="0"/>
        <w:widowControl w:val="0"/>
        <w:kinsoku/>
        <w:wordWrap/>
        <w:overflowPunct/>
        <w:autoSpaceDE/>
        <w:autoSpaceDN/>
        <w:bidi w:val="0"/>
        <w:adjustRightInd/>
        <w:snapToGrid/>
        <w:spacing w:line="460" w:lineRule="exact"/>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二、促进中小企业发展（不含民办非企业）</w:t>
      </w:r>
    </w:p>
    <w:p w14:paraId="2B133F99">
      <w:pPr>
        <w:topLinePunct/>
        <w:spacing w:line="360" w:lineRule="auto"/>
        <w:ind w:firstLine="420" w:firstLineChars="200"/>
        <w:contextualSpacing/>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（一）</w:t>
      </w:r>
      <w:r>
        <w:rPr>
          <w:rFonts w:hint="eastAsia" w:ascii="宋体" w:hAnsi="宋体" w:eastAsia="宋体" w:cs="宋体"/>
          <w:color w:val="auto"/>
          <w:szCs w:val="21"/>
          <w:highlight w:val="none"/>
          <w:lang w:val="en-US" w:eastAsia="zh-CN"/>
        </w:rPr>
        <w:t>专门面向中小微企业采购</w:t>
      </w:r>
    </w:p>
    <w:p w14:paraId="737DF033">
      <w:pPr>
        <w:shd w:val="clear"/>
        <w:topLinePunct/>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highlight w:val="none"/>
        </w:rPr>
        <w:t>（二）非</w:t>
      </w:r>
      <w:r>
        <w:rPr>
          <w:rFonts w:hint="eastAsia" w:ascii="宋体" w:hAnsi="宋体" w:eastAsia="宋体" w:cs="宋体"/>
          <w:color w:val="auto"/>
          <w:szCs w:val="21"/>
          <w:highlight w:val="none"/>
          <w:lang w:val="zh-CN"/>
        </w:rPr>
        <w:t>专门面向中小企业预留采购份额</w:t>
      </w:r>
    </w:p>
    <w:p w14:paraId="40CDE547">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本项目如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32206F26">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2.在货物采购项目中，供应商提供的货物既有中小企业制造货物，也有大型企业制造货物的，不享受《政府采购促进中小企业发展管理办法》（财库〔2020〕46号）规定的中小企业扶持政策。</w:t>
      </w:r>
    </w:p>
    <w:p w14:paraId="7A72D691">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3.以联合体形式参加政府采购活动，联合体各方均为中小企业的，联合体视同中小企业。其中，联合体各方均为小微企业的，联合体视同小微企业。</w:t>
      </w:r>
    </w:p>
    <w:p w14:paraId="1940D3D1">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4.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6%的扣除，用扣除后的价格参加评审。组成联合体或者接受分包的小微企业与联合体内其他企业、分包企业之间存在直接控股、管理关系的，不享受价格扣除优惠政策。</w:t>
      </w:r>
    </w:p>
    <w:p w14:paraId="50A08A64">
      <w:pPr>
        <w:shd w:val="clear"/>
        <w:topLinePunct/>
        <w:spacing w:line="360" w:lineRule="auto"/>
        <w:ind w:firstLine="420" w:firstLineChars="200"/>
        <w:contextualSpacing/>
        <w:rPr>
          <w:rFonts w:hint="eastAsia" w:ascii="宋体" w:hAnsi="宋体" w:eastAsia="宋体" w:cs="宋体"/>
          <w:b/>
          <w:bCs/>
          <w:color w:val="auto"/>
          <w:sz w:val="21"/>
          <w:szCs w:val="21"/>
          <w:highlight w:val="none"/>
          <w:lang w:val="zh-CN" w:eastAsia="zh-CN"/>
        </w:rPr>
      </w:pPr>
      <w:r>
        <w:rPr>
          <w:rFonts w:hint="eastAsia" w:ascii="宋体" w:hAnsi="宋体" w:eastAsia="宋体" w:cs="宋体"/>
          <w:color w:val="auto"/>
          <w:sz w:val="21"/>
          <w:szCs w:val="21"/>
          <w:highlight w:val="none"/>
          <w:lang w:val="zh-CN" w:eastAsia="zh-CN"/>
        </w:rPr>
        <w:t>5.按照本次采购标的所属行业的划型标准，符合条件的中小企业应按照</w:t>
      </w:r>
      <w:r>
        <w:rPr>
          <w:rFonts w:hint="eastAsia" w:asciiTheme="minorEastAsia" w:hAnsiTheme="minorEastAsia" w:cstheme="minorEastAsia"/>
          <w:bCs/>
          <w:sz w:val="22"/>
          <w:lang w:val="en-US" w:eastAsia="zh-CN"/>
        </w:rPr>
        <w:t>招标</w:t>
      </w:r>
      <w:r>
        <w:rPr>
          <w:rFonts w:hint="eastAsia" w:ascii="宋体" w:hAnsi="宋体" w:eastAsia="宋体" w:cs="宋体"/>
          <w:color w:val="auto"/>
          <w:sz w:val="21"/>
          <w:szCs w:val="21"/>
          <w:highlight w:val="none"/>
          <w:lang w:val="zh-CN" w:eastAsia="zh-CN"/>
        </w:rPr>
        <w:t>文件格式要求提供《中小企业声明函》，否则不得享受相关中小企业扶持政策。</w:t>
      </w:r>
    </w:p>
    <w:p w14:paraId="6D63FD19">
      <w:pPr>
        <w:topLinePunct/>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三、支持监狱企业发展</w:t>
      </w:r>
    </w:p>
    <w:p w14:paraId="2906A4D3">
      <w:pPr>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按照财政部、司法部发布的《关于政府采购支持监狱企业发展有关问题的通知》（</w:t>
      </w:r>
      <w:bookmarkStart w:id="1" w:name="OLE_LINK6"/>
      <w:r>
        <w:rPr>
          <w:rFonts w:hint="eastAsia" w:ascii="宋体" w:hAnsi="宋体" w:eastAsia="宋体" w:cs="宋体"/>
          <w:color w:val="auto"/>
          <w:szCs w:val="21"/>
          <w:highlight w:val="none"/>
          <w:lang w:val="zh-CN"/>
        </w:rPr>
        <w:t>财库〔2014〕68号</w:t>
      </w:r>
      <w:bookmarkEnd w:id="1"/>
      <w:r>
        <w:rPr>
          <w:rFonts w:hint="eastAsia" w:ascii="宋体" w:hAnsi="宋体" w:eastAsia="宋体" w:cs="宋体"/>
          <w:color w:val="auto"/>
          <w:szCs w:val="21"/>
          <w:highlight w:val="none"/>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2478DA58">
      <w:pPr>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四、促进残疾人就业</w:t>
      </w:r>
    </w:p>
    <w:p w14:paraId="562E8C6E">
      <w:pPr>
        <w:pStyle w:val="8"/>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宋体" w:hAnsi="宋体" w:eastAsia="宋体" w:cs="宋体"/>
          <w:color w:val="auto"/>
          <w:sz w:val="21"/>
          <w:szCs w:val="21"/>
          <w:highlight w:val="none"/>
        </w:rPr>
        <w:t>残疾人福利性单位属于小型、微型企业的，不重复享受政策。</w:t>
      </w:r>
    </w:p>
    <w:p w14:paraId="3A901D0D">
      <w:pPr>
        <w:pStyle w:val="8"/>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67468505">
      <w:pPr>
        <w:pStyle w:val="8"/>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3.中标人为残疾人福利性单位的，招标人应当随中标结果同时公告其《残疾人福利性单位声明函》，接受社会监督。</w:t>
      </w:r>
    </w:p>
    <w:p w14:paraId="0B6B89CA">
      <w:pPr>
        <w:topLinePunct/>
        <w:spacing w:line="360" w:lineRule="auto"/>
        <w:ind w:firstLine="420" w:firstLineChars="200"/>
        <w:contextualSpacing/>
        <w:rPr>
          <w:rFonts w:hint="eastAsia" w:asciiTheme="minorEastAsia" w:hAnsiTheme="minorEastAsia" w:eastAsiaTheme="minorEastAsia" w:cstheme="minorEastAsia"/>
          <w:color w:val="0000FF"/>
          <w:sz w:val="21"/>
          <w:szCs w:val="21"/>
          <w:highlight w:val="none"/>
          <w:lang w:val="zh-CN"/>
        </w:rPr>
      </w:pPr>
    </w:p>
    <w:p w14:paraId="11828EF6">
      <w:pPr>
        <w:pStyle w:val="8"/>
        <w:keepNext w:val="0"/>
        <w:keepLines w:val="0"/>
        <w:pageBreakBefore w:val="0"/>
        <w:widowControl w:val="0"/>
        <w:kinsoku/>
        <w:wordWrap/>
        <w:overflowPunct/>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p>
    <w:p w14:paraId="2B89D277">
      <w:pPr>
        <w:pStyle w:val="8"/>
        <w:spacing w:line="360" w:lineRule="auto"/>
        <w:ind w:left="282" w:hanging="282" w:hangingChars="78"/>
        <w:contextualSpacing/>
        <w:jc w:val="center"/>
        <w:rPr>
          <w:rFonts w:hint="eastAsia" w:ascii="宋体" w:hAnsi="宋体" w:eastAsia="宋体" w:cs="宋体"/>
          <w:b/>
          <w:color w:val="auto"/>
          <w:kern w:val="0"/>
          <w:sz w:val="36"/>
          <w:szCs w:val="36"/>
        </w:rPr>
      </w:pPr>
    </w:p>
    <w:p w14:paraId="2B89D278">
      <w:pPr>
        <w:pStyle w:val="6"/>
        <w:rPr>
          <w:rFonts w:hint="eastAsia" w:ascii="宋体" w:hAnsi="宋体" w:eastAsia="宋体" w:cs="宋体"/>
          <w:b/>
          <w:color w:val="auto"/>
          <w:kern w:val="0"/>
          <w:sz w:val="32"/>
          <w:szCs w:val="32"/>
        </w:rPr>
      </w:pPr>
    </w:p>
    <w:p w14:paraId="2B89D27C">
      <w:pPr>
        <w:pStyle w:val="25"/>
        <w:rPr>
          <w:rFonts w:hint="eastAsia" w:ascii="宋体" w:hAnsi="宋体" w:eastAsia="宋体" w:cs="宋体"/>
          <w:color w:val="auto"/>
        </w:rPr>
      </w:pPr>
    </w:p>
    <w:p w14:paraId="772D9DF7">
      <w:pPr>
        <w:pStyle w:val="26"/>
        <w:rPr>
          <w:rFonts w:hint="eastAsia" w:ascii="宋体" w:hAnsi="宋体" w:eastAsia="宋体" w:cs="宋体"/>
          <w:color w:val="auto"/>
        </w:rPr>
      </w:pPr>
    </w:p>
    <w:p w14:paraId="673D5B5D">
      <w:pPr>
        <w:rPr>
          <w:rFonts w:hint="eastAsia" w:ascii="宋体" w:hAnsi="宋体" w:eastAsia="宋体" w:cs="宋体"/>
          <w:color w:val="auto"/>
        </w:rPr>
      </w:pPr>
    </w:p>
    <w:p w14:paraId="5D3959F4">
      <w:pPr>
        <w:pStyle w:val="22"/>
        <w:rPr>
          <w:rFonts w:hint="eastAsia"/>
        </w:rPr>
      </w:pPr>
    </w:p>
    <w:p w14:paraId="4536691F">
      <w:pPr>
        <w:rPr>
          <w:rFonts w:hint="eastAsia" w:ascii="宋体" w:hAnsi="宋体" w:eastAsia="宋体" w:cs="宋体"/>
          <w:color w:val="auto"/>
        </w:rPr>
      </w:pPr>
    </w:p>
    <w:p w14:paraId="10EBF89C">
      <w:pPr>
        <w:rPr>
          <w:rFonts w:hint="eastAsia" w:ascii="宋体" w:hAnsi="宋体" w:eastAsia="宋体" w:cs="宋体"/>
          <w:color w:val="auto"/>
        </w:rPr>
      </w:pPr>
    </w:p>
    <w:p w14:paraId="2B89D27D">
      <w:pPr>
        <w:tabs>
          <w:tab w:val="left" w:pos="1260"/>
        </w:tabs>
        <w:autoSpaceDE w:val="0"/>
        <w:autoSpaceDN w:val="0"/>
        <w:adjustRightInd w:val="0"/>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第六章   资格审查与评标</w:t>
      </w:r>
    </w:p>
    <w:p w14:paraId="2B89D27E">
      <w:pPr>
        <w:pStyle w:val="8"/>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bCs/>
          <w:color w:val="auto"/>
          <w:sz w:val="21"/>
          <w:szCs w:val="21"/>
        </w:rPr>
      </w:pPr>
      <w:r>
        <w:rPr>
          <w:rFonts w:hint="eastAsia" w:ascii="宋体" w:hAnsi="宋体" w:eastAsia="宋体" w:cs="宋体"/>
          <w:b/>
          <w:color w:val="auto"/>
          <w:sz w:val="21"/>
          <w:szCs w:val="21"/>
          <w:lang w:val="zh-CN"/>
        </w:rPr>
        <w:t>一、资格审查</w:t>
      </w:r>
    </w:p>
    <w:p w14:paraId="2B89D27F">
      <w:pPr>
        <w:pStyle w:val="8"/>
        <w:keepNext w:val="0"/>
        <w:keepLines w:val="0"/>
        <w:pageBreakBefore w:val="0"/>
        <w:widowControl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（一）开标结束后，采购人依法对投标人资格进行审查。确定符合资格的投标人不少于 3 家的，将组织评标委员会进行评标。</w:t>
      </w:r>
    </w:p>
    <w:p w14:paraId="2B89D280">
      <w:pPr>
        <w:keepNext w:val="0"/>
        <w:keepLines w:val="0"/>
        <w:pageBreakBefore w:val="0"/>
        <w:widowControl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（二）资格证明材料（本栏所列内容为本项目的资格审查条件，如有一项不符合要求，则不能进入下一步评审）。</w:t>
      </w:r>
    </w:p>
    <w:p w14:paraId="2B89D281">
      <w:pPr>
        <w:keepNext w:val="0"/>
        <w:keepLines w:val="0"/>
        <w:pageBreakBefore w:val="0"/>
        <w:widowControl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（三）资格审查中所涉及的证书及材料，均须在电子投标文件中提供原件扫描件（或图片）。</w:t>
      </w:r>
    </w:p>
    <w:tbl>
      <w:tblPr>
        <w:tblStyle w:val="1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2B89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8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410" w:type="dxa"/>
            <w:vAlign w:val="center"/>
          </w:tcPr>
          <w:p w14:paraId="2B89D28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资格审查因素</w:t>
            </w:r>
          </w:p>
        </w:tc>
        <w:tc>
          <w:tcPr>
            <w:tcW w:w="5954" w:type="dxa"/>
            <w:vAlign w:val="center"/>
          </w:tcPr>
          <w:p w14:paraId="2B89D28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说明与要求</w:t>
            </w:r>
          </w:p>
        </w:tc>
      </w:tr>
      <w:tr w14:paraId="2B89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8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1</w:t>
            </w:r>
          </w:p>
        </w:tc>
        <w:tc>
          <w:tcPr>
            <w:tcW w:w="2410" w:type="dxa"/>
            <w:vAlign w:val="center"/>
          </w:tcPr>
          <w:p w14:paraId="2B89D28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投标函</w:t>
            </w:r>
          </w:p>
        </w:tc>
        <w:tc>
          <w:tcPr>
            <w:tcW w:w="5954" w:type="dxa"/>
            <w:vAlign w:val="center"/>
          </w:tcPr>
          <w:p w14:paraId="2B89D28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bCs/>
                <w:color w:val="auto"/>
                <w:szCs w:val="21"/>
              </w:rPr>
              <w:t>参考招标文件第八章3.1格式填写</w:t>
            </w:r>
          </w:p>
        </w:tc>
      </w:tr>
      <w:tr w14:paraId="2B89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8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2</w:t>
            </w:r>
          </w:p>
        </w:tc>
        <w:tc>
          <w:tcPr>
            <w:tcW w:w="2410" w:type="dxa"/>
            <w:vAlign w:val="center"/>
          </w:tcPr>
          <w:p w14:paraId="2B89D28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禹州市政府采购</w:t>
            </w:r>
          </w:p>
          <w:p w14:paraId="2B89D28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供应商信用承诺函</w:t>
            </w:r>
          </w:p>
        </w:tc>
        <w:tc>
          <w:tcPr>
            <w:tcW w:w="5954" w:type="dxa"/>
            <w:vAlign w:val="center"/>
          </w:tcPr>
          <w:p w14:paraId="2B89D28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按照招标文件第八章3.</w:t>
            </w:r>
            <w:r>
              <w:rPr>
                <w:rFonts w:hint="eastAsia" w:ascii="宋体" w:hAnsi="宋体" w:eastAsia="宋体" w:cs="宋体"/>
                <w:bCs/>
                <w:color w:val="auto"/>
                <w:szCs w:val="21"/>
              </w:rPr>
              <w:t>4</w:t>
            </w:r>
            <w:r>
              <w:rPr>
                <w:rFonts w:hint="eastAsia" w:ascii="宋体" w:hAnsi="宋体" w:eastAsia="宋体" w:cs="宋体"/>
                <w:bCs/>
                <w:color w:val="auto"/>
                <w:szCs w:val="21"/>
                <w:lang w:val="zh-CN"/>
              </w:rPr>
              <w:t>格式填写</w:t>
            </w:r>
          </w:p>
        </w:tc>
      </w:tr>
      <w:tr w14:paraId="771D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4075C637">
            <w:pPr>
              <w:spacing w:line="360" w:lineRule="auto"/>
              <w:jc w:val="center"/>
              <w:rPr>
                <w:rFonts w:hint="eastAsia" w:ascii="宋体" w:hAnsi="宋体" w:eastAsia="宋体" w:cs="宋体"/>
                <w:b/>
                <w:bCs/>
                <w:color w:val="auto"/>
                <w:szCs w:val="21"/>
                <w:lang w:val="en-US" w:eastAsia="zh-CN"/>
              </w:rPr>
            </w:pPr>
            <w:r>
              <w:rPr>
                <w:rFonts w:hint="eastAsia" w:asciiTheme="minorEastAsia" w:hAnsiTheme="minorEastAsia" w:cstheme="minorEastAsia"/>
                <w:b/>
                <w:bCs/>
                <w:szCs w:val="21"/>
                <w:lang w:val="en-US" w:eastAsia="zh-CN"/>
              </w:rPr>
              <w:t>3</w:t>
            </w:r>
          </w:p>
        </w:tc>
        <w:tc>
          <w:tcPr>
            <w:tcW w:w="2410" w:type="dxa"/>
            <w:vAlign w:val="center"/>
          </w:tcPr>
          <w:p w14:paraId="5A90E2F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法人或者其他组</w:t>
            </w:r>
          </w:p>
          <w:p w14:paraId="4ED1175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织的营业执照等证明文件，自然人的身份证明</w:t>
            </w:r>
          </w:p>
        </w:tc>
        <w:tc>
          <w:tcPr>
            <w:tcW w:w="5954" w:type="dxa"/>
            <w:vAlign w:val="center"/>
          </w:tcPr>
          <w:p w14:paraId="5FD247B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en-US" w:eastAsia="zh-CN"/>
              </w:rPr>
              <w:t>提供</w:t>
            </w:r>
            <w:r>
              <w:rPr>
                <w:rFonts w:hint="eastAsia" w:ascii="宋体" w:hAnsi="宋体" w:eastAsia="宋体" w:cs="宋体"/>
                <w:bCs/>
                <w:color w:val="auto"/>
                <w:szCs w:val="21"/>
                <w:lang w:val="zh-CN"/>
              </w:rPr>
              <w:t>法人或者其他组织的营业执照等证明文件，自然人的身份证明</w:t>
            </w:r>
          </w:p>
          <w:p w14:paraId="7CB0EAB3">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1.企业法人营业执照或营业执照。（企业提供）</w:t>
            </w:r>
          </w:p>
          <w:p w14:paraId="40017A0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2.事业单位法人证书。（事业单位提供）</w:t>
            </w:r>
          </w:p>
          <w:p w14:paraId="03F8066C">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3.执业许可证。（非企业专业服务机构提供）</w:t>
            </w:r>
          </w:p>
          <w:p w14:paraId="292A234B">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4.个体工商户营业执照。（个体工商户提供）</w:t>
            </w:r>
          </w:p>
          <w:p w14:paraId="7EFA585B">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5.自然人身份证明。（自然人提供）</w:t>
            </w:r>
          </w:p>
          <w:p w14:paraId="5404CB7B">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6.民办非企业单位登记证书。（民办非企业单位提供）</w:t>
            </w:r>
          </w:p>
        </w:tc>
      </w:tr>
      <w:tr w14:paraId="2B89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2B89D29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lang w:eastAsia="zh-CN"/>
              </w:rPr>
            </w:pPr>
            <w:r>
              <w:rPr>
                <w:rFonts w:hint="eastAsia" w:ascii="宋体" w:hAnsi="宋体" w:eastAsia="宋体" w:cs="宋体"/>
                <w:b/>
                <w:bCs/>
                <w:color w:val="auto"/>
                <w:szCs w:val="21"/>
                <w:lang w:val="en-US" w:eastAsia="zh-CN"/>
              </w:rPr>
              <w:t>4</w:t>
            </w:r>
          </w:p>
        </w:tc>
        <w:tc>
          <w:tcPr>
            <w:tcW w:w="2410" w:type="dxa"/>
            <w:vAlign w:val="center"/>
          </w:tcPr>
          <w:p w14:paraId="2B89D29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b/>
                <w:color w:val="auto"/>
                <w:szCs w:val="21"/>
              </w:rPr>
              <w:t>投标人须具备的特殊</w:t>
            </w:r>
          </w:p>
          <w:p w14:paraId="2B89D29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color w:val="auto"/>
                <w:szCs w:val="21"/>
              </w:rPr>
              <w:t>资质证书</w:t>
            </w:r>
          </w:p>
        </w:tc>
        <w:tc>
          <w:tcPr>
            <w:tcW w:w="5954" w:type="dxa"/>
            <w:vAlign w:val="center"/>
          </w:tcPr>
          <w:p w14:paraId="2B89D29A">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rPr>
            </w:pPr>
            <w:r>
              <w:rPr>
                <w:rFonts w:hint="eastAsia" w:ascii="宋体" w:hAnsi="宋体" w:eastAsia="宋体" w:cs="宋体"/>
                <w:bCs/>
                <w:color w:val="auto"/>
                <w:szCs w:val="21"/>
              </w:rPr>
              <w:t>详见招标公告</w:t>
            </w:r>
          </w:p>
        </w:tc>
      </w:tr>
      <w:tr w14:paraId="2B89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2B89D29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5</w:t>
            </w:r>
          </w:p>
        </w:tc>
        <w:tc>
          <w:tcPr>
            <w:tcW w:w="2410" w:type="dxa"/>
            <w:vAlign w:val="center"/>
          </w:tcPr>
          <w:p w14:paraId="2B89D29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投标</w:t>
            </w:r>
            <w:r>
              <w:rPr>
                <w:rFonts w:hint="eastAsia" w:ascii="宋体" w:hAnsi="宋体" w:eastAsia="宋体" w:cs="宋体"/>
                <w:b/>
                <w:color w:val="auto"/>
                <w:szCs w:val="21"/>
                <w:lang w:val="zh-CN"/>
              </w:rPr>
              <w:t>报价</w:t>
            </w:r>
          </w:p>
        </w:tc>
        <w:tc>
          <w:tcPr>
            <w:tcW w:w="5954" w:type="dxa"/>
          </w:tcPr>
          <w:p w14:paraId="2B89D29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color w:val="auto"/>
                <w:szCs w:val="21"/>
                <w:lang w:val="zh-CN"/>
              </w:rPr>
              <w:t>投标报价是否超出招标文件中规定的预算金额，超出预算金额的投标无效。如投标人须知前附表规定最高限价，则</w:t>
            </w:r>
            <w:r>
              <w:rPr>
                <w:rFonts w:hint="eastAsia" w:ascii="宋体" w:hAnsi="宋体" w:eastAsia="宋体" w:cs="宋体"/>
                <w:bCs/>
                <w:color w:val="auto"/>
                <w:szCs w:val="21"/>
                <w:lang w:val="zh-CN"/>
              </w:rPr>
              <w:t>超出预算金额和最高限价的投标无效。</w:t>
            </w:r>
          </w:p>
        </w:tc>
      </w:tr>
      <w:tr w14:paraId="2B89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2B89D2A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6</w:t>
            </w:r>
          </w:p>
        </w:tc>
        <w:tc>
          <w:tcPr>
            <w:tcW w:w="2410" w:type="dxa"/>
            <w:vAlign w:val="center"/>
          </w:tcPr>
          <w:p w14:paraId="2B89D2A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b/>
                <w:color w:val="auto"/>
                <w:szCs w:val="21"/>
              </w:rPr>
              <w:t>投标承诺函</w:t>
            </w:r>
          </w:p>
        </w:tc>
        <w:tc>
          <w:tcPr>
            <w:tcW w:w="5954" w:type="dxa"/>
            <w:vAlign w:val="center"/>
          </w:tcPr>
          <w:p w14:paraId="2B89D2A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color w:val="auto"/>
                <w:szCs w:val="21"/>
              </w:rPr>
              <w:t>投标人以投标承诺函的形式替代投标保证金。</w:t>
            </w:r>
          </w:p>
        </w:tc>
      </w:tr>
      <w:tr w14:paraId="2B89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Align w:val="center"/>
          </w:tcPr>
          <w:p w14:paraId="2B89D2A4">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7</w:t>
            </w:r>
          </w:p>
        </w:tc>
        <w:tc>
          <w:tcPr>
            <w:tcW w:w="2410" w:type="dxa"/>
            <w:vAlign w:val="center"/>
          </w:tcPr>
          <w:p w14:paraId="2B89D2A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联合体协议</w:t>
            </w:r>
          </w:p>
        </w:tc>
        <w:tc>
          <w:tcPr>
            <w:tcW w:w="5954" w:type="dxa"/>
          </w:tcPr>
          <w:p w14:paraId="2B89D2A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bCs/>
                <w:color w:val="auto"/>
                <w:szCs w:val="21"/>
              </w:rPr>
              <w:t>招标文件接受联合体投标且投标人为联合体的，投标人应提供本协议；否则无须提供。</w:t>
            </w:r>
          </w:p>
        </w:tc>
      </w:tr>
      <w:tr w14:paraId="2B89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A8">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8</w:t>
            </w:r>
          </w:p>
        </w:tc>
        <w:tc>
          <w:tcPr>
            <w:tcW w:w="2410" w:type="dxa"/>
            <w:vAlign w:val="center"/>
          </w:tcPr>
          <w:p w14:paraId="2B89D2A9">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投标人身份证明及授权</w:t>
            </w:r>
          </w:p>
        </w:tc>
        <w:tc>
          <w:tcPr>
            <w:tcW w:w="5954" w:type="dxa"/>
          </w:tcPr>
          <w:p w14:paraId="2B89D2A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（1）法定代表人身份证明或提供法定代表人授权委托书及被授权人身份证明。（法人投标提供）</w:t>
            </w:r>
          </w:p>
          <w:p w14:paraId="2B89D2A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（2）单位负责人身份证明或提供单位负责人授权委托书及被授权人身份证明。（非法人投标提供）</w:t>
            </w:r>
          </w:p>
          <w:p w14:paraId="2B89D2A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注：</w:t>
            </w:r>
          </w:p>
          <w:p w14:paraId="2B89D2A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color w:val="auto"/>
                <w:szCs w:val="21"/>
              </w:rPr>
              <w:t>①企业（银行、保险、石油石化、电力、电信等行业除外）、事业单位和社会团体投标人以法人身份参加投标的，法定代表人应与实际提交的“营业执照等证明文件”载明的一致。</w:t>
            </w:r>
          </w:p>
          <w:p w14:paraId="2B89D2AE">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②银行、保险、石油石化、电力、电信等行业：以法人身份</w:t>
            </w:r>
            <w:r>
              <w:rPr>
                <w:rFonts w:hint="eastAsia" w:ascii="宋体" w:hAnsi="宋体" w:eastAsia="宋体" w:cs="宋体"/>
                <w:color w:val="auto"/>
                <w:szCs w:val="21"/>
                <w:lang w:val="en-US" w:eastAsia="zh-CN"/>
              </w:rPr>
              <w:t>8</w:t>
            </w:r>
            <w:r>
              <w:rPr>
                <w:rFonts w:hint="eastAsia" w:ascii="宋体" w:hAnsi="宋体" w:eastAsia="宋体" w:cs="宋体"/>
                <w:color w:val="auto"/>
                <w:szCs w:val="21"/>
              </w:rPr>
              <w:t>加投标的，法定代表人应与实际提交的“营业执照等证明文件”载明的一致；以非法人身份参加投标的，“单位负责人”指代表单位行使职权的主要负责人，应与实际提交的“营业执照等证明文件”载明的一致。</w:t>
            </w:r>
          </w:p>
          <w:p w14:paraId="2B89D2AF">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b/>
                <w:color w:val="auto"/>
                <w:szCs w:val="21"/>
              </w:rPr>
            </w:pPr>
            <w:r>
              <w:rPr>
                <w:rFonts w:hint="eastAsia" w:ascii="宋体" w:hAnsi="宋体" w:eastAsia="宋体" w:cs="宋体"/>
                <w:color w:val="auto"/>
                <w:szCs w:val="21"/>
              </w:rPr>
              <w:t>③</w:t>
            </w:r>
            <w:r>
              <w:rPr>
                <w:rFonts w:hint="eastAsia" w:ascii="宋体" w:hAnsi="宋体" w:eastAsia="宋体" w:cs="宋体"/>
                <w:color w:val="auto"/>
                <w:kern w:val="0"/>
                <w:szCs w:val="21"/>
              </w:rPr>
              <w:t>投标人为自然人的，无需填写法定代表人授权书。</w:t>
            </w:r>
          </w:p>
        </w:tc>
      </w:tr>
      <w:tr w14:paraId="2B89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B1">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default" w:ascii="宋体" w:hAnsi="宋体" w:eastAsia="宋体" w:cs="宋体"/>
                <w:b/>
                <w:color w:val="auto"/>
                <w:szCs w:val="21"/>
                <w:lang w:val="en-US" w:eastAsia="zh-CN"/>
              </w:rPr>
            </w:pPr>
            <w:r>
              <w:rPr>
                <w:rFonts w:hint="eastAsia" w:ascii="宋体" w:hAnsi="宋体" w:eastAsia="宋体" w:cs="宋体"/>
                <w:b/>
                <w:color w:val="auto"/>
                <w:szCs w:val="21"/>
                <w:lang w:val="en-US" w:eastAsia="zh-CN"/>
              </w:rPr>
              <w:t>9</w:t>
            </w:r>
          </w:p>
        </w:tc>
        <w:tc>
          <w:tcPr>
            <w:tcW w:w="2410" w:type="dxa"/>
            <w:vAlign w:val="center"/>
          </w:tcPr>
          <w:p w14:paraId="2B89D2B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b/>
                <w:bCs/>
                <w:color w:val="auto"/>
                <w:szCs w:val="21"/>
              </w:rPr>
              <w:t>单位负责人为同一人或者存在直接控股、管理关系的不同供应商，不得参加同一合同项下的政府采购活动</w:t>
            </w:r>
          </w:p>
        </w:tc>
        <w:tc>
          <w:tcPr>
            <w:tcW w:w="5954" w:type="dxa"/>
          </w:tcPr>
          <w:p w14:paraId="2B89D2B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投标人提供与参加本项目投标的其他供应商之间，单位负责人不为同一人并且不存在直接控股、管理关系承诺函（承诺函格式自拟）。</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lang w:val="zh-CN" w:eastAsia="zh-CN"/>
              </w:rPr>
              <w:t>提供加盖</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单位公章的“国家企业信用信息公示系统”中公示的公司信息、股东或投资人信息截图</w:t>
            </w:r>
            <w:r>
              <w:rPr>
                <w:rFonts w:hint="eastAsia" w:ascii="宋体" w:hAnsi="宋体" w:eastAsia="宋体" w:cs="宋体"/>
                <w:color w:val="auto"/>
                <w:sz w:val="21"/>
                <w:szCs w:val="21"/>
                <w:highlight w:val="none"/>
                <w:lang w:val="zh-CN"/>
              </w:rPr>
              <w:t>。</w:t>
            </w:r>
          </w:p>
          <w:p w14:paraId="2B89D2B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p>
        </w:tc>
      </w:tr>
      <w:tr w14:paraId="2B89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B6">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default" w:ascii="宋体" w:hAnsi="宋体" w:eastAsia="宋体" w:cs="宋体"/>
                <w:b/>
                <w:color w:val="auto"/>
                <w:szCs w:val="21"/>
                <w:lang w:val="en-US" w:eastAsia="zh-CN"/>
              </w:rPr>
            </w:pPr>
            <w:r>
              <w:rPr>
                <w:rFonts w:hint="eastAsia" w:ascii="宋体" w:hAnsi="宋体" w:eastAsia="宋体" w:cs="宋体"/>
                <w:b/>
                <w:color w:val="auto"/>
                <w:szCs w:val="21"/>
                <w:lang w:val="en-US" w:eastAsia="zh-CN"/>
              </w:rPr>
              <w:t>10</w:t>
            </w:r>
          </w:p>
        </w:tc>
        <w:tc>
          <w:tcPr>
            <w:tcW w:w="2410" w:type="dxa"/>
            <w:vAlign w:val="center"/>
          </w:tcPr>
          <w:p w14:paraId="2B89D2B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为本项目提供整体设计、规范编制或者项目管理、监理、检测等服务的供应商不得参加本项目投标</w:t>
            </w:r>
          </w:p>
        </w:tc>
        <w:tc>
          <w:tcPr>
            <w:tcW w:w="5954" w:type="dxa"/>
          </w:tcPr>
          <w:p w14:paraId="2B89D2B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w:t>
            </w:r>
            <w:bookmarkStart w:id="2" w:name="baidusnap2"/>
            <w:bookmarkEnd w:id="2"/>
            <w:r>
              <w:rPr>
                <w:rFonts w:hint="eastAsia" w:ascii="宋体" w:hAnsi="宋体" w:eastAsia="宋体" w:cs="宋体"/>
                <w:color w:val="auto"/>
                <w:szCs w:val="21"/>
                <w:lang w:val="zh-CN"/>
              </w:rPr>
              <w:t>提供未为本项目提供整体设计、</w:t>
            </w:r>
            <w:bookmarkStart w:id="3" w:name="baidusnap9"/>
            <w:bookmarkEnd w:id="3"/>
            <w:r>
              <w:rPr>
                <w:rFonts w:hint="eastAsia" w:ascii="宋体" w:hAnsi="宋体" w:eastAsia="宋体" w:cs="宋体"/>
                <w:color w:val="auto"/>
                <w:szCs w:val="21"/>
                <w:lang w:val="zh-CN"/>
              </w:rPr>
              <w:t>规范编制或者项目管理、监理、检测等服务的承诺函（承诺函格式自拟）。</w:t>
            </w:r>
          </w:p>
          <w:p w14:paraId="2B89D2B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szCs w:val="21"/>
              </w:rPr>
            </w:pPr>
          </w:p>
        </w:tc>
      </w:tr>
    </w:tbl>
    <w:p w14:paraId="2B89D2BB">
      <w:pPr>
        <w:pStyle w:val="8"/>
        <w:keepNext w:val="0"/>
        <w:keepLines w:val="0"/>
        <w:pageBreakBefore w:val="0"/>
        <w:widowControl w:val="0"/>
        <w:kinsoku/>
        <w:wordWrap/>
        <w:overflowPunct/>
        <w:topLinePunct w:val="0"/>
        <w:bidi w:val="0"/>
        <w:adjustRightInd/>
        <w:snapToGrid/>
        <w:spacing w:line="460" w:lineRule="exact"/>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二、评标</w:t>
      </w:r>
    </w:p>
    <w:p w14:paraId="2B89D2BC">
      <w:pPr>
        <w:pStyle w:val="8"/>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（一）评标方法</w:t>
      </w:r>
    </w:p>
    <w:p w14:paraId="2B89D2BD">
      <w:pPr>
        <w:pStyle w:val="8"/>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color w:val="auto"/>
          <w:sz w:val="21"/>
          <w:szCs w:val="21"/>
          <w:lang w:val="zh-CN"/>
        </w:rPr>
        <w:t>本项目采用综合评分法。总分为100分。</w:t>
      </w:r>
    </w:p>
    <w:p w14:paraId="2B89D2BE">
      <w:pPr>
        <w:pStyle w:val="8"/>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（二）评标委员会负责具体评标事务，并独立履行下列职责</w:t>
      </w:r>
    </w:p>
    <w:p w14:paraId="2B89D2BF">
      <w:pPr>
        <w:pStyle w:val="8"/>
        <w:keepNext w:val="0"/>
        <w:keepLines w:val="0"/>
        <w:pageBreakBefore w:val="0"/>
        <w:widowControl w:val="0"/>
        <w:kinsoku/>
        <w:wordWrap/>
        <w:overflowPunct/>
        <w:topLinePunct w:val="0"/>
        <w:bidi w:val="0"/>
        <w:adjustRightInd/>
        <w:snapToGrid/>
        <w:spacing w:line="460" w:lineRule="exact"/>
        <w:ind w:firstLine="422" w:firstLineChars="200"/>
        <w:contextualSpacing/>
        <w:jc w:val="left"/>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1.审查、评价投标文件是否符合招标文件的商务、技术等实质性要求；</w:t>
      </w:r>
    </w:p>
    <w:p w14:paraId="2B89D2C0">
      <w:pPr>
        <w:pStyle w:val="8"/>
        <w:keepNext w:val="0"/>
        <w:keepLines w:val="0"/>
        <w:pageBreakBefore w:val="0"/>
        <w:widowControl w:val="0"/>
        <w:kinsoku/>
        <w:wordWrap/>
        <w:overflowPunct/>
        <w:topLinePunct w:val="0"/>
        <w:bidi w:val="0"/>
        <w:adjustRightInd/>
        <w:snapToGrid/>
        <w:spacing w:line="460" w:lineRule="exact"/>
        <w:ind w:firstLine="420" w:firstLineChars="200"/>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评标委员会对符合资格的投标人的投标文件进行符合性审查，以确定其是否满足招标文件的商务、技术等实质性要求。</w:t>
      </w:r>
    </w:p>
    <w:p w14:paraId="2B89D2C1">
      <w:pPr>
        <w:pStyle w:val="8"/>
        <w:keepNext w:val="0"/>
        <w:keepLines w:val="0"/>
        <w:pageBreakBefore w:val="0"/>
        <w:widowControl w:val="0"/>
        <w:kinsoku/>
        <w:wordWrap/>
        <w:overflowPunct/>
        <w:topLinePunct w:val="0"/>
        <w:bidi w:val="0"/>
        <w:adjustRightInd/>
        <w:snapToGrid/>
        <w:spacing w:line="460" w:lineRule="exact"/>
        <w:ind w:firstLine="420" w:firstLineChars="200"/>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注：符合性审查中所涉及的证书及材料，均应在电子投标文件中提供原件扫描件（或图片）。</w:t>
      </w:r>
    </w:p>
    <w:p w14:paraId="2B89D2C2">
      <w:pPr>
        <w:pStyle w:val="8"/>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2.要求投标人对投标文件有关事项作出澄清或者说明；</w:t>
      </w:r>
    </w:p>
    <w:p w14:paraId="176770EE">
      <w:pPr>
        <w:pStyle w:val="8"/>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1</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14:paraId="3A34CC37">
      <w:pPr>
        <w:pStyle w:val="8"/>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2</w:t>
      </w:r>
      <w:r>
        <w:rPr>
          <w:rFonts w:hint="eastAsia" w:cs="仿宋_GB2312" w:asciiTheme="minorEastAsia" w:hAnsiTheme="minorEastAsia" w:eastAsiaTheme="minorEastAsia"/>
          <w:color w:val="auto"/>
          <w:sz w:val="21"/>
          <w:szCs w:val="21"/>
          <w:highlight w:val="none"/>
          <w:lang w:val="zh-CN"/>
        </w:rPr>
        <w:t>）评标委员会启动异常低价投标审查后，要求相关供应商在评审现场规定时间内（给予供 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47519402">
      <w:pPr>
        <w:pStyle w:val="8"/>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3</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2B89D2C5">
      <w:pPr>
        <w:pStyle w:val="8"/>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3.对投标文件进行比较和评价；</w:t>
      </w:r>
    </w:p>
    <w:p w14:paraId="2B89D2C6">
      <w:pPr>
        <w:pStyle w:val="8"/>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14:paraId="2B89D2C7">
      <w:pPr>
        <w:pStyle w:val="8"/>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注：评标标准中所涉及的证书及材料，均应在电子投标文件中提供原件扫描件（或图片）。</w:t>
      </w:r>
    </w:p>
    <w:p w14:paraId="34BDAF66">
      <w:pPr>
        <w:pStyle w:val="8"/>
        <w:keepNext w:val="0"/>
        <w:keepLines w:val="0"/>
        <w:pageBreakBefore w:val="0"/>
        <w:widowControl w:val="0"/>
        <w:kinsoku/>
        <w:wordWrap/>
        <w:overflowPunct/>
        <w:topLinePunct w:val="0"/>
        <w:bidi w:val="0"/>
        <w:adjustRightInd/>
        <w:snapToGrid/>
        <w:spacing w:line="460" w:lineRule="exact"/>
        <w:contextualSpacing/>
        <w:textAlignment w:val="auto"/>
        <w:rPr>
          <w:rFonts w:hint="eastAsia" w:ascii="宋体" w:hAnsi="宋体" w:eastAsia="宋体" w:cs="宋体"/>
          <w:b/>
          <w:color w:val="0000FF"/>
          <w:sz w:val="21"/>
          <w:szCs w:val="21"/>
          <w:highlight w:val="red"/>
          <w:lang w:val="zh-CN"/>
        </w:rPr>
      </w:pPr>
      <w:r>
        <w:rPr>
          <w:rFonts w:hint="eastAsia" w:ascii="宋体" w:hAnsi="宋体" w:eastAsia="宋体" w:cs="宋体"/>
          <w:b/>
          <w:color w:val="auto"/>
          <w:sz w:val="21"/>
          <w:szCs w:val="21"/>
          <w:lang w:val="zh-CN"/>
        </w:rPr>
        <w:t>（1）价格分计算</w:t>
      </w:r>
    </w:p>
    <w:p w14:paraId="2B89D2C9">
      <w:pPr>
        <w:pStyle w:val="8"/>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价格分采用低价优先法计算，即满足采购文件要求且投标价格最低的投标报价为评标基准价，其价格分为满分。因落实政府采购政策进行价格调整的，以调整后的价格计算评标基准价和投标报价。</w:t>
      </w:r>
    </w:p>
    <w:p w14:paraId="2B89D2CA">
      <w:pPr>
        <w:pStyle w:val="8"/>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rPr>
      </w:pPr>
      <w:r>
        <w:rPr>
          <w:rFonts w:hint="eastAsia" w:ascii="宋体" w:hAnsi="宋体" w:eastAsia="宋体" w:cs="宋体"/>
          <w:color w:val="auto"/>
          <w:sz w:val="21"/>
          <w:szCs w:val="21"/>
          <w:lang w:val="zh-CN"/>
        </w:rPr>
        <w:t>1）</w:t>
      </w:r>
      <w:r>
        <w:rPr>
          <w:rFonts w:hint="eastAsia" w:ascii="宋体" w:hAnsi="宋体" w:eastAsia="宋体" w:cs="宋体"/>
          <w:color w:val="auto"/>
          <w:sz w:val="21"/>
          <w:szCs w:val="21"/>
        </w:rPr>
        <w:t>非专门面向中小企业采购，对符合《政府采购促进中小企业发展管理办法》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财库〔2020〕46号、《关于进一步加大政府采购支持中小企业力度的通知》（财库〔2022〕19号）规定的小微企业报价给予20%的扣除，用扣除后的价格参与评审。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6%的扣除，用扣除后的价格参加评审。组成联合体或者接受分包的小微企业与联合体内其他企业、分包企业之间存在直接控股、管理关系的，不享受价格扣除优惠政策。按照本次采购标的所属行业的划型标准，符合条件的中小企业应按照招标文件格式要求提供《中小企业声明函》，否则不得享受相关中小企业扶持政策。</w:t>
      </w:r>
    </w:p>
    <w:p w14:paraId="2B89D2CB">
      <w:pPr>
        <w:pStyle w:val="8"/>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小型和微型企业不包含民办非企业单位。</w:t>
      </w:r>
    </w:p>
    <w:p w14:paraId="2B89D2CC">
      <w:pPr>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2）监狱企业视同小型、微型企业，对监狱企业价格给予2</w:t>
      </w:r>
      <w:r>
        <w:rPr>
          <w:rFonts w:hint="eastAsia" w:ascii="宋体" w:hAnsi="宋体" w:eastAsia="宋体" w:cs="宋体"/>
          <w:color w:val="auto"/>
          <w:szCs w:val="21"/>
        </w:rPr>
        <w:t>0%</w:t>
      </w:r>
      <w:r>
        <w:rPr>
          <w:rFonts w:hint="eastAsia" w:ascii="宋体" w:hAnsi="宋体" w:eastAsia="宋体" w:cs="宋体"/>
          <w:color w:val="auto"/>
          <w:szCs w:val="21"/>
          <w:lang w:val="zh-CN"/>
        </w:rPr>
        <w:t>的扣除，用扣除后的价格参与评审。监狱企业应当提供由省级以上监狱管理局、戒毒管理局（含新疆生产建设兵团）出具的属于监狱企业的证明文件。</w:t>
      </w:r>
    </w:p>
    <w:p w14:paraId="2B89D2CD">
      <w:pPr>
        <w:pStyle w:val="8"/>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zh-CN"/>
        </w:rPr>
        <w:t>3）残疾人福利性单位视同小型、微型企业，对残疾人福利性单位提供本单位制造的货物、承担的工程或者服务，或者提供其他残疾人福利性单位制造的货物（不包括使用非残疾人福利性单位注册商标的货物）价格给予2</w:t>
      </w:r>
      <w:r>
        <w:rPr>
          <w:rFonts w:hint="eastAsia" w:ascii="宋体" w:hAnsi="宋体" w:eastAsia="宋体" w:cs="宋体"/>
          <w:color w:val="auto"/>
          <w:sz w:val="21"/>
          <w:szCs w:val="21"/>
        </w:rPr>
        <w:t>0%</w:t>
      </w:r>
      <w:r>
        <w:rPr>
          <w:rFonts w:hint="eastAsia" w:ascii="宋体" w:hAnsi="宋体" w:eastAsia="宋体" w:cs="宋体"/>
          <w:color w:val="auto"/>
          <w:sz w:val="21"/>
          <w:szCs w:val="21"/>
          <w:lang w:val="zh-CN"/>
        </w:rPr>
        <w:t>的扣除，用扣除后的价格参与评审。符合条件的残疾人福利性单位在参加政府采购活动时，应当提供《三部门联合发布关于促进残疾人就业政府采购政策的通知》规定的《残疾人福利性单位声明函》，并对声明的真实性负责。</w:t>
      </w:r>
      <w:r>
        <w:rPr>
          <w:rFonts w:hint="eastAsia" w:ascii="宋体" w:hAnsi="宋体" w:eastAsia="宋体" w:cs="宋体"/>
          <w:color w:val="auto"/>
          <w:sz w:val="21"/>
          <w:szCs w:val="21"/>
        </w:rPr>
        <w:t>残疾人福利性单位属于小型、微型企业的，不重复享受政策。</w:t>
      </w:r>
    </w:p>
    <w:p w14:paraId="2B89D2CE">
      <w:pPr>
        <w:pStyle w:val="8"/>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rPr>
        <w:t>（2）</w:t>
      </w:r>
      <w:r>
        <w:rPr>
          <w:rFonts w:hint="eastAsia" w:ascii="宋体" w:hAnsi="宋体" w:eastAsia="宋体" w:cs="宋体"/>
          <w:b/>
          <w:color w:val="auto"/>
          <w:sz w:val="21"/>
          <w:szCs w:val="21"/>
          <w:lang w:val="zh-CN"/>
        </w:rPr>
        <w:t>关于相同品牌产品</w:t>
      </w:r>
      <w:r>
        <w:rPr>
          <w:rFonts w:hint="eastAsia" w:ascii="宋体" w:hAnsi="宋体" w:eastAsia="宋体" w:cs="宋体"/>
          <w:b/>
          <w:bCs/>
          <w:color w:val="auto"/>
          <w:sz w:val="21"/>
          <w:szCs w:val="21"/>
          <w:lang w:val="zh-CN"/>
        </w:rPr>
        <w:t>（服务类项目不适用本条款规定）</w:t>
      </w:r>
    </w:p>
    <w:p w14:paraId="2B89D2CF">
      <w:pPr>
        <w:pStyle w:val="8"/>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采用最低评标价法的，提供相同品牌产品的不同投标人参加同一合同项下投标的，以其中通过资格审查、符合性审查且报价最低的参加评标；报价相同的，由采购人或者采购人委托评标委员会采取随机抽取方式确定一个参加评标的投标人，其他投标无效。</w:t>
      </w:r>
    </w:p>
    <w:p w14:paraId="2B89D2D0">
      <w:pPr>
        <w:pStyle w:val="8"/>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采用综合评分法的，提供相同品牌产品（非单一产品采购项目，多家投标人提供的核心产品品牌相同）且通过资格审查、符合性审查的不同投标人参加同一合同项下投标的，按一家投标人计算，评审后得分最高的同品牌投标人作为中标候选人推荐；评审得分相同的，由采购人或者采购人委托评标委员会采取随机抽取方式确定一个投标人获得中标人推荐资格，其他同品牌投标人不作为中标候选人。</w:t>
      </w:r>
    </w:p>
    <w:p w14:paraId="2B89D2D1">
      <w:pPr>
        <w:pStyle w:val="8"/>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rPr>
        <w:t>（3）强制采购节能产品和优先采购节能产品、优先采购环保产品</w:t>
      </w:r>
    </w:p>
    <w:p w14:paraId="2B89D2D2">
      <w:pPr>
        <w:pStyle w:val="8"/>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1）对《节能产品政府采购品目清单》所列的政府强制采购节能产品</w:t>
      </w:r>
      <w:r>
        <w:rPr>
          <w:rFonts w:hint="eastAsia" w:ascii="宋体" w:hAnsi="宋体" w:eastAsia="宋体" w:cs="宋体"/>
          <w:color w:val="auto"/>
          <w:sz w:val="21"/>
          <w:szCs w:val="21"/>
        </w:rPr>
        <w:t>，</w:t>
      </w:r>
      <w:r>
        <w:rPr>
          <w:rFonts w:hint="eastAsia" w:ascii="宋体" w:hAnsi="宋体" w:eastAsia="宋体" w:cs="宋体"/>
          <w:color w:val="auto"/>
          <w:sz w:val="21"/>
          <w:szCs w:val="21"/>
          <w:lang w:val="zh-CN"/>
        </w:rPr>
        <w:t>投标人投标文件中应提供具有国家确定的认证机构出具的、处于有效期之内的节能产品或环境标志产品认证证书，否则将承担其投标被视为非实质性响应投标的风险。</w:t>
      </w:r>
    </w:p>
    <w:p w14:paraId="2B89D2D3">
      <w:pPr>
        <w:pStyle w:val="8"/>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投标人所投其他产品若属于《节能产品政府采购品目清单》优先采购产品，投标文件中应提供具有国家确定的认证机构出具的、处于有效期之内的节能产品认证证书，评标委员会根据本项目评标标准予以判定并赋分。</w:t>
      </w:r>
    </w:p>
    <w:p w14:paraId="2B89D2D4">
      <w:pPr>
        <w:pStyle w:val="8"/>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2B89D2D5">
      <w:pPr>
        <w:pStyle w:val="6"/>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 xml:space="preserve">    （</w:t>
      </w:r>
      <w:r>
        <w:rPr>
          <w:rFonts w:hint="eastAsia" w:ascii="宋体" w:hAnsi="宋体" w:eastAsia="宋体" w:cs="宋体"/>
          <w:b/>
          <w:color w:val="auto"/>
          <w:szCs w:val="21"/>
        </w:rPr>
        <w:t>4</w:t>
      </w:r>
      <w:r>
        <w:rPr>
          <w:rFonts w:hint="eastAsia" w:ascii="宋体" w:hAnsi="宋体" w:eastAsia="宋体" w:cs="宋体"/>
          <w:b/>
          <w:color w:val="auto"/>
          <w:szCs w:val="21"/>
          <w:lang w:val="zh-CN"/>
        </w:rPr>
        <w:t xml:space="preserve">）网络关键设备、网络安全专用产品要求 </w:t>
      </w:r>
    </w:p>
    <w:p w14:paraId="2B89D2D6">
      <w:pPr>
        <w:pStyle w:val="6"/>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val="zh-CN"/>
        </w:rPr>
        <w:t>项目中涉及网络关键设备或网络安全专用产品的，至少符合以下条件之一：一是已由具备资格的机构安全认证合格或安全检测符合要求；二是已获得《计算机信息系统安全专用产品销售许可证》，且在有效期内。</w:t>
      </w:r>
    </w:p>
    <w:p w14:paraId="2B89D2D7">
      <w:pPr>
        <w:pStyle w:val="6"/>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提供资料（下列资料任意一项）</w:t>
      </w:r>
    </w:p>
    <w:p w14:paraId="2B89D2D8">
      <w:pPr>
        <w:pStyle w:val="6"/>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①网络关键设备和网络安全专用产品安全认证证书；</w:t>
      </w:r>
    </w:p>
    <w:p w14:paraId="2B89D2D9">
      <w:pPr>
        <w:pStyle w:val="6"/>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②网络关键设备安全检测证书、网络安全专用产品安全检测证书；</w:t>
      </w:r>
    </w:p>
    <w:p w14:paraId="2B89D2DA">
      <w:pPr>
        <w:pStyle w:val="6"/>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③计算机信息系统安全专用产品销售许可证；</w:t>
      </w:r>
    </w:p>
    <w:p w14:paraId="2B89D2DB">
      <w:pPr>
        <w:pStyle w:val="6"/>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④中国网信网或工业和信息化部网站或公安部网站或国家认证认可监督管理委员会网站公布的认证、检测结果（提供公布安全认证、安全检测结果页面网址和安全认证、检测结果截图）。</w:t>
      </w:r>
    </w:p>
    <w:p w14:paraId="2B89D2DC">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2" w:firstLineChars="200"/>
        <w:contextualSpacing/>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w:t>
      </w:r>
      <w:r>
        <w:rPr>
          <w:rFonts w:hint="eastAsia" w:ascii="宋体" w:hAnsi="宋体" w:eastAsia="宋体" w:cs="宋体"/>
          <w:b/>
          <w:color w:val="auto"/>
          <w:szCs w:val="21"/>
        </w:rPr>
        <w:t>5</w:t>
      </w:r>
      <w:r>
        <w:rPr>
          <w:rFonts w:hint="eastAsia" w:ascii="宋体" w:hAnsi="宋体" w:eastAsia="宋体" w:cs="宋体"/>
          <w:b/>
          <w:color w:val="auto"/>
          <w:szCs w:val="21"/>
          <w:lang w:val="zh-CN"/>
        </w:rPr>
        <w:t>）投标无效情形</w:t>
      </w:r>
    </w:p>
    <w:p w14:paraId="2B89D2DD">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2B89D2DE">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2）符合性审查资料未按招标文件要求签署、盖章的；</w:t>
      </w:r>
    </w:p>
    <w:p w14:paraId="2B89D2DF">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3）有下列情形之一的，视为投标人串通投标，其投标无效：</w:t>
      </w:r>
    </w:p>
    <w:p w14:paraId="2B89D2E0">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a.不同投标人的投标文件由同一单位或者个人编制；</w:t>
      </w:r>
    </w:p>
    <w:p w14:paraId="2B89D2E1">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b.不同投标人委托同一单位或者个人办理投标事宜；</w:t>
      </w:r>
    </w:p>
    <w:p w14:paraId="2B89D2E2">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c.不同投标人的投标文件载明的项目管理成员或者联系人员为同一人；</w:t>
      </w:r>
    </w:p>
    <w:p w14:paraId="2B89D2E3">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d.不同投标人的投标文件异常一致或者投标报价呈规律性差异；</w:t>
      </w:r>
    </w:p>
    <w:p w14:paraId="2B89D2E4">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e.不同投标人的投标文件相互混装；</w:t>
      </w:r>
    </w:p>
    <w:p w14:paraId="0A0662EB">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szCs w:val="21"/>
          <w:lang w:val="zh-CN"/>
        </w:rPr>
        <w:t>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231FC32">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cs="仿宋_GB2312" w:asciiTheme="minorEastAsia" w:hAnsiTheme="minorEastAsia"/>
          <w:color w:val="auto"/>
          <w:szCs w:val="21"/>
          <w:highlight w:val="none"/>
          <w:lang w:val="zh-CN"/>
        </w:rPr>
        <w:t>5）评标委员会启动异常低价投标（响应）审查后，要求相关供应商在评审现场规定时间内（给予供应商的时间不少于60分钟）对投标（响应）价格作出解释、提供证明材料，投标（响应）供应商未在规定时间内提供书面说明、证明材料，或者提供的书面说明、证明材料不能证明其报价合理性的，评标委员会应当将其作为无效投标（响应）处理。</w:t>
      </w:r>
    </w:p>
    <w:p w14:paraId="2B89D2E6">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6</w:t>
      </w:r>
      <w:r>
        <w:rPr>
          <w:rFonts w:hint="eastAsia" w:ascii="宋体" w:hAnsi="宋体" w:eastAsia="宋体" w:cs="宋体"/>
          <w:color w:val="auto"/>
          <w:szCs w:val="21"/>
          <w:lang w:val="zh-CN"/>
        </w:rPr>
        <w:t>）法律法规和招标文件规定的其他无效情形。</w:t>
      </w:r>
    </w:p>
    <w:p w14:paraId="2B89D305">
      <w:pPr>
        <w:pStyle w:val="8"/>
        <w:numPr>
          <w:ilvl w:val="0"/>
          <w:numId w:val="0"/>
        </w:numPr>
        <w:spacing w:line="360" w:lineRule="auto"/>
        <w:contextualSpacing/>
        <w:rPr>
          <w:rFonts w:hint="eastAsia" w:ascii="宋体" w:hAnsi="宋体" w:eastAsia="宋体" w:cs="宋体"/>
          <w:color w:val="auto"/>
          <w:lang w:val="zh-CN"/>
        </w:rPr>
      </w:pPr>
      <w:r>
        <w:rPr>
          <w:rFonts w:hint="eastAsia" w:ascii="宋体" w:hAnsi="宋体" w:eastAsia="宋体" w:cs="宋体"/>
          <w:b/>
          <w:color w:val="auto"/>
          <w:sz w:val="21"/>
          <w:szCs w:val="21"/>
          <w:lang w:val="zh-CN"/>
        </w:rPr>
        <w:t>（</w:t>
      </w:r>
      <w:r>
        <w:rPr>
          <w:rFonts w:hint="eastAsia" w:ascii="宋体" w:hAnsi="宋体" w:eastAsia="宋体" w:cs="宋体"/>
          <w:b/>
          <w:color w:val="auto"/>
          <w:sz w:val="21"/>
          <w:szCs w:val="21"/>
          <w:lang w:val="en-US" w:eastAsia="zh-CN"/>
        </w:rPr>
        <w:t>6</w:t>
      </w:r>
      <w:r>
        <w:rPr>
          <w:rFonts w:hint="eastAsia" w:ascii="宋体" w:hAnsi="宋体" w:eastAsia="宋体" w:cs="宋体"/>
          <w:b/>
          <w:color w:val="auto"/>
          <w:sz w:val="21"/>
          <w:szCs w:val="21"/>
          <w:lang w:val="zh-CN"/>
        </w:rPr>
        <w:t>）评标标准</w:t>
      </w:r>
    </w:p>
    <w:p w14:paraId="7636DB84">
      <w:pPr>
        <w:pStyle w:val="8"/>
        <w:spacing w:line="360" w:lineRule="auto"/>
        <w:ind w:firstLine="422" w:firstLineChars="200"/>
        <w:contextualSpacing/>
        <w:rPr>
          <w:rFonts w:hint="default"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1-4标段</w:t>
      </w:r>
    </w:p>
    <w:tbl>
      <w:tblPr>
        <w:tblStyle w:val="17"/>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407"/>
        <w:gridCol w:w="992"/>
      </w:tblGrid>
      <w:tr w14:paraId="6470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20C5339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分值构成</w:t>
            </w:r>
          </w:p>
          <w:p w14:paraId="66031D0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总分100分</w:t>
            </w:r>
            <w:r>
              <w:rPr>
                <w:rFonts w:hint="eastAsia" w:ascii="宋体" w:hAnsi="宋体" w:eastAsia="宋体" w:cs="宋体"/>
                <w:color w:val="auto"/>
                <w:sz w:val="21"/>
                <w:szCs w:val="21"/>
                <w:highlight w:val="none"/>
                <w:lang w:eastAsia="zh-CN"/>
              </w:rPr>
              <w:t>）</w:t>
            </w:r>
          </w:p>
        </w:tc>
        <w:tc>
          <w:tcPr>
            <w:tcW w:w="7399" w:type="dxa"/>
            <w:gridSpan w:val="2"/>
            <w:tcBorders>
              <w:top w:val="single" w:color="auto" w:sz="4" w:space="0"/>
              <w:left w:val="single" w:color="auto" w:sz="4" w:space="0"/>
              <w:bottom w:val="single" w:color="auto" w:sz="4" w:space="0"/>
              <w:right w:val="single" w:color="auto" w:sz="4" w:space="0"/>
            </w:tcBorders>
            <w:noWrap/>
            <w:vAlign w:val="center"/>
          </w:tcPr>
          <w:p w14:paraId="271A59B6">
            <w:pPr>
              <w:shd w:val="clear"/>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价格分值：30分</w:t>
            </w:r>
          </w:p>
          <w:p w14:paraId="0D18FAEB">
            <w:pPr>
              <w:shd w:val="clear"/>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商务部分：</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lang w:eastAsia="zh-CN"/>
              </w:rPr>
              <w:t>分</w:t>
            </w:r>
          </w:p>
          <w:p w14:paraId="68F6BEA8">
            <w:pPr>
              <w:shd w:val="clea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技术部分：</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分</w:t>
            </w:r>
          </w:p>
        </w:tc>
      </w:tr>
      <w:tr w14:paraId="4FA3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7" w:type="dxa"/>
            <w:gridSpan w:val="3"/>
            <w:tcBorders>
              <w:top w:val="single" w:color="auto" w:sz="4" w:space="0"/>
              <w:left w:val="single" w:color="auto" w:sz="4" w:space="0"/>
              <w:bottom w:val="single" w:color="auto" w:sz="4" w:space="0"/>
              <w:right w:val="single" w:color="auto" w:sz="4" w:space="0"/>
            </w:tcBorders>
            <w:noWrap/>
            <w:vAlign w:val="center"/>
          </w:tcPr>
          <w:p w14:paraId="0F6C407D">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一、价格部分（满分30分）</w:t>
            </w:r>
          </w:p>
        </w:tc>
      </w:tr>
      <w:tr w14:paraId="24E7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6D5CA21B">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评分因素</w:t>
            </w:r>
          </w:p>
        </w:tc>
        <w:tc>
          <w:tcPr>
            <w:tcW w:w="6407" w:type="dxa"/>
            <w:tcBorders>
              <w:top w:val="single" w:color="auto" w:sz="4" w:space="0"/>
              <w:left w:val="single" w:color="auto" w:sz="4" w:space="0"/>
              <w:bottom w:val="single" w:color="auto" w:sz="4" w:space="0"/>
              <w:right w:val="single" w:color="auto" w:sz="4" w:space="0"/>
            </w:tcBorders>
            <w:noWrap/>
            <w:vAlign w:val="center"/>
          </w:tcPr>
          <w:p w14:paraId="50A6984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评分标准</w:t>
            </w:r>
          </w:p>
        </w:tc>
        <w:tc>
          <w:tcPr>
            <w:tcW w:w="992" w:type="dxa"/>
            <w:tcBorders>
              <w:top w:val="single" w:color="auto" w:sz="4" w:space="0"/>
              <w:left w:val="single" w:color="auto" w:sz="4" w:space="0"/>
              <w:bottom w:val="single" w:color="auto" w:sz="4" w:space="0"/>
              <w:right w:val="single" w:color="auto" w:sz="4" w:space="0"/>
            </w:tcBorders>
            <w:noWrap/>
            <w:vAlign w:val="center"/>
          </w:tcPr>
          <w:p w14:paraId="76DEBED8">
            <w:pPr>
              <w:shd w:val="clear"/>
              <w:spacing w:line="330" w:lineRule="atLeast"/>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分值</w:t>
            </w:r>
          </w:p>
        </w:tc>
      </w:tr>
      <w:tr w14:paraId="4342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3E6E5711">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6407" w:type="dxa"/>
            <w:tcBorders>
              <w:top w:val="single" w:color="auto" w:sz="4" w:space="0"/>
              <w:left w:val="single" w:color="auto" w:sz="4" w:space="0"/>
              <w:bottom w:val="single" w:color="auto" w:sz="4" w:space="0"/>
              <w:right w:val="single" w:color="auto" w:sz="4" w:space="0"/>
            </w:tcBorders>
            <w:noWrap/>
            <w:vAlign w:val="center"/>
          </w:tcPr>
          <w:p w14:paraId="6499DBC2">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满足招标文件要求且投标价格最低的投标报价为评标基准价，其</w:t>
            </w:r>
          </w:p>
          <w:p w14:paraId="2975AB4D">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价格分为满分。其他合格投标人的价格分统一按照下列公式计算：</w:t>
            </w:r>
          </w:p>
          <w:p w14:paraId="6321978B">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投标报价得分=（评标基准价/投标报价）×30</w:t>
            </w:r>
          </w:p>
          <w:p w14:paraId="7916ACE8">
            <w:pPr>
              <w:shd w:val="clear"/>
              <w:tabs>
                <w:tab w:val="left" w:pos="540"/>
                <w:tab w:val="center" w:pos="3155"/>
              </w:tabs>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计算按四舍五入法则。保留小数点后两位。</w:t>
            </w:r>
          </w:p>
        </w:tc>
        <w:tc>
          <w:tcPr>
            <w:tcW w:w="992" w:type="dxa"/>
            <w:tcBorders>
              <w:top w:val="single" w:color="auto" w:sz="4" w:space="0"/>
              <w:left w:val="single" w:color="auto" w:sz="4" w:space="0"/>
              <w:bottom w:val="single" w:color="auto" w:sz="4" w:space="0"/>
              <w:right w:val="single" w:color="auto" w:sz="4" w:space="0"/>
            </w:tcBorders>
            <w:noWrap/>
            <w:vAlign w:val="center"/>
          </w:tcPr>
          <w:p w14:paraId="50A3E228">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30分</w:t>
            </w:r>
          </w:p>
        </w:tc>
      </w:tr>
      <w:tr w14:paraId="2C7F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9067" w:type="dxa"/>
            <w:gridSpan w:val="3"/>
            <w:tcBorders>
              <w:top w:val="single" w:color="auto" w:sz="4" w:space="0"/>
              <w:left w:val="single" w:color="auto" w:sz="4" w:space="0"/>
              <w:bottom w:val="single" w:color="auto" w:sz="4" w:space="0"/>
              <w:right w:val="single" w:color="auto" w:sz="4" w:space="0"/>
            </w:tcBorders>
            <w:noWrap/>
            <w:vAlign w:val="center"/>
          </w:tcPr>
          <w:p w14:paraId="495B6A03">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二、商务部分（满分</w:t>
            </w:r>
            <w:r>
              <w:rPr>
                <w:rFonts w:hint="eastAsia" w:ascii="宋体" w:hAnsi="宋体" w:eastAsia="宋体" w:cs="宋体"/>
                <w:bCs/>
                <w:color w:val="auto"/>
                <w:sz w:val="21"/>
                <w:szCs w:val="21"/>
                <w:highlight w:val="none"/>
                <w:lang w:val="en-US" w:eastAsia="zh-CN"/>
              </w:rPr>
              <w:t>20</w:t>
            </w:r>
            <w:r>
              <w:rPr>
                <w:rFonts w:hint="eastAsia" w:ascii="宋体" w:hAnsi="宋体" w:eastAsia="宋体" w:cs="宋体"/>
                <w:bCs/>
                <w:color w:val="auto"/>
                <w:sz w:val="21"/>
                <w:szCs w:val="21"/>
                <w:highlight w:val="none"/>
                <w:lang w:eastAsia="zh-CN"/>
              </w:rPr>
              <w:t>分）</w:t>
            </w:r>
          </w:p>
        </w:tc>
      </w:tr>
      <w:tr w14:paraId="6E42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3D1BC53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评分因素</w:t>
            </w:r>
          </w:p>
        </w:tc>
        <w:tc>
          <w:tcPr>
            <w:tcW w:w="6407" w:type="dxa"/>
            <w:tcBorders>
              <w:top w:val="single" w:color="auto" w:sz="4" w:space="0"/>
              <w:left w:val="single" w:color="auto" w:sz="4" w:space="0"/>
              <w:bottom w:val="single" w:color="auto" w:sz="4" w:space="0"/>
              <w:right w:val="single" w:color="auto" w:sz="4" w:space="0"/>
            </w:tcBorders>
            <w:noWrap/>
            <w:vAlign w:val="center"/>
          </w:tcPr>
          <w:p w14:paraId="526C3B97">
            <w:pPr>
              <w:shd w:val="clear"/>
              <w:tabs>
                <w:tab w:val="left" w:pos="540"/>
                <w:tab w:val="center" w:pos="3155"/>
              </w:tabs>
              <w:spacing w:line="360" w:lineRule="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ab/>
            </w:r>
            <w:r>
              <w:rPr>
                <w:rFonts w:hint="eastAsia" w:ascii="宋体" w:hAnsi="宋体" w:eastAsia="宋体" w:cs="宋体"/>
                <w:bCs/>
                <w:color w:val="auto"/>
                <w:sz w:val="21"/>
                <w:szCs w:val="21"/>
                <w:highlight w:val="none"/>
              </w:rPr>
              <w:tab/>
            </w:r>
            <w:r>
              <w:rPr>
                <w:rFonts w:hint="eastAsia" w:ascii="宋体" w:hAnsi="宋体" w:eastAsia="宋体" w:cs="宋体"/>
                <w:bCs/>
                <w:color w:val="auto"/>
                <w:sz w:val="21"/>
                <w:szCs w:val="21"/>
                <w:highlight w:val="none"/>
              </w:rPr>
              <w:t>评分标准</w:t>
            </w:r>
          </w:p>
        </w:tc>
        <w:tc>
          <w:tcPr>
            <w:tcW w:w="992" w:type="dxa"/>
            <w:tcBorders>
              <w:top w:val="single" w:color="auto" w:sz="4" w:space="0"/>
              <w:left w:val="single" w:color="auto" w:sz="4" w:space="0"/>
              <w:bottom w:val="single" w:color="auto" w:sz="4" w:space="0"/>
              <w:right w:val="single" w:color="auto" w:sz="4" w:space="0"/>
            </w:tcBorders>
            <w:noWrap/>
            <w:vAlign w:val="center"/>
          </w:tcPr>
          <w:p w14:paraId="22A082EF">
            <w:pPr>
              <w:shd w:val="clear"/>
              <w:spacing w:line="330" w:lineRule="atLeast"/>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分值</w:t>
            </w:r>
          </w:p>
        </w:tc>
      </w:tr>
      <w:tr w14:paraId="0B32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659795C5">
            <w:pPr>
              <w:shd w:val="clear"/>
              <w:tabs>
                <w:tab w:val="left" w:pos="5130"/>
              </w:tabs>
              <w:spacing w:line="276"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val="en-US" w:eastAsia="zh-CN"/>
              </w:rPr>
              <w:t>投标人</w:t>
            </w:r>
            <w:r>
              <w:rPr>
                <w:rFonts w:hint="eastAsia" w:ascii="宋体" w:hAnsi="宋体" w:eastAsia="宋体" w:cs="宋体"/>
                <w:bCs/>
                <w:color w:val="auto"/>
                <w:sz w:val="21"/>
                <w:szCs w:val="21"/>
                <w:highlight w:val="none"/>
              </w:rPr>
              <w:t>业绩</w:t>
            </w:r>
          </w:p>
        </w:tc>
        <w:tc>
          <w:tcPr>
            <w:tcW w:w="6407" w:type="dxa"/>
            <w:tcBorders>
              <w:top w:val="single" w:color="auto" w:sz="4" w:space="0"/>
              <w:left w:val="single" w:color="auto" w:sz="4" w:space="0"/>
              <w:bottom w:val="single" w:color="auto" w:sz="4" w:space="0"/>
              <w:right w:val="single" w:color="auto" w:sz="4" w:space="0"/>
            </w:tcBorders>
            <w:noWrap/>
            <w:vAlign w:val="center"/>
          </w:tcPr>
          <w:p w14:paraId="029515A3">
            <w:pPr>
              <w:shd w:val="clear"/>
              <w:tabs>
                <w:tab w:val="left" w:pos="540"/>
                <w:tab w:val="center" w:pos="3155"/>
              </w:tabs>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eastAsia="zh-CN"/>
              </w:rPr>
              <w:t>自202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年1月1日以来（</w:t>
            </w:r>
            <w:r>
              <w:rPr>
                <w:rFonts w:hint="eastAsia" w:ascii="宋体" w:hAnsi="宋体" w:eastAsia="宋体" w:cs="宋体"/>
                <w:color w:val="auto"/>
                <w:sz w:val="21"/>
                <w:szCs w:val="21"/>
                <w:highlight w:val="none"/>
                <w:lang w:val="en-US" w:eastAsia="zh-CN"/>
              </w:rPr>
              <w:t>以签订合同时间为准</w:t>
            </w:r>
            <w:r>
              <w:rPr>
                <w:rFonts w:hint="eastAsia" w:ascii="宋体" w:hAnsi="宋体" w:eastAsia="宋体" w:cs="宋体"/>
                <w:color w:val="auto"/>
                <w:sz w:val="21"/>
                <w:szCs w:val="21"/>
                <w:highlight w:val="none"/>
                <w:lang w:eastAsia="zh-CN"/>
              </w:rPr>
              <w:t>），承担过类似项目的，每</w:t>
            </w:r>
            <w:r>
              <w:rPr>
                <w:rFonts w:hint="eastAsia" w:ascii="宋体" w:hAnsi="宋体" w:eastAsia="宋体" w:cs="宋体"/>
                <w:color w:val="auto"/>
                <w:sz w:val="21"/>
                <w:szCs w:val="21"/>
                <w:highlight w:val="none"/>
                <w:lang w:val="en-US" w:eastAsia="zh-CN"/>
              </w:rPr>
              <w:t>提供一</w:t>
            </w:r>
            <w:r>
              <w:rPr>
                <w:rFonts w:hint="eastAsia" w:ascii="宋体" w:hAnsi="宋体" w:eastAsia="宋体" w:cs="宋体"/>
                <w:color w:val="auto"/>
                <w:sz w:val="21"/>
                <w:szCs w:val="21"/>
                <w:highlight w:val="none"/>
                <w:lang w:eastAsia="zh-CN"/>
              </w:rPr>
              <w:t>个得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分，最多得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分。</w:t>
            </w:r>
          </w:p>
          <w:p w14:paraId="48643EF0">
            <w:pPr>
              <w:shd w:val="clear"/>
              <w:tabs>
                <w:tab w:val="left" w:pos="540"/>
                <w:tab w:val="center" w:pos="3155"/>
              </w:tabs>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（需提供完整合同；如为政府采购项目，需提供中标通知书、完整合同，否则不得分。）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170749BF">
            <w:pPr>
              <w:shd w:val="clear"/>
              <w:spacing w:line="330" w:lineRule="atLeast"/>
              <w:ind w:right="240"/>
              <w:jc w:val="cente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r>
      <w:tr w14:paraId="56CA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72A95A7C">
            <w:pPr>
              <w:shd w:val="clear"/>
              <w:tabs>
                <w:tab w:val="left" w:pos="540"/>
                <w:tab w:val="center" w:pos="3155"/>
              </w:tabs>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项目管理机构</w:t>
            </w:r>
          </w:p>
        </w:tc>
        <w:tc>
          <w:tcPr>
            <w:tcW w:w="6407" w:type="dxa"/>
            <w:tcBorders>
              <w:top w:val="single" w:color="auto" w:sz="4" w:space="0"/>
              <w:left w:val="single" w:color="auto" w:sz="4" w:space="0"/>
              <w:bottom w:val="single" w:color="auto" w:sz="4" w:space="0"/>
              <w:right w:val="single" w:color="auto" w:sz="4" w:space="0"/>
            </w:tcBorders>
            <w:noWrap/>
            <w:vAlign w:val="center"/>
          </w:tcPr>
          <w:p w14:paraId="29C59B4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拟投入本项目人员（项目负责人除外）：具有相关专业中级及以上人员每有一人得2分，最高得10分；不提供不得分。</w:t>
            </w:r>
          </w:p>
          <w:p w14:paraId="433428E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注：</w:t>
            </w:r>
            <w:r>
              <w:rPr>
                <w:rFonts w:hint="eastAsia" w:asciiTheme="minorEastAsia" w:hAnsiTheme="minorEastAsia" w:cstheme="minorEastAsia"/>
                <w:color w:val="auto"/>
                <w:sz w:val="21"/>
                <w:szCs w:val="21"/>
                <w:highlight w:val="none"/>
                <w:lang w:val="en-US" w:eastAsia="zh-CN"/>
              </w:rPr>
              <w:t>投标</w:t>
            </w:r>
            <w:r>
              <w:rPr>
                <w:rFonts w:hint="eastAsia" w:asciiTheme="minorEastAsia" w:hAnsiTheme="minorEastAsia" w:eastAsiaTheme="minorEastAsia" w:cstheme="minorEastAsia"/>
                <w:color w:val="auto"/>
                <w:sz w:val="21"/>
                <w:szCs w:val="21"/>
                <w:highlight w:val="none"/>
              </w:rPr>
              <w:t>文件中</w:t>
            </w:r>
            <w:r>
              <w:rPr>
                <w:rFonts w:hint="eastAsia" w:asciiTheme="minorEastAsia" w:hAnsiTheme="minorEastAsia" w:cstheme="minorEastAsia"/>
                <w:color w:val="auto"/>
                <w:sz w:val="21"/>
                <w:szCs w:val="21"/>
                <w:highlight w:val="none"/>
                <w:lang w:val="en-US" w:eastAsia="zh-CN"/>
              </w:rPr>
              <w:t>需</w:t>
            </w:r>
            <w:r>
              <w:rPr>
                <w:rFonts w:hint="eastAsia" w:asciiTheme="minorEastAsia" w:hAnsiTheme="minorEastAsia" w:eastAsiaTheme="minorEastAsia" w:cstheme="minorEastAsia"/>
                <w:color w:val="auto"/>
                <w:sz w:val="21"/>
                <w:szCs w:val="21"/>
                <w:lang w:val="zh-CN"/>
              </w:rPr>
              <w:t>提供</w:t>
            </w:r>
            <w:r>
              <w:rPr>
                <w:rFonts w:hint="eastAsia" w:asciiTheme="minorEastAsia" w:hAnsiTheme="minorEastAsia" w:cstheme="minorEastAsia"/>
                <w:color w:val="auto"/>
                <w:sz w:val="21"/>
                <w:szCs w:val="21"/>
                <w:lang w:val="en-US" w:eastAsia="zh-CN"/>
              </w:rPr>
              <w:t>人员</w:t>
            </w:r>
            <w:r>
              <w:rPr>
                <w:rFonts w:hint="eastAsia" w:ascii="宋体" w:hAnsi="宋体" w:eastAsia="宋体" w:cs="宋体"/>
                <w:color w:val="auto"/>
                <w:spacing w:val="6"/>
                <w:sz w:val="21"/>
                <w:szCs w:val="21"/>
                <w:highlight w:val="none"/>
                <w:lang w:val="en-US" w:eastAsia="zh-CN"/>
              </w:rPr>
              <w:t>社保缴纳凭证（或劳动合同）</w:t>
            </w:r>
            <w:r>
              <w:rPr>
                <w:rFonts w:hint="eastAsia" w:asciiTheme="minorEastAsia" w:hAnsiTheme="minorEastAsia" w:eastAsiaTheme="minorEastAsia" w:cstheme="minorEastAsia"/>
                <w:color w:val="auto"/>
                <w:sz w:val="21"/>
                <w:szCs w:val="21"/>
                <w:lang w:val="zh-CN"/>
              </w:rPr>
              <w:t>、</w:t>
            </w:r>
            <w:r>
              <w:rPr>
                <w:rFonts w:hint="eastAsia" w:asciiTheme="minorEastAsia" w:hAnsiTheme="minorEastAsia" w:eastAsiaTheme="minorEastAsia" w:cstheme="minorEastAsia"/>
                <w:color w:val="auto"/>
                <w:sz w:val="21"/>
                <w:szCs w:val="21"/>
                <w:lang w:val="en-US" w:eastAsia="zh-CN"/>
              </w:rPr>
              <w:t>相关</w:t>
            </w:r>
            <w:r>
              <w:rPr>
                <w:rFonts w:hint="eastAsia" w:asciiTheme="minorEastAsia" w:hAnsiTheme="minorEastAsia" w:eastAsiaTheme="minorEastAsia" w:cstheme="minorEastAsia"/>
                <w:color w:val="auto"/>
                <w:sz w:val="21"/>
                <w:szCs w:val="21"/>
                <w:lang w:val="zh-CN"/>
              </w:rPr>
              <w:t>证书原件扫描件</w:t>
            </w:r>
            <w:r>
              <w:rPr>
                <w:rFonts w:hint="eastAsia" w:asciiTheme="minorEastAsia" w:hAnsiTheme="minorEastAsia" w:eastAsiaTheme="minorEastAsia" w:cstheme="minorEastAsia"/>
                <w:color w:val="auto"/>
                <w:sz w:val="21"/>
                <w:szCs w:val="21"/>
                <w:lang w:val="en-US" w:eastAsia="zh-CN"/>
              </w:rPr>
              <w:t>或图片，</w:t>
            </w:r>
            <w:r>
              <w:rPr>
                <w:rFonts w:hint="eastAsia" w:asciiTheme="minorEastAsia" w:hAnsiTheme="minorEastAsia" w:eastAsiaTheme="minorEastAsia" w:cstheme="minorEastAsia"/>
                <w:color w:val="auto"/>
                <w:sz w:val="21"/>
                <w:szCs w:val="21"/>
                <w:lang w:val="zh-CN"/>
              </w:rPr>
              <w:t>未提供</w:t>
            </w:r>
            <w:r>
              <w:rPr>
                <w:rFonts w:hint="eastAsia" w:asciiTheme="minorEastAsia" w:hAnsiTheme="minorEastAsia" w:eastAsiaTheme="minorEastAsia" w:cstheme="minorEastAsia"/>
                <w:color w:val="auto"/>
                <w:sz w:val="21"/>
                <w:szCs w:val="21"/>
                <w:lang w:val="en-US" w:eastAsia="zh-CN"/>
              </w:rPr>
              <w:t>者</w:t>
            </w:r>
            <w:r>
              <w:rPr>
                <w:rFonts w:hint="eastAsia" w:asciiTheme="minorEastAsia" w:hAnsiTheme="minorEastAsia" w:eastAsiaTheme="minorEastAsia" w:cstheme="minorEastAsia"/>
                <w:color w:val="auto"/>
                <w:sz w:val="21"/>
                <w:szCs w:val="21"/>
                <w:lang w:val="zh-CN"/>
              </w:rPr>
              <w:t>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19DA6581">
            <w:pPr>
              <w:shd w:val="clear"/>
              <w:spacing w:line="330" w:lineRule="atLeast"/>
              <w:ind w:right="2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r>
      <w:tr w14:paraId="080A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9067" w:type="dxa"/>
            <w:gridSpan w:val="3"/>
            <w:tcBorders>
              <w:top w:val="single" w:color="auto" w:sz="4" w:space="0"/>
              <w:left w:val="single" w:color="auto" w:sz="4" w:space="0"/>
              <w:bottom w:val="single" w:color="auto" w:sz="4" w:space="0"/>
              <w:right w:val="single" w:color="auto" w:sz="4" w:space="0"/>
            </w:tcBorders>
            <w:noWrap/>
            <w:vAlign w:val="center"/>
          </w:tcPr>
          <w:p w14:paraId="7BEB302D">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三、技术部分（满分50分）</w:t>
            </w:r>
          </w:p>
        </w:tc>
      </w:tr>
      <w:tr w14:paraId="217B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42BB7448">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评分因素</w:t>
            </w:r>
          </w:p>
        </w:tc>
        <w:tc>
          <w:tcPr>
            <w:tcW w:w="6407" w:type="dxa"/>
            <w:tcBorders>
              <w:top w:val="single" w:color="auto" w:sz="4" w:space="0"/>
              <w:left w:val="single" w:color="auto" w:sz="4" w:space="0"/>
              <w:bottom w:val="single" w:color="auto" w:sz="4" w:space="0"/>
              <w:right w:val="single" w:color="auto" w:sz="4" w:space="0"/>
            </w:tcBorders>
            <w:noWrap/>
            <w:vAlign w:val="center"/>
          </w:tcPr>
          <w:p w14:paraId="1A801A9D">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评分标准</w:t>
            </w:r>
          </w:p>
        </w:tc>
        <w:tc>
          <w:tcPr>
            <w:tcW w:w="992" w:type="dxa"/>
            <w:tcBorders>
              <w:top w:val="single" w:color="auto" w:sz="4" w:space="0"/>
              <w:left w:val="single" w:color="auto" w:sz="4" w:space="0"/>
              <w:bottom w:val="single" w:color="auto" w:sz="4" w:space="0"/>
              <w:right w:val="single" w:color="auto" w:sz="4" w:space="0"/>
            </w:tcBorders>
            <w:noWrap/>
            <w:vAlign w:val="center"/>
          </w:tcPr>
          <w:p w14:paraId="6BD13A04">
            <w:pPr>
              <w:shd w:val="clear"/>
              <w:spacing w:line="33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r>
      <w:tr w14:paraId="33D3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668" w:type="dxa"/>
            <w:tcBorders>
              <w:top w:val="single" w:color="auto" w:sz="4" w:space="0"/>
              <w:left w:val="single" w:color="auto" w:sz="4" w:space="0"/>
              <w:right w:val="single" w:color="auto" w:sz="4" w:space="0"/>
            </w:tcBorders>
            <w:noWrap/>
            <w:vAlign w:val="center"/>
          </w:tcPr>
          <w:p w14:paraId="36D8409F">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项目实施方案</w:t>
            </w:r>
          </w:p>
          <w:p w14:paraId="35CE95F6">
            <w:pPr>
              <w:shd w:val="clear"/>
              <w:spacing w:line="360" w:lineRule="auto"/>
              <w:jc w:val="center"/>
              <w:rPr>
                <w:rFonts w:hint="eastAsia" w:ascii="宋体" w:hAnsi="宋体" w:eastAsia="宋体" w:cs="宋体"/>
                <w:color w:val="auto"/>
                <w:sz w:val="21"/>
                <w:szCs w:val="21"/>
                <w:highlight w:val="none"/>
                <w:lang w:eastAsia="zh-CN"/>
              </w:rPr>
            </w:pPr>
          </w:p>
        </w:tc>
        <w:tc>
          <w:tcPr>
            <w:tcW w:w="6407" w:type="dxa"/>
            <w:tcBorders>
              <w:top w:val="single" w:color="auto" w:sz="4" w:space="0"/>
              <w:left w:val="nil"/>
              <w:bottom w:val="single" w:color="auto" w:sz="4" w:space="0"/>
              <w:right w:val="single" w:color="auto" w:sz="4" w:space="0"/>
            </w:tcBorders>
            <w:noWrap/>
            <w:vAlign w:val="center"/>
          </w:tcPr>
          <w:p w14:paraId="4BB83AF1">
            <w:pPr>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en-US"/>
              </w:rPr>
              <w:t>根据</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en-US"/>
              </w:rPr>
              <w:t>提供的</w:t>
            </w:r>
            <w:r>
              <w:rPr>
                <w:rFonts w:hint="eastAsia" w:ascii="宋体" w:hAnsi="宋体" w:eastAsia="宋体" w:cs="宋体"/>
                <w:color w:val="auto"/>
                <w:sz w:val="21"/>
                <w:szCs w:val="21"/>
                <w:highlight w:val="none"/>
                <w:lang w:eastAsia="zh-CN"/>
              </w:rPr>
              <w:t>把握项目定位和本次补充耕地质量验收的意义，提出补充耕地质量验收的总体工作思路及流程、实施任务目标、技术路线等实施方案内容。内容描述完整详实、具有针对性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、可操作性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分；内容描述无缺漏，表述规范、方案具备可操作性的得</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eastAsia="zh-CN"/>
              </w:rPr>
              <w:t>分；内容仅有简单描述且不缺项的得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分；缺项漏项不得分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6F1A1501">
            <w:pPr>
              <w:shd w:val="clear"/>
              <w:tabs>
                <w:tab w:val="left" w:pos="540"/>
                <w:tab w:val="center" w:pos="3155"/>
              </w:tabs>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r>
      <w:tr w14:paraId="5695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668" w:type="dxa"/>
            <w:tcBorders>
              <w:top w:val="single" w:color="auto" w:sz="4" w:space="0"/>
              <w:left w:val="single" w:color="auto" w:sz="4" w:space="0"/>
              <w:right w:val="single" w:color="auto" w:sz="4" w:space="0"/>
            </w:tcBorders>
            <w:noWrap/>
            <w:vAlign w:val="center"/>
          </w:tcPr>
          <w:p w14:paraId="59B1561B">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项目理解与分析</w:t>
            </w:r>
          </w:p>
          <w:p w14:paraId="5F604779">
            <w:pPr>
              <w:shd w:val="clear"/>
              <w:spacing w:line="360" w:lineRule="auto"/>
              <w:jc w:val="center"/>
              <w:rPr>
                <w:rFonts w:hint="eastAsia" w:ascii="宋体" w:hAnsi="宋体" w:eastAsia="宋体" w:cs="宋体"/>
                <w:color w:val="auto"/>
                <w:sz w:val="21"/>
                <w:szCs w:val="21"/>
                <w:highlight w:val="none"/>
                <w:lang w:eastAsia="zh-CN"/>
              </w:rPr>
            </w:pPr>
          </w:p>
        </w:tc>
        <w:tc>
          <w:tcPr>
            <w:tcW w:w="6407" w:type="dxa"/>
            <w:tcBorders>
              <w:top w:val="single" w:color="auto" w:sz="4" w:space="0"/>
              <w:left w:val="nil"/>
              <w:bottom w:val="single" w:color="auto" w:sz="4" w:space="0"/>
              <w:right w:val="single" w:color="auto" w:sz="4" w:space="0"/>
            </w:tcBorders>
            <w:noWrap/>
            <w:vAlign w:val="center"/>
          </w:tcPr>
          <w:p w14:paraId="46D67A50">
            <w:pPr>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en-US"/>
              </w:rPr>
              <w:t>提供的</w:t>
            </w:r>
            <w:r>
              <w:rPr>
                <w:rFonts w:hint="eastAsia" w:ascii="宋体" w:hAnsi="宋体" w:eastAsia="宋体" w:cs="宋体"/>
                <w:color w:val="auto"/>
                <w:sz w:val="21"/>
                <w:szCs w:val="21"/>
                <w:highlight w:val="none"/>
                <w:lang w:eastAsia="zh-CN"/>
              </w:rPr>
              <w:t>项目特点及服务内容，提出对项目地形、地质、气候、水文、周围环境等情况的理解和分析。内容描述完整详实、具有针对性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、可操作性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分；内容描述无缺漏，表述规范、方案具备可操作性的得</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eastAsia="zh-CN"/>
              </w:rPr>
              <w:t>分；内容仅有简单描述且不缺项的得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分；缺项漏项不得分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5361C966">
            <w:pPr>
              <w:shd w:val="clear"/>
              <w:tabs>
                <w:tab w:val="left" w:pos="540"/>
                <w:tab w:val="center" w:pos="3155"/>
              </w:tabs>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7334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668" w:type="dxa"/>
            <w:tcBorders>
              <w:left w:val="single" w:color="auto" w:sz="4" w:space="0"/>
              <w:right w:val="single" w:color="auto" w:sz="4" w:space="0"/>
            </w:tcBorders>
            <w:noWrap/>
            <w:vAlign w:val="center"/>
          </w:tcPr>
          <w:p w14:paraId="0CFF6D2E">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项目组织机构</w:t>
            </w:r>
          </w:p>
          <w:p w14:paraId="2EAE4853">
            <w:pPr>
              <w:shd w:val="clear"/>
              <w:spacing w:line="360" w:lineRule="auto"/>
              <w:jc w:val="center"/>
              <w:rPr>
                <w:rFonts w:hint="eastAsia" w:ascii="宋体" w:hAnsi="宋体" w:eastAsia="宋体" w:cs="宋体"/>
                <w:color w:val="auto"/>
                <w:sz w:val="21"/>
                <w:szCs w:val="21"/>
                <w:highlight w:val="none"/>
              </w:rPr>
            </w:pPr>
          </w:p>
        </w:tc>
        <w:tc>
          <w:tcPr>
            <w:tcW w:w="6407" w:type="dxa"/>
            <w:tcBorders>
              <w:top w:val="single" w:color="auto" w:sz="4" w:space="0"/>
              <w:left w:val="nil"/>
              <w:bottom w:val="single" w:color="auto" w:sz="4" w:space="0"/>
              <w:right w:val="single" w:color="auto" w:sz="4" w:space="0"/>
            </w:tcBorders>
            <w:noWrap/>
            <w:vAlign w:val="center"/>
          </w:tcPr>
          <w:p w14:paraId="5D3D64C5">
            <w:pPr>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en-US"/>
              </w:rPr>
              <w:t>提供的</w:t>
            </w:r>
            <w:r>
              <w:rPr>
                <w:rFonts w:hint="eastAsia" w:ascii="宋体" w:hAnsi="宋体" w:eastAsia="宋体" w:cs="宋体"/>
                <w:color w:val="auto"/>
                <w:sz w:val="21"/>
                <w:szCs w:val="21"/>
                <w:highlight w:val="none"/>
                <w:lang w:eastAsia="zh-CN"/>
              </w:rPr>
              <w:t>项目的机构设置情况，项目负责人、各工序的相应负责人、专职人员的岗位职责安排，</w:t>
            </w:r>
            <w:r>
              <w:rPr>
                <w:rFonts w:hint="eastAsia" w:ascii="宋体" w:hAnsi="宋体" w:eastAsia="宋体" w:cs="宋体"/>
                <w:color w:val="auto"/>
                <w:sz w:val="21"/>
                <w:szCs w:val="21"/>
                <w:highlight w:val="none"/>
                <w:lang w:val="en-US" w:eastAsia="zh-CN"/>
              </w:rPr>
              <w:t>工作内容协调等。</w:t>
            </w:r>
            <w:r>
              <w:rPr>
                <w:rFonts w:hint="eastAsia" w:ascii="宋体" w:hAnsi="宋体" w:eastAsia="宋体" w:cs="宋体"/>
                <w:color w:val="auto"/>
                <w:sz w:val="21"/>
                <w:szCs w:val="21"/>
                <w:highlight w:val="none"/>
                <w:lang w:eastAsia="zh-CN"/>
              </w:rPr>
              <w:t>内容描述完整详实、具有针对性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、可操作性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分；内容描述无缺漏，表述规范、方案具备可操作性的得</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eastAsia="zh-CN"/>
              </w:rPr>
              <w:t>分；内容仅有简单描述且不缺项的得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分；缺项漏项不得分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2A600F9C">
            <w:pPr>
              <w:shd w:val="clear"/>
              <w:tabs>
                <w:tab w:val="left" w:pos="540"/>
                <w:tab w:val="center" w:pos="3155"/>
              </w:tabs>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r>
      <w:tr w14:paraId="76E4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668" w:type="dxa"/>
            <w:tcBorders>
              <w:left w:val="single" w:color="auto" w:sz="4" w:space="0"/>
              <w:right w:val="single" w:color="auto" w:sz="4" w:space="0"/>
            </w:tcBorders>
            <w:noWrap/>
            <w:vAlign w:val="center"/>
          </w:tcPr>
          <w:p w14:paraId="0484A0C8">
            <w:pPr>
              <w:shd w:val="clear"/>
              <w:spacing w:line="360" w:lineRule="auto"/>
              <w:jc w:val="center"/>
              <w:rPr>
                <w:rFonts w:hint="eastAsia" w:ascii="宋体" w:hAnsi="宋体" w:eastAsia="宋体" w:cs="宋体"/>
                <w:color w:val="auto"/>
                <w:sz w:val="21"/>
                <w:szCs w:val="21"/>
                <w:highlight w:val="none"/>
              </w:rPr>
            </w:pPr>
            <w:bookmarkStart w:id="10" w:name="_GoBack" w:colFirst="0" w:colLast="1"/>
            <w:r>
              <w:rPr>
                <w:rFonts w:hint="eastAsia" w:ascii="宋体" w:hAnsi="宋体" w:eastAsia="宋体" w:cs="宋体"/>
                <w:color w:val="auto"/>
                <w:sz w:val="21"/>
                <w:szCs w:val="21"/>
                <w:highlight w:val="none"/>
              </w:rPr>
              <w:t>项目进度计划</w:t>
            </w:r>
          </w:p>
        </w:tc>
        <w:tc>
          <w:tcPr>
            <w:tcW w:w="6407" w:type="dxa"/>
            <w:tcBorders>
              <w:top w:val="single" w:color="auto" w:sz="4" w:space="0"/>
              <w:left w:val="nil"/>
              <w:bottom w:val="single" w:color="auto" w:sz="4" w:space="0"/>
              <w:right w:val="single" w:color="auto" w:sz="4" w:space="0"/>
            </w:tcBorders>
            <w:noWrap/>
            <w:vAlign w:val="center"/>
          </w:tcPr>
          <w:p w14:paraId="6BE4ACD9">
            <w:pPr>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en-US"/>
              </w:rPr>
              <w:t>提供的</w:t>
            </w:r>
            <w:r>
              <w:rPr>
                <w:rFonts w:hint="eastAsia" w:ascii="宋体" w:hAnsi="宋体" w:eastAsia="宋体" w:cs="宋体"/>
                <w:color w:val="auto"/>
                <w:sz w:val="21"/>
                <w:szCs w:val="21"/>
                <w:highlight w:val="none"/>
                <w:lang w:eastAsia="zh-CN"/>
              </w:rPr>
              <w:t>结合项目实际特点及服务内容，提出针对本项目的项目进度计划与保证措施。内容描述完整详实、具有针对性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、可操作性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分；内容描述无缺漏，表述规范、方案具备可操作性的得</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eastAsia="zh-CN"/>
              </w:rPr>
              <w:t>分；内容仅有简单描述且不缺项的得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分；缺项漏项不得分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2D9BCE04">
            <w:pPr>
              <w:shd w:val="clear"/>
              <w:tabs>
                <w:tab w:val="left" w:pos="540"/>
                <w:tab w:val="center" w:pos="3155"/>
              </w:tabs>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bookmarkEnd w:id="10"/>
      <w:tr w14:paraId="2BD3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668" w:type="dxa"/>
            <w:tcBorders>
              <w:left w:val="single" w:color="auto" w:sz="4" w:space="0"/>
              <w:right w:val="single" w:color="auto" w:sz="4" w:space="0"/>
            </w:tcBorders>
            <w:noWrap/>
            <w:vAlign w:val="center"/>
          </w:tcPr>
          <w:p w14:paraId="665C5ADC">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质量保证体系与措施</w:t>
            </w:r>
          </w:p>
        </w:tc>
        <w:tc>
          <w:tcPr>
            <w:tcW w:w="6407" w:type="dxa"/>
            <w:tcBorders>
              <w:top w:val="single" w:color="auto" w:sz="4" w:space="0"/>
              <w:left w:val="nil"/>
              <w:bottom w:val="single" w:color="auto" w:sz="4" w:space="0"/>
              <w:right w:val="single" w:color="auto" w:sz="4" w:space="0"/>
            </w:tcBorders>
            <w:noWrap/>
            <w:vAlign w:val="center"/>
          </w:tcPr>
          <w:p w14:paraId="41144626">
            <w:pPr>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en-US"/>
              </w:rPr>
              <w:t>提供的</w:t>
            </w:r>
            <w:r>
              <w:rPr>
                <w:rFonts w:hint="eastAsia" w:ascii="宋体" w:hAnsi="宋体" w:eastAsia="宋体" w:cs="宋体"/>
                <w:color w:val="auto"/>
                <w:sz w:val="21"/>
                <w:szCs w:val="21"/>
                <w:highlight w:val="none"/>
                <w:lang w:eastAsia="zh-CN"/>
              </w:rPr>
              <w:t>结合项目实际特点及服务内容，提出针对本项目的质量保证体系与措施。内容描述完整详实、具有针对性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、可操作性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分；内容描述无缺漏，表述规范、方案具备可操作性的得</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eastAsia="zh-CN"/>
              </w:rPr>
              <w:t>分；内容仅有简单描述且不缺项的得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分；缺项漏项不得分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028A05CB">
            <w:pPr>
              <w:shd w:val="clear"/>
              <w:tabs>
                <w:tab w:val="left" w:pos="540"/>
                <w:tab w:val="center" w:pos="3155"/>
              </w:tabs>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r>
      <w:tr w14:paraId="5FCE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668" w:type="dxa"/>
            <w:tcBorders>
              <w:left w:val="single" w:color="auto" w:sz="4" w:space="0"/>
              <w:right w:val="single" w:color="auto" w:sz="4" w:space="0"/>
            </w:tcBorders>
            <w:noWrap/>
            <w:vAlign w:val="center"/>
          </w:tcPr>
          <w:p w14:paraId="3E54D92E">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安全管理体系与措施</w:t>
            </w:r>
          </w:p>
        </w:tc>
        <w:tc>
          <w:tcPr>
            <w:tcW w:w="6407" w:type="dxa"/>
            <w:tcBorders>
              <w:top w:val="single" w:color="auto" w:sz="4" w:space="0"/>
              <w:left w:val="nil"/>
              <w:bottom w:val="single" w:color="auto" w:sz="4" w:space="0"/>
              <w:right w:val="single" w:color="auto" w:sz="4" w:space="0"/>
            </w:tcBorders>
            <w:noWrap/>
            <w:vAlign w:val="center"/>
          </w:tcPr>
          <w:p w14:paraId="64FD4558">
            <w:pPr>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en-US"/>
              </w:rPr>
              <w:t>提供的</w:t>
            </w:r>
            <w:r>
              <w:rPr>
                <w:rFonts w:hint="eastAsia" w:ascii="宋体" w:hAnsi="宋体" w:eastAsia="宋体" w:cs="宋体"/>
                <w:color w:val="auto"/>
                <w:sz w:val="21"/>
                <w:szCs w:val="21"/>
                <w:highlight w:val="none"/>
                <w:lang w:eastAsia="zh-CN"/>
              </w:rPr>
              <w:t>结合项目实际特点及服务内容，提出针对本项目的安全管理体系与措施。内容描述完整详实、具有针对性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、可操作性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分；内容描述无缺漏，表述规范、方案具备可操作性的得</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eastAsia="zh-CN"/>
              </w:rPr>
              <w:t>分；内容仅有简单描述且不缺项的得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分；缺项漏项不得分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67D2616F">
            <w:pPr>
              <w:shd w:val="clear"/>
              <w:tabs>
                <w:tab w:val="left" w:pos="540"/>
                <w:tab w:val="center" w:pos="3155"/>
              </w:tabs>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r>
      <w:tr w14:paraId="7672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2" w:hRule="atLeast"/>
          <w:jc w:val="center"/>
        </w:trPr>
        <w:tc>
          <w:tcPr>
            <w:tcW w:w="1668" w:type="dxa"/>
            <w:tcBorders>
              <w:left w:val="single" w:color="auto" w:sz="4" w:space="0"/>
              <w:right w:val="single" w:color="auto" w:sz="4" w:space="0"/>
            </w:tcBorders>
            <w:noWrap/>
            <w:vAlign w:val="center"/>
          </w:tcPr>
          <w:p w14:paraId="289B71B6">
            <w:pPr>
              <w:pStyle w:val="15"/>
              <w:shd w:val="clear"/>
              <w:spacing w:after="0" w:line="360" w:lineRule="exact"/>
              <w:ind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成果管理与保障措施</w:t>
            </w:r>
          </w:p>
        </w:tc>
        <w:tc>
          <w:tcPr>
            <w:tcW w:w="6407" w:type="dxa"/>
            <w:tcBorders>
              <w:top w:val="single" w:color="auto" w:sz="4" w:space="0"/>
              <w:left w:val="nil"/>
              <w:bottom w:val="single" w:color="auto" w:sz="4" w:space="0"/>
              <w:right w:val="single" w:color="auto" w:sz="4" w:space="0"/>
            </w:tcBorders>
            <w:noWrap/>
            <w:vAlign w:val="top"/>
          </w:tcPr>
          <w:p w14:paraId="495938B7">
            <w:pPr>
              <w:pStyle w:val="15"/>
              <w:keepNext w:val="0"/>
              <w:keepLines w:val="0"/>
              <w:pageBreakBefore w:val="0"/>
              <w:widowControl/>
              <w:shd w:val="clear"/>
              <w:kinsoku w:val="0"/>
              <w:wordWrap/>
              <w:overflowPunct/>
              <w:topLinePunct w:val="0"/>
              <w:autoSpaceDE w:val="0"/>
              <w:autoSpaceDN w:val="0"/>
              <w:bidi w:val="0"/>
              <w:adjustRightInd w:val="0"/>
              <w:snapToGrid w:val="0"/>
              <w:spacing w:after="0" w:line="460" w:lineRule="exact"/>
              <w:ind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en-US"/>
              </w:rPr>
              <w:t>提供的</w:t>
            </w:r>
            <w:r>
              <w:rPr>
                <w:rFonts w:hint="eastAsia" w:ascii="宋体" w:hAnsi="宋体" w:eastAsia="宋体" w:cs="宋体"/>
                <w:color w:val="auto"/>
                <w:sz w:val="21"/>
                <w:szCs w:val="21"/>
                <w:highlight w:val="none"/>
                <w:lang w:eastAsia="zh-CN"/>
              </w:rPr>
              <w:t>结合项目实际特点及服务内容，提出针对本项目的成果管理与保障措施。内容描述完整详实、具有针对性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、可操作性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分；内容描述无缺漏，表述规范、方案具备可操作性的得</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eastAsia="zh-CN"/>
              </w:rPr>
              <w:t>分；内容仅有简单描述且不缺项的得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分；缺项漏项不得分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3759F331">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4D22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668" w:type="dxa"/>
            <w:tcBorders>
              <w:left w:val="single" w:color="auto" w:sz="4" w:space="0"/>
              <w:right w:val="single" w:color="auto" w:sz="4" w:space="0"/>
            </w:tcBorders>
            <w:noWrap/>
            <w:vAlign w:val="center"/>
          </w:tcPr>
          <w:p w14:paraId="7EFD914D">
            <w:pPr>
              <w:shd w:val="clear"/>
              <w:autoSpaceDE w:val="0"/>
              <w:autoSpaceDN w:val="0"/>
              <w:spacing w:line="360" w:lineRule="auto"/>
              <w:contextualSpacing/>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重点与难点分析及处理措施</w:t>
            </w:r>
          </w:p>
        </w:tc>
        <w:tc>
          <w:tcPr>
            <w:tcW w:w="6407" w:type="dxa"/>
            <w:tcBorders>
              <w:top w:val="single" w:color="auto" w:sz="4" w:space="0"/>
              <w:left w:val="nil"/>
              <w:bottom w:val="single" w:color="auto" w:sz="4" w:space="0"/>
              <w:right w:val="single" w:color="auto" w:sz="4" w:space="0"/>
            </w:tcBorders>
            <w:noWrap/>
            <w:vAlign w:val="center"/>
          </w:tcPr>
          <w:p w14:paraId="30BD50C0">
            <w:pPr>
              <w:shd w:val="clear"/>
              <w:spacing w:line="360" w:lineRule="auto"/>
              <w:jc w:val="both"/>
              <w:rPr>
                <w:rFonts w:hint="eastAsia" w:ascii="宋体" w:hAnsi="宋体" w:eastAsia="宋体" w:cs="宋体"/>
                <w:b w:val="0"/>
                <w:bCs w:val="0"/>
                <w:color w:val="auto"/>
                <w:sz w:val="21"/>
                <w:szCs w:val="21"/>
                <w:highlight w:val="none"/>
                <w:lang w:eastAsia="zh-CN"/>
              </w:rPr>
            </w:pP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en-US"/>
              </w:rPr>
              <w:t>提供的</w:t>
            </w:r>
            <w:r>
              <w:rPr>
                <w:rFonts w:hint="eastAsia" w:ascii="宋体" w:hAnsi="宋体" w:eastAsia="宋体" w:cs="宋体"/>
                <w:b w:val="0"/>
                <w:bCs w:val="0"/>
                <w:color w:val="auto"/>
                <w:sz w:val="21"/>
                <w:szCs w:val="21"/>
                <w:highlight w:val="none"/>
                <w:lang w:eastAsia="zh-CN"/>
              </w:rPr>
              <w:t>结合项目实际特点及服务内容，提出针对本项目的重点与难点分析及处理措施。</w:t>
            </w:r>
            <w:r>
              <w:rPr>
                <w:rFonts w:hint="eastAsia" w:ascii="宋体" w:hAnsi="宋体" w:eastAsia="宋体" w:cs="宋体"/>
                <w:color w:val="auto"/>
                <w:sz w:val="21"/>
                <w:szCs w:val="21"/>
                <w:highlight w:val="none"/>
                <w:lang w:eastAsia="zh-CN"/>
              </w:rPr>
              <w:t>内容描述完整详实、具有针对性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、可操作性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分；内容描述无缺漏，表述规范、方案具备可操作性的得</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eastAsia="zh-CN"/>
              </w:rPr>
              <w:t>分；内容仅有简单描述且不缺项的得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分；缺项漏项不得分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6A42C7AD">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118D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668" w:type="dxa"/>
            <w:tcBorders>
              <w:left w:val="single" w:color="auto" w:sz="4" w:space="0"/>
              <w:right w:val="single" w:color="auto" w:sz="4" w:space="0"/>
            </w:tcBorders>
            <w:noWrap/>
            <w:vAlign w:val="center"/>
          </w:tcPr>
          <w:p w14:paraId="62F912F9">
            <w:pPr>
              <w:shd w:val="clear"/>
              <w:autoSpaceDE w:val="0"/>
              <w:autoSpaceDN w:val="0"/>
              <w:spacing w:line="360" w:lineRule="auto"/>
              <w:contextualSpacing/>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服务承诺</w:t>
            </w:r>
          </w:p>
          <w:p w14:paraId="20FF2426">
            <w:pPr>
              <w:shd w:val="clear"/>
              <w:autoSpaceDE w:val="0"/>
              <w:autoSpaceDN w:val="0"/>
              <w:spacing w:line="360" w:lineRule="auto"/>
              <w:contextualSpacing/>
              <w:jc w:val="center"/>
              <w:rPr>
                <w:rFonts w:hint="eastAsia" w:ascii="宋体" w:hAnsi="宋体" w:eastAsia="宋体" w:cs="宋体"/>
                <w:color w:val="auto"/>
                <w:sz w:val="21"/>
                <w:szCs w:val="21"/>
                <w:highlight w:val="none"/>
                <w:lang w:eastAsia="zh-CN"/>
              </w:rPr>
            </w:pPr>
          </w:p>
        </w:tc>
        <w:tc>
          <w:tcPr>
            <w:tcW w:w="6407" w:type="dxa"/>
            <w:tcBorders>
              <w:top w:val="single" w:color="auto" w:sz="4" w:space="0"/>
              <w:left w:val="nil"/>
              <w:bottom w:val="single" w:color="auto" w:sz="4" w:space="0"/>
              <w:right w:val="single" w:color="auto" w:sz="4" w:space="0"/>
            </w:tcBorders>
            <w:noWrap/>
            <w:vAlign w:val="center"/>
          </w:tcPr>
          <w:p w14:paraId="7528BDB9">
            <w:pPr>
              <w:numPr>
                <w:ilvl w:val="0"/>
                <w:numId w:val="0"/>
              </w:numPr>
              <w:shd w:val="clear"/>
              <w:autoSpaceDE w:val="0"/>
              <w:autoSpaceDN w:val="0"/>
              <w:spacing w:line="360" w:lineRule="auto"/>
              <w:contextualSpacing/>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en-US"/>
              </w:rPr>
              <w:t>根据</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en-US"/>
              </w:rPr>
              <w:t>提供的服务承诺的完整性、合理性、科学性等进行综合比较，承诺内容全面完整、科学合理得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en-US"/>
              </w:rPr>
              <w:t>分，承诺内容基本全面完整、科学合理得</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val="en-US" w:eastAsia="en-US"/>
              </w:rPr>
              <w:t>分，内容仅有简单描述且不缺项得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en-US"/>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缺项漏项不得分</w:t>
            </w:r>
          </w:p>
          <w:p w14:paraId="3A921ADA">
            <w:pPr>
              <w:numPr>
                <w:ilvl w:val="0"/>
                <w:numId w:val="0"/>
              </w:numPr>
              <w:shd w:val="clear"/>
              <w:autoSpaceDE w:val="0"/>
              <w:autoSpaceDN w:val="0"/>
              <w:spacing w:line="360" w:lineRule="auto"/>
              <w:contextualSpacing/>
              <w:jc w:val="left"/>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注：服务承诺包含但不限于以下内容：</w:t>
            </w:r>
          </w:p>
          <w:p w14:paraId="29421855">
            <w:pPr>
              <w:shd w:val="clear"/>
              <w:autoSpaceDE w:val="0"/>
              <w:autoSpaceDN w:val="0"/>
              <w:spacing w:line="360" w:lineRule="auto"/>
              <w:contextualSpacing/>
              <w:jc w:val="left"/>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（1）承诺在后期相关工作中，积极配合采购人提出的合理要求，对后续工作开展技术指导，能替采购人排忧解难；</w:t>
            </w:r>
          </w:p>
          <w:p w14:paraId="1A5C67C3">
            <w:pPr>
              <w:shd w:val="clear"/>
              <w:autoSpaceDE w:val="0"/>
              <w:autoSpaceDN w:val="0"/>
              <w:spacing w:line="360" w:lineRule="auto"/>
              <w:contextualSpacing/>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en-US"/>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en-US"/>
              </w:rPr>
              <w:t>）履职尽责承诺；</w:t>
            </w:r>
          </w:p>
        </w:tc>
        <w:tc>
          <w:tcPr>
            <w:tcW w:w="992" w:type="dxa"/>
            <w:tcBorders>
              <w:top w:val="single" w:color="auto" w:sz="4" w:space="0"/>
              <w:left w:val="single" w:color="auto" w:sz="4" w:space="0"/>
              <w:bottom w:val="single" w:color="auto" w:sz="4" w:space="0"/>
              <w:right w:val="single" w:color="auto" w:sz="4" w:space="0"/>
            </w:tcBorders>
            <w:noWrap/>
            <w:vAlign w:val="center"/>
          </w:tcPr>
          <w:p w14:paraId="2B32D343">
            <w:pPr>
              <w:shd w:val="clear"/>
              <w:tabs>
                <w:tab w:val="left" w:pos="540"/>
                <w:tab w:val="center" w:pos="3155"/>
              </w:tabs>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497C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2" w:hRule="atLeast"/>
          <w:jc w:val="center"/>
        </w:trPr>
        <w:tc>
          <w:tcPr>
            <w:tcW w:w="1668" w:type="dxa"/>
            <w:tcBorders>
              <w:left w:val="single" w:color="auto" w:sz="4" w:space="0"/>
              <w:right w:val="single" w:color="auto" w:sz="4" w:space="0"/>
            </w:tcBorders>
            <w:noWrap/>
            <w:vAlign w:val="center"/>
          </w:tcPr>
          <w:p w14:paraId="69E48422">
            <w:pPr>
              <w:shd w:val="clear"/>
              <w:autoSpaceDE w:val="0"/>
              <w:autoSpaceDN w:val="0"/>
              <w:spacing w:line="360" w:lineRule="auto"/>
              <w:contextualSpacing/>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合理化建议</w:t>
            </w:r>
          </w:p>
        </w:tc>
        <w:tc>
          <w:tcPr>
            <w:tcW w:w="6407" w:type="dxa"/>
            <w:tcBorders>
              <w:top w:val="single" w:color="auto" w:sz="4" w:space="0"/>
              <w:left w:val="nil"/>
              <w:bottom w:val="single" w:color="auto" w:sz="4" w:space="0"/>
              <w:right w:val="single" w:color="auto" w:sz="4" w:space="0"/>
            </w:tcBorders>
            <w:noWrap/>
            <w:vAlign w:val="center"/>
          </w:tcPr>
          <w:p w14:paraId="7AD84A04">
            <w:pPr>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en-US"/>
              </w:rPr>
              <w:t>提供的</w:t>
            </w:r>
            <w:r>
              <w:rPr>
                <w:rFonts w:hint="eastAsia" w:ascii="宋体" w:hAnsi="宋体" w:eastAsia="宋体" w:cs="宋体"/>
                <w:color w:val="auto"/>
                <w:sz w:val="21"/>
                <w:szCs w:val="21"/>
                <w:highlight w:val="none"/>
                <w:lang w:eastAsia="zh-CN"/>
              </w:rPr>
              <w:t>结合项目实际特点及服务内容，提出针对本项目的合理化建议。内容描述完整详实、具有针对性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、可操作性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lang w:eastAsia="zh-CN"/>
              </w:rPr>
              <w:t>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分；内容描述无缺漏，表述规范、方案具备可操作性的得</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eastAsia="zh-CN"/>
              </w:rPr>
              <w:t>分；内容仅有简单描述且不缺项的得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分；缺项漏项不得分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2CEB591A">
            <w:pPr>
              <w:shd w:val="clear"/>
              <w:tabs>
                <w:tab w:val="left" w:pos="540"/>
                <w:tab w:val="center" w:pos="3155"/>
              </w:tabs>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r>
      <w:tr w14:paraId="4A42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067" w:type="dxa"/>
            <w:gridSpan w:val="3"/>
            <w:tcBorders>
              <w:left w:val="single" w:color="auto" w:sz="4" w:space="0"/>
              <w:right w:val="single" w:color="auto" w:sz="4" w:space="0"/>
            </w:tcBorders>
            <w:noWrap/>
            <w:vAlign w:val="center"/>
          </w:tcPr>
          <w:p w14:paraId="15FDC67B">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注：评标标准中所涉及的证书及材料不需提供原件，均应在电子投标文件中提供原件扫描件（或图片）</w:t>
            </w:r>
          </w:p>
        </w:tc>
      </w:tr>
    </w:tbl>
    <w:p w14:paraId="64ECB4FA">
      <w:pPr>
        <w:spacing w:line="360" w:lineRule="auto"/>
        <w:rPr>
          <w:rFonts w:hint="eastAsia" w:ascii="宋体" w:hAnsi="宋体" w:eastAsia="宋体" w:cs="宋体"/>
          <w:color w:val="auto"/>
          <w:sz w:val="21"/>
          <w:szCs w:val="21"/>
          <w:lang w:val="zh-CN"/>
        </w:rPr>
      </w:pPr>
      <w:r>
        <w:rPr>
          <w:rFonts w:hint="eastAsia" w:ascii="宋体" w:hAnsi="宋体" w:eastAsia="宋体" w:cs="宋体"/>
          <w:b/>
          <w:color w:val="auto"/>
          <w:sz w:val="21"/>
          <w:szCs w:val="21"/>
          <w:lang w:val="zh-CN"/>
        </w:rPr>
        <w:t>其中：价格分计算（落实政府采购政策价格调整部分）</w:t>
      </w:r>
    </w:p>
    <w:tbl>
      <w:tblPr>
        <w:tblStyle w:val="17"/>
        <w:tblW w:w="9103" w:type="dxa"/>
        <w:tblInd w:w="-5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3884"/>
        <w:gridCol w:w="2400"/>
        <w:gridCol w:w="2069"/>
      </w:tblGrid>
      <w:tr w14:paraId="121A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50" w:type="dxa"/>
            <w:noWrap/>
            <w:vAlign w:val="center"/>
          </w:tcPr>
          <w:p w14:paraId="006CA308">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b/>
                <w:color w:val="auto"/>
                <w:sz w:val="21"/>
                <w:szCs w:val="21"/>
                <w:lang w:val="en-GB"/>
              </w:rPr>
              <w:t>序号</w:t>
            </w:r>
          </w:p>
        </w:tc>
        <w:tc>
          <w:tcPr>
            <w:tcW w:w="3884" w:type="dxa"/>
            <w:noWrap/>
            <w:vAlign w:val="center"/>
          </w:tcPr>
          <w:p w14:paraId="4601FF8A">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b/>
                <w:color w:val="auto"/>
                <w:sz w:val="21"/>
                <w:szCs w:val="21"/>
                <w:lang w:val="en-GB"/>
              </w:rPr>
              <w:t>情形</w:t>
            </w:r>
          </w:p>
        </w:tc>
        <w:tc>
          <w:tcPr>
            <w:tcW w:w="2400" w:type="dxa"/>
            <w:noWrap/>
            <w:vAlign w:val="center"/>
          </w:tcPr>
          <w:p w14:paraId="0C0EF6D1">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b/>
                <w:color w:val="auto"/>
                <w:sz w:val="21"/>
                <w:szCs w:val="21"/>
              </w:rPr>
              <w:t>价格扣除</w:t>
            </w:r>
            <w:r>
              <w:rPr>
                <w:rFonts w:hint="eastAsia" w:ascii="宋体" w:hAnsi="宋体" w:eastAsia="宋体" w:cs="宋体"/>
                <w:b/>
                <w:color w:val="auto"/>
                <w:sz w:val="21"/>
                <w:szCs w:val="21"/>
                <w:lang w:val="en-GB"/>
              </w:rPr>
              <w:t>比例</w:t>
            </w:r>
          </w:p>
        </w:tc>
        <w:tc>
          <w:tcPr>
            <w:tcW w:w="2069" w:type="dxa"/>
            <w:noWrap/>
            <w:vAlign w:val="center"/>
          </w:tcPr>
          <w:p w14:paraId="3EC4FE2B">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b/>
                <w:color w:val="auto"/>
                <w:sz w:val="21"/>
                <w:szCs w:val="21"/>
                <w:lang w:val="en-GB"/>
              </w:rPr>
              <w:t>计算公式</w:t>
            </w:r>
          </w:p>
        </w:tc>
      </w:tr>
      <w:tr w14:paraId="2EBA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750" w:type="dxa"/>
            <w:noWrap/>
            <w:vAlign w:val="center"/>
          </w:tcPr>
          <w:p w14:paraId="2AB0F9E1">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b/>
                <w:color w:val="auto"/>
                <w:sz w:val="21"/>
                <w:szCs w:val="21"/>
                <w:lang w:val="en-GB"/>
              </w:rPr>
              <w:t>1</w:t>
            </w:r>
          </w:p>
        </w:tc>
        <w:tc>
          <w:tcPr>
            <w:tcW w:w="3884" w:type="dxa"/>
            <w:noWrap/>
            <w:vAlign w:val="center"/>
          </w:tcPr>
          <w:p w14:paraId="2DA08A8E">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eastAsia="zh-CN"/>
              </w:rPr>
            </w:pPr>
            <w:r>
              <w:rPr>
                <w:rFonts w:hint="eastAsia" w:ascii="宋体" w:hAnsi="宋体" w:eastAsia="宋体" w:cs="宋体"/>
                <w:color w:val="auto"/>
                <w:sz w:val="21"/>
                <w:szCs w:val="21"/>
                <w:lang w:val="en-GB"/>
              </w:rPr>
              <w:t>非联合体</w:t>
            </w:r>
            <w:r>
              <w:rPr>
                <w:rFonts w:hint="eastAsia" w:ascii="宋体" w:hAnsi="宋体" w:eastAsia="宋体" w:cs="宋体"/>
                <w:color w:val="auto"/>
                <w:sz w:val="21"/>
                <w:szCs w:val="21"/>
                <w:lang w:val="en-US" w:eastAsia="zh-CN"/>
              </w:rPr>
              <w:t>投标人</w:t>
            </w:r>
          </w:p>
        </w:tc>
        <w:tc>
          <w:tcPr>
            <w:tcW w:w="2400" w:type="dxa"/>
            <w:noWrap/>
            <w:vAlign w:val="center"/>
          </w:tcPr>
          <w:p w14:paraId="61E1CE38">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color w:val="auto"/>
                <w:sz w:val="21"/>
                <w:szCs w:val="21"/>
              </w:rPr>
              <w:t>对小型和微型企业产品的价格扣除</w:t>
            </w:r>
            <w:r>
              <w:rPr>
                <w:rFonts w:hint="eastAsia" w:ascii="宋体" w:hAnsi="宋体" w:eastAsia="宋体" w:cs="宋体"/>
                <w:color w:val="auto"/>
                <w:sz w:val="21"/>
                <w:szCs w:val="21"/>
                <w:u w:val="single"/>
              </w:rPr>
              <w:t>20</w:t>
            </w:r>
            <w:r>
              <w:rPr>
                <w:rFonts w:hint="eastAsia" w:ascii="宋体" w:hAnsi="宋体" w:eastAsia="宋体" w:cs="宋体"/>
                <w:color w:val="auto"/>
                <w:sz w:val="21"/>
                <w:szCs w:val="21"/>
              </w:rPr>
              <w:t>%</w:t>
            </w:r>
          </w:p>
        </w:tc>
        <w:tc>
          <w:tcPr>
            <w:tcW w:w="2069" w:type="dxa"/>
            <w:vMerge w:val="restart"/>
            <w:noWrap/>
            <w:vAlign w:val="center"/>
          </w:tcPr>
          <w:p w14:paraId="04442D72">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lang w:val="en-GB"/>
              </w:rPr>
            </w:pPr>
            <w:r>
              <w:rPr>
                <w:rFonts w:hint="eastAsia" w:ascii="宋体" w:hAnsi="宋体" w:eastAsia="宋体" w:cs="宋体"/>
                <w:color w:val="auto"/>
                <w:sz w:val="21"/>
                <w:szCs w:val="21"/>
                <w:lang w:val="en-GB"/>
              </w:rPr>
              <w:t>评审价格＝</w:t>
            </w:r>
            <w:r>
              <w:rPr>
                <w:rFonts w:hint="eastAsia" w:ascii="宋体" w:hAnsi="宋体" w:eastAsia="宋体" w:cs="宋体"/>
                <w:color w:val="auto"/>
                <w:sz w:val="21"/>
                <w:szCs w:val="21"/>
              </w:rPr>
              <w:t>小型和微型企业产品的价格</w:t>
            </w:r>
            <w:r>
              <w:rPr>
                <w:rFonts w:hint="eastAsia" w:ascii="宋体" w:hAnsi="宋体" w:eastAsia="宋体" w:cs="宋体"/>
                <w:color w:val="auto"/>
                <w:sz w:val="21"/>
                <w:szCs w:val="21"/>
                <w:lang w:val="en-GB"/>
              </w:rPr>
              <w:t>×(1-20%)</w:t>
            </w:r>
          </w:p>
        </w:tc>
      </w:tr>
      <w:tr w14:paraId="7F7D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50" w:type="dxa"/>
            <w:noWrap/>
            <w:vAlign w:val="center"/>
          </w:tcPr>
          <w:p w14:paraId="70B19893">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b/>
                <w:color w:val="auto"/>
                <w:sz w:val="21"/>
                <w:szCs w:val="21"/>
                <w:lang w:val="en-GB"/>
              </w:rPr>
              <w:t>2</w:t>
            </w:r>
          </w:p>
        </w:tc>
        <w:tc>
          <w:tcPr>
            <w:tcW w:w="3884" w:type="dxa"/>
            <w:noWrap/>
            <w:vAlign w:val="center"/>
          </w:tcPr>
          <w:p w14:paraId="2E5047B1">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lang w:val="en-GB"/>
              </w:rPr>
              <w:t>联合体各方均为小型、微型企业</w:t>
            </w:r>
          </w:p>
        </w:tc>
        <w:tc>
          <w:tcPr>
            <w:tcW w:w="2400" w:type="dxa"/>
            <w:noWrap/>
            <w:vAlign w:val="center"/>
          </w:tcPr>
          <w:p w14:paraId="19CF7124">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对小型和微型企业产品的价格扣除</w:t>
            </w:r>
            <w:r>
              <w:rPr>
                <w:rFonts w:hint="eastAsia" w:ascii="宋体" w:hAnsi="宋体" w:eastAsia="宋体" w:cs="宋体"/>
                <w:color w:val="auto"/>
                <w:sz w:val="21"/>
                <w:szCs w:val="21"/>
                <w:u w:val="single"/>
              </w:rPr>
              <w:t>20</w:t>
            </w:r>
            <w:r>
              <w:rPr>
                <w:rFonts w:hint="eastAsia" w:ascii="宋体" w:hAnsi="宋体" w:eastAsia="宋体" w:cs="宋体"/>
                <w:color w:val="auto"/>
                <w:sz w:val="21"/>
                <w:szCs w:val="21"/>
              </w:rPr>
              <w:t>%</w:t>
            </w:r>
          </w:p>
          <w:p w14:paraId="0859E6C0">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color w:val="auto"/>
                <w:sz w:val="21"/>
                <w:szCs w:val="21"/>
              </w:rPr>
              <w:t>（不再享受序号3的价格折扣）</w:t>
            </w:r>
          </w:p>
        </w:tc>
        <w:tc>
          <w:tcPr>
            <w:tcW w:w="2069" w:type="dxa"/>
            <w:vMerge w:val="continue"/>
            <w:noWrap/>
          </w:tcPr>
          <w:p w14:paraId="26019F92">
            <w:pPr>
              <w:keepNext w:val="0"/>
              <w:keepLines w:val="0"/>
              <w:pageBreakBefore w:val="0"/>
              <w:kinsoku/>
              <w:wordWrap/>
              <w:overflowPunct/>
              <w:topLinePunct w:val="0"/>
              <w:autoSpaceDE/>
              <w:autoSpaceDN/>
              <w:bidi w:val="0"/>
              <w:snapToGrid/>
              <w:spacing w:line="440" w:lineRule="exact"/>
              <w:textAlignment w:val="auto"/>
              <w:rPr>
                <w:rFonts w:hint="eastAsia" w:ascii="宋体" w:hAnsi="宋体" w:eastAsia="宋体" w:cs="宋体"/>
                <w:color w:val="auto"/>
                <w:sz w:val="21"/>
                <w:szCs w:val="21"/>
                <w:lang w:val="en-GB"/>
              </w:rPr>
            </w:pPr>
          </w:p>
        </w:tc>
      </w:tr>
      <w:tr w14:paraId="2BC0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50" w:type="dxa"/>
            <w:noWrap/>
            <w:vAlign w:val="center"/>
          </w:tcPr>
          <w:p w14:paraId="5AB9C48F">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b/>
                <w:color w:val="auto"/>
                <w:sz w:val="21"/>
                <w:szCs w:val="21"/>
                <w:lang w:val="en-GB"/>
              </w:rPr>
              <w:t>3</w:t>
            </w:r>
          </w:p>
        </w:tc>
        <w:tc>
          <w:tcPr>
            <w:tcW w:w="3884" w:type="dxa"/>
            <w:noWrap/>
            <w:vAlign w:val="center"/>
          </w:tcPr>
          <w:p w14:paraId="60630F1E">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color w:val="auto"/>
                <w:sz w:val="21"/>
                <w:szCs w:val="21"/>
              </w:rPr>
              <w:t>接受大中型企业与小微企业组成联合体或者允许大中型企业向一家或者多家小微企业分包的采购项目，对于联合协议或者分 包意向协议约定小微企业的合同份额占到合同总金额30%上</w:t>
            </w:r>
          </w:p>
        </w:tc>
        <w:tc>
          <w:tcPr>
            <w:tcW w:w="2400" w:type="dxa"/>
            <w:noWrap/>
            <w:vAlign w:val="center"/>
          </w:tcPr>
          <w:p w14:paraId="236769C1">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GB"/>
              </w:rPr>
              <w:t>对联合体总金额扣</w:t>
            </w:r>
            <w:r>
              <w:rPr>
                <w:rFonts w:hint="eastAsia" w:ascii="宋体" w:hAnsi="宋体" w:eastAsia="宋体" w:cs="宋体"/>
                <w:color w:val="auto"/>
                <w:sz w:val="21"/>
                <w:szCs w:val="21"/>
              </w:rPr>
              <w:t>除</w:t>
            </w:r>
          </w:p>
          <w:p w14:paraId="4B6A6103">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color w:val="auto"/>
                <w:sz w:val="21"/>
                <w:szCs w:val="21"/>
                <w:u w:val="single"/>
                <w:lang w:val="en-US" w:eastAsia="zh-CN"/>
              </w:rPr>
              <w:t>6</w:t>
            </w:r>
            <w:r>
              <w:rPr>
                <w:rFonts w:hint="eastAsia" w:ascii="宋体" w:hAnsi="宋体" w:eastAsia="宋体" w:cs="宋体"/>
                <w:color w:val="auto"/>
                <w:sz w:val="21"/>
                <w:szCs w:val="21"/>
              </w:rPr>
              <w:t>%</w:t>
            </w:r>
          </w:p>
        </w:tc>
        <w:tc>
          <w:tcPr>
            <w:tcW w:w="2069" w:type="dxa"/>
            <w:noWrap/>
            <w:vAlign w:val="center"/>
          </w:tcPr>
          <w:p w14:paraId="72414B43">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color w:val="auto"/>
                <w:sz w:val="21"/>
                <w:szCs w:val="21"/>
                <w:lang w:val="en-GB"/>
              </w:rPr>
              <w:t>评审价格＝响应报价×</w:t>
            </w:r>
            <w:r>
              <w:rPr>
                <w:rFonts w:hint="eastAsia" w:ascii="宋体" w:hAnsi="宋体" w:eastAsia="宋体" w:cs="宋体"/>
                <w:color w:val="auto"/>
                <w:sz w:val="21"/>
                <w:szCs w:val="21"/>
              </w:rPr>
              <w:t>(1-</w:t>
            </w:r>
            <w:r>
              <w:rPr>
                <w:rFonts w:hint="eastAsia" w:ascii="宋体" w:hAnsi="宋体" w:eastAsia="宋体" w:cs="宋体"/>
                <w:color w:val="auto"/>
                <w:sz w:val="21"/>
                <w:szCs w:val="21"/>
                <w:u w:val="single"/>
                <w:lang w:val="en-US" w:eastAsia="zh-CN"/>
              </w:rPr>
              <w:t>6</w:t>
            </w:r>
            <w:r>
              <w:rPr>
                <w:rFonts w:hint="eastAsia" w:ascii="宋体" w:hAnsi="宋体" w:eastAsia="宋体" w:cs="宋体"/>
                <w:color w:val="auto"/>
                <w:sz w:val="21"/>
                <w:szCs w:val="21"/>
              </w:rPr>
              <w:t>%)</w:t>
            </w:r>
          </w:p>
        </w:tc>
      </w:tr>
      <w:tr w14:paraId="53AE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50" w:type="dxa"/>
            <w:noWrap/>
            <w:vAlign w:val="center"/>
          </w:tcPr>
          <w:p w14:paraId="4D7C32F9">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b/>
                <w:color w:val="auto"/>
                <w:sz w:val="21"/>
                <w:szCs w:val="21"/>
                <w:lang w:val="en-GB"/>
              </w:rPr>
              <w:t>4</w:t>
            </w:r>
          </w:p>
        </w:tc>
        <w:tc>
          <w:tcPr>
            <w:tcW w:w="3884" w:type="dxa"/>
            <w:noWrap/>
            <w:vAlign w:val="center"/>
          </w:tcPr>
          <w:p w14:paraId="50CC394C">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lang w:val="en-GB"/>
              </w:rPr>
            </w:pPr>
            <w:r>
              <w:rPr>
                <w:rFonts w:hint="eastAsia" w:ascii="宋体" w:hAnsi="宋体" w:eastAsia="宋体" w:cs="宋体"/>
                <w:color w:val="auto"/>
                <w:sz w:val="21"/>
                <w:szCs w:val="21"/>
                <w:lang w:val="en-GB"/>
              </w:rPr>
              <w:t>监狱企业</w:t>
            </w:r>
          </w:p>
        </w:tc>
        <w:tc>
          <w:tcPr>
            <w:tcW w:w="2400" w:type="dxa"/>
            <w:noWrap/>
            <w:vAlign w:val="center"/>
          </w:tcPr>
          <w:p w14:paraId="247321A0">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lang w:val="en-GB"/>
              </w:rPr>
            </w:pPr>
            <w:r>
              <w:rPr>
                <w:rFonts w:hint="eastAsia" w:ascii="宋体" w:hAnsi="宋体" w:eastAsia="宋体" w:cs="宋体"/>
                <w:color w:val="auto"/>
                <w:sz w:val="21"/>
                <w:szCs w:val="21"/>
                <w:lang w:val="en-GB"/>
              </w:rPr>
              <w:t>视同小型、微型企业</w:t>
            </w:r>
          </w:p>
          <w:p w14:paraId="4E29D1D0">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lang w:val="en-GB"/>
              </w:rPr>
            </w:pPr>
            <w:r>
              <w:rPr>
                <w:rFonts w:hint="eastAsia" w:ascii="宋体" w:hAnsi="宋体" w:eastAsia="宋体" w:cs="宋体"/>
                <w:color w:val="auto"/>
                <w:sz w:val="21"/>
                <w:szCs w:val="21"/>
                <w:lang w:val="en-GB"/>
              </w:rPr>
              <w:t>对监狱企业产品价格扣除</w:t>
            </w:r>
            <w:r>
              <w:rPr>
                <w:rFonts w:hint="eastAsia" w:ascii="宋体" w:hAnsi="宋体" w:eastAsia="宋体" w:cs="宋体"/>
                <w:color w:val="auto"/>
                <w:sz w:val="21"/>
                <w:szCs w:val="21"/>
                <w:u w:val="single"/>
              </w:rPr>
              <w:t>20</w:t>
            </w:r>
            <w:r>
              <w:rPr>
                <w:rFonts w:hint="eastAsia" w:ascii="宋体" w:hAnsi="宋体" w:eastAsia="宋体" w:cs="宋体"/>
                <w:color w:val="auto"/>
                <w:sz w:val="21"/>
                <w:szCs w:val="21"/>
              </w:rPr>
              <w:t>%</w:t>
            </w:r>
          </w:p>
        </w:tc>
        <w:tc>
          <w:tcPr>
            <w:tcW w:w="2069" w:type="dxa"/>
            <w:noWrap/>
            <w:vAlign w:val="center"/>
          </w:tcPr>
          <w:p w14:paraId="4565A6CB">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lang w:val="en-GB"/>
              </w:rPr>
            </w:pPr>
            <w:r>
              <w:rPr>
                <w:rFonts w:hint="eastAsia" w:ascii="宋体" w:hAnsi="宋体" w:eastAsia="宋体" w:cs="宋体"/>
                <w:color w:val="auto"/>
                <w:sz w:val="21"/>
                <w:szCs w:val="21"/>
                <w:lang w:val="en-GB"/>
              </w:rPr>
              <w:t>评审价格＝响应报价—</w:t>
            </w:r>
            <w:r>
              <w:rPr>
                <w:rFonts w:hint="eastAsia" w:ascii="宋体" w:hAnsi="宋体" w:eastAsia="宋体" w:cs="宋体"/>
                <w:color w:val="auto"/>
                <w:sz w:val="21"/>
                <w:szCs w:val="21"/>
              </w:rPr>
              <w:t>监狱企业产品的价格</w:t>
            </w:r>
            <w:r>
              <w:rPr>
                <w:rFonts w:hint="eastAsia" w:ascii="宋体" w:hAnsi="宋体" w:eastAsia="宋体" w:cs="宋体"/>
                <w:color w:val="auto"/>
                <w:sz w:val="21"/>
                <w:szCs w:val="21"/>
                <w:lang w:val="en-GB"/>
              </w:rPr>
              <w:t>×20%</w:t>
            </w:r>
          </w:p>
        </w:tc>
      </w:tr>
      <w:tr w14:paraId="0F8E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50" w:type="dxa"/>
            <w:noWrap/>
            <w:vAlign w:val="center"/>
          </w:tcPr>
          <w:p w14:paraId="07D429D6">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color w:val="auto"/>
                <w:sz w:val="21"/>
                <w:szCs w:val="21"/>
                <w:lang w:val="en-GB"/>
              </w:rPr>
            </w:pPr>
            <w:r>
              <w:rPr>
                <w:rFonts w:hint="eastAsia" w:ascii="宋体" w:hAnsi="宋体" w:eastAsia="宋体" w:cs="宋体"/>
                <w:b/>
                <w:color w:val="auto"/>
                <w:sz w:val="21"/>
                <w:szCs w:val="21"/>
                <w:lang w:val="en-GB"/>
              </w:rPr>
              <w:t>5</w:t>
            </w:r>
          </w:p>
        </w:tc>
        <w:tc>
          <w:tcPr>
            <w:tcW w:w="3884" w:type="dxa"/>
            <w:noWrap/>
            <w:vAlign w:val="center"/>
          </w:tcPr>
          <w:p w14:paraId="591A7877">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lang w:val="en-GB"/>
              </w:rPr>
            </w:pPr>
            <w:r>
              <w:rPr>
                <w:rFonts w:hint="eastAsia" w:ascii="宋体" w:hAnsi="宋体" w:eastAsia="宋体" w:cs="宋体"/>
                <w:color w:val="auto"/>
                <w:sz w:val="21"/>
                <w:szCs w:val="21"/>
                <w:lang w:val="en-GB"/>
              </w:rPr>
              <w:t>残疾人福利性单位</w:t>
            </w:r>
          </w:p>
        </w:tc>
        <w:tc>
          <w:tcPr>
            <w:tcW w:w="2400" w:type="dxa"/>
            <w:noWrap/>
            <w:vAlign w:val="center"/>
          </w:tcPr>
          <w:p w14:paraId="394B2568">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lang w:val="en-GB"/>
              </w:rPr>
            </w:pPr>
            <w:r>
              <w:rPr>
                <w:rFonts w:hint="eastAsia" w:ascii="宋体" w:hAnsi="宋体" w:eastAsia="宋体" w:cs="宋体"/>
                <w:color w:val="auto"/>
                <w:sz w:val="21"/>
                <w:szCs w:val="21"/>
                <w:lang w:val="en-GB"/>
              </w:rPr>
              <w:t>视同小型、微型企业</w:t>
            </w:r>
          </w:p>
          <w:p w14:paraId="672FBA5E">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lang w:val="en-GB"/>
              </w:rPr>
            </w:pPr>
            <w:r>
              <w:rPr>
                <w:rFonts w:hint="eastAsia" w:ascii="宋体" w:hAnsi="宋体" w:eastAsia="宋体" w:cs="宋体"/>
                <w:color w:val="auto"/>
                <w:sz w:val="21"/>
                <w:szCs w:val="21"/>
                <w:lang w:val="en-GB"/>
              </w:rPr>
              <w:t>对残疾人福利性单位产品价格扣除</w:t>
            </w:r>
            <w:r>
              <w:rPr>
                <w:rFonts w:hint="eastAsia" w:ascii="宋体" w:hAnsi="宋体" w:eastAsia="宋体" w:cs="宋体"/>
                <w:color w:val="auto"/>
                <w:sz w:val="21"/>
                <w:szCs w:val="21"/>
                <w:u w:val="single"/>
              </w:rPr>
              <w:t>20</w:t>
            </w:r>
            <w:r>
              <w:rPr>
                <w:rFonts w:hint="eastAsia" w:ascii="宋体" w:hAnsi="宋体" w:eastAsia="宋体" w:cs="宋体"/>
                <w:color w:val="auto"/>
                <w:sz w:val="21"/>
                <w:szCs w:val="21"/>
              </w:rPr>
              <w:t>%</w:t>
            </w:r>
          </w:p>
        </w:tc>
        <w:tc>
          <w:tcPr>
            <w:tcW w:w="2069" w:type="dxa"/>
            <w:noWrap/>
            <w:vAlign w:val="center"/>
          </w:tcPr>
          <w:p w14:paraId="0974B094">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1"/>
                <w:szCs w:val="21"/>
                <w:lang w:val="en-GB"/>
              </w:rPr>
            </w:pPr>
            <w:r>
              <w:rPr>
                <w:rFonts w:hint="eastAsia" w:ascii="宋体" w:hAnsi="宋体" w:eastAsia="宋体" w:cs="宋体"/>
                <w:color w:val="auto"/>
                <w:sz w:val="21"/>
                <w:szCs w:val="21"/>
                <w:lang w:val="en-GB"/>
              </w:rPr>
              <w:t>评审价格＝响应报价—</w:t>
            </w:r>
            <w:r>
              <w:rPr>
                <w:rFonts w:hint="eastAsia" w:ascii="宋体" w:hAnsi="宋体" w:eastAsia="宋体" w:cs="宋体"/>
                <w:color w:val="auto"/>
                <w:sz w:val="21"/>
                <w:szCs w:val="21"/>
              </w:rPr>
              <w:t>残疾人福利性单位产品的价格</w:t>
            </w:r>
            <w:r>
              <w:rPr>
                <w:rFonts w:hint="eastAsia" w:ascii="宋体" w:hAnsi="宋体" w:eastAsia="宋体" w:cs="宋体"/>
                <w:color w:val="auto"/>
                <w:sz w:val="21"/>
                <w:szCs w:val="21"/>
                <w:lang w:val="en-GB"/>
              </w:rPr>
              <w:t>×20%</w:t>
            </w:r>
          </w:p>
        </w:tc>
      </w:tr>
      <w:tr w14:paraId="39DD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9103" w:type="dxa"/>
            <w:gridSpan w:val="4"/>
            <w:noWrap/>
            <w:vAlign w:val="center"/>
          </w:tcPr>
          <w:p w14:paraId="7EB9470B">
            <w:pPr>
              <w:keepNext w:val="0"/>
              <w:keepLines w:val="0"/>
              <w:pageBreakBefore w:val="0"/>
              <w:widowControl/>
              <w:kinsoku/>
              <w:wordWrap/>
              <w:overflowPunct/>
              <w:topLinePunct w:val="0"/>
              <w:autoSpaceDE/>
              <w:autoSpaceDN/>
              <w:bidi w:val="0"/>
              <w:adjustRightInd w:val="0"/>
              <w:snapToGrid/>
              <w:spacing w:line="440" w:lineRule="exact"/>
              <w:ind w:left="-2" w:leftChars="-1" w:firstLine="420" w:firstLineChars="200"/>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1.中小企业应在响应文件中提供《中小企业声明函》。监狱企业应当在响应文件中提供由省级以上监狱管理局、戒毒管理局（含新疆生产建设兵团）出具的属于监狱企业的证明文件。残疾人福利性单位应当在响应文件中提供《残疾人福利性单位声明函》。</w:t>
            </w:r>
          </w:p>
          <w:p w14:paraId="7C22A409">
            <w:pPr>
              <w:keepNext w:val="0"/>
              <w:keepLines w:val="0"/>
              <w:pageBreakBefore w:val="0"/>
              <w:kinsoku/>
              <w:wordWrap/>
              <w:overflowPunct/>
              <w:topLinePunct w:val="0"/>
              <w:autoSpaceDE/>
              <w:autoSpaceDN/>
              <w:bidi w:val="0"/>
              <w:adjustRightInd w:val="0"/>
              <w:snapToGrid/>
              <w:spacing w:line="440" w:lineRule="exact"/>
              <w:ind w:left="-88" w:leftChars="-42" w:firstLine="449" w:firstLineChars="214"/>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zh-CN"/>
              </w:rPr>
              <w:t>2.经评标委员会审查、评价，响应文件符合招标文件实质性要求且进行了政策性价格扣除后，</w:t>
            </w:r>
            <w:r>
              <w:rPr>
                <w:rFonts w:hint="eastAsia" w:ascii="宋体" w:hAnsi="宋体" w:eastAsia="宋体" w:cs="宋体"/>
                <w:color w:val="auto"/>
                <w:sz w:val="21"/>
                <w:szCs w:val="21"/>
              </w:rPr>
              <w:t>以评标价格的最低价者定为评标基准价，其价格分为满分。其他投标人的价格分统一按下列公式计算。即：</w:t>
            </w:r>
          </w:p>
          <w:p w14:paraId="4B8EFA70">
            <w:pPr>
              <w:keepNext w:val="0"/>
              <w:keepLines w:val="0"/>
              <w:pageBreakBefore w:val="0"/>
              <w:kinsoku/>
              <w:wordWrap/>
              <w:overflowPunct/>
              <w:topLinePunct w:val="0"/>
              <w:autoSpaceDE/>
              <w:autoSpaceDN/>
              <w:bidi w:val="0"/>
              <w:adjustRightInd w:val="0"/>
              <w:snapToGrid/>
              <w:spacing w:line="440" w:lineRule="exact"/>
              <w:ind w:left="-88" w:leftChars="-42" w:firstLine="449" w:firstLineChars="214"/>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评标基准价=评标价格的最低价</w:t>
            </w:r>
          </w:p>
          <w:p w14:paraId="7E5435E2">
            <w:pPr>
              <w:keepNext w:val="0"/>
              <w:keepLines w:val="0"/>
              <w:pageBreakBefore w:val="0"/>
              <w:kinsoku/>
              <w:wordWrap/>
              <w:overflowPunct/>
              <w:topLinePunct w:val="0"/>
              <w:autoSpaceDE/>
              <w:autoSpaceDN/>
              <w:bidi w:val="0"/>
              <w:adjustRightInd w:val="0"/>
              <w:snapToGrid/>
              <w:spacing w:line="440" w:lineRule="exact"/>
              <w:ind w:left="-88" w:leftChars="-42" w:firstLine="449" w:firstLineChars="214"/>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其他投标报价得分=（评标基准价/评标价格）×评标标准中价格分值</w:t>
            </w:r>
          </w:p>
        </w:tc>
      </w:tr>
    </w:tbl>
    <w:p w14:paraId="2EC0AC53">
      <w:pPr>
        <w:spacing w:line="360" w:lineRule="auto"/>
        <w:rPr>
          <w:rFonts w:hint="eastAsia" w:ascii="宋体" w:hAnsi="宋体" w:eastAsia="宋体" w:cs="宋体"/>
          <w:bCs/>
          <w:color w:val="auto"/>
          <w:sz w:val="21"/>
          <w:szCs w:val="21"/>
          <w:lang w:val="en-GB"/>
        </w:rPr>
      </w:pPr>
      <w:r>
        <w:rPr>
          <w:rFonts w:hint="eastAsia" w:ascii="宋体" w:hAnsi="宋体" w:eastAsia="宋体" w:cs="宋体"/>
          <w:bCs/>
          <w:color w:val="auto"/>
          <w:sz w:val="21"/>
          <w:szCs w:val="21"/>
          <w:lang w:val="en-GB"/>
        </w:rPr>
        <w:t>备注：</w:t>
      </w:r>
    </w:p>
    <w:p w14:paraId="7811984E">
      <w:pPr>
        <w:spacing w:line="360" w:lineRule="auto"/>
        <w:ind w:firstLine="420" w:firstLineChars="200"/>
        <w:rPr>
          <w:rFonts w:hint="eastAsia" w:ascii="宋体" w:hAnsi="宋体" w:eastAsia="宋体" w:cs="宋体"/>
          <w:bCs/>
          <w:color w:val="auto"/>
          <w:sz w:val="21"/>
          <w:szCs w:val="21"/>
          <w:lang w:val="en-GB"/>
        </w:rPr>
      </w:pPr>
      <w:r>
        <w:rPr>
          <w:rFonts w:hint="eastAsia" w:ascii="宋体" w:hAnsi="宋体" w:eastAsia="宋体" w:cs="宋体"/>
          <w:bCs/>
          <w:color w:val="auto"/>
          <w:sz w:val="21"/>
          <w:szCs w:val="21"/>
          <w:lang w:val="en-GB" w:eastAsia="zh-CN"/>
        </w:rPr>
        <w:t>a.</w:t>
      </w:r>
      <w:r>
        <w:rPr>
          <w:rFonts w:hint="eastAsia" w:ascii="宋体" w:hAnsi="宋体" w:eastAsia="宋体" w:cs="宋体"/>
          <w:bCs/>
          <w:color w:val="auto"/>
          <w:sz w:val="21"/>
          <w:szCs w:val="21"/>
          <w:lang w:val="en-GB"/>
        </w:rPr>
        <w:t>不接受联合体投标的项目，本表中第2项、第3项情形不适用。</w:t>
      </w:r>
    </w:p>
    <w:p w14:paraId="30A5ED05">
      <w:pPr>
        <w:spacing w:line="360" w:lineRule="auto"/>
        <w:ind w:firstLine="420" w:firstLineChars="200"/>
        <w:rPr>
          <w:rFonts w:hint="eastAsia" w:ascii="宋体" w:hAnsi="宋体" w:eastAsia="宋体" w:cs="宋体"/>
          <w:bCs/>
          <w:color w:val="auto"/>
          <w:sz w:val="21"/>
          <w:szCs w:val="21"/>
          <w:lang w:val="en-GB"/>
        </w:rPr>
      </w:pPr>
      <w:r>
        <w:rPr>
          <w:rFonts w:hint="eastAsia" w:ascii="宋体" w:hAnsi="宋体" w:eastAsia="宋体" w:cs="宋体"/>
          <w:bCs/>
          <w:color w:val="auto"/>
          <w:sz w:val="21"/>
          <w:szCs w:val="21"/>
          <w:lang w:val="en-GB" w:eastAsia="zh-CN"/>
        </w:rPr>
        <w:t>b.</w:t>
      </w:r>
      <w:r>
        <w:rPr>
          <w:rFonts w:hint="eastAsia" w:ascii="宋体" w:hAnsi="宋体" w:eastAsia="宋体" w:cs="宋体"/>
          <w:bCs/>
          <w:color w:val="auto"/>
          <w:sz w:val="21"/>
          <w:szCs w:val="21"/>
          <w:lang w:val="en-GB"/>
        </w:rPr>
        <w:t>小型和微型企业产品包括货物及其提供的服务与工程。</w:t>
      </w:r>
    </w:p>
    <w:p w14:paraId="26F5DB15">
      <w:pPr>
        <w:spacing w:line="360" w:lineRule="auto"/>
        <w:ind w:firstLine="420" w:firstLineChars="200"/>
        <w:rPr>
          <w:rFonts w:hint="eastAsia" w:ascii="宋体" w:hAnsi="宋体" w:eastAsia="宋体" w:cs="宋体"/>
          <w:bCs/>
          <w:color w:val="auto"/>
          <w:sz w:val="21"/>
          <w:szCs w:val="21"/>
          <w:lang w:val="en-GB"/>
        </w:rPr>
      </w:pPr>
      <w:r>
        <w:rPr>
          <w:rFonts w:hint="eastAsia" w:ascii="宋体" w:hAnsi="宋体" w:eastAsia="宋体" w:cs="宋体"/>
          <w:bCs/>
          <w:color w:val="auto"/>
          <w:sz w:val="21"/>
          <w:szCs w:val="21"/>
          <w:lang w:val="en-GB" w:eastAsia="zh-CN"/>
        </w:rPr>
        <w:t>c.</w:t>
      </w:r>
      <w:r>
        <w:rPr>
          <w:rFonts w:hint="eastAsia" w:ascii="宋体" w:hAnsi="宋体" w:eastAsia="宋体" w:cs="宋体"/>
          <w:bCs/>
          <w:color w:val="auto"/>
          <w:sz w:val="21"/>
          <w:szCs w:val="21"/>
          <w:lang w:val="en-GB"/>
        </w:rPr>
        <w:t>中小企业、残疾人福利性单位提供其他企业制造的货物的，则该货物的制造商也必须为上述企业，否则不能享受价格优惠。</w:t>
      </w:r>
    </w:p>
    <w:p w14:paraId="5448DDF9">
      <w:pPr>
        <w:spacing w:line="360" w:lineRule="auto"/>
        <w:ind w:firstLine="420" w:firstLineChars="200"/>
        <w:rPr>
          <w:rFonts w:hint="eastAsia" w:ascii="宋体" w:hAnsi="宋体" w:eastAsia="宋体" w:cs="宋体"/>
          <w:bCs/>
          <w:color w:val="auto"/>
          <w:sz w:val="21"/>
          <w:szCs w:val="21"/>
          <w:lang w:val="en-GB"/>
        </w:rPr>
      </w:pPr>
      <w:r>
        <w:rPr>
          <w:rFonts w:hint="eastAsia" w:ascii="宋体" w:hAnsi="宋体" w:eastAsia="宋体" w:cs="宋体"/>
          <w:bCs/>
          <w:color w:val="auto"/>
          <w:sz w:val="21"/>
          <w:szCs w:val="21"/>
          <w:lang w:val="en-GB" w:eastAsia="zh-CN"/>
        </w:rPr>
        <w:t>d.</w:t>
      </w:r>
      <w:r>
        <w:rPr>
          <w:rFonts w:hint="eastAsia" w:ascii="宋体" w:hAnsi="宋体" w:eastAsia="宋体" w:cs="宋体"/>
          <w:bCs/>
          <w:color w:val="auto"/>
          <w:sz w:val="21"/>
          <w:szCs w:val="21"/>
          <w:lang w:val="en-GB"/>
        </w:rPr>
        <w:t>残疾人福利性单位属于小型、微型企业的，不重复享受政策。</w:t>
      </w:r>
    </w:p>
    <w:p w14:paraId="46F502CC">
      <w:pPr>
        <w:spacing w:line="360" w:lineRule="auto"/>
        <w:ind w:firstLine="420" w:firstLineChars="200"/>
        <w:rPr>
          <w:rFonts w:hint="eastAsia" w:ascii="宋体" w:hAnsi="宋体" w:eastAsia="宋体" w:cs="宋体"/>
          <w:b/>
          <w:color w:val="auto"/>
          <w:sz w:val="21"/>
          <w:szCs w:val="21"/>
          <w:lang w:val="zh-CN"/>
        </w:rPr>
      </w:pPr>
      <w:r>
        <w:rPr>
          <w:rFonts w:hint="eastAsia" w:ascii="宋体" w:hAnsi="宋体" w:eastAsia="宋体" w:cs="宋体"/>
          <w:bCs/>
          <w:color w:val="auto"/>
          <w:sz w:val="21"/>
          <w:szCs w:val="21"/>
          <w:lang w:val="en-US" w:eastAsia="zh-CN"/>
        </w:rPr>
        <w:t>e.</w:t>
      </w:r>
      <w:r>
        <w:rPr>
          <w:rFonts w:hint="eastAsia" w:ascii="宋体" w:hAnsi="宋体" w:eastAsia="宋体" w:cs="宋体"/>
          <w:bCs/>
          <w:color w:val="auto"/>
          <w:sz w:val="21"/>
          <w:szCs w:val="21"/>
          <w:lang w:val="en-GB"/>
        </w:rPr>
        <w:t>小型和微型企业不包括民办非企业单位。</w:t>
      </w:r>
    </w:p>
    <w:p w14:paraId="2B89D34B">
      <w:pPr>
        <w:pStyle w:val="8"/>
        <w:keepNext w:val="0"/>
        <w:keepLines w:val="0"/>
        <w:pageBreakBefore w:val="0"/>
        <w:widowControl w:val="0"/>
        <w:kinsoku/>
        <w:overflowPunct/>
        <w:topLinePunct w:val="0"/>
        <w:bidi w:val="0"/>
        <w:adjustRightInd/>
        <w:snapToGrid/>
        <w:spacing w:line="460" w:lineRule="exact"/>
        <w:ind w:firstLine="211" w:firstLineChars="100"/>
        <w:contextualSpacing/>
        <w:textAlignment w:val="auto"/>
        <w:rPr>
          <w:rFonts w:hint="eastAsia" w:ascii="宋体" w:hAnsi="宋体" w:eastAsia="宋体" w:cs="宋体"/>
          <w:color w:val="auto"/>
          <w:sz w:val="21"/>
          <w:szCs w:val="21"/>
          <w:lang w:val="zh-CN"/>
        </w:rPr>
      </w:pPr>
      <w:r>
        <w:rPr>
          <w:rFonts w:hint="eastAsia" w:ascii="宋体" w:hAnsi="宋体" w:eastAsia="宋体" w:cs="宋体"/>
          <w:b/>
          <w:color w:val="auto"/>
          <w:sz w:val="21"/>
          <w:szCs w:val="21"/>
          <w:lang w:val="zh-CN"/>
        </w:rPr>
        <w:t>（</w:t>
      </w:r>
      <w:r>
        <w:rPr>
          <w:rFonts w:hint="eastAsia" w:ascii="宋体" w:hAnsi="宋体" w:eastAsia="宋体" w:cs="宋体"/>
          <w:b/>
          <w:color w:val="auto"/>
          <w:sz w:val="21"/>
          <w:szCs w:val="21"/>
        </w:rPr>
        <w:t>7</w:t>
      </w:r>
      <w:r>
        <w:rPr>
          <w:rFonts w:hint="eastAsia" w:ascii="宋体" w:hAnsi="宋体" w:eastAsia="宋体" w:cs="宋体"/>
          <w:b/>
          <w:color w:val="auto"/>
          <w:sz w:val="21"/>
          <w:szCs w:val="21"/>
          <w:lang w:val="zh-CN"/>
        </w:rPr>
        <w:t>）评标结果汇总完成后，除下列情形外，任何人不得修改评标结果：</w:t>
      </w:r>
    </w:p>
    <w:p w14:paraId="2B89D34C">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 分值汇总计算错误的；</w:t>
      </w:r>
    </w:p>
    <w:p w14:paraId="2B89D34D">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 分项评分超出评分标准范围的；</w:t>
      </w:r>
    </w:p>
    <w:p w14:paraId="2B89D34E">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 评标委员会成员对客观评审因素评分不一致的；</w:t>
      </w:r>
    </w:p>
    <w:p w14:paraId="2B89D34F">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4） 经评标委员会认定评分畸高、畸低的。</w:t>
      </w:r>
    </w:p>
    <w:p w14:paraId="2B89D350">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B89D351">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投标人对本条第一款情形提出质疑的，采购人或者采购代理机构可以组织原评标委员会进行重新评审，重新评审改变评标结果的，应当书面报告本级财政部门。</w:t>
      </w:r>
    </w:p>
    <w:p w14:paraId="22E70CBE">
      <w:pPr>
        <w:pStyle w:val="8"/>
        <w:spacing w:line="360" w:lineRule="auto"/>
        <w:ind w:firstLine="422"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b/>
          <w:color w:val="auto"/>
          <w:sz w:val="21"/>
          <w:szCs w:val="21"/>
          <w:highlight w:val="none"/>
          <w:lang w:val="zh-CN"/>
        </w:rPr>
        <w:t>（8）推荐</w:t>
      </w:r>
      <w:r>
        <w:rPr>
          <w:rFonts w:hint="eastAsia" w:ascii="宋体" w:hAnsi="宋体" w:eastAsia="宋体" w:cs="宋体"/>
          <w:b/>
          <w:color w:val="auto"/>
          <w:sz w:val="21"/>
          <w:szCs w:val="21"/>
          <w:highlight w:val="none"/>
          <w:lang w:val="en-US" w:eastAsia="zh-CN"/>
        </w:rPr>
        <w:t>中标</w:t>
      </w:r>
      <w:r>
        <w:rPr>
          <w:rFonts w:hint="eastAsia" w:ascii="宋体" w:hAnsi="宋体" w:eastAsia="宋体" w:cs="宋体"/>
          <w:b/>
          <w:color w:val="auto"/>
          <w:sz w:val="21"/>
          <w:szCs w:val="21"/>
          <w:highlight w:val="none"/>
          <w:lang w:val="zh-CN"/>
        </w:rPr>
        <w:t>候选</w:t>
      </w:r>
      <w:r>
        <w:rPr>
          <w:rFonts w:hint="eastAsia" w:ascii="宋体" w:hAnsi="宋体" w:eastAsia="宋体" w:cs="宋体"/>
          <w:b/>
          <w:color w:val="auto"/>
          <w:sz w:val="21"/>
          <w:szCs w:val="21"/>
          <w:highlight w:val="none"/>
          <w:lang w:val="en-US" w:eastAsia="zh-CN"/>
        </w:rPr>
        <w:t>人</w:t>
      </w:r>
    </w:p>
    <w:p w14:paraId="5E8A3D9D">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shd w:val="clear" w:color="auto" w:fill="FFFFFF"/>
          <w:lang w:val="zh-CN"/>
        </w:rPr>
      </w:pPr>
      <w:r>
        <w:rPr>
          <w:rFonts w:hint="eastAsia" w:ascii="宋体" w:hAnsi="宋体" w:eastAsia="宋体" w:cs="宋体"/>
          <w:color w:val="auto"/>
          <w:szCs w:val="21"/>
          <w:lang w:val="zh-CN"/>
        </w:rPr>
        <w:t>评标委员会</w:t>
      </w:r>
      <w:r>
        <w:rPr>
          <w:rFonts w:hint="eastAsia" w:ascii="宋体" w:hAnsi="宋体" w:eastAsia="宋体" w:cs="宋体"/>
          <w:color w:val="auto"/>
          <w:szCs w:val="21"/>
          <w:highlight w:val="none"/>
          <w:shd w:val="clear" w:color="auto" w:fill="FFFFFF"/>
        </w:rPr>
        <w:t>应当根据综合评分情况，按照评审得分由高到低顺序推荐3名成交候选供应商，并编写评审报告。评审评标结果按评审后得分由高到低顺序排列。得分相同的，按投标报价由低到高顺序排列。得分且投标报价相同的。按照技术指标优劣顺序推荐。</w:t>
      </w:r>
    </w:p>
    <w:p w14:paraId="2B89D352">
      <w:pPr>
        <w:keepNext w:val="0"/>
        <w:keepLines w:val="0"/>
        <w:pageBreakBefore w:val="0"/>
        <w:widowControl w:val="0"/>
        <w:kinsoku/>
        <w:wordWrap w:val="0"/>
        <w:overflowPunct/>
        <w:topLinePunct w:val="0"/>
        <w:bidi w:val="0"/>
        <w:adjustRightInd/>
        <w:snapToGrid/>
        <w:spacing w:line="460" w:lineRule="exact"/>
        <w:ind w:firstLine="422" w:firstLineChars="200"/>
        <w:contextualSpacing/>
        <w:textAlignment w:val="auto"/>
        <w:rPr>
          <w:rFonts w:hint="eastAsia" w:ascii="宋体" w:hAnsi="宋体" w:eastAsia="宋体" w:cs="宋体"/>
          <w:b/>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b/>
          <w:bCs/>
          <w:color w:val="auto"/>
          <w:szCs w:val="21"/>
          <w:lang w:val="en-US" w:eastAsia="zh-CN"/>
        </w:rPr>
        <w:t>9</w:t>
      </w:r>
      <w:r>
        <w:rPr>
          <w:rFonts w:hint="eastAsia" w:ascii="宋体" w:hAnsi="宋体" w:eastAsia="宋体" w:cs="宋体"/>
          <w:b/>
          <w:bCs/>
          <w:color w:val="auto"/>
          <w:szCs w:val="21"/>
          <w:lang w:val="zh-CN"/>
        </w:rPr>
        <w:t>）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2B89D353">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2" w:firstLineChars="200"/>
        <w:contextualSpacing/>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w:t>
      </w:r>
      <w:r>
        <w:rPr>
          <w:rFonts w:hint="eastAsia" w:ascii="宋体" w:hAnsi="宋体" w:eastAsia="宋体" w:cs="宋体"/>
          <w:b/>
          <w:color w:val="auto"/>
          <w:szCs w:val="21"/>
          <w:lang w:val="en-US" w:eastAsia="zh-CN"/>
        </w:rPr>
        <w:t>10</w:t>
      </w:r>
      <w:r>
        <w:rPr>
          <w:rFonts w:hint="eastAsia" w:ascii="宋体" w:hAnsi="宋体" w:eastAsia="宋体" w:cs="宋体"/>
          <w:b/>
          <w:color w:val="auto"/>
          <w:szCs w:val="21"/>
          <w:lang w:val="zh-CN"/>
        </w:rPr>
        <w:t>）评标委员会争议处理</w:t>
      </w:r>
    </w:p>
    <w:p w14:paraId="2B89D354">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01063B33">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2" w:firstLineChars="200"/>
        <w:contextualSpacing/>
        <w:textAlignment w:val="auto"/>
        <w:rPr>
          <w:rFonts w:hint="eastAsia" w:ascii="宋体" w:hAnsi="宋体" w:eastAsia="宋体" w:cs="宋体"/>
          <w:b/>
          <w:color w:val="auto"/>
          <w:kern w:val="0"/>
          <w:sz w:val="30"/>
          <w:szCs w:val="30"/>
          <w:lang w:val="en-US" w:eastAsia="zh-CN"/>
        </w:rPr>
      </w:pPr>
      <w:r>
        <w:rPr>
          <w:rFonts w:hint="eastAsia" w:ascii="宋体" w:hAnsi="宋体" w:eastAsia="宋体" w:cs="宋体"/>
          <w:b/>
          <w:color w:val="auto"/>
          <w:szCs w:val="21"/>
          <w:lang w:val="en-US" w:eastAsia="zh-CN"/>
        </w:rPr>
        <w:t>4.</w:t>
      </w:r>
      <w:r>
        <w:rPr>
          <w:rFonts w:hint="eastAsia" w:ascii="宋体" w:hAnsi="宋体" w:eastAsia="宋体" w:cs="宋体"/>
          <w:b/>
          <w:color w:val="auto"/>
          <w:szCs w:val="21"/>
          <w:lang w:val="zh-CN"/>
        </w:rPr>
        <w:t>确定中标候选人名单，以及根据采购人委托直接确定中标人。</w:t>
      </w:r>
    </w:p>
    <w:p w14:paraId="37B848DA">
      <w:pPr>
        <w:numPr>
          <w:ilvl w:val="0"/>
          <w:numId w:val="0"/>
        </w:numPr>
        <w:tabs>
          <w:tab w:val="left" w:pos="1260"/>
        </w:tabs>
        <w:autoSpaceDE w:val="0"/>
        <w:autoSpaceDN w:val="0"/>
        <w:adjustRightInd w:val="0"/>
        <w:spacing w:line="360" w:lineRule="auto"/>
        <w:contextualSpacing/>
        <w:jc w:val="both"/>
        <w:rPr>
          <w:rFonts w:hint="eastAsia" w:ascii="宋体" w:hAnsi="宋体" w:eastAsia="宋体" w:cs="宋体"/>
          <w:b/>
          <w:color w:val="auto"/>
          <w:kern w:val="0"/>
          <w:sz w:val="30"/>
          <w:szCs w:val="30"/>
          <w:lang w:val="en-US" w:eastAsia="zh-CN"/>
        </w:rPr>
      </w:pPr>
    </w:p>
    <w:p w14:paraId="332A8614">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1A566342">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5551EFFE">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6357868D">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3F7A08CB">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0C18D468">
      <w:pPr>
        <w:numPr>
          <w:ilvl w:val="0"/>
          <w:numId w:val="0"/>
        </w:numPr>
        <w:tabs>
          <w:tab w:val="left" w:pos="1260"/>
        </w:tabs>
        <w:autoSpaceDE w:val="0"/>
        <w:autoSpaceDN w:val="0"/>
        <w:adjustRightInd w:val="0"/>
        <w:spacing w:line="360" w:lineRule="auto"/>
        <w:contextualSpacing/>
        <w:jc w:val="both"/>
        <w:rPr>
          <w:rFonts w:hint="eastAsia" w:ascii="宋体" w:hAnsi="宋体" w:eastAsia="宋体" w:cs="宋体"/>
          <w:b/>
          <w:color w:val="auto"/>
          <w:kern w:val="0"/>
          <w:sz w:val="30"/>
          <w:szCs w:val="30"/>
          <w:lang w:val="en-US" w:eastAsia="zh-CN"/>
        </w:rPr>
      </w:pPr>
    </w:p>
    <w:p w14:paraId="2B89D365">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lang w:val="en-US" w:eastAsia="zh-CN"/>
        </w:rPr>
        <w:t xml:space="preserve">第七章 </w:t>
      </w:r>
      <w:r>
        <w:rPr>
          <w:rFonts w:hint="eastAsia" w:ascii="宋体" w:hAnsi="宋体" w:eastAsia="宋体" w:cs="宋体"/>
          <w:b/>
          <w:color w:val="auto"/>
          <w:kern w:val="0"/>
          <w:sz w:val="30"/>
          <w:szCs w:val="30"/>
        </w:rPr>
        <w:t>合同条款及格式</w:t>
      </w:r>
    </w:p>
    <w:p w14:paraId="7BC2EAB9">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（此合同仅供参考</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以最终采购人与中标人签订的合同条款为准</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w:t>
      </w:r>
    </w:p>
    <w:p w14:paraId="13AF15AD">
      <w:pPr>
        <w:spacing w:line="360" w:lineRule="auto"/>
        <w:jc w:val="righ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本合同口是/口否中小企业预留合同</w:t>
      </w:r>
    </w:p>
    <w:p w14:paraId="42F161E1">
      <w:pPr>
        <w:spacing w:line="360" w:lineRule="auto"/>
        <w:ind w:firstLine="2520" w:firstLineChars="1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政府采购服务合同（范本）</w:t>
      </w:r>
    </w:p>
    <w:p w14:paraId="36B8E11D">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合同编号：</w:t>
      </w:r>
    </w:p>
    <w:p w14:paraId="1FD3CDCF">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签订地：</w:t>
      </w:r>
    </w:p>
    <w:p w14:paraId="7426708A">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甲方（采购人）：</w:t>
      </w:r>
    </w:p>
    <w:p w14:paraId="43626567">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住所地：</w:t>
      </w:r>
    </w:p>
    <w:p w14:paraId="4195A609">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乙方（中标人）：</w:t>
      </w:r>
    </w:p>
    <w:p w14:paraId="65B0BB69">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住所地：</w:t>
      </w:r>
    </w:p>
    <w:p w14:paraId="13A97663">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乙方于年月日参加了</w:t>
      </w:r>
      <w:r>
        <w:rPr>
          <w:rFonts w:hint="eastAsia" w:ascii="宋体" w:hAnsi="宋体" w:eastAsia="宋体" w:cs="宋体"/>
          <w:color w:val="auto"/>
          <w:sz w:val="21"/>
          <w:szCs w:val="21"/>
          <w:highlight w:val="none"/>
          <w:u w:val="single"/>
        </w:rPr>
        <w:t>（采购代理机构）</w:t>
      </w:r>
      <w:r>
        <w:rPr>
          <w:rFonts w:hint="eastAsia" w:ascii="宋体" w:hAnsi="宋体" w:eastAsia="宋体" w:cs="宋体"/>
          <w:color w:val="auto"/>
          <w:sz w:val="21"/>
          <w:szCs w:val="21"/>
          <w:highlight w:val="none"/>
        </w:rPr>
        <w:t xml:space="preserve"> 组织的“（</w:t>
      </w:r>
      <w:r>
        <w:rPr>
          <w:rFonts w:hint="eastAsia" w:ascii="宋体" w:hAnsi="宋体" w:eastAsia="宋体" w:cs="宋体"/>
          <w:color w:val="auto"/>
          <w:sz w:val="21"/>
          <w:szCs w:val="21"/>
          <w:highlight w:val="none"/>
          <w:u w:val="single"/>
        </w:rPr>
        <w:t>项目名称及项目编号）</w:t>
      </w:r>
      <w:r>
        <w:rPr>
          <w:rFonts w:hint="eastAsia" w:ascii="宋体" w:hAnsi="宋体" w:eastAsia="宋体" w:cs="宋体"/>
          <w:color w:val="auto"/>
          <w:sz w:val="21"/>
          <w:szCs w:val="21"/>
          <w:highlight w:val="none"/>
        </w:rPr>
        <w:t>” 政府采购活动，经评标委员会评审确定乙方为 （</w:t>
      </w:r>
      <w:r>
        <w:rPr>
          <w:rFonts w:hint="eastAsia" w:ascii="宋体" w:hAnsi="宋体" w:eastAsia="宋体" w:cs="宋体"/>
          <w:color w:val="auto"/>
          <w:sz w:val="21"/>
          <w:szCs w:val="21"/>
          <w:highlight w:val="none"/>
          <w:u w:val="single"/>
        </w:rPr>
        <w:t>包及包名称）</w:t>
      </w:r>
      <w:r>
        <w:rPr>
          <w:rFonts w:hint="eastAsia" w:ascii="宋体" w:hAnsi="宋体" w:eastAsia="宋体" w:cs="宋体"/>
          <w:color w:val="auto"/>
          <w:sz w:val="21"/>
          <w:szCs w:val="21"/>
          <w:highlight w:val="none"/>
        </w:rPr>
        <w:t>中标人，按照《中华人民共和国民法典》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《中华人民共和国政府采购法》和相关的法律法规规定，以及招标文件规定，经甲乙双方协商一致，签订本政府采购合同。</w:t>
      </w:r>
    </w:p>
    <w:p w14:paraId="7C407FDC">
      <w:pPr>
        <w:spacing w:line="360" w:lineRule="auto"/>
        <w:ind w:firstLine="42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第一条合同标的</w:t>
      </w:r>
    </w:p>
    <w:p w14:paraId="42B3B98E">
      <w:pPr>
        <w:spacing w:line="360" w:lineRule="auto"/>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服务名称：</w:t>
      </w:r>
    </w:p>
    <w:p w14:paraId="439DB889">
      <w:pPr>
        <w:spacing w:line="360" w:lineRule="auto"/>
        <w:ind w:firstLine="525" w:firstLineChars="2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服务内容：</w:t>
      </w:r>
    </w:p>
    <w:p w14:paraId="1B3F0977">
      <w:pPr>
        <w:spacing w:line="360" w:lineRule="auto"/>
        <w:ind w:firstLine="525" w:firstLineChars="2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技术标准：</w:t>
      </w:r>
    </w:p>
    <w:p w14:paraId="50B70991">
      <w:pPr>
        <w:widowControl w:val="0"/>
        <w:numPr>
          <w:ilvl w:val="0"/>
          <w:numId w:val="7"/>
        </w:numPr>
        <w:spacing w:line="360" w:lineRule="auto"/>
        <w:ind w:left="720" w:hanging="720" w:firstLineChars="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合同总金额</w:t>
      </w:r>
    </w:p>
    <w:p w14:paraId="4582ADB0">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合同总金额为人民币（大写）： _____  (￥_____ )</w:t>
      </w:r>
    </w:p>
    <w:p w14:paraId="7C0D7C19">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此价格为合同执行不变价，不因国家政策变化而变化，该价款</w:t>
      </w:r>
      <w:r>
        <w:rPr>
          <w:rFonts w:hint="eastAsia" w:ascii="宋体" w:hAnsi="宋体" w:eastAsia="宋体" w:cs="宋体"/>
          <w:color w:val="auto"/>
          <w:sz w:val="21"/>
          <w:szCs w:val="21"/>
          <w:highlight w:val="none"/>
          <w:lang w:eastAsia="zh-CN"/>
        </w:rPr>
        <w:t>包括</w:t>
      </w:r>
      <w:r>
        <w:rPr>
          <w:rFonts w:hint="eastAsia" w:ascii="宋体" w:hAnsi="宋体" w:eastAsia="宋体" w:cs="宋体"/>
          <w:color w:val="auto"/>
          <w:sz w:val="21"/>
          <w:szCs w:val="21"/>
          <w:highlight w:val="none"/>
        </w:rPr>
        <w:t>货物及与之配套的设计，制造，正版软件。检验，包装。运输。保险、税费以及安装。组织验收、培训、技术服务（包括技术资料。图纸提供等）。质保期服务等全部价格，除此之外，甲方不再向乙方支付其他任何费用。 .</w:t>
      </w:r>
    </w:p>
    <w:p w14:paraId="77BBF7BA">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第三条    服务交付</w:t>
      </w:r>
    </w:p>
    <w:p w14:paraId="3D4528D5">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1.交付日期：</w:t>
      </w:r>
    </w:p>
    <w:p w14:paraId="1C8C903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2.交付地点：</w:t>
      </w:r>
    </w:p>
    <w:p w14:paraId="76AEA1CD">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第四条   交付验收</w:t>
      </w:r>
    </w:p>
    <w:p w14:paraId="2BCE509A">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甲方应当根据国家。行业验收标准，以及合同约定验收方案，明确验收时间、方式。程序和内容等事项，组成验收小组，在收到乙方项目验收建议之日起1个工作日内。对采购项目进行实质性验收（验收建议有明显不当的除外）。乙方应对提交的服务成果作出全面检查和整理，并列出清单，作为甲方验收和使用技术条件依据，清单应随提交的服务成果交给甲方。</w:t>
      </w:r>
    </w:p>
    <w:p w14:paraId="0093455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2.对大型或复杂的政府采购项目，甲方应当邀请国家认可的质量检测机构参与验收工作，并出具验收报告，相关费用负担由甲乙双方约定。</w:t>
      </w:r>
    </w:p>
    <w:p w14:paraId="58762B42">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3.乙方在指定地点提交服务成果后，甲乙双方应依据招标文件、投标文件等文件材料的要求共同验收。并且出具书面验收报告，履约验收报告应当依法依规及时在市政府采购网公开发布。</w:t>
      </w:r>
    </w:p>
    <w:p w14:paraId="40DE29B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根据财政部等三部门《关于印发〈商品包装政府采购需求标准（试行）〉〈快递包装政府采购需求标准（试行）〉的通知》规定，采购文件对商品包装和快递包装提出具体要求的，对乙方所提供包装的履约验收要求（必要时要求乙方在履约验收环节出具检测报告）：</w:t>
      </w:r>
    </w:p>
    <w:p w14:paraId="775BA982">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第五条   权利瑕疵担当</w:t>
      </w:r>
    </w:p>
    <w:p w14:paraId="3A7A14FA">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1.乙方保证对其出售的标的物享有合法的权利：</w:t>
      </w:r>
    </w:p>
    <w:p w14:paraId="657899C4">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2.乙方应保证在其出售的标的物上不存在任何未曾向甲方透露的担保物权，如抵押权、质押权，留置权等：</w:t>
      </w:r>
    </w:p>
    <w:p w14:paraId="6F8324A3">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3.乙方应保证其所出售的标的物没有侵害任何第三人的知识产权和商业秘密等权利：</w:t>
      </w:r>
    </w:p>
    <w:p w14:paraId="0ED9CEBE">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4.如甲方使用该标的物构成上述侵权的，则由乙方承担全部责任。</w:t>
      </w:r>
    </w:p>
    <w:p w14:paraId="39A17B52">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第六条   所有权归属</w:t>
      </w:r>
    </w:p>
    <w:p w14:paraId="4FC4A366">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乙方将服务成果交付甲方，并且经甲乙双方共同验收合格后所有权转</w:t>
      </w:r>
      <w:r>
        <w:rPr>
          <w:rFonts w:hint="eastAsia" w:ascii="宋体" w:hAnsi="宋体" w:eastAsia="宋体" w:cs="宋体"/>
          <w:color w:val="auto"/>
          <w:sz w:val="21"/>
          <w:szCs w:val="21"/>
          <w:highlight w:val="none"/>
          <w:lang w:eastAsia="zh-CN"/>
        </w:rPr>
        <w:t>移给</w:t>
      </w:r>
      <w:r>
        <w:rPr>
          <w:rFonts w:hint="eastAsia" w:ascii="宋体" w:hAnsi="宋体" w:eastAsia="宋体" w:cs="宋体"/>
          <w:color w:val="auto"/>
          <w:sz w:val="21"/>
          <w:szCs w:val="21"/>
          <w:highlight w:val="none"/>
        </w:rPr>
        <w:t>甲方，在所有权转移之前，标的物损毁。灭失的风险归乙方，乙方保证所交付的服务成果的所有权完全属于乙方且无任何抵押、查封等产权瑕疵。</w:t>
      </w:r>
    </w:p>
    <w:p w14:paraId="3312315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如乙方交付的服务成果有产权实施的，视为乙方违约，乙方须向甲方支付_ %的违约金：如果合同总金额价款已经支付完毕或者开始支付合同价款时才发现产权有瑕疵的，乙方仍须支付上述违约金并且赔偿甲 方由此所遭受的一切损失。</w:t>
      </w:r>
    </w:p>
    <w:p w14:paraId="7D3FD7E0">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第七条   包装， 装运及运输</w:t>
      </w:r>
    </w:p>
    <w:p w14:paraId="4E169B9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乙方负责包装、装运和运输，由于不适当的包装。装运和运输造成任何损坏均由乙方负责。</w:t>
      </w:r>
    </w:p>
    <w:p w14:paraId="387E77D5">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2.包装费、运费及相关费用已包含在合同总金额内。</w:t>
      </w:r>
    </w:p>
    <w:p w14:paraId="7A23AB1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3.根据财政部等三部门关于印发〈商品包装政府采购需求标准（试行）〉《快递包装政府采购需求标准（试行）的通知》规定，对乙方提出的具体包装要求：</w:t>
      </w:r>
    </w:p>
    <w:p w14:paraId="35121560">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第八条   款项支付</w:t>
      </w:r>
    </w:p>
    <w:p w14:paraId="2571197B">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1.服务成果交付甲方，经甲乙双方共同验收合格后由甲方负责办理支付手续。</w:t>
      </w:r>
    </w:p>
    <w:p w14:paraId="62B680B3">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2.允许并鼓励乙方提供电子发票，甲方自收到发票之日起2个工作日内支付资金，并不得附加未经约定的其他条件。</w:t>
      </w:r>
    </w:p>
    <w:p w14:paraId="7DED7813">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3.付款方式</w:t>
      </w:r>
    </w:p>
    <w:p w14:paraId="2001FB47">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3.1预付款比例：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 于政府采购合同签订生效并具备实施条件后2个工作日内支付。</w:t>
      </w:r>
    </w:p>
    <w:p w14:paraId="55A910F7">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第九条   履约保证金</w:t>
      </w:r>
    </w:p>
    <w:p w14:paraId="72D4AD0D">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根据许昌市优化政府采购营商环境要求。项目不收取履约保证金。</w:t>
      </w:r>
    </w:p>
    <w:p w14:paraId="09C9D4E4">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第十条   售后服务及承诺</w:t>
      </w:r>
    </w:p>
    <w:p w14:paraId="554A1AD2">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1.服务质量保证期限自提交服务验收合格之日起___ 年，在质量保证期内，乙方应对服务出现的问题负责处理并承担一切费用，</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赔偿甲方的损失。</w:t>
      </w:r>
    </w:p>
    <w:p w14:paraId="5EDA9AAD">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2.乙方有完善的服务体系，有能力提供持续的、本地化售后服务。</w:t>
      </w:r>
    </w:p>
    <w:p w14:paraId="3DFB3144">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3.乙方负责系统安装和调试以及操作人员培训，并制定详细的培训计划，使操作人员能独立进行管理，操作、维护和故障处理等工作，做好相关记录及技术文档收集整理，验收后移交。</w:t>
      </w:r>
    </w:p>
    <w:p w14:paraId="194136DF">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4.服务范围：负责招标文件所涉及的所有服务。</w:t>
      </w:r>
    </w:p>
    <w:p w14:paraId="0EFDB9C0">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第十一  条知识产权</w:t>
      </w:r>
    </w:p>
    <w:p w14:paraId="71F08103">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1.乙方保证，甲方在享受服务或者服务的任何一部分时，免受第三方提出的侵犯其专利权、商标权或其他知识产权的起诉。如发生此类纠纷，由乙方承担一切责任：如因此给甲方</w:t>
      </w:r>
      <w:r>
        <w:rPr>
          <w:rFonts w:hint="eastAsia" w:ascii="宋体" w:hAnsi="宋体" w:eastAsia="宋体" w:cs="宋体"/>
          <w:color w:val="auto"/>
          <w:sz w:val="21"/>
          <w:szCs w:val="21"/>
          <w:highlight w:val="none"/>
          <w:lang w:eastAsia="zh-CN"/>
        </w:rPr>
        <w:t>造成损失的，由乙方</w:t>
      </w:r>
      <w:r>
        <w:rPr>
          <w:rFonts w:hint="eastAsia" w:ascii="宋体" w:hAnsi="宋体" w:eastAsia="宋体" w:cs="宋体"/>
          <w:color w:val="auto"/>
          <w:sz w:val="21"/>
          <w:szCs w:val="21"/>
          <w:highlight w:val="none"/>
        </w:rPr>
        <w:t>负责全额赔偿。</w:t>
      </w:r>
    </w:p>
    <w:p w14:paraId="3E72FD5C">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2.乙方为执行本合同而提供的技术资料或者其他相关资料，软件等由甲方永久免费使用。</w:t>
      </w:r>
    </w:p>
    <w:p w14:paraId="19AAE4C5">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第十二   条甲方责任</w:t>
      </w:r>
    </w:p>
    <w:p w14:paraId="2FFC515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1.及时办理付款手续。</w:t>
      </w:r>
    </w:p>
    <w:p w14:paraId="4B2B12F3">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2.负责提供工作场地，协助乙方办理有关事宜。</w:t>
      </w:r>
    </w:p>
    <w:p w14:paraId="14F255F4">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对合同条款及所知悉的乙方商业秘密负有保密义务。</w:t>
      </w:r>
    </w:p>
    <w:p w14:paraId="13DEE303">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第十三条   乙方责任</w:t>
      </w:r>
    </w:p>
    <w:p w14:paraId="13AD9BE2">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1.保证所提供服务为投标文件承诺服务，符合相关法律法规规定并且满足甲方的需求，保证其配套项目部件为全新的未使用的且符合相关的质量要求。</w:t>
      </w:r>
    </w:p>
    <w:p w14:paraId="45161449">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2.保证所提供服务的售后服务。严格依据投标文件及相关承诺，对服务以及与之配套的项目进行保修、维护等服务。</w:t>
      </w:r>
    </w:p>
    <w:p w14:paraId="6D6566EB">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3.保证其所提供服务不存在侵犯第三方知识产权的行为，否则由此产生的损失由乙方承担。</w:t>
      </w:r>
    </w:p>
    <w:p w14:paraId="34098210">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第十四条   违约责任</w:t>
      </w:r>
    </w:p>
    <w:p w14:paraId="352AE0AE">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1.乙方所提供服务成果及与之配套项目等不符合合同约定标准，甲方有权拒收。同时，乙方向甲方支付合同总金额__ %的违约金。</w:t>
      </w:r>
    </w:p>
    <w:p w14:paraId="2A4FFCCA">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乙方不能交付服务成果时，乙方向甲方支付合同总金额_ %的违约金。</w:t>
      </w:r>
    </w:p>
    <w:p w14:paraId="1248D01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乙方逾期交付服务成果时，每逾__日乙方向甲方支付合同总金额_ %的滞纳金。逾期交付超过_日， 甲方有权决定是否继续履行合同，如甲方决定终止履行合同的，乙方向甲方支付合同总金额_ %的违约金， 并且赔偿甲方因此所遭受的损失。</w:t>
      </w:r>
    </w:p>
    <w:p w14:paraId="0953E8B5">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4.甲方逾期退还履约保证金的违约责任：采购人延迟退还供应商缴纳的履约保证金的，应当支付逾期利息。双方对逾期利息的利率有约定的，约定利率不得低于合同订立时__年期贷款市场报价利率： 未作约定的，按照每日利率___支付逾期利息。</w:t>
      </w:r>
    </w:p>
    <w:p w14:paraId="6751D474">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5.甲方逾期支付资金的违约责任：</w:t>
      </w:r>
    </w:p>
    <w:p w14:paraId="5F88296B">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6.因甲方原因导致变更、中止或者终止政府采购合同的，甲方对供应商受到的损失予以赔偿或者补偿：</w:t>
      </w:r>
    </w:p>
    <w:p w14:paraId="017F898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7.因甲方过错给乙方造成的损失，由甲方负担。</w:t>
      </w:r>
    </w:p>
    <w:p w14:paraId="26D160A5">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第十五条   不可抗力</w:t>
      </w:r>
    </w:p>
    <w:p w14:paraId="684B69B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甲乙双方的任何一方由于不可抗力不能履行合同时，应当及时通知对方不能履行或不能完全履行的情况和理由：在取得有关主管机关证明以后，允许延期履行、部分履行或者终止履行合同的，根据情况</w:t>
      </w:r>
      <w:r>
        <w:rPr>
          <w:rFonts w:hint="eastAsia" w:ascii="宋体" w:hAnsi="宋体" w:eastAsia="宋体" w:cs="宋体"/>
          <w:color w:val="auto"/>
          <w:sz w:val="21"/>
          <w:szCs w:val="21"/>
          <w:highlight w:val="none"/>
          <w:lang w:eastAsia="zh-CN"/>
        </w:rPr>
        <w:t>可以</w:t>
      </w:r>
      <w:r>
        <w:rPr>
          <w:rFonts w:hint="eastAsia" w:ascii="宋体" w:hAnsi="宋体" w:eastAsia="宋体" w:cs="宋体"/>
          <w:color w:val="auto"/>
          <w:sz w:val="21"/>
          <w:szCs w:val="21"/>
          <w:highlight w:val="none"/>
        </w:rPr>
        <w:t>部分或全部免于承担违约责任。</w:t>
      </w:r>
    </w:p>
    <w:p w14:paraId="7B95DFEB">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第十六条   保密</w:t>
      </w:r>
    </w:p>
    <w:p w14:paraId="3CAC6B32">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乙方在合同履行期间知悉甲方的工作秘密（包括相关业务信息）。不得披露或以其他方式提供结合双方以外的其他方（包括乙方内部与本合同无关的任何人员）。乙方的保密责任不因本合同的终止而终止。</w:t>
      </w:r>
    </w:p>
    <w:p w14:paraId="7EC3B11F">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乙方违反本合同所规定的保密义务，应按照本合同总金额的_ %支付违约金。</w:t>
      </w:r>
    </w:p>
    <w:p w14:paraId="30CA76B4">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第十七条   争议解决</w:t>
      </w:r>
    </w:p>
    <w:p w14:paraId="4C117DA8">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甲乙双方在合同履行</w:t>
      </w:r>
      <w:r>
        <w:rPr>
          <w:rFonts w:hint="eastAsia" w:ascii="宋体" w:hAnsi="宋体" w:eastAsia="宋体" w:cs="宋体"/>
          <w:color w:val="auto"/>
          <w:sz w:val="21"/>
          <w:szCs w:val="21"/>
          <w:highlight w:val="none"/>
          <w:lang w:eastAsia="zh-CN"/>
        </w:rPr>
        <w:t>过程中发生争议</w:t>
      </w:r>
      <w:r>
        <w:rPr>
          <w:rFonts w:hint="eastAsia" w:ascii="宋体" w:hAnsi="宋体" w:eastAsia="宋体" w:cs="宋体"/>
          <w:color w:val="auto"/>
          <w:sz w:val="21"/>
          <w:szCs w:val="21"/>
          <w:highlight w:val="none"/>
        </w:rPr>
        <w:t>，应通过协商解决。如协商不成，可以向合同签订地法院提起诉讼。</w:t>
      </w:r>
    </w:p>
    <w:p w14:paraId="4AEED182">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第十八条   合同生效及其他</w:t>
      </w:r>
    </w:p>
    <w:p w14:paraId="26901A9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1.除招标文件规定且甲方事先书面同意外，乙方不得部分或者全部转让、分包履行其应履行的合同项下的义务。</w:t>
      </w:r>
    </w:p>
    <w:p w14:paraId="36EA88E2">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合同由甲、乙双方法定代表人（或者被授权代表）签字并加盖单位公章。</w:t>
      </w:r>
    </w:p>
    <w:p w14:paraId="73C4F2DF">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本合同一式份，甲方_份，乙方_份。</w:t>
      </w:r>
    </w:p>
    <w:p w14:paraId="3345D14C">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第十九条   服务期限</w:t>
      </w:r>
    </w:p>
    <w:p w14:paraId="41648ABB">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本合同服务期限为_年：服务期限自_年_ 月_ 日起至_ 年月日止。本合同期限未定，如需续签，根据《政府采购目录</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有关规定，经财政部门批准，双方可以根据法律及各项规定另行签订书面合同。</w:t>
      </w:r>
    </w:p>
    <w:p w14:paraId="2A7A7C66">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第二十条   政府采购合 同融资</w:t>
      </w:r>
    </w:p>
    <w:p w14:paraId="1C47F85E">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.在</w:t>
      </w:r>
      <w:r>
        <w:rPr>
          <w:rFonts w:hint="eastAsia" w:ascii="宋体" w:hAnsi="宋体" w:eastAsia="宋体" w:cs="宋体"/>
          <w:color w:val="auto"/>
          <w:sz w:val="21"/>
          <w:szCs w:val="21"/>
          <w:highlight w:val="none"/>
        </w:rPr>
        <w:t>政府采购合同签订前开展融资业务的。中标（成交）供应商持政府采购中标（成交）通知书提前与金融机构进行合同融资商洽，双方达成融资意向后，中标（成交）供应商与采购人签订政府采购合同，合同中供应商的银行账户要与合同融资的回款账户一致。中标（成交）供应商和贷款金融机构要及时将政府采购合同作为融资质押的信息告知采购人。采购人要从严加强合同付款账户管理，经贷款银行同意，不随意更改合同付款账户。</w:t>
      </w:r>
    </w:p>
    <w:p w14:paraId="459D0A4F">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2.政府采购合同签订后开展</w:t>
      </w:r>
      <w:r>
        <w:rPr>
          <w:rFonts w:hint="eastAsia" w:ascii="宋体" w:hAnsi="宋体" w:eastAsia="宋体" w:cs="宋体"/>
          <w:color w:val="auto"/>
          <w:sz w:val="21"/>
          <w:szCs w:val="21"/>
          <w:highlight w:val="none"/>
          <w:lang w:eastAsia="zh-CN"/>
        </w:rPr>
        <w:t>融资</w:t>
      </w:r>
      <w:r>
        <w:rPr>
          <w:rFonts w:hint="eastAsia" w:ascii="宋体" w:hAnsi="宋体" w:eastAsia="宋体" w:cs="宋体"/>
          <w:color w:val="auto"/>
          <w:sz w:val="21"/>
          <w:szCs w:val="21"/>
          <w:highlight w:val="none"/>
        </w:rPr>
        <w:t>账户管理。在合同履约期间，中标（成交）供应商持已签订的政府采购合同向金融机构申请合同融资，可能出现政府采购合同中供应商收款的银行账户与报贷款银行回款账户不一致的情形。为支持供应商通过政府采购合同成功获得银行贷款，采购人应积极协助供应商及时变更政府采购合同中的供应商收款银行账户，保障供应商收款的银行账户与报贷款银行回款账户一致。</w:t>
      </w:r>
    </w:p>
    <w:p w14:paraId="667CDAD7">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当中标（成交）供应商成功获取银行贷款后，采购人还应根据信息公开要求，加强合同账户及资金支付管理，确保合同资金准确支付到贷款银行确认的回款账户。采购人不得不经贷款银行同意擅自更改合同账户、非法支付项目资金，造成不良后果的，将承担相应法律责任。</w:t>
      </w:r>
    </w:p>
    <w:p w14:paraId="57D96F6E">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第二十一条   下列文件为本合同不可分割部分</w:t>
      </w:r>
    </w:p>
    <w:p w14:paraId="0F1AE0F1">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1.政府采购招标文件（包括澄清、修改）；</w:t>
      </w:r>
    </w:p>
    <w:p w14:paraId="1F717DE6">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乙方投标文件：</w:t>
      </w:r>
    </w:p>
    <w:p w14:paraId="6E7196D5">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中标（成交）通知书：</w:t>
      </w:r>
    </w:p>
    <w:p w14:paraId="77A4F61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4.中标人在评标过程中做出的有关澄清、说明，承诺或者补正文件：</w:t>
      </w:r>
    </w:p>
    <w:p w14:paraId="76F1A9EA">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5.政府采购委托协议书。</w:t>
      </w:r>
    </w:p>
    <w:p w14:paraId="57C34203">
      <w:pPr>
        <w:spacing w:line="360" w:lineRule="auto"/>
        <w:ind w:firstLine="210" w:firstLineChars="1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甲  方：                                       乙   方：</w:t>
      </w:r>
    </w:p>
    <w:p w14:paraId="1F8D66DB">
      <w:pPr>
        <w:spacing w:line="360" w:lineRule="auto"/>
        <w:ind w:firstLine="105" w:firstLineChars="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单位名称（公章）：                              单位名称（公章）：</w:t>
      </w:r>
    </w:p>
    <w:p w14:paraId="23396A18">
      <w:pPr>
        <w:spacing w:line="360" w:lineRule="auto"/>
        <w:ind w:firstLine="105" w:firstLineChars="50"/>
        <w:rPr>
          <w:rFonts w:ascii="宋体" w:hAnsi="宋体" w:eastAsia="宋体" w:cs="宋体"/>
          <w:color w:val="auto"/>
          <w:sz w:val="21"/>
          <w:szCs w:val="21"/>
          <w:highlight w:val="none"/>
        </w:rPr>
      </w:pPr>
    </w:p>
    <w:p w14:paraId="7E690763">
      <w:pPr>
        <w:spacing w:line="360" w:lineRule="auto"/>
        <w:ind w:left="3520" w:hanging="3360" w:hangingChars="16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法定代表人（被授权代表）签字：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法定代表人（被授权代表）签字：</w:t>
      </w:r>
    </w:p>
    <w:p w14:paraId="7D065C4F">
      <w:pPr>
        <w:spacing w:line="360" w:lineRule="auto"/>
        <w:ind w:firstLine="105" w:firstLineChars="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电    话：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电   话：</w:t>
      </w:r>
    </w:p>
    <w:p w14:paraId="4289A3DC">
      <w:pPr>
        <w:pStyle w:val="44"/>
        <w:keepNext w:val="0"/>
        <w:keepLines w:val="0"/>
        <w:pageBreakBefore w:val="0"/>
        <w:widowControl w:val="0"/>
        <w:shd w:val="clear" w:color="auto" w:fill="auto"/>
        <w:kinsoku/>
        <w:wordWrap/>
        <w:overflowPunct/>
        <w:topLinePunct w:val="0"/>
        <w:autoSpaceDE/>
        <w:autoSpaceDN/>
        <w:bidi w:val="0"/>
        <w:adjustRightInd/>
        <w:snapToGrid/>
        <w:spacing w:before="0" w:line="460" w:lineRule="exact"/>
        <w:ind w:left="0" w:right="0" w:firstLine="480"/>
        <w:jc w:val="both"/>
        <w:textAlignment w:val="auto"/>
        <w:rPr>
          <w:rFonts w:hint="eastAsia"/>
          <w:color w:val="auto"/>
          <w:spacing w:val="0"/>
          <w:w w:val="100"/>
          <w:position w:val="0"/>
          <w:sz w:val="21"/>
          <w:szCs w:val="21"/>
          <w:highlight w:val="none"/>
        </w:rPr>
      </w:pPr>
    </w:p>
    <w:p w14:paraId="308DD3D0">
      <w:pPr>
        <w:pStyle w:val="8"/>
        <w:spacing w:line="360" w:lineRule="auto"/>
        <w:contextualSpacing/>
        <w:rPr>
          <w:rFonts w:hint="eastAsia" w:ascii="宋体" w:hAnsi="宋体" w:eastAsia="宋体" w:cs="宋体"/>
          <w:b/>
          <w:color w:val="auto"/>
          <w:kern w:val="0"/>
          <w:sz w:val="36"/>
          <w:szCs w:val="36"/>
        </w:rPr>
      </w:pPr>
    </w:p>
    <w:p w14:paraId="48F7B120">
      <w:pPr>
        <w:pStyle w:val="8"/>
        <w:spacing w:line="360" w:lineRule="auto"/>
        <w:contextualSpacing/>
        <w:rPr>
          <w:rFonts w:hint="eastAsia" w:ascii="宋体" w:hAnsi="宋体" w:eastAsia="宋体" w:cs="宋体"/>
          <w:b/>
          <w:color w:val="auto"/>
          <w:kern w:val="0"/>
          <w:sz w:val="36"/>
          <w:szCs w:val="36"/>
        </w:rPr>
      </w:pPr>
    </w:p>
    <w:p w14:paraId="3FB1D3F3">
      <w:pPr>
        <w:pStyle w:val="8"/>
        <w:spacing w:line="360" w:lineRule="auto"/>
        <w:contextualSpacing/>
        <w:rPr>
          <w:rFonts w:hint="eastAsia" w:ascii="宋体" w:hAnsi="宋体" w:eastAsia="宋体" w:cs="宋体"/>
          <w:b/>
          <w:color w:val="auto"/>
          <w:kern w:val="0"/>
          <w:sz w:val="36"/>
          <w:szCs w:val="36"/>
        </w:rPr>
      </w:pPr>
    </w:p>
    <w:p w14:paraId="7F12DFE8">
      <w:pPr>
        <w:pStyle w:val="8"/>
        <w:spacing w:line="360" w:lineRule="auto"/>
        <w:contextualSpacing/>
        <w:rPr>
          <w:rFonts w:hint="eastAsia" w:ascii="宋体" w:hAnsi="宋体" w:eastAsia="宋体" w:cs="宋体"/>
          <w:b/>
          <w:color w:val="auto"/>
          <w:kern w:val="0"/>
          <w:sz w:val="36"/>
          <w:szCs w:val="36"/>
        </w:rPr>
      </w:pPr>
    </w:p>
    <w:p w14:paraId="6942FF01">
      <w:pPr>
        <w:pStyle w:val="8"/>
        <w:spacing w:line="360" w:lineRule="auto"/>
        <w:contextualSpacing/>
        <w:rPr>
          <w:rFonts w:hint="eastAsia" w:ascii="宋体" w:hAnsi="宋体" w:eastAsia="宋体" w:cs="宋体"/>
          <w:b/>
          <w:color w:val="auto"/>
          <w:kern w:val="0"/>
          <w:sz w:val="36"/>
          <w:szCs w:val="36"/>
        </w:rPr>
      </w:pPr>
    </w:p>
    <w:p w14:paraId="28A3195A">
      <w:pPr>
        <w:pStyle w:val="8"/>
        <w:spacing w:line="360" w:lineRule="auto"/>
        <w:contextualSpacing/>
        <w:rPr>
          <w:rFonts w:hint="eastAsia" w:ascii="宋体" w:hAnsi="宋体" w:eastAsia="宋体" w:cs="宋体"/>
          <w:b/>
          <w:color w:val="auto"/>
          <w:kern w:val="0"/>
          <w:sz w:val="36"/>
          <w:szCs w:val="36"/>
        </w:rPr>
      </w:pPr>
    </w:p>
    <w:p w14:paraId="48ABA399">
      <w:pPr>
        <w:pStyle w:val="8"/>
        <w:spacing w:line="360" w:lineRule="auto"/>
        <w:contextualSpacing/>
        <w:rPr>
          <w:rFonts w:hint="eastAsia" w:ascii="宋体" w:hAnsi="宋体" w:eastAsia="宋体" w:cs="宋体"/>
          <w:b/>
          <w:color w:val="auto"/>
          <w:kern w:val="0"/>
          <w:sz w:val="36"/>
          <w:szCs w:val="36"/>
        </w:rPr>
      </w:pPr>
    </w:p>
    <w:p w14:paraId="369A00BE">
      <w:pPr>
        <w:pStyle w:val="8"/>
        <w:spacing w:line="360" w:lineRule="auto"/>
        <w:contextualSpacing/>
        <w:rPr>
          <w:rFonts w:hint="eastAsia" w:ascii="宋体" w:hAnsi="宋体" w:eastAsia="宋体" w:cs="宋体"/>
          <w:b/>
          <w:color w:val="auto"/>
          <w:kern w:val="0"/>
          <w:sz w:val="36"/>
          <w:szCs w:val="36"/>
        </w:rPr>
      </w:pPr>
    </w:p>
    <w:p w14:paraId="2295CF31">
      <w:pPr>
        <w:pStyle w:val="8"/>
        <w:spacing w:line="360" w:lineRule="auto"/>
        <w:contextualSpacing/>
        <w:rPr>
          <w:rFonts w:hint="eastAsia" w:ascii="宋体" w:hAnsi="宋体" w:eastAsia="宋体" w:cs="宋体"/>
          <w:b/>
          <w:color w:val="auto"/>
          <w:kern w:val="0"/>
          <w:sz w:val="36"/>
          <w:szCs w:val="36"/>
        </w:rPr>
      </w:pPr>
    </w:p>
    <w:p w14:paraId="330E9D82">
      <w:pPr>
        <w:pStyle w:val="8"/>
        <w:spacing w:line="360" w:lineRule="auto"/>
        <w:contextualSpacing/>
        <w:rPr>
          <w:rFonts w:hint="eastAsia" w:ascii="宋体" w:hAnsi="宋体" w:eastAsia="宋体" w:cs="宋体"/>
          <w:b/>
          <w:color w:val="auto"/>
          <w:kern w:val="0"/>
          <w:sz w:val="36"/>
          <w:szCs w:val="36"/>
        </w:rPr>
      </w:pPr>
    </w:p>
    <w:p w14:paraId="7FD0D862">
      <w:pPr>
        <w:pStyle w:val="8"/>
        <w:spacing w:line="360" w:lineRule="auto"/>
        <w:contextualSpacing/>
        <w:rPr>
          <w:rFonts w:hint="eastAsia" w:ascii="宋体" w:hAnsi="宋体" w:eastAsia="宋体" w:cs="宋体"/>
          <w:b/>
          <w:color w:val="auto"/>
          <w:kern w:val="0"/>
          <w:sz w:val="36"/>
          <w:szCs w:val="36"/>
        </w:rPr>
      </w:pPr>
    </w:p>
    <w:p w14:paraId="6FD97DFB">
      <w:pPr>
        <w:pStyle w:val="8"/>
        <w:spacing w:line="360" w:lineRule="auto"/>
        <w:contextualSpacing/>
        <w:rPr>
          <w:rFonts w:hint="eastAsia" w:ascii="宋体" w:hAnsi="宋体" w:eastAsia="宋体" w:cs="宋体"/>
          <w:b/>
          <w:color w:val="auto"/>
          <w:kern w:val="0"/>
          <w:sz w:val="36"/>
          <w:szCs w:val="36"/>
        </w:rPr>
      </w:pPr>
    </w:p>
    <w:p w14:paraId="7ABCBF94">
      <w:pPr>
        <w:pStyle w:val="8"/>
        <w:spacing w:line="360" w:lineRule="auto"/>
        <w:contextualSpacing/>
        <w:rPr>
          <w:rFonts w:hint="eastAsia" w:ascii="宋体" w:hAnsi="宋体" w:eastAsia="宋体" w:cs="宋体"/>
          <w:b/>
          <w:color w:val="auto"/>
          <w:kern w:val="0"/>
          <w:sz w:val="36"/>
          <w:szCs w:val="36"/>
        </w:rPr>
      </w:pPr>
    </w:p>
    <w:p w14:paraId="4385FCFC">
      <w:pPr>
        <w:pStyle w:val="8"/>
        <w:spacing w:line="360" w:lineRule="auto"/>
        <w:contextualSpacing/>
        <w:rPr>
          <w:rFonts w:hint="eastAsia" w:ascii="宋体" w:hAnsi="宋体" w:eastAsia="宋体" w:cs="宋体"/>
          <w:b/>
          <w:color w:val="auto"/>
          <w:kern w:val="0"/>
          <w:sz w:val="36"/>
          <w:szCs w:val="36"/>
        </w:rPr>
      </w:pPr>
    </w:p>
    <w:p w14:paraId="472665F6">
      <w:pPr>
        <w:pStyle w:val="8"/>
        <w:spacing w:line="360" w:lineRule="auto"/>
        <w:contextualSpacing/>
        <w:rPr>
          <w:rFonts w:hint="eastAsia" w:ascii="宋体" w:hAnsi="宋体" w:eastAsia="宋体" w:cs="宋体"/>
          <w:b/>
          <w:color w:val="auto"/>
          <w:kern w:val="0"/>
          <w:sz w:val="36"/>
          <w:szCs w:val="36"/>
        </w:rPr>
      </w:pPr>
    </w:p>
    <w:p w14:paraId="067242FA">
      <w:pPr>
        <w:pStyle w:val="8"/>
        <w:spacing w:line="360" w:lineRule="auto"/>
        <w:contextualSpacing/>
        <w:rPr>
          <w:rFonts w:hint="eastAsia" w:ascii="宋体" w:hAnsi="宋体" w:eastAsia="宋体" w:cs="宋体"/>
          <w:b/>
          <w:color w:val="auto"/>
          <w:kern w:val="0"/>
          <w:sz w:val="36"/>
          <w:szCs w:val="36"/>
        </w:rPr>
      </w:pPr>
    </w:p>
    <w:p w14:paraId="6D6BDAB3">
      <w:pPr>
        <w:pStyle w:val="8"/>
        <w:spacing w:line="360" w:lineRule="auto"/>
        <w:contextualSpacing/>
        <w:rPr>
          <w:rFonts w:hint="eastAsia" w:ascii="宋体" w:hAnsi="宋体" w:eastAsia="宋体" w:cs="宋体"/>
          <w:b/>
          <w:color w:val="auto"/>
          <w:kern w:val="0"/>
          <w:sz w:val="36"/>
          <w:szCs w:val="36"/>
        </w:rPr>
      </w:pPr>
    </w:p>
    <w:p w14:paraId="6537DBF9">
      <w:pPr>
        <w:pStyle w:val="8"/>
        <w:spacing w:line="360" w:lineRule="auto"/>
        <w:contextualSpacing/>
        <w:rPr>
          <w:rFonts w:hint="eastAsia" w:ascii="宋体" w:hAnsi="宋体" w:eastAsia="宋体" w:cs="宋体"/>
          <w:b/>
          <w:color w:val="auto"/>
          <w:kern w:val="0"/>
          <w:sz w:val="36"/>
          <w:szCs w:val="36"/>
        </w:rPr>
      </w:pPr>
    </w:p>
    <w:p w14:paraId="2B89D3EC">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第八章 投标文件有关格式</w:t>
      </w:r>
    </w:p>
    <w:p w14:paraId="2B89D3ED">
      <w:pPr>
        <w:spacing w:line="480" w:lineRule="exact"/>
        <w:ind w:firstLine="460" w:firstLineChars="192"/>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注：</w:t>
      </w:r>
    </w:p>
    <w:p w14:paraId="2B89D3EE">
      <w:pPr>
        <w:spacing w:line="480" w:lineRule="exact"/>
        <w:ind w:firstLine="460" w:firstLineChars="192"/>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1.以下的投标文件格式为通用的格式，投标人在制作投标文件时应以招标文件内容要求为准，选择相应的投标文件格式。</w:t>
      </w:r>
    </w:p>
    <w:p w14:paraId="2B89D3EF">
      <w:pPr>
        <w:spacing w:line="480" w:lineRule="exact"/>
        <w:ind w:firstLine="460" w:firstLineChars="192"/>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2.没有给定格式的，投标人可以自行设计。</w:t>
      </w:r>
    </w:p>
    <w:p w14:paraId="2B89D3F0">
      <w:pPr>
        <w:pStyle w:val="16"/>
        <w:ind w:firstLine="480"/>
        <w:rPr>
          <w:rFonts w:hint="eastAsia" w:ascii="宋体" w:hAnsi="宋体" w:eastAsia="宋体" w:cs="宋体"/>
          <w:color w:val="auto"/>
          <w:lang w:val="zh-CN"/>
        </w:rPr>
      </w:pPr>
    </w:p>
    <w:p w14:paraId="2B89D3F1">
      <w:pPr>
        <w:pStyle w:val="6"/>
        <w:rPr>
          <w:rFonts w:hint="eastAsia" w:ascii="宋体" w:hAnsi="宋体" w:eastAsia="宋体" w:cs="宋体"/>
          <w:color w:val="auto"/>
          <w:lang w:val="zh-CN"/>
        </w:rPr>
      </w:pPr>
    </w:p>
    <w:p w14:paraId="2B89D3F2">
      <w:pPr>
        <w:spacing w:line="480" w:lineRule="auto"/>
        <w:ind w:firstLine="1080" w:firstLineChars="300"/>
        <w:rPr>
          <w:rFonts w:hint="eastAsia" w:ascii="宋体" w:hAnsi="宋体" w:eastAsia="宋体" w:cs="宋体"/>
          <w:color w:val="auto"/>
          <w:sz w:val="24"/>
        </w:rPr>
      </w:pPr>
      <w:r>
        <w:rPr>
          <w:rFonts w:hint="eastAsia" w:ascii="宋体" w:hAnsi="宋体" w:eastAsia="宋体" w:cs="宋体"/>
          <w:color w:val="auto"/>
          <w:sz w:val="36"/>
          <w:szCs w:val="36"/>
          <w:u w:val="single"/>
        </w:rPr>
        <w:t xml:space="preserve">                   （项目名称</w:t>
      </w:r>
      <w:r>
        <w:rPr>
          <w:rFonts w:hint="eastAsia" w:ascii="宋体" w:hAnsi="宋体" w:eastAsia="宋体" w:cs="宋体"/>
          <w:color w:val="auto"/>
          <w:sz w:val="36"/>
          <w:szCs w:val="36"/>
          <w:u w:val="single"/>
          <w:lang w:eastAsia="zh-CN"/>
        </w:rPr>
        <w:t>、</w:t>
      </w:r>
      <w:r>
        <w:rPr>
          <w:rFonts w:hint="eastAsia" w:ascii="宋体" w:hAnsi="宋体" w:eastAsia="宋体" w:cs="宋体"/>
          <w:color w:val="auto"/>
          <w:sz w:val="36"/>
          <w:szCs w:val="36"/>
          <w:u w:val="single"/>
          <w:lang w:val="en-US" w:eastAsia="zh-CN"/>
        </w:rPr>
        <w:t>标段</w:t>
      </w:r>
      <w:r>
        <w:rPr>
          <w:rFonts w:hint="eastAsia" w:ascii="宋体" w:hAnsi="宋体" w:eastAsia="宋体" w:cs="宋体"/>
          <w:color w:val="auto"/>
          <w:sz w:val="36"/>
          <w:szCs w:val="36"/>
          <w:u w:val="single"/>
        </w:rPr>
        <w:t>）</w:t>
      </w:r>
    </w:p>
    <w:p w14:paraId="2B89D3F3">
      <w:pPr>
        <w:spacing w:line="380" w:lineRule="exact"/>
        <w:rPr>
          <w:rFonts w:hint="eastAsia" w:ascii="宋体" w:hAnsi="宋体" w:eastAsia="宋体" w:cs="宋体"/>
          <w:color w:val="auto"/>
          <w:sz w:val="24"/>
        </w:rPr>
      </w:pPr>
    </w:p>
    <w:p w14:paraId="2B89D3F4">
      <w:pPr>
        <w:spacing w:line="380" w:lineRule="exact"/>
        <w:rPr>
          <w:rFonts w:hint="eastAsia" w:ascii="宋体" w:hAnsi="宋体" w:eastAsia="宋体" w:cs="宋体"/>
          <w:color w:val="auto"/>
          <w:sz w:val="24"/>
        </w:rPr>
      </w:pPr>
    </w:p>
    <w:p w14:paraId="2B89D3F5">
      <w:pPr>
        <w:spacing w:line="380" w:lineRule="exact"/>
        <w:rPr>
          <w:rFonts w:hint="eastAsia" w:ascii="宋体" w:hAnsi="宋体" w:eastAsia="宋体" w:cs="宋体"/>
          <w:color w:val="auto"/>
          <w:sz w:val="24"/>
        </w:rPr>
      </w:pPr>
    </w:p>
    <w:p w14:paraId="2B89D3F6">
      <w:pPr>
        <w:spacing w:line="380" w:lineRule="exact"/>
        <w:rPr>
          <w:rFonts w:hint="eastAsia" w:ascii="宋体" w:hAnsi="宋体" w:eastAsia="宋体" w:cs="宋体"/>
          <w:color w:val="auto"/>
          <w:sz w:val="24"/>
        </w:rPr>
      </w:pPr>
    </w:p>
    <w:p w14:paraId="2B89D3F7">
      <w:pPr>
        <w:spacing w:line="380" w:lineRule="exact"/>
        <w:jc w:val="center"/>
        <w:rPr>
          <w:rFonts w:hint="eastAsia" w:ascii="宋体" w:hAnsi="宋体" w:eastAsia="宋体" w:cs="宋体"/>
          <w:b/>
          <w:bCs/>
          <w:color w:val="auto"/>
          <w:sz w:val="48"/>
          <w:szCs w:val="48"/>
        </w:rPr>
      </w:pPr>
    </w:p>
    <w:p w14:paraId="2B89D3F8">
      <w:pPr>
        <w:spacing w:line="380" w:lineRule="exact"/>
        <w:jc w:val="center"/>
        <w:rPr>
          <w:rFonts w:hint="eastAsia" w:ascii="宋体" w:hAnsi="宋体" w:eastAsia="宋体" w:cs="宋体"/>
          <w:b/>
          <w:bCs/>
          <w:color w:val="auto"/>
          <w:sz w:val="48"/>
          <w:szCs w:val="48"/>
        </w:rPr>
      </w:pPr>
    </w:p>
    <w:p w14:paraId="2B89D3F9">
      <w:pPr>
        <w:spacing w:line="480" w:lineRule="auto"/>
        <w:jc w:val="center"/>
        <w:rPr>
          <w:rFonts w:hint="eastAsia" w:ascii="宋体" w:hAnsi="宋体" w:eastAsia="宋体" w:cs="宋体"/>
          <w:b/>
          <w:bCs/>
          <w:color w:val="auto"/>
          <w:sz w:val="72"/>
          <w:szCs w:val="72"/>
        </w:rPr>
      </w:pPr>
      <w:r>
        <w:rPr>
          <w:rFonts w:hint="eastAsia" w:ascii="宋体" w:hAnsi="宋体" w:eastAsia="宋体" w:cs="宋体"/>
          <w:b/>
          <w:bCs/>
          <w:color w:val="auto"/>
          <w:sz w:val="72"/>
          <w:szCs w:val="72"/>
        </w:rPr>
        <w:t>投标文件</w:t>
      </w:r>
    </w:p>
    <w:p w14:paraId="2B89D3FA">
      <w:pPr>
        <w:spacing w:line="380" w:lineRule="exact"/>
        <w:rPr>
          <w:rFonts w:hint="eastAsia" w:ascii="宋体" w:hAnsi="宋体" w:eastAsia="宋体" w:cs="宋体"/>
          <w:color w:val="auto"/>
          <w:sz w:val="24"/>
        </w:rPr>
      </w:pPr>
    </w:p>
    <w:p w14:paraId="2B89D3FB">
      <w:pPr>
        <w:spacing w:line="380" w:lineRule="exact"/>
        <w:rPr>
          <w:rFonts w:hint="eastAsia" w:ascii="宋体" w:hAnsi="宋体" w:eastAsia="宋体" w:cs="宋体"/>
          <w:color w:val="auto"/>
          <w:sz w:val="24"/>
        </w:rPr>
      </w:pPr>
    </w:p>
    <w:p w14:paraId="2B89D3FC">
      <w:pPr>
        <w:spacing w:line="38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eastAsia="zh-CN"/>
        </w:rPr>
        <w:t>采购编号</w:t>
      </w:r>
      <w:r>
        <w:rPr>
          <w:rFonts w:hint="eastAsia" w:ascii="宋体" w:hAnsi="宋体" w:eastAsia="宋体" w:cs="宋体"/>
          <w:color w:val="auto"/>
          <w:sz w:val="28"/>
          <w:szCs w:val="28"/>
        </w:rPr>
        <w:t>：</w:t>
      </w:r>
    </w:p>
    <w:p w14:paraId="2B89D3FD">
      <w:pPr>
        <w:spacing w:line="380" w:lineRule="exact"/>
        <w:rPr>
          <w:rFonts w:hint="eastAsia" w:ascii="宋体" w:hAnsi="宋体" w:eastAsia="宋体" w:cs="宋体"/>
          <w:color w:val="auto"/>
          <w:sz w:val="24"/>
        </w:rPr>
      </w:pPr>
    </w:p>
    <w:p w14:paraId="2B89D3FE">
      <w:pPr>
        <w:spacing w:line="380" w:lineRule="exact"/>
        <w:rPr>
          <w:rFonts w:hint="eastAsia" w:ascii="宋体" w:hAnsi="宋体" w:eastAsia="宋体" w:cs="宋体"/>
          <w:color w:val="auto"/>
          <w:sz w:val="24"/>
        </w:rPr>
      </w:pPr>
    </w:p>
    <w:p w14:paraId="2B89D3FF">
      <w:pPr>
        <w:spacing w:line="380" w:lineRule="exact"/>
        <w:rPr>
          <w:rFonts w:hint="eastAsia" w:ascii="宋体" w:hAnsi="宋体" w:eastAsia="宋体" w:cs="宋体"/>
          <w:color w:val="auto"/>
          <w:sz w:val="24"/>
        </w:rPr>
      </w:pPr>
    </w:p>
    <w:p w14:paraId="2B89D400">
      <w:pPr>
        <w:spacing w:after="120"/>
        <w:ind w:left="63" w:right="63" w:firstLine="340" w:firstLineChars="100"/>
        <w:rPr>
          <w:rFonts w:hint="eastAsia" w:ascii="宋体" w:hAnsi="宋体" w:eastAsia="宋体" w:cs="宋体"/>
          <w:color w:val="auto"/>
          <w:kern w:val="0"/>
          <w:sz w:val="34"/>
          <w:szCs w:val="20"/>
        </w:rPr>
      </w:pPr>
    </w:p>
    <w:p w14:paraId="2B89D401">
      <w:pPr>
        <w:spacing w:line="380" w:lineRule="exact"/>
        <w:rPr>
          <w:rFonts w:hint="eastAsia" w:ascii="宋体" w:hAnsi="宋体" w:eastAsia="宋体" w:cs="宋体"/>
          <w:color w:val="auto"/>
          <w:sz w:val="24"/>
        </w:rPr>
      </w:pPr>
    </w:p>
    <w:p w14:paraId="2B89D402">
      <w:pPr>
        <w:spacing w:line="480" w:lineRule="auto"/>
        <w:ind w:firstLine="1820" w:firstLineChars="650"/>
        <w:rPr>
          <w:rFonts w:hint="eastAsia" w:ascii="宋体" w:hAnsi="宋体" w:eastAsia="宋体" w:cs="宋体"/>
          <w:color w:val="auto"/>
          <w:sz w:val="28"/>
          <w:szCs w:val="28"/>
        </w:rPr>
      </w:pPr>
      <w:bookmarkStart w:id="4" w:name="_Toc7428_WPSOffice_Level1"/>
      <w:bookmarkStart w:id="5" w:name="_Toc27760_WPSOffice_Level1"/>
      <w:r>
        <w:rPr>
          <w:rFonts w:hint="eastAsia" w:ascii="宋体" w:hAnsi="宋体" w:eastAsia="宋体" w:cs="宋体"/>
          <w:color w:val="auto"/>
          <w:sz w:val="28"/>
          <w:szCs w:val="28"/>
        </w:rPr>
        <w:t>投 标 人：（全称并加盖公章）</w:t>
      </w:r>
      <w:bookmarkEnd w:id="4"/>
      <w:bookmarkEnd w:id="5"/>
    </w:p>
    <w:p w14:paraId="2B89D403">
      <w:pPr>
        <w:spacing w:line="480" w:lineRule="auto"/>
        <w:ind w:firstLine="1540" w:firstLineChars="550"/>
        <w:rPr>
          <w:rFonts w:hint="eastAsia" w:ascii="宋体" w:hAnsi="宋体" w:eastAsia="宋体" w:cs="宋体"/>
          <w:b/>
          <w:bCs/>
          <w:color w:val="auto"/>
          <w:sz w:val="28"/>
          <w:szCs w:val="28"/>
        </w:rPr>
      </w:pPr>
      <w:bookmarkStart w:id="6" w:name="_Toc28157_WPSOffice_Level1"/>
      <w:bookmarkStart w:id="7" w:name="_Toc4840_WPSOffice_Level1"/>
      <w:r>
        <w:rPr>
          <w:rFonts w:hint="eastAsia" w:ascii="宋体" w:hAnsi="宋体" w:eastAsia="宋体" w:cs="宋体"/>
          <w:color w:val="auto"/>
          <w:sz w:val="28"/>
          <w:szCs w:val="28"/>
        </w:rPr>
        <w:t>法定代表人或委托代理人（签字）：</w:t>
      </w:r>
      <w:bookmarkEnd w:id="6"/>
      <w:bookmarkEnd w:id="7"/>
    </w:p>
    <w:p w14:paraId="2B89D404">
      <w:pPr>
        <w:spacing w:line="480" w:lineRule="auto"/>
        <w:ind w:firstLine="1820" w:firstLineChars="650"/>
        <w:rPr>
          <w:rFonts w:hint="eastAsia" w:ascii="宋体" w:hAnsi="宋体" w:eastAsia="宋体" w:cs="宋体"/>
          <w:color w:val="auto"/>
          <w:sz w:val="28"/>
          <w:szCs w:val="28"/>
        </w:rPr>
      </w:pPr>
      <w:bookmarkStart w:id="8" w:name="_Toc15640_WPSOffice_Level1"/>
      <w:bookmarkStart w:id="9" w:name="_Toc2311_WPSOffice_Level1"/>
      <w:r>
        <w:rPr>
          <w:rFonts w:hint="eastAsia" w:ascii="宋体" w:hAnsi="宋体" w:eastAsia="宋体" w:cs="宋体"/>
          <w:color w:val="auto"/>
          <w:sz w:val="28"/>
          <w:szCs w:val="28"/>
        </w:rPr>
        <w:t>日    期：年 月 日</w:t>
      </w:r>
      <w:bookmarkEnd w:id="8"/>
      <w:bookmarkEnd w:id="9"/>
    </w:p>
    <w:p w14:paraId="59B1A924">
      <w:pPr>
        <w:pStyle w:val="6"/>
        <w:rPr>
          <w:rFonts w:hint="eastAsia"/>
          <w:lang w:val="zh-CN"/>
        </w:rPr>
      </w:pPr>
    </w:p>
    <w:p w14:paraId="42BBF310">
      <w:pPr>
        <w:pStyle w:val="6"/>
        <w:rPr>
          <w:rFonts w:hint="eastAsia"/>
          <w:lang w:val="zh-CN"/>
        </w:rPr>
      </w:pPr>
    </w:p>
    <w:p w14:paraId="2B89D406">
      <w:pPr>
        <w:pStyle w:val="33"/>
        <w:numPr>
          <w:ilvl w:val="0"/>
          <w:numId w:val="0"/>
        </w:numPr>
        <w:tabs>
          <w:tab w:val="left" w:pos="660"/>
        </w:tabs>
        <w:snapToGrid w:val="0"/>
        <w:spacing w:before="0" w:line="400" w:lineRule="exact"/>
        <w:jc w:val="center"/>
        <w:rPr>
          <w:rFonts w:hint="eastAsia" w:ascii="宋体" w:hAnsi="宋体" w:eastAsia="宋体" w:cs="宋体"/>
          <w:color w:val="auto"/>
          <w:kern w:val="2"/>
          <w:sz w:val="28"/>
          <w:szCs w:val="28"/>
          <w:lang w:val="zh-CN"/>
        </w:rPr>
      </w:pPr>
      <w:r>
        <w:rPr>
          <w:rFonts w:hint="eastAsia" w:ascii="宋体" w:hAnsi="宋体" w:eastAsia="宋体" w:cs="宋体"/>
          <w:color w:val="auto"/>
          <w:kern w:val="2"/>
          <w:sz w:val="28"/>
          <w:szCs w:val="28"/>
          <w:lang w:val="zh-CN"/>
        </w:rPr>
        <w:t>一、供应商应答索引表</w:t>
      </w:r>
    </w:p>
    <w:tbl>
      <w:tblPr>
        <w:tblStyle w:val="17"/>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2B89D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2B89D407">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3751" w:type="dxa"/>
            <w:vAlign w:val="center"/>
          </w:tcPr>
          <w:p w14:paraId="2B89D408">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项  目</w:t>
            </w:r>
          </w:p>
        </w:tc>
        <w:tc>
          <w:tcPr>
            <w:tcW w:w="1559" w:type="dxa"/>
            <w:vAlign w:val="center"/>
          </w:tcPr>
          <w:p w14:paraId="2B89D409">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投标人应答</w:t>
            </w:r>
          </w:p>
          <w:p w14:paraId="2B89D40A">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（有/没有）</w:t>
            </w:r>
          </w:p>
        </w:tc>
        <w:tc>
          <w:tcPr>
            <w:tcW w:w="1560" w:type="dxa"/>
            <w:vAlign w:val="center"/>
          </w:tcPr>
          <w:p w14:paraId="2B89D40B">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投标文件中所在页码</w:t>
            </w:r>
          </w:p>
        </w:tc>
        <w:tc>
          <w:tcPr>
            <w:tcW w:w="2018" w:type="dxa"/>
            <w:vAlign w:val="center"/>
          </w:tcPr>
          <w:p w14:paraId="2B89D40C">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备注说明</w:t>
            </w:r>
          </w:p>
        </w:tc>
      </w:tr>
      <w:tr w14:paraId="2B89D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0E">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w:t>
            </w:r>
          </w:p>
        </w:tc>
        <w:tc>
          <w:tcPr>
            <w:tcW w:w="3751" w:type="dxa"/>
            <w:vAlign w:val="center"/>
          </w:tcPr>
          <w:p w14:paraId="2B89D40F">
            <w:pPr>
              <w:pStyle w:val="8"/>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rPr>
              <w:t>投标人应答索引表</w:t>
            </w:r>
          </w:p>
        </w:tc>
        <w:tc>
          <w:tcPr>
            <w:tcW w:w="1559" w:type="dxa"/>
            <w:vAlign w:val="center"/>
          </w:tcPr>
          <w:p w14:paraId="2B89D410">
            <w:pPr>
              <w:snapToGrid w:val="0"/>
              <w:spacing w:line="400" w:lineRule="exact"/>
              <w:jc w:val="center"/>
              <w:rPr>
                <w:rFonts w:hint="eastAsia" w:ascii="宋体" w:hAnsi="宋体" w:eastAsia="宋体" w:cs="宋体"/>
                <w:color w:val="auto"/>
                <w:szCs w:val="21"/>
              </w:rPr>
            </w:pPr>
          </w:p>
        </w:tc>
        <w:tc>
          <w:tcPr>
            <w:tcW w:w="1560" w:type="dxa"/>
            <w:vAlign w:val="center"/>
          </w:tcPr>
          <w:p w14:paraId="2B89D411">
            <w:pPr>
              <w:snapToGrid w:val="0"/>
              <w:spacing w:line="400" w:lineRule="exact"/>
              <w:rPr>
                <w:rFonts w:hint="eastAsia" w:ascii="宋体" w:hAnsi="宋体" w:eastAsia="宋体" w:cs="宋体"/>
                <w:color w:val="auto"/>
                <w:szCs w:val="21"/>
              </w:rPr>
            </w:pPr>
          </w:p>
        </w:tc>
        <w:tc>
          <w:tcPr>
            <w:tcW w:w="2018" w:type="dxa"/>
            <w:vAlign w:val="center"/>
          </w:tcPr>
          <w:p w14:paraId="2B89D412">
            <w:pPr>
              <w:snapToGrid w:val="0"/>
              <w:spacing w:line="400" w:lineRule="exact"/>
              <w:rPr>
                <w:rFonts w:hint="eastAsia" w:ascii="宋体" w:hAnsi="宋体" w:eastAsia="宋体" w:cs="宋体"/>
                <w:color w:val="auto"/>
                <w:szCs w:val="21"/>
              </w:rPr>
            </w:pPr>
          </w:p>
        </w:tc>
      </w:tr>
      <w:tr w14:paraId="2B89D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14">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2</w:t>
            </w:r>
          </w:p>
        </w:tc>
        <w:tc>
          <w:tcPr>
            <w:tcW w:w="3751" w:type="dxa"/>
            <w:vAlign w:val="center"/>
          </w:tcPr>
          <w:p w14:paraId="2B89D415">
            <w:pPr>
              <w:pStyle w:val="8"/>
              <w:kinsoku w:val="0"/>
              <w:overflowPunct w:val="0"/>
              <w:autoSpaceDE w:val="0"/>
              <w:autoSpaceDN w:val="0"/>
              <w:spacing w:line="320" w:lineRule="exac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开标一览表</w:t>
            </w:r>
          </w:p>
        </w:tc>
        <w:tc>
          <w:tcPr>
            <w:tcW w:w="1559" w:type="dxa"/>
            <w:vAlign w:val="center"/>
          </w:tcPr>
          <w:p w14:paraId="2B89D416">
            <w:pPr>
              <w:snapToGrid w:val="0"/>
              <w:spacing w:line="400" w:lineRule="exact"/>
              <w:jc w:val="center"/>
              <w:rPr>
                <w:rFonts w:hint="eastAsia" w:ascii="宋体" w:hAnsi="宋体" w:eastAsia="宋体" w:cs="宋体"/>
                <w:color w:val="auto"/>
                <w:szCs w:val="21"/>
              </w:rPr>
            </w:pPr>
          </w:p>
        </w:tc>
        <w:tc>
          <w:tcPr>
            <w:tcW w:w="1560" w:type="dxa"/>
            <w:vAlign w:val="center"/>
          </w:tcPr>
          <w:p w14:paraId="2B89D417">
            <w:pPr>
              <w:snapToGrid w:val="0"/>
              <w:spacing w:line="400" w:lineRule="exact"/>
              <w:rPr>
                <w:rFonts w:hint="eastAsia" w:ascii="宋体" w:hAnsi="宋体" w:eastAsia="宋体" w:cs="宋体"/>
                <w:color w:val="auto"/>
                <w:szCs w:val="21"/>
              </w:rPr>
            </w:pPr>
          </w:p>
        </w:tc>
        <w:tc>
          <w:tcPr>
            <w:tcW w:w="2018" w:type="dxa"/>
            <w:vAlign w:val="center"/>
          </w:tcPr>
          <w:p w14:paraId="2B89D418">
            <w:pPr>
              <w:snapToGrid w:val="0"/>
              <w:spacing w:line="400" w:lineRule="exact"/>
              <w:rPr>
                <w:rFonts w:hint="eastAsia" w:ascii="宋体" w:hAnsi="宋体" w:eastAsia="宋体" w:cs="宋体"/>
                <w:color w:val="auto"/>
                <w:szCs w:val="21"/>
              </w:rPr>
            </w:pPr>
          </w:p>
        </w:tc>
      </w:tr>
      <w:tr w14:paraId="2B89D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1A">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3</w:t>
            </w:r>
          </w:p>
        </w:tc>
        <w:tc>
          <w:tcPr>
            <w:tcW w:w="3751" w:type="dxa"/>
            <w:vAlign w:val="center"/>
          </w:tcPr>
          <w:p w14:paraId="2B89D41B">
            <w:pPr>
              <w:pStyle w:val="8"/>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rPr>
              <w:t>投标函</w:t>
            </w:r>
          </w:p>
        </w:tc>
        <w:tc>
          <w:tcPr>
            <w:tcW w:w="1559" w:type="dxa"/>
            <w:vAlign w:val="center"/>
          </w:tcPr>
          <w:p w14:paraId="2B89D41C">
            <w:pPr>
              <w:snapToGrid w:val="0"/>
              <w:spacing w:line="400" w:lineRule="exact"/>
              <w:jc w:val="center"/>
              <w:rPr>
                <w:rFonts w:hint="eastAsia" w:ascii="宋体" w:hAnsi="宋体" w:eastAsia="宋体" w:cs="宋体"/>
                <w:color w:val="auto"/>
                <w:szCs w:val="21"/>
              </w:rPr>
            </w:pPr>
          </w:p>
        </w:tc>
        <w:tc>
          <w:tcPr>
            <w:tcW w:w="1560" w:type="dxa"/>
            <w:vAlign w:val="center"/>
          </w:tcPr>
          <w:p w14:paraId="2B89D41D">
            <w:pPr>
              <w:snapToGrid w:val="0"/>
              <w:spacing w:line="400" w:lineRule="exact"/>
              <w:rPr>
                <w:rFonts w:hint="eastAsia" w:ascii="宋体" w:hAnsi="宋体" w:eastAsia="宋体" w:cs="宋体"/>
                <w:color w:val="auto"/>
                <w:szCs w:val="21"/>
              </w:rPr>
            </w:pPr>
          </w:p>
        </w:tc>
        <w:tc>
          <w:tcPr>
            <w:tcW w:w="2018" w:type="dxa"/>
            <w:vAlign w:val="center"/>
          </w:tcPr>
          <w:p w14:paraId="2B89D41E">
            <w:pPr>
              <w:snapToGrid w:val="0"/>
              <w:spacing w:line="400" w:lineRule="exact"/>
              <w:rPr>
                <w:rFonts w:hint="eastAsia" w:ascii="宋体" w:hAnsi="宋体" w:eastAsia="宋体" w:cs="宋体"/>
                <w:color w:val="auto"/>
                <w:szCs w:val="21"/>
              </w:rPr>
            </w:pPr>
          </w:p>
        </w:tc>
      </w:tr>
      <w:tr w14:paraId="2B89D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20">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4</w:t>
            </w:r>
          </w:p>
        </w:tc>
        <w:tc>
          <w:tcPr>
            <w:tcW w:w="3751" w:type="dxa"/>
            <w:vAlign w:val="center"/>
          </w:tcPr>
          <w:p w14:paraId="2B89D421">
            <w:pPr>
              <w:pStyle w:val="8"/>
              <w:kinsoku w:val="0"/>
              <w:overflowPunct w:val="0"/>
              <w:autoSpaceDE w:val="0"/>
              <w:autoSpaceDN w:val="0"/>
              <w:spacing w:line="320" w:lineRule="exact"/>
              <w:rPr>
                <w:rFonts w:hint="eastAsia" w:ascii="宋体" w:hAnsi="宋体" w:eastAsia="宋体" w:cs="宋体"/>
                <w:color w:val="auto"/>
                <w:kern w:val="0"/>
                <w:sz w:val="21"/>
                <w:szCs w:val="21"/>
              </w:rPr>
            </w:pPr>
            <w:r>
              <w:rPr>
                <w:rFonts w:hint="eastAsia" w:ascii="宋体" w:hAnsi="宋体" w:eastAsia="宋体" w:cs="宋体"/>
                <w:bCs/>
                <w:color w:val="auto"/>
                <w:sz w:val="21"/>
                <w:szCs w:val="21"/>
                <w:lang w:val="zh-CN"/>
              </w:rPr>
              <w:t>法定代表人（单位负责人）资格证明书</w:t>
            </w:r>
          </w:p>
        </w:tc>
        <w:tc>
          <w:tcPr>
            <w:tcW w:w="1559" w:type="dxa"/>
            <w:vAlign w:val="center"/>
          </w:tcPr>
          <w:p w14:paraId="2B89D422">
            <w:pPr>
              <w:snapToGrid w:val="0"/>
              <w:spacing w:line="400" w:lineRule="exact"/>
              <w:jc w:val="center"/>
              <w:rPr>
                <w:rFonts w:hint="eastAsia" w:ascii="宋体" w:hAnsi="宋体" w:eastAsia="宋体" w:cs="宋体"/>
                <w:color w:val="auto"/>
                <w:szCs w:val="21"/>
              </w:rPr>
            </w:pPr>
          </w:p>
        </w:tc>
        <w:tc>
          <w:tcPr>
            <w:tcW w:w="1560" w:type="dxa"/>
            <w:vAlign w:val="center"/>
          </w:tcPr>
          <w:p w14:paraId="2B89D423">
            <w:pPr>
              <w:snapToGrid w:val="0"/>
              <w:spacing w:line="400" w:lineRule="exact"/>
              <w:rPr>
                <w:rFonts w:hint="eastAsia" w:ascii="宋体" w:hAnsi="宋体" w:eastAsia="宋体" w:cs="宋体"/>
                <w:color w:val="auto"/>
                <w:szCs w:val="21"/>
              </w:rPr>
            </w:pPr>
          </w:p>
        </w:tc>
        <w:tc>
          <w:tcPr>
            <w:tcW w:w="2018" w:type="dxa"/>
            <w:vAlign w:val="center"/>
          </w:tcPr>
          <w:p w14:paraId="2B89D424">
            <w:pPr>
              <w:snapToGrid w:val="0"/>
              <w:spacing w:line="400" w:lineRule="exact"/>
              <w:rPr>
                <w:rFonts w:hint="eastAsia" w:ascii="宋体" w:hAnsi="宋体" w:eastAsia="宋体" w:cs="宋体"/>
                <w:color w:val="auto"/>
                <w:szCs w:val="21"/>
              </w:rPr>
            </w:pPr>
          </w:p>
        </w:tc>
      </w:tr>
      <w:tr w14:paraId="2B89D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26">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5</w:t>
            </w:r>
          </w:p>
        </w:tc>
        <w:tc>
          <w:tcPr>
            <w:tcW w:w="3751" w:type="dxa"/>
            <w:vAlign w:val="center"/>
          </w:tcPr>
          <w:p w14:paraId="2B89D427">
            <w:pPr>
              <w:pStyle w:val="8"/>
              <w:kinsoku w:val="0"/>
              <w:overflowPunct w:val="0"/>
              <w:autoSpaceDE w:val="0"/>
              <w:autoSpaceDN w:val="0"/>
              <w:spacing w:line="320" w:lineRule="exac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法定代表人（单位负责人）授权书</w:t>
            </w:r>
          </w:p>
        </w:tc>
        <w:tc>
          <w:tcPr>
            <w:tcW w:w="1559" w:type="dxa"/>
            <w:vAlign w:val="center"/>
          </w:tcPr>
          <w:p w14:paraId="2B89D428">
            <w:pPr>
              <w:snapToGrid w:val="0"/>
              <w:spacing w:line="400" w:lineRule="exact"/>
              <w:jc w:val="center"/>
              <w:rPr>
                <w:rFonts w:hint="eastAsia" w:ascii="宋体" w:hAnsi="宋体" w:eastAsia="宋体" w:cs="宋体"/>
                <w:color w:val="auto"/>
                <w:szCs w:val="21"/>
              </w:rPr>
            </w:pPr>
          </w:p>
        </w:tc>
        <w:tc>
          <w:tcPr>
            <w:tcW w:w="1560" w:type="dxa"/>
            <w:vAlign w:val="center"/>
          </w:tcPr>
          <w:p w14:paraId="2B89D429">
            <w:pPr>
              <w:snapToGrid w:val="0"/>
              <w:spacing w:line="400" w:lineRule="exact"/>
              <w:rPr>
                <w:rFonts w:hint="eastAsia" w:ascii="宋体" w:hAnsi="宋体" w:eastAsia="宋体" w:cs="宋体"/>
                <w:color w:val="auto"/>
                <w:szCs w:val="21"/>
              </w:rPr>
            </w:pPr>
          </w:p>
        </w:tc>
        <w:tc>
          <w:tcPr>
            <w:tcW w:w="2018" w:type="dxa"/>
            <w:vAlign w:val="center"/>
          </w:tcPr>
          <w:p w14:paraId="2B89D42A">
            <w:pPr>
              <w:snapToGrid w:val="0"/>
              <w:spacing w:line="400" w:lineRule="exact"/>
              <w:rPr>
                <w:rFonts w:hint="eastAsia" w:ascii="宋体" w:hAnsi="宋体" w:eastAsia="宋体" w:cs="宋体"/>
                <w:color w:val="auto"/>
                <w:szCs w:val="21"/>
              </w:rPr>
            </w:pPr>
          </w:p>
        </w:tc>
      </w:tr>
      <w:tr w14:paraId="2B89D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2C">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6</w:t>
            </w:r>
          </w:p>
        </w:tc>
        <w:tc>
          <w:tcPr>
            <w:tcW w:w="3751" w:type="dxa"/>
            <w:vAlign w:val="center"/>
          </w:tcPr>
          <w:p w14:paraId="2B89D42D">
            <w:pPr>
              <w:pStyle w:val="8"/>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sz w:val="21"/>
                <w:szCs w:val="21"/>
                <w:lang w:val="zh-CN"/>
              </w:rPr>
              <w:t>投标承诺函</w:t>
            </w:r>
          </w:p>
        </w:tc>
        <w:tc>
          <w:tcPr>
            <w:tcW w:w="1559" w:type="dxa"/>
            <w:vAlign w:val="center"/>
          </w:tcPr>
          <w:p w14:paraId="2B89D42E">
            <w:pPr>
              <w:snapToGrid w:val="0"/>
              <w:spacing w:line="400" w:lineRule="exact"/>
              <w:jc w:val="center"/>
              <w:rPr>
                <w:rFonts w:hint="eastAsia" w:ascii="宋体" w:hAnsi="宋体" w:eastAsia="宋体" w:cs="宋体"/>
                <w:color w:val="auto"/>
                <w:szCs w:val="21"/>
              </w:rPr>
            </w:pPr>
          </w:p>
        </w:tc>
        <w:tc>
          <w:tcPr>
            <w:tcW w:w="1560" w:type="dxa"/>
            <w:vAlign w:val="center"/>
          </w:tcPr>
          <w:p w14:paraId="2B89D42F">
            <w:pPr>
              <w:snapToGrid w:val="0"/>
              <w:spacing w:line="400" w:lineRule="exact"/>
              <w:rPr>
                <w:rFonts w:hint="eastAsia" w:ascii="宋体" w:hAnsi="宋体" w:eastAsia="宋体" w:cs="宋体"/>
                <w:color w:val="auto"/>
                <w:szCs w:val="21"/>
              </w:rPr>
            </w:pPr>
          </w:p>
        </w:tc>
        <w:tc>
          <w:tcPr>
            <w:tcW w:w="2018" w:type="dxa"/>
            <w:vAlign w:val="center"/>
          </w:tcPr>
          <w:p w14:paraId="2B89D430">
            <w:pPr>
              <w:snapToGrid w:val="0"/>
              <w:spacing w:line="400" w:lineRule="exact"/>
              <w:rPr>
                <w:rFonts w:hint="eastAsia" w:ascii="宋体" w:hAnsi="宋体" w:eastAsia="宋体" w:cs="宋体"/>
                <w:color w:val="auto"/>
                <w:szCs w:val="21"/>
              </w:rPr>
            </w:pPr>
          </w:p>
        </w:tc>
      </w:tr>
      <w:tr w14:paraId="2B89D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32">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7</w:t>
            </w:r>
          </w:p>
        </w:tc>
        <w:tc>
          <w:tcPr>
            <w:tcW w:w="3751" w:type="dxa"/>
            <w:vAlign w:val="center"/>
          </w:tcPr>
          <w:p w14:paraId="2B89D433">
            <w:pPr>
              <w:pStyle w:val="8"/>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rPr>
              <w:t>禹州市政府采购供应商信用承诺函</w:t>
            </w:r>
          </w:p>
        </w:tc>
        <w:tc>
          <w:tcPr>
            <w:tcW w:w="1559" w:type="dxa"/>
            <w:vAlign w:val="center"/>
          </w:tcPr>
          <w:p w14:paraId="2B89D434">
            <w:pPr>
              <w:jc w:val="center"/>
              <w:rPr>
                <w:rFonts w:hint="eastAsia" w:ascii="宋体" w:hAnsi="宋体" w:eastAsia="宋体" w:cs="宋体"/>
                <w:color w:val="auto"/>
                <w:szCs w:val="21"/>
              </w:rPr>
            </w:pPr>
          </w:p>
        </w:tc>
        <w:tc>
          <w:tcPr>
            <w:tcW w:w="1560" w:type="dxa"/>
            <w:vAlign w:val="center"/>
          </w:tcPr>
          <w:p w14:paraId="2B89D435">
            <w:pPr>
              <w:snapToGrid w:val="0"/>
              <w:spacing w:line="400" w:lineRule="exact"/>
              <w:rPr>
                <w:rFonts w:hint="eastAsia" w:ascii="宋体" w:hAnsi="宋体" w:eastAsia="宋体" w:cs="宋体"/>
                <w:color w:val="auto"/>
                <w:szCs w:val="21"/>
              </w:rPr>
            </w:pPr>
          </w:p>
        </w:tc>
        <w:tc>
          <w:tcPr>
            <w:tcW w:w="2018" w:type="dxa"/>
            <w:vAlign w:val="center"/>
          </w:tcPr>
          <w:p w14:paraId="2B89D436">
            <w:pPr>
              <w:snapToGrid w:val="0"/>
              <w:spacing w:line="400" w:lineRule="exact"/>
              <w:rPr>
                <w:rFonts w:hint="eastAsia" w:ascii="宋体" w:hAnsi="宋体" w:eastAsia="宋体" w:cs="宋体"/>
                <w:color w:val="auto"/>
                <w:szCs w:val="21"/>
              </w:rPr>
            </w:pPr>
          </w:p>
        </w:tc>
      </w:tr>
      <w:tr w14:paraId="2B89D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38">
            <w:pPr>
              <w:adjustRightInd w:val="0"/>
              <w:snapToGrid w:val="0"/>
              <w:spacing w:line="400" w:lineRule="exact"/>
              <w:jc w:val="center"/>
              <w:textAlignment w:val="baseline"/>
              <w:rPr>
                <w:rFonts w:hint="eastAsia" w:ascii="宋体" w:hAnsi="宋体" w:eastAsia="宋体" w:cs="宋体"/>
                <w:bCs/>
                <w:color w:val="auto"/>
                <w:szCs w:val="21"/>
                <w:lang w:val="zh-CN"/>
              </w:rPr>
            </w:pPr>
            <w:r>
              <w:rPr>
                <w:rFonts w:hint="eastAsia" w:ascii="宋体" w:hAnsi="宋体" w:eastAsia="宋体" w:cs="宋体"/>
                <w:bCs/>
                <w:color w:val="auto"/>
                <w:szCs w:val="21"/>
                <w:lang w:val="zh-CN"/>
              </w:rPr>
              <w:t>8</w:t>
            </w:r>
          </w:p>
        </w:tc>
        <w:tc>
          <w:tcPr>
            <w:tcW w:w="3751" w:type="dxa"/>
            <w:vAlign w:val="center"/>
          </w:tcPr>
          <w:p w14:paraId="2B89D439">
            <w:pPr>
              <w:pStyle w:val="8"/>
              <w:kinsoku w:val="0"/>
              <w:overflowPunct w:val="0"/>
              <w:autoSpaceDE w:val="0"/>
              <w:autoSpaceDN w:val="0"/>
              <w:spacing w:line="320" w:lineRule="exact"/>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联合体协议</w:t>
            </w:r>
          </w:p>
        </w:tc>
        <w:tc>
          <w:tcPr>
            <w:tcW w:w="1559" w:type="dxa"/>
            <w:vAlign w:val="center"/>
          </w:tcPr>
          <w:p w14:paraId="2B89D43A">
            <w:pPr>
              <w:jc w:val="center"/>
              <w:rPr>
                <w:rFonts w:hint="eastAsia" w:ascii="宋体" w:hAnsi="宋体" w:eastAsia="宋体" w:cs="宋体"/>
                <w:color w:val="auto"/>
                <w:szCs w:val="21"/>
              </w:rPr>
            </w:pPr>
          </w:p>
        </w:tc>
        <w:tc>
          <w:tcPr>
            <w:tcW w:w="1560" w:type="dxa"/>
            <w:vAlign w:val="center"/>
          </w:tcPr>
          <w:p w14:paraId="2B89D43B">
            <w:pPr>
              <w:snapToGrid w:val="0"/>
              <w:spacing w:line="400" w:lineRule="exact"/>
              <w:rPr>
                <w:rFonts w:hint="eastAsia" w:ascii="宋体" w:hAnsi="宋体" w:eastAsia="宋体" w:cs="宋体"/>
                <w:color w:val="auto"/>
                <w:szCs w:val="21"/>
              </w:rPr>
            </w:pPr>
          </w:p>
        </w:tc>
        <w:tc>
          <w:tcPr>
            <w:tcW w:w="2018" w:type="dxa"/>
            <w:vAlign w:val="center"/>
          </w:tcPr>
          <w:p w14:paraId="2B89D43C">
            <w:pPr>
              <w:snapToGrid w:val="0"/>
              <w:spacing w:line="400" w:lineRule="exact"/>
              <w:rPr>
                <w:rFonts w:hint="eastAsia" w:ascii="宋体" w:hAnsi="宋体" w:eastAsia="宋体" w:cs="宋体"/>
                <w:color w:val="auto"/>
                <w:szCs w:val="21"/>
              </w:rPr>
            </w:pPr>
          </w:p>
        </w:tc>
      </w:tr>
      <w:tr w14:paraId="2B89D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3E">
            <w:pPr>
              <w:adjustRightInd w:val="0"/>
              <w:snapToGrid w:val="0"/>
              <w:spacing w:line="400" w:lineRule="exact"/>
              <w:jc w:val="center"/>
              <w:textAlignment w:val="baseline"/>
              <w:rPr>
                <w:rFonts w:hint="eastAsia" w:ascii="宋体" w:hAnsi="宋体" w:eastAsia="宋体" w:cs="宋体"/>
                <w:bCs/>
                <w:color w:val="auto"/>
                <w:szCs w:val="21"/>
                <w:lang w:val="zh-CN"/>
              </w:rPr>
            </w:pPr>
            <w:r>
              <w:rPr>
                <w:rFonts w:hint="eastAsia" w:ascii="宋体" w:hAnsi="宋体" w:eastAsia="宋体" w:cs="宋体"/>
                <w:bCs/>
                <w:color w:val="auto"/>
                <w:szCs w:val="21"/>
                <w:lang w:val="zh-CN"/>
              </w:rPr>
              <w:t>9</w:t>
            </w:r>
          </w:p>
        </w:tc>
        <w:tc>
          <w:tcPr>
            <w:tcW w:w="3751" w:type="dxa"/>
            <w:vAlign w:val="center"/>
          </w:tcPr>
          <w:p w14:paraId="2B89D43F">
            <w:pPr>
              <w:pStyle w:val="8"/>
              <w:kinsoku w:val="0"/>
              <w:overflowPunct w:val="0"/>
              <w:autoSpaceDE w:val="0"/>
              <w:autoSpaceDN w:val="0"/>
              <w:spacing w:line="320" w:lineRule="exact"/>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投标人与参加本项目投标的其他供应商之间，单位负责人不为同一人并且不存在直接控股、管理关系承诺函</w:t>
            </w:r>
          </w:p>
        </w:tc>
        <w:tc>
          <w:tcPr>
            <w:tcW w:w="1559" w:type="dxa"/>
            <w:vAlign w:val="center"/>
          </w:tcPr>
          <w:p w14:paraId="2B89D440">
            <w:pPr>
              <w:jc w:val="center"/>
              <w:rPr>
                <w:rFonts w:hint="eastAsia" w:ascii="宋体" w:hAnsi="宋体" w:eastAsia="宋体" w:cs="宋体"/>
                <w:color w:val="auto"/>
                <w:szCs w:val="21"/>
              </w:rPr>
            </w:pPr>
          </w:p>
        </w:tc>
        <w:tc>
          <w:tcPr>
            <w:tcW w:w="1560" w:type="dxa"/>
            <w:vAlign w:val="center"/>
          </w:tcPr>
          <w:p w14:paraId="2B89D441">
            <w:pPr>
              <w:snapToGrid w:val="0"/>
              <w:spacing w:line="400" w:lineRule="exact"/>
              <w:rPr>
                <w:rFonts w:hint="eastAsia" w:ascii="宋体" w:hAnsi="宋体" w:eastAsia="宋体" w:cs="宋体"/>
                <w:color w:val="auto"/>
                <w:szCs w:val="21"/>
              </w:rPr>
            </w:pPr>
          </w:p>
        </w:tc>
        <w:tc>
          <w:tcPr>
            <w:tcW w:w="2018" w:type="dxa"/>
            <w:vAlign w:val="center"/>
          </w:tcPr>
          <w:p w14:paraId="2B89D442">
            <w:pPr>
              <w:snapToGrid w:val="0"/>
              <w:spacing w:line="400" w:lineRule="exact"/>
              <w:rPr>
                <w:rFonts w:hint="eastAsia" w:ascii="宋体" w:hAnsi="宋体" w:eastAsia="宋体" w:cs="宋体"/>
                <w:color w:val="auto"/>
                <w:szCs w:val="21"/>
              </w:rPr>
            </w:pPr>
          </w:p>
        </w:tc>
      </w:tr>
      <w:tr w14:paraId="2B89D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44">
            <w:pPr>
              <w:adjustRightInd w:val="0"/>
              <w:snapToGrid w:val="0"/>
              <w:spacing w:line="400" w:lineRule="exact"/>
              <w:jc w:val="center"/>
              <w:textAlignment w:val="baseline"/>
              <w:rPr>
                <w:rFonts w:hint="eastAsia" w:ascii="宋体" w:hAnsi="宋体" w:eastAsia="宋体" w:cs="宋体"/>
                <w:bCs/>
                <w:color w:val="auto"/>
                <w:szCs w:val="21"/>
                <w:lang w:val="zh-CN"/>
              </w:rPr>
            </w:pPr>
            <w:r>
              <w:rPr>
                <w:rFonts w:hint="eastAsia" w:ascii="宋体" w:hAnsi="宋体" w:eastAsia="宋体" w:cs="宋体"/>
                <w:bCs/>
                <w:color w:val="auto"/>
                <w:szCs w:val="21"/>
                <w:lang w:val="zh-CN"/>
              </w:rPr>
              <w:t>10</w:t>
            </w:r>
          </w:p>
        </w:tc>
        <w:tc>
          <w:tcPr>
            <w:tcW w:w="3751" w:type="dxa"/>
            <w:vAlign w:val="center"/>
          </w:tcPr>
          <w:p w14:paraId="2B89D445">
            <w:pPr>
              <w:pStyle w:val="8"/>
              <w:kinsoku w:val="0"/>
              <w:overflowPunct w:val="0"/>
              <w:autoSpaceDE w:val="0"/>
              <w:autoSpaceDN w:val="0"/>
              <w:spacing w:line="320" w:lineRule="exact"/>
              <w:rPr>
                <w:rFonts w:hint="eastAsia" w:ascii="宋体" w:hAnsi="宋体" w:eastAsia="宋体" w:cs="宋体"/>
                <w:bCs/>
                <w:color w:val="auto"/>
                <w:sz w:val="21"/>
                <w:szCs w:val="21"/>
                <w:lang w:val="zh-CN"/>
              </w:rPr>
            </w:pPr>
            <w:r>
              <w:rPr>
                <w:rFonts w:hint="eastAsia" w:ascii="宋体" w:hAnsi="宋体" w:eastAsia="宋体" w:cs="宋体"/>
                <w:color w:val="auto"/>
                <w:sz w:val="21"/>
                <w:szCs w:val="21"/>
                <w:lang w:val="zh-CN"/>
              </w:rPr>
              <w:t>投标人未为本项目提供整体设计、规范编制或者项目管理、监理、检测等服务承诺函</w:t>
            </w:r>
          </w:p>
        </w:tc>
        <w:tc>
          <w:tcPr>
            <w:tcW w:w="1559" w:type="dxa"/>
            <w:vAlign w:val="center"/>
          </w:tcPr>
          <w:p w14:paraId="2B89D446">
            <w:pPr>
              <w:jc w:val="center"/>
              <w:rPr>
                <w:rFonts w:hint="eastAsia" w:ascii="宋体" w:hAnsi="宋体" w:eastAsia="宋体" w:cs="宋体"/>
                <w:color w:val="auto"/>
                <w:szCs w:val="21"/>
              </w:rPr>
            </w:pPr>
          </w:p>
        </w:tc>
        <w:tc>
          <w:tcPr>
            <w:tcW w:w="1560" w:type="dxa"/>
            <w:vAlign w:val="center"/>
          </w:tcPr>
          <w:p w14:paraId="2B89D447">
            <w:pPr>
              <w:snapToGrid w:val="0"/>
              <w:spacing w:line="400" w:lineRule="exact"/>
              <w:rPr>
                <w:rFonts w:hint="eastAsia" w:ascii="宋体" w:hAnsi="宋体" w:eastAsia="宋体" w:cs="宋体"/>
                <w:color w:val="auto"/>
                <w:szCs w:val="21"/>
              </w:rPr>
            </w:pPr>
          </w:p>
        </w:tc>
        <w:tc>
          <w:tcPr>
            <w:tcW w:w="2018" w:type="dxa"/>
            <w:vAlign w:val="center"/>
          </w:tcPr>
          <w:p w14:paraId="2B89D448">
            <w:pPr>
              <w:snapToGrid w:val="0"/>
              <w:spacing w:line="400" w:lineRule="exact"/>
              <w:rPr>
                <w:rFonts w:hint="eastAsia" w:ascii="宋体" w:hAnsi="宋体" w:eastAsia="宋体" w:cs="宋体"/>
                <w:color w:val="auto"/>
                <w:szCs w:val="21"/>
              </w:rPr>
            </w:pPr>
          </w:p>
        </w:tc>
      </w:tr>
      <w:tr w14:paraId="2B89D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4A">
            <w:pPr>
              <w:adjustRightInd w:val="0"/>
              <w:snapToGrid w:val="0"/>
              <w:spacing w:line="400" w:lineRule="exact"/>
              <w:jc w:val="center"/>
              <w:textAlignment w:val="baseline"/>
              <w:rPr>
                <w:rFonts w:hint="eastAsia" w:ascii="宋体" w:hAnsi="宋体" w:eastAsia="宋体" w:cs="宋体"/>
                <w:color w:val="auto"/>
                <w:szCs w:val="21"/>
                <w:lang w:val="zh-CN"/>
              </w:rPr>
            </w:pPr>
            <w:r>
              <w:rPr>
                <w:rFonts w:hint="eastAsia" w:ascii="宋体" w:hAnsi="宋体" w:eastAsia="宋体" w:cs="宋体"/>
                <w:color w:val="auto"/>
                <w:szCs w:val="21"/>
              </w:rPr>
              <w:t>11</w:t>
            </w:r>
          </w:p>
        </w:tc>
        <w:tc>
          <w:tcPr>
            <w:tcW w:w="3751" w:type="dxa"/>
            <w:vAlign w:val="center"/>
          </w:tcPr>
          <w:p w14:paraId="2B89D44B">
            <w:pPr>
              <w:pStyle w:val="8"/>
              <w:kinsoku w:val="0"/>
              <w:overflowPunct w:val="0"/>
              <w:autoSpaceDE w:val="0"/>
              <w:autoSpaceDN w:val="0"/>
              <w:spacing w:line="320" w:lineRule="exac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分项报价表</w:t>
            </w:r>
          </w:p>
        </w:tc>
        <w:tc>
          <w:tcPr>
            <w:tcW w:w="1559" w:type="dxa"/>
            <w:vAlign w:val="center"/>
          </w:tcPr>
          <w:p w14:paraId="2B89D44C">
            <w:pPr>
              <w:jc w:val="center"/>
              <w:rPr>
                <w:rFonts w:hint="eastAsia" w:ascii="宋体" w:hAnsi="宋体" w:eastAsia="宋体" w:cs="宋体"/>
                <w:color w:val="auto"/>
                <w:szCs w:val="21"/>
              </w:rPr>
            </w:pPr>
          </w:p>
        </w:tc>
        <w:tc>
          <w:tcPr>
            <w:tcW w:w="1560" w:type="dxa"/>
            <w:vAlign w:val="center"/>
          </w:tcPr>
          <w:p w14:paraId="2B89D44D">
            <w:pPr>
              <w:snapToGrid w:val="0"/>
              <w:spacing w:line="400" w:lineRule="exact"/>
              <w:rPr>
                <w:rFonts w:hint="eastAsia" w:ascii="宋体" w:hAnsi="宋体" w:eastAsia="宋体" w:cs="宋体"/>
                <w:color w:val="auto"/>
                <w:szCs w:val="21"/>
              </w:rPr>
            </w:pPr>
          </w:p>
        </w:tc>
        <w:tc>
          <w:tcPr>
            <w:tcW w:w="2018" w:type="dxa"/>
            <w:vAlign w:val="center"/>
          </w:tcPr>
          <w:p w14:paraId="2B89D44E">
            <w:pPr>
              <w:snapToGrid w:val="0"/>
              <w:spacing w:line="400" w:lineRule="exact"/>
              <w:rPr>
                <w:rFonts w:hint="eastAsia" w:ascii="宋体" w:hAnsi="宋体" w:eastAsia="宋体" w:cs="宋体"/>
                <w:color w:val="auto"/>
                <w:szCs w:val="21"/>
              </w:rPr>
            </w:pPr>
          </w:p>
        </w:tc>
      </w:tr>
      <w:tr w14:paraId="2B89D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56">
            <w:pPr>
              <w:adjustRightInd w:val="0"/>
              <w:snapToGrid w:val="0"/>
              <w:spacing w:line="400" w:lineRule="exact"/>
              <w:jc w:val="center"/>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2</w:t>
            </w:r>
          </w:p>
        </w:tc>
        <w:tc>
          <w:tcPr>
            <w:tcW w:w="3751" w:type="dxa"/>
            <w:vAlign w:val="center"/>
          </w:tcPr>
          <w:p w14:paraId="2B89D457">
            <w:pPr>
              <w:pStyle w:val="8"/>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技术方案（实施方案）</w:t>
            </w:r>
          </w:p>
        </w:tc>
        <w:tc>
          <w:tcPr>
            <w:tcW w:w="1559" w:type="dxa"/>
            <w:vAlign w:val="center"/>
          </w:tcPr>
          <w:p w14:paraId="2B89D458">
            <w:pPr>
              <w:jc w:val="center"/>
              <w:rPr>
                <w:rFonts w:hint="eastAsia" w:ascii="宋体" w:hAnsi="宋体" w:eastAsia="宋体" w:cs="宋体"/>
                <w:color w:val="auto"/>
                <w:szCs w:val="21"/>
              </w:rPr>
            </w:pPr>
          </w:p>
        </w:tc>
        <w:tc>
          <w:tcPr>
            <w:tcW w:w="1560" w:type="dxa"/>
            <w:tcBorders>
              <w:top w:val="single" w:color="auto" w:sz="4" w:space="0"/>
            </w:tcBorders>
            <w:vAlign w:val="center"/>
          </w:tcPr>
          <w:p w14:paraId="2B89D459">
            <w:pPr>
              <w:snapToGrid w:val="0"/>
              <w:spacing w:line="400" w:lineRule="exact"/>
              <w:rPr>
                <w:rFonts w:hint="eastAsia" w:ascii="宋体" w:hAnsi="宋体" w:eastAsia="宋体" w:cs="宋体"/>
                <w:color w:val="auto"/>
                <w:szCs w:val="21"/>
              </w:rPr>
            </w:pPr>
          </w:p>
        </w:tc>
        <w:tc>
          <w:tcPr>
            <w:tcW w:w="2018" w:type="dxa"/>
            <w:tcBorders>
              <w:top w:val="single" w:color="auto" w:sz="4" w:space="0"/>
            </w:tcBorders>
            <w:vAlign w:val="center"/>
          </w:tcPr>
          <w:p w14:paraId="2B89D45A">
            <w:pPr>
              <w:snapToGrid w:val="0"/>
              <w:spacing w:line="400" w:lineRule="exact"/>
              <w:rPr>
                <w:rFonts w:hint="eastAsia" w:ascii="宋体" w:hAnsi="宋体" w:eastAsia="宋体" w:cs="宋体"/>
                <w:color w:val="auto"/>
                <w:szCs w:val="21"/>
              </w:rPr>
            </w:pPr>
          </w:p>
        </w:tc>
      </w:tr>
      <w:tr w14:paraId="2B89D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5C">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13</w:t>
            </w:r>
          </w:p>
        </w:tc>
        <w:tc>
          <w:tcPr>
            <w:tcW w:w="3751" w:type="dxa"/>
            <w:vAlign w:val="center"/>
          </w:tcPr>
          <w:p w14:paraId="2B89D45D">
            <w:pPr>
              <w:pStyle w:val="8"/>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服务承诺</w:t>
            </w:r>
          </w:p>
        </w:tc>
        <w:tc>
          <w:tcPr>
            <w:tcW w:w="1559" w:type="dxa"/>
            <w:vAlign w:val="center"/>
          </w:tcPr>
          <w:p w14:paraId="2B89D45E">
            <w:pPr>
              <w:jc w:val="center"/>
              <w:rPr>
                <w:rFonts w:hint="eastAsia" w:ascii="宋体" w:hAnsi="宋体" w:eastAsia="宋体" w:cs="宋体"/>
                <w:color w:val="auto"/>
                <w:szCs w:val="21"/>
              </w:rPr>
            </w:pPr>
          </w:p>
        </w:tc>
        <w:tc>
          <w:tcPr>
            <w:tcW w:w="1560" w:type="dxa"/>
            <w:vAlign w:val="center"/>
          </w:tcPr>
          <w:p w14:paraId="2B89D45F">
            <w:pPr>
              <w:snapToGrid w:val="0"/>
              <w:spacing w:line="400" w:lineRule="exact"/>
              <w:rPr>
                <w:rFonts w:hint="eastAsia" w:ascii="宋体" w:hAnsi="宋体" w:eastAsia="宋体" w:cs="宋体"/>
                <w:color w:val="auto"/>
                <w:szCs w:val="21"/>
              </w:rPr>
            </w:pPr>
          </w:p>
        </w:tc>
        <w:tc>
          <w:tcPr>
            <w:tcW w:w="2018" w:type="dxa"/>
            <w:vAlign w:val="center"/>
          </w:tcPr>
          <w:p w14:paraId="2B89D460">
            <w:pPr>
              <w:snapToGrid w:val="0"/>
              <w:spacing w:line="400" w:lineRule="exact"/>
              <w:rPr>
                <w:rFonts w:hint="eastAsia" w:ascii="宋体" w:hAnsi="宋体" w:eastAsia="宋体" w:cs="宋体"/>
                <w:color w:val="auto"/>
                <w:szCs w:val="21"/>
              </w:rPr>
            </w:pPr>
          </w:p>
        </w:tc>
      </w:tr>
      <w:tr w14:paraId="2B89D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62">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14</w:t>
            </w:r>
          </w:p>
        </w:tc>
        <w:tc>
          <w:tcPr>
            <w:tcW w:w="3751" w:type="dxa"/>
            <w:vAlign w:val="center"/>
          </w:tcPr>
          <w:p w14:paraId="2B89D463">
            <w:pPr>
              <w:pStyle w:val="8"/>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业绩情况表</w:t>
            </w:r>
          </w:p>
        </w:tc>
        <w:tc>
          <w:tcPr>
            <w:tcW w:w="1559" w:type="dxa"/>
            <w:vAlign w:val="center"/>
          </w:tcPr>
          <w:p w14:paraId="2B89D464">
            <w:pPr>
              <w:jc w:val="center"/>
              <w:rPr>
                <w:rFonts w:hint="eastAsia" w:ascii="宋体" w:hAnsi="宋体" w:eastAsia="宋体" w:cs="宋体"/>
                <w:color w:val="auto"/>
                <w:szCs w:val="21"/>
              </w:rPr>
            </w:pPr>
          </w:p>
        </w:tc>
        <w:tc>
          <w:tcPr>
            <w:tcW w:w="1560" w:type="dxa"/>
            <w:vAlign w:val="center"/>
          </w:tcPr>
          <w:p w14:paraId="2B89D465">
            <w:pPr>
              <w:snapToGrid w:val="0"/>
              <w:spacing w:line="400" w:lineRule="exact"/>
              <w:rPr>
                <w:rFonts w:hint="eastAsia" w:ascii="宋体" w:hAnsi="宋体" w:eastAsia="宋体" w:cs="宋体"/>
                <w:color w:val="auto"/>
                <w:szCs w:val="21"/>
              </w:rPr>
            </w:pPr>
          </w:p>
        </w:tc>
        <w:tc>
          <w:tcPr>
            <w:tcW w:w="2018" w:type="dxa"/>
            <w:vAlign w:val="center"/>
          </w:tcPr>
          <w:p w14:paraId="2B89D466">
            <w:pPr>
              <w:snapToGrid w:val="0"/>
              <w:spacing w:line="400" w:lineRule="exact"/>
              <w:rPr>
                <w:rFonts w:hint="eastAsia" w:ascii="宋体" w:hAnsi="宋体" w:eastAsia="宋体" w:cs="宋体"/>
                <w:color w:val="auto"/>
                <w:szCs w:val="21"/>
              </w:rPr>
            </w:pPr>
          </w:p>
        </w:tc>
      </w:tr>
      <w:tr w14:paraId="2B89D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68">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15</w:t>
            </w:r>
          </w:p>
        </w:tc>
        <w:tc>
          <w:tcPr>
            <w:tcW w:w="3751" w:type="dxa"/>
            <w:vAlign w:val="center"/>
          </w:tcPr>
          <w:p w14:paraId="2B89D469">
            <w:pPr>
              <w:pStyle w:val="8"/>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中小企业声明函</w:t>
            </w:r>
          </w:p>
        </w:tc>
        <w:tc>
          <w:tcPr>
            <w:tcW w:w="1559" w:type="dxa"/>
            <w:vAlign w:val="center"/>
          </w:tcPr>
          <w:p w14:paraId="2B89D46A">
            <w:pPr>
              <w:jc w:val="center"/>
              <w:rPr>
                <w:rFonts w:hint="eastAsia" w:ascii="宋体" w:hAnsi="宋体" w:eastAsia="宋体" w:cs="宋体"/>
                <w:color w:val="auto"/>
                <w:szCs w:val="21"/>
              </w:rPr>
            </w:pPr>
          </w:p>
        </w:tc>
        <w:tc>
          <w:tcPr>
            <w:tcW w:w="1560" w:type="dxa"/>
            <w:vAlign w:val="center"/>
          </w:tcPr>
          <w:p w14:paraId="2B89D46B">
            <w:pPr>
              <w:snapToGrid w:val="0"/>
              <w:spacing w:line="400" w:lineRule="exact"/>
              <w:rPr>
                <w:rFonts w:hint="eastAsia" w:ascii="宋体" w:hAnsi="宋体" w:eastAsia="宋体" w:cs="宋体"/>
                <w:color w:val="auto"/>
                <w:szCs w:val="21"/>
              </w:rPr>
            </w:pPr>
          </w:p>
        </w:tc>
        <w:tc>
          <w:tcPr>
            <w:tcW w:w="2018" w:type="dxa"/>
            <w:vAlign w:val="center"/>
          </w:tcPr>
          <w:p w14:paraId="2B89D46C">
            <w:pPr>
              <w:snapToGrid w:val="0"/>
              <w:spacing w:line="400" w:lineRule="exact"/>
              <w:rPr>
                <w:rFonts w:hint="eastAsia" w:ascii="宋体" w:hAnsi="宋体" w:eastAsia="宋体" w:cs="宋体"/>
                <w:color w:val="auto"/>
                <w:szCs w:val="21"/>
              </w:rPr>
            </w:pPr>
          </w:p>
        </w:tc>
      </w:tr>
      <w:tr w14:paraId="2B89D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6E">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16</w:t>
            </w:r>
          </w:p>
        </w:tc>
        <w:tc>
          <w:tcPr>
            <w:tcW w:w="3751" w:type="dxa"/>
            <w:vAlign w:val="center"/>
          </w:tcPr>
          <w:p w14:paraId="2B89D46F">
            <w:pPr>
              <w:pStyle w:val="8"/>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sz w:val="21"/>
                <w:szCs w:val="21"/>
                <w:lang w:val="zh-CN"/>
              </w:rPr>
              <w:t>残疾人福利性单位声明函</w:t>
            </w:r>
          </w:p>
        </w:tc>
        <w:tc>
          <w:tcPr>
            <w:tcW w:w="1559" w:type="dxa"/>
            <w:vAlign w:val="center"/>
          </w:tcPr>
          <w:p w14:paraId="2B89D470">
            <w:pPr>
              <w:jc w:val="center"/>
              <w:rPr>
                <w:rFonts w:hint="eastAsia" w:ascii="宋体" w:hAnsi="宋体" w:eastAsia="宋体" w:cs="宋体"/>
                <w:color w:val="auto"/>
                <w:szCs w:val="21"/>
              </w:rPr>
            </w:pPr>
          </w:p>
        </w:tc>
        <w:tc>
          <w:tcPr>
            <w:tcW w:w="1560" w:type="dxa"/>
            <w:vAlign w:val="center"/>
          </w:tcPr>
          <w:p w14:paraId="2B89D471">
            <w:pPr>
              <w:snapToGrid w:val="0"/>
              <w:spacing w:line="400" w:lineRule="exact"/>
              <w:rPr>
                <w:rFonts w:hint="eastAsia" w:ascii="宋体" w:hAnsi="宋体" w:eastAsia="宋体" w:cs="宋体"/>
                <w:color w:val="auto"/>
                <w:szCs w:val="21"/>
              </w:rPr>
            </w:pPr>
          </w:p>
        </w:tc>
        <w:tc>
          <w:tcPr>
            <w:tcW w:w="2018" w:type="dxa"/>
            <w:vAlign w:val="center"/>
          </w:tcPr>
          <w:p w14:paraId="2B89D472">
            <w:pPr>
              <w:snapToGrid w:val="0"/>
              <w:spacing w:line="400" w:lineRule="exact"/>
              <w:rPr>
                <w:rFonts w:hint="eastAsia" w:ascii="宋体" w:hAnsi="宋体" w:eastAsia="宋体" w:cs="宋体"/>
                <w:color w:val="auto"/>
                <w:szCs w:val="21"/>
              </w:rPr>
            </w:pPr>
          </w:p>
        </w:tc>
      </w:tr>
      <w:tr w14:paraId="2B89D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74">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17</w:t>
            </w:r>
          </w:p>
        </w:tc>
        <w:tc>
          <w:tcPr>
            <w:tcW w:w="3751" w:type="dxa"/>
            <w:vAlign w:val="center"/>
          </w:tcPr>
          <w:p w14:paraId="2B89D475">
            <w:pPr>
              <w:pStyle w:val="8"/>
              <w:kinsoku w:val="0"/>
              <w:overflowPunct w:val="0"/>
              <w:autoSpaceDE w:val="0"/>
              <w:autoSpaceDN w:val="0"/>
              <w:spacing w:line="320" w:lineRule="exac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监狱企业证明文件</w:t>
            </w:r>
          </w:p>
        </w:tc>
        <w:tc>
          <w:tcPr>
            <w:tcW w:w="1559" w:type="dxa"/>
            <w:vAlign w:val="center"/>
          </w:tcPr>
          <w:p w14:paraId="2B89D476">
            <w:pPr>
              <w:jc w:val="center"/>
              <w:rPr>
                <w:rFonts w:hint="eastAsia" w:ascii="宋体" w:hAnsi="宋体" w:eastAsia="宋体" w:cs="宋体"/>
                <w:color w:val="auto"/>
                <w:szCs w:val="21"/>
              </w:rPr>
            </w:pPr>
          </w:p>
        </w:tc>
        <w:tc>
          <w:tcPr>
            <w:tcW w:w="1560" w:type="dxa"/>
            <w:vAlign w:val="center"/>
          </w:tcPr>
          <w:p w14:paraId="2B89D477">
            <w:pPr>
              <w:snapToGrid w:val="0"/>
              <w:spacing w:line="400" w:lineRule="exact"/>
              <w:rPr>
                <w:rFonts w:hint="eastAsia" w:ascii="宋体" w:hAnsi="宋体" w:eastAsia="宋体" w:cs="宋体"/>
                <w:color w:val="auto"/>
                <w:szCs w:val="21"/>
              </w:rPr>
            </w:pPr>
          </w:p>
        </w:tc>
        <w:tc>
          <w:tcPr>
            <w:tcW w:w="2018" w:type="dxa"/>
            <w:vAlign w:val="center"/>
          </w:tcPr>
          <w:p w14:paraId="2B89D478">
            <w:pPr>
              <w:snapToGrid w:val="0"/>
              <w:spacing w:line="400" w:lineRule="exact"/>
              <w:rPr>
                <w:rFonts w:hint="eastAsia" w:ascii="宋体" w:hAnsi="宋体" w:eastAsia="宋体" w:cs="宋体"/>
                <w:color w:val="auto"/>
                <w:szCs w:val="21"/>
              </w:rPr>
            </w:pPr>
          </w:p>
        </w:tc>
      </w:tr>
      <w:tr w14:paraId="2B89D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7A">
            <w:pPr>
              <w:adjustRightInd w:val="0"/>
              <w:snapToGrid w:val="0"/>
              <w:spacing w:line="400" w:lineRule="exact"/>
              <w:jc w:val="center"/>
              <w:textAlignment w:val="baseline"/>
              <w:rPr>
                <w:rFonts w:hint="default" w:ascii="宋体" w:hAnsi="宋体" w:eastAsia="宋体" w:cs="宋体"/>
                <w:color w:val="auto"/>
                <w:szCs w:val="21"/>
                <w:lang w:val="en-US" w:eastAsia="zh-CN"/>
              </w:rPr>
            </w:pPr>
            <w:r>
              <w:rPr>
                <w:rFonts w:hint="eastAsia" w:ascii="宋体" w:hAnsi="宋体" w:eastAsia="宋体" w:cs="宋体"/>
                <w:color w:val="auto"/>
                <w:szCs w:val="21"/>
              </w:rPr>
              <w:t>18</w:t>
            </w:r>
          </w:p>
        </w:tc>
        <w:tc>
          <w:tcPr>
            <w:tcW w:w="3751" w:type="dxa"/>
            <w:vAlign w:val="center"/>
          </w:tcPr>
          <w:p w14:paraId="2B89D47B">
            <w:pPr>
              <w:pStyle w:val="8"/>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lang w:eastAsia="zh-CN"/>
              </w:rPr>
              <w:t>其他</w:t>
            </w:r>
            <w:r>
              <w:rPr>
                <w:rFonts w:hint="eastAsia" w:ascii="宋体" w:hAnsi="宋体" w:eastAsia="宋体" w:cs="宋体"/>
                <w:bCs/>
                <w:color w:val="auto"/>
                <w:kern w:val="0"/>
                <w:sz w:val="21"/>
                <w:szCs w:val="21"/>
              </w:rPr>
              <w:t>资料</w:t>
            </w:r>
          </w:p>
        </w:tc>
        <w:tc>
          <w:tcPr>
            <w:tcW w:w="1559" w:type="dxa"/>
            <w:vAlign w:val="center"/>
          </w:tcPr>
          <w:p w14:paraId="2B89D47C">
            <w:pPr>
              <w:jc w:val="center"/>
              <w:rPr>
                <w:rFonts w:hint="eastAsia" w:ascii="宋体" w:hAnsi="宋体" w:eastAsia="宋体" w:cs="宋体"/>
                <w:color w:val="auto"/>
                <w:szCs w:val="21"/>
              </w:rPr>
            </w:pPr>
          </w:p>
        </w:tc>
        <w:tc>
          <w:tcPr>
            <w:tcW w:w="1560" w:type="dxa"/>
            <w:vAlign w:val="center"/>
          </w:tcPr>
          <w:p w14:paraId="2B89D47D">
            <w:pPr>
              <w:snapToGrid w:val="0"/>
              <w:spacing w:line="400" w:lineRule="exact"/>
              <w:rPr>
                <w:rFonts w:hint="eastAsia" w:ascii="宋体" w:hAnsi="宋体" w:eastAsia="宋体" w:cs="宋体"/>
                <w:color w:val="auto"/>
                <w:szCs w:val="21"/>
              </w:rPr>
            </w:pPr>
          </w:p>
        </w:tc>
        <w:tc>
          <w:tcPr>
            <w:tcW w:w="2018" w:type="dxa"/>
            <w:vAlign w:val="center"/>
          </w:tcPr>
          <w:p w14:paraId="2B89D47E">
            <w:pPr>
              <w:snapToGrid w:val="0"/>
              <w:spacing w:line="400" w:lineRule="exact"/>
              <w:rPr>
                <w:rFonts w:hint="eastAsia" w:ascii="宋体" w:hAnsi="宋体" w:eastAsia="宋体" w:cs="宋体"/>
                <w:color w:val="auto"/>
                <w:szCs w:val="21"/>
              </w:rPr>
            </w:pPr>
          </w:p>
        </w:tc>
      </w:tr>
    </w:tbl>
    <w:p w14:paraId="23EFBBCF">
      <w:pPr>
        <w:pStyle w:val="8"/>
        <w:spacing w:line="360" w:lineRule="auto"/>
        <w:jc w:val="center"/>
        <w:rPr>
          <w:rFonts w:hint="eastAsia" w:ascii="宋体" w:hAnsi="宋体" w:eastAsia="宋体" w:cs="宋体"/>
          <w:b/>
          <w:snapToGrid w:val="0"/>
          <w:color w:val="auto"/>
          <w:kern w:val="0"/>
          <w:sz w:val="28"/>
          <w:szCs w:val="28"/>
        </w:rPr>
      </w:pPr>
    </w:p>
    <w:p w14:paraId="4D61147C">
      <w:pPr>
        <w:pStyle w:val="8"/>
        <w:spacing w:line="360" w:lineRule="auto"/>
        <w:jc w:val="center"/>
        <w:rPr>
          <w:rFonts w:hint="eastAsia" w:ascii="宋体" w:hAnsi="宋体" w:eastAsia="宋体" w:cs="宋体"/>
          <w:b/>
          <w:snapToGrid w:val="0"/>
          <w:color w:val="auto"/>
          <w:kern w:val="0"/>
          <w:sz w:val="28"/>
          <w:szCs w:val="28"/>
        </w:rPr>
      </w:pPr>
    </w:p>
    <w:p w14:paraId="2EAE4C30">
      <w:pPr>
        <w:pStyle w:val="8"/>
        <w:spacing w:line="360" w:lineRule="auto"/>
        <w:jc w:val="center"/>
        <w:rPr>
          <w:rFonts w:hint="eastAsia" w:ascii="宋体" w:hAnsi="宋体" w:eastAsia="宋体" w:cs="宋体"/>
          <w:b/>
          <w:snapToGrid w:val="0"/>
          <w:color w:val="auto"/>
          <w:kern w:val="0"/>
          <w:sz w:val="28"/>
          <w:szCs w:val="28"/>
        </w:rPr>
      </w:pPr>
    </w:p>
    <w:p w14:paraId="581BBC20">
      <w:pPr>
        <w:pStyle w:val="8"/>
        <w:spacing w:line="360" w:lineRule="auto"/>
        <w:jc w:val="center"/>
        <w:rPr>
          <w:rFonts w:hint="eastAsia" w:ascii="宋体" w:hAnsi="宋体" w:eastAsia="宋体" w:cs="宋体"/>
          <w:b/>
          <w:snapToGrid w:val="0"/>
          <w:color w:val="auto"/>
          <w:kern w:val="0"/>
          <w:sz w:val="28"/>
          <w:szCs w:val="28"/>
        </w:rPr>
      </w:pPr>
    </w:p>
    <w:p w14:paraId="2B89D483">
      <w:pPr>
        <w:pStyle w:val="8"/>
        <w:spacing w:line="360" w:lineRule="auto"/>
        <w:jc w:val="center"/>
        <w:rPr>
          <w:rFonts w:hint="eastAsia" w:ascii="宋体" w:hAnsi="宋体" w:eastAsia="宋体" w:cs="宋体"/>
          <w:b/>
          <w:snapToGrid w:val="0"/>
          <w:color w:val="auto"/>
          <w:kern w:val="0"/>
          <w:sz w:val="28"/>
          <w:szCs w:val="28"/>
        </w:rPr>
      </w:pPr>
      <w:r>
        <w:rPr>
          <w:rFonts w:hint="eastAsia" w:ascii="宋体" w:hAnsi="宋体" w:eastAsia="宋体" w:cs="宋体"/>
          <w:b/>
          <w:snapToGrid w:val="0"/>
          <w:color w:val="auto"/>
          <w:kern w:val="0"/>
          <w:sz w:val="28"/>
          <w:szCs w:val="28"/>
        </w:rPr>
        <w:t>二、开标一览表</w:t>
      </w:r>
    </w:p>
    <w:p w14:paraId="2B89D484">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采购编号</w:t>
      </w:r>
      <w:r>
        <w:rPr>
          <w:rFonts w:hint="eastAsia" w:ascii="宋体" w:hAnsi="宋体" w:eastAsia="宋体" w:cs="宋体"/>
          <w:color w:val="auto"/>
          <w:sz w:val="21"/>
          <w:szCs w:val="21"/>
        </w:rPr>
        <w:t>：</w:t>
      </w:r>
    </w:p>
    <w:p w14:paraId="2B89D485">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项目名称：                                             单位：元</w:t>
      </w:r>
    </w:p>
    <w:tbl>
      <w:tblPr>
        <w:tblStyle w:val="17"/>
        <w:tblW w:w="9356" w:type="dxa"/>
        <w:tblInd w:w="-292" w:type="dxa"/>
        <w:tblLayout w:type="fixed"/>
        <w:tblCellMar>
          <w:top w:w="0" w:type="dxa"/>
          <w:left w:w="108" w:type="dxa"/>
          <w:bottom w:w="0" w:type="dxa"/>
          <w:right w:w="108" w:type="dxa"/>
        </w:tblCellMar>
      </w:tblPr>
      <w:tblGrid>
        <w:gridCol w:w="851"/>
        <w:gridCol w:w="2268"/>
        <w:gridCol w:w="2694"/>
        <w:gridCol w:w="1984"/>
        <w:gridCol w:w="1559"/>
      </w:tblGrid>
      <w:tr w14:paraId="2B89D48B">
        <w:tblPrEx>
          <w:tblCellMar>
            <w:top w:w="0" w:type="dxa"/>
            <w:left w:w="108" w:type="dxa"/>
            <w:bottom w:w="0" w:type="dxa"/>
            <w:right w:w="108" w:type="dxa"/>
          </w:tblCellMar>
        </w:tblPrEx>
        <w:trPr>
          <w:trHeight w:val="851" w:hRule="atLeast"/>
        </w:trPr>
        <w:tc>
          <w:tcPr>
            <w:tcW w:w="851" w:type="dxa"/>
            <w:tcBorders>
              <w:top w:val="single" w:color="auto" w:sz="6" w:space="0"/>
              <w:left w:val="single" w:color="auto" w:sz="6" w:space="0"/>
              <w:bottom w:val="single" w:color="auto" w:sz="6" w:space="0"/>
              <w:right w:val="single" w:color="auto" w:sz="6" w:space="0"/>
            </w:tcBorders>
            <w:vAlign w:val="center"/>
          </w:tcPr>
          <w:p w14:paraId="2B89D486">
            <w:pPr>
              <w:autoSpaceDE w:val="0"/>
              <w:autoSpaceDN w:val="0"/>
              <w:adjustRightInd w:val="0"/>
              <w:spacing w:line="360" w:lineRule="auto"/>
              <w:jc w:val="center"/>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val="en-US" w:eastAsia="zh-CN"/>
              </w:rPr>
              <w:t>标段</w:t>
            </w:r>
          </w:p>
        </w:tc>
        <w:tc>
          <w:tcPr>
            <w:tcW w:w="2268" w:type="dxa"/>
            <w:tcBorders>
              <w:top w:val="single" w:color="auto" w:sz="6" w:space="0"/>
              <w:left w:val="single" w:color="auto" w:sz="6" w:space="0"/>
              <w:bottom w:val="single" w:color="auto" w:sz="6" w:space="0"/>
              <w:right w:val="single" w:color="auto" w:sz="6" w:space="0"/>
            </w:tcBorders>
            <w:vAlign w:val="center"/>
          </w:tcPr>
          <w:p w14:paraId="2B89D487">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项目名称</w:t>
            </w:r>
          </w:p>
        </w:tc>
        <w:tc>
          <w:tcPr>
            <w:tcW w:w="2694" w:type="dxa"/>
            <w:tcBorders>
              <w:top w:val="single" w:color="auto" w:sz="6" w:space="0"/>
              <w:left w:val="single" w:color="auto" w:sz="6" w:space="0"/>
              <w:bottom w:val="single" w:color="auto" w:sz="6" w:space="0"/>
              <w:right w:val="single" w:color="auto" w:sz="6" w:space="0"/>
            </w:tcBorders>
            <w:vAlign w:val="center"/>
          </w:tcPr>
          <w:p w14:paraId="2B89D488">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投标报价</w:t>
            </w:r>
          </w:p>
        </w:tc>
        <w:tc>
          <w:tcPr>
            <w:tcW w:w="1984" w:type="dxa"/>
            <w:tcBorders>
              <w:top w:val="single" w:color="auto" w:sz="6" w:space="0"/>
              <w:left w:val="single" w:color="auto" w:sz="4" w:space="0"/>
              <w:bottom w:val="single" w:color="auto" w:sz="6" w:space="0"/>
              <w:right w:val="single" w:color="auto" w:sz="4" w:space="0"/>
            </w:tcBorders>
            <w:vAlign w:val="center"/>
          </w:tcPr>
          <w:p w14:paraId="2B89D489">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合同履行期限</w:t>
            </w:r>
          </w:p>
        </w:tc>
        <w:tc>
          <w:tcPr>
            <w:tcW w:w="1559" w:type="dxa"/>
            <w:tcBorders>
              <w:top w:val="single" w:color="auto" w:sz="6" w:space="0"/>
              <w:left w:val="single" w:color="auto" w:sz="6" w:space="0"/>
              <w:bottom w:val="single" w:color="auto" w:sz="6" w:space="0"/>
              <w:right w:val="single" w:color="auto" w:sz="6" w:space="0"/>
            </w:tcBorders>
            <w:vAlign w:val="center"/>
          </w:tcPr>
          <w:p w14:paraId="2B89D48A">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备注</w:t>
            </w:r>
          </w:p>
        </w:tc>
      </w:tr>
      <w:tr w14:paraId="2B89D491">
        <w:tblPrEx>
          <w:tblCellMar>
            <w:top w:w="0" w:type="dxa"/>
            <w:left w:w="108" w:type="dxa"/>
            <w:bottom w:w="0" w:type="dxa"/>
            <w:right w:w="108" w:type="dxa"/>
          </w:tblCellMar>
        </w:tblPrEx>
        <w:trPr>
          <w:trHeight w:val="851" w:hRule="atLeast"/>
        </w:trPr>
        <w:tc>
          <w:tcPr>
            <w:tcW w:w="851" w:type="dxa"/>
            <w:tcBorders>
              <w:top w:val="single" w:color="auto" w:sz="6" w:space="0"/>
              <w:left w:val="single" w:color="auto" w:sz="6" w:space="0"/>
              <w:bottom w:val="single" w:color="auto" w:sz="6" w:space="0"/>
              <w:right w:val="single" w:color="auto" w:sz="6" w:space="0"/>
            </w:tcBorders>
            <w:vAlign w:val="center"/>
          </w:tcPr>
          <w:p w14:paraId="2B89D48C">
            <w:pPr>
              <w:autoSpaceDE w:val="0"/>
              <w:autoSpaceDN w:val="0"/>
              <w:adjustRightInd w:val="0"/>
              <w:spacing w:line="360" w:lineRule="auto"/>
              <w:rPr>
                <w:rFonts w:hint="eastAsia" w:ascii="宋体" w:hAnsi="宋体" w:eastAsia="宋体" w:cs="宋体"/>
                <w:color w:val="auto"/>
                <w:sz w:val="21"/>
                <w:szCs w:val="21"/>
              </w:rPr>
            </w:pPr>
          </w:p>
        </w:tc>
        <w:tc>
          <w:tcPr>
            <w:tcW w:w="2268" w:type="dxa"/>
            <w:tcBorders>
              <w:top w:val="single" w:color="auto" w:sz="6" w:space="0"/>
              <w:left w:val="single" w:color="auto" w:sz="6" w:space="0"/>
              <w:bottom w:val="single" w:color="auto" w:sz="6" w:space="0"/>
              <w:right w:val="single" w:color="auto" w:sz="6" w:space="0"/>
            </w:tcBorders>
            <w:vAlign w:val="center"/>
          </w:tcPr>
          <w:p w14:paraId="2B89D48D">
            <w:pPr>
              <w:autoSpaceDE w:val="0"/>
              <w:autoSpaceDN w:val="0"/>
              <w:adjustRightInd w:val="0"/>
              <w:spacing w:line="360" w:lineRule="auto"/>
              <w:rPr>
                <w:rFonts w:hint="eastAsia" w:ascii="宋体" w:hAnsi="宋体" w:eastAsia="宋体" w:cs="宋体"/>
                <w:color w:val="auto"/>
                <w:sz w:val="21"/>
                <w:szCs w:val="21"/>
              </w:rPr>
            </w:pPr>
          </w:p>
        </w:tc>
        <w:tc>
          <w:tcPr>
            <w:tcW w:w="2694" w:type="dxa"/>
            <w:tcBorders>
              <w:top w:val="single" w:color="auto" w:sz="6" w:space="0"/>
              <w:left w:val="single" w:color="auto" w:sz="6" w:space="0"/>
              <w:bottom w:val="single" w:color="auto" w:sz="6" w:space="0"/>
              <w:right w:val="single" w:color="auto" w:sz="6" w:space="0"/>
            </w:tcBorders>
            <w:vAlign w:val="center"/>
          </w:tcPr>
          <w:p w14:paraId="2B89D48E">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大写：      小写：</w:t>
            </w:r>
          </w:p>
        </w:tc>
        <w:tc>
          <w:tcPr>
            <w:tcW w:w="1984" w:type="dxa"/>
            <w:tcBorders>
              <w:top w:val="single" w:color="auto" w:sz="6" w:space="0"/>
              <w:left w:val="single" w:color="auto" w:sz="4" w:space="0"/>
              <w:bottom w:val="single" w:color="auto" w:sz="6" w:space="0"/>
              <w:right w:val="single" w:color="auto" w:sz="4" w:space="0"/>
            </w:tcBorders>
            <w:vAlign w:val="center"/>
          </w:tcPr>
          <w:p w14:paraId="2B89D48F">
            <w:pPr>
              <w:autoSpaceDE w:val="0"/>
              <w:autoSpaceDN w:val="0"/>
              <w:adjustRightInd w:val="0"/>
              <w:spacing w:line="360" w:lineRule="auto"/>
              <w:rPr>
                <w:rFonts w:hint="eastAsia" w:ascii="宋体" w:hAnsi="宋体" w:eastAsia="宋体" w:cs="宋体"/>
                <w:color w:val="auto"/>
                <w:sz w:val="21"/>
                <w:szCs w:val="21"/>
              </w:rPr>
            </w:pPr>
          </w:p>
        </w:tc>
        <w:tc>
          <w:tcPr>
            <w:tcW w:w="1559" w:type="dxa"/>
            <w:tcBorders>
              <w:top w:val="single" w:color="auto" w:sz="6" w:space="0"/>
              <w:left w:val="single" w:color="auto" w:sz="6" w:space="0"/>
              <w:bottom w:val="single" w:color="auto" w:sz="6" w:space="0"/>
              <w:right w:val="single" w:color="auto" w:sz="6" w:space="0"/>
            </w:tcBorders>
            <w:vAlign w:val="center"/>
          </w:tcPr>
          <w:p w14:paraId="2B89D490">
            <w:pPr>
              <w:autoSpaceDE w:val="0"/>
              <w:autoSpaceDN w:val="0"/>
              <w:adjustRightInd w:val="0"/>
              <w:spacing w:line="360" w:lineRule="auto"/>
              <w:rPr>
                <w:rFonts w:hint="eastAsia" w:ascii="宋体" w:hAnsi="宋体" w:eastAsia="宋体" w:cs="宋体"/>
                <w:color w:val="auto"/>
                <w:sz w:val="21"/>
                <w:szCs w:val="21"/>
              </w:rPr>
            </w:pPr>
          </w:p>
        </w:tc>
      </w:tr>
    </w:tbl>
    <w:p w14:paraId="2B89D492">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投标人名称：</w:t>
      </w:r>
      <w:r>
        <w:rPr>
          <w:rFonts w:hint="eastAsia" w:ascii="宋体" w:hAnsi="宋体" w:eastAsia="宋体" w:cs="宋体"/>
          <w:color w:val="auto"/>
          <w:sz w:val="21"/>
          <w:szCs w:val="21"/>
          <w:u w:val="single"/>
        </w:rPr>
        <w:t xml:space="preserve">     （全称）   </w:t>
      </w:r>
      <w:r>
        <w:rPr>
          <w:rFonts w:hint="eastAsia" w:ascii="宋体" w:hAnsi="宋体" w:eastAsia="宋体" w:cs="宋体"/>
          <w:color w:val="auto"/>
          <w:sz w:val="21"/>
          <w:szCs w:val="21"/>
        </w:rPr>
        <w:t>（公章）：</w:t>
      </w:r>
    </w:p>
    <w:p w14:paraId="2B89D493">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投标人法定代表人（或授权代表）签字：</w:t>
      </w:r>
    </w:p>
    <w:p w14:paraId="2B89D494">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日期：</w:t>
      </w:r>
    </w:p>
    <w:p w14:paraId="2B89D495">
      <w:pPr>
        <w:autoSpaceDE w:val="0"/>
        <w:autoSpaceDN w:val="0"/>
        <w:adjustRightInd w:val="0"/>
        <w:spacing w:line="360" w:lineRule="auto"/>
        <w:rPr>
          <w:rFonts w:hint="eastAsia" w:ascii="宋体" w:hAnsi="宋体" w:eastAsia="宋体" w:cs="宋体"/>
          <w:color w:val="auto"/>
          <w:sz w:val="24"/>
          <w:lang w:val="zh-CN"/>
        </w:rPr>
      </w:pPr>
    </w:p>
    <w:p w14:paraId="2B89D496">
      <w:pPr>
        <w:autoSpaceDE w:val="0"/>
        <w:autoSpaceDN w:val="0"/>
        <w:adjustRightInd w:val="0"/>
        <w:spacing w:line="360" w:lineRule="auto"/>
        <w:rPr>
          <w:rFonts w:hint="eastAsia" w:ascii="宋体" w:hAnsi="宋体" w:eastAsia="宋体" w:cs="宋体"/>
          <w:color w:val="auto"/>
          <w:sz w:val="24"/>
          <w:lang w:val="zh-CN"/>
        </w:rPr>
      </w:pPr>
    </w:p>
    <w:p w14:paraId="2B89D497">
      <w:pPr>
        <w:autoSpaceDE w:val="0"/>
        <w:autoSpaceDN w:val="0"/>
        <w:adjustRightInd w:val="0"/>
        <w:spacing w:line="360" w:lineRule="auto"/>
        <w:rPr>
          <w:rFonts w:hint="eastAsia" w:ascii="宋体" w:hAnsi="宋体" w:eastAsia="宋体" w:cs="宋体"/>
          <w:color w:val="auto"/>
          <w:sz w:val="24"/>
          <w:lang w:val="zh-CN"/>
        </w:rPr>
      </w:pPr>
    </w:p>
    <w:p w14:paraId="2B89D498">
      <w:pPr>
        <w:autoSpaceDE w:val="0"/>
        <w:autoSpaceDN w:val="0"/>
        <w:adjustRightInd w:val="0"/>
        <w:spacing w:line="360" w:lineRule="auto"/>
        <w:rPr>
          <w:rFonts w:hint="eastAsia" w:ascii="宋体" w:hAnsi="宋体" w:eastAsia="宋体" w:cs="宋体"/>
          <w:color w:val="auto"/>
          <w:sz w:val="24"/>
          <w:lang w:val="zh-CN"/>
        </w:rPr>
      </w:pPr>
    </w:p>
    <w:p w14:paraId="2B89D499">
      <w:pPr>
        <w:autoSpaceDE w:val="0"/>
        <w:autoSpaceDN w:val="0"/>
        <w:adjustRightInd w:val="0"/>
        <w:spacing w:line="360" w:lineRule="auto"/>
        <w:rPr>
          <w:rFonts w:hint="eastAsia" w:ascii="宋体" w:hAnsi="宋体" w:eastAsia="宋体" w:cs="宋体"/>
          <w:color w:val="auto"/>
          <w:sz w:val="24"/>
          <w:lang w:val="zh-CN"/>
        </w:rPr>
      </w:pPr>
    </w:p>
    <w:p w14:paraId="2B89D49A">
      <w:pPr>
        <w:autoSpaceDE w:val="0"/>
        <w:autoSpaceDN w:val="0"/>
        <w:adjustRightInd w:val="0"/>
        <w:spacing w:line="360" w:lineRule="auto"/>
        <w:rPr>
          <w:rFonts w:hint="eastAsia" w:ascii="宋体" w:hAnsi="宋体" w:eastAsia="宋体" w:cs="宋体"/>
          <w:color w:val="auto"/>
          <w:sz w:val="24"/>
          <w:lang w:val="zh-CN"/>
        </w:rPr>
      </w:pPr>
    </w:p>
    <w:p w14:paraId="2B89D49B">
      <w:pPr>
        <w:autoSpaceDE w:val="0"/>
        <w:autoSpaceDN w:val="0"/>
        <w:adjustRightInd w:val="0"/>
        <w:spacing w:line="360" w:lineRule="auto"/>
        <w:rPr>
          <w:rFonts w:hint="eastAsia" w:ascii="宋体" w:hAnsi="宋体" w:eastAsia="宋体" w:cs="宋体"/>
          <w:color w:val="auto"/>
          <w:sz w:val="24"/>
          <w:lang w:val="zh-CN"/>
        </w:rPr>
      </w:pPr>
    </w:p>
    <w:p w14:paraId="2B89D49C">
      <w:pPr>
        <w:autoSpaceDE w:val="0"/>
        <w:autoSpaceDN w:val="0"/>
        <w:adjustRightInd w:val="0"/>
        <w:spacing w:line="360" w:lineRule="auto"/>
        <w:rPr>
          <w:rFonts w:hint="eastAsia" w:ascii="宋体" w:hAnsi="宋体" w:eastAsia="宋体" w:cs="宋体"/>
          <w:color w:val="auto"/>
          <w:sz w:val="24"/>
          <w:lang w:val="zh-CN"/>
        </w:rPr>
      </w:pPr>
    </w:p>
    <w:p w14:paraId="2B89D49D">
      <w:pPr>
        <w:autoSpaceDE w:val="0"/>
        <w:autoSpaceDN w:val="0"/>
        <w:adjustRightInd w:val="0"/>
        <w:spacing w:line="360" w:lineRule="auto"/>
        <w:rPr>
          <w:rFonts w:hint="eastAsia" w:ascii="宋体" w:hAnsi="宋体" w:eastAsia="宋体" w:cs="宋体"/>
          <w:color w:val="auto"/>
          <w:sz w:val="24"/>
          <w:lang w:val="zh-CN"/>
        </w:rPr>
      </w:pPr>
    </w:p>
    <w:p w14:paraId="2B89D49E">
      <w:pPr>
        <w:pStyle w:val="15"/>
        <w:ind w:firstLine="340"/>
        <w:rPr>
          <w:rFonts w:hint="eastAsia" w:ascii="宋体" w:hAnsi="宋体" w:eastAsia="宋体" w:cs="宋体"/>
          <w:color w:val="auto"/>
          <w:lang w:val="zh-CN"/>
        </w:rPr>
      </w:pPr>
    </w:p>
    <w:p w14:paraId="2B89D49F">
      <w:pPr>
        <w:pStyle w:val="16"/>
        <w:ind w:firstLine="480"/>
        <w:rPr>
          <w:rFonts w:hint="eastAsia" w:ascii="宋体" w:hAnsi="宋体" w:eastAsia="宋体" w:cs="宋体"/>
          <w:color w:val="auto"/>
          <w:lang w:val="zh-CN"/>
        </w:rPr>
      </w:pPr>
    </w:p>
    <w:p w14:paraId="2B89D4A0">
      <w:pPr>
        <w:pStyle w:val="9"/>
        <w:ind w:left="5250"/>
        <w:rPr>
          <w:rFonts w:hint="eastAsia" w:ascii="宋体" w:hAnsi="宋体" w:eastAsia="宋体" w:cs="宋体"/>
          <w:color w:val="auto"/>
          <w:lang w:val="zh-CN"/>
        </w:rPr>
      </w:pPr>
    </w:p>
    <w:p w14:paraId="2B89D4A1">
      <w:pPr>
        <w:rPr>
          <w:rFonts w:hint="eastAsia" w:ascii="宋体" w:hAnsi="宋体" w:eastAsia="宋体" w:cs="宋体"/>
          <w:color w:val="auto"/>
          <w:lang w:val="zh-CN"/>
        </w:rPr>
      </w:pPr>
    </w:p>
    <w:p w14:paraId="2B89D4A2">
      <w:pPr>
        <w:pStyle w:val="6"/>
        <w:rPr>
          <w:rFonts w:hint="eastAsia" w:ascii="宋体" w:hAnsi="宋体" w:eastAsia="宋体" w:cs="宋体"/>
          <w:color w:val="auto"/>
          <w:lang w:val="zh-CN"/>
        </w:rPr>
      </w:pPr>
    </w:p>
    <w:p w14:paraId="2B89D4A3">
      <w:pPr>
        <w:pStyle w:val="6"/>
        <w:rPr>
          <w:rFonts w:hint="eastAsia" w:ascii="宋体" w:hAnsi="宋体" w:eastAsia="宋体" w:cs="宋体"/>
          <w:color w:val="auto"/>
          <w:lang w:val="zh-CN"/>
        </w:rPr>
      </w:pPr>
    </w:p>
    <w:p w14:paraId="2B89D4A4">
      <w:pPr>
        <w:pStyle w:val="16"/>
        <w:ind w:firstLine="480"/>
        <w:rPr>
          <w:rFonts w:hint="eastAsia" w:ascii="宋体" w:hAnsi="宋体" w:eastAsia="宋体" w:cs="宋体"/>
          <w:color w:val="auto"/>
          <w:lang w:val="zh-CN"/>
        </w:rPr>
      </w:pPr>
    </w:p>
    <w:p w14:paraId="2B89D4A5">
      <w:pPr>
        <w:pStyle w:val="16"/>
        <w:ind w:firstLine="480"/>
        <w:rPr>
          <w:rFonts w:hint="eastAsia" w:ascii="宋体" w:hAnsi="宋体" w:eastAsia="宋体" w:cs="宋体"/>
          <w:color w:val="auto"/>
          <w:lang w:val="zh-CN"/>
        </w:rPr>
      </w:pPr>
    </w:p>
    <w:p w14:paraId="2B89D4A6">
      <w:pPr>
        <w:rPr>
          <w:rFonts w:hint="eastAsia" w:ascii="宋体" w:hAnsi="宋体" w:eastAsia="宋体" w:cs="宋体"/>
          <w:color w:val="auto"/>
          <w:lang w:val="zh-CN"/>
        </w:rPr>
      </w:pPr>
    </w:p>
    <w:p w14:paraId="2B89D4A7">
      <w:pPr>
        <w:pStyle w:val="6"/>
        <w:rPr>
          <w:rFonts w:hint="eastAsia" w:ascii="宋体" w:hAnsi="宋体" w:eastAsia="宋体" w:cs="宋体"/>
          <w:color w:val="auto"/>
          <w:lang w:val="zh-CN"/>
        </w:rPr>
      </w:pPr>
    </w:p>
    <w:p w14:paraId="2B89D4A8">
      <w:pPr>
        <w:pStyle w:val="27"/>
        <w:rPr>
          <w:rFonts w:hint="eastAsia" w:ascii="宋体" w:hAnsi="宋体" w:eastAsia="宋体" w:cs="宋体"/>
          <w:color w:val="auto"/>
          <w:lang w:val="zh-CN"/>
        </w:rPr>
      </w:pPr>
    </w:p>
    <w:p w14:paraId="2B89D4A9">
      <w:pPr>
        <w:autoSpaceDE w:val="0"/>
        <w:autoSpaceDN w:val="0"/>
        <w:adjustRightInd w:val="0"/>
        <w:spacing w:line="360" w:lineRule="auto"/>
        <w:jc w:val="center"/>
        <w:rPr>
          <w:rFonts w:hint="eastAsia" w:ascii="宋体" w:hAnsi="宋体" w:eastAsia="宋体" w:cs="宋体"/>
          <w:b/>
          <w:bCs/>
          <w:color w:val="auto"/>
          <w:sz w:val="28"/>
          <w:szCs w:val="28"/>
          <w:lang w:val="zh-CN"/>
        </w:rPr>
      </w:pPr>
      <w:r>
        <w:rPr>
          <w:rFonts w:hint="eastAsia" w:ascii="宋体" w:hAnsi="宋体" w:eastAsia="宋体" w:cs="宋体"/>
          <w:b/>
          <w:bCs/>
          <w:color w:val="auto"/>
          <w:sz w:val="28"/>
          <w:szCs w:val="28"/>
          <w:lang w:val="zh-CN"/>
        </w:rPr>
        <w:t>三、资格审查相关材料</w:t>
      </w:r>
    </w:p>
    <w:p w14:paraId="2B89D4AA">
      <w:pPr>
        <w:keepNext w:val="0"/>
        <w:keepLines w:val="0"/>
        <w:pageBreakBefore w:val="0"/>
        <w:widowControl w:val="0"/>
        <w:kinsoku/>
        <w:wordWrap/>
        <w:overflowPunct/>
        <w:topLinePunct w:val="0"/>
        <w:autoSpaceDE w:val="0"/>
        <w:autoSpaceDN w:val="0"/>
        <w:bidi w:val="0"/>
        <w:adjustRightInd w:val="0"/>
        <w:spacing w:line="460" w:lineRule="exact"/>
        <w:jc w:val="center"/>
        <w:textAlignment w:val="auto"/>
        <w:rPr>
          <w:rFonts w:hint="eastAsia" w:ascii="宋体" w:hAnsi="宋体" w:eastAsia="宋体" w:cs="宋体"/>
          <w:b/>
          <w:snapToGrid w:val="0"/>
          <w:color w:val="auto"/>
          <w:kern w:val="0"/>
          <w:sz w:val="24"/>
          <w:szCs w:val="24"/>
        </w:rPr>
      </w:pPr>
      <w:r>
        <w:rPr>
          <w:rFonts w:hint="eastAsia" w:ascii="宋体" w:hAnsi="宋体" w:eastAsia="宋体" w:cs="宋体"/>
          <w:b/>
          <w:snapToGrid w:val="0"/>
          <w:color w:val="auto"/>
          <w:kern w:val="0"/>
          <w:sz w:val="24"/>
          <w:szCs w:val="24"/>
        </w:rPr>
        <w:t>3.1投标函</w:t>
      </w:r>
    </w:p>
    <w:p w14:paraId="2B89D4AB">
      <w:pPr>
        <w:pStyle w:val="8"/>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（采购人）</w:t>
      </w:r>
    </w:p>
    <w:p w14:paraId="2B89D4AC">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根据贵方</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rPr>
        <w:t>（项目名称</w:t>
      </w:r>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u w:val="single"/>
          <w:lang w:val="en-US" w:eastAsia="zh-CN"/>
        </w:rPr>
        <w:t>标段</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采购的招标公告及投标邀请，</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rPr>
        <w:t>（姓名和职务）</w:t>
      </w:r>
      <w:r>
        <w:rPr>
          <w:rFonts w:hint="eastAsia" w:ascii="宋体" w:hAnsi="宋体" w:eastAsia="宋体" w:cs="宋体"/>
          <w:color w:val="auto"/>
          <w:sz w:val="21"/>
          <w:szCs w:val="21"/>
        </w:rPr>
        <w:t>被正式授权并代表投标人</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rPr>
        <w:t>（投标人名称、地址）</w:t>
      </w:r>
      <w:r>
        <w:rPr>
          <w:rFonts w:hint="eastAsia" w:ascii="宋体" w:hAnsi="宋体" w:eastAsia="宋体" w:cs="宋体"/>
          <w:color w:val="auto"/>
          <w:sz w:val="21"/>
          <w:szCs w:val="21"/>
        </w:rPr>
        <w:t>提交。</w:t>
      </w:r>
    </w:p>
    <w:p w14:paraId="2B89D4AD">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拟投入</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u w:val="single"/>
        </w:rPr>
        <w:t>项目名称</w:t>
      </w:r>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u w:val="single"/>
          <w:lang w:val="en-US" w:eastAsia="zh-CN"/>
        </w:rPr>
        <w:t>标段</w:t>
      </w: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rPr>
        <w:t>的项目负责人姓名：</w:t>
      </w:r>
    </w:p>
    <w:p w14:paraId="2B89D4AE">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我方确认收到贵方提供的</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rPr>
        <w:t>（项目名称</w:t>
      </w:r>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u w:val="single"/>
          <w:lang w:val="en-US" w:eastAsia="zh-CN"/>
        </w:rPr>
        <w:t>标段</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招标文件的全部内容。</w:t>
      </w:r>
    </w:p>
    <w:p w14:paraId="2B89D4AF">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已完全理解并接受招标文件的各项规定和要求及资金支付规定，对招标文件的合理性、合法性不再有异议，并承诺在发生争议时不会以对《招标文件》存在误解、不明白的条款为由，对贵中心行使任何法律上的抗辩权。</w:t>
      </w:r>
    </w:p>
    <w:p w14:paraId="2B89D4B0">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我方已完全明白招标文件的所有条款要求，并</w:t>
      </w:r>
      <w:r>
        <w:rPr>
          <w:rFonts w:hint="eastAsia" w:ascii="宋体" w:hAnsi="宋体" w:cs="宋体"/>
          <w:color w:val="auto"/>
          <w:sz w:val="21"/>
          <w:szCs w:val="21"/>
          <w:lang w:val="en-US" w:eastAsia="zh-CN"/>
        </w:rPr>
        <w:t>声</w:t>
      </w:r>
      <w:r>
        <w:rPr>
          <w:rFonts w:hint="eastAsia" w:ascii="宋体" w:hAnsi="宋体" w:eastAsia="宋体" w:cs="宋体"/>
          <w:color w:val="auto"/>
          <w:sz w:val="21"/>
          <w:szCs w:val="21"/>
        </w:rPr>
        <w:t>明如下：</w:t>
      </w:r>
    </w:p>
    <w:p w14:paraId="2B89D4B1">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一、按招标文件提供的全部货物与相关服务详见《开标一览表》。</w:t>
      </w:r>
    </w:p>
    <w:p w14:paraId="2B89D4B2">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我方同意在本项目招标文件中规定的开标日起90天内遵守本投标文件中的承诺且在此期限期满之前均具有约束力。我方同意并遵守本招标文件“投标人须知”中第十四条第三款关于延长投标有效期的规定。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2B89D4B3">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三、我方明白并同意，在规定的开标日之后，投标有效期之内撤销投标的，则我方承担违背投标承诺的责任追究。</w:t>
      </w:r>
    </w:p>
    <w:p w14:paraId="2B89D4B4">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四、我方同意按照贵方可能提出的要求而提供与投标有关的任何</w:t>
      </w:r>
      <w:r>
        <w:rPr>
          <w:rFonts w:hint="eastAsia" w:ascii="宋体" w:hAnsi="宋体" w:eastAsia="宋体" w:cs="宋体"/>
          <w:color w:val="auto"/>
          <w:sz w:val="21"/>
          <w:szCs w:val="21"/>
          <w:lang w:eastAsia="zh-CN"/>
        </w:rPr>
        <w:t>其他数据</w:t>
      </w:r>
      <w:r>
        <w:rPr>
          <w:rFonts w:hint="eastAsia" w:ascii="宋体" w:hAnsi="宋体" w:eastAsia="宋体" w:cs="宋体"/>
          <w:color w:val="auto"/>
          <w:sz w:val="21"/>
          <w:szCs w:val="21"/>
        </w:rPr>
        <w:t>、信息或资料。</w:t>
      </w:r>
    </w:p>
    <w:p w14:paraId="2B89D4B5">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五、我方理解贵方不一定接受最低投标价或任何贵方可能收到的投标。</w:t>
      </w:r>
    </w:p>
    <w:p w14:paraId="2B89D4B6">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六、我方如果中标，将保证履行招标文件及其澄清、修改文件（如果有）中的全部责任和义务，按质、按量、按期完成《项目需求》及《合同书》中的全部任务。</w:t>
      </w:r>
    </w:p>
    <w:p w14:paraId="2B89D4B7">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七、我方在此保证所提交的所有文件和全部说明是真实的和正确的。</w:t>
      </w:r>
    </w:p>
    <w:p w14:paraId="2B89D4B8">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八、我方投标报价已包含应向知识产权所有权人支付的所有相关税费，并保证采购人在中国使用我方提供的</w:t>
      </w:r>
      <w:r>
        <w:rPr>
          <w:rFonts w:hint="eastAsia" w:ascii="宋体" w:hAnsi="宋体" w:cs="宋体"/>
          <w:color w:val="auto"/>
          <w:sz w:val="21"/>
          <w:szCs w:val="21"/>
          <w:lang w:val="en-US" w:eastAsia="zh-CN"/>
        </w:rPr>
        <w:t>服务</w:t>
      </w:r>
      <w:r>
        <w:rPr>
          <w:rFonts w:hint="eastAsia" w:ascii="宋体" w:hAnsi="宋体" w:eastAsia="宋体" w:cs="宋体"/>
          <w:color w:val="auto"/>
          <w:sz w:val="21"/>
          <w:szCs w:val="21"/>
        </w:rPr>
        <w:t xml:space="preserve">时，如有第三方提出侵犯其知识产权主张的，责任由我方承担。 </w:t>
      </w:r>
    </w:p>
    <w:p w14:paraId="2B89D4B9">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九、我方具备《中华人民共和国政府采购法》第二十二条规定的条件；承诺如下：</w:t>
      </w:r>
    </w:p>
    <w:p w14:paraId="2B89D4BA">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 具有独立承担民事责任能力的在中华人民共和国境内注册的法人或其他组织或自然人，有效的营业执照（或事业法人登记证或身份证等相关证明）。</w:t>
      </w:r>
    </w:p>
    <w:p w14:paraId="2B89D4BB">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 我方已依法缴纳了各项税费及社会保险费用，如有需要，可随时向采购人提供近一年内任意一个月的相关缴费证明，以便核查。</w:t>
      </w:r>
    </w:p>
    <w:p w14:paraId="2B89D4BC">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 我方已依法建立健全的财务会计制度，如有需要，可随时向采购人提供相关证明材料，以便核查。</w:t>
      </w:r>
    </w:p>
    <w:p w14:paraId="2B89D4BD">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 参加政府采购活动前三年内，在经营活动中没有重大违法记录。</w:t>
      </w:r>
    </w:p>
    <w:p w14:paraId="2B89D4BE">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 符合法律、行政法规规定的其他条件。</w:t>
      </w:r>
    </w:p>
    <w:p w14:paraId="2B89D4BF">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以上内容如有虚假或与事实不符的，评审委员会可将我方</w:t>
      </w:r>
      <w:r>
        <w:rPr>
          <w:rFonts w:hint="eastAsia" w:ascii="宋体" w:hAnsi="宋体" w:cs="宋体"/>
          <w:color w:val="auto"/>
          <w:sz w:val="21"/>
          <w:szCs w:val="21"/>
          <w:lang w:eastAsia="zh-CN"/>
        </w:rPr>
        <w:t>作</w:t>
      </w:r>
      <w:r>
        <w:rPr>
          <w:rFonts w:hint="eastAsia" w:ascii="宋体" w:hAnsi="宋体" w:eastAsia="宋体" w:cs="宋体"/>
          <w:color w:val="auto"/>
          <w:sz w:val="21"/>
          <w:szCs w:val="21"/>
        </w:rPr>
        <w:t>无效投标处理，我方愿意承担相应的法律责任。</w:t>
      </w:r>
    </w:p>
    <w:p w14:paraId="2B89D4C0">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十、我方具备履行合同所必需的设备和专业技术能力。</w:t>
      </w:r>
    </w:p>
    <w:p w14:paraId="2B89D4C1">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十一、我方对在本函及投标文件中所作的所有承诺承担法律责任。</w:t>
      </w:r>
    </w:p>
    <w:p w14:paraId="2B89D4C2">
      <w:pPr>
        <w:pStyle w:val="8"/>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十二、若我方中标，愿意按豫招协〔2023〕002规定向代理机构支付招标代理服务费。</w:t>
      </w:r>
    </w:p>
    <w:p w14:paraId="2B89D4C3">
      <w:pPr>
        <w:pStyle w:val="8"/>
        <w:keepNext w:val="0"/>
        <w:keepLines w:val="0"/>
        <w:pageBreakBefore w:val="0"/>
        <w:widowControl w:val="0"/>
        <w:kinsoku/>
        <w:wordWrap/>
        <w:overflowPunct/>
        <w:topLinePunct w:val="0"/>
        <w:bidi w:val="0"/>
        <w:adjustRightInd w:val="0"/>
        <w:snapToGrid w:val="0"/>
        <w:spacing w:line="460" w:lineRule="exact"/>
        <w:ind w:left="5250"/>
        <w:textAlignment w:val="auto"/>
        <w:rPr>
          <w:rFonts w:hint="eastAsia" w:ascii="宋体" w:hAnsi="宋体" w:eastAsia="宋体" w:cs="宋体"/>
          <w:color w:val="auto"/>
          <w:sz w:val="21"/>
          <w:szCs w:val="21"/>
        </w:rPr>
      </w:pPr>
    </w:p>
    <w:p w14:paraId="2B89D4C4">
      <w:pPr>
        <w:pStyle w:val="8"/>
        <w:keepNext w:val="0"/>
        <w:keepLines w:val="0"/>
        <w:pageBreakBefore w:val="0"/>
        <w:widowControl w:val="0"/>
        <w:kinsoku/>
        <w:wordWrap/>
        <w:overflowPunct/>
        <w:topLinePunct w:val="0"/>
        <w:bidi w:val="0"/>
        <w:adjustRightInd w:val="0"/>
        <w:snapToGrid w:val="0"/>
        <w:spacing w:line="460" w:lineRule="exact"/>
        <w:ind w:left="5250"/>
        <w:textAlignment w:val="auto"/>
        <w:rPr>
          <w:rFonts w:hint="eastAsia" w:ascii="宋体" w:hAnsi="宋体" w:eastAsia="宋体" w:cs="宋体"/>
          <w:color w:val="auto"/>
          <w:sz w:val="21"/>
          <w:szCs w:val="21"/>
        </w:rPr>
      </w:pPr>
    </w:p>
    <w:p w14:paraId="2B89D4C5">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所有与</w:t>
      </w:r>
      <w:r>
        <w:rPr>
          <w:rFonts w:hint="eastAsia" w:ascii="宋体" w:hAnsi="宋体" w:eastAsia="宋体" w:cs="宋体"/>
          <w:color w:val="auto"/>
          <w:sz w:val="21"/>
          <w:szCs w:val="21"/>
          <w:lang w:eastAsia="zh-CN"/>
        </w:rPr>
        <w:t>本次</w:t>
      </w:r>
      <w:r>
        <w:rPr>
          <w:rFonts w:hint="eastAsia" w:ascii="宋体" w:hAnsi="宋体" w:eastAsia="宋体" w:cs="宋体"/>
          <w:color w:val="auto"/>
          <w:sz w:val="21"/>
          <w:szCs w:val="21"/>
        </w:rPr>
        <w:t>招标有关的一切正式往来请寄：</w:t>
      </w:r>
    </w:p>
    <w:p w14:paraId="2B89D4C6">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地    址：  邮政编码：</w:t>
      </w:r>
    </w:p>
    <w:p w14:paraId="2B89D4C7">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电    话：  传    真：</w:t>
      </w:r>
    </w:p>
    <w:p w14:paraId="2B89D4C8">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投标人代表姓名：  职    务：</w:t>
      </w:r>
    </w:p>
    <w:p w14:paraId="37E9B2D0">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p>
    <w:p w14:paraId="17848A0C">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p>
    <w:p w14:paraId="2B89D4C9">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投标人法定代表人（或法定代表人授权代表）签字或盖章：</w:t>
      </w:r>
    </w:p>
    <w:p w14:paraId="2B89D4CC">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投标人名称（盖章）：</w:t>
      </w:r>
    </w:p>
    <w:p w14:paraId="03219C80">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日期：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日</w:t>
      </w:r>
    </w:p>
    <w:p w14:paraId="77F2B36F">
      <w:pPr>
        <w:adjustRightInd w:val="0"/>
        <w:snapToGrid w:val="0"/>
        <w:spacing w:line="360" w:lineRule="auto"/>
        <w:rPr>
          <w:rFonts w:hint="eastAsia" w:ascii="宋体" w:hAnsi="宋体" w:eastAsia="宋体" w:cs="宋体"/>
          <w:color w:val="auto"/>
          <w:szCs w:val="21"/>
          <w:u w:val="single"/>
        </w:rPr>
      </w:pPr>
    </w:p>
    <w:p w14:paraId="2B89D4CE">
      <w:pPr>
        <w:spacing w:line="480" w:lineRule="exact"/>
        <w:jc w:val="center"/>
        <w:rPr>
          <w:rFonts w:hint="eastAsia" w:ascii="宋体" w:hAnsi="宋体" w:eastAsia="宋体" w:cs="宋体"/>
          <w:b/>
          <w:bCs/>
          <w:color w:val="auto"/>
          <w:sz w:val="24"/>
          <w:szCs w:val="24"/>
        </w:rPr>
      </w:pPr>
    </w:p>
    <w:p w14:paraId="2B89D4CF">
      <w:pPr>
        <w:pStyle w:val="16"/>
        <w:ind w:firstLine="480"/>
        <w:rPr>
          <w:rFonts w:hint="eastAsia" w:ascii="宋体" w:hAnsi="宋体" w:eastAsia="宋体" w:cs="宋体"/>
          <w:color w:val="auto"/>
        </w:rPr>
      </w:pPr>
    </w:p>
    <w:p w14:paraId="2B89D4D0">
      <w:pPr>
        <w:rPr>
          <w:rFonts w:hint="eastAsia" w:ascii="宋体" w:hAnsi="宋体" w:eastAsia="宋体" w:cs="宋体"/>
          <w:color w:val="auto"/>
        </w:rPr>
      </w:pPr>
    </w:p>
    <w:p w14:paraId="2B89D4D8">
      <w:pPr>
        <w:rPr>
          <w:rFonts w:hint="eastAsia" w:ascii="宋体" w:hAnsi="宋体" w:eastAsia="宋体" w:cs="宋体"/>
          <w:color w:val="auto"/>
        </w:rPr>
      </w:pPr>
    </w:p>
    <w:p w14:paraId="2B89D4D9">
      <w:pPr>
        <w:spacing w:line="480" w:lineRule="exact"/>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3.2法定代表人（单位负责人）资格证明书</w:t>
      </w:r>
    </w:p>
    <w:p w14:paraId="2B89D4DA">
      <w:pPr>
        <w:pStyle w:val="34"/>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rPr>
        <w:t>单位名称：</w:t>
      </w:r>
    </w:p>
    <w:p w14:paraId="2B89D4DB">
      <w:pPr>
        <w:pStyle w:val="34"/>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rPr>
        <w:t>地址：</w:t>
      </w:r>
    </w:p>
    <w:p w14:paraId="2B89D4DC">
      <w:pPr>
        <w:pStyle w:val="34"/>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r>
        <w:rPr>
          <w:rFonts w:hint="eastAsia" w:ascii="宋体" w:hAnsi="宋体" w:eastAsia="宋体" w:cs="宋体"/>
          <w:color w:val="auto"/>
          <w:sz w:val="21"/>
          <w:szCs w:val="21"/>
        </w:rPr>
        <w:t>姓名：       性别：     年龄：     职务：</w:t>
      </w:r>
    </w:p>
    <w:p w14:paraId="2B89D4DD">
      <w:pPr>
        <w:pStyle w:val="34"/>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r>
        <w:rPr>
          <w:rFonts w:hint="eastAsia" w:ascii="宋体" w:hAnsi="宋体" w:eastAsia="宋体" w:cs="宋体"/>
          <w:color w:val="auto"/>
          <w:sz w:val="21"/>
          <w:szCs w:val="21"/>
        </w:rPr>
        <w:t>本人系</w:t>
      </w:r>
      <w:r>
        <w:rPr>
          <w:rFonts w:hint="eastAsia" w:ascii="宋体" w:hAnsi="宋体" w:eastAsia="宋体" w:cs="宋体"/>
          <w:i w:val="0"/>
          <w:iCs/>
          <w:snapToGrid w:val="0"/>
          <w:color w:val="auto"/>
          <w:sz w:val="21"/>
          <w:szCs w:val="21"/>
          <w:u w:val="single"/>
        </w:rPr>
        <w:t>投标人名称</w:t>
      </w:r>
      <w:r>
        <w:rPr>
          <w:rFonts w:hint="eastAsia" w:ascii="宋体" w:hAnsi="宋体" w:eastAsia="宋体" w:cs="宋体"/>
          <w:color w:val="auto"/>
          <w:sz w:val="21"/>
          <w:szCs w:val="21"/>
        </w:rPr>
        <w:t>的法定代表人（单位负责人）。就参加贵方招标编号为</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的</w:t>
      </w:r>
      <w:r>
        <w:rPr>
          <w:rFonts w:hint="eastAsia" w:ascii="宋体" w:hAnsi="宋体" w:eastAsia="宋体" w:cs="宋体"/>
          <w:i w:val="0"/>
          <w:iCs/>
          <w:color w:val="auto"/>
          <w:sz w:val="21"/>
          <w:szCs w:val="21"/>
          <w:u w:val="single"/>
        </w:rPr>
        <w:t>项目名称、标段</w:t>
      </w:r>
      <w:r>
        <w:rPr>
          <w:rFonts w:hint="eastAsia" w:ascii="宋体" w:hAnsi="宋体" w:eastAsia="宋体" w:cs="宋体"/>
          <w:i w:val="0"/>
          <w:iCs/>
          <w:color w:val="auto"/>
          <w:sz w:val="21"/>
          <w:szCs w:val="21"/>
        </w:rPr>
        <w:t>公</w:t>
      </w:r>
      <w:r>
        <w:rPr>
          <w:rFonts w:hint="eastAsia" w:ascii="宋体" w:hAnsi="宋体" w:eastAsia="宋体" w:cs="宋体"/>
          <w:color w:val="auto"/>
          <w:sz w:val="21"/>
          <w:szCs w:val="21"/>
        </w:rPr>
        <w:t>开招标项目的投标报价，签署上述项目的投标文件及合同的执行、完成、服务和保修，签署合同和处理与之有关的一切事务。</w:t>
      </w:r>
    </w:p>
    <w:p w14:paraId="2B89D4DE">
      <w:pPr>
        <w:pStyle w:val="34"/>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r>
        <w:rPr>
          <w:rFonts w:hint="eastAsia" w:ascii="宋体" w:hAnsi="宋体" w:eastAsia="宋体" w:cs="宋体"/>
          <w:color w:val="auto"/>
          <w:sz w:val="21"/>
          <w:szCs w:val="21"/>
        </w:rPr>
        <w:t>特此证明。</w:t>
      </w:r>
    </w:p>
    <w:p w14:paraId="2B89D4DF">
      <w:pPr>
        <w:pStyle w:val="34"/>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rPr>
        <w:t>法定代表人（单位负责人）联系电话（手机）：</w:t>
      </w:r>
    </w:p>
    <w:p w14:paraId="2B89D4E0">
      <w:pPr>
        <w:pStyle w:val="34"/>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p>
    <w:p w14:paraId="2B89D4E1">
      <w:pPr>
        <w:pStyle w:val="34"/>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p>
    <w:p w14:paraId="2B89D4E2">
      <w:pPr>
        <w:pStyle w:val="34"/>
        <w:keepNext w:val="0"/>
        <w:keepLines w:val="0"/>
        <w:pageBreakBefore w:val="0"/>
        <w:widowControl w:val="0"/>
        <w:kinsoku/>
        <w:wordWrap/>
        <w:overflowPunct/>
        <w:topLinePunct w:val="0"/>
        <w:bidi w:val="0"/>
        <w:spacing w:line="460" w:lineRule="exact"/>
        <w:ind w:left="-538" w:leftChars="-256" w:firstLine="539" w:firstLineChars="257"/>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【此处请粘贴法定代表人（单位负责人）身份证复印件，需清晰反映身份证有效期限】</w:t>
      </w:r>
    </w:p>
    <w:p w14:paraId="2B89D4E3">
      <w:pPr>
        <w:pStyle w:val="34"/>
        <w:keepNext w:val="0"/>
        <w:keepLines w:val="0"/>
        <w:pageBreakBefore w:val="0"/>
        <w:widowControl w:val="0"/>
        <w:kinsoku/>
        <w:wordWrap/>
        <w:overflowPunct/>
        <w:topLinePunct w:val="0"/>
        <w:bidi w:val="0"/>
        <w:spacing w:line="460" w:lineRule="exact"/>
        <w:ind w:left="-538" w:leftChars="-256" w:firstLine="539" w:firstLineChars="257"/>
        <w:jc w:val="center"/>
        <w:rPr>
          <w:rFonts w:hint="eastAsia" w:ascii="宋体" w:hAnsi="宋体" w:eastAsia="宋体" w:cs="宋体"/>
          <w:bCs/>
          <w:color w:val="auto"/>
          <w:sz w:val="21"/>
          <w:szCs w:val="21"/>
        </w:rPr>
      </w:pPr>
    </w:p>
    <w:p w14:paraId="2B89D4E4">
      <w:pPr>
        <w:keepNext w:val="0"/>
        <w:keepLines w:val="0"/>
        <w:pageBreakBefore w:val="0"/>
        <w:widowControl w:val="0"/>
        <w:kinsoku/>
        <w:wordWrap/>
        <w:overflowPunct/>
        <w:topLinePunct w:val="0"/>
        <w:autoSpaceDE w:val="0"/>
        <w:autoSpaceDN w:val="0"/>
        <w:bidi w:val="0"/>
        <w:adjustRightInd w:val="0"/>
        <w:spacing w:line="460" w:lineRule="exact"/>
        <w:ind w:right="-11"/>
        <w:rPr>
          <w:rFonts w:hint="eastAsia" w:ascii="宋体" w:hAnsi="宋体" w:eastAsia="宋体" w:cs="宋体"/>
          <w:color w:val="auto"/>
          <w:szCs w:val="21"/>
          <w:lang w:val="zh-CN"/>
        </w:rPr>
      </w:pPr>
    </w:p>
    <w:p w14:paraId="2B89D4E5">
      <w:pPr>
        <w:keepNext w:val="0"/>
        <w:keepLines w:val="0"/>
        <w:pageBreakBefore w:val="0"/>
        <w:widowControl w:val="0"/>
        <w:kinsoku/>
        <w:wordWrap/>
        <w:overflowPunct/>
        <w:topLinePunct w:val="0"/>
        <w:autoSpaceDE w:val="0"/>
        <w:autoSpaceDN w:val="0"/>
        <w:bidi w:val="0"/>
        <w:adjustRightInd w:val="0"/>
        <w:spacing w:line="460" w:lineRule="exact"/>
        <w:ind w:right="-11"/>
        <w:rPr>
          <w:rFonts w:hint="eastAsia" w:ascii="宋体" w:hAnsi="宋体" w:eastAsia="宋体" w:cs="宋体"/>
          <w:color w:val="auto"/>
          <w:szCs w:val="21"/>
          <w:lang w:val="zh-CN"/>
        </w:rPr>
      </w:pPr>
    </w:p>
    <w:p w14:paraId="2B89D4E6">
      <w:pPr>
        <w:keepNext w:val="0"/>
        <w:keepLines w:val="0"/>
        <w:pageBreakBefore w:val="0"/>
        <w:widowControl w:val="0"/>
        <w:kinsoku/>
        <w:wordWrap/>
        <w:overflowPunct/>
        <w:topLinePunct w:val="0"/>
        <w:autoSpaceDE w:val="0"/>
        <w:autoSpaceDN w:val="0"/>
        <w:bidi w:val="0"/>
        <w:adjustRightInd w:val="0"/>
        <w:spacing w:line="460" w:lineRule="exact"/>
        <w:ind w:right="-11"/>
        <w:rPr>
          <w:rFonts w:hint="eastAsia" w:ascii="宋体" w:hAnsi="宋体" w:eastAsia="宋体" w:cs="宋体"/>
          <w:color w:val="auto"/>
          <w:szCs w:val="21"/>
          <w:lang w:val="zh-CN"/>
        </w:rPr>
      </w:pPr>
    </w:p>
    <w:p w14:paraId="2B89D4E7">
      <w:pPr>
        <w:keepNext w:val="0"/>
        <w:keepLines w:val="0"/>
        <w:pageBreakBefore w:val="0"/>
        <w:widowControl w:val="0"/>
        <w:kinsoku/>
        <w:wordWrap/>
        <w:overflowPunct/>
        <w:topLinePunct w:val="0"/>
        <w:bidi w:val="0"/>
        <w:adjustRightInd w:val="0"/>
        <w:snapToGrid w:val="0"/>
        <w:spacing w:line="460" w:lineRule="exact"/>
        <w:ind w:firstLine="3885" w:firstLineChars="1850"/>
        <w:rPr>
          <w:rFonts w:hint="eastAsia" w:ascii="宋体" w:hAnsi="宋体" w:eastAsia="宋体" w:cs="宋体"/>
          <w:color w:val="auto"/>
          <w:szCs w:val="21"/>
        </w:rPr>
      </w:pPr>
      <w:r>
        <w:rPr>
          <w:rFonts w:hint="eastAsia" w:ascii="宋体" w:hAnsi="宋体" w:eastAsia="宋体" w:cs="宋体"/>
          <w:color w:val="auto"/>
          <w:szCs w:val="21"/>
        </w:rPr>
        <w:t>投标人名称（并加盖公章）：</w:t>
      </w:r>
    </w:p>
    <w:p w14:paraId="2B89D4E8">
      <w:pPr>
        <w:pStyle w:val="35"/>
        <w:keepNext w:val="0"/>
        <w:keepLines w:val="0"/>
        <w:pageBreakBefore w:val="0"/>
        <w:widowControl w:val="0"/>
        <w:kinsoku/>
        <w:wordWrap/>
        <w:overflowPunct/>
        <w:topLinePunct w:val="0"/>
        <w:bidi w:val="0"/>
        <w:spacing w:line="460" w:lineRule="exact"/>
        <w:ind w:firstLine="3937" w:firstLineChars="1875"/>
        <w:rPr>
          <w:rFonts w:hint="eastAsia" w:ascii="宋体" w:hAnsi="宋体" w:eastAsia="宋体" w:cs="宋体"/>
          <w:color w:val="auto"/>
          <w:sz w:val="21"/>
          <w:szCs w:val="21"/>
        </w:rPr>
      </w:pPr>
      <w:r>
        <w:rPr>
          <w:rFonts w:hint="eastAsia" w:ascii="宋体" w:hAnsi="宋体" w:eastAsia="宋体" w:cs="宋体"/>
          <w:color w:val="auto"/>
          <w:sz w:val="21"/>
          <w:szCs w:val="21"/>
        </w:rPr>
        <w:t>签署日期：   年   月  日</w:t>
      </w:r>
    </w:p>
    <w:p w14:paraId="2B89D4E9">
      <w:pPr>
        <w:pStyle w:val="36"/>
        <w:keepNext w:val="0"/>
        <w:keepLines w:val="0"/>
        <w:pageBreakBefore w:val="0"/>
        <w:widowControl w:val="0"/>
        <w:kinsoku/>
        <w:wordWrap/>
        <w:overflowPunct/>
        <w:topLinePunct w:val="0"/>
        <w:bidi w:val="0"/>
        <w:spacing w:line="460" w:lineRule="exact"/>
        <w:rPr>
          <w:rFonts w:hint="eastAsia" w:ascii="宋体" w:hAnsi="宋体" w:eastAsia="宋体" w:cs="宋体"/>
          <w:color w:val="auto"/>
          <w:sz w:val="21"/>
          <w:szCs w:val="21"/>
        </w:rPr>
      </w:pPr>
    </w:p>
    <w:p w14:paraId="2B89D4EA">
      <w:pPr>
        <w:keepNext w:val="0"/>
        <w:keepLines w:val="0"/>
        <w:pageBreakBefore w:val="0"/>
        <w:widowControl w:val="0"/>
        <w:kinsoku/>
        <w:wordWrap/>
        <w:overflowPunct/>
        <w:topLinePunct w:val="0"/>
        <w:bidi w:val="0"/>
        <w:spacing w:line="460" w:lineRule="exact"/>
        <w:rPr>
          <w:rFonts w:hint="eastAsia" w:ascii="宋体" w:hAnsi="宋体" w:eastAsia="宋体" w:cs="宋体"/>
          <w:color w:val="auto"/>
          <w:szCs w:val="21"/>
        </w:rPr>
      </w:pPr>
    </w:p>
    <w:p w14:paraId="2B89D4EB">
      <w:pPr>
        <w:keepNext w:val="0"/>
        <w:keepLines w:val="0"/>
        <w:pageBreakBefore w:val="0"/>
        <w:widowControl w:val="0"/>
        <w:kinsoku/>
        <w:wordWrap/>
        <w:overflowPunct/>
        <w:topLinePunct w:val="0"/>
        <w:bidi w:val="0"/>
        <w:spacing w:line="460" w:lineRule="exact"/>
        <w:ind w:firstLine="420" w:firstLineChars="200"/>
        <w:rPr>
          <w:rFonts w:hint="eastAsia" w:ascii="宋体" w:hAnsi="宋体" w:eastAsia="宋体" w:cs="宋体"/>
          <w:bCs/>
          <w:color w:val="auto"/>
          <w:kern w:val="12"/>
          <w:szCs w:val="21"/>
        </w:rPr>
      </w:pPr>
      <w:r>
        <w:rPr>
          <w:rFonts w:hint="eastAsia" w:ascii="宋体" w:hAnsi="宋体" w:eastAsia="宋体" w:cs="宋体"/>
          <w:bCs/>
          <w:color w:val="auto"/>
          <w:kern w:val="12"/>
          <w:szCs w:val="21"/>
        </w:rPr>
        <w:t>说明：法定代表人（单位负责人）</w:t>
      </w:r>
      <w:r>
        <w:rPr>
          <w:rFonts w:hint="eastAsia" w:ascii="宋体" w:hAnsi="宋体" w:eastAsia="宋体" w:cs="宋体"/>
          <w:bCs/>
          <w:color w:val="auto"/>
          <w:kern w:val="12"/>
          <w:szCs w:val="21"/>
          <w:lang w:eastAsia="zh-CN"/>
        </w:rPr>
        <w:t>参加本次招标</w:t>
      </w:r>
      <w:r>
        <w:rPr>
          <w:rFonts w:hint="eastAsia" w:ascii="宋体" w:hAnsi="宋体" w:eastAsia="宋体" w:cs="宋体"/>
          <w:bCs/>
          <w:color w:val="auto"/>
          <w:kern w:val="12"/>
          <w:szCs w:val="21"/>
        </w:rPr>
        <w:t>项目投标的，仅需出具此证明书。</w:t>
      </w:r>
    </w:p>
    <w:p w14:paraId="2B89D4EC">
      <w:pPr>
        <w:pStyle w:val="15"/>
        <w:ind w:firstLine="0" w:firstLineChars="0"/>
        <w:rPr>
          <w:rFonts w:hint="eastAsia" w:ascii="宋体" w:hAnsi="宋体" w:eastAsia="宋体" w:cs="宋体"/>
          <w:color w:val="auto"/>
        </w:rPr>
      </w:pPr>
    </w:p>
    <w:p w14:paraId="2B89D4ED">
      <w:pPr>
        <w:rPr>
          <w:rFonts w:hint="eastAsia" w:ascii="宋体" w:hAnsi="宋体" w:eastAsia="宋体" w:cs="宋体"/>
          <w:color w:val="auto"/>
        </w:rPr>
      </w:pPr>
    </w:p>
    <w:p w14:paraId="2B89D4EE">
      <w:pPr>
        <w:rPr>
          <w:rFonts w:hint="eastAsia" w:ascii="宋体" w:hAnsi="宋体" w:eastAsia="宋体" w:cs="宋体"/>
          <w:color w:val="auto"/>
        </w:rPr>
      </w:pPr>
    </w:p>
    <w:p w14:paraId="2B89D4EF">
      <w:pPr>
        <w:rPr>
          <w:rFonts w:hint="eastAsia" w:ascii="宋体" w:hAnsi="宋体" w:eastAsia="宋体" w:cs="宋体"/>
          <w:color w:val="auto"/>
        </w:rPr>
      </w:pPr>
    </w:p>
    <w:p w14:paraId="2CF8B8F7">
      <w:pPr>
        <w:pStyle w:val="10"/>
        <w:rPr>
          <w:rFonts w:hint="eastAsia" w:ascii="宋体" w:hAnsi="宋体" w:eastAsia="宋体" w:cs="宋体"/>
          <w:color w:val="auto"/>
        </w:rPr>
      </w:pPr>
    </w:p>
    <w:p w14:paraId="56D036B7">
      <w:pPr>
        <w:rPr>
          <w:rFonts w:hint="eastAsia" w:ascii="宋体" w:hAnsi="宋体" w:eastAsia="宋体" w:cs="宋体"/>
          <w:color w:val="auto"/>
        </w:rPr>
      </w:pPr>
    </w:p>
    <w:p w14:paraId="27E6E2C9">
      <w:pPr>
        <w:pStyle w:val="10"/>
        <w:rPr>
          <w:rFonts w:hint="eastAsia" w:ascii="宋体" w:hAnsi="宋体" w:eastAsia="宋体" w:cs="宋体"/>
          <w:color w:val="auto"/>
        </w:rPr>
      </w:pPr>
    </w:p>
    <w:p w14:paraId="48320A40">
      <w:pPr>
        <w:rPr>
          <w:rFonts w:hint="eastAsia" w:ascii="宋体" w:hAnsi="宋体" w:eastAsia="宋体" w:cs="宋体"/>
          <w:color w:val="auto"/>
        </w:rPr>
      </w:pPr>
    </w:p>
    <w:p w14:paraId="24387591">
      <w:pPr>
        <w:pStyle w:val="10"/>
        <w:rPr>
          <w:rFonts w:hint="eastAsia" w:ascii="宋体" w:hAnsi="宋体" w:eastAsia="宋体" w:cs="宋体"/>
          <w:color w:val="auto"/>
        </w:rPr>
      </w:pPr>
    </w:p>
    <w:p w14:paraId="16002EDE">
      <w:pPr>
        <w:rPr>
          <w:rFonts w:hint="eastAsia" w:ascii="宋体" w:hAnsi="宋体" w:eastAsia="宋体" w:cs="宋体"/>
          <w:color w:val="auto"/>
        </w:rPr>
      </w:pPr>
    </w:p>
    <w:p w14:paraId="138EEA34">
      <w:pPr>
        <w:pStyle w:val="10"/>
        <w:rPr>
          <w:rFonts w:hint="eastAsia"/>
        </w:rPr>
      </w:pPr>
    </w:p>
    <w:p w14:paraId="660B6C9C">
      <w:pPr>
        <w:pStyle w:val="10"/>
        <w:rPr>
          <w:rFonts w:hint="eastAsia"/>
        </w:rPr>
      </w:pPr>
    </w:p>
    <w:p w14:paraId="2257B3A9">
      <w:pPr>
        <w:pStyle w:val="10"/>
        <w:rPr>
          <w:rFonts w:hint="eastAsia"/>
        </w:rPr>
      </w:pPr>
    </w:p>
    <w:p w14:paraId="7D8941AD">
      <w:pPr>
        <w:pStyle w:val="10"/>
        <w:rPr>
          <w:rFonts w:hint="eastAsia"/>
        </w:rPr>
      </w:pPr>
    </w:p>
    <w:p w14:paraId="2B89D4F0">
      <w:pPr>
        <w:rPr>
          <w:rFonts w:hint="eastAsia" w:ascii="宋体" w:hAnsi="宋体" w:eastAsia="宋体" w:cs="宋体"/>
          <w:color w:val="auto"/>
        </w:rPr>
      </w:pPr>
    </w:p>
    <w:p w14:paraId="2B89D4F1">
      <w:pPr>
        <w:spacing w:line="48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3.3法定代表人（单位负责人）授权书</w:t>
      </w:r>
    </w:p>
    <w:p w14:paraId="2B89D4F2">
      <w:pPr>
        <w:spacing w:line="480" w:lineRule="exact"/>
        <w:jc w:val="center"/>
        <w:rPr>
          <w:rFonts w:hint="eastAsia" w:ascii="宋体" w:hAnsi="宋体" w:eastAsia="宋体" w:cs="宋体"/>
          <w:b/>
          <w:bCs/>
          <w:color w:val="auto"/>
          <w:sz w:val="36"/>
          <w:szCs w:val="36"/>
        </w:rPr>
      </w:pPr>
    </w:p>
    <w:p w14:paraId="2B89D4F3">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本人</w:t>
      </w:r>
      <w:r>
        <w:rPr>
          <w:rFonts w:hint="eastAsia" w:ascii="宋体" w:hAnsi="宋体" w:eastAsia="宋体" w:cs="宋体"/>
          <w:color w:val="auto"/>
          <w:sz w:val="21"/>
          <w:szCs w:val="21"/>
          <w:u w:val="single"/>
        </w:rPr>
        <w:t xml:space="preserve">　 </w:t>
      </w:r>
      <w:r>
        <w:rPr>
          <w:rFonts w:hint="eastAsia" w:ascii="宋体" w:hAnsi="宋体" w:eastAsia="宋体" w:cs="宋体"/>
          <w:i/>
          <w:snapToGrid w:val="0"/>
          <w:color w:val="auto"/>
          <w:sz w:val="21"/>
          <w:szCs w:val="21"/>
          <w:u w:val="single"/>
        </w:rPr>
        <w:t>法人姓名</w:t>
      </w:r>
      <w:r>
        <w:rPr>
          <w:rFonts w:hint="eastAsia" w:ascii="宋体" w:hAnsi="宋体" w:eastAsia="宋体" w:cs="宋体"/>
          <w:color w:val="auto"/>
          <w:sz w:val="21"/>
          <w:szCs w:val="21"/>
        </w:rPr>
        <w:t>系</w:t>
      </w:r>
      <w:r>
        <w:rPr>
          <w:rFonts w:hint="eastAsia" w:ascii="宋体" w:hAnsi="宋体" w:eastAsia="宋体" w:cs="宋体"/>
          <w:color w:val="auto"/>
          <w:sz w:val="21"/>
          <w:szCs w:val="21"/>
          <w:u w:val="single"/>
        </w:rPr>
        <w:t>　</w:t>
      </w:r>
      <w:r>
        <w:rPr>
          <w:rFonts w:hint="eastAsia" w:ascii="宋体" w:hAnsi="宋体" w:eastAsia="宋体" w:cs="宋体"/>
          <w:i/>
          <w:snapToGrid w:val="0"/>
          <w:color w:val="auto"/>
          <w:sz w:val="21"/>
          <w:szCs w:val="21"/>
          <w:u w:val="single"/>
        </w:rPr>
        <w:t xml:space="preserve">投标人名称  </w:t>
      </w:r>
      <w:r>
        <w:rPr>
          <w:rFonts w:hint="eastAsia" w:ascii="宋体" w:hAnsi="宋体" w:eastAsia="宋体" w:cs="宋体"/>
          <w:color w:val="auto"/>
          <w:sz w:val="21"/>
          <w:szCs w:val="21"/>
        </w:rPr>
        <w:t>的法定代表人（单位负责人），现委托</w:t>
      </w:r>
      <w:r>
        <w:rPr>
          <w:rFonts w:hint="eastAsia" w:ascii="宋体" w:hAnsi="宋体" w:eastAsia="宋体" w:cs="宋体"/>
          <w:color w:val="auto"/>
          <w:sz w:val="21"/>
          <w:szCs w:val="21"/>
          <w:u w:val="single"/>
        </w:rPr>
        <w:t xml:space="preserve">　 </w:t>
      </w:r>
      <w:r>
        <w:rPr>
          <w:rFonts w:hint="eastAsia" w:ascii="宋体" w:hAnsi="宋体" w:eastAsia="宋体" w:cs="宋体"/>
          <w:i/>
          <w:snapToGrid w:val="0"/>
          <w:color w:val="auto"/>
          <w:sz w:val="21"/>
          <w:szCs w:val="21"/>
          <w:u w:val="single"/>
        </w:rPr>
        <w:t>姓名，职务</w:t>
      </w:r>
      <w:r>
        <w:rPr>
          <w:rFonts w:hint="eastAsia" w:ascii="宋体" w:hAnsi="宋体" w:eastAsia="宋体" w:cs="宋体"/>
          <w:color w:val="auto"/>
          <w:sz w:val="21"/>
          <w:szCs w:val="21"/>
        </w:rPr>
        <w:t>以我方的名义参加贵方</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的</w:t>
      </w:r>
      <w:r>
        <w:rPr>
          <w:rFonts w:hint="eastAsia" w:ascii="宋体" w:hAnsi="宋体" w:eastAsia="宋体" w:cs="宋体"/>
          <w:i w:val="0"/>
          <w:iCs/>
          <w:color w:val="auto"/>
          <w:sz w:val="21"/>
          <w:szCs w:val="21"/>
          <w:u w:val="single"/>
        </w:rPr>
        <w:t xml:space="preserve">项目名称、标段 </w:t>
      </w:r>
      <w:r>
        <w:rPr>
          <w:rFonts w:hint="eastAsia" w:ascii="宋体" w:hAnsi="宋体" w:eastAsia="宋体" w:cs="宋体"/>
          <w:i w:val="0"/>
          <w:iCs/>
          <w:color w:val="auto"/>
          <w:sz w:val="21"/>
          <w:szCs w:val="21"/>
        </w:rPr>
        <w:t>项</w:t>
      </w:r>
      <w:r>
        <w:rPr>
          <w:rFonts w:hint="eastAsia" w:ascii="宋体" w:hAnsi="宋体" w:eastAsia="宋体" w:cs="宋体"/>
          <w:color w:val="auto"/>
          <w:sz w:val="21"/>
          <w:szCs w:val="21"/>
        </w:rPr>
        <w:t>目的投标活动，并代表我方全权办理针对上述项目的投标、开标、投标文件澄清、签约等一切具体事务和签署相关文件。</w:t>
      </w:r>
    </w:p>
    <w:p w14:paraId="2B89D4F4">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我方对被授权人的签名事项负全部责任。</w:t>
      </w:r>
    </w:p>
    <w:p w14:paraId="2B89D4F5">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2B89D4F6">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被授权人无转委托权，特此委托。</w:t>
      </w:r>
    </w:p>
    <w:p w14:paraId="2B89D4F7">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投标人名称： </w:t>
      </w:r>
      <w:r>
        <w:rPr>
          <w:rFonts w:hint="eastAsia" w:ascii="宋体" w:hAnsi="宋体" w:eastAsia="宋体" w:cs="宋体"/>
          <w:color w:val="auto"/>
          <w:sz w:val="21"/>
          <w:szCs w:val="21"/>
          <w:u w:val="single"/>
        </w:rPr>
        <w:t xml:space="preserve">       （全称）       </w:t>
      </w:r>
      <w:r>
        <w:rPr>
          <w:rFonts w:hint="eastAsia" w:ascii="宋体" w:hAnsi="宋体" w:eastAsia="宋体" w:cs="宋体"/>
          <w:color w:val="auto"/>
          <w:sz w:val="21"/>
          <w:szCs w:val="21"/>
        </w:rPr>
        <w:t xml:space="preserve"> （加盖单位公章）</w:t>
      </w:r>
    </w:p>
    <w:p w14:paraId="2B89D4F8">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 （签名或加盖名章）</w:t>
      </w:r>
    </w:p>
    <w:p w14:paraId="2B89D4F9">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法定代表人（单位负责人）授权代表：  （签名或加盖名章）</w:t>
      </w:r>
    </w:p>
    <w:p w14:paraId="2B89D4FA">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法定代表人（单位负责人）授权代表联系电话（手机）：</w:t>
      </w:r>
    </w:p>
    <w:tbl>
      <w:tblPr>
        <w:tblStyle w:val="17"/>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2"/>
        <w:gridCol w:w="7"/>
        <w:gridCol w:w="4466"/>
        <w:gridCol w:w="14"/>
      </w:tblGrid>
      <w:tr w14:paraId="2B89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348" w:hRule="atLeast"/>
        </w:trPr>
        <w:tc>
          <w:tcPr>
            <w:tcW w:w="4472" w:type="dxa"/>
            <w:vAlign w:val="center"/>
          </w:tcPr>
          <w:p w14:paraId="2B89D4FB">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法定代表人（单位负责人）身份证（反面）</w:t>
            </w:r>
          </w:p>
        </w:tc>
        <w:tc>
          <w:tcPr>
            <w:tcW w:w="4473" w:type="dxa"/>
            <w:gridSpan w:val="2"/>
            <w:vAlign w:val="center"/>
          </w:tcPr>
          <w:p w14:paraId="2B89D4FC">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法定代表人（单位负责人）身份证（正面）</w:t>
            </w:r>
          </w:p>
        </w:tc>
      </w:tr>
      <w:tr w14:paraId="2B89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5" w:hRule="atLeast"/>
        </w:trPr>
        <w:tc>
          <w:tcPr>
            <w:tcW w:w="4479" w:type="dxa"/>
            <w:gridSpan w:val="2"/>
            <w:vAlign w:val="center"/>
          </w:tcPr>
          <w:p w14:paraId="2B89D4FE">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法定代表人（单位负责人）授权代表身份证</w:t>
            </w:r>
          </w:p>
          <w:p w14:paraId="2B89D4FF">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（反面）</w:t>
            </w:r>
          </w:p>
        </w:tc>
        <w:tc>
          <w:tcPr>
            <w:tcW w:w="4480" w:type="dxa"/>
            <w:gridSpan w:val="2"/>
            <w:vAlign w:val="center"/>
          </w:tcPr>
          <w:p w14:paraId="2B89D500">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法定代表人（单位负责人）授权代表身份证</w:t>
            </w:r>
          </w:p>
          <w:p w14:paraId="2B89D501">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（正面）</w:t>
            </w:r>
          </w:p>
        </w:tc>
      </w:tr>
    </w:tbl>
    <w:p w14:paraId="2B89D503">
      <w:pPr>
        <w:widowControl/>
        <w:spacing w:before="100" w:beforeAutospacing="1" w:after="100" w:afterAutospacing="1" w:line="360" w:lineRule="auto"/>
        <w:jc w:val="center"/>
        <w:rPr>
          <w:rFonts w:hint="eastAsia" w:ascii="宋体" w:hAnsi="宋体" w:eastAsia="宋体" w:cs="宋体"/>
          <w:b/>
          <w:bCs/>
          <w:color w:val="auto"/>
          <w:sz w:val="24"/>
          <w:szCs w:val="24"/>
        </w:rPr>
      </w:pPr>
    </w:p>
    <w:p w14:paraId="2B89D504">
      <w:pPr>
        <w:widowControl/>
        <w:spacing w:before="100" w:beforeAutospacing="1" w:after="100" w:afterAutospacing="1" w:line="360" w:lineRule="auto"/>
        <w:jc w:val="center"/>
        <w:rPr>
          <w:rFonts w:hint="eastAsia" w:ascii="宋体" w:hAnsi="宋体" w:eastAsia="宋体" w:cs="宋体"/>
          <w:b/>
          <w:bCs/>
          <w:color w:val="auto"/>
          <w:sz w:val="24"/>
          <w:szCs w:val="24"/>
        </w:rPr>
      </w:pPr>
    </w:p>
    <w:p w14:paraId="22CE22CB">
      <w:pPr>
        <w:pStyle w:val="10"/>
        <w:rPr>
          <w:rFonts w:hint="eastAsia" w:ascii="宋体" w:hAnsi="宋体" w:eastAsia="宋体" w:cs="宋体"/>
          <w:b/>
          <w:bCs/>
          <w:color w:val="auto"/>
          <w:sz w:val="24"/>
          <w:szCs w:val="24"/>
        </w:rPr>
      </w:pPr>
    </w:p>
    <w:p w14:paraId="161198CE">
      <w:pPr>
        <w:rPr>
          <w:rFonts w:hint="eastAsia"/>
        </w:rPr>
      </w:pPr>
    </w:p>
    <w:p w14:paraId="2B89D505">
      <w:pPr>
        <w:spacing w:line="480" w:lineRule="exact"/>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3.4禹州市政府采购供应商信用承诺函</w:t>
      </w:r>
    </w:p>
    <w:p w14:paraId="2B89D506">
      <w:pPr>
        <w:adjustRightInd w:val="0"/>
        <w:spacing w:line="360" w:lineRule="auto"/>
        <w:ind w:firstLine="441" w:firstLineChars="210"/>
        <w:contextualSpacing/>
        <w:rPr>
          <w:rFonts w:hint="eastAsia" w:ascii="宋体" w:hAnsi="宋体" w:eastAsia="宋体" w:cs="宋体"/>
          <w:color w:val="auto"/>
          <w:szCs w:val="21"/>
        </w:rPr>
      </w:pPr>
    </w:p>
    <w:p w14:paraId="2B89D507">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致（采购人或采购代理机构）： </w:t>
      </w:r>
    </w:p>
    <w:p w14:paraId="2B89D508">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单位名称（自然人姓名）</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2B89D509">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统一社会信用代码（身份证号码）</w:t>
      </w:r>
      <w:r>
        <w:rPr>
          <w:rFonts w:hint="eastAsia" w:ascii="宋体" w:hAnsi="宋体" w:eastAsia="宋体" w:cs="宋体"/>
          <w:color w:val="auto"/>
          <w:sz w:val="21"/>
          <w:szCs w:val="21"/>
          <w:lang w:eastAsia="zh-CN"/>
        </w:rPr>
        <w:t>：</w:t>
      </w:r>
    </w:p>
    <w:p w14:paraId="2B89D50A">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法定代表人（负责人）</w:t>
      </w:r>
      <w:r>
        <w:rPr>
          <w:rFonts w:hint="eastAsia" w:ascii="宋体" w:hAnsi="宋体" w:eastAsia="宋体" w:cs="宋体"/>
          <w:color w:val="auto"/>
          <w:sz w:val="21"/>
          <w:szCs w:val="21"/>
          <w:lang w:eastAsia="zh-CN"/>
        </w:rPr>
        <w:t>：</w:t>
      </w:r>
    </w:p>
    <w:p w14:paraId="2B89D50B">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联系地址和电话：</w:t>
      </w:r>
    </w:p>
    <w:p w14:paraId="2B89D50C">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为维护公平、公正、公开的政府采购市场秩序，树立诚实守信的政府采购供应商形象，我单位（本人）自愿作出以下承诺： </w:t>
      </w:r>
    </w:p>
    <w:p w14:paraId="2B89D50D">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 </w:t>
      </w:r>
    </w:p>
    <w:p w14:paraId="2B89D50E">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（一）具有独立承担民事责任的能力； </w:t>
      </w:r>
    </w:p>
    <w:p w14:paraId="2B89D50F">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（二）具有良好的商业信誉和健全的财务会计制度； </w:t>
      </w:r>
    </w:p>
    <w:p w14:paraId="2B89D510">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（三）具有履行合同所必需的设备和专业技术能力； </w:t>
      </w:r>
    </w:p>
    <w:p w14:paraId="2B89D511">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（四）有依法缴纳税收和社会保障资金的良好记录； </w:t>
      </w:r>
    </w:p>
    <w:p w14:paraId="2B89D512">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（五）参加政府采购活动前三年内，在经营活动中没有重大违法记录； </w:t>
      </w:r>
    </w:p>
    <w:p w14:paraId="2B89D513">
      <w:pPr>
        <w:keepNext w:val="0"/>
        <w:keepLines w:val="0"/>
        <w:pageBreakBefore w:val="0"/>
        <w:kinsoku/>
        <w:wordWrap/>
        <w:overflowPunct/>
        <w:topLinePunct w:val="0"/>
        <w:autoSpaceDE/>
        <w:autoSpaceDN/>
        <w:bidi w:val="0"/>
        <w:adjustRightInd/>
        <w:snapToGrid/>
        <w:spacing w:line="460" w:lineRule="exact"/>
        <w:ind w:firstLine="420" w:firstLineChars="200"/>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（六）未被列入经营异常名录或者严重违法失信名单、失信被执行人，重大税收违法失信主体、政府采购严重违法失信行为记录名单； </w:t>
      </w:r>
    </w:p>
    <w:p w14:paraId="2B89D514">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（七）未被相关监管部门作出行政处罚且尚在处罚有效期的； </w:t>
      </w:r>
    </w:p>
    <w:p w14:paraId="2B89D515">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（八）未曾作出虚假采购承诺； </w:t>
      </w:r>
    </w:p>
    <w:p w14:paraId="2B89D516">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（九）符合法律、行政法规规定的其他条件。 </w:t>
      </w:r>
    </w:p>
    <w:p w14:paraId="2B89D517">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二、我单位（本人）保证上述承诺事项的真实性。如有弄虚作假或其他违法违规行为，自愿按照规定将违背承诺行为作为失信行为记录到社会信用信息平台，并视同为“提供虚假材料谋取中标、成交”按照《中华人民共和国政府采购法》第七十</w:t>
      </w:r>
      <w:r>
        <w:rPr>
          <w:rFonts w:hint="eastAsia" w:ascii="宋体" w:hAnsi="宋体" w:eastAsia="宋体" w:cs="宋体"/>
          <w:color w:val="auto"/>
          <w:sz w:val="21"/>
          <w:szCs w:val="21"/>
          <w:lang w:eastAsia="zh-CN"/>
        </w:rPr>
        <w:t>七条、第</w:t>
      </w:r>
      <w:r>
        <w:rPr>
          <w:rFonts w:hint="eastAsia" w:ascii="宋体" w:hAnsi="宋体" w:eastAsia="宋体" w:cs="宋体"/>
          <w:color w:val="auto"/>
          <w:sz w:val="21"/>
          <w:szCs w:val="21"/>
        </w:rPr>
        <w:t xml:space="preserve">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 </w:t>
      </w:r>
    </w:p>
    <w:p w14:paraId="2B89D518">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供应商（电子章）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2B89D519">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法定代表人、负责人、本人或授权代表（签字或电子印章）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2B89D51A">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日期：   年   月   日 </w:t>
      </w:r>
    </w:p>
    <w:p w14:paraId="2B89D51B">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注：</w:t>
      </w:r>
    </w:p>
    <w:p w14:paraId="2B89D51C">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 xml:space="preserve">1.投标人须在投标文件中按此模板提供承诺函，未提供视为未实质性响应招标文件要求，按无效投标处理。 </w:t>
      </w:r>
    </w:p>
    <w:p w14:paraId="2B89D51D">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2.投标人的法定代表人或者授权代表的签字或盖章应真实、有效，如由授权代表签字或盖章的，应提供“法定代表人授权书”。</w:t>
      </w:r>
    </w:p>
    <w:p w14:paraId="2B89D51E">
      <w:pPr>
        <w:keepNext w:val="0"/>
        <w:keepLines w:val="0"/>
        <w:pageBreakBefore w:val="0"/>
        <w:kinsoku/>
        <w:wordWrap/>
        <w:overflowPunct/>
        <w:topLinePunct w:val="0"/>
        <w:autoSpaceDE/>
        <w:autoSpaceDN/>
        <w:bidi w:val="0"/>
        <w:adjustRightInd/>
        <w:snapToGrid/>
        <w:spacing w:line="460" w:lineRule="exact"/>
        <w:ind w:right="420" w:firstLine="4800" w:firstLineChars="2286"/>
        <w:textAlignment w:val="auto"/>
        <w:rPr>
          <w:rFonts w:hint="eastAsia" w:ascii="宋体" w:hAnsi="宋体" w:eastAsia="宋体" w:cs="宋体"/>
          <w:color w:val="auto"/>
          <w:sz w:val="21"/>
          <w:szCs w:val="21"/>
          <w:lang w:val="zh-CN"/>
        </w:rPr>
      </w:pPr>
    </w:p>
    <w:p w14:paraId="2B89D51F">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0">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1">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2">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3">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4">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5">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6">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7">
      <w:pPr>
        <w:pStyle w:val="15"/>
        <w:ind w:firstLine="340"/>
        <w:rPr>
          <w:rFonts w:hint="eastAsia" w:ascii="宋体" w:hAnsi="宋体" w:eastAsia="宋体" w:cs="宋体"/>
          <w:color w:val="auto"/>
          <w:lang w:val="zh-CN"/>
        </w:rPr>
      </w:pPr>
    </w:p>
    <w:p w14:paraId="2B89D528">
      <w:pPr>
        <w:pStyle w:val="16"/>
        <w:ind w:firstLine="480"/>
        <w:rPr>
          <w:rFonts w:hint="eastAsia" w:ascii="宋体" w:hAnsi="宋体" w:eastAsia="宋体" w:cs="宋体"/>
          <w:color w:val="auto"/>
          <w:lang w:val="zh-CN"/>
        </w:rPr>
      </w:pPr>
    </w:p>
    <w:p w14:paraId="2B89D529">
      <w:pPr>
        <w:pStyle w:val="15"/>
        <w:ind w:firstLine="0" w:firstLineChars="0"/>
        <w:rPr>
          <w:rFonts w:hint="eastAsia" w:ascii="宋体" w:hAnsi="宋体" w:eastAsia="宋体" w:cs="宋体"/>
          <w:color w:val="auto"/>
          <w:lang w:val="zh-CN"/>
        </w:rPr>
      </w:pPr>
    </w:p>
    <w:p w14:paraId="2B89D52A">
      <w:pPr>
        <w:rPr>
          <w:rFonts w:hint="eastAsia" w:ascii="宋体" w:hAnsi="宋体" w:eastAsia="宋体" w:cs="宋体"/>
          <w:color w:val="auto"/>
          <w:lang w:val="zh-CN"/>
        </w:rPr>
      </w:pPr>
    </w:p>
    <w:p w14:paraId="2B89D52B">
      <w:pPr>
        <w:rPr>
          <w:rFonts w:hint="eastAsia" w:ascii="宋体" w:hAnsi="宋体" w:eastAsia="宋体" w:cs="宋体"/>
          <w:color w:val="auto"/>
          <w:lang w:val="zh-CN"/>
        </w:rPr>
      </w:pPr>
    </w:p>
    <w:p w14:paraId="2B89D52C">
      <w:pPr>
        <w:pStyle w:val="6"/>
        <w:rPr>
          <w:rFonts w:hint="eastAsia" w:ascii="宋体" w:hAnsi="宋体" w:eastAsia="宋体" w:cs="宋体"/>
          <w:color w:val="auto"/>
          <w:lang w:val="zh-CN"/>
        </w:rPr>
      </w:pPr>
    </w:p>
    <w:p w14:paraId="2B89D52D">
      <w:pPr>
        <w:pStyle w:val="25"/>
        <w:rPr>
          <w:rFonts w:hint="eastAsia" w:ascii="宋体" w:hAnsi="宋体" w:eastAsia="宋体" w:cs="宋体"/>
          <w:color w:val="auto"/>
          <w:lang w:val="zh-CN"/>
        </w:rPr>
      </w:pPr>
    </w:p>
    <w:p w14:paraId="2B89D52E">
      <w:pPr>
        <w:pStyle w:val="26"/>
        <w:rPr>
          <w:rFonts w:hint="eastAsia" w:ascii="宋体" w:hAnsi="宋体" w:eastAsia="宋体" w:cs="宋体"/>
          <w:color w:val="auto"/>
          <w:lang w:val="zh-CN"/>
        </w:rPr>
      </w:pPr>
    </w:p>
    <w:p w14:paraId="2B89D52F">
      <w:pPr>
        <w:rPr>
          <w:rFonts w:hint="eastAsia" w:ascii="宋体" w:hAnsi="宋体" w:eastAsia="宋体" w:cs="宋体"/>
          <w:color w:val="auto"/>
          <w:lang w:val="zh-CN"/>
        </w:rPr>
      </w:pPr>
    </w:p>
    <w:p w14:paraId="2B89D533">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3.5</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投标承诺函</w:t>
      </w:r>
    </w:p>
    <w:p w14:paraId="2B89D534">
      <w:pPr>
        <w:autoSpaceDE w:val="0"/>
        <w:autoSpaceDN w:val="0"/>
        <w:snapToGrid w:val="0"/>
        <w:spacing w:line="360" w:lineRule="auto"/>
        <w:jc w:val="center"/>
        <w:rPr>
          <w:rFonts w:hint="eastAsia" w:ascii="宋体" w:hAnsi="宋体" w:eastAsia="宋体" w:cs="宋体"/>
          <w:b/>
          <w:bCs/>
          <w:color w:val="auto"/>
          <w:sz w:val="24"/>
          <w:szCs w:val="24"/>
        </w:rPr>
      </w:pPr>
    </w:p>
    <w:p w14:paraId="2B89D535">
      <w:pPr>
        <w:keepNext w:val="0"/>
        <w:keepLines w:val="0"/>
        <w:pageBreakBefore w:val="0"/>
        <w:widowControl w:val="0"/>
        <w:kinsoku/>
        <w:wordWrap/>
        <w:overflowPunct/>
        <w:topLinePunct w:val="0"/>
        <w:bidi w:val="0"/>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本企业郑重承诺：</w:t>
      </w:r>
    </w:p>
    <w:p w14:paraId="2B89D536">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经研究，我方自愿参与贵方</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zh-CN"/>
        </w:rPr>
        <w:t>年</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zh-CN"/>
        </w:rPr>
        <w:t>月</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zh-CN"/>
        </w:rPr>
        <w:t>日</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lang w:val="zh-CN"/>
        </w:rPr>
        <w:t>（</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u w:val="single"/>
          <w:lang w:val="zh-CN"/>
        </w:rPr>
        <w:t>、项目名称</w:t>
      </w:r>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u w:val="single"/>
          <w:lang w:val="en-US" w:eastAsia="zh-CN"/>
        </w:rPr>
        <w:t>标段</w:t>
      </w:r>
      <w:r>
        <w:rPr>
          <w:rFonts w:hint="eastAsia" w:ascii="宋体" w:hAnsi="宋体" w:eastAsia="宋体" w:cs="宋体"/>
          <w:color w:val="auto"/>
          <w:sz w:val="21"/>
          <w:szCs w:val="21"/>
          <w:u w:val="single"/>
          <w:lang w:val="zh-CN"/>
        </w:rPr>
        <w:t>）</w:t>
      </w:r>
      <w:r>
        <w:rPr>
          <w:rFonts w:hint="eastAsia" w:ascii="宋体" w:hAnsi="宋体" w:eastAsia="宋体" w:cs="宋体"/>
          <w:color w:val="auto"/>
          <w:sz w:val="21"/>
          <w:szCs w:val="21"/>
          <w:lang w:val="zh-CN"/>
        </w:rPr>
        <w:t>的投标，将严格遵守《中华人民共和国政府采购法》等相关法律法规规定，并无条件地遵守本次采购活动各项规定。我们郑重承诺：我方如果在本次投标活动中有下列情形之一的，愿接受政府采购监督管理部门给予相关处罚并承诺依法承担相关的经济赔偿责任和法律责任。</w:t>
      </w:r>
    </w:p>
    <w:p w14:paraId="2B89D537">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一、在投标有效期内撤销投标文件；</w:t>
      </w:r>
    </w:p>
    <w:p w14:paraId="2B89D538">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二、在投标文件中提供虚假材料；</w:t>
      </w:r>
    </w:p>
    <w:p w14:paraId="2B89D539">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三、除因不可抗力或招标文件认可的情形以外，中标后不与采购人签订合同；</w:t>
      </w:r>
    </w:p>
    <w:p w14:paraId="2B89D53A">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四、与采购人、其他投标人或者采购代理机构恶意串通；</w:t>
      </w:r>
    </w:p>
    <w:p w14:paraId="2B89D53B">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五、法律法规及本招标文件规定的其他严重违法行为。</w:t>
      </w:r>
    </w:p>
    <w:p w14:paraId="2B89D53C">
      <w:pPr>
        <w:keepNext w:val="0"/>
        <w:keepLines w:val="0"/>
        <w:pageBreakBefore w:val="0"/>
        <w:widowControl w:val="0"/>
        <w:kinsoku/>
        <w:wordWrap/>
        <w:overflowPunct/>
        <w:topLinePunct w:val="0"/>
        <w:bidi w:val="0"/>
        <w:snapToGrid/>
        <w:spacing w:line="460" w:lineRule="exact"/>
        <w:textAlignment w:val="auto"/>
        <w:rPr>
          <w:rFonts w:hint="eastAsia" w:ascii="宋体" w:hAnsi="宋体" w:eastAsia="宋体" w:cs="宋体"/>
          <w:color w:val="auto"/>
          <w:sz w:val="21"/>
          <w:szCs w:val="21"/>
          <w:u w:val="single"/>
        </w:rPr>
      </w:pPr>
    </w:p>
    <w:p w14:paraId="2B89D53D">
      <w:pPr>
        <w:keepNext w:val="0"/>
        <w:keepLines w:val="0"/>
        <w:pageBreakBefore w:val="0"/>
        <w:widowControl w:val="0"/>
        <w:kinsoku/>
        <w:wordWrap/>
        <w:overflowPunct/>
        <w:topLinePunct w:val="0"/>
        <w:bidi w:val="0"/>
        <w:snapToGrid/>
        <w:spacing w:line="460" w:lineRule="exact"/>
        <w:textAlignment w:val="auto"/>
        <w:rPr>
          <w:rFonts w:hint="eastAsia" w:ascii="宋体" w:hAnsi="宋体" w:eastAsia="宋体" w:cs="宋体"/>
          <w:color w:val="auto"/>
          <w:sz w:val="21"/>
          <w:szCs w:val="21"/>
          <w:u w:val="single"/>
        </w:rPr>
      </w:pPr>
    </w:p>
    <w:p w14:paraId="2B89D53E">
      <w:pPr>
        <w:keepNext w:val="0"/>
        <w:keepLines w:val="0"/>
        <w:pageBreakBefore w:val="0"/>
        <w:widowControl w:val="0"/>
        <w:kinsoku/>
        <w:wordWrap/>
        <w:overflowPunct/>
        <w:topLinePunct w:val="0"/>
        <w:bidi w:val="0"/>
        <w:snapToGrid/>
        <w:spacing w:line="460" w:lineRule="exact"/>
        <w:ind w:firstLine="4357" w:firstLineChars="2075"/>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zh-CN"/>
        </w:rPr>
        <w:t>投标人名称（</w:t>
      </w:r>
      <w:r>
        <w:rPr>
          <w:rFonts w:hint="eastAsia" w:ascii="宋体" w:hAnsi="宋体" w:eastAsia="宋体" w:cs="宋体"/>
          <w:color w:val="auto"/>
          <w:sz w:val="21"/>
          <w:szCs w:val="21"/>
        </w:rPr>
        <w:t>并加盖公章</w:t>
      </w:r>
      <w:r>
        <w:rPr>
          <w:rFonts w:hint="eastAsia" w:ascii="宋体" w:hAnsi="宋体" w:eastAsia="宋体" w:cs="宋体"/>
          <w:color w:val="auto"/>
          <w:sz w:val="21"/>
          <w:szCs w:val="21"/>
          <w:lang w:val="zh-CN"/>
        </w:rPr>
        <w:t>）：</w:t>
      </w:r>
      <w:r>
        <w:rPr>
          <w:rFonts w:hint="eastAsia" w:ascii="宋体" w:hAnsi="宋体" w:eastAsia="宋体" w:cs="宋体"/>
          <w:color w:val="auto"/>
          <w:sz w:val="21"/>
          <w:szCs w:val="21"/>
        </w:rPr>
        <w:t>　　　　　　　　　</w:t>
      </w:r>
    </w:p>
    <w:p w14:paraId="2B89D53F">
      <w:pPr>
        <w:keepNext w:val="0"/>
        <w:keepLines w:val="0"/>
        <w:pageBreakBefore w:val="0"/>
        <w:widowControl w:val="0"/>
        <w:kinsoku/>
        <w:wordWrap/>
        <w:overflowPunct/>
        <w:topLinePunct w:val="0"/>
        <w:bidi w:val="0"/>
        <w:snapToGrid/>
        <w:spacing w:line="460" w:lineRule="exact"/>
        <w:ind w:firstLine="4357" w:firstLineChars="2075"/>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日期：      年    月    日</w:t>
      </w:r>
    </w:p>
    <w:p w14:paraId="2B89D540">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 w:val="21"/>
          <w:szCs w:val="21"/>
          <w:lang w:val="zh-CN"/>
        </w:rPr>
      </w:pPr>
    </w:p>
    <w:p w14:paraId="2B89D541">
      <w:pPr>
        <w:pStyle w:val="6"/>
        <w:rPr>
          <w:rFonts w:hint="eastAsia" w:ascii="宋体" w:hAnsi="宋体" w:eastAsia="宋体" w:cs="宋体"/>
          <w:color w:val="auto"/>
          <w:lang w:val="zh-CN"/>
        </w:rPr>
      </w:pPr>
    </w:p>
    <w:p w14:paraId="2B89D542">
      <w:pPr>
        <w:pStyle w:val="15"/>
        <w:ind w:firstLine="340"/>
        <w:rPr>
          <w:rFonts w:hint="eastAsia" w:ascii="宋体" w:hAnsi="宋体" w:eastAsia="宋体" w:cs="宋体"/>
          <w:color w:val="auto"/>
          <w:lang w:val="zh-CN"/>
        </w:rPr>
      </w:pPr>
    </w:p>
    <w:p w14:paraId="55109A31">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A90D41E">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18CDD55B">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78C7E094">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52603C36">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F2CD5C1">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3BB792E1">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9CDBA5A">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F5A2A1A">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2B89D543">
      <w:pPr>
        <w:pStyle w:val="6"/>
        <w:rPr>
          <w:rFonts w:hint="eastAsia" w:ascii="宋体" w:hAnsi="宋体" w:eastAsia="宋体" w:cs="宋体"/>
          <w:color w:val="auto"/>
          <w:sz w:val="24"/>
          <w:lang w:val="zh-CN"/>
        </w:rPr>
      </w:pPr>
    </w:p>
    <w:p w14:paraId="2B89D544">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6</w:t>
      </w:r>
      <w:r>
        <w:rPr>
          <w:rFonts w:hint="eastAsia" w:ascii="宋体" w:hAnsi="宋体" w:eastAsia="宋体" w:cs="宋体"/>
          <w:b/>
          <w:bCs/>
          <w:color w:val="auto"/>
          <w:sz w:val="24"/>
          <w:szCs w:val="24"/>
        </w:rPr>
        <w:t xml:space="preserve">投标人提供与参加本项目投标的其他供应商之间，单位负责人不为同一人并且不存在直接控股、管理关系承诺函 </w:t>
      </w:r>
    </w:p>
    <w:p w14:paraId="2B89D545">
      <w:pPr>
        <w:pStyle w:val="14"/>
        <w:widowControl/>
        <w:spacing w:beforeAutospacing="1" w:afterAutospacing="1" w:line="27" w:lineRule="atLeast"/>
        <w:jc w:val="center"/>
        <w:rPr>
          <w:rFonts w:hint="eastAsia" w:ascii="宋体" w:hAnsi="宋体" w:eastAsia="宋体" w:cs="宋体"/>
          <w:color w:val="auto"/>
        </w:rPr>
      </w:pPr>
      <w:r>
        <w:rPr>
          <w:rFonts w:hint="eastAsia" w:ascii="宋体" w:hAnsi="宋体" w:eastAsia="宋体" w:cs="宋体"/>
          <w:color w:val="auto"/>
        </w:rPr>
        <w:t>（承诺函格式自拟）</w:t>
      </w:r>
    </w:p>
    <w:p w14:paraId="2B89D546">
      <w:pPr>
        <w:pStyle w:val="14"/>
        <w:widowControl/>
        <w:spacing w:beforeAutospacing="1" w:afterAutospacing="1"/>
        <w:rPr>
          <w:rFonts w:hint="eastAsia" w:ascii="宋体" w:hAnsi="宋体" w:eastAsia="宋体" w:cs="宋体"/>
          <w:color w:val="auto"/>
        </w:rPr>
      </w:pPr>
    </w:p>
    <w:p w14:paraId="2B89D547">
      <w:pPr>
        <w:pStyle w:val="14"/>
        <w:widowControl/>
        <w:spacing w:beforeAutospacing="1" w:afterAutospacing="1"/>
        <w:rPr>
          <w:rFonts w:hint="eastAsia" w:ascii="宋体" w:hAnsi="宋体" w:eastAsia="宋体" w:cs="宋体"/>
          <w:color w:val="auto"/>
        </w:rPr>
      </w:pPr>
    </w:p>
    <w:p w14:paraId="4FF702BA">
      <w:pPr>
        <w:pStyle w:val="14"/>
        <w:widowControl/>
        <w:spacing w:beforeAutospacing="1" w:afterAutospacing="1"/>
        <w:rPr>
          <w:rFonts w:hint="eastAsia" w:ascii="宋体" w:hAnsi="宋体" w:eastAsia="宋体" w:cs="宋体"/>
          <w:color w:val="auto"/>
        </w:rPr>
      </w:pPr>
    </w:p>
    <w:p w14:paraId="2F6300E4">
      <w:pPr>
        <w:pStyle w:val="14"/>
        <w:widowControl/>
        <w:spacing w:beforeAutospacing="1" w:afterAutospacing="1"/>
        <w:rPr>
          <w:rFonts w:hint="eastAsia" w:ascii="宋体" w:hAnsi="宋体" w:eastAsia="宋体" w:cs="宋体"/>
          <w:color w:val="auto"/>
        </w:rPr>
      </w:pPr>
    </w:p>
    <w:p w14:paraId="7003CCB0">
      <w:pPr>
        <w:pStyle w:val="14"/>
        <w:widowControl/>
        <w:spacing w:beforeAutospacing="1" w:afterAutospacing="1"/>
        <w:rPr>
          <w:rFonts w:hint="eastAsia" w:ascii="宋体" w:hAnsi="宋体" w:eastAsia="宋体" w:cs="宋体"/>
          <w:color w:val="auto"/>
        </w:rPr>
      </w:pPr>
    </w:p>
    <w:p w14:paraId="0AE2FCC9">
      <w:pPr>
        <w:pStyle w:val="14"/>
        <w:widowControl/>
        <w:spacing w:beforeAutospacing="1" w:afterAutospacing="1"/>
        <w:rPr>
          <w:rFonts w:hint="eastAsia" w:ascii="宋体" w:hAnsi="宋体" w:eastAsia="宋体" w:cs="宋体"/>
          <w:color w:val="auto"/>
        </w:rPr>
      </w:pPr>
    </w:p>
    <w:p w14:paraId="3BC14D00">
      <w:pPr>
        <w:pStyle w:val="14"/>
        <w:widowControl/>
        <w:spacing w:beforeAutospacing="1" w:afterAutospacing="1"/>
        <w:rPr>
          <w:rFonts w:hint="eastAsia" w:ascii="宋体" w:hAnsi="宋体" w:eastAsia="宋体" w:cs="宋体"/>
          <w:color w:val="auto"/>
        </w:rPr>
      </w:pPr>
    </w:p>
    <w:p w14:paraId="2B89D548">
      <w:pPr>
        <w:pStyle w:val="14"/>
        <w:widowControl/>
        <w:spacing w:beforeAutospacing="1" w:afterAutospacing="1"/>
        <w:rPr>
          <w:rFonts w:hint="eastAsia" w:ascii="宋体" w:hAnsi="宋体" w:eastAsia="宋体" w:cs="宋体"/>
          <w:color w:val="auto"/>
        </w:rPr>
      </w:pPr>
    </w:p>
    <w:p w14:paraId="2B89D549">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7</w:t>
      </w:r>
      <w:r>
        <w:rPr>
          <w:rFonts w:hint="eastAsia" w:ascii="宋体" w:hAnsi="宋体" w:eastAsia="宋体" w:cs="宋体"/>
          <w:b/>
          <w:bCs/>
          <w:color w:val="auto"/>
          <w:sz w:val="24"/>
          <w:szCs w:val="24"/>
        </w:rPr>
        <w:t xml:space="preserve">投标人提供未为本项目提供整体设计、规范编制或者项目管理、监理、检测等服务承诺函 </w:t>
      </w:r>
    </w:p>
    <w:p w14:paraId="2B89D54A">
      <w:pPr>
        <w:autoSpaceDE w:val="0"/>
        <w:autoSpaceDN w:val="0"/>
        <w:adjustRightInd w:val="0"/>
        <w:spacing w:line="360" w:lineRule="auto"/>
        <w:jc w:val="center"/>
        <w:outlineLvl w:val="0"/>
        <w:rPr>
          <w:rFonts w:hint="eastAsia" w:ascii="宋体" w:hAnsi="宋体" w:eastAsia="宋体" w:cs="宋体"/>
          <w:color w:val="auto"/>
        </w:rPr>
      </w:pPr>
      <w:r>
        <w:rPr>
          <w:rFonts w:hint="eastAsia" w:ascii="宋体" w:hAnsi="宋体" w:eastAsia="宋体" w:cs="宋体"/>
          <w:color w:val="auto"/>
          <w:sz w:val="24"/>
          <w:szCs w:val="24"/>
        </w:rPr>
        <w:t>（承诺函格式自拟）</w:t>
      </w:r>
    </w:p>
    <w:p w14:paraId="2B89D54B">
      <w:pPr>
        <w:pStyle w:val="6"/>
        <w:rPr>
          <w:rFonts w:hint="eastAsia" w:ascii="宋体" w:hAnsi="宋体" w:eastAsia="宋体" w:cs="宋体"/>
          <w:color w:val="auto"/>
          <w:sz w:val="24"/>
          <w:lang w:val="zh-CN"/>
        </w:rPr>
      </w:pPr>
    </w:p>
    <w:p w14:paraId="2B89D54C">
      <w:pPr>
        <w:pStyle w:val="6"/>
        <w:rPr>
          <w:rFonts w:hint="eastAsia" w:ascii="宋体" w:hAnsi="宋体" w:eastAsia="宋体" w:cs="宋体"/>
          <w:b/>
          <w:bCs/>
          <w:color w:val="auto"/>
          <w:kern w:val="2"/>
          <w:sz w:val="24"/>
          <w:szCs w:val="24"/>
          <w:lang w:val="zh-CN" w:eastAsia="zh-CN" w:bidi="ar-SA"/>
        </w:rPr>
      </w:pPr>
    </w:p>
    <w:p w14:paraId="2B89D568">
      <w:pPr>
        <w:pStyle w:val="6"/>
        <w:rPr>
          <w:rFonts w:hint="eastAsia" w:ascii="宋体" w:hAnsi="宋体" w:eastAsia="宋体" w:cs="宋体"/>
          <w:color w:val="auto"/>
          <w:sz w:val="24"/>
          <w:lang w:val="zh-CN"/>
        </w:rPr>
      </w:pPr>
    </w:p>
    <w:p w14:paraId="2B89D569">
      <w:pPr>
        <w:pStyle w:val="6"/>
        <w:rPr>
          <w:rFonts w:hint="eastAsia" w:ascii="宋体" w:hAnsi="宋体" w:eastAsia="宋体" w:cs="宋体"/>
          <w:color w:val="auto"/>
          <w:sz w:val="24"/>
          <w:lang w:val="zh-CN"/>
        </w:rPr>
      </w:pPr>
    </w:p>
    <w:p w14:paraId="2B89D56A">
      <w:pPr>
        <w:pStyle w:val="6"/>
        <w:rPr>
          <w:rFonts w:hint="eastAsia" w:ascii="宋体" w:hAnsi="宋体" w:eastAsia="宋体" w:cs="宋体"/>
          <w:color w:val="auto"/>
          <w:sz w:val="24"/>
          <w:lang w:val="zh-CN"/>
        </w:rPr>
      </w:pPr>
    </w:p>
    <w:p w14:paraId="2B89D56B">
      <w:pPr>
        <w:pStyle w:val="6"/>
        <w:rPr>
          <w:rFonts w:hint="eastAsia" w:ascii="宋体" w:hAnsi="宋体" w:eastAsia="宋体" w:cs="宋体"/>
          <w:color w:val="auto"/>
          <w:sz w:val="24"/>
          <w:lang w:val="zh-CN"/>
        </w:rPr>
      </w:pPr>
    </w:p>
    <w:p w14:paraId="2B89D56C">
      <w:pPr>
        <w:pStyle w:val="6"/>
        <w:rPr>
          <w:rFonts w:hint="eastAsia" w:ascii="宋体" w:hAnsi="宋体" w:eastAsia="宋体" w:cs="宋体"/>
          <w:color w:val="auto"/>
          <w:sz w:val="24"/>
          <w:lang w:val="zh-CN"/>
        </w:rPr>
      </w:pPr>
    </w:p>
    <w:p w14:paraId="2B89D56D">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rPr>
        <w:t xml:space="preserve">其他资格证书或材料 </w:t>
      </w:r>
    </w:p>
    <w:p w14:paraId="2B89D56E">
      <w:pPr>
        <w:autoSpaceDE w:val="0"/>
        <w:autoSpaceDN w:val="0"/>
        <w:adjustRightInd w:val="0"/>
        <w:spacing w:line="360" w:lineRule="auto"/>
        <w:rPr>
          <w:rFonts w:hint="eastAsia" w:ascii="宋体" w:hAnsi="宋体" w:eastAsia="宋体" w:cs="宋体"/>
          <w:b/>
          <w:bCs/>
          <w:color w:val="auto"/>
          <w:sz w:val="28"/>
          <w:szCs w:val="28"/>
          <w:lang w:val="zh-CN"/>
        </w:rPr>
      </w:pPr>
    </w:p>
    <w:p w14:paraId="2B89D56F">
      <w:pPr>
        <w:pStyle w:val="6"/>
        <w:rPr>
          <w:rFonts w:hint="eastAsia" w:ascii="宋体" w:hAnsi="宋体" w:eastAsia="宋体" w:cs="宋体"/>
          <w:color w:val="auto"/>
          <w:lang w:val="zh-CN"/>
        </w:rPr>
      </w:pPr>
    </w:p>
    <w:p w14:paraId="2B89D570">
      <w:pPr>
        <w:pStyle w:val="6"/>
        <w:rPr>
          <w:rFonts w:hint="eastAsia" w:ascii="宋体" w:hAnsi="宋体" w:eastAsia="宋体" w:cs="宋体"/>
          <w:color w:val="auto"/>
          <w:lang w:val="zh-CN"/>
        </w:rPr>
      </w:pPr>
    </w:p>
    <w:p w14:paraId="2B89D571">
      <w:pPr>
        <w:pStyle w:val="6"/>
        <w:rPr>
          <w:rFonts w:hint="eastAsia" w:ascii="宋体" w:hAnsi="宋体" w:eastAsia="宋体" w:cs="宋体"/>
          <w:color w:val="auto"/>
          <w:lang w:val="zh-CN"/>
        </w:rPr>
      </w:pPr>
    </w:p>
    <w:p w14:paraId="2B89D577">
      <w:pPr>
        <w:pStyle w:val="6"/>
        <w:rPr>
          <w:rFonts w:hint="eastAsia" w:ascii="宋体" w:hAnsi="宋体" w:eastAsia="宋体" w:cs="宋体"/>
          <w:color w:val="auto"/>
          <w:lang w:val="zh-CN"/>
        </w:rPr>
      </w:pPr>
    </w:p>
    <w:p w14:paraId="2B89D578">
      <w:pPr>
        <w:autoSpaceDE w:val="0"/>
        <w:autoSpaceDN w:val="0"/>
        <w:adjustRightInd w:val="0"/>
        <w:spacing w:line="360" w:lineRule="auto"/>
        <w:jc w:val="center"/>
        <w:rPr>
          <w:rFonts w:hint="eastAsia" w:ascii="宋体" w:hAnsi="宋体" w:eastAsia="宋体" w:cs="宋体"/>
          <w:b/>
          <w:snapToGrid w:val="0"/>
          <w:color w:val="auto"/>
          <w:kern w:val="0"/>
          <w:sz w:val="28"/>
          <w:szCs w:val="28"/>
        </w:rPr>
      </w:pPr>
      <w:r>
        <w:rPr>
          <w:rFonts w:hint="eastAsia" w:ascii="宋体" w:hAnsi="宋体" w:eastAsia="宋体" w:cs="宋体"/>
          <w:b/>
          <w:bCs/>
          <w:color w:val="auto"/>
          <w:sz w:val="28"/>
          <w:szCs w:val="28"/>
          <w:lang w:val="zh-CN"/>
        </w:rPr>
        <w:t>四、符合性审查相关材料</w:t>
      </w:r>
    </w:p>
    <w:p w14:paraId="2C486404">
      <w:pPr>
        <w:spacing w:line="360" w:lineRule="auto"/>
        <w:ind w:firstLine="3614" w:firstLineChars="1500"/>
        <w:contextualSpacing/>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4.1分项报价表</w:t>
      </w:r>
    </w:p>
    <w:p w14:paraId="6E875523">
      <w:pPr>
        <w:autoSpaceDE w:val="0"/>
        <w:autoSpaceDN w:val="0"/>
        <w:adjustRightInd w:val="0"/>
        <w:spacing w:line="360" w:lineRule="auto"/>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（投标人根据招标文件要求自行编制）</w:t>
      </w:r>
    </w:p>
    <w:p w14:paraId="6573E0D8">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129B360">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5057E129">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3DD7193">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405A29A4">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746C770D">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B89D5C7">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4.</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 xml:space="preserve"> 技术方案（实施方案）</w:t>
      </w:r>
    </w:p>
    <w:p w14:paraId="2B89D5C8">
      <w:pPr>
        <w:snapToGrid w:val="0"/>
        <w:spacing w:line="360" w:lineRule="auto"/>
        <w:jc w:val="center"/>
        <w:rPr>
          <w:rFonts w:hint="eastAsia" w:ascii="宋体" w:hAnsi="宋体" w:eastAsia="宋体" w:cs="宋体"/>
          <w:b/>
          <w:snapToGrid w:val="0"/>
          <w:color w:val="auto"/>
          <w:kern w:val="0"/>
          <w:sz w:val="36"/>
          <w:szCs w:val="36"/>
        </w:rPr>
      </w:pPr>
    </w:p>
    <w:p w14:paraId="2B89D5C9">
      <w:pPr>
        <w:autoSpaceDE w:val="0"/>
        <w:autoSpaceDN w:val="0"/>
        <w:adjustRightInd w:val="0"/>
        <w:spacing w:line="360" w:lineRule="auto"/>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（投标人根据招标文件要求自行编制）</w:t>
      </w:r>
    </w:p>
    <w:p w14:paraId="2B89D5CA">
      <w:pPr>
        <w:pStyle w:val="15"/>
        <w:ind w:firstLine="340"/>
        <w:rPr>
          <w:rFonts w:hint="eastAsia" w:ascii="宋体" w:hAnsi="宋体" w:eastAsia="宋体" w:cs="宋体"/>
          <w:color w:val="auto"/>
        </w:rPr>
      </w:pPr>
    </w:p>
    <w:p w14:paraId="2B89D5CB">
      <w:pPr>
        <w:pStyle w:val="16"/>
        <w:ind w:firstLine="480"/>
        <w:rPr>
          <w:rFonts w:hint="eastAsia" w:ascii="宋体" w:hAnsi="宋体" w:eastAsia="宋体" w:cs="宋体"/>
          <w:color w:val="auto"/>
        </w:rPr>
      </w:pPr>
    </w:p>
    <w:p w14:paraId="2B89D5CC">
      <w:pPr>
        <w:pStyle w:val="9"/>
        <w:ind w:left="5250"/>
        <w:rPr>
          <w:rFonts w:hint="eastAsia" w:ascii="宋体" w:hAnsi="宋体" w:eastAsia="宋体" w:cs="宋体"/>
          <w:color w:val="auto"/>
        </w:rPr>
      </w:pPr>
    </w:p>
    <w:p w14:paraId="2B89D5CD">
      <w:pPr>
        <w:rPr>
          <w:rFonts w:hint="eastAsia" w:ascii="宋体" w:hAnsi="宋体" w:eastAsia="宋体" w:cs="宋体"/>
          <w:color w:val="auto"/>
        </w:rPr>
      </w:pPr>
    </w:p>
    <w:p w14:paraId="2B89D5CE">
      <w:pPr>
        <w:rPr>
          <w:rFonts w:hint="eastAsia" w:ascii="宋体" w:hAnsi="宋体" w:eastAsia="宋体" w:cs="宋体"/>
          <w:color w:val="auto"/>
        </w:rPr>
      </w:pPr>
    </w:p>
    <w:p w14:paraId="1EDA0C3A">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45184F5E">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B89D5CF">
      <w:pPr>
        <w:autoSpaceDE w:val="0"/>
        <w:autoSpaceDN w:val="0"/>
        <w:adjustRightInd w:val="0"/>
        <w:spacing w:line="360" w:lineRule="auto"/>
        <w:jc w:val="center"/>
        <w:outlineLvl w:val="0"/>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rPr>
        <w:t>4.</w:t>
      </w: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 xml:space="preserve"> </w:t>
      </w:r>
      <w:r>
        <w:rPr>
          <w:rFonts w:hint="eastAsia" w:ascii="宋体" w:hAnsi="宋体" w:eastAsia="宋体" w:cs="宋体"/>
          <w:b/>
          <w:bCs/>
          <w:color w:val="auto"/>
          <w:sz w:val="24"/>
          <w:szCs w:val="24"/>
          <w:lang w:val="en-US" w:eastAsia="zh-CN"/>
        </w:rPr>
        <w:t>服务承诺</w:t>
      </w:r>
    </w:p>
    <w:p w14:paraId="2B89D5D0">
      <w:pPr>
        <w:autoSpaceDE w:val="0"/>
        <w:autoSpaceDN w:val="0"/>
        <w:adjustRightInd w:val="0"/>
        <w:spacing w:line="360" w:lineRule="auto"/>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（投标人根据招标文件要求自行编制）</w:t>
      </w:r>
    </w:p>
    <w:p w14:paraId="2B89D5D1">
      <w:pPr>
        <w:pStyle w:val="6"/>
        <w:rPr>
          <w:rFonts w:hint="eastAsia" w:ascii="宋体" w:hAnsi="宋体" w:eastAsia="宋体" w:cs="宋体"/>
          <w:color w:val="auto"/>
          <w:kern w:val="0"/>
          <w:sz w:val="34"/>
          <w:szCs w:val="20"/>
          <w:lang w:val="zh-CN"/>
        </w:rPr>
      </w:pPr>
    </w:p>
    <w:p w14:paraId="2B89D5D2">
      <w:pPr>
        <w:rPr>
          <w:rFonts w:hint="eastAsia" w:ascii="宋体" w:hAnsi="宋体" w:eastAsia="宋体" w:cs="宋体"/>
          <w:color w:val="auto"/>
          <w:lang w:val="zh-CN"/>
        </w:rPr>
      </w:pPr>
    </w:p>
    <w:p w14:paraId="30662CAC">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4751D15">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697C0D8">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77261A33">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41BD360">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B89D5D3">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4.</w:t>
      </w: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 xml:space="preserve"> 业绩情况表</w:t>
      </w:r>
    </w:p>
    <w:p w14:paraId="2B89D5D4">
      <w:pPr>
        <w:autoSpaceDE w:val="0"/>
        <w:autoSpaceDN w:val="0"/>
        <w:adjustRightInd w:val="0"/>
        <w:spacing w:line="360" w:lineRule="auto"/>
        <w:jc w:val="center"/>
        <w:outlineLvl w:val="0"/>
        <w:rPr>
          <w:rFonts w:hint="eastAsia" w:ascii="宋体" w:hAnsi="宋体" w:eastAsia="宋体" w:cs="宋体"/>
          <w:b/>
          <w:bCs/>
          <w:color w:val="auto"/>
          <w:sz w:val="28"/>
          <w:szCs w:val="28"/>
        </w:rPr>
      </w:pPr>
    </w:p>
    <w:p w14:paraId="2B89D5D5">
      <w:pPr>
        <w:spacing w:before="50" w:after="156" w:afterLines="50" w:line="360" w:lineRule="auto"/>
        <w:contextualSpacing/>
        <w:jc w:val="left"/>
        <w:rPr>
          <w:rFonts w:hint="eastAsia" w:ascii="宋体" w:hAnsi="宋体" w:eastAsia="宋体" w:cs="宋体"/>
          <w:color w:val="auto"/>
          <w:szCs w:val="21"/>
        </w:rPr>
      </w:pPr>
      <w:r>
        <w:rPr>
          <w:rFonts w:hint="eastAsia" w:ascii="宋体" w:hAnsi="宋体" w:eastAsia="宋体" w:cs="宋体"/>
          <w:color w:val="auto"/>
          <w:szCs w:val="21"/>
          <w:lang w:eastAsia="zh-CN"/>
        </w:rPr>
        <w:t>采购编号</w:t>
      </w:r>
      <w:r>
        <w:rPr>
          <w:rFonts w:hint="eastAsia" w:ascii="宋体" w:hAnsi="宋体" w:eastAsia="宋体" w:cs="宋体"/>
          <w:color w:val="auto"/>
          <w:szCs w:val="21"/>
        </w:rPr>
        <w:t>：</w:t>
      </w:r>
    </w:p>
    <w:p w14:paraId="2B89D5D6">
      <w:pPr>
        <w:snapToGrid w:val="0"/>
        <w:spacing w:line="360" w:lineRule="auto"/>
        <w:rPr>
          <w:rFonts w:hint="eastAsia" w:ascii="宋体" w:hAnsi="宋体" w:eastAsia="宋体" w:cs="宋体"/>
          <w:b/>
          <w:snapToGrid w:val="0"/>
          <w:color w:val="auto"/>
          <w:kern w:val="0"/>
          <w:szCs w:val="21"/>
        </w:rPr>
      </w:pPr>
      <w:r>
        <w:rPr>
          <w:rFonts w:hint="eastAsia" w:ascii="宋体" w:hAnsi="宋体" w:eastAsia="宋体" w:cs="宋体"/>
          <w:color w:val="auto"/>
          <w:szCs w:val="21"/>
        </w:rPr>
        <w:t xml:space="preserve">项目名称、标段：   </w:t>
      </w:r>
    </w:p>
    <w:tbl>
      <w:tblPr>
        <w:tblStyle w:val="17"/>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2B89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vAlign w:val="center"/>
          </w:tcPr>
          <w:p w14:paraId="2B89D5D7">
            <w:pPr>
              <w:pStyle w:val="4"/>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808" w:type="dxa"/>
            <w:vAlign w:val="center"/>
          </w:tcPr>
          <w:p w14:paraId="2B89D5D8">
            <w:pPr>
              <w:pStyle w:val="4"/>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客户单位名称</w:t>
            </w:r>
          </w:p>
        </w:tc>
        <w:tc>
          <w:tcPr>
            <w:tcW w:w="3579" w:type="dxa"/>
            <w:vAlign w:val="center"/>
          </w:tcPr>
          <w:p w14:paraId="2B89D5D9">
            <w:pPr>
              <w:pStyle w:val="4"/>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项目名称及主要内容</w:t>
            </w:r>
          </w:p>
        </w:tc>
        <w:tc>
          <w:tcPr>
            <w:tcW w:w="1440" w:type="dxa"/>
            <w:vAlign w:val="center"/>
          </w:tcPr>
          <w:p w14:paraId="2B89D5DA">
            <w:pPr>
              <w:pStyle w:val="4"/>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合同金额</w:t>
            </w:r>
          </w:p>
          <w:p w14:paraId="2B89D5DB">
            <w:pPr>
              <w:pStyle w:val="4"/>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（万元）</w:t>
            </w:r>
          </w:p>
        </w:tc>
        <w:tc>
          <w:tcPr>
            <w:tcW w:w="1706" w:type="dxa"/>
            <w:vAlign w:val="center"/>
          </w:tcPr>
          <w:p w14:paraId="2B89D5DC">
            <w:pPr>
              <w:pStyle w:val="4"/>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联系人及电话</w:t>
            </w:r>
          </w:p>
        </w:tc>
      </w:tr>
      <w:tr w14:paraId="2B89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B89D5DE">
            <w:pPr>
              <w:pStyle w:val="4"/>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808" w:type="dxa"/>
            <w:vAlign w:val="center"/>
          </w:tcPr>
          <w:p w14:paraId="2B89D5DF">
            <w:pPr>
              <w:pStyle w:val="4"/>
              <w:spacing w:line="360" w:lineRule="auto"/>
              <w:rPr>
                <w:rFonts w:hint="eastAsia" w:ascii="宋体" w:hAnsi="宋体" w:eastAsia="宋体" w:cs="宋体"/>
                <w:color w:val="auto"/>
                <w:sz w:val="21"/>
                <w:szCs w:val="21"/>
              </w:rPr>
            </w:pPr>
          </w:p>
        </w:tc>
        <w:tc>
          <w:tcPr>
            <w:tcW w:w="3579" w:type="dxa"/>
            <w:vAlign w:val="center"/>
          </w:tcPr>
          <w:p w14:paraId="2B89D5E0">
            <w:pPr>
              <w:pStyle w:val="4"/>
              <w:spacing w:line="360" w:lineRule="auto"/>
              <w:rPr>
                <w:rFonts w:hint="eastAsia" w:ascii="宋体" w:hAnsi="宋体" w:eastAsia="宋体" w:cs="宋体"/>
                <w:color w:val="auto"/>
                <w:sz w:val="21"/>
                <w:szCs w:val="21"/>
              </w:rPr>
            </w:pPr>
          </w:p>
        </w:tc>
        <w:tc>
          <w:tcPr>
            <w:tcW w:w="1440" w:type="dxa"/>
            <w:vAlign w:val="center"/>
          </w:tcPr>
          <w:p w14:paraId="2B89D5E1">
            <w:pPr>
              <w:pStyle w:val="4"/>
              <w:spacing w:line="360" w:lineRule="auto"/>
              <w:rPr>
                <w:rFonts w:hint="eastAsia" w:ascii="宋体" w:hAnsi="宋体" w:eastAsia="宋体" w:cs="宋体"/>
                <w:color w:val="auto"/>
                <w:sz w:val="21"/>
                <w:szCs w:val="21"/>
              </w:rPr>
            </w:pPr>
          </w:p>
        </w:tc>
        <w:tc>
          <w:tcPr>
            <w:tcW w:w="1706" w:type="dxa"/>
            <w:vAlign w:val="center"/>
          </w:tcPr>
          <w:p w14:paraId="2B89D5E2">
            <w:pPr>
              <w:pStyle w:val="4"/>
              <w:spacing w:line="360" w:lineRule="auto"/>
              <w:rPr>
                <w:rFonts w:hint="eastAsia" w:ascii="宋体" w:hAnsi="宋体" w:eastAsia="宋体" w:cs="宋体"/>
                <w:color w:val="auto"/>
                <w:sz w:val="21"/>
                <w:szCs w:val="21"/>
              </w:rPr>
            </w:pPr>
          </w:p>
        </w:tc>
      </w:tr>
      <w:tr w14:paraId="2B89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B89D5E4">
            <w:pPr>
              <w:pStyle w:val="4"/>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808" w:type="dxa"/>
            <w:vAlign w:val="center"/>
          </w:tcPr>
          <w:p w14:paraId="2B89D5E5">
            <w:pPr>
              <w:pStyle w:val="4"/>
              <w:spacing w:line="360" w:lineRule="auto"/>
              <w:rPr>
                <w:rFonts w:hint="eastAsia" w:ascii="宋体" w:hAnsi="宋体" w:eastAsia="宋体" w:cs="宋体"/>
                <w:color w:val="auto"/>
                <w:sz w:val="21"/>
                <w:szCs w:val="21"/>
              </w:rPr>
            </w:pPr>
          </w:p>
        </w:tc>
        <w:tc>
          <w:tcPr>
            <w:tcW w:w="3579" w:type="dxa"/>
            <w:vAlign w:val="center"/>
          </w:tcPr>
          <w:p w14:paraId="2B89D5E6">
            <w:pPr>
              <w:pStyle w:val="4"/>
              <w:spacing w:line="360" w:lineRule="auto"/>
              <w:rPr>
                <w:rFonts w:hint="eastAsia" w:ascii="宋体" w:hAnsi="宋体" w:eastAsia="宋体" w:cs="宋体"/>
                <w:color w:val="auto"/>
                <w:sz w:val="21"/>
                <w:szCs w:val="21"/>
              </w:rPr>
            </w:pPr>
          </w:p>
        </w:tc>
        <w:tc>
          <w:tcPr>
            <w:tcW w:w="1440" w:type="dxa"/>
            <w:vAlign w:val="center"/>
          </w:tcPr>
          <w:p w14:paraId="2B89D5E7">
            <w:pPr>
              <w:pStyle w:val="4"/>
              <w:spacing w:line="360" w:lineRule="auto"/>
              <w:rPr>
                <w:rFonts w:hint="eastAsia" w:ascii="宋体" w:hAnsi="宋体" w:eastAsia="宋体" w:cs="宋体"/>
                <w:color w:val="auto"/>
                <w:sz w:val="21"/>
                <w:szCs w:val="21"/>
              </w:rPr>
            </w:pPr>
          </w:p>
        </w:tc>
        <w:tc>
          <w:tcPr>
            <w:tcW w:w="1706" w:type="dxa"/>
            <w:vAlign w:val="center"/>
          </w:tcPr>
          <w:p w14:paraId="2B89D5E8">
            <w:pPr>
              <w:pStyle w:val="4"/>
              <w:spacing w:line="360" w:lineRule="auto"/>
              <w:rPr>
                <w:rFonts w:hint="eastAsia" w:ascii="宋体" w:hAnsi="宋体" w:eastAsia="宋体" w:cs="宋体"/>
                <w:color w:val="auto"/>
                <w:sz w:val="21"/>
                <w:szCs w:val="21"/>
              </w:rPr>
            </w:pPr>
          </w:p>
        </w:tc>
      </w:tr>
      <w:tr w14:paraId="2B89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B89D5EA">
            <w:pPr>
              <w:pStyle w:val="4"/>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1808" w:type="dxa"/>
            <w:vAlign w:val="center"/>
          </w:tcPr>
          <w:p w14:paraId="2B89D5EB">
            <w:pPr>
              <w:pStyle w:val="4"/>
              <w:spacing w:line="360" w:lineRule="auto"/>
              <w:rPr>
                <w:rFonts w:hint="eastAsia" w:ascii="宋体" w:hAnsi="宋体" w:eastAsia="宋体" w:cs="宋体"/>
                <w:color w:val="auto"/>
                <w:sz w:val="21"/>
                <w:szCs w:val="21"/>
              </w:rPr>
            </w:pPr>
          </w:p>
        </w:tc>
        <w:tc>
          <w:tcPr>
            <w:tcW w:w="3579" w:type="dxa"/>
            <w:vAlign w:val="center"/>
          </w:tcPr>
          <w:p w14:paraId="2B89D5EC">
            <w:pPr>
              <w:pStyle w:val="4"/>
              <w:spacing w:line="360" w:lineRule="auto"/>
              <w:rPr>
                <w:rFonts w:hint="eastAsia" w:ascii="宋体" w:hAnsi="宋体" w:eastAsia="宋体" w:cs="宋体"/>
                <w:color w:val="auto"/>
                <w:sz w:val="21"/>
                <w:szCs w:val="21"/>
              </w:rPr>
            </w:pPr>
          </w:p>
        </w:tc>
        <w:tc>
          <w:tcPr>
            <w:tcW w:w="1440" w:type="dxa"/>
            <w:vAlign w:val="center"/>
          </w:tcPr>
          <w:p w14:paraId="2B89D5ED">
            <w:pPr>
              <w:pStyle w:val="4"/>
              <w:spacing w:line="360" w:lineRule="auto"/>
              <w:rPr>
                <w:rFonts w:hint="eastAsia" w:ascii="宋体" w:hAnsi="宋体" w:eastAsia="宋体" w:cs="宋体"/>
                <w:color w:val="auto"/>
                <w:sz w:val="21"/>
                <w:szCs w:val="21"/>
              </w:rPr>
            </w:pPr>
          </w:p>
        </w:tc>
        <w:tc>
          <w:tcPr>
            <w:tcW w:w="1706" w:type="dxa"/>
            <w:vAlign w:val="center"/>
          </w:tcPr>
          <w:p w14:paraId="2B89D5EE">
            <w:pPr>
              <w:pStyle w:val="4"/>
              <w:spacing w:line="360" w:lineRule="auto"/>
              <w:rPr>
                <w:rFonts w:hint="eastAsia" w:ascii="宋体" w:hAnsi="宋体" w:eastAsia="宋体" w:cs="宋体"/>
                <w:color w:val="auto"/>
                <w:sz w:val="21"/>
                <w:szCs w:val="21"/>
              </w:rPr>
            </w:pPr>
          </w:p>
        </w:tc>
      </w:tr>
      <w:tr w14:paraId="2B89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B89D5F0">
            <w:pPr>
              <w:pStyle w:val="4"/>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1808" w:type="dxa"/>
            <w:vAlign w:val="center"/>
          </w:tcPr>
          <w:p w14:paraId="2B89D5F1">
            <w:pPr>
              <w:rPr>
                <w:rFonts w:hint="eastAsia" w:ascii="宋体" w:hAnsi="宋体" w:eastAsia="宋体" w:cs="宋体"/>
                <w:color w:val="auto"/>
                <w:szCs w:val="21"/>
              </w:rPr>
            </w:pPr>
          </w:p>
        </w:tc>
        <w:tc>
          <w:tcPr>
            <w:tcW w:w="3579" w:type="dxa"/>
            <w:vAlign w:val="center"/>
          </w:tcPr>
          <w:p w14:paraId="2B89D5F2">
            <w:pPr>
              <w:rPr>
                <w:rFonts w:hint="eastAsia" w:ascii="宋体" w:hAnsi="宋体" w:eastAsia="宋体" w:cs="宋体"/>
                <w:color w:val="auto"/>
                <w:szCs w:val="21"/>
              </w:rPr>
            </w:pPr>
          </w:p>
        </w:tc>
        <w:tc>
          <w:tcPr>
            <w:tcW w:w="1440" w:type="dxa"/>
            <w:vAlign w:val="center"/>
          </w:tcPr>
          <w:p w14:paraId="2B89D5F3">
            <w:pPr>
              <w:rPr>
                <w:rFonts w:hint="eastAsia" w:ascii="宋体" w:hAnsi="宋体" w:eastAsia="宋体" w:cs="宋体"/>
                <w:color w:val="auto"/>
                <w:szCs w:val="21"/>
              </w:rPr>
            </w:pPr>
          </w:p>
        </w:tc>
        <w:tc>
          <w:tcPr>
            <w:tcW w:w="1706" w:type="dxa"/>
            <w:vAlign w:val="center"/>
          </w:tcPr>
          <w:p w14:paraId="2B89D5F4">
            <w:pPr>
              <w:rPr>
                <w:rFonts w:hint="eastAsia" w:ascii="宋体" w:hAnsi="宋体" w:eastAsia="宋体" w:cs="宋体"/>
                <w:color w:val="auto"/>
                <w:szCs w:val="21"/>
              </w:rPr>
            </w:pPr>
          </w:p>
        </w:tc>
      </w:tr>
      <w:tr w14:paraId="2B89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B89D5F6">
            <w:pPr>
              <w:pStyle w:val="4"/>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808" w:type="dxa"/>
            <w:vAlign w:val="center"/>
          </w:tcPr>
          <w:p w14:paraId="2B89D5F7">
            <w:pPr>
              <w:rPr>
                <w:rFonts w:hint="eastAsia" w:ascii="宋体" w:hAnsi="宋体" w:eastAsia="宋体" w:cs="宋体"/>
                <w:color w:val="auto"/>
                <w:szCs w:val="21"/>
              </w:rPr>
            </w:pPr>
          </w:p>
        </w:tc>
        <w:tc>
          <w:tcPr>
            <w:tcW w:w="3579" w:type="dxa"/>
            <w:vAlign w:val="center"/>
          </w:tcPr>
          <w:p w14:paraId="2B89D5F8">
            <w:pPr>
              <w:rPr>
                <w:rFonts w:hint="eastAsia" w:ascii="宋体" w:hAnsi="宋体" w:eastAsia="宋体" w:cs="宋体"/>
                <w:color w:val="auto"/>
                <w:szCs w:val="21"/>
              </w:rPr>
            </w:pPr>
          </w:p>
        </w:tc>
        <w:tc>
          <w:tcPr>
            <w:tcW w:w="1440" w:type="dxa"/>
            <w:vAlign w:val="center"/>
          </w:tcPr>
          <w:p w14:paraId="2B89D5F9">
            <w:pPr>
              <w:rPr>
                <w:rFonts w:hint="eastAsia" w:ascii="宋体" w:hAnsi="宋体" w:eastAsia="宋体" w:cs="宋体"/>
                <w:color w:val="auto"/>
                <w:szCs w:val="21"/>
              </w:rPr>
            </w:pPr>
          </w:p>
        </w:tc>
        <w:tc>
          <w:tcPr>
            <w:tcW w:w="1706" w:type="dxa"/>
            <w:vAlign w:val="center"/>
          </w:tcPr>
          <w:p w14:paraId="2B89D5FA">
            <w:pPr>
              <w:rPr>
                <w:rFonts w:hint="eastAsia" w:ascii="宋体" w:hAnsi="宋体" w:eastAsia="宋体" w:cs="宋体"/>
                <w:color w:val="auto"/>
                <w:szCs w:val="21"/>
              </w:rPr>
            </w:pPr>
          </w:p>
        </w:tc>
      </w:tr>
    </w:tbl>
    <w:p w14:paraId="2B89D5FC">
      <w:pPr>
        <w:autoSpaceDE w:val="0"/>
        <w:autoSpaceDN w:val="0"/>
        <w:adjustRightInd w:val="0"/>
        <w:spacing w:line="480" w:lineRule="auto"/>
        <w:rPr>
          <w:rFonts w:hint="eastAsia" w:ascii="宋体" w:hAnsi="宋体" w:eastAsia="宋体" w:cs="宋体"/>
          <w:color w:val="auto"/>
          <w:szCs w:val="21"/>
          <w:lang w:val="zh-CN"/>
        </w:rPr>
      </w:pPr>
    </w:p>
    <w:p w14:paraId="2B89D5FD">
      <w:pPr>
        <w:autoSpaceDE w:val="0"/>
        <w:autoSpaceDN w:val="0"/>
        <w:adjustRightInd w:val="0"/>
        <w:spacing w:line="480" w:lineRule="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投标人名称（</w:t>
      </w:r>
      <w:r>
        <w:rPr>
          <w:rFonts w:hint="eastAsia" w:ascii="宋体" w:hAnsi="宋体" w:eastAsia="宋体" w:cs="宋体"/>
          <w:color w:val="auto"/>
          <w:szCs w:val="21"/>
        </w:rPr>
        <w:t>并加盖公章</w:t>
      </w:r>
      <w:r>
        <w:rPr>
          <w:rFonts w:hint="eastAsia" w:ascii="宋体" w:hAnsi="宋体" w:eastAsia="宋体" w:cs="宋体"/>
          <w:color w:val="auto"/>
          <w:szCs w:val="21"/>
          <w:lang w:val="zh-CN"/>
        </w:rPr>
        <w:t>）：</w:t>
      </w:r>
    </w:p>
    <w:p w14:paraId="2B89D5FE">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3A43C27">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ACF3FD3">
      <w:pPr>
        <w:autoSpaceDE w:val="0"/>
        <w:autoSpaceDN w:val="0"/>
        <w:adjustRightInd w:val="0"/>
        <w:spacing w:line="360" w:lineRule="auto"/>
        <w:jc w:val="center"/>
        <w:outlineLvl w:val="0"/>
        <w:rPr>
          <w:rFonts w:hint="eastAsia" w:ascii="宋体" w:hAnsi="宋体" w:eastAsia="宋体" w:cs="宋体"/>
          <w:b/>
          <w:bCs/>
          <w:color w:val="auto"/>
          <w:sz w:val="24"/>
          <w:szCs w:val="24"/>
          <w:highlight w:val="none"/>
          <w:lang w:val="en-US" w:eastAsia="zh-CN"/>
        </w:rPr>
      </w:pPr>
    </w:p>
    <w:p w14:paraId="10D85B9B">
      <w:pPr>
        <w:autoSpaceDE w:val="0"/>
        <w:autoSpaceDN w:val="0"/>
        <w:adjustRightInd w:val="0"/>
        <w:spacing w:line="360" w:lineRule="auto"/>
        <w:jc w:val="center"/>
        <w:outlineLvl w:val="0"/>
        <w:rPr>
          <w:rFonts w:hint="eastAsia" w:ascii="宋体" w:hAnsi="宋体" w:eastAsia="宋体" w:cs="宋体"/>
          <w:b/>
          <w:bCs/>
          <w:color w:val="auto"/>
          <w:sz w:val="24"/>
          <w:szCs w:val="24"/>
          <w:highlight w:val="none"/>
          <w:lang w:val="en-US" w:eastAsia="zh-CN"/>
        </w:rPr>
      </w:pPr>
    </w:p>
    <w:p w14:paraId="265E5C9C">
      <w:pPr>
        <w:autoSpaceDE w:val="0"/>
        <w:autoSpaceDN w:val="0"/>
        <w:adjustRightInd w:val="0"/>
        <w:spacing w:line="360" w:lineRule="auto"/>
        <w:jc w:val="center"/>
        <w:outlineLvl w:val="0"/>
        <w:rPr>
          <w:rFonts w:hint="eastAsia" w:ascii="宋体" w:hAnsi="宋体" w:eastAsia="宋体" w:cs="宋体"/>
          <w:b/>
          <w:bCs/>
          <w:color w:val="auto"/>
          <w:sz w:val="24"/>
          <w:szCs w:val="24"/>
          <w:highlight w:val="none"/>
          <w:lang w:val="en-US" w:eastAsia="zh-CN"/>
        </w:rPr>
      </w:pPr>
    </w:p>
    <w:p w14:paraId="394378ED">
      <w:pPr>
        <w:autoSpaceDE w:val="0"/>
        <w:autoSpaceDN w:val="0"/>
        <w:adjustRightInd w:val="0"/>
        <w:spacing w:line="360" w:lineRule="auto"/>
        <w:jc w:val="center"/>
        <w:outlineLvl w:val="0"/>
        <w:rPr>
          <w:rFonts w:hint="eastAsia" w:ascii="宋体" w:hAnsi="宋体" w:eastAsia="宋体" w:cs="宋体"/>
          <w:b/>
          <w:bCs/>
          <w:color w:val="auto"/>
          <w:sz w:val="24"/>
          <w:szCs w:val="24"/>
          <w:highlight w:val="none"/>
          <w:lang w:val="en-US" w:eastAsia="zh-CN"/>
        </w:rPr>
      </w:pPr>
    </w:p>
    <w:p w14:paraId="623C4D71">
      <w:pPr>
        <w:autoSpaceDE w:val="0"/>
        <w:autoSpaceDN w:val="0"/>
        <w:adjustRightInd w:val="0"/>
        <w:spacing w:line="360" w:lineRule="auto"/>
        <w:jc w:val="center"/>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4.5 项目人员配备</w:t>
      </w:r>
    </w:p>
    <w:p w14:paraId="6855E94D">
      <w:pPr>
        <w:pStyle w:val="6"/>
        <w:rPr>
          <w:rFonts w:hint="eastAsia" w:ascii="宋体" w:hAnsi="宋体" w:eastAsia="宋体" w:cs="宋体"/>
          <w:b/>
          <w:bCs/>
          <w:color w:val="auto"/>
          <w:sz w:val="28"/>
          <w:szCs w:val="28"/>
          <w:lang w:val="zh-CN"/>
        </w:rPr>
      </w:pPr>
    </w:p>
    <w:p w14:paraId="43C1D41F">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08192767">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2B227E33">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5C9B5E62">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772F59DA">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1A5D1684">
      <w:pPr>
        <w:autoSpaceDE w:val="0"/>
        <w:autoSpaceDN w:val="0"/>
        <w:adjustRightInd w:val="0"/>
        <w:spacing w:line="360" w:lineRule="auto"/>
        <w:jc w:val="center"/>
        <w:outlineLvl w:val="0"/>
        <w:rPr>
          <w:rFonts w:ascii="宋体" w:hAnsi="宋体" w:eastAsia="宋体" w:cs="Times New Roman"/>
          <w:b/>
          <w:bCs/>
          <w:color w:val="auto"/>
          <w:sz w:val="24"/>
          <w:szCs w:val="24"/>
          <w:highlight w:val="none"/>
        </w:rPr>
      </w:pPr>
      <w:r>
        <w:rPr>
          <w:rFonts w:hint="eastAsia" w:ascii="宋体" w:hAnsi="宋体" w:eastAsia="宋体" w:cs="宋体"/>
          <w:b/>
          <w:bCs/>
          <w:color w:val="auto"/>
          <w:kern w:val="2"/>
          <w:sz w:val="24"/>
          <w:szCs w:val="24"/>
          <w:lang w:val="en-US" w:eastAsia="zh-CN" w:bidi="ar-SA"/>
        </w:rPr>
        <w:t xml:space="preserve">4.6 </w:t>
      </w:r>
      <w:r>
        <w:rPr>
          <w:rFonts w:ascii="宋体" w:hAnsi="宋体" w:eastAsia="宋体" w:cs="Times New Roman"/>
          <w:b/>
          <w:bCs/>
          <w:color w:val="auto"/>
          <w:sz w:val="24"/>
          <w:szCs w:val="24"/>
          <w:highlight w:val="none"/>
        </w:rPr>
        <w:t>中小企业声明函</w:t>
      </w:r>
    </w:p>
    <w:p w14:paraId="690AE3B8">
      <w:pPr>
        <w:spacing w:line="360" w:lineRule="auto"/>
        <w:jc w:val="center"/>
        <w:rPr>
          <w:rFonts w:ascii="宋体" w:hAnsi="宋体" w:eastAsia="宋体" w:cs="Times New Roman"/>
          <w:b/>
          <w:bCs/>
          <w:color w:val="auto"/>
          <w:szCs w:val="21"/>
          <w:highlight w:val="none"/>
        </w:rPr>
      </w:pPr>
    </w:p>
    <w:p w14:paraId="174DCE31">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本公司郑重声明，根据《政府采购促进中小企业发展管理办法》（财库﹝2020﹞46 号）的规定，本公司参加</w:t>
      </w:r>
      <w:r>
        <w:rPr>
          <w:rFonts w:ascii="宋体" w:hAnsi="宋体" w:eastAsia="宋体" w:cs="Times New Roman"/>
          <w:i/>
          <w:color w:val="auto"/>
          <w:szCs w:val="21"/>
          <w:highlight w:val="none"/>
          <w:u w:val="single"/>
        </w:rPr>
        <w:t>（单位名称）</w:t>
      </w:r>
      <w:r>
        <w:rPr>
          <w:rFonts w:ascii="宋体" w:hAnsi="宋体" w:eastAsia="宋体" w:cs="Times New Roman"/>
          <w:color w:val="auto"/>
          <w:szCs w:val="21"/>
          <w:highlight w:val="none"/>
        </w:rPr>
        <w:t>的</w:t>
      </w:r>
      <w:r>
        <w:rPr>
          <w:rFonts w:ascii="宋体" w:hAnsi="宋体" w:eastAsia="宋体" w:cs="Times New Roman"/>
          <w:i/>
          <w:color w:val="auto"/>
          <w:szCs w:val="21"/>
          <w:highlight w:val="none"/>
          <w:u w:val="single"/>
        </w:rPr>
        <w:t>（项目名称）</w:t>
      </w:r>
      <w:r>
        <w:rPr>
          <w:rFonts w:ascii="宋体" w:hAnsi="宋体" w:eastAsia="宋体" w:cs="Times New Roman"/>
          <w:color w:val="auto"/>
          <w:szCs w:val="21"/>
          <w:highlight w:val="none"/>
        </w:rPr>
        <w:t>采购活动，提供的</w:t>
      </w:r>
      <w:r>
        <w:rPr>
          <w:rFonts w:hint="eastAsia" w:ascii="宋体" w:hAnsi="宋体" w:eastAsia="宋体" w:cs="Times New Roman"/>
          <w:color w:val="auto"/>
          <w:szCs w:val="21"/>
          <w:highlight w:val="none"/>
        </w:rPr>
        <w:t>服务</w:t>
      </w:r>
      <w:r>
        <w:rPr>
          <w:rFonts w:ascii="宋体" w:hAnsi="宋体" w:eastAsia="宋体" w:cs="Times New Roman"/>
          <w:color w:val="auto"/>
          <w:szCs w:val="21"/>
          <w:highlight w:val="none"/>
        </w:rPr>
        <w:t>全部由符合政策要求的中小企业</w:t>
      </w:r>
      <w:r>
        <w:rPr>
          <w:rFonts w:hint="eastAsia" w:ascii="宋体" w:hAnsi="宋体" w:eastAsia="宋体" w:cs="Times New Roman"/>
          <w:color w:val="auto"/>
          <w:szCs w:val="21"/>
          <w:highlight w:val="none"/>
        </w:rPr>
        <w:t>承接</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承接企业</w:t>
      </w:r>
      <w:r>
        <w:rPr>
          <w:rFonts w:ascii="宋体" w:hAnsi="宋体" w:eastAsia="宋体" w:cs="Times New Roman"/>
          <w:color w:val="auto"/>
          <w:szCs w:val="21"/>
          <w:highlight w:val="none"/>
        </w:rPr>
        <w:t>的具体情况如下：</w:t>
      </w:r>
    </w:p>
    <w:p w14:paraId="4BD1078C">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 xml:space="preserve">1. </w:t>
      </w:r>
      <w:r>
        <w:rPr>
          <w:rFonts w:ascii="宋体" w:hAnsi="宋体" w:eastAsia="宋体" w:cs="Times New Roman"/>
          <w:i/>
          <w:color w:val="auto"/>
          <w:szCs w:val="21"/>
          <w:highlight w:val="none"/>
          <w:u w:val="single"/>
        </w:rPr>
        <w:t>（标的名称）</w:t>
      </w:r>
      <w:r>
        <w:rPr>
          <w:rFonts w:ascii="宋体" w:hAnsi="宋体" w:eastAsia="宋体" w:cs="Times New Roman"/>
          <w:color w:val="auto"/>
          <w:szCs w:val="21"/>
          <w:highlight w:val="none"/>
        </w:rPr>
        <w:t>，属于</w:t>
      </w:r>
      <w:r>
        <w:rPr>
          <w:rFonts w:ascii="宋体" w:hAnsi="宋体" w:eastAsia="宋体" w:cs="Times New Roman"/>
          <w:i/>
          <w:color w:val="auto"/>
          <w:szCs w:val="21"/>
          <w:highlight w:val="none"/>
          <w:u w:val="single"/>
        </w:rPr>
        <w:t>（采购文件中明确的所属行业）</w:t>
      </w:r>
      <w:r>
        <w:rPr>
          <w:rFonts w:ascii="宋体" w:hAnsi="宋体" w:eastAsia="宋体" w:cs="Times New Roman"/>
          <w:color w:val="auto"/>
          <w:szCs w:val="21"/>
          <w:highlight w:val="none"/>
        </w:rPr>
        <w:t>行业；</w:t>
      </w:r>
      <w:r>
        <w:rPr>
          <w:rFonts w:hint="eastAsia" w:ascii="宋体" w:hAnsi="宋体" w:eastAsia="宋体" w:cs="Times New Roman"/>
          <w:color w:val="auto"/>
          <w:szCs w:val="21"/>
          <w:highlight w:val="none"/>
        </w:rPr>
        <w:t>承接企业</w:t>
      </w:r>
      <w:r>
        <w:rPr>
          <w:rFonts w:ascii="宋体" w:hAnsi="宋体" w:eastAsia="宋体" w:cs="Times New Roman"/>
          <w:color w:val="auto"/>
          <w:szCs w:val="21"/>
          <w:highlight w:val="none"/>
        </w:rPr>
        <w:t>为</w:t>
      </w:r>
      <w:r>
        <w:rPr>
          <w:rFonts w:ascii="宋体" w:hAnsi="宋体" w:eastAsia="宋体" w:cs="Times New Roman"/>
          <w:i/>
          <w:color w:val="auto"/>
          <w:szCs w:val="21"/>
          <w:highlight w:val="none"/>
          <w:u w:val="single"/>
        </w:rPr>
        <w:t>（企业名称）</w:t>
      </w:r>
      <w:r>
        <w:rPr>
          <w:rFonts w:ascii="宋体" w:hAnsi="宋体" w:eastAsia="宋体" w:cs="Times New Roman"/>
          <w:color w:val="auto"/>
          <w:szCs w:val="21"/>
          <w:highlight w:val="none"/>
        </w:rPr>
        <w:t>，从业人员</w:t>
      </w:r>
      <w:r>
        <w:rPr>
          <w:rFonts w:hint="eastAsia" w:ascii="宋体" w:hAnsi="宋体" w:eastAsia="宋体" w:cs="Times New Roman"/>
          <w:color w:val="auto"/>
          <w:szCs w:val="21"/>
          <w:highlight w:val="none"/>
          <w:u w:val="single"/>
          <w:lang w:val="en-US" w:eastAsia="zh-CN"/>
        </w:rPr>
        <w:t xml:space="preserve">  </w:t>
      </w:r>
      <w:r>
        <w:rPr>
          <w:rFonts w:ascii="宋体" w:hAnsi="宋体" w:eastAsia="宋体" w:cs="Times New Roman"/>
          <w:color w:val="auto"/>
          <w:szCs w:val="21"/>
          <w:highlight w:val="none"/>
        </w:rPr>
        <w:t>人，营业收入为万元，资产总额为万元，属于</w:t>
      </w:r>
      <w:r>
        <w:rPr>
          <w:rFonts w:ascii="宋体" w:hAnsi="宋体" w:eastAsia="宋体" w:cs="Times New Roman"/>
          <w:i/>
          <w:color w:val="auto"/>
          <w:szCs w:val="21"/>
          <w:highlight w:val="none"/>
          <w:u w:val="single"/>
        </w:rPr>
        <w:t>（中型企业、小型企业、微型企业）</w:t>
      </w:r>
      <w:r>
        <w:rPr>
          <w:rFonts w:ascii="宋体" w:hAnsi="宋体" w:eastAsia="宋体" w:cs="Times New Roman"/>
          <w:color w:val="auto"/>
          <w:szCs w:val="21"/>
          <w:highlight w:val="none"/>
        </w:rPr>
        <w:t>；</w:t>
      </w:r>
    </w:p>
    <w:p w14:paraId="72DDDA0E">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 xml:space="preserve">…… </w:t>
      </w:r>
    </w:p>
    <w:p w14:paraId="37D0B986">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以上企业，不属于大企业的分支机构，不存在控股股东为大企业的情形，也不存在与大企业的负责人为同一人的情形。本企业对上述声明内容的真实性负责。如有虚假，将依法承担相应责任。</w:t>
      </w:r>
    </w:p>
    <w:p w14:paraId="6A5F5DBA">
      <w:pPr>
        <w:spacing w:line="480" w:lineRule="auto"/>
        <w:ind w:firstLine="5957" w:firstLineChars="2837"/>
        <w:jc w:val="left"/>
        <w:rPr>
          <w:color w:val="auto"/>
          <w:highlight w:val="none"/>
        </w:rPr>
      </w:pPr>
      <w:r>
        <w:rPr>
          <w:rFonts w:hint="eastAsia"/>
          <w:color w:val="auto"/>
          <w:highlight w:val="none"/>
        </w:rPr>
        <w:t>投标人</w:t>
      </w:r>
      <w:r>
        <w:rPr>
          <w:color w:val="auto"/>
          <w:highlight w:val="none"/>
        </w:rPr>
        <w:t>名称（盖章）：</w:t>
      </w:r>
    </w:p>
    <w:p w14:paraId="24F93131">
      <w:pPr>
        <w:spacing w:line="480" w:lineRule="auto"/>
        <w:ind w:firstLine="5617" w:firstLineChars="2675"/>
        <w:rPr>
          <w:rFonts w:cs="Arial" w:asciiTheme="minorEastAsia" w:hAnsiTheme="minorEastAsia"/>
          <w:color w:val="auto"/>
          <w:szCs w:val="21"/>
          <w:highlight w:val="none"/>
        </w:rPr>
      </w:pPr>
      <w:r>
        <w:rPr>
          <w:rFonts w:hint="eastAsia" w:cs="Arial" w:asciiTheme="minorEastAsia" w:hAnsiTheme="minorEastAsia"/>
          <w:color w:val="auto"/>
          <w:szCs w:val="21"/>
          <w:highlight w:val="none"/>
        </w:rPr>
        <w:t>日期：  年    月    日</w:t>
      </w:r>
    </w:p>
    <w:p w14:paraId="3B6A82DC">
      <w:pPr>
        <w:widowControl/>
        <w:spacing w:before="100" w:beforeAutospacing="1" w:after="100" w:afterAutospacing="1" w:line="360" w:lineRule="auto"/>
        <w:contextualSpacing/>
        <w:jc w:val="left"/>
        <w:rPr>
          <w:rFonts w:ascii="宋体" w:hAnsi="宋体"/>
          <w:color w:val="auto"/>
          <w:szCs w:val="21"/>
          <w:highlight w:val="none"/>
        </w:rPr>
      </w:pPr>
      <w:r>
        <w:rPr>
          <w:rFonts w:hint="eastAsia" w:ascii="宋体" w:hAnsi="宋体"/>
          <w:color w:val="auto"/>
          <w:szCs w:val="21"/>
          <w:highlight w:val="none"/>
        </w:rPr>
        <w:t>说明：</w:t>
      </w:r>
    </w:p>
    <w:p w14:paraId="458D90F2">
      <w:pPr>
        <w:widowControl/>
        <w:spacing w:before="100" w:beforeAutospacing="1" w:after="100" w:afterAutospacing="1" w:line="360" w:lineRule="auto"/>
        <w:contextualSpacing/>
        <w:jc w:val="left"/>
        <w:rPr>
          <w:rFonts w:ascii="宋体" w:hAnsi="宋体" w:cs="Arial"/>
          <w:color w:val="auto"/>
          <w:kern w:val="0"/>
          <w:szCs w:val="21"/>
          <w:highlight w:val="none"/>
        </w:rPr>
      </w:pPr>
      <w:r>
        <w:rPr>
          <w:rFonts w:hint="eastAsia" w:ascii="宋体" w:hAnsi="宋体" w:cs="Arial"/>
          <w:color w:val="auto"/>
          <w:kern w:val="0"/>
          <w:szCs w:val="21"/>
          <w:highlight w:val="none"/>
          <w:lang w:eastAsia="zh-CN"/>
        </w:rPr>
        <w:t>1.</w:t>
      </w:r>
      <w:r>
        <w:rPr>
          <w:color w:val="auto"/>
          <w:highlight w:val="none"/>
        </w:rPr>
        <w:t>从业人员、营业收入、资产总额填报上一年度数据，无上一年度数据的新成立企业可不填报。</w:t>
      </w:r>
    </w:p>
    <w:p w14:paraId="0A060FCF">
      <w:pPr>
        <w:widowControl/>
        <w:spacing w:before="100" w:beforeAutospacing="1" w:after="100" w:afterAutospacing="1" w:line="360" w:lineRule="auto"/>
        <w:contextualSpacing/>
        <w:jc w:val="left"/>
        <w:rPr>
          <w:rFonts w:ascii="宋体" w:hAnsi="宋体" w:cs="Arial"/>
          <w:color w:val="auto"/>
          <w:kern w:val="0"/>
          <w:szCs w:val="21"/>
          <w:highlight w:val="none"/>
        </w:rPr>
      </w:pPr>
      <w:r>
        <w:rPr>
          <w:rFonts w:hint="eastAsia" w:ascii="宋体" w:hAnsi="宋体" w:cs="Arial"/>
          <w:color w:val="auto"/>
          <w:kern w:val="0"/>
          <w:szCs w:val="21"/>
          <w:highlight w:val="none"/>
          <w:lang w:eastAsia="zh-CN"/>
        </w:rPr>
        <w:t>2.</w:t>
      </w:r>
      <w:r>
        <w:rPr>
          <w:rFonts w:ascii="宋体" w:hAnsi="宋体" w:cs="Arial"/>
          <w:color w:val="auto"/>
          <w:kern w:val="0"/>
          <w:szCs w:val="21"/>
          <w:highlight w:val="none"/>
        </w:rPr>
        <w:t>中小企业参加政府采购活动，应当出具</w:t>
      </w:r>
      <w:r>
        <w:rPr>
          <w:color w:val="auto"/>
          <w:highlight w:val="none"/>
        </w:rPr>
        <w:t>《中小企业声明函》，否则不得享受相关中小企业扶持政</w:t>
      </w:r>
      <w:r>
        <w:rPr>
          <w:rFonts w:ascii="宋体" w:hAnsi="宋体" w:cs="Arial"/>
          <w:color w:val="auto"/>
          <w:kern w:val="0"/>
          <w:szCs w:val="21"/>
          <w:highlight w:val="none"/>
        </w:rPr>
        <w:t>策。</w:t>
      </w:r>
    </w:p>
    <w:p w14:paraId="5AC6DC33">
      <w:pPr>
        <w:pStyle w:val="15"/>
        <w:ind w:firstLine="340"/>
        <w:rPr>
          <w:rFonts w:hint="eastAsia"/>
          <w:color w:val="auto"/>
          <w:highlight w:val="none"/>
        </w:rPr>
      </w:pPr>
    </w:p>
    <w:p w14:paraId="63EDA4B2">
      <w:pPr>
        <w:rPr>
          <w:rFonts w:hint="eastAsia" w:ascii="宋体" w:hAnsi="宋体" w:eastAsia="宋体" w:cs="宋体"/>
          <w:color w:val="auto"/>
        </w:rPr>
      </w:pPr>
    </w:p>
    <w:p w14:paraId="6C878DC5">
      <w:pPr>
        <w:rPr>
          <w:rFonts w:hint="eastAsia" w:ascii="宋体" w:hAnsi="宋体" w:eastAsia="宋体" w:cs="宋体"/>
          <w:color w:val="auto"/>
        </w:rPr>
      </w:pPr>
    </w:p>
    <w:p w14:paraId="40879F9E">
      <w:pPr>
        <w:rPr>
          <w:rFonts w:hint="eastAsia" w:ascii="宋体" w:hAnsi="宋体" w:eastAsia="宋体" w:cs="宋体"/>
          <w:color w:val="auto"/>
        </w:rPr>
      </w:pPr>
    </w:p>
    <w:p w14:paraId="399424C2">
      <w:pPr>
        <w:ind w:firstLine="2715" w:firstLineChars="1127"/>
        <w:rPr>
          <w:rFonts w:hint="eastAsia" w:ascii="宋体" w:hAnsi="宋体" w:eastAsia="宋体" w:cs="宋体"/>
          <w:b/>
          <w:bCs/>
          <w:color w:val="auto"/>
          <w:sz w:val="24"/>
          <w:szCs w:val="24"/>
          <w:lang w:val="en-US" w:eastAsia="zh-CN"/>
        </w:rPr>
      </w:pPr>
    </w:p>
    <w:p w14:paraId="51A4AC5F">
      <w:pPr>
        <w:ind w:firstLine="2715" w:firstLineChars="1127"/>
        <w:rPr>
          <w:rFonts w:hint="eastAsia" w:ascii="宋体" w:hAnsi="宋体" w:eastAsia="宋体" w:cs="宋体"/>
          <w:b/>
          <w:bCs/>
          <w:color w:val="auto"/>
          <w:sz w:val="24"/>
          <w:szCs w:val="24"/>
          <w:lang w:val="en-US" w:eastAsia="zh-CN"/>
        </w:rPr>
      </w:pPr>
    </w:p>
    <w:p w14:paraId="6F58CFFF">
      <w:pPr>
        <w:ind w:firstLine="2715" w:firstLineChars="1127"/>
        <w:rPr>
          <w:rFonts w:hint="eastAsia" w:ascii="宋体" w:hAnsi="宋体" w:eastAsia="宋体" w:cs="宋体"/>
          <w:b/>
          <w:bCs/>
          <w:color w:val="auto"/>
          <w:sz w:val="24"/>
          <w:szCs w:val="24"/>
          <w:lang w:val="en-US" w:eastAsia="zh-CN"/>
        </w:rPr>
      </w:pPr>
    </w:p>
    <w:p w14:paraId="087B8725">
      <w:pPr>
        <w:ind w:firstLine="2715" w:firstLineChars="1127"/>
        <w:rPr>
          <w:rFonts w:hint="eastAsia" w:ascii="宋体" w:hAnsi="宋体" w:eastAsia="宋体" w:cs="宋体"/>
          <w:b/>
          <w:bCs/>
          <w:color w:val="auto"/>
          <w:sz w:val="24"/>
          <w:szCs w:val="24"/>
          <w:lang w:val="en-US" w:eastAsia="zh-CN"/>
        </w:rPr>
      </w:pPr>
    </w:p>
    <w:p w14:paraId="7EA549B7">
      <w:pPr>
        <w:ind w:firstLine="2715" w:firstLineChars="1127"/>
        <w:rPr>
          <w:rFonts w:hint="eastAsia" w:ascii="宋体" w:hAnsi="宋体" w:eastAsia="宋体" w:cs="宋体"/>
          <w:b/>
          <w:bCs/>
          <w:color w:val="auto"/>
          <w:sz w:val="24"/>
          <w:szCs w:val="24"/>
          <w:lang w:val="en-US" w:eastAsia="zh-CN"/>
        </w:rPr>
      </w:pPr>
    </w:p>
    <w:p w14:paraId="02CBA5D2">
      <w:pPr>
        <w:ind w:firstLine="2715" w:firstLineChars="1127"/>
        <w:rPr>
          <w:rFonts w:hint="eastAsia" w:ascii="宋体" w:hAnsi="宋体" w:eastAsia="宋体" w:cs="宋体"/>
          <w:b/>
          <w:bCs/>
          <w:color w:val="auto"/>
          <w:sz w:val="24"/>
          <w:szCs w:val="24"/>
          <w:lang w:val="en-US" w:eastAsia="zh-CN"/>
        </w:rPr>
      </w:pPr>
    </w:p>
    <w:p w14:paraId="6C0348DF">
      <w:pPr>
        <w:ind w:firstLine="2715" w:firstLineChars="1127"/>
        <w:rPr>
          <w:rFonts w:hint="eastAsia" w:ascii="宋体" w:hAnsi="宋体" w:eastAsia="宋体" w:cs="宋体"/>
          <w:b/>
          <w:bCs/>
          <w:color w:val="auto"/>
          <w:sz w:val="24"/>
          <w:szCs w:val="24"/>
          <w:lang w:val="en-US" w:eastAsia="zh-CN"/>
        </w:rPr>
      </w:pPr>
    </w:p>
    <w:p w14:paraId="25A2B22B">
      <w:pPr>
        <w:ind w:firstLine="2715" w:firstLineChars="1127"/>
        <w:rPr>
          <w:rFonts w:hint="eastAsia" w:ascii="宋体" w:hAnsi="宋体" w:eastAsia="宋体" w:cs="宋体"/>
          <w:b/>
          <w:bCs/>
          <w:color w:val="auto"/>
          <w:sz w:val="24"/>
          <w:szCs w:val="24"/>
          <w:lang w:val="en-US" w:eastAsia="zh-CN"/>
        </w:rPr>
      </w:pPr>
    </w:p>
    <w:p w14:paraId="75B285F9">
      <w:pPr>
        <w:ind w:firstLine="2715" w:firstLineChars="1127"/>
        <w:rPr>
          <w:rFonts w:hint="eastAsia" w:ascii="宋体" w:hAnsi="宋体" w:eastAsia="宋体" w:cs="宋体"/>
          <w:b/>
          <w:bCs/>
          <w:color w:val="auto"/>
          <w:sz w:val="24"/>
          <w:szCs w:val="24"/>
          <w:lang w:val="en-US" w:eastAsia="zh-CN"/>
        </w:rPr>
      </w:pPr>
    </w:p>
    <w:p w14:paraId="058FC1B8">
      <w:pPr>
        <w:ind w:firstLine="2715" w:firstLineChars="1127"/>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4.7 </w:t>
      </w:r>
      <w:r>
        <w:rPr>
          <w:rFonts w:hint="eastAsia" w:ascii="宋体" w:hAnsi="宋体" w:eastAsia="宋体" w:cs="宋体"/>
          <w:b/>
          <w:bCs/>
          <w:color w:val="auto"/>
          <w:sz w:val="24"/>
          <w:szCs w:val="24"/>
        </w:rPr>
        <w:t>残疾人福利性单位声明函</w:t>
      </w:r>
    </w:p>
    <w:p w14:paraId="42492E7F">
      <w:pPr>
        <w:rPr>
          <w:rFonts w:hint="eastAsia" w:ascii="宋体" w:hAnsi="宋体" w:eastAsia="宋体" w:cs="宋体"/>
          <w:color w:val="auto"/>
          <w:szCs w:val="21"/>
        </w:rPr>
      </w:pPr>
    </w:p>
    <w:p w14:paraId="6EDB42AA">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本单位郑重声明，根据《财政部 民政部 中国残疾人联合会关于促进残疾人就业政府采购政策的通知》（财库〔2017〕141号）的规定，本单位为（□符合/□不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5FB783E">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本单位对上述声明的真实性负责。如有虚假，将依法承担相应责任。</w:t>
      </w:r>
    </w:p>
    <w:p w14:paraId="5A016013">
      <w:pPr>
        <w:spacing w:line="360" w:lineRule="auto"/>
        <w:ind w:firstLine="420" w:firstLineChars="200"/>
        <w:rPr>
          <w:rFonts w:hint="eastAsia" w:ascii="宋体" w:hAnsi="宋体" w:eastAsia="宋体" w:cs="宋体"/>
          <w:color w:val="auto"/>
          <w:szCs w:val="21"/>
        </w:rPr>
      </w:pPr>
    </w:p>
    <w:p w14:paraId="06C8E78E">
      <w:pPr>
        <w:spacing w:line="360" w:lineRule="auto"/>
        <w:ind w:firstLine="420" w:firstLineChars="200"/>
        <w:rPr>
          <w:rFonts w:hint="eastAsia" w:ascii="宋体" w:hAnsi="宋体" w:eastAsia="宋体" w:cs="宋体"/>
          <w:color w:val="auto"/>
          <w:szCs w:val="21"/>
        </w:rPr>
      </w:pPr>
    </w:p>
    <w:p w14:paraId="72BDB5C0">
      <w:pPr>
        <w:spacing w:line="360" w:lineRule="auto"/>
        <w:ind w:firstLine="420" w:firstLineChars="200"/>
        <w:rPr>
          <w:rFonts w:hint="eastAsia" w:ascii="宋体" w:hAnsi="宋体" w:eastAsia="宋体" w:cs="宋体"/>
          <w:color w:val="auto"/>
          <w:szCs w:val="21"/>
        </w:rPr>
      </w:pPr>
    </w:p>
    <w:p w14:paraId="1DCAAA67">
      <w:pPr>
        <w:spacing w:line="360" w:lineRule="auto"/>
        <w:ind w:firstLine="420" w:firstLineChars="200"/>
        <w:jc w:val="right"/>
        <w:rPr>
          <w:rFonts w:hint="eastAsia" w:ascii="宋体" w:hAnsi="宋体" w:eastAsia="宋体" w:cs="宋体"/>
          <w:color w:val="auto"/>
          <w:szCs w:val="21"/>
        </w:rPr>
      </w:pPr>
      <w:r>
        <w:rPr>
          <w:rFonts w:hint="eastAsia" w:ascii="宋体" w:hAnsi="宋体" w:eastAsia="宋体" w:cs="宋体"/>
          <w:color w:val="auto"/>
          <w:szCs w:val="21"/>
        </w:rPr>
        <w:t>单位名称（盖章）：</w:t>
      </w:r>
    </w:p>
    <w:p w14:paraId="07C554A3">
      <w:pPr>
        <w:spacing w:line="360" w:lineRule="auto"/>
        <w:ind w:firstLine="420" w:firstLineChars="200"/>
        <w:jc w:val="right"/>
        <w:rPr>
          <w:rFonts w:hint="eastAsia" w:ascii="宋体" w:hAnsi="宋体" w:eastAsia="宋体" w:cs="宋体"/>
          <w:color w:val="auto"/>
          <w:szCs w:val="21"/>
        </w:rPr>
      </w:pPr>
      <w:r>
        <w:rPr>
          <w:rFonts w:hint="eastAsia" w:ascii="宋体" w:hAnsi="宋体" w:eastAsia="宋体" w:cs="宋体"/>
          <w:color w:val="auto"/>
          <w:szCs w:val="21"/>
        </w:rPr>
        <w:t xml:space="preserve"> 日    期：      年    月    日</w:t>
      </w:r>
    </w:p>
    <w:p w14:paraId="1E051542">
      <w:pPr>
        <w:pStyle w:val="6"/>
        <w:jc w:val="right"/>
        <w:rPr>
          <w:rFonts w:hint="eastAsia" w:ascii="宋体" w:hAnsi="宋体" w:eastAsia="宋体" w:cs="宋体"/>
          <w:color w:val="auto"/>
          <w:sz w:val="24"/>
          <w:lang w:val="zh-CN"/>
        </w:rPr>
      </w:pPr>
    </w:p>
    <w:p w14:paraId="6EEC955A">
      <w:pPr>
        <w:autoSpaceDE w:val="0"/>
        <w:autoSpaceDN w:val="0"/>
        <w:spacing w:line="360" w:lineRule="auto"/>
        <w:jc w:val="right"/>
        <w:rPr>
          <w:rFonts w:hint="eastAsia" w:ascii="宋体" w:hAnsi="宋体" w:eastAsia="宋体" w:cs="宋体"/>
          <w:b/>
          <w:color w:val="auto"/>
          <w:sz w:val="21"/>
          <w:szCs w:val="21"/>
          <w:lang w:val="en-US" w:eastAsia="zh-CN"/>
        </w:rPr>
      </w:pPr>
    </w:p>
    <w:p w14:paraId="4AA555A2">
      <w:pPr>
        <w:pStyle w:val="13"/>
        <w:rPr>
          <w:rFonts w:hint="eastAsia"/>
          <w:lang w:val="zh-CN"/>
        </w:rPr>
      </w:pPr>
    </w:p>
    <w:p w14:paraId="2B89D600">
      <w:pPr>
        <w:autoSpaceDE w:val="0"/>
        <w:autoSpaceDN w:val="0"/>
        <w:adjustRightInd w:val="0"/>
        <w:spacing w:line="360" w:lineRule="auto"/>
        <w:jc w:val="center"/>
        <w:rPr>
          <w:rFonts w:hint="eastAsia" w:ascii="宋体" w:hAnsi="宋体" w:eastAsia="宋体" w:cs="宋体"/>
          <w:b/>
          <w:bCs/>
          <w:color w:val="auto"/>
          <w:sz w:val="28"/>
          <w:szCs w:val="28"/>
          <w:lang w:val="zh-CN"/>
        </w:rPr>
      </w:pPr>
      <w:r>
        <w:rPr>
          <w:rFonts w:hint="eastAsia" w:ascii="宋体" w:hAnsi="宋体" w:eastAsia="宋体" w:cs="宋体"/>
          <w:b/>
          <w:bCs/>
          <w:color w:val="auto"/>
          <w:sz w:val="28"/>
          <w:szCs w:val="28"/>
          <w:lang w:val="zh-CN"/>
        </w:rPr>
        <w:t>五、其他资料（若有）</w:t>
      </w:r>
    </w:p>
    <w:p w14:paraId="2B89D601">
      <w:pPr>
        <w:rPr>
          <w:rFonts w:hint="eastAsia" w:ascii="宋体" w:hAnsi="宋体" w:eastAsia="宋体" w:cs="宋体"/>
          <w:color w:val="auto"/>
        </w:rPr>
      </w:pPr>
    </w:p>
    <w:p w14:paraId="2B89D602">
      <w:pPr>
        <w:rPr>
          <w:rFonts w:hint="eastAsia" w:ascii="宋体" w:hAnsi="宋体" w:eastAsia="宋体" w:cs="宋体"/>
          <w:color w:val="auto"/>
        </w:rPr>
      </w:pPr>
    </w:p>
    <w:p w14:paraId="2B89D603">
      <w:pPr>
        <w:rPr>
          <w:rFonts w:hint="eastAsia" w:ascii="宋体" w:hAnsi="宋体" w:eastAsia="宋体" w:cs="宋体"/>
          <w:color w:val="auto"/>
        </w:rPr>
      </w:pPr>
    </w:p>
    <w:p w14:paraId="2B89D604">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除招标文件另有规定外，投标人认为需要提交的其他证明材料或资料加盖投标人公章后应在此项下提交。</w:t>
      </w:r>
    </w:p>
    <w:p w14:paraId="2D6E386C">
      <w:pPr>
        <w:rPr>
          <w:rFonts w:hint="eastAsia" w:ascii="宋体" w:hAnsi="宋体" w:eastAsia="宋体" w:cs="宋体"/>
          <w:color w:val="auto"/>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70BC8">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90B66">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D490B66">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86026"/>
    <w:multiLevelType w:val="singleLevel"/>
    <w:tmpl w:val="A6886026"/>
    <w:lvl w:ilvl="0" w:tentative="0">
      <w:start w:val="1"/>
      <w:numFmt w:val="decimal"/>
      <w:suff w:val="nothing"/>
      <w:lvlText w:val="%1、"/>
      <w:lvlJc w:val="left"/>
    </w:lvl>
  </w:abstractNum>
  <w:abstractNum w:abstractNumId="1">
    <w:nsid w:val="D158DB43"/>
    <w:multiLevelType w:val="singleLevel"/>
    <w:tmpl w:val="D158DB43"/>
    <w:lvl w:ilvl="0" w:tentative="0">
      <w:start w:val="29"/>
      <w:numFmt w:val="decimal"/>
      <w:suff w:val="space"/>
      <w:lvlText w:val="%1."/>
      <w:lvlJc w:val="left"/>
    </w:lvl>
  </w:abstractNum>
  <w:abstractNum w:abstractNumId="2">
    <w:nsid w:val="D7EEB531"/>
    <w:multiLevelType w:val="singleLevel"/>
    <w:tmpl w:val="D7EEB531"/>
    <w:lvl w:ilvl="0" w:tentative="0">
      <w:start w:val="1"/>
      <w:numFmt w:val="decimal"/>
      <w:lvlText w:val="%1."/>
      <w:lvlJc w:val="left"/>
      <w:pPr>
        <w:tabs>
          <w:tab w:val="left" w:pos="312"/>
        </w:tabs>
      </w:pPr>
    </w:lvl>
  </w:abstractNum>
  <w:abstractNum w:abstractNumId="3">
    <w:nsid w:val="00000014"/>
    <w:multiLevelType w:val="multilevel"/>
    <w:tmpl w:val="00000014"/>
    <w:lvl w:ilvl="0" w:tentative="0">
      <w:start w:val="1"/>
      <w:numFmt w:val="decimal"/>
      <w:pStyle w:val="3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436E25C3"/>
    <w:multiLevelType w:val="multilevel"/>
    <w:tmpl w:val="436E25C3"/>
    <w:lvl w:ilvl="0" w:tentative="0">
      <w:start w:val="1"/>
      <w:numFmt w:val="japaneseCounting"/>
      <w:lvlText w:val="第%1条"/>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9F817E8"/>
    <w:multiLevelType w:val="singleLevel"/>
    <w:tmpl w:val="59F817E8"/>
    <w:lvl w:ilvl="0" w:tentative="0">
      <w:start w:val="1"/>
      <w:numFmt w:val="chineseCounting"/>
      <w:pStyle w:val="33"/>
      <w:suff w:val="nothing"/>
      <w:lvlText w:val="%1、"/>
      <w:lvlJc w:val="left"/>
    </w:lvl>
  </w:abstractNum>
  <w:abstractNum w:abstractNumId="6">
    <w:nsid w:val="5C3055E2"/>
    <w:multiLevelType w:val="multilevel"/>
    <w:tmpl w:val="5C3055E2"/>
    <w:lvl w:ilvl="0" w:tentative="0">
      <w:start w:val="34"/>
      <w:numFmt w:val="decimal"/>
      <w:lvlText w:val="%1."/>
      <w:lvlJc w:val="left"/>
      <w:pPr>
        <w:ind w:left="420" w:hanging="420"/>
      </w:pPr>
      <w:rPr>
        <w:rFonts w:hint="eastAsia"/>
      </w:rPr>
    </w:lvl>
    <w:lvl w:ilvl="1" w:tentative="0">
      <w:start w:val="1"/>
      <w:numFmt w:val="decimal"/>
      <w:lvlText w:val="34. %2 "/>
      <w:lvlJc w:val="left"/>
      <w:pPr>
        <w:ind w:left="964" w:hanging="544"/>
      </w:pPr>
      <w:rPr>
        <w:rFonts w:hint="eastAsia"/>
      </w:rPr>
    </w:lvl>
    <w:lvl w:ilvl="2" w:tentative="0">
      <w:start w:val="23"/>
      <w:numFmt w:val="decimal"/>
      <w:lvlText w:val="%3.4 "/>
      <w:lvlJc w:val="left"/>
      <w:pPr>
        <w:ind w:left="1560" w:hanging="720"/>
      </w:pPr>
      <w:rPr>
        <w:rFonts w:hint="eastAsia"/>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num w:numId="1">
    <w:abstractNumId w:val="3"/>
  </w:num>
  <w:num w:numId="2">
    <w:abstractNumId w:val="5"/>
  </w:num>
  <w:num w:numId="3">
    <w:abstractNumId w:val="2"/>
  </w:num>
  <w:num w:numId="4">
    <w:abstractNumId w:val="0"/>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81320"/>
    <w:rsid w:val="000C51EB"/>
    <w:rsid w:val="0019234F"/>
    <w:rsid w:val="001C21A3"/>
    <w:rsid w:val="0032026C"/>
    <w:rsid w:val="004A355A"/>
    <w:rsid w:val="005F3245"/>
    <w:rsid w:val="00745F0B"/>
    <w:rsid w:val="00825002"/>
    <w:rsid w:val="008F2B6E"/>
    <w:rsid w:val="009107CC"/>
    <w:rsid w:val="00B76409"/>
    <w:rsid w:val="00C25AA7"/>
    <w:rsid w:val="00DF53CD"/>
    <w:rsid w:val="00EA6C67"/>
    <w:rsid w:val="00F315C8"/>
    <w:rsid w:val="00FF7F1A"/>
    <w:rsid w:val="01086C64"/>
    <w:rsid w:val="013E4434"/>
    <w:rsid w:val="01B129DA"/>
    <w:rsid w:val="01B63B53"/>
    <w:rsid w:val="01DA661C"/>
    <w:rsid w:val="03215DBB"/>
    <w:rsid w:val="037D56E7"/>
    <w:rsid w:val="03AE5E46"/>
    <w:rsid w:val="03D472D2"/>
    <w:rsid w:val="04CB1767"/>
    <w:rsid w:val="055E32F7"/>
    <w:rsid w:val="056853E9"/>
    <w:rsid w:val="05E7509A"/>
    <w:rsid w:val="060E6ACB"/>
    <w:rsid w:val="060F45F1"/>
    <w:rsid w:val="061C410F"/>
    <w:rsid w:val="06514C09"/>
    <w:rsid w:val="07394EAA"/>
    <w:rsid w:val="07C248D5"/>
    <w:rsid w:val="07D433FC"/>
    <w:rsid w:val="08CE42EF"/>
    <w:rsid w:val="096F084D"/>
    <w:rsid w:val="09C455B3"/>
    <w:rsid w:val="0A4F320E"/>
    <w:rsid w:val="0A5D3B7D"/>
    <w:rsid w:val="0AEE3ABD"/>
    <w:rsid w:val="0B185CF6"/>
    <w:rsid w:val="0B7E3D66"/>
    <w:rsid w:val="0BF16C73"/>
    <w:rsid w:val="0CBA0191"/>
    <w:rsid w:val="0CF46990"/>
    <w:rsid w:val="0CFA3905"/>
    <w:rsid w:val="0DFC36AD"/>
    <w:rsid w:val="0E140A6B"/>
    <w:rsid w:val="0EB36461"/>
    <w:rsid w:val="0ECA37AB"/>
    <w:rsid w:val="0EE259B5"/>
    <w:rsid w:val="0F106EEB"/>
    <w:rsid w:val="0F8A6A96"/>
    <w:rsid w:val="10702130"/>
    <w:rsid w:val="10797237"/>
    <w:rsid w:val="110F36F7"/>
    <w:rsid w:val="11390774"/>
    <w:rsid w:val="11CE7BC3"/>
    <w:rsid w:val="121C27F8"/>
    <w:rsid w:val="12787CDD"/>
    <w:rsid w:val="12C0114D"/>
    <w:rsid w:val="133B07D3"/>
    <w:rsid w:val="13B85E6A"/>
    <w:rsid w:val="13D6674E"/>
    <w:rsid w:val="14AD5701"/>
    <w:rsid w:val="14C32369"/>
    <w:rsid w:val="153943AF"/>
    <w:rsid w:val="15477903"/>
    <w:rsid w:val="156F29B6"/>
    <w:rsid w:val="15920736"/>
    <w:rsid w:val="15DC65E3"/>
    <w:rsid w:val="17A4103D"/>
    <w:rsid w:val="17FA1D07"/>
    <w:rsid w:val="1881137E"/>
    <w:rsid w:val="190B19F9"/>
    <w:rsid w:val="196B3BC9"/>
    <w:rsid w:val="196C5B8A"/>
    <w:rsid w:val="19A5109C"/>
    <w:rsid w:val="1A0C2EC9"/>
    <w:rsid w:val="1A6D6F89"/>
    <w:rsid w:val="1B3C7454"/>
    <w:rsid w:val="1B886580"/>
    <w:rsid w:val="1B943177"/>
    <w:rsid w:val="1BAC6712"/>
    <w:rsid w:val="1BB11F7A"/>
    <w:rsid w:val="1BC03F6C"/>
    <w:rsid w:val="1C0C71B1"/>
    <w:rsid w:val="1CA850A2"/>
    <w:rsid w:val="1CD06430"/>
    <w:rsid w:val="1D012A8E"/>
    <w:rsid w:val="1DCA2E80"/>
    <w:rsid w:val="1E7F6837"/>
    <w:rsid w:val="1EAB0F03"/>
    <w:rsid w:val="1ED146E2"/>
    <w:rsid w:val="1F122D30"/>
    <w:rsid w:val="1FD46E59"/>
    <w:rsid w:val="2027280B"/>
    <w:rsid w:val="20670E5A"/>
    <w:rsid w:val="20F562C0"/>
    <w:rsid w:val="20FC3C98"/>
    <w:rsid w:val="21051C71"/>
    <w:rsid w:val="212E7BC9"/>
    <w:rsid w:val="21423843"/>
    <w:rsid w:val="21590ACC"/>
    <w:rsid w:val="22577148"/>
    <w:rsid w:val="22AC524A"/>
    <w:rsid w:val="2308571D"/>
    <w:rsid w:val="23130E25"/>
    <w:rsid w:val="23152DEF"/>
    <w:rsid w:val="23627FFE"/>
    <w:rsid w:val="238241FC"/>
    <w:rsid w:val="23927375"/>
    <w:rsid w:val="243C1541"/>
    <w:rsid w:val="2460532C"/>
    <w:rsid w:val="25493224"/>
    <w:rsid w:val="255870C9"/>
    <w:rsid w:val="258D0968"/>
    <w:rsid w:val="26956DF8"/>
    <w:rsid w:val="269E7C09"/>
    <w:rsid w:val="270F5DA7"/>
    <w:rsid w:val="27C40A27"/>
    <w:rsid w:val="287E4F92"/>
    <w:rsid w:val="28AA5315"/>
    <w:rsid w:val="28B210E0"/>
    <w:rsid w:val="28D54528"/>
    <w:rsid w:val="295D54F0"/>
    <w:rsid w:val="298365D8"/>
    <w:rsid w:val="2A422128"/>
    <w:rsid w:val="2A4823D4"/>
    <w:rsid w:val="2A5E151F"/>
    <w:rsid w:val="2B095386"/>
    <w:rsid w:val="2B391645"/>
    <w:rsid w:val="2B65243A"/>
    <w:rsid w:val="2BC03B14"/>
    <w:rsid w:val="2BC76C50"/>
    <w:rsid w:val="2BF10209"/>
    <w:rsid w:val="2C2322E7"/>
    <w:rsid w:val="2C2C11A9"/>
    <w:rsid w:val="2C6B7F24"/>
    <w:rsid w:val="2C7D37B3"/>
    <w:rsid w:val="2CA1772C"/>
    <w:rsid w:val="2CA84CD4"/>
    <w:rsid w:val="2CBA0563"/>
    <w:rsid w:val="2D2F2CFF"/>
    <w:rsid w:val="2D5E5392"/>
    <w:rsid w:val="2D6A3D37"/>
    <w:rsid w:val="2EA94D33"/>
    <w:rsid w:val="2EB77450"/>
    <w:rsid w:val="2F1D42E7"/>
    <w:rsid w:val="2F5E5A76"/>
    <w:rsid w:val="2F9B2584"/>
    <w:rsid w:val="2FB83480"/>
    <w:rsid w:val="2FBE0EB7"/>
    <w:rsid w:val="2FCC0CD9"/>
    <w:rsid w:val="2FDE0A0C"/>
    <w:rsid w:val="30313232"/>
    <w:rsid w:val="30422D49"/>
    <w:rsid w:val="306F78B6"/>
    <w:rsid w:val="30AC4667"/>
    <w:rsid w:val="31140B8A"/>
    <w:rsid w:val="31300370"/>
    <w:rsid w:val="31466CA2"/>
    <w:rsid w:val="31886E82"/>
    <w:rsid w:val="31B639EF"/>
    <w:rsid w:val="32A877CC"/>
    <w:rsid w:val="32B31CDC"/>
    <w:rsid w:val="32C81234"/>
    <w:rsid w:val="33564B72"/>
    <w:rsid w:val="33835B53"/>
    <w:rsid w:val="33CB74FA"/>
    <w:rsid w:val="34270BD4"/>
    <w:rsid w:val="346911EC"/>
    <w:rsid w:val="34C208FD"/>
    <w:rsid w:val="35573916"/>
    <w:rsid w:val="35E54A6E"/>
    <w:rsid w:val="35E7171B"/>
    <w:rsid w:val="3630291D"/>
    <w:rsid w:val="363C282A"/>
    <w:rsid w:val="36751779"/>
    <w:rsid w:val="367E6AA5"/>
    <w:rsid w:val="36C413B9"/>
    <w:rsid w:val="380011F0"/>
    <w:rsid w:val="38675A43"/>
    <w:rsid w:val="386D0B7F"/>
    <w:rsid w:val="38AD16A4"/>
    <w:rsid w:val="38E52E0C"/>
    <w:rsid w:val="39123A15"/>
    <w:rsid w:val="392C7780"/>
    <w:rsid w:val="3A63544E"/>
    <w:rsid w:val="3A687246"/>
    <w:rsid w:val="3A9659D3"/>
    <w:rsid w:val="3AB54D18"/>
    <w:rsid w:val="3AB72586"/>
    <w:rsid w:val="3ADC1BAC"/>
    <w:rsid w:val="3B5D497D"/>
    <w:rsid w:val="3C3A521C"/>
    <w:rsid w:val="3CE77152"/>
    <w:rsid w:val="3D0268A8"/>
    <w:rsid w:val="3D4A148F"/>
    <w:rsid w:val="3D97168C"/>
    <w:rsid w:val="3EC6723B"/>
    <w:rsid w:val="3EFD0EAF"/>
    <w:rsid w:val="3FDD2F01"/>
    <w:rsid w:val="40866C82"/>
    <w:rsid w:val="40B818BF"/>
    <w:rsid w:val="40B97948"/>
    <w:rsid w:val="418D1865"/>
    <w:rsid w:val="418D2A97"/>
    <w:rsid w:val="41F23ACD"/>
    <w:rsid w:val="445B21D4"/>
    <w:rsid w:val="44B409FB"/>
    <w:rsid w:val="44CD5094"/>
    <w:rsid w:val="4550160D"/>
    <w:rsid w:val="45667082"/>
    <w:rsid w:val="456C0989"/>
    <w:rsid w:val="45B55E6D"/>
    <w:rsid w:val="46357180"/>
    <w:rsid w:val="4645313C"/>
    <w:rsid w:val="46827EEC"/>
    <w:rsid w:val="46AA2F9F"/>
    <w:rsid w:val="46CC3DB2"/>
    <w:rsid w:val="46D21877"/>
    <w:rsid w:val="46D71951"/>
    <w:rsid w:val="47581320"/>
    <w:rsid w:val="47BC5C53"/>
    <w:rsid w:val="48193EC2"/>
    <w:rsid w:val="48806EA9"/>
    <w:rsid w:val="48822197"/>
    <w:rsid w:val="48E46C3C"/>
    <w:rsid w:val="49AE2DA6"/>
    <w:rsid w:val="49F66C36"/>
    <w:rsid w:val="4A413C1A"/>
    <w:rsid w:val="4B335C59"/>
    <w:rsid w:val="4B767B1E"/>
    <w:rsid w:val="4C0B44E0"/>
    <w:rsid w:val="4C285091"/>
    <w:rsid w:val="4C6D1FBB"/>
    <w:rsid w:val="4CA11C86"/>
    <w:rsid w:val="4CB10C20"/>
    <w:rsid w:val="4CCE6D0D"/>
    <w:rsid w:val="4D437238"/>
    <w:rsid w:val="4D4C3002"/>
    <w:rsid w:val="4EAE1256"/>
    <w:rsid w:val="4F161B19"/>
    <w:rsid w:val="50083210"/>
    <w:rsid w:val="50A867A1"/>
    <w:rsid w:val="50BF1FC8"/>
    <w:rsid w:val="50C7131D"/>
    <w:rsid w:val="514C6430"/>
    <w:rsid w:val="52A337B8"/>
    <w:rsid w:val="532C190B"/>
    <w:rsid w:val="53DB0C3B"/>
    <w:rsid w:val="53FC752F"/>
    <w:rsid w:val="541A3860"/>
    <w:rsid w:val="54994D7E"/>
    <w:rsid w:val="559B1E1A"/>
    <w:rsid w:val="55A90FF1"/>
    <w:rsid w:val="55DB3175"/>
    <w:rsid w:val="57016C0B"/>
    <w:rsid w:val="58805459"/>
    <w:rsid w:val="588B44F8"/>
    <w:rsid w:val="58BF5411"/>
    <w:rsid w:val="5913587D"/>
    <w:rsid w:val="592B7F6F"/>
    <w:rsid w:val="596A6CE9"/>
    <w:rsid w:val="59F82547"/>
    <w:rsid w:val="5AC661A1"/>
    <w:rsid w:val="5AE247D8"/>
    <w:rsid w:val="5B417F1E"/>
    <w:rsid w:val="5C0C4088"/>
    <w:rsid w:val="5C27795C"/>
    <w:rsid w:val="5C5305C6"/>
    <w:rsid w:val="5C9A5B38"/>
    <w:rsid w:val="5CF05758"/>
    <w:rsid w:val="5D3B7BF9"/>
    <w:rsid w:val="5D812854"/>
    <w:rsid w:val="5E2A6A47"/>
    <w:rsid w:val="5E512226"/>
    <w:rsid w:val="5E766130"/>
    <w:rsid w:val="5F1F0576"/>
    <w:rsid w:val="5FFB2762"/>
    <w:rsid w:val="601B4AB2"/>
    <w:rsid w:val="60477D84"/>
    <w:rsid w:val="60996106"/>
    <w:rsid w:val="60BA121F"/>
    <w:rsid w:val="60E70C20"/>
    <w:rsid w:val="61263C84"/>
    <w:rsid w:val="6194746E"/>
    <w:rsid w:val="61A15272"/>
    <w:rsid w:val="61A426DB"/>
    <w:rsid w:val="61D03DA9"/>
    <w:rsid w:val="620F042E"/>
    <w:rsid w:val="621A068C"/>
    <w:rsid w:val="62816AEB"/>
    <w:rsid w:val="62FA229D"/>
    <w:rsid w:val="630809D1"/>
    <w:rsid w:val="6320666B"/>
    <w:rsid w:val="632D58C6"/>
    <w:rsid w:val="63550E6F"/>
    <w:rsid w:val="63554566"/>
    <w:rsid w:val="63EE6769"/>
    <w:rsid w:val="642342DE"/>
    <w:rsid w:val="642E1F2E"/>
    <w:rsid w:val="64964E36"/>
    <w:rsid w:val="65911CB5"/>
    <w:rsid w:val="65F77B57"/>
    <w:rsid w:val="660B715E"/>
    <w:rsid w:val="6614668C"/>
    <w:rsid w:val="662121FF"/>
    <w:rsid w:val="66A7157D"/>
    <w:rsid w:val="673A0F3D"/>
    <w:rsid w:val="6791267E"/>
    <w:rsid w:val="68131439"/>
    <w:rsid w:val="6830229F"/>
    <w:rsid w:val="68574D1B"/>
    <w:rsid w:val="685B3DB5"/>
    <w:rsid w:val="68FB5BB0"/>
    <w:rsid w:val="68FC61BF"/>
    <w:rsid w:val="692A657D"/>
    <w:rsid w:val="69A41DA4"/>
    <w:rsid w:val="69EA352F"/>
    <w:rsid w:val="6A6032F2"/>
    <w:rsid w:val="6AF705F9"/>
    <w:rsid w:val="6B8E4AB9"/>
    <w:rsid w:val="6BD04D39"/>
    <w:rsid w:val="6C511366"/>
    <w:rsid w:val="6C5E4739"/>
    <w:rsid w:val="6C6B6BA9"/>
    <w:rsid w:val="6CC51F64"/>
    <w:rsid w:val="6DB37557"/>
    <w:rsid w:val="6E0E3640"/>
    <w:rsid w:val="6E25722B"/>
    <w:rsid w:val="6E7206C2"/>
    <w:rsid w:val="6F321C00"/>
    <w:rsid w:val="6F83245B"/>
    <w:rsid w:val="6F863CF9"/>
    <w:rsid w:val="6F896044"/>
    <w:rsid w:val="6FBE6451"/>
    <w:rsid w:val="6FD131C7"/>
    <w:rsid w:val="70074E3A"/>
    <w:rsid w:val="70E21403"/>
    <w:rsid w:val="70F96386"/>
    <w:rsid w:val="71092E34"/>
    <w:rsid w:val="71A32E24"/>
    <w:rsid w:val="71C733BC"/>
    <w:rsid w:val="71F80EDE"/>
    <w:rsid w:val="72B648F6"/>
    <w:rsid w:val="731F693F"/>
    <w:rsid w:val="734712AB"/>
    <w:rsid w:val="736D3E45"/>
    <w:rsid w:val="73A051F4"/>
    <w:rsid w:val="73EF1E6D"/>
    <w:rsid w:val="750000AA"/>
    <w:rsid w:val="75395AE6"/>
    <w:rsid w:val="7582310C"/>
    <w:rsid w:val="75A75028"/>
    <w:rsid w:val="75C630A2"/>
    <w:rsid w:val="75C86E1A"/>
    <w:rsid w:val="769E5DCD"/>
    <w:rsid w:val="76EA1012"/>
    <w:rsid w:val="76F52AFE"/>
    <w:rsid w:val="77A66FA4"/>
    <w:rsid w:val="77DA4BE2"/>
    <w:rsid w:val="78474627"/>
    <w:rsid w:val="785C7CED"/>
    <w:rsid w:val="78A771BA"/>
    <w:rsid w:val="78FF0DA4"/>
    <w:rsid w:val="792F71B0"/>
    <w:rsid w:val="796400CB"/>
    <w:rsid w:val="7A2D5EF4"/>
    <w:rsid w:val="7A804167"/>
    <w:rsid w:val="7A951A42"/>
    <w:rsid w:val="7AD640E6"/>
    <w:rsid w:val="7B205002"/>
    <w:rsid w:val="7BC10DC0"/>
    <w:rsid w:val="7C42727D"/>
    <w:rsid w:val="7CA9211B"/>
    <w:rsid w:val="7CD85128"/>
    <w:rsid w:val="7D036989"/>
    <w:rsid w:val="7D3D235A"/>
    <w:rsid w:val="7D5316BF"/>
    <w:rsid w:val="7D8F2650"/>
    <w:rsid w:val="7D9C12B8"/>
    <w:rsid w:val="7DA77C5D"/>
    <w:rsid w:val="7E431733"/>
    <w:rsid w:val="7E486D4A"/>
    <w:rsid w:val="7E8813E9"/>
    <w:rsid w:val="7E885398"/>
    <w:rsid w:val="7E8B66C5"/>
    <w:rsid w:val="7F5259A6"/>
    <w:rsid w:val="7F5B485B"/>
    <w:rsid w:val="7F6C60FE"/>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5"/>
    </w:pPr>
    <w:rPr>
      <w:rFonts w:ascii="Times New Roman" w:hAnsi="Times New Roman" w:eastAsia="宋体" w:cs="Times New Roman"/>
      <w:szCs w:val="20"/>
    </w:rPr>
  </w:style>
  <w:style w:type="paragraph" w:customStyle="1" w:styleId="3">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styleId="4">
    <w:name w:val="caption"/>
    <w:basedOn w:val="1"/>
    <w:next w:val="1"/>
    <w:qFormat/>
    <w:uiPriority w:val="99"/>
    <w:rPr>
      <w:rFonts w:ascii="Arial" w:hAnsi="Arial" w:eastAsia="黑体" w:cs="Arial"/>
      <w:sz w:val="20"/>
      <w:szCs w:val="20"/>
    </w:rPr>
  </w:style>
  <w:style w:type="paragraph" w:styleId="5">
    <w:name w:val="annotation text"/>
    <w:basedOn w:val="1"/>
    <w:qFormat/>
    <w:uiPriority w:val="0"/>
    <w:pPr>
      <w:jc w:val="left"/>
    </w:pPr>
  </w:style>
  <w:style w:type="paragraph" w:styleId="6">
    <w:name w:val="Body Text"/>
    <w:basedOn w:val="1"/>
    <w:unhideWhenUsed/>
    <w:qFormat/>
    <w:uiPriority w:val="0"/>
    <w:pPr>
      <w:spacing w:after="120"/>
    </w:pPr>
  </w:style>
  <w:style w:type="paragraph" w:styleId="7">
    <w:name w:val="Body Text Indent"/>
    <w:basedOn w:val="1"/>
    <w:next w:val="2"/>
    <w:qFormat/>
    <w:uiPriority w:val="0"/>
    <w:pPr>
      <w:adjustRightInd w:val="0"/>
      <w:spacing w:after="120" w:line="360" w:lineRule="atLeast"/>
      <w:ind w:left="420" w:leftChars="200"/>
      <w:jc w:val="left"/>
      <w:textAlignment w:val="baseline"/>
    </w:pPr>
    <w:rPr>
      <w:kern w:val="0"/>
      <w:sz w:val="24"/>
      <w:szCs w:val="20"/>
    </w:rPr>
  </w:style>
  <w:style w:type="paragraph" w:styleId="8">
    <w:name w:val="Plain Text"/>
    <w:basedOn w:val="1"/>
    <w:qFormat/>
    <w:uiPriority w:val="99"/>
    <w:rPr>
      <w:rFonts w:eastAsia="宋体"/>
      <w:sz w:val="24"/>
    </w:rPr>
  </w:style>
  <w:style w:type="paragraph" w:styleId="9">
    <w:name w:val="Date"/>
    <w:basedOn w:val="1"/>
    <w:next w:val="1"/>
    <w:unhideWhenUsed/>
    <w:qFormat/>
    <w:uiPriority w:val="99"/>
    <w:pPr>
      <w:ind w:left="100" w:leftChars="2500"/>
    </w:p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envelope return"/>
    <w:basedOn w:val="1"/>
    <w:qFormat/>
    <w:uiPriority w:val="0"/>
    <w:pPr>
      <w:snapToGrid w:val="0"/>
    </w:pPr>
    <w:rPr>
      <w:rFonts w:ascii="Arial" w:hAnsi="Arial"/>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next w:val="6"/>
    <w:qFormat/>
    <w:uiPriority w:val="0"/>
    <w:pPr>
      <w:spacing w:after="120" w:line="480" w:lineRule="auto"/>
    </w:pPr>
  </w:style>
  <w:style w:type="paragraph" w:styleId="14">
    <w:name w:val="Normal (Web)"/>
    <w:basedOn w:val="1"/>
    <w:qFormat/>
    <w:uiPriority w:val="99"/>
    <w:rPr>
      <w:rFonts w:ascii="Calibri" w:hAnsi="Calibri" w:eastAsia="宋体" w:cs="Times New Roman"/>
      <w:sz w:val="24"/>
      <w:szCs w:val="24"/>
    </w:rPr>
  </w:style>
  <w:style w:type="paragraph" w:styleId="15">
    <w:name w:val="Body Text First Indent"/>
    <w:basedOn w:val="6"/>
    <w:next w:val="1"/>
    <w:qFormat/>
    <w:uiPriority w:val="0"/>
    <w:pPr>
      <w:ind w:firstLine="420" w:firstLineChars="100"/>
    </w:pPr>
    <w:rPr>
      <w:rFonts w:ascii="宋体" w:hAnsi="Times New Roman" w:eastAsia="宋体" w:cs="Times New Roman"/>
      <w:kern w:val="0"/>
      <w:sz w:val="34"/>
      <w:szCs w:val="20"/>
    </w:rPr>
  </w:style>
  <w:style w:type="paragraph" w:styleId="16">
    <w:name w:val="Body Text First Indent 2"/>
    <w:basedOn w:val="7"/>
    <w:next w:val="1"/>
    <w:qFormat/>
    <w:uiPriority w:val="99"/>
    <w:pPr>
      <w:tabs>
        <w:tab w:val="left" w:pos="945"/>
        <w:tab w:val="left" w:pos="1155"/>
      </w:tabs>
      <w:ind w:firstLine="420" w:firstLineChars="200"/>
    </w:p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qFormat/>
    <w:uiPriority w:val="0"/>
    <w:rPr>
      <w:color w:val="444444"/>
      <w:sz w:val="21"/>
      <w:szCs w:val="21"/>
      <w:u w:val="none"/>
    </w:rPr>
  </w:style>
  <w:style w:type="character" w:styleId="21">
    <w:name w:val="Hyperlink"/>
    <w:basedOn w:val="19"/>
    <w:unhideWhenUsed/>
    <w:qFormat/>
    <w:uiPriority w:val="0"/>
    <w:rPr>
      <w:color w:val="000000"/>
      <w:u w:val="none"/>
    </w:rPr>
  </w:style>
  <w:style w:type="paragraph" w:customStyle="1" w:styleId="22">
    <w:name w:val="列出段落1"/>
    <w:basedOn w:val="1"/>
    <w:qFormat/>
    <w:uiPriority w:val="34"/>
    <w:pPr>
      <w:ind w:firstLine="420" w:firstLineChars="200"/>
    </w:pPr>
  </w:style>
  <w:style w:type="paragraph" w:customStyle="1" w:styleId="23">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24">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25">
    <w:name w:val="style4"/>
    <w:basedOn w:val="1"/>
    <w:next w:val="26"/>
    <w:qFormat/>
    <w:uiPriority w:val="0"/>
    <w:pPr>
      <w:widowControl/>
      <w:spacing w:before="280" w:after="280"/>
    </w:pPr>
    <w:rPr>
      <w:rFonts w:ascii="宋体" w:hAnsi="Times New Roman" w:eastAsia="宋体" w:cs="Times New Roman"/>
      <w:sz w:val="18"/>
    </w:rPr>
  </w:style>
  <w:style w:type="paragraph" w:customStyle="1" w:styleId="26">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7">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28">
    <w:name w:val="列表段落3"/>
    <w:basedOn w:val="1"/>
    <w:qFormat/>
    <w:uiPriority w:val="99"/>
    <w:pPr>
      <w:ind w:firstLine="420" w:firstLineChars="200"/>
    </w:pPr>
  </w:style>
  <w:style w:type="paragraph" w:styleId="29">
    <w:name w:val="List Paragraph"/>
    <w:basedOn w:val="1"/>
    <w:unhideWhenUsed/>
    <w:qFormat/>
    <w:uiPriority w:val="34"/>
    <w:pPr>
      <w:ind w:firstLine="420" w:firstLineChars="200"/>
    </w:pPr>
  </w:style>
  <w:style w:type="paragraph" w:customStyle="1" w:styleId="30">
    <w:name w:val="样式1"/>
    <w:basedOn w:val="1"/>
    <w:qFormat/>
    <w:uiPriority w:val="0"/>
    <w:pPr>
      <w:numPr>
        <w:ilvl w:val="0"/>
        <w:numId w:val="1"/>
      </w:numPr>
      <w:adjustRightInd w:val="0"/>
      <w:textAlignment w:val="baseline"/>
    </w:pPr>
    <w:rPr>
      <w:rFonts w:ascii="宋体" w:hAnsi="宋体" w:eastAsia="宋体" w:cs="Times New Roman"/>
      <w:kern w:val="0"/>
      <w:szCs w:val="21"/>
    </w:rPr>
  </w:style>
  <w:style w:type="character" w:customStyle="1" w:styleId="31">
    <w:name w:val="NormalCharacter"/>
    <w:qFormat/>
    <w:uiPriority w:val="0"/>
  </w:style>
  <w:style w:type="paragraph" w:styleId="32">
    <w:name w:val="No Spacing"/>
    <w:qFormat/>
    <w:uiPriority w:val="1"/>
    <w:pPr>
      <w:widowControl w:val="0"/>
      <w:spacing w:line="360" w:lineRule="auto"/>
      <w:jc w:val="both"/>
    </w:pPr>
    <w:rPr>
      <w:rFonts w:ascii="宋体" w:eastAsia="宋体" w:hAnsiTheme="minorHAnsi" w:cstheme="minorBidi"/>
      <w:kern w:val="2"/>
      <w:sz w:val="24"/>
      <w:szCs w:val="22"/>
      <w:lang w:val="en-US" w:eastAsia="zh-CN" w:bidi="ar-SA"/>
    </w:rPr>
  </w:style>
  <w:style w:type="paragraph" w:customStyle="1" w:styleId="33">
    <w:name w:val="样式 样式 样式 样式 标题 2 + 宋体 五号 非加粗 黑色 + 段前: 6 磅 段后: 0 磅 行距: 单倍行距 + 段前:..."/>
    <w:basedOn w:val="1"/>
    <w:qFormat/>
    <w:uiPriority w:val="0"/>
    <w:pPr>
      <w:keepNext/>
      <w:keepLines/>
      <w:numPr>
        <w:ilvl w:val="0"/>
        <w:numId w:val="2"/>
      </w:numPr>
      <w:adjustRightInd w:val="0"/>
      <w:spacing w:before="240"/>
      <w:jc w:val="left"/>
      <w:textAlignment w:val="baseline"/>
      <w:outlineLvl w:val="1"/>
    </w:pPr>
    <w:rPr>
      <w:rFonts w:ascii="宋体" w:hAnsi="宋体" w:eastAsia="宋体" w:cs="宋体"/>
      <w:b/>
      <w:bCs/>
      <w:color w:val="000000"/>
      <w:kern w:val="0"/>
      <w:szCs w:val="20"/>
    </w:rPr>
  </w:style>
  <w:style w:type="paragraph" w:customStyle="1" w:styleId="34">
    <w:name w:val="正文文本缩进1"/>
    <w:basedOn w:val="1"/>
    <w:qFormat/>
    <w:uiPriority w:val="0"/>
    <w:pPr>
      <w:spacing w:line="360" w:lineRule="auto"/>
      <w:ind w:firstLine="480" w:firstLineChars="200"/>
    </w:pPr>
    <w:rPr>
      <w:rFonts w:ascii="宋体"/>
      <w:sz w:val="24"/>
    </w:rPr>
  </w:style>
  <w:style w:type="paragraph" w:customStyle="1" w:styleId="35">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36">
    <w:name w:val="日期1"/>
    <w:basedOn w:val="1"/>
    <w:next w:val="1"/>
    <w:qFormat/>
    <w:uiPriority w:val="0"/>
    <w:rPr>
      <w:sz w:val="24"/>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 w:type="table" w:customStyle="1" w:styleId="38">
    <w:name w:val="Table Normal"/>
    <w:semiHidden/>
    <w:unhideWhenUsed/>
    <w:qFormat/>
    <w:uiPriority w:val="0"/>
    <w:tblPr>
      <w:tblCellMar>
        <w:top w:w="0" w:type="dxa"/>
        <w:left w:w="0" w:type="dxa"/>
        <w:bottom w:w="0" w:type="dxa"/>
        <w:right w:w="0" w:type="dxa"/>
      </w:tblCellMar>
    </w:tblPr>
  </w:style>
  <w:style w:type="paragraph" w:customStyle="1" w:styleId="39">
    <w:name w:val="表格文字"/>
    <w:basedOn w:val="1"/>
    <w:next w:val="6"/>
    <w:qFormat/>
    <w:uiPriority w:val="0"/>
    <w:pPr>
      <w:widowControl/>
      <w:spacing w:line="300" w:lineRule="auto"/>
      <w:jc w:val="left"/>
    </w:pPr>
    <w:rPr>
      <w:rFonts w:ascii="宋体" w:hAnsi="宋体"/>
      <w:sz w:val="24"/>
      <w:szCs w:val="32"/>
    </w:rPr>
  </w:style>
  <w:style w:type="character" w:customStyle="1" w:styleId="40">
    <w:name w:val="hover18"/>
    <w:basedOn w:val="19"/>
    <w:qFormat/>
    <w:uiPriority w:val="0"/>
  </w:style>
  <w:style w:type="paragraph" w:customStyle="1" w:styleId="41">
    <w:name w:val="HtmlNormal"/>
    <w:basedOn w:val="1"/>
    <w:qFormat/>
    <w:uiPriority w:val="0"/>
    <w:rPr>
      <w:sz w:val="24"/>
      <w:szCs w:val="24"/>
    </w:rPr>
  </w:style>
  <w:style w:type="paragraph" w:customStyle="1" w:styleId="42">
    <w:name w:val="Body text|4"/>
    <w:basedOn w:val="1"/>
    <w:qFormat/>
    <w:uiPriority w:val="0"/>
    <w:pPr>
      <w:widowControl w:val="0"/>
      <w:shd w:val="clear" w:color="auto" w:fill="auto"/>
      <w:ind w:right="660"/>
      <w:jc w:val="right"/>
    </w:pPr>
    <w:rPr>
      <w:rFonts w:ascii="宋体" w:hAnsi="宋体" w:eastAsia="宋体" w:cs="宋体"/>
      <w:color w:val="434E5A"/>
      <w:sz w:val="26"/>
      <w:szCs w:val="26"/>
      <w:u w:val="none"/>
      <w:shd w:val="clear" w:color="auto" w:fill="auto"/>
      <w:lang w:val="zh-TW" w:eastAsia="zh-TW" w:bidi="zh-TW"/>
    </w:rPr>
  </w:style>
  <w:style w:type="paragraph" w:customStyle="1" w:styleId="43">
    <w:name w:val="Heading #2|1"/>
    <w:basedOn w:val="1"/>
    <w:qFormat/>
    <w:uiPriority w:val="0"/>
    <w:pPr>
      <w:widowControl w:val="0"/>
      <w:shd w:val="clear" w:color="auto" w:fill="auto"/>
      <w:spacing w:after="270" w:line="590" w:lineRule="exact"/>
      <w:jc w:val="center"/>
      <w:outlineLvl w:val="1"/>
    </w:pPr>
    <w:rPr>
      <w:rFonts w:ascii="宋体" w:hAnsi="宋体" w:eastAsia="宋体" w:cs="宋体"/>
      <w:color w:val="58646D"/>
      <w:sz w:val="42"/>
      <w:szCs w:val="42"/>
      <w:u w:val="none"/>
      <w:shd w:val="clear" w:color="auto" w:fill="auto"/>
      <w:lang w:val="zh-TW" w:eastAsia="zh-TW" w:bidi="zh-TW"/>
    </w:rPr>
  </w:style>
  <w:style w:type="paragraph" w:customStyle="1" w:styleId="44">
    <w:name w:val="Body text|1"/>
    <w:basedOn w:val="1"/>
    <w:qFormat/>
    <w:uiPriority w:val="0"/>
    <w:pPr>
      <w:widowControl w:val="0"/>
      <w:shd w:val="clear" w:color="auto" w:fill="auto"/>
      <w:spacing w:line="379" w:lineRule="auto"/>
      <w:ind w:firstLine="400"/>
    </w:pPr>
    <w:rPr>
      <w:rFonts w:ascii="宋体" w:hAnsi="宋体" w:eastAsia="宋体" w:cs="宋体"/>
      <w:color w:val="434E5A"/>
      <w:sz w:val="22"/>
      <w:szCs w:val="22"/>
      <w:u w:val="none"/>
      <w:shd w:val="clear" w:color="auto" w:fill="auto"/>
      <w:lang w:val="zh-TW" w:eastAsia="zh-TW" w:bidi="zh-TW"/>
    </w:rPr>
  </w:style>
  <w:style w:type="paragraph" w:customStyle="1" w:styleId="45">
    <w:name w:val="Header or footer|1"/>
    <w:basedOn w:val="1"/>
    <w:qFormat/>
    <w:uiPriority w:val="0"/>
    <w:pPr>
      <w:widowControl w:val="0"/>
      <w:shd w:val="clear" w:color="auto" w:fill="auto"/>
    </w:pPr>
    <w:rPr>
      <w:sz w:val="17"/>
      <w:szCs w:val="17"/>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43790362-4b90-47a7-bb50-583a677ecaac</errorID>
      <errorWord>（</errorWord>
      <group>L1_Punc</group>
      <groupName>标点问题</groupName>
      <ability>L2_Punc_CN</ability>
      <abilityName>标点符号问题</abilityName>
      <candidateList/>
      <explain>同一形式括号套用。</explain>
      <paraID>2B89CE85</paraID>
      <start>90</start>
      <end>91</end>
      <status>unmodified</status>
      <modifiedWord/>
      <trackRevisions>false</trackRevisions>
    </reviewItem>
    <reviewItem>
      <errorID>fa8f89b8-0772-4cc5-9676-a2c4d609e531</errorID>
      <errorWord>）</errorWord>
      <group>L1_Punc</group>
      <groupName>标点问题</groupName>
      <ability>L2_Punc_CN</ability>
      <abilityName>标点符号问题</abilityName>
      <candidateList/>
      <explain>同一形式括号套用。</explain>
      <paraID>2B89CE85</paraID>
      <start>98</start>
      <end>99</end>
      <status>unmodified</status>
      <modifiedWord/>
      <trackRevisions>false</trackRevisions>
    </reviewItem>
    <reviewItem>
      <errorID>d6b14322-37b7-4ca1-bffc-34ad56294db6</errorID>
      <errorWord>日至2026年</errorWord>
      <group>L1_Word</group>
      <groupName>字词问题</groupName>
      <ability>L2_Typo</ability>
      <abilityName>字词错误</abilityName>
      <candidateList>
        <item>日起至2026年</item>
      </candidateList>
      <explain/>
      <paraID>2B89CEB3</paraID>
      <start>14</start>
      <end>21</end>
      <status>unmodified</status>
      <modifiedWord/>
      <trackRevisions>false</trackRevisions>
    </reviewItem>
    <reviewItem>
      <errorID>b2e0ebac-e00b-45bc-9863-292ac0fcb230</errorID>
      <errorWord>上午00:00</errorWord>
      <group>L1_Knowledge</group>
      <groupName>知识性问题</groupName>
      <ability>L2_Time</ability>
      <abilityName>日期时间</abilityName>
      <candidateList/>
      <explain>时间与前缀不匹配，可能的时间前缀有“下午、晚上、凌晨、午夜”。</explain>
      <paraID>2B89CEB3</paraID>
      <start>30</start>
      <end>37</end>
      <status>unmodified</status>
      <modifiedWord/>
      <trackRevisions>false</trackRevisions>
    </reviewItem>
    <reviewItem>
      <errorID>ce293e22-1fa3-408e-a4b9-53f33951a880</errorID>
      <errorWord>.</errorWord>
      <group>L1_Format</group>
      <groupName>格式问题</groupName>
      <ability>L2_HalfPunc_CN</ability>
      <abilityName>全半角问题</abilityName>
      <candidateList>
        <item>。</item>
      </candidateList>
      <explain>文本全半角错误。</explain>
      <paraID>2B89CEB9</paraID>
      <start>81</start>
      <end>82</end>
      <status>unmodified</status>
      <modifiedWord/>
      <trackRevisions>false</trackRevisions>
    </reviewItem>
    <reviewItem>
      <errorID>6359ffaf-05b7-4e96-8471-49655f3eefb0</errorID>
      <errorWord>.</errorWord>
      <group>L1_Format</group>
      <groupName>格式问题</groupName>
      <ability>L2_HalfPunc_CN</ability>
      <abilityName>全半角问题</abilityName>
      <candidateList>
        <item>。</item>
      </candidateList>
      <explain>文本全半角错误。</explain>
      <paraID>4EF8F44C</paraID>
      <start>68</start>
      <end>69</end>
      <status>unmodified</status>
      <modifiedWord/>
      <trackRevisions>false</trackRevisions>
    </reviewItem>
    <reviewItem>
      <errorID>0d81debe-0c23-4205-8d38-2f8dd9ea5d74</errorID>
      <errorWord>.</errorWord>
      <group>L1_Format</group>
      <groupName>格式问题</groupName>
      <ability>L2_HalfPunc_CN</ability>
      <abilityName>全半角问题</abilityName>
      <candidateList>
        <item>。</item>
      </candidateList>
      <explain>文本全半角错误。</explain>
      <paraID>4EF8F44C</paraID>
      <start>75</start>
      <end>76</end>
      <status>unmodified</status>
      <modifiedWord/>
      <trackRevisions>false</trackRevisions>
    </reviewItem>
    <reviewItem>
      <errorID>7652ffda-de50-4bd0-9cba-6aab93a5e874</errorID>
      <errorWord>“.</errorWord>
      <group>L1_Punc</group>
      <groupName>标点问题</groupName>
      <ability>L2_Punc_CN</ability>
      <abilityName>标点符号问题</abilityName>
      <candidateList>
        <item>“</item>
      </candidateList>
      <explain/>
      <paraID>4EF8F44C</paraID>
      <start>91</start>
      <end>93</end>
      <status>unmodified</status>
      <modifiedWord/>
      <trackRevisions>false</trackRevisions>
    </reviewItem>
    <reviewItem>
      <errorID>62ba90fc-e241-4631-b572-5b41f99c2bb3</errorID>
      <errorWord>“.</errorWord>
      <group>L1_Punc</group>
      <groupName>标点问题</groupName>
      <ability>L2_Punc_CN</ability>
      <abilityName>标点符号问题</abilityName>
      <candidateList>
        <item>“</item>
      </candidateList>
      <explain/>
      <paraID>4EF8F44C</paraID>
      <start>126</start>
      <end>128</end>
      <status>unmodified</status>
      <modifiedWord/>
      <trackRevisions>false</trackRevisions>
    </reviewItem>
    <reviewItem>
      <errorID>5e543d5c-7bc8-48a4-aa34-08f2a91520e9</errorID>
      <errorWord>（</errorWord>
      <group>L1_Punc</group>
      <groupName>标点问题</groupName>
      <ability>L2_Punc_CN</ability>
      <abilityName>标点符号问题</abilityName>
      <candidateList/>
      <explain>同一形式括号套用。</explain>
      <paraID>2835356F</paraID>
      <start>117</start>
      <end>118</end>
      <status>unmodified</status>
      <modifiedWord/>
      <trackRevisions>false</trackRevisions>
    </reviewItem>
    <reviewItem>
      <errorID>4a031659-9615-4b42-b895-431ad9be1b4f</errorID>
      <errorWord>）</errorWord>
      <group>L1_Punc</group>
      <groupName>标点问题</groupName>
      <ability>L2_Punc_CN</ability>
      <abilityName>标点符号问题</abilityName>
      <candidateList/>
      <explain>同一形式括号套用。</explain>
      <paraID>2835356F</paraID>
      <start>122</start>
      <end>123</end>
      <status>unmodified</status>
      <modifiedWord/>
      <trackRevisions>false</trackRevisions>
    </reviewItem>
    <reviewItem>
      <errorID>caeb13ab-fa0e-4460-acff-bd45d68a8c1b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35FF0B84</paraID>
      <start>48</start>
      <end>49</end>
      <status>unmodified</status>
      <modifiedWord/>
      <trackRevisions>false</trackRevisions>
    </reviewItem>
    <reviewItem>
      <errorID>292ec89c-04a2-4222-aaf4-5aacc1da3547</errorID>
      <errorWord>.</errorWord>
      <group>L1_Format</group>
      <groupName>格式问题</groupName>
      <ability>L2_HalfPunc_CN</ability>
      <abilityName>全半角问题</abilityName>
      <candidateList>
        <item>。</item>
      </candidateList>
      <explain>文本全半角错误。</explain>
      <paraID>2B89D08C</paraID>
      <start>47</start>
      <end>48</end>
      <status>unmodified</status>
      <modifiedWord/>
      <trackRevisions>false</trackRevisions>
    </reviewItem>
    <reviewItem>
      <errorID>5c6a869c-5461-46b8-bcee-d76faac7af9b</errorID>
      <errorWord>“.</errorWord>
      <group>L1_Punc</group>
      <groupName>标点问题</groupName>
      <ability>L2_Punc_CN</ability>
      <abilityName>标点符号问题</abilityName>
      <candidateList>
        <item>“</item>
      </candidateList>
      <explain/>
      <paraID>2B89D095</paraID>
      <start>72</start>
      <end>74</end>
      <status>unmodified</status>
      <modifiedWord/>
      <trackRevisions>false</trackRevisions>
    </reviewItem>
    <reviewItem>
      <errorID>26178416-5e29-4216-ad61-0d957d932793</errorID>
      <errorWord>.</errorWord>
      <group>L1_Format</group>
      <groupName>格式问题</groupName>
      <ability>L2_HalfPunc_CN</ability>
      <abilityName>全半角问题</abilityName>
      <candidateList>
        <item>。</item>
      </candidateList>
      <explain>文本全半角错误。</explain>
      <paraID>2B89D097</paraID>
      <start>65</start>
      <end>66</end>
      <status>unmodified</status>
      <modifiedWord/>
      <trackRevisions>false</trackRevisions>
    </reviewItem>
    <reviewItem>
      <errorID>91f5df68-026d-4a17-a5c3-720ff72193c1</errorID>
      <errorWord>.</errorWord>
      <group>L1_Format</group>
      <groupName>格式问题</groupName>
      <ability>L2_HalfPunc_CN</ability>
      <abilityName>全半角问题</abilityName>
      <candidateList>
        <item>。</item>
      </candidateList>
      <explain>文本全半角错误。</explain>
      <paraID>2B89D097</paraID>
      <start>72</start>
      <end>73</end>
      <status>unmodified</status>
      <modifiedWord/>
      <trackRevisions>false</trackRevisions>
    </reviewItem>
    <reviewItem>
      <errorID>8003a082-92ab-454e-9065-835a5d4f6fff</errorID>
      <errorWord>“.</errorWord>
      <group>L1_Punc</group>
      <groupName>标点问题</groupName>
      <ability>L2_Punc_CN</ability>
      <abilityName>标点符号问题</abilityName>
      <candidateList>
        <item>“</item>
      </candidateList>
      <explain/>
      <paraID>2B89D097</paraID>
      <start>88</start>
      <end>90</end>
      <status>unmodified</status>
      <modifiedWord/>
      <trackRevisions>false</trackRevisions>
    </reviewItem>
    <reviewItem>
      <errorID>7628c05b-0db7-48aa-bef9-615bcee8a92b</errorID>
      <errorWord>“.</errorWord>
      <group>L1_Punc</group>
      <groupName>标点问题</groupName>
      <ability>L2_Punc_CN</ability>
      <abilityName>标点符号问题</abilityName>
      <candidateList>
        <item>“</item>
      </candidateList>
      <explain/>
      <paraID>2B89D09D</paraID>
      <start>49</start>
      <end>51</end>
      <status>unmodified</status>
      <modifiedWord/>
      <trackRevisions>false</trackRevisions>
    </reviewItem>
    <reviewItem>
      <errorID>f13ceff6-f3ed-42ed-b6c9-06535b64931b</errorID>
      <errorWord>.</errorWord>
      <group>L1_Format</group>
      <groupName>格式问题</groupName>
      <ability>L2_HalfPunc_CN</ability>
      <abilityName>全半角问题</abilityName>
      <candidateList>
        <item>。</item>
      </candidateList>
      <explain>文本全半角错误。</explain>
      <paraID>2BB4FBFB</paraID>
      <start>132</start>
      <end>133</end>
      <status>unmodified</status>
      <modifiedWord/>
      <trackRevisions>false</trackRevisions>
    </reviewItem>
    <reviewItem>
      <errorID>4a23ba7d-e5f5-4056-b0ba-f36e07729777</errorID>
      <errorWord>.</errorWord>
      <group>L1_Format</group>
      <groupName>格式问题</groupName>
      <ability>L2_HalfPunc_CN</ability>
      <abilityName>全半角问题</abilityName>
      <candidateList>
        <item>。</item>
      </candidateList>
      <explain>文本全半角错误。</explain>
      <paraID>2BB4FBFB</paraID>
      <start>139</start>
      <end>140</end>
      <status>unmodified</status>
      <modifiedWord/>
      <trackRevisions>false</trackRevisions>
    </reviewItem>
    <reviewItem>
      <errorID>9713e802-cbff-46cd-b22f-1e3e2f2d74dc</errorID>
      <errorWord>“.</errorWord>
      <group>L1_Punc</group>
      <groupName>标点问题</groupName>
      <ability>L2_Punc_CN</ability>
      <abilityName>标点符号问题</abilityName>
      <candidateList>
        <item>“</item>
      </candidateList>
      <explain/>
      <paraID>2BB4FBFB</paraID>
      <start>155</start>
      <end>157</end>
      <status>unmodified</status>
      <modifiedWord/>
      <trackRevisions>false</trackRevisions>
    </reviewItem>
    <reviewItem>
      <errorID>fe1ef3fd-fa10-45a2-9f35-dde689251da1</errorID>
      <errorWord>“.</errorWord>
      <group>L1_Punc</group>
      <groupName>标点问题</groupName>
      <ability>L2_Punc_CN</ability>
      <abilityName>标点符号问题</abilityName>
      <candidateList>
        <item>“</item>
      </candidateList>
      <explain/>
      <paraID>2BB4FBFB</paraID>
      <start>191</start>
      <end>193</end>
      <status>unmodified</status>
      <modifiedWord/>
      <trackRevisions>false</trackRevisions>
    </reviewItem>
    <reviewItem>
      <errorID>79b3edbd-cc20-47e1-94d7-c661f0f022f6</errorID>
      <errorWord>.</errorWord>
      <group>L1_Format</group>
      <groupName>格式问题</groupName>
      <ability>L2_HalfPunc_CN</ability>
      <abilityName>全半角问题</abilityName>
      <candidateList>
        <item>。</item>
      </candidateList>
      <explain>文本全半角错误。</explain>
      <paraID>344C682E</paraID>
      <start>55</start>
      <end>56</end>
      <status>unmodified</status>
      <modifiedWord/>
      <trackRevisions>false</trackRevisions>
    </reviewItem>
    <reviewItem>
      <errorID>219439b1-0c7f-4f0a-9419-ac79c4b7b402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5E718923</paraID>
      <start>40</start>
      <end>41</end>
      <status>unmodified</status>
      <modifiedWord/>
      <trackRevisions>false</trackRevisions>
    </reviewItem>
    <reviewItem>
      <errorID>12151d0a-2236-4580-a545-42d00537cc2a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48EBCE78</paraID>
      <start>40</start>
      <end>41</end>
      <status>unmodified</status>
      <modifiedWord/>
      <trackRevisions>false</trackRevisions>
    </reviewItem>
    <reviewItem>
      <errorID>ffa41e34-7c01-47d7-912b-a459710e414e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156EF4F7</paraID>
      <start>29</start>
      <end>30</end>
      <status>unmodified</status>
      <modifiedWord/>
      <trackRevisions>false</trackRevisions>
    </reviewItem>
    <reviewItem>
      <errorID>efb0b789-c6ed-4f6c-9124-d2369ea82cc4</errorID>
      <errorWord>第26条</errorWord>
      <group>L1_Knowledge</group>
      <groupName>知识性问题</groupName>
      <ability>L2_Knowledge</ability>
      <abilityName>其他知识</abilityName>
      <candidateList>
        <item>第二十六条</item>
      </candidateList>
      <explain>法律条目书写应使用汉字数字，不使用阿拉伯数字。</explain>
      <paraID>6151AA7E</paraID>
      <start>37</start>
      <end>41</end>
      <status>unmodified</status>
      <modifiedWord/>
      <trackRevisions>false</trackRevisions>
    </reviewItem>
    <reviewItem>
      <errorID>b1de9475-c705-4087-86ed-12412abf2aa6</errorID>
      <errorWord>详实</errorWord>
      <group>L1_Word</group>
      <groupName>字词问题</groupName>
      <ability>L2_Typo</ability>
      <abilityName>字词错误</abilityName>
      <candidateList>
        <item>翔实</item>
      </candidateList>
      <explain>存在发音相同字词的误用。</explain>
      <paraID>4BB83AF1</paraID>
      <start>75</start>
      <end>77</end>
      <status>unmodified</status>
      <modifiedWord/>
      <trackRevisions>false</trackRevisions>
    </reviewItem>
    <reviewItem>
      <errorID>c09311c7-5992-4ddb-b379-ca14caa69159</errorID>
      <errorWord>详实</errorWord>
      <group>L1_Word</group>
      <groupName>字词问题</groupName>
      <ability>L2_Typo</ability>
      <abilityName>字词错误</abilityName>
      <candidateList>
        <item>翔实</item>
      </candidateList>
      <explain>存在发音相同字词的误用。</explain>
      <paraID>46D67A50</paraID>
      <start>55</start>
      <end>57</end>
      <status>unmodified</status>
      <modifiedWord/>
      <trackRevisions>false</trackRevisions>
    </reviewItem>
    <reviewItem>
      <errorID>5e82b15b-522d-4bce-9aa9-463dc11b9642</errorID>
      <errorWord>详实</errorWord>
      <group>L1_Word</group>
      <groupName>字词问题</groupName>
      <ability>L2_Typo</ability>
      <abilityName>字词错误</abilityName>
      <candidateList>
        <item>翔实</item>
      </candidateList>
      <explain>存在发音相同字词的误用。</explain>
      <paraID>5D3D64C5</paraID>
      <start>60</start>
      <end>62</end>
      <status>unmodified</status>
      <modifiedWord/>
      <trackRevisions>false</trackRevisions>
    </reviewItem>
    <reviewItem>
      <errorID>b26eadfa-d135-45c8-af93-f39d7bc0f10b</errorID>
      <errorWord>详实</errorWord>
      <group>L1_Word</group>
      <groupName>字词问题</groupName>
      <ability>L2_Typo</ability>
      <abilityName>字词错误</abilityName>
      <candidateList>
        <item>翔实</item>
      </candidateList>
      <explain>存在发音相同字词的误用。</explain>
      <paraID>6BE4ACD9</paraID>
      <start>48</start>
      <end>50</end>
      <status>unmodified</status>
      <modifiedWord/>
      <trackRevisions>false</trackRevisions>
    </reviewItem>
    <reviewItem>
      <errorID>5802878b-1ef2-48e9-803a-4f5b24e38216</errorID>
      <errorWord>详实</errorWord>
      <group>L1_Word</group>
      <groupName>字词问题</groupName>
      <ability>L2_Typo</ability>
      <abilityName>字词错误</abilityName>
      <candidateList>
        <item>翔实</item>
      </candidateList>
      <explain>存在发音相同字词的误用。</explain>
      <paraID>41144626</paraID>
      <start>46</start>
      <end>48</end>
      <status>unmodified</status>
      <modifiedWord/>
      <trackRevisions>false</trackRevisions>
    </reviewItem>
    <reviewItem>
      <errorID>693e87b8-9d51-410d-ba24-fe9f45e3091f</errorID>
      <errorWord>详实</errorWord>
      <group>L1_Word</group>
      <groupName>字词问题</groupName>
      <ability>L2_Typo</ability>
      <abilityName>字词错误</abilityName>
      <candidateList>
        <item>翔实</item>
      </candidateList>
      <explain>存在发音相同字词的误用。</explain>
      <paraID>64FD4558</paraID>
      <start>46</start>
      <end>48</end>
      <status>unmodified</status>
      <modifiedWord/>
      <trackRevisions>false</trackRevisions>
    </reviewItem>
    <reviewItem>
      <errorID>8f74cfbf-cbbc-4234-96df-8cdb2102703b</errorID>
      <errorWord>详实</errorWord>
      <group>L1_Word</group>
      <groupName>字词问题</groupName>
      <ability>L2_Typo</ability>
      <abilityName>字词错误</abilityName>
      <candidateList>
        <item>翔实</item>
      </candidateList>
      <explain>存在发音相同字词的误用。</explain>
      <paraID>495938B7</paraID>
      <start>46</start>
      <end>48</end>
      <status>unmodified</status>
      <modifiedWord/>
      <trackRevisions>false</trackRevisions>
    </reviewItem>
    <reviewItem>
      <errorID>5a034327-573c-444b-80d3-af3e2e6ae1f2</errorID>
      <errorWord>详实</errorWord>
      <group>L1_Word</group>
      <groupName>字词问题</groupName>
      <ability>L2_Typo</ability>
      <abilityName>字词错误</abilityName>
      <candidateList>
        <item>翔实</item>
      </candidateList>
      <explain>存在发音相同字词的误用。</explain>
      <paraID>30BD50C0</paraID>
      <start>49</start>
      <end>51</end>
      <status>unmodified</status>
      <modifiedWord/>
      <trackRevisions>false</trackRevisions>
    </reviewItem>
    <reviewItem>
      <errorID>98e96e9d-d988-4737-ac39-8cc5d14e6258</errorID>
      <errorWord>详实</errorWord>
      <group>L1_Word</group>
      <groupName>字词问题</groupName>
      <ability>L2_Typo</ability>
      <abilityName>字词错误</abilityName>
      <candidateList>
        <item>翔实</item>
      </candidateList>
      <explain>存在发音相同字词的误用。</explain>
      <paraID>7AD84A04</paraID>
      <start>42</start>
      <end>44</end>
      <status>unmodified</status>
      <modifiedWord/>
      <trackRevisions>false</trackRevisions>
    </reviewItem>
    <reviewItem>
      <errorID>f98d0e17-0417-48d7-9542-995762c972b0</errorID>
      <errorWord>1-20%</errorWord>
      <group>L1_Knowledge</group>
      <groupName>知识性问题</groupName>
      <ability>L2_Knowledge</ability>
      <abilityName>其他知识</abilityName>
      <candidateList>
        <item>1%—20%</item>
      </candidateList>
      <explain>1. “1-20%”中的单位“%”仅出现在后一个数字上，容易引起歧义；根据《现代汉语标点符号数字用法规范手册》，数字表示范围两边需要使用统一的格式。2. 根据标点国标 4.13 中的规则，数字、时间或地域连接符应使用（视觉上更长的）“—”或“～”。</explain>
      <paraID> 4442D72</paraID>
      <start>19</start>
      <end>24</end>
      <status>unmodified</status>
      <modifiedWord/>
      <trackRevisions>false</trackRevisions>
    </reviewItem>
    <reviewItem>
      <errorID>0a84cd4d-5cbb-4dd1-97fc-25dbb7a760c8</errorID>
      <errorWord>1-6%</errorWord>
      <group>L1_Knowledge</group>
      <groupName>知识性问题</groupName>
      <ability>L2_Knowledge</ability>
      <abilityName>其他知识</abilityName>
      <candidateList>
        <item>1%—6%</item>
      </candidateList>
      <explain>1. “1-6%”中的单位“%”仅出现在后一个数字上，容易引起歧义；根据《现代汉语标点符号数字用法规范手册》，数字表示范围两边需要使用统一的格式。2. 根据标点国标 4.13 中的规则，数字、时间或地域连接符应使用（视觉上更长的）“—”或“～”。</explain>
      <paraID>72414B43</paraID>
      <start>11</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1dc353-9a36-44aa-bf17-808c67c393be}">
  <ds:schemaRefs/>
</ds:datastoreItem>
</file>

<file path=docProps/app.xml><?xml version="1.0" encoding="utf-8"?>
<Properties xmlns="http://schemas.openxmlformats.org/officeDocument/2006/extended-properties" xmlns:vt="http://schemas.openxmlformats.org/officeDocument/2006/docPropsVTypes">
  <Template>Normal.dotm</Template>
  <Pages>69</Pages>
  <Words>12869</Words>
  <Characters>13939</Characters>
  <Lines>342</Lines>
  <Paragraphs>96</Paragraphs>
  <TotalTime>65</TotalTime>
  <ScaleCrop>false</ScaleCrop>
  <LinksUpToDate>false</LinksUpToDate>
  <CharactersWithSpaces>14074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2025-09-05T14:08:00Z</dcterms:created>
  <dc:creator>孙钟</dc:creator>
  <cp:lastModifiedBy>Administrator</cp:lastModifiedBy>
  <cp:lastPrinted>2026-09-21T04:19:00Z</cp:lastPrinted>
  <dcterms:modified xsi:type="dcterms:W3CDTF">2026-09-22T09:58:27Z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9A9E39B68D6E44FD8E27AFB85DC6A493_13</vt:lpwstr>
  </property>
  <property fmtid="{D5CDD505-2E9C-101B-9397-08002B2CF9AE}" pid="4" name="KSOTemplateDocerSaveRecord">
    <vt:lpwstr>eyJoZGlkIjoiYzc3ZjE3ZmVjZjMyZjE2MzUwYzE2YWE4MTQ5OWRjYzYiLCJ1c2VySWQiOiIxNTUwNTcwODY2In0=</vt:lpwstr>
  </property>
</Properties>
</file>