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9CE57">
      <w:pPr>
        <w:pStyle w:val="7"/>
        <w:jc w:val="center"/>
        <w:rPr>
          <w:rFonts w:hint="eastAsia" w:ascii="宋体" w:hAnsi="宋体" w:eastAsia="宋体" w:cs="宋体"/>
          <w:bCs/>
          <w:color w:val="auto"/>
          <w:w w:val="90"/>
          <w:sz w:val="72"/>
          <w:szCs w:val="72"/>
        </w:rPr>
      </w:pPr>
      <w:r>
        <w:rPr>
          <w:rFonts w:hint="eastAsia" w:ascii="宋体" w:hAnsi="宋体" w:eastAsia="宋体" w:cs="宋体"/>
          <w:b/>
          <w:bCs/>
          <w:color w:val="auto"/>
          <w:sz w:val="44"/>
          <w:szCs w:val="44"/>
          <w:lang w:eastAsia="zh-CN"/>
        </w:rPr>
        <w:t>禹州市农业农村局2026年中药材绿色高产高效创建采购项目</w:t>
      </w:r>
    </w:p>
    <w:p w14:paraId="2B89CE58">
      <w:pPr>
        <w:pStyle w:val="26"/>
        <w:rPr>
          <w:rFonts w:hint="eastAsia" w:ascii="宋体" w:hAnsi="宋体" w:eastAsia="宋体" w:cs="宋体"/>
          <w:color w:val="auto"/>
        </w:rPr>
      </w:pPr>
    </w:p>
    <w:p w14:paraId="179B1CAA">
      <w:pPr>
        <w:pStyle w:val="10"/>
        <w:ind w:left="0" w:leftChars="0" w:firstLine="0" w:firstLineChars="0"/>
        <w:rPr>
          <w:rFonts w:hint="eastAsia" w:ascii="宋体" w:hAnsi="宋体" w:eastAsia="宋体" w:cs="宋体"/>
          <w:color w:val="auto"/>
        </w:rPr>
      </w:pPr>
    </w:p>
    <w:p w14:paraId="2B89CE59">
      <w:pPr>
        <w:pStyle w:val="7"/>
        <w:rPr>
          <w:rFonts w:hint="eastAsia" w:ascii="宋体" w:hAnsi="宋体" w:eastAsia="宋体" w:cs="宋体"/>
          <w:color w:val="auto"/>
        </w:rPr>
      </w:pPr>
    </w:p>
    <w:p w14:paraId="2B89CE5A">
      <w:pPr>
        <w:jc w:val="center"/>
        <w:rPr>
          <w:rFonts w:hint="eastAsia" w:ascii="宋体" w:hAnsi="宋体" w:eastAsia="宋体" w:cs="宋体"/>
          <w:b/>
          <w:bCs w:val="0"/>
          <w:color w:val="auto"/>
          <w:w w:val="90"/>
          <w:sz w:val="72"/>
          <w:szCs w:val="72"/>
        </w:rPr>
      </w:pPr>
      <w:r>
        <w:rPr>
          <w:rFonts w:hint="eastAsia" w:ascii="宋体" w:hAnsi="宋体" w:eastAsia="宋体" w:cs="宋体"/>
          <w:b/>
          <w:bCs w:val="0"/>
          <w:color w:val="auto"/>
          <w:w w:val="90"/>
          <w:sz w:val="72"/>
          <w:szCs w:val="72"/>
        </w:rPr>
        <w:t>招 标 文 件</w:t>
      </w:r>
    </w:p>
    <w:p w14:paraId="1F47FBF3">
      <w:pPr>
        <w:jc w:val="center"/>
        <w:rPr>
          <w:rFonts w:hint="eastAsia" w:ascii="宋体" w:hAnsi="宋体" w:eastAsia="宋体" w:cs="宋体"/>
          <w:b/>
          <w:bCs w:val="0"/>
          <w:color w:val="auto"/>
          <w:w w:val="90"/>
          <w:sz w:val="72"/>
          <w:szCs w:val="72"/>
        </w:rPr>
      </w:pPr>
    </w:p>
    <w:p w14:paraId="2B89CE5B">
      <w:pPr>
        <w:rPr>
          <w:rFonts w:hint="eastAsia" w:ascii="宋体" w:hAnsi="宋体" w:eastAsia="宋体" w:cs="宋体"/>
          <w:color w:val="auto"/>
        </w:rPr>
      </w:pPr>
    </w:p>
    <w:p w14:paraId="2B89CE5C">
      <w:pPr>
        <w:rPr>
          <w:rFonts w:hint="eastAsia" w:ascii="宋体" w:hAnsi="宋体" w:eastAsia="宋体" w:cs="宋体"/>
          <w:color w:val="auto"/>
        </w:rPr>
      </w:pPr>
    </w:p>
    <w:p w14:paraId="2B89CE5D">
      <w:pPr>
        <w:rPr>
          <w:rFonts w:hint="eastAsia" w:ascii="宋体" w:hAnsi="宋体" w:eastAsia="宋体" w:cs="宋体"/>
          <w:color w:val="auto"/>
        </w:rPr>
      </w:pPr>
    </w:p>
    <w:p w14:paraId="2B89CE5E">
      <w:pPr>
        <w:rPr>
          <w:rFonts w:hint="eastAsia" w:ascii="宋体" w:hAnsi="宋体" w:eastAsia="宋体" w:cs="宋体"/>
          <w:color w:val="auto"/>
        </w:rPr>
      </w:pPr>
    </w:p>
    <w:p w14:paraId="2B89CE5F">
      <w:pPr>
        <w:rPr>
          <w:rFonts w:hint="eastAsia" w:ascii="宋体" w:hAnsi="宋体" w:eastAsia="宋体" w:cs="宋体"/>
          <w:color w:val="auto"/>
        </w:rPr>
      </w:pPr>
    </w:p>
    <w:p w14:paraId="2B89CE60">
      <w:pPr>
        <w:rPr>
          <w:rFonts w:hint="eastAsia" w:ascii="宋体" w:hAnsi="宋体" w:eastAsia="宋体" w:cs="宋体"/>
          <w:color w:val="auto"/>
        </w:rPr>
      </w:pPr>
      <w:r>
        <w:rPr>
          <w:rFonts w:hint="eastAsia" w:ascii="宋体" w:hAnsi="宋体" w:eastAsia="宋体" w:cs="宋体"/>
          <w:color w:val="auto"/>
          <w:spacing w:val="0"/>
          <w:position w:val="0"/>
          <w:highlight w:val="none"/>
        </w:rPr>
        <w:drawing>
          <wp:anchor distT="0" distB="0" distL="114300" distR="114300" simplePos="0" relativeHeight="251660288" behindDoc="0" locked="0" layoutInCell="1" allowOverlap="1">
            <wp:simplePos x="0" y="0"/>
            <wp:positionH relativeFrom="column">
              <wp:posOffset>1362710</wp:posOffset>
            </wp:positionH>
            <wp:positionV relativeFrom="paragraph">
              <wp:posOffset>-1056005</wp:posOffset>
            </wp:positionV>
            <wp:extent cx="2689860" cy="2276475"/>
            <wp:effectExtent l="0" t="0" r="15240" b="9525"/>
            <wp:wrapNone/>
            <wp:docPr id="7" name="图片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logo"/>
                    <pic:cNvPicPr>
                      <a:picLocks noChangeAspect="1"/>
                    </pic:cNvPicPr>
                  </pic:nvPicPr>
                  <pic:blipFill>
                    <a:blip r:embed="rId5"/>
                    <a:stretch>
                      <a:fillRect/>
                    </a:stretch>
                  </pic:blipFill>
                  <pic:spPr>
                    <a:xfrm>
                      <a:off x="0" y="0"/>
                      <a:ext cx="2689860" cy="2276475"/>
                    </a:xfrm>
                    <a:prstGeom prst="rect">
                      <a:avLst/>
                    </a:prstGeom>
                    <a:noFill/>
                    <a:ln>
                      <a:noFill/>
                    </a:ln>
                  </pic:spPr>
                </pic:pic>
              </a:graphicData>
            </a:graphic>
          </wp:anchor>
        </w:drawing>
      </w:r>
    </w:p>
    <w:p w14:paraId="2B89CE61">
      <w:pPr>
        <w:rPr>
          <w:rFonts w:hint="eastAsia" w:ascii="宋体" w:hAnsi="宋体" w:eastAsia="宋体" w:cs="宋体"/>
          <w:color w:val="auto"/>
        </w:rPr>
      </w:pPr>
    </w:p>
    <w:p w14:paraId="2B89CE66">
      <w:pPr>
        <w:pStyle w:val="26"/>
        <w:rPr>
          <w:rFonts w:hint="eastAsia" w:ascii="宋体" w:hAnsi="宋体" w:eastAsia="宋体" w:cs="宋体"/>
          <w:color w:val="auto"/>
        </w:rPr>
      </w:pPr>
    </w:p>
    <w:p w14:paraId="2B89CE67">
      <w:pPr>
        <w:pStyle w:val="27"/>
        <w:rPr>
          <w:rFonts w:hint="eastAsia" w:ascii="宋体" w:hAnsi="宋体" w:eastAsia="宋体" w:cs="宋体"/>
          <w:color w:val="auto"/>
        </w:rPr>
      </w:pPr>
    </w:p>
    <w:p w14:paraId="4B5BF0B8">
      <w:pPr>
        <w:spacing w:line="600" w:lineRule="exact"/>
        <w:ind w:firstLine="1066" w:firstLineChars="295"/>
        <w:rPr>
          <w:rFonts w:hint="eastAsia" w:ascii="宋体" w:hAnsi="宋体" w:eastAsia="宋体" w:cs="宋体"/>
          <w:b/>
          <w:bCs/>
          <w:color w:val="auto"/>
          <w:sz w:val="36"/>
          <w:szCs w:val="36"/>
        </w:rPr>
      </w:pPr>
      <w:bookmarkStart w:id="0" w:name="_Hlk82421398"/>
    </w:p>
    <w:p w14:paraId="0E70A62C">
      <w:pPr>
        <w:spacing w:line="600" w:lineRule="exact"/>
        <w:ind w:firstLine="1066" w:firstLineChars="295"/>
        <w:rPr>
          <w:rFonts w:hint="eastAsia" w:ascii="宋体" w:hAnsi="宋体" w:eastAsia="宋体" w:cs="宋体"/>
          <w:b/>
          <w:bCs/>
          <w:color w:val="auto"/>
          <w:sz w:val="36"/>
          <w:szCs w:val="36"/>
        </w:rPr>
      </w:pPr>
    </w:p>
    <w:p w14:paraId="69D4B758">
      <w:pPr>
        <w:spacing w:line="600" w:lineRule="exact"/>
        <w:ind w:firstLine="1066" w:firstLineChars="295"/>
        <w:rPr>
          <w:rFonts w:hint="eastAsia" w:ascii="宋体" w:hAnsi="宋体" w:eastAsia="宋体" w:cs="宋体"/>
          <w:b/>
          <w:bCs/>
          <w:color w:val="auto"/>
          <w:sz w:val="36"/>
          <w:szCs w:val="36"/>
        </w:rPr>
      </w:pPr>
    </w:p>
    <w:p w14:paraId="2B89CE68">
      <w:pPr>
        <w:spacing w:line="600" w:lineRule="exact"/>
        <w:ind w:firstLine="1066" w:firstLineChars="295"/>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rPr>
        <w:t>采购编号：</w:t>
      </w:r>
      <w:r>
        <w:rPr>
          <w:rFonts w:hint="eastAsia" w:ascii="宋体" w:hAnsi="宋体" w:eastAsia="宋体" w:cs="宋体"/>
          <w:b/>
          <w:bCs/>
          <w:color w:val="auto"/>
          <w:sz w:val="36"/>
          <w:szCs w:val="36"/>
        </w:rPr>
        <w:t>YZCG-DLG202</w:t>
      </w:r>
      <w:r>
        <w:rPr>
          <w:rFonts w:hint="eastAsia" w:ascii="宋体" w:hAnsi="宋体" w:eastAsia="宋体" w:cs="宋体"/>
          <w:b/>
          <w:bCs/>
          <w:color w:val="auto"/>
          <w:sz w:val="36"/>
          <w:szCs w:val="36"/>
          <w:lang w:val="en-US" w:eastAsia="zh-CN"/>
        </w:rPr>
        <w:t xml:space="preserve">6102  </w:t>
      </w:r>
    </w:p>
    <w:bookmarkEnd w:id="0"/>
    <w:p w14:paraId="2B89CE69">
      <w:pPr>
        <w:ind w:firstLine="1066" w:firstLineChars="295"/>
        <w:rPr>
          <w:rFonts w:hint="eastAsia" w:ascii="宋体" w:hAnsi="宋体" w:eastAsia="宋体" w:cs="宋体"/>
          <w:b/>
          <w:bCs/>
          <w:color w:val="auto"/>
          <w:sz w:val="36"/>
          <w:szCs w:val="36"/>
        </w:rPr>
      </w:pPr>
      <w:r>
        <w:rPr>
          <w:rFonts w:hint="eastAsia" w:ascii="宋体" w:hAnsi="宋体" w:eastAsia="宋体" w:cs="宋体"/>
          <w:b/>
          <w:bCs/>
          <w:color w:val="auto"/>
          <w:sz w:val="36"/>
          <w:szCs w:val="36"/>
        </w:rPr>
        <w:t>采购单位：禹州市农业农村局</w:t>
      </w:r>
    </w:p>
    <w:p w14:paraId="2B89CE6A">
      <w:pPr>
        <w:ind w:firstLine="1066" w:firstLineChars="295"/>
        <w:rPr>
          <w:rFonts w:hint="eastAsia" w:ascii="宋体" w:hAnsi="宋体" w:eastAsia="宋体" w:cs="宋体"/>
          <w:color w:val="auto"/>
          <w:lang w:eastAsia="zh-CN"/>
        </w:rPr>
      </w:pPr>
      <w:r>
        <w:rPr>
          <w:rFonts w:hint="eastAsia" w:ascii="宋体" w:hAnsi="宋体" w:eastAsia="宋体" w:cs="宋体"/>
          <w:b/>
          <w:bCs/>
          <w:color w:val="auto"/>
          <w:sz w:val="36"/>
          <w:szCs w:val="36"/>
        </w:rPr>
        <w:t>代理机构：</w:t>
      </w:r>
      <w:r>
        <w:rPr>
          <w:rFonts w:hint="eastAsia" w:ascii="宋体" w:hAnsi="宋体" w:eastAsia="宋体" w:cs="宋体"/>
          <w:b/>
          <w:bCs/>
          <w:color w:val="auto"/>
          <w:sz w:val="36"/>
          <w:szCs w:val="36"/>
          <w:lang w:eastAsia="zh-CN"/>
        </w:rPr>
        <w:t>华正大地项目管理有限公司</w:t>
      </w:r>
    </w:p>
    <w:p w14:paraId="2B89CE6B">
      <w:pPr>
        <w:ind w:firstLine="1084" w:firstLineChars="300"/>
        <w:rPr>
          <w:rFonts w:hint="eastAsia" w:ascii="宋体" w:hAnsi="宋体" w:eastAsia="宋体" w:cs="宋体"/>
          <w:b/>
          <w:bCs/>
          <w:color w:val="auto"/>
          <w:sz w:val="36"/>
          <w:szCs w:val="36"/>
        </w:rPr>
      </w:pPr>
      <w:r>
        <w:rPr>
          <w:rFonts w:hint="eastAsia" w:ascii="宋体" w:hAnsi="宋体" w:eastAsia="宋体" w:cs="宋体"/>
          <w:b/>
          <w:bCs/>
          <w:color w:val="auto"/>
          <w:sz w:val="36"/>
          <w:szCs w:val="36"/>
        </w:rPr>
        <w:t>日    期：二〇二</w:t>
      </w:r>
      <w:r>
        <w:rPr>
          <w:rFonts w:hint="eastAsia" w:ascii="宋体" w:hAnsi="宋体" w:eastAsia="宋体" w:cs="宋体"/>
          <w:b/>
          <w:bCs/>
          <w:color w:val="auto"/>
          <w:sz w:val="36"/>
          <w:szCs w:val="36"/>
          <w:lang w:val="en-US" w:eastAsia="zh-CN"/>
        </w:rPr>
        <w:t>六</w:t>
      </w:r>
      <w:r>
        <w:rPr>
          <w:rFonts w:hint="eastAsia" w:ascii="宋体" w:hAnsi="宋体" w:eastAsia="宋体" w:cs="宋体"/>
          <w:b/>
          <w:bCs/>
          <w:color w:val="auto"/>
          <w:sz w:val="36"/>
          <w:szCs w:val="36"/>
        </w:rPr>
        <w:t>年</w:t>
      </w:r>
      <w:r>
        <w:rPr>
          <w:rFonts w:hint="eastAsia" w:ascii="宋体" w:hAnsi="宋体" w:eastAsia="宋体" w:cs="宋体"/>
          <w:b/>
          <w:bCs/>
          <w:color w:val="auto"/>
          <w:sz w:val="36"/>
          <w:szCs w:val="36"/>
          <w:lang w:val="en-US" w:eastAsia="zh-CN"/>
        </w:rPr>
        <w:t>十</w:t>
      </w:r>
      <w:r>
        <w:rPr>
          <w:rFonts w:hint="eastAsia" w:ascii="宋体" w:hAnsi="宋体" w:eastAsia="宋体" w:cs="宋体"/>
          <w:b/>
          <w:bCs/>
          <w:color w:val="auto"/>
          <w:sz w:val="36"/>
          <w:szCs w:val="36"/>
        </w:rPr>
        <w:t>月</w:t>
      </w:r>
    </w:p>
    <w:p w14:paraId="2B89CE6C">
      <w:pPr>
        <w:autoSpaceDE w:val="0"/>
        <w:autoSpaceDN w:val="0"/>
        <w:adjustRightInd w:val="0"/>
        <w:spacing w:line="700" w:lineRule="exact"/>
        <w:rPr>
          <w:rFonts w:hint="eastAsia" w:ascii="宋体" w:hAnsi="宋体" w:eastAsia="宋体" w:cs="宋体"/>
          <w:b/>
          <w:bCs/>
          <w:color w:val="auto"/>
          <w:sz w:val="44"/>
          <w:szCs w:val="44"/>
        </w:rPr>
        <w:sectPr>
          <w:pgSz w:w="11906" w:h="16838"/>
          <w:pgMar w:top="1928" w:right="1474" w:bottom="1928" w:left="1588" w:header="851" w:footer="992" w:gutter="0"/>
          <w:pgNumType w:start="1"/>
          <w:cols w:space="425" w:num="1"/>
          <w:docGrid w:type="lines" w:linePitch="312" w:charSpace="0"/>
        </w:sectPr>
      </w:pPr>
    </w:p>
    <w:p w14:paraId="2B89CE6D">
      <w:pPr>
        <w:autoSpaceDE w:val="0"/>
        <w:autoSpaceDN w:val="0"/>
        <w:adjustRightInd w:val="0"/>
        <w:spacing w:line="700" w:lineRule="exact"/>
        <w:jc w:val="center"/>
        <w:rPr>
          <w:rFonts w:hint="eastAsia" w:ascii="宋体" w:hAnsi="宋体" w:eastAsia="宋体" w:cs="宋体"/>
          <w:b/>
          <w:bCs/>
          <w:color w:val="auto"/>
          <w:sz w:val="44"/>
          <w:szCs w:val="44"/>
          <w:lang w:val="zh-CN"/>
        </w:rPr>
      </w:pPr>
      <w:r>
        <w:rPr>
          <w:rFonts w:hint="eastAsia" w:ascii="宋体" w:hAnsi="宋体" w:eastAsia="宋体" w:cs="宋体"/>
          <w:b/>
          <w:bCs/>
          <w:color w:val="auto"/>
          <w:sz w:val="44"/>
          <w:szCs w:val="44"/>
          <w:lang w:val="zh-CN"/>
        </w:rPr>
        <w:t>目    录</w:t>
      </w:r>
    </w:p>
    <w:p w14:paraId="2B89CE6E">
      <w:pPr>
        <w:autoSpaceDE w:val="0"/>
        <w:autoSpaceDN w:val="0"/>
        <w:adjustRightInd w:val="0"/>
        <w:spacing w:line="700" w:lineRule="exact"/>
        <w:ind w:firstLine="551"/>
        <w:rPr>
          <w:rFonts w:hint="eastAsia" w:ascii="宋体" w:hAnsi="宋体" w:eastAsia="宋体" w:cs="宋体"/>
          <w:b/>
          <w:bCs/>
          <w:color w:val="auto"/>
          <w:sz w:val="32"/>
          <w:szCs w:val="32"/>
          <w:lang w:val="zh-CN"/>
        </w:rPr>
      </w:pPr>
    </w:p>
    <w:p w14:paraId="2B89CE6F">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第一章 投标邀请</w:t>
      </w:r>
    </w:p>
    <w:p w14:paraId="2B89CE70">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第二章 项目需求</w:t>
      </w:r>
    </w:p>
    <w:p w14:paraId="2B89CE71">
      <w:pPr>
        <w:autoSpaceDE w:val="0"/>
        <w:autoSpaceDN w:val="0"/>
        <w:adjustRightInd w:val="0"/>
        <w:spacing w:line="700" w:lineRule="exact"/>
        <w:ind w:firstLine="560"/>
        <w:rPr>
          <w:rFonts w:hint="eastAsia" w:ascii="宋体" w:hAnsi="宋体" w:eastAsia="宋体" w:cs="宋体"/>
          <w:b/>
          <w:color w:val="auto"/>
          <w:kern w:val="0"/>
          <w:sz w:val="30"/>
          <w:szCs w:val="30"/>
        </w:rPr>
      </w:pPr>
      <w:r>
        <w:rPr>
          <w:rFonts w:hint="eastAsia" w:ascii="宋体" w:hAnsi="宋体" w:eastAsia="宋体" w:cs="宋体"/>
          <w:b/>
          <w:bCs/>
          <w:color w:val="auto"/>
          <w:sz w:val="30"/>
          <w:szCs w:val="30"/>
          <w:lang w:val="zh-CN"/>
        </w:rPr>
        <w:t xml:space="preserve">第三章 </w:t>
      </w:r>
      <w:r>
        <w:rPr>
          <w:rFonts w:hint="eastAsia" w:ascii="宋体" w:hAnsi="宋体" w:eastAsia="宋体" w:cs="宋体"/>
          <w:b/>
          <w:color w:val="auto"/>
          <w:kern w:val="0"/>
          <w:sz w:val="30"/>
          <w:szCs w:val="30"/>
        </w:rPr>
        <w:t>投标人须知前附表</w:t>
      </w:r>
    </w:p>
    <w:p w14:paraId="2B89CE72">
      <w:pPr>
        <w:autoSpaceDE w:val="0"/>
        <w:autoSpaceDN w:val="0"/>
        <w:adjustRightInd w:val="0"/>
        <w:spacing w:line="700" w:lineRule="exact"/>
        <w:ind w:firstLine="560"/>
        <w:rPr>
          <w:rFonts w:hint="eastAsia" w:ascii="宋体" w:hAnsi="宋体" w:eastAsia="宋体" w:cs="宋体"/>
          <w:b/>
          <w:color w:val="auto"/>
          <w:kern w:val="0"/>
          <w:sz w:val="30"/>
          <w:szCs w:val="30"/>
        </w:rPr>
      </w:pPr>
      <w:r>
        <w:rPr>
          <w:rFonts w:hint="eastAsia" w:ascii="宋体" w:hAnsi="宋体" w:eastAsia="宋体" w:cs="宋体"/>
          <w:b/>
          <w:bCs/>
          <w:color w:val="auto"/>
          <w:sz w:val="30"/>
          <w:szCs w:val="30"/>
          <w:lang w:val="zh-CN"/>
        </w:rPr>
        <w:t xml:space="preserve">第四章 </w:t>
      </w:r>
      <w:r>
        <w:rPr>
          <w:rFonts w:hint="eastAsia" w:ascii="宋体" w:hAnsi="宋体" w:eastAsia="宋体" w:cs="宋体"/>
          <w:b/>
          <w:color w:val="auto"/>
          <w:kern w:val="0"/>
          <w:sz w:val="30"/>
          <w:szCs w:val="30"/>
        </w:rPr>
        <w:t>投标人须知</w:t>
      </w:r>
    </w:p>
    <w:p w14:paraId="2B89CE73">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一、概念释义</w:t>
      </w:r>
    </w:p>
    <w:p w14:paraId="2B89CE74">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二、招标文件说明</w:t>
      </w:r>
    </w:p>
    <w:p w14:paraId="2B89CE75">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三、投标文件的编制</w:t>
      </w:r>
    </w:p>
    <w:p w14:paraId="2B89CE76">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四、投标文件的递交</w:t>
      </w:r>
    </w:p>
    <w:p w14:paraId="2B89CE77">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五、开标和评标</w:t>
      </w:r>
    </w:p>
    <w:p w14:paraId="2B89CE78">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color w:val="auto"/>
          <w:sz w:val="30"/>
          <w:szCs w:val="30"/>
          <w:lang w:val="zh-CN"/>
        </w:rPr>
        <w:t>六、定标和授予合同</w:t>
      </w:r>
    </w:p>
    <w:p w14:paraId="2B89CE79">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第五章 政府采购政策功能</w:t>
      </w:r>
    </w:p>
    <w:p w14:paraId="2B89CE7A">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第六章 资格审查与评标</w:t>
      </w:r>
    </w:p>
    <w:p w14:paraId="2B89CE7B">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第七章 拟签订的合同文本</w:t>
      </w:r>
    </w:p>
    <w:p w14:paraId="2B89CE7C">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第八章 投标文件有关格式</w:t>
      </w:r>
    </w:p>
    <w:p w14:paraId="2B89CE7D">
      <w:pPr>
        <w:pStyle w:val="16"/>
        <w:ind w:firstLine="301"/>
        <w:rPr>
          <w:rFonts w:hint="eastAsia" w:ascii="宋体" w:hAnsi="宋体" w:eastAsia="宋体" w:cs="宋体"/>
          <w:b/>
          <w:bCs/>
          <w:color w:val="auto"/>
          <w:sz w:val="30"/>
          <w:szCs w:val="30"/>
          <w:lang w:val="zh-CN"/>
        </w:rPr>
      </w:pPr>
    </w:p>
    <w:p w14:paraId="2B89CE7E">
      <w:pPr>
        <w:pStyle w:val="17"/>
        <w:ind w:firstLine="480"/>
        <w:rPr>
          <w:rFonts w:hint="eastAsia" w:ascii="宋体" w:hAnsi="宋体" w:eastAsia="宋体" w:cs="宋体"/>
          <w:color w:val="auto"/>
        </w:rPr>
      </w:pPr>
    </w:p>
    <w:p w14:paraId="2B89CE7F">
      <w:pPr>
        <w:rPr>
          <w:rFonts w:hint="eastAsia" w:ascii="宋体" w:hAnsi="宋体" w:eastAsia="宋体" w:cs="宋体"/>
          <w:color w:val="auto"/>
        </w:rPr>
      </w:pPr>
    </w:p>
    <w:p w14:paraId="2B89CE80">
      <w:pPr>
        <w:pStyle w:val="7"/>
        <w:rPr>
          <w:rFonts w:hint="eastAsia" w:ascii="宋体" w:hAnsi="宋体" w:eastAsia="宋体" w:cs="宋体"/>
          <w:color w:val="auto"/>
        </w:rPr>
      </w:pPr>
    </w:p>
    <w:p w14:paraId="5D6F7296">
      <w:pPr>
        <w:pStyle w:val="7"/>
        <w:rPr>
          <w:rFonts w:hint="eastAsia" w:ascii="宋体" w:hAnsi="宋体" w:eastAsia="宋体" w:cs="宋体"/>
          <w:color w:val="auto"/>
        </w:rPr>
      </w:pPr>
    </w:p>
    <w:p w14:paraId="2B89CE82">
      <w:pPr>
        <w:pStyle w:val="7"/>
        <w:rPr>
          <w:rFonts w:hint="eastAsia" w:ascii="宋体" w:hAnsi="宋体" w:eastAsia="宋体" w:cs="宋体"/>
          <w:color w:val="auto"/>
        </w:rPr>
      </w:pPr>
    </w:p>
    <w:p w14:paraId="2B89CE83">
      <w:pPr>
        <w:jc w:val="center"/>
        <w:rPr>
          <w:rFonts w:hint="eastAsia" w:ascii="宋体" w:hAnsi="宋体" w:eastAsia="宋体" w:cs="宋体"/>
          <w:color w:val="auto"/>
          <w:sz w:val="30"/>
          <w:szCs w:val="30"/>
        </w:rPr>
      </w:pPr>
      <w:r>
        <w:rPr>
          <w:rFonts w:hint="eastAsia" w:ascii="宋体" w:hAnsi="宋体" w:eastAsia="宋体" w:cs="宋体"/>
          <w:b/>
          <w:color w:val="auto"/>
          <w:kern w:val="0"/>
          <w:sz w:val="30"/>
          <w:szCs w:val="30"/>
        </w:rPr>
        <w:t>第一章 投标邀请</w:t>
      </w:r>
    </w:p>
    <w:p w14:paraId="2B89CE84">
      <w:pPr>
        <w:keepNext w:val="0"/>
        <w:keepLines w:val="0"/>
        <w:pageBreakBefore w:val="0"/>
        <w:kinsoku/>
        <w:wordWrap w:val="0"/>
        <w:overflowPunct/>
        <w:topLinePunct w:val="0"/>
        <w:autoSpaceDE/>
        <w:autoSpaceDN/>
        <w:bidi w:val="0"/>
        <w:adjustRightInd/>
        <w:snapToGrid/>
        <w:spacing w:line="460" w:lineRule="exac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项目概况</w:t>
      </w:r>
    </w:p>
    <w:p w14:paraId="2B89CE85">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禹州市农业农村局2026年中药材绿色高产高效创建采购项目的潜在投标人应在投标截止时间前登录《全国公共资源交易平台（河南省·许昌市）》“投标人/供应商登录”入口（下文所述“全国公共资源交易平台（河南省•许昌市）”的地址均为https://ggzy.xuchang.gov.cn）自行免费下载获取招标文件，并于</w:t>
      </w:r>
      <w:r>
        <w:rPr>
          <w:rFonts w:hint="eastAsia" w:ascii="宋体" w:hAnsi="宋体" w:eastAsia="宋体" w:cs="宋体"/>
          <w:color w:val="auto"/>
          <w:sz w:val="21"/>
          <w:szCs w:val="21"/>
          <w:lang w:val="zh-CN"/>
        </w:rPr>
        <w:t>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val="zh-CN"/>
        </w:rPr>
        <w:t>年</w:t>
      </w: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lang w:val="zh-CN"/>
        </w:rPr>
        <w:t>月</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zh-CN"/>
        </w:rPr>
        <w:t>日</w:t>
      </w:r>
      <w:r>
        <w:rPr>
          <w:rFonts w:hint="eastAsia" w:ascii="宋体" w:hAnsi="宋体" w:eastAsia="宋体" w:cs="宋体"/>
          <w:color w:val="auto"/>
          <w:sz w:val="21"/>
          <w:szCs w:val="21"/>
          <w:lang w:val="zh-CN"/>
        </w:rPr>
        <w:t>08时30分（北京时间）前递交投标文件。</w:t>
      </w:r>
    </w:p>
    <w:p w14:paraId="2B89CE86">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一、项目基本情况</w:t>
      </w:r>
    </w:p>
    <w:p w14:paraId="2B89CE8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1.项目编号：</w:t>
      </w:r>
      <w:r>
        <w:rPr>
          <w:rFonts w:hint="eastAsia" w:ascii="宋体" w:hAnsi="宋体" w:eastAsia="宋体" w:cs="宋体"/>
          <w:color w:val="auto"/>
          <w:sz w:val="21"/>
          <w:szCs w:val="21"/>
        </w:rPr>
        <w:t>YZCG-DLG202</w:t>
      </w:r>
      <w:r>
        <w:rPr>
          <w:rFonts w:hint="eastAsia" w:ascii="宋体" w:hAnsi="宋体" w:eastAsia="宋体" w:cs="宋体"/>
          <w:color w:val="auto"/>
          <w:sz w:val="21"/>
          <w:szCs w:val="21"/>
          <w:lang w:val="en-US" w:eastAsia="zh-CN"/>
        </w:rPr>
        <w:t xml:space="preserve">6102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rPr>
        <w:t xml:space="preserve">  </w:t>
      </w:r>
    </w:p>
    <w:p w14:paraId="2B89CE8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2.项目名称：</w:t>
      </w:r>
      <w:r>
        <w:rPr>
          <w:rFonts w:hint="eastAsia" w:ascii="宋体" w:hAnsi="宋体" w:eastAsia="宋体" w:cs="宋体"/>
          <w:color w:val="auto"/>
          <w:sz w:val="21"/>
          <w:szCs w:val="21"/>
          <w:lang w:eastAsia="zh-CN"/>
        </w:rPr>
        <w:t>禹州市农业农村局2026年中药材绿色高产高效创建采购项目</w:t>
      </w:r>
    </w:p>
    <w:p w14:paraId="2B89CE89">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3.采购方式：公开招标</w:t>
      </w:r>
    </w:p>
    <w:p w14:paraId="41C2F06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4.</w:t>
      </w:r>
      <w:r>
        <w:rPr>
          <w:rFonts w:hint="eastAsia" w:ascii="宋体" w:hAnsi="宋体" w:eastAsia="宋体" w:cs="宋体"/>
          <w:color w:val="auto"/>
          <w:sz w:val="21"/>
          <w:szCs w:val="21"/>
          <w:highlight w:val="none"/>
        </w:rPr>
        <w:t>预算金额：</w:t>
      </w:r>
      <w:r>
        <w:rPr>
          <w:rFonts w:hint="eastAsia" w:ascii="宋体" w:hAnsi="宋体" w:eastAsia="宋体" w:cs="宋体"/>
          <w:color w:val="auto"/>
          <w:sz w:val="21"/>
          <w:szCs w:val="21"/>
          <w:highlight w:val="none"/>
          <w:lang w:val="en-US" w:eastAsia="zh-CN"/>
        </w:rPr>
        <w:t>3000000</w:t>
      </w:r>
      <w:r>
        <w:rPr>
          <w:rFonts w:hint="eastAsia" w:ascii="宋体" w:hAnsi="宋体" w:eastAsia="宋体" w:cs="宋体"/>
          <w:color w:val="auto"/>
          <w:sz w:val="21"/>
          <w:szCs w:val="21"/>
          <w:highlight w:val="none"/>
        </w:rPr>
        <w:t xml:space="preserve">元   </w:t>
      </w:r>
    </w:p>
    <w:p w14:paraId="2B89CE8B">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最高限价：</w:t>
      </w:r>
      <w:r>
        <w:rPr>
          <w:rFonts w:hint="eastAsia" w:ascii="宋体" w:hAnsi="宋体" w:eastAsia="宋体" w:cs="宋体"/>
          <w:color w:val="auto"/>
          <w:sz w:val="21"/>
          <w:szCs w:val="21"/>
          <w:highlight w:val="none"/>
          <w:lang w:val="en-US" w:eastAsia="zh-CN"/>
        </w:rPr>
        <w:t>3000000</w:t>
      </w:r>
      <w:r>
        <w:rPr>
          <w:rFonts w:hint="eastAsia" w:ascii="宋体" w:hAnsi="宋体" w:eastAsia="宋体" w:cs="宋体"/>
          <w:color w:val="auto"/>
          <w:sz w:val="21"/>
          <w:szCs w:val="21"/>
          <w:highlight w:val="none"/>
        </w:rPr>
        <w:t>元</w:t>
      </w:r>
    </w:p>
    <w:tbl>
      <w:tblPr>
        <w:tblStyle w:val="19"/>
        <w:tblpPr w:leftFromText="180" w:rightFromText="180" w:vertAnchor="text" w:horzAnchor="page" w:tblpX="1705" w:tblpY="461"/>
        <w:tblOverlap w:val="never"/>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100"/>
        <w:gridCol w:w="1405"/>
        <w:gridCol w:w="1595"/>
        <w:gridCol w:w="1868"/>
        <w:gridCol w:w="1582"/>
      </w:tblGrid>
      <w:tr w14:paraId="2B89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844" w:type="dxa"/>
            <w:vAlign w:val="center"/>
          </w:tcPr>
          <w:p w14:paraId="2B89CE8C">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序号</w:t>
            </w:r>
          </w:p>
        </w:tc>
        <w:tc>
          <w:tcPr>
            <w:tcW w:w="2100" w:type="dxa"/>
            <w:vAlign w:val="center"/>
          </w:tcPr>
          <w:p w14:paraId="2B89CE8D">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包号</w:t>
            </w:r>
          </w:p>
        </w:tc>
        <w:tc>
          <w:tcPr>
            <w:tcW w:w="1405" w:type="dxa"/>
            <w:vAlign w:val="center"/>
          </w:tcPr>
          <w:p w14:paraId="2B89CE8E">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包名称</w:t>
            </w:r>
          </w:p>
        </w:tc>
        <w:tc>
          <w:tcPr>
            <w:tcW w:w="1595" w:type="dxa"/>
            <w:vAlign w:val="center"/>
          </w:tcPr>
          <w:p w14:paraId="2B89CE90">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包预算（元）</w:t>
            </w:r>
          </w:p>
        </w:tc>
        <w:tc>
          <w:tcPr>
            <w:tcW w:w="1868" w:type="dxa"/>
            <w:vAlign w:val="center"/>
          </w:tcPr>
          <w:p w14:paraId="2B89CE91">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包最高限价（元）</w:t>
            </w:r>
          </w:p>
        </w:tc>
        <w:tc>
          <w:tcPr>
            <w:tcW w:w="1582" w:type="dxa"/>
            <w:vAlign w:val="center"/>
          </w:tcPr>
          <w:p w14:paraId="2B89CE92">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是否专门面向中小企业</w:t>
            </w:r>
          </w:p>
        </w:tc>
      </w:tr>
      <w:tr w14:paraId="2B89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2B89CE94">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100" w:type="dxa"/>
            <w:vAlign w:val="center"/>
          </w:tcPr>
          <w:p w14:paraId="2B89CE95">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YZCG-DLG202</w:t>
            </w:r>
            <w:r>
              <w:rPr>
                <w:rFonts w:hint="eastAsia" w:ascii="宋体" w:hAnsi="宋体" w:eastAsia="宋体" w:cs="宋体"/>
                <w:color w:val="auto"/>
                <w:sz w:val="21"/>
                <w:szCs w:val="21"/>
                <w:lang w:val="en-US" w:eastAsia="zh-CN"/>
              </w:rPr>
              <w:t>6102-A</w:t>
            </w:r>
          </w:p>
        </w:tc>
        <w:tc>
          <w:tcPr>
            <w:tcW w:w="1405" w:type="dxa"/>
            <w:vAlign w:val="center"/>
          </w:tcPr>
          <w:p w14:paraId="2B89CE96">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第一标段</w:t>
            </w:r>
          </w:p>
        </w:tc>
        <w:tc>
          <w:tcPr>
            <w:tcW w:w="1595" w:type="dxa"/>
            <w:vAlign w:val="center"/>
          </w:tcPr>
          <w:p w14:paraId="2B89CE97">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2050150</w:t>
            </w:r>
          </w:p>
        </w:tc>
        <w:tc>
          <w:tcPr>
            <w:tcW w:w="1868" w:type="dxa"/>
            <w:vAlign w:val="center"/>
          </w:tcPr>
          <w:p w14:paraId="2B89CE98">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2050150</w:t>
            </w:r>
          </w:p>
        </w:tc>
        <w:tc>
          <w:tcPr>
            <w:tcW w:w="1582" w:type="dxa"/>
            <w:vAlign w:val="center"/>
          </w:tcPr>
          <w:p w14:paraId="2B89CE99">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否</w:t>
            </w:r>
          </w:p>
        </w:tc>
      </w:tr>
      <w:tr w14:paraId="35B7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6509E371">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2100" w:type="dxa"/>
            <w:vAlign w:val="center"/>
          </w:tcPr>
          <w:p w14:paraId="70D6F0F3">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rPr>
              <w:t>YZCG-DLG202</w:t>
            </w:r>
            <w:r>
              <w:rPr>
                <w:rFonts w:hint="eastAsia" w:ascii="宋体" w:hAnsi="宋体" w:eastAsia="宋体" w:cs="宋体"/>
                <w:color w:val="auto"/>
                <w:sz w:val="21"/>
                <w:szCs w:val="21"/>
                <w:lang w:val="en-US" w:eastAsia="zh-CN"/>
              </w:rPr>
              <w:t>6102-B</w:t>
            </w:r>
          </w:p>
        </w:tc>
        <w:tc>
          <w:tcPr>
            <w:tcW w:w="1405" w:type="dxa"/>
            <w:vAlign w:val="center"/>
          </w:tcPr>
          <w:p w14:paraId="67DEEAA7">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w:t>
            </w: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rPr>
              <w:t>标段</w:t>
            </w:r>
          </w:p>
        </w:tc>
        <w:tc>
          <w:tcPr>
            <w:tcW w:w="1595" w:type="dxa"/>
            <w:vAlign w:val="center"/>
          </w:tcPr>
          <w:p w14:paraId="15718710">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949850</w:t>
            </w:r>
          </w:p>
        </w:tc>
        <w:tc>
          <w:tcPr>
            <w:tcW w:w="1868" w:type="dxa"/>
            <w:vAlign w:val="center"/>
          </w:tcPr>
          <w:p w14:paraId="5F26D343">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949850</w:t>
            </w:r>
          </w:p>
        </w:tc>
        <w:tc>
          <w:tcPr>
            <w:tcW w:w="1582" w:type="dxa"/>
            <w:vAlign w:val="center"/>
          </w:tcPr>
          <w:p w14:paraId="3F074E69">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是</w:t>
            </w:r>
          </w:p>
        </w:tc>
      </w:tr>
    </w:tbl>
    <w:p w14:paraId="5DEF964B">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p>
    <w:p w14:paraId="2B89CEA3">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5.采购需求（包括但不限于标的的名称、数量、简要技术需求等）</w:t>
      </w:r>
    </w:p>
    <w:p w14:paraId="429F44A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禹州市农业农村局2026年中药材绿色高产高效创建采购项目，</w:t>
      </w:r>
      <w:r>
        <w:rPr>
          <w:rFonts w:hint="eastAsia" w:ascii="宋体" w:hAnsi="宋体" w:eastAsia="宋体" w:cs="宋体"/>
          <w:color w:val="auto"/>
          <w:sz w:val="21"/>
          <w:szCs w:val="21"/>
          <w:lang w:val="en-US" w:eastAsia="zh-CN"/>
        </w:rPr>
        <w:t>本项目共划分两个标段。</w:t>
      </w:r>
      <w:r>
        <w:rPr>
          <w:rFonts w:hint="eastAsia" w:ascii="宋体" w:hAnsi="宋体" w:eastAsia="宋体" w:cs="宋体"/>
          <w:color w:val="auto"/>
          <w:sz w:val="21"/>
          <w:szCs w:val="21"/>
          <w:lang w:val="en-US" w:eastAsia="zh-CN"/>
        </w:rPr>
        <w:t>第一标段为设备采购，第二标段为肥料采购。</w:t>
      </w:r>
      <w:r>
        <w:rPr>
          <w:rFonts w:hint="eastAsia" w:ascii="宋体" w:hAnsi="宋体" w:eastAsia="宋体" w:cs="宋体"/>
          <w:color w:val="auto"/>
          <w:sz w:val="21"/>
          <w:szCs w:val="21"/>
          <w:lang w:val="en-US" w:eastAsia="zh-CN"/>
        </w:rPr>
        <w:t>（详见招标文件）</w:t>
      </w:r>
    </w:p>
    <w:p w14:paraId="07575A50">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6.合同履行期限：</w:t>
      </w:r>
      <w:r>
        <w:rPr>
          <w:rFonts w:hint="eastAsia" w:ascii="宋体" w:hAnsi="宋体" w:eastAsia="宋体" w:cs="宋体"/>
          <w:color w:val="auto"/>
          <w:sz w:val="21"/>
          <w:szCs w:val="21"/>
          <w:lang w:val="en-US" w:eastAsia="zh-CN"/>
        </w:rPr>
        <w:t>第一标段：</w:t>
      </w:r>
      <w:r>
        <w:rPr>
          <w:rFonts w:hint="eastAsia" w:ascii="宋体" w:hAnsi="宋体" w:eastAsia="宋体" w:cs="宋体"/>
          <w:color w:val="auto"/>
          <w:sz w:val="21"/>
          <w:szCs w:val="21"/>
        </w:rPr>
        <w:t>合同签订</w:t>
      </w:r>
      <w:r>
        <w:rPr>
          <w:rFonts w:hint="eastAsia" w:ascii="宋体" w:hAnsi="宋体" w:eastAsia="宋体" w:cs="宋体"/>
          <w:color w:val="auto"/>
          <w:sz w:val="21"/>
          <w:szCs w:val="21"/>
          <w:lang w:val="en-US" w:eastAsia="zh-CN"/>
        </w:rPr>
        <w:t>后30日历天；第二标段：</w:t>
      </w:r>
      <w:r>
        <w:rPr>
          <w:rFonts w:hint="eastAsia" w:ascii="宋体" w:hAnsi="宋体" w:eastAsia="宋体" w:cs="宋体"/>
          <w:color w:val="auto"/>
          <w:sz w:val="21"/>
          <w:szCs w:val="21"/>
        </w:rPr>
        <w:t>合同签订</w:t>
      </w:r>
      <w:r>
        <w:rPr>
          <w:rFonts w:hint="eastAsia" w:ascii="宋体" w:hAnsi="宋体" w:eastAsia="宋体" w:cs="宋体"/>
          <w:color w:val="auto"/>
          <w:sz w:val="21"/>
          <w:szCs w:val="21"/>
          <w:lang w:val="en-US" w:eastAsia="zh-CN"/>
        </w:rPr>
        <w:t>后5日历天</w:t>
      </w:r>
    </w:p>
    <w:p w14:paraId="2B89CEA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7.本项目是否接受联合体投标：否</w:t>
      </w:r>
    </w:p>
    <w:p w14:paraId="2B89CEA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8.是否接受进口产品：否</w:t>
      </w:r>
    </w:p>
    <w:p w14:paraId="2B89CEA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9.是否专门面向中小企业：</w:t>
      </w:r>
      <w:r>
        <w:rPr>
          <w:rFonts w:hint="eastAsia" w:ascii="宋体" w:hAnsi="宋体" w:eastAsia="宋体" w:cs="宋体"/>
          <w:color w:val="auto"/>
          <w:sz w:val="21"/>
          <w:szCs w:val="21"/>
          <w:highlight w:val="none"/>
          <w:lang w:val="en-US" w:eastAsia="zh-CN"/>
        </w:rPr>
        <w:t>是</w:t>
      </w:r>
    </w:p>
    <w:p w14:paraId="2B89CEA9">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二、申请人资格要求：</w:t>
      </w:r>
    </w:p>
    <w:p w14:paraId="3A016B6D">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1.满足《中华人民共和国政府采购法》第二十二条规定。</w:t>
      </w:r>
    </w:p>
    <w:p w14:paraId="2F285541">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2.落实政府采购政策满足的资格要求：</w:t>
      </w:r>
    </w:p>
    <w:p w14:paraId="14014770">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lang w:val="en-US" w:eastAsia="zh-CN"/>
        </w:rPr>
      </w:pPr>
      <w:r>
        <w:rPr>
          <w:rFonts w:hint="eastAsia" w:ascii="宋体" w:hAnsi="宋体" w:eastAsia="宋体" w:cs="宋体"/>
          <w:color w:val="auto"/>
          <w:szCs w:val="21"/>
          <w:shd w:val="clear" w:color="auto" w:fill="FFFFFF"/>
        </w:rPr>
        <w:t>本项目落实节约能源、保护环境、扶持不发达地区和少数民族地区、促进中小企业、监狱企业发展等政府采购政策。</w:t>
      </w:r>
      <w:r>
        <w:rPr>
          <w:rFonts w:hint="eastAsia" w:ascii="宋体" w:hAnsi="宋体" w:eastAsia="宋体" w:cs="宋体"/>
          <w:color w:val="auto"/>
          <w:szCs w:val="21"/>
          <w:shd w:val="clear" w:color="auto" w:fill="FFFFFF"/>
          <w:lang w:eastAsia="zh-CN"/>
        </w:rPr>
        <w:t>（</w:t>
      </w:r>
      <w:r>
        <w:rPr>
          <w:rFonts w:hint="eastAsia" w:ascii="宋体" w:hAnsi="宋体" w:eastAsia="宋体" w:cs="宋体"/>
          <w:color w:val="auto"/>
          <w:szCs w:val="21"/>
          <w:shd w:val="clear" w:color="auto" w:fill="FFFFFF"/>
          <w:lang w:val="en-US" w:eastAsia="zh-CN"/>
        </w:rPr>
        <w:t>本项目仅第二标段专门面向小微企业采购。</w:t>
      </w:r>
      <w:bookmarkStart w:id="10" w:name="_GoBack"/>
      <w:bookmarkEnd w:id="10"/>
      <w:r>
        <w:rPr>
          <w:rFonts w:hint="eastAsia" w:ascii="宋体" w:hAnsi="宋体" w:eastAsia="宋体" w:cs="宋体"/>
          <w:color w:val="auto"/>
          <w:szCs w:val="21"/>
          <w:shd w:val="clear" w:color="auto" w:fill="FFFFFF"/>
          <w:lang w:val="en-US" w:eastAsia="zh-CN"/>
        </w:rPr>
        <w:t>）</w:t>
      </w:r>
    </w:p>
    <w:p w14:paraId="087AE744">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3.本项目的特定资格要求</w:t>
      </w:r>
    </w:p>
    <w:p w14:paraId="41897A19">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供应商在人员、设备等方面具有相应的能力。</w:t>
      </w:r>
    </w:p>
    <w:p w14:paraId="29A536BA">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4.本项目实行资格后审；</w:t>
      </w:r>
    </w:p>
    <w:p w14:paraId="63C983A6">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5.本次采购不接受联合体响应。</w:t>
      </w:r>
    </w:p>
    <w:p w14:paraId="2B89CEB2">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三、招标文件的获取</w:t>
      </w:r>
    </w:p>
    <w:p w14:paraId="2B89CEB3">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w:t>
      </w:r>
      <w:r>
        <w:rPr>
          <w:rFonts w:hint="eastAsia" w:ascii="宋体" w:hAnsi="宋体" w:eastAsia="宋体" w:cs="宋体"/>
          <w:color w:val="auto"/>
          <w:sz w:val="21"/>
          <w:szCs w:val="21"/>
        </w:rPr>
        <w:t>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日至202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日</w:t>
      </w:r>
      <w:r>
        <w:rPr>
          <w:rFonts w:hint="eastAsia" w:ascii="宋体" w:hAnsi="宋体" w:eastAsia="宋体" w:cs="宋体"/>
          <w:color w:val="auto"/>
          <w:sz w:val="21"/>
          <w:szCs w:val="21"/>
        </w:rPr>
        <w:t>，每天上午00:00至12:00，下午12:01至23:59（北京时间，法定节假日除外）。</w:t>
      </w:r>
    </w:p>
    <w:p w14:paraId="2B89CEB4">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2.地点：投标文件提交截止时间前登录《全国公共资源交易平台（河南省·许昌市）》“投标人/供应商登录”入口（https://ggzy.xuchang.gov.cn）自行免费下载。</w:t>
      </w:r>
    </w:p>
    <w:p w14:paraId="2B89CEB5">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3.方式：网上自行下载</w:t>
      </w:r>
    </w:p>
    <w:p w14:paraId="2B89CEB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4.售价：0元</w:t>
      </w:r>
    </w:p>
    <w:p w14:paraId="2B89CEB7">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四、投标截止时间及地点</w:t>
      </w:r>
    </w:p>
    <w:p w14:paraId="2B89CEB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w:t>
      </w:r>
      <w:r>
        <w:rPr>
          <w:rFonts w:hint="eastAsia" w:ascii="宋体" w:hAnsi="宋体" w:eastAsia="宋体" w:cs="宋体"/>
          <w:color w:val="auto"/>
          <w:sz w:val="21"/>
          <w:szCs w:val="21"/>
        </w:rPr>
        <w:t>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日</w:t>
      </w:r>
      <w:r>
        <w:rPr>
          <w:rFonts w:hint="eastAsia" w:ascii="宋体" w:hAnsi="宋体" w:eastAsia="宋体" w:cs="宋体"/>
          <w:color w:val="auto"/>
          <w:sz w:val="21"/>
          <w:szCs w:val="21"/>
        </w:rPr>
        <w:t>08时30分（北京时间）</w:t>
      </w:r>
    </w:p>
    <w:p w14:paraId="2B89CEB9">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本项目为全流程电子化交易项目，投标人必须通过许昌公共资源交易系统下载“新点投标文件制作软件（河南省版）”的最新版本制作并上传加密电子投标文件（后缀格式为.XCSTF）。截至投标截止时间，交易系统投标通道将关闭，投标人未完成电子投标文件上传的，投标将被拒绝。</w:t>
      </w:r>
    </w:p>
    <w:p w14:paraId="2B89CEBA">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五、开标时间及地点</w:t>
      </w:r>
    </w:p>
    <w:p w14:paraId="2B89CEBB">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w:t>
      </w:r>
      <w:r>
        <w:rPr>
          <w:rFonts w:hint="eastAsia" w:ascii="宋体" w:hAnsi="宋体" w:eastAsia="宋体" w:cs="宋体"/>
          <w:color w:val="auto"/>
          <w:sz w:val="21"/>
          <w:szCs w:val="21"/>
        </w:rPr>
        <w:t>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日</w:t>
      </w:r>
      <w:r>
        <w:rPr>
          <w:rFonts w:hint="eastAsia" w:ascii="宋体" w:hAnsi="宋体" w:eastAsia="宋体" w:cs="宋体"/>
          <w:color w:val="auto"/>
          <w:sz w:val="21"/>
          <w:szCs w:val="21"/>
        </w:rPr>
        <w:t>08时30分（北京时间）</w:t>
      </w:r>
    </w:p>
    <w:p w14:paraId="03F7D68A">
      <w:pPr>
        <w:keepNext w:val="0"/>
        <w:keepLines w:val="0"/>
        <w:pageBreakBefore w:val="0"/>
        <w:widowControl w:val="0"/>
        <w:tabs>
          <w:tab w:val="left" w:pos="7095"/>
        </w:tabs>
        <w:kinsoku/>
        <w:wordWrap/>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w:t>
      </w:r>
      <w:r>
        <w:rPr>
          <w:rFonts w:hint="eastAsia" w:ascii="宋体" w:hAnsi="宋体" w:eastAsia="宋体" w:cs="宋体"/>
          <w:color w:val="auto"/>
          <w:sz w:val="21"/>
          <w:szCs w:val="21"/>
          <w:highlight w:val="none"/>
        </w:rPr>
        <w:t>本项目采用“不见面”网上开标方式，请投标供应商使用CA数字证书</w:t>
      </w:r>
      <w:r>
        <w:rPr>
          <w:rFonts w:hint="eastAsia" w:ascii="宋体" w:hAnsi="宋体" w:eastAsia="宋体" w:cs="宋体"/>
          <w:color w:val="auto"/>
          <w:sz w:val="21"/>
          <w:szCs w:val="21"/>
          <w:highlight w:val="none"/>
          <w:shd w:val="clear" w:color="auto" w:fill="FFFFFF"/>
        </w:rPr>
        <w:t>或移动数字证书</w:t>
      </w:r>
      <w:r>
        <w:rPr>
          <w:rFonts w:hint="eastAsia" w:ascii="宋体" w:hAnsi="宋体" w:eastAsia="宋体" w:cs="宋体"/>
          <w:color w:val="auto"/>
          <w:sz w:val="21"/>
          <w:szCs w:val="21"/>
          <w:highlight w:val="none"/>
        </w:rPr>
        <w:t>登录《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2B89CEBD">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六、发布公告的媒介及招标公告期限</w:t>
      </w:r>
    </w:p>
    <w:p w14:paraId="2B89CEBE">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本次招标公告在《河南省政府采购网》《许昌市政府采购网》《全国公共资源交易平台（河南省•许昌市）》上发布。招标公告期限为五个工作日。</w:t>
      </w:r>
    </w:p>
    <w:p w14:paraId="2B89CEBF">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七、其他补充事宜</w:t>
      </w:r>
    </w:p>
    <w:p w14:paraId="1271664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1.监督单位：禹州市政府采购监督管理办公室</w:t>
      </w:r>
    </w:p>
    <w:p w14:paraId="2B89CEC1">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电话：0374-8112523</w:t>
      </w:r>
    </w:p>
    <w:p w14:paraId="2B89CEC2">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.项目编号以本</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rPr>
        <w:t>文件中的采购编号为准，采购编号：</w:t>
      </w:r>
      <w:r>
        <w:rPr>
          <w:rFonts w:hint="eastAsia" w:ascii="宋体" w:hAnsi="宋体" w:eastAsia="宋体" w:cs="宋体"/>
          <w:color w:val="auto"/>
          <w:sz w:val="21"/>
          <w:szCs w:val="21"/>
        </w:rPr>
        <w:t>YZCG-DL</w:t>
      </w:r>
      <w:r>
        <w:rPr>
          <w:rFonts w:hint="eastAsia" w:ascii="宋体" w:hAnsi="宋体" w:eastAsia="宋体" w:cs="宋体"/>
          <w:color w:val="auto"/>
          <w:sz w:val="21"/>
          <w:szCs w:val="21"/>
          <w:lang w:val="en-US" w:eastAsia="zh-CN"/>
        </w:rPr>
        <w:t>G</w:t>
      </w:r>
      <w:r>
        <w:rPr>
          <w:rFonts w:hint="eastAsia" w:ascii="宋体" w:hAnsi="宋体" w:eastAsia="宋体" w:cs="宋体"/>
          <w:color w:val="auto"/>
          <w:sz w:val="21"/>
          <w:szCs w:val="21"/>
        </w:rPr>
        <w:t>2026</w:t>
      </w:r>
      <w:r>
        <w:rPr>
          <w:rFonts w:hint="eastAsia" w:ascii="宋体" w:hAnsi="宋体" w:eastAsia="宋体" w:cs="宋体"/>
          <w:color w:val="auto"/>
          <w:sz w:val="21"/>
          <w:szCs w:val="21"/>
          <w:lang w:val="en-US" w:eastAsia="zh-CN"/>
        </w:rPr>
        <w:t>102</w:t>
      </w:r>
    </w:p>
    <w:p w14:paraId="2B89CEC3">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八、凡对本次招标提出询问，请按照以下方式联系</w:t>
      </w:r>
    </w:p>
    <w:p w14:paraId="1634A84E">
      <w:pPr>
        <w:spacing w:line="440" w:lineRule="atLeas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1.采购人信息</w:t>
      </w:r>
    </w:p>
    <w:p w14:paraId="4BFC879D">
      <w:pPr>
        <w:spacing w:line="440" w:lineRule="atLeas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名称：禹州市农业农村局</w:t>
      </w:r>
    </w:p>
    <w:p w14:paraId="776682B6">
      <w:pPr>
        <w:spacing w:line="440" w:lineRule="atLeas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地址：禹州市禹王大道29号</w:t>
      </w:r>
    </w:p>
    <w:p w14:paraId="768B5BD8">
      <w:pPr>
        <w:spacing w:line="440" w:lineRule="atLeast"/>
        <w:ind w:firstLine="420" w:firstLineChars="200"/>
        <w:jc w:val="left"/>
        <w:rPr>
          <w:rFonts w:hint="eastAsia" w:ascii="宋体" w:hAnsi="宋体" w:eastAsia="宋体" w:cs="宋体"/>
          <w:color w:val="auto"/>
          <w:szCs w:val="21"/>
          <w:lang w:val="en-US"/>
        </w:rPr>
      </w:pPr>
      <w:r>
        <w:rPr>
          <w:rFonts w:hint="eastAsia" w:ascii="宋体" w:hAnsi="宋体" w:eastAsia="宋体" w:cs="宋体"/>
          <w:color w:val="auto"/>
          <w:szCs w:val="21"/>
        </w:rPr>
        <w:t>联系人：</w:t>
      </w:r>
      <w:r>
        <w:rPr>
          <w:rFonts w:hint="eastAsia" w:ascii="宋体" w:hAnsi="宋体" w:eastAsia="宋体" w:cs="宋体"/>
          <w:color w:val="auto"/>
          <w:szCs w:val="21"/>
          <w:lang w:val="en-US" w:eastAsia="zh-CN"/>
        </w:rPr>
        <w:t>李先生</w:t>
      </w:r>
    </w:p>
    <w:p w14:paraId="5780E459">
      <w:pPr>
        <w:spacing w:line="440" w:lineRule="atLeast"/>
        <w:ind w:firstLine="420" w:firstLineChars="200"/>
        <w:jc w:val="left"/>
        <w:rPr>
          <w:rFonts w:hint="eastAsia" w:ascii="宋体" w:hAnsi="宋体" w:eastAsia="宋体" w:cs="宋体"/>
          <w:color w:val="auto"/>
          <w:szCs w:val="21"/>
          <w:lang w:val="en-US" w:eastAsia="zh-CN"/>
        </w:rPr>
      </w:pPr>
      <w:r>
        <w:rPr>
          <w:rFonts w:hint="eastAsia" w:ascii="宋体" w:hAnsi="宋体" w:eastAsia="宋体" w:cs="宋体"/>
          <w:color w:val="auto"/>
          <w:szCs w:val="21"/>
        </w:rPr>
        <w:t>联系</w:t>
      </w:r>
      <w:r>
        <w:rPr>
          <w:rFonts w:hint="eastAsia" w:ascii="宋体" w:hAnsi="宋体" w:eastAsia="宋体" w:cs="宋体"/>
          <w:color w:val="auto"/>
          <w:szCs w:val="21"/>
          <w:lang w:val="en-US" w:eastAsia="zh-CN"/>
        </w:rPr>
        <w:t>方</w:t>
      </w:r>
      <w:r>
        <w:rPr>
          <w:rFonts w:hint="eastAsia" w:ascii="宋体" w:hAnsi="宋体" w:eastAsia="宋体" w:cs="宋体"/>
          <w:color w:val="auto"/>
          <w:szCs w:val="21"/>
          <w:lang w:val="en-US" w:eastAsia="zh-CN"/>
        </w:rPr>
        <w:t>式</w:t>
      </w:r>
      <w:r>
        <w:rPr>
          <w:rFonts w:hint="eastAsia" w:ascii="宋体" w:hAnsi="宋体" w:eastAsia="宋体" w:cs="宋体"/>
          <w:color w:val="auto"/>
          <w:szCs w:val="21"/>
        </w:rPr>
        <w:t>：</w:t>
      </w:r>
      <w:r>
        <w:rPr>
          <w:rFonts w:hint="eastAsia" w:ascii="宋体" w:hAnsi="宋体" w:eastAsia="宋体" w:cs="宋体"/>
          <w:color w:val="auto"/>
          <w:sz w:val="21"/>
          <w:szCs w:val="21"/>
          <w:highlight w:val="none"/>
          <w:lang w:val="en-US" w:eastAsia="zh-CN"/>
        </w:rPr>
        <w:t>0374-8609623</w:t>
      </w:r>
    </w:p>
    <w:p w14:paraId="64F11E3B">
      <w:pPr>
        <w:spacing w:line="440" w:lineRule="atLeast"/>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2.采购代理机构信息</w:t>
      </w:r>
    </w:p>
    <w:p w14:paraId="438FC233">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lang w:eastAsia="zh-CN"/>
        </w:rPr>
      </w:pPr>
      <w:r>
        <w:rPr>
          <w:rFonts w:hint="eastAsia" w:ascii="宋体" w:hAnsi="宋体" w:eastAsia="宋体" w:cs="宋体"/>
          <w:color w:val="auto"/>
          <w:szCs w:val="21"/>
          <w:shd w:val="clear" w:color="auto" w:fill="FFFFFF"/>
        </w:rPr>
        <w:t>名称：</w:t>
      </w:r>
      <w:r>
        <w:rPr>
          <w:rFonts w:hint="eastAsia" w:ascii="宋体" w:hAnsi="宋体" w:eastAsia="宋体" w:cs="宋体"/>
          <w:color w:val="auto"/>
          <w:szCs w:val="21"/>
          <w:shd w:val="clear" w:color="auto" w:fill="FFFFFF"/>
          <w:lang w:eastAsia="zh-CN"/>
        </w:rPr>
        <w:t>华正大地项目管理有限公司</w:t>
      </w:r>
    </w:p>
    <w:p w14:paraId="51EFB328">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地址：河南省郑州市高新区冬青街盛鼎建筑产业园1号楼5楼</w:t>
      </w:r>
    </w:p>
    <w:p w14:paraId="465532D9">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联系人：王先生</w:t>
      </w:r>
    </w:p>
    <w:p w14:paraId="645AF88A">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联系方式：17395856013</w:t>
      </w:r>
    </w:p>
    <w:p w14:paraId="29DE3050">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3.项目联系方式</w:t>
      </w:r>
    </w:p>
    <w:p w14:paraId="3C98E722">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联系人：王先生</w:t>
      </w:r>
    </w:p>
    <w:p w14:paraId="66DED70E">
      <w:pPr>
        <w:tabs>
          <w:tab w:val="left" w:pos="7095"/>
        </w:tabs>
        <w:spacing w:line="440" w:lineRule="atLeast"/>
        <w:ind w:firstLine="420" w:firstLineChars="200"/>
        <w:contextualSpacing/>
        <w:jc w:val="left"/>
        <w:rPr>
          <w:rFonts w:hint="eastAsia" w:ascii="宋体" w:hAnsi="宋体" w:eastAsia="宋体" w:cs="宋体"/>
          <w:color w:val="auto"/>
          <w:szCs w:val="21"/>
          <w:shd w:val="clear" w:color="auto" w:fill="FFFFFF"/>
        </w:rPr>
      </w:pPr>
      <w:r>
        <w:rPr>
          <w:rFonts w:hint="eastAsia" w:ascii="宋体" w:hAnsi="宋体" w:eastAsia="宋体" w:cs="宋体"/>
          <w:color w:val="auto"/>
          <w:szCs w:val="21"/>
          <w:shd w:val="clear" w:color="auto" w:fill="FFFFFF"/>
        </w:rPr>
        <w:t>联系方式：17395856013</w:t>
      </w:r>
    </w:p>
    <w:p w14:paraId="10026D27">
      <w:pPr>
        <w:pStyle w:val="11"/>
        <w:rPr>
          <w:rFonts w:hint="eastAsia" w:ascii="宋体" w:hAnsi="宋体" w:eastAsia="宋体" w:cs="宋体"/>
          <w:b/>
          <w:bCs/>
          <w:color w:val="auto"/>
          <w:szCs w:val="21"/>
          <w:shd w:val="clear" w:color="auto" w:fill="FFFFFF"/>
        </w:rPr>
      </w:pPr>
    </w:p>
    <w:p w14:paraId="2B89CED1">
      <w:pPr>
        <w:keepNext w:val="0"/>
        <w:keepLines w:val="0"/>
        <w:pageBreakBefore w:val="0"/>
        <w:tabs>
          <w:tab w:val="left" w:pos="7095"/>
        </w:tabs>
        <w:kinsoku/>
        <w:wordWrap/>
        <w:overflowPunct/>
        <w:topLinePunct w:val="0"/>
        <w:autoSpaceDE/>
        <w:autoSpaceDN/>
        <w:bidi w:val="0"/>
        <w:adjustRightInd/>
        <w:snapToGrid/>
        <w:spacing w:line="460" w:lineRule="exact"/>
        <w:ind w:firstLine="422" w:firstLineChars="200"/>
        <w:contextualSpacing/>
        <w:jc w:val="left"/>
        <w:textAlignment w:val="auto"/>
        <w:rPr>
          <w:rFonts w:hint="eastAsia" w:ascii="宋体" w:hAnsi="宋体" w:eastAsia="宋体" w:cs="宋体"/>
          <w:b/>
          <w:bCs/>
          <w:color w:val="auto"/>
          <w:szCs w:val="21"/>
          <w:shd w:val="clear" w:color="auto" w:fill="FFFFFF"/>
        </w:rPr>
      </w:pPr>
      <w:r>
        <w:rPr>
          <w:rFonts w:hint="eastAsia" w:ascii="宋体" w:hAnsi="宋体" w:eastAsia="宋体" w:cs="宋体"/>
          <w:b/>
          <w:bCs/>
          <w:color w:val="auto"/>
          <w:szCs w:val="21"/>
          <w:shd w:val="clear" w:color="auto" w:fill="FFFFFF"/>
        </w:rPr>
        <w:t>温馨提示：本项目为全流程电子化交易项目，请注意以下事项。</w:t>
      </w:r>
    </w:p>
    <w:p w14:paraId="490D1CCD">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1.投标人参加本项目投标，需提前自行联系CA服务机构办理数字认证证书并进行电子签章。</w:t>
      </w:r>
    </w:p>
    <w:p w14:paraId="64E8B20F">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2.招标文件下载、投标文件制作、提交、远程不见面开标（电子投标文件的解密）环节，投标人须使用同一个CA数字证书（证书须在有效期内并可正常使用）。</w:t>
      </w:r>
    </w:p>
    <w:p w14:paraId="60CC5BF9">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left="420" w:leftChars="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3.电子投标文件的制作</w:t>
      </w:r>
    </w:p>
    <w:p w14:paraId="54618C4E">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3.1供应商登录“全国公共资源交易平台（河南省·许昌市）”下载“新点投标文件制作软件（河南省版）”的最新版本制作电子响应文件。</w:t>
      </w:r>
    </w:p>
    <w:p w14:paraId="4EF8F44C">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3.2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后缀格式为“.nXCSTF”的不加密电子投标文件用于查看投标文件</w:t>
      </w:r>
    </w:p>
    <w:p w14:paraId="17A95A70">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内容或导出PDF 格式投标文件。</w:t>
      </w:r>
    </w:p>
    <w:p w14:paraId="7D6B6DFE">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4.加密电子投标文件的提交</w:t>
      </w:r>
    </w:p>
    <w:p w14:paraId="24B58906">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4.1投标人对同一项目多个标段进行投标的，加密电子投标文件应按标段分别提交。</w:t>
      </w:r>
    </w:p>
    <w:p w14:paraId="5ED6C4F9">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4.2加密电子响应文件成功上传至“全国公共资源交易平台（河南省·许昌市）”后，应在上传页面进行模拟解密，以验证是否能够成功解密。</w:t>
      </w:r>
    </w:p>
    <w:p w14:paraId="46726741">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left="420" w:leftChars="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5.远程不见面开标（电子投标文件的解密）</w:t>
      </w:r>
    </w:p>
    <w:p w14:paraId="28566F76">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5.1本项目采用远程不见面开标方式，投标前请详细阅读“全国公共资源交易平台（河南省·许昌市）”的“服务指南”栏目下《新交易平台使用手册》中的相关内容。</w:t>
      </w:r>
    </w:p>
    <w:p w14:paraId="4A176017">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5.2投标人应按新交易平台使用手册提前设置好浏览器，并于开标时间前登录本项目不见面开标大厅，按照规定的开标时间准时参加网上开标。</w:t>
      </w:r>
    </w:p>
    <w:p w14:paraId="2835356F">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5.3根据开标大厅界面右侧“公告栏”中的系统提示，投标人应在“标书解密”环节完成解密操作（自代理机构点击“开启投标解密”按钮后投标人解密，系统初设解密时间为30分钟，投标人应在30分钟内完成解密。如因网络、系统原因未完成解密的，招标人（代理机构）报经相关监督管理部门同意后可适当延长解密时间）。投标人未解密或因投标人原因解密失败的，其投标文件将被退回。</w:t>
      </w:r>
    </w:p>
    <w:p w14:paraId="6E11343D">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5.4 在开标结束环节，投标人应在《开标情况记录表》上进行电子签章。投标人未签章的，视同认可开标结果。</w:t>
      </w:r>
    </w:p>
    <w:p w14:paraId="64D83E51">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5.5 投标人对开标过程和开标记录如有异议，可在本项目开标大厅界面右下方“发起异议”中在线提出异议。</w:t>
      </w:r>
    </w:p>
    <w:p w14:paraId="23FD86D3">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6.评标依据</w:t>
      </w:r>
    </w:p>
    <w:p w14:paraId="695F76EC">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6.1全流程电子化交易（不见面开标）项目，评标委员会以成功上传、解密的电子投标文件为依据评审。</w:t>
      </w:r>
    </w:p>
    <w:p w14:paraId="02A1355B">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6.2评标期间，投标人应保持通讯手机畅通。评标委员会如要求投标人作出澄清、说明或者补正等，投标人应在评标委员会要求的评标期间合理的时间内通过电子邮件形式提供。</w:t>
      </w:r>
    </w:p>
    <w:p w14:paraId="0DC7CDF1">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6.3投标人通过电子邮件提供的书面说明或相关证明材料应加盖公章，或者由法定代表人或其授权的代表签字。</w:t>
      </w:r>
    </w:p>
    <w:p w14:paraId="402C92B3">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outlineLvl w:val="2"/>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7.相关事项</w:t>
      </w:r>
    </w:p>
    <w:p w14:paraId="31955F67">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3EDB8EE7">
      <w:pPr>
        <w:tabs>
          <w:tab w:val="left" w:pos="7095"/>
        </w:tabs>
        <w:spacing w:line="440" w:lineRule="atLeast"/>
        <w:ind w:firstLine="643" w:firstLineChars="200"/>
        <w:contextualSpacing/>
        <w:jc w:val="left"/>
        <w:rPr>
          <w:rFonts w:hint="eastAsia" w:ascii="宋体" w:hAnsi="宋体" w:eastAsia="宋体" w:cs="宋体"/>
          <w:b/>
          <w:bCs/>
          <w:color w:val="auto"/>
          <w:kern w:val="0"/>
          <w:sz w:val="32"/>
          <w:szCs w:val="32"/>
        </w:rPr>
      </w:pPr>
    </w:p>
    <w:p w14:paraId="2B89CEEA">
      <w:pPr>
        <w:pStyle w:val="28"/>
        <w:rPr>
          <w:rFonts w:hint="eastAsia" w:ascii="宋体" w:hAnsi="宋体" w:eastAsia="宋体" w:cs="宋体"/>
          <w:color w:val="auto"/>
        </w:rPr>
      </w:pPr>
    </w:p>
    <w:p w14:paraId="5AB4CBF7">
      <w:pPr>
        <w:pStyle w:val="28"/>
        <w:rPr>
          <w:rFonts w:hint="eastAsia" w:ascii="宋体" w:hAnsi="宋体" w:eastAsia="宋体" w:cs="宋体"/>
          <w:color w:val="auto"/>
        </w:rPr>
      </w:pPr>
    </w:p>
    <w:p w14:paraId="7D405A8C">
      <w:pPr>
        <w:pStyle w:val="28"/>
        <w:rPr>
          <w:rFonts w:hint="eastAsia" w:ascii="宋体" w:hAnsi="宋体" w:eastAsia="宋体" w:cs="宋体"/>
          <w:color w:val="auto"/>
        </w:rPr>
      </w:pPr>
    </w:p>
    <w:p w14:paraId="730EF899">
      <w:pPr>
        <w:pStyle w:val="28"/>
        <w:rPr>
          <w:rFonts w:hint="eastAsia" w:ascii="宋体" w:hAnsi="宋体" w:eastAsia="宋体" w:cs="宋体"/>
          <w:color w:val="auto"/>
        </w:rPr>
      </w:pPr>
    </w:p>
    <w:p w14:paraId="143A931A">
      <w:pPr>
        <w:pStyle w:val="28"/>
        <w:rPr>
          <w:rFonts w:hint="eastAsia" w:ascii="宋体" w:hAnsi="宋体" w:eastAsia="宋体" w:cs="宋体"/>
          <w:color w:val="auto"/>
        </w:rPr>
      </w:pPr>
    </w:p>
    <w:p w14:paraId="2B4F6611">
      <w:pPr>
        <w:pStyle w:val="28"/>
        <w:rPr>
          <w:rFonts w:hint="eastAsia" w:ascii="宋体" w:hAnsi="宋体" w:eastAsia="宋体" w:cs="宋体"/>
          <w:color w:val="auto"/>
        </w:rPr>
      </w:pPr>
    </w:p>
    <w:p w14:paraId="14AD4803">
      <w:pPr>
        <w:pStyle w:val="28"/>
        <w:rPr>
          <w:rFonts w:hint="eastAsia" w:ascii="宋体" w:hAnsi="宋体" w:eastAsia="宋体" w:cs="宋体"/>
          <w:color w:val="auto"/>
        </w:rPr>
      </w:pPr>
    </w:p>
    <w:p w14:paraId="3BBC303B">
      <w:pPr>
        <w:pStyle w:val="28"/>
        <w:rPr>
          <w:rFonts w:hint="eastAsia" w:ascii="宋体" w:hAnsi="宋体" w:eastAsia="宋体" w:cs="宋体"/>
          <w:color w:val="auto"/>
        </w:rPr>
      </w:pPr>
    </w:p>
    <w:p w14:paraId="0CCE9E41">
      <w:pPr>
        <w:pStyle w:val="28"/>
        <w:rPr>
          <w:rFonts w:hint="eastAsia" w:ascii="宋体" w:hAnsi="宋体" w:eastAsia="宋体" w:cs="宋体"/>
          <w:color w:val="auto"/>
        </w:rPr>
      </w:pPr>
    </w:p>
    <w:p w14:paraId="04038F7F">
      <w:pPr>
        <w:pStyle w:val="28"/>
        <w:rPr>
          <w:rFonts w:hint="eastAsia" w:ascii="宋体" w:hAnsi="宋体" w:eastAsia="宋体" w:cs="宋体"/>
          <w:color w:val="auto"/>
        </w:rPr>
      </w:pPr>
    </w:p>
    <w:p w14:paraId="25781DC5">
      <w:pPr>
        <w:pStyle w:val="28"/>
        <w:rPr>
          <w:rFonts w:hint="eastAsia" w:ascii="宋体" w:hAnsi="宋体" w:eastAsia="宋体" w:cs="宋体"/>
          <w:color w:val="auto"/>
        </w:rPr>
      </w:pPr>
    </w:p>
    <w:p w14:paraId="449F1E16">
      <w:pPr>
        <w:pStyle w:val="28"/>
        <w:rPr>
          <w:rFonts w:hint="eastAsia" w:ascii="宋体" w:hAnsi="宋体" w:eastAsia="宋体" w:cs="宋体"/>
          <w:color w:val="auto"/>
        </w:rPr>
      </w:pPr>
    </w:p>
    <w:p w14:paraId="2D158843">
      <w:pPr>
        <w:pStyle w:val="28"/>
        <w:rPr>
          <w:rFonts w:hint="eastAsia" w:ascii="宋体" w:hAnsi="宋体" w:eastAsia="宋体" w:cs="宋体"/>
          <w:color w:val="auto"/>
        </w:rPr>
      </w:pPr>
    </w:p>
    <w:p w14:paraId="6AB1C7DA">
      <w:pPr>
        <w:pStyle w:val="28"/>
        <w:rPr>
          <w:rFonts w:hint="eastAsia" w:ascii="宋体" w:hAnsi="宋体" w:eastAsia="宋体" w:cs="宋体"/>
          <w:color w:val="auto"/>
        </w:rPr>
      </w:pPr>
    </w:p>
    <w:p w14:paraId="584DDF5E">
      <w:pPr>
        <w:pStyle w:val="28"/>
        <w:rPr>
          <w:rFonts w:hint="eastAsia" w:ascii="宋体" w:hAnsi="宋体" w:eastAsia="宋体" w:cs="宋体"/>
          <w:color w:val="auto"/>
        </w:rPr>
      </w:pPr>
    </w:p>
    <w:p w14:paraId="51161961">
      <w:pPr>
        <w:pStyle w:val="28"/>
        <w:rPr>
          <w:rFonts w:hint="eastAsia" w:ascii="宋体" w:hAnsi="宋体" w:eastAsia="宋体" w:cs="宋体"/>
          <w:color w:val="auto"/>
        </w:rPr>
      </w:pPr>
    </w:p>
    <w:p w14:paraId="0C0490ED">
      <w:pPr>
        <w:pStyle w:val="28"/>
        <w:rPr>
          <w:rFonts w:hint="eastAsia" w:ascii="宋体" w:hAnsi="宋体" w:eastAsia="宋体" w:cs="宋体"/>
          <w:color w:val="auto"/>
        </w:rPr>
      </w:pPr>
    </w:p>
    <w:p w14:paraId="504C891A">
      <w:pPr>
        <w:pStyle w:val="28"/>
        <w:rPr>
          <w:rFonts w:hint="eastAsia" w:ascii="宋体" w:hAnsi="宋体" w:eastAsia="宋体" w:cs="宋体"/>
          <w:color w:val="auto"/>
        </w:rPr>
      </w:pPr>
    </w:p>
    <w:p w14:paraId="006821D3">
      <w:pPr>
        <w:pStyle w:val="28"/>
        <w:rPr>
          <w:rFonts w:hint="eastAsia" w:ascii="宋体" w:hAnsi="宋体" w:eastAsia="宋体" w:cs="宋体"/>
          <w:color w:val="auto"/>
        </w:rPr>
      </w:pPr>
    </w:p>
    <w:p w14:paraId="210DB26E">
      <w:pPr>
        <w:pStyle w:val="28"/>
        <w:rPr>
          <w:rFonts w:hint="eastAsia" w:ascii="宋体" w:hAnsi="宋体" w:eastAsia="宋体" w:cs="宋体"/>
          <w:color w:val="auto"/>
        </w:rPr>
      </w:pPr>
    </w:p>
    <w:p w14:paraId="5EC4140C">
      <w:pPr>
        <w:pStyle w:val="28"/>
        <w:rPr>
          <w:rFonts w:hint="eastAsia" w:ascii="宋体" w:hAnsi="宋体" w:eastAsia="宋体" w:cs="宋体"/>
          <w:color w:val="auto"/>
        </w:rPr>
      </w:pPr>
    </w:p>
    <w:p w14:paraId="12E3AAD5">
      <w:pPr>
        <w:pStyle w:val="28"/>
        <w:rPr>
          <w:rFonts w:hint="eastAsia" w:ascii="宋体" w:hAnsi="宋体" w:eastAsia="宋体" w:cs="宋体"/>
          <w:color w:val="auto"/>
        </w:rPr>
      </w:pPr>
    </w:p>
    <w:p w14:paraId="24CE0B73">
      <w:pPr>
        <w:pStyle w:val="28"/>
        <w:rPr>
          <w:rFonts w:hint="eastAsia" w:ascii="宋体" w:hAnsi="宋体" w:eastAsia="宋体" w:cs="宋体"/>
          <w:color w:val="auto"/>
        </w:rPr>
      </w:pPr>
    </w:p>
    <w:p w14:paraId="53BDE7C8">
      <w:pPr>
        <w:pStyle w:val="28"/>
        <w:rPr>
          <w:rFonts w:hint="eastAsia" w:ascii="宋体" w:hAnsi="宋体" w:eastAsia="宋体" w:cs="宋体"/>
          <w:color w:val="auto"/>
        </w:rPr>
      </w:pPr>
    </w:p>
    <w:p w14:paraId="717493B3">
      <w:pPr>
        <w:pStyle w:val="28"/>
        <w:rPr>
          <w:rFonts w:hint="eastAsia" w:ascii="宋体" w:hAnsi="宋体" w:eastAsia="宋体" w:cs="宋体"/>
          <w:color w:val="auto"/>
        </w:rPr>
      </w:pPr>
    </w:p>
    <w:p w14:paraId="62747078">
      <w:pPr>
        <w:pStyle w:val="28"/>
        <w:rPr>
          <w:rFonts w:hint="eastAsia" w:ascii="宋体" w:hAnsi="宋体" w:eastAsia="宋体" w:cs="宋体"/>
          <w:color w:val="auto"/>
        </w:rPr>
      </w:pPr>
    </w:p>
    <w:p w14:paraId="16125BC8">
      <w:pPr>
        <w:pStyle w:val="28"/>
        <w:rPr>
          <w:rFonts w:hint="eastAsia" w:ascii="宋体" w:hAnsi="宋体" w:eastAsia="宋体" w:cs="宋体"/>
          <w:color w:val="auto"/>
        </w:rPr>
      </w:pPr>
    </w:p>
    <w:p w14:paraId="32AF050A">
      <w:pPr>
        <w:pStyle w:val="28"/>
        <w:rPr>
          <w:rFonts w:hint="eastAsia" w:ascii="宋体" w:hAnsi="宋体" w:eastAsia="宋体" w:cs="宋体"/>
          <w:color w:val="auto"/>
        </w:rPr>
      </w:pPr>
    </w:p>
    <w:p w14:paraId="4AAC2694">
      <w:pPr>
        <w:pStyle w:val="28"/>
        <w:rPr>
          <w:rFonts w:hint="eastAsia" w:ascii="宋体" w:hAnsi="宋体" w:eastAsia="宋体" w:cs="宋体"/>
          <w:color w:val="auto"/>
        </w:rPr>
      </w:pPr>
    </w:p>
    <w:p w14:paraId="2FE1FB37">
      <w:pPr>
        <w:pStyle w:val="28"/>
        <w:rPr>
          <w:rFonts w:hint="eastAsia" w:ascii="宋体" w:hAnsi="宋体" w:eastAsia="宋体" w:cs="宋体"/>
          <w:color w:val="auto"/>
        </w:rPr>
      </w:pPr>
    </w:p>
    <w:p w14:paraId="7CF87EC7">
      <w:pPr>
        <w:pStyle w:val="28"/>
        <w:rPr>
          <w:rFonts w:hint="eastAsia" w:ascii="宋体" w:hAnsi="宋体" w:eastAsia="宋体" w:cs="宋体"/>
          <w:color w:val="auto"/>
        </w:rPr>
      </w:pPr>
    </w:p>
    <w:p w14:paraId="52AF9405">
      <w:pPr>
        <w:pStyle w:val="28"/>
        <w:rPr>
          <w:rFonts w:hint="eastAsia" w:ascii="宋体" w:hAnsi="宋体" w:eastAsia="宋体" w:cs="宋体"/>
          <w:color w:val="auto"/>
        </w:rPr>
      </w:pPr>
    </w:p>
    <w:p w14:paraId="503E7B69">
      <w:pPr>
        <w:pStyle w:val="28"/>
        <w:rPr>
          <w:rFonts w:hint="eastAsia" w:ascii="宋体" w:hAnsi="宋体" w:eastAsia="宋体" w:cs="宋体"/>
          <w:color w:val="auto"/>
        </w:rPr>
      </w:pPr>
    </w:p>
    <w:p w14:paraId="3E2026DE">
      <w:pPr>
        <w:pStyle w:val="28"/>
        <w:rPr>
          <w:rFonts w:hint="eastAsia" w:ascii="宋体" w:hAnsi="宋体" w:eastAsia="宋体" w:cs="宋体"/>
          <w:color w:val="auto"/>
        </w:rPr>
      </w:pPr>
    </w:p>
    <w:p w14:paraId="0953D930">
      <w:pPr>
        <w:pStyle w:val="28"/>
        <w:rPr>
          <w:rFonts w:hint="eastAsia" w:ascii="宋体" w:hAnsi="宋体" w:eastAsia="宋体" w:cs="宋体"/>
          <w:color w:val="auto"/>
        </w:rPr>
      </w:pPr>
    </w:p>
    <w:p w14:paraId="63FA44C6">
      <w:pPr>
        <w:pStyle w:val="28"/>
        <w:rPr>
          <w:rFonts w:hint="eastAsia" w:ascii="宋体" w:hAnsi="宋体" w:eastAsia="宋体" w:cs="宋体"/>
          <w:color w:val="auto"/>
        </w:rPr>
      </w:pPr>
    </w:p>
    <w:p w14:paraId="2B89CEFE">
      <w:pPr>
        <w:pStyle w:val="28"/>
        <w:rPr>
          <w:rFonts w:hint="eastAsia" w:ascii="宋体" w:hAnsi="宋体" w:eastAsia="宋体" w:cs="宋体"/>
          <w:color w:val="auto"/>
        </w:rPr>
      </w:pPr>
    </w:p>
    <w:p w14:paraId="2B89CEFF">
      <w:pPr>
        <w:numPr>
          <w:ilvl w:val="0"/>
          <w:numId w:val="0"/>
        </w:numPr>
        <w:tabs>
          <w:tab w:val="left" w:pos="7095"/>
        </w:tabs>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lang w:val="en-US" w:eastAsia="zh-CN"/>
        </w:rPr>
        <w:t>第二章</w:t>
      </w:r>
      <w:r>
        <w:rPr>
          <w:rFonts w:hint="eastAsia" w:ascii="宋体" w:hAnsi="宋体" w:eastAsia="宋体" w:cs="宋体"/>
          <w:b/>
          <w:color w:val="auto"/>
          <w:kern w:val="0"/>
          <w:sz w:val="30"/>
          <w:szCs w:val="30"/>
        </w:rPr>
        <w:t xml:space="preserve"> </w:t>
      </w:r>
      <w:r>
        <w:rPr>
          <w:rFonts w:hint="eastAsia" w:ascii="宋体" w:hAnsi="宋体" w:eastAsia="宋体" w:cs="宋体"/>
          <w:b/>
          <w:color w:val="auto"/>
          <w:kern w:val="0"/>
          <w:sz w:val="30"/>
          <w:szCs w:val="30"/>
          <w:lang w:val="en-US" w:eastAsia="zh-CN"/>
        </w:rPr>
        <w:t>项目</w:t>
      </w:r>
      <w:r>
        <w:rPr>
          <w:rFonts w:hint="eastAsia" w:ascii="宋体" w:hAnsi="宋体" w:eastAsia="宋体" w:cs="宋体"/>
          <w:b/>
          <w:color w:val="auto"/>
          <w:kern w:val="0"/>
          <w:sz w:val="30"/>
          <w:szCs w:val="30"/>
        </w:rPr>
        <w:t>需求</w:t>
      </w:r>
    </w:p>
    <w:p w14:paraId="6AE2DA51">
      <w:pPr>
        <w:pStyle w:val="42"/>
        <w:keepNext w:val="0"/>
        <w:keepLines w:val="0"/>
        <w:pageBreakBefore w:val="0"/>
        <w:wordWrap/>
        <w:overflowPunct/>
        <w:topLinePunct w:val="0"/>
        <w:bidi w:val="0"/>
        <w:spacing w:line="520" w:lineRule="exact"/>
        <w:rPr>
          <w:rStyle w:val="32"/>
          <w:rFonts w:hint="eastAsia" w:ascii="宋体" w:hAnsi="宋体" w:eastAsia="宋体" w:cs="宋体"/>
          <w:color w:val="auto"/>
          <w:sz w:val="21"/>
          <w:szCs w:val="21"/>
        </w:rPr>
      </w:pPr>
      <w:r>
        <w:rPr>
          <w:rFonts w:hint="eastAsia" w:ascii="宋体" w:hAnsi="宋体" w:eastAsia="宋体" w:cs="宋体"/>
          <w:b/>
          <w:bCs/>
          <w:color w:val="auto"/>
          <w:sz w:val="21"/>
          <w:szCs w:val="21"/>
          <w:shd w:val="clear" w:color="auto" w:fill="FFFFFF"/>
        </w:rPr>
        <w:t>一、项目概况</w:t>
      </w:r>
    </w:p>
    <w:p w14:paraId="7042579C">
      <w:pPr>
        <w:keepNext w:val="0"/>
        <w:keepLines w:val="0"/>
        <w:pageBreakBefore w:val="0"/>
        <w:widowControl w:val="0"/>
        <w:kinsoku/>
        <w:wordWrap/>
        <w:overflowPunct/>
        <w:topLinePunct w:val="0"/>
        <w:autoSpaceDN/>
        <w:bidi w:val="0"/>
        <w:spacing w:line="5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禹州市农业农村局2026年中药材绿色高产高效创建采购项目，采购一批设备及肥料。</w:t>
      </w:r>
    </w:p>
    <w:p w14:paraId="32841705">
      <w:pPr>
        <w:pStyle w:val="42"/>
        <w:keepNext w:val="0"/>
        <w:keepLines w:val="0"/>
        <w:pageBreakBefore w:val="0"/>
        <w:wordWrap/>
        <w:overflowPunct/>
        <w:topLinePunct w:val="0"/>
        <w:bidi w:val="0"/>
        <w:spacing w:line="520" w:lineRule="exact"/>
        <w:rPr>
          <w:rFonts w:hint="eastAsia" w:ascii="宋体" w:hAnsi="宋体" w:eastAsia="宋体" w:cs="宋体"/>
          <w:b/>
          <w:bCs/>
          <w:color w:val="auto"/>
          <w:sz w:val="21"/>
          <w:szCs w:val="21"/>
          <w:shd w:val="clear" w:color="auto" w:fill="FFFFFF"/>
        </w:rPr>
      </w:pPr>
      <w:r>
        <w:rPr>
          <w:rFonts w:hint="eastAsia" w:ascii="宋体" w:hAnsi="宋体" w:eastAsia="宋体" w:cs="宋体"/>
          <w:b/>
          <w:bCs/>
          <w:color w:val="auto"/>
          <w:sz w:val="21"/>
          <w:szCs w:val="21"/>
          <w:shd w:val="clear" w:color="auto" w:fill="FFFFFF"/>
        </w:rPr>
        <w:t>二、采购清单</w:t>
      </w:r>
    </w:p>
    <w:tbl>
      <w:tblPr>
        <w:tblStyle w:val="19"/>
        <w:tblW w:w="10179" w:type="dxa"/>
        <w:tblInd w:w="-7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135"/>
        <w:gridCol w:w="6523"/>
        <w:gridCol w:w="754"/>
        <w:gridCol w:w="375"/>
        <w:gridCol w:w="720"/>
      </w:tblGrid>
      <w:tr w14:paraId="051A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0179" w:type="dxa"/>
            <w:gridSpan w:val="6"/>
            <w:noWrap w:val="0"/>
            <w:vAlign w:val="center"/>
          </w:tcPr>
          <w:p w14:paraId="625A382F">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第一标段</w:t>
            </w:r>
          </w:p>
        </w:tc>
      </w:tr>
      <w:tr w14:paraId="5A0F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22E4D594">
            <w:pPr>
              <w:jc w:val="center"/>
              <w:rPr>
                <w:rFonts w:hint="eastAsia" w:ascii="宋体" w:hAnsi="宋体" w:eastAsia="宋体" w:cs="宋体"/>
                <w:b/>
                <w:bCs/>
                <w:color w:val="auto"/>
                <w:kern w:val="0"/>
                <w:sz w:val="20"/>
              </w:rPr>
            </w:pPr>
            <w:r>
              <w:rPr>
                <w:rFonts w:hint="eastAsia" w:ascii="宋体" w:hAnsi="宋体" w:eastAsia="宋体" w:cs="宋体"/>
                <w:b/>
                <w:bCs/>
                <w:color w:val="auto"/>
                <w:kern w:val="0"/>
                <w:sz w:val="20"/>
              </w:rPr>
              <w:t>序号</w:t>
            </w:r>
          </w:p>
        </w:tc>
        <w:tc>
          <w:tcPr>
            <w:tcW w:w="1135" w:type="dxa"/>
            <w:noWrap w:val="0"/>
            <w:vAlign w:val="center"/>
          </w:tcPr>
          <w:p w14:paraId="6CD54D6B">
            <w:pPr>
              <w:jc w:val="center"/>
              <w:rPr>
                <w:rFonts w:hint="eastAsia" w:ascii="宋体" w:hAnsi="宋体" w:eastAsia="宋体" w:cs="宋体"/>
                <w:b/>
                <w:bCs/>
                <w:color w:val="auto"/>
                <w:kern w:val="0"/>
                <w:sz w:val="20"/>
              </w:rPr>
            </w:pPr>
            <w:r>
              <w:rPr>
                <w:rFonts w:hint="eastAsia" w:ascii="宋体" w:hAnsi="宋体" w:eastAsia="宋体" w:cs="宋体"/>
                <w:b/>
                <w:bCs/>
                <w:color w:val="auto"/>
                <w:kern w:val="0"/>
                <w:sz w:val="20"/>
                <w:lang w:val="en-US" w:eastAsia="zh-CN"/>
              </w:rPr>
              <w:t>货品</w:t>
            </w:r>
            <w:r>
              <w:rPr>
                <w:rFonts w:hint="eastAsia" w:ascii="宋体" w:hAnsi="宋体" w:eastAsia="宋体" w:cs="宋体"/>
                <w:b/>
                <w:bCs/>
                <w:color w:val="auto"/>
                <w:kern w:val="0"/>
                <w:sz w:val="20"/>
              </w:rPr>
              <w:t>名称</w:t>
            </w:r>
          </w:p>
        </w:tc>
        <w:tc>
          <w:tcPr>
            <w:tcW w:w="6523" w:type="dxa"/>
            <w:noWrap w:val="0"/>
            <w:vAlign w:val="center"/>
          </w:tcPr>
          <w:p w14:paraId="755D59E3">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技术参数</w:t>
            </w:r>
          </w:p>
        </w:tc>
        <w:tc>
          <w:tcPr>
            <w:tcW w:w="754" w:type="dxa"/>
            <w:noWrap w:val="0"/>
            <w:vAlign w:val="center"/>
          </w:tcPr>
          <w:p w14:paraId="3823EE6E">
            <w:pPr>
              <w:jc w:val="center"/>
              <w:rPr>
                <w:rFonts w:hint="eastAsia" w:ascii="宋体" w:hAnsi="宋体" w:eastAsia="宋体" w:cs="宋体"/>
                <w:b/>
                <w:bCs/>
                <w:color w:val="auto"/>
                <w:kern w:val="0"/>
                <w:sz w:val="20"/>
              </w:rPr>
            </w:pPr>
            <w:r>
              <w:rPr>
                <w:rFonts w:hint="eastAsia" w:ascii="宋体" w:hAnsi="宋体" w:eastAsia="宋体" w:cs="宋体"/>
                <w:b/>
                <w:bCs/>
                <w:color w:val="auto"/>
                <w:kern w:val="0"/>
                <w:sz w:val="20"/>
              </w:rPr>
              <w:t>数量</w:t>
            </w:r>
          </w:p>
        </w:tc>
        <w:tc>
          <w:tcPr>
            <w:tcW w:w="375" w:type="dxa"/>
            <w:noWrap w:val="0"/>
            <w:vAlign w:val="center"/>
          </w:tcPr>
          <w:p w14:paraId="45A57133">
            <w:pPr>
              <w:jc w:val="center"/>
              <w:rPr>
                <w:rFonts w:hint="eastAsia" w:ascii="宋体" w:hAnsi="宋体" w:eastAsia="宋体" w:cs="宋体"/>
                <w:b/>
                <w:bCs/>
                <w:color w:val="auto"/>
                <w:kern w:val="0"/>
                <w:sz w:val="20"/>
              </w:rPr>
            </w:pPr>
            <w:r>
              <w:rPr>
                <w:rFonts w:hint="eastAsia" w:ascii="宋体" w:hAnsi="宋体" w:eastAsia="宋体" w:cs="宋体"/>
                <w:b/>
                <w:bCs/>
                <w:color w:val="auto"/>
                <w:kern w:val="0"/>
                <w:sz w:val="20"/>
              </w:rPr>
              <w:t>单位</w:t>
            </w:r>
          </w:p>
        </w:tc>
        <w:tc>
          <w:tcPr>
            <w:tcW w:w="720" w:type="dxa"/>
            <w:noWrap w:val="0"/>
            <w:vAlign w:val="center"/>
          </w:tcPr>
          <w:p w14:paraId="09E1DD2F">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是否核心产品</w:t>
            </w:r>
          </w:p>
        </w:tc>
      </w:tr>
      <w:tr w14:paraId="1AC9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519873CA">
            <w:pPr>
              <w:jc w:val="center"/>
              <w:rPr>
                <w:rFonts w:hint="eastAsia" w:ascii="宋体" w:hAnsi="宋体" w:eastAsia="宋体" w:cs="宋体"/>
                <w:b/>
                <w:bCs/>
                <w:color w:val="auto"/>
                <w:kern w:val="0"/>
                <w:sz w:val="20"/>
              </w:rPr>
            </w:pPr>
            <w:r>
              <w:rPr>
                <w:rFonts w:hint="eastAsia" w:ascii="宋体" w:hAnsi="宋体" w:eastAsia="宋体" w:cs="宋体"/>
                <w:b/>
                <w:bCs/>
                <w:color w:val="auto"/>
                <w:kern w:val="0"/>
                <w:sz w:val="20"/>
              </w:rPr>
              <w:t>1</w:t>
            </w:r>
          </w:p>
        </w:tc>
        <w:tc>
          <w:tcPr>
            <w:tcW w:w="1135" w:type="dxa"/>
            <w:noWrap w:val="0"/>
            <w:vAlign w:val="center"/>
          </w:tcPr>
          <w:p w14:paraId="7A2E777C">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太阳能杀虫灯</w:t>
            </w:r>
          </w:p>
        </w:tc>
        <w:tc>
          <w:tcPr>
            <w:tcW w:w="6523" w:type="dxa"/>
            <w:noWrap w:val="0"/>
            <w:vAlign w:val="center"/>
          </w:tcPr>
          <w:p w14:paraId="150FE985">
            <w:pPr>
              <w:rPr>
                <w:rFonts w:hint="eastAsia" w:ascii="宋体" w:hAnsi="宋体" w:eastAsia="宋体" w:cs="宋体"/>
                <w:color w:val="auto"/>
                <w:kern w:val="0"/>
                <w:sz w:val="20"/>
              </w:rPr>
            </w:pPr>
            <w:r>
              <w:rPr>
                <w:rFonts w:hint="eastAsia" w:ascii="宋体" w:hAnsi="宋体" w:eastAsia="宋体" w:cs="宋体"/>
                <w:color w:val="auto"/>
                <w:kern w:val="0"/>
                <w:sz w:val="20"/>
                <w:lang w:eastAsia="zh-CN"/>
              </w:rPr>
              <w:t>1.</w:t>
            </w:r>
            <w:r>
              <w:rPr>
                <w:rFonts w:hint="eastAsia" w:ascii="宋体" w:hAnsi="宋体" w:eastAsia="宋体" w:cs="宋体"/>
                <w:color w:val="auto"/>
                <w:kern w:val="0"/>
                <w:sz w:val="20"/>
              </w:rPr>
              <w:t>符合GB/T24689.2-2017《植物保护机械杀虫灯》标准。</w:t>
            </w:r>
          </w:p>
          <w:p w14:paraId="0D86F974">
            <w:pPr>
              <w:rPr>
                <w:rFonts w:hint="eastAsia" w:ascii="宋体" w:hAnsi="宋体" w:eastAsia="宋体" w:cs="宋体"/>
                <w:color w:val="auto"/>
                <w:kern w:val="0"/>
                <w:sz w:val="20"/>
              </w:rPr>
            </w:pPr>
            <w:r>
              <w:rPr>
                <w:rFonts w:hint="eastAsia" w:ascii="宋体" w:hAnsi="宋体" w:eastAsia="宋体" w:cs="宋体"/>
                <w:color w:val="auto"/>
                <w:kern w:val="0"/>
                <w:sz w:val="20"/>
                <w:lang w:eastAsia="zh-CN"/>
              </w:rPr>
              <w:t>2.</w:t>
            </w:r>
            <w:r>
              <w:rPr>
                <w:rFonts w:hint="eastAsia" w:ascii="宋体" w:hAnsi="宋体" w:eastAsia="宋体" w:cs="宋体"/>
                <w:color w:val="auto"/>
                <w:kern w:val="0"/>
                <w:sz w:val="20"/>
              </w:rPr>
              <w:t>整灯功率≥15W。</w:t>
            </w:r>
          </w:p>
          <w:p w14:paraId="5607D480">
            <w:pPr>
              <w:rPr>
                <w:rFonts w:hint="eastAsia" w:ascii="宋体" w:hAnsi="宋体" w:eastAsia="宋体" w:cs="宋体"/>
                <w:color w:val="auto"/>
                <w:kern w:val="0"/>
                <w:sz w:val="20"/>
              </w:rPr>
            </w:pPr>
            <w:r>
              <w:rPr>
                <w:rFonts w:hint="eastAsia" w:ascii="宋体" w:hAnsi="宋体" w:eastAsia="宋体" w:cs="宋体"/>
                <w:color w:val="auto"/>
                <w:kern w:val="0"/>
                <w:sz w:val="20"/>
                <w:lang w:eastAsia="zh-CN"/>
              </w:rPr>
              <w:t>3.</w:t>
            </w:r>
            <w:r>
              <w:rPr>
                <w:rFonts w:hint="eastAsia" w:ascii="宋体" w:hAnsi="宋体" w:eastAsia="宋体" w:cs="宋体"/>
                <w:color w:val="auto"/>
                <w:kern w:val="0"/>
                <w:sz w:val="20"/>
              </w:rPr>
              <w:t>太阳能供电系统：40W太阳能板，12V/20AH锂电池</w:t>
            </w:r>
          </w:p>
          <w:p w14:paraId="1535939E">
            <w:pPr>
              <w:rPr>
                <w:rFonts w:hint="eastAsia" w:ascii="宋体" w:hAnsi="宋体" w:eastAsia="宋体" w:cs="宋体"/>
                <w:color w:val="auto"/>
                <w:kern w:val="0"/>
                <w:sz w:val="20"/>
              </w:rPr>
            </w:pPr>
            <w:r>
              <w:rPr>
                <w:rFonts w:hint="eastAsia" w:ascii="宋体" w:hAnsi="宋体" w:eastAsia="宋体" w:cs="宋体"/>
                <w:color w:val="auto"/>
                <w:kern w:val="0"/>
                <w:sz w:val="20"/>
                <w:lang w:eastAsia="zh-CN"/>
              </w:rPr>
              <w:t>4.</w:t>
            </w:r>
            <w:r>
              <w:rPr>
                <w:rFonts w:hint="eastAsia" w:ascii="宋体" w:hAnsi="宋体" w:eastAsia="宋体" w:cs="宋体"/>
                <w:color w:val="auto"/>
                <w:kern w:val="0"/>
                <w:sz w:val="20"/>
              </w:rPr>
              <w:t>诱集光源：波长320nm~680nm。</w:t>
            </w:r>
          </w:p>
          <w:p w14:paraId="7A8C9AC6">
            <w:pPr>
              <w:rPr>
                <w:rFonts w:hint="eastAsia" w:ascii="宋体" w:hAnsi="宋体" w:eastAsia="宋体" w:cs="宋体"/>
                <w:color w:val="auto"/>
                <w:kern w:val="0"/>
                <w:sz w:val="20"/>
                <w:lang w:eastAsia="zh-CN"/>
              </w:rPr>
            </w:pPr>
            <w:r>
              <w:rPr>
                <w:rFonts w:hint="eastAsia" w:ascii="宋体" w:hAnsi="宋体" w:eastAsia="宋体" w:cs="宋体"/>
                <w:color w:val="auto"/>
                <w:kern w:val="0"/>
                <w:sz w:val="20"/>
                <w:lang w:eastAsia="zh-CN"/>
              </w:rPr>
              <w:t>5.</w:t>
            </w:r>
            <w:r>
              <w:rPr>
                <w:rFonts w:hint="eastAsia" w:ascii="宋体" w:hAnsi="宋体" w:eastAsia="宋体" w:cs="宋体"/>
                <w:color w:val="auto"/>
                <w:kern w:val="0"/>
                <w:sz w:val="20"/>
              </w:rPr>
              <w:t>高压触杀电网：采用不锈钢竖网连接，竖丝直径2.0mm</w:t>
            </w:r>
            <w:r>
              <w:rPr>
                <w:rFonts w:hint="eastAsia" w:ascii="宋体" w:hAnsi="宋体" w:eastAsia="宋体" w:cs="宋体"/>
                <w:color w:val="auto"/>
                <w:kern w:val="0"/>
                <w:sz w:val="20"/>
                <w:lang w:eastAsia="zh-CN"/>
              </w:rPr>
              <w:t>，</w:t>
            </w:r>
            <w:r>
              <w:rPr>
                <w:rFonts w:hint="eastAsia" w:ascii="宋体" w:hAnsi="宋体" w:eastAsia="宋体" w:cs="宋体"/>
                <w:color w:val="auto"/>
                <w:kern w:val="0"/>
                <w:sz w:val="20"/>
              </w:rPr>
              <w:t>网丝间距10mm。</w:t>
            </w:r>
          </w:p>
          <w:p w14:paraId="5ED29C24">
            <w:pPr>
              <w:rPr>
                <w:rFonts w:hint="eastAsia" w:ascii="宋体" w:hAnsi="宋体" w:eastAsia="宋体" w:cs="宋体"/>
                <w:color w:val="auto"/>
                <w:kern w:val="0"/>
                <w:sz w:val="20"/>
                <w:lang w:eastAsia="zh-CN"/>
              </w:rPr>
            </w:pPr>
            <w:r>
              <w:rPr>
                <w:rFonts w:hint="eastAsia" w:ascii="宋体" w:hAnsi="宋体" w:eastAsia="宋体" w:cs="宋体"/>
                <w:color w:val="auto"/>
                <w:kern w:val="0"/>
                <w:sz w:val="20"/>
                <w:lang w:eastAsia="zh-CN"/>
              </w:rPr>
              <w:t>6.</w:t>
            </w:r>
            <w:r>
              <w:rPr>
                <w:rFonts w:hint="eastAsia" w:ascii="宋体" w:hAnsi="宋体" w:eastAsia="宋体" w:cs="宋体"/>
                <w:color w:val="auto"/>
                <w:kern w:val="0"/>
                <w:sz w:val="20"/>
              </w:rPr>
              <w:t>电网电压：4700V±5%，设有电网过流短路保护装置，防止因虫体残余电网短路。正常工作时不得产生电弧。</w:t>
            </w:r>
          </w:p>
          <w:p w14:paraId="48D09F94">
            <w:pPr>
              <w:rPr>
                <w:rFonts w:hint="eastAsia" w:ascii="宋体" w:hAnsi="宋体" w:eastAsia="宋体" w:cs="宋体"/>
                <w:color w:val="auto"/>
                <w:kern w:val="0"/>
                <w:sz w:val="20"/>
              </w:rPr>
            </w:pPr>
            <w:r>
              <w:rPr>
                <w:rFonts w:hint="eastAsia" w:ascii="宋体" w:hAnsi="宋体" w:eastAsia="宋体" w:cs="宋体"/>
                <w:color w:val="auto"/>
                <w:kern w:val="0"/>
                <w:sz w:val="20"/>
                <w:lang w:eastAsia="zh-CN"/>
              </w:rPr>
              <w:t>7.</w:t>
            </w:r>
            <w:r>
              <w:rPr>
                <w:rFonts w:hint="eastAsia" w:ascii="宋体" w:hAnsi="宋体" w:eastAsia="宋体" w:cs="宋体"/>
                <w:color w:val="auto"/>
                <w:kern w:val="0"/>
                <w:sz w:val="20"/>
              </w:rPr>
              <w:t>灯杆：高度3m不锈钢材质。</w:t>
            </w:r>
          </w:p>
          <w:p w14:paraId="51DB66C4">
            <w:pPr>
              <w:rPr>
                <w:rFonts w:hint="eastAsia" w:ascii="宋体" w:hAnsi="宋体" w:eastAsia="宋体" w:cs="宋体"/>
                <w:color w:val="auto"/>
                <w:kern w:val="0"/>
                <w:sz w:val="20"/>
              </w:rPr>
            </w:pPr>
            <w:r>
              <w:rPr>
                <w:rFonts w:hint="eastAsia" w:ascii="宋体" w:hAnsi="宋体" w:eastAsia="宋体" w:cs="宋体"/>
                <w:color w:val="auto"/>
                <w:kern w:val="0"/>
                <w:sz w:val="20"/>
                <w:lang w:eastAsia="zh-CN"/>
              </w:rPr>
              <w:t>8.</w:t>
            </w:r>
            <w:r>
              <w:rPr>
                <w:rFonts w:hint="eastAsia" w:ascii="宋体" w:hAnsi="宋体" w:eastAsia="宋体" w:cs="宋体"/>
                <w:color w:val="auto"/>
                <w:kern w:val="0"/>
                <w:sz w:val="20"/>
              </w:rPr>
              <w:t>光控功能：可根据昼夜自动开关灯。</w:t>
            </w:r>
          </w:p>
          <w:p w14:paraId="05B68886">
            <w:pPr>
              <w:rPr>
                <w:rFonts w:hint="eastAsia" w:ascii="宋体" w:hAnsi="宋体" w:eastAsia="宋体" w:cs="宋体"/>
                <w:color w:val="auto"/>
                <w:kern w:val="0"/>
                <w:sz w:val="20"/>
                <w:lang w:eastAsia="zh-CN"/>
              </w:rPr>
            </w:pPr>
            <w:r>
              <w:rPr>
                <w:rFonts w:hint="eastAsia" w:ascii="宋体" w:hAnsi="宋体" w:eastAsia="宋体" w:cs="宋体"/>
                <w:color w:val="auto"/>
                <w:kern w:val="0"/>
                <w:sz w:val="20"/>
                <w:lang w:eastAsia="zh-CN"/>
              </w:rPr>
              <w:t>9.</w:t>
            </w:r>
            <w:r>
              <w:rPr>
                <w:rFonts w:hint="eastAsia" w:ascii="宋体" w:hAnsi="宋体" w:eastAsia="宋体" w:cs="宋体"/>
                <w:color w:val="auto"/>
                <w:kern w:val="0"/>
                <w:sz w:val="20"/>
              </w:rPr>
              <w:t>雨控功能：杀虫灯在雨天应能自动进入保护状态，雨停后可自动恢复工作。</w:t>
            </w:r>
          </w:p>
          <w:p w14:paraId="77AB3561">
            <w:pPr>
              <w:rPr>
                <w:rFonts w:hint="eastAsia" w:ascii="宋体" w:hAnsi="宋体" w:eastAsia="宋体" w:cs="宋体"/>
                <w:color w:val="auto"/>
                <w:kern w:val="0"/>
                <w:sz w:val="20"/>
                <w:lang w:eastAsia="zh-CN"/>
              </w:rPr>
            </w:pPr>
            <w:r>
              <w:rPr>
                <w:rFonts w:hint="eastAsia" w:ascii="宋体" w:hAnsi="宋体" w:eastAsia="宋体" w:cs="宋体"/>
                <w:color w:val="auto"/>
                <w:kern w:val="0"/>
                <w:sz w:val="20"/>
                <w:lang w:eastAsia="zh-CN"/>
              </w:rPr>
              <w:t>10.</w:t>
            </w:r>
            <w:r>
              <w:rPr>
                <w:rFonts w:hint="eastAsia" w:ascii="宋体" w:hAnsi="宋体" w:eastAsia="宋体" w:cs="宋体"/>
                <w:color w:val="auto"/>
                <w:kern w:val="0"/>
                <w:sz w:val="20"/>
              </w:rPr>
              <w:t>保护开关：可强制关闭杀虫灯。</w:t>
            </w:r>
          </w:p>
        </w:tc>
        <w:tc>
          <w:tcPr>
            <w:tcW w:w="754" w:type="dxa"/>
            <w:noWrap w:val="0"/>
            <w:vAlign w:val="center"/>
          </w:tcPr>
          <w:p w14:paraId="1AAB6327">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35</w:t>
            </w:r>
          </w:p>
        </w:tc>
        <w:tc>
          <w:tcPr>
            <w:tcW w:w="375" w:type="dxa"/>
            <w:noWrap w:val="0"/>
            <w:vAlign w:val="center"/>
          </w:tcPr>
          <w:p w14:paraId="480F0B3C">
            <w:pPr>
              <w:rPr>
                <w:rFonts w:hint="eastAsia" w:ascii="宋体" w:hAnsi="宋体" w:eastAsia="宋体" w:cs="宋体"/>
                <w:color w:val="auto"/>
                <w:kern w:val="0"/>
                <w:sz w:val="20"/>
              </w:rPr>
            </w:pPr>
            <w:r>
              <w:rPr>
                <w:rFonts w:hint="eastAsia" w:ascii="宋体" w:hAnsi="宋体" w:eastAsia="宋体" w:cs="宋体"/>
                <w:color w:val="auto"/>
                <w:kern w:val="0"/>
                <w:sz w:val="20"/>
              </w:rPr>
              <w:t>台</w:t>
            </w:r>
          </w:p>
        </w:tc>
        <w:tc>
          <w:tcPr>
            <w:tcW w:w="720" w:type="dxa"/>
            <w:noWrap w:val="0"/>
            <w:vAlign w:val="center"/>
          </w:tcPr>
          <w:p w14:paraId="3DFFD69A">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否</w:t>
            </w:r>
          </w:p>
        </w:tc>
      </w:tr>
      <w:tr w14:paraId="7762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2" w:type="dxa"/>
            <w:noWrap w:val="0"/>
            <w:vAlign w:val="center"/>
          </w:tcPr>
          <w:p w14:paraId="1CDACAB7">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2</w:t>
            </w:r>
          </w:p>
        </w:tc>
        <w:tc>
          <w:tcPr>
            <w:tcW w:w="1135" w:type="dxa"/>
            <w:noWrap w:val="0"/>
            <w:vAlign w:val="center"/>
          </w:tcPr>
          <w:p w14:paraId="59FEE9BD">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植保无人机</w:t>
            </w:r>
          </w:p>
        </w:tc>
        <w:tc>
          <w:tcPr>
            <w:tcW w:w="6523" w:type="dxa"/>
            <w:noWrap w:val="0"/>
            <w:vAlign w:val="center"/>
          </w:tcPr>
          <w:p w14:paraId="63BC0853">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1.设备为</w:t>
            </w:r>
            <w:r>
              <w:rPr>
                <w:rFonts w:hint="eastAsia" w:ascii="宋体" w:hAnsi="宋体" w:eastAsia="宋体" w:cs="宋体"/>
                <w:color w:val="auto"/>
                <w:kern w:val="0"/>
                <w:sz w:val="20"/>
                <w:lang w:val="en-US" w:eastAsia="zh-CN"/>
              </w:rPr>
              <w:t>多旋翼智能农业植保无人机。</w:t>
            </w:r>
          </w:p>
          <w:p w14:paraId="2DCFF441">
            <w:pPr>
              <w:numPr>
                <w:ilvl w:val="0"/>
                <w:numId w:val="0"/>
              </w:numPr>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2.药液箱额定容积≥50L，最大有效喷洒载重≥50kg。</w:t>
            </w:r>
          </w:p>
          <w:p w14:paraId="297FDB0E">
            <w:pPr>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3.内置高精度RTK差分定位模块，支持GNSS多卫星系统定位，精准悬停作业，搭载多传感器融合智能感知避障系统、支持免航测快速地块测绘、圈测一体作业模式，具备智能仿地飞行功能、支持实时影像回传、作业可视化监控，飞行状态、作业参数、剩余药量电量实时可视化展示</w:t>
            </w:r>
          </w:p>
          <w:p w14:paraId="6961BD87">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备智能断药停喷、流量自适应功能，转弯、返航、悬停状态自动启停喷药，具备低电量智能返航、失联自动返航、过载保护、低压保护、地理围栏防护等功能。</w:t>
            </w:r>
          </w:p>
          <w:p w14:paraId="72AFCB9F">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4．设备须搭载毫米波雷达</w:t>
            </w:r>
            <w:r>
              <w:rPr>
                <w:rFonts w:hint="eastAsia" w:ascii="宋体" w:hAnsi="宋体" w:eastAsia="宋体" w:cs="宋体"/>
                <w:color w:val="auto"/>
                <w:kern w:val="0"/>
                <w:sz w:val="20"/>
                <w:lang w:val="en-US" w:eastAsia="zh-CN"/>
              </w:rPr>
              <w:t>、</w:t>
            </w:r>
            <w:r>
              <w:rPr>
                <w:rFonts w:hint="eastAsia" w:ascii="宋体" w:hAnsi="宋体" w:eastAsia="宋体" w:cs="宋体"/>
                <w:color w:val="auto"/>
                <w:kern w:val="0"/>
                <w:sz w:val="20"/>
                <w:lang w:val="en-US" w:eastAsia="zh-CN"/>
              </w:rPr>
              <w:t>256线激光雷达</w:t>
            </w:r>
            <w:r>
              <w:rPr>
                <w:rFonts w:hint="eastAsia" w:ascii="宋体" w:hAnsi="宋体" w:eastAsia="宋体" w:cs="宋体"/>
                <w:color w:val="auto"/>
                <w:kern w:val="0"/>
                <w:sz w:val="20"/>
                <w:lang w:val="en-US" w:eastAsia="zh-CN"/>
              </w:rPr>
              <w:t>、</w:t>
            </w:r>
            <w:r>
              <w:rPr>
                <w:rFonts w:hint="eastAsia" w:ascii="宋体" w:hAnsi="宋体" w:eastAsia="宋体" w:cs="宋体"/>
                <w:color w:val="auto"/>
                <w:kern w:val="0"/>
                <w:sz w:val="20"/>
                <w:lang w:val="en-US" w:eastAsia="zh-CN"/>
              </w:rPr>
              <w:t>顶部三颗摄像头+ FPV低光全彩相机</w:t>
            </w:r>
            <w:r>
              <w:rPr>
                <w:rFonts w:hint="eastAsia" w:ascii="宋体" w:hAnsi="宋体" w:eastAsia="宋体" w:cs="宋体"/>
                <w:color w:val="auto"/>
                <w:kern w:val="0"/>
                <w:sz w:val="20"/>
                <w:lang w:val="en-US" w:eastAsia="zh-CN"/>
              </w:rPr>
              <w:t>，</w:t>
            </w:r>
            <w:r>
              <w:rPr>
                <w:rFonts w:hint="eastAsia" w:ascii="宋体" w:hAnsi="宋体" w:eastAsia="宋体" w:cs="宋体"/>
                <w:color w:val="auto"/>
                <w:kern w:val="0"/>
                <w:sz w:val="20"/>
                <w:lang w:val="en-US" w:eastAsia="zh-CN"/>
              </w:rPr>
              <w:t>可辅助查看前、后、左、右、下方飞行画面，同时各辅助视角也支持行人检测等AR功能</w:t>
            </w:r>
            <w:r>
              <w:rPr>
                <w:rFonts w:hint="eastAsia" w:ascii="宋体" w:hAnsi="宋体" w:eastAsia="宋体" w:cs="宋体"/>
                <w:color w:val="auto"/>
                <w:kern w:val="0"/>
                <w:sz w:val="20"/>
                <w:lang w:val="en-US" w:eastAsia="zh-CN"/>
              </w:rPr>
              <w:t>。</w:t>
            </w:r>
            <w:r>
              <w:rPr>
                <w:rFonts w:hint="eastAsia" w:ascii="宋体" w:hAnsi="宋体" w:eastAsia="宋体" w:cs="宋体"/>
                <w:color w:val="auto"/>
                <w:kern w:val="0"/>
                <w:sz w:val="20"/>
                <w:lang w:val="en-US" w:eastAsia="zh-CN"/>
              </w:rPr>
              <w:t>多传感器融合感知系统，多传感器协同探测，可识别电线、细树枝等细小障碍物，支持智能绕行、免航测仿地飞行、AR辅助影像、圈测一体功能，可有效保障</w:t>
            </w:r>
            <w:r>
              <w:rPr>
                <w:rFonts w:hint="eastAsia" w:ascii="宋体" w:hAnsi="宋体" w:eastAsia="宋体" w:cs="宋体"/>
                <w:color w:val="auto"/>
                <w:kern w:val="0"/>
                <w:sz w:val="20"/>
                <w:lang w:val="en-US" w:eastAsia="zh-CN"/>
              </w:rPr>
              <w:t>中药材种植</w:t>
            </w:r>
            <w:r>
              <w:rPr>
                <w:rFonts w:hint="eastAsia" w:ascii="宋体" w:hAnsi="宋体" w:eastAsia="宋体" w:cs="宋体"/>
                <w:color w:val="auto"/>
                <w:kern w:val="0"/>
                <w:sz w:val="20"/>
                <w:lang w:val="en-US" w:eastAsia="zh-CN"/>
              </w:rPr>
              <w:t>等复杂农田作业安全。</w:t>
            </w:r>
          </w:p>
        </w:tc>
        <w:tc>
          <w:tcPr>
            <w:tcW w:w="754" w:type="dxa"/>
            <w:noWrap w:val="0"/>
            <w:vAlign w:val="center"/>
          </w:tcPr>
          <w:p w14:paraId="2C46E95A">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w:t>
            </w:r>
          </w:p>
        </w:tc>
        <w:tc>
          <w:tcPr>
            <w:tcW w:w="375" w:type="dxa"/>
            <w:noWrap w:val="0"/>
            <w:vAlign w:val="center"/>
          </w:tcPr>
          <w:p w14:paraId="0B489600">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台</w:t>
            </w:r>
          </w:p>
        </w:tc>
        <w:tc>
          <w:tcPr>
            <w:tcW w:w="720" w:type="dxa"/>
            <w:noWrap w:val="0"/>
            <w:vAlign w:val="center"/>
          </w:tcPr>
          <w:p w14:paraId="6ED848FA">
            <w:pPr>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否</w:t>
            </w:r>
          </w:p>
        </w:tc>
      </w:tr>
      <w:tr w14:paraId="6545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2" w:type="dxa"/>
            <w:noWrap w:val="0"/>
            <w:vAlign w:val="center"/>
          </w:tcPr>
          <w:p w14:paraId="445F020A">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3</w:t>
            </w:r>
          </w:p>
        </w:tc>
        <w:tc>
          <w:tcPr>
            <w:tcW w:w="1135" w:type="dxa"/>
            <w:noWrap w:val="0"/>
            <w:vAlign w:val="center"/>
          </w:tcPr>
          <w:p w14:paraId="0BD9CF4F">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多光谱无人机</w:t>
            </w:r>
          </w:p>
        </w:tc>
        <w:tc>
          <w:tcPr>
            <w:tcW w:w="6523" w:type="dxa"/>
            <w:noWrap w:val="0"/>
            <w:vAlign w:val="center"/>
          </w:tcPr>
          <w:p w14:paraId="64F2A13C">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1.设备为便携式多旋翼航测无人机，一体化集成可见光+多光谱成像系统，机身轻量化可折叠设计，便于野外携带转运。</w:t>
            </w:r>
          </w:p>
          <w:p w14:paraId="2CC0FAB2">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2.具有多光谱相机：单通道有效像素≥500万，包含绿光、红光、红边、近红外四个专用光谱波段。</w:t>
            </w:r>
          </w:p>
          <w:p w14:paraId="01DD9CC4">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配置高精度RTK差分定位模块，支持多星GNSS定位，飞行、定位、相机数据同步精准。搭载机臂集成式机载光强传感器，实时采集太阳入射辐照度并写入影像元数据；配套软件自动开展光照补偿，消除云层、时段、太阳高度角变化引起的 NDVI偏差，支持多期遥感数据横向对比。</w:t>
            </w:r>
          </w:p>
          <w:p w14:paraId="3A35B56F">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4.最大续航时间≥40分钟，无风匀速飞行工况下可实现长时航测作业。</w:t>
            </w:r>
          </w:p>
          <w:p w14:paraId="5FAC6FA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搭载全向智能感知避障系统。</w:t>
            </w:r>
          </w:p>
          <w:p w14:paraId="08902C7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5.图传传输距离≥8km（无遮挡无干扰环境），支持高清实时画面回传，飞行状态、作业参数实时可视化监控，信号传输稳定不卡顿、不断连。</w:t>
            </w:r>
          </w:p>
          <w:p w14:paraId="4DBBD727">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6.具备优良环境适应性，支持多场景户外作业，抗风等级≥5级，机身具备防尘、防潮防护能力。</w:t>
            </w:r>
          </w:p>
          <w:p w14:paraId="3EF690C2">
            <w:pPr>
              <w:rPr>
                <w:rFonts w:hint="eastAsia" w:ascii="宋体" w:hAnsi="宋体" w:eastAsia="宋体" w:cs="宋体"/>
                <w:color w:val="auto"/>
              </w:rPr>
            </w:pPr>
            <w:r>
              <w:rPr>
                <w:rFonts w:hint="eastAsia" w:ascii="宋体" w:hAnsi="宋体" w:eastAsia="宋体" w:cs="宋体"/>
                <w:color w:val="auto"/>
                <w:kern w:val="0"/>
                <w:sz w:val="20"/>
                <w:lang w:val="en-US" w:eastAsia="zh-CN"/>
              </w:rPr>
              <w:t>7.飞控系统支持智能航线规划、正射航拍、带状航测、断点续拍、自动返航、低电量预警返航、失联保护、地理围栏等多重安全功能，适配全自动标准化航测作业。</w:t>
            </w:r>
          </w:p>
        </w:tc>
        <w:tc>
          <w:tcPr>
            <w:tcW w:w="754" w:type="dxa"/>
            <w:noWrap w:val="0"/>
            <w:vAlign w:val="center"/>
          </w:tcPr>
          <w:p w14:paraId="16F04C5F">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w:t>
            </w:r>
          </w:p>
        </w:tc>
        <w:tc>
          <w:tcPr>
            <w:tcW w:w="375" w:type="dxa"/>
            <w:noWrap w:val="0"/>
            <w:vAlign w:val="center"/>
          </w:tcPr>
          <w:p w14:paraId="11408D36">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台</w:t>
            </w:r>
          </w:p>
        </w:tc>
        <w:tc>
          <w:tcPr>
            <w:tcW w:w="720" w:type="dxa"/>
            <w:noWrap w:val="0"/>
            <w:vAlign w:val="center"/>
          </w:tcPr>
          <w:p w14:paraId="1EAC4DA1">
            <w:pPr>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否</w:t>
            </w:r>
          </w:p>
        </w:tc>
      </w:tr>
      <w:tr w14:paraId="08EA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2" w:type="dxa"/>
            <w:noWrap w:val="0"/>
            <w:vAlign w:val="center"/>
          </w:tcPr>
          <w:p w14:paraId="104D0B65">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4</w:t>
            </w:r>
          </w:p>
        </w:tc>
        <w:tc>
          <w:tcPr>
            <w:tcW w:w="1135" w:type="dxa"/>
            <w:noWrap w:val="0"/>
            <w:vAlign w:val="center"/>
          </w:tcPr>
          <w:p w14:paraId="2D179DE3">
            <w:pPr>
              <w:jc w:val="both"/>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中药5G系统及设备</w:t>
            </w:r>
          </w:p>
        </w:tc>
        <w:tc>
          <w:tcPr>
            <w:tcW w:w="6523" w:type="dxa"/>
            <w:noWrap w:val="0"/>
            <w:vAlign w:val="center"/>
          </w:tcPr>
          <w:p w14:paraId="76FBD77F">
            <w:pPr>
              <w:numPr>
                <w:ilvl w:val="0"/>
                <w:numId w:val="3"/>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中医互动平台</w:t>
            </w:r>
          </w:p>
          <w:p w14:paraId="40447F4B">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显示设备硬件配置：屏幕尺寸55英寸，16:9高清显示屏幕，屏幕物理分辨率≥1920×1080；触摸分辨率≥4096×4096，触控响应速度≤138Hz，首点点击响应时间≤25ms，连续书写响应时间≤5ms，支持手指、教鞭、戴手套手部、不透明感应介质多种触控方式。高清渲染、三维建模、动态画面处理能力优异，满足高精度中药模型展示渲染需求。</w:t>
            </w:r>
          </w:p>
          <w:p w14:paraId="57EAE3EC">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核心软件功能要求：</w:t>
            </w:r>
          </w:p>
          <w:p w14:paraId="322452E1">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搭载专业中药材三维交互科普软件，支持中药材720°全方位三维模型自由交互操作，可实现画面任意角度旋转、平移、缩放，支持触摸、鼠标双操作模式，可随时定格画面，清晰展示中药材表面纹理、环纹、芦碗、皮孔、断面、裂隙等药典核心鉴别特征，完全贴合中药材教学鉴别标准。</w:t>
            </w:r>
          </w:p>
          <w:p w14:paraId="34CAABA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标本资源库配置：软件内置完整中药材分类资源库，全面覆盖根及根茎类、皮类、花类、叶类、果实种子类、全草类、动物类、矿物类八大中药材品类，</w:t>
            </w:r>
            <w:r>
              <w:rPr>
                <w:rFonts w:hint="eastAsia" w:ascii="宋体" w:hAnsi="宋体" w:eastAsia="宋体" w:cs="宋体"/>
                <w:color w:val="auto"/>
                <w:kern w:val="0"/>
                <w:sz w:val="20"/>
                <w:lang w:val="en-US" w:eastAsia="zh-CN"/>
              </w:rPr>
              <w:t>每个品类均包含原植物形态、生鲜药材形态、成品饮片形态、炮制后形态多维度数字模型</w:t>
            </w:r>
            <w:r>
              <w:rPr>
                <w:rFonts w:hint="eastAsia" w:ascii="宋体" w:hAnsi="宋体" w:eastAsia="宋体" w:cs="宋体"/>
                <w:color w:val="auto"/>
                <w:kern w:val="0"/>
                <w:sz w:val="20"/>
                <w:lang w:val="en-US" w:eastAsia="zh-CN"/>
              </w:rPr>
              <w:t>，完整展示中药材生长、加工形态变化。</w:t>
            </w:r>
          </w:p>
          <w:p w14:paraId="4B39C346">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数字模型资源配置：软件内置不少于100余种常见常用中药材高精度数字模型，模型还原度高、细节清晰，可满足日常中医药科普展示、教学实训、药材鉴别学习使用需求。</w:t>
            </w:r>
          </w:p>
          <w:p w14:paraId="0E4EB5F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（二）药食同源互动平台</w:t>
            </w:r>
          </w:p>
          <w:p w14:paraId="6F894FE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显示设备硬件配置：屏幕尺寸55英寸，16:9高清显示屏幕，屏幕物理分辨率≥1920×1080；触摸分辨率≥4096×4096，触控响应速度≤138Hz，首点点击响应时间≤25ms，连续书写响应时间≤5ms，支持手指、教鞭、戴手套手部、不透明感应介质多种触控方式。高清渲染、三维建模、动态画面处理能力优异，满足高精度中药模型展示渲染需求。</w:t>
            </w:r>
          </w:p>
          <w:p w14:paraId="0B9D280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软硬件配套配置：标配全套专用感应传感器、智能控制器及药食同源专属互动科普软件，软硬件深度适配、联动运行。依托传感器与控制器的数据采集、信号传输功能，结合互动软件实现药食同源食材、药材的科普展示、知识查询、互动学习、智能演示等全套功能，实现硬件感应触发、软件动态展示的一体化交互效果，满足药食同源中医药文化科普展示需求。</w:t>
            </w:r>
          </w:p>
          <w:p w14:paraId="220B73DF">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（三）二十四节气互动平台</w:t>
            </w:r>
          </w:p>
          <w:p w14:paraId="58A1CABC">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显示设备硬件配置：屏幕尺寸55英寸，16:9高清显示屏幕，屏幕物理分辨率≥1920×1080；触摸分辨率≥4096×4096，触控响应速度≤138Hz，首点点击响应时间≤25ms，连续书写响应时间≤5ms，支持手指、教鞭、戴手套手部、不透明感应介质多种触控方式。高清渲染、三维建模、动态画面处理能力优异，满足高精度中药模型展示渲染需求。</w:t>
            </w:r>
          </w:p>
          <w:p w14:paraId="36C698A0">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核心软件展示功能：搭载二十四节气中医药文化专属互动软件，支持多模式展示布局。</w:t>
            </w:r>
          </w:p>
          <w:p w14:paraId="14FB6F4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支持触摸点选、左右滑动切换节气内容，操作简单便捷，适配大众科普体验。</w:t>
            </w:r>
          </w:p>
          <w:p w14:paraId="669C5214">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软件内置完整二十四节气时序体系，精准对应公历、农历日期，可完整展示每个节气的官方释义、自然物候特点、气候变化特征、传统民俗文化等基础科普内容。</w:t>
            </w:r>
          </w:p>
          <w:p w14:paraId="40BC5B2A">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中医药养生关联功能：软件深度结合中医药文化，针对每一个节气匹配专属中医药养生知识。</w:t>
            </w:r>
          </w:p>
          <w:p w14:paraId="549A5BF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动态场景特效功能：软件搭载沉浸式季节动态特效系统，可根据对应节气自动切换春夏秋冬四季背景画面。</w:t>
            </w:r>
          </w:p>
          <w:p w14:paraId="51B24859">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系统运行特性：软件运行流畅稳定，触控交互无延迟、无卡顿，动态特效加载快速，支持长时间连续开机展示，适配展馆、科普室常态化展示使用。</w:t>
            </w:r>
          </w:p>
          <w:p w14:paraId="19267DB5">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（四）中药互动采摘平台</w:t>
            </w:r>
          </w:p>
          <w:p w14:paraId="24198DD2">
            <w:pPr>
              <w:rPr>
                <w:rFonts w:hint="eastAsia" w:ascii="宋体" w:hAnsi="宋体" w:eastAsia="宋体" w:cs="宋体"/>
                <w:color w:val="auto"/>
                <w:lang w:val="en-US" w:eastAsia="zh-CN"/>
              </w:rPr>
            </w:pPr>
            <w:r>
              <w:rPr>
                <w:rFonts w:hint="eastAsia" w:ascii="宋体" w:hAnsi="宋体" w:eastAsia="宋体" w:cs="宋体"/>
                <w:color w:val="auto"/>
                <w:kern w:val="0"/>
                <w:sz w:val="20"/>
                <w:lang w:val="en-US" w:eastAsia="zh-CN"/>
              </w:rPr>
              <w:t>显示设备硬件配置：屏幕尺寸55英寸，16:9高清显示屏幕，屏幕物理分辨率≥1920×1080；触摸分辨率≥4096×4096，触控响应速度≤138Hz，首点点击响应时间≤25ms，连续书写响应时间≤5ms，支持手指、教鞭、戴手套手部、不透明感应介质多种触控方式。3D建模、虚拟场景渲染、VR沉浸式画面处理能力，完全满足中药材虚拟采摘场景运行需求。</w:t>
            </w:r>
          </w:p>
          <w:p w14:paraId="43ABA0BA">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VR设备配置：标配全套专业VR体验设备，与平台软件、工控主机深度适配、无缝兼容，可实现中药材虚拟场景沉浸式体验，画面清晰、定位精准、无眩晕延迟，满足中药虚拟采摘、场景漫游、药材认知实训使用需求。</w:t>
            </w:r>
          </w:p>
          <w:p w14:paraId="41FCE192">
            <w:pPr>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专属采摘互动软件功能：内置高精度中药材生长虚拟场景，还原50种以上中药材野外生长形态、成熟特征。支持用户沉浸式触控、VR互动采摘操作，模拟真实中药材采摘流程，可直观学习中药材采摘时机、采摘方法、药材形态辨识等专业知识，可直观学习中药材的性味归经、药用价值等专业知识。</w:t>
            </w:r>
          </w:p>
        </w:tc>
        <w:tc>
          <w:tcPr>
            <w:tcW w:w="754" w:type="dxa"/>
            <w:noWrap w:val="0"/>
            <w:vAlign w:val="center"/>
          </w:tcPr>
          <w:p w14:paraId="5F6182EF">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w:t>
            </w:r>
          </w:p>
        </w:tc>
        <w:tc>
          <w:tcPr>
            <w:tcW w:w="375" w:type="dxa"/>
            <w:noWrap w:val="0"/>
            <w:vAlign w:val="center"/>
          </w:tcPr>
          <w:p w14:paraId="0C47F5AA">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套</w:t>
            </w:r>
          </w:p>
        </w:tc>
        <w:tc>
          <w:tcPr>
            <w:tcW w:w="720" w:type="dxa"/>
            <w:noWrap w:val="0"/>
            <w:vAlign w:val="center"/>
          </w:tcPr>
          <w:p w14:paraId="428620C1">
            <w:pPr>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否</w:t>
            </w:r>
          </w:p>
        </w:tc>
      </w:tr>
      <w:tr w14:paraId="0D1D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2" w:type="dxa"/>
            <w:noWrap w:val="0"/>
            <w:vAlign w:val="center"/>
          </w:tcPr>
          <w:p w14:paraId="40138CF4">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5</w:t>
            </w:r>
          </w:p>
        </w:tc>
        <w:tc>
          <w:tcPr>
            <w:tcW w:w="1135" w:type="dxa"/>
            <w:noWrap w:val="0"/>
            <w:vAlign w:val="center"/>
          </w:tcPr>
          <w:p w14:paraId="74AC88D7">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zh-CN" w:eastAsia="zh-CN"/>
              </w:rPr>
              <w:t>中药材育苗前处理设备清单</w:t>
            </w:r>
          </w:p>
        </w:tc>
        <w:tc>
          <w:tcPr>
            <w:tcW w:w="6523" w:type="dxa"/>
            <w:noWrap w:val="0"/>
            <w:vAlign w:val="center"/>
          </w:tcPr>
          <w:p w14:paraId="6557C0D2">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1.整套生产线包含：基质给料仓、珍珠岩给料仓、皮带输送机、提升输送机、基质专用混合机、基质自动包装机、电控变频控制系统；</w:t>
            </w:r>
          </w:p>
          <w:p w14:paraId="25E3D552">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2.整套配置变频控制系统，可实现各设备转速可调，具备过载保护、故障报警功能。</w:t>
            </w:r>
          </w:p>
          <w:p w14:paraId="12806D69">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3.基质专用给料仓（3台）</w:t>
            </w:r>
          </w:p>
          <w:p w14:paraId="6AF2B299">
            <w:pPr>
              <w:numPr>
                <w:ilvl w:val="0"/>
                <w:numId w:val="4"/>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总功率≥3.3kW；</w:t>
            </w:r>
          </w:p>
          <w:p w14:paraId="0AF0828E">
            <w:pPr>
              <w:numPr>
                <w:ilvl w:val="0"/>
                <w:numId w:val="4"/>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仓口内尺寸≥3000mm×1500mm；整机外形尺寸≥3.9m×1.9m×2.7m；</w:t>
            </w:r>
          </w:p>
          <w:p w14:paraId="5E62ACD6">
            <w:pPr>
              <w:numPr>
                <w:ilvl w:val="0"/>
                <w:numId w:val="4"/>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框架采用≥100×100×3mm方钢，仓板厚度≥4mm，设置仓体、框架防变形筋板；</w:t>
            </w:r>
          </w:p>
          <w:p w14:paraId="17E27A60">
            <w:pPr>
              <w:numPr>
                <w:ilvl w:val="0"/>
                <w:numId w:val="4"/>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配置拨料机构，拨料轴≥Φ76×6mm，拨料电机≥1.1kW，配置专用减速机；</w:t>
            </w:r>
          </w:p>
          <w:p w14:paraId="15DAC6AA">
            <w:pPr>
              <w:numPr>
                <w:ilvl w:val="0"/>
                <w:numId w:val="4"/>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配置击震防堵料电机≥0.37kW，振动频率2850次/min，解决物料起拱鼠洞问题；</w:t>
            </w:r>
          </w:p>
          <w:p w14:paraId="4A03616B">
            <w:pPr>
              <w:numPr>
                <w:ilvl w:val="0"/>
                <w:numId w:val="4"/>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输出皮带宽度≥650mm，皮带厚度9—10mm，变频调速，挡板控制料层厚度；</w:t>
            </w:r>
          </w:p>
          <w:p w14:paraId="13467D13">
            <w:pPr>
              <w:numPr>
                <w:ilvl w:val="0"/>
                <w:numId w:val="4"/>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配备UCP系列标准轴承，配置检修爬梯；整机重量≥1.1吨。</w:t>
            </w:r>
          </w:p>
          <w:p w14:paraId="6A93B118">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w:t>
            </w:r>
            <w:r>
              <w:rPr>
                <w:rFonts w:hint="eastAsia" w:ascii="宋体" w:hAnsi="宋体" w:eastAsia="宋体" w:cs="宋体"/>
                <w:color w:val="auto"/>
                <w:kern w:val="0"/>
                <w:sz w:val="20"/>
                <w:lang w:val="en-US" w:eastAsia="zh-CN"/>
              </w:rPr>
              <w:t>珍珠岩震动给料仓（1台）</w:t>
            </w:r>
          </w:p>
          <w:p w14:paraId="506FDDA8">
            <w:pPr>
              <w:numPr>
                <w:ilvl w:val="0"/>
                <w:numId w:val="5"/>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配置震动给料功能，电机功率≥0.37kW；</w:t>
            </w:r>
          </w:p>
          <w:p w14:paraId="79D5653E">
            <w:pPr>
              <w:numPr>
                <w:ilvl w:val="0"/>
                <w:numId w:val="5"/>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仓体钢板≥4mm，框架国标方钢，具备防拱震动破拱机构，出料均匀稳定；</w:t>
            </w:r>
          </w:p>
          <w:p w14:paraId="7E6956EA">
            <w:pPr>
              <w:numPr>
                <w:ilvl w:val="0"/>
                <w:numId w:val="5"/>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出料皮带宽度适配物料，变频调速，适配轻质珍珠岩物料给料。</w:t>
            </w:r>
          </w:p>
          <w:p w14:paraId="24B4BC3F">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5.皮带折弯输送机（1台）</w:t>
            </w:r>
          </w:p>
          <w:p w14:paraId="13047EDB">
            <w:pPr>
              <w:numPr>
                <w:ilvl w:val="0"/>
                <w:numId w:val="6"/>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皮带宽度≥650mm，皮带厚度9—10mm，4层帆布人字纹橡胶输送带；</w:t>
            </w:r>
          </w:p>
          <w:p w14:paraId="3798F3EA">
            <w:pPr>
              <w:numPr>
                <w:ilvl w:val="0"/>
                <w:numId w:val="6"/>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驱动电机功率≥5.5kW；皮带运行速度≥1.1m/s；</w:t>
            </w:r>
          </w:p>
          <w:p w14:paraId="3322D172">
            <w:pPr>
              <w:numPr>
                <w:ilvl w:val="0"/>
                <w:numId w:val="6"/>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底架采用国标10#槽钢，配置成套钢制支腿；</w:t>
            </w:r>
          </w:p>
          <w:p w14:paraId="4DFAC655">
            <w:pPr>
              <w:numPr>
                <w:ilvl w:val="0"/>
                <w:numId w:val="6"/>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配置重型防尘托辊，托架间距≤1m；设置笼式防跑偏辊，笼式辊直径≥300mm；</w:t>
            </w:r>
          </w:p>
          <w:p w14:paraId="623ABCF9">
            <w:pPr>
              <w:numPr>
                <w:ilvl w:val="0"/>
                <w:numId w:val="6"/>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丝杆式皮带松紧调节结构；全套配置安全防护护罩，电机、托辊、挡</w:t>
            </w:r>
            <w:r>
              <w:rPr>
                <w:rFonts w:hint="eastAsia" w:ascii="宋体" w:hAnsi="宋体" w:eastAsia="宋体" w:cs="宋体"/>
                <w:color w:val="auto"/>
                <w:kern w:val="0"/>
                <w:sz w:val="20"/>
                <w:lang w:val="en-US" w:eastAsia="zh-CN"/>
              </w:rPr>
              <w:t>料板等全套附件。</w:t>
            </w:r>
          </w:p>
          <w:p w14:paraId="4D9DC741">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6.提升输送机（1台）</w:t>
            </w:r>
          </w:p>
          <w:p w14:paraId="73FCA779">
            <w:pPr>
              <w:numPr>
                <w:ilvl w:val="0"/>
                <w:numId w:val="7"/>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皮带宽度≥650mm，皮带厚度9—10mm；驱动电机≥4kW；</w:t>
            </w:r>
          </w:p>
          <w:p w14:paraId="43580D2F">
            <w:pPr>
              <w:numPr>
                <w:ilvl w:val="0"/>
                <w:numId w:val="7"/>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国标10#槽钢机架，配套钢制支腿，重型防尘托辊，配置全套安全防护护罩。</w:t>
            </w:r>
          </w:p>
          <w:p w14:paraId="1B9A6C35">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7.提升输送机（1台）</w:t>
            </w:r>
          </w:p>
          <w:p w14:paraId="6FAB2EF2">
            <w:pPr>
              <w:numPr>
                <w:ilvl w:val="0"/>
                <w:numId w:val="8"/>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皮带宽度≥650mm，皮带厚度9—10mm；驱动电机≥3kW；</w:t>
            </w:r>
          </w:p>
          <w:p w14:paraId="57512A49">
            <w:pPr>
              <w:numPr>
                <w:ilvl w:val="0"/>
                <w:numId w:val="8"/>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国标10#槽钢机架，配套钢制支腿，重型防尘托辊，配置全套安全防护护罩。</w:t>
            </w:r>
          </w:p>
          <w:p w14:paraId="552364E4">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8.基质专用混合机（卧式螺带混合机，1台）</w:t>
            </w:r>
          </w:p>
          <w:p w14:paraId="4ECB50D9">
            <w:pPr>
              <w:numPr>
                <w:ilvl w:val="0"/>
                <w:numId w:val="9"/>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搅拌电机功率≥11kW；减速机型号不低于JZQ400-31.5-1；外形尺寸≥3000mm×1050mm×2000mm；搅拌有效长度≥2000mm，搅拌直径≥900mm；</w:t>
            </w:r>
          </w:p>
          <w:p w14:paraId="54BD10ED">
            <w:pPr>
              <w:numPr>
                <w:ilvl w:val="0"/>
                <w:numId w:val="9"/>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机架为国标10#槽钢；搅拌叶片≥40×8mm，搅拌轴≥Φ102×7mm；叶片支撑≥Φ26mm圆钢；</w:t>
            </w:r>
          </w:p>
          <w:p w14:paraId="6F7C75CD">
            <w:pPr>
              <w:numPr>
                <w:ilvl w:val="0"/>
                <w:numId w:val="9"/>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搅拌转速≥41r/min；链条联轴器传动；出料口尺寸≥600×540mm；</w:t>
            </w:r>
          </w:p>
          <w:p w14:paraId="40A69371">
            <w:pPr>
              <w:numPr>
                <w:ilvl w:val="0"/>
                <w:numId w:val="9"/>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上部配置安全防护网，网格≤200mm，圆钢≥Φ12mm；混合均匀度满足育苗基质配比工艺要求。</w:t>
            </w:r>
          </w:p>
          <w:p w14:paraId="6F768965">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9.基质单工位自动包装机（1套）</w:t>
            </w:r>
          </w:p>
          <w:p w14:paraId="3CC6A364">
            <w:pPr>
              <w:numPr>
                <w:ilvl w:val="0"/>
                <w:numId w:val="10"/>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包装速度400-600包/小时；容积包装范围30—100L，容积误差≤1%；</w:t>
            </w:r>
          </w:p>
          <w:p w14:paraId="612E812D">
            <w:pPr>
              <w:numPr>
                <w:ilvl w:val="0"/>
                <w:numId w:val="10"/>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框架≥100×100×3mm方钢，料斗钢板≥3mm；配置气动振动防堵料装置；</w:t>
            </w:r>
          </w:p>
          <w:p w14:paraId="18DF4DD5">
            <w:pPr>
              <w:numPr>
                <w:ilvl w:val="0"/>
                <w:numId w:val="10"/>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平行输送电机≥0.55kW，缝口电机≥0.37kW；配套工业缝包机，具备红外识别启动、红外断线保护；</w:t>
            </w:r>
          </w:p>
          <w:p w14:paraId="7E9F1487">
            <w:pPr>
              <w:numPr>
                <w:ilvl w:val="0"/>
                <w:numId w:val="10"/>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触摸屏控制，气源压力0.4-0.6MPa；具备断电保护、产量计数、来电自动恢复功能；缝袋高度、夹带高度可调节；</w:t>
            </w:r>
          </w:p>
          <w:p w14:paraId="264BA87A">
            <w:pPr>
              <w:numPr>
                <w:ilvl w:val="0"/>
                <w:numId w:val="10"/>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适配编织袋、聚丙烯塑料袋包装；整套含主机、料斗、水平输送机构、缝包机构。</w:t>
            </w:r>
          </w:p>
          <w:p w14:paraId="5DD66D5D">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10.整机变频电控系统（1套）</w:t>
            </w:r>
          </w:p>
          <w:p w14:paraId="1DC30D14">
            <w:pPr>
              <w:numPr>
                <w:ilvl w:val="0"/>
                <w:numId w:val="11"/>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系统总适配功率≥35.97kW；采用变频控制模式，各单机独立调速；</w:t>
            </w:r>
          </w:p>
          <w:p w14:paraId="593D8FF3">
            <w:pPr>
              <w:numPr>
                <w:ilvl w:val="0"/>
                <w:numId w:val="11"/>
              </w:numPr>
              <w:ind w:left="425" w:leftChars="0" w:hanging="425"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配置PLC/变频控制柜，具备各设备启停联锁、过载保护、故障报警功能；</w:t>
            </w:r>
          </w:p>
          <w:p w14:paraId="13E6BE30">
            <w:pPr>
              <w:numPr>
                <w:ilvl w:val="0"/>
                <w:numId w:val="11"/>
              </w:numPr>
              <w:ind w:left="425" w:leftChars="0" w:hanging="425" w:firstLineChars="0"/>
              <w:rPr>
                <w:rFonts w:hint="eastAsia" w:ascii="宋体" w:hAnsi="宋体" w:eastAsia="宋体" w:cs="宋体"/>
                <w:color w:val="auto"/>
                <w:lang w:val="en-US" w:eastAsia="zh-CN"/>
              </w:rPr>
            </w:pPr>
            <w:r>
              <w:rPr>
                <w:rFonts w:hint="eastAsia" w:ascii="宋体" w:hAnsi="宋体" w:eastAsia="宋体" w:cs="宋体"/>
                <w:color w:val="auto"/>
                <w:kern w:val="0"/>
                <w:sz w:val="20"/>
                <w:lang w:val="en-US" w:eastAsia="zh-CN"/>
              </w:rPr>
              <w:t>元器件应采用国内主流品牌；柜体具备防尘防护；含全部电缆、接线端子。</w:t>
            </w:r>
          </w:p>
        </w:tc>
        <w:tc>
          <w:tcPr>
            <w:tcW w:w="754" w:type="dxa"/>
            <w:noWrap w:val="0"/>
            <w:vAlign w:val="center"/>
          </w:tcPr>
          <w:p w14:paraId="2BD2E644">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w:t>
            </w:r>
          </w:p>
        </w:tc>
        <w:tc>
          <w:tcPr>
            <w:tcW w:w="375" w:type="dxa"/>
            <w:noWrap w:val="0"/>
            <w:vAlign w:val="center"/>
          </w:tcPr>
          <w:p w14:paraId="405C8FEB">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套</w:t>
            </w:r>
          </w:p>
        </w:tc>
        <w:tc>
          <w:tcPr>
            <w:tcW w:w="720" w:type="dxa"/>
            <w:noWrap w:val="0"/>
            <w:vAlign w:val="center"/>
          </w:tcPr>
          <w:p w14:paraId="5A6E284C">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是</w:t>
            </w:r>
          </w:p>
        </w:tc>
      </w:tr>
      <w:tr w14:paraId="19E4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672" w:type="dxa"/>
            <w:noWrap w:val="0"/>
            <w:vAlign w:val="center"/>
          </w:tcPr>
          <w:p w14:paraId="2DD07EB6">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6</w:t>
            </w:r>
          </w:p>
        </w:tc>
        <w:tc>
          <w:tcPr>
            <w:tcW w:w="1135" w:type="dxa"/>
            <w:noWrap w:val="0"/>
            <w:vAlign w:val="center"/>
          </w:tcPr>
          <w:p w14:paraId="57EB8E49">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光照种子发芽箱</w:t>
            </w:r>
          </w:p>
        </w:tc>
        <w:tc>
          <w:tcPr>
            <w:tcW w:w="6523" w:type="dxa"/>
            <w:noWrap w:val="0"/>
            <w:vAlign w:val="center"/>
          </w:tcPr>
          <w:p w14:paraId="15FA4F47">
            <w:pPr>
              <w:jc w:val="left"/>
              <w:rPr>
                <w:rFonts w:hint="eastAsia" w:ascii="宋体" w:hAnsi="宋体" w:eastAsia="宋体" w:cs="宋体"/>
                <w:b/>
                <w:bCs/>
                <w:color w:val="auto"/>
                <w:kern w:val="0"/>
                <w:sz w:val="24"/>
                <w:szCs w:val="36"/>
                <w:lang w:val="en-US" w:eastAsia="zh-CN"/>
              </w:rPr>
            </w:pPr>
            <w:r>
              <w:rPr>
                <w:rFonts w:hint="eastAsia" w:ascii="宋体" w:hAnsi="宋体" w:eastAsia="宋体" w:cs="宋体"/>
                <w:b/>
                <w:bCs/>
                <w:color w:val="auto"/>
                <w:kern w:val="0"/>
                <w:sz w:val="24"/>
                <w:szCs w:val="36"/>
                <w:lang w:val="en-US" w:eastAsia="zh-CN"/>
              </w:rPr>
              <w:t>光照培养箱1台：</w:t>
            </w:r>
          </w:p>
          <w:p w14:paraId="59195AFE">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一、整机基础参数</w:t>
            </w:r>
          </w:p>
          <w:p w14:paraId="1D45C1BA">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1.公称容积：≥450L；</w:t>
            </w:r>
          </w:p>
          <w:p w14:paraId="4CFFD00B">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二、温度性能</w:t>
            </w:r>
          </w:p>
          <w:p w14:paraId="7CB32DE4">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1.控温范围：≥5℃～50℃；2、温度波动度：≤±1℃；3、温度偏差：≤±1℃；4、温度不均匀度：≤1℃；5、升温时间：由10℃升至40℃≤60min；6、降温时间：由40℃降至10℃≤100min；</w:t>
            </w:r>
          </w:p>
          <w:p w14:paraId="7239047E">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三、光照系统</w:t>
            </w:r>
          </w:p>
          <w:p w14:paraId="2268CC68">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1.光源形式：箱体内顶置垂直LED冷光源，具有3层以上LED植物光照板，每层隔板下方配置整块LED植物光照板；</w:t>
            </w:r>
          </w:p>
          <w:p w14:paraId="41AA89EF">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2.每层光照强度：0-20000LUX，无极调光，可精准设置培养所需光照强度；</w:t>
            </w:r>
          </w:p>
          <w:p w14:paraId="19B5AC0E">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3.每层搁物架可自由升降、可拆卸，方便调整培养空间；</w:t>
            </w:r>
          </w:p>
          <w:p w14:paraId="40DF8069">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4.LED灯板采用植物专用贴片光源，满足植物生长培养光谱需求。</w:t>
            </w:r>
          </w:p>
          <w:p w14:paraId="4289E194">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四、箱体与风道循环</w:t>
            </w:r>
          </w:p>
          <w:p w14:paraId="4031D9D3">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1.箱体外壳钢制发泡保温结构，内胆采用不锈钢材质，耐腐蚀易清洁；2.内背部每层独立风道循环制冷、底部吸风结构，保障箱内上下温度均匀；</w:t>
            </w:r>
          </w:p>
          <w:p w14:paraId="38FBBF93">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3.配置新风交换循环系统，实现箱内气体交换。</w:t>
            </w:r>
          </w:p>
          <w:p w14:paraId="3BA407A7">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五、控制系统</w:t>
            </w:r>
          </w:p>
          <w:p w14:paraId="4B8B621C">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1.控制器配置液晶显示屏，中文数字同步显示，触摸按键操作；</w:t>
            </w:r>
          </w:p>
          <w:p w14:paraId="2B953182">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2.微电脑全自动可编程控制，白天、黑夜模式可独立设置温度、光照度参数；</w:t>
            </w:r>
          </w:p>
          <w:p w14:paraId="54C0E69E">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3.具备掉电记忆、掉电时间自动补偿功能。</w:t>
            </w:r>
          </w:p>
          <w:p w14:paraId="6DB3C7F6">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六、动力及电气参数</w:t>
            </w:r>
          </w:p>
          <w:p w14:paraId="3EF25FAB">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1.总功率≥1000W；</w:t>
            </w:r>
          </w:p>
          <w:p w14:paraId="08BEB7F6">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2.压缩机具备延时保护功能；</w:t>
            </w:r>
          </w:p>
          <w:p w14:paraId="75731952">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3.制冷剂采用无氟环保制冷剂（R134a或同等环保无氟型号）；</w:t>
            </w:r>
          </w:p>
          <w:p w14:paraId="10D7F874">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4.整机运行噪音：≤70Db；</w:t>
            </w:r>
          </w:p>
          <w:p w14:paraId="61510522">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七、供货配置</w:t>
            </w:r>
          </w:p>
          <w:p w14:paraId="77D061B9">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主机1台，含箱体、LED光照模组、搁板、控制系统、制冷加热组件；</w:t>
            </w:r>
          </w:p>
          <w:p w14:paraId="1FC77048">
            <w:pPr>
              <w:jc w:val="left"/>
              <w:rPr>
                <w:rFonts w:hint="eastAsia" w:ascii="宋体" w:hAnsi="宋体" w:eastAsia="宋体" w:cs="宋体"/>
                <w:b/>
                <w:bCs/>
                <w:color w:val="auto"/>
                <w:kern w:val="0"/>
                <w:sz w:val="24"/>
                <w:szCs w:val="36"/>
                <w:lang w:val="en-US" w:eastAsia="zh-CN"/>
              </w:rPr>
            </w:pPr>
            <w:r>
              <w:rPr>
                <w:rFonts w:hint="eastAsia" w:ascii="宋体" w:hAnsi="宋体" w:eastAsia="宋体" w:cs="宋体"/>
                <w:b/>
                <w:bCs/>
                <w:color w:val="auto"/>
                <w:kern w:val="0"/>
                <w:sz w:val="24"/>
                <w:szCs w:val="36"/>
                <w:lang w:val="en-US" w:eastAsia="zh-CN"/>
              </w:rPr>
              <w:t>种子发芽箱1台：</w:t>
            </w:r>
          </w:p>
          <w:p w14:paraId="11B6A23A">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一、整机基础参数</w:t>
            </w:r>
          </w:p>
          <w:p w14:paraId="5A8CB1BD">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1.公称容积：≥450L；</w:t>
            </w:r>
          </w:p>
          <w:p w14:paraId="3BB00D44">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2.箱体外壳钢制发泡保温结构，箱体隔层保温厚度≥50mm；内胆采用不锈钢材质。</w:t>
            </w:r>
          </w:p>
          <w:p w14:paraId="24A1A563">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二、温度性能</w:t>
            </w:r>
          </w:p>
          <w:p w14:paraId="3E82C69E">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1.控温范围：≥5℃～50℃；</w:t>
            </w:r>
          </w:p>
          <w:p w14:paraId="564CAEEC">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2.温度波动度：≤±1℃；</w:t>
            </w:r>
          </w:p>
          <w:p w14:paraId="382D0E1A">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3.温度偏差：≤±1℃；</w:t>
            </w:r>
          </w:p>
          <w:p w14:paraId="333D7F70">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4.温度不均匀度：≤1℃；</w:t>
            </w:r>
          </w:p>
          <w:p w14:paraId="71BD3D60">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5.升温时间：由10℃升至40℃≤60min；</w:t>
            </w:r>
          </w:p>
          <w:p w14:paraId="5C8E55B4">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6.降温时间：由40℃降至10℃≤100min；</w:t>
            </w:r>
          </w:p>
          <w:p w14:paraId="4AC72A0C">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7.箱内背部配置每层风道循环制冷加湿、底部吸风结构，保障箱内上下温湿度均匀。</w:t>
            </w:r>
          </w:p>
          <w:p w14:paraId="066D4DE0">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三、光照系统</w:t>
            </w:r>
          </w:p>
          <w:p w14:paraId="3BA28BBC">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光照强度：最高≥5000lux，光照可调，满足种子发芽不同光照培养需求。</w:t>
            </w:r>
          </w:p>
          <w:p w14:paraId="5F05BF0D">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四、控制系统</w:t>
            </w:r>
          </w:p>
          <w:p w14:paraId="3507A276">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1.控制器配置液晶显示屏，中文、数字同步显示，触摸按键操作，人机交互简便；</w:t>
            </w:r>
          </w:p>
          <w:p w14:paraId="22B488AA">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2.微电脑全自动控制，可编程控制模式，温度、湿度参数可独立设置；3、具备掉电记忆、掉电时间自动补偿功能；</w:t>
            </w:r>
          </w:p>
          <w:p w14:paraId="5CB9F5F8">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五、动力及电气参数</w:t>
            </w:r>
          </w:p>
          <w:p w14:paraId="40192473">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1.总功率≥1000W；</w:t>
            </w:r>
          </w:p>
          <w:p w14:paraId="13FD34D5">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2.压缩机具备延时启动保护功能；</w:t>
            </w:r>
          </w:p>
          <w:p w14:paraId="4016CE9E">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3.制冷剂采用无氟环保制冷剂；</w:t>
            </w:r>
          </w:p>
          <w:p w14:paraId="75C2ACF9">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4.整机运行噪音：≤70Db；</w:t>
            </w:r>
          </w:p>
          <w:p w14:paraId="70A3B47F">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5.工作方式：整机连续运行，压缩机间歇式工作。</w:t>
            </w:r>
          </w:p>
          <w:p w14:paraId="2146B5EF">
            <w:pPr>
              <w:jc w:val="left"/>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六、供货配置</w:t>
            </w:r>
          </w:p>
          <w:p w14:paraId="323D6A65">
            <w:pPr>
              <w:jc w:val="left"/>
              <w:rPr>
                <w:rFonts w:hint="eastAsia" w:ascii="宋体" w:hAnsi="宋体" w:eastAsia="宋体" w:cs="宋体"/>
                <w:color w:val="auto"/>
              </w:rPr>
            </w:pPr>
            <w:r>
              <w:rPr>
                <w:rFonts w:hint="eastAsia" w:ascii="宋体" w:hAnsi="宋体" w:eastAsia="宋体" w:cs="宋体"/>
                <w:color w:val="auto"/>
                <w:kern w:val="0"/>
                <w:sz w:val="20"/>
                <w:lang w:val="en-US" w:eastAsia="zh-CN"/>
              </w:rPr>
              <w:t>主机1台，含箱体、内胆、搁板、控制系统、制冷、加热、加湿组件；</w:t>
            </w:r>
          </w:p>
        </w:tc>
        <w:tc>
          <w:tcPr>
            <w:tcW w:w="754" w:type="dxa"/>
            <w:noWrap w:val="0"/>
            <w:vAlign w:val="center"/>
          </w:tcPr>
          <w:p w14:paraId="6F265EA2">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w:t>
            </w:r>
          </w:p>
        </w:tc>
        <w:tc>
          <w:tcPr>
            <w:tcW w:w="375" w:type="dxa"/>
            <w:noWrap w:val="0"/>
            <w:vAlign w:val="center"/>
          </w:tcPr>
          <w:p w14:paraId="7F2EF12F">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套</w:t>
            </w:r>
          </w:p>
        </w:tc>
        <w:tc>
          <w:tcPr>
            <w:tcW w:w="720" w:type="dxa"/>
            <w:noWrap w:val="0"/>
            <w:vAlign w:val="center"/>
          </w:tcPr>
          <w:p w14:paraId="4DC3E3FE">
            <w:pPr>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否</w:t>
            </w:r>
          </w:p>
        </w:tc>
      </w:tr>
      <w:tr w14:paraId="201F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72" w:type="dxa"/>
            <w:noWrap w:val="0"/>
            <w:vAlign w:val="center"/>
          </w:tcPr>
          <w:p w14:paraId="2C3CE5DA">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7</w:t>
            </w:r>
          </w:p>
        </w:tc>
        <w:tc>
          <w:tcPr>
            <w:tcW w:w="1135" w:type="dxa"/>
            <w:noWrap w:val="0"/>
            <w:vAlign w:val="center"/>
          </w:tcPr>
          <w:p w14:paraId="552F3D4C">
            <w:pPr>
              <w:jc w:val="both"/>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人工气候箱</w:t>
            </w:r>
          </w:p>
        </w:tc>
        <w:tc>
          <w:tcPr>
            <w:tcW w:w="6523" w:type="dxa"/>
            <w:noWrap w:val="0"/>
            <w:vAlign w:val="center"/>
          </w:tcPr>
          <w:p w14:paraId="62F1B90D">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一、整机基础参数</w:t>
            </w:r>
          </w:p>
          <w:p w14:paraId="73CFD3D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1.公称容积：≥450L；</w:t>
            </w:r>
          </w:p>
          <w:p w14:paraId="3FC433C9">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2.外壳钢制发泡保温箱体，箱体隔层保温厚度≥50mm；内胆应采用不低于304镜面不锈钢，耐腐蚀易清洁。</w:t>
            </w:r>
          </w:p>
          <w:p w14:paraId="446AABE9">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二、温度性能</w:t>
            </w:r>
          </w:p>
          <w:p w14:paraId="35D7F764">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1.控温范围：≥5℃～50℃；</w:t>
            </w:r>
          </w:p>
          <w:p w14:paraId="3294E421">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2.温度波动度：≤±1℃；</w:t>
            </w:r>
          </w:p>
          <w:p w14:paraId="11175733">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3.温度偏差：≤±1℃；</w:t>
            </w:r>
          </w:p>
          <w:p w14:paraId="2CB708EB">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4.温度不均匀度：≤1℃；</w:t>
            </w:r>
          </w:p>
          <w:p w14:paraId="4C2004A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5.升温时间：由10℃升至40℃≤60min；</w:t>
            </w:r>
          </w:p>
          <w:p w14:paraId="7781D8B3">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6.降温时间：由40℃降至10℃≤100min；</w:t>
            </w:r>
          </w:p>
          <w:p w14:paraId="31F2A01D">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7.箱内背部每层风道循环制冷加湿、底部吸风结构，保证箱内上下温湿度均匀；配备新风交换循环系统。</w:t>
            </w:r>
          </w:p>
          <w:p w14:paraId="6569CE6C">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三、湿度性能</w:t>
            </w:r>
          </w:p>
          <w:p w14:paraId="22866490">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1.控湿范围：50%～90%RH；2、湿度波动度：≤±7%RH；</w:t>
            </w:r>
          </w:p>
          <w:p w14:paraId="742AF7F2">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四、光照系统</w:t>
            </w:r>
          </w:p>
          <w:p w14:paraId="023213F2">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1.光源形式：箱体内顶置垂直LED冷光源，配置3层以上LED植物光照板，每层隔板下方配置整块LED光照板；</w:t>
            </w:r>
          </w:p>
          <w:p w14:paraId="741147D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2.每层光照强度：0-20000LUX，无极调光，可精准调节培养所需光照强度；</w:t>
            </w:r>
          </w:p>
          <w:p w14:paraId="251161F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3.搁物架可自由拆卸，方便调整试验空间。</w:t>
            </w:r>
          </w:p>
          <w:p w14:paraId="160A7218">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五、控制系统</w:t>
            </w:r>
          </w:p>
          <w:p w14:paraId="15F5E7F7">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1.控制器配置液晶显示屏，中文、数字同步显示，触摸按键操作；</w:t>
            </w:r>
          </w:p>
          <w:p w14:paraId="56A1EA4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2.微电脑全自动可编程控制，支持不少于30段程序设置，白天、黑夜模式可独立设置温度、湿度、光照度参数；</w:t>
            </w:r>
          </w:p>
          <w:p w14:paraId="199EBBAF">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3.具备超温保护、传感器异常保护功能，保障设备及试验样品安全；</w:t>
            </w:r>
          </w:p>
          <w:p w14:paraId="6014BE20">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4.具备掉电记忆、掉电时间自动补偿功能；恒温恒湿控制系统响应快，控温控湿精度高。</w:t>
            </w:r>
          </w:p>
          <w:p w14:paraId="25A50D2B">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六、动力及电气参数</w:t>
            </w:r>
          </w:p>
          <w:p w14:paraId="6D30848B">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1.总功率≥1000W；</w:t>
            </w:r>
          </w:p>
          <w:p w14:paraId="2B6F7463">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2.压缩机具备延时启动保护功能，延时保护时间约3min；</w:t>
            </w:r>
          </w:p>
          <w:p w14:paraId="7C55D62E">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3.制冷剂采用无氟环保制冷剂；</w:t>
            </w:r>
          </w:p>
          <w:p w14:paraId="7868E119">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4.整机运行噪音：≤70Db；</w:t>
            </w:r>
          </w:p>
          <w:p w14:paraId="31DA78D2">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5.工作方式：整机连续运行，压缩机间歇式工作。</w:t>
            </w:r>
          </w:p>
          <w:p w14:paraId="30948839">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七、供货配置</w:t>
            </w:r>
          </w:p>
          <w:p w14:paraId="52E76EB5">
            <w:pPr>
              <w:numPr>
                <w:ilvl w:val="0"/>
                <w:numId w:val="0"/>
              </w:numPr>
              <w:ind w:leftChars="0"/>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主机1台，含箱体、不锈钢内胆、LED全光谱光照模组、可拆装搁板、加湿组件、水箱、制冷加热组件、控制系统；</w:t>
            </w:r>
          </w:p>
        </w:tc>
        <w:tc>
          <w:tcPr>
            <w:tcW w:w="754" w:type="dxa"/>
            <w:noWrap w:val="0"/>
            <w:vAlign w:val="center"/>
          </w:tcPr>
          <w:p w14:paraId="146DF2A5">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w:t>
            </w:r>
          </w:p>
        </w:tc>
        <w:tc>
          <w:tcPr>
            <w:tcW w:w="375" w:type="dxa"/>
            <w:noWrap w:val="0"/>
            <w:vAlign w:val="center"/>
          </w:tcPr>
          <w:p w14:paraId="66F0A0EF">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套</w:t>
            </w:r>
          </w:p>
        </w:tc>
        <w:tc>
          <w:tcPr>
            <w:tcW w:w="720" w:type="dxa"/>
            <w:noWrap w:val="0"/>
            <w:vAlign w:val="center"/>
          </w:tcPr>
          <w:p w14:paraId="29F48ECD">
            <w:pPr>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否</w:t>
            </w:r>
          </w:p>
        </w:tc>
      </w:tr>
      <w:tr w14:paraId="6809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67788401">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8</w:t>
            </w:r>
          </w:p>
        </w:tc>
        <w:tc>
          <w:tcPr>
            <w:tcW w:w="1135" w:type="dxa"/>
            <w:noWrap w:val="0"/>
            <w:vAlign w:val="center"/>
          </w:tcPr>
          <w:p w14:paraId="4B48131F">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中药材前置处理机</w:t>
            </w:r>
          </w:p>
        </w:tc>
        <w:tc>
          <w:tcPr>
            <w:tcW w:w="6523" w:type="dxa"/>
            <w:noWrap w:val="0"/>
            <w:vAlign w:val="center"/>
          </w:tcPr>
          <w:p w14:paraId="0C2D2F5F">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1.单批次处理产能：200—800kg/批；</w:t>
            </w:r>
          </w:p>
          <w:p w14:paraId="10744220">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2.整机总装机功率：≤7.45kW；</w:t>
            </w:r>
          </w:p>
          <w:p w14:paraId="78288EB7">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3.设备外形尺寸：≤4100mm*2400mm*2800mm；</w:t>
            </w:r>
          </w:p>
          <w:p w14:paraId="088B9003">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4.加热方式：蒸汽加热，外接蒸汽热源，配置弹簧式安全阀，工作压力适配0.05-0.5Mpa</w:t>
            </w:r>
          </w:p>
          <w:p w14:paraId="4AD9F184">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5.主机滚筒、物料接触部分、喷淋管路、机架等与物料直接接触材质采用304不锈钢，符合中药生产GMP卫生要求，耐腐蚀、易清洗。</w:t>
            </w:r>
          </w:p>
          <w:p w14:paraId="54ADE5A3">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6.配置物料输送进料机构，配备辅料电子称重计量喷淋系统，隔膜式计量泵实现辅料精准定量喷雾喷淋。</w:t>
            </w:r>
          </w:p>
          <w:p w14:paraId="670C86BB">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7.主机滚筒由电机+减速机驱动，滚筒可旋转搅拌物料，实现物料充分翻滚、混合炙制。</w:t>
            </w:r>
          </w:p>
          <w:p w14:paraId="0A4DEA34">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8.配置循环风机、排湿风机，实现内部热风循环与湿气外排，保障烘干效果。</w:t>
            </w:r>
          </w:p>
          <w:p w14:paraId="14C32544">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9.配置温度检测元件PT100温度传感器，可实时监测腔内加工温度。</w:t>
            </w:r>
          </w:p>
          <w:p w14:paraId="58A134C7">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10.控制系统：采用PLC智能控制系统，配套人机操作界面；可存储多套物料加工工艺程序，可实现炙制、蒸煮、烘干工序自动流程控制，支持工艺参数编辑调用；配套称重模块，可实现辅料计量称重。</w:t>
            </w:r>
          </w:p>
          <w:p w14:paraId="5F7C5048">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11.管路配置气动蝶阀，实现管路通断自动控制；配置安全阀实现蒸汽超压安全保护。</w:t>
            </w:r>
          </w:p>
          <w:p w14:paraId="15CE76F0">
            <w:pPr>
              <w:numPr>
                <w:ilvl w:val="0"/>
                <w:numId w:val="0"/>
              </w:numPr>
              <w:rPr>
                <w:rFonts w:hint="eastAsia" w:ascii="宋体" w:hAnsi="宋体" w:eastAsia="宋体" w:cs="宋体"/>
                <w:color w:val="auto"/>
              </w:rPr>
            </w:pPr>
            <w:r>
              <w:rPr>
                <w:rFonts w:hint="eastAsia" w:ascii="宋体" w:hAnsi="宋体" w:eastAsia="宋体" w:cs="宋体"/>
                <w:color w:val="auto"/>
                <w:kern w:val="0"/>
                <w:sz w:val="20"/>
                <w:lang w:val="en-US" w:eastAsia="zh-CN"/>
              </w:rPr>
              <w:t>12.配置变频器，可实现滚筒转速可调，适配不同物料加工需求。</w:t>
            </w:r>
          </w:p>
        </w:tc>
        <w:tc>
          <w:tcPr>
            <w:tcW w:w="754" w:type="dxa"/>
            <w:noWrap w:val="0"/>
            <w:vAlign w:val="center"/>
          </w:tcPr>
          <w:p w14:paraId="4A079858">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w:t>
            </w:r>
          </w:p>
        </w:tc>
        <w:tc>
          <w:tcPr>
            <w:tcW w:w="375" w:type="dxa"/>
            <w:noWrap w:val="0"/>
            <w:vAlign w:val="center"/>
          </w:tcPr>
          <w:p w14:paraId="02EB76C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套</w:t>
            </w:r>
          </w:p>
        </w:tc>
        <w:tc>
          <w:tcPr>
            <w:tcW w:w="720" w:type="dxa"/>
            <w:noWrap w:val="0"/>
            <w:vAlign w:val="center"/>
          </w:tcPr>
          <w:p w14:paraId="45EAA31F">
            <w:pPr>
              <w:ind w:firstLine="200" w:firstLineChars="10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否</w:t>
            </w:r>
          </w:p>
        </w:tc>
      </w:tr>
      <w:tr w14:paraId="189D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672" w:type="dxa"/>
            <w:noWrap w:val="0"/>
            <w:vAlign w:val="center"/>
          </w:tcPr>
          <w:p w14:paraId="17BFDF39">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9</w:t>
            </w:r>
          </w:p>
        </w:tc>
        <w:tc>
          <w:tcPr>
            <w:tcW w:w="1135" w:type="dxa"/>
            <w:noWrap w:val="0"/>
            <w:vAlign w:val="center"/>
          </w:tcPr>
          <w:p w14:paraId="17A71FFD">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自走式收割机</w:t>
            </w:r>
          </w:p>
        </w:tc>
        <w:tc>
          <w:tcPr>
            <w:tcW w:w="6523" w:type="dxa"/>
            <w:noWrap w:val="0"/>
            <w:vAlign w:val="center"/>
          </w:tcPr>
          <w:p w14:paraId="7CAB0313">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1.发动机额定功率：≥260马力，国四排放标准，六缸水冷柴油发动机，动力储备充足，适应重负荷连续跨区作业。</w:t>
            </w:r>
          </w:p>
          <w:p w14:paraId="5EF434DE">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2.驱动型式：液压两驱静液压驱动，泵－马达电控液压行走。</w:t>
            </w:r>
          </w:p>
          <w:p w14:paraId="43310CC1">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3.驾驶室：密封驾驶室，配置空调。</w:t>
            </w:r>
          </w:p>
          <w:p w14:paraId="705DDEF6">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4.作业行数：4行；</w:t>
            </w:r>
          </w:p>
          <w:p w14:paraId="7E2B8B4B">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5.适应作业行距：适应行距范围550—620mm，满足不同种植模式地块作业。</w:t>
            </w:r>
          </w:p>
          <w:p w14:paraId="69243926">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6.卸果穗高度：≥2600mm，可适配常规转运货车接粮卸料。果穗箱容积：≥2.6m³，减少频繁卸粮，提升作业效率。籽粒清选：配置籽粒清选风机，可对剥落籽粒进行回收清选，降低籽粒损失。</w:t>
            </w:r>
          </w:p>
          <w:p w14:paraId="08300BB5">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7.苞叶切碎装置：配置苞叶切碎器，对剥皮产生苞叶进行粉碎处理。</w:t>
            </w:r>
          </w:p>
          <w:p w14:paraId="6C5E9FF7">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8.茎秆处理：中置式秸秆还田机，还田机工作幅宽≥2300mm，甩刀式还田机构。</w:t>
            </w:r>
          </w:p>
          <w:p w14:paraId="4A0D00D5">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9.操纵型式：电控液压操纵，操作轻便省力。</w:t>
            </w:r>
          </w:p>
          <w:p w14:paraId="15D20DBB">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10.籽粒回收：具备籽粒提升回收机构，收集脱落籽粒，减少粮食损失。</w:t>
            </w:r>
          </w:p>
          <w:p w14:paraId="33127994">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11.离合制动：气动离合制动系统，离合结合平稳，制动安全可靠。</w:t>
            </w:r>
          </w:p>
          <w:p w14:paraId="48FF578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12.中置吸杂风机：配备中置吸杂风机，可分离杂余，降低果穗含杂率。</w:t>
            </w:r>
          </w:p>
        </w:tc>
        <w:tc>
          <w:tcPr>
            <w:tcW w:w="754" w:type="dxa"/>
            <w:noWrap w:val="0"/>
            <w:vAlign w:val="center"/>
          </w:tcPr>
          <w:p w14:paraId="21CA21B2">
            <w:pPr>
              <w:jc w:val="both"/>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w:t>
            </w:r>
          </w:p>
        </w:tc>
        <w:tc>
          <w:tcPr>
            <w:tcW w:w="375" w:type="dxa"/>
            <w:noWrap w:val="0"/>
            <w:vAlign w:val="center"/>
          </w:tcPr>
          <w:p w14:paraId="5D8A9923">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台</w:t>
            </w:r>
          </w:p>
        </w:tc>
        <w:tc>
          <w:tcPr>
            <w:tcW w:w="720" w:type="dxa"/>
            <w:noWrap w:val="0"/>
            <w:vAlign w:val="center"/>
          </w:tcPr>
          <w:p w14:paraId="4FE405E0">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否</w:t>
            </w:r>
          </w:p>
        </w:tc>
      </w:tr>
      <w:tr w14:paraId="5097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672" w:type="dxa"/>
            <w:noWrap w:val="0"/>
            <w:vAlign w:val="center"/>
          </w:tcPr>
          <w:p w14:paraId="1901929C">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10</w:t>
            </w:r>
          </w:p>
        </w:tc>
        <w:tc>
          <w:tcPr>
            <w:tcW w:w="1135" w:type="dxa"/>
            <w:noWrap w:val="0"/>
            <w:vAlign w:val="center"/>
          </w:tcPr>
          <w:p w14:paraId="397D6316">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水肥一体化设备</w:t>
            </w:r>
          </w:p>
        </w:tc>
        <w:tc>
          <w:tcPr>
            <w:tcW w:w="6523" w:type="dxa"/>
            <w:noWrap w:val="0"/>
            <w:vAlign w:val="center"/>
          </w:tcPr>
          <w:p w14:paraId="2E753672">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（一）立式离心泵</w:t>
            </w:r>
          </w:p>
          <w:p w14:paraId="2AC5C59F">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1.额定流量≥80m³/h。</w:t>
            </w:r>
          </w:p>
          <w:p w14:paraId="5E1BBE51">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2.额定扬程≥60m。</w:t>
            </w:r>
          </w:p>
          <w:p w14:paraId="498EC1CE">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3.配套电机功率≥22kW。</w:t>
            </w:r>
          </w:p>
          <w:p w14:paraId="2BAA5D27">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4.泵体结构坚固，配备标准进出水法兰，安装稳固，运行平稳低噪。</w:t>
            </w:r>
          </w:p>
          <w:p w14:paraId="60F52911">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5.配套主泵专用电缆：YJV-0.6/1kV 3×16+1×10mm²。</w:t>
            </w:r>
          </w:p>
          <w:p w14:paraId="244072E6">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（二）自动反冲洗砂石过滤器</w:t>
            </w:r>
          </w:p>
          <w:p w14:paraId="6B134443">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1.处理流量≥80m³/h。</w:t>
            </w:r>
          </w:p>
          <w:p w14:paraId="65FF19F8">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2.具备自动反冲洗功能，冲洗过程自动完成、无需人工干预。</w:t>
            </w:r>
          </w:p>
          <w:p w14:paraId="50672F35">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3.过滤精度满足灌溉水质要求，有效拦截砂石等杂质，保护下游滴灌及施肥设备。</w:t>
            </w:r>
          </w:p>
          <w:p w14:paraId="1B81F416">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4.进出水口径与主管路匹配，安装连接可靠。</w:t>
            </w:r>
          </w:p>
          <w:p w14:paraId="7EDA92D5">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（三）自动反冲洗叠片过滤器</w:t>
            </w:r>
          </w:p>
          <w:p w14:paraId="1DE77908">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1.处理流量≥80m³/h。</w:t>
            </w:r>
          </w:p>
          <w:p w14:paraId="70DB041D">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2.具备自动反冲洗功能，冲洗自动进行、可循环。</w:t>
            </w:r>
          </w:p>
          <w:p w14:paraId="67349608">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3.叠片结构过滤精度高，深层过滤，清洗方便。</w:t>
            </w:r>
          </w:p>
          <w:p w14:paraId="510DFD16">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4.进出水口径与主管路匹配，安装连接可靠。</w:t>
            </w:r>
          </w:p>
          <w:p w14:paraId="6288A71C">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（四）恒压供水变频柜</w:t>
            </w:r>
          </w:p>
          <w:p w14:paraId="21C3902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1.可控功率不低于22kW。</w:t>
            </w:r>
          </w:p>
          <w:p w14:paraId="3F12696B">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2.控制通道：1控1，可控制2台水泵。</w:t>
            </w:r>
          </w:p>
          <w:p w14:paraId="6D52EFB1">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3.控制方式：开关信号控制。</w:t>
            </w:r>
          </w:p>
          <w:p w14:paraId="637B3E7D">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4.具备恒压供水功能，根据管网压力自动调节水泵运行频率。</w:t>
            </w:r>
          </w:p>
          <w:p w14:paraId="4FFA3953">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5.具备过载、过流、缺相、短路等保护功能，电气元件选用主流品牌。</w:t>
            </w:r>
          </w:p>
          <w:p w14:paraId="5B0014C1">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（五）智能灌溉水肥一体机</w:t>
            </w:r>
          </w:p>
          <w:p w14:paraId="0706BCEE">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1）供电参数：电源AC380V；</w:t>
            </w:r>
          </w:p>
          <w:p w14:paraId="296AB52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2）传输方式：RS485及RS232 接口，系统留有通讯接口功能，可作为云计算节点嵌入到物联网平台；</w:t>
            </w:r>
          </w:p>
          <w:p w14:paraId="5BF921C4">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3）施肥灌溉模式：简易分布点操作， 自动注水、搅拌、施肥、灌溉一键操作；</w:t>
            </w:r>
          </w:p>
          <w:p w14:paraId="6DC05923">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4）可通过语音识别、指令解析和设备控制等技术，实现用户通过语音指令与灌溉设备和系统进行交互和控制的功能。</w:t>
            </w:r>
          </w:p>
          <w:p w14:paraId="359A8817">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5）控制界面集成首部灌溉系统，阀门控制、施肥机控制、轮罐组编辑、一键排沙；</w:t>
            </w:r>
          </w:p>
          <w:p w14:paraId="00599E6B">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6）控制方式：本地手动控制、语音控制、遥控器控制，远程电脑端控制、手机端控制；</w:t>
            </w:r>
          </w:p>
          <w:p w14:paraId="3A1E1C8E">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7）7寸高清触摸屏：中文人机交互界面、简单易学，好操作，本地语音响应；</w:t>
            </w:r>
          </w:p>
          <w:p w14:paraId="240CAA59">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8）内置北斗 GPS 定位系统，实时监控设备在线状态、位置；</w:t>
            </w:r>
          </w:p>
          <w:p w14:paraId="034ACEAC">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9）过滤器自动排沙控制：根据外部触发或定时进行排沙，有效解决灌溉过程中的过滤系统易堵塞问题；</w:t>
            </w:r>
          </w:p>
          <w:p w14:paraId="18AEFCC2">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10）具有水肥机相序保护装置可自动识别电源的相序，检测到相序错误时设备无法启动；</w:t>
            </w:r>
          </w:p>
          <w:p w14:paraId="3867F729">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（六）肥料桶与搅拌机</w:t>
            </w:r>
          </w:p>
          <w:p w14:paraId="0D927824">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1.肥料桶材质：PE聚乙烯。</w:t>
            </w:r>
          </w:p>
          <w:p w14:paraId="1F019C58">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2.单桶容积≥300L。</w:t>
            </w:r>
          </w:p>
          <w:p w14:paraId="755116EB">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3.搅拌机功率0.75kW，转速满足肥料溶解搅拌要求。</w:t>
            </w:r>
          </w:p>
          <w:p w14:paraId="5D20BB72">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4.桶体与搅拌机构耐腐蚀，便于清洗，配备搅拌机专用电缆：YJV-0.6/1kV 3×1.5+1×1.0mm²。</w:t>
            </w:r>
          </w:p>
          <w:p w14:paraId="017CF368">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（七）阀门与计量仪表</w:t>
            </w:r>
          </w:p>
          <w:p w14:paraId="415A6AC1">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1.消声止回阀：材质铸铁，管径DN100，法兰连接，数量2个，防止介质倒流。</w:t>
            </w:r>
          </w:p>
          <w:p w14:paraId="5E21BE4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2.涡轮式蝶阀：材质铸铁，管径DN100，法兰连接，数量2个，开关灵活、密封可靠。</w:t>
            </w:r>
          </w:p>
          <w:p w14:paraId="2BA805BD">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3.综合式排气阀：材质加强尼龙，管径DN50，阳螺纹连接，数量1个，自动排气。</w:t>
            </w:r>
          </w:p>
          <w:p w14:paraId="15C4334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4.远传压力表：数量1个，实时传输系统压力信号，供变频柜与控制系统采集。</w:t>
            </w:r>
          </w:p>
          <w:p w14:paraId="25AFB1B8">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5.超声波水表：材质PVC-U，管径DN100，法兰连接，数量1个，计量准确，可远程读取。</w:t>
            </w:r>
          </w:p>
          <w:p w14:paraId="74A3189E">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6.配件1套：包含安装所需的管路、接头、密封件、紧固件等，保障系统成套安装完整。</w:t>
            </w:r>
          </w:p>
          <w:p w14:paraId="10C7893E">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（八）电气与线缆配套</w:t>
            </w:r>
          </w:p>
          <w:p w14:paraId="04D89213">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1.主泵专用电缆：YJV-0.6/1kV 3×16+1×10mm²，15米。</w:t>
            </w:r>
          </w:p>
          <w:p w14:paraId="23A4DD4A">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2.施肥机专用电缆：YJV-0.6/1kV 3×2.5+1×1.5mm²，50米。</w:t>
            </w:r>
          </w:p>
          <w:p w14:paraId="607A9B0C">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3.搅拌机专用电缆：YJV-0.6/1kV 3×1.5+1×1.0mm²，150米。</w:t>
            </w:r>
          </w:p>
          <w:p w14:paraId="19047BBD">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桥架1项，线缆敷设规范、整齐，符合电气安装安全要求。</w:t>
            </w:r>
          </w:p>
        </w:tc>
        <w:tc>
          <w:tcPr>
            <w:tcW w:w="754" w:type="dxa"/>
            <w:noWrap w:val="0"/>
            <w:vAlign w:val="center"/>
          </w:tcPr>
          <w:p w14:paraId="258124E0">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w:t>
            </w:r>
          </w:p>
        </w:tc>
        <w:tc>
          <w:tcPr>
            <w:tcW w:w="375" w:type="dxa"/>
            <w:noWrap w:val="0"/>
            <w:vAlign w:val="center"/>
          </w:tcPr>
          <w:p w14:paraId="224527DC">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套</w:t>
            </w:r>
          </w:p>
        </w:tc>
        <w:tc>
          <w:tcPr>
            <w:tcW w:w="720" w:type="dxa"/>
            <w:noWrap w:val="0"/>
            <w:vAlign w:val="center"/>
          </w:tcPr>
          <w:p w14:paraId="31AAB0D7">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否</w:t>
            </w:r>
          </w:p>
        </w:tc>
      </w:tr>
      <w:tr w14:paraId="51FA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672" w:type="dxa"/>
            <w:vMerge w:val="restart"/>
            <w:noWrap w:val="0"/>
            <w:vAlign w:val="center"/>
          </w:tcPr>
          <w:p w14:paraId="61BB84FB">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11</w:t>
            </w:r>
          </w:p>
        </w:tc>
        <w:tc>
          <w:tcPr>
            <w:tcW w:w="1135" w:type="dxa"/>
            <w:vMerge w:val="restart"/>
            <w:noWrap w:val="0"/>
            <w:vAlign w:val="center"/>
          </w:tcPr>
          <w:p w14:paraId="1B59F7F2">
            <w:pPr>
              <w:jc w:val="both"/>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田间灌溉主管道支管道</w:t>
            </w:r>
          </w:p>
        </w:tc>
        <w:tc>
          <w:tcPr>
            <w:tcW w:w="6523" w:type="dxa"/>
            <w:noWrap w:val="0"/>
            <w:vAlign w:val="center"/>
          </w:tcPr>
          <w:p w14:paraId="17F27A4B">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DN110PE给水管专项参数（1.6MPa）</w:t>
            </w:r>
          </w:p>
          <w:p w14:paraId="1EC2DA05">
            <w:pPr>
              <w:numPr>
                <w:ilvl w:val="0"/>
                <w:numId w:val="12"/>
              </w:numPr>
              <w:ind w:left="0" w:leftChars="0" w:firstLine="0"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公称压力：1.6MPa，管材耐压、抗爆性能满足长期高压输水作业。</w:t>
            </w:r>
          </w:p>
          <w:p w14:paraId="68E75000">
            <w:pPr>
              <w:numPr>
                <w:ilvl w:val="0"/>
                <w:numId w:val="12"/>
              </w:numPr>
              <w:ind w:left="0" w:leftChars="0" w:firstLine="0" w:firstLineChars="0"/>
              <w:rPr>
                <w:rFonts w:hint="eastAsia" w:ascii="宋体" w:hAnsi="宋体" w:eastAsia="宋体" w:cs="宋体"/>
                <w:color w:val="auto"/>
                <w:kern w:val="0"/>
                <w:sz w:val="20"/>
              </w:rPr>
            </w:pPr>
            <w:r>
              <w:rPr>
                <w:rFonts w:hint="eastAsia" w:ascii="宋体" w:hAnsi="宋体" w:eastAsia="宋体" w:cs="宋体"/>
                <w:color w:val="auto"/>
                <w:kern w:val="0"/>
                <w:sz w:val="20"/>
                <w:lang w:val="en-US" w:eastAsia="zh-CN"/>
              </w:rPr>
              <w:t>物理性能：拉伸强度、断裂伸长率、静液压强度、热稳定性等指标全部符合国标要求，耐低温、抗老化，户外使用寿命长。</w:t>
            </w:r>
          </w:p>
        </w:tc>
        <w:tc>
          <w:tcPr>
            <w:tcW w:w="754" w:type="dxa"/>
            <w:noWrap w:val="0"/>
            <w:vAlign w:val="center"/>
          </w:tcPr>
          <w:p w14:paraId="42E351A1">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2700</w:t>
            </w:r>
          </w:p>
        </w:tc>
        <w:tc>
          <w:tcPr>
            <w:tcW w:w="375" w:type="dxa"/>
            <w:noWrap w:val="0"/>
            <w:vAlign w:val="center"/>
          </w:tcPr>
          <w:p w14:paraId="3E85FBFC">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米</w:t>
            </w:r>
          </w:p>
        </w:tc>
        <w:tc>
          <w:tcPr>
            <w:tcW w:w="720" w:type="dxa"/>
            <w:noWrap w:val="0"/>
            <w:vAlign w:val="center"/>
          </w:tcPr>
          <w:p w14:paraId="2EFD6E5C">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否</w:t>
            </w:r>
          </w:p>
        </w:tc>
      </w:tr>
      <w:tr w14:paraId="567F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672" w:type="dxa"/>
            <w:vMerge w:val="continue"/>
            <w:noWrap w:val="0"/>
            <w:vAlign w:val="center"/>
          </w:tcPr>
          <w:p w14:paraId="0D6198BF">
            <w:pPr>
              <w:jc w:val="center"/>
              <w:rPr>
                <w:rFonts w:hint="eastAsia" w:ascii="宋体" w:hAnsi="宋体" w:eastAsia="宋体" w:cs="宋体"/>
                <w:b/>
                <w:bCs/>
                <w:color w:val="auto"/>
                <w:kern w:val="0"/>
                <w:sz w:val="20"/>
                <w:lang w:val="en-US" w:eastAsia="zh-CN"/>
              </w:rPr>
            </w:pPr>
          </w:p>
        </w:tc>
        <w:tc>
          <w:tcPr>
            <w:tcW w:w="1135" w:type="dxa"/>
            <w:vMerge w:val="continue"/>
            <w:noWrap w:val="0"/>
            <w:vAlign w:val="center"/>
          </w:tcPr>
          <w:p w14:paraId="1BCA5139">
            <w:pPr>
              <w:jc w:val="both"/>
              <w:rPr>
                <w:rFonts w:hint="eastAsia" w:ascii="宋体" w:hAnsi="宋体" w:eastAsia="宋体" w:cs="宋体"/>
                <w:color w:val="auto"/>
                <w:kern w:val="0"/>
                <w:sz w:val="20"/>
                <w:lang w:val="en-US" w:eastAsia="zh-CN"/>
              </w:rPr>
            </w:pPr>
          </w:p>
        </w:tc>
        <w:tc>
          <w:tcPr>
            <w:tcW w:w="6523" w:type="dxa"/>
            <w:noWrap w:val="0"/>
            <w:vAlign w:val="center"/>
          </w:tcPr>
          <w:p w14:paraId="6A8E1F9F">
            <w:pPr>
              <w:numPr>
                <w:ilvl w:val="0"/>
                <w:numId w:val="0"/>
              </w:num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DN63PE给水管专项参数（1.6MPa）</w:t>
            </w:r>
          </w:p>
          <w:p w14:paraId="5631BD21">
            <w:pPr>
              <w:numPr>
                <w:ilvl w:val="0"/>
                <w:numId w:val="13"/>
              </w:numPr>
              <w:ind w:left="0" w:leftChars="0" w:firstLine="0"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公称压力：1.6MPa，适配田间分支管路高压输水工况。</w:t>
            </w:r>
          </w:p>
          <w:p w14:paraId="02334DFE">
            <w:pPr>
              <w:numPr>
                <w:ilvl w:val="0"/>
                <w:numId w:val="13"/>
              </w:numPr>
              <w:ind w:left="0" w:leftChars="0" w:firstLine="0"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物理性能：具备优良的柔韧性、抗冲击性，可适应田间复杂地形敷设，不易破损、开裂，耐酸碱腐蚀，适配水肥混合液体输送。</w:t>
            </w:r>
          </w:p>
        </w:tc>
        <w:tc>
          <w:tcPr>
            <w:tcW w:w="754" w:type="dxa"/>
            <w:noWrap w:val="0"/>
            <w:vAlign w:val="center"/>
          </w:tcPr>
          <w:p w14:paraId="50111026">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3000</w:t>
            </w:r>
          </w:p>
        </w:tc>
        <w:tc>
          <w:tcPr>
            <w:tcW w:w="375" w:type="dxa"/>
            <w:noWrap w:val="0"/>
            <w:vAlign w:val="center"/>
          </w:tcPr>
          <w:p w14:paraId="3A76E9F7">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米</w:t>
            </w:r>
          </w:p>
        </w:tc>
        <w:tc>
          <w:tcPr>
            <w:tcW w:w="720" w:type="dxa"/>
            <w:noWrap w:val="0"/>
            <w:vAlign w:val="center"/>
          </w:tcPr>
          <w:p w14:paraId="5D180FEE">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否</w:t>
            </w:r>
          </w:p>
        </w:tc>
      </w:tr>
      <w:tr w14:paraId="62A4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0179" w:type="dxa"/>
            <w:gridSpan w:val="6"/>
            <w:noWrap w:val="0"/>
            <w:vAlign w:val="center"/>
          </w:tcPr>
          <w:p w14:paraId="22A36307">
            <w:pPr>
              <w:jc w:val="center"/>
              <w:rPr>
                <w:rFonts w:hint="eastAsia" w:ascii="宋体" w:hAnsi="宋体" w:eastAsia="宋体" w:cs="宋体"/>
                <w:color w:val="auto"/>
                <w:kern w:val="0"/>
                <w:sz w:val="20"/>
                <w:lang w:val="en-US" w:eastAsia="zh-CN"/>
              </w:rPr>
            </w:pPr>
            <w:r>
              <w:rPr>
                <w:rFonts w:hint="eastAsia" w:ascii="宋体" w:hAnsi="宋体" w:eastAsia="宋体" w:cs="宋体"/>
                <w:b/>
                <w:bCs/>
                <w:color w:val="auto"/>
                <w:kern w:val="0"/>
                <w:sz w:val="20"/>
                <w:lang w:val="en-US" w:eastAsia="zh-CN"/>
              </w:rPr>
              <w:t>第二标段</w:t>
            </w:r>
          </w:p>
        </w:tc>
      </w:tr>
      <w:tr w14:paraId="1CD5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4B28E21F">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rPr>
              <w:t>序号</w:t>
            </w:r>
          </w:p>
        </w:tc>
        <w:tc>
          <w:tcPr>
            <w:tcW w:w="1135" w:type="dxa"/>
            <w:noWrap w:val="0"/>
            <w:vAlign w:val="center"/>
          </w:tcPr>
          <w:p w14:paraId="2F196D39">
            <w:pPr>
              <w:jc w:val="center"/>
              <w:rPr>
                <w:rFonts w:hint="eastAsia" w:ascii="宋体" w:hAnsi="宋体" w:eastAsia="宋体" w:cs="宋体"/>
                <w:color w:val="auto"/>
                <w:kern w:val="0"/>
                <w:sz w:val="20"/>
                <w:lang w:val="en-US" w:eastAsia="zh-CN"/>
              </w:rPr>
            </w:pPr>
            <w:r>
              <w:rPr>
                <w:rFonts w:hint="eastAsia" w:ascii="宋体" w:hAnsi="宋体" w:eastAsia="宋体" w:cs="宋体"/>
                <w:b/>
                <w:bCs/>
                <w:color w:val="auto"/>
                <w:kern w:val="0"/>
                <w:sz w:val="20"/>
                <w:lang w:val="en-US" w:eastAsia="zh-CN"/>
              </w:rPr>
              <w:t>货品</w:t>
            </w:r>
            <w:r>
              <w:rPr>
                <w:rFonts w:hint="eastAsia" w:ascii="宋体" w:hAnsi="宋体" w:eastAsia="宋体" w:cs="宋体"/>
                <w:b/>
                <w:bCs/>
                <w:color w:val="auto"/>
                <w:kern w:val="0"/>
                <w:sz w:val="20"/>
              </w:rPr>
              <w:t>名称</w:t>
            </w:r>
          </w:p>
        </w:tc>
        <w:tc>
          <w:tcPr>
            <w:tcW w:w="6523" w:type="dxa"/>
            <w:noWrap w:val="0"/>
            <w:vAlign w:val="center"/>
          </w:tcPr>
          <w:p w14:paraId="3DA45DCB">
            <w:pPr>
              <w:jc w:val="center"/>
              <w:rPr>
                <w:rFonts w:hint="eastAsia" w:ascii="宋体" w:hAnsi="宋体" w:eastAsia="宋体" w:cs="宋体"/>
                <w:color w:val="auto"/>
                <w:kern w:val="0"/>
                <w:sz w:val="20"/>
                <w:lang w:val="en-US" w:eastAsia="zh-CN"/>
              </w:rPr>
            </w:pPr>
            <w:r>
              <w:rPr>
                <w:rFonts w:hint="eastAsia" w:ascii="宋体" w:hAnsi="宋体" w:eastAsia="宋体" w:cs="宋体"/>
                <w:b/>
                <w:bCs/>
                <w:color w:val="auto"/>
                <w:kern w:val="0"/>
                <w:sz w:val="20"/>
                <w:lang w:val="en-US" w:eastAsia="zh-CN"/>
              </w:rPr>
              <w:t>技术参数</w:t>
            </w:r>
          </w:p>
        </w:tc>
        <w:tc>
          <w:tcPr>
            <w:tcW w:w="754" w:type="dxa"/>
            <w:noWrap w:val="0"/>
            <w:vAlign w:val="center"/>
          </w:tcPr>
          <w:p w14:paraId="60DBE335">
            <w:pPr>
              <w:jc w:val="center"/>
              <w:rPr>
                <w:rFonts w:hint="eastAsia" w:ascii="宋体" w:hAnsi="宋体" w:eastAsia="宋体" w:cs="宋体"/>
                <w:color w:val="auto"/>
                <w:kern w:val="0"/>
                <w:sz w:val="20"/>
                <w:lang w:val="en-US" w:eastAsia="zh-CN"/>
              </w:rPr>
            </w:pPr>
            <w:r>
              <w:rPr>
                <w:rFonts w:hint="eastAsia" w:ascii="宋体" w:hAnsi="宋体" w:eastAsia="宋体" w:cs="宋体"/>
                <w:b/>
                <w:bCs/>
                <w:color w:val="auto"/>
                <w:kern w:val="0"/>
                <w:sz w:val="20"/>
              </w:rPr>
              <w:t>数量</w:t>
            </w:r>
          </w:p>
        </w:tc>
        <w:tc>
          <w:tcPr>
            <w:tcW w:w="375" w:type="dxa"/>
            <w:noWrap w:val="0"/>
            <w:vAlign w:val="center"/>
          </w:tcPr>
          <w:p w14:paraId="375AEAFB">
            <w:pPr>
              <w:jc w:val="center"/>
              <w:rPr>
                <w:rFonts w:hint="eastAsia" w:ascii="宋体" w:hAnsi="宋体" w:eastAsia="宋体" w:cs="宋体"/>
                <w:color w:val="auto"/>
                <w:kern w:val="0"/>
                <w:sz w:val="20"/>
                <w:lang w:val="en-US" w:eastAsia="zh-CN"/>
              </w:rPr>
            </w:pPr>
            <w:r>
              <w:rPr>
                <w:rFonts w:hint="eastAsia" w:ascii="宋体" w:hAnsi="宋体" w:eastAsia="宋体" w:cs="宋体"/>
                <w:b/>
                <w:bCs/>
                <w:color w:val="auto"/>
                <w:kern w:val="0"/>
                <w:sz w:val="20"/>
              </w:rPr>
              <w:t>单位</w:t>
            </w:r>
          </w:p>
        </w:tc>
        <w:tc>
          <w:tcPr>
            <w:tcW w:w="720" w:type="dxa"/>
            <w:noWrap w:val="0"/>
            <w:vAlign w:val="center"/>
          </w:tcPr>
          <w:p w14:paraId="3156306A">
            <w:pPr>
              <w:jc w:val="center"/>
              <w:rPr>
                <w:rFonts w:hint="eastAsia" w:ascii="宋体" w:hAnsi="宋体" w:eastAsia="宋体" w:cs="宋体"/>
                <w:color w:val="auto"/>
                <w:kern w:val="0"/>
                <w:sz w:val="20"/>
                <w:lang w:val="en-US" w:eastAsia="zh-CN"/>
              </w:rPr>
            </w:pPr>
            <w:r>
              <w:rPr>
                <w:rFonts w:hint="eastAsia" w:ascii="宋体" w:hAnsi="宋体" w:eastAsia="宋体" w:cs="宋体"/>
                <w:b/>
                <w:bCs/>
                <w:color w:val="auto"/>
                <w:kern w:val="0"/>
                <w:sz w:val="20"/>
                <w:lang w:val="en-US" w:eastAsia="zh-CN"/>
              </w:rPr>
              <w:t>是否核心产品</w:t>
            </w:r>
          </w:p>
        </w:tc>
      </w:tr>
      <w:tr w14:paraId="1605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4FA0D372">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1</w:t>
            </w:r>
          </w:p>
        </w:tc>
        <w:tc>
          <w:tcPr>
            <w:tcW w:w="1135" w:type="dxa"/>
            <w:noWrap w:val="0"/>
            <w:vAlign w:val="center"/>
          </w:tcPr>
          <w:p w14:paraId="7A6522CB">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中药材有机肥</w:t>
            </w:r>
          </w:p>
        </w:tc>
        <w:tc>
          <w:tcPr>
            <w:tcW w:w="6523" w:type="dxa"/>
            <w:noWrap w:val="0"/>
            <w:vAlign w:val="center"/>
          </w:tcPr>
          <w:p w14:paraId="2F177A2C">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1.产品形态：固体。</w:t>
            </w:r>
          </w:p>
          <w:p w14:paraId="327FD578">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2.技术指标：N+P</w:t>
            </w:r>
            <w:r>
              <w:rPr>
                <w:rFonts w:hint="eastAsia" w:ascii="宋体" w:hAnsi="宋体" w:eastAsia="宋体" w:cs="宋体"/>
                <w:color w:val="auto"/>
                <w:kern w:val="0"/>
                <w:sz w:val="20"/>
                <w:vertAlign w:val="subscript"/>
                <w:lang w:val="en-US" w:eastAsia="zh-CN"/>
              </w:rPr>
              <w:t>2</w:t>
            </w:r>
            <w:r>
              <w:rPr>
                <w:rFonts w:hint="eastAsia" w:ascii="宋体" w:hAnsi="宋体" w:eastAsia="宋体" w:cs="宋体"/>
                <w:color w:val="auto"/>
                <w:kern w:val="0"/>
                <w:sz w:val="20"/>
                <w:lang w:val="en-US" w:eastAsia="zh-CN"/>
              </w:rPr>
              <w:t>O</w:t>
            </w:r>
            <w:r>
              <w:rPr>
                <w:rFonts w:hint="eastAsia" w:ascii="宋体" w:hAnsi="宋体" w:eastAsia="宋体" w:cs="宋体"/>
                <w:color w:val="auto"/>
                <w:kern w:val="0"/>
                <w:sz w:val="20"/>
                <w:vertAlign w:val="subscript"/>
                <w:lang w:val="en-US" w:eastAsia="zh-CN"/>
              </w:rPr>
              <w:t>5</w:t>
            </w:r>
            <w:r>
              <w:rPr>
                <w:rFonts w:hint="eastAsia" w:ascii="宋体" w:hAnsi="宋体" w:eastAsia="宋体" w:cs="宋体"/>
                <w:color w:val="auto"/>
                <w:kern w:val="0"/>
                <w:sz w:val="20"/>
                <w:lang w:val="en-US" w:eastAsia="zh-CN"/>
              </w:rPr>
              <w:t>+K</w:t>
            </w:r>
            <w:r>
              <w:rPr>
                <w:rFonts w:hint="eastAsia" w:ascii="宋体" w:hAnsi="宋体" w:eastAsia="宋体" w:cs="宋体"/>
                <w:color w:val="auto"/>
                <w:kern w:val="0"/>
                <w:sz w:val="20"/>
                <w:vertAlign w:val="subscript"/>
                <w:lang w:val="en-US" w:eastAsia="zh-CN"/>
              </w:rPr>
              <w:t>2</w:t>
            </w:r>
            <w:r>
              <w:rPr>
                <w:rFonts w:hint="eastAsia" w:ascii="宋体" w:hAnsi="宋体" w:eastAsia="宋体" w:cs="宋体"/>
                <w:color w:val="auto"/>
                <w:kern w:val="0"/>
                <w:sz w:val="20"/>
                <w:lang w:val="en-US" w:eastAsia="zh-CN"/>
              </w:rPr>
              <w:t>O≥4%，有机质≥30%。</w:t>
            </w:r>
          </w:p>
          <w:p w14:paraId="6CFE2D66">
            <w:pPr>
              <w:numPr>
                <w:ilvl w:val="0"/>
                <w:numId w:val="0"/>
              </w:numPr>
              <w:ind w:left="0" w:leftChars="0" w:firstLine="0"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3.规格：50kg/袋</w:t>
            </w:r>
          </w:p>
        </w:tc>
        <w:tc>
          <w:tcPr>
            <w:tcW w:w="754" w:type="dxa"/>
            <w:noWrap w:val="0"/>
            <w:vAlign w:val="center"/>
          </w:tcPr>
          <w:p w14:paraId="29DBBD3F">
            <w:pPr>
              <w:jc w:val="both"/>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7000</w:t>
            </w:r>
          </w:p>
        </w:tc>
        <w:tc>
          <w:tcPr>
            <w:tcW w:w="375" w:type="dxa"/>
            <w:noWrap w:val="0"/>
            <w:vAlign w:val="center"/>
          </w:tcPr>
          <w:p w14:paraId="3166F15C">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袋</w:t>
            </w:r>
          </w:p>
        </w:tc>
        <w:tc>
          <w:tcPr>
            <w:tcW w:w="720" w:type="dxa"/>
            <w:noWrap w:val="0"/>
            <w:vAlign w:val="center"/>
          </w:tcPr>
          <w:p w14:paraId="4AF20CDA">
            <w:pPr>
              <w:ind w:firstLine="200" w:firstLineChars="10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是</w:t>
            </w:r>
          </w:p>
        </w:tc>
      </w:tr>
      <w:tr w14:paraId="3DC01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noWrap w:val="0"/>
            <w:vAlign w:val="center"/>
          </w:tcPr>
          <w:p w14:paraId="0CF5F183">
            <w:pPr>
              <w:jc w:val="center"/>
              <w:rPr>
                <w:rFonts w:hint="eastAsia" w:ascii="宋体" w:hAnsi="宋体" w:eastAsia="宋体" w:cs="宋体"/>
                <w:b/>
                <w:bCs/>
                <w:color w:val="auto"/>
                <w:kern w:val="0"/>
                <w:sz w:val="20"/>
                <w:lang w:val="en-US" w:eastAsia="zh-CN"/>
              </w:rPr>
            </w:pPr>
            <w:r>
              <w:rPr>
                <w:rFonts w:hint="eastAsia" w:ascii="宋体" w:hAnsi="宋体" w:eastAsia="宋体" w:cs="宋体"/>
                <w:b/>
                <w:bCs/>
                <w:color w:val="auto"/>
                <w:kern w:val="0"/>
                <w:sz w:val="20"/>
                <w:lang w:val="en-US" w:eastAsia="zh-CN"/>
              </w:rPr>
              <w:t>2</w:t>
            </w:r>
          </w:p>
        </w:tc>
        <w:tc>
          <w:tcPr>
            <w:tcW w:w="1135" w:type="dxa"/>
            <w:noWrap w:val="0"/>
            <w:vAlign w:val="center"/>
          </w:tcPr>
          <w:p w14:paraId="5C7B9225">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中药材复合肥</w:t>
            </w:r>
          </w:p>
        </w:tc>
        <w:tc>
          <w:tcPr>
            <w:tcW w:w="6523" w:type="dxa"/>
            <w:noWrap w:val="0"/>
            <w:vAlign w:val="center"/>
          </w:tcPr>
          <w:p w14:paraId="436D7616">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1.产品形态：颗粒状，外观均匀，无明显结块。</w:t>
            </w:r>
          </w:p>
          <w:p w14:paraId="005696A4">
            <w:pPr>
              <w:numPr>
                <w:ilvl w:val="0"/>
                <w:numId w:val="0"/>
              </w:numPr>
              <w:ind w:left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2.养分配比：氮（N）-五氧化二磷（P</w:t>
            </w:r>
            <w:r>
              <w:rPr>
                <w:rFonts w:hint="eastAsia" w:ascii="宋体" w:hAnsi="宋体" w:eastAsia="宋体" w:cs="宋体"/>
                <w:color w:val="auto"/>
                <w:kern w:val="0"/>
                <w:sz w:val="20"/>
                <w:vertAlign w:val="subscript"/>
                <w:lang w:val="en-US" w:eastAsia="zh-CN"/>
              </w:rPr>
              <w:t>2</w:t>
            </w:r>
            <w:r>
              <w:rPr>
                <w:rFonts w:hint="eastAsia" w:ascii="宋体" w:hAnsi="宋体" w:eastAsia="宋体" w:cs="宋体"/>
                <w:color w:val="auto"/>
                <w:kern w:val="0"/>
                <w:sz w:val="20"/>
                <w:lang w:val="en-US" w:eastAsia="zh-CN"/>
              </w:rPr>
              <w:t>O</w:t>
            </w:r>
            <w:r>
              <w:rPr>
                <w:rFonts w:hint="eastAsia" w:ascii="宋体" w:hAnsi="宋体" w:eastAsia="宋体" w:cs="宋体"/>
                <w:color w:val="auto"/>
                <w:kern w:val="0"/>
                <w:sz w:val="20"/>
                <w:vertAlign w:val="subscript"/>
                <w:lang w:val="en-US" w:eastAsia="zh-CN"/>
              </w:rPr>
              <w:t>5）</w:t>
            </w:r>
            <w:r>
              <w:rPr>
                <w:rFonts w:hint="eastAsia" w:ascii="宋体" w:hAnsi="宋体" w:eastAsia="宋体" w:cs="宋体"/>
                <w:color w:val="auto"/>
                <w:kern w:val="0"/>
                <w:sz w:val="20"/>
                <w:lang w:val="en-US" w:eastAsia="zh-CN"/>
              </w:rPr>
              <w:t>-氧化钾（K</w:t>
            </w:r>
            <w:r>
              <w:rPr>
                <w:rFonts w:hint="eastAsia" w:ascii="宋体" w:hAnsi="宋体" w:eastAsia="宋体" w:cs="宋体"/>
                <w:color w:val="auto"/>
                <w:kern w:val="0"/>
                <w:sz w:val="20"/>
                <w:vertAlign w:val="subscript"/>
                <w:lang w:val="en-US" w:eastAsia="zh-CN"/>
              </w:rPr>
              <w:t>2</w:t>
            </w:r>
            <w:r>
              <w:rPr>
                <w:rFonts w:hint="eastAsia" w:ascii="宋体" w:hAnsi="宋体" w:eastAsia="宋体" w:cs="宋体"/>
                <w:color w:val="auto"/>
                <w:kern w:val="0"/>
                <w:sz w:val="20"/>
                <w:lang w:val="en-US" w:eastAsia="zh-CN"/>
              </w:rPr>
              <w:t>O）为30-5-5；总养分≥40%。</w:t>
            </w:r>
          </w:p>
          <w:p w14:paraId="2CC178EF">
            <w:pPr>
              <w:numPr>
                <w:ilvl w:val="0"/>
                <w:numId w:val="0"/>
              </w:numPr>
              <w:ind w:left="0" w:leftChars="0" w:firstLine="0" w:firstLineChars="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3.规格：40kg/袋</w:t>
            </w:r>
          </w:p>
        </w:tc>
        <w:tc>
          <w:tcPr>
            <w:tcW w:w="754" w:type="dxa"/>
            <w:noWrap w:val="0"/>
            <w:vAlign w:val="center"/>
          </w:tcPr>
          <w:p w14:paraId="134E500F">
            <w:pPr>
              <w:jc w:val="cente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4500</w:t>
            </w:r>
          </w:p>
        </w:tc>
        <w:tc>
          <w:tcPr>
            <w:tcW w:w="375" w:type="dxa"/>
            <w:noWrap w:val="0"/>
            <w:vAlign w:val="center"/>
          </w:tcPr>
          <w:p w14:paraId="33F7BAA0">
            <w:pPr>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袋</w:t>
            </w:r>
          </w:p>
        </w:tc>
        <w:tc>
          <w:tcPr>
            <w:tcW w:w="720" w:type="dxa"/>
            <w:noWrap w:val="0"/>
            <w:vAlign w:val="center"/>
          </w:tcPr>
          <w:p w14:paraId="1284F78E">
            <w:pPr>
              <w:ind w:firstLine="200" w:firstLineChars="100"/>
              <w:rPr>
                <w:rFonts w:hint="eastAsia"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是</w:t>
            </w:r>
          </w:p>
        </w:tc>
      </w:tr>
    </w:tbl>
    <w:p w14:paraId="54B810FD">
      <w:pPr>
        <w:keepNext w:val="0"/>
        <w:keepLines w:val="0"/>
        <w:pageBreakBefore w:val="0"/>
        <w:wordWrap/>
        <w:overflowPunct/>
        <w:topLinePunct w:val="0"/>
        <w:bidi w:val="0"/>
        <w:snapToGrid w:val="0"/>
        <w:spacing w:line="520" w:lineRule="exact"/>
        <w:ind w:firstLine="211" w:firstLineChars="100"/>
        <w:rPr>
          <w:rFonts w:hint="eastAsia" w:ascii="宋体" w:hAnsi="宋体" w:eastAsia="宋体" w:cs="宋体"/>
          <w:color w:val="auto"/>
          <w:sz w:val="21"/>
          <w:szCs w:val="21"/>
          <w:lang w:val="zh-CN"/>
        </w:rPr>
      </w:pPr>
      <w:r>
        <w:rPr>
          <w:rStyle w:val="32"/>
          <w:rFonts w:hint="eastAsia" w:ascii="宋体" w:hAnsi="宋体" w:eastAsia="宋体" w:cs="宋体"/>
          <w:b/>
          <w:bCs/>
          <w:color w:val="auto"/>
          <w:sz w:val="21"/>
          <w:szCs w:val="21"/>
        </w:rPr>
        <w:t>注：本采购清单中所列技术规格或参数要求为最低要求，</w:t>
      </w:r>
      <w:r>
        <w:rPr>
          <w:rStyle w:val="32"/>
          <w:rFonts w:hint="eastAsia" w:ascii="宋体" w:hAnsi="宋体" w:eastAsia="宋体" w:cs="宋体"/>
          <w:b/>
          <w:bCs/>
          <w:color w:val="auto"/>
          <w:sz w:val="21"/>
          <w:szCs w:val="21"/>
          <w:lang w:val="en-US" w:eastAsia="zh-CN"/>
        </w:rPr>
        <w:t>需对上述参数进行实质性响应，</w:t>
      </w:r>
      <w:r>
        <w:rPr>
          <w:rStyle w:val="32"/>
          <w:rFonts w:hint="eastAsia" w:ascii="宋体" w:hAnsi="宋体" w:eastAsia="宋体" w:cs="宋体"/>
          <w:b/>
          <w:bCs/>
          <w:color w:val="auto"/>
          <w:sz w:val="21"/>
          <w:szCs w:val="21"/>
        </w:rPr>
        <w:t>不允许负偏离，否则将承担其投标被视为非实质性响应投标的风险。</w:t>
      </w:r>
    </w:p>
    <w:p w14:paraId="375982DF">
      <w:pPr>
        <w:pStyle w:val="42"/>
        <w:keepNext w:val="0"/>
        <w:keepLines w:val="0"/>
        <w:pageBreakBefore w:val="0"/>
        <w:wordWrap/>
        <w:overflowPunct/>
        <w:topLinePunct w:val="0"/>
        <w:bidi w:val="0"/>
        <w:spacing w:line="520" w:lineRule="exact"/>
        <w:rPr>
          <w:rFonts w:hint="eastAsia" w:ascii="宋体" w:hAnsi="宋体" w:eastAsia="宋体" w:cs="宋体"/>
          <w:b/>
          <w:bCs/>
          <w:color w:val="auto"/>
          <w:sz w:val="21"/>
          <w:szCs w:val="21"/>
          <w:shd w:val="clear" w:color="auto" w:fill="FFFFFF"/>
          <w:lang w:val="zh-CN"/>
        </w:rPr>
      </w:pPr>
      <w:r>
        <w:rPr>
          <w:rFonts w:hint="eastAsia" w:ascii="宋体" w:hAnsi="宋体" w:eastAsia="宋体" w:cs="宋体"/>
          <w:b/>
          <w:bCs/>
          <w:color w:val="auto"/>
          <w:sz w:val="21"/>
          <w:szCs w:val="21"/>
          <w:shd w:val="clear" w:color="auto" w:fill="FFFFFF"/>
        </w:rPr>
        <w:t>三</w:t>
      </w:r>
      <w:r>
        <w:rPr>
          <w:rFonts w:hint="eastAsia" w:ascii="宋体" w:hAnsi="宋体" w:eastAsia="宋体" w:cs="宋体"/>
          <w:b/>
          <w:bCs/>
          <w:color w:val="auto"/>
          <w:sz w:val="21"/>
          <w:szCs w:val="21"/>
          <w:shd w:val="clear" w:color="auto" w:fill="FFFFFF"/>
          <w:lang w:val="zh-CN"/>
        </w:rPr>
        <w:t>、服务</w:t>
      </w:r>
      <w:r>
        <w:rPr>
          <w:rFonts w:hint="eastAsia" w:ascii="宋体" w:hAnsi="宋体" w:eastAsia="宋体" w:cs="宋体"/>
          <w:b/>
          <w:bCs/>
          <w:color w:val="auto"/>
          <w:sz w:val="21"/>
          <w:szCs w:val="21"/>
          <w:shd w:val="clear" w:color="auto" w:fill="FFFFFF"/>
        </w:rPr>
        <w:t>标准</w:t>
      </w:r>
      <w:r>
        <w:rPr>
          <w:rFonts w:hint="eastAsia" w:ascii="宋体" w:hAnsi="宋体" w:eastAsia="宋体" w:cs="宋体"/>
          <w:b/>
          <w:bCs/>
          <w:color w:val="auto"/>
          <w:sz w:val="21"/>
          <w:szCs w:val="21"/>
          <w:shd w:val="clear" w:color="auto" w:fill="FFFFFF"/>
          <w:lang w:val="zh-CN"/>
        </w:rPr>
        <w:t>、期限等要求</w:t>
      </w:r>
    </w:p>
    <w:p w14:paraId="022EAA6E">
      <w:pPr>
        <w:keepNext w:val="0"/>
        <w:keepLines w:val="0"/>
        <w:pageBreakBefore w:val="0"/>
        <w:numPr>
          <w:ilvl w:val="0"/>
          <w:numId w:val="0"/>
        </w:numPr>
        <w:wordWrap/>
        <w:overflowPunct/>
        <w:topLinePunct w:val="0"/>
        <w:autoSpaceDE w:val="0"/>
        <w:autoSpaceDN w:val="0"/>
        <w:bidi w:val="0"/>
        <w:adjustRightInd w:val="0"/>
        <w:spacing w:line="52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第一标段：</w:t>
      </w:r>
    </w:p>
    <w:p w14:paraId="4D7EAF8F">
      <w:pPr>
        <w:keepNext w:val="0"/>
        <w:keepLines w:val="0"/>
        <w:pageBreakBefore w:val="0"/>
        <w:numPr>
          <w:ilvl w:val="0"/>
          <w:numId w:val="0"/>
        </w:numPr>
        <w:wordWrap/>
        <w:overflowPunct/>
        <w:topLinePunct w:val="0"/>
        <w:autoSpaceDE w:val="0"/>
        <w:autoSpaceDN w:val="0"/>
        <w:bidi w:val="0"/>
        <w:adjustRightInd w:val="0"/>
        <w:spacing w:line="52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en-US" w:eastAsia="zh-CN"/>
        </w:rPr>
        <w:t>合同履行期限</w:t>
      </w:r>
      <w:r>
        <w:rPr>
          <w:rFonts w:hint="eastAsia" w:ascii="宋体" w:hAnsi="宋体" w:eastAsia="宋体" w:cs="宋体"/>
          <w:color w:val="auto"/>
          <w:sz w:val="21"/>
          <w:szCs w:val="21"/>
        </w:rPr>
        <w:t>：合同签订后30日历天；</w:t>
      </w:r>
    </w:p>
    <w:p w14:paraId="21891D10">
      <w:pPr>
        <w:keepNext w:val="0"/>
        <w:keepLines w:val="0"/>
        <w:pageBreakBefore w:val="0"/>
        <w:numPr>
          <w:ilvl w:val="0"/>
          <w:numId w:val="0"/>
        </w:numPr>
        <w:wordWrap/>
        <w:overflowPunct/>
        <w:topLinePunct w:val="0"/>
        <w:autoSpaceDE w:val="0"/>
        <w:autoSpaceDN w:val="0"/>
        <w:bidi w:val="0"/>
        <w:adjustRightInd w:val="0"/>
        <w:spacing w:line="52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2.质保期1年，质保期内设备发生故障时，成交企业要在30分钟内电话响应，2小时到达现场，24小时之内解决故障。                          </w:t>
      </w:r>
    </w:p>
    <w:p w14:paraId="40428600">
      <w:pPr>
        <w:keepNext w:val="0"/>
        <w:keepLines w:val="0"/>
        <w:pageBreakBefore w:val="0"/>
        <w:wordWrap/>
        <w:overflowPunct/>
        <w:topLinePunct w:val="0"/>
        <w:autoSpaceDE w:val="0"/>
        <w:autoSpaceDN w:val="0"/>
        <w:bidi w:val="0"/>
        <w:adjustRightInd w:val="0"/>
        <w:spacing w:line="520" w:lineRule="exact"/>
        <w:ind w:firstLine="420" w:firstLineChars="200"/>
        <w:rPr>
          <w:rFonts w:hint="eastAsia" w:ascii="宋体" w:hAnsi="宋体" w:eastAsia="宋体" w:cs="宋体"/>
          <w:color w:val="auto"/>
          <w:sz w:val="21"/>
          <w:szCs w:val="21"/>
          <w:lang w:val="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质量要求：</w:t>
      </w:r>
      <w:r>
        <w:rPr>
          <w:rFonts w:hint="eastAsia" w:ascii="宋体" w:hAnsi="宋体" w:eastAsia="宋体" w:cs="宋体"/>
          <w:color w:val="auto"/>
          <w:sz w:val="21"/>
          <w:szCs w:val="21"/>
          <w:lang w:val="en-US" w:eastAsia="zh-CN"/>
        </w:rPr>
        <w:t>合格，</w:t>
      </w:r>
      <w:r>
        <w:rPr>
          <w:rFonts w:hint="eastAsia" w:ascii="宋体" w:hAnsi="宋体" w:eastAsia="宋体" w:cs="宋体"/>
          <w:b w:val="0"/>
          <w:bCs w:val="0"/>
          <w:color w:val="auto"/>
          <w:sz w:val="21"/>
          <w:szCs w:val="21"/>
        </w:rPr>
        <w:t>符合国家现行规范和要求</w:t>
      </w:r>
      <w:r>
        <w:rPr>
          <w:rFonts w:hint="eastAsia" w:ascii="宋体" w:hAnsi="宋体" w:eastAsia="宋体" w:cs="宋体"/>
          <w:color w:val="auto"/>
          <w:sz w:val="21"/>
          <w:szCs w:val="21"/>
          <w:lang w:val="zh-CN"/>
        </w:rPr>
        <w:t>。</w:t>
      </w:r>
    </w:p>
    <w:p w14:paraId="2DB3E095">
      <w:pPr>
        <w:keepNext w:val="0"/>
        <w:keepLines w:val="0"/>
        <w:pageBreakBefore w:val="0"/>
        <w:wordWrap/>
        <w:overflowPunct/>
        <w:topLinePunct w:val="0"/>
        <w:autoSpaceDE w:val="0"/>
        <w:autoSpaceDN w:val="0"/>
        <w:bidi w:val="0"/>
        <w:adjustRightInd w:val="0"/>
        <w:spacing w:line="52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第二标段：</w:t>
      </w:r>
    </w:p>
    <w:p w14:paraId="371CC114">
      <w:pPr>
        <w:keepNext w:val="0"/>
        <w:keepLines w:val="0"/>
        <w:pageBreakBefore w:val="0"/>
        <w:numPr>
          <w:ilvl w:val="0"/>
          <w:numId w:val="0"/>
        </w:numPr>
        <w:wordWrap/>
        <w:overflowPunct/>
        <w:topLinePunct w:val="0"/>
        <w:autoSpaceDE w:val="0"/>
        <w:autoSpaceDN w:val="0"/>
        <w:bidi w:val="0"/>
        <w:adjustRightInd w:val="0"/>
        <w:spacing w:line="52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en-US" w:eastAsia="zh-CN"/>
        </w:rPr>
        <w:t>合同履行期限</w:t>
      </w:r>
      <w:r>
        <w:rPr>
          <w:rFonts w:hint="eastAsia" w:ascii="宋体" w:hAnsi="宋体" w:eastAsia="宋体" w:cs="宋体"/>
          <w:color w:val="auto"/>
          <w:sz w:val="21"/>
          <w:szCs w:val="21"/>
        </w:rPr>
        <w:t>：合同签订后5日历天</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p>
    <w:p w14:paraId="1DDD6E3D">
      <w:pPr>
        <w:keepNext w:val="0"/>
        <w:keepLines w:val="0"/>
        <w:pageBreakBefore w:val="0"/>
        <w:wordWrap/>
        <w:overflowPunct/>
        <w:topLinePunct w:val="0"/>
        <w:autoSpaceDE w:val="0"/>
        <w:autoSpaceDN w:val="0"/>
        <w:bidi w:val="0"/>
        <w:adjustRightInd w:val="0"/>
        <w:spacing w:line="52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质量要求：</w:t>
      </w:r>
      <w:r>
        <w:rPr>
          <w:rFonts w:hint="eastAsia" w:ascii="宋体" w:hAnsi="宋体" w:eastAsia="宋体" w:cs="宋体"/>
          <w:color w:val="auto"/>
          <w:sz w:val="21"/>
          <w:szCs w:val="21"/>
          <w:lang w:val="en-US" w:eastAsia="zh-CN"/>
        </w:rPr>
        <w:t>合格，</w:t>
      </w:r>
      <w:r>
        <w:rPr>
          <w:rFonts w:hint="eastAsia" w:ascii="宋体" w:hAnsi="宋体" w:eastAsia="宋体" w:cs="宋体"/>
          <w:b w:val="0"/>
          <w:bCs w:val="0"/>
          <w:color w:val="auto"/>
          <w:sz w:val="21"/>
          <w:szCs w:val="21"/>
        </w:rPr>
        <w:t>符合国家现行规范和要求</w:t>
      </w:r>
      <w:r>
        <w:rPr>
          <w:rFonts w:hint="eastAsia" w:ascii="宋体" w:hAnsi="宋体" w:eastAsia="宋体" w:cs="宋体"/>
          <w:color w:val="auto"/>
          <w:sz w:val="21"/>
          <w:szCs w:val="21"/>
          <w:lang w:val="zh-CN"/>
        </w:rPr>
        <w:t>。</w:t>
      </w:r>
    </w:p>
    <w:p w14:paraId="19D45E4B">
      <w:pPr>
        <w:pStyle w:val="42"/>
        <w:keepNext w:val="0"/>
        <w:keepLines w:val="0"/>
        <w:pageBreakBefore w:val="0"/>
        <w:wordWrap/>
        <w:overflowPunct/>
        <w:topLinePunct w:val="0"/>
        <w:bidi w:val="0"/>
        <w:spacing w:line="520" w:lineRule="exact"/>
        <w:rPr>
          <w:rFonts w:hint="eastAsia" w:ascii="宋体" w:hAnsi="宋体" w:eastAsia="宋体" w:cs="宋体"/>
          <w:b/>
          <w:bCs/>
          <w:color w:val="auto"/>
          <w:sz w:val="21"/>
          <w:szCs w:val="21"/>
          <w:shd w:val="clear" w:color="auto" w:fill="FFFFFF"/>
          <w:lang w:val="zh-CN"/>
        </w:rPr>
      </w:pPr>
      <w:r>
        <w:rPr>
          <w:rFonts w:hint="eastAsia" w:ascii="宋体" w:hAnsi="宋体" w:eastAsia="宋体" w:cs="宋体"/>
          <w:b/>
          <w:bCs/>
          <w:color w:val="auto"/>
          <w:sz w:val="21"/>
          <w:szCs w:val="21"/>
          <w:shd w:val="clear" w:color="auto" w:fill="FFFFFF"/>
        </w:rPr>
        <w:t>四、采购标的的其他技术、服务等要求</w:t>
      </w:r>
    </w:p>
    <w:p w14:paraId="1D4C7104">
      <w:pPr>
        <w:tabs>
          <w:tab w:val="left" w:pos="7095"/>
        </w:tabs>
        <w:spacing w:line="44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第一标段：</w:t>
      </w:r>
    </w:p>
    <w:p w14:paraId="61DAF4AF">
      <w:pPr>
        <w:tabs>
          <w:tab w:val="left" w:pos="7095"/>
        </w:tabs>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须明确投标产品的厂家、</w:t>
      </w:r>
      <w:r>
        <w:rPr>
          <w:rFonts w:hint="eastAsia" w:ascii="宋体" w:hAnsi="宋体" w:eastAsia="宋体" w:cs="宋体"/>
          <w:color w:val="auto"/>
          <w:szCs w:val="21"/>
          <w:lang w:val="en-US" w:eastAsia="zh-CN"/>
        </w:rPr>
        <w:t>产地、</w:t>
      </w:r>
      <w:r>
        <w:rPr>
          <w:rFonts w:hint="eastAsia" w:ascii="宋体" w:hAnsi="宋体" w:eastAsia="宋体" w:cs="宋体"/>
          <w:color w:val="auto"/>
          <w:szCs w:val="21"/>
        </w:rPr>
        <w:t>品牌、</w:t>
      </w:r>
      <w:r>
        <w:rPr>
          <w:rFonts w:hint="eastAsia" w:ascii="宋体" w:hAnsi="宋体" w:eastAsia="宋体" w:cs="宋体"/>
          <w:color w:val="auto"/>
          <w:szCs w:val="21"/>
          <w:lang w:val="en-US" w:eastAsia="zh-CN"/>
        </w:rPr>
        <w:t>规格</w:t>
      </w:r>
      <w:r>
        <w:rPr>
          <w:rFonts w:hint="eastAsia" w:ascii="宋体" w:hAnsi="宋体" w:eastAsia="宋体" w:cs="宋体"/>
          <w:color w:val="auto"/>
          <w:szCs w:val="21"/>
        </w:rPr>
        <w:t>型号</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技术参数</w:t>
      </w:r>
      <w:r>
        <w:rPr>
          <w:rFonts w:hint="eastAsia" w:ascii="宋体" w:hAnsi="宋体" w:eastAsia="宋体" w:cs="宋体"/>
          <w:color w:val="auto"/>
          <w:szCs w:val="21"/>
        </w:rPr>
        <w:t>等，</w:t>
      </w:r>
      <w:r>
        <w:rPr>
          <w:rFonts w:hint="eastAsia" w:ascii="宋体" w:hAnsi="宋体" w:eastAsia="宋体" w:cs="宋体"/>
          <w:color w:val="auto"/>
          <w:sz w:val="21"/>
          <w:szCs w:val="21"/>
        </w:rPr>
        <w:t>否则为无效投标。</w:t>
      </w:r>
    </w:p>
    <w:p w14:paraId="67D27473">
      <w:pPr>
        <w:tabs>
          <w:tab w:val="left" w:pos="7095"/>
        </w:tabs>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应就该项目完整投标（报价含税费</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安装费</w:t>
      </w:r>
      <w:r>
        <w:rPr>
          <w:rFonts w:hint="eastAsia" w:ascii="宋体" w:hAnsi="宋体" w:eastAsia="宋体" w:cs="宋体"/>
          <w:color w:val="auto"/>
          <w:szCs w:val="21"/>
        </w:rPr>
        <w:t>等），</w:t>
      </w:r>
      <w:r>
        <w:rPr>
          <w:rFonts w:hint="eastAsia" w:ascii="宋体" w:hAnsi="宋体" w:eastAsia="宋体" w:cs="宋体"/>
          <w:color w:val="auto"/>
          <w:sz w:val="21"/>
          <w:szCs w:val="21"/>
        </w:rPr>
        <w:t>否则为无效投标。</w:t>
      </w:r>
    </w:p>
    <w:p w14:paraId="45450FFE">
      <w:pPr>
        <w:tabs>
          <w:tab w:val="left" w:pos="7095"/>
        </w:tabs>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w:t>
      </w:r>
      <w:r>
        <w:rPr>
          <w:rFonts w:hint="eastAsia" w:ascii="宋体" w:hAnsi="宋体" w:eastAsia="宋体" w:cs="宋体"/>
          <w:color w:val="auto"/>
          <w:szCs w:val="21"/>
        </w:rPr>
        <w:t>所投产品必须符合</w:t>
      </w:r>
      <w:r>
        <w:rPr>
          <w:rFonts w:hint="eastAsia" w:ascii="宋体" w:hAnsi="宋体" w:eastAsia="宋体" w:cs="宋体"/>
          <w:color w:val="auto"/>
          <w:szCs w:val="21"/>
          <w:lang w:val="en-US" w:eastAsia="zh-CN"/>
        </w:rPr>
        <w:t>招标</w:t>
      </w:r>
      <w:r>
        <w:rPr>
          <w:rFonts w:hint="eastAsia" w:ascii="宋体" w:hAnsi="宋体" w:eastAsia="宋体" w:cs="宋体"/>
          <w:color w:val="auto"/>
          <w:szCs w:val="21"/>
        </w:rPr>
        <w:t>文件规定标准的全新正品现货，</w:t>
      </w:r>
      <w:r>
        <w:rPr>
          <w:rFonts w:hint="eastAsia" w:ascii="宋体" w:hAnsi="宋体" w:eastAsia="宋体" w:cs="宋体"/>
          <w:color w:val="auto"/>
          <w:sz w:val="21"/>
          <w:szCs w:val="21"/>
        </w:rPr>
        <w:t>否则为无效投标。</w:t>
      </w:r>
    </w:p>
    <w:p w14:paraId="3EEBFA58">
      <w:pPr>
        <w:tabs>
          <w:tab w:val="left" w:pos="7095"/>
        </w:tabs>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4.投标文件</w:t>
      </w:r>
      <w:r>
        <w:rPr>
          <w:rFonts w:hint="eastAsia" w:ascii="宋体" w:hAnsi="宋体" w:eastAsia="宋体" w:cs="宋体"/>
          <w:color w:val="auto"/>
          <w:szCs w:val="21"/>
        </w:rPr>
        <w:t>中具有完整可行的实施（技术）方案，须明确售后地址、售后负责人、联系人和联系电话。</w:t>
      </w:r>
      <w:r>
        <w:rPr>
          <w:rFonts w:hint="eastAsia" w:ascii="宋体" w:hAnsi="宋体" w:eastAsia="宋体" w:cs="宋体"/>
          <w:color w:val="auto"/>
          <w:sz w:val="21"/>
          <w:szCs w:val="21"/>
        </w:rPr>
        <w:t>否则为无效投标。</w:t>
      </w:r>
    </w:p>
    <w:p w14:paraId="7C5716CF">
      <w:pPr>
        <w:tabs>
          <w:tab w:val="left" w:pos="7095"/>
        </w:tabs>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5.投标人</w:t>
      </w:r>
      <w:r>
        <w:rPr>
          <w:rFonts w:hint="eastAsia" w:ascii="宋体" w:hAnsi="宋体" w:eastAsia="宋体" w:cs="宋体"/>
          <w:color w:val="auto"/>
          <w:szCs w:val="21"/>
        </w:rPr>
        <w:t>须明确免费保修期，同时应提出故障响应时间，在免费保修期内，同一质量问题连续两次维修仍无法正常使用，</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必须予以更换同品牌、同型号的全新产品并安装到采购人指定地点。</w:t>
      </w:r>
    </w:p>
    <w:p w14:paraId="0DE5211C">
      <w:pPr>
        <w:tabs>
          <w:tab w:val="left" w:pos="7095"/>
        </w:tabs>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6.</w:t>
      </w:r>
      <w:r>
        <w:rPr>
          <w:rFonts w:hint="eastAsia" w:ascii="宋体" w:hAnsi="宋体" w:eastAsia="宋体" w:cs="宋体"/>
          <w:color w:val="auto"/>
          <w:szCs w:val="21"/>
        </w:rPr>
        <w:t>专利权：</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应承诺用户在使用该货物或其任何一部分时不受第三方提出侵犯其专利权、商标权和工业设计权等的起诉。</w:t>
      </w:r>
    </w:p>
    <w:p w14:paraId="19A496D1">
      <w:pPr>
        <w:tabs>
          <w:tab w:val="left" w:pos="7095"/>
        </w:tabs>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Cs w:val="21"/>
          <w:lang w:val="en-US" w:eastAsia="zh-CN"/>
        </w:rPr>
        <w:t>7.</w:t>
      </w:r>
      <w:r>
        <w:rPr>
          <w:rFonts w:hint="eastAsia" w:ascii="宋体" w:hAnsi="宋体" w:eastAsia="宋体" w:cs="宋体"/>
          <w:color w:val="auto"/>
          <w:szCs w:val="21"/>
        </w:rPr>
        <w:t>本</w:t>
      </w:r>
      <w:r>
        <w:rPr>
          <w:rFonts w:hint="eastAsia" w:ascii="宋体" w:hAnsi="宋体" w:eastAsia="宋体" w:cs="宋体"/>
          <w:color w:val="auto"/>
          <w:szCs w:val="21"/>
          <w:lang w:val="en-US" w:eastAsia="zh-CN"/>
        </w:rPr>
        <w:t>招标</w:t>
      </w:r>
      <w:r>
        <w:rPr>
          <w:rFonts w:hint="eastAsia" w:ascii="宋体" w:hAnsi="宋体" w:eastAsia="宋体" w:cs="宋体"/>
          <w:color w:val="auto"/>
          <w:szCs w:val="21"/>
        </w:rPr>
        <w:t>文件所列需求为最低要求，供应商不得低于此要求，</w:t>
      </w:r>
      <w:r>
        <w:rPr>
          <w:rFonts w:hint="eastAsia" w:ascii="宋体" w:hAnsi="宋体" w:eastAsia="宋体" w:cs="宋体"/>
          <w:color w:val="auto"/>
          <w:sz w:val="21"/>
          <w:szCs w:val="21"/>
        </w:rPr>
        <w:t>否则为无效投标。</w:t>
      </w:r>
    </w:p>
    <w:p w14:paraId="7DAF90C2">
      <w:pPr>
        <w:tabs>
          <w:tab w:val="left" w:pos="7095"/>
        </w:tabs>
        <w:spacing w:line="44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第二标段：</w:t>
      </w:r>
    </w:p>
    <w:p w14:paraId="4D7B2949">
      <w:pPr>
        <w:tabs>
          <w:tab w:val="left" w:pos="7095"/>
        </w:tabs>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须明确投标产品的厂家、</w:t>
      </w:r>
      <w:r>
        <w:rPr>
          <w:rFonts w:hint="eastAsia" w:ascii="宋体" w:hAnsi="宋体" w:eastAsia="宋体" w:cs="宋体"/>
          <w:color w:val="auto"/>
          <w:szCs w:val="21"/>
          <w:lang w:val="en-US" w:eastAsia="zh-CN"/>
        </w:rPr>
        <w:t>产地、</w:t>
      </w:r>
      <w:r>
        <w:rPr>
          <w:rFonts w:hint="eastAsia" w:ascii="宋体" w:hAnsi="宋体" w:eastAsia="宋体" w:cs="宋体"/>
          <w:color w:val="auto"/>
          <w:szCs w:val="21"/>
        </w:rPr>
        <w:t>品牌、</w:t>
      </w:r>
      <w:r>
        <w:rPr>
          <w:rFonts w:hint="eastAsia" w:ascii="宋体" w:hAnsi="宋体" w:eastAsia="宋体" w:cs="宋体"/>
          <w:color w:val="auto"/>
          <w:szCs w:val="21"/>
          <w:lang w:val="en-US" w:eastAsia="zh-CN"/>
        </w:rPr>
        <w:t>规格</w:t>
      </w:r>
      <w:r>
        <w:rPr>
          <w:rFonts w:hint="eastAsia" w:ascii="宋体" w:hAnsi="宋体" w:eastAsia="宋体" w:cs="宋体"/>
          <w:color w:val="auto"/>
          <w:szCs w:val="21"/>
        </w:rPr>
        <w:t>型号</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技术参数</w:t>
      </w:r>
      <w:r>
        <w:rPr>
          <w:rFonts w:hint="eastAsia" w:ascii="宋体" w:hAnsi="宋体" w:eastAsia="宋体" w:cs="宋体"/>
          <w:color w:val="auto"/>
          <w:szCs w:val="21"/>
        </w:rPr>
        <w:t>等，</w:t>
      </w:r>
      <w:r>
        <w:rPr>
          <w:rFonts w:hint="eastAsia" w:ascii="宋体" w:hAnsi="宋体" w:eastAsia="宋体" w:cs="宋体"/>
          <w:color w:val="auto"/>
          <w:sz w:val="21"/>
          <w:szCs w:val="21"/>
        </w:rPr>
        <w:t>否则为无效投标。</w:t>
      </w:r>
    </w:p>
    <w:p w14:paraId="18AA715D">
      <w:pPr>
        <w:tabs>
          <w:tab w:val="left" w:pos="7095"/>
        </w:tabs>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应就该项目完整投标（报价含税费</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安装费</w:t>
      </w:r>
      <w:r>
        <w:rPr>
          <w:rFonts w:hint="eastAsia" w:ascii="宋体" w:hAnsi="宋体" w:eastAsia="宋体" w:cs="宋体"/>
          <w:color w:val="auto"/>
          <w:szCs w:val="21"/>
        </w:rPr>
        <w:t>等），</w:t>
      </w:r>
      <w:r>
        <w:rPr>
          <w:rFonts w:hint="eastAsia" w:ascii="宋体" w:hAnsi="宋体" w:eastAsia="宋体" w:cs="宋体"/>
          <w:color w:val="auto"/>
          <w:sz w:val="21"/>
          <w:szCs w:val="21"/>
        </w:rPr>
        <w:t>否则为无效投标。</w:t>
      </w:r>
    </w:p>
    <w:p w14:paraId="6B167F2B">
      <w:pPr>
        <w:tabs>
          <w:tab w:val="left" w:pos="7095"/>
        </w:tabs>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w:t>
      </w:r>
      <w:r>
        <w:rPr>
          <w:rFonts w:hint="eastAsia" w:ascii="宋体" w:hAnsi="宋体" w:eastAsia="宋体" w:cs="宋体"/>
          <w:color w:val="auto"/>
          <w:szCs w:val="21"/>
        </w:rPr>
        <w:t>所投产品必须符合</w:t>
      </w:r>
      <w:r>
        <w:rPr>
          <w:rFonts w:hint="eastAsia" w:ascii="宋体" w:hAnsi="宋体" w:eastAsia="宋体" w:cs="宋体"/>
          <w:color w:val="auto"/>
          <w:szCs w:val="21"/>
          <w:lang w:val="en-US" w:eastAsia="zh-CN"/>
        </w:rPr>
        <w:t>招标</w:t>
      </w:r>
      <w:r>
        <w:rPr>
          <w:rFonts w:hint="eastAsia" w:ascii="宋体" w:hAnsi="宋体" w:eastAsia="宋体" w:cs="宋体"/>
          <w:color w:val="auto"/>
          <w:szCs w:val="21"/>
        </w:rPr>
        <w:t>文件规定标准的全新正品现货，</w:t>
      </w:r>
      <w:r>
        <w:rPr>
          <w:rFonts w:hint="eastAsia" w:ascii="宋体" w:hAnsi="宋体" w:eastAsia="宋体" w:cs="宋体"/>
          <w:color w:val="auto"/>
          <w:sz w:val="21"/>
          <w:szCs w:val="21"/>
        </w:rPr>
        <w:t>否则为无效投标。</w:t>
      </w:r>
    </w:p>
    <w:p w14:paraId="22DA5CFF">
      <w:pPr>
        <w:tabs>
          <w:tab w:val="left" w:pos="7095"/>
        </w:tabs>
        <w:spacing w:line="44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4.投标人所投</w:t>
      </w:r>
      <w:r>
        <w:rPr>
          <w:rFonts w:hint="eastAsia" w:ascii="宋体" w:hAnsi="宋体" w:eastAsia="宋体" w:cs="宋体"/>
          <w:color w:val="auto"/>
          <w:sz w:val="21"/>
          <w:szCs w:val="21"/>
        </w:rPr>
        <w:t>产品必须提供产品标准证、肥料登记证或备案证明，免予登记的除外</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否则为无效投标。</w:t>
      </w:r>
    </w:p>
    <w:p w14:paraId="6F0C2D37">
      <w:pPr>
        <w:tabs>
          <w:tab w:val="left" w:pos="7095"/>
        </w:tabs>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5.中标人提</w:t>
      </w:r>
      <w:r>
        <w:rPr>
          <w:rFonts w:hint="eastAsia" w:ascii="宋体" w:hAnsi="宋体" w:eastAsia="宋体" w:cs="宋体"/>
          <w:color w:val="auto"/>
          <w:sz w:val="21"/>
          <w:szCs w:val="21"/>
        </w:rPr>
        <w:t>供的采购物资交付时必须附有该批次的检测报告，采购人对采购物资应进行现场抽检、封样备查，供货企业对所供应产品质量负全责。供应商须提供所投产品的质量承诺书。否则为无效投标。</w:t>
      </w:r>
    </w:p>
    <w:p w14:paraId="1F34BA1C">
      <w:pPr>
        <w:tabs>
          <w:tab w:val="left" w:pos="7095"/>
        </w:tabs>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6.投标文件</w:t>
      </w:r>
      <w:r>
        <w:rPr>
          <w:rFonts w:hint="eastAsia" w:ascii="宋体" w:hAnsi="宋体" w:eastAsia="宋体" w:cs="宋体"/>
          <w:color w:val="auto"/>
          <w:szCs w:val="21"/>
        </w:rPr>
        <w:t>中具有完整可行的实施（技术）方案，须明确售后地址、售后负责人、联系人和联系电话。</w:t>
      </w:r>
      <w:r>
        <w:rPr>
          <w:rFonts w:hint="eastAsia" w:ascii="宋体" w:hAnsi="宋体" w:eastAsia="宋体" w:cs="宋体"/>
          <w:color w:val="auto"/>
          <w:sz w:val="21"/>
          <w:szCs w:val="21"/>
        </w:rPr>
        <w:t>否则为无效投标。</w:t>
      </w:r>
    </w:p>
    <w:p w14:paraId="546CF019">
      <w:pPr>
        <w:tabs>
          <w:tab w:val="left" w:pos="7095"/>
        </w:tabs>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7.</w:t>
      </w:r>
      <w:r>
        <w:rPr>
          <w:rFonts w:hint="eastAsia" w:ascii="宋体" w:hAnsi="宋体" w:eastAsia="宋体" w:cs="宋体"/>
          <w:color w:val="auto"/>
          <w:szCs w:val="21"/>
        </w:rPr>
        <w:t>专利权：</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应承诺用户在使用该货物或其任何一部分时不受第三方提出侵犯其专利权、商标权和工业设计权等的起诉。</w:t>
      </w:r>
    </w:p>
    <w:p w14:paraId="6048A0E1">
      <w:pPr>
        <w:tabs>
          <w:tab w:val="left" w:pos="7095"/>
        </w:tabs>
        <w:spacing w:line="44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Cs w:val="21"/>
          <w:lang w:val="en-US" w:eastAsia="zh-CN"/>
        </w:rPr>
        <w:t>8.</w:t>
      </w:r>
      <w:r>
        <w:rPr>
          <w:rFonts w:hint="eastAsia" w:ascii="宋体" w:hAnsi="宋体" w:eastAsia="宋体" w:cs="宋体"/>
          <w:color w:val="auto"/>
          <w:szCs w:val="21"/>
        </w:rPr>
        <w:t>本</w:t>
      </w:r>
      <w:r>
        <w:rPr>
          <w:rFonts w:hint="eastAsia" w:ascii="宋体" w:hAnsi="宋体" w:eastAsia="宋体" w:cs="宋体"/>
          <w:color w:val="auto"/>
          <w:szCs w:val="21"/>
          <w:lang w:val="en-US" w:eastAsia="zh-CN"/>
        </w:rPr>
        <w:t>招标</w:t>
      </w:r>
      <w:r>
        <w:rPr>
          <w:rFonts w:hint="eastAsia" w:ascii="宋体" w:hAnsi="宋体" w:eastAsia="宋体" w:cs="宋体"/>
          <w:color w:val="auto"/>
          <w:szCs w:val="21"/>
        </w:rPr>
        <w:t>文件所列需求为最低要求，供应商不得低于此要求，</w:t>
      </w:r>
      <w:r>
        <w:rPr>
          <w:rFonts w:hint="eastAsia" w:ascii="宋体" w:hAnsi="宋体" w:eastAsia="宋体" w:cs="宋体"/>
          <w:color w:val="auto"/>
          <w:sz w:val="21"/>
          <w:szCs w:val="21"/>
        </w:rPr>
        <w:t>否则为无效投标。</w:t>
      </w:r>
    </w:p>
    <w:p w14:paraId="2AD37AB3">
      <w:pPr>
        <w:keepNext w:val="0"/>
        <w:keepLines w:val="0"/>
        <w:pageBreakBefore w:val="0"/>
        <w:wordWrap/>
        <w:overflowPunct/>
        <w:topLinePunct w:val="0"/>
        <w:bidi w:val="0"/>
        <w:spacing w:line="520" w:lineRule="exact"/>
        <w:textAlignment w:val="baseline"/>
        <w:rPr>
          <w:rFonts w:hint="eastAsia" w:ascii="宋体" w:hAnsi="宋体" w:eastAsia="宋体" w:cs="宋体"/>
          <w:b/>
          <w:bCs/>
          <w:color w:val="auto"/>
          <w:sz w:val="21"/>
          <w:szCs w:val="21"/>
          <w:shd w:val="clear" w:color="auto" w:fill="FFFFFF"/>
        </w:rPr>
      </w:pPr>
      <w:r>
        <w:rPr>
          <w:rFonts w:hint="eastAsia" w:ascii="宋体" w:hAnsi="宋体" w:eastAsia="宋体" w:cs="宋体"/>
          <w:b/>
          <w:bCs/>
          <w:color w:val="auto"/>
          <w:sz w:val="21"/>
          <w:szCs w:val="21"/>
          <w:shd w:val="clear" w:color="auto" w:fill="FFFFFF"/>
        </w:rPr>
        <w:t>五、验收标准</w:t>
      </w:r>
    </w:p>
    <w:p w14:paraId="1B9553CE">
      <w:pPr>
        <w:keepNext w:val="0"/>
        <w:keepLines w:val="0"/>
        <w:pageBreakBefore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1.</w:t>
      </w:r>
      <w:r>
        <w:rPr>
          <w:rFonts w:hint="eastAsia" w:ascii="宋体" w:hAnsi="宋体" w:eastAsia="宋体" w:cs="宋体"/>
          <w:color w:val="auto"/>
          <w:sz w:val="21"/>
          <w:szCs w:val="21"/>
        </w:rPr>
        <w:t>由采购人成立验收小组</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按照采购合同的约定对中标人履约情况进行验收。验收时，按照采购合同的约定对每一项技术、服务、安全标准的履约情况进行确认；列明各项标准的验收情况及项目总体评价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由验收双方共同签署。</w:t>
      </w:r>
    </w:p>
    <w:p w14:paraId="53A5BDA0">
      <w:pPr>
        <w:keepNext w:val="0"/>
        <w:keepLines w:val="0"/>
        <w:pageBreakBefore w:val="0"/>
        <w:widowControl/>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2.</w:t>
      </w:r>
      <w:r>
        <w:rPr>
          <w:rFonts w:hint="eastAsia" w:ascii="宋体" w:hAnsi="宋体" w:eastAsia="宋体" w:cs="宋体"/>
          <w:color w:val="auto"/>
          <w:sz w:val="21"/>
          <w:szCs w:val="21"/>
        </w:rPr>
        <w:t>按照招标文件要求、投标文件响应和承诺验收。</w:t>
      </w:r>
    </w:p>
    <w:p w14:paraId="3EB8A403">
      <w:pPr>
        <w:keepNext w:val="0"/>
        <w:keepLines w:val="0"/>
        <w:pageBreakBefore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3.</w:t>
      </w:r>
      <w:r>
        <w:rPr>
          <w:rFonts w:hint="eastAsia" w:ascii="宋体" w:hAnsi="宋体" w:eastAsia="宋体" w:cs="宋体"/>
          <w:color w:val="auto"/>
          <w:sz w:val="21"/>
          <w:szCs w:val="21"/>
        </w:rPr>
        <w:t>按照国家及行业相关标准验收。</w:t>
      </w:r>
    </w:p>
    <w:p w14:paraId="5ECA4D99">
      <w:pPr>
        <w:keepNext w:val="0"/>
        <w:keepLines w:val="0"/>
        <w:pageBreakBefore w:val="0"/>
        <w:wordWrap/>
        <w:overflowPunct/>
        <w:topLinePunct w:val="0"/>
        <w:bidi w:val="0"/>
        <w:spacing w:line="520" w:lineRule="exact"/>
        <w:textAlignment w:val="baseline"/>
        <w:rPr>
          <w:rFonts w:hint="eastAsia" w:ascii="宋体" w:hAnsi="宋体" w:eastAsia="宋体" w:cs="宋体"/>
          <w:b/>
          <w:bCs/>
          <w:color w:val="auto"/>
          <w:sz w:val="21"/>
          <w:szCs w:val="21"/>
          <w:shd w:val="clear" w:color="auto" w:fill="FFFFFF"/>
        </w:rPr>
      </w:pPr>
      <w:r>
        <w:rPr>
          <w:rFonts w:hint="eastAsia" w:ascii="宋体" w:hAnsi="宋体" w:eastAsia="宋体" w:cs="宋体"/>
          <w:b/>
          <w:bCs/>
          <w:color w:val="auto"/>
          <w:sz w:val="21"/>
          <w:szCs w:val="21"/>
          <w:shd w:val="clear" w:color="auto" w:fill="FFFFFF"/>
          <w:lang w:val="en-US" w:eastAsia="zh-CN"/>
        </w:rPr>
        <w:t>六</w:t>
      </w:r>
      <w:r>
        <w:rPr>
          <w:rFonts w:hint="eastAsia" w:ascii="宋体" w:hAnsi="宋体" w:eastAsia="宋体" w:cs="宋体"/>
          <w:b/>
          <w:bCs/>
          <w:color w:val="auto"/>
          <w:sz w:val="21"/>
          <w:szCs w:val="21"/>
          <w:shd w:val="clear" w:color="auto" w:fill="FFFFFF"/>
        </w:rPr>
        <w:t>、资金支付</w:t>
      </w:r>
    </w:p>
    <w:p w14:paraId="615DFAB2">
      <w:pPr>
        <w:pStyle w:val="42"/>
        <w:keepNext w:val="0"/>
        <w:keepLines w:val="0"/>
        <w:pageBreakBefore w:val="0"/>
        <w:wordWrap/>
        <w:overflowPunct/>
        <w:topLinePunct w:val="0"/>
        <w:bidi w:val="0"/>
        <w:spacing w:line="520" w:lineRule="exact"/>
        <w:ind w:firstLine="420" w:firstLineChars="20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r>
        <w:rPr>
          <w:rFonts w:hint="eastAsia" w:ascii="宋体" w:hAnsi="宋体" w:eastAsia="宋体" w:cs="宋体"/>
          <w:color w:val="auto"/>
          <w:kern w:val="2"/>
          <w:sz w:val="21"/>
          <w:szCs w:val="21"/>
          <w:lang w:val="en-US" w:eastAsia="zh-CN" w:bidi="ar-SA"/>
        </w:rPr>
        <w:t>支付方式：银行转账。</w:t>
      </w:r>
    </w:p>
    <w:p w14:paraId="6241CFAF">
      <w:pPr>
        <w:pStyle w:val="42"/>
        <w:keepNext w:val="0"/>
        <w:keepLines w:val="0"/>
        <w:pageBreakBefore w:val="0"/>
        <w:wordWrap/>
        <w:overflowPunct/>
        <w:topLinePunct w:val="0"/>
        <w:bidi w:val="0"/>
        <w:spacing w:line="520" w:lineRule="exact"/>
        <w:ind w:firstLine="42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支付时间及条件：项目验收合格后按政府采购资金拨付程序执行。</w:t>
      </w:r>
    </w:p>
    <w:p w14:paraId="40F6CDAC">
      <w:pPr>
        <w:autoSpaceDE w:val="0"/>
        <w:autoSpaceDN w:val="0"/>
        <w:adjustRightInd w:val="0"/>
        <w:jc w:val="both"/>
        <w:rPr>
          <w:rFonts w:hint="eastAsia" w:ascii="宋体" w:hAnsi="宋体" w:eastAsia="宋体" w:cs="宋体"/>
          <w:b/>
          <w:color w:val="auto"/>
          <w:kern w:val="0"/>
          <w:sz w:val="30"/>
          <w:szCs w:val="30"/>
        </w:rPr>
      </w:pPr>
    </w:p>
    <w:p w14:paraId="7458666E">
      <w:pPr>
        <w:autoSpaceDE w:val="0"/>
        <w:autoSpaceDN w:val="0"/>
        <w:adjustRightInd w:val="0"/>
        <w:jc w:val="both"/>
        <w:rPr>
          <w:rFonts w:hint="eastAsia" w:ascii="宋体" w:hAnsi="宋体" w:eastAsia="宋体" w:cs="宋体"/>
          <w:b/>
          <w:color w:val="auto"/>
          <w:kern w:val="0"/>
          <w:sz w:val="30"/>
          <w:szCs w:val="30"/>
        </w:rPr>
      </w:pPr>
    </w:p>
    <w:p w14:paraId="74A4D48A">
      <w:pPr>
        <w:autoSpaceDE w:val="0"/>
        <w:autoSpaceDN w:val="0"/>
        <w:adjustRightInd w:val="0"/>
        <w:jc w:val="both"/>
        <w:rPr>
          <w:rFonts w:hint="eastAsia" w:ascii="宋体" w:hAnsi="宋体" w:eastAsia="宋体" w:cs="宋体"/>
          <w:b/>
          <w:color w:val="auto"/>
          <w:kern w:val="0"/>
          <w:sz w:val="30"/>
          <w:szCs w:val="30"/>
        </w:rPr>
      </w:pPr>
    </w:p>
    <w:p w14:paraId="53E9073D">
      <w:pPr>
        <w:autoSpaceDE w:val="0"/>
        <w:autoSpaceDN w:val="0"/>
        <w:adjustRightInd w:val="0"/>
        <w:jc w:val="both"/>
        <w:rPr>
          <w:rFonts w:hint="eastAsia" w:ascii="宋体" w:hAnsi="宋体" w:eastAsia="宋体" w:cs="宋体"/>
          <w:b/>
          <w:color w:val="auto"/>
          <w:kern w:val="0"/>
          <w:sz w:val="30"/>
          <w:szCs w:val="30"/>
        </w:rPr>
      </w:pPr>
    </w:p>
    <w:p w14:paraId="38A6AA3A">
      <w:pPr>
        <w:autoSpaceDE w:val="0"/>
        <w:autoSpaceDN w:val="0"/>
        <w:adjustRightInd w:val="0"/>
        <w:jc w:val="both"/>
        <w:rPr>
          <w:rFonts w:hint="eastAsia" w:ascii="宋体" w:hAnsi="宋体" w:eastAsia="宋体" w:cs="宋体"/>
          <w:b/>
          <w:color w:val="auto"/>
          <w:kern w:val="0"/>
          <w:sz w:val="30"/>
          <w:szCs w:val="30"/>
        </w:rPr>
      </w:pPr>
    </w:p>
    <w:p w14:paraId="2B89D00B">
      <w:pPr>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第三章 投标人须知前附表</w:t>
      </w:r>
    </w:p>
    <w:p w14:paraId="2B89D00C">
      <w:pPr>
        <w:autoSpaceDE w:val="0"/>
        <w:autoSpaceDN w:val="0"/>
        <w:adjustRightInd w:val="0"/>
        <w:spacing w:line="360" w:lineRule="auto"/>
        <w:ind w:right="-11"/>
        <w:jc w:val="left"/>
        <w:rPr>
          <w:rFonts w:hint="eastAsia" w:ascii="宋体" w:hAnsi="宋体" w:eastAsia="宋体" w:cs="宋体"/>
          <w:b/>
          <w:color w:val="auto"/>
          <w:kern w:val="0"/>
          <w:szCs w:val="21"/>
        </w:rPr>
      </w:pPr>
      <w:r>
        <w:rPr>
          <w:rFonts w:hint="eastAsia" w:ascii="宋体" w:hAnsi="宋体" w:eastAsia="宋体" w:cs="宋体"/>
          <w:b/>
          <w:color w:val="auto"/>
          <w:szCs w:val="21"/>
        </w:rPr>
        <w:t>招标文件中凡标有★条款均为实质性要求条款，投标文件须完全响应，未实质响应的，按照无效投标处理。</w:t>
      </w:r>
    </w:p>
    <w:tbl>
      <w:tblPr>
        <w:tblStyle w:val="18"/>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268"/>
        <w:gridCol w:w="6813"/>
      </w:tblGrid>
      <w:tr w14:paraId="2B89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2B89D00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268" w:type="dxa"/>
            <w:vAlign w:val="center"/>
          </w:tcPr>
          <w:p w14:paraId="2B89D00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条款名称</w:t>
            </w:r>
          </w:p>
        </w:tc>
        <w:tc>
          <w:tcPr>
            <w:tcW w:w="6813" w:type="dxa"/>
            <w:vAlign w:val="center"/>
          </w:tcPr>
          <w:p w14:paraId="2B89D00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说明和要求</w:t>
            </w:r>
          </w:p>
        </w:tc>
      </w:tr>
      <w:tr w14:paraId="2B89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6" w:type="dxa"/>
            <w:vAlign w:val="center"/>
          </w:tcPr>
          <w:p w14:paraId="2B89D01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w:t>
            </w:r>
          </w:p>
        </w:tc>
        <w:tc>
          <w:tcPr>
            <w:tcW w:w="2268" w:type="dxa"/>
            <w:vAlign w:val="center"/>
          </w:tcPr>
          <w:p w14:paraId="2B89D012">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采购项目</w:t>
            </w:r>
          </w:p>
        </w:tc>
        <w:tc>
          <w:tcPr>
            <w:tcW w:w="6813" w:type="dxa"/>
            <w:vAlign w:val="center"/>
          </w:tcPr>
          <w:p w14:paraId="37372CEE">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lang w:val="en-US" w:eastAsia="zh-CN"/>
              </w:rPr>
            </w:pPr>
            <w:r>
              <w:rPr>
                <w:rFonts w:hint="eastAsia" w:ascii="宋体" w:hAnsi="宋体" w:eastAsia="宋体" w:cs="宋体"/>
                <w:color w:val="auto"/>
                <w:szCs w:val="21"/>
                <w:lang w:eastAsia="zh-CN"/>
              </w:rPr>
              <w:t>禹州市农业农村局2026年中药材绿色高产高效创建采购项目</w:t>
            </w:r>
          </w:p>
        </w:tc>
      </w:tr>
      <w:tr w14:paraId="2B89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806" w:type="dxa"/>
            <w:vAlign w:val="center"/>
          </w:tcPr>
          <w:p w14:paraId="2B89D01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w:t>
            </w:r>
          </w:p>
        </w:tc>
        <w:tc>
          <w:tcPr>
            <w:tcW w:w="2268" w:type="dxa"/>
            <w:vAlign w:val="center"/>
          </w:tcPr>
          <w:p w14:paraId="2B89D01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采购人</w:t>
            </w:r>
          </w:p>
        </w:tc>
        <w:tc>
          <w:tcPr>
            <w:tcW w:w="6813" w:type="dxa"/>
            <w:vAlign w:val="center"/>
          </w:tcPr>
          <w:p w14:paraId="5EECC649">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名称：禹州市农业农村局</w:t>
            </w:r>
          </w:p>
          <w:p w14:paraId="629AB257">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地址：禹州市禹王大道29号</w:t>
            </w:r>
          </w:p>
          <w:p w14:paraId="004B605B">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联系人：李先生</w:t>
            </w:r>
          </w:p>
          <w:p w14:paraId="395F4C59">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联系方式：0374-8609623</w:t>
            </w:r>
          </w:p>
        </w:tc>
      </w:tr>
      <w:tr w14:paraId="2B89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jc w:val="center"/>
        </w:trPr>
        <w:tc>
          <w:tcPr>
            <w:tcW w:w="806" w:type="dxa"/>
            <w:vAlign w:val="center"/>
          </w:tcPr>
          <w:p w14:paraId="2B89D01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3</w:t>
            </w:r>
          </w:p>
        </w:tc>
        <w:tc>
          <w:tcPr>
            <w:tcW w:w="2268" w:type="dxa"/>
            <w:vAlign w:val="center"/>
          </w:tcPr>
          <w:p w14:paraId="2B89D01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代理机构</w:t>
            </w:r>
          </w:p>
        </w:tc>
        <w:tc>
          <w:tcPr>
            <w:tcW w:w="6813" w:type="dxa"/>
            <w:vAlign w:val="center"/>
          </w:tcPr>
          <w:p w14:paraId="6BDE5243">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名称：华正大地项目管理有限公司</w:t>
            </w:r>
          </w:p>
          <w:p w14:paraId="7C510919">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地址：河南省郑州市高新区冬青街盛鼎建筑产业园1号楼5楼</w:t>
            </w:r>
          </w:p>
          <w:p w14:paraId="680857F2">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联系人：王先生</w:t>
            </w:r>
          </w:p>
          <w:p w14:paraId="60396F7A">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lang w:val="en-US" w:eastAsia="zh-CN"/>
              </w:rPr>
            </w:pPr>
            <w:r>
              <w:rPr>
                <w:rFonts w:hint="eastAsia" w:ascii="宋体" w:hAnsi="宋体" w:eastAsia="宋体" w:cs="宋体"/>
                <w:color w:val="auto"/>
                <w:szCs w:val="21"/>
              </w:rPr>
              <w:t>联系方式：17395856013</w:t>
            </w:r>
          </w:p>
        </w:tc>
      </w:tr>
      <w:tr w14:paraId="2B89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06" w:type="dxa"/>
            <w:vAlign w:val="center"/>
          </w:tcPr>
          <w:p w14:paraId="2B89D02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4</w:t>
            </w:r>
          </w:p>
        </w:tc>
        <w:tc>
          <w:tcPr>
            <w:tcW w:w="2268" w:type="dxa"/>
            <w:vAlign w:val="center"/>
          </w:tcPr>
          <w:p w14:paraId="2B89D02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资格</w:t>
            </w:r>
          </w:p>
        </w:tc>
        <w:tc>
          <w:tcPr>
            <w:tcW w:w="6813" w:type="dxa"/>
            <w:vAlign w:val="center"/>
          </w:tcPr>
          <w:p w14:paraId="0606065B">
            <w:pPr>
              <w:keepNext w:val="0"/>
              <w:keepLines w:val="0"/>
              <w:pageBreakBefore w:val="0"/>
              <w:kinsoku/>
              <w:overflowPunct/>
              <w:topLinePunct w:val="0"/>
              <w:bidi w:val="0"/>
              <w:snapToGrid/>
              <w:spacing w:line="480" w:lineRule="exact"/>
              <w:textAlignment w:val="auto"/>
              <w:rPr>
                <w:rFonts w:hint="eastAsia" w:ascii="宋体" w:hAnsi="宋体" w:eastAsia="宋体" w:cs="宋体"/>
                <w:color w:val="auto"/>
                <w:lang w:val="zh-CN"/>
              </w:rPr>
            </w:pPr>
            <w:r>
              <w:rPr>
                <w:rFonts w:hint="eastAsia" w:ascii="宋体" w:hAnsi="宋体" w:eastAsia="宋体" w:cs="宋体"/>
                <w:color w:val="auto"/>
                <w:lang w:val="zh-CN"/>
              </w:rPr>
              <w:t>一、中小企业或者残疾人福利性单位声明函或监狱企业证明文件</w:t>
            </w:r>
          </w:p>
          <w:p w14:paraId="11B739ED">
            <w:pPr>
              <w:keepNext w:val="0"/>
              <w:keepLines w:val="0"/>
              <w:pageBreakBefore w:val="0"/>
              <w:kinsoku/>
              <w:overflowPunct/>
              <w:topLinePunct w:val="0"/>
              <w:bidi w:val="0"/>
              <w:snapToGrid/>
              <w:spacing w:line="480" w:lineRule="exact"/>
              <w:textAlignment w:val="auto"/>
              <w:rPr>
                <w:rFonts w:hint="eastAsia" w:ascii="宋体" w:hAnsi="宋体" w:eastAsia="宋体" w:cs="宋体"/>
                <w:color w:val="auto"/>
                <w:lang w:val="zh-CN"/>
              </w:rPr>
            </w:pPr>
            <w:r>
              <w:rPr>
                <w:rFonts w:hint="eastAsia" w:ascii="宋体" w:hAnsi="宋体" w:eastAsia="宋体" w:cs="宋体"/>
                <w:color w:val="auto"/>
                <w:lang w:val="zh-CN"/>
              </w:rPr>
              <w:t>1.中小型企业出具《中小企业声明函》</w:t>
            </w:r>
          </w:p>
          <w:p w14:paraId="5671DFC8">
            <w:pPr>
              <w:keepNext w:val="0"/>
              <w:keepLines w:val="0"/>
              <w:pageBreakBefore w:val="0"/>
              <w:kinsoku/>
              <w:overflowPunct/>
              <w:topLinePunct w:val="0"/>
              <w:bidi w:val="0"/>
              <w:snapToGrid/>
              <w:spacing w:line="480" w:lineRule="exact"/>
              <w:textAlignment w:val="auto"/>
              <w:rPr>
                <w:rFonts w:hint="eastAsia" w:ascii="宋体" w:hAnsi="宋体" w:eastAsia="宋体" w:cs="宋体"/>
                <w:color w:val="auto"/>
                <w:lang w:val="zh-CN"/>
              </w:rPr>
            </w:pPr>
            <w:r>
              <w:rPr>
                <w:rFonts w:hint="eastAsia" w:ascii="宋体" w:hAnsi="宋体" w:eastAsia="宋体" w:cs="宋体"/>
                <w:color w:val="auto"/>
                <w:lang w:val="zh-CN"/>
              </w:rPr>
              <w:t>2.残疾人福利性单位出具《残疾人福利企业声明函》</w:t>
            </w:r>
          </w:p>
          <w:p w14:paraId="420E6D00">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lang w:val="zh-CN"/>
              </w:rPr>
            </w:pPr>
            <w:r>
              <w:rPr>
                <w:rFonts w:hint="eastAsia" w:ascii="宋体" w:hAnsi="宋体" w:eastAsia="宋体" w:cs="宋体"/>
                <w:color w:val="auto"/>
                <w:lang w:val="zh-CN"/>
              </w:rPr>
              <w:t>3.监狱企业提供由省级以上监狱管理局、戒毒管理局（含新疆生产建设兵团）出具的属于监狱企业的证明文件</w:t>
            </w:r>
          </w:p>
          <w:p w14:paraId="335D96FF">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注：第二标段投标人须提供</w:t>
            </w:r>
            <w:r>
              <w:rPr>
                <w:rFonts w:hint="eastAsia" w:ascii="宋体" w:hAnsi="宋体" w:eastAsia="宋体" w:cs="宋体"/>
                <w:color w:val="auto"/>
                <w:lang w:val="zh-CN"/>
              </w:rPr>
              <w:t>中小企业或者残疾人福利性单位声明函或监狱企业证明文件</w:t>
            </w:r>
          </w:p>
          <w:p w14:paraId="3494054B">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二</w:t>
            </w:r>
            <w:r>
              <w:rPr>
                <w:rFonts w:hint="eastAsia" w:ascii="宋体" w:hAnsi="宋体" w:eastAsia="宋体" w:cs="宋体"/>
                <w:color w:val="auto"/>
                <w:szCs w:val="21"/>
              </w:rPr>
              <w:t>、符合《中华人民共和国政府采购法》第二十二条规定</w:t>
            </w:r>
          </w:p>
          <w:p w14:paraId="6328EFBE">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1.具有独立承担民事责任的能力；</w:t>
            </w:r>
          </w:p>
          <w:p w14:paraId="3C3E4BCD">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2.具有良好的商业信誉和健全的财务会计制度；</w:t>
            </w:r>
          </w:p>
          <w:p w14:paraId="23BDCDF1">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3.具有履行合同所必需的设备和专业技术能力；</w:t>
            </w:r>
          </w:p>
          <w:p w14:paraId="77D478C7">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4.具有依法缴纳税收和社会保障资金的良好记录；</w:t>
            </w:r>
          </w:p>
          <w:p w14:paraId="751FA48B">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5.参加政府采购活动前三年内，在经营活动中没有重大违法记录。</w:t>
            </w:r>
          </w:p>
          <w:p w14:paraId="4DA72D00">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注：</w:t>
            </w:r>
          </w:p>
          <w:p w14:paraId="7470DDBD">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在响应时，提供《</w:t>
            </w:r>
            <w:r>
              <w:rPr>
                <w:rFonts w:hint="eastAsia" w:ascii="宋体" w:hAnsi="宋体" w:eastAsia="宋体" w:cs="宋体"/>
                <w:color w:val="auto"/>
                <w:szCs w:val="21"/>
                <w:lang w:val="en-US" w:eastAsia="zh-CN"/>
              </w:rPr>
              <w:t>禹州市</w:t>
            </w:r>
            <w:r>
              <w:rPr>
                <w:rFonts w:hint="eastAsia" w:ascii="宋体" w:hAnsi="宋体" w:eastAsia="宋体" w:cs="宋体"/>
                <w:color w:val="auto"/>
                <w:szCs w:val="21"/>
                <w:lang w:val="zh-CN"/>
              </w:rPr>
              <w:t>政府采购供应商信用承诺函》（详见</w:t>
            </w:r>
            <w:r>
              <w:rPr>
                <w:rFonts w:hint="eastAsia" w:ascii="宋体" w:hAnsi="宋体" w:eastAsia="宋体" w:cs="宋体"/>
                <w:color w:val="auto"/>
                <w:szCs w:val="21"/>
                <w:lang w:val="en-US" w:eastAsia="zh-CN"/>
              </w:rPr>
              <w:t>投标</w:t>
            </w:r>
            <w:r>
              <w:rPr>
                <w:rFonts w:hint="eastAsia" w:ascii="宋体" w:hAnsi="宋体" w:eastAsia="宋体" w:cs="宋体"/>
                <w:color w:val="auto"/>
                <w:szCs w:val="21"/>
                <w:lang w:val="zh-CN"/>
              </w:rPr>
              <w:t>文件第八章3.</w:t>
            </w:r>
            <w:r>
              <w:rPr>
                <w:rFonts w:hint="eastAsia" w:ascii="宋体" w:hAnsi="宋体" w:eastAsia="宋体" w:cs="宋体"/>
                <w:color w:val="auto"/>
                <w:szCs w:val="21"/>
                <w:lang w:val="en-US" w:eastAsia="zh-CN"/>
              </w:rPr>
              <w:t>4</w:t>
            </w:r>
            <w:r>
              <w:rPr>
                <w:rFonts w:hint="eastAsia" w:ascii="宋体" w:hAnsi="宋体" w:eastAsia="宋体" w:cs="宋体"/>
                <w:color w:val="auto"/>
                <w:szCs w:val="21"/>
                <w:lang w:val="zh-CN"/>
              </w:rPr>
              <w:t>格式），无需再提交上述证明材料。</w:t>
            </w:r>
          </w:p>
          <w:p w14:paraId="669DE162">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2.采购人有权在签订合同前要求</w:t>
            </w:r>
            <w:r>
              <w:rPr>
                <w:rFonts w:hint="eastAsia" w:ascii="宋体" w:hAnsi="宋体" w:eastAsia="宋体" w:cs="宋体"/>
                <w:color w:val="auto"/>
                <w:szCs w:val="21"/>
                <w:lang w:val="en-US" w:eastAsia="zh-CN"/>
              </w:rPr>
              <w:t>中标人</w:t>
            </w:r>
            <w:r>
              <w:rPr>
                <w:rFonts w:hint="eastAsia" w:ascii="宋体" w:hAnsi="宋体" w:eastAsia="宋体" w:cs="宋体"/>
                <w:color w:val="auto"/>
                <w:szCs w:val="21"/>
                <w:lang w:val="zh-CN"/>
              </w:rPr>
              <w:t>提供相关证明材料以核实</w:t>
            </w:r>
            <w:r>
              <w:rPr>
                <w:rFonts w:hint="eastAsia" w:ascii="宋体" w:hAnsi="宋体" w:eastAsia="宋体" w:cs="宋体"/>
                <w:color w:val="auto"/>
                <w:szCs w:val="21"/>
                <w:lang w:val="en-US" w:eastAsia="zh-CN"/>
              </w:rPr>
              <w:t>中标人</w:t>
            </w:r>
            <w:r>
              <w:rPr>
                <w:rFonts w:hint="eastAsia" w:ascii="宋体" w:hAnsi="宋体" w:eastAsia="宋体" w:cs="宋体"/>
                <w:color w:val="auto"/>
                <w:szCs w:val="21"/>
                <w:lang w:val="zh-CN"/>
              </w:rPr>
              <w:t>承诺事项的真实性。</w:t>
            </w:r>
          </w:p>
          <w:p w14:paraId="25786C13">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对信用承诺内容的真实性、合法性、有效性负责。如作出虚假信用承诺，视同为“提供虚假材料谋取中标”的违法行为。</w:t>
            </w:r>
          </w:p>
          <w:p w14:paraId="3601DE8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三</w:t>
            </w:r>
            <w:r>
              <w:rPr>
                <w:rFonts w:hint="eastAsia" w:ascii="宋体" w:hAnsi="宋体" w:eastAsia="宋体" w:cs="宋体"/>
                <w:color w:val="auto"/>
                <w:szCs w:val="21"/>
              </w:rPr>
              <w:t>、特定资格要求：详见招标公告</w:t>
            </w:r>
          </w:p>
        </w:tc>
      </w:tr>
      <w:tr w14:paraId="2B89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5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5</w:t>
            </w:r>
          </w:p>
        </w:tc>
        <w:tc>
          <w:tcPr>
            <w:tcW w:w="2268" w:type="dxa"/>
            <w:vAlign w:val="center"/>
          </w:tcPr>
          <w:p w14:paraId="2B89D05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t>★</w:t>
            </w:r>
            <w:r>
              <w:rPr>
                <w:rFonts w:hint="eastAsia" w:ascii="宋体" w:hAnsi="宋体" w:eastAsia="宋体" w:cs="宋体"/>
                <w:bCs/>
                <w:color w:val="auto"/>
                <w:szCs w:val="21"/>
                <w:lang w:val="zh-CN"/>
              </w:rPr>
              <w:t>联合体投标</w:t>
            </w:r>
          </w:p>
        </w:tc>
        <w:tc>
          <w:tcPr>
            <w:tcW w:w="6813" w:type="dxa"/>
            <w:vAlign w:val="center"/>
          </w:tcPr>
          <w:p w14:paraId="2B89D05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kern w:val="0"/>
                <w:szCs w:val="21"/>
              </w:rPr>
              <w:t>本项目</w:t>
            </w: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color w:val="auto"/>
                <w:kern w:val="0"/>
                <w:szCs w:val="21"/>
              </w:rPr>
              <w:t>不接受</w:t>
            </w:r>
            <w:r>
              <w:rPr>
                <w:rFonts w:hint="eastAsia" w:ascii="宋体" w:hAnsi="宋体" w:eastAsia="宋体" w:cs="宋体"/>
                <w:bCs/>
                <w:color w:val="auto"/>
                <w:szCs w:val="21"/>
                <w:lang w:val="zh-CN"/>
              </w:rPr>
              <w:t>□接受</w:t>
            </w:r>
            <w:r>
              <w:rPr>
                <w:rFonts w:hint="eastAsia" w:ascii="宋体" w:hAnsi="宋体" w:eastAsia="宋体" w:cs="宋体"/>
                <w:color w:val="auto"/>
                <w:kern w:val="0"/>
                <w:szCs w:val="21"/>
              </w:rPr>
              <w:t>联合体</w:t>
            </w:r>
          </w:p>
        </w:tc>
      </w:tr>
      <w:tr w14:paraId="2B89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5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6</w:t>
            </w:r>
          </w:p>
        </w:tc>
        <w:tc>
          <w:tcPr>
            <w:tcW w:w="2268" w:type="dxa"/>
            <w:vAlign w:val="center"/>
          </w:tcPr>
          <w:p w14:paraId="2B89D05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t>★</w:t>
            </w:r>
            <w:r>
              <w:rPr>
                <w:rFonts w:hint="eastAsia" w:ascii="宋体" w:hAnsi="宋体" w:eastAsia="宋体" w:cs="宋体"/>
                <w:bCs/>
                <w:color w:val="auto"/>
                <w:szCs w:val="21"/>
                <w:lang w:val="zh-CN"/>
              </w:rPr>
              <w:t>最高限价</w:t>
            </w:r>
          </w:p>
        </w:tc>
        <w:tc>
          <w:tcPr>
            <w:tcW w:w="6813" w:type="dxa"/>
            <w:vAlign w:val="center"/>
          </w:tcPr>
          <w:p w14:paraId="2B89D05C">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bCs/>
                <w:color w:val="auto"/>
                <w:lang w:eastAsia="zh-CN"/>
              </w:rPr>
            </w:pPr>
            <w:r>
              <w:rPr>
                <w:rFonts w:hint="eastAsia" w:ascii="宋体" w:hAnsi="宋体" w:eastAsia="宋体" w:cs="宋体"/>
                <w:bCs/>
                <w:color w:val="auto"/>
              </w:rPr>
              <w:t>采购预算（最高限价）：</w:t>
            </w:r>
            <w:r>
              <w:rPr>
                <w:rFonts w:hint="eastAsia" w:ascii="宋体" w:hAnsi="宋体" w:eastAsia="宋体" w:cs="宋体"/>
                <w:bCs/>
                <w:color w:val="auto"/>
              </w:rPr>
              <w:t>第一标段：</w:t>
            </w:r>
            <w:r>
              <w:rPr>
                <w:rFonts w:hint="eastAsia" w:ascii="宋体" w:hAnsi="宋体" w:eastAsia="宋体" w:cs="宋体"/>
                <w:color w:val="auto"/>
                <w:sz w:val="21"/>
                <w:szCs w:val="21"/>
                <w:lang w:val="en-US" w:eastAsia="zh-CN"/>
              </w:rPr>
              <w:t>2050150</w:t>
            </w:r>
            <w:r>
              <w:rPr>
                <w:rFonts w:hint="eastAsia" w:ascii="宋体" w:hAnsi="宋体" w:eastAsia="宋体" w:cs="宋体"/>
                <w:bCs/>
                <w:color w:val="auto"/>
              </w:rPr>
              <w:t>元，第二标段：</w:t>
            </w:r>
            <w:r>
              <w:rPr>
                <w:rFonts w:hint="eastAsia" w:ascii="宋体" w:hAnsi="宋体" w:eastAsia="宋体" w:cs="宋体"/>
                <w:color w:val="auto"/>
                <w:sz w:val="21"/>
                <w:szCs w:val="21"/>
                <w:lang w:val="en-US" w:eastAsia="zh-CN"/>
              </w:rPr>
              <w:t>949850</w:t>
            </w:r>
            <w:r>
              <w:rPr>
                <w:rFonts w:hint="eastAsia" w:ascii="宋体" w:hAnsi="宋体" w:eastAsia="宋体" w:cs="宋体"/>
                <w:bCs/>
                <w:color w:val="auto"/>
              </w:rPr>
              <w:t>元</w:t>
            </w:r>
            <w:r>
              <w:rPr>
                <w:rFonts w:hint="eastAsia" w:ascii="宋体" w:hAnsi="宋体" w:eastAsia="宋体" w:cs="宋体"/>
                <w:bCs/>
                <w:color w:val="auto"/>
                <w:lang w:eastAsia="zh-CN"/>
              </w:rPr>
              <w:t>。</w:t>
            </w:r>
          </w:p>
          <w:p w14:paraId="2B89D05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bCs/>
                <w:color w:val="auto"/>
                <w:szCs w:val="21"/>
                <w:lang w:val="zh-CN"/>
              </w:rPr>
            </w:pPr>
            <w:r>
              <w:rPr>
                <w:rFonts w:hint="eastAsia" w:ascii="宋体" w:hAnsi="宋体" w:eastAsia="宋体" w:cs="宋体"/>
                <w:bCs/>
                <w:color w:val="auto"/>
                <w:lang w:val="zh-CN"/>
              </w:rPr>
              <w:t>注</w:t>
            </w:r>
            <w:r>
              <w:rPr>
                <w:rFonts w:hint="eastAsia" w:ascii="宋体" w:hAnsi="宋体" w:eastAsia="宋体" w:cs="宋体"/>
                <w:bCs/>
                <w:color w:val="auto"/>
                <w:szCs w:val="21"/>
                <w:lang w:val="zh-CN"/>
              </w:rPr>
              <w:t>：超出最高限价的投标无效</w:t>
            </w:r>
            <w:r>
              <w:rPr>
                <w:rFonts w:hint="eastAsia" w:ascii="宋体" w:hAnsi="宋体" w:eastAsia="宋体" w:cs="宋体"/>
                <w:bCs/>
                <w:color w:val="auto"/>
              </w:rPr>
              <w:t>。</w:t>
            </w:r>
          </w:p>
        </w:tc>
      </w:tr>
      <w:tr w14:paraId="2B89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B89D06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7</w:t>
            </w:r>
          </w:p>
        </w:tc>
        <w:tc>
          <w:tcPr>
            <w:tcW w:w="2268" w:type="dxa"/>
            <w:vAlign w:val="center"/>
          </w:tcPr>
          <w:p w14:paraId="2B89D06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现场考察</w:t>
            </w:r>
          </w:p>
        </w:tc>
        <w:tc>
          <w:tcPr>
            <w:tcW w:w="6813" w:type="dxa"/>
            <w:vAlign w:val="center"/>
          </w:tcPr>
          <w:p w14:paraId="2B89D062">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不组织</w:t>
            </w:r>
          </w:p>
          <w:p w14:paraId="2B89D063">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bCs/>
                <w:color w:val="auto"/>
                <w:szCs w:val="21"/>
                <w:lang w:val="zh-CN"/>
              </w:rPr>
              <w:t>组织，时间：      地点：</w:t>
            </w:r>
          </w:p>
        </w:tc>
      </w:tr>
      <w:tr w14:paraId="2B89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B89D06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8</w:t>
            </w:r>
          </w:p>
        </w:tc>
        <w:tc>
          <w:tcPr>
            <w:tcW w:w="2268" w:type="dxa"/>
            <w:vAlign w:val="center"/>
          </w:tcPr>
          <w:p w14:paraId="2B89D06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开标前答疑会</w:t>
            </w:r>
          </w:p>
        </w:tc>
        <w:tc>
          <w:tcPr>
            <w:tcW w:w="6813" w:type="dxa"/>
            <w:vAlign w:val="center"/>
          </w:tcPr>
          <w:p w14:paraId="2B89D06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不召开</w:t>
            </w:r>
          </w:p>
          <w:p w14:paraId="2B89D068">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□召开，时间：      地点：</w:t>
            </w:r>
          </w:p>
        </w:tc>
      </w:tr>
      <w:tr w14:paraId="2B89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6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9</w:t>
            </w:r>
          </w:p>
        </w:tc>
        <w:tc>
          <w:tcPr>
            <w:tcW w:w="2268" w:type="dxa"/>
            <w:vAlign w:val="center"/>
          </w:tcPr>
          <w:p w14:paraId="2B89D06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进口产品参与</w:t>
            </w:r>
          </w:p>
        </w:tc>
        <w:tc>
          <w:tcPr>
            <w:tcW w:w="6813" w:type="dxa"/>
            <w:vAlign w:val="center"/>
          </w:tcPr>
          <w:p w14:paraId="2B89D06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s="宋体"/>
                <w:color w:val="auto"/>
                <w:szCs w:val="21"/>
              </w:rPr>
              <w:t>允许</w:t>
            </w:r>
          </w:p>
        </w:tc>
      </w:tr>
      <w:tr w14:paraId="2B89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6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10</w:t>
            </w:r>
          </w:p>
        </w:tc>
        <w:tc>
          <w:tcPr>
            <w:tcW w:w="2268" w:type="dxa"/>
            <w:vAlign w:val="center"/>
          </w:tcPr>
          <w:p w14:paraId="2B89D06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w:t>
            </w:r>
            <w:r>
              <w:rPr>
                <w:rFonts w:hint="eastAsia" w:ascii="宋体" w:hAnsi="宋体" w:eastAsia="宋体" w:cs="宋体"/>
                <w:color w:val="auto"/>
                <w:szCs w:val="21"/>
              </w:rPr>
              <w:t>投标有效期</w:t>
            </w:r>
          </w:p>
        </w:tc>
        <w:tc>
          <w:tcPr>
            <w:tcW w:w="6813" w:type="dxa"/>
            <w:vAlign w:val="center"/>
          </w:tcPr>
          <w:p w14:paraId="2B89D07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rPr>
              <w:t>90天（自</w:t>
            </w:r>
            <w:r>
              <w:rPr>
                <w:rFonts w:hint="eastAsia" w:ascii="宋体" w:hAnsi="宋体" w:eastAsia="宋体" w:cs="宋体"/>
                <w:color w:val="auto"/>
                <w:kern w:val="0"/>
                <w:szCs w:val="21"/>
              </w:rPr>
              <w:t>提交投标</w:t>
            </w:r>
            <w:r>
              <w:rPr>
                <w:rFonts w:hint="eastAsia" w:ascii="宋体" w:hAnsi="宋体" w:eastAsia="宋体" w:cs="宋体"/>
                <w:color w:val="auto"/>
                <w:kern w:val="0"/>
                <w:szCs w:val="21"/>
                <w:lang w:eastAsia="zh-CN"/>
              </w:rPr>
              <w:t>文件</w:t>
            </w:r>
            <w:r>
              <w:rPr>
                <w:rFonts w:hint="eastAsia" w:ascii="宋体" w:hAnsi="宋体" w:eastAsia="宋体" w:cs="宋体"/>
                <w:color w:val="auto"/>
                <w:kern w:val="0"/>
                <w:szCs w:val="21"/>
              </w:rPr>
              <w:t>截止之日起</w:t>
            </w:r>
            <w:r>
              <w:rPr>
                <w:rFonts w:hint="eastAsia" w:ascii="宋体" w:hAnsi="宋体" w:eastAsia="宋体" w:cs="宋体"/>
                <w:color w:val="auto"/>
                <w:kern w:val="0"/>
                <w:szCs w:val="21"/>
                <w:lang w:val="en-US" w:eastAsia="zh-CN"/>
              </w:rPr>
              <w:t>算</w:t>
            </w:r>
            <w:r>
              <w:rPr>
                <w:rFonts w:hint="eastAsia" w:ascii="宋体" w:hAnsi="宋体" w:eastAsia="宋体" w:cs="宋体"/>
                <w:color w:val="auto"/>
                <w:szCs w:val="21"/>
              </w:rPr>
              <w:t>）</w:t>
            </w:r>
          </w:p>
        </w:tc>
      </w:tr>
      <w:tr w14:paraId="2B89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11</w:t>
            </w:r>
          </w:p>
        </w:tc>
        <w:tc>
          <w:tcPr>
            <w:tcW w:w="2268" w:type="dxa"/>
            <w:vAlign w:val="center"/>
          </w:tcPr>
          <w:p w14:paraId="2B89D074">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Cs/>
                <w:color w:val="auto"/>
                <w:szCs w:val="21"/>
                <w:lang w:val="en-US" w:eastAsia="zh-CN"/>
              </w:rPr>
              <w:t>中标人</w:t>
            </w:r>
            <w:r>
              <w:rPr>
                <w:rFonts w:hint="eastAsia" w:ascii="宋体" w:hAnsi="宋体" w:eastAsia="宋体" w:cs="宋体"/>
                <w:bCs/>
                <w:color w:val="auto"/>
                <w:szCs w:val="21"/>
                <w:lang w:val="zh-CN"/>
              </w:rPr>
              <w:t>将本项目非主体、非关键性工作分包</w:t>
            </w:r>
          </w:p>
        </w:tc>
        <w:tc>
          <w:tcPr>
            <w:tcW w:w="6813" w:type="dxa"/>
            <w:vAlign w:val="center"/>
          </w:tcPr>
          <w:p w14:paraId="2B89D07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 w:val="13"/>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s="宋体"/>
                <w:color w:val="auto"/>
                <w:szCs w:val="21"/>
              </w:rPr>
              <w:t>允许</w:t>
            </w:r>
          </w:p>
        </w:tc>
      </w:tr>
      <w:tr w14:paraId="2B89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12</w:t>
            </w:r>
          </w:p>
        </w:tc>
        <w:tc>
          <w:tcPr>
            <w:tcW w:w="2268" w:type="dxa"/>
            <w:vAlign w:val="center"/>
          </w:tcPr>
          <w:p w14:paraId="2B89D07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shd w:val="clear" w:color="auto" w:fill="FFFFFF"/>
              </w:rPr>
              <w:t>投标文件提交截止</w:t>
            </w:r>
            <w:r>
              <w:rPr>
                <w:rFonts w:hint="eastAsia" w:ascii="宋体" w:hAnsi="宋体" w:eastAsia="宋体" w:cs="宋体"/>
                <w:bCs/>
                <w:color w:val="auto"/>
                <w:szCs w:val="21"/>
                <w:lang w:val="zh-CN"/>
              </w:rPr>
              <w:t>及开标时间</w:t>
            </w:r>
          </w:p>
        </w:tc>
        <w:tc>
          <w:tcPr>
            <w:tcW w:w="6813" w:type="dxa"/>
            <w:vAlign w:val="center"/>
          </w:tcPr>
          <w:p w14:paraId="2B89D079">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zh-CN"/>
              </w:rPr>
              <w:t>202</w:t>
            </w:r>
            <w:r>
              <w:rPr>
                <w:rFonts w:hint="eastAsia" w:ascii="宋体" w:hAnsi="宋体" w:eastAsia="宋体" w:cs="宋体"/>
                <w:color w:val="auto"/>
                <w:szCs w:val="21"/>
                <w:lang w:val="en-US" w:eastAsia="zh-CN"/>
              </w:rPr>
              <w:t>6</w:t>
            </w:r>
            <w:r>
              <w:rPr>
                <w:rFonts w:hint="eastAsia" w:ascii="宋体" w:hAnsi="宋体" w:eastAsia="宋体" w:cs="宋体"/>
                <w:color w:val="auto"/>
                <w:szCs w:val="21"/>
                <w:lang w:val="zh-CN"/>
              </w:rPr>
              <w:t>年</w:t>
            </w:r>
            <w:r>
              <w:rPr>
                <w:rFonts w:hint="eastAsia" w:ascii="宋体" w:hAnsi="宋体" w:eastAsia="宋体" w:cs="宋体"/>
                <w:color w:val="auto"/>
                <w:szCs w:val="21"/>
                <w:lang w:val="en-US" w:eastAsia="zh-CN"/>
              </w:rPr>
              <w:t>11</w:t>
            </w:r>
            <w:r>
              <w:rPr>
                <w:rFonts w:hint="eastAsia" w:ascii="宋体" w:hAnsi="宋体" w:eastAsia="宋体" w:cs="宋体"/>
                <w:color w:val="auto"/>
                <w:szCs w:val="21"/>
                <w:lang w:val="zh-CN"/>
              </w:rPr>
              <w:t>月</w:t>
            </w:r>
            <w:r>
              <w:rPr>
                <w:rFonts w:hint="eastAsia" w:ascii="宋体" w:hAnsi="宋体" w:eastAsia="宋体" w:cs="宋体"/>
                <w:color w:val="auto"/>
                <w:szCs w:val="21"/>
                <w:lang w:val="en-US" w:eastAsia="zh-CN"/>
              </w:rPr>
              <w:t>2</w:t>
            </w:r>
            <w:r>
              <w:rPr>
                <w:rFonts w:hint="eastAsia" w:ascii="宋体" w:hAnsi="宋体" w:eastAsia="宋体" w:cs="宋体"/>
                <w:color w:val="auto"/>
                <w:szCs w:val="21"/>
                <w:lang w:val="zh-CN"/>
              </w:rPr>
              <w:t>日08时30分（北京时间）</w:t>
            </w:r>
          </w:p>
        </w:tc>
      </w:tr>
      <w:tr w14:paraId="2B89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13</w:t>
            </w:r>
          </w:p>
        </w:tc>
        <w:tc>
          <w:tcPr>
            <w:tcW w:w="2268" w:type="dxa"/>
            <w:vAlign w:val="center"/>
          </w:tcPr>
          <w:p w14:paraId="2B89D07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开标地点</w:t>
            </w:r>
          </w:p>
        </w:tc>
        <w:tc>
          <w:tcPr>
            <w:tcW w:w="6813" w:type="dxa"/>
            <w:vAlign w:val="center"/>
          </w:tcPr>
          <w:p w14:paraId="2B89D07E">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en-US" w:eastAsia="zh-CN"/>
              </w:rPr>
              <w:t>开标地点：</w:t>
            </w:r>
            <w:r>
              <w:rPr>
                <w:rFonts w:hint="eastAsia" w:ascii="宋体" w:hAnsi="宋体" w:eastAsia="宋体" w:cs="宋体"/>
                <w:color w:val="auto"/>
                <w:szCs w:val="21"/>
              </w:rPr>
              <w:t>禹州市公共资源交易中心开标</w:t>
            </w:r>
            <w:r>
              <w:rPr>
                <w:rFonts w:hint="eastAsia" w:ascii="宋体" w:hAnsi="宋体" w:eastAsia="宋体" w:cs="宋体"/>
                <w:color w:val="auto"/>
                <w:szCs w:val="21"/>
                <w:lang w:eastAsia="zh-CN"/>
              </w:rPr>
              <w:t>二</w:t>
            </w:r>
            <w:r>
              <w:rPr>
                <w:rFonts w:hint="eastAsia" w:ascii="宋体" w:hAnsi="宋体" w:eastAsia="宋体" w:cs="宋体"/>
                <w:color w:val="auto"/>
                <w:szCs w:val="21"/>
              </w:rPr>
              <w:t>室（地址：禹州市行政服务中心楼九楼）（</w:t>
            </w:r>
            <w:r>
              <w:rPr>
                <w:rFonts w:hint="eastAsia" w:ascii="宋体" w:hAnsi="宋体" w:eastAsia="宋体" w:cs="宋体"/>
                <w:b/>
                <w:color w:val="auto"/>
                <w:szCs w:val="21"/>
              </w:rPr>
              <w:t>本项目采用远程不见面开标，</w:t>
            </w:r>
            <w:r>
              <w:rPr>
                <w:rFonts w:hint="eastAsia" w:ascii="宋体" w:hAnsi="宋体" w:eastAsia="宋体" w:cs="宋体"/>
                <w:b/>
                <w:color w:val="auto"/>
                <w:szCs w:val="21"/>
                <w:lang w:val="en-US" w:eastAsia="zh-CN"/>
              </w:rPr>
              <w:t>投标人</w:t>
            </w:r>
            <w:r>
              <w:rPr>
                <w:rFonts w:hint="eastAsia" w:ascii="宋体" w:hAnsi="宋体" w:eastAsia="宋体" w:cs="宋体"/>
                <w:b/>
                <w:color w:val="auto"/>
                <w:szCs w:val="21"/>
              </w:rPr>
              <w:t>无须到达现场</w:t>
            </w:r>
            <w:r>
              <w:rPr>
                <w:rFonts w:hint="eastAsia" w:ascii="宋体" w:hAnsi="宋体" w:eastAsia="宋体" w:cs="宋体"/>
                <w:color w:val="auto"/>
                <w:szCs w:val="21"/>
              </w:rPr>
              <w:t>）</w:t>
            </w:r>
          </w:p>
        </w:tc>
      </w:tr>
      <w:tr w14:paraId="2B89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8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14</w:t>
            </w:r>
          </w:p>
        </w:tc>
        <w:tc>
          <w:tcPr>
            <w:tcW w:w="2268" w:type="dxa"/>
            <w:vAlign w:val="center"/>
          </w:tcPr>
          <w:p w14:paraId="2B89D08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kern w:val="0"/>
                <w:szCs w:val="21"/>
              </w:rPr>
              <w:t>投标保证金</w:t>
            </w:r>
          </w:p>
        </w:tc>
        <w:tc>
          <w:tcPr>
            <w:tcW w:w="6813" w:type="dxa"/>
            <w:vAlign w:val="center"/>
          </w:tcPr>
          <w:p w14:paraId="2B89D082">
            <w:pPr>
              <w:keepNext w:val="0"/>
              <w:keepLines w:val="0"/>
              <w:pageBreakBefore w:val="0"/>
              <w:widowControl w:val="0"/>
              <w:tabs>
                <w:tab w:val="left" w:pos="1260"/>
              </w:tabs>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本项目不收取。</w:t>
            </w:r>
          </w:p>
          <w:p w14:paraId="2B89D083">
            <w:pPr>
              <w:keepNext w:val="0"/>
              <w:keepLines w:val="0"/>
              <w:pageBreakBefore w:val="0"/>
              <w:widowControl w:val="0"/>
              <w:tabs>
                <w:tab w:val="left" w:pos="1260"/>
              </w:tabs>
              <w:kinsoku/>
              <w:overflowPunct/>
              <w:topLinePunct w:val="0"/>
              <w:autoSpaceDE w:val="0"/>
              <w:autoSpaceDN w:val="0"/>
              <w:bidi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应提供投标承诺函。</w:t>
            </w:r>
          </w:p>
        </w:tc>
      </w:tr>
      <w:tr w14:paraId="2B89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2B89D08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15</w:t>
            </w:r>
          </w:p>
        </w:tc>
        <w:tc>
          <w:tcPr>
            <w:tcW w:w="2268" w:type="dxa"/>
            <w:vAlign w:val="center"/>
          </w:tcPr>
          <w:p w14:paraId="2B89D08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公告发布</w:t>
            </w:r>
          </w:p>
        </w:tc>
        <w:tc>
          <w:tcPr>
            <w:tcW w:w="6813" w:type="dxa"/>
            <w:tcBorders>
              <w:top w:val="single" w:color="auto" w:sz="4" w:space="0"/>
            </w:tcBorders>
            <w:vAlign w:val="center"/>
          </w:tcPr>
          <w:p w14:paraId="2B89D08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采购公告、</w:t>
            </w:r>
            <w:r>
              <w:rPr>
                <w:rFonts w:hint="eastAsia" w:ascii="宋体" w:hAnsi="宋体" w:eastAsia="宋体" w:cs="宋体"/>
                <w:color w:val="auto"/>
                <w:szCs w:val="21"/>
                <w:lang w:val="en-US" w:eastAsia="zh-CN"/>
              </w:rPr>
              <w:t>中标</w:t>
            </w:r>
            <w:r>
              <w:rPr>
                <w:rFonts w:hint="eastAsia" w:ascii="宋体" w:hAnsi="宋体" w:eastAsia="宋体" w:cs="宋体"/>
                <w:color w:val="auto"/>
                <w:szCs w:val="21"/>
              </w:rPr>
              <w:t>公告、变更（更正）公告、现场勘察答复等相关信息同时在以下网站发布：《河南省政府采购网》《许昌市政府采购网》《全国公共资源交易平台（河南省·许昌市）》。</w:t>
            </w:r>
          </w:p>
        </w:tc>
      </w:tr>
      <w:tr w14:paraId="2B89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8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16</w:t>
            </w:r>
          </w:p>
        </w:tc>
        <w:tc>
          <w:tcPr>
            <w:tcW w:w="2268" w:type="dxa"/>
            <w:vAlign w:val="center"/>
          </w:tcPr>
          <w:p w14:paraId="2B89D08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采购人澄清或修改</w:t>
            </w:r>
          </w:p>
          <w:p w14:paraId="2B89D08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招标文件时间</w:t>
            </w:r>
          </w:p>
        </w:tc>
        <w:tc>
          <w:tcPr>
            <w:tcW w:w="6813" w:type="dxa"/>
            <w:vAlign w:val="center"/>
          </w:tcPr>
          <w:p w14:paraId="2B89D08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en-US" w:eastAsia="zh-CN"/>
              </w:rPr>
            </w:pPr>
            <w:r>
              <w:rPr>
                <w:rFonts w:hint="eastAsia" w:ascii="宋体" w:hAnsi="宋体" w:eastAsia="宋体" w:cs="宋体"/>
                <w:bCs/>
                <w:color w:val="auto"/>
                <w:szCs w:val="21"/>
                <w:lang w:val="zh-CN"/>
              </w:rPr>
              <w:t>投标截止时间</w:t>
            </w:r>
            <w:r>
              <w:rPr>
                <w:rFonts w:hint="eastAsia" w:ascii="宋体" w:hAnsi="宋体" w:eastAsia="宋体" w:cs="宋体"/>
                <w:bCs/>
                <w:color w:val="auto"/>
                <w:szCs w:val="21"/>
              </w:rPr>
              <w:t>15</w:t>
            </w:r>
            <w:r>
              <w:rPr>
                <w:rFonts w:hint="eastAsia" w:ascii="宋体" w:hAnsi="宋体" w:eastAsia="宋体" w:cs="宋体"/>
                <w:bCs/>
                <w:color w:val="auto"/>
                <w:szCs w:val="21"/>
                <w:lang w:val="zh-CN"/>
              </w:rPr>
              <w:t>个工作日前（</w:t>
            </w:r>
            <w:r>
              <w:rPr>
                <w:rFonts w:hint="eastAsia" w:ascii="宋体" w:hAnsi="宋体" w:eastAsia="宋体" w:cs="宋体"/>
                <w:color w:val="auto"/>
                <w:szCs w:val="21"/>
                <w:lang w:val="zh-CN"/>
              </w:rPr>
              <w:t>澄清内容可能影响投标文件编制的），</w:t>
            </w:r>
            <w:r>
              <w:rPr>
                <w:rFonts w:hint="eastAsia" w:ascii="宋体" w:hAnsi="宋体" w:eastAsia="宋体" w:cs="宋体"/>
                <w:color w:val="auto"/>
                <w:szCs w:val="21"/>
                <w:lang w:val="en-US" w:eastAsia="zh-CN"/>
              </w:rPr>
              <w:t>通过全国公共资源交易平台（河南省.许昌市）交易系统电子平台发出；不足15日的，采购人或者采购代理机构应当顺延提交投标文件的截止时间。</w:t>
            </w:r>
          </w:p>
        </w:tc>
      </w:tr>
      <w:tr w14:paraId="2B89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8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17</w:t>
            </w:r>
          </w:p>
        </w:tc>
        <w:tc>
          <w:tcPr>
            <w:tcW w:w="2268" w:type="dxa"/>
            <w:vAlign w:val="center"/>
          </w:tcPr>
          <w:p w14:paraId="2B89D08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对招标文件</w:t>
            </w:r>
          </w:p>
          <w:p w14:paraId="2B89D09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质疑截止时间</w:t>
            </w:r>
          </w:p>
        </w:tc>
        <w:tc>
          <w:tcPr>
            <w:tcW w:w="6813" w:type="dxa"/>
            <w:vAlign w:val="center"/>
          </w:tcPr>
          <w:p w14:paraId="2B89D09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采购公告期满之日起七个工作日</w:t>
            </w:r>
          </w:p>
        </w:tc>
      </w:tr>
      <w:tr w14:paraId="2B89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18</w:t>
            </w:r>
          </w:p>
        </w:tc>
        <w:tc>
          <w:tcPr>
            <w:tcW w:w="2268" w:type="dxa"/>
            <w:vAlign w:val="center"/>
          </w:tcPr>
          <w:p w14:paraId="2B89D09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投标文件份数</w:t>
            </w:r>
          </w:p>
        </w:tc>
        <w:tc>
          <w:tcPr>
            <w:tcW w:w="6813" w:type="dxa"/>
            <w:vAlign w:val="center"/>
          </w:tcPr>
          <w:p w14:paraId="2B89D09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rPr>
              <w:fldChar w:fldCharType="begin"/>
            </w:r>
            <w:r>
              <w:rPr>
                <w:rFonts w:hint="eastAsia" w:ascii="宋体" w:hAnsi="宋体" w:eastAsia="宋体" w:cs="宋体"/>
                <w:bCs/>
                <w:color w:val="auto"/>
                <w:szCs w:val="21"/>
              </w:rPr>
              <w:instrText xml:space="preserve">eq \o\ac(</w:instrText>
            </w:r>
            <w:r>
              <w:rPr>
                <w:rFonts w:hint="eastAsia" w:ascii="宋体" w:hAnsi="宋体" w:eastAsia="宋体" w:cs="宋体"/>
                <w:bCs/>
                <w:color w:val="auto"/>
                <w:position w:val="-4"/>
                <w:sz w:val="31"/>
                <w:szCs w:val="21"/>
              </w:rPr>
              <w:instrText xml:space="preserve">□</w:instrText>
            </w:r>
            <w:r>
              <w:rPr>
                <w:rFonts w:hint="eastAsia" w:ascii="宋体" w:hAnsi="宋体" w:eastAsia="宋体" w:cs="宋体"/>
                <w:bCs/>
                <w:color w:val="auto"/>
                <w:szCs w:val="21"/>
              </w:rPr>
              <w:instrText xml:space="preserve">,√)</w:instrText>
            </w:r>
            <w:r>
              <w:rPr>
                <w:rFonts w:hint="eastAsia" w:ascii="宋体" w:hAnsi="宋体" w:eastAsia="宋体" w:cs="宋体"/>
                <w:bCs/>
                <w:color w:val="auto"/>
                <w:szCs w:val="21"/>
              </w:rPr>
              <w:fldChar w:fldCharType="end"/>
            </w:r>
            <w:r>
              <w:rPr>
                <w:rFonts w:hint="eastAsia" w:ascii="宋体" w:hAnsi="宋体" w:eastAsia="宋体" w:cs="宋体"/>
                <w:bCs/>
                <w:color w:val="auto"/>
                <w:szCs w:val="21"/>
                <w:lang w:val="zh-CN"/>
              </w:rPr>
              <w:t>电子投标文件：成功上传至《全国公共资源交易平台（河南省·许昌市）》公共资源交易系统加密电子投标文件1份（后缀格式为“.XCSTF”的加密电子响应文件）。</w:t>
            </w:r>
          </w:p>
          <w:p w14:paraId="2B89D09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注：供应商登录“全国公共资源交易平台（河南省·许昌市）”下载“新点投标文件制作软件（河南省版）”的最新版本制作电子响应文件。</w:t>
            </w:r>
          </w:p>
          <w:p w14:paraId="2B89D09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w:t>
            </w:r>
          </w:p>
        </w:tc>
      </w:tr>
      <w:tr w14:paraId="2B89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19</w:t>
            </w:r>
          </w:p>
        </w:tc>
        <w:tc>
          <w:tcPr>
            <w:tcW w:w="2268" w:type="dxa"/>
            <w:vAlign w:val="center"/>
          </w:tcPr>
          <w:p w14:paraId="2B89D09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投标文件的</w:t>
            </w:r>
          </w:p>
          <w:p w14:paraId="2B89D09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签署盖章</w:t>
            </w:r>
          </w:p>
        </w:tc>
        <w:tc>
          <w:tcPr>
            <w:tcW w:w="6813" w:type="dxa"/>
            <w:vAlign w:val="center"/>
          </w:tcPr>
          <w:p w14:paraId="2B89D09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szCs w:val="21"/>
              </w:rPr>
              <w:fldChar w:fldCharType="end"/>
            </w:r>
            <w:r>
              <w:rPr>
                <w:rFonts w:hint="eastAsia" w:ascii="宋体" w:hAnsi="宋体" w:eastAsia="宋体" w:cs="宋体"/>
                <w:color w:val="auto"/>
                <w:szCs w:val="21"/>
              </w:rPr>
              <w:t>电子投标文件：按招标文件要求加盖供应商电子印章和法人电子印章。</w:t>
            </w:r>
          </w:p>
          <w:p w14:paraId="2B89D09D">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bCs/>
                <w:color w:val="auto"/>
                <w:szCs w:val="21"/>
                <w:lang w:val="zh-CN"/>
              </w:rPr>
              <w:t>□</w:t>
            </w:r>
            <w:r>
              <w:rPr>
                <w:rFonts w:hint="eastAsia" w:ascii="宋体" w:hAnsi="宋体" w:eastAsia="宋体" w:cs="宋体"/>
                <w:color w:val="auto"/>
                <w:szCs w:val="21"/>
              </w:rPr>
              <w:t>纸质投标文件：投标文件封面加盖投标人公章（投标文件是指投标人电子投标文件制作完成后生成的后缀名为“.PDF”的文件打印的纸质投标文件）。</w:t>
            </w:r>
          </w:p>
        </w:tc>
      </w:tr>
      <w:tr w14:paraId="2B89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20</w:t>
            </w:r>
          </w:p>
        </w:tc>
        <w:tc>
          <w:tcPr>
            <w:tcW w:w="2268" w:type="dxa"/>
            <w:vAlign w:val="center"/>
          </w:tcPr>
          <w:p w14:paraId="2B89D0A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评标委员会组建</w:t>
            </w:r>
          </w:p>
        </w:tc>
        <w:tc>
          <w:tcPr>
            <w:tcW w:w="6813" w:type="dxa"/>
            <w:vAlign w:val="center"/>
          </w:tcPr>
          <w:p w14:paraId="2B89D0A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position w:val="2"/>
                <w:sz w:val="13"/>
                <w:szCs w:val="21"/>
              </w:rPr>
              <w:instrText xml:space="preserve">√</w:instrText>
            </w:r>
            <w:r>
              <w:rPr>
                <w:rFonts w:hint="eastAsia" w:ascii="宋体" w:hAnsi="宋体" w:eastAsia="宋体" w:cs="宋体"/>
                <w:b/>
                <w:color w:val="auto"/>
                <w:szCs w:val="21"/>
              </w:rPr>
              <w:instrText xml:space="preserve">)</w:instrText>
            </w:r>
            <w:r>
              <w:rPr>
                <w:rFonts w:hint="eastAsia" w:ascii="宋体" w:hAnsi="宋体" w:eastAsia="宋体" w:cs="宋体"/>
                <w:b/>
                <w:color w:val="auto"/>
                <w:szCs w:val="21"/>
              </w:rPr>
              <w:fldChar w:fldCharType="end"/>
            </w:r>
            <w:r>
              <w:rPr>
                <w:rFonts w:hint="eastAsia" w:ascii="宋体" w:hAnsi="宋体" w:eastAsia="宋体" w:cs="宋体"/>
                <w:color w:val="auto"/>
                <w:szCs w:val="21"/>
                <w:lang w:val="zh-CN"/>
              </w:rPr>
              <w:t>由采购人代表</w:t>
            </w:r>
            <w:r>
              <w:rPr>
                <w:rFonts w:hint="eastAsia" w:ascii="宋体" w:hAnsi="宋体" w:eastAsia="宋体" w:cs="宋体"/>
                <w:color w:val="auto"/>
                <w:szCs w:val="21"/>
              </w:rPr>
              <w:t>1人</w:t>
            </w:r>
            <w:r>
              <w:rPr>
                <w:rFonts w:hint="eastAsia" w:ascii="宋体" w:hAnsi="宋体" w:eastAsia="宋体" w:cs="宋体"/>
                <w:color w:val="auto"/>
                <w:szCs w:val="21"/>
                <w:lang w:val="zh-CN"/>
              </w:rPr>
              <w:t>和评审专家</w:t>
            </w:r>
            <w:r>
              <w:rPr>
                <w:rFonts w:hint="eastAsia" w:ascii="宋体" w:hAnsi="宋体" w:eastAsia="宋体" w:cs="宋体"/>
                <w:color w:val="auto"/>
                <w:szCs w:val="21"/>
              </w:rPr>
              <w:t>4人</w:t>
            </w:r>
            <w:r>
              <w:rPr>
                <w:rFonts w:hint="eastAsia" w:ascii="宋体" w:hAnsi="宋体" w:eastAsia="宋体" w:cs="宋体"/>
                <w:color w:val="auto"/>
                <w:szCs w:val="21"/>
                <w:lang w:val="zh-CN"/>
              </w:rPr>
              <w:t>组成，其中评审专家的人数不少于评标委员会成员总数的三分之二。评审专家从政府采购评审专家库中随机抽取。</w:t>
            </w:r>
          </w:p>
          <w:p w14:paraId="2B89D0A2">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szCs w:val="21"/>
              </w:rPr>
              <w:fldChar w:fldCharType="end"/>
            </w:r>
            <w:r>
              <w:rPr>
                <w:rFonts w:hint="eastAsia" w:ascii="宋体" w:hAnsi="宋体" w:eastAsia="宋体" w:cs="宋体"/>
                <w:color w:val="auto"/>
                <w:szCs w:val="21"/>
                <w:lang w:val="zh-CN"/>
              </w:rPr>
              <w:t>由评审专家组成。评审专家从政府采购评审专家库中随机抽取。</w:t>
            </w:r>
          </w:p>
        </w:tc>
      </w:tr>
      <w:tr w14:paraId="2B89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A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21</w:t>
            </w:r>
          </w:p>
        </w:tc>
        <w:tc>
          <w:tcPr>
            <w:tcW w:w="2268" w:type="dxa"/>
            <w:vAlign w:val="center"/>
          </w:tcPr>
          <w:p w14:paraId="2B89D0A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评标方法</w:t>
            </w:r>
          </w:p>
        </w:tc>
        <w:tc>
          <w:tcPr>
            <w:tcW w:w="6813" w:type="dxa"/>
            <w:vAlign w:val="center"/>
          </w:tcPr>
          <w:p w14:paraId="2B89D0A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综合评分法</w:t>
            </w:r>
            <w:r>
              <w:rPr>
                <w:rFonts w:hint="eastAsia" w:ascii="宋体" w:hAnsi="宋体" w:eastAsia="宋体" w:cs="宋体"/>
                <w:b/>
                <w:bCs/>
                <w:color w:val="auto"/>
                <w:szCs w:val="21"/>
                <w:lang w:val="zh-CN"/>
              </w:rPr>
              <w:t>□</w:t>
            </w:r>
            <w:r>
              <w:rPr>
                <w:rFonts w:hint="eastAsia" w:ascii="宋体" w:hAnsi="宋体" w:eastAsia="宋体" w:cs="宋体"/>
                <w:color w:val="auto"/>
                <w:szCs w:val="21"/>
                <w:lang w:val="zh-CN"/>
              </w:rPr>
              <w:t>最低评标价法</w:t>
            </w:r>
          </w:p>
        </w:tc>
      </w:tr>
      <w:tr w14:paraId="2881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AB7045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22</w:t>
            </w:r>
          </w:p>
        </w:tc>
        <w:tc>
          <w:tcPr>
            <w:tcW w:w="2268" w:type="dxa"/>
            <w:vAlign w:val="center"/>
          </w:tcPr>
          <w:p w14:paraId="1152FE7B">
            <w:pPr>
              <w:autoSpaceDE w:val="0"/>
              <w:autoSpaceDN w:val="0"/>
              <w:adjustRightInd w:val="0"/>
              <w:spacing w:line="360" w:lineRule="auto"/>
              <w:jc w:val="center"/>
              <w:rPr>
                <w:rFonts w:hint="eastAsia" w:ascii="宋体" w:hAnsi="宋体" w:eastAsia="宋体" w:cs="宋体"/>
                <w:color w:val="auto"/>
                <w:szCs w:val="21"/>
              </w:rPr>
            </w:pPr>
            <w:r>
              <w:rPr>
                <w:rFonts w:hint="eastAsia" w:ascii="宋体" w:hAnsi="宋体" w:eastAsia="宋体" w:cs="宋体"/>
                <w:bCs/>
                <w:color w:val="auto"/>
                <w:szCs w:val="21"/>
                <w:highlight w:val="none"/>
                <w:lang w:val="zh-CN"/>
              </w:rPr>
              <w:t>异常低价审核</w:t>
            </w:r>
          </w:p>
        </w:tc>
        <w:tc>
          <w:tcPr>
            <w:tcW w:w="6813" w:type="dxa"/>
            <w:vAlign w:val="center"/>
          </w:tcPr>
          <w:p w14:paraId="72D357B9">
            <w:pPr>
              <w:autoSpaceDE w:val="0"/>
              <w:autoSpaceDN w:val="0"/>
              <w:adjustRightInd w:val="0"/>
              <w:spacing w:line="360" w:lineRule="auto"/>
              <w:jc w:val="both"/>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1.投标报价低于全部通过符合性审查</w:t>
            </w:r>
            <w:r>
              <w:rPr>
                <w:rFonts w:hint="eastAsia" w:ascii="宋体" w:hAnsi="宋体" w:eastAsia="宋体" w:cs="宋体"/>
                <w:color w:val="auto"/>
                <w:highlight w:val="none"/>
                <w:lang w:val="en-US" w:eastAsia="zh-CN"/>
              </w:rPr>
              <w:t>投标人</w:t>
            </w:r>
            <w:r>
              <w:rPr>
                <w:rFonts w:hint="eastAsia" w:ascii="宋体" w:hAnsi="宋体" w:eastAsia="宋体" w:cs="宋体"/>
                <w:color w:val="auto"/>
                <w:highlight w:val="none"/>
                <w:lang w:val="zh-CN"/>
              </w:rPr>
              <w:t>投标报价平均值50%的；</w:t>
            </w:r>
          </w:p>
          <w:p w14:paraId="191A8EF0">
            <w:pPr>
              <w:autoSpaceDE w:val="0"/>
              <w:autoSpaceDN w:val="0"/>
              <w:adjustRightInd w:val="0"/>
              <w:spacing w:line="360" w:lineRule="auto"/>
              <w:jc w:val="both"/>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2.投标报价低于通过符合性审查的次低报价</w:t>
            </w:r>
            <w:r>
              <w:rPr>
                <w:rFonts w:hint="eastAsia" w:ascii="宋体" w:hAnsi="宋体" w:eastAsia="宋体" w:cs="宋体"/>
                <w:color w:val="auto"/>
                <w:highlight w:val="none"/>
                <w:lang w:val="en-US" w:eastAsia="zh-CN"/>
              </w:rPr>
              <w:t>投标人</w:t>
            </w:r>
            <w:r>
              <w:rPr>
                <w:rFonts w:hint="eastAsia" w:ascii="宋体" w:hAnsi="宋体" w:eastAsia="宋体" w:cs="宋体"/>
                <w:color w:val="auto"/>
                <w:highlight w:val="none"/>
                <w:lang w:val="zh-CN"/>
              </w:rPr>
              <w:t>投标报价50%的；</w:t>
            </w:r>
          </w:p>
          <w:p w14:paraId="1A2A846A">
            <w:pPr>
              <w:autoSpaceDE w:val="0"/>
              <w:autoSpaceDN w:val="0"/>
              <w:adjustRightInd w:val="0"/>
              <w:spacing w:line="360" w:lineRule="auto"/>
              <w:jc w:val="both"/>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3.投标报价低于采购项目最高限价45%的；</w:t>
            </w:r>
          </w:p>
          <w:p w14:paraId="6C067C98">
            <w:pPr>
              <w:autoSpaceDE w:val="0"/>
              <w:autoSpaceDN w:val="0"/>
              <w:adjustRightInd w:val="0"/>
              <w:spacing w:line="360" w:lineRule="auto"/>
              <w:jc w:val="both"/>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4.评标委员会基于专业判断，认为</w:t>
            </w:r>
            <w:r>
              <w:rPr>
                <w:rFonts w:hint="eastAsia" w:ascii="宋体" w:hAnsi="宋体" w:eastAsia="宋体" w:cs="宋体"/>
                <w:color w:val="auto"/>
                <w:highlight w:val="none"/>
                <w:lang w:val="en-US" w:eastAsia="zh-CN"/>
              </w:rPr>
              <w:t>投标人</w:t>
            </w:r>
            <w:r>
              <w:rPr>
                <w:rFonts w:hint="eastAsia" w:ascii="宋体" w:hAnsi="宋体" w:eastAsia="宋体" w:cs="宋体"/>
                <w:color w:val="auto"/>
                <w:highlight w:val="none"/>
                <w:lang w:val="zh-CN"/>
              </w:rPr>
              <w:t>报价过低，有可能影响产品质量或者不能诚信履约的其他情形。</w:t>
            </w:r>
          </w:p>
          <w:p w14:paraId="207F36B5">
            <w:pPr>
              <w:autoSpaceDE w:val="0"/>
              <w:autoSpaceDN w:val="0"/>
              <w:adjustRightInd w:val="0"/>
              <w:spacing w:line="360" w:lineRule="auto"/>
              <w:jc w:val="both"/>
              <w:rPr>
                <w:rFonts w:hint="eastAsia" w:ascii="宋体" w:hAnsi="宋体" w:eastAsia="宋体" w:cs="宋体"/>
                <w:b/>
                <w:color w:val="auto"/>
                <w:kern w:val="0"/>
                <w:szCs w:val="21"/>
                <w:lang w:val="zh-CN"/>
              </w:rPr>
            </w:pPr>
            <w:r>
              <w:rPr>
                <w:rFonts w:hint="eastAsia" w:ascii="宋体" w:hAnsi="宋体" w:eastAsia="宋体" w:cs="宋体"/>
                <w:color w:val="auto"/>
                <w:highlight w:val="none"/>
                <w:lang w:val="zh-CN"/>
              </w:rPr>
              <w:t>5.相关法律法规对</w:t>
            </w:r>
            <w:r>
              <w:rPr>
                <w:rFonts w:hint="eastAsia" w:ascii="宋体" w:hAnsi="宋体" w:eastAsia="宋体" w:cs="宋体"/>
                <w:color w:val="auto"/>
                <w:highlight w:val="none"/>
                <w:lang w:val="en-US" w:eastAsia="zh-CN"/>
              </w:rPr>
              <w:t>投标人</w:t>
            </w:r>
            <w:r>
              <w:rPr>
                <w:rFonts w:hint="eastAsia" w:ascii="宋体" w:hAnsi="宋体" w:eastAsia="宋体" w:cs="宋体"/>
                <w:color w:val="auto"/>
                <w:highlight w:val="none"/>
                <w:lang w:val="zh-CN"/>
              </w:rPr>
              <w:t>报价有规定的，从其规定。</w:t>
            </w:r>
          </w:p>
        </w:tc>
      </w:tr>
      <w:tr w14:paraId="2B89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A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3</w:t>
            </w:r>
          </w:p>
        </w:tc>
        <w:tc>
          <w:tcPr>
            <w:tcW w:w="2268" w:type="dxa"/>
            <w:vAlign w:val="center"/>
          </w:tcPr>
          <w:p w14:paraId="2B89D0A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授权函</w:t>
            </w:r>
          </w:p>
        </w:tc>
        <w:tc>
          <w:tcPr>
            <w:tcW w:w="6813" w:type="dxa"/>
            <w:vAlign w:val="center"/>
          </w:tcPr>
          <w:p w14:paraId="71179137">
            <w:pPr>
              <w:pStyle w:val="24"/>
              <w:keepNext w:val="0"/>
              <w:keepLines w:val="0"/>
              <w:pageBreakBefore w:val="0"/>
              <w:widowControl w:val="0"/>
              <w:kinsoku/>
              <w:overflowPunct/>
              <w:topLinePunct w:val="0"/>
              <w:bidi w:val="0"/>
              <w:snapToGrid/>
              <w:spacing w:line="460" w:lineRule="exact"/>
              <w:ind w:left="0" w:leftChars="0" w:firstLine="0" w:firstLineChars="0"/>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采购单位委派代表参加资格审查和评审委员会的，须出具授权函。除授权代表外，采购单位委派监察人员对评标过程实施监督的须进入禹州市公共资源交易中心电子监督室，且不得超过2人。监察人员对评审工作实施监督，并签字登记备案、备查，监督人员应切实履行监督责任。</w:t>
            </w:r>
          </w:p>
        </w:tc>
      </w:tr>
      <w:tr w14:paraId="2B89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A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4</w:t>
            </w:r>
          </w:p>
        </w:tc>
        <w:tc>
          <w:tcPr>
            <w:tcW w:w="2268" w:type="dxa"/>
            <w:vAlign w:val="center"/>
          </w:tcPr>
          <w:p w14:paraId="5741EE7A">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bCs/>
                <w:color w:val="auto"/>
                <w:szCs w:val="21"/>
                <w:lang w:val="zh-CN"/>
              </w:rPr>
            </w:pPr>
          </w:p>
          <w:p w14:paraId="2B89D0A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中小企业有关政策</w:t>
            </w:r>
          </w:p>
        </w:tc>
        <w:tc>
          <w:tcPr>
            <w:tcW w:w="6813" w:type="dxa"/>
            <w:vAlign w:val="center"/>
          </w:tcPr>
          <w:p w14:paraId="4770C3B1">
            <w:pPr>
              <w:keepNext w:val="0"/>
              <w:keepLines w:val="0"/>
              <w:pageBreakBefore w:val="0"/>
              <w:widowControl w:val="0"/>
              <w:numPr>
                <w:ilvl w:val="0"/>
                <w:numId w:val="14"/>
              </w:numPr>
              <w:kinsoku/>
              <w:overflowPunct/>
              <w:topLinePunct w:val="0"/>
              <w:bidi w:val="0"/>
              <w:snapToGrid/>
              <w:spacing w:line="460" w:lineRule="exact"/>
              <w:textAlignment w:val="auto"/>
              <w:rPr>
                <w:rFonts w:hint="eastAsia" w:ascii="宋体" w:hAnsi="宋体" w:eastAsia="宋体" w:cs="宋体"/>
                <w:b w:val="0"/>
                <w:bCs w:val="0"/>
                <w:color w:val="auto"/>
                <w:lang w:eastAsia="zh-CN"/>
              </w:rPr>
            </w:pPr>
            <w:r>
              <w:rPr>
                <w:rFonts w:hint="eastAsia" w:ascii="宋体" w:hAnsi="宋体" w:eastAsia="宋体" w:cs="宋体"/>
                <w:color w:val="auto"/>
                <w:lang w:eastAsia="zh-CN"/>
              </w:rPr>
              <w:t>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w:t>
            </w:r>
            <w:r>
              <w:rPr>
                <w:rFonts w:hint="eastAsia" w:ascii="宋体" w:hAnsi="宋体" w:eastAsia="宋体" w:cs="宋体"/>
                <w:b w:val="0"/>
                <w:bCs w:val="0"/>
                <w:color w:val="auto"/>
                <w:lang w:eastAsia="zh-CN"/>
              </w:rPr>
              <w:t>本次采购标的对应的中小企业划分标准所属行业：工业</w:t>
            </w:r>
          </w:p>
          <w:p w14:paraId="4AFB9A74">
            <w:pPr>
              <w:keepNext w:val="0"/>
              <w:keepLines w:val="0"/>
              <w:pageBreakBefore w:val="0"/>
              <w:widowControl w:val="0"/>
              <w:numPr>
                <w:ilvl w:val="0"/>
                <w:numId w:val="14"/>
              </w:numPr>
              <w:kinsoku/>
              <w:overflowPunct/>
              <w:topLinePunct w:val="0"/>
              <w:bidi w:val="0"/>
              <w:snapToGrid/>
              <w:spacing w:line="460" w:lineRule="exact"/>
              <w:ind w:left="0" w:leftChars="0" w:firstLine="0" w:firstLineChars="0"/>
              <w:textAlignment w:val="auto"/>
              <w:rPr>
                <w:rFonts w:hint="eastAsia" w:ascii="宋体" w:hAnsi="宋体" w:eastAsia="宋体" w:cs="宋体"/>
                <w:color w:val="auto"/>
                <w:lang w:eastAsia="zh-CN"/>
              </w:rPr>
            </w:pPr>
            <w:r>
              <w:rPr>
                <w:rFonts w:hint="eastAsia" w:ascii="宋体" w:hAnsi="宋体" w:eastAsia="宋体" w:cs="宋体"/>
                <w:color w:val="auto"/>
                <w:lang w:eastAsia="zh-CN"/>
              </w:rPr>
              <w:t>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r>
              <w:rPr>
                <w:rFonts w:hint="eastAsia" w:ascii="宋体" w:hAnsi="宋体" w:eastAsia="宋体" w:cs="宋体"/>
                <w:b/>
                <w:bCs/>
                <w:color w:val="auto"/>
                <w:lang w:eastAsia="zh-CN"/>
              </w:rPr>
              <w:t>（</w:t>
            </w:r>
            <w:r>
              <w:rPr>
                <w:rFonts w:hint="eastAsia" w:ascii="宋体" w:hAnsi="宋体" w:eastAsia="宋体" w:cs="宋体"/>
                <w:b/>
                <w:bCs/>
                <w:color w:val="auto"/>
                <w:lang w:val="en-US" w:eastAsia="zh-CN"/>
              </w:rPr>
              <w:t>本项目第二标段专门面向小微企业采购，不再</w:t>
            </w:r>
            <w:r>
              <w:rPr>
                <w:rFonts w:hint="eastAsia" w:ascii="宋体" w:hAnsi="宋体" w:eastAsia="宋体" w:cs="宋体"/>
                <w:b/>
                <w:bCs/>
                <w:color w:val="auto"/>
                <w:lang w:eastAsia="zh-CN"/>
              </w:rPr>
              <w:t>享受相关中小企业扶持政策。）</w:t>
            </w:r>
          </w:p>
          <w:p w14:paraId="174EAED5">
            <w:pPr>
              <w:keepNext w:val="0"/>
              <w:keepLines w:val="0"/>
              <w:pageBreakBefore w:val="0"/>
              <w:widowControl w:val="0"/>
              <w:numPr>
                <w:ilvl w:val="0"/>
                <w:numId w:val="0"/>
              </w:numPr>
              <w:kinsoku/>
              <w:overflowPunct/>
              <w:topLinePunct w:val="0"/>
              <w:bidi w:val="0"/>
              <w:snapToGrid/>
              <w:spacing w:line="460" w:lineRule="exact"/>
              <w:ind w:leftChars="0"/>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3.</w:t>
            </w:r>
            <w:r>
              <w:rPr>
                <w:rFonts w:hint="eastAsia" w:ascii="宋体" w:hAnsi="宋体" w:eastAsia="宋体" w:cs="宋体"/>
                <w:color w:val="auto"/>
                <w:lang w:eastAsia="zh-CN"/>
              </w:rPr>
              <w:t>本项目不接受联合体投标。</w:t>
            </w:r>
          </w:p>
          <w:p w14:paraId="7DE9D802">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4</w:t>
            </w:r>
            <w:r>
              <w:rPr>
                <w:rFonts w:hint="eastAsia" w:ascii="宋体" w:hAnsi="宋体" w:eastAsia="宋体" w:cs="宋体"/>
                <w:color w:val="auto"/>
                <w:lang w:eastAsia="zh-CN"/>
              </w:rPr>
              <w:t>.提供由省级以上监狱管理局、戒毒管理局（含新疆生产建设兵团）出具的属于监狱企业证明文件的，视同为小型和微型企业。</w:t>
            </w:r>
          </w:p>
          <w:p w14:paraId="2B89D0B4">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5</w:t>
            </w:r>
            <w:r>
              <w:rPr>
                <w:rFonts w:hint="eastAsia" w:ascii="宋体" w:hAnsi="宋体" w:eastAsia="宋体" w:cs="宋体"/>
                <w:color w:val="auto"/>
                <w:lang w:eastAsia="zh-CN"/>
              </w:rPr>
              <w:t>.符合享受政府采购支持政策的残疾人福利性单位条件且提供《残疾人福利性单位声明函》的，视同为小型和微型企业。</w:t>
            </w:r>
          </w:p>
          <w:p w14:paraId="0FDD5364">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6.符合中小企业划分标准的个体工商户，在政府采购活动中视同中小企业。</w:t>
            </w:r>
          </w:p>
        </w:tc>
      </w:tr>
      <w:tr w14:paraId="7108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00CDF64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25</w:t>
            </w:r>
          </w:p>
        </w:tc>
        <w:tc>
          <w:tcPr>
            <w:tcW w:w="2268" w:type="dxa"/>
            <w:vAlign w:val="center"/>
          </w:tcPr>
          <w:p w14:paraId="1914A7F2">
            <w:pPr>
              <w:keepNext w:val="0"/>
              <w:keepLines w:val="0"/>
              <w:pageBreakBefore w:val="0"/>
              <w:kinsoku/>
              <w:overflowPunct/>
              <w:topLinePunct w:val="0"/>
              <w:autoSpaceDE w:val="0"/>
              <w:autoSpaceDN w:val="0"/>
              <w:bidi w:val="0"/>
              <w:adjustRightInd w:val="0"/>
              <w:snapToGrid/>
              <w:spacing w:line="48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实施本国产品标准及相关政策</w:t>
            </w:r>
          </w:p>
        </w:tc>
        <w:tc>
          <w:tcPr>
            <w:tcW w:w="6813" w:type="dxa"/>
            <w:vAlign w:val="center"/>
          </w:tcPr>
          <w:p w14:paraId="755E08D8">
            <w:pPr>
              <w:keepNext w:val="0"/>
              <w:keepLines w:val="0"/>
              <w:pageBreakBefore w:val="0"/>
              <w:kinsoku/>
              <w:overflowPunct/>
              <w:topLinePunct w:val="0"/>
              <w:autoSpaceDE w:val="0"/>
              <w:autoSpaceDN w:val="0"/>
              <w:bidi w:val="0"/>
              <w:snapToGrid/>
              <w:spacing w:line="480" w:lineRule="exact"/>
              <w:textAlignment w:val="auto"/>
              <w:rPr>
                <w:rFonts w:hint="eastAsia" w:ascii="宋体" w:hAnsi="宋体" w:eastAsia="宋体" w:cs="宋体"/>
                <w:color w:val="auto"/>
                <w:szCs w:val="21"/>
              </w:rPr>
            </w:pPr>
            <w:r>
              <w:rPr>
                <w:rFonts w:hint="eastAsia" w:ascii="宋体" w:hAnsi="宋体" w:eastAsia="宋体" w:cs="宋体"/>
                <w:color w:val="auto"/>
                <w:szCs w:val="21"/>
                <w:lang w:eastAsia="zh-CN"/>
              </w:rPr>
              <w:t>1.</w:t>
            </w:r>
            <w:r>
              <w:rPr>
                <w:rFonts w:hint="eastAsia" w:ascii="宋体" w:hAnsi="宋体" w:eastAsia="宋体" w:cs="宋体"/>
                <w:color w:val="auto"/>
                <w:szCs w:val="21"/>
              </w:rPr>
              <w:t>根据《国务院办公厅关于在政府采购中实施本国产品标准及相关政策的通知》（国办发〔2025〕34号），供应商对其提供的产品应当按照谈判文件格式要求出具《关于符合本国产品标准的声明函》或财政部会同有关部门规定的有关证明文件。出具符合要求的《声明函》或有关证明文件的，该产品视为本国产品。</w:t>
            </w:r>
          </w:p>
          <w:p w14:paraId="0FD7D8D0">
            <w:pPr>
              <w:keepNext w:val="0"/>
              <w:keepLines w:val="0"/>
              <w:pageBreakBefore w:val="0"/>
              <w:kinsoku/>
              <w:overflowPunct/>
              <w:topLinePunct w:val="0"/>
              <w:autoSpaceDE w:val="0"/>
              <w:autoSpaceDN w:val="0"/>
              <w:bidi w:val="0"/>
              <w:snapToGrid/>
              <w:spacing w:line="480" w:lineRule="exact"/>
              <w:textAlignment w:val="auto"/>
              <w:rPr>
                <w:rFonts w:hint="eastAsia" w:ascii="宋体" w:hAnsi="宋体" w:eastAsia="宋体" w:cs="宋体"/>
                <w:color w:val="auto"/>
                <w:szCs w:val="21"/>
              </w:rPr>
            </w:pPr>
            <w:r>
              <w:rPr>
                <w:rFonts w:hint="eastAsia" w:ascii="宋体" w:hAnsi="宋体" w:eastAsia="宋体" w:cs="宋体"/>
                <w:color w:val="auto"/>
                <w:szCs w:val="21"/>
                <w:lang w:eastAsia="zh-CN"/>
              </w:rPr>
              <w:t>2.</w:t>
            </w:r>
            <w:r>
              <w:rPr>
                <w:rFonts w:hint="eastAsia" w:ascii="宋体" w:hAnsi="宋体" w:eastAsia="宋体" w:cs="宋体"/>
                <w:color w:val="auto"/>
                <w:szCs w:val="21"/>
              </w:rPr>
              <w:t>对本国产品的支持政策。</w:t>
            </w:r>
          </w:p>
          <w:p w14:paraId="18F0F513">
            <w:pPr>
              <w:keepNext w:val="0"/>
              <w:keepLines w:val="0"/>
              <w:pageBreakBefore w:val="0"/>
              <w:kinsoku/>
              <w:overflowPunct/>
              <w:topLinePunct w:val="0"/>
              <w:autoSpaceDE w:val="0"/>
              <w:autoSpaceDN w:val="0"/>
              <w:bidi w:val="0"/>
              <w:snapToGrid/>
              <w:spacing w:line="480" w:lineRule="exact"/>
              <w:textAlignment w:val="auto"/>
              <w:rPr>
                <w:rFonts w:hint="eastAsia" w:ascii="宋体" w:hAnsi="宋体" w:eastAsia="宋体" w:cs="宋体"/>
                <w:color w:val="auto"/>
                <w:szCs w:val="21"/>
              </w:rPr>
            </w:pPr>
            <w:r>
              <w:rPr>
                <w:rFonts w:hint="eastAsia" w:ascii="宋体" w:hAnsi="宋体" w:eastAsia="宋体" w:cs="宋体"/>
                <w:color w:val="auto"/>
                <w:szCs w:val="21"/>
              </w:rPr>
              <w:t>政府采购活动中既有本国产品又有非本国产品参与竞争的，依法对本国产品给予价格评审优惠，对本国产品的报价给予20%的价格扣除，用扣除后的价格参与评审。</w:t>
            </w:r>
          </w:p>
          <w:p w14:paraId="49A8CEB9">
            <w:pPr>
              <w:keepNext w:val="0"/>
              <w:keepLines w:val="0"/>
              <w:pageBreakBefore w:val="0"/>
              <w:kinsoku/>
              <w:overflowPunct/>
              <w:topLinePunct w:val="0"/>
              <w:autoSpaceDE w:val="0"/>
              <w:autoSpaceDN w:val="0"/>
              <w:bidi w:val="0"/>
              <w:adjustRightInd w:val="0"/>
              <w:snapToGrid/>
              <w:spacing w:line="480" w:lineRule="exact"/>
              <w:textAlignment w:val="auto"/>
              <w:rPr>
                <w:rFonts w:hint="eastAsia" w:ascii="宋体" w:hAnsi="宋体" w:eastAsia="宋体" w:cs="宋体"/>
                <w:color w:val="auto"/>
                <w:lang w:eastAsia="zh-CN"/>
              </w:rPr>
            </w:pPr>
            <w:r>
              <w:rPr>
                <w:rFonts w:hint="eastAsia" w:ascii="宋体" w:hAnsi="宋体" w:eastAsia="宋体" w:cs="宋体"/>
                <w:color w:val="auto"/>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2B89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B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26</w:t>
            </w:r>
          </w:p>
        </w:tc>
        <w:tc>
          <w:tcPr>
            <w:tcW w:w="2268" w:type="dxa"/>
            <w:vAlign w:val="center"/>
          </w:tcPr>
          <w:p w14:paraId="2B89D0B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节能环保要求</w:t>
            </w:r>
          </w:p>
        </w:tc>
        <w:tc>
          <w:tcPr>
            <w:tcW w:w="6813" w:type="dxa"/>
            <w:vAlign w:val="center"/>
          </w:tcPr>
          <w:p w14:paraId="2B89D0B8">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 xml:space="preserve">1.本项目强制采购的节能产品：（无） </w:t>
            </w:r>
          </w:p>
          <w:p w14:paraId="2B89D0B9">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lang w:val="zh-CN"/>
              </w:rPr>
            </w:pPr>
            <w:r>
              <w:rPr>
                <w:rFonts w:hint="eastAsia" w:ascii="宋体" w:hAnsi="宋体" w:eastAsia="宋体" w:cs="宋体"/>
                <w:bCs/>
                <w:color w:val="auto"/>
                <w:szCs w:val="21"/>
                <w:lang w:val="zh-CN"/>
              </w:rPr>
              <w:t>2.执行《财政部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14:paraId="2B89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B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7</w:t>
            </w:r>
          </w:p>
        </w:tc>
        <w:tc>
          <w:tcPr>
            <w:tcW w:w="2268" w:type="dxa"/>
            <w:vAlign w:val="center"/>
          </w:tcPr>
          <w:p w14:paraId="2B89D0B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网络关键设备、网络安全专用产品要求</w:t>
            </w:r>
          </w:p>
        </w:tc>
        <w:tc>
          <w:tcPr>
            <w:tcW w:w="6813" w:type="dxa"/>
            <w:vAlign w:val="center"/>
          </w:tcPr>
          <w:p w14:paraId="2B89D0BD">
            <w:pPr>
              <w:keepNext w:val="0"/>
              <w:keepLines w:val="0"/>
              <w:pageBreakBefore w:val="0"/>
              <w:widowControl w:val="0"/>
              <w:numPr>
                <w:ilvl w:val="0"/>
                <w:numId w:val="15"/>
              </w:numPr>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rPr>
              <w:t>本项目网络关键设备：（无）；网络安全专用产品：（无）</w:t>
            </w:r>
          </w:p>
          <w:p w14:paraId="2B89D0BE">
            <w:pPr>
              <w:keepNext w:val="0"/>
              <w:keepLines w:val="0"/>
              <w:pageBreakBefore w:val="0"/>
              <w:widowControl w:val="0"/>
              <w:numPr>
                <w:ilvl w:val="0"/>
                <w:numId w:val="15"/>
              </w:numPr>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项目中涉及网络关键设备或网络安全专用产品的，执行国家互联网信息办公室、工业和信息化部、公安部和国家认证认可监督管理委员会2023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2B89D0BF">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eastAsia="zh-CN"/>
              </w:rPr>
              <w:t>3.</w:t>
            </w:r>
            <w:r>
              <w:rPr>
                <w:rFonts w:hint="eastAsia" w:ascii="宋体" w:hAnsi="宋体" w:eastAsia="宋体" w:cs="宋体"/>
                <w:color w:val="auto"/>
                <w:szCs w:val="21"/>
              </w:rPr>
              <w:t>提供资料（下列资料任意一项）①网络关键设备和网络安全专用产品安全认证证书；②网络关键设备安全检测证书、网络安全专用产品安全检测证书；③计算机信息系统安全专用产品销售许可证；④中国网信网或工业和信息化部网站或公安部网站或国家认证认可监督管理委员会网站公布的认证、检测结果（提供公布安全认证、安全检测结果页面网址和安全认证、检测结果截图）。</w:t>
            </w:r>
          </w:p>
        </w:tc>
      </w:tr>
      <w:tr w14:paraId="2B89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C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8</w:t>
            </w:r>
          </w:p>
        </w:tc>
        <w:tc>
          <w:tcPr>
            <w:tcW w:w="2268" w:type="dxa"/>
            <w:vAlign w:val="center"/>
          </w:tcPr>
          <w:p w14:paraId="2B89D0C9">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lang w:val="zh-CN"/>
              </w:rPr>
            </w:pPr>
          </w:p>
          <w:p w14:paraId="2B89D0C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政府采购合同融资 </w:t>
            </w:r>
          </w:p>
          <w:p w14:paraId="2B89D0C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政策告知函</w:t>
            </w:r>
          </w:p>
        </w:tc>
        <w:tc>
          <w:tcPr>
            <w:tcW w:w="6813" w:type="dxa"/>
            <w:vAlign w:val="center"/>
          </w:tcPr>
          <w:p w14:paraId="2B89D0C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w:t>
            </w:r>
            <w:r>
              <w:rPr>
                <w:rFonts w:hint="eastAsia" w:ascii="宋体" w:hAnsi="宋体" w:eastAsia="宋体" w:cs="宋体"/>
                <w:color w:val="auto"/>
                <w:szCs w:val="21"/>
                <w:lang w:val="en-US" w:eastAsia="zh-CN"/>
              </w:rPr>
              <w:t>人</w:t>
            </w:r>
            <w:r>
              <w:rPr>
                <w:rFonts w:hint="eastAsia" w:ascii="宋体" w:hAnsi="宋体" w:eastAsia="宋体" w:cs="宋体"/>
                <w:color w:val="auto"/>
                <w:szCs w:val="21"/>
              </w:rPr>
              <w:t>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14:paraId="2B89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70142C56">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rPr>
            </w:pPr>
          </w:p>
          <w:p w14:paraId="411200A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9</w:t>
            </w:r>
          </w:p>
        </w:tc>
        <w:tc>
          <w:tcPr>
            <w:tcW w:w="2268" w:type="dxa"/>
            <w:vAlign w:val="center"/>
          </w:tcPr>
          <w:p w14:paraId="2B89D0C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kern w:val="0"/>
                <w:szCs w:val="21"/>
              </w:rPr>
              <w:t>加快推广绿色建材发展应用</w:t>
            </w:r>
          </w:p>
        </w:tc>
        <w:tc>
          <w:tcPr>
            <w:tcW w:w="6813" w:type="dxa"/>
            <w:vAlign w:val="center"/>
          </w:tcPr>
          <w:p w14:paraId="2B89D0D0">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kern w:val="0"/>
                <w:szCs w:val="21"/>
              </w:rPr>
            </w:pPr>
            <w:r>
              <w:rPr>
                <w:rFonts w:hint="eastAsia" w:ascii="宋体" w:hAnsi="宋体" w:eastAsia="宋体" w:cs="宋体"/>
                <w:bCs/>
                <w:color w:val="auto"/>
                <w:szCs w:val="21"/>
                <w:lang w:val="zh-CN"/>
              </w:rPr>
              <w:t>本项目</w:t>
            </w:r>
            <w:r>
              <w:rPr>
                <w:rFonts w:hint="eastAsia" w:ascii="宋体" w:hAnsi="宋体" w:eastAsia="宋体" w:cs="宋体"/>
                <w:color w:val="auto"/>
                <w:kern w:val="0"/>
                <w:szCs w:val="21"/>
              </w:rPr>
              <w:t>绿色建材</w:t>
            </w:r>
            <w:r>
              <w:rPr>
                <w:rFonts w:hint="eastAsia" w:ascii="宋体" w:hAnsi="宋体" w:eastAsia="宋体" w:cs="宋体"/>
                <w:bCs/>
                <w:color w:val="auto"/>
                <w:szCs w:val="21"/>
                <w:lang w:val="zh-CN"/>
              </w:rPr>
              <w:t xml:space="preserve">产品：（无） </w:t>
            </w:r>
          </w:p>
          <w:p w14:paraId="2B89D0D1">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szCs w:val="21"/>
              </w:rPr>
            </w:pPr>
            <w:r>
              <w:rPr>
                <w:rFonts w:hint="eastAsia" w:ascii="宋体" w:hAnsi="宋体" w:eastAsia="宋体" w:cs="宋体"/>
                <w:color w:val="auto"/>
                <w:kern w:val="0"/>
                <w:szCs w:val="21"/>
              </w:rPr>
              <w:t>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14:paraId="2B89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Align w:val="center"/>
          </w:tcPr>
          <w:p w14:paraId="2B89D0D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30</w:t>
            </w:r>
          </w:p>
        </w:tc>
        <w:tc>
          <w:tcPr>
            <w:tcW w:w="2268" w:type="dxa"/>
            <w:vAlign w:val="center"/>
          </w:tcPr>
          <w:p w14:paraId="2B89D0D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履约保证金</w:t>
            </w:r>
          </w:p>
        </w:tc>
        <w:tc>
          <w:tcPr>
            <w:tcW w:w="6813" w:type="dxa"/>
            <w:vAlign w:val="center"/>
          </w:tcPr>
          <w:p w14:paraId="2B89D0D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无要求</w:t>
            </w:r>
          </w:p>
          <w:p w14:paraId="2B89D0D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color w:val="auto"/>
                <w:szCs w:val="21"/>
                <w:lang w:val="zh-CN"/>
              </w:rPr>
              <w:t>要求提交。履约保证金的数额为合同金额的%。成交供应商以支票、汇票、本票或者金融机构、担保机构出具的保函等非现金形式向采购人提交。</w:t>
            </w:r>
          </w:p>
        </w:tc>
      </w:tr>
      <w:tr w14:paraId="2B89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9" w:hRule="atLeast"/>
          <w:jc w:val="center"/>
        </w:trPr>
        <w:tc>
          <w:tcPr>
            <w:tcW w:w="806" w:type="dxa"/>
            <w:vAlign w:val="center"/>
          </w:tcPr>
          <w:p w14:paraId="2B89D0D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31</w:t>
            </w:r>
          </w:p>
        </w:tc>
        <w:tc>
          <w:tcPr>
            <w:tcW w:w="2268" w:type="dxa"/>
            <w:vAlign w:val="center"/>
          </w:tcPr>
          <w:p w14:paraId="2B89D0D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代理服务费</w:t>
            </w:r>
          </w:p>
        </w:tc>
        <w:tc>
          <w:tcPr>
            <w:tcW w:w="6813" w:type="dxa"/>
            <w:vAlign w:val="center"/>
          </w:tcPr>
          <w:p w14:paraId="2B89D0DC">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bCs/>
                <w:color w:val="auto"/>
                <w:szCs w:val="21"/>
                <w:lang w:val="zh-CN"/>
              </w:rPr>
            </w:pPr>
            <w:r>
              <w:rPr>
                <w:rFonts w:hint="eastAsia" w:ascii="宋体" w:hAnsi="宋体" w:eastAsia="宋体" w:cs="宋体"/>
                <w:color w:val="auto"/>
              </w:rPr>
              <w:drawing>
                <wp:anchor distT="0" distB="0" distL="114300" distR="114300" simplePos="0" relativeHeight="251659264" behindDoc="0" locked="0" layoutInCell="1" allowOverlap="1">
                  <wp:simplePos x="0" y="0"/>
                  <wp:positionH relativeFrom="column">
                    <wp:posOffset>-19050</wp:posOffset>
                  </wp:positionH>
                  <wp:positionV relativeFrom="paragraph">
                    <wp:posOffset>1178560</wp:posOffset>
                  </wp:positionV>
                  <wp:extent cx="3481070" cy="1804035"/>
                  <wp:effectExtent l="0" t="0" r="5080" b="5715"/>
                  <wp:wrapSquare wrapText="bothSides"/>
                  <wp:docPr id="2" name="图片 2" descr="beb982d9b13b73535a8dfa2cb990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eb982d9b13b73535a8dfa2cb990fd7"/>
                          <pic:cNvPicPr>
                            <a:picLocks noChangeAspect="1"/>
                          </pic:cNvPicPr>
                        </pic:nvPicPr>
                        <pic:blipFill>
                          <a:blip r:embed="rId6"/>
                          <a:stretch>
                            <a:fillRect/>
                          </a:stretch>
                        </pic:blipFill>
                        <pic:spPr>
                          <a:xfrm>
                            <a:off x="0" y="0"/>
                            <a:ext cx="3481070" cy="1804035"/>
                          </a:xfrm>
                          <a:prstGeom prst="rect">
                            <a:avLst/>
                          </a:prstGeom>
                          <a:noFill/>
                          <a:ln>
                            <a:noFill/>
                          </a:ln>
                        </pic:spPr>
                      </pic:pic>
                    </a:graphicData>
                  </a:graphic>
                </wp:anchor>
              </w:drawing>
            </w:r>
            <w:r>
              <w:rPr>
                <w:rFonts w:hint="eastAsia" w:ascii="宋体" w:hAnsi="宋体" w:eastAsia="宋体" w:cs="宋体"/>
                <w:color w:val="auto"/>
                <w:lang w:val="zh-CN"/>
              </w:rPr>
              <w:t>☑收取，</w:t>
            </w:r>
            <w:r>
              <w:rPr>
                <w:rFonts w:hint="eastAsia" w:ascii="宋体" w:hAnsi="宋体" w:eastAsia="宋体" w:cs="宋体"/>
                <w:color w:val="auto"/>
              </w:rPr>
              <w:t>招标代理服务费由中标人支付，按照豫招协〔2023〕002《河南省招标代理服务收费指导意见》收取，由中标单位在领取中标通知书时</w:t>
            </w:r>
            <w:r>
              <w:rPr>
                <w:rFonts w:hint="eastAsia" w:ascii="宋体" w:hAnsi="宋体" w:eastAsia="宋体" w:cs="宋体"/>
                <w:color w:val="auto"/>
                <w:lang w:eastAsia="zh-CN"/>
              </w:rPr>
              <w:t>一次性支付</w:t>
            </w:r>
            <w:r>
              <w:rPr>
                <w:rFonts w:hint="eastAsia" w:ascii="宋体" w:hAnsi="宋体" w:eastAsia="宋体" w:cs="宋体"/>
                <w:color w:val="auto"/>
              </w:rPr>
              <w:t>代理机构。</w:t>
            </w:r>
            <w:r>
              <w:rPr>
                <w:rFonts w:hint="eastAsia" w:ascii="宋体" w:hAnsi="宋体" w:eastAsia="宋体" w:cs="宋体"/>
                <w:color w:val="auto"/>
                <w:szCs w:val="21"/>
              </w:rPr>
              <w:t>招标代理服务收费按差额定率累计法计算：</w:t>
            </w:r>
          </w:p>
        </w:tc>
      </w:tr>
      <w:tr w14:paraId="2B89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D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32</w:t>
            </w:r>
          </w:p>
        </w:tc>
        <w:tc>
          <w:tcPr>
            <w:tcW w:w="2268" w:type="dxa"/>
            <w:vAlign w:val="center"/>
          </w:tcPr>
          <w:p w14:paraId="2B89D0D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en-US" w:eastAsia="zh-CN"/>
              </w:rPr>
              <w:t>中标人</w:t>
            </w:r>
            <w:r>
              <w:rPr>
                <w:rFonts w:hint="eastAsia" w:ascii="宋体" w:hAnsi="宋体" w:eastAsia="宋体" w:cs="宋体"/>
                <w:bCs/>
                <w:color w:val="auto"/>
                <w:szCs w:val="21"/>
                <w:lang w:val="zh-CN"/>
              </w:rPr>
              <w:t>需提交</w:t>
            </w:r>
          </w:p>
          <w:p w14:paraId="2B89D0E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的资料</w:t>
            </w:r>
          </w:p>
        </w:tc>
        <w:tc>
          <w:tcPr>
            <w:tcW w:w="6813" w:type="dxa"/>
            <w:vAlign w:val="center"/>
          </w:tcPr>
          <w:p w14:paraId="2B89D0E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zh-CN"/>
              </w:rPr>
              <w:t>中标人在接到中标通知时，须向代理机构发送投标报价及分项报价一览表（包含主要中标标的的名称、规格型号、数量、单价、服务要求等）电子文档，联系电话：17395856013，邮箱：huazhengxuchang@163.com。并配合业主需要提供纸质投标文件。</w:t>
            </w:r>
          </w:p>
        </w:tc>
      </w:tr>
      <w:tr w14:paraId="2B89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E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3</w:t>
            </w:r>
          </w:p>
        </w:tc>
        <w:tc>
          <w:tcPr>
            <w:tcW w:w="2268" w:type="dxa"/>
            <w:vAlign w:val="center"/>
          </w:tcPr>
          <w:p w14:paraId="2B89D0E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电子化采购模式</w:t>
            </w:r>
          </w:p>
        </w:tc>
        <w:tc>
          <w:tcPr>
            <w:tcW w:w="6813" w:type="dxa"/>
            <w:vAlign w:val="center"/>
          </w:tcPr>
          <w:p w14:paraId="2B89D0E5">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是。</w:t>
            </w:r>
            <w:r>
              <w:rPr>
                <w:rFonts w:hint="eastAsia" w:ascii="宋体" w:hAnsi="宋体" w:eastAsia="宋体" w:cs="宋体"/>
                <w:color w:val="auto"/>
                <w:szCs w:val="21"/>
                <w:lang w:val="zh-CN"/>
              </w:rPr>
              <w:t>投标人投标时须成功上传、解密电子投标文件。投标人资质、业绩、荣誉及相关人员证明材料等资料原件不再提交（本招标文件第六章另有要求提供原件的除外）。</w:t>
            </w:r>
          </w:p>
          <w:p w14:paraId="2B89D0E6">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zh-CN"/>
              </w:rPr>
              <w:t>□否。投标人投标时须提供纸质投标文件。投标人资质、业绩、荣誉及相关人员证明材料等资料原件根据招标文件要求提供。</w:t>
            </w:r>
          </w:p>
        </w:tc>
      </w:tr>
      <w:tr w14:paraId="2B89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06" w:type="dxa"/>
            <w:vAlign w:val="center"/>
          </w:tcPr>
          <w:p w14:paraId="2B89D0E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4</w:t>
            </w:r>
          </w:p>
        </w:tc>
        <w:tc>
          <w:tcPr>
            <w:tcW w:w="2268" w:type="dxa"/>
            <w:vAlign w:val="center"/>
          </w:tcPr>
          <w:p w14:paraId="2B89D0E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投标人代表出席开标会及其他</w:t>
            </w:r>
          </w:p>
        </w:tc>
        <w:tc>
          <w:tcPr>
            <w:tcW w:w="6813" w:type="dxa"/>
            <w:vAlign w:val="center"/>
          </w:tcPr>
          <w:p w14:paraId="2B89D0EA">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投标人准时在网上参加投标、开标活动。</w:t>
            </w:r>
          </w:p>
        </w:tc>
      </w:tr>
      <w:tr w14:paraId="2B89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E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35</w:t>
            </w:r>
          </w:p>
        </w:tc>
        <w:tc>
          <w:tcPr>
            <w:tcW w:w="2268" w:type="dxa"/>
            <w:vAlign w:val="center"/>
          </w:tcPr>
          <w:p w14:paraId="2B89D0E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解释权</w:t>
            </w:r>
          </w:p>
        </w:tc>
        <w:tc>
          <w:tcPr>
            <w:tcW w:w="6813" w:type="dxa"/>
            <w:vAlign w:val="center"/>
          </w:tcPr>
          <w:p w14:paraId="2B89D0EE">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构成本招标文件的各个组成文件应互为解释，互为说明；</w:t>
            </w:r>
          </w:p>
          <w:p w14:paraId="2B89D0E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1.除招标文件中有特别规定外，仅适用于招标投标阶段的规定，按招标公告（投标邀请书）、投标人须知、评标办法的先后顺序解释；</w:t>
            </w:r>
          </w:p>
          <w:p w14:paraId="2B89D0F0">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eastAsia="zh-CN"/>
              </w:rPr>
              <w:t>2.</w:t>
            </w:r>
            <w:r>
              <w:rPr>
                <w:rFonts w:hint="eastAsia" w:ascii="宋体" w:hAnsi="宋体" w:eastAsia="宋体" w:cs="宋体"/>
                <w:color w:val="auto"/>
                <w:szCs w:val="21"/>
                <w:lang w:val="zh-CN"/>
              </w:rPr>
              <w:t>同一组成文件中就同一事项的规定或约定不一致的，以编排顺序在后者为准；</w:t>
            </w:r>
          </w:p>
          <w:p w14:paraId="2B89D0F1">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eastAsia="zh-CN"/>
              </w:rPr>
              <w:t>3.</w:t>
            </w:r>
            <w:r>
              <w:rPr>
                <w:rFonts w:hint="eastAsia" w:ascii="宋体" w:hAnsi="宋体" w:eastAsia="宋体" w:cs="宋体"/>
                <w:color w:val="auto"/>
                <w:szCs w:val="21"/>
                <w:lang w:val="zh-CN"/>
              </w:rPr>
              <w:t>同一组成文件不同版本之间有不一致的，以形成时间在后者为准；</w:t>
            </w:r>
          </w:p>
          <w:p w14:paraId="2B89D0F2">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按本款前述规定仍不能形成结论的，由招标人负责解释。</w:t>
            </w:r>
          </w:p>
        </w:tc>
      </w:tr>
      <w:tr w14:paraId="2B89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F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6</w:t>
            </w:r>
          </w:p>
        </w:tc>
        <w:tc>
          <w:tcPr>
            <w:tcW w:w="2268" w:type="dxa"/>
            <w:vAlign w:val="center"/>
          </w:tcPr>
          <w:p w14:paraId="2B89D0F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知识产权</w:t>
            </w:r>
          </w:p>
        </w:tc>
        <w:tc>
          <w:tcPr>
            <w:tcW w:w="6813" w:type="dxa"/>
            <w:vAlign w:val="center"/>
          </w:tcPr>
          <w:p w14:paraId="2B89D0F6">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构成本采购文件各个组成部分的文件，未经采购人书面同意，</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不得擅自复印和用于非本招标项目所需的其他目的。采购人全部或者部分使用未中标人投标文件中的技术成果或技术方案时，需征得其书面同意，并不得擅自复印或提供给第三人。</w:t>
            </w:r>
          </w:p>
        </w:tc>
      </w:tr>
      <w:tr w14:paraId="2B89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0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37</w:t>
            </w:r>
          </w:p>
        </w:tc>
        <w:tc>
          <w:tcPr>
            <w:tcW w:w="2268" w:type="dxa"/>
            <w:vAlign w:val="center"/>
          </w:tcPr>
          <w:p w14:paraId="2B89D10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特别提示</w:t>
            </w:r>
          </w:p>
        </w:tc>
        <w:tc>
          <w:tcPr>
            <w:tcW w:w="6813" w:type="dxa"/>
            <w:vAlign w:val="center"/>
          </w:tcPr>
          <w:p w14:paraId="2B89D107">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lang w:eastAsia="zh-CN"/>
              </w:rPr>
              <w:t>1.</w:t>
            </w:r>
            <w:r>
              <w:rPr>
                <w:rFonts w:hint="eastAsia" w:ascii="宋体" w:hAnsi="宋体" w:eastAsia="宋体" w:cs="宋体"/>
                <w:color w:val="auto"/>
              </w:rPr>
              <w:t>按照《关于推进全流程电子化交易和在线监管工作有关问题的通知》（许公管办〔2019〕3号）规定：</w:t>
            </w:r>
          </w:p>
          <w:p w14:paraId="2B89D108">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不同</w:t>
            </w:r>
            <w:r>
              <w:rPr>
                <w:rFonts w:hint="eastAsia" w:ascii="宋体" w:hAnsi="宋体" w:eastAsia="宋体" w:cs="宋体"/>
                <w:color w:val="auto"/>
                <w:lang w:val="en-US" w:eastAsia="zh-CN"/>
              </w:rPr>
              <w:t>投标人</w:t>
            </w:r>
            <w:r>
              <w:rPr>
                <w:rFonts w:hint="eastAsia" w:ascii="宋体" w:hAnsi="宋体" w:eastAsia="宋体" w:cs="宋体"/>
                <w:color w:val="auto"/>
              </w:rPr>
              <w:t>电子投标文件制作硬件特征码（网卡MAC地址、CPU序号、硬盘序列号）均一致时，视为‘不同投标人的投标文件由同一单位或者个人编制’或‘不同投标人委托同一单位或者个人办理投标事宜’，其投标无效。</w:t>
            </w:r>
          </w:p>
          <w:p w14:paraId="2B89D109">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评审专家应严格按照要求查看“硬件特征码” 相关信息并进行评审，在评审报告中显示“不同投标人电子投标文件制作硬件特征码”是否雷同的分析及判定结果。</w:t>
            </w:r>
          </w:p>
          <w:p w14:paraId="2B89D10A">
            <w:pPr>
              <w:pStyle w:val="7"/>
              <w:keepNext w:val="0"/>
              <w:keepLines w:val="0"/>
              <w:pageBreakBefore w:val="0"/>
              <w:widowControl w:val="0"/>
              <w:kinsoku/>
              <w:overflowPunct/>
              <w:topLinePunct w:val="0"/>
              <w:bidi w:val="0"/>
              <w:snapToGrid/>
              <w:spacing w:after="0" w:line="460" w:lineRule="exact"/>
              <w:textAlignment w:val="auto"/>
              <w:rPr>
                <w:rFonts w:hint="eastAsia" w:ascii="宋体" w:hAnsi="宋体" w:eastAsia="宋体" w:cs="宋体"/>
                <w:color w:val="auto"/>
                <w:lang w:val="zh-CN"/>
              </w:rPr>
            </w:pPr>
            <w:r>
              <w:rPr>
                <w:rFonts w:hint="eastAsia" w:ascii="宋体" w:hAnsi="宋体" w:eastAsia="宋体" w:cs="宋体"/>
                <w:color w:val="auto"/>
                <w:lang w:eastAsia="zh-CN"/>
              </w:rPr>
              <w:t>2.</w:t>
            </w:r>
            <w:r>
              <w:rPr>
                <w:rFonts w:hint="eastAsia" w:ascii="宋体" w:hAnsi="宋体" w:eastAsia="宋体" w:cs="宋体"/>
                <w:color w:val="auto"/>
                <w:lang w:val="zh-CN"/>
              </w:rPr>
              <w:t>项目编号以本项目招标文件</w:t>
            </w:r>
            <w:r>
              <w:rPr>
                <w:rFonts w:hint="eastAsia" w:ascii="宋体" w:hAnsi="宋体" w:eastAsia="宋体" w:cs="宋体"/>
                <w:color w:val="auto"/>
                <w:lang w:val="en-US" w:eastAsia="zh-CN"/>
              </w:rPr>
              <w:t>采购</w:t>
            </w:r>
            <w:r>
              <w:rPr>
                <w:rFonts w:hint="eastAsia" w:ascii="宋体" w:hAnsi="宋体" w:eastAsia="宋体" w:cs="宋体"/>
                <w:color w:val="auto"/>
                <w:lang w:val="zh-CN"/>
              </w:rPr>
              <w:t>编号为准。</w:t>
            </w:r>
          </w:p>
          <w:p w14:paraId="2B89D10B">
            <w:pPr>
              <w:pStyle w:val="7"/>
              <w:keepNext w:val="0"/>
              <w:keepLines w:val="0"/>
              <w:pageBreakBefore w:val="0"/>
              <w:widowControl w:val="0"/>
              <w:kinsoku/>
              <w:overflowPunct/>
              <w:topLinePunct w:val="0"/>
              <w:bidi w:val="0"/>
              <w:snapToGrid/>
              <w:spacing w:after="0" w:line="460" w:lineRule="exact"/>
              <w:textAlignment w:val="auto"/>
              <w:rPr>
                <w:rFonts w:hint="eastAsia" w:ascii="宋体" w:hAnsi="宋体" w:eastAsia="宋体" w:cs="宋体"/>
                <w:color w:val="auto"/>
                <w:lang w:val="zh-CN"/>
              </w:rPr>
            </w:pPr>
            <w:r>
              <w:rPr>
                <w:rFonts w:hint="eastAsia" w:ascii="宋体" w:hAnsi="宋体" w:eastAsia="宋体" w:cs="宋体"/>
                <w:color w:val="auto"/>
                <w:lang w:eastAsia="zh-CN"/>
              </w:rPr>
              <w:t>3.</w:t>
            </w:r>
            <w:r>
              <w:rPr>
                <w:rFonts w:hint="eastAsia" w:ascii="宋体" w:hAnsi="宋体" w:eastAsia="宋体" w:cs="宋体"/>
                <w:color w:val="auto"/>
                <w:lang w:val="zh-CN"/>
              </w:rPr>
              <w:t>投标文件格式的先后顺序不作为废标项。</w:t>
            </w:r>
          </w:p>
        </w:tc>
      </w:tr>
      <w:tr w14:paraId="2B89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0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38</w:t>
            </w:r>
          </w:p>
        </w:tc>
        <w:tc>
          <w:tcPr>
            <w:tcW w:w="2268" w:type="dxa"/>
            <w:vAlign w:val="center"/>
          </w:tcPr>
          <w:p w14:paraId="2B89D10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资格核验</w:t>
            </w:r>
          </w:p>
        </w:tc>
        <w:tc>
          <w:tcPr>
            <w:tcW w:w="6813" w:type="dxa"/>
            <w:vAlign w:val="center"/>
          </w:tcPr>
          <w:p w14:paraId="2B89D10F">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rPr>
            </w:pPr>
            <w:r>
              <w:rPr>
                <w:rFonts w:hint="eastAsia" w:ascii="宋体" w:hAnsi="宋体" w:eastAsia="宋体" w:cs="宋体"/>
                <w:color w:val="auto"/>
                <w:lang w:val="en-US" w:eastAsia="zh-CN"/>
              </w:rPr>
              <w:t>投标人</w:t>
            </w:r>
            <w:r>
              <w:rPr>
                <w:rFonts w:hint="eastAsia" w:ascii="宋体" w:hAnsi="宋体" w:eastAsia="宋体" w:cs="宋体"/>
                <w:color w:val="auto"/>
              </w:rPr>
              <w:t>在</w:t>
            </w:r>
            <w:r>
              <w:rPr>
                <w:rFonts w:hint="eastAsia" w:ascii="宋体" w:hAnsi="宋体" w:eastAsia="宋体" w:cs="宋体"/>
                <w:color w:val="auto"/>
                <w:lang w:val="en-US" w:eastAsia="zh-CN"/>
              </w:rPr>
              <w:t>中标</w:t>
            </w:r>
            <w:r>
              <w:rPr>
                <w:rFonts w:hint="eastAsia" w:ascii="宋体" w:hAnsi="宋体" w:eastAsia="宋体" w:cs="宋体"/>
                <w:color w:val="auto"/>
              </w:rPr>
              <w:t>后，应将由《禹州市政府采购供应商信用承诺函》替代的证明材料提交采购人核验，经核验无误后，采购人发出</w:t>
            </w:r>
            <w:r>
              <w:rPr>
                <w:rFonts w:hint="eastAsia" w:ascii="宋体" w:hAnsi="宋体" w:eastAsia="宋体" w:cs="宋体"/>
                <w:color w:val="auto"/>
                <w:lang w:val="en-US" w:eastAsia="zh-CN"/>
              </w:rPr>
              <w:t>中标</w:t>
            </w:r>
            <w:r>
              <w:rPr>
                <w:rFonts w:hint="eastAsia" w:ascii="宋体" w:hAnsi="宋体" w:eastAsia="宋体" w:cs="宋体"/>
                <w:color w:val="auto"/>
              </w:rPr>
              <w:t>通知书。</w:t>
            </w:r>
          </w:p>
          <w:p w14:paraId="2B89D110">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一、法人或者其他组织的营业执照等证明文件，自然人的身份证明</w:t>
            </w:r>
          </w:p>
          <w:p w14:paraId="2B89D111">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1.企业法人营业执照或营业执照。（企业提供）</w:t>
            </w:r>
          </w:p>
          <w:p w14:paraId="2B89D112">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2.事业单位法人证书。（事业单位提供）</w:t>
            </w:r>
          </w:p>
          <w:p w14:paraId="2B89D113">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3.执业许可证。（非企业专业服务机构提供）</w:t>
            </w:r>
          </w:p>
          <w:p w14:paraId="2B89D114">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4.个体工商户营业执照。（个体工商户提供）</w:t>
            </w:r>
          </w:p>
          <w:p w14:paraId="2B89D115">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5.自然人身份证明。（自然人提供）</w:t>
            </w:r>
          </w:p>
          <w:p w14:paraId="2B89D116">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6.民办非企业单位登记证书。（民办非企业单位提供）</w:t>
            </w:r>
          </w:p>
          <w:p w14:paraId="2B89D117">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二、财务状况报告相关材料</w:t>
            </w:r>
          </w:p>
          <w:p w14:paraId="2B89D118">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投标人</w:t>
            </w:r>
            <w:r>
              <w:rPr>
                <w:rFonts w:hint="eastAsia" w:ascii="宋体" w:hAnsi="宋体" w:eastAsia="宋体" w:cs="宋体"/>
                <w:color w:val="auto"/>
              </w:rPr>
              <w:t>是法人（法人包括企业法人、机关法人、事业单位法人和社会团体法人），提供本单位：</w:t>
            </w:r>
          </w:p>
          <w:p w14:paraId="2B89D119">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①</w:t>
            </w:r>
            <w:r>
              <w:rPr>
                <w:rFonts w:hint="eastAsia" w:ascii="宋体" w:hAnsi="宋体" w:eastAsia="宋体" w:cs="宋体"/>
                <w:color w:val="auto"/>
                <w:szCs w:val="21"/>
              </w:rPr>
              <w:t>202</w:t>
            </w:r>
            <w:r>
              <w:rPr>
                <w:rFonts w:hint="eastAsia" w:ascii="宋体" w:hAnsi="宋体" w:eastAsia="宋体" w:cs="宋体"/>
                <w:color w:val="auto"/>
                <w:szCs w:val="21"/>
                <w:lang w:val="en-US" w:eastAsia="zh-CN"/>
              </w:rPr>
              <w:t>5</w:t>
            </w:r>
            <w:r>
              <w:rPr>
                <w:rFonts w:hint="eastAsia" w:ascii="宋体" w:hAnsi="宋体" w:eastAsia="宋体" w:cs="宋体"/>
                <w:color w:val="auto"/>
                <w:szCs w:val="21"/>
              </w:rPr>
              <w:t>年度</w:t>
            </w:r>
            <w:r>
              <w:rPr>
                <w:rFonts w:hint="eastAsia" w:ascii="宋体" w:hAnsi="宋体" w:eastAsia="宋体" w:cs="宋体"/>
                <w:color w:val="auto"/>
              </w:rPr>
              <w:t>经审计的财务报告</w:t>
            </w:r>
            <w:r>
              <w:rPr>
                <w:rFonts w:hint="eastAsia" w:ascii="宋体" w:hAnsi="宋体" w:eastAsia="宋体" w:cs="宋体"/>
                <w:color w:val="auto"/>
                <w:lang w:eastAsia="zh-CN"/>
              </w:rPr>
              <w:t>，包括资产负债表、利润表、现金流量表、所有者权益变动表及其附注；</w:t>
            </w:r>
          </w:p>
          <w:p w14:paraId="2B89D11A">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②基本开户银行出具的资信证明；</w:t>
            </w:r>
          </w:p>
          <w:p w14:paraId="2B89D11B">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③财政部门认可的政府采购专业担保机构的证明文件和担保机构出具的投标担保函。</w:t>
            </w:r>
          </w:p>
          <w:p w14:paraId="2B89D11C">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lang w:val="zh-CN"/>
              </w:rPr>
              <w:t>注：仅需提供序号</w:t>
            </w:r>
            <w:r>
              <w:rPr>
                <w:rFonts w:hint="eastAsia" w:ascii="宋体" w:hAnsi="宋体" w:eastAsia="宋体" w:cs="宋体"/>
                <w:color w:val="auto"/>
              </w:rPr>
              <w:t>①～③其中之一即可。</w:t>
            </w:r>
          </w:p>
          <w:p w14:paraId="2B89D11D">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en-US" w:eastAsia="zh-CN"/>
              </w:rPr>
              <w:t>投标人</w:t>
            </w:r>
            <w:r>
              <w:rPr>
                <w:rFonts w:hint="eastAsia" w:ascii="宋体" w:hAnsi="宋体" w:eastAsia="宋体" w:cs="宋体"/>
                <w:color w:val="auto"/>
              </w:rPr>
              <w:t>（其他组织和自然人）提供本单位：</w:t>
            </w:r>
          </w:p>
          <w:p w14:paraId="5E8875E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rPr>
              <w:t>①</w:t>
            </w:r>
            <w:r>
              <w:rPr>
                <w:rFonts w:hint="eastAsia" w:ascii="宋体" w:hAnsi="宋体" w:eastAsia="宋体" w:cs="宋体"/>
                <w:color w:val="auto"/>
                <w:szCs w:val="21"/>
              </w:rPr>
              <w:t>202</w:t>
            </w:r>
            <w:r>
              <w:rPr>
                <w:rFonts w:hint="eastAsia" w:ascii="宋体" w:hAnsi="宋体" w:eastAsia="宋体" w:cs="宋体"/>
                <w:color w:val="auto"/>
                <w:szCs w:val="21"/>
                <w:lang w:val="en-US" w:eastAsia="zh-CN"/>
              </w:rPr>
              <w:t>5</w:t>
            </w:r>
            <w:r>
              <w:rPr>
                <w:rFonts w:hint="eastAsia" w:ascii="宋体" w:hAnsi="宋体" w:eastAsia="宋体" w:cs="宋体"/>
                <w:color w:val="auto"/>
                <w:szCs w:val="21"/>
              </w:rPr>
              <w:t>年度</w:t>
            </w:r>
            <w:r>
              <w:rPr>
                <w:rFonts w:hint="eastAsia" w:ascii="宋体" w:hAnsi="宋体" w:eastAsia="宋体" w:cs="宋体"/>
                <w:color w:val="auto"/>
              </w:rPr>
              <w:t>经审计的财务报告</w:t>
            </w:r>
            <w:r>
              <w:rPr>
                <w:rFonts w:hint="eastAsia" w:ascii="宋体" w:hAnsi="宋体" w:eastAsia="宋体" w:cs="宋体"/>
                <w:color w:val="auto"/>
                <w:lang w:eastAsia="zh-CN"/>
              </w:rPr>
              <w:t>，包括资产负债表、利润表、现金流量表、所有者权益变动表及其附注；</w:t>
            </w:r>
          </w:p>
          <w:p w14:paraId="2B89D11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②银行出具的资信证明；</w:t>
            </w:r>
          </w:p>
          <w:p w14:paraId="2B89D120">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③财政部门认可的政府采购专业担保机构的证明文件和担保机构出具的投标担保函。</w:t>
            </w:r>
          </w:p>
          <w:p w14:paraId="2B89D121">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注：仅需提供序号</w:t>
            </w:r>
            <w:r>
              <w:rPr>
                <w:rFonts w:hint="eastAsia" w:ascii="宋体" w:hAnsi="宋体" w:eastAsia="宋体" w:cs="宋体"/>
                <w:color w:val="auto"/>
              </w:rPr>
              <w:t>①～③其中之一即可。</w:t>
            </w:r>
          </w:p>
          <w:p w14:paraId="2B89D122">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rPr>
              <w:t>三、依法缴纳税收相关材料</w:t>
            </w:r>
          </w:p>
          <w:p w14:paraId="2B89D123">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参加本次政府采购项目</w:t>
            </w:r>
            <w:r>
              <w:rPr>
                <w:rFonts w:hint="eastAsia" w:ascii="宋体" w:hAnsi="宋体" w:eastAsia="宋体" w:cs="宋体"/>
                <w:color w:val="auto"/>
                <w:lang w:val="en-US" w:eastAsia="zh-CN"/>
              </w:rPr>
              <w:t>投标</w:t>
            </w:r>
            <w:r>
              <w:rPr>
                <w:rFonts w:hint="eastAsia" w:ascii="宋体" w:hAnsi="宋体" w:eastAsia="宋体" w:cs="宋体"/>
                <w:color w:val="auto"/>
                <w:lang w:val="zh-CN"/>
              </w:rPr>
              <w:t>截止时间前一年内任意一个月缴纳税收凭据。（依法免税的</w:t>
            </w:r>
            <w:r>
              <w:rPr>
                <w:rFonts w:hint="eastAsia" w:ascii="宋体" w:hAnsi="宋体" w:eastAsia="宋体" w:cs="宋体"/>
                <w:color w:val="auto"/>
                <w:lang w:val="en-US" w:eastAsia="zh-CN"/>
              </w:rPr>
              <w:t>投标人</w:t>
            </w:r>
            <w:r>
              <w:rPr>
                <w:rFonts w:hint="eastAsia" w:ascii="宋体" w:hAnsi="宋体" w:eastAsia="宋体" w:cs="宋体"/>
                <w:color w:val="auto"/>
                <w:lang w:val="zh-CN"/>
              </w:rPr>
              <w:t>，应提供相应文件证明依法免税）</w:t>
            </w:r>
          </w:p>
          <w:p w14:paraId="2B89D124">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四、依法缴纳社会保障资金的证明材料</w:t>
            </w:r>
          </w:p>
          <w:p w14:paraId="2B89D125">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参加本次政府采购项目</w:t>
            </w:r>
            <w:r>
              <w:rPr>
                <w:rFonts w:hint="eastAsia" w:ascii="宋体" w:hAnsi="宋体" w:eastAsia="宋体" w:cs="宋体"/>
                <w:color w:val="auto"/>
                <w:lang w:val="en-US" w:eastAsia="zh-CN"/>
              </w:rPr>
              <w:t>投标</w:t>
            </w:r>
            <w:r>
              <w:rPr>
                <w:rFonts w:hint="eastAsia" w:ascii="宋体" w:hAnsi="宋体" w:eastAsia="宋体" w:cs="宋体"/>
                <w:color w:val="auto"/>
                <w:lang w:val="zh-CN"/>
              </w:rPr>
              <w:t>截止时间前一年内月内任意一个月缴纳社会保险凭据。（依法不需要缴纳社会保障资金的</w:t>
            </w:r>
            <w:r>
              <w:rPr>
                <w:rFonts w:hint="eastAsia" w:ascii="宋体" w:hAnsi="宋体" w:eastAsia="宋体" w:cs="宋体"/>
                <w:color w:val="auto"/>
                <w:lang w:val="en-US" w:eastAsia="zh-CN"/>
              </w:rPr>
              <w:t>投标人</w:t>
            </w:r>
            <w:r>
              <w:rPr>
                <w:rFonts w:hint="eastAsia" w:ascii="宋体" w:hAnsi="宋体" w:eastAsia="宋体" w:cs="宋体"/>
                <w:color w:val="auto"/>
                <w:lang w:val="zh-CN"/>
              </w:rPr>
              <w:t>，应提供相应文件证明依法不需要缴纳社会保障资金）</w:t>
            </w:r>
          </w:p>
          <w:p w14:paraId="2B89D126">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五、履行合同所必需的设备和专业技术能力的证明材料</w:t>
            </w:r>
          </w:p>
          <w:p w14:paraId="2B89D127">
            <w:pPr>
              <w:keepNext w:val="0"/>
              <w:keepLines w:val="0"/>
              <w:pageBreakBefore w:val="0"/>
              <w:widowControl w:val="0"/>
              <w:kinsoku/>
              <w:overflowPunct/>
              <w:topLinePunct w:val="0"/>
              <w:autoSpaceDE w:val="0"/>
              <w:autoSpaceDN w:val="0"/>
              <w:bidi w:val="0"/>
              <w:adjustRightInd w:val="0"/>
              <w:snapToGrid/>
              <w:spacing w:line="460" w:lineRule="exact"/>
              <w:jc w:val="left"/>
              <w:textAlignment w:val="auto"/>
              <w:rPr>
                <w:rFonts w:hint="eastAsia" w:ascii="宋体" w:hAnsi="宋体" w:eastAsia="宋体" w:cs="宋体"/>
                <w:color w:val="auto"/>
                <w:lang w:val="zh-CN"/>
              </w:rPr>
            </w:pPr>
            <w:r>
              <w:rPr>
                <w:rFonts w:hint="eastAsia" w:ascii="宋体" w:hAnsi="宋体" w:eastAsia="宋体" w:cs="宋体"/>
                <w:color w:val="auto"/>
                <w:lang w:val="zh-CN"/>
              </w:rPr>
              <w:t>①相关设备的购置发票、专业技术人员职称证书、用工合同等；</w:t>
            </w:r>
          </w:p>
          <w:p w14:paraId="2B89D128">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w:t>
            </w:r>
            <w:r>
              <w:rPr>
                <w:rFonts w:hint="eastAsia" w:ascii="宋体" w:hAnsi="宋体" w:eastAsia="宋体" w:cs="宋体"/>
                <w:color w:val="auto"/>
                <w:lang w:val="en-US" w:eastAsia="zh-CN"/>
              </w:rPr>
              <w:t>投标人</w:t>
            </w:r>
            <w:r>
              <w:rPr>
                <w:rFonts w:hint="eastAsia" w:ascii="宋体" w:hAnsi="宋体" w:eastAsia="宋体" w:cs="宋体"/>
                <w:color w:val="auto"/>
              </w:rPr>
              <w:t>具备履行合同所必需的设备和专业技术能力承诺函或声明（承诺函或声明格式自拟）。</w:t>
            </w:r>
          </w:p>
          <w:p w14:paraId="2B89D129">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rPr>
            </w:pPr>
            <w:r>
              <w:rPr>
                <w:rFonts w:hint="eastAsia" w:ascii="宋体" w:hAnsi="宋体" w:eastAsia="宋体" w:cs="宋体"/>
                <w:color w:val="auto"/>
                <w:lang w:val="zh-CN"/>
              </w:rPr>
              <w:t>注：仅需提供序号</w:t>
            </w:r>
            <w:r>
              <w:rPr>
                <w:rFonts w:hint="eastAsia" w:ascii="宋体" w:hAnsi="宋体" w:eastAsia="宋体" w:cs="宋体"/>
                <w:color w:val="auto"/>
              </w:rPr>
              <w:t>①～②其中之一即可。</w:t>
            </w:r>
          </w:p>
          <w:p w14:paraId="2B89D12A">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rPr>
              <w:t>六、</w:t>
            </w:r>
            <w:r>
              <w:rPr>
                <w:rFonts w:hint="eastAsia" w:ascii="宋体" w:hAnsi="宋体" w:eastAsia="宋体" w:cs="宋体"/>
                <w:color w:val="auto"/>
                <w:lang w:val="zh-CN"/>
              </w:rPr>
              <w:t>参加政府采购活动前3年内在经营活动中没有重大违法记录的声明</w:t>
            </w:r>
          </w:p>
          <w:p w14:paraId="2B89D12B">
            <w:pPr>
              <w:keepNext w:val="0"/>
              <w:keepLines w:val="0"/>
              <w:pageBreakBefore w:val="0"/>
              <w:widowControl w:val="0"/>
              <w:kinsoku/>
              <w:overflowPunct/>
              <w:topLinePunct w:val="0"/>
              <w:autoSpaceDE w:val="0"/>
              <w:autoSpaceDN w:val="0"/>
              <w:bidi w:val="0"/>
              <w:snapToGrid/>
              <w:spacing w:line="460" w:lineRule="exact"/>
              <w:contextualSpacing/>
              <w:jc w:val="left"/>
              <w:textAlignment w:val="auto"/>
              <w:rPr>
                <w:rFonts w:hint="eastAsia" w:ascii="宋体" w:hAnsi="宋体" w:eastAsia="宋体" w:cs="宋体"/>
                <w:color w:val="auto"/>
                <w:lang w:val="zh-CN"/>
              </w:rPr>
            </w:pPr>
            <w:r>
              <w:rPr>
                <w:rFonts w:hint="eastAsia" w:ascii="宋体" w:hAnsi="宋体" w:eastAsia="宋体" w:cs="宋体"/>
                <w:color w:val="auto"/>
                <w:lang w:val="en-US" w:eastAsia="zh-CN"/>
              </w:rPr>
              <w:t>投标人</w:t>
            </w:r>
            <w:r>
              <w:rPr>
                <w:rFonts w:hint="eastAsia" w:ascii="宋体" w:hAnsi="宋体" w:eastAsia="宋体" w:cs="宋体"/>
                <w:color w:val="auto"/>
                <w:lang w:val="zh-CN"/>
              </w:rPr>
              <w:t>“参加政府采购活动前3年内在经营活动中没有重大违法记录的书面声明”。重大违法记录，是指</w:t>
            </w:r>
            <w:r>
              <w:rPr>
                <w:rFonts w:hint="eastAsia" w:ascii="宋体" w:hAnsi="宋体" w:eastAsia="宋体" w:cs="宋体"/>
                <w:color w:val="auto"/>
                <w:lang w:val="en-US" w:eastAsia="zh-CN"/>
              </w:rPr>
              <w:t>投标人</w:t>
            </w:r>
            <w:r>
              <w:rPr>
                <w:rFonts w:hint="eastAsia" w:ascii="宋体" w:hAnsi="宋体" w:eastAsia="宋体" w:cs="宋体"/>
                <w:color w:val="auto"/>
                <w:lang w:val="zh-CN"/>
              </w:rPr>
              <w:t>因违法经营受到刑事处罚或者责令停产停业、吊销许可证或者执照、较大数额罚款等行政处罚。</w:t>
            </w:r>
          </w:p>
          <w:p w14:paraId="2B89D12C">
            <w:pPr>
              <w:keepNext w:val="0"/>
              <w:keepLines w:val="0"/>
              <w:pageBreakBefore w:val="0"/>
              <w:widowControl w:val="0"/>
              <w:kinsoku/>
              <w:wordWrap w:val="0"/>
              <w:overflowPunct/>
              <w:topLinePunct w:val="0"/>
              <w:autoSpaceDE w:val="0"/>
              <w:autoSpaceDN w:val="0"/>
              <w:bidi w:val="0"/>
              <w:snapToGrid/>
              <w:spacing w:line="460" w:lineRule="exact"/>
              <w:contextualSpacing/>
              <w:jc w:val="left"/>
              <w:textAlignment w:val="auto"/>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lang w:val="zh-CN"/>
              </w:rPr>
              <w:t>七、</w:t>
            </w:r>
            <w:r>
              <w:rPr>
                <w:rFonts w:hint="eastAsia" w:ascii="宋体" w:hAnsi="宋体" w:eastAsia="宋体" w:cs="宋体"/>
                <w:color w:val="auto"/>
                <w:szCs w:val="21"/>
                <w:highlight w:val="none"/>
                <w:shd w:val="clear" w:color="auto" w:fill="FFFFFF"/>
              </w:rPr>
              <w:t>未被列入“信用中国”网站（www.creditchina.gov.cn）失信被执行人、重大税收违法失信主体的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color w:val="auto"/>
                <w:szCs w:val="21"/>
                <w:highlight w:val="none"/>
                <w:shd w:val="clear" w:color="auto" w:fill="FFFFFF"/>
              </w:rPr>
              <w:t>；“中国政府采购网”（www.ccgp.gov.cn）政府采购严重违法失信行为记录名单的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bCs/>
                <w:color w:val="auto"/>
                <w:szCs w:val="21"/>
                <w:highlight w:val="none"/>
                <w:lang w:val="zh-CN"/>
              </w:rPr>
              <w:t>；</w:t>
            </w:r>
            <w:r>
              <w:rPr>
                <w:rFonts w:hint="eastAsia" w:ascii="宋体" w:hAnsi="宋体" w:eastAsia="宋体" w:cs="宋体"/>
                <w:color w:val="auto"/>
                <w:szCs w:val="21"/>
                <w:highlight w:val="none"/>
                <w:shd w:val="clear" w:color="auto" w:fill="FFFFFF"/>
              </w:rPr>
              <w:t xml:space="preserve"> “中国社会组织政务服务平台”网站（https://chinanpo.mca.gov.cn）严重违法失信社会组织名单的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color w:val="auto"/>
                <w:szCs w:val="21"/>
                <w:highlight w:val="none"/>
                <w:shd w:val="clear" w:color="auto" w:fill="FFFFFF"/>
                <w:lang w:eastAsia="zh-CN"/>
              </w:rPr>
              <w:t>（以</w:t>
            </w:r>
            <w:r>
              <w:rPr>
                <w:rFonts w:hint="eastAsia" w:ascii="宋体" w:hAnsi="宋体" w:eastAsia="宋体" w:cs="宋体"/>
                <w:color w:val="auto"/>
                <w:kern w:val="0"/>
                <w:szCs w:val="21"/>
                <w:highlight w:val="none"/>
              </w:rPr>
              <w:t>联合体形式投标的，联合体成员存在不良信用记录，视同联合体存在不良信用记录）。</w:t>
            </w:r>
          </w:p>
          <w:p w14:paraId="2B89D12D">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lang w:eastAsia="zh-CN"/>
              </w:rPr>
              <w:t>1.</w:t>
            </w:r>
            <w:r>
              <w:rPr>
                <w:rFonts w:hint="eastAsia" w:ascii="宋体" w:hAnsi="宋体" w:eastAsia="宋体" w:cs="宋体"/>
                <w:color w:val="auto"/>
                <w:kern w:val="0"/>
                <w:szCs w:val="21"/>
              </w:rPr>
              <w:t>查询渠道：</w:t>
            </w:r>
          </w:p>
          <w:p w14:paraId="2B89D12E">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①“信用中国”网站（</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"http://www.creditchina.gov.cn" </w:instrText>
            </w:r>
            <w:r>
              <w:rPr>
                <w:rFonts w:hint="eastAsia" w:ascii="宋体" w:hAnsi="宋体" w:eastAsia="宋体" w:cs="宋体"/>
                <w:color w:val="auto"/>
              </w:rPr>
              <w:fldChar w:fldCharType="separate"/>
            </w:r>
            <w:r>
              <w:rPr>
                <w:rFonts w:hint="eastAsia" w:ascii="宋体" w:hAnsi="宋体" w:eastAsia="宋体" w:cs="宋体"/>
                <w:color w:val="auto"/>
                <w:kern w:val="0"/>
              </w:rPr>
              <w:t>www.creditchina.gov.cn</w:t>
            </w:r>
            <w:r>
              <w:rPr>
                <w:rFonts w:hint="eastAsia" w:ascii="宋体" w:hAnsi="宋体" w:eastAsia="宋体" w:cs="宋体"/>
                <w:color w:val="auto"/>
                <w:kern w:val="0"/>
              </w:rPr>
              <w:fldChar w:fldCharType="end"/>
            </w:r>
            <w:r>
              <w:rPr>
                <w:rFonts w:hint="eastAsia" w:ascii="宋体" w:hAnsi="宋体" w:eastAsia="宋体" w:cs="宋体"/>
                <w:color w:val="auto"/>
                <w:kern w:val="0"/>
                <w:szCs w:val="21"/>
              </w:rPr>
              <w:t>）</w:t>
            </w:r>
          </w:p>
          <w:p w14:paraId="2B89D12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②“中国政府采购网”（www.ccgp.gov.cn）</w:t>
            </w:r>
          </w:p>
          <w:p w14:paraId="5A5595FE">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rPr>
              <w:t>③“中国社会组织政务服务平台”网站（https://chinanpo.mca.gov.cn）（仅查询社会组织）；</w:t>
            </w:r>
          </w:p>
        </w:tc>
      </w:tr>
      <w:tr w14:paraId="2B89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32">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39</w:t>
            </w:r>
          </w:p>
        </w:tc>
        <w:tc>
          <w:tcPr>
            <w:tcW w:w="2268" w:type="dxa"/>
            <w:vAlign w:val="center"/>
          </w:tcPr>
          <w:p w14:paraId="2B89D13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投诉渠道</w:t>
            </w:r>
          </w:p>
        </w:tc>
        <w:tc>
          <w:tcPr>
            <w:tcW w:w="6813" w:type="dxa"/>
            <w:vAlign w:val="center"/>
          </w:tcPr>
          <w:p w14:paraId="2B89D134">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投标人</w:t>
            </w:r>
            <w:r>
              <w:rPr>
                <w:rFonts w:hint="eastAsia" w:ascii="宋体" w:hAnsi="宋体" w:eastAsia="宋体" w:cs="宋体"/>
                <w:color w:val="auto"/>
                <w:kern w:val="0"/>
                <w:szCs w:val="21"/>
              </w:rPr>
              <w:t>在评标结果和中标结果公示期间， 按照《政府采购质疑和投诉办法》的有关规定，已质疑的</w:t>
            </w:r>
            <w:r>
              <w:rPr>
                <w:rFonts w:hint="eastAsia" w:ascii="宋体" w:hAnsi="宋体" w:eastAsia="宋体" w:cs="宋体"/>
                <w:color w:val="auto"/>
                <w:kern w:val="0"/>
                <w:szCs w:val="21"/>
                <w:lang w:val="en-US" w:eastAsia="zh-CN"/>
              </w:rPr>
              <w:t>投标人</w:t>
            </w:r>
            <w:r>
              <w:rPr>
                <w:rFonts w:hint="eastAsia" w:ascii="宋体" w:hAnsi="宋体" w:eastAsia="宋体" w:cs="宋体"/>
                <w:color w:val="auto"/>
                <w:kern w:val="0"/>
                <w:szCs w:val="21"/>
              </w:rPr>
              <w:t>可以依法向财政部门提起书面投诉。</w:t>
            </w:r>
          </w:p>
          <w:p w14:paraId="2B89D135">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受理部门：禹州市政府采购监督管理办公室</w:t>
            </w:r>
          </w:p>
          <w:p w14:paraId="2B89D136">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受理电话：0374-8112523   </w:t>
            </w:r>
          </w:p>
          <w:p w14:paraId="2B89D137">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电子邮箱：yzscgb8112523@163.com</w:t>
            </w:r>
          </w:p>
          <w:p w14:paraId="2B89D138">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通讯地址：禹州市行政北路2号禹州市财政局1305房间</w:t>
            </w:r>
          </w:p>
        </w:tc>
      </w:tr>
    </w:tbl>
    <w:p w14:paraId="2B89D144">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第四章 投标人须知</w:t>
      </w:r>
    </w:p>
    <w:p w14:paraId="2B89D256">
      <w:pPr>
        <w:keepNext w:val="0"/>
        <w:keepLines w:val="0"/>
        <w:pageBreakBefore w:val="0"/>
        <w:widowControl w:val="0"/>
        <w:tabs>
          <w:tab w:val="left" w:pos="1260"/>
        </w:tabs>
        <w:kinsoku/>
        <w:overflowPunct/>
        <w:autoSpaceDE w:val="0"/>
        <w:autoSpaceDN w:val="0"/>
        <w:bidi w:val="0"/>
        <w:adjustRightInd w:val="0"/>
        <w:snapToGrid/>
        <w:spacing w:line="460" w:lineRule="exact"/>
        <w:contextualSpacing/>
        <w:jc w:val="center"/>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rPr>
        <w:t>一、概念释义</w:t>
      </w:r>
    </w:p>
    <w:p w14:paraId="333AC858">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w:t>
      </w:r>
      <w:r>
        <w:rPr>
          <w:rFonts w:hint="eastAsia" w:ascii="宋体" w:hAnsi="宋体" w:eastAsia="宋体" w:cs="宋体"/>
          <w:b/>
          <w:color w:val="auto"/>
          <w:kern w:val="0"/>
          <w:sz w:val="21"/>
          <w:szCs w:val="21"/>
          <w:highlight w:val="none"/>
        </w:rPr>
        <w:t>适用范围</w:t>
      </w:r>
    </w:p>
    <w:p w14:paraId="178C016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1.1本招标文件仅适用于本次“投标邀请”中所述采购项目。</w:t>
      </w:r>
    </w:p>
    <w:p w14:paraId="3001DC5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1.2本招标文件解释权属于“投标邀请”所述的采购人。</w:t>
      </w:r>
    </w:p>
    <w:p w14:paraId="21ECE8B3">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2.</w:t>
      </w:r>
      <w:r>
        <w:rPr>
          <w:rFonts w:hint="eastAsia" w:ascii="宋体" w:hAnsi="宋体" w:eastAsia="宋体" w:cs="宋体"/>
          <w:b/>
          <w:color w:val="auto"/>
          <w:kern w:val="0"/>
          <w:sz w:val="21"/>
          <w:szCs w:val="21"/>
          <w:highlight w:val="none"/>
        </w:rPr>
        <w:t>定义</w:t>
      </w:r>
    </w:p>
    <w:p w14:paraId="551E334A">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2.1</w:t>
      </w:r>
      <w:r>
        <w:rPr>
          <w:rFonts w:hint="eastAsia" w:ascii="宋体" w:hAnsi="宋体" w:eastAsia="宋体" w:cs="宋体"/>
          <w:color w:val="auto"/>
          <w:kern w:val="0"/>
          <w:sz w:val="21"/>
          <w:szCs w:val="21"/>
          <w:highlight w:val="none"/>
        </w:rPr>
        <w:t>“采购项目”：“投标人须知前附表”中所述的采购项目。</w:t>
      </w:r>
    </w:p>
    <w:p w14:paraId="3D0B8C37">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2.2</w:t>
      </w:r>
      <w:r>
        <w:rPr>
          <w:rFonts w:hint="eastAsia" w:ascii="宋体" w:hAnsi="宋体" w:eastAsia="宋体" w:cs="宋体"/>
          <w:color w:val="auto"/>
          <w:kern w:val="0"/>
          <w:sz w:val="21"/>
          <w:szCs w:val="21"/>
          <w:highlight w:val="none"/>
        </w:rPr>
        <w:t>“招标人”：“投标人须知前附表”中所述的组织本次招标的代理机构和采购人。</w:t>
      </w:r>
    </w:p>
    <w:p w14:paraId="3F2E3EFE">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2.3</w:t>
      </w:r>
      <w:r>
        <w:rPr>
          <w:rFonts w:hint="eastAsia" w:ascii="宋体" w:hAnsi="宋体" w:eastAsia="宋体" w:cs="宋体"/>
          <w:color w:val="auto"/>
          <w:kern w:val="0"/>
          <w:sz w:val="21"/>
          <w:szCs w:val="21"/>
          <w:highlight w:val="none"/>
        </w:rPr>
        <w:t>“采购人”：是指依法进行政府采购的国家机关、事业单位、团体组织。采购人名称、地址、电话、联系人见“投标人须知前附表”。</w:t>
      </w:r>
    </w:p>
    <w:p w14:paraId="01E25A2F">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2.4</w:t>
      </w:r>
      <w:r>
        <w:rPr>
          <w:rFonts w:hint="eastAsia" w:ascii="宋体" w:hAnsi="宋体" w:eastAsia="宋体" w:cs="宋体"/>
          <w:color w:val="auto"/>
          <w:kern w:val="0"/>
          <w:sz w:val="21"/>
          <w:szCs w:val="21"/>
          <w:highlight w:val="none"/>
        </w:rPr>
        <w:t>“代理机构”：接受采购人委托，代理采购项目的采购代理机构。代理机构名称、地址、 电话、联系人见“投标人须知前附表”。</w:t>
      </w:r>
    </w:p>
    <w:p w14:paraId="62E770BE">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采购代理机构及其分支机构不得在所代理的采购项目中投标或者代理投标，不得为所代理的采购项目的投标人参加本项目提供投标咨询。</w:t>
      </w:r>
    </w:p>
    <w:p w14:paraId="315D36BA">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2.5</w:t>
      </w:r>
      <w:r>
        <w:rPr>
          <w:rFonts w:hint="eastAsia" w:ascii="宋体" w:hAnsi="宋体" w:eastAsia="宋体" w:cs="宋体"/>
          <w:color w:val="auto"/>
          <w:kern w:val="0"/>
          <w:sz w:val="21"/>
          <w:szCs w:val="21"/>
          <w:highlight w:val="none"/>
        </w:rPr>
        <w:t>“潜在投标人”指符合《中华人民共和国政府采购法》及相关法律法规和本招标文件的各项规定，且按照本项目招标公告及招标文件规定的方式获取招标文件的法人、其他组 织或者自然人。</w:t>
      </w:r>
    </w:p>
    <w:p w14:paraId="52ADACC7">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2.6</w:t>
      </w:r>
      <w:r>
        <w:rPr>
          <w:rFonts w:hint="eastAsia" w:ascii="宋体" w:hAnsi="宋体" w:eastAsia="宋体" w:cs="宋体"/>
          <w:color w:val="auto"/>
          <w:kern w:val="0"/>
          <w:sz w:val="21"/>
          <w:szCs w:val="21"/>
          <w:highlight w:val="none"/>
        </w:rPr>
        <w:t>“投标人”：是指符合《中华人民共和国政府采购法》及相关法律法规和本招标文件的各项规定，响应招标、参加投标竞争，从招标人处按规定获取招标文件，并按照招标文</w:t>
      </w:r>
      <w:r>
        <w:rPr>
          <w:rFonts w:hint="eastAsia" w:ascii="宋体" w:hAnsi="宋体" w:eastAsia="宋体" w:cs="宋体"/>
          <w:color w:val="auto"/>
          <w:kern w:val="0"/>
          <w:sz w:val="21"/>
          <w:szCs w:val="21"/>
          <w:highlight w:val="none"/>
          <w:lang w:val="en-US" w:eastAsia="zh-CN" w:bidi="ar-SA"/>
        </w:rPr>
        <w:t>件要求向招标人提交投标文件的法人、其他组织或者自然人。</w:t>
      </w:r>
    </w:p>
    <w:p w14:paraId="5A0358D8">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2.7“进口产品”：是指通过中国海关报关验放进入中国境内且产自关境外的产品，包括已经进入中国境内的进口产品。详见《政府采购进口产品管理办法》（财库〔2007〕119号）、《关于政府采购进口产品管理有关问题的通知》（财办库〔2008〕248 号）。</w:t>
      </w:r>
    </w:p>
    <w:p w14:paraId="72504C52">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2.7.1招标文件列明不允许或未列明允许进口产品参加投标的，均视为拒绝进口产品参加投标。</w:t>
      </w:r>
    </w:p>
    <w:p w14:paraId="2FCE0A6B">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2.7.2如招标文件中已说明，经财政部门审核同意，允许部分或全部产品采购进口产品，投标人既可提供本国产品，也可以提供进口产品。</w:t>
      </w:r>
    </w:p>
    <w:p w14:paraId="0F0D4518">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2.8 招标文件中凡标有“★”的条款均系实质性要求条款。</w:t>
      </w:r>
    </w:p>
    <w:p w14:paraId="6F16A3DA">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3.</w:t>
      </w:r>
      <w:r>
        <w:rPr>
          <w:rFonts w:hint="eastAsia" w:ascii="宋体" w:hAnsi="宋体" w:eastAsia="宋体" w:cs="宋体"/>
          <w:b/>
          <w:color w:val="auto"/>
          <w:kern w:val="0"/>
          <w:sz w:val="21"/>
          <w:szCs w:val="21"/>
          <w:highlight w:val="none"/>
        </w:rPr>
        <w:t>合格的投标人</w:t>
      </w:r>
    </w:p>
    <w:p w14:paraId="1E08FA9A">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3.1 </w:t>
      </w:r>
      <w:r>
        <w:rPr>
          <w:rFonts w:hint="eastAsia" w:ascii="宋体" w:hAnsi="宋体" w:eastAsia="宋体" w:cs="宋体"/>
          <w:color w:val="auto"/>
          <w:kern w:val="0"/>
          <w:sz w:val="21"/>
          <w:szCs w:val="21"/>
          <w:highlight w:val="none"/>
        </w:rPr>
        <w:t>在中华人民共和国境内注册，具有本项目生产、制造、供应或实施能力，符合、承认并承诺履行本招标文件各项规定的法人、其他组织或者自然人。</w:t>
      </w:r>
    </w:p>
    <w:p w14:paraId="740BD66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3.2 </w:t>
      </w:r>
      <w:r>
        <w:rPr>
          <w:rFonts w:hint="eastAsia" w:ascii="宋体" w:hAnsi="宋体" w:eastAsia="宋体" w:cs="宋体"/>
          <w:color w:val="auto"/>
          <w:kern w:val="0"/>
          <w:sz w:val="21"/>
          <w:szCs w:val="21"/>
          <w:highlight w:val="none"/>
        </w:rPr>
        <w:t>符合本项目“投标邀请”和“投标人须知前附表”中规定的合格投标人所必须具备的条件。</w:t>
      </w:r>
    </w:p>
    <w:p w14:paraId="56D6472D">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3.3 </w:t>
      </w:r>
      <w:r>
        <w:rPr>
          <w:rFonts w:hint="eastAsia" w:ascii="宋体" w:hAnsi="宋体" w:eastAsia="宋体" w:cs="宋体"/>
          <w:color w:val="auto"/>
          <w:sz w:val="21"/>
          <w:szCs w:val="21"/>
          <w:highlight w:val="none"/>
        </w:rPr>
        <w:t>按照财政部《</w:t>
      </w:r>
      <w:r>
        <w:rPr>
          <w:rFonts w:hint="eastAsia" w:ascii="宋体" w:hAnsi="宋体" w:eastAsia="宋体" w:cs="宋体"/>
          <w:bCs/>
          <w:color w:val="auto"/>
          <w:sz w:val="21"/>
          <w:szCs w:val="21"/>
          <w:highlight w:val="none"/>
        </w:rPr>
        <w:t>关于在政府采购活动中查询及使用信用记录有关问题的通知</w:t>
      </w:r>
      <w:r>
        <w:rPr>
          <w:rFonts w:hint="eastAsia" w:ascii="宋体" w:hAnsi="宋体" w:eastAsia="宋体" w:cs="宋体"/>
          <w:color w:val="auto"/>
          <w:sz w:val="21"/>
          <w:szCs w:val="21"/>
          <w:highlight w:val="none"/>
        </w:rPr>
        <w:t>》（财库</w:t>
      </w:r>
      <w:r>
        <w:rPr>
          <w:rFonts w:hint="eastAsia" w:ascii="宋体" w:hAnsi="宋体" w:eastAsia="宋体" w:cs="宋体"/>
          <w:bCs/>
          <w:color w:val="auto"/>
          <w:sz w:val="21"/>
          <w:szCs w:val="21"/>
          <w:highlight w:val="none"/>
        </w:rPr>
        <w:t>〔2016〕</w:t>
      </w:r>
      <w:r>
        <w:rPr>
          <w:rFonts w:hint="eastAsia" w:ascii="宋体" w:hAnsi="宋体" w:eastAsia="宋体" w:cs="宋体"/>
          <w:color w:val="auto"/>
          <w:sz w:val="21"/>
          <w:szCs w:val="21"/>
          <w:highlight w:val="none"/>
        </w:rPr>
        <w:t>125号）要求，</w:t>
      </w:r>
      <w:r>
        <w:rPr>
          <w:rFonts w:hint="eastAsia" w:ascii="宋体" w:hAnsi="宋体" w:eastAsia="宋体" w:cs="宋体"/>
          <w:color w:val="auto"/>
          <w:kern w:val="0"/>
          <w:sz w:val="21"/>
          <w:szCs w:val="21"/>
          <w:highlight w:val="none"/>
        </w:rPr>
        <w:t>政府采购活动中查询及使用投标人信用记录的具体要求为：投标人未被列入失信被执行人、重大税收违法失信主体、</w:t>
      </w:r>
      <w:r>
        <w:rPr>
          <w:rFonts w:hint="eastAsia" w:ascii="宋体" w:hAnsi="宋体" w:eastAsia="宋体" w:cs="宋体"/>
          <w:color w:val="auto"/>
          <w:sz w:val="21"/>
          <w:szCs w:val="21"/>
          <w:highlight w:val="none"/>
          <w:shd w:val="clear" w:color="auto" w:fill="FFFFFF"/>
        </w:rPr>
        <w:t>政府采购严重违法失信行为记录名单、</w:t>
      </w:r>
      <w:r>
        <w:rPr>
          <w:rFonts w:hint="eastAsia" w:ascii="宋体" w:hAnsi="宋体" w:eastAsia="宋体" w:cs="宋体"/>
          <w:color w:val="auto"/>
          <w:kern w:val="0"/>
          <w:sz w:val="21"/>
          <w:szCs w:val="21"/>
          <w:highlight w:val="none"/>
        </w:rPr>
        <w:t>严重违法失信社会组织名单（联合体形式投标的，联合体成员存在不良信用记录，视同联合体存在不良信用记录）。</w:t>
      </w:r>
    </w:p>
    <w:p w14:paraId="78EEE819">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查询渠道：“信用中国”网站（www.creditchina.gov.cn）、“中国政府采购网”（www.ccgp.gov.cn）、“中国社会组织政务服务平台”网站（</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"http://www.chinanpo.gov.cn" </w:instrText>
      </w:r>
      <w:r>
        <w:rPr>
          <w:rFonts w:hint="eastAsia" w:ascii="宋体" w:hAnsi="宋体" w:eastAsia="宋体" w:cs="宋体"/>
          <w:color w:val="auto"/>
          <w:sz w:val="21"/>
          <w:szCs w:val="21"/>
          <w:highlight w:val="none"/>
        </w:rPr>
        <w:fldChar w:fldCharType="separate"/>
      </w:r>
      <w:r>
        <w:rPr>
          <w:rStyle w:val="22"/>
          <w:rFonts w:hint="eastAsia" w:ascii="宋体" w:hAnsi="宋体" w:eastAsia="宋体" w:cs="宋体"/>
          <w:color w:val="auto"/>
          <w:kern w:val="0"/>
          <w:sz w:val="21"/>
          <w:szCs w:val="21"/>
          <w:highlight w:val="none"/>
        </w:rPr>
        <w:t>https://chinanpo.mca.gov.cn</w:t>
      </w:r>
      <w:r>
        <w:rPr>
          <w:rStyle w:val="22"/>
          <w:rFonts w:hint="eastAsia" w:ascii="宋体" w:hAnsi="宋体" w:eastAsia="宋体" w:cs="宋体"/>
          <w:color w:val="auto"/>
          <w:kern w:val="0"/>
          <w:sz w:val="21"/>
          <w:szCs w:val="21"/>
          <w:highlight w:val="none"/>
        </w:rPr>
        <w:fldChar w:fldCharType="end"/>
      </w:r>
      <w:r>
        <w:rPr>
          <w:rFonts w:hint="eastAsia" w:ascii="宋体" w:hAnsi="宋体" w:eastAsia="宋体" w:cs="宋体"/>
          <w:color w:val="auto"/>
          <w:kern w:val="0"/>
          <w:sz w:val="21"/>
          <w:szCs w:val="21"/>
          <w:highlight w:val="none"/>
        </w:rPr>
        <w:t>）；</w:t>
      </w:r>
    </w:p>
    <w:p w14:paraId="4D94B6D5">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3.4</w:t>
      </w:r>
      <w:r>
        <w:rPr>
          <w:rFonts w:hint="eastAsia" w:ascii="宋体" w:hAnsi="宋体" w:eastAsia="宋体" w:cs="宋体"/>
          <w:color w:val="auto"/>
          <w:kern w:val="0"/>
          <w:sz w:val="21"/>
          <w:szCs w:val="21"/>
          <w:highlight w:val="none"/>
        </w:rPr>
        <w:t>信用信息的使用原则：经采购人认定的被列入失信被执行人、</w:t>
      </w:r>
      <w:r>
        <w:rPr>
          <w:rFonts w:hint="eastAsia" w:ascii="宋体" w:hAnsi="宋体" w:eastAsia="宋体" w:cs="宋体"/>
          <w:color w:val="auto"/>
          <w:kern w:val="0"/>
          <w:sz w:val="21"/>
          <w:szCs w:val="21"/>
          <w:highlight w:val="none"/>
          <w:lang w:val="en-US" w:eastAsia="zh-CN"/>
        </w:rPr>
        <w:t>重大税收违法失信主体</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shd w:val="clear" w:color="auto" w:fill="FFFFFF"/>
        </w:rPr>
        <w:t>政府采购严重违法失信行为记录名单的投标人、</w:t>
      </w:r>
      <w:r>
        <w:rPr>
          <w:rFonts w:hint="eastAsia" w:ascii="宋体" w:hAnsi="宋体" w:eastAsia="宋体" w:cs="宋体"/>
          <w:color w:val="auto"/>
          <w:kern w:val="0"/>
          <w:sz w:val="21"/>
          <w:szCs w:val="21"/>
          <w:highlight w:val="none"/>
        </w:rPr>
        <w:t>严重违法失信社会组织名单的社会组织，将拒绝其参与本次政府采购活动；</w:t>
      </w:r>
    </w:p>
    <w:p w14:paraId="2F1612A0">
      <w:pPr>
        <w:pStyle w:val="30"/>
        <w:keepNext w:val="0"/>
        <w:keepLines w:val="0"/>
        <w:pageBreakBefore w:val="0"/>
        <w:numPr>
          <w:ilvl w:val="0"/>
          <w:numId w:val="0"/>
        </w:numPr>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3.5 </w:t>
      </w:r>
      <w:r>
        <w:rPr>
          <w:rFonts w:hint="eastAsia" w:ascii="宋体" w:hAnsi="宋体" w:eastAsia="宋体" w:cs="宋体"/>
          <w:color w:val="auto"/>
          <w:kern w:val="0"/>
          <w:sz w:val="21"/>
          <w:szCs w:val="21"/>
          <w:highlight w:val="none"/>
        </w:rPr>
        <w:t>投标人无须提供</w:t>
      </w:r>
      <w:r>
        <w:rPr>
          <w:rFonts w:hint="eastAsia" w:ascii="宋体" w:hAnsi="宋体" w:eastAsia="宋体" w:cs="宋体"/>
          <w:bCs/>
          <w:color w:val="auto"/>
          <w:sz w:val="21"/>
          <w:szCs w:val="21"/>
          <w:highlight w:val="none"/>
        </w:rPr>
        <w:t>信用记录查询结果网页截屏。</w:t>
      </w:r>
      <w:r>
        <w:rPr>
          <w:rFonts w:hint="eastAsia" w:ascii="宋体" w:hAnsi="宋体" w:eastAsia="宋体" w:cs="宋体"/>
          <w:color w:val="auto"/>
          <w:kern w:val="0"/>
          <w:sz w:val="21"/>
          <w:szCs w:val="21"/>
          <w:highlight w:val="none"/>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3.6 单位负责人为同一人或者存在直接控股、管理关系的不同供应商，不得同时参加本项目投标。违反规定的，相关投标均无效。</w:t>
      </w:r>
    </w:p>
    <w:p w14:paraId="04C4B3B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3.7为采购项目提供整体设计、规范编制或者项目管理、监理、检测等服务的供应商，不得再参加该采购项目的其他采购活动。</w:t>
      </w:r>
    </w:p>
    <w:p w14:paraId="2F5FE957">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3.8“投标邀请”和“投标人须知前附表”规定接受联合体投标的，除应符合本章第3.1项和3.2项要求外，还应遵守以下规定：</w:t>
      </w:r>
    </w:p>
    <w:p w14:paraId="18DD473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3.9</w:t>
      </w:r>
      <w:r>
        <w:rPr>
          <w:rFonts w:hint="eastAsia" w:ascii="宋体" w:hAnsi="宋体" w:eastAsia="宋体" w:cs="宋体"/>
          <w:color w:val="auto"/>
          <w:kern w:val="0"/>
          <w:sz w:val="21"/>
          <w:szCs w:val="21"/>
          <w:highlight w:val="none"/>
        </w:rPr>
        <w:t>在投标文件中向采购人提交联合体协议书，明确联合体各方承担的工作和义务；</w:t>
      </w:r>
    </w:p>
    <w:p w14:paraId="38B21F29">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3.10 </w:t>
      </w:r>
      <w:r>
        <w:rPr>
          <w:rFonts w:hint="eastAsia" w:ascii="宋体" w:hAnsi="宋体" w:eastAsia="宋体" w:cs="宋体"/>
          <w:color w:val="auto"/>
          <w:kern w:val="0"/>
          <w:sz w:val="21"/>
          <w:szCs w:val="21"/>
          <w:highlight w:val="none"/>
        </w:rPr>
        <w:t>联合体中有同类资质的供应商按联合体分工承担相同工作的，应当按照资质等级较低的供应商确定资质等级；</w:t>
      </w:r>
    </w:p>
    <w:p w14:paraId="46C1D59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3.11 </w:t>
      </w:r>
      <w:r>
        <w:rPr>
          <w:rFonts w:hint="eastAsia" w:ascii="宋体" w:hAnsi="宋体" w:eastAsia="宋体" w:cs="宋体"/>
          <w:color w:val="auto"/>
          <w:kern w:val="0"/>
          <w:sz w:val="21"/>
          <w:szCs w:val="21"/>
          <w:highlight w:val="none"/>
        </w:rPr>
        <w:t>招标人根据采购项目的特殊要求规定投标人特定条件的，联合体各方中至少应当有一方符合采购规定的特定条件。</w:t>
      </w:r>
    </w:p>
    <w:p w14:paraId="3E4E1F9E">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3.12 </w:t>
      </w:r>
      <w:r>
        <w:rPr>
          <w:rFonts w:hint="eastAsia" w:ascii="宋体" w:hAnsi="宋体" w:eastAsia="宋体" w:cs="宋体"/>
          <w:color w:val="auto"/>
          <w:kern w:val="0"/>
          <w:sz w:val="21"/>
          <w:szCs w:val="21"/>
          <w:highlight w:val="none"/>
        </w:rPr>
        <w:t>联合体各方不得再单独参加或者与其他供应商另外组成联合体参加同一合同项下的政府采购活动。</w:t>
      </w:r>
    </w:p>
    <w:p w14:paraId="0B2803E0">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3.13 </w:t>
      </w:r>
      <w:r>
        <w:rPr>
          <w:rFonts w:hint="eastAsia" w:ascii="宋体" w:hAnsi="宋体" w:eastAsia="宋体" w:cs="宋体"/>
          <w:color w:val="auto"/>
          <w:kern w:val="0"/>
          <w:sz w:val="21"/>
          <w:szCs w:val="21"/>
          <w:highlight w:val="none"/>
        </w:rPr>
        <w:t>联合体各方应当共同与采购人签订采购合同，就采购合同约定的事项对采购人</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"https://baike.baidu.com/item/%E6%89%BF%E6%8B%85%E8%BF%9E%E5%B8%A6%E8%B4%A3%E4%BB%BB" \t "_blank"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kern w:val="0"/>
          <w:sz w:val="21"/>
          <w:szCs w:val="21"/>
          <w:highlight w:val="none"/>
        </w:rPr>
        <w:t>承担连带责任</w:t>
      </w:r>
      <w:r>
        <w:rPr>
          <w:rFonts w:hint="eastAsia" w:ascii="宋体" w:hAnsi="宋体" w:eastAsia="宋体" w:cs="宋体"/>
          <w:color w:val="auto"/>
          <w:kern w:val="0"/>
          <w:sz w:val="21"/>
          <w:szCs w:val="21"/>
          <w:highlight w:val="none"/>
        </w:rPr>
        <w:fldChar w:fldCharType="end"/>
      </w:r>
      <w:r>
        <w:rPr>
          <w:rFonts w:hint="eastAsia" w:ascii="宋体" w:hAnsi="宋体" w:eastAsia="宋体" w:cs="宋体"/>
          <w:color w:val="auto"/>
          <w:kern w:val="0"/>
          <w:sz w:val="21"/>
          <w:szCs w:val="21"/>
          <w:highlight w:val="none"/>
        </w:rPr>
        <w:t>。</w:t>
      </w:r>
    </w:p>
    <w:p w14:paraId="6B7D564D">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3.14 </w:t>
      </w:r>
      <w:r>
        <w:rPr>
          <w:rFonts w:hint="eastAsia" w:ascii="宋体" w:hAnsi="宋体" w:eastAsia="宋体" w:cs="宋体"/>
          <w:color w:val="auto"/>
          <w:kern w:val="0"/>
          <w:sz w:val="21"/>
          <w:szCs w:val="21"/>
          <w:highlight w:val="none"/>
        </w:rPr>
        <w:t>法律、行政法规规定的其他条件。</w:t>
      </w:r>
    </w:p>
    <w:p w14:paraId="5FCDBADB">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4.</w:t>
      </w:r>
      <w:r>
        <w:rPr>
          <w:rFonts w:hint="eastAsia" w:ascii="宋体" w:hAnsi="宋体" w:eastAsia="宋体" w:cs="宋体"/>
          <w:b/>
          <w:color w:val="auto"/>
          <w:kern w:val="0"/>
          <w:sz w:val="21"/>
          <w:szCs w:val="21"/>
          <w:highlight w:val="none"/>
        </w:rPr>
        <w:t>合格的货物和服务</w:t>
      </w:r>
    </w:p>
    <w:p w14:paraId="7B7D4CF1">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4.1 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7A7FC023">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4.2 投标人所提供的服务应当没有侵犯任何第三方的知识产权、技术秘密等合法权利。</w:t>
      </w:r>
    </w:p>
    <w:p w14:paraId="471693E2">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4.3 根据《财政部、发展改革委、生态环境部、市场监管总局关于调整优化节能产品、环境 标志产品政府采购执行机制的通知》（财库〔2019〕9号）要求，采购属于政府强制采 </w:t>
      </w:r>
    </w:p>
    <w:p w14:paraId="77D17533">
      <w:pPr>
        <w:pStyle w:val="30"/>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购产品的，该产品必须具有国家确定的认证机构出具的、处于有效期之内的节能产品认证证书，否则其投标将被拒绝。</w:t>
      </w:r>
    </w:p>
    <w:p w14:paraId="3BF8E2FF">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zh-CN" w:eastAsia="zh-CN"/>
        </w:rPr>
        <w:t>.</w:t>
      </w:r>
      <w:r>
        <w:rPr>
          <w:rFonts w:hint="eastAsia" w:ascii="宋体" w:hAnsi="宋体" w:eastAsia="宋体" w:cs="宋体"/>
          <w:color w:val="auto"/>
          <w:kern w:val="0"/>
          <w:sz w:val="21"/>
          <w:szCs w:val="21"/>
          <w:highlight w:val="none"/>
          <w:lang w:val="en-US" w:eastAsia="zh-CN"/>
        </w:rPr>
        <w:t>4 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 由具备资格的机构安全认证合格或安全检测符合要求；二是已获得《计算机信息系统安全专用产品销售许可证》，且在有效期内。</w:t>
      </w:r>
    </w:p>
    <w:p w14:paraId="69A57640">
      <w:pPr>
        <w:pStyle w:val="30"/>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bidi="ar-SA"/>
        </w:rPr>
        <w:t>5.</w:t>
      </w:r>
      <w:r>
        <w:rPr>
          <w:rFonts w:hint="eastAsia" w:ascii="宋体" w:hAnsi="宋体" w:eastAsia="宋体" w:cs="宋体"/>
          <w:b/>
          <w:color w:val="auto"/>
          <w:kern w:val="0"/>
          <w:sz w:val="21"/>
          <w:szCs w:val="21"/>
          <w:highlight w:val="none"/>
        </w:rPr>
        <w:t>投</w:t>
      </w:r>
      <w:r>
        <w:rPr>
          <w:rFonts w:hint="eastAsia" w:ascii="宋体" w:hAnsi="宋体" w:eastAsia="宋体" w:cs="宋体"/>
          <w:b/>
          <w:bCs/>
          <w:color w:val="auto"/>
          <w:kern w:val="0"/>
          <w:sz w:val="21"/>
          <w:szCs w:val="21"/>
          <w:highlight w:val="none"/>
          <w:lang w:val="en-US" w:eastAsia="zh-CN"/>
        </w:rPr>
        <w:t>标费用</w:t>
      </w:r>
    </w:p>
    <w:p w14:paraId="6FF4D369">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不论投标的结果如何，投标人均应自行承担所有与投标有关的全部费用，招标人在任何情况下均无义务和责任承担这些费用。</w:t>
      </w:r>
    </w:p>
    <w:p w14:paraId="0CCB1905">
      <w:pPr>
        <w:pStyle w:val="30"/>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bidi="ar-SA"/>
        </w:rPr>
        <w:t>6.</w:t>
      </w:r>
      <w:r>
        <w:rPr>
          <w:rFonts w:hint="eastAsia" w:ascii="宋体" w:hAnsi="宋体" w:eastAsia="宋体" w:cs="宋体"/>
          <w:b/>
          <w:color w:val="auto"/>
          <w:kern w:val="0"/>
          <w:sz w:val="21"/>
          <w:szCs w:val="21"/>
          <w:highlight w:val="none"/>
        </w:rPr>
        <w:t>信息发</w:t>
      </w:r>
      <w:r>
        <w:rPr>
          <w:rFonts w:hint="eastAsia" w:ascii="宋体" w:hAnsi="宋体" w:eastAsia="宋体" w:cs="宋体"/>
          <w:b/>
          <w:color w:val="auto"/>
          <w:kern w:val="0"/>
          <w:sz w:val="21"/>
          <w:szCs w:val="21"/>
          <w:highlight w:val="none"/>
          <w:lang w:val="en-US" w:eastAsia="zh-CN"/>
        </w:rPr>
        <w:t>布</w:t>
      </w:r>
    </w:p>
    <w:p w14:paraId="73582FA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本采购项目需要公开的有关信息，包括招标公告、招标文件澄清或修改公告、中标公告以及延长投标截止时间等与招标活动有关的通知，招标人均将通过《河南省政府采购网》《许昌市政府采购网》《全国公共资源交易平台（河南省·许昌市）》公开发布。投标人在参与本采购项目招投标活动期间，请及时关注以上媒体上的相关信息，投标人因没有及时关注而未能如期获取相关信息，以及因此所产生的一切后果和责任，由投标人自行承担，招标人在任何情况下均不对此承担任何责任。</w:t>
      </w:r>
    </w:p>
    <w:p w14:paraId="275D88F2">
      <w:pPr>
        <w:pStyle w:val="30"/>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bidi="ar-SA"/>
        </w:rPr>
        <w:t>7.</w:t>
      </w:r>
      <w:r>
        <w:rPr>
          <w:rFonts w:hint="eastAsia" w:ascii="宋体" w:hAnsi="宋体" w:eastAsia="宋体" w:cs="宋体"/>
          <w:b/>
          <w:color w:val="auto"/>
          <w:kern w:val="0"/>
          <w:sz w:val="21"/>
          <w:szCs w:val="21"/>
          <w:highlight w:val="none"/>
        </w:rPr>
        <w:t>采购代理机构代理费用收取标准和方式</w:t>
      </w:r>
    </w:p>
    <w:p w14:paraId="4D0CEECE">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本项目收取代理费用。招标代理服务费由中标人支付，按照豫招协〔2023〕002《河南省招标代理服务收费指导意见》收取，由中标单位在领取中标通知书时</w:t>
      </w:r>
      <w:r>
        <w:rPr>
          <w:rFonts w:hint="eastAsia" w:ascii="宋体" w:hAnsi="宋体" w:eastAsia="宋体" w:cs="宋体"/>
          <w:color w:val="auto"/>
          <w:kern w:val="0"/>
          <w:sz w:val="21"/>
          <w:szCs w:val="21"/>
          <w:highlight w:val="none"/>
          <w:lang w:val="en-US" w:eastAsia="zh-CN"/>
        </w:rPr>
        <w:t>一次性支付</w:t>
      </w:r>
      <w:r>
        <w:rPr>
          <w:rFonts w:hint="eastAsia" w:ascii="宋体" w:hAnsi="宋体" w:eastAsia="宋体" w:cs="宋体"/>
          <w:color w:val="auto"/>
          <w:kern w:val="0"/>
          <w:sz w:val="21"/>
          <w:szCs w:val="21"/>
          <w:highlight w:val="none"/>
          <w:lang w:val="en-US" w:eastAsia="zh-CN"/>
        </w:rPr>
        <w:t>代理机构。</w:t>
      </w:r>
    </w:p>
    <w:p w14:paraId="639DBB16">
      <w:pPr>
        <w:pStyle w:val="30"/>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bidi="ar-SA"/>
        </w:rPr>
        <w:t>8.</w:t>
      </w:r>
      <w:r>
        <w:rPr>
          <w:rFonts w:hint="eastAsia" w:ascii="宋体" w:hAnsi="宋体" w:eastAsia="宋体" w:cs="宋体"/>
          <w:b/>
          <w:color w:val="auto"/>
          <w:kern w:val="0"/>
          <w:sz w:val="21"/>
          <w:szCs w:val="21"/>
          <w:highlight w:val="none"/>
        </w:rPr>
        <w:t>其他</w:t>
      </w:r>
    </w:p>
    <w:p w14:paraId="35E3BBFB">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本“投标人须知”的条款如与“投标邀请”“项目需求”“投标人须知前附表”和“资格审查与评标”就同一内容的表述不一致的，以“投标邀请”“ 项目需求”、 “投标人须知前附表”和“资格审查与评标”中规定的内容为准。</w:t>
      </w:r>
    </w:p>
    <w:p w14:paraId="5B19BB3C">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二、招标文件说明</w:t>
      </w:r>
    </w:p>
    <w:p w14:paraId="152D1857">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9.</w:t>
      </w:r>
      <w:r>
        <w:rPr>
          <w:rFonts w:hint="eastAsia" w:ascii="宋体" w:hAnsi="宋体" w:eastAsia="宋体" w:cs="宋体"/>
          <w:b/>
          <w:color w:val="auto"/>
          <w:kern w:val="0"/>
          <w:sz w:val="21"/>
          <w:szCs w:val="21"/>
          <w:highlight w:val="none"/>
        </w:rPr>
        <w:t>招标文件构成</w:t>
      </w:r>
    </w:p>
    <w:p w14:paraId="1676EAD5">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9.1</w:t>
      </w:r>
      <w:r>
        <w:rPr>
          <w:rFonts w:hint="eastAsia" w:ascii="宋体" w:hAnsi="宋体" w:eastAsia="宋体" w:cs="宋体"/>
          <w:color w:val="auto"/>
          <w:kern w:val="0"/>
          <w:sz w:val="21"/>
          <w:szCs w:val="21"/>
          <w:highlight w:val="none"/>
        </w:rPr>
        <w:t>招标文件由以下部分组成：</w:t>
      </w:r>
    </w:p>
    <w:p w14:paraId="7E152778">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（1）投标邀请（招标公告）</w:t>
      </w:r>
    </w:p>
    <w:p w14:paraId="26B04D8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（2）项目需求</w:t>
      </w:r>
    </w:p>
    <w:p w14:paraId="3E4C53DC">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（3）投标人须知前附表</w:t>
      </w:r>
    </w:p>
    <w:p w14:paraId="0C56A719">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（4）投标人须知</w:t>
      </w:r>
    </w:p>
    <w:p w14:paraId="5BDBFD2F">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（5）政府采购政策功能</w:t>
      </w:r>
    </w:p>
    <w:p w14:paraId="0261544D">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（6）资格审查与评标</w:t>
      </w:r>
    </w:p>
    <w:p w14:paraId="1FDE073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（7）拟签订的合同文本</w:t>
      </w:r>
    </w:p>
    <w:p w14:paraId="0ED9A0CE">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（8）投标文件有关格式</w:t>
      </w:r>
    </w:p>
    <w:p w14:paraId="0D01F42D">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（9）本项目招标文件的澄清、答复、修改、补充内容（如有的话）</w:t>
      </w:r>
    </w:p>
    <w:p w14:paraId="1B053682">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3C50B795">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9.3 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07346093">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10.</w:t>
      </w:r>
      <w:r>
        <w:rPr>
          <w:rFonts w:hint="eastAsia" w:ascii="宋体" w:hAnsi="宋体" w:eastAsia="宋体" w:cs="宋体"/>
          <w:b/>
          <w:color w:val="auto"/>
          <w:kern w:val="0"/>
          <w:sz w:val="21"/>
          <w:szCs w:val="21"/>
          <w:highlight w:val="none"/>
        </w:rPr>
        <w:t>现场考察、开标前答疑会</w:t>
      </w:r>
    </w:p>
    <w:p w14:paraId="4B1AE32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10.1 </w:t>
      </w:r>
      <w:r>
        <w:rPr>
          <w:rFonts w:hint="eastAsia" w:ascii="宋体" w:hAnsi="宋体" w:eastAsia="宋体" w:cs="宋体"/>
          <w:color w:val="auto"/>
          <w:kern w:val="0"/>
          <w:sz w:val="21"/>
          <w:szCs w:val="21"/>
          <w:highlight w:val="none"/>
        </w:rPr>
        <w:t>招标人根据采购项目的具体情况，可以在招标文件公告期满后，组织已获取招标文件的潜在投标人现场考察或者召开开标前答疑会。</w:t>
      </w:r>
    </w:p>
    <w:p w14:paraId="129C9406">
      <w:pPr>
        <w:keepNext w:val="0"/>
        <w:keepLines w:val="0"/>
        <w:pageBreakBefore w:val="0"/>
        <w:kinsoku/>
        <w:overflowPunct/>
        <w:autoSpaceDE w:val="0"/>
        <w:autoSpaceDN w:val="0"/>
        <w:bidi w:val="0"/>
        <w:snapToGrid/>
        <w:spacing w:line="460" w:lineRule="exact"/>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10.2 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10.3 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0BE62F5B">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10.4 </w:t>
      </w:r>
      <w:r>
        <w:rPr>
          <w:rFonts w:hint="eastAsia" w:ascii="宋体" w:hAnsi="宋体" w:eastAsia="宋体" w:cs="宋体"/>
          <w:color w:val="auto"/>
          <w:kern w:val="0"/>
          <w:sz w:val="21"/>
          <w:szCs w:val="21"/>
          <w:highlight w:val="none"/>
        </w:rPr>
        <w:t>现场考察及参加开标前答疑会所发生的费用及一切责任由投标人自行承担。</w:t>
      </w:r>
    </w:p>
    <w:p w14:paraId="3E6327D1">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11.</w:t>
      </w:r>
      <w:r>
        <w:rPr>
          <w:rFonts w:hint="eastAsia" w:ascii="宋体" w:hAnsi="宋体" w:eastAsia="宋体" w:cs="宋体"/>
          <w:b/>
          <w:color w:val="auto"/>
          <w:kern w:val="0"/>
          <w:sz w:val="21"/>
          <w:szCs w:val="21"/>
          <w:highlight w:val="none"/>
        </w:rPr>
        <w:t>招标文件的澄清或修改</w:t>
      </w:r>
    </w:p>
    <w:p w14:paraId="0F4352B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11.1 在投标截止期前，无论出于何种原因，招标人可主动地或在解答潜在投标人提出的澄清问题时对招标文件进行修改。</w:t>
      </w:r>
    </w:p>
    <w:p w14:paraId="65DCFA2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11.2 招标人可以对已发出的招标文件进行必要的澄清或者修改。澄清或者修改的内容可能影响投标文件编制的，招标人将在投标截止时间15日前，在财政部门指定的政府采购信息发布媒体和《全国公共资源交易平台（河南省·许昌市）》发布更正公告。</w:t>
      </w:r>
    </w:p>
    <w:p w14:paraId="3490A00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11.3 澄清或修改公告的内容为招标文件的组成部分，并对投标人具有约束力。当招标文件与澄清或修改公告就同一内容的表述不一致时，以最后发出的文件内容为准。</w:t>
      </w:r>
    </w:p>
    <w:p w14:paraId="14A7B34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11.4 如果澄清或者修改发出的时间距规定的投标截止时间不足15日，招标人将顺延提交投标文件的截止时间。</w:t>
      </w:r>
    </w:p>
    <w:p w14:paraId="1F457160">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三、投标文件的编制</w:t>
      </w:r>
    </w:p>
    <w:p w14:paraId="2D1D0A47">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12.</w:t>
      </w:r>
      <w:r>
        <w:rPr>
          <w:rFonts w:hint="eastAsia" w:ascii="宋体" w:hAnsi="宋体" w:eastAsia="宋体" w:cs="宋体"/>
          <w:b/>
          <w:color w:val="auto"/>
          <w:kern w:val="0"/>
          <w:sz w:val="21"/>
          <w:szCs w:val="21"/>
          <w:highlight w:val="none"/>
        </w:rPr>
        <w:t>投标的语言及计量单位</w:t>
      </w:r>
    </w:p>
    <w:p w14:paraId="54796A6A">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12.1 投标人提交的投标文件以及投标人与招标人就有关投标事宜的所有来往书面文件均应使用中文。除签名、盖章、专用名称等特殊情形外，以中文以外的文字表述的投标文件视同未提供。</w:t>
      </w:r>
    </w:p>
    <w:p w14:paraId="6F63361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12.2 投标计量单位，招标文件已有明确规定的，使用招标文件规定的计量单位；招标文件没有规定的，一律采用中华人民共和国法定计量单位。</w:t>
      </w:r>
    </w:p>
    <w:p w14:paraId="3F2FD9E6">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13.</w:t>
      </w:r>
      <w:r>
        <w:rPr>
          <w:rFonts w:hint="eastAsia" w:ascii="宋体" w:hAnsi="宋体" w:eastAsia="宋体" w:cs="宋体"/>
          <w:b/>
          <w:color w:val="auto"/>
          <w:kern w:val="0"/>
          <w:sz w:val="21"/>
          <w:szCs w:val="21"/>
          <w:highlight w:val="none"/>
        </w:rPr>
        <w:t>投标报价</w:t>
      </w:r>
    </w:p>
    <w:p w14:paraId="73507F90">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13.1 本次招标项目的投标均以人民币为计算单位。</w:t>
      </w:r>
    </w:p>
    <w:p w14:paraId="2FE1CBA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13.2 采购人不得向投标人索要或者接受其给予的赠品、回扣或者与采购无关的其他商品、服务。</w:t>
      </w:r>
    </w:p>
    <w:p w14:paraId="3FD498B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13.3 投标人应对项目要求的全部内容进行报价，少报漏报将导致其投标为非实质性响应予以拒绝。</w:t>
      </w:r>
    </w:p>
    <w:p w14:paraId="4EC8A76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13.4 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13.5 本项目所涉及的运输、施工、安装、集成、调试、验收、备品和工具等费用均包含在投标报价中。</w:t>
      </w:r>
    </w:p>
    <w:p w14:paraId="3C5B952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13.6 本次招标不接受可选择或可调整的投标方案和报价，任何有选择的或可调整的投标方案和报价将被视为非实质性响应投标而作无效投标处理。</w:t>
      </w:r>
    </w:p>
    <w:p w14:paraId="10FFBA4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13.7 报价不得高于本项目最高限价，且不低于成本价。本次招标实行“最高限价（项目控制金额上限）”，投标人的投标报价高于最高限价（项目控制金额上限）的，该投标人的投标文件将被视为非实质性响应予以拒绝。</w:t>
      </w:r>
    </w:p>
    <w:p w14:paraId="399D151A">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13.8 </w:t>
      </w:r>
      <w:r>
        <w:rPr>
          <w:rFonts w:hint="eastAsia" w:ascii="宋体" w:hAnsi="宋体" w:eastAsia="宋体" w:cs="宋体"/>
          <w:color w:val="auto"/>
          <w:kern w:val="0"/>
          <w:sz w:val="21"/>
          <w:szCs w:val="21"/>
          <w:highlight w:val="none"/>
        </w:rPr>
        <w:t>最低报价不能作为中标的保证。</w:t>
      </w:r>
    </w:p>
    <w:p w14:paraId="62863C94">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14.</w:t>
      </w:r>
      <w:r>
        <w:rPr>
          <w:rFonts w:hint="eastAsia" w:ascii="宋体" w:hAnsi="宋体" w:eastAsia="宋体" w:cs="宋体"/>
          <w:b/>
          <w:color w:val="auto"/>
          <w:kern w:val="0"/>
          <w:sz w:val="21"/>
          <w:szCs w:val="21"/>
          <w:highlight w:val="none"/>
        </w:rPr>
        <w:t>投标有效期</w:t>
      </w:r>
    </w:p>
    <w:p w14:paraId="768AFC7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14.1 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14.2 </w:t>
      </w:r>
      <w:r>
        <w:rPr>
          <w:rFonts w:hint="eastAsia" w:ascii="宋体" w:hAnsi="宋体" w:eastAsia="宋体" w:cs="宋体"/>
          <w:color w:val="auto"/>
          <w:kern w:val="0"/>
          <w:sz w:val="21"/>
          <w:szCs w:val="21"/>
          <w:highlight w:val="none"/>
        </w:rPr>
        <w:t>投标有效期内投标人撤销投标文件的，投标人将承担违背投标承诺函的责任追究。</w:t>
      </w:r>
    </w:p>
    <w:p w14:paraId="1B83BBF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14.3 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59E228B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14.4 中标人的投标文件作为项目合同的附件，其有效期至中标人全部合同义务履行完毕为止。</w:t>
      </w:r>
    </w:p>
    <w:p w14:paraId="2C3DBA1F">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15.</w:t>
      </w:r>
      <w:r>
        <w:rPr>
          <w:rFonts w:hint="eastAsia" w:ascii="宋体" w:hAnsi="宋体" w:eastAsia="宋体" w:cs="宋体"/>
          <w:b/>
          <w:color w:val="auto"/>
          <w:kern w:val="0"/>
          <w:sz w:val="21"/>
          <w:szCs w:val="21"/>
          <w:highlight w:val="none"/>
        </w:rPr>
        <w:t>投标文件构成</w:t>
      </w:r>
    </w:p>
    <w:p w14:paraId="22AC0954">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15.1 </w:t>
      </w:r>
      <w:r>
        <w:rPr>
          <w:rFonts w:hint="eastAsia" w:ascii="宋体" w:hAnsi="宋体" w:eastAsia="宋体" w:cs="宋体"/>
          <w:color w:val="auto"/>
          <w:kern w:val="0"/>
          <w:sz w:val="21"/>
          <w:szCs w:val="21"/>
          <w:highlight w:val="none"/>
        </w:rPr>
        <w:t>投标文件的构成应符合法律法规及招标文件的要求。</w:t>
      </w:r>
    </w:p>
    <w:p w14:paraId="62B1C44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15.2 投标人应当按照招标文件的要求编制投标文件。投标文件应当对招标文件提出的要求和条件作出明确响应。</w:t>
      </w:r>
    </w:p>
    <w:p w14:paraId="175DCF46">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15.3 </w:t>
      </w:r>
      <w:r>
        <w:rPr>
          <w:rFonts w:hint="eastAsia" w:ascii="宋体" w:hAnsi="宋体" w:eastAsia="宋体" w:cs="宋体"/>
          <w:color w:val="auto"/>
          <w:kern w:val="0"/>
          <w:sz w:val="21"/>
          <w:szCs w:val="21"/>
          <w:highlight w:val="none"/>
        </w:rPr>
        <w:t>投标文件由资格证明材料、符合性证明材料、</w:t>
      </w:r>
      <w:r>
        <w:rPr>
          <w:rFonts w:hint="eastAsia" w:ascii="宋体" w:hAnsi="宋体" w:eastAsia="宋体" w:cs="宋体"/>
          <w:color w:val="auto"/>
          <w:kern w:val="0"/>
          <w:sz w:val="21"/>
          <w:szCs w:val="21"/>
          <w:highlight w:val="none"/>
          <w:lang w:eastAsia="zh-CN"/>
        </w:rPr>
        <w:t>其他</w:t>
      </w:r>
      <w:r>
        <w:rPr>
          <w:rFonts w:hint="eastAsia" w:ascii="宋体" w:hAnsi="宋体" w:eastAsia="宋体" w:cs="宋体"/>
          <w:color w:val="auto"/>
          <w:kern w:val="0"/>
          <w:sz w:val="21"/>
          <w:szCs w:val="21"/>
          <w:highlight w:val="none"/>
        </w:rPr>
        <w:t>材料等组成。</w:t>
      </w:r>
    </w:p>
    <w:p w14:paraId="6CF42D6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15.4 投标人根据招标文件的规定和采购项目的实际情况，拟在中标后将中标项目的非主体、非关键性工作分包的，应当在投标文件中载明分包承担主体，分包承担主体应当具备相应资质条件且不得再次分包。</w:t>
      </w:r>
    </w:p>
    <w:p w14:paraId="2BB4FBF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15.5 投标人登录“全国公共资源交易平台（河南省·许昌市）”下载“新点投标文件制作软件（河南省版）”（在 “投标人”登录页面右下方“投标文件制作工具下载”）制作电子投标文件，按所投标段招标文件的要求制作电子投标文件。一个标段对应生成2份电子投标文件（后缀格式 为.XCSTF和.nXCSTF），其中后缀格式为“.XCSTF”的加密电子投标文件用于上传至交易 系统中投标，后缀格式为“.nXCSTF”的不加密电子投标文件用于查看投标文件内容或导出PDF格式投标文件。</w:t>
      </w:r>
    </w:p>
    <w:p w14:paraId="6CD73985">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Chars="0" w:right="0" w:rightChars="0" w:firstLine="420" w:firstLineChars="200"/>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15.6 电子响应文件制作技术咨询：0374-2961598。</w:t>
      </w:r>
    </w:p>
    <w:p w14:paraId="40F98800">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16.</w:t>
      </w:r>
      <w:r>
        <w:rPr>
          <w:rFonts w:hint="eastAsia" w:ascii="宋体" w:hAnsi="宋体" w:eastAsia="宋体" w:cs="宋体"/>
          <w:b/>
          <w:color w:val="auto"/>
          <w:kern w:val="0"/>
          <w:sz w:val="21"/>
          <w:szCs w:val="21"/>
          <w:highlight w:val="none"/>
        </w:rPr>
        <w:t>投标文件格式</w:t>
      </w:r>
    </w:p>
    <w:p w14:paraId="71194DCC">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16.1 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7326492">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16.2 </w:t>
      </w:r>
      <w:r>
        <w:rPr>
          <w:rFonts w:hint="eastAsia" w:ascii="宋体" w:hAnsi="宋体" w:eastAsia="宋体" w:cs="宋体"/>
          <w:color w:val="auto"/>
          <w:kern w:val="0"/>
          <w:sz w:val="21"/>
          <w:szCs w:val="21"/>
          <w:highlight w:val="none"/>
        </w:rPr>
        <w:t>招标文件未提供标准格式的投标人可自行拟定。</w:t>
      </w:r>
    </w:p>
    <w:p w14:paraId="3D8904AB">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17.</w:t>
      </w:r>
      <w:r>
        <w:rPr>
          <w:rFonts w:hint="eastAsia" w:ascii="宋体" w:hAnsi="宋体" w:eastAsia="宋体" w:cs="宋体"/>
          <w:b/>
          <w:color w:val="auto"/>
          <w:kern w:val="0"/>
          <w:sz w:val="21"/>
          <w:szCs w:val="21"/>
          <w:highlight w:val="none"/>
        </w:rPr>
        <w:t>投标保证金</w:t>
      </w:r>
    </w:p>
    <w:p w14:paraId="0989D474">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17.1 </w:t>
      </w:r>
      <w:r>
        <w:rPr>
          <w:rFonts w:hint="eastAsia" w:ascii="宋体" w:hAnsi="宋体" w:eastAsia="宋体" w:cs="宋体"/>
          <w:color w:val="auto"/>
          <w:kern w:val="0"/>
          <w:sz w:val="21"/>
          <w:szCs w:val="21"/>
          <w:highlight w:val="none"/>
        </w:rPr>
        <w:t>本项目不收取投标保证金。</w:t>
      </w:r>
    </w:p>
    <w:p w14:paraId="5705B75A">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17.2 </w:t>
      </w:r>
      <w:r>
        <w:rPr>
          <w:rFonts w:hint="eastAsia" w:ascii="宋体" w:hAnsi="宋体" w:eastAsia="宋体" w:cs="宋体"/>
          <w:color w:val="auto"/>
          <w:kern w:val="0"/>
          <w:sz w:val="21"/>
          <w:szCs w:val="21"/>
          <w:highlight w:val="none"/>
        </w:rPr>
        <w:t>投标人应提供投标承诺函。</w:t>
      </w:r>
    </w:p>
    <w:p w14:paraId="6094E855">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18.</w:t>
      </w:r>
      <w:r>
        <w:rPr>
          <w:rFonts w:hint="eastAsia" w:ascii="宋体" w:hAnsi="宋体" w:eastAsia="宋体" w:cs="宋体"/>
          <w:b/>
          <w:color w:val="auto"/>
          <w:kern w:val="0"/>
          <w:sz w:val="21"/>
          <w:szCs w:val="21"/>
          <w:highlight w:val="none"/>
        </w:rPr>
        <w:t>投标文件的数量和签署盖章</w:t>
      </w:r>
    </w:p>
    <w:p w14:paraId="4CFD46CE">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18.1 </w:t>
      </w:r>
      <w:r>
        <w:rPr>
          <w:rFonts w:hint="eastAsia" w:ascii="宋体" w:hAnsi="宋体" w:eastAsia="宋体" w:cs="宋体"/>
          <w:color w:val="auto"/>
          <w:kern w:val="0"/>
          <w:sz w:val="21"/>
          <w:szCs w:val="21"/>
          <w:highlight w:val="none"/>
        </w:rPr>
        <w:t>投标人应提交投标文件份数见“投标人须知前附表”。</w:t>
      </w:r>
    </w:p>
    <w:p w14:paraId="2E91831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18.2 在招标文件中已明示需盖章及签名之处，电子投标文件应按招标文件要求加盖投标人电子印章和法人电子印章或授权代表电子印章。</w:t>
      </w:r>
    </w:p>
    <w:p w14:paraId="52266F2C">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四、投标文件的提交</w:t>
      </w:r>
    </w:p>
    <w:p w14:paraId="19D0A2DA">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19.</w:t>
      </w:r>
      <w:r>
        <w:rPr>
          <w:rFonts w:hint="eastAsia" w:ascii="宋体" w:hAnsi="宋体" w:eastAsia="宋体" w:cs="宋体"/>
          <w:b/>
          <w:color w:val="auto"/>
          <w:kern w:val="0"/>
          <w:sz w:val="21"/>
          <w:szCs w:val="21"/>
          <w:highlight w:val="none"/>
        </w:rPr>
        <w:t>投标截止时间</w:t>
      </w:r>
    </w:p>
    <w:p w14:paraId="344C682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19.1 投标人必须在“投标邀请”和“投标人须知前附表”中规定的投标截止时间前，将加密电子投标文件（后缀格式为.XCSTF）通过《全国公共资源交易平台（河南省▪许昌市）》（https://ggzy.xuchang.gov.cn/）公共资源交易系统成功上传。</w:t>
      </w:r>
    </w:p>
    <w:p w14:paraId="477BEE4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19.2 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18518F3C">
      <w:pPr>
        <w:pStyle w:val="30"/>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20.迟交的投标文件</w:t>
      </w:r>
    </w:p>
    <w:p w14:paraId="4CCA6446">
      <w:pPr>
        <w:pStyle w:val="30"/>
        <w:keepNext w:val="0"/>
        <w:keepLines w:val="0"/>
        <w:pageBreakBefore w:val="0"/>
        <w:numPr>
          <w:ilvl w:val="0"/>
          <w:numId w:val="0"/>
        </w:numPr>
        <w:kinsoku/>
        <w:overflowPunct/>
        <w:autoSpaceDE w:val="0"/>
        <w:autoSpaceDN w:val="0"/>
        <w:bidi w:val="0"/>
        <w:snapToGrid/>
        <w:spacing w:line="460" w:lineRule="exact"/>
        <w:ind w:left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投标截止时间之后上传的投标文件，招标人将拒绝接收。</w:t>
      </w:r>
    </w:p>
    <w:p w14:paraId="37CAACE9">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21.</w:t>
      </w:r>
      <w:r>
        <w:rPr>
          <w:rFonts w:hint="eastAsia" w:ascii="宋体" w:hAnsi="宋体" w:eastAsia="宋体" w:cs="宋体"/>
          <w:b/>
          <w:color w:val="auto"/>
          <w:kern w:val="0"/>
          <w:sz w:val="21"/>
          <w:szCs w:val="21"/>
          <w:highlight w:val="none"/>
        </w:rPr>
        <w:t>投标文件的修改和撤回</w:t>
      </w:r>
    </w:p>
    <w:p w14:paraId="5EF9CBB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21.1 投标人在投标截止时间前，对投标文件进行补充、修改或者撤回的，须书面通知招标人。投标人应当在投标截止时间前完成电子投标文件的提交，可以补充、修改或撤回。投标截止时间前未完成电子投标文件提交的，视为撤回投标文件。</w:t>
      </w:r>
    </w:p>
    <w:p w14:paraId="0BCD823D">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21.2 投标人补充、修改的内容并作为投标文件的组成部分。补充或修改应当按招标文件要求签署、盖章、提交，并应注明“修改”或“补充”字样。</w:t>
      </w:r>
    </w:p>
    <w:p w14:paraId="1B7C885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21.3 投标人在提交投标文件后，可以撤回其投标，但投标人必须在规定的投标截止时间前以书面形式告知招标人。</w:t>
      </w:r>
    </w:p>
    <w:p w14:paraId="467E479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21.4 投标人不得在投标有效期内撤销投标文件，否则投标人将承担违背投标承诺函的责任追究。</w:t>
      </w:r>
    </w:p>
    <w:p w14:paraId="02F3E134">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22.</w:t>
      </w:r>
      <w:r>
        <w:rPr>
          <w:rFonts w:hint="eastAsia" w:ascii="宋体" w:hAnsi="宋体" w:eastAsia="宋体" w:cs="宋体"/>
          <w:b/>
          <w:color w:val="auto"/>
          <w:kern w:val="0"/>
          <w:sz w:val="21"/>
          <w:szCs w:val="21"/>
          <w:highlight w:val="none"/>
        </w:rPr>
        <w:t>除投标人须知前附表另有规定外，投标人所提交的电子投标文件不予退还。</w:t>
      </w:r>
    </w:p>
    <w:p w14:paraId="49EB058A">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五、开标和评标</w:t>
      </w:r>
    </w:p>
    <w:p w14:paraId="44A28D91">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23.</w:t>
      </w:r>
      <w:r>
        <w:rPr>
          <w:rFonts w:hint="eastAsia" w:ascii="宋体" w:hAnsi="宋体" w:eastAsia="宋体" w:cs="宋体"/>
          <w:b/>
          <w:color w:val="auto"/>
          <w:kern w:val="0"/>
          <w:sz w:val="21"/>
          <w:szCs w:val="21"/>
          <w:highlight w:val="none"/>
        </w:rPr>
        <w:t>开标</w:t>
      </w:r>
    </w:p>
    <w:p w14:paraId="198535B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23.1 招标人将按招标文件规定的时间和地点组织远程不见面开标。开标由代理机构主持，投标人无须到现场。评标委员会成员不得参加开标活动。</w:t>
      </w:r>
    </w:p>
    <w:p w14:paraId="3E0C2B3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23.2 招标人应当对开标、评标现场活动进行全程录音录像。录音录像应当清晰可辨，音像资料作为采购文件一并存档。</w:t>
      </w:r>
    </w:p>
    <w:p w14:paraId="007A1BB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23.3 开标时，由代理机构开通网上开标大厅及开启“群聊”等功能；投标人进行电子投标文件的解密。</w:t>
      </w:r>
    </w:p>
    <w:p w14:paraId="414C3B4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23.4 电子投标文件的解密。全流程电子化交易项目电子投标文件采用投标人一层加密。解密时由投标人进行一次解密即可。</w:t>
      </w:r>
    </w:p>
    <w:p w14:paraId="3F0CA710">
      <w:pPr>
        <w:pStyle w:val="30"/>
        <w:keepNext w:val="0"/>
        <w:keepLines w:val="0"/>
        <w:pageBreakBefore w:val="0"/>
        <w:numPr>
          <w:ilvl w:val="1"/>
          <w:numId w:val="0"/>
        </w:numPr>
        <w:kinsoku/>
        <w:overflowPunct/>
        <w:autoSpaceDE w:val="0"/>
        <w:autoSpaceDN w:val="0"/>
        <w:bidi w:val="0"/>
        <w:snapToGrid/>
        <w:spacing w:line="460" w:lineRule="exact"/>
        <w:ind w:left="1839" w:leftChars="200" w:hanging="1419" w:hangingChars="676"/>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23.5 </w:t>
      </w:r>
      <w:r>
        <w:rPr>
          <w:rFonts w:hint="eastAsia" w:ascii="宋体" w:hAnsi="宋体" w:eastAsia="宋体" w:cs="宋体"/>
          <w:color w:val="auto"/>
          <w:kern w:val="0"/>
          <w:sz w:val="21"/>
          <w:szCs w:val="21"/>
          <w:highlight w:val="none"/>
        </w:rPr>
        <w:t>投标人解密：投标人使用本单位CA数字证书</w:t>
      </w:r>
      <w:r>
        <w:rPr>
          <w:rFonts w:hint="eastAsia" w:ascii="宋体" w:hAnsi="宋体" w:eastAsia="宋体" w:cs="宋体"/>
          <w:color w:val="auto"/>
          <w:kern w:val="0"/>
          <w:sz w:val="21"/>
          <w:szCs w:val="21"/>
          <w:highlight w:val="none"/>
          <w:lang w:val="en-US" w:eastAsia="zh-CN"/>
        </w:rPr>
        <w:t>或CA移动数字证书</w:t>
      </w:r>
      <w:r>
        <w:rPr>
          <w:rFonts w:hint="eastAsia" w:ascii="宋体" w:hAnsi="宋体" w:eastAsia="宋体" w:cs="宋体"/>
          <w:color w:val="auto"/>
          <w:kern w:val="0"/>
          <w:sz w:val="21"/>
          <w:szCs w:val="21"/>
          <w:highlight w:val="none"/>
        </w:rPr>
        <w:t>远程进行解密。</w:t>
      </w:r>
    </w:p>
    <w:p w14:paraId="4440D2E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23.6 </w:t>
      </w:r>
      <w:r>
        <w:rPr>
          <w:rFonts w:hint="eastAsia" w:ascii="宋体" w:hAnsi="宋体" w:eastAsia="宋体" w:cs="宋体"/>
          <w:color w:val="auto"/>
          <w:kern w:val="0"/>
          <w:sz w:val="21"/>
          <w:szCs w:val="21"/>
          <w:highlight w:val="none"/>
        </w:rPr>
        <w:t>因投标人原因电子投标文件解密失败的，其投标将被拒绝。</w:t>
      </w:r>
    </w:p>
    <w:p w14:paraId="24000335">
      <w:pPr>
        <w:pStyle w:val="30"/>
        <w:keepNext w:val="0"/>
        <w:keepLines w:val="0"/>
        <w:pageBreakBefore w:val="0"/>
        <w:numPr>
          <w:ilvl w:val="1"/>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23.7 </w:t>
      </w:r>
      <w:r>
        <w:rPr>
          <w:rFonts w:hint="eastAsia" w:ascii="宋体" w:hAnsi="宋体" w:eastAsia="宋体" w:cs="宋体"/>
          <w:color w:val="auto"/>
          <w:kern w:val="0"/>
          <w:sz w:val="21"/>
          <w:szCs w:val="21"/>
          <w:highlight w:val="none"/>
        </w:rPr>
        <w:t>投标人不足3家的，不得开标。</w:t>
      </w:r>
    </w:p>
    <w:p w14:paraId="1A66D18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23.8 开标过程由采购代理机构负责记录，《开标记录表》经投标人进行电子签章、由参加开标相关工作人员签字确认后随采购文件一并存档。投标人未电子签章的，视同认可开标结果。</w:t>
      </w:r>
    </w:p>
    <w:p w14:paraId="4E53A07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23.9 投标人对开标过程和开标记录如有疑义，以及认为采购人、采购代理机构相关工作人员有需要回避的情形的，应在不见面开标大厅的“发起异议”功能在线提出询问或者回避申请。采购人、采购代理机构对投标人代表提出的询问或者回避申请应当及时处理。</w:t>
      </w:r>
    </w:p>
    <w:p w14:paraId="353D1869">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23.10 项目远程不见面开标活动结束时，投标人应在《开标记录表》上进行电子签章。投标人未签章的，视同认可开标结果。</w:t>
      </w:r>
    </w:p>
    <w:p w14:paraId="27EBA567">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24.</w:t>
      </w:r>
      <w:r>
        <w:rPr>
          <w:rFonts w:hint="eastAsia" w:ascii="宋体" w:hAnsi="宋体" w:eastAsia="宋体" w:cs="宋体"/>
          <w:b/>
          <w:color w:val="auto"/>
          <w:kern w:val="0"/>
          <w:sz w:val="21"/>
          <w:szCs w:val="21"/>
          <w:highlight w:val="none"/>
        </w:rPr>
        <w:t>资格审查</w:t>
      </w:r>
    </w:p>
    <w:p w14:paraId="491789A3">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开标结束后，采购人依法对投标人的资格进行审查。合格投标人不足3家的，不得评标。</w:t>
      </w:r>
    </w:p>
    <w:p w14:paraId="7BA11890">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25.</w:t>
      </w:r>
      <w:r>
        <w:rPr>
          <w:rFonts w:hint="eastAsia" w:ascii="宋体" w:hAnsi="宋体" w:eastAsia="宋体" w:cs="宋体"/>
          <w:b/>
          <w:color w:val="auto"/>
          <w:kern w:val="0"/>
          <w:sz w:val="21"/>
          <w:szCs w:val="21"/>
          <w:highlight w:val="none"/>
        </w:rPr>
        <w:t>评标委员会的组成</w:t>
      </w:r>
    </w:p>
    <w:p w14:paraId="1915966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25.1 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7D1F162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25.1.1 招标人将依法组建评标委员会，评标委员会由评审专家组成，成员人数应当为5人以上单 数。评审专家依法从政府采购评审专家库中随机抽取。</w:t>
      </w:r>
    </w:p>
    <w:p w14:paraId="22B99C3B">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25.1.2</w:t>
      </w:r>
      <w:r>
        <w:rPr>
          <w:rFonts w:hint="eastAsia" w:ascii="宋体" w:hAnsi="宋体" w:eastAsia="宋体" w:cs="宋体"/>
          <w:color w:val="auto"/>
          <w:kern w:val="0"/>
          <w:sz w:val="21"/>
          <w:szCs w:val="21"/>
          <w:highlight w:val="none"/>
        </w:rPr>
        <w:t>采购项目符合下列情形之一的，评标委员会成员人数应当为7人以上单数：</w:t>
      </w:r>
    </w:p>
    <w:p w14:paraId="7B78FB46">
      <w:pPr>
        <w:pStyle w:val="30"/>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一</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 xml:space="preserve"> 采购预算金额在1000万元以上；</w:t>
      </w:r>
    </w:p>
    <w:p w14:paraId="5B5A9B14">
      <w:pPr>
        <w:pStyle w:val="30"/>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（二）</w:t>
      </w:r>
      <w:r>
        <w:rPr>
          <w:rFonts w:hint="eastAsia" w:ascii="宋体" w:hAnsi="宋体" w:eastAsia="宋体" w:cs="宋体"/>
          <w:color w:val="auto"/>
          <w:kern w:val="0"/>
          <w:sz w:val="21"/>
          <w:szCs w:val="21"/>
          <w:highlight w:val="none"/>
        </w:rPr>
        <w:t xml:space="preserve"> 技术复杂；</w:t>
      </w:r>
    </w:p>
    <w:p w14:paraId="26CF8A40">
      <w:pPr>
        <w:pStyle w:val="30"/>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（三）</w:t>
      </w:r>
      <w:r>
        <w:rPr>
          <w:rFonts w:hint="eastAsia" w:ascii="宋体" w:hAnsi="宋体" w:eastAsia="宋体" w:cs="宋体"/>
          <w:color w:val="auto"/>
          <w:kern w:val="0"/>
          <w:sz w:val="21"/>
          <w:szCs w:val="21"/>
          <w:highlight w:val="none"/>
        </w:rPr>
        <w:t xml:space="preserve"> 社会影响较大。</w:t>
      </w:r>
    </w:p>
    <w:p w14:paraId="2C3A56F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25.2 评审专家对本单位的采购项目只能作为采购人代表参与评标。采购代理机构工作人员不得参加由本机构代理的政府采购项目的评标。</w:t>
      </w:r>
    </w:p>
    <w:p w14:paraId="6C788E35">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25.3 </w:t>
      </w:r>
      <w:r>
        <w:rPr>
          <w:rFonts w:hint="eastAsia" w:ascii="宋体" w:hAnsi="宋体" w:eastAsia="宋体" w:cs="宋体"/>
          <w:color w:val="auto"/>
          <w:kern w:val="0"/>
          <w:sz w:val="21"/>
          <w:szCs w:val="21"/>
          <w:highlight w:val="none"/>
        </w:rPr>
        <w:t>评审专家与投标人存在下列利害关系之一的</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应当回避</w:t>
      </w:r>
      <w:r>
        <w:rPr>
          <w:rFonts w:hint="eastAsia" w:ascii="宋体" w:hAnsi="宋体" w:eastAsia="宋体" w:cs="宋体"/>
          <w:color w:val="auto"/>
          <w:kern w:val="0"/>
          <w:sz w:val="21"/>
          <w:szCs w:val="21"/>
          <w:highlight w:val="none"/>
          <w:lang w:eastAsia="zh-CN"/>
        </w:rPr>
        <w:t>：</w:t>
      </w:r>
    </w:p>
    <w:p w14:paraId="6EAAD86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（一）参加采购活动前三年内，与供应商存在劳动关系，或者担任过供应商的董事、监事，或者是供应商的控股股东或实际控制人；</w:t>
      </w:r>
    </w:p>
    <w:p w14:paraId="464F14A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（二）与供应商的法定代表人或者负责人有夫妻、直系血亲、三代以内旁系血亲或者近姻亲关系；</w:t>
      </w:r>
    </w:p>
    <w:p w14:paraId="184030F7">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（三）</w:t>
      </w:r>
      <w:r>
        <w:rPr>
          <w:rFonts w:hint="eastAsia" w:ascii="宋体" w:hAnsi="宋体" w:eastAsia="宋体" w:cs="宋体"/>
          <w:color w:val="auto"/>
          <w:kern w:val="0"/>
          <w:sz w:val="21"/>
          <w:szCs w:val="21"/>
          <w:highlight w:val="none"/>
        </w:rPr>
        <w:t>与供应商有其他可能影响政府采购活动公平、公正进行的关系。</w:t>
      </w:r>
    </w:p>
    <w:p w14:paraId="5963A8A4">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25.4 评审专家发现本人与参加采购活动的供应商有利害关系的，应当主动提出回避。采购人或者代理机构发现评审专家与参加采购活动的供应商有利害关系的，应当要求其回避。</w:t>
      </w:r>
    </w:p>
    <w:p w14:paraId="563E4C34">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25.5 </w:t>
      </w:r>
      <w:r>
        <w:rPr>
          <w:rFonts w:hint="eastAsia" w:ascii="宋体" w:hAnsi="宋体" w:eastAsia="宋体" w:cs="宋体"/>
          <w:color w:val="auto"/>
          <w:kern w:val="0"/>
          <w:sz w:val="21"/>
          <w:szCs w:val="21"/>
          <w:highlight w:val="none"/>
        </w:rPr>
        <w:t>采购人不得担任评标小组长。</w:t>
      </w:r>
    </w:p>
    <w:p w14:paraId="4683F0E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25.6 采购人可以在评标前说明项目背景和采购需求，说明内容不得含有歧视性、倾向性意见，不得超出招标文件所述范围。说明应当提交书面材料，并随采购文件一并存档。</w:t>
      </w:r>
    </w:p>
    <w:p w14:paraId="72EA0917">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25.7 </w:t>
      </w:r>
      <w:r>
        <w:rPr>
          <w:rFonts w:hint="eastAsia" w:ascii="宋体" w:hAnsi="宋体" w:eastAsia="宋体" w:cs="宋体"/>
          <w:color w:val="auto"/>
          <w:kern w:val="0"/>
          <w:sz w:val="21"/>
          <w:szCs w:val="21"/>
          <w:highlight w:val="none"/>
        </w:rPr>
        <w:t>评标委员会成员名单在评标结果公告前应当保密。</w:t>
      </w:r>
    </w:p>
    <w:p w14:paraId="64FB1288">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26.</w:t>
      </w:r>
      <w:r>
        <w:rPr>
          <w:rFonts w:hint="eastAsia" w:ascii="宋体" w:hAnsi="宋体" w:eastAsia="宋体" w:cs="宋体"/>
          <w:b/>
          <w:color w:val="auto"/>
          <w:kern w:val="0"/>
          <w:sz w:val="21"/>
          <w:szCs w:val="21"/>
          <w:highlight w:val="none"/>
        </w:rPr>
        <w:t>符合性审查</w:t>
      </w:r>
    </w:p>
    <w:p w14:paraId="416E073A">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26.1 评标委员会依据有关法律法规和招标文件的规定，对符合资格的投标人的投标文件进行符合性审查，以确定其是否满足招标文件的实质性要求。</w:t>
      </w:r>
    </w:p>
    <w:p w14:paraId="633654CB">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26.2 </w:t>
      </w:r>
      <w:r>
        <w:rPr>
          <w:rFonts w:hint="eastAsia" w:ascii="宋体" w:hAnsi="宋体" w:eastAsia="宋体" w:cs="宋体"/>
          <w:color w:val="auto"/>
          <w:kern w:val="0"/>
          <w:sz w:val="21"/>
          <w:szCs w:val="21"/>
          <w:highlight w:val="none"/>
        </w:rPr>
        <w:t>审查、评价投标文件是否符合招标文件的商务、技术等实质性要求。</w:t>
      </w:r>
    </w:p>
    <w:p w14:paraId="4E2D76FE">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26.3 </w:t>
      </w:r>
      <w:r>
        <w:rPr>
          <w:rFonts w:hint="eastAsia" w:ascii="宋体" w:hAnsi="宋体" w:eastAsia="宋体" w:cs="宋体"/>
          <w:color w:val="auto"/>
          <w:kern w:val="0"/>
          <w:sz w:val="21"/>
          <w:szCs w:val="21"/>
          <w:highlight w:val="none"/>
        </w:rPr>
        <w:t>可要求投标人对投标文件有关事项作出澄清或者说明。</w:t>
      </w:r>
    </w:p>
    <w:p w14:paraId="668C29A2">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 xml:space="preserve">27. </w:t>
      </w:r>
      <w:r>
        <w:rPr>
          <w:rFonts w:hint="eastAsia" w:ascii="宋体" w:hAnsi="宋体" w:eastAsia="宋体" w:cs="宋体"/>
          <w:b/>
          <w:color w:val="auto"/>
          <w:kern w:val="0"/>
          <w:sz w:val="21"/>
          <w:szCs w:val="21"/>
          <w:highlight w:val="none"/>
        </w:rPr>
        <w:t>投标文件的澄清</w:t>
      </w:r>
    </w:p>
    <w:p w14:paraId="329BF5DD">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27.1 对于投标文件中含义不明确、同类问题表述不一致或者有明显文字和计算错误的内容，评标委员会应当以书面形式要求投标人作出必要的澄清、说明或者补正。</w:t>
      </w:r>
    </w:p>
    <w:p w14:paraId="63EC659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27.2 投标人的澄清、说明或者补正应当采用书面形式，并加盖公章，或者由法定代表人或其授权的代表签字。投标人的澄清、说明或者补正不得超出投标文件的范围或者改变投标文件的实质性内容。</w:t>
      </w:r>
    </w:p>
    <w:p w14:paraId="08A1C7B8">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27.3 </w:t>
      </w:r>
      <w:r>
        <w:rPr>
          <w:rFonts w:hint="eastAsia" w:ascii="宋体" w:hAnsi="宋体" w:eastAsia="宋体" w:cs="宋体"/>
          <w:color w:val="auto"/>
          <w:kern w:val="0"/>
          <w:sz w:val="21"/>
          <w:szCs w:val="21"/>
          <w:highlight w:val="none"/>
        </w:rPr>
        <w:t>投标人的澄清文件是其投标文件的组成部分。</w:t>
      </w:r>
    </w:p>
    <w:p w14:paraId="25F0ED71">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28.投标价格的审查</w:t>
      </w:r>
    </w:p>
    <w:p w14:paraId="04E55F8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28.1 投标文件报价出现前后不一致的修正</w:t>
      </w:r>
    </w:p>
    <w:p w14:paraId="4D5DC17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28.1.1 投标文件中开标一览表（报价表）内容与投标文件中相应内容不一致的，以开标一览表（报价表）为准；</w:t>
      </w:r>
    </w:p>
    <w:p w14:paraId="69825AD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28.1.2 大写金额和小写金额不一致的，以大写金额为准；</w:t>
      </w:r>
    </w:p>
    <w:p w14:paraId="7667859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28.1.3 单价金额小数点或者百分比有明显错位的，以开标一览表的总价为准，并修改单价；</w:t>
      </w:r>
    </w:p>
    <w:p w14:paraId="3233285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28.1.4 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2D624A5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28.2 异常低价审查。 </w:t>
      </w:r>
    </w:p>
    <w:p w14:paraId="4B8A190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28.2.1 评审中出现下列情形之一的，评标委员会应当启动异常低价投标审查程序：</w:t>
      </w:r>
    </w:p>
    <w:p w14:paraId="5E71892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（1）投标报价低于全部通过符合性审查供应商投标报价平均值50%的，即投标报价〈全部通过符合性审查</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投标报价平均值×50%；</w:t>
      </w:r>
    </w:p>
    <w:p w14:paraId="48EBCE7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（2）投标报价低于通过符合性审查的次低报价供应商投标报价50%的，即投标报价〈通过符合性审查的次低报价</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投标报价×50%；</w:t>
      </w:r>
    </w:p>
    <w:p w14:paraId="156EF4F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 xml:space="preserve">（3）投标报价低于采购项目最高限价45%的，即投标报价〈采购项目最高限价×45%； </w:t>
      </w:r>
    </w:p>
    <w:p w14:paraId="4128C088">
      <w:pPr>
        <w:pStyle w:val="30"/>
        <w:keepNext w:val="0"/>
        <w:keepLines w:val="0"/>
        <w:pageBreakBefore w:val="0"/>
        <w:numPr>
          <w:ilvl w:val="0"/>
          <w:numId w:val="0"/>
        </w:numPr>
        <w:kinsoku/>
        <w:overflowPunct/>
        <w:autoSpaceDE w:val="0"/>
        <w:autoSpaceDN w:val="0"/>
        <w:bidi w:val="0"/>
        <w:snapToGrid/>
        <w:spacing w:line="460" w:lineRule="exact"/>
        <w:ind w:firstLine="630" w:firstLineChars="3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（4）评标委员会基于专业判断，认为</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报价过低，有可能影响产品质量或者不能诚信履约的其他情形。</w:t>
      </w:r>
    </w:p>
    <w:p w14:paraId="25B94F50">
      <w:pPr>
        <w:pStyle w:val="30"/>
        <w:keepNext w:val="0"/>
        <w:keepLines w:val="0"/>
        <w:pageBreakBefore w:val="0"/>
        <w:numPr>
          <w:ilvl w:val="0"/>
          <w:numId w:val="0"/>
        </w:numPr>
        <w:kinsoku/>
        <w:overflowPunct/>
        <w:autoSpaceDE w:val="0"/>
        <w:autoSpaceDN w:val="0"/>
        <w:bidi w:val="0"/>
        <w:snapToGrid/>
        <w:spacing w:line="460" w:lineRule="exact"/>
        <w:ind w:leftChars="0" w:firstLine="630" w:firstLineChars="3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（5）相关法律法规对</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报价有规定的，从其规定。</w:t>
      </w:r>
    </w:p>
    <w:p w14:paraId="0F5D036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28.2.2 评标委员会启动异常低价投标审查后，属于前述第1项至第4项情形的，应当要求相关</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在评审现场规定时间内（给予</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的时间不少于</w:t>
      </w:r>
      <w:r>
        <w:rPr>
          <w:rFonts w:hint="eastAsia" w:ascii="宋体" w:hAnsi="宋体" w:eastAsia="宋体" w:cs="宋体"/>
          <w:color w:val="auto"/>
          <w:kern w:val="0"/>
          <w:sz w:val="21"/>
          <w:szCs w:val="21"/>
          <w:highlight w:val="none"/>
          <w:lang w:val="en-US" w:eastAsia="zh-CN"/>
        </w:rPr>
        <w:t>60</w:t>
      </w:r>
      <w:r>
        <w:rPr>
          <w:rFonts w:hint="eastAsia" w:ascii="宋体" w:hAnsi="宋体" w:eastAsia="宋体" w:cs="宋体"/>
          <w:color w:val="auto"/>
          <w:kern w:val="0"/>
          <w:sz w:val="21"/>
          <w:szCs w:val="21"/>
          <w:highlight w:val="none"/>
          <w:lang w:val="en-US" w:eastAsia="zh-CN"/>
        </w:rPr>
        <w:t>分钟）对投标价格作出解释，提供项目具体成本测算等与报价合理性相关的书面说明及必要的证明材料，包括但不限于原材料成本、人工成本、制造费用等。其中，属于第3项情形，</w:t>
      </w: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kern w:val="0"/>
          <w:sz w:val="21"/>
          <w:szCs w:val="21"/>
          <w:highlight w:val="none"/>
          <w:lang w:val="en-US" w:eastAsia="zh-CN"/>
        </w:rPr>
        <w:t>已随投标文件一并提交相关书面说明及必要的 证明材料的，在评审现场可不再重复提交。</w:t>
      </w:r>
    </w:p>
    <w:p w14:paraId="344B13A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 28.2.3 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1C70E0BF">
      <w:pPr>
        <w:pStyle w:val="30"/>
        <w:keepNext w:val="0"/>
        <w:keepLines w:val="0"/>
        <w:pageBreakBefore w:val="0"/>
        <w:numPr>
          <w:ilvl w:val="0"/>
          <w:numId w:val="16"/>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投标无效情形</w:t>
      </w:r>
    </w:p>
    <w:p w14:paraId="7D52A200">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29.1 </w:t>
      </w:r>
      <w:r>
        <w:rPr>
          <w:rFonts w:hint="eastAsia" w:ascii="宋体" w:hAnsi="宋体" w:eastAsia="宋体" w:cs="宋体"/>
          <w:color w:val="auto"/>
          <w:kern w:val="0"/>
          <w:sz w:val="21"/>
          <w:szCs w:val="21"/>
          <w:highlight w:val="none"/>
        </w:rPr>
        <w:t>投标文件属下列情况之一的，按照无效投标处理：</w:t>
      </w:r>
    </w:p>
    <w:p w14:paraId="0FC8439A">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29.1.1</w:t>
      </w:r>
      <w:r>
        <w:rPr>
          <w:rFonts w:hint="eastAsia" w:ascii="宋体" w:hAnsi="宋体" w:eastAsia="宋体" w:cs="宋体"/>
          <w:color w:val="auto"/>
          <w:kern w:val="0"/>
          <w:sz w:val="21"/>
          <w:szCs w:val="21"/>
          <w:highlight w:val="none"/>
        </w:rPr>
        <w:t>未按照招标文件的规定提交《禹州市政府采购供应商信用承诺函》的；</w:t>
      </w:r>
    </w:p>
    <w:p w14:paraId="76D14427">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29.1.2</w:t>
      </w:r>
      <w:r>
        <w:rPr>
          <w:rFonts w:hint="eastAsia" w:ascii="宋体" w:hAnsi="宋体" w:eastAsia="宋体" w:cs="宋体"/>
          <w:color w:val="auto"/>
          <w:kern w:val="0"/>
          <w:sz w:val="21"/>
          <w:szCs w:val="21"/>
          <w:highlight w:val="none"/>
        </w:rPr>
        <w:t>未按照招标文件的规定提交投标承诺函的；</w:t>
      </w:r>
    </w:p>
    <w:p w14:paraId="0C36C798">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29.1.3</w:t>
      </w:r>
      <w:r>
        <w:rPr>
          <w:rFonts w:hint="eastAsia" w:ascii="宋体" w:hAnsi="宋体" w:eastAsia="宋体" w:cs="宋体"/>
          <w:color w:val="auto"/>
          <w:kern w:val="0"/>
          <w:sz w:val="21"/>
          <w:szCs w:val="21"/>
          <w:highlight w:val="none"/>
        </w:rPr>
        <w:t>投标文件未按招标文件要求签署、盖章的；</w:t>
      </w:r>
    </w:p>
    <w:p w14:paraId="73D1C2B4">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29.1.4</w:t>
      </w:r>
      <w:r>
        <w:rPr>
          <w:rFonts w:hint="eastAsia" w:ascii="宋体" w:hAnsi="宋体" w:eastAsia="宋体" w:cs="宋体"/>
          <w:color w:val="auto"/>
          <w:kern w:val="0"/>
          <w:sz w:val="21"/>
          <w:szCs w:val="21"/>
          <w:highlight w:val="none"/>
        </w:rPr>
        <w:t>报价超过招标文件中规定的预算金额或者最高限价的；</w:t>
      </w:r>
    </w:p>
    <w:p w14:paraId="328952E0">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29.1.5</w:t>
      </w:r>
      <w:r>
        <w:rPr>
          <w:rFonts w:hint="eastAsia" w:ascii="宋体" w:hAnsi="宋体" w:eastAsia="宋体" w:cs="宋体"/>
          <w:color w:val="auto"/>
          <w:kern w:val="0"/>
          <w:sz w:val="21"/>
          <w:szCs w:val="21"/>
          <w:highlight w:val="none"/>
        </w:rPr>
        <w:t>投标文件含有采购人不能接受的附加条件的。</w:t>
      </w:r>
    </w:p>
    <w:p w14:paraId="0EDAC67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29.2根据《河南省财政厅关于防范供应商串通投标促进政府采购公平竞争的通知》（豫财购﹝2021﹞6号）要求，参与同一个标段的供应商存在下列情形之一的，其投标文件无效：</w:t>
      </w:r>
    </w:p>
    <w:p w14:paraId="4E7A36CD">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29.2.1不同供应商的电子投标文件上传计算机的网卡MAC地址、CPU序列号和硬盘序列号等硬件信息相同的；</w:t>
      </w:r>
    </w:p>
    <w:p w14:paraId="4FAB679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29.2.2不同供应商的投标文件由同一电子设备编制、打印加密或者上传；</w:t>
      </w:r>
    </w:p>
    <w:p w14:paraId="108A0AE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29.2.3不同供应商的投标文件由同一电子设备打印、复印；</w:t>
      </w:r>
    </w:p>
    <w:p w14:paraId="35EEA05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29.2.4不同供应商的投标文件由同一人送达或者分发，或者不同供应商联系人为同一人或不同联系人的联系电话一致的；</w:t>
      </w:r>
    </w:p>
    <w:p w14:paraId="3125223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29.2.5不同供应商的投标文件的内容存在两处以上细节错误一致；</w:t>
      </w:r>
    </w:p>
    <w:p w14:paraId="4453A324">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29.2.6不同供应商的法定代表人、委托代理人、项目经理、项目负责人等由同一个单位缴纳社会保险或者领取报酬的；</w:t>
      </w:r>
    </w:p>
    <w:p w14:paraId="2636741E">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29.2.7</w:t>
      </w:r>
      <w:r>
        <w:rPr>
          <w:rFonts w:hint="eastAsia" w:ascii="宋体" w:hAnsi="宋体" w:eastAsia="宋体" w:cs="宋体"/>
          <w:color w:val="auto"/>
          <w:kern w:val="0"/>
          <w:sz w:val="21"/>
          <w:szCs w:val="21"/>
          <w:highlight w:val="none"/>
        </w:rPr>
        <w:t>不同供应商投标文件中法定代表人或者负责人签字出自同一人之手；</w:t>
      </w:r>
    </w:p>
    <w:p w14:paraId="3AC7894F">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29.2.8其他</w:t>
      </w:r>
      <w:r>
        <w:rPr>
          <w:rFonts w:hint="eastAsia" w:ascii="宋体" w:hAnsi="宋体" w:eastAsia="宋体" w:cs="宋体"/>
          <w:color w:val="auto"/>
          <w:kern w:val="0"/>
          <w:sz w:val="21"/>
          <w:szCs w:val="21"/>
          <w:highlight w:val="none"/>
        </w:rPr>
        <w:t>涉嫌串通的情形。</w:t>
      </w:r>
    </w:p>
    <w:p w14:paraId="6ADBC1DE">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29.3</w:t>
      </w:r>
      <w:r>
        <w:rPr>
          <w:rFonts w:hint="eastAsia" w:ascii="宋体" w:hAnsi="宋体" w:eastAsia="宋体" w:cs="宋体"/>
          <w:color w:val="auto"/>
          <w:kern w:val="0"/>
          <w:sz w:val="21"/>
          <w:szCs w:val="21"/>
          <w:highlight w:val="none"/>
        </w:rPr>
        <w:t>有下列情形之一的，视为投标人串通投标，其投标无效：</w:t>
      </w:r>
    </w:p>
    <w:p w14:paraId="68416FCD">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29.3.1</w:t>
      </w:r>
      <w:r>
        <w:rPr>
          <w:rFonts w:hint="eastAsia" w:ascii="宋体" w:hAnsi="宋体" w:eastAsia="宋体" w:cs="宋体"/>
          <w:color w:val="auto"/>
          <w:kern w:val="0"/>
          <w:sz w:val="21"/>
          <w:szCs w:val="21"/>
          <w:highlight w:val="none"/>
        </w:rPr>
        <w:t>不同投标人的投标文件由同一单位或者个人编制；</w:t>
      </w:r>
    </w:p>
    <w:p w14:paraId="445730F5">
      <w:pPr>
        <w:pStyle w:val="30"/>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29.3.2</w:t>
      </w:r>
      <w:r>
        <w:rPr>
          <w:rFonts w:hint="eastAsia" w:ascii="宋体" w:hAnsi="宋体" w:eastAsia="宋体" w:cs="宋体"/>
          <w:color w:val="auto"/>
          <w:kern w:val="0"/>
          <w:sz w:val="21"/>
          <w:szCs w:val="21"/>
          <w:highlight w:val="none"/>
        </w:rPr>
        <w:t>不同投标人委托同一单位或者个人办理投标事宜；</w:t>
      </w:r>
    </w:p>
    <w:p w14:paraId="7294F89E">
      <w:pPr>
        <w:pStyle w:val="30"/>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29.3.3</w:t>
      </w:r>
      <w:r>
        <w:rPr>
          <w:rFonts w:hint="eastAsia" w:ascii="宋体" w:hAnsi="宋体" w:eastAsia="宋体" w:cs="宋体"/>
          <w:color w:val="auto"/>
          <w:kern w:val="0"/>
          <w:sz w:val="21"/>
          <w:szCs w:val="21"/>
          <w:highlight w:val="none"/>
        </w:rPr>
        <w:t>不同投标人的投标文件载明的项目管理成员或者联系人员为同一人；</w:t>
      </w:r>
    </w:p>
    <w:p w14:paraId="08E204DD">
      <w:pPr>
        <w:pStyle w:val="30"/>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29.3.4</w:t>
      </w:r>
      <w:r>
        <w:rPr>
          <w:rFonts w:hint="eastAsia" w:ascii="宋体" w:hAnsi="宋体" w:eastAsia="宋体" w:cs="宋体"/>
          <w:color w:val="auto"/>
          <w:kern w:val="0"/>
          <w:sz w:val="21"/>
          <w:szCs w:val="21"/>
          <w:highlight w:val="none"/>
        </w:rPr>
        <w:t>不同投标人的投标文件异常一致或者投标报价呈规律性差异；</w:t>
      </w:r>
    </w:p>
    <w:p w14:paraId="5AA12C84">
      <w:pPr>
        <w:pStyle w:val="30"/>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29.3.5</w:t>
      </w:r>
      <w:r>
        <w:rPr>
          <w:rFonts w:hint="eastAsia" w:ascii="宋体" w:hAnsi="宋体" w:eastAsia="宋体" w:cs="宋体"/>
          <w:color w:val="auto"/>
          <w:kern w:val="0"/>
          <w:sz w:val="21"/>
          <w:szCs w:val="21"/>
          <w:highlight w:val="none"/>
        </w:rPr>
        <w:t>不同投标人的投标文件相互混装。</w:t>
      </w:r>
    </w:p>
    <w:p w14:paraId="16A184B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89D17EC">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29.5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2B77AB04">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29.6评标委员会启动异常低价投标审查后，要求相关供应商在规定时间内对投标价格作出解释、提供证明材料，投标供应商未在规定时间内提供书面说明、证明材料，或者提供的书面说明、证明材料不能证明其报价合理性的，评标委员会应当将其作为无效投标处理。</w:t>
      </w:r>
    </w:p>
    <w:p w14:paraId="5D8293F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29.7按照《关于推进全流程电子化交易和在线监管工作有关问题的通知》（许公管办〔2019〕3号）规定，不同投标人电子投标文件记录的网卡MAC地址、CPU序号、硬盘序列号等硬件特征码均相同时，视为‘不同投标人的投标文件由同一单位或者个人编制’或‘不同投标人委托同一单位或者个人办理响应事宜’，其投标无效。</w:t>
      </w:r>
    </w:p>
    <w:p w14:paraId="06ADCEA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29.8法律法规和招标文件规定的其他无效情形。</w:t>
      </w:r>
    </w:p>
    <w:p w14:paraId="41105D47">
      <w:pPr>
        <w:pStyle w:val="30"/>
        <w:keepNext w:val="0"/>
        <w:keepLines w:val="0"/>
        <w:pageBreakBefore w:val="0"/>
        <w:numPr>
          <w:ilvl w:val="0"/>
          <w:numId w:val="16"/>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相同品牌投标人的认定</w:t>
      </w:r>
      <w:r>
        <w:rPr>
          <w:rFonts w:hint="eastAsia" w:ascii="宋体" w:hAnsi="宋体" w:eastAsia="宋体" w:cs="宋体"/>
          <w:b/>
          <w:bCs/>
          <w:color w:val="auto"/>
          <w:sz w:val="21"/>
          <w:szCs w:val="21"/>
          <w:highlight w:val="none"/>
          <w:lang w:val="zh-CN"/>
        </w:rPr>
        <w:t>（服务类项目不适用本条款规定）</w:t>
      </w:r>
    </w:p>
    <w:p w14:paraId="31747494">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30.1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19CA3F1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30.2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0106615">
      <w:pPr>
        <w:pStyle w:val="30"/>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rPr>
        <w:t>31.</w:t>
      </w:r>
      <w:r>
        <w:rPr>
          <w:rFonts w:hint="eastAsia" w:ascii="宋体" w:hAnsi="宋体" w:eastAsia="宋体" w:cs="宋体"/>
          <w:b/>
          <w:color w:val="auto"/>
          <w:kern w:val="0"/>
          <w:sz w:val="21"/>
          <w:szCs w:val="21"/>
          <w:highlight w:val="none"/>
        </w:rPr>
        <w:t>投标文件的比较与评价</w:t>
      </w:r>
    </w:p>
    <w:p w14:paraId="5710877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评标委员会按照招标文件中规定的评标方法和标准，对符合性审查合格的投标文件进行商务和技术评估，综合比较与评价。</w:t>
      </w:r>
    </w:p>
    <w:p w14:paraId="09691254">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bidi="ar-SA"/>
        </w:rPr>
        <w:t>32.</w:t>
      </w:r>
      <w:r>
        <w:rPr>
          <w:rFonts w:hint="eastAsia" w:ascii="宋体" w:hAnsi="宋体" w:eastAsia="宋体" w:cs="宋体"/>
          <w:b/>
          <w:color w:val="auto"/>
          <w:kern w:val="0"/>
          <w:sz w:val="21"/>
          <w:szCs w:val="21"/>
          <w:highlight w:val="none"/>
        </w:rPr>
        <w:t>评标方法、评标标准</w:t>
      </w:r>
    </w:p>
    <w:p w14:paraId="05D31B88">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32.1</w:t>
      </w:r>
      <w:r>
        <w:rPr>
          <w:rFonts w:hint="eastAsia" w:ascii="宋体" w:hAnsi="宋体" w:eastAsia="宋体" w:cs="宋体"/>
          <w:color w:val="auto"/>
          <w:kern w:val="0"/>
          <w:sz w:val="21"/>
          <w:szCs w:val="21"/>
          <w:highlight w:val="none"/>
        </w:rPr>
        <w:t>评标方法分为最低评标价法和综合评分法。</w:t>
      </w:r>
    </w:p>
    <w:p w14:paraId="7F296381">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32.1.1</w:t>
      </w:r>
      <w:r>
        <w:rPr>
          <w:rFonts w:hint="eastAsia" w:ascii="宋体" w:hAnsi="宋体" w:eastAsia="宋体" w:cs="宋体"/>
          <w:color w:val="auto"/>
          <w:kern w:val="0"/>
          <w:sz w:val="21"/>
          <w:szCs w:val="21"/>
          <w:highlight w:val="none"/>
        </w:rPr>
        <w:t>最低评标价法</w:t>
      </w:r>
    </w:p>
    <w:p w14:paraId="0A22362B">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32.1.1.1</w:t>
      </w:r>
      <w:r>
        <w:rPr>
          <w:rFonts w:hint="eastAsia" w:ascii="宋体" w:hAnsi="宋体" w:eastAsia="宋体" w:cs="宋体"/>
          <w:color w:val="auto"/>
          <w:sz w:val="21"/>
          <w:szCs w:val="21"/>
          <w:highlight w:val="none"/>
        </w:rPr>
        <w:t>最低评标价法，是指投标文件满足招标文件全部实质性要求，且投标报价最低的投标人为中标候选人的评标方法。</w:t>
      </w:r>
    </w:p>
    <w:p w14:paraId="03B45668">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32.1.1.2</w:t>
      </w:r>
      <w:r>
        <w:rPr>
          <w:rFonts w:hint="eastAsia" w:ascii="宋体" w:hAnsi="宋体" w:eastAsia="宋体" w:cs="宋体"/>
          <w:color w:val="auto"/>
          <w:sz w:val="21"/>
          <w:szCs w:val="21"/>
          <w:highlight w:val="none"/>
        </w:rPr>
        <w:t>采用最低评标价法评标时，除了算术修正和落实政府采购政策需进行的价格扣除外，不能对投标人的投标价格进行任何调整。</w:t>
      </w:r>
    </w:p>
    <w:p w14:paraId="0414FC69">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32.1.2</w:t>
      </w:r>
      <w:r>
        <w:rPr>
          <w:rFonts w:hint="eastAsia" w:ascii="宋体" w:hAnsi="宋体" w:eastAsia="宋体" w:cs="宋体"/>
          <w:color w:val="auto"/>
          <w:sz w:val="21"/>
          <w:szCs w:val="21"/>
          <w:highlight w:val="none"/>
        </w:rPr>
        <w:t>综合评分法，是指投标文件满足招标文件全部实质性要求，且按照评审因素的量化指标评审得分最高的投标人为中标候选人的评标方法。</w:t>
      </w:r>
    </w:p>
    <w:p w14:paraId="42BFDF6E">
      <w:pPr>
        <w:pStyle w:val="30"/>
        <w:keepNext w:val="0"/>
        <w:keepLines w:val="0"/>
        <w:pageBreakBefore w:val="0"/>
        <w:numPr>
          <w:ilvl w:val="0"/>
          <w:numId w:val="0"/>
        </w:numPr>
        <w:kinsoku/>
        <w:overflowPunct/>
        <w:autoSpaceDE w:val="0"/>
        <w:autoSpaceDN w:val="0"/>
        <w:bidi w:val="0"/>
        <w:snapToGrid/>
        <w:spacing w:line="460" w:lineRule="exact"/>
        <w:ind w:left="991" w:leftChars="200" w:hanging="571" w:hangingChars="272"/>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32.2 </w:t>
      </w:r>
      <w:r>
        <w:rPr>
          <w:rFonts w:hint="eastAsia" w:ascii="宋体" w:hAnsi="宋体" w:eastAsia="宋体" w:cs="宋体"/>
          <w:color w:val="auto"/>
          <w:kern w:val="0"/>
          <w:sz w:val="21"/>
          <w:szCs w:val="21"/>
          <w:highlight w:val="none"/>
        </w:rPr>
        <w:t>价格分</w:t>
      </w:r>
    </w:p>
    <w:p w14:paraId="753D3EEE">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32.2.1</w:t>
      </w:r>
      <w:r>
        <w:rPr>
          <w:rFonts w:hint="eastAsia" w:ascii="宋体" w:hAnsi="宋体" w:eastAsia="宋体" w:cs="宋体"/>
          <w:color w:val="auto"/>
          <w:sz w:val="21"/>
          <w:szCs w:val="21"/>
          <w:highlight w:val="none"/>
        </w:rPr>
        <w:t>价格分采用低价优先法计算，即满足招标文件要求且投标价格最低的投标报价为评标基准价，其价格分为满分。其他投标人的价格分统一按照下列公式计算：</w:t>
      </w:r>
    </w:p>
    <w:p w14:paraId="1901D5C2">
      <w:pPr>
        <w:pStyle w:val="35"/>
        <w:keepNext w:val="0"/>
        <w:keepLines w:val="0"/>
        <w:pageBreakBefore w:val="0"/>
        <w:kinsoku/>
        <w:overflowPunct/>
        <w:bidi w:val="0"/>
        <w:snapToGrid/>
        <w:spacing w:line="4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投标报价得分=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评标基准价/投标报价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×100</w:t>
      </w:r>
    </w:p>
    <w:p w14:paraId="215557FE">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评标总得分=F1×A1+F2×A2+……+Fn×An</w:t>
      </w:r>
    </w:p>
    <w:p w14:paraId="1C8751E6">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F1、F2……Fn分别为各项评审因素的得分</w:t>
      </w:r>
      <w:r>
        <w:rPr>
          <w:rFonts w:hint="eastAsia" w:ascii="宋体" w:hAnsi="宋体" w:eastAsia="宋体" w:cs="宋体"/>
          <w:color w:val="auto"/>
          <w:sz w:val="21"/>
          <w:szCs w:val="21"/>
          <w:highlight w:val="none"/>
          <w:lang w:eastAsia="zh-CN"/>
        </w:rPr>
        <w:t>；</w:t>
      </w:r>
    </w:p>
    <w:p w14:paraId="4448FFEC">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A1、A2、……An 分别为各项评审因素所占的权重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A1+A2+……+An=1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1B016D17">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32.2.2</w:t>
      </w:r>
      <w:r>
        <w:rPr>
          <w:rFonts w:hint="eastAsia" w:ascii="宋体" w:hAnsi="宋体" w:eastAsia="宋体" w:cs="宋体"/>
          <w:color w:val="auto"/>
          <w:sz w:val="21"/>
          <w:szCs w:val="21"/>
          <w:highlight w:val="none"/>
        </w:rPr>
        <w:t>评标过程中，不得去掉报价中的最高报价和最低报价。</w:t>
      </w:r>
    </w:p>
    <w:p w14:paraId="5AA8E801">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32.2.3</w:t>
      </w:r>
      <w:r>
        <w:rPr>
          <w:rFonts w:hint="eastAsia" w:ascii="宋体" w:hAnsi="宋体" w:eastAsia="宋体" w:cs="宋体"/>
          <w:color w:val="auto"/>
          <w:sz w:val="21"/>
          <w:szCs w:val="21"/>
          <w:highlight w:val="none"/>
        </w:rPr>
        <w:t>因落实政府采购政策进行价格调整的，以调整后的价格计算评标基准</w:t>
      </w:r>
      <w:r>
        <w:rPr>
          <w:rFonts w:hint="eastAsia" w:ascii="宋体" w:hAnsi="宋体" w:eastAsia="宋体" w:cs="宋体"/>
          <w:color w:val="auto"/>
          <w:kern w:val="0"/>
          <w:sz w:val="21"/>
          <w:szCs w:val="21"/>
          <w:highlight w:val="none"/>
        </w:rPr>
        <w:t>价和投标报价。</w:t>
      </w:r>
    </w:p>
    <w:p w14:paraId="349DEBB7">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 xml:space="preserve">32.3 </w:t>
      </w:r>
      <w:r>
        <w:rPr>
          <w:rFonts w:hint="eastAsia" w:ascii="宋体" w:hAnsi="宋体" w:eastAsia="宋体" w:cs="宋体"/>
          <w:b/>
          <w:color w:val="auto"/>
          <w:kern w:val="0"/>
          <w:sz w:val="21"/>
          <w:szCs w:val="21"/>
          <w:highlight w:val="none"/>
        </w:rPr>
        <w:t>本次评标具体评标方法、评标标准见（第六章 资格审查与评标）</w:t>
      </w:r>
      <w:r>
        <w:rPr>
          <w:rFonts w:hint="eastAsia" w:ascii="宋体" w:hAnsi="宋体" w:eastAsia="宋体" w:cs="宋体"/>
          <w:color w:val="auto"/>
          <w:kern w:val="0"/>
          <w:sz w:val="21"/>
          <w:szCs w:val="21"/>
          <w:highlight w:val="none"/>
        </w:rPr>
        <w:t>。</w:t>
      </w:r>
    </w:p>
    <w:p w14:paraId="4DC0CEE3">
      <w:pPr>
        <w:pStyle w:val="30"/>
        <w:keepNext w:val="0"/>
        <w:keepLines w:val="0"/>
        <w:pageBreakBefore w:val="0"/>
        <w:numPr>
          <w:ilvl w:val="0"/>
          <w:numId w:val="0"/>
        </w:numPr>
        <w:kinsoku/>
        <w:overflowPunct/>
        <w:autoSpaceDE w:val="0"/>
        <w:autoSpaceDN w:val="0"/>
        <w:bidi w:val="0"/>
        <w:snapToGrid/>
        <w:spacing w:line="460" w:lineRule="exact"/>
        <w:ind w:left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rPr>
        <w:t>33.</w:t>
      </w:r>
      <w:r>
        <w:rPr>
          <w:rFonts w:hint="eastAsia" w:ascii="宋体" w:hAnsi="宋体" w:eastAsia="宋体" w:cs="宋体"/>
          <w:b/>
          <w:color w:val="auto"/>
          <w:kern w:val="0"/>
          <w:sz w:val="21"/>
          <w:szCs w:val="21"/>
          <w:highlight w:val="none"/>
        </w:rPr>
        <w:t>推荐中标候选人</w:t>
      </w:r>
    </w:p>
    <w:p w14:paraId="29290C94">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33.1采用最低评标价法的，评标结果按投标报价由低到高顺序排列。投标报价相同的并列。投标文件满足招标文件全部实质性要求且投标报价最低的投标人为排名第一的中标候选人。</w:t>
      </w:r>
    </w:p>
    <w:p w14:paraId="254CCDF7">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33.2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82E399D">
      <w:pPr>
        <w:pStyle w:val="30"/>
        <w:keepNext w:val="0"/>
        <w:keepLines w:val="0"/>
        <w:pageBreakBefore w:val="0"/>
        <w:numPr>
          <w:ilvl w:val="0"/>
          <w:numId w:val="17"/>
        </w:numPr>
        <w:kinsoku/>
        <w:overflowPunct/>
        <w:autoSpaceDE w:val="0"/>
        <w:autoSpaceDN w:val="0"/>
        <w:bidi w:val="0"/>
        <w:snapToGrid/>
        <w:spacing w:line="460" w:lineRule="exact"/>
        <w:ind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评审意见无效情形</w:t>
      </w:r>
    </w:p>
    <w:p w14:paraId="4D165982">
      <w:pPr>
        <w:pStyle w:val="30"/>
        <w:keepNext w:val="0"/>
        <w:keepLines w:val="0"/>
        <w:pageBreakBefore w:val="0"/>
        <w:numPr>
          <w:ilvl w:val="0"/>
          <w:numId w:val="0"/>
        </w:numPr>
        <w:kinsoku/>
        <w:overflowPunct/>
        <w:autoSpaceDE w:val="0"/>
        <w:autoSpaceDN w:val="0"/>
        <w:bidi w:val="0"/>
        <w:snapToGrid/>
        <w:spacing w:line="460" w:lineRule="exact"/>
        <w:ind w:left="991" w:leftChars="200" w:hanging="571" w:hangingChars="272"/>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34.1</w:t>
      </w:r>
      <w:r>
        <w:rPr>
          <w:rFonts w:hint="eastAsia" w:ascii="宋体" w:hAnsi="宋体" w:eastAsia="宋体" w:cs="宋体"/>
          <w:color w:val="auto"/>
          <w:kern w:val="0"/>
          <w:sz w:val="21"/>
          <w:szCs w:val="21"/>
          <w:highlight w:val="none"/>
        </w:rPr>
        <w:t>评标委员会及其成员有下列行为之一的，其评审意见无效：</w:t>
      </w:r>
    </w:p>
    <w:p w14:paraId="2406BAA0">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34.1.1</w:t>
      </w:r>
      <w:r>
        <w:rPr>
          <w:rFonts w:hint="eastAsia" w:ascii="宋体" w:hAnsi="宋体" w:eastAsia="宋体" w:cs="宋体"/>
          <w:color w:val="auto"/>
          <w:kern w:val="0"/>
          <w:sz w:val="21"/>
          <w:szCs w:val="21"/>
          <w:highlight w:val="none"/>
        </w:rPr>
        <w:t>确定参与评标至评标结束前私自接触投标人；</w:t>
      </w:r>
    </w:p>
    <w:p w14:paraId="6151AA7E">
      <w:pPr>
        <w:pStyle w:val="35"/>
        <w:keepNext w:val="0"/>
        <w:keepLines w:val="0"/>
        <w:pageBreakBefore w:val="0"/>
        <w:kinsoku/>
        <w:overflowPunct/>
        <w:bidi w:val="0"/>
        <w:snapToGrid/>
        <w:spacing w:line="46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34.1.2接受投标人提出的与投标文件不一致的澄清或者说明，《投标人须知》第26条规定的情形除外；</w:t>
      </w:r>
    </w:p>
    <w:p w14:paraId="2801E75C">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34.1.3</w:t>
      </w:r>
      <w:r>
        <w:rPr>
          <w:rFonts w:hint="eastAsia" w:ascii="宋体" w:hAnsi="宋体" w:eastAsia="宋体" w:cs="宋体"/>
          <w:color w:val="auto"/>
          <w:kern w:val="0"/>
          <w:sz w:val="21"/>
          <w:szCs w:val="21"/>
          <w:highlight w:val="none"/>
        </w:rPr>
        <w:t>违反评标纪律发表倾向性意见或者征询采购人的倾向性意见；</w:t>
      </w:r>
    </w:p>
    <w:p w14:paraId="737AA6FE">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34.1.4</w:t>
      </w:r>
      <w:r>
        <w:rPr>
          <w:rFonts w:hint="eastAsia" w:ascii="宋体" w:hAnsi="宋体" w:eastAsia="宋体" w:cs="宋体"/>
          <w:color w:val="auto"/>
          <w:kern w:val="0"/>
          <w:sz w:val="21"/>
          <w:szCs w:val="21"/>
          <w:highlight w:val="none"/>
        </w:rPr>
        <w:t>对需要专业判断的主观评审因素协商评分；</w:t>
      </w:r>
    </w:p>
    <w:p w14:paraId="226EE13F">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34.1.5</w:t>
      </w:r>
      <w:r>
        <w:rPr>
          <w:rFonts w:hint="eastAsia" w:ascii="宋体" w:hAnsi="宋体" w:eastAsia="宋体" w:cs="宋体"/>
          <w:color w:val="auto"/>
          <w:kern w:val="0"/>
          <w:sz w:val="21"/>
          <w:szCs w:val="21"/>
          <w:highlight w:val="none"/>
        </w:rPr>
        <w:t>在评标过程中擅离职守，影响评标程序正常进行的；</w:t>
      </w:r>
    </w:p>
    <w:p w14:paraId="2723C3D3">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34.1.6</w:t>
      </w:r>
      <w:r>
        <w:rPr>
          <w:rFonts w:hint="eastAsia" w:ascii="宋体" w:hAnsi="宋体" w:eastAsia="宋体" w:cs="宋体"/>
          <w:color w:val="auto"/>
          <w:kern w:val="0"/>
          <w:sz w:val="21"/>
          <w:szCs w:val="21"/>
          <w:highlight w:val="none"/>
        </w:rPr>
        <w:t>记录、复制或者带走任何评标资料；</w:t>
      </w:r>
    </w:p>
    <w:p w14:paraId="494454C7">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SA"/>
        </w:rPr>
        <w:t>34.1.7</w:t>
      </w:r>
      <w:r>
        <w:rPr>
          <w:rFonts w:hint="eastAsia" w:ascii="宋体" w:hAnsi="宋体" w:eastAsia="宋体" w:cs="宋体"/>
          <w:color w:val="auto"/>
          <w:kern w:val="0"/>
          <w:sz w:val="21"/>
          <w:szCs w:val="21"/>
          <w:highlight w:val="none"/>
        </w:rPr>
        <w:t>其他不遵守评标纪律的行为。</w:t>
      </w:r>
    </w:p>
    <w:p w14:paraId="708A14F6">
      <w:pPr>
        <w:pStyle w:val="30"/>
        <w:keepNext w:val="0"/>
        <w:keepLines w:val="0"/>
        <w:pageBreakBefore w:val="0"/>
        <w:numPr>
          <w:ilvl w:val="0"/>
          <w:numId w:val="17"/>
        </w:numPr>
        <w:kinsoku/>
        <w:overflowPunct/>
        <w:autoSpaceDE w:val="0"/>
        <w:autoSpaceDN w:val="0"/>
        <w:bidi w:val="0"/>
        <w:snapToGrid/>
        <w:spacing w:line="460" w:lineRule="exact"/>
        <w:ind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保密</w:t>
      </w:r>
    </w:p>
    <w:p w14:paraId="1755F12B">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35.1</w:t>
      </w:r>
      <w:r>
        <w:rPr>
          <w:rFonts w:hint="eastAsia" w:ascii="宋体" w:hAnsi="宋体" w:eastAsia="宋体" w:cs="宋体"/>
          <w:color w:val="auto"/>
          <w:kern w:val="0"/>
          <w:sz w:val="21"/>
          <w:szCs w:val="21"/>
          <w:highlight w:val="none"/>
        </w:rPr>
        <w:t>评审专家应当遵守评审工作纪律，不得泄露评审文件、评审情况和评审中获悉的商业秘密。</w:t>
      </w:r>
    </w:p>
    <w:p w14:paraId="3D54DD80">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color w:val="auto"/>
          <w:kern w:val="0"/>
          <w:sz w:val="21"/>
          <w:szCs w:val="21"/>
          <w:highlight w:val="none"/>
        </w:rPr>
        <w:t>35.2采购人、采购代理机构应当采取必要措施，保证评标在严格保密的情况下进行。有关人员对评标情况以及在评标过程中获悉的国家秘密、商业秘密负有保密责任。</w:t>
      </w:r>
    </w:p>
    <w:p w14:paraId="4F0BCF8A">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六、定标和授予合同</w:t>
      </w:r>
    </w:p>
    <w:p w14:paraId="1D6A858C">
      <w:pPr>
        <w:pStyle w:val="30"/>
        <w:keepNext w:val="0"/>
        <w:keepLines w:val="0"/>
        <w:pageBreakBefore w:val="0"/>
        <w:numPr>
          <w:ilvl w:val="0"/>
          <w:numId w:val="17"/>
        </w:numPr>
        <w:kinsoku/>
        <w:overflowPunct/>
        <w:autoSpaceDE w:val="0"/>
        <w:autoSpaceDN w:val="0"/>
        <w:bidi w:val="0"/>
        <w:snapToGrid/>
        <w:spacing w:line="460" w:lineRule="exact"/>
        <w:ind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确定中标人</w:t>
      </w:r>
    </w:p>
    <w:p w14:paraId="795C8EE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36.1</w:t>
      </w:r>
      <w:r>
        <w:rPr>
          <w:rFonts w:hint="eastAsia" w:ascii="宋体" w:hAnsi="宋体" w:eastAsia="宋体" w:cs="宋体"/>
          <w:color w:val="auto"/>
          <w:kern w:val="0"/>
          <w:sz w:val="21"/>
          <w:szCs w:val="21"/>
          <w:highlight w:val="none"/>
        </w:rPr>
        <w:t>采购人应当自收到评标报告之日起1个工作日内，在评标报告确定的中标候选人名单中按顺序确定中标人（核验中标供应商由《禹州市政府采购供应商信用承诺函》替代的证明材料）。中标候选人并列的，由采购人采取随机抽取的方式确定。</w:t>
      </w:r>
    </w:p>
    <w:p w14:paraId="2B8741D4">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36.2</w:t>
      </w:r>
      <w:r>
        <w:rPr>
          <w:rFonts w:hint="eastAsia" w:ascii="宋体" w:hAnsi="宋体" w:eastAsia="宋体" w:cs="宋体"/>
          <w:color w:val="auto"/>
          <w:kern w:val="0"/>
          <w:sz w:val="21"/>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59E89E90">
      <w:pPr>
        <w:pStyle w:val="30"/>
        <w:keepNext w:val="0"/>
        <w:keepLines w:val="0"/>
        <w:pageBreakBefore w:val="0"/>
        <w:numPr>
          <w:ilvl w:val="0"/>
          <w:numId w:val="17"/>
        </w:numPr>
        <w:kinsoku/>
        <w:overflowPunct/>
        <w:autoSpaceDE w:val="0"/>
        <w:autoSpaceDN w:val="0"/>
        <w:bidi w:val="0"/>
        <w:snapToGrid/>
        <w:spacing w:line="460" w:lineRule="exact"/>
        <w:ind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中标公告、发出中标通知书</w:t>
      </w:r>
    </w:p>
    <w:p w14:paraId="1580DC7F">
      <w:pPr>
        <w:pStyle w:val="30"/>
        <w:keepNext w:val="0"/>
        <w:keepLines w:val="0"/>
        <w:pageBreakBefore w:val="0"/>
        <w:numPr>
          <w:ilvl w:val="0"/>
          <w:numId w:val="0"/>
        </w:numPr>
        <w:kinsoku/>
        <w:overflowPunct/>
        <w:autoSpaceDE w:val="0"/>
        <w:autoSpaceDN w:val="0"/>
        <w:bidi w:val="0"/>
        <w:snapToGrid/>
        <w:spacing w:line="460" w:lineRule="exact"/>
        <w:ind w:left="840" w:leftChars="200" w:hanging="420" w:hangingChars="200"/>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37.1采购人确认中标人后公告中标结果的同时，向中标人发出中标通知书。</w:t>
      </w:r>
    </w:p>
    <w:p w14:paraId="42382EB6">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37.2中标通知书发出后，采购人不得违法改变中标结果，中标人无正当理由不得放弃中标。</w:t>
      </w:r>
    </w:p>
    <w:p w14:paraId="179F8806">
      <w:pPr>
        <w:pStyle w:val="30"/>
        <w:keepNext w:val="0"/>
        <w:keepLines w:val="0"/>
        <w:pageBreakBefore w:val="0"/>
        <w:numPr>
          <w:ilvl w:val="0"/>
          <w:numId w:val="17"/>
        </w:numPr>
        <w:kinsoku/>
        <w:overflowPunct/>
        <w:autoSpaceDE w:val="0"/>
        <w:autoSpaceDN w:val="0"/>
        <w:bidi w:val="0"/>
        <w:snapToGrid/>
        <w:spacing w:line="460" w:lineRule="exact"/>
        <w:ind w:firstLineChars="0"/>
        <w:contextualSpacing/>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质疑提出与答复</w:t>
      </w:r>
    </w:p>
    <w:p w14:paraId="0BDDF6AF">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38.1供应商认为采购文件、采购过程和中标结果使自己的权益受到损害的，可以按照《政府采购质疑和投诉办法》（财政部令第94号）质疑。提出质疑的供应商应当是参与本项目采购活动的供应商。提出时应按照《政府采购质疑和投诉办法》（财政部令第94号）第十二条规定提交质疑函和必要的证明材料，质疑提出后潜在投标人应及时联系招标公告中代理机构联系人查看。如未提出视为全面接受。</w:t>
      </w:r>
    </w:p>
    <w:p w14:paraId="77E308C1">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38.1.1对采购文件提出质疑的，潜在投标人应已依法获取采购文件，且应当在获取采购文件或者采购文件公告期限届满之日起7个工作日内使用CA数字证书或CA移动数字证书登录 《全国公共资源交易平台（河南省·许昌市）》（https://ggzy.xuchang.gov.cn/），通过许昌市公共资源电子交易系统一次性提出，逾期提交或未按照要求提交的质疑函将不予受理。质疑提出后潜在投标人应及时联系招标公告中代理机构联系人查看。</w:t>
      </w:r>
    </w:p>
    <w:p w14:paraId="56FD888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38.1.2对采购过程提出质疑的，为各采购程序环节结束之日起七个工作日内，投标人使 用CA数字证书或CA移动数字证书登录《全国公共资源交易平台（河南省·许昌市）》 （https://ggzy.xuchang.gov.cn/），通过许昌市公共资源电子交易系统一次性提出，逾期提交或未按照要求提交的质疑函将不予受理。质疑提出后投标人应及时联系招标公告中代理机构联系人查看。</w:t>
      </w:r>
    </w:p>
    <w:p w14:paraId="70AD0CBB">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38.1.3对中标结果提出质疑的，为中标结果公告期限届满之日起七个工作日内，投标人使用CA数字证书或CA移动数字证书登录《全国公共资源交易平台（河南省·许昌市）》（https://ggzy.xuchang.gov.cn/），通过许昌市公共资源电子交易系统 一次性提出，逾期提交或未按照要求提交的质疑函将不予受理。质疑提出后投标 人应及时联系招标公告中代理机构联系人查看。</w:t>
      </w:r>
    </w:p>
    <w:p w14:paraId="6467752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38.2采购人、采购代理机构认为供应商质疑不成立，或者成立但未对中标结果构成影响的，在收到质疑函7个工作日内通过《全国公共资源交易平台（河南省·许昌市）》交易系统作出答复，并继续开展采购活动；认为供应商质疑成立且影响或者可能影响中标结果的，在收到质疑函7个工作日内通过《全国公共资源交易平台（河南省·许昌市）》交易系统作出答复，并按照下列情况处理。</w:t>
      </w:r>
    </w:p>
    <w:p w14:paraId="01E4642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38.2.1对采购文件提出的质疑，依法通过澄清或者修改可以继续开展采购活动的，澄清或者修改采购文件后继续开展采购活动；否则应当修改采购文件后重新开展采购活动。</w:t>
      </w:r>
    </w:p>
    <w:p w14:paraId="6A0D2B2D">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38.2.2对采购过程、中标结果提出的质疑，合格供应商符合法定数量时，可以从合格的中标候选人中另行确定中标供应商的，应当依法另行确定中标供应商；否则应当重新开展采购活动。</w:t>
      </w:r>
    </w:p>
    <w:p w14:paraId="600AD887">
      <w:pPr>
        <w:keepNext w:val="0"/>
        <w:keepLines w:val="0"/>
        <w:pageBreakBefore w:val="0"/>
        <w:widowControl/>
        <w:suppressLineNumbers w:val="0"/>
        <w:kinsoku/>
        <w:overflowPunct/>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39. 投诉 </w:t>
      </w:r>
    </w:p>
    <w:p w14:paraId="2D074F9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39.1若对质疑答复不满意或质疑答复未在答复期限内作出，质疑供应商可在答复期满后15个工作日内按照《政府采购质疑和投诉办法》的有关规定向招标文件第一章载明的本项目监督管理部门提起投诉。 </w:t>
      </w:r>
    </w:p>
    <w:p w14:paraId="775A7463">
      <w:pPr>
        <w:keepNext w:val="0"/>
        <w:keepLines w:val="0"/>
        <w:pageBreakBefore w:val="0"/>
        <w:widowControl/>
        <w:suppressLineNumbers w:val="0"/>
        <w:kinsoku/>
        <w:overflowPunct/>
        <w:bidi w:val="0"/>
        <w:snapToGrid/>
        <w:spacing w:line="46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39.2投诉应有明确的请求和必要的证明材料，投诉的事项不得超出已质疑事项的范围。</w:t>
      </w:r>
    </w:p>
    <w:p w14:paraId="4F4B6F58">
      <w:pPr>
        <w:keepNext w:val="0"/>
        <w:keepLines w:val="0"/>
        <w:pageBreakBefore w:val="0"/>
        <w:kinsoku/>
        <w:overflowPunct/>
        <w:autoSpaceDE w:val="0"/>
        <w:autoSpaceDN w:val="0"/>
        <w:bidi w:val="0"/>
        <w:snapToGrid/>
        <w:spacing w:line="460" w:lineRule="exact"/>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bidi="ar-SA"/>
        </w:rPr>
        <w:t xml:space="preserve">40. </w:t>
      </w:r>
      <w:r>
        <w:rPr>
          <w:rFonts w:hint="eastAsia" w:ascii="宋体" w:hAnsi="宋体" w:eastAsia="宋体" w:cs="宋体"/>
          <w:b/>
          <w:color w:val="auto"/>
          <w:kern w:val="0"/>
          <w:sz w:val="21"/>
          <w:szCs w:val="21"/>
          <w:highlight w:val="none"/>
        </w:rPr>
        <w:t>签订合同与备案</w:t>
      </w:r>
    </w:p>
    <w:p w14:paraId="39ADD95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采购人应当自中标通知书发出之日起15日内，按照招标文件和中标人投标文件的规定，与中标人签订书面合同。所签订的合同不得对招标文件确定的事项和中标人投标文件作实质性修改。</w:t>
      </w:r>
    </w:p>
    <w:p w14:paraId="4466BAE1">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采购人自采购合同签订之日起2个工作日内，到禹州市政府采购监督管理办公室进行合同备案，并登录“河南省政府采购网”进行网上备案。</w:t>
      </w:r>
    </w:p>
    <w:p w14:paraId="387B5AE8">
      <w:pPr>
        <w:keepNext w:val="0"/>
        <w:keepLines w:val="0"/>
        <w:pageBreakBefore w:val="0"/>
        <w:kinsoku/>
        <w:overflowPunct/>
        <w:autoSpaceDE w:val="0"/>
        <w:autoSpaceDN w:val="0"/>
        <w:bidi w:val="0"/>
        <w:snapToGrid/>
        <w:spacing w:line="460" w:lineRule="exact"/>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rPr>
        <w:t>41.</w:t>
      </w:r>
      <w:r>
        <w:rPr>
          <w:rFonts w:hint="eastAsia" w:ascii="宋体" w:hAnsi="宋体" w:eastAsia="宋体" w:cs="宋体"/>
          <w:b/>
          <w:color w:val="auto"/>
          <w:kern w:val="0"/>
          <w:sz w:val="21"/>
          <w:szCs w:val="21"/>
          <w:highlight w:val="none"/>
        </w:rPr>
        <w:t>履约保证金</w:t>
      </w:r>
    </w:p>
    <w:p w14:paraId="398F7DFD">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“投标人须知前附表”中规定中标人提交履约保证金的，中标人应当以支票、汇票、本票或者金融机构、担保机构出具的保函等非现金形式向采购人提交。履约保证金的数额不得超过政府采购合同金额的10%。</w:t>
      </w:r>
    </w:p>
    <w:p w14:paraId="3734034A">
      <w:pPr>
        <w:pStyle w:val="30"/>
        <w:keepNext w:val="0"/>
        <w:keepLines w:val="0"/>
        <w:pageBreakBefore w:val="0"/>
        <w:numPr>
          <w:ilvl w:val="0"/>
          <w:numId w:val="0"/>
        </w:numPr>
        <w:kinsoku/>
        <w:overflowPunct/>
        <w:autoSpaceDE w:val="0"/>
        <w:autoSpaceDN w:val="0"/>
        <w:bidi w:val="0"/>
        <w:snapToGrid/>
        <w:spacing w:line="460" w:lineRule="exact"/>
        <w:ind w:leftChars="0"/>
        <w:contextualSpacing/>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lang w:val="en-US" w:eastAsia="zh-CN"/>
        </w:rPr>
        <w:t>42.</w:t>
      </w:r>
      <w:r>
        <w:rPr>
          <w:rFonts w:hint="eastAsia" w:ascii="宋体" w:hAnsi="宋体" w:eastAsia="宋体" w:cs="宋体"/>
          <w:b/>
          <w:color w:val="auto"/>
          <w:kern w:val="0"/>
          <w:sz w:val="21"/>
          <w:szCs w:val="21"/>
          <w:highlight w:val="none"/>
        </w:rPr>
        <w:t>政府采购合同融资</w:t>
      </w:r>
    </w:p>
    <w:p w14:paraId="627D7670">
      <w:pPr>
        <w:pStyle w:val="30"/>
        <w:keepNext w:val="0"/>
        <w:keepLines w:val="0"/>
        <w:pageBreakBefore w:val="0"/>
        <w:numPr>
          <w:ilvl w:val="0"/>
          <w:numId w:val="0"/>
        </w:numPr>
        <w:kinsoku/>
        <w:wordWrap w:val="0"/>
        <w:overflowPunct/>
        <w:topLinePunct/>
        <w:autoSpaceDE w:val="0"/>
        <w:autoSpaceDN w:val="0"/>
        <w:bidi w:val="0"/>
        <w:adjustRightInd w:val="0"/>
        <w:snapToGrid/>
        <w:spacing w:line="460" w:lineRule="exact"/>
        <w:ind w:leftChars="0" w:firstLine="420" w:firstLineChars="200"/>
        <w:contextualSpacing/>
        <w:textAlignment w:val="auto"/>
        <w:outlineLvl w:val="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42.1</w:t>
      </w:r>
      <w:r>
        <w:rPr>
          <w:rFonts w:hint="eastAsia" w:ascii="宋体" w:hAnsi="宋体" w:eastAsia="宋体" w:cs="宋体"/>
          <w:color w:val="auto"/>
          <w:kern w:val="0"/>
          <w:sz w:val="21"/>
          <w:szCs w:val="21"/>
          <w:highlight w:val="none"/>
        </w:rPr>
        <w:t>缓解中小企业融资难题</w:t>
      </w:r>
    </w:p>
    <w:p w14:paraId="09D16031">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650FC8EA">
      <w:pPr>
        <w:keepNext w:val="0"/>
        <w:keepLines w:val="0"/>
        <w:pageBreakBefore w:val="0"/>
        <w:kinsoku/>
        <w:overflowPunct/>
        <w:autoSpaceDE w:val="0"/>
        <w:autoSpaceDN w:val="0"/>
        <w:bidi w:val="0"/>
        <w:snapToGrid/>
        <w:spacing w:line="460" w:lineRule="exact"/>
        <w:ind w:firstLine="420" w:firstLineChars="200"/>
        <w:contextualSpacing/>
        <w:jc w:val="left"/>
        <w:textAlignment w:val="auto"/>
        <w:outlineLvl w:val="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42</w:t>
      </w:r>
      <w:r>
        <w:rPr>
          <w:rFonts w:hint="eastAsia" w:ascii="宋体" w:hAnsi="宋体" w:eastAsia="宋体" w:cs="宋体"/>
          <w:color w:val="auto"/>
          <w:kern w:val="0"/>
          <w:sz w:val="21"/>
          <w:szCs w:val="21"/>
          <w:highlight w:val="none"/>
        </w:rPr>
        <w:t>.2合作金融机构（排名不分先后）</w:t>
      </w:r>
    </w:p>
    <w:p w14:paraId="6D0CB88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1）合作金融机构名称：中原银行许昌分行（小微金融部）</w:t>
      </w:r>
    </w:p>
    <w:p w14:paraId="760E942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联系人及电话：陈阳 13137407575   方金龙  15836539901</w:t>
      </w:r>
    </w:p>
    <w:p w14:paraId="5FAEC6F3">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地址：许昌市建安大道与紫云路交汇处中原银行</w:t>
      </w:r>
    </w:p>
    <w:p w14:paraId="1449EE4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2）合作金融机构名称：浦发银行许昌分行</w:t>
      </w:r>
    </w:p>
    <w:p w14:paraId="00DCBA2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联系人及电话：赵勇  0374-7313569、7313502 18937459920</w:t>
      </w:r>
    </w:p>
    <w:p w14:paraId="342EE7A4">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地址：许昌市许继大道1163号许继花园</w:t>
      </w:r>
    </w:p>
    <w:p w14:paraId="51EBF63B">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3）合作金融机构名称：交通银行许昌分行</w:t>
      </w:r>
    </w:p>
    <w:p w14:paraId="66E5EE3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联系人：宋纪刚  0374-2369912  13733951305</w:t>
      </w:r>
    </w:p>
    <w:p w14:paraId="07145FB4">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地址：许昌市莲城大道114号</w:t>
      </w:r>
    </w:p>
    <w:p w14:paraId="49DCCBB2">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4）合作金融机构名称：光大银行许昌分行</w:t>
      </w:r>
    </w:p>
    <w:p w14:paraId="4425589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联系人：李东磊  0374-2928168 18569936868</w:t>
      </w:r>
    </w:p>
    <w:p w14:paraId="3E745BA5">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地址：许昌市魏都区八一</w:t>
      </w:r>
      <w:r>
        <w:rPr>
          <w:rFonts w:hint="eastAsia" w:ascii="宋体" w:hAnsi="宋体" w:eastAsia="宋体" w:cs="宋体"/>
          <w:color w:val="auto"/>
          <w:kern w:val="0"/>
          <w:sz w:val="21"/>
          <w:szCs w:val="21"/>
          <w:highlight w:val="none"/>
          <w:lang w:eastAsia="zh-CN"/>
        </w:rPr>
        <w:t>路与</w:t>
      </w:r>
      <w:r>
        <w:rPr>
          <w:rFonts w:hint="eastAsia" w:ascii="宋体" w:hAnsi="宋体" w:eastAsia="宋体" w:cs="宋体"/>
          <w:color w:val="auto"/>
          <w:kern w:val="0"/>
          <w:sz w:val="21"/>
          <w:szCs w:val="21"/>
          <w:highlight w:val="none"/>
        </w:rPr>
        <w:t>文峰路交叉口西北角</w:t>
      </w:r>
    </w:p>
    <w:p w14:paraId="17627F5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5）合作金融机构名称：招商银行许昌分行</w:t>
      </w:r>
    </w:p>
    <w:p w14:paraId="59F28F36">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联系人及电话：崔星迪  0374-5376058  18839983051</w:t>
      </w:r>
    </w:p>
    <w:p w14:paraId="129ADCED">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地址：许昌市建安大道中段新天下AB座</w:t>
      </w:r>
    </w:p>
    <w:p w14:paraId="0EBADB5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6）合作金融机构名称：邮储银行许昌市分行</w:t>
      </w:r>
    </w:p>
    <w:p w14:paraId="793BAE3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联系人及电话：张彦峰13839001972 武松涛18839902679</w:t>
      </w:r>
    </w:p>
    <w:p w14:paraId="3C19518D">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徐亚爽15038297574</w:t>
      </w:r>
    </w:p>
    <w:p w14:paraId="1A3FD695">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地址：许昌市莲城大道邮储银行莲城支行二楼</w:t>
      </w:r>
    </w:p>
    <w:p w14:paraId="35C4E2C9">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7）合作金融机构名称：中国银行许昌分行</w:t>
      </w:r>
    </w:p>
    <w:p w14:paraId="407C60F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联系人及电话：白炜 13938772680   刘晓飞  0374-3338596</w:t>
      </w:r>
    </w:p>
    <w:p w14:paraId="19EBD67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地址：许昌市魏都区建设路1488号</w:t>
      </w:r>
    </w:p>
    <w:p w14:paraId="27FBB5AA">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8）合作金融机构名称：中信银行郑州红专路支行</w:t>
      </w:r>
    </w:p>
    <w:p w14:paraId="2F8840DB">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联系人：韩晨  13253490679</w:t>
      </w:r>
    </w:p>
    <w:p w14:paraId="1DCE5006">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地址：郑州市金水区经三路北26号中信银行郑州红专路支行</w:t>
      </w:r>
    </w:p>
    <w:p w14:paraId="0510FAA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9）合作金融机构名称：郑州银行许昌分行 </w:t>
      </w:r>
    </w:p>
    <w:p w14:paraId="7D3FB8B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联系人：王晶 0374-2298011 18339062222 </w:t>
      </w:r>
    </w:p>
    <w:p w14:paraId="111B618C">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地址：河南省许昌市魏都区莲城大道与魏文路交叉口西南角亨通君成国际大厦 </w:t>
      </w:r>
    </w:p>
    <w:p w14:paraId="22A973C6">
      <w:pPr>
        <w:keepNext w:val="0"/>
        <w:keepLines w:val="0"/>
        <w:pageBreakBefore w:val="0"/>
        <w:numPr>
          <w:ilvl w:val="0"/>
          <w:numId w:val="0"/>
        </w:numPr>
        <w:kinsoku/>
        <w:wordWrap w:val="0"/>
        <w:overflowPunct/>
        <w:topLinePunct/>
        <w:autoSpaceDE w:val="0"/>
        <w:autoSpaceDN w:val="0"/>
        <w:bidi w:val="0"/>
        <w:adjustRightInd w:val="0"/>
        <w:snapToGrid/>
        <w:spacing w:line="460" w:lineRule="exact"/>
        <w:ind w:leftChars="0" w:firstLine="420" w:firstLineChars="200"/>
        <w:contextualSpacing/>
        <w:textAlignment w:val="auto"/>
        <w:outlineLvl w:val="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42.3</w:t>
      </w:r>
      <w:r>
        <w:rPr>
          <w:rFonts w:hint="eastAsia" w:ascii="宋体" w:hAnsi="宋体" w:eastAsia="宋体" w:cs="宋体"/>
          <w:color w:val="auto"/>
          <w:kern w:val="0"/>
          <w:sz w:val="21"/>
          <w:szCs w:val="21"/>
          <w:highlight w:val="none"/>
        </w:rPr>
        <w:t xml:space="preserve"> “政府采购合同融资金融产品推介名录”链接</w:t>
      </w:r>
    </w:p>
    <w:p w14:paraId="0AEF08B6">
      <w:pPr>
        <w:keepNext w:val="0"/>
        <w:keepLines w:val="0"/>
        <w:pageBreakBefore w:val="0"/>
        <w:widowControl/>
        <w:suppressLineNumbers w:val="0"/>
        <w:kinsoku/>
        <w:overflowPunct/>
        <w:bidi w:val="0"/>
        <w:snapToGrid/>
        <w:spacing w:line="4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http://ccgp-henan.gov.cn/xuchang/content?infoId=1606365368231095</w:t>
      </w:r>
    </w:p>
    <w:p w14:paraId="57FD0413">
      <w:pPr>
        <w:autoSpaceDE w:val="0"/>
        <w:autoSpaceDN w:val="0"/>
        <w:spacing w:line="360" w:lineRule="auto"/>
        <w:contextualSpacing/>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w:t>
      </w:r>
      <w:r>
        <w:rPr>
          <w:rFonts w:hint="eastAsia" w:ascii="宋体" w:hAnsi="宋体" w:eastAsia="宋体" w:cs="宋体"/>
          <w:b/>
          <w:color w:val="auto"/>
          <w:szCs w:val="21"/>
          <w:highlight w:val="none"/>
        </w:rPr>
        <w:t>3</w:t>
      </w:r>
      <w:r>
        <w:rPr>
          <w:rFonts w:hint="eastAsia" w:ascii="宋体" w:hAnsi="宋体" w:eastAsia="宋体" w:cs="宋体"/>
          <w:b/>
          <w:color w:val="auto"/>
          <w:szCs w:val="21"/>
          <w:highlight w:val="none"/>
        </w:rPr>
        <w:t xml:space="preserve">. </w:t>
      </w:r>
      <w:r>
        <w:rPr>
          <w:rFonts w:hint="eastAsia" w:ascii="宋体" w:hAnsi="宋体" w:eastAsia="宋体" w:cs="宋体"/>
          <w:b/>
          <w:color w:val="auto"/>
          <w:szCs w:val="21"/>
          <w:highlight w:val="none"/>
        </w:rPr>
        <w:t>其他</w:t>
      </w:r>
    </w:p>
    <w:p w14:paraId="313B33CD">
      <w:pPr>
        <w:tabs>
          <w:tab w:val="left" w:pos="1260"/>
        </w:tabs>
        <w:autoSpaceDE w:val="0"/>
        <w:autoSpaceDN w:val="0"/>
        <w:spacing w:line="360" w:lineRule="auto"/>
        <w:ind w:firstLine="420" w:firstLineChars="200"/>
        <w:contextualSpacing/>
        <w:jc w:val="left"/>
        <w:rPr>
          <w:rFonts w:hint="eastAsia" w:ascii="宋体" w:hAnsi="宋体" w:eastAsia="宋体" w:cs="宋体"/>
          <w:b/>
          <w:color w:val="auto"/>
          <w:kern w:val="0"/>
          <w:sz w:val="32"/>
          <w:szCs w:val="32"/>
        </w:rPr>
      </w:pPr>
      <w:r>
        <w:rPr>
          <w:rFonts w:hint="eastAsia" w:ascii="宋体" w:hAnsi="宋体" w:eastAsia="宋体" w:cs="宋体"/>
          <w:color w:val="auto"/>
          <w:kern w:val="0"/>
          <w:szCs w:val="21"/>
          <w:highlight w:val="none"/>
        </w:rPr>
        <w:t>本次招标文件未尽事项，以法律法规规定的为准。</w:t>
      </w:r>
    </w:p>
    <w:p w14:paraId="6280F390">
      <w:pPr>
        <w:autoSpaceDE w:val="0"/>
        <w:autoSpaceDN w:val="0"/>
        <w:spacing w:line="360" w:lineRule="auto"/>
        <w:contextualSpacing/>
        <w:jc w:val="center"/>
        <w:rPr>
          <w:rFonts w:hint="eastAsia" w:ascii="宋体" w:hAnsi="宋体" w:eastAsia="宋体" w:cs="宋体"/>
          <w:b/>
          <w:color w:val="auto"/>
          <w:kern w:val="0"/>
          <w:sz w:val="30"/>
          <w:szCs w:val="30"/>
        </w:rPr>
      </w:pPr>
    </w:p>
    <w:p w14:paraId="2B89D265">
      <w:pPr>
        <w:autoSpaceDE w:val="0"/>
        <w:autoSpaceDN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第五章 政府采购政策功能</w:t>
      </w:r>
    </w:p>
    <w:p w14:paraId="2B89D266">
      <w:pPr>
        <w:pStyle w:val="9"/>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2B89D267">
      <w:pPr>
        <w:pStyle w:val="9"/>
        <w:keepNext w:val="0"/>
        <w:keepLines w:val="0"/>
        <w:pageBreakBefore w:val="0"/>
        <w:widowControl w:val="0"/>
        <w:kinsoku/>
        <w:wordWrap/>
        <w:overflowPunct/>
        <w:autoSpaceDE/>
        <w:autoSpaceDN/>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一、节约能源、保护环境</w:t>
      </w:r>
    </w:p>
    <w:p w14:paraId="2B89D268">
      <w:pPr>
        <w:pStyle w:val="9"/>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按照《财政部、发展改革委、生态环境部、市场监管总局关于调整优化节能产品、环境标志产品政府采购执行机制的通知》（财库〔2019〕9号）和</w:t>
      </w:r>
      <w:r>
        <w:rPr>
          <w:rFonts w:hint="eastAsia" w:ascii="宋体" w:hAnsi="宋体" w:eastAsia="宋体" w:cs="宋体"/>
          <w:color w:val="auto"/>
          <w:sz w:val="21"/>
          <w:szCs w:val="21"/>
        </w:rPr>
        <w:t>财政部、生态环境部</w:t>
      </w:r>
      <w:r>
        <w:rPr>
          <w:rFonts w:hint="eastAsia" w:ascii="宋体" w:hAnsi="宋体" w:eastAsia="宋体" w:cs="宋体"/>
          <w:color w:val="auto"/>
          <w:sz w:val="21"/>
          <w:szCs w:val="21"/>
          <w:lang w:val="zh-CN"/>
        </w:rPr>
        <w:t>《关于印发环境标志产品政府采购品目清单的通知》</w:t>
      </w:r>
      <w:r>
        <w:rPr>
          <w:rFonts w:hint="eastAsia" w:ascii="宋体" w:hAnsi="宋体" w:eastAsia="宋体" w:cs="宋体"/>
          <w:color w:val="auto"/>
          <w:sz w:val="21"/>
          <w:szCs w:val="21"/>
        </w:rPr>
        <w:t>（财库〔2019〕18号）以及</w:t>
      </w:r>
      <w:r>
        <w:rPr>
          <w:rFonts w:hint="eastAsia" w:ascii="宋体" w:hAnsi="宋体" w:eastAsia="宋体" w:cs="宋体"/>
          <w:color w:val="auto"/>
          <w:sz w:val="21"/>
          <w:szCs w:val="21"/>
          <w:lang w:val="zh-CN"/>
        </w:rPr>
        <w:t>财政部、发展改革委</w:t>
      </w:r>
      <w:r>
        <w:rPr>
          <w:rFonts w:hint="eastAsia" w:ascii="宋体" w:hAnsi="宋体" w:eastAsia="宋体" w:cs="宋体"/>
          <w:color w:val="auto"/>
          <w:sz w:val="21"/>
          <w:szCs w:val="21"/>
        </w:rPr>
        <w:t>《关于印发节能产品政府采购品目清单的通知》（财库〔2019〕19号）</w:t>
      </w:r>
      <w:r>
        <w:rPr>
          <w:rFonts w:hint="eastAsia" w:ascii="宋体" w:hAnsi="宋体" w:eastAsia="宋体" w:cs="宋体"/>
          <w:color w:val="auto"/>
          <w:sz w:val="21"/>
          <w:szCs w:val="21"/>
          <w:lang w:val="zh-CN"/>
        </w:rPr>
        <w:t>，</w:t>
      </w:r>
      <w:r>
        <w:rPr>
          <w:rFonts w:hint="eastAsia" w:ascii="宋体" w:hAnsi="宋体" w:eastAsia="宋体" w:cs="宋体"/>
          <w:color w:val="auto"/>
          <w:sz w:val="21"/>
          <w:szCs w:val="21"/>
        </w:rPr>
        <w:t>采购政府强</w:t>
      </w:r>
      <w:r>
        <w:rPr>
          <w:rFonts w:hint="eastAsia" w:ascii="宋体" w:hAnsi="宋体" w:eastAsia="宋体" w:cs="宋体"/>
          <w:color w:val="auto"/>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2B89D269">
      <w:pPr>
        <w:pStyle w:val="9"/>
        <w:keepNext w:val="0"/>
        <w:keepLines w:val="0"/>
        <w:pageBreakBefore w:val="0"/>
        <w:widowControl w:val="0"/>
        <w:kinsoku/>
        <w:wordWrap/>
        <w:overflowPunct/>
        <w:autoSpaceDE/>
        <w:autoSpaceDN/>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二、促进中小企业发展（不含民办非企业）</w:t>
      </w:r>
    </w:p>
    <w:p w14:paraId="1FDDA1BE">
      <w:pPr>
        <w:topLinePunct/>
        <w:spacing w:line="360" w:lineRule="auto"/>
        <w:ind w:firstLine="420" w:firstLineChars="200"/>
        <w:contextualSpacing/>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（一）</w:t>
      </w:r>
      <w:r>
        <w:rPr>
          <w:rFonts w:hint="eastAsia" w:ascii="宋体" w:hAnsi="宋体" w:eastAsia="宋体" w:cs="宋体"/>
          <w:color w:val="auto"/>
          <w:szCs w:val="21"/>
          <w:highlight w:val="none"/>
          <w:lang w:val="en-US" w:eastAsia="zh-CN"/>
        </w:rPr>
        <w:t>专门面向中小微企业采购（本项目第二标段专门面向小微企业采购，不再享受相关中小企业扶持政策。）</w:t>
      </w:r>
    </w:p>
    <w:p w14:paraId="737DF033">
      <w:pPr>
        <w:shd w:val="clear"/>
        <w:topLinePunct/>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highlight w:val="none"/>
        </w:rPr>
        <w:t>（二）非</w:t>
      </w:r>
      <w:r>
        <w:rPr>
          <w:rFonts w:hint="eastAsia" w:ascii="宋体" w:hAnsi="宋体" w:eastAsia="宋体" w:cs="宋体"/>
          <w:color w:val="auto"/>
          <w:szCs w:val="21"/>
          <w:highlight w:val="none"/>
          <w:lang w:val="zh-CN"/>
        </w:rPr>
        <w:t>专门面向中小企业预留采购份额</w:t>
      </w:r>
    </w:p>
    <w:p w14:paraId="40CDE547">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本项目如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32206F26">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2.在货物采购项目中，供应商提供的货物既有中小企业制造货物，也有大型企业制造货物的，不享受《政府采购促进中小企业发展管理办法》（财库〔2020〕46号）规定的中小企业扶持政策。</w:t>
      </w:r>
    </w:p>
    <w:p w14:paraId="7A72D691">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3.以联合体形式参加政府采购活动，联合体各方均为中小企业的，联合体视同中小企业。其中，联合体各方均为小微企业的，联合体视同小微企业。</w:t>
      </w:r>
    </w:p>
    <w:p w14:paraId="1940D3D1">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6%的扣除，用扣除后的价格参加评审。组成联合体或者接受分包的小微企业与联合体内其他企业、分包企业之间存在直接控股、管理关系的，不享受价格扣除优惠政策。</w:t>
      </w:r>
    </w:p>
    <w:p w14:paraId="50A08A64">
      <w:pPr>
        <w:shd w:val="clear"/>
        <w:topLinePunct/>
        <w:spacing w:line="360" w:lineRule="auto"/>
        <w:ind w:firstLine="420" w:firstLineChars="200"/>
        <w:contextualSpacing/>
        <w:rPr>
          <w:rFonts w:hint="eastAsia" w:ascii="宋体" w:hAnsi="宋体" w:eastAsia="宋体" w:cs="宋体"/>
          <w:b/>
          <w:bCs/>
          <w:color w:val="auto"/>
          <w:sz w:val="21"/>
          <w:szCs w:val="21"/>
          <w:highlight w:val="none"/>
          <w:lang w:val="zh-CN" w:eastAsia="zh-CN"/>
        </w:rPr>
      </w:pPr>
      <w:r>
        <w:rPr>
          <w:rFonts w:hint="eastAsia" w:ascii="宋体" w:hAnsi="宋体" w:eastAsia="宋体" w:cs="宋体"/>
          <w:color w:val="auto"/>
          <w:sz w:val="21"/>
          <w:szCs w:val="21"/>
          <w:highlight w:val="none"/>
          <w:lang w:val="zh-CN" w:eastAsia="zh-CN"/>
        </w:rPr>
        <w:t>5.按照本次采购标的所属行业的划型标准，符合条件的中小企业应按照</w:t>
      </w:r>
      <w:r>
        <w:rPr>
          <w:rFonts w:hint="eastAsia" w:ascii="宋体" w:hAnsi="宋体" w:eastAsia="宋体" w:cs="宋体"/>
          <w:bCs/>
          <w:color w:val="auto"/>
          <w:sz w:val="22"/>
          <w:lang w:val="en-US" w:eastAsia="zh-CN"/>
        </w:rPr>
        <w:t>招标</w:t>
      </w:r>
      <w:r>
        <w:rPr>
          <w:rFonts w:hint="eastAsia" w:ascii="宋体" w:hAnsi="宋体" w:eastAsia="宋体" w:cs="宋体"/>
          <w:color w:val="auto"/>
          <w:sz w:val="21"/>
          <w:szCs w:val="21"/>
          <w:highlight w:val="none"/>
          <w:lang w:val="zh-CN" w:eastAsia="zh-CN"/>
        </w:rPr>
        <w:t>文件格式要求提供《中小企业声明函》，否则不得享受相关中小企业扶持政策。</w:t>
      </w:r>
    </w:p>
    <w:p w14:paraId="6D63FD19">
      <w:pPr>
        <w:topLinePunct/>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三、支持监狱企业发展</w:t>
      </w:r>
    </w:p>
    <w:p w14:paraId="2906A4D3">
      <w:pPr>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按照财政部、司法部发布的《关于政府采购支持监狱企业发展有关问题的通知》（</w:t>
      </w:r>
      <w:bookmarkStart w:id="1" w:name="OLE_LINK6"/>
      <w:r>
        <w:rPr>
          <w:rFonts w:hint="eastAsia" w:ascii="宋体" w:hAnsi="宋体" w:eastAsia="宋体" w:cs="宋体"/>
          <w:color w:val="auto"/>
          <w:szCs w:val="21"/>
          <w:highlight w:val="none"/>
          <w:lang w:val="zh-CN"/>
        </w:rPr>
        <w:t>财库〔2014〕68号</w:t>
      </w:r>
      <w:bookmarkEnd w:id="1"/>
      <w:r>
        <w:rPr>
          <w:rFonts w:hint="eastAsia" w:ascii="宋体" w:hAnsi="宋体" w:eastAsia="宋体" w:cs="宋体"/>
          <w:color w:val="auto"/>
          <w:szCs w:val="21"/>
          <w:highlight w:val="none"/>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2478DA58">
      <w:pPr>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四、促进残疾人就业</w:t>
      </w:r>
    </w:p>
    <w:p w14:paraId="562E8C6E">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宋体" w:hAnsi="宋体" w:eastAsia="宋体" w:cs="宋体"/>
          <w:color w:val="auto"/>
          <w:sz w:val="21"/>
          <w:szCs w:val="21"/>
          <w:highlight w:val="none"/>
        </w:rPr>
        <w:t>残疾人福利性单位属于小型、微型企业的，不重复享受政策。</w:t>
      </w:r>
    </w:p>
    <w:p w14:paraId="3A901D0D">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67468505">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3.中标人为残疾人福利性单位的，招标人应当随中标结果同时公告其《残疾人福利性单位声明函》，接受社会监督。</w:t>
      </w:r>
    </w:p>
    <w:p w14:paraId="11093C81">
      <w:pPr>
        <w:pStyle w:val="9"/>
        <w:spacing w:line="360" w:lineRule="auto"/>
        <w:ind w:firstLine="422" w:firstLineChars="200"/>
        <w:contextualSpacing/>
        <w:rPr>
          <w:rFonts w:hint="eastAsia" w:ascii="宋体" w:hAnsi="宋体" w:eastAsia="宋体" w:cs="宋体"/>
          <w:b/>
          <w:bCs/>
          <w:color w:val="auto"/>
          <w:sz w:val="21"/>
          <w:szCs w:val="21"/>
        </w:rPr>
      </w:pPr>
      <w:r>
        <w:rPr>
          <w:rFonts w:hint="eastAsia" w:ascii="宋体" w:hAnsi="宋体" w:eastAsia="宋体" w:cs="宋体"/>
          <w:b/>
          <w:bCs/>
          <w:color w:val="auto"/>
          <w:sz w:val="21"/>
          <w:szCs w:val="21"/>
        </w:rPr>
        <w:t>五、实施本国产品</w:t>
      </w:r>
    </w:p>
    <w:p w14:paraId="159B0DAD">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 xml:space="preserve">1.对本国产品的支持政策 </w:t>
      </w:r>
    </w:p>
    <w:p w14:paraId="08B56FEA">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政府采购活动中既有本国产品又有非本国产品参与竞争的，依法对本国产品给予价格评审优惠，对本国产品的报价给予 20%的价格扣除，用扣除后的价格参与评审。</w:t>
      </w:r>
    </w:p>
    <w:p w14:paraId="32C09E09">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 20%的价格扣除，用扣除后的价格参与评审。</w:t>
      </w:r>
    </w:p>
    <w:p w14:paraId="22D99C79">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rPr>
        <w:t>政策执行要求</w:t>
      </w:r>
    </w:p>
    <w:p w14:paraId="5E20B65A">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根据《国务院办公厅关于在政府采购中实施本国产品标准及相关政策的通知》（国办发〔2025〕34 号），供应商对其提供的产品应当按照招标文件格式要求出具《关于符合本国产品标准的声明函》或财政部会同有关部门规定的有关证明文件。出具符合要求的《声明函》或有关证明文件的，该产品视为本国产品。采购人、采购代理机构不得再要求供应商提供其他证明材料。</w:t>
      </w:r>
    </w:p>
    <w:p w14:paraId="4B387222">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国有企业、民营企业、外资企业等各类经营主体平等享受对本国产品的政府采购支持政策。</w:t>
      </w:r>
    </w:p>
    <w:p w14:paraId="3C14CF8B">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rPr>
        <w:t>本国产品标准</w:t>
      </w:r>
    </w:p>
    <w:p w14:paraId="2EDDC4A1">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根据《国务院办公厅关于在政府采购中实施本国产品标准及相关政策的通知》（国办发〔2025〕34 号）、《关于贯彻落实</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zh-CN"/>
        </w:rPr>
        <w:t>国务院办公厅关于在政府采购中实施本国产品标准及相关政策的通知</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zh-CN"/>
        </w:rPr>
        <w:t>的意见》（财库〔2025〕30 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6DDEAE98">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rPr>
        <w:t>本国产品标准的适用范围</w:t>
      </w:r>
    </w:p>
    <w:p w14:paraId="14DEE09E">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A22A37E">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rPr>
        <w:t>对本国产品给予价格评审优惠的，采购人、采购代理机构应当随中标、成交结果同时公告中标、成交供应商提供的《关于符合本国产品标准的声明函》或有关证明文件。</w:t>
      </w:r>
    </w:p>
    <w:p w14:paraId="2C459EF8">
      <w:pPr>
        <w:topLinePunct/>
        <w:spacing w:line="360" w:lineRule="auto"/>
        <w:ind w:firstLine="420" w:firstLineChars="200"/>
        <w:contextualSpacing/>
        <w:rPr>
          <w:rFonts w:hint="eastAsia" w:ascii="宋体" w:hAnsi="宋体" w:eastAsia="宋体" w:cs="宋体"/>
          <w:color w:val="auto"/>
          <w:sz w:val="21"/>
          <w:szCs w:val="21"/>
          <w:highlight w:val="none"/>
          <w:lang w:val="zh-CN"/>
        </w:rPr>
      </w:pPr>
    </w:p>
    <w:p w14:paraId="11828EF6">
      <w:pPr>
        <w:pStyle w:val="9"/>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p>
    <w:p w14:paraId="2B89D277">
      <w:pPr>
        <w:pStyle w:val="9"/>
        <w:spacing w:line="360" w:lineRule="auto"/>
        <w:ind w:left="282" w:hanging="282" w:hangingChars="78"/>
        <w:contextualSpacing/>
        <w:jc w:val="center"/>
        <w:rPr>
          <w:rFonts w:hint="eastAsia" w:ascii="宋体" w:hAnsi="宋体" w:eastAsia="宋体" w:cs="宋体"/>
          <w:b/>
          <w:color w:val="auto"/>
          <w:kern w:val="0"/>
          <w:sz w:val="36"/>
          <w:szCs w:val="36"/>
        </w:rPr>
      </w:pPr>
    </w:p>
    <w:p w14:paraId="2B89D278">
      <w:pPr>
        <w:pStyle w:val="7"/>
        <w:rPr>
          <w:rFonts w:hint="eastAsia" w:ascii="宋体" w:hAnsi="宋体" w:eastAsia="宋体" w:cs="宋体"/>
          <w:b/>
          <w:color w:val="auto"/>
          <w:kern w:val="0"/>
          <w:sz w:val="32"/>
          <w:szCs w:val="32"/>
        </w:rPr>
      </w:pPr>
    </w:p>
    <w:p w14:paraId="2B89D27C">
      <w:pPr>
        <w:pStyle w:val="26"/>
        <w:rPr>
          <w:rFonts w:hint="eastAsia" w:ascii="宋体" w:hAnsi="宋体" w:eastAsia="宋体" w:cs="宋体"/>
          <w:color w:val="auto"/>
        </w:rPr>
      </w:pPr>
    </w:p>
    <w:p w14:paraId="10EBF89C">
      <w:pPr>
        <w:rPr>
          <w:rFonts w:hint="eastAsia" w:ascii="宋体" w:hAnsi="宋体" w:eastAsia="宋体" w:cs="宋体"/>
          <w:color w:val="auto"/>
        </w:rPr>
      </w:pPr>
    </w:p>
    <w:p w14:paraId="2B89D27D">
      <w:pPr>
        <w:tabs>
          <w:tab w:val="left" w:pos="1260"/>
        </w:tabs>
        <w:autoSpaceDE w:val="0"/>
        <w:autoSpaceDN w:val="0"/>
        <w:adjustRightInd w:val="0"/>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第六章   资格审查与评标</w:t>
      </w:r>
    </w:p>
    <w:p w14:paraId="2B89D27E">
      <w:pPr>
        <w:pStyle w:val="9"/>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bCs/>
          <w:color w:val="auto"/>
          <w:sz w:val="21"/>
          <w:szCs w:val="21"/>
        </w:rPr>
      </w:pPr>
      <w:r>
        <w:rPr>
          <w:rFonts w:hint="eastAsia" w:ascii="宋体" w:hAnsi="宋体" w:eastAsia="宋体" w:cs="宋体"/>
          <w:b/>
          <w:color w:val="auto"/>
          <w:sz w:val="21"/>
          <w:szCs w:val="21"/>
          <w:lang w:val="zh-CN"/>
        </w:rPr>
        <w:t>一、资格审查</w:t>
      </w:r>
    </w:p>
    <w:p w14:paraId="2B89D27F">
      <w:pPr>
        <w:pStyle w:val="9"/>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（一）开标结束后，采购人依法对投标人资格进行审查。确定符合资格的投标人不少于 3 家的，将组织评标委员会进行评标。</w:t>
      </w:r>
    </w:p>
    <w:p w14:paraId="2B89D280">
      <w:pPr>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（二）资格证明材料（本栏所列内容为本项目的资格审查条件，如有一项不符合要求，则不能进入下一步评审）。</w:t>
      </w:r>
    </w:p>
    <w:p w14:paraId="2B89D281">
      <w:pPr>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（三）资格审查中所涉及的证书及材料，均须在电子投标文件中提供原件扫描件（或图片）。</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2B89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410" w:type="dxa"/>
            <w:vAlign w:val="center"/>
          </w:tcPr>
          <w:p w14:paraId="2B89D28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资格审查因素</w:t>
            </w:r>
          </w:p>
        </w:tc>
        <w:tc>
          <w:tcPr>
            <w:tcW w:w="5954" w:type="dxa"/>
            <w:vAlign w:val="center"/>
          </w:tcPr>
          <w:p w14:paraId="2B89D28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说明与要求</w:t>
            </w:r>
          </w:p>
        </w:tc>
      </w:tr>
      <w:tr w14:paraId="2B89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1</w:t>
            </w:r>
          </w:p>
        </w:tc>
        <w:tc>
          <w:tcPr>
            <w:tcW w:w="2410" w:type="dxa"/>
            <w:vAlign w:val="center"/>
          </w:tcPr>
          <w:p w14:paraId="2B89D28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投标函</w:t>
            </w:r>
          </w:p>
        </w:tc>
        <w:tc>
          <w:tcPr>
            <w:tcW w:w="5954" w:type="dxa"/>
            <w:vAlign w:val="center"/>
          </w:tcPr>
          <w:p w14:paraId="2B89D28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bCs/>
                <w:color w:val="auto"/>
                <w:szCs w:val="21"/>
              </w:rPr>
              <w:t>参考招标文件第八章3.1格式填写</w:t>
            </w:r>
          </w:p>
        </w:tc>
      </w:tr>
      <w:tr w14:paraId="2B89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2</w:t>
            </w:r>
          </w:p>
        </w:tc>
        <w:tc>
          <w:tcPr>
            <w:tcW w:w="2410" w:type="dxa"/>
            <w:vAlign w:val="center"/>
          </w:tcPr>
          <w:p w14:paraId="2B89D28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禹州市政府采购</w:t>
            </w:r>
          </w:p>
          <w:p w14:paraId="2B89D28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供应商信用承诺函</w:t>
            </w:r>
          </w:p>
        </w:tc>
        <w:tc>
          <w:tcPr>
            <w:tcW w:w="5954" w:type="dxa"/>
            <w:vAlign w:val="center"/>
          </w:tcPr>
          <w:p w14:paraId="2B89D28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按照招标文件第八章3.</w:t>
            </w:r>
            <w:r>
              <w:rPr>
                <w:rFonts w:hint="eastAsia" w:ascii="宋体" w:hAnsi="宋体" w:eastAsia="宋体" w:cs="宋体"/>
                <w:bCs/>
                <w:color w:val="auto"/>
                <w:szCs w:val="21"/>
              </w:rPr>
              <w:t>4</w:t>
            </w:r>
            <w:r>
              <w:rPr>
                <w:rFonts w:hint="eastAsia" w:ascii="宋体" w:hAnsi="宋体" w:eastAsia="宋体" w:cs="宋体"/>
                <w:bCs/>
                <w:color w:val="auto"/>
                <w:szCs w:val="21"/>
                <w:lang w:val="zh-CN"/>
              </w:rPr>
              <w:t>格式填写</w:t>
            </w:r>
          </w:p>
        </w:tc>
      </w:tr>
      <w:tr w14:paraId="771D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4075C637">
            <w:pPr>
              <w:spacing w:line="360" w:lineRule="auto"/>
              <w:jc w:val="center"/>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3</w:t>
            </w:r>
          </w:p>
        </w:tc>
        <w:tc>
          <w:tcPr>
            <w:tcW w:w="2410" w:type="dxa"/>
            <w:vAlign w:val="center"/>
          </w:tcPr>
          <w:p w14:paraId="4ED1175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中小企业</w:t>
            </w:r>
          </w:p>
        </w:tc>
        <w:tc>
          <w:tcPr>
            <w:tcW w:w="5954" w:type="dxa"/>
            <w:vAlign w:val="center"/>
          </w:tcPr>
          <w:p w14:paraId="222D54C6">
            <w:pPr>
              <w:keepNext w:val="0"/>
              <w:keepLines w:val="0"/>
              <w:pageBreakBefore w:val="0"/>
              <w:kinsoku/>
              <w:overflowPunct/>
              <w:topLinePunct w:val="0"/>
              <w:bidi w:val="0"/>
              <w:snapToGrid/>
              <w:spacing w:line="480" w:lineRule="exact"/>
              <w:textAlignment w:val="auto"/>
              <w:rPr>
                <w:rFonts w:hint="eastAsia" w:ascii="宋体" w:hAnsi="宋体" w:eastAsia="宋体" w:cs="宋体"/>
                <w:color w:val="auto"/>
                <w:lang w:val="zh-CN"/>
              </w:rPr>
            </w:pPr>
            <w:r>
              <w:rPr>
                <w:rFonts w:hint="eastAsia" w:ascii="宋体" w:hAnsi="宋体" w:eastAsia="宋体" w:cs="宋体"/>
                <w:color w:val="auto"/>
                <w:lang w:val="zh-CN"/>
              </w:rPr>
              <w:t>中小企业或者残疾人福利性单位声明函或监狱企业证明文件</w:t>
            </w:r>
          </w:p>
          <w:p w14:paraId="54856051">
            <w:pPr>
              <w:keepNext w:val="0"/>
              <w:keepLines w:val="0"/>
              <w:pageBreakBefore w:val="0"/>
              <w:kinsoku/>
              <w:overflowPunct/>
              <w:topLinePunct w:val="0"/>
              <w:bidi w:val="0"/>
              <w:snapToGrid/>
              <w:spacing w:line="480" w:lineRule="exact"/>
              <w:textAlignment w:val="auto"/>
              <w:rPr>
                <w:rFonts w:hint="eastAsia" w:ascii="宋体" w:hAnsi="宋体" w:eastAsia="宋体" w:cs="宋体"/>
                <w:color w:val="auto"/>
                <w:lang w:val="zh-CN"/>
              </w:rPr>
            </w:pPr>
            <w:r>
              <w:rPr>
                <w:rFonts w:hint="eastAsia" w:ascii="宋体" w:hAnsi="宋体" w:eastAsia="宋体" w:cs="宋体"/>
                <w:color w:val="auto"/>
                <w:lang w:val="zh-CN"/>
              </w:rPr>
              <w:t>1.中小型企业出具《中小企业声明函》</w:t>
            </w:r>
          </w:p>
          <w:p w14:paraId="6E34BF14">
            <w:pPr>
              <w:keepNext w:val="0"/>
              <w:keepLines w:val="0"/>
              <w:pageBreakBefore w:val="0"/>
              <w:kinsoku/>
              <w:overflowPunct/>
              <w:topLinePunct w:val="0"/>
              <w:bidi w:val="0"/>
              <w:snapToGrid/>
              <w:spacing w:line="480" w:lineRule="exact"/>
              <w:textAlignment w:val="auto"/>
              <w:rPr>
                <w:rFonts w:hint="eastAsia" w:ascii="宋体" w:hAnsi="宋体" w:eastAsia="宋体" w:cs="宋体"/>
                <w:color w:val="auto"/>
                <w:lang w:val="zh-CN"/>
              </w:rPr>
            </w:pPr>
            <w:r>
              <w:rPr>
                <w:rFonts w:hint="eastAsia" w:ascii="宋体" w:hAnsi="宋体" w:eastAsia="宋体" w:cs="宋体"/>
                <w:color w:val="auto"/>
                <w:lang w:val="zh-CN"/>
              </w:rPr>
              <w:t>2.残疾人福利性单位出具《残疾人福利企业声明函》</w:t>
            </w:r>
          </w:p>
          <w:p w14:paraId="467585EE">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lang w:val="zh-CN"/>
              </w:rPr>
            </w:pPr>
            <w:r>
              <w:rPr>
                <w:rFonts w:hint="eastAsia" w:ascii="宋体" w:hAnsi="宋体" w:eastAsia="宋体" w:cs="宋体"/>
                <w:color w:val="auto"/>
                <w:lang w:val="zh-CN"/>
              </w:rPr>
              <w:t>3.监狱企业提供由省级以上监狱管理局、戒毒管理局（含新疆生产建设兵团）出具的属于监狱企业的证明文件</w:t>
            </w:r>
          </w:p>
          <w:p w14:paraId="62C1AB86">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bCs/>
                <w:color w:val="auto"/>
                <w:szCs w:val="21"/>
                <w:lang w:val="zh-CN"/>
              </w:rPr>
            </w:pPr>
            <w:r>
              <w:rPr>
                <w:rFonts w:hint="eastAsia" w:ascii="宋体" w:hAnsi="宋体" w:eastAsia="宋体" w:cs="宋体"/>
                <w:b/>
                <w:bCs/>
                <w:color w:val="auto"/>
                <w:lang w:val="en-US" w:eastAsia="zh-CN"/>
              </w:rPr>
              <w:t>注：仅第二标段投标人须提供</w:t>
            </w:r>
            <w:r>
              <w:rPr>
                <w:rFonts w:hint="eastAsia" w:ascii="宋体" w:hAnsi="宋体" w:eastAsia="宋体" w:cs="宋体"/>
                <w:b/>
                <w:bCs/>
                <w:color w:val="auto"/>
                <w:lang w:val="zh-CN"/>
              </w:rPr>
              <w:t>中小企业或者残疾人福利性单位声明函或监狱企业证明文件</w:t>
            </w:r>
          </w:p>
        </w:tc>
      </w:tr>
      <w:tr w14:paraId="2B89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9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lang w:eastAsia="zh-CN"/>
              </w:rPr>
            </w:pPr>
            <w:r>
              <w:rPr>
                <w:rFonts w:hint="eastAsia" w:ascii="宋体" w:hAnsi="宋体" w:eastAsia="宋体" w:cs="宋体"/>
                <w:b/>
                <w:bCs/>
                <w:color w:val="auto"/>
                <w:szCs w:val="21"/>
                <w:lang w:val="en-US" w:eastAsia="zh-CN"/>
              </w:rPr>
              <w:t>4</w:t>
            </w:r>
          </w:p>
        </w:tc>
        <w:tc>
          <w:tcPr>
            <w:tcW w:w="2410" w:type="dxa"/>
            <w:vAlign w:val="center"/>
          </w:tcPr>
          <w:p w14:paraId="2B89D29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b/>
                <w:color w:val="auto"/>
                <w:szCs w:val="21"/>
              </w:rPr>
              <w:t>投标人须具备的特殊</w:t>
            </w:r>
          </w:p>
          <w:p w14:paraId="2B89D29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color w:val="auto"/>
                <w:szCs w:val="21"/>
              </w:rPr>
              <w:t>资质证书</w:t>
            </w:r>
          </w:p>
        </w:tc>
        <w:tc>
          <w:tcPr>
            <w:tcW w:w="5954" w:type="dxa"/>
            <w:vAlign w:val="center"/>
          </w:tcPr>
          <w:p w14:paraId="2B89D29A">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rPr>
            </w:pPr>
            <w:r>
              <w:rPr>
                <w:rFonts w:hint="eastAsia" w:ascii="宋体" w:hAnsi="宋体" w:eastAsia="宋体" w:cs="宋体"/>
                <w:bCs/>
                <w:color w:val="auto"/>
                <w:szCs w:val="21"/>
              </w:rPr>
              <w:t>详见招标公告</w:t>
            </w:r>
          </w:p>
        </w:tc>
      </w:tr>
      <w:tr w14:paraId="2B89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9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5</w:t>
            </w:r>
          </w:p>
        </w:tc>
        <w:tc>
          <w:tcPr>
            <w:tcW w:w="2410" w:type="dxa"/>
            <w:vAlign w:val="center"/>
          </w:tcPr>
          <w:p w14:paraId="2B89D29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投标</w:t>
            </w:r>
            <w:r>
              <w:rPr>
                <w:rFonts w:hint="eastAsia" w:ascii="宋体" w:hAnsi="宋体" w:eastAsia="宋体" w:cs="宋体"/>
                <w:b/>
                <w:color w:val="auto"/>
                <w:szCs w:val="21"/>
                <w:lang w:val="zh-CN"/>
              </w:rPr>
              <w:t>报价</w:t>
            </w:r>
          </w:p>
        </w:tc>
        <w:tc>
          <w:tcPr>
            <w:tcW w:w="5954" w:type="dxa"/>
          </w:tcPr>
          <w:p w14:paraId="2B89D29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color w:val="auto"/>
                <w:szCs w:val="21"/>
                <w:lang w:val="zh-CN"/>
              </w:rPr>
              <w:t>投标报价是否超出招标文件中规定的预算金额，超出预算金额的投标无效。如投标人须知前附表规定最高限价，则</w:t>
            </w:r>
            <w:r>
              <w:rPr>
                <w:rFonts w:hint="eastAsia" w:ascii="宋体" w:hAnsi="宋体" w:eastAsia="宋体" w:cs="宋体"/>
                <w:bCs/>
                <w:color w:val="auto"/>
                <w:szCs w:val="21"/>
                <w:lang w:val="zh-CN"/>
              </w:rPr>
              <w:t>超出预算金额和最高限价的投标无效。</w:t>
            </w:r>
          </w:p>
        </w:tc>
      </w:tr>
      <w:tr w14:paraId="2B89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A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6</w:t>
            </w:r>
          </w:p>
        </w:tc>
        <w:tc>
          <w:tcPr>
            <w:tcW w:w="2410" w:type="dxa"/>
            <w:vAlign w:val="center"/>
          </w:tcPr>
          <w:p w14:paraId="2B89D2A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投标承诺函</w:t>
            </w:r>
          </w:p>
        </w:tc>
        <w:tc>
          <w:tcPr>
            <w:tcW w:w="5954" w:type="dxa"/>
            <w:vAlign w:val="center"/>
          </w:tcPr>
          <w:p w14:paraId="2B89D2A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color w:val="auto"/>
                <w:szCs w:val="21"/>
              </w:rPr>
              <w:t>投标人以投标承诺函的形式替代投标保证金。</w:t>
            </w:r>
          </w:p>
        </w:tc>
      </w:tr>
      <w:tr w14:paraId="2B89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Align w:val="center"/>
          </w:tcPr>
          <w:p w14:paraId="2B89D2A4">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7</w:t>
            </w:r>
          </w:p>
        </w:tc>
        <w:tc>
          <w:tcPr>
            <w:tcW w:w="2410" w:type="dxa"/>
            <w:vAlign w:val="center"/>
          </w:tcPr>
          <w:p w14:paraId="2B89D2A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联合体协议</w:t>
            </w:r>
          </w:p>
        </w:tc>
        <w:tc>
          <w:tcPr>
            <w:tcW w:w="5954" w:type="dxa"/>
          </w:tcPr>
          <w:p w14:paraId="2B89D2A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Cs/>
                <w:color w:val="auto"/>
                <w:szCs w:val="21"/>
              </w:rPr>
              <w:t>招标文件接受联合体投标且投标人为联合体的，投标人应提供本协议；否则无须提供。</w:t>
            </w:r>
          </w:p>
        </w:tc>
      </w:tr>
      <w:tr w14:paraId="2B89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A8">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8</w:t>
            </w:r>
          </w:p>
        </w:tc>
        <w:tc>
          <w:tcPr>
            <w:tcW w:w="2410" w:type="dxa"/>
            <w:vAlign w:val="center"/>
          </w:tcPr>
          <w:p w14:paraId="2B89D2A9">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投标人身份证明及授权</w:t>
            </w:r>
          </w:p>
        </w:tc>
        <w:tc>
          <w:tcPr>
            <w:tcW w:w="5954" w:type="dxa"/>
          </w:tcPr>
          <w:p w14:paraId="2B89D2A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（1）法定代表人身份证明或提供法定代表人授权委托书及被授权人身份证明。（法人投标提供）</w:t>
            </w:r>
          </w:p>
          <w:p w14:paraId="2B89D2A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（2）单位负责人身份证明或提供单位负责人授权委托书及被授权人身份证明。（非法人投标提供）</w:t>
            </w:r>
          </w:p>
          <w:p w14:paraId="2B89D2A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注：</w:t>
            </w:r>
          </w:p>
          <w:p w14:paraId="2B89D2A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color w:val="auto"/>
                <w:szCs w:val="21"/>
              </w:rPr>
              <w:t>①企业（银行、保险、石油石化、电力、电信等行业除外）、事业单位和社会团体投标人以法人身份参加投标的，法定代表人应与实际提交的“营业执照等证明文件”载明的一致。</w:t>
            </w:r>
          </w:p>
          <w:p w14:paraId="2B89D2AE">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②银行、保险、石油石化、电力、电信等行业：以法人身份</w:t>
            </w:r>
            <w:r>
              <w:rPr>
                <w:rFonts w:hint="eastAsia" w:ascii="宋体" w:hAnsi="宋体" w:eastAsia="宋体" w:cs="宋体"/>
                <w:color w:val="auto"/>
                <w:szCs w:val="21"/>
                <w:lang w:val="en-US" w:eastAsia="zh-CN"/>
              </w:rPr>
              <w:t>8</w:t>
            </w:r>
            <w:r>
              <w:rPr>
                <w:rFonts w:hint="eastAsia" w:ascii="宋体" w:hAnsi="宋体" w:eastAsia="宋体" w:cs="宋体"/>
                <w:color w:val="auto"/>
                <w:szCs w:val="21"/>
              </w:rPr>
              <w:t>加投标的，法定代表人应与实际提交的“营业执照等证明文件”载明的一致；以非法人身份参加投标的，“单位负责人”指代表单位行使职权的主要负责人，应与实际提交的“营业执照等证明文件”载明的一致。</w:t>
            </w:r>
          </w:p>
          <w:p w14:paraId="2B89D2AF">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b/>
                <w:color w:val="auto"/>
                <w:szCs w:val="21"/>
              </w:rPr>
            </w:pPr>
            <w:r>
              <w:rPr>
                <w:rFonts w:hint="eastAsia" w:ascii="宋体" w:hAnsi="宋体" w:eastAsia="宋体" w:cs="宋体"/>
                <w:color w:val="auto"/>
                <w:szCs w:val="21"/>
              </w:rPr>
              <w:t>③</w:t>
            </w:r>
            <w:r>
              <w:rPr>
                <w:rFonts w:hint="eastAsia" w:ascii="宋体" w:hAnsi="宋体" w:eastAsia="宋体" w:cs="宋体"/>
                <w:color w:val="auto"/>
                <w:kern w:val="0"/>
                <w:szCs w:val="21"/>
              </w:rPr>
              <w:t>投标人为自然人的，无需填写法定代表人授权书。</w:t>
            </w:r>
          </w:p>
        </w:tc>
      </w:tr>
      <w:tr w14:paraId="2B89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B1">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9</w:t>
            </w:r>
          </w:p>
        </w:tc>
        <w:tc>
          <w:tcPr>
            <w:tcW w:w="2410" w:type="dxa"/>
            <w:vAlign w:val="center"/>
          </w:tcPr>
          <w:p w14:paraId="2B89D2B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
                <w:bCs/>
                <w:color w:val="auto"/>
                <w:szCs w:val="21"/>
              </w:rPr>
              <w:t>单位负责人为同一人或者存在直接控股、管理关系的不同供应商，不得参加同一合同项下的政府采购活动</w:t>
            </w:r>
          </w:p>
        </w:tc>
        <w:tc>
          <w:tcPr>
            <w:tcW w:w="5954" w:type="dxa"/>
          </w:tcPr>
          <w:p w14:paraId="2B89D2B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投标人提供与参加本项目投标的其他供应商之间，单位负责人不为同一人并且不存在直接控股、管理关系承诺函（承诺函格式自拟）。</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lang w:val="zh-CN" w:eastAsia="zh-CN"/>
              </w:rPr>
              <w:t>提供加盖</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单位公章的“国家企业信用信息公示系统”中公示的公司信息、股东或投资人信息截图</w:t>
            </w:r>
            <w:r>
              <w:rPr>
                <w:rFonts w:hint="eastAsia" w:ascii="宋体" w:hAnsi="宋体" w:eastAsia="宋体" w:cs="宋体"/>
                <w:color w:val="auto"/>
                <w:sz w:val="21"/>
                <w:szCs w:val="21"/>
                <w:highlight w:val="none"/>
                <w:lang w:val="zh-CN"/>
              </w:rPr>
              <w:t>。</w:t>
            </w:r>
          </w:p>
          <w:p w14:paraId="2B89D2B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p>
        </w:tc>
      </w:tr>
      <w:tr w14:paraId="2B89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B6">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10</w:t>
            </w:r>
          </w:p>
        </w:tc>
        <w:tc>
          <w:tcPr>
            <w:tcW w:w="2410" w:type="dxa"/>
            <w:vAlign w:val="center"/>
          </w:tcPr>
          <w:p w14:paraId="2B89D2B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为本项目提供整体设计、规范编制或者项目管理、监理、检测等服务的供应商不得参加本项目投标</w:t>
            </w:r>
          </w:p>
        </w:tc>
        <w:tc>
          <w:tcPr>
            <w:tcW w:w="5954" w:type="dxa"/>
          </w:tcPr>
          <w:p w14:paraId="2B89D2B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w:t>
            </w:r>
            <w:bookmarkStart w:id="2" w:name="baidusnap2"/>
            <w:bookmarkEnd w:id="2"/>
            <w:r>
              <w:rPr>
                <w:rFonts w:hint="eastAsia" w:ascii="宋体" w:hAnsi="宋体" w:eastAsia="宋体" w:cs="宋体"/>
                <w:color w:val="auto"/>
                <w:szCs w:val="21"/>
                <w:lang w:val="zh-CN"/>
              </w:rPr>
              <w:t>提供未为本项目提供整体设计、</w:t>
            </w:r>
            <w:bookmarkStart w:id="3" w:name="baidusnap9"/>
            <w:bookmarkEnd w:id="3"/>
            <w:r>
              <w:rPr>
                <w:rFonts w:hint="eastAsia" w:ascii="宋体" w:hAnsi="宋体" w:eastAsia="宋体" w:cs="宋体"/>
                <w:color w:val="auto"/>
                <w:szCs w:val="21"/>
                <w:lang w:val="zh-CN"/>
              </w:rPr>
              <w:t>规范编制或者项目管理、监理、检测等服务的承诺函（承诺函格式自拟）。</w:t>
            </w:r>
          </w:p>
          <w:p w14:paraId="2B89D2B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szCs w:val="21"/>
              </w:rPr>
            </w:pPr>
          </w:p>
        </w:tc>
      </w:tr>
    </w:tbl>
    <w:p w14:paraId="2B89D2BB">
      <w:pPr>
        <w:pStyle w:val="9"/>
        <w:keepNext w:val="0"/>
        <w:keepLines w:val="0"/>
        <w:pageBreakBefore w:val="0"/>
        <w:widowControl w:val="0"/>
        <w:kinsoku/>
        <w:wordWrap/>
        <w:overflowPunct/>
        <w:topLinePunct w:val="0"/>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二、评标</w:t>
      </w:r>
    </w:p>
    <w:p w14:paraId="2B89D2BC">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（一）评标方法</w:t>
      </w:r>
    </w:p>
    <w:p w14:paraId="2B89D2BD">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color w:val="auto"/>
          <w:sz w:val="21"/>
          <w:szCs w:val="21"/>
          <w:lang w:val="zh-CN"/>
        </w:rPr>
        <w:t>本项目采用综合评分法。总分为100分。</w:t>
      </w:r>
    </w:p>
    <w:p w14:paraId="2B89D2BE">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（二）评标委员会负责具体评标事务，并独立履行下列职责</w:t>
      </w:r>
    </w:p>
    <w:p w14:paraId="2B89D2BF">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jc w:val="left"/>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1.审查、评价投标文件是否符合招标文件的商务、技术等实质性要求；</w:t>
      </w:r>
    </w:p>
    <w:p w14:paraId="2B89D2C0">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评标委员会对符合资格的投标人的投标文件进行符合性审查，以确定其是否满足招标文件的商务、技术等实质性要求。</w:t>
      </w:r>
    </w:p>
    <w:p w14:paraId="2B89D2C1">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注：符合性审查中所涉及的证书及材料，均应在电子投标文件中提供原件扫描件（或图片）。</w:t>
      </w:r>
    </w:p>
    <w:p w14:paraId="2B89D2C2">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2.要求投标人对投标文件有关事项作出澄清或者说明；</w:t>
      </w:r>
    </w:p>
    <w:p w14:paraId="176770EE">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6AB70B36">
      <w:pPr>
        <w:pStyle w:val="9"/>
        <w:keepNext w:val="0"/>
        <w:keepLines w:val="0"/>
        <w:pageBreakBefore w:val="0"/>
        <w:widowControl w:val="0"/>
        <w:kinsoku/>
        <w:overflowPunct/>
        <w:topLinePunct w:val="0"/>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shd w:val="clear" w:color="auto" w:fill="FFFFFF"/>
        </w:rPr>
        <w:t>2）对供应商所出具的《关于符合本国产品标准的声明函》（以下简称《声明函》）的完</w:t>
      </w:r>
      <w:r>
        <w:rPr>
          <w:rFonts w:hint="eastAsia" w:ascii="宋体" w:hAnsi="宋体" w:eastAsia="宋体" w:cs="宋体"/>
          <w:color w:val="auto"/>
          <w:sz w:val="21"/>
          <w:szCs w:val="21"/>
          <w:shd w:val="clear" w:color="auto" w:fill="FFFFFF"/>
        </w:rPr>
        <w:t>整性、准确性进行审查</w:t>
      </w:r>
      <w:r>
        <w:rPr>
          <w:rFonts w:hint="eastAsia" w:ascii="宋体" w:hAnsi="宋体" w:eastAsia="宋体" w:cs="宋体"/>
          <w:color w:val="auto"/>
          <w:sz w:val="21"/>
          <w:szCs w:val="21"/>
          <w:shd w:val="clear" w:color="auto" w:fill="FFFFFF"/>
          <w:lang w:eastAsia="zh-CN"/>
        </w:rPr>
        <w:t>，在</w:t>
      </w:r>
      <w:r>
        <w:rPr>
          <w:rFonts w:hint="eastAsia" w:ascii="宋体" w:hAnsi="宋体" w:eastAsia="宋体" w:cs="宋体"/>
          <w:color w:val="auto"/>
          <w:sz w:val="21"/>
          <w:szCs w:val="21"/>
          <w:shd w:val="clear" w:color="auto" w:fill="FFFFFF"/>
        </w:rPr>
        <w:t>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w:t>
      </w:r>
      <w:r>
        <w:rPr>
          <w:rFonts w:hint="eastAsia" w:ascii="宋体" w:hAnsi="宋体" w:eastAsia="宋体" w:cs="宋体"/>
          <w:color w:val="auto"/>
          <w:sz w:val="21"/>
          <w:szCs w:val="21"/>
          <w:shd w:val="clear" w:color="auto" w:fill="FFFFFF"/>
        </w:rPr>
        <w:t>2025〕34 号）规定要求的，供</w:t>
      </w:r>
      <w:r>
        <w:rPr>
          <w:rFonts w:hint="eastAsia" w:ascii="宋体" w:hAnsi="宋体" w:eastAsia="宋体" w:cs="宋体"/>
          <w:color w:val="auto"/>
          <w:sz w:val="21"/>
          <w:szCs w:val="21"/>
          <w:shd w:val="clear" w:color="auto" w:fill="FFFFFF"/>
        </w:rPr>
        <w:t>应商提供的相关产品视为不符合本国产品标准。</w:t>
      </w:r>
    </w:p>
    <w:p w14:paraId="3A34CC37">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47519402">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2B89D2C5">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3.对投标文件进行比较和评价；</w:t>
      </w:r>
    </w:p>
    <w:p w14:paraId="2B89D2C6">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2B89D2C7">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注：评标标准中所涉及的证书及材料，均应在电子投标文件中提供原件扫描件（或图片）。</w:t>
      </w:r>
    </w:p>
    <w:p w14:paraId="34BDAF66">
      <w:pPr>
        <w:pStyle w:val="9"/>
        <w:keepNext w:val="0"/>
        <w:keepLines w:val="0"/>
        <w:pageBreakBefore w:val="0"/>
        <w:widowControl w:val="0"/>
        <w:kinsoku/>
        <w:wordWrap/>
        <w:overflowPunct/>
        <w:topLinePunct w:val="0"/>
        <w:bidi w:val="0"/>
        <w:adjustRightInd/>
        <w:snapToGrid/>
        <w:spacing w:line="460" w:lineRule="exact"/>
        <w:contextualSpacing/>
        <w:textAlignment w:val="auto"/>
        <w:rPr>
          <w:rFonts w:hint="eastAsia" w:ascii="宋体" w:hAnsi="宋体" w:eastAsia="宋体" w:cs="宋体"/>
          <w:b/>
          <w:color w:val="auto"/>
          <w:sz w:val="21"/>
          <w:szCs w:val="21"/>
          <w:highlight w:val="red"/>
          <w:lang w:val="zh-CN"/>
        </w:rPr>
      </w:pPr>
      <w:r>
        <w:rPr>
          <w:rFonts w:hint="eastAsia" w:ascii="宋体" w:hAnsi="宋体" w:eastAsia="宋体" w:cs="宋体"/>
          <w:b/>
          <w:color w:val="auto"/>
          <w:sz w:val="21"/>
          <w:szCs w:val="21"/>
          <w:lang w:val="zh-CN"/>
        </w:rPr>
        <w:t>（1）价格分计算</w:t>
      </w:r>
    </w:p>
    <w:p w14:paraId="2B89D2C9">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价格分采用低价优先法计算，即满足采购文件要求且投标价格最低的投标报价为评标基准价，其价格分为满分。因落实政府采购政策进行价格调整的，以调整后的价格计算评标基准价和投标报价。</w:t>
      </w:r>
    </w:p>
    <w:p w14:paraId="2B89D2CA">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rPr>
      </w:pPr>
      <w:r>
        <w:rPr>
          <w:rFonts w:hint="eastAsia" w:ascii="宋体" w:hAnsi="宋体" w:eastAsia="宋体" w:cs="宋体"/>
          <w:color w:val="auto"/>
          <w:sz w:val="21"/>
          <w:szCs w:val="21"/>
          <w:lang w:val="zh-CN"/>
        </w:rPr>
        <w:t>1）</w:t>
      </w:r>
      <w:r>
        <w:rPr>
          <w:rFonts w:hint="eastAsia" w:ascii="宋体" w:hAnsi="宋体" w:eastAsia="宋体" w:cs="宋体"/>
          <w:color w:val="auto"/>
          <w:sz w:val="21"/>
          <w:szCs w:val="21"/>
        </w:rPr>
        <w:t>非专门面向中小企业采购，对符合《政府采购促进中小企业发展管理办法》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财库〔2020〕46号、《关于进一步加大政府采购支持中小企业力度的通知》（财库〔2022〕19号）规定的小微企业报价给予20%的扣除，用扣除后的价格参与评审。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6%的扣除，用扣除后的价格参加评审。组成联合体或者接受分包的小微企业与联合体内其他企业、分包企业之间存在直接控股、管理关系的，不享受价格扣除优惠政策。按照本次采购标的所属行业的划型标准，符合条件的中小企业应按照招标文件格式要求提供《中小企业声明函》，否则不得享受相关中小企业扶持政策。</w:t>
      </w:r>
    </w:p>
    <w:p w14:paraId="2B89D2CB">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小型和微型企业不包含民办非企业单位。</w:t>
      </w:r>
    </w:p>
    <w:p w14:paraId="2B89D2CC">
      <w:pPr>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2）监狱企业视同小型、微型企业，对监狱企业价格给予2</w:t>
      </w:r>
      <w:r>
        <w:rPr>
          <w:rFonts w:hint="eastAsia" w:ascii="宋体" w:hAnsi="宋体" w:eastAsia="宋体" w:cs="宋体"/>
          <w:color w:val="auto"/>
          <w:szCs w:val="21"/>
        </w:rPr>
        <w:t>0%</w:t>
      </w:r>
      <w:r>
        <w:rPr>
          <w:rFonts w:hint="eastAsia" w:ascii="宋体" w:hAnsi="宋体" w:eastAsia="宋体" w:cs="宋体"/>
          <w:color w:val="auto"/>
          <w:szCs w:val="21"/>
          <w:lang w:val="zh-CN"/>
        </w:rPr>
        <w:t>的扣除，用扣除后的价格参与评审。监狱企业应当提供由省级以上监狱管理局、戒毒管理局（含新疆生产建设兵团）出具的属于监狱企业的证明文件。</w:t>
      </w:r>
    </w:p>
    <w:p w14:paraId="2B89D2CD">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zh-CN"/>
        </w:rPr>
        <w:t>3）残疾人福利性单位视同小型、微型企业，对残疾人福利性单位提供本单位制造的货物、承担的工程或者服务，或者提供其他残疾人福利性单位制造的货物（不包括使用非残疾人福利性单位注册商标的货物）价格给予2</w:t>
      </w:r>
      <w:r>
        <w:rPr>
          <w:rFonts w:hint="eastAsia" w:ascii="宋体" w:hAnsi="宋体" w:eastAsia="宋体" w:cs="宋体"/>
          <w:color w:val="auto"/>
          <w:sz w:val="21"/>
          <w:szCs w:val="21"/>
        </w:rPr>
        <w:t>0%</w:t>
      </w:r>
      <w:r>
        <w:rPr>
          <w:rFonts w:hint="eastAsia" w:ascii="宋体" w:hAnsi="宋体" w:eastAsia="宋体" w:cs="宋体"/>
          <w:color w:val="auto"/>
          <w:sz w:val="21"/>
          <w:szCs w:val="21"/>
          <w:lang w:val="zh-CN"/>
        </w:rPr>
        <w:t>的扣除，用扣除后的价格参与评审。符合条件的残疾人福利性单位在参加政府采购活动时，应当提供《三部门联合发布关于促进残疾人就业政府采购政策的通知》规定的《残疾人福利性单位声明函》，并对声明的真实性负责。</w:t>
      </w:r>
      <w:r>
        <w:rPr>
          <w:rFonts w:hint="eastAsia" w:ascii="宋体" w:hAnsi="宋体" w:eastAsia="宋体" w:cs="宋体"/>
          <w:color w:val="auto"/>
          <w:sz w:val="21"/>
          <w:szCs w:val="21"/>
        </w:rPr>
        <w:t>残疾人福利性单位属于小型、微型企业的，不重复享受政策。</w:t>
      </w:r>
    </w:p>
    <w:p w14:paraId="2B89D2CE">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rPr>
        <w:t>（2）</w:t>
      </w:r>
      <w:r>
        <w:rPr>
          <w:rFonts w:hint="eastAsia" w:ascii="宋体" w:hAnsi="宋体" w:eastAsia="宋体" w:cs="宋体"/>
          <w:b/>
          <w:color w:val="auto"/>
          <w:sz w:val="21"/>
          <w:szCs w:val="21"/>
          <w:lang w:val="zh-CN"/>
        </w:rPr>
        <w:t>关于相同品牌产品</w:t>
      </w:r>
      <w:r>
        <w:rPr>
          <w:rFonts w:hint="eastAsia" w:ascii="宋体" w:hAnsi="宋体" w:eastAsia="宋体" w:cs="宋体"/>
          <w:b/>
          <w:bCs/>
          <w:color w:val="auto"/>
          <w:sz w:val="21"/>
          <w:szCs w:val="21"/>
          <w:lang w:val="zh-CN"/>
        </w:rPr>
        <w:t>（服务类项目不适用本条款规定）</w:t>
      </w:r>
    </w:p>
    <w:p w14:paraId="2B89D2CF">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采取随机抽取方式确定一个参加评标的投标人，其他投标无效。</w:t>
      </w:r>
    </w:p>
    <w:p w14:paraId="2B89D2D0">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用综合评分法的，提供相同品牌产品（非单一产品采购项目，多家投标人提供的核心产品品牌相同）且通过资格审查、符合性审查的不同投标人参加同一合同项下投标的，按一家投标人计算，评审后得分最高的同品牌投标人作为中标候选人推荐；评审得分相同的，由采购人或者采购人委托评标委员会采取随机抽取方式确定一个投标人获得中标人推荐资格，其他同品牌投标人不作为中标候选人。</w:t>
      </w:r>
    </w:p>
    <w:p w14:paraId="2B89D2D1">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rPr>
        <w:t>（3）强制采购节能产品和优先采购节能产品、优先采购环保产品</w:t>
      </w:r>
    </w:p>
    <w:p w14:paraId="2B89D2D2">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1）对《节能产品政府采购品目清单》所列的政府强制采购节能产品</w:t>
      </w:r>
      <w:r>
        <w:rPr>
          <w:rFonts w:hint="eastAsia" w:ascii="宋体" w:hAnsi="宋体" w:eastAsia="宋体" w:cs="宋体"/>
          <w:color w:val="auto"/>
          <w:sz w:val="21"/>
          <w:szCs w:val="21"/>
        </w:rPr>
        <w:t>，</w:t>
      </w:r>
      <w:r>
        <w:rPr>
          <w:rFonts w:hint="eastAsia" w:ascii="宋体" w:hAnsi="宋体" w:eastAsia="宋体" w:cs="宋体"/>
          <w:color w:val="auto"/>
          <w:sz w:val="21"/>
          <w:szCs w:val="21"/>
          <w:lang w:val="zh-CN"/>
        </w:rPr>
        <w:t>投标人投标文件中应提供具有国家确定的认证机构出具的、处于有效期之内的节能产品或环境标志产品认证证书，否则将承担其投标被视为非实质性响应投标的风险。</w:t>
      </w:r>
    </w:p>
    <w:p w14:paraId="2B89D2D3">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投标人所投其他产品若属于《节能产品政府采购品目清单》优先采购产品，投标文件中应提供具有国家确定的认证机构出具的、处于有效期之内的节能产品认证证书，评标委员会根据本项目评标标准予以判定并赋分。</w:t>
      </w:r>
    </w:p>
    <w:p w14:paraId="2B89D2D4">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2B89D2D5">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 xml:space="preserve">    （</w:t>
      </w:r>
      <w:r>
        <w:rPr>
          <w:rFonts w:hint="eastAsia" w:ascii="宋体" w:hAnsi="宋体" w:eastAsia="宋体" w:cs="宋体"/>
          <w:b/>
          <w:color w:val="auto"/>
          <w:szCs w:val="21"/>
        </w:rPr>
        <w:t>4</w:t>
      </w:r>
      <w:r>
        <w:rPr>
          <w:rFonts w:hint="eastAsia" w:ascii="宋体" w:hAnsi="宋体" w:eastAsia="宋体" w:cs="宋体"/>
          <w:b/>
          <w:color w:val="auto"/>
          <w:szCs w:val="21"/>
          <w:lang w:val="zh-CN"/>
        </w:rPr>
        <w:t xml:space="preserve">）网络关键设备、网络安全专用产品要求 </w:t>
      </w:r>
    </w:p>
    <w:p w14:paraId="2B89D2D6">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val="zh-CN"/>
        </w:rPr>
        <w:t>项目中涉及网络关键设备或网络安全专用产品的，至少符合以下条件之一：一是已由具备资格的机构安全认证合格或安全检测符合要求；二是已获得《计算机信息系统安全专用产品销售许可证》，且在有效期内。</w:t>
      </w:r>
    </w:p>
    <w:p w14:paraId="2B89D2D7">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提供资料（下列资料任意一项）</w:t>
      </w:r>
    </w:p>
    <w:p w14:paraId="2B89D2D8">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①网络关键设备和网络安全专用产品安全认证证书；</w:t>
      </w:r>
    </w:p>
    <w:p w14:paraId="2B89D2D9">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②网络关键设备安全检测证书、网络安全专用产品安全检测证书；</w:t>
      </w:r>
    </w:p>
    <w:p w14:paraId="2B89D2DA">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③计算机信息系统安全专用产品销售许可证；</w:t>
      </w:r>
    </w:p>
    <w:p w14:paraId="2B89D2DB">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④中国网信网或工业和信息化部网站或公安部网站或国家认证认可监督管理委员会网站公布的认证、检测结果（提供公布安全认证、安全检测结果页面网址和安全认证、检测结果截图）。</w:t>
      </w:r>
    </w:p>
    <w:p w14:paraId="2B89D2DC">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w:t>
      </w:r>
      <w:r>
        <w:rPr>
          <w:rFonts w:hint="eastAsia" w:ascii="宋体" w:hAnsi="宋体" w:eastAsia="宋体" w:cs="宋体"/>
          <w:b/>
          <w:color w:val="auto"/>
          <w:szCs w:val="21"/>
        </w:rPr>
        <w:t>5</w:t>
      </w:r>
      <w:r>
        <w:rPr>
          <w:rFonts w:hint="eastAsia" w:ascii="宋体" w:hAnsi="宋体" w:eastAsia="宋体" w:cs="宋体"/>
          <w:b/>
          <w:color w:val="auto"/>
          <w:szCs w:val="21"/>
          <w:lang w:val="zh-CN"/>
        </w:rPr>
        <w:t>）投标无效情形</w:t>
      </w:r>
    </w:p>
    <w:p w14:paraId="2B89D2DD">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2B89D2DE">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2）符合性审查资料未按招标文件要求签署、盖章的；</w:t>
      </w:r>
    </w:p>
    <w:p w14:paraId="2B89D2DF">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3）有下列情形之一的，视为投标人串通投标，其投标无效：</w:t>
      </w:r>
    </w:p>
    <w:p w14:paraId="2B89D2E0">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a.不同投标人的投标文件由同一单位或者个人编制；</w:t>
      </w:r>
    </w:p>
    <w:p w14:paraId="2B89D2E1">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b.不同投标人委托同一单位或者个人办理投标事宜；</w:t>
      </w:r>
    </w:p>
    <w:p w14:paraId="2B89D2E2">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c.不同投标人的投标文件载明的项目管理成员或者联系人员为同一人；</w:t>
      </w:r>
    </w:p>
    <w:p w14:paraId="2B89D2E3">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d.不同投标人的投标文件异常一致或者投标报价呈规律性差异；</w:t>
      </w:r>
    </w:p>
    <w:p w14:paraId="2B89D2E4">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e.不同投标人的投标文件相互混装；</w:t>
      </w:r>
    </w:p>
    <w:p w14:paraId="0A0662EB">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231FC32">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highlight w:val="none"/>
          <w:lang w:val="zh-CN"/>
        </w:rPr>
        <w:t>5）评标委员会启动异常低价投标（响应）审查后，要求相关供应商在评审现场规定时间内（给予供应商的时间不少于60分钟）对投标（响应）价格作出解释、提供证明材料，投标（响应）供应商未在规定时间内提供书面说明、证明材料，或者提供的书面说明、证明材料不能证明其报价合理性的，评标委员会应当将其作为无效投标（响应）处理。</w:t>
      </w:r>
    </w:p>
    <w:p w14:paraId="2B89D2E6">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6</w:t>
      </w:r>
      <w:r>
        <w:rPr>
          <w:rFonts w:hint="eastAsia" w:ascii="宋体" w:hAnsi="宋体" w:eastAsia="宋体" w:cs="宋体"/>
          <w:color w:val="auto"/>
          <w:szCs w:val="21"/>
          <w:lang w:val="zh-CN"/>
        </w:rPr>
        <w:t>）法律法规和招标文件规定的其他无效情形。</w:t>
      </w:r>
    </w:p>
    <w:p w14:paraId="2B89D305">
      <w:pPr>
        <w:pStyle w:val="9"/>
        <w:numPr>
          <w:ilvl w:val="0"/>
          <w:numId w:val="0"/>
        </w:numPr>
        <w:spacing w:line="360" w:lineRule="auto"/>
        <w:contextualSpacing/>
        <w:rPr>
          <w:rFonts w:hint="eastAsia" w:ascii="宋体" w:hAnsi="宋体" w:eastAsia="宋体" w:cs="宋体"/>
          <w:color w:val="auto"/>
          <w:lang w:val="zh-CN"/>
        </w:rPr>
      </w:pPr>
      <w:r>
        <w:rPr>
          <w:rFonts w:hint="eastAsia" w:ascii="宋体" w:hAnsi="宋体" w:eastAsia="宋体" w:cs="宋体"/>
          <w:b/>
          <w:color w:val="auto"/>
          <w:sz w:val="21"/>
          <w:szCs w:val="21"/>
          <w:lang w:val="zh-CN"/>
        </w:rPr>
        <w:t>（</w:t>
      </w:r>
      <w:r>
        <w:rPr>
          <w:rFonts w:hint="eastAsia" w:ascii="宋体" w:hAnsi="宋体" w:eastAsia="宋体" w:cs="宋体"/>
          <w:b/>
          <w:color w:val="auto"/>
          <w:sz w:val="21"/>
          <w:szCs w:val="21"/>
          <w:lang w:val="en-US" w:eastAsia="zh-CN"/>
        </w:rPr>
        <w:t>6</w:t>
      </w:r>
      <w:r>
        <w:rPr>
          <w:rFonts w:hint="eastAsia" w:ascii="宋体" w:hAnsi="宋体" w:eastAsia="宋体" w:cs="宋体"/>
          <w:b/>
          <w:color w:val="auto"/>
          <w:sz w:val="21"/>
          <w:szCs w:val="21"/>
          <w:lang w:val="zh-CN"/>
        </w:rPr>
        <w:t>）评标标准</w:t>
      </w:r>
    </w:p>
    <w:p w14:paraId="7636DB84">
      <w:pPr>
        <w:pStyle w:val="9"/>
        <w:spacing w:line="360" w:lineRule="auto"/>
        <w:ind w:firstLine="422" w:firstLineChars="200"/>
        <w:contextualSpacing/>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第一标段：</w:t>
      </w:r>
    </w:p>
    <w:tbl>
      <w:tblPr>
        <w:tblStyle w:val="18"/>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407"/>
        <w:gridCol w:w="992"/>
      </w:tblGrid>
      <w:tr w14:paraId="6470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20C5339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分值构成</w:t>
            </w:r>
          </w:p>
          <w:p w14:paraId="66031D0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总分100分</w:t>
            </w:r>
            <w:r>
              <w:rPr>
                <w:rFonts w:hint="eastAsia" w:ascii="宋体" w:hAnsi="宋体" w:eastAsia="宋体" w:cs="宋体"/>
                <w:color w:val="auto"/>
                <w:sz w:val="21"/>
                <w:szCs w:val="21"/>
                <w:highlight w:val="none"/>
                <w:lang w:eastAsia="zh-CN"/>
              </w:rPr>
              <w:t>）</w:t>
            </w:r>
          </w:p>
        </w:tc>
        <w:tc>
          <w:tcPr>
            <w:tcW w:w="7399" w:type="dxa"/>
            <w:gridSpan w:val="2"/>
            <w:tcBorders>
              <w:top w:val="single" w:color="auto" w:sz="4" w:space="0"/>
              <w:left w:val="single" w:color="auto" w:sz="4" w:space="0"/>
              <w:bottom w:val="single" w:color="auto" w:sz="4" w:space="0"/>
              <w:right w:val="single" w:color="auto" w:sz="4" w:space="0"/>
            </w:tcBorders>
            <w:noWrap/>
            <w:vAlign w:val="center"/>
          </w:tcPr>
          <w:p w14:paraId="271A59B6">
            <w:pPr>
              <w:shd w:val="clear"/>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价格分值：</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0分</w:t>
            </w:r>
          </w:p>
          <w:p w14:paraId="0D18FAEB">
            <w:pPr>
              <w:shd w:val="clear"/>
              <w:spacing w:line="360" w:lineRule="auto"/>
              <w:ind w:firstLine="48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商务部分：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分</w:t>
            </w:r>
          </w:p>
          <w:p w14:paraId="68F6BEA8">
            <w:pPr>
              <w:shd w:val="clea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技术部分：</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分</w:t>
            </w:r>
          </w:p>
        </w:tc>
      </w:tr>
      <w:tr w14:paraId="4FA3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0F6C407D">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一、价格部分（满分</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0分）</w:t>
            </w:r>
          </w:p>
        </w:tc>
      </w:tr>
      <w:tr w14:paraId="24E7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6D5CA21B">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50A6984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76DEBED8">
            <w:pPr>
              <w:shd w:val="clear"/>
              <w:spacing w:line="330" w:lineRule="atLeast"/>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分值</w:t>
            </w:r>
          </w:p>
        </w:tc>
      </w:tr>
      <w:tr w14:paraId="4342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3E6E5711">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6407" w:type="dxa"/>
            <w:tcBorders>
              <w:top w:val="single" w:color="auto" w:sz="4" w:space="0"/>
              <w:left w:val="single" w:color="auto" w:sz="4" w:space="0"/>
              <w:bottom w:val="single" w:color="auto" w:sz="4" w:space="0"/>
              <w:right w:val="single" w:color="auto" w:sz="4" w:space="0"/>
            </w:tcBorders>
            <w:noWrap/>
            <w:vAlign w:val="center"/>
          </w:tcPr>
          <w:p w14:paraId="6499DBC2">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满足招标文件要求且投标价格最低的投标报价为评标基准价，其</w:t>
            </w:r>
          </w:p>
          <w:p w14:paraId="2975AB4D">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价格分为满分。其他合格投标人的价格分统一按照下列公式计算：</w:t>
            </w:r>
          </w:p>
          <w:p w14:paraId="6321978B">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投标报价得分=（评标基准价/投标报价）×50</w:t>
            </w:r>
          </w:p>
          <w:p w14:paraId="7916ACE8">
            <w:pPr>
              <w:shd w:val="clear"/>
              <w:tabs>
                <w:tab w:val="left" w:pos="540"/>
                <w:tab w:val="center" w:pos="315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计算按四舍五入法则。保留小数点后两位。</w:t>
            </w:r>
          </w:p>
        </w:tc>
        <w:tc>
          <w:tcPr>
            <w:tcW w:w="992" w:type="dxa"/>
            <w:tcBorders>
              <w:top w:val="single" w:color="auto" w:sz="4" w:space="0"/>
              <w:left w:val="single" w:color="auto" w:sz="4" w:space="0"/>
              <w:bottom w:val="single" w:color="auto" w:sz="4" w:space="0"/>
              <w:right w:val="single" w:color="auto" w:sz="4" w:space="0"/>
            </w:tcBorders>
            <w:noWrap/>
            <w:vAlign w:val="center"/>
          </w:tcPr>
          <w:p w14:paraId="50A3E228">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0分</w:t>
            </w:r>
          </w:p>
        </w:tc>
      </w:tr>
      <w:tr w14:paraId="2C7F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495B6A03">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二、商务部分（满分</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eastAsia="zh-CN"/>
              </w:rPr>
              <w:t>分）</w:t>
            </w:r>
          </w:p>
        </w:tc>
      </w:tr>
      <w:tr w14:paraId="6E42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3D1BC53C">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526C3B97">
            <w:pPr>
              <w:shd w:val="clear"/>
              <w:tabs>
                <w:tab w:val="left" w:pos="540"/>
                <w:tab w:val="center" w:pos="3155"/>
              </w:tabs>
              <w:spacing w:line="360" w:lineRule="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ab/>
            </w:r>
            <w:r>
              <w:rPr>
                <w:rFonts w:hint="eastAsia" w:ascii="宋体" w:hAnsi="宋体" w:eastAsia="宋体" w:cs="宋体"/>
                <w:bCs/>
                <w:color w:val="auto"/>
                <w:sz w:val="21"/>
                <w:szCs w:val="21"/>
                <w:highlight w:val="none"/>
              </w:rPr>
              <w:tab/>
            </w:r>
            <w:r>
              <w:rPr>
                <w:rFonts w:hint="eastAsia" w:ascii="宋体" w:hAnsi="宋体" w:eastAsia="宋体" w:cs="宋体"/>
                <w:bCs/>
                <w:color w:val="auto"/>
                <w:sz w:val="21"/>
                <w:szCs w:val="21"/>
                <w:highlight w:val="none"/>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22A082EF">
            <w:pPr>
              <w:shd w:val="clear"/>
              <w:spacing w:line="330" w:lineRule="atLeast"/>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分值</w:t>
            </w:r>
          </w:p>
        </w:tc>
      </w:tr>
      <w:tr w14:paraId="0B32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659795C5">
            <w:pPr>
              <w:shd w:val="clear"/>
              <w:tabs>
                <w:tab w:val="left" w:pos="5130"/>
              </w:tabs>
              <w:spacing w:line="276"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业绩</w:t>
            </w:r>
          </w:p>
        </w:tc>
        <w:tc>
          <w:tcPr>
            <w:tcW w:w="6407" w:type="dxa"/>
            <w:tcBorders>
              <w:top w:val="single" w:color="auto" w:sz="4" w:space="0"/>
              <w:left w:val="single" w:color="auto" w:sz="4" w:space="0"/>
              <w:bottom w:val="single" w:color="auto" w:sz="4" w:space="0"/>
              <w:right w:val="single" w:color="auto" w:sz="4" w:space="0"/>
            </w:tcBorders>
            <w:noWrap/>
            <w:vAlign w:val="center"/>
          </w:tcPr>
          <w:p w14:paraId="029515A3">
            <w:pPr>
              <w:shd w:val="clear"/>
              <w:tabs>
                <w:tab w:val="left" w:pos="540"/>
                <w:tab w:val="center" w:pos="315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eastAsia="zh-CN"/>
              </w:rPr>
              <w:t>自202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年1月1日以来（</w:t>
            </w:r>
            <w:r>
              <w:rPr>
                <w:rFonts w:hint="eastAsia" w:ascii="宋体" w:hAnsi="宋体" w:eastAsia="宋体" w:cs="宋体"/>
                <w:color w:val="auto"/>
                <w:sz w:val="21"/>
                <w:szCs w:val="21"/>
                <w:highlight w:val="none"/>
                <w:lang w:val="en-US" w:eastAsia="zh-CN"/>
              </w:rPr>
              <w:t>以签订合同时间为准</w:t>
            </w:r>
            <w:r>
              <w:rPr>
                <w:rFonts w:hint="eastAsia" w:ascii="宋体" w:hAnsi="宋体" w:eastAsia="宋体" w:cs="宋体"/>
                <w:color w:val="auto"/>
                <w:sz w:val="21"/>
                <w:szCs w:val="21"/>
                <w:highlight w:val="none"/>
                <w:lang w:eastAsia="zh-CN"/>
              </w:rPr>
              <w:t>），承担过类似项目的，每</w:t>
            </w:r>
            <w:r>
              <w:rPr>
                <w:rFonts w:hint="eastAsia" w:ascii="宋体" w:hAnsi="宋体" w:eastAsia="宋体" w:cs="宋体"/>
                <w:color w:val="auto"/>
                <w:sz w:val="21"/>
                <w:szCs w:val="21"/>
                <w:highlight w:val="none"/>
                <w:lang w:val="en-US" w:eastAsia="zh-CN"/>
              </w:rPr>
              <w:t>提供一</w:t>
            </w:r>
            <w:r>
              <w:rPr>
                <w:rFonts w:hint="eastAsia" w:ascii="宋体" w:hAnsi="宋体" w:eastAsia="宋体" w:cs="宋体"/>
                <w:color w:val="auto"/>
                <w:sz w:val="21"/>
                <w:szCs w:val="21"/>
                <w:highlight w:val="none"/>
                <w:lang w:eastAsia="zh-CN"/>
              </w:rPr>
              <w:t>个得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分，最多得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分。</w:t>
            </w:r>
          </w:p>
          <w:p w14:paraId="48643EF0">
            <w:pPr>
              <w:shd w:val="clear"/>
              <w:tabs>
                <w:tab w:val="left" w:pos="540"/>
                <w:tab w:val="center" w:pos="315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lang w:val="zh-CN" w:eastAsia="zh-CN"/>
              </w:rPr>
              <w:t>注：</w:t>
            </w:r>
            <w:r>
              <w:rPr>
                <w:rFonts w:hint="eastAsia" w:ascii="宋体" w:hAnsi="宋体" w:eastAsia="宋体" w:cs="宋体"/>
                <w:color w:val="auto"/>
                <w:sz w:val="21"/>
                <w:szCs w:val="21"/>
              </w:rPr>
              <w:t>投标文件中须附合同书原件的扫描件（或图片）。</w:t>
            </w:r>
          </w:p>
        </w:tc>
        <w:tc>
          <w:tcPr>
            <w:tcW w:w="992" w:type="dxa"/>
            <w:tcBorders>
              <w:top w:val="single" w:color="auto" w:sz="4" w:space="0"/>
              <w:left w:val="single" w:color="auto" w:sz="4" w:space="0"/>
              <w:bottom w:val="single" w:color="auto" w:sz="4" w:space="0"/>
              <w:right w:val="single" w:color="auto" w:sz="4" w:space="0"/>
            </w:tcBorders>
            <w:noWrap/>
            <w:vAlign w:val="center"/>
          </w:tcPr>
          <w:p w14:paraId="170749BF">
            <w:pPr>
              <w:shd w:val="clear"/>
              <w:spacing w:line="330" w:lineRule="atLeast"/>
              <w:ind w:right="24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r>
      <w:tr w14:paraId="080A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9067" w:type="dxa"/>
            <w:gridSpan w:val="3"/>
            <w:tcBorders>
              <w:top w:val="single" w:color="auto" w:sz="4" w:space="0"/>
              <w:left w:val="single" w:color="auto" w:sz="4" w:space="0"/>
              <w:bottom w:val="single" w:color="auto" w:sz="4" w:space="0"/>
              <w:right w:val="single" w:color="auto" w:sz="4" w:space="0"/>
            </w:tcBorders>
            <w:noWrap/>
            <w:vAlign w:val="center"/>
          </w:tcPr>
          <w:p w14:paraId="7BEB302D">
            <w:pPr>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三、技术部分（满分</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0分）</w:t>
            </w:r>
          </w:p>
        </w:tc>
      </w:tr>
      <w:tr w14:paraId="217B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668" w:type="dxa"/>
            <w:tcBorders>
              <w:top w:val="single" w:color="auto" w:sz="4" w:space="0"/>
              <w:left w:val="single" w:color="auto" w:sz="4" w:space="0"/>
              <w:bottom w:val="single" w:color="auto" w:sz="4" w:space="0"/>
              <w:right w:val="single" w:color="auto" w:sz="4" w:space="0"/>
            </w:tcBorders>
            <w:noWrap/>
            <w:vAlign w:val="center"/>
          </w:tcPr>
          <w:p w14:paraId="42BB7448">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评分因素</w:t>
            </w:r>
          </w:p>
        </w:tc>
        <w:tc>
          <w:tcPr>
            <w:tcW w:w="6407" w:type="dxa"/>
            <w:tcBorders>
              <w:top w:val="single" w:color="auto" w:sz="4" w:space="0"/>
              <w:left w:val="single" w:color="auto" w:sz="4" w:space="0"/>
              <w:bottom w:val="single" w:color="auto" w:sz="4" w:space="0"/>
              <w:right w:val="single" w:color="auto" w:sz="4" w:space="0"/>
            </w:tcBorders>
            <w:noWrap/>
            <w:vAlign w:val="center"/>
          </w:tcPr>
          <w:p w14:paraId="1A801A9D">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992" w:type="dxa"/>
            <w:tcBorders>
              <w:top w:val="single" w:color="auto" w:sz="4" w:space="0"/>
              <w:left w:val="single" w:color="auto" w:sz="4" w:space="0"/>
              <w:bottom w:val="single" w:color="auto" w:sz="4" w:space="0"/>
              <w:right w:val="single" w:color="auto" w:sz="4" w:space="0"/>
            </w:tcBorders>
            <w:noWrap/>
            <w:vAlign w:val="center"/>
          </w:tcPr>
          <w:p w14:paraId="6BD13A04">
            <w:pPr>
              <w:shd w:val="clear"/>
              <w:spacing w:line="33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14:paraId="33D3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668" w:type="dxa"/>
            <w:tcBorders>
              <w:top w:val="single" w:color="auto" w:sz="4" w:space="0"/>
              <w:left w:val="single" w:color="auto" w:sz="4" w:space="0"/>
              <w:right w:val="single" w:color="auto" w:sz="4" w:space="0"/>
            </w:tcBorders>
            <w:noWrap/>
            <w:vAlign w:val="center"/>
          </w:tcPr>
          <w:p w14:paraId="35CE95F6">
            <w:pPr>
              <w:widowControl/>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lang w:val="zh-CN"/>
              </w:rPr>
              <w:t>供货进度保证</w:t>
            </w:r>
            <w:r>
              <w:rPr>
                <w:rFonts w:hint="eastAsia" w:ascii="宋体" w:hAnsi="宋体" w:eastAsia="宋体" w:cs="宋体"/>
                <w:color w:val="auto"/>
                <w:szCs w:val="21"/>
                <w:lang w:val="en-US" w:eastAsia="zh-CN"/>
              </w:rPr>
              <w:t>措施方案</w:t>
            </w:r>
          </w:p>
        </w:tc>
        <w:tc>
          <w:tcPr>
            <w:tcW w:w="6407" w:type="dxa"/>
            <w:tcBorders>
              <w:top w:val="single" w:color="auto" w:sz="4" w:space="0"/>
              <w:left w:val="nil"/>
              <w:bottom w:val="single" w:color="auto" w:sz="4" w:space="0"/>
              <w:right w:val="single" w:color="auto" w:sz="4" w:space="0"/>
            </w:tcBorders>
            <w:noWrap/>
            <w:vAlign w:val="center"/>
          </w:tcPr>
          <w:p w14:paraId="5D3CF13F">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根据投标人提供的</w:t>
            </w:r>
            <w:r>
              <w:rPr>
                <w:rFonts w:hint="eastAsia" w:ascii="宋体" w:hAnsi="宋体" w:eastAsia="宋体" w:cs="宋体"/>
                <w:color w:val="auto"/>
                <w:sz w:val="21"/>
                <w:szCs w:val="21"/>
              </w:rPr>
              <w:t>供货进度保证</w:t>
            </w:r>
            <w:r>
              <w:rPr>
                <w:rFonts w:hint="eastAsia" w:ascii="宋体" w:hAnsi="宋体" w:eastAsia="宋体" w:cs="宋体"/>
                <w:color w:val="auto"/>
                <w:sz w:val="21"/>
                <w:szCs w:val="21"/>
                <w:lang w:val="en-US" w:eastAsia="zh-CN"/>
              </w:rPr>
              <w:t>措施方案</w:t>
            </w:r>
            <w:r>
              <w:rPr>
                <w:rFonts w:hint="eastAsia" w:ascii="宋体" w:hAnsi="宋体" w:eastAsia="宋体" w:cs="宋体"/>
                <w:color w:val="auto"/>
                <w:sz w:val="21"/>
                <w:szCs w:val="21"/>
                <w:highlight w:val="none"/>
                <w:lang w:val="en-US" w:eastAsia="zh-CN"/>
              </w:rPr>
              <w:t>，包含①供货进度安排；</w:t>
            </w:r>
            <w:r>
              <w:rPr>
                <w:rFonts w:hint="eastAsia" w:ascii="宋体" w:hAnsi="宋体" w:eastAsia="宋体" w:cs="宋体"/>
                <w:bCs/>
                <w:color w:val="auto"/>
                <w:spacing w:val="-1"/>
                <w:kern w:val="0"/>
                <w:sz w:val="21"/>
                <w:szCs w:val="21"/>
                <w:highlight w:val="none"/>
                <w:lang w:val="en-US" w:eastAsia="zh-CN" w:bidi="ar-SA"/>
              </w:rPr>
              <w:t>②</w:t>
            </w:r>
            <w:r>
              <w:rPr>
                <w:rFonts w:hint="eastAsia" w:ascii="宋体" w:hAnsi="宋体" w:eastAsia="宋体" w:cs="宋体"/>
                <w:color w:val="auto"/>
                <w:sz w:val="21"/>
                <w:szCs w:val="21"/>
              </w:rPr>
              <w:t>备货机制</w:t>
            </w:r>
            <w:r>
              <w:rPr>
                <w:rFonts w:hint="eastAsia" w:ascii="宋体" w:hAnsi="宋体" w:eastAsia="宋体" w:cs="宋体"/>
                <w:color w:val="auto"/>
                <w:sz w:val="21"/>
                <w:szCs w:val="21"/>
                <w:lang w:eastAsia="zh-CN"/>
              </w:rPr>
              <w:t>；</w:t>
            </w:r>
            <w:r>
              <w:rPr>
                <w:rFonts w:hint="eastAsia" w:ascii="宋体" w:hAnsi="宋体" w:eastAsia="宋体" w:cs="宋体"/>
                <w:bCs/>
                <w:color w:val="auto"/>
                <w:spacing w:val="-1"/>
                <w:kern w:val="0"/>
                <w:sz w:val="21"/>
                <w:szCs w:val="21"/>
                <w:highlight w:val="none"/>
                <w:lang w:val="en-US" w:eastAsia="zh-CN" w:bidi="ar-SA"/>
              </w:rPr>
              <w:t>③</w:t>
            </w:r>
            <w:r>
              <w:rPr>
                <w:rFonts w:hint="eastAsia" w:ascii="宋体" w:hAnsi="宋体" w:eastAsia="宋体" w:cs="宋体"/>
                <w:color w:val="auto"/>
                <w:sz w:val="21"/>
                <w:szCs w:val="21"/>
                <w:lang w:val="en-US" w:eastAsia="zh-CN"/>
              </w:rPr>
              <w:t>供货</w:t>
            </w:r>
            <w:r>
              <w:rPr>
                <w:rFonts w:hint="eastAsia" w:ascii="宋体" w:hAnsi="宋体" w:eastAsia="宋体" w:cs="宋体"/>
                <w:color w:val="auto"/>
                <w:sz w:val="21"/>
                <w:szCs w:val="21"/>
              </w:rPr>
              <w:t>期保障</w:t>
            </w:r>
            <w:r>
              <w:rPr>
                <w:rFonts w:hint="eastAsia" w:ascii="宋体" w:hAnsi="宋体" w:eastAsia="宋体" w:cs="宋体"/>
                <w:bCs/>
                <w:color w:val="auto"/>
                <w:spacing w:val="-1"/>
                <w:kern w:val="0"/>
                <w:sz w:val="21"/>
                <w:szCs w:val="21"/>
                <w:highlight w:val="none"/>
                <w:lang w:val="en-US" w:eastAsia="zh-CN" w:bidi="ar-SA"/>
              </w:rPr>
              <w:t>④运送、包装、配送方案</w:t>
            </w:r>
            <w:r>
              <w:rPr>
                <w:rFonts w:hint="eastAsia" w:ascii="宋体" w:hAnsi="宋体" w:eastAsia="宋体" w:cs="宋体"/>
                <w:color w:val="auto"/>
                <w:sz w:val="21"/>
                <w:szCs w:val="21"/>
                <w:highlight w:val="none"/>
                <w:lang w:val="en-US" w:eastAsia="zh-CN"/>
              </w:rPr>
              <w:t>进行打分；</w:t>
            </w:r>
          </w:p>
          <w:p w14:paraId="0A8E8278">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每有一项方案，措施完善、方案完整、可落地性强的得3分。有基本措施、内容较合理的得2.1分。内容简单、无具体进度保障措施的得1.2分。本项最高得6分，</w:t>
            </w:r>
            <w:r>
              <w:rPr>
                <w:rFonts w:hint="eastAsia" w:ascii="宋体" w:hAnsi="宋体" w:eastAsia="宋体" w:cs="宋体"/>
                <w:color w:val="auto"/>
                <w:sz w:val="21"/>
                <w:szCs w:val="21"/>
                <w:highlight w:val="none"/>
                <w:lang w:val="zh-CN" w:eastAsia="zh-CN"/>
              </w:rPr>
              <w:t>不提供者</w:t>
            </w:r>
            <w:r>
              <w:rPr>
                <w:rFonts w:hint="eastAsia" w:ascii="宋体" w:hAnsi="宋体" w:eastAsia="宋体" w:cs="宋体"/>
                <w:color w:val="auto"/>
                <w:sz w:val="21"/>
                <w:szCs w:val="21"/>
                <w:highlight w:val="none"/>
                <w:lang w:val="en-US" w:eastAsia="zh-CN"/>
              </w:rPr>
              <w:t>不得分</w:t>
            </w:r>
            <w:r>
              <w:rPr>
                <w:rFonts w:hint="eastAsia" w:ascii="宋体" w:hAnsi="宋体" w:eastAsia="宋体" w:cs="宋体"/>
                <w:color w:val="auto"/>
                <w:sz w:val="21"/>
                <w:szCs w:val="21"/>
                <w:highlight w:val="none"/>
                <w:lang w:val="zh-CN" w:eastAsia="zh-CN"/>
              </w:rPr>
              <w:t>。</w:t>
            </w:r>
          </w:p>
        </w:tc>
        <w:tc>
          <w:tcPr>
            <w:tcW w:w="992" w:type="dxa"/>
            <w:tcBorders>
              <w:top w:val="single" w:color="auto" w:sz="4" w:space="0"/>
              <w:left w:val="single" w:color="auto" w:sz="4" w:space="0"/>
              <w:bottom w:val="single" w:color="auto" w:sz="4" w:space="0"/>
              <w:right w:val="single" w:color="auto" w:sz="4" w:space="0"/>
            </w:tcBorders>
            <w:noWrap/>
            <w:vAlign w:val="center"/>
          </w:tcPr>
          <w:p w14:paraId="6F1A1501">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Cs w:val="21"/>
              </w:rPr>
              <w:t>分</w:t>
            </w:r>
          </w:p>
        </w:tc>
      </w:tr>
      <w:tr w14:paraId="5695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668" w:type="dxa"/>
            <w:tcBorders>
              <w:top w:val="single" w:color="auto" w:sz="4" w:space="0"/>
              <w:left w:val="single" w:color="auto" w:sz="4" w:space="0"/>
              <w:right w:val="single" w:color="auto" w:sz="4" w:space="0"/>
            </w:tcBorders>
            <w:noWrap/>
            <w:vAlign w:val="center"/>
          </w:tcPr>
          <w:p w14:paraId="5F604779">
            <w:pPr>
              <w:widowControl/>
              <w:jc w:val="center"/>
              <w:rPr>
                <w:rFonts w:hint="eastAsia" w:ascii="宋体" w:hAnsi="宋体" w:eastAsia="宋体" w:cs="宋体"/>
                <w:color w:val="auto"/>
                <w:szCs w:val="21"/>
                <w:lang w:val="zh-CN" w:eastAsia="zh-CN"/>
              </w:rPr>
            </w:pPr>
            <w:r>
              <w:rPr>
                <w:rFonts w:hint="eastAsia" w:ascii="宋体" w:hAnsi="宋体" w:eastAsia="宋体" w:cs="宋体"/>
                <w:color w:val="auto"/>
                <w:szCs w:val="21"/>
                <w:lang w:val="zh-CN"/>
              </w:rPr>
              <w:t>质量保证措施</w:t>
            </w:r>
          </w:p>
        </w:tc>
        <w:tc>
          <w:tcPr>
            <w:tcW w:w="6407" w:type="dxa"/>
            <w:tcBorders>
              <w:top w:val="single" w:color="auto" w:sz="4" w:space="0"/>
              <w:left w:val="nil"/>
              <w:bottom w:val="single" w:color="auto" w:sz="4" w:space="0"/>
              <w:right w:val="single" w:color="auto" w:sz="4" w:space="0"/>
            </w:tcBorders>
            <w:noWrap/>
            <w:vAlign w:val="center"/>
          </w:tcPr>
          <w:p w14:paraId="7763F127">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根据投标人提供的项目质量保证措施，包含①质量管理方案；②</w:t>
            </w:r>
            <w:r>
              <w:rPr>
                <w:rFonts w:hint="eastAsia" w:ascii="宋体" w:hAnsi="宋体" w:eastAsia="宋体" w:cs="宋体"/>
                <w:color w:val="auto"/>
                <w:sz w:val="21"/>
                <w:szCs w:val="21"/>
              </w:rPr>
              <w:t>售后质保</w:t>
            </w:r>
            <w:r>
              <w:rPr>
                <w:rFonts w:hint="eastAsia" w:ascii="宋体" w:hAnsi="宋体" w:eastAsia="宋体" w:cs="宋体"/>
                <w:color w:val="auto"/>
                <w:sz w:val="21"/>
                <w:szCs w:val="21"/>
                <w:lang w:val="en-US" w:eastAsia="zh-CN"/>
              </w:rPr>
              <w:t>及</w:t>
            </w:r>
            <w:r>
              <w:rPr>
                <w:rFonts w:hint="eastAsia" w:ascii="宋体" w:hAnsi="宋体" w:eastAsia="宋体" w:cs="宋体"/>
                <w:color w:val="auto"/>
                <w:sz w:val="21"/>
                <w:szCs w:val="21"/>
              </w:rPr>
              <w:t>质量问题处理方法</w:t>
            </w:r>
            <w:r>
              <w:rPr>
                <w:rFonts w:hint="eastAsia" w:ascii="宋体" w:hAnsi="宋体" w:eastAsia="宋体" w:cs="宋体"/>
                <w:color w:val="auto"/>
                <w:sz w:val="21"/>
                <w:szCs w:val="21"/>
                <w:highlight w:val="none"/>
                <w:lang w:val="en-US" w:eastAsia="zh-CN"/>
              </w:rPr>
              <w:t>进行打分；</w:t>
            </w:r>
          </w:p>
          <w:p w14:paraId="0F40B1C8">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每有一项方案，措施完善、方案完整、可落地性强的得3分。有基本措施、内容较合理的得2.1分。内容简单、无具体进度保障措施的得1.2分。本项最高得6分，</w:t>
            </w:r>
            <w:r>
              <w:rPr>
                <w:rFonts w:hint="eastAsia" w:ascii="宋体" w:hAnsi="宋体" w:eastAsia="宋体" w:cs="宋体"/>
                <w:color w:val="auto"/>
                <w:sz w:val="21"/>
                <w:szCs w:val="21"/>
                <w:highlight w:val="none"/>
                <w:lang w:val="zh-CN" w:eastAsia="zh-CN"/>
              </w:rPr>
              <w:t>不提供者</w:t>
            </w:r>
            <w:r>
              <w:rPr>
                <w:rFonts w:hint="eastAsia" w:ascii="宋体" w:hAnsi="宋体" w:eastAsia="宋体" w:cs="宋体"/>
                <w:color w:val="auto"/>
                <w:sz w:val="21"/>
                <w:szCs w:val="21"/>
                <w:highlight w:val="none"/>
                <w:lang w:val="en-US" w:eastAsia="zh-CN"/>
              </w:rPr>
              <w:t>不得分</w:t>
            </w:r>
            <w:r>
              <w:rPr>
                <w:rFonts w:hint="eastAsia" w:ascii="宋体" w:hAnsi="宋体" w:eastAsia="宋体" w:cs="宋体"/>
                <w:color w:val="auto"/>
                <w:sz w:val="21"/>
                <w:szCs w:val="21"/>
                <w:highlight w:val="none"/>
                <w:lang w:val="zh-CN" w:eastAsia="zh-CN"/>
              </w:rPr>
              <w:t>。</w:t>
            </w:r>
          </w:p>
        </w:tc>
        <w:tc>
          <w:tcPr>
            <w:tcW w:w="992" w:type="dxa"/>
            <w:tcBorders>
              <w:top w:val="single" w:color="auto" w:sz="4" w:space="0"/>
              <w:left w:val="single" w:color="auto" w:sz="4" w:space="0"/>
              <w:bottom w:val="single" w:color="auto" w:sz="4" w:space="0"/>
              <w:right w:val="single" w:color="auto" w:sz="4" w:space="0"/>
            </w:tcBorders>
            <w:noWrap/>
            <w:vAlign w:val="center"/>
          </w:tcPr>
          <w:p w14:paraId="5361C966">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Cs w:val="21"/>
              </w:rPr>
              <w:t>分</w:t>
            </w:r>
          </w:p>
        </w:tc>
      </w:tr>
      <w:tr w14:paraId="3567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668" w:type="dxa"/>
            <w:tcBorders>
              <w:top w:val="single" w:color="auto" w:sz="4" w:space="0"/>
              <w:left w:val="single" w:color="auto" w:sz="4" w:space="0"/>
              <w:right w:val="single" w:color="auto" w:sz="4" w:space="0"/>
            </w:tcBorders>
            <w:noWrap/>
            <w:vAlign w:val="center"/>
          </w:tcPr>
          <w:p w14:paraId="354F0B76">
            <w:pPr>
              <w:widowControl/>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安装、调试</w:t>
            </w:r>
          </w:p>
          <w:p w14:paraId="60FF547E">
            <w:pPr>
              <w:widowControl/>
              <w:jc w:val="center"/>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方案</w:t>
            </w:r>
          </w:p>
        </w:tc>
        <w:tc>
          <w:tcPr>
            <w:tcW w:w="6407" w:type="dxa"/>
            <w:tcBorders>
              <w:top w:val="single" w:color="auto" w:sz="4" w:space="0"/>
              <w:left w:val="nil"/>
              <w:bottom w:val="single" w:color="auto" w:sz="4" w:space="0"/>
              <w:right w:val="single" w:color="auto" w:sz="4" w:space="0"/>
            </w:tcBorders>
            <w:noWrap/>
            <w:vAlign w:val="center"/>
          </w:tcPr>
          <w:p w14:paraId="71046CFE">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根据投标人提供的安装、调试方案，包含①安装流程规划及安装人员安排；②安全注意事项、调试的具体内容与出现的问题制定应对预案；</w:t>
            </w:r>
          </w:p>
          <w:p w14:paraId="234DBBAC">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每有一项方案，措施完善、方案完整、可落地性强的得3分。有基本措施、内容较合理的得2.1分。内容简单、无具体进度保障措施的得1.2分。本项最高得6分，</w:t>
            </w:r>
            <w:r>
              <w:rPr>
                <w:rFonts w:hint="eastAsia" w:ascii="宋体" w:hAnsi="宋体" w:eastAsia="宋体" w:cs="宋体"/>
                <w:color w:val="auto"/>
                <w:sz w:val="21"/>
                <w:szCs w:val="21"/>
                <w:highlight w:val="none"/>
                <w:lang w:val="zh-CN" w:eastAsia="zh-CN"/>
              </w:rPr>
              <w:t>不提供者</w:t>
            </w:r>
            <w:r>
              <w:rPr>
                <w:rFonts w:hint="eastAsia" w:ascii="宋体" w:hAnsi="宋体" w:eastAsia="宋体" w:cs="宋体"/>
                <w:color w:val="auto"/>
                <w:sz w:val="21"/>
                <w:szCs w:val="21"/>
                <w:highlight w:val="none"/>
                <w:lang w:val="en-US" w:eastAsia="zh-CN"/>
              </w:rPr>
              <w:t>不得分</w:t>
            </w:r>
            <w:r>
              <w:rPr>
                <w:rFonts w:hint="eastAsia" w:ascii="宋体" w:hAnsi="宋体" w:eastAsia="宋体" w:cs="宋体"/>
                <w:color w:val="auto"/>
                <w:sz w:val="21"/>
                <w:szCs w:val="21"/>
                <w:highlight w:val="none"/>
                <w:lang w:val="zh-CN" w:eastAsia="zh-CN"/>
              </w:rPr>
              <w:t>。</w:t>
            </w:r>
          </w:p>
        </w:tc>
        <w:tc>
          <w:tcPr>
            <w:tcW w:w="992" w:type="dxa"/>
            <w:tcBorders>
              <w:top w:val="single" w:color="auto" w:sz="4" w:space="0"/>
              <w:left w:val="single" w:color="auto" w:sz="4" w:space="0"/>
              <w:bottom w:val="single" w:color="auto" w:sz="4" w:space="0"/>
              <w:right w:val="single" w:color="auto" w:sz="4" w:space="0"/>
            </w:tcBorders>
            <w:noWrap/>
            <w:vAlign w:val="center"/>
          </w:tcPr>
          <w:p w14:paraId="22E4969E">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Cs w:val="21"/>
              </w:rPr>
              <w:t>分</w:t>
            </w:r>
          </w:p>
        </w:tc>
      </w:tr>
      <w:tr w14:paraId="5DBB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668" w:type="dxa"/>
            <w:tcBorders>
              <w:top w:val="single" w:color="auto" w:sz="4" w:space="0"/>
              <w:left w:val="single" w:color="auto" w:sz="4" w:space="0"/>
              <w:right w:val="single" w:color="auto" w:sz="4" w:space="0"/>
            </w:tcBorders>
            <w:noWrap/>
            <w:vAlign w:val="center"/>
          </w:tcPr>
          <w:p w14:paraId="2136189B">
            <w:pPr>
              <w:widowControl/>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zh-CN"/>
              </w:rPr>
              <w:t>应急</w:t>
            </w:r>
            <w:r>
              <w:rPr>
                <w:rFonts w:hint="eastAsia" w:ascii="宋体" w:hAnsi="宋体" w:eastAsia="宋体" w:cs="宋体"/>
                <w:color w:val="auto"/>
                <w:szCs w:val="21"/>
                <w:lang w:val="en-US" w:eastAsia="zh-CN"/>
              </w:rPr>
              <w:t>措施</w:t>
            </w:r>
            <w:r>
              <w:rPr>
                <w:rFonts w:hint="eastAsia" w:ascii="宋体" w:hAnsi="宋体" w:eastAsia="宋体" w:cs="宋体"/>
                <w:color w:val="auto"/>
                <w:szCs w:val="21"/>
                <w:lang w:val="zh-CN"/>
              </w:rPr>
              <w:t>方案</w:t>
            </w:r>
          </w:p>
        </w:tc>
        <w:tc>
          <w:tcPr>
            <w:tcW w:w="6407" w:type="dxa"/>
            <w:tcBorders>
              <w:top w:val="single" w:color="auto" w:sz="4" w:space="0"/>
              <w:left w:val="nil"/>
              <w:bottom w:val="single" w:color="auto" w:sz="4" w:space="0"/>
              <w:right w:val="single" w:color="auto" w:sz="4" w:space="0"/>
            </w:tcBorders>
            <w:noWrap/>
            <w:vAlign w:val="center"/>
          </w:tcPr>
          <w:p w14:paraId="1384BC92">
            <w:pPr>
              <w:widowControl/>
              <w:spacing w:line="360" w:lineRule="auto"/>
              <w:jc w:val="both"/>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根据</w:t>
            </w:r>
            <w:r>
              <w:rPr>
                <w:rFonts w:hint="eastAsia" w:ascii="宋体" w:hAnsi="宋体" w:eastAsia="宋体" w:cs="宋体"/>
                <w:color w:val="auto"/>
                <w:kern w:val="0"/>
                <w:sz w:val="21"/>
                <w:szCs w:val="21"/>
                <w:lang w:val="en-US" w:eastAsia="zh-CN"/>
              </w:rPr>
              <w:t>投标人</w:t>
            </w:r>
            <w:r>
              <w:rPr>
                <w:rFonts w:hint="eastAsia" w:ascii="宋体" w:hAnsi="宋体" w:eastAsia="宋体" w:cs="宋体"/>
                <w:color w:val="auto"/>
                <w:kern w:val="0"/>
                <w:sz w:val="21"/>
                <w:szCs w:val="21"/>
              </w:rPr>
              <w:t>提供</w:t>
            </w:r>
            <w:r>
              <w:rPr>
                <w:rFonts w:hint="eastAsia" w:ascii="宋体" w:hAnsi="宋体" w:eastAsia="宋体" w:cs="宋体"/>
                <w:color w:val="auto"/>
                <w:kern w:val="0"/>
                <w:sz w:val="21"/>
                <w:szCs w:val="21"/>
                <w:lang w:eastAsia="zh-CN"/>
              </w:rPr>
              <w:t>的</w:t>
            </w:r>
            <w:r>
              <w:rPr>
                <w:rFonts w:hint="eastAsia" w:ascii="宋体" w:hAnsi="宋体" w:eastAsia="宋体" w:cs="宋体"/>
                <w:color w:val="auto"/>
                <w:kern w:val="0"/>
                <w:sz w:val="21"/>
                <w:szCs w:val="21"/>
                <w:lang w:val="en-US" w:eastAsia="zh-CN"/>
              </w:rPr>
              <w:t>应急措施</w:t>
            </w:r>
            <w:r>
              <w:rPr>
                <w:rFonts w:hint="eastAsia" w:ascii="宋体" w:hAnsi="宋体" w:eastAsia="宋体" w:cs="宋体"/>
                <w:color w:val="auto"/>
                <w:kern w:val="0"/>
                <w:sz w:val="21"/>
                <w:szCs w:val="21"/>
              </w:rPr>
              <w:t>方案</w:t>
            </w:r>
            <w:r>
              <w:rPr>
                <w:rFonts w:hint="eastAsia" w:ascii="宋体" w:hAnsi="宋体" w:eastAsia="宋体" w:cs="宋体"/>
                <w:color w:val="auto"/>
                <w:kern w:val="0"/>
                <w:sz w:val="21"/>
                <w:szCs w:val="21"/>
                <w:lang w:eastAsia="zh-CN"/>
              </w:rPr>
              <w:t>，包含</w:t>
            </w:r>
            <w:r>
              <w:rPr>
                <w:rFonts w:hint="eastAsia" w:ascii="宋体" w:hAnsi="宋体" w:eastAsia="宋体" w:cs="宋体"/>
                <w:bCs/>
                <w:color w:val="auto"/>
                <w:spacing w:val="-1"/>
                <w:kern w:val="0"/>
                <w:sz w:val="21"/>
                <w:szCs w:val="21"/>
                <w:highlight w:val="none"/>
                <w:lang w:val="en-US" w:eastAsia="zh-CN" w:bidi="ar-SA"/>
              </w:rPr>
              <w:t>①应急体系、</w:t>
            </w:r>
            <w:r>
              <w:rPr>
                <w:rFonts w:hint="eastAsia" w:ascii="宋体" w:hAnsi="宋体" w:eastAsia="宋体" w:cs="宋体"/>
                <w:color w:val="auto"/>
                <w:sz w:val="21"/>
                <w:szCs w:val="21"/>
              </w:rPr>
              <w:t>突发事件</w:t>
            </w:r>
            <w:r>
              <w:rPr>
                <w:rFonts w:hint="eastAsia" w:ascii="宋体" w:hAnsi="宋体" w:eastAsia="宋体" w:cs="宋体"/>
                <w:color w:val="auto"/>
                <w:sz w:val="21"/>
                <w:szCs w:val="21"/>
                <w:lang w:val="en-US" w:eastAsia="zh-CN"/>
              </w:rPr>
              <w:t>应急处理</w:t>
            </w:r>
            <w:r>
              <w:rPr>
                <w:rFonts w:hint="eastAsia" w:ascii="宋体" w:hAnsi="宋体" w:eastAsia="宋体" w:cs="宋体"/>
                <w:color w:val="auto"/>
                <w:sz w:val="21"/>
                <w:szCs w:val="21"/>
                <w:lang w:val="en-US" w:eastAsia="zh-CN"/>
              </w:rPr>
              <w:t>；</w:t>
            </w:r>
            <w:r>
              <w:rPr>
                <w:rFonts w:hint="eastAsia" w:ascii="宋体" w:hAnsi="宋体" w:eastAsia="宋体" w:cs="宋体"/>
                <w:bCs/>
                <w:color w:val="auto"/>
                <w:spacing w:val="-1"/>
                <w:kern w:val="0"/>
                <w:sz w:val="21"/>
                <w:szCs w:val="21"/>
                <w:highlight w:val="none"/>
                <w:lang w:val="en-US" w:eastAsia="zh-CN" w:bidi="ar-SA"/>
              </w:rPr>
              <w:t>②</w:t>
            </w:r>
            <w:r>
              <w:rPr>
                <w:rFonts w:hint="eastAsia" w:ascii="宋体" w:hAnsi="宋体" w:eastAsia="宋体" w:cs="宋体"/>
                <w:color w:val="auto"/>
                <w:sz w:val="21"/>
                <w:szCs w:val="21"/>
              </w:rPr>
              <w:t>响应机制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处置流程</w:t>
            </w:r>
            <w:r>
              <w:rPr>
                <w:rFonts w:hint="eastAsia" w:ascii="宋体" w:hAnsi="宋体" w:eastAsia="宋体" w:cs="宋体"/>
                <w:color w:val="auto"/>
                <w:sz w:val="21"/>
                <w:szCs w:val="21"/>
                <w:lang w:val="en-US" w:eastAsia="zh-CN"/>
              </w:rPr>
              <w:t>及备用方案</w:t>
            </w:r>
            <w:r>
              <w:rPr>
                <w:rFonts w:hint="eastAsia" w:ascii="宋体" w:hAnsi="宋体" w:eastAsia="宋体" w:cs="宋体"/>
                <w:color w:val="auto"/>
                <w:sz w:val="21"/>
                <w:szCs w:val="21"/>
              </w:rPr>
              <w:t>进行打分</w:t>
            </w:r>
            <w:r>
              <w:rPr>
                <w:rFonts w:hint="eastAsia" w:ascii="宋体" w:hAnsi="宋体" w:eastAsia="宋体" w:cs="宋体"/>
                <w:color w:val="auto"/>
                <w:sz w:val="21"/>
                <w:szCs w:val="21"/>
                <w:lang w:eastAsia="zh-CN"/>
              </w:rPr>
              <w:t>；</w:t>
            </w:r>
          </w:p>
          <w:p w14:paraId="0021B89B">
            <w:pPr>
              <w:widowControl/>
              <w:spacing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rPr>
              <w:t>每</w:t>
            </w:r>
            <w:r>
              <w:rPr>
                <w:rFonts w:hint="eastAsia" w:ascii="宋体" w:hAnsi="宋体" w:eastAsia="宋体" w:cs="宋体"/>
                <w:color w:val="auto"/>
                <w:sz w:val="21"/>
                <w:szCs w:val="21"/>
                <w:lang w:val="en-US" w:eastAsia="zh-CN"/>
              </w:rPr>
              <w:t>有一</w:t>
            </w:r>
            <w:r>
              <w:rPr>
                <w:rFonts w:hint="eastAsia" w:ascii="宋体" w:hAnsi="宋体" w:eastAsia="宋体" w:cs="宋体"/>
                <w:color w:val="auto"/>
                <w:sz w:val="21"/>
                <w:szCs w:val="21"/>
              </w:rPr>
              <w:t>项方案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措施完善、</w:t>
            </w:r>
            <w:r>
              <w:rPr>
                <w:rFonts w:hint="eastAsia" w:ascii="宋体" w:hAnsi="宋体" w:eastAsia="宋体" w:cs="宋体"/>
                <w:color w:val="auto"/>
                <w:sz w:val="21"/>
                <w:szCs w:val="21"/>
              </w:rPr>
              <w:t>方案完整</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可落地性强</w:t>
            </w:r>
            <w:r>
              <w:rPr>
                <w:rFonts w:hint="eastAsia" w:ascii="宋体" w:hAnsi="宋体" w:eastAsia="宋体" w:cs="宋体"/>
                <w:color w:val="auto"/>
                <w:sz w:val="21"/>
                <w:szCs w:val="21"/>
                <w:lang w:val="en-US" w:eastAsia="zh-CN"/>
              </w:rPr>
              <w:t>的得3分。</w:t>
            </w:r>
            <w:r>
              <w:rPr>
                <w:rFonts w:hint="eastAsia" w:ascii="宋体" w:hAnsi="宋体" w:eastAsia="宋体" w:cs="宋体"/>
                <w:color w:val="auto"/>
                <w:sz w:val="21"/>
                <w:szCs w:val="21"/>
              </w:rPr>
              <w:t>有基本措施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内容较合理</w:t>
            </w:r>
            <w:r>
              <w:rPr>
                <w:rFonts w:hint="eastAsia" w:ascii="宋体" w:hAnsi="宋体" w:eastAsia="宋体" w:cs="宋体"/>
                <w:color w:val="auto"/>
                <w:sz w:val="21"/>
                <w:szCs w:val="21"/>
                <w:lang w:val="en-US" w:eastAsia="zh-CN"/>
              </w:rPr>
              <w:t>的得2.1分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内容简单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无具体</w:t>
            </w:r>
            <w:r>
              <w:rPr>
                <w:rFonts w:hint="eastAsia" w:ascii="宋体" w:hAnsi="宋体" w:eastAsia="宋体" w:cs="宋体"/>
                <w:color w:val="auto"/>
                <w:sz w:val="21"/>
                <w:szCs w:val="21"/>
                <w:lang w:val="en-US" w:eastAsia="zh-CN"/>
              </w:rPr>
              <w:t>应急</w:t>
            </w:r>
            <w:r>
              <w:rPr>
                <w:rFonts w:hint="eastAsia" w:ascii="宋体" w:hAnsi="宋体" w:eastAsia="宋体" w:cs="宋体"/>
                <w:color w:val="auto"/>
                <w:sz w:val="21"/>
                <w:szCs w:val="21"/>
              </w:rPr>
              <w:t>保障措施</w:t>
            </w:r>
            <w:r>
              <w:rPr>
                <w:rFonts w:hint="eastAsia" w:ascii="宋体" w:hAnsi="宋体" w:eastAsia="宋体" w:cs="宋体"/>
                <w:color w:val="auto"/>
                <w:sz w:val="21"/>
                <w:szCs w:val="21"/>
                <w:lang w:val="en-US" w:eastAsia="zh-CN"/>
              </w:rPr>
              <w:t>的得1.2分。本项最高得6分，</w:t>
            </w:r>
            <w:r>
              <w:rPr>
                <w:rFonts w:hint="eastAsia" w:ascii="宋体" w:hAnsi="宋体" w:eastAsia="宋体" w:cs="宋体"/>
                <w:color w:val="auto"/>
                <w:sz w:val="21"/>
                <w:szCs w:val="21"/>
                <w:lang w:val="zh-CN"/>
              </w:rPr>
              <w:t>不提供者</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zh-CN"/>
              </w:rPr>
              <w:t>。</w:t>
            </w:r>
          </w:p>
        </w:tc>
        <w:tc>
          <w:tcPr>
            <w:tcW w:w="992" w:type="dxa"/>
            <w:tcBorders>
              <w:top w:val="single" w:color="auto" w:sz="4" w:space="0"/>
              <w:left w:val="single" w:color="auto" w:sz="4" w:space="0"/>
              <w:bottom w:val="single" w:color="auto" w:sz="4" w:space="0"/>
              <w:right w:val="single" w:color="auto" w:sz="4" w:space="0"/>
            </w:tcBorders>
            <w:noWrap/>
            <w:vAlign w:val="center"/>
          </w:tcPr>
          <w:p w14:paraId="79C6C6C7">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Cs w:val="21"/>
              </w:rPr>
              <w:t>分</w:t>
            </w:r>
          </w:p>
        </w:tc>
      </w:tr>
      <w:tr w14:paraId="7334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668" w:type="dxa"/>
            <w:tcBorders>
              <w:left w:val="single" w:color="auto" w:sz="4" w:space="0"/>
              <w:right w:val="single" w:color="auto" w:sz="4" w:space="0"/>
            </w:tcBorders>
            <w:noWrap/>
            <w:vAlign w:val="center"/>
          </w:tcPr>
          <w:p w14:paraId="2EAE4853">
            <w:pPr>
              <w:widowControl/>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人员培训方案</w:t>
            </w:r>
          </w:p>
        </w:tc>
        <w:tc>
          <w:tcPr>
            <w:tcW w:w="6407" w:type="dxa"/>
            <w:tcBorders>
              <w:top w:val="single" w:color="auto" w:sz="4" w:space="0"/>
              <w:left w:val="nil"/>
              <w:bottom w:val="single" w:color="auto" w:sz="4" w:space="0"/>
              <w:right w:val="single" w:color="auto" w:sz="4" w:space="0"/>
            </w:tcBorders>
            <w:noWrap/>
            <w:vAlign w:val="top"/>
          </w:tcPr>
          <w:p w14:paraId="5D3D64C5">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提供培训计划，包括①人员数量和培训内容范围②培训计划。每有一项方案，内容科学合理、可实施性高、内容完整的得2分，不缺项仅有简单描述的得1.4分，内容不完整、缺乏科学合理的得0.8分。本项最高得4分，不提供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2A600F9C">
            <w:pPr>
              <w:shd w:val="clear"/>
              <w:tabs>
                <w:tab w:val="left" w:pos="540"/>
                <w:tab w:val="center" w:pos="3155"/>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Cs w:val="21"/>
              </w:rPr>
              <w:t>分</w:t>
            </w:r>
          </w:p>
        </w:tc>
      </w:tr>
      <w:tr w14:paraId="1804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668" w:type="dxa"/>
            <w:tcBorders>
              <w:left w:val="single" w:color="auto" w:sz="4" w:space="0"/>
              <w:right w:val="single" w:color="auto" w:sz="4" w:space="0"/>
            </w:tcBorders>
            <w:noWrap/>
            <w:vAlign w:val="center"/>
          </w:tcPr>
          <w:p w14:paraId="3D19E769">
            <w:pPr>
              <w:widowControl/>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售后服务方案</w:t>
            </w:r>
          </w:p>
        </w:tc>
        <w:tc>
          <w:tcPr>
            <w:tcW w:w="6407" w:type="dxa"/>
            <w:tcBorders>
              <w:top w:val="single" w:color="auto" w:sz="4" w:space="0"/>
              <w:left w:val="nil"/>
              <w:bottom w:val="single" w:color="auto" w:sz="4" w:space="0"/>
              <w:right w:val="single" w:color="auto" w:sz="4" w:space="0"/>
            </w:tcBorders>
            <w:noWrap/>
            <w:vAlign w:val="top"/>
          </w:tcPr>
          <w:p w14:paraId="1C963977">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供应商提供完整的售后服务方案：①售后服务人员配置和响应时间②现场支持能力。</w:t>
            </w:r>
          </w:p>
          <w:p w14:paraId="5D84B394">
            <w:pPr>
              <w:shd w:val="clear"/>
              <w:tabs>
                <w:tab w:val="left" w:pos="540"/>
                <w:tab w:val="center" w:pos="3155"/>
              </w:tabs>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每有一项方案，内容科学合理、可实施性高、内容完整的得3分，不缺项仅有简单描述的得2.1分，内容不完整、缺乏科学合理的得1.2分。本项最高得6分，不提供的不得分。</w:t>
            </w:r>
          </w:p>
        </w:tc>
        <w:tc>
          <w:tcPr>
            <w:tcW w:w="992" w:type="dxa"/>
            <w:tcBorders>
              <w:top w:val="single" w:color="auto" w:sz="4" w:space="0"/>
              <w:left w:val="single" w:color="auto" w:sz="4" w:space="0"/>
              <w:bottom w:val="single" w:color="auto" w:sz="4" w:space="0"/>
              <w:right w:val="single" w:color="auto" w:sz="4" w:space="0"/>
            </w:tcBorders>
            <w:noWrap/>
            <w:vAlign w:val="center"/>
          </w:tcPr>
          <w:p w14:paraId="49F1DE95">
            <w:pPr>
              <w:shd w:val="clear"/>
              <w:tabs>
                <w:tab w:val="left" w:pos="540"/>
                <w:tab w:val="center" w:pos="3155"/>
              </w:tabs>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Cs w:val="21"/>
              </w:rPr>
              <w:t>分</w:t>
            </w:r>
          </w:p>
        </w:tc>
      </w:tr>
      <w:tr w14:paraId="4A42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067" w:type="dxa"/>
            <w:gridSpan w:val="3"/>
            <w:tcBorders>
              <w:left w:val="single" w:color="auto" w:sz="4" w:space="0"/>
              <w:right w:val="single" w:color="auto" w:sz="4" w:space="0"/>
            </w:tcBorders>
            <w:noWrap/>
            <w:vAlign w:val="center"/>
          </w:tcPr>
          <w:p w14:paraId="15FDC67B">
            <w:pPr>
              <w:keepNext w:val="0"/>
              <w:keepLines w:val="0"/>
              <w:pageBreakBefore w:val="0"/>
              <w:widowControl/>
              <w:shd w:val="clear"/>
              <w:tabs>
                <w:tab w:val="left" w:pos="540"/>
                <w:tab w:val="center" w:pos="315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注：评标标准中所涉及的证书及材料不需提供原件，均应在电子投标文件中提供原件扫描件（或图片）</w:t>
            </w:r>
          </w:p>
        </w:tc>
      </w:tr>
    </w:tbl>
    <w:p w14:paraId="745BB146">
      <w:pPr>
        <w:pStyle w:val="9"/>
        <w:spacing w:line="360" w:lineRule="auto"/>
        <w:contextualSpacing/>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第二标段：</w:t>
      </w:r>
    </w:p>
    <w:tbl>
      <w:tblPr>
        <w:tblStyle w:val="18"/>
        <w:tblW w:w="9109" w:type="dxa"/>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8"/>
        <w:gridCol w:w="6112"/>
        <w:gridCol w:w="969"/>
      </w:tblGrid>
      <w:tr w14:paraId="7169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028" w:type="dxa"/>
            <w:tcBorders>
              <w:top w:val="single" w:color="auto" w:sz="4" w:space="0"/>
              <w:left w:val="single" w:color="auto" w:sz="4" w:space="0"/>
              <w:bottom w:val="single" w:color="auto" w:sz="4" w:space="0"/>
              <w:right w:val="single" w:color="auto" w:sz="4" w:space="0"/>
            </w:tcBorders>
            <w:vAlign w:val="center"/>
          </w:tcPr>
          <w:p w14:paraId="7C6CEE03">
            <w:pPr>
              <w:tabs>
                <w:tab w:val="left" w:pos="1260"/>
              </w:tabs>
              <w:autoSpaceDE w:val="0"/>
              <w:autoSpaceDN w:val="0"/>
              <w:spacing w:line="360" w:lineRule="auto"/>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分值构成</w:t>
            </w:r>
          </w:p>
          <w:p w14:paraId="13F4282D">
            <w:pPr>
              <w:tabs>
                <w:tab w:val="left" w:pos="1260"/>
              </w:tabs>
              <w:autoSpaceDE w:val="0"/>
              <w:autoSpaceDN w:val="0"/>
              <w:spacing w:line="360" w:lineRule="auto"/>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w:t>
            </w:r>
            <w:r>
              <w:rPr>
                <w:rFonts w:hint="eastAsia" w:ascii="宋体" w:hAnsi="宋体" w:eastAsia="宋体" w:cs="宋体"/>
                <w:color w:val="auto"/>
                <w:szCs w:val="21"/>
                <w:lang w:val="zh-CN"/>
              </w:rPr>
              <w:t>总分100分</w:t>
            </w:r>
            <w:r>
              <w:rPr>
                <w:rFonts w:hint="eastAsia" w:ascii="宋体" w:hAnsi="宋体" w:eastAsia="宋体" w:cs="宋体"/>
                <w:color w:val="auto"/>
                <w:szCs w:val="21"/>
                <w:lang w:val="zh-CN"/>
              </w:rPr>
              <w:t>）</w:t>
            </w:r>
          </w:p>
        </w:tc>
        <w:tc>
          <w:tcPr>
            <w:tcW w:w="7081" w:type="dxa"/>
            <w:gridSpan w:val="2"/>
            <w:tcBorders>
              <w:top w:val="single" w:color="auto" w:sz="4" w:space="0"/>
              <w:left w:val="single" w:color="auto" w:sz="4" w:space="0"/>
              <w:bottom w:val="single" w:color="auto" w:sz="4" w:space="0"/>
              <w:right w:val="single" w:color="auto" w:sz="4" w:space="0"/>
            </w:tcBorders>
            <w:vAlign w:val="center"/>
          </w:tcPr>
          <w:p w14:paraId="20585880">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价格得分：</w:t>
            </w:r>
            <w:r>
              <w:rPr>
                <w:rFonts w:hint="eastAsia" w:ascii="宋体" w:hAnsi="宋体" w:eastAsia="宋体" w:cs="宋体"/>
                <w:color w:val="auto"/>
                <w:szCs w:val="21"/>
              </w:rPr>
              <w:t>5</w:t>
            </w:r>
            <w:r>
              <w:rPr>
                <w:rFonts w:hint="eastAsia" w:ascii="宋体" w:hAnsi="宋体" w:eastAsia="宋体" w:cs="宋体"/>
                <w:color w:val="auto"/>
                <w:szCs w:val="21"/>
                <w:lang w:val="zh-CN"/>
              </w:rPr>
              <w:t>0分</w:t>
            </w:r>
          </w:p>
          <w:p w14:paraId="00278AC4">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商务部分：</w:t>
            </w:r>
            <w:r>
              <w:rPr>
                <w:rFonts w:hint="eastAsia" w:ascii="宋体" w:hAnsi="宋体" w:eastAsia="宋体" w:cs="宋体"/>
                <w:color w:val="auto"/>
                <w:szCs w:val="21"/>
                <w:lang w:val="en-US" w:eastAsia="zh-CN"/>
              </w:rPr>
              <w:t>1</w:t>
            </w:r>
            <w:r>
              <w:rPr>
                <w:rFonts w:hint="eastAsia" w:ascii="宋体" w:hAnsi="宋体" w:eastAsia="宋体" w:cs="宋体"/>
                <w:color w:val="auto"/>
                <w:szCs w:val="21"/>
                <w:lang w:val="en-US" w:eastAsia="zh-CN"/>
              </w:rPr>
              <w:t>0</w:t>
            </w:r>
            <w:r>
              <w:rPr>
                <w:rFonts w:hint="eastAsia" w:ascii="宋体" w:hAnsi="宋体" w:eastAsia="宋体" w:cs="宋体"/>
                <w:color w:val="auto"/>
                <w:szCs w:val="21"/>
                <w:lang w:val="zh-CN"/>
              </w:rPr>
              <w:t>分</w:t>
            </w:r>
          </w:p>
          <w:p w14:paraId="7C1C79CB">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技术部分：</w:t>
            </w:r>
            <w:r>
              <w:rPr>
                <w:rFonts w:hint="eastAsia" w:ascii="宋体" w:hAnsi="宋体" w:eastAsia="宋体" w:cs="宋体"/>
                <w:color w:val="auto"/>
                <w:szCs w:val="21"/>
                <w:lang w:val="en-US" w:eastAsia="zh-CN"/>
              </w:rPr>
              <w:t>40</w:t>
            </w:r>
            <w:r>
              <w:rPr>
                <w:rFonts w:hint="eastAsia" w:ascii="宋体" w:hAnsi="宋体" w:eastAsia="宋体" w:cs="宋体"/>
                <w:color w:val="auto"/>
                <w:szCs w:val="21"/>
                <w:lang w:val="zh-CN"/>
              </w:rPr>
              <w:t>分</w:t>
            </w:r>
          </w:p>
        </w:tc>
      </w:tr>
      <w:tr w14:paraId="6A7A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109" w:type="dxa"/>
            <w:gridSpan w:val="3"/>
            <w:tcBorders>
              <w:top w:val="single" w:color="auto" w:sz="4" w:space="0"/>
              <w:left w:val="single" w:color="auto" w:sz="4" w:space="0"/>
              <w:bottom w:val="single" w:color="auto" w:sz="4" w:space="0"/>
              <w:right w:val="single" w:color="auto" w:sz="4" w:space="0"/>
            </w:tcBorders>
            <w:vAlign w:val="center"/>
          </w:tcPr>
          <w:p w14:paraId="7302B8A2">
            <w:pPr>
              <w:tabs>
                <w:tab w:val="left" w:pos="1260"/>
              </w:tabs>
              <w:autoSpaceDE w:val="0"/>
              <w:autoSpaceDN w:val="0"/>
              <w:spacing w:line="360" w:lineRule="auto"/>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一、价格得分（满分</w:t>
            </w:r>
            <w:r>
              <w:rPr>
                <w:rFonts w:hint="eastAsia" w:ascii="宋体" w:hAnsi="宋体" w:eastAsia="宋体" w:cs="宋体"/>
                <w:color w:val="auto"/>
                <w:szCs w:val="21"/>
              </w:rPr>
              <w:t>5</w:t>
            </w:r>
            <w:r>
              <w:rPr>
                <w:rFonts w:hint="eastAsia" w:ascii="宋体" w:hAnsi="宋体" w:eastAsia="宋体" w:cs="宋体"/>
                <w:color w:val="auto"/>
                <w:szCs w:val="21"/>
                <w:lang w:val="zh-CN"/>
              </w:rPr>
              <w:t>0分）</w:t>
            </w:r>
          </w:p>
        </w:tc>
      </w:tr>
      <w:tr w14:paraId="7310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028" w:type="dxa"/>
            <w:tcBorders>
              <w:top w:val="single" w:color="auto" w:sz="4" w:space="0"/>
              <w:left w:val="single" w:color="auto" w:sz="4" w:space="0"/>
              <w:bottom w:val="single" w:color="auto" w:sz="4" w:space="0"/>
              <w:right w:val="single" w:color="auto" w:sz="4" w:space="0"/>
            </w:tcBorders>
            <w:vAlign w:val="center"/>
          </w:tcPr>
          <w:p w14:paraId="75EFFEC1">
            <w:pPr>
              <w:tabs>
                <w:tab w:val="left" w:pos="1260"/>
              </w:tabs>
              <w:autoSpaceDE w:val="0"/>
              <w:autoSpaceDN w:val="0"/>
              <w:spacing w:line="360" w:lineRule="auto"/>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评分因素</w:t>
            </w:r>
          </w:p>
        </w:tc>
        <w:tc>
          <w:tcPr>
            <w:tcW w:w="6112" w:type="dxa"/>
            <w:tcBorders>
              <w:top w:val="single" w:color="auto" w:sz="4" w:space="0"/>
              <w:left w:val="single" w:color="auto" w:sz="4" w:space="0"/>
              <w:bottom w:val="single" w:color="auto" w:sz="4" w:space="0"/>
              <w:right w:val="single" w:color="auto" w:sz="4" w:space="0"/>
            </w:tcBorders>
            <w:vAlign w:val="center"/>
          </w:tcPr>
          <w:p w14:paraId="05A18115">
            <w:pPr>
              <w:tabs>
                <w:tab w:val="left" w:pos="1260"/>
              </w:tabs>
              <w:autoSpaceDE w:val="0"/>
              <w:autoSpaceDN w:val="0"/>
              <w:spacing w:line="360" w:lineRule="auto"/>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评分标准</w:t>
            </w:r>
          </w:p>
        </w:tc>
        <w:tc>
          <w:tcPr>
            <w:tcW w:w="969" w:type="dxa"/>
            <w:tcBorders>
              <w:top w:val="single" w:color="auto" w:sz="4" w:space="0"/>
              <w:left w:val="single" w:color="auto" w:sz="4" w:space="0"/>
              <w:bottom w:val="single" w:color="auto" w:sz="4" w:space="0"/>
              <w:right w:val="single" w:color="auto" w:sz="4" w:space="0"/>
            </w:tcBorders>
            <w:vAlign w:val="center"/>
          </w:tcPr>
          <w:p w14:paraId="18A191AA">
            <w:pPr>
              <w:tabs>
                <w:tab w:val="left" w:pos="1260"/>
              </w:tabs>
              <w:autoSpaceDE w:val="0"/>
              <w:autoSpaceDN w:val="0"/>
              <w:spacing w:line="330" w:lineRule="atLeast"/>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分值</w:t>
            </w:r>
          </w:p>
        </w:tc>
      </w:tr>
      <w:tr w14:paraId="2E6F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28" w:type="dxa"/>
            <w:tcBorders>
              <w:top w:val="single" w:color="auto" w:sz="4" w:space="0"/>
              <w:left w:val="single" w:color="auto" w:sz="4" w:space="0"/>
              <w:bottom w:val="single" w:color="auto" w:sz="4" w:space="0"/>
              <w:right w:val="single" w:color="auto" w:sz="4" w:space="0"/>
            </w:tcBorders>
            <w:vAlign w:val="center"/>
          </w:tcPr>
          <w:p w14:paraId="27414F15">
            <w:pPr>
              <w:keepNext w:val="0"/>
              <w:keepLines w:val="0"/>
              <w:pageBreakBefore w:val="0"/>
              <w:tabs>
                <w:tab w:val="left" w:pos="1260"/>
              </w:tabs>
              <w:kinsoku/>
              <w:wordWrap/>
              <w:overflowPunct/>
              <w:topLinePunct w:val="0"/>
              <w:autoSpaceDE w:val="0"/>
              <w:autoSpaceDN w:val="0"/>
              <w:bidi w:val="0"/>
              <w:snapToGrid/>
              <w:spacing w:line="460" w:lineRule="exact"/>
              <w:contextualSpacing/>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投标报价</w:t>
            </w:r>
          </w:p>
          <w:p w14:paraId="37FA1B02">
            <w:pPr>
              <w:keepNext w:val="0"/>
              <w:keepLines w:val="0"/>
              <w:pageBreakBefore w:val="0"/>
              <w:tabs>
                <w:tab w:val="left" w:pos="1260"/>
              </w:tabs>
              <w:kinsoku/>
              <w:wordWrap/>
              <w:overflowPunct/>
              <w:topLinePunct w:val="0"/>
              <w:autoSpaceDE w:val="0"/>
              <w:autoSpaceDN w:val="0"/>
              <w:bidi w:val="0"/>
              <w:snapToGrid/>
              <w:spacing w:line="460" w:lineRule="exact"/>
              <w:contextualSpacing/>
              <w:jc w:val="center"/>
              <w:rPr>
                <w:rFonts w:hint="eastAsia" w:ascii="宋体" w:hAnsi="宋体" w:eastAsia="宋体" w:cs="宋体"/>
                <w:color w:val="auto"/>
                <w:szCs w:val="21"/>
                <w:lang w:val="zh-CN"/>
              </w:rPr>
            </w:pPr>
            <w:r>
              <w:rPr>
                <w:rFonts w:hint="eastAsia" w:ascii="宋体" w:hAnsi="宋体" w:eastAsia="宋体" w:cs="宋体"/>
                <w:color w:val="auto"/>
                <w:sz w:val="21"/>
                <w:szCs w:val="21"/>
                <w:lang w:val="zh-CN"/>
              </w:rPr>
              <w:t>评分标准</w:t>
            </w:r>
          </w:p>
        </w:tc>
        <w:tc>
          <w:tcPr>
            <w:tcW w:w="6112" w:type="dxa"/>
            <w:tcBorders>
              <w:top w:val="single" w:color="auto" w:sz="4" w:space="0"/>
              <w:left w:val="single" w:color="auto" w:sz="4" w:space="0"/>
              <w:bottom w:val="single" w:color="auto" w:sz="4" w:space="0"/>
              <w:right w:val="single" w:color="auto" w:sz="4" w:space="0"/>
            </w:tcBorders>
            <w:vAlign w:val="center"/>
          </w:tcPr>
          <w:p w14:paraId="7FA402D0">
            <w:pPr>
              <w:pStyle w:val="33"/>
              <w:keepNext w:val="0"/>
              <w:keepLines w:val="0"/>
              <w:pageBreakBefore w:val="0"/>
              <w:kinsoku/>
              <w:wordWrap/>
              <w:overflowPunct/>
              <w:topLinePunct w:val="0"/>
              <w:bidi w:val="0"/>
              <w:snapToGrid/>
              <w:spacing w:line="460" w:lineRule="exact"/>
              <w:rPr>
                <w:rFonts w:hint="eastAsia" w:ascii="宋体" w:hAnsi="宋体" w:eastAsia="宋体" w:cs="宋体"/>
                <w:color w:val="auto"/>
                <w:sz w:val="21"/>
                <w:szCs w:val="21"/>
              </w:rPr>
            </w:pPr>
            <w:r>
              <w:rPr>
                <w:rFonts w:hint="eastAsia" w:ascii="宋体" w:hAnsi="宋体" w:eastAsia="宋体" w:cs="宋体"/>
                <w:color w:val="auto"/>
                <w:sz w:val="21"/>
                <w:szCs w:val="21"/>
              </w:rPr>
              <w:t>满足招标文件要求且投标报价最低的为评审基准价，其报价分为满分</w:t>
            </w:r>
            <w:r>
              <w:rPr>
                <w:rFonts w:hint="eastAsia" w:ascii="宋体" w:hAnsi="宋体" w:eastAsia="宋体" w:cs="宋体"/>
                <w:color w:val="auto"/>
                <w:sz w:val="21"/>
                <w:szCs w:val="21"/>
                <w:lang w:eastAsia="zh-CN"/>
              </w:rPr>
              <w:t>，其他投标人的价格分统一按照下列公式计算：</w:t>
            </w:r>
          </w:p>
          <w:p w14:paraId="18CC13DF">
            <w:pPr>
              <w:pStyle w:val="33"/>
              <w:keepNext w:val="0"/>
              <w:keepLines w:val="0"/>
              <w:pageBreakBefore w:val="0"/>
              <w:kinsoku/>
              <w:wordWrap/>
              <w:overflowPunct/>
              <w:topLinePunct w:val="0"/>
              <w:bidi w:val="0"/>
              <w:snapToGrid/>
              <w:spacing w:line="46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投标</w:t>
            </w:r>
            <w:r>
              <w:rPr>
                <w:rFonts w:hint="eastAsia" w:ascii="宋体" w:hAnsi="宋体" w:eastAsia="宋体" w:cs="宋体"/>
                <w:color w:val="auto"/>
                <w:sz w:val="21"/>
                <w:szCs w:val="21"/>
              </w:rPr>
              <w:t>报价得分=（评审基准价/投标报价）×</w:t>
            </w:r>
            <w:r>
              <w:rPr>
                <w:rFonts w:hint="eastAsia" w:ascii="宋体" w:hAnsi="宋体" w:eastAsia="宋体" w:cs="宋体"/>
                <w:color w:val="auto"/>
                <w:sz w:val="21"/>
                <w:szCs w:val="21"/>
                <w:lang w:val="en-US" w:eastAsia="zh-CN"/>
              </w:rPr>
              <w:t>50</w:t>
            </w:r>
          </w:p>
          <w:p w14:paraId="41E41EC6">
            <w:pPr>
              <w:keepNext w:val="0"/>
              <w:keepLines w:val="0"/>
              <w:pageBreakBefore w:val="0"/>
              <w:tabs>
                <w:tab w:val="left" w:pos="1260"/>
              </w:tabs>
              <w:kinsoku/>
              <w:wordWrap/>
              <w:overflowPunct/>
              <w:topLinePunct w:val="0"/>
              <w:autoSpaceDE w:val="0"/>
              <w:autoSpaceDN w:val="0"/>
              <w:bidi w:val="0"/>
              <w:snapToGrid/>
              <w:spacing w:line="460" w:lineRule="exact"/>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rPr>
              <w:t>注：分值计算保留小数点后两位，小数点后第三位“四舍五入”。</w:t>
            </w:r>
          </w:p>
        </w:tc>
        <w:tc>
          <w:tcPr>
            <w:tcW w:w="969" w:type="dxa"/>
            <w:tcBorders>
              <w:top w:val="single" w:color="auto" w:sz="4" w:space="0"/>
              <w:left w:val="single" w:color="auto" w:sz="4" w:space="0"/>
              <w:bottom w:val="single" w:color="auto" w:sz="4" w:space="0"/>
              <w:right w:val="single" w:color="auto" w:sz="4" w:space="0"/>
            </w:tcBorders>
            <w:vAlign w:val="center"/>
          </w:tcPr>
          <w:p w14:paraId="4DEB4765">
            <w:pPr>
              <w:keepNext w:val="0"/>
              <w:keepLines w:val="0"/>
              <w:pageBreakBefore w:val="0"/>
              <w:tabs>
                <w:tab w:val="left" w:pos="1260"/>
              </w:tabs>
              <w:kinsoku/>
              <w:wordWrap/>
              <w:overflowPunct/>
              <w:topLinePunct w:val="0"/>
              <w:autoSpaceDE w:val="0"/>
              <w:autoSpaceDN w:val="0"/>
              <w:bidi w:val="0"/>
              <w:snapToGrid/>
              <w:spacing w:line="460" w:lineRule="exact"/>
              <w:contextualSpacing/>
              <w:jc w:val="center"/>
              <w:rPr>
                <w:rFonts w:hint="eastAsia" w:ascii="宋体" w:hAnsi="宋体" w:eastAsia="宋体" w:cs="宋体"/>
                <w:color w:val="auto"/>
                <w:szCs w:val="21"/>
                <w:lang w:val="en-US"/>
              </w:rPr>
            </w:pPr>
            <w:r>
              <w:rPr>
                <w:rFonts w:hint="eastAsia" w:ascii="宋体" w:hAnsi="宋体" w:eastAsia="宋体" w:cs="宋体"/>
                <w:color w:val="auto"/>
                <w:sz w:val="21"/>
                <w:szCs w:val="21"/>
                <w:lang w:val="en-US" w:eastAsia="zh-CN"/>
              </w:rPr>
              <w:t>50分</w:t>
            </w:r>
          </w:p>
        </w:tc>
      </w:tr>
      <w:tr w14:paraId="456A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09" w:type="dxa"/>
            <w:gridSpan w:val="3"/>
            <w:tcBorders>
              <w:top w:val="single" w:color="auto" w:sz="4" w:space="0"/>
              <w:left w:val="single" w:color="auto" w:sz="4" w:space="0"/>
              <w:bottom w:val="single" w:color="auto" w:sz="4" w:space="0"/>
              <w:right w:val="single" w:color="auto" w:sz="4" w:space="0"/>
            </w:tcBorders>
            <w:vAlign w:val="center"/>
          </w:tcPr>
          <w:p w14:paraId="05E33F47">
            <w:pPr>
              <w:tabs>
                <w:tab w:val="left" w:pos="1260"/>
              </w:tabs>
              <w:autoSpaceDE w:val="0"/>
              <w:autoSpaceDN w:val="0"/>
              <w:spacing w:line="360" w:lineRule="auto"/>
              <w:contextualSpacing/>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二、商务部分（满分</w:t>
            </w: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lang w:val="zh-CN"/>
              </w:rPr>
              <w:t>分）</w:t>
            </w:r>
          </w:p>
        </w:tc>
      </w:tr>
      <w:tr w14:paraId="3272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028" w:type="dxa"/>
            <w:tcBorders>
              <w:top w:val="single" w:color="auto" w:sz="4" w:space="0"/>
              <w:left w:val="single" w:color="auto" w:sz="4" w:space="0"/>
              <w:bottom w:val="single" w:color="auto" w:sz="4" w:space="0"/>
              <w:right w:val="single" w:color="auto" w:sz="4" w:space="0"/>
            </w:tcBorders>
            <w:vAlign w:val="center"/>
          </w:tcPr>
          <w:p w14:paraId="57E41349">
            <w:pPr>
              <w:tabs>
                <w:tab w:val="left" w:pos="1260"/>
              </w:tabs>
              <w:autoSpaceDE w:val="0"/>
              <w:autoSpaceDN w:val="0"/>
              <w:spacing w:line="360" w:lineRule="auto"/>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评分因素</w:t>
            </w:r>
          </w:p>
        </w:tc>
        <w:tc>
          <w:tcPr>
            <w:tcW w:w="6112" w:type="dxa"/>
            <w:tcBorders>
              <w:top w:val="single" w:color="auto" w:sz="4" w:space="0"/>
              <w:left w:val="single" w:color="auto" w:sz="4" w:space="0"/>
              <w:bottom w:val="single" w:color="auto" w:sz="4" w:space="0"/>
              <w:right w:val="single" w:color="auto" w:sz="4" w:space="0"/>
            </w:tcBorders>
            <w:vAlign w:val="center"/>
          </w:tcPr>
          <w:p w14:paraId="139A6432">
            <w:pPr>
              <w:tabs>
                <w:tab w:val="left" w:pos="1260"/>
              </w:tabs>
              <w:autoSpaceDE w:val="0"/>
              <w:autoSpaceDN w:val="0"/>
              <w:spacing w:line="360" w:lineRule="auto"/>
              <w:contextualSpacing/>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评分标准</w:t>
            </w:r>
          </w:p>
        </w:tc>
        <w:tc>
          <w:tcPr>
            <w:tcW w:w="969" w:type="dxa"/>
            <w:tcBorders>
              <w:top w:val="single" w:color="auto" w:sz="4" w:space="0"/>
              <w:left w:val="single" w:color="auto" w:sz="4" w:space="0"/>
              <w:bottom w:val="single" w:color="auto" w:sz="4" w:space="0"/>
              <w:right w:val="single" w:color="auto" w:sz="4" w:space="0"/>
            </w:tcBorders>
            <w:vAlign w:val="center"/>
          </w:tcPr>
          <w:p w14:paraId="7F1C57B1">
            <w:pPr>
              <w:tabs>
                <w:tab w:val="left" w:pos="1260"/>
              </w:tabs>
              <w:autoSpaceDE w:val="0"/>
              <w:autoSpaceDN w:val="0"/>
              <w:spacing w:line="330" w:lineRule="atLeast"/>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分值</w:t>
            </w:r>
          </w:p>
        </w:tc>
      </w:tr>
      <w:tr w14:paraId="71C7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180DA558">
            <w:pPr>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kern w:val="0"/>
                <w:szCs w:val="21"/>
              </w:rPr>
              <w:t>业绩</w:t>
            </w:r>
          </w:p>
        </w:tc>
        <w:tc>
          <w:tcPr>
            <w:tcW w:w="6112" w:type="dxa"/>
            <w:tcBorders>
              <w:top w:val="single" w:color="auto" w:sz="4" w:space="0"/>
              <w:left w:val="nil"/>
              <w:bottom w:val="single" w:color="auto" w:sz="4" w:space="0"/>
              <w:right w:val="single" w:color="auto" w:sz="4" w:space="0"/>
            </w:tcBorders>
            <w:shd w:val="clear" w:color="auto" w:fill="auto"/>
            <w:vAlign w:val="center"/>
          </w:tcPr>
          <w:p w14:paraId="406CCDF5">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投标人202</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年1月1日以来（以合同签订日期为准），具有</w:t>
            </w:r>
            <w:r>
              <w:rPr>
                <w:rFonts w:hint="eastAsia" w:ascii="宋体" w:hAnsi="宋体" w:eastAsia="宋体" w:cs="宋体"/>
                <w:color w:val="auto"/>
                <w:sz w:val="21"/>
                <w:szCs w:val="21"/>
                <w:lang w:val="en-US" w:eastAsia="zh-CN"/>
              </w:rPr>
              <w:t>类似</w:t>
            </w:r>
            <w:r>
              <w:rPr>
                <w:rFonts w:hint="eastAsia" w:ascii="宋体" w:hAnsi="宋体" w:eastAsia="宋体" w:cs="宋体"/>
                <w:color w:val="auto"/>
                <w:sz w:val="21"/>
                <w:szCs w:val="21"/>
              </w:rPr>
              <w:t>项目业绩的，每有一项得5分，满分1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分。</w:t>
            </w:r>
          </w:p>
          <w:p w14:paraId="737CFDE6">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lang w:val="zh-CN" w:eastAsia="zh-CN"/>
              </w:rPr>
              <w:t>注：</w:t>
            </w:r>
            <w:r>
              <w:rPr>
                <w:rFonts w:hint="eastAsia" w:ascii="宋体" w:hAnsi="宋体" w:eastAsia="宋体" w:cs="宋体"/>
                <w:color w:val="auto"/>
                <w:sz w:val="21"/>
                <w:szCs w:val="21"/>
              </w:rPr>
              <w:t>投标文件中须附合同书原件的扫描件（或图片）。</w:t>
            </w:r>
          </w:p>
        </w:tc>
        <w:tc>
          <w:tcPr>
            <w:tcW w:w="969" w:type="dxa"/>
            <w:tcBorders>
              <w:top w:val="single" w:color="auto" w:sz="4" w:space="0"/>
              <w:left w:val="single" w:color="auto" w:sz="4" w:space="0"/>
              <w:bottom w:val="single" w:color="auto" w:sz="4" w:space="0"/>
              <w:right w:val="single" w:color="auto" w:sz="4" w:space="0"/>
            </w:tcBorders>
            <w:vAlign w:val="center"/>
          </w:tcPr>
          <w:p w14:paraId="492BC70B">
            <w:pPr>
              <w:spacing w:line="330" w:lineRule="atLeast"/>
              <w:ind w:right="240" w:rightChars="0"/>
              <w:jc w:val="center"/>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0</w:t>
            </w:r>
            <w:r>
              <w:rPr>
                <w:rFonts w:hint="eastAsia" w:ascii="宋体" w:hAnsi="宋体" w:eastAsia="宋体" w:cs="宋体"/>
                <w:color w:val="auto"/>
                <w:szCs w:val="21"/>
              </w:rPr>
              <w:t>分</w:t>
            </w:r>
          </w:p>
        </w:tc>
      </w:tr>
      <w:tr w14:paraId="5948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109" w:type="dxa"/>
            <w:gridSpan w:val="3"/>
            <w:tcBorders>
              <w:top w:val="single" w:color="auto" w:sz="4" w:space="0"/>
              <w:left w:val="single" w:color="auto" w:sz="4" w:space="0"/>
              <w:bottom w:val="single" w:color="auto" w:sz="4" w:space="0"/>
              <w:right w:val="single" w:color="auto" w:sz="4" w:space="0"/>
            </w:tcBorders>
            <w:vAlign w:val="center"/>
          </w:tcPr>
          <w:p w14:paraId="52E201DF">
            <w:pPr>
              <w:tabs>
                <w:tab w:val="left" w:pos="1260"/>
              </w:tabs>
              <w:autoSpaceDE w:val="0"/>
              <w:autoSpaceDN w:val="0"/>
              <w:spacing w:line="360" w:lineRule="auto"/>
              <w:contextualSpacing/>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三、技术部分（满分</w:t>
            </w:r>
            <w:r>
              <w:rPr>
                <w:rFonts w:hint="eastAsia" w:ascii="宋体" w:hAnsi="宋体" w:eastAsia="宋体" w:cs="宋体"/>
                <w:color w:val="auto"/>
                <w:sz w:val="21"/>
                <w:szCs w:val="21"/>
                <w:lang w:val="en-US" w:eastAsia="zh-CN"/>
              </w:rPr>
              <w:t>40</w:t>
            </w:r>
            <w:r>
              <w:rPr>
                <w:rFonts w:hint="eastAsia" w:ascii="宋体" w:hAnsi="宋体" w:eastAsia="宋体" w:cs="宋体"/>
                <w:color w:val="auto"/>
                <w:sz w:val="21"/>
                <w:szCs w:val="21"/>
                <w:lang w:val="zh-CN"/>
              </w:rPr>
              <w:t>分）</w:t>
            </w:r>
          </w:p>
        </w:tc>
      </w:tr>
      <w:tr w14:paraId="718D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2028" w:type="dxa"/>
            <w:tcBorders>
              <w:top w:val="single" w:color="auto" w:sz="4" w:space="0"/>
              <w:left w:val="single" w:color="auto" w:sz="4" w:space="0"/>
              <w:bottom w:val="single" w:color="auto" w:sz="4" w:space="0"/>
              <w:right w:val="single" w:color="auto" w:sz="4" w:space="0"/>
            </w:tcBorders>
            <w:vAlign w:val="center"/>
          </w:tcPr>
          <w:p w14:paraId="4D6E032B">
            <w:pPr>
              <w:tabs>
                <w:tab w:val="left" w:pos="1260"/>
              </w:tabs>
              <w:autoSpaceDE w:val="0"/>
              <w:autoSpaceDN w:val="0"/>
              <w:spacing w:line="360" w:lineRule="auto"/>
              <w:ind w:firstLine="420" w:firstLineChars="200"/>
              <w:contextualSpacing/>
              <w:jc w:val="both"/>
              <w:rPr>
                <w:rFonts w:hint="eastAsia" w:ascii="宋体" w:hAnsi="宋体" w:eastAsia="宋体" w:cs="宋体"/>
                <w:color w:val="auto"/>
                <w:szCs w:val="21"/>
                <w:lang w:val="zh-CN"/>
              </w:rPr>
            </w:pPr>
            <w:r>
              <w:rPr>
                <w:rFonts w:hint="eastAsia" w:ascii="宋体" w:hAnsi="宋体" w:eastAsia="宋体" w:cs="宋体"/>
                <w:color w:val="auto"/>
                <w:szCs w:val="21"/>
                <w:lang w:val="zh-CN"/>
              </w:rPr>
              <w:t>评分因素</w:t>
            </w:r>
          </w:p>
        </w:tc>
        <w:tc>
          <w:tcPr>
            <w:tcW w:w="6112" w:type="dxa"/>
            <w:tcBorders>
              <w:top w:val="single" w:color="auto" w:sz="4" w:space="0"/>
              <w:left w:val="single" w:color="auto" w:sz="4" w:space="0"/>
              <w:bottom w:val="single" w:color="auto" w:sz="4" w:space="0"/>
              <w:right w:val="single" w:color="auto" w:sz="4" w:space="0"/>
            </w:tcBorders>
            <w:vAlign w:val="center"/>
          </w:tcPr>
          <w:p w14:paraId="126468A7">
            <w:pPr>
              <w:tabs>
                <w:tab w:val="left" w:pos="1260"/>
              </w:tabs>
              <w:autoSpaceDE w:val="0"/>
              <w:autoSpaceDN w:val="0"/>
              <w:spacing w:line="360" w:lineRule="auto"/>
              <w:contextualSpacing/>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评分标准</w:t>
            </w:r>
          </w:p>
        </w:tc>
        <w:tc>
          <w:tcPr>
            <w:tcW w:w="969" w:type="dxa"/>
            <w:tcBorders>
              <w:top w:val="single" w:color="auto" w:sz="4" w:space="0"/>
              <w:left w:val="single" w:color="auto" w:sz="4" w:space="0"/>
              <w:bottom w:val="single" w:color="auto" w:sz="4" w:space="0"/>
              <w:right w:val="single" w:color="auto" w:sz="4" w:space="0"/>
            </w:tcBorders>
            <w:vAlign w:val="center"/>
          </w:tcPr>
          <w:p w14:paraId="199F409F">
            <w:pPr>
              <w:tabs>
                <w:tab w:val="left" w:pos="1260"/>
              </w:tabs>
              <w:autoSpaceDE w:val="0"/>
              <w:autoSpaceDN w:val="0"/>
              <w:spacing w:line="330" w:lineRule="atLeast"/>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分值</w:t>
            </w:r>
          </w:p>
        </w:tc>
      </w:tr>
      <w:tr w14:paraId="41C0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2028" w:type="dxa"/>
            <w:tcBorders>
              <w:top w:val="single" w:color="auto" w:sz="4" w:space="0"/>
              <w:left w:val="single" w:color="auto" w:sz="4" w:space="0"/>
              <w:bottom w:val="single" w:color="auto" w:sz="4" w:space="0"/>
              <w:right w:val="single" w:color="auto" w:sz="4" w:space="0"/>
            </w:tcBorders>
            <w:vAlign w:val="center"/>
          </w:tcPr>
          <w:p w14:paraId="04D92123">
            <w:pPr>
              <w:widowControl/>
              <w:jc w:val="center"/>
              <w:rPr>
                <w:rFonts w:hint="eastAsia" w:ascii="宋体" w:hAnsi="宋体" w:eastAsia="宋体" w:cs="宋体"/>
                <w:color w:val="auto"/>
                <w:szCs w:val="21"/>
                <w:lang w:val="zh-CN" w:eastAsia="zh-CN"/>
              </w:rPr>
            </w:pPr>
            <w:r>
              <w:rPr>
                <w:rFonts w:hint="eastAsia" w:ascii="宋体" w:hAnsi="宋体" w:eastAsia="宋体" w:cs="宋体"/>
                <w:color w:val="auto"/>
                <w:sz w:val="21"/>
                <w:szCs w:val="21"/>
              </w:rPr>
              <w:t>供货进度保证</w:t>
            </w:r>
            <w:r>
              <w:rPr>
                <w:rFonts w:hint="eastAsia" w:ascii="宋体" w:hAnsi="宋体" w:eastAsia="宋体" w:cs="宋体"/>
                <w:color w:val="auto"/>
                <w:sz w:val="21"/>
                <w:szCs w:val="21"/>
                <w:lang w:val="en-US" w:eastAsia="zh-CN"/>
              </w:rPr>
              <w:t>措施方案</w:t>
            </w:r>
          </w:p>
        </w:tc>
        <w:tc>
          <w:tcPr>
            <w:tcW w:w="6112" w:type="dxa"/>
            <w:tcBorders>
              <w:top w:val="single" w:color="auto" w:sz="4" w:space="0"/>
              <w:left w:val="single" w:color="auto" w:sz="4" w:space="0"/>
              <w:bottom w:val="single" w:color="auto" w:sz="4" w:space="0"/>
              <w:right w:val="single" w:color="auto" w:sz="4" w:space="0"/>
            </w:tcBorders>
            <w:vAlign w:val="center"/>
          </w:tcPr>
          <w:p w14:paraId="786B3AFE">
            <w:pPr>
              <w:widowControl/>
              <w:spacing w:line="360" w:lineRule="auto"/>
              <w:jc w:val="both"/>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根据</w:t>
            </w:r>
            <w:r>
              <w:rPr>
                <w:rFonts w:hint="eastAsia" w:ascii="宋体" w:hAnsi="宋体" w:eastAsia="宋体" w:cs="宋体"/>
                <w:color w:val="auto"/>
                <w:kern w:val="0"/>
                <w:sz w:val="21"/>
                <w:szCs w:val="21"/>
                <w:lang w:val="en-US" w:eastAsia="zh-CN"/>
              </w:rPr>
              <w:t>投标人</w:t>
            </w:r>
            <w:r>
              <w:rPr>
                <w:rFonts w:hint="eastAsia" w:ascii="宋体" w:hAnsi="宋体" w:eastAsia="宋体" w:cs="宋体"/>
                <w:color w:val="auto"/>
                <w:kern w:val="0"/>
                <w:sz w:val="21"/>
                <w:szCs w:val="21"/>
              </w:rPr>
              <w:t>提供</w:t>
            </w:r>
            <w:r>
              <w:rPr>
                <w:rFonts w:hint="eastAsia" w:ascii="宋体" w:hAnsi="宋体" w:eastAsia="宋体" w:cs="宋体"/>
                <w:color w:val="auto"/>
                <w:kern w:val="0"/>
                <w:sz w:val="21"/>
                <w:szCs w:val="21"/>
                <w:lang w:eastAsia="zh-CN"/>
              </w:rPr>
              <w:t>的</w:t>
            </w:r>
            <w:r>
              <w:rPr>
                <w:rFonts w:hint="eastAsia" w:ascii="宋体" w:hAnsi="宋体" w:eastAsia="宋体" w:cs="宋体"/>
                <w:color w:val="auto"/>
                <w:kern w:val="0"/>
                <w:sz w:val="21"/>
                <w:szCs w:val="21"/>
              </w:rPr>
              <w:t>项目</w:t>
            </w:r>
            <w:r>
              <w:rPr>
                <w:rFonts w:hint="eastAsia" w:ascii="宋体" w:hAnsi="宋体" w:eastAsia="宋体" w:cs="宋体"/>
                <w:color w:val="auto"/>
                <w:sz w:val="21"/>
                <w:szCs w:val="21"/>
              </w:rPr>
              <w:t>供货进度保证措施</w:t>
            </w:r>
            <w:r>
              <w:rPr>
                <w:rFonts w:hint="eastAsia" w:ascii="宋体" w:hAnsi="宋体" w:eastAsia="宋体" w:cs="宋体"/>
                <w:color w:val="auto"/>
                <w:sz w:val="21"/>
                <w:szCs w:val="21"/>
                <w:lang w:eastAsia="zh-CN"/>
              </w:rPr>
              <w:t>，包含</w:t>
            </w:r>
            <w:r>
              <w:rPr>
                <w:rFonts w:hint="eastAsia" w:ascii="宋体" w:hAnsi="宋体" w:eastAsia="宋体" w:cs="宋体"/>
                <w:bCs/>
                <w:color w:val="auto"/>
                <w:spacing w:val="-1"/>
                <w:kern w:val="0"/>
                <w:sz w:val="21"/>
                <w:szCs w:val="21"/>
                <w:highlight w:val="none"/>
                <w:lang w:val="en-US" w:eastAsia="zh-CN" w:bidi="ar-SA"/>
              </w:rPr>
              <w:t>①</w:t>
            </w:r>
            <w:r>
              <w:rPr>
                <w:rFonts w:hint="eastAsia" w:ascii="宋体" w:hAnsi="宋体" w:eastAsia="宋体" w:cs="宋体"/>
                <w:color w:val="auto"/>
                <w:sz w:val="21"/>
                <w:szCs w:val="21"/>
                <w:lang w:val="en-US" w:eastAsia="zh-CN"/>
              </w:rPr>
              <w:t>供货</w:t>
            </w:r>
            <w:r>
              <w:rPr>
                <w:rFonts w:hint="eastAsia" w:ascii="宋体" w:hAnsi="宋体" w:eastAsia="宋体" w:cs="宋体"/>
                <w:color w:val="auto"/>
                <w:sz w:val="21"/>
                <w:szCs w:val="21"/>
              </w:rPr>
              <w:t>进度计划</w:t>
            </w:r>
            <w:r>
              <w:rPr>
                <w:rFonts w:hint="eastAsia" w:ascii="宋体" w:hAnsi="宋体" w:eastAsia="宋体" w:cs="宋体"/>
                <w:color w:val="auto"/>
                <w:sz w:val="21"/>
                <w:szCs w:val="21"/>
                <w:lang w:eastAsia="zh-CN"/>
              </w:rPr>
              <w:t>；</w:t>
            </w:r>
            <w:r>
              <w:rPr>
                <w:rFonts w:hint="eastAsia" w:ascii="宋体" w:hAnsi="宋体" w:eastAsia="宋体" w:cs="宋体"/>
                <w:bCs/>
                <w:color w:val="auto"/>
                <w:spacing w:val="-1"/>
                <w:kern w:val="0"/>
                <w:sz w:val="21"/>
                <w:szCs w:val="21"/>
                <w:highlight w:val="none"/>
                <w:lang w:val="en-US" w:eastAsia="zh-CN" w:bidi="ar-SA"/>
              </w:rPr>
              <w:t>②</w:t>
            </w:r>
            <w:r>
              <w:rPr>
                <w:rFonts w:hint="eastAsia" w:ascii="宋体" w:hAnsi="宋体" w:eastAsia="宋体" w:cs="宋体"/>
                <w:color w:val="auto"/>
                <w:sz w:val="21"/>
                <w:szCs w:val="21"/>
              </w:rPr>
              <w:t>备货机制</w:t>
            </w:r>
            <w:r>
              <w:rPr>
                <w:rFonts w:hint="eastAsia" w:ascii="宋体" w:hAnsi="宋体" w:eastAsia="宋体" w:cs="宋体"/>
                <w:color w:val="auto"/>
                <w:sz w:val="21"/>
                <w:szCs w:val="21"/>
                <w:lang w:eastAsia="zh-CN"/>
              </w:rPr>
              <w:t>；</w:t>
            </w:r>
            <w:r>
              <w:rPr>
                <w:rFonts w:hint="eastAsia" w:ascii="宋体" w:hAnsi="宋体" w:eastAsia="宋体" w:cs="宋体"/>
                <w:bCs/>
                <w:color w:val="auto"/>
                <w:spacing w:val="-1"/>
                <w:kern w:val="0"/>
                <w:sz w:val="21"/>
                <w:szCs w:val="21"/>
                <w:highlight w:val="none"/>
                <w:lang w:val="en-US" w:eastAsia="zh-CN" w:bidi="ar-SA"/>
              </w:rPr>
              <w:t>③</w:t>
            </w:r>
            <w:r>
              <w:rPr>
                <w:rFonts w:hint="eastAsia" w:ascii="宋体" w:hAnsi="宋体" w:eastAsia="宋体" w:cs="宋体"/>
                <w:color w:val="auto"/>
                <w:sz w:val="21"/>
                <w:szCs w:val="21"/>
                <w:lang w:val="en-US" w:eastAsia="zh-CN"/>
              </w:rPr>
              <w:t>供货</w:t>
            </w:r>
            <w:r>
              <w:rPr>
                <w:rFonts w:hint="eastAsia" w:ascii="宋体" w:hAnsi="宋体" w:eastAsia="宋体" w:cs="宋体"/>
                <w:color w:val="auto"/>
                <w:sz w:val="21"/>
                <w:szCs w:val="21"/>
              </w:rPr>
              <w:t>期保障</w:t>
            </w:r>
            <w:r>
              <w:rPr>
                <w:rFonts w:hint="eastAsia" w:ascii="宋体" w:hAnsi="宋体" w:eastAsia="宋体" w:cs="宋体"/>
                <w:color w:val="auto"/>
                <w:sz w:val="21"/>
                <w:szCs w:val="21"/>
                <w:lang w:eastAsia="zh-CN"/>
              </w:rPr>
              <w:t>；</w:t>
            </w:r>
            <w:r>
              <w:rPr>
                <w:rFonts w:hint="eastAsia" w:ascii="宋体" w:hAnsi="宋体" w:eastAsia="宋体" w:cs="宋体"/>
                <w:bCs/>
                <w:color w:val="auto"/>
                <w:spacing w:val="-1"/>
                <w:kern w:val="0"/>
                <w:sz w:val="21"/>
                <w:szCs w:val="21"/>
                <w:highlight w:val="none"/>
                <w:lang w:val="en-US" w:eastAsia="zh-CN" w:bidi="ar-SA"/>
              </w:rPr>
              <w:t>④</w:t>
            </w:r>
            <w:r>
              <w:rPr>
                <w:rFonts w:hint="eastAsia" w:ascii="宋体" w:hAnsi="宋体" w:eastAsia="宋体" w:cs="宋体"/>
                <w:color w:val="auto"/>
                <w:sz w:val="21"/>
                <w:szCs w:val="21"/>
              </w:rPr>
              <w:t>风险控制、纠偏措施进行打分</w:t>
            </w:r>
            <w:r>
              <w:rPr>
                <w:rFonts w:hint="eastAsia" w:ascii="宋体" w:hAnsi="宋体" w:eastAsia="宋体" w:cs="宋体"/>
                <w:color w:val="auto"/>
                <w:sz w:val="21"/>
                <w:szCs w:val="21"/>
                <w:lang w:eastAsia="zh-CN"/>
              </w:rPr>
              <w:t>；</w:t>
            </w:r>
          </w:p>
          <w:p w14:paraId="665F574D">
            <w:pPr>
              <w:widowControl/>
              <w:spacing w:line="360" w:lineRule="auto"/>
              <w:jc w:val="both"/>
              <w:rPr>
                <w:rFonts w:hint="eastAsia" w:ascii="宋体" w:hAnsi="宋体" w:eastAsia="宋体" w:cs="宋体"/>
                <w:color w:val="auto"/>
                <w:sz w:val="21"/>
                <w:szCs w:val="21"/>
                <w:lang w:val="zh-CN"/>
              </w:rPr>
            </w:pPr>
            <w:r>
              <w:rPr>
                <w:rFonts w:hint="eastAsia" w:ascii="宋体" w:hAnsi="宋体" w:eastAsia="宋体" w:cs="宋体"/>
                <w:color w:val="auto"/>
                <w:sz w:val="21"/>
                <w:szCs w:val="21"/>
              </w:rPr>
              <w:t>每</w:t>
            </w:r>
            <w:r>
              <w:rPr>
                <w:rFonts w:hint="eastAsia" w:ascii="宋体" w:hAnsi="宋体" w:eastAsia="宋体" w:cs="宋体"/>
                <w:color w:val="auto"/>
                <w:sz w:val="21"/>
                <w:szCs w:val="21"/>
                <w:lang w:val="en-US" w:eastAsia="zh-CN"/>
              </w:rPr>
              <w:t>有一</w:t>
            </w:r>
            <w:r>
              <w:rPr>
                <w:rFonts w:hint="eastAsia" w:ascii="宋体" w:hAnsi="宋体" w:eastAsia="宋体" w:cs="宋体"/>
                <w:color w:val="auto"/>
                <w:sz w:val="21"/>
                <w:szCs w:val="21"/>
              </w:rPr>
              <w:t>项方案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措施完善、</w:t>
            </w:r>
            <w:r>
              <w:rPr>
                <w:rFonts w:hint="eastAsia" w:ascii="宋体" w:hAnsi="宋体" w:eastAsia="宋体" w:cs="宋体"/>
                <w:color w:val="auto"/>
                <w:sz w:val="21"/>
                <w:szCs w:val="21"/>
              </w:rPr>
              <w:t>方案完整</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可落地性强</w:t>
            </w:r>
            <w:r>
              <w:rPr>
                <w:rFonts w:hint="eastAsia" w:ascii="宋体" w:hAnsi="宋体" w:eastAsia="宋体" w:cs="宋体"/>
                <w:color w:val="auto"/>
                <w:sz w:val="21"/>
                <w:szCs w:val="21"/>
                <w:lang w:val="en-US" w:eastAsia="zh-CN"/>
              </w:rPr>
              <w:t>的得3分。</w:t>
            </w:r>
            <w:r>
              <w:rPr>
                <w:rFonts w:hint="eastAsia" w:ascii="宋体" w:hAnsi="宋体" w:eastAsia="宋体" w:cs="宋体"/>
                <w:color w:val="auto"/>
                <w:sz w:val="21"/>
                <w:szCs w:val="21"/>
              </w:rPr>
              <w:t>有基本措施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内容较合理</w:t>
            </w:r>
            <w:r>
              <w:rPr>
                <w:rFonts w:hint="eastAsia" w:ascii="宋体" w:hAnsi="宋体" w:eastAsia="宋体" w:cs="宋体"/>
                <w:color w:val="auto"/>
                <w:sz w:val="21"/>
                <w:szCs w:val="21"/>
                <w:lang w:val="en-US" w:eastAsia="zh-CN"/>
              </w:rPr>
              <w:t>的得2.1分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内容简单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无具体进度保障措施</w:t>
            </w:r>
            <w:r>
              <w:rPr>
                <w:rFonts w:hint="eastAsia" w:ascii="宋体" w:hAnsi="宋体" w:eastAsia="宋体" w:cs="宋体"/>
                <w:color w:val="auto"/>
                <w:sz w:val="21"/>
                <w:szCs w:val="21"/>
                <w:lang w:val="en-US" w:eastAsia="zh-CN"/>
              </w:rPr>
              <w:t>的得1.2分。本项最高得12分，</w:t>
            </w:r>
            <w:r>
              <w:rPr>
                <w:rFonts w:hint="eastAsia" w:ascii="宋体" w:hAnsi="宋体" w:eastAsia="宋体" w:cs="宋体"/>
                <w:color w:val="auto"/>
                <w:sz w:val="21"/>
                <w:szCs w:val="21"/>
                <w:lang w:val="zh-CN"/>
              </w:rPr>
              <w:t>不提供者</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zh-CN"/>
              </w:rPr>
              <w:t>。</w:t>
            </w:r>
          </w:p>
        </w:tc>
        <w:tc>
          <w:tcPr>
            <w:tcW w:w="969" w:type="dxa"/>
            <w:tcBorders>
              <w:top w:val="single" w:color="auto" w:sz="4" w:space="0"/>
              <w:left w:val="single" w:color="auto" w:sz="4" w:space="0"/>
              <w:bottom w:val="single" w:color="auto" w:sz="4" w:space="0"/>
              <w:right w:val="single" w:color="auto" w:sz="4" w:space="0"/>
            </w:tcBorders>
            <w:vAlign w:val="center"/>
          </w:tcPr>
          <w:p w14:paraId="38595694">
            <w:pPr>
              <w:tabs>
                <w:tab w:val="left" w:pos="1260"/>
              </w:tabs>
              <w:autoSpaceDE w:val="0"/>
              <w:autoSpaceDN w:val="0"/>
              <w:spacing w:line="360" w:lineRule="auto"/>
              <w:contextualSpacing/>
              <w:jc w:val="center"/>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12分</w:t>
            </w:r>
          </w:p>
        </w:tc>
      </w:tr>
      <w:tr w14:paraId="1B3F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2028" w:type="dxa"/>
            <w:tcBorders>
              <w:top w:val="single" w:color="auto" w:sz="4" w:space="0"/>
              <w:left w:val="single" w:color="auto" w:sz="4" w:space="0"/>
              <w:bottom w:val="single" w:color="auto" w:sz="4" w:space="0"/>
              <w:right w:val="single" w:color="auto" w:sz="4" w:space="0"/>
            </w:tcBorders>
            <w:vAlign w:val="center"/>
          </w:tcPr>
          <w:p w14:paraId="36E74106">
            <w:pPr>
              <w:widowControl/>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质量保证措施</w:t>
            </w:r>
            <w:r>
              <w:rPr>
                <w:rFonts w:hint="eastAsia" w:ascii="宋体" w:hAnsi="宋体" w:eastAsia="宋体" w:cs="宋体"/>
                <w:color w:val="auto"/>
                <w:sz w:val="21"/>
                <w:szCs w:val="21"/>
                <w:lang w:val="en-US" w:eastAsia="zh-CN"/>
              </w:rPr>
              <w:t>方案</w:t>
            </w:r>
          </w:p>
        </w:tc>
        <w:tc>
          <w:tcPr>
            <w:tcW w:w="6112" w:type="dxa"/>
            <w:tcBorders>
              <w:top w:val="single" w:color="auto" w:sz="4" w:space="0"/>
              <w:left w:val="single" w:color="auto" w:sz="4" w:space="0"/>
              <w:bottom w:val="single" w:color="auto" w:sz="4" w:space="0"/>
              <w:right w:val="single" w:color="auto" w:sz="4" w:space="0"/>
            </w:tcBorders>
            <w:vAlign w:val="center"/>
          </w:tcPr>
          <w:p w14:paraId="6EF28AA2">
            <w:pPr>
              <w:widowControl/>
              <w:spacing w:line="360" w:lineRule="auto"/>
              <w:jc w:val="both"/>
              <w:rPr>
                <w:rFonts w:hint="eastAsia" w:ascii="宋体" w:hAnsi="宋体" w:eastAsia="宋体" w:cs="宋体"/>
                <w:color w:val="auto"/>
                <w:sz w:val="21"/>
                <w:szCs w:val="21"/>
              </w:rPr>
            </w:pPr>
            <w:r>
              <w:rPr>
                <w:rFonts w:hint="eastAsia" w:ascii="宋体" w:hAnsi="宋体" w:eastAsia="宋体" w:cs="宋体"/>
                <w:color w:val="auto"/>
                <w:kern w:val="0"/>
                <w:sz w:val="21"/>
                <w:szCs w:val="21"/>
              </w:rPr>
              <w:t>根据</w:t>
            </w:r>
            <w:r>
              <w:rPr>
                <w:rFonts w:hint="eastAsia" w:ascii="宋体" w:hAnsi="宋体" w:eastAsia="宋体" w:cs="宋体"/>
                <w:color w:val="auto"/>
                <w:kern w:val="0"/>
                <w:sz w:val="21"/>
                <w:szCs w:val="21"/>
                <w:lang w:val="en-US" w:eastAsia="zh-CN"/>
              </w:rPr>
              <w:t>投标人</w:t>
            </w:r>
            <w:r>
              <w:rPr>
                <w:rFonts w:hint="eastAsia" w:ascii="宋体" w:hAnsi="宋体" w:eastAsia="宋体" w:cs="宋体"/>
                <w:color w:val="auto"/>
                <w:kern w:val="0"/>
                <w:sz w:val="21"/>
                <w:szCs w:val="21"/>
              </w:rPr>
              <w:t>提供</w:t>
            </w:r>
            <w:r>
              <w:rPr>
                <w:rFonts w:hint="eastAsia" w:ascii="宋体" w:hAnsi="宋体" w:eastAsia="宋体" w:cs="宋体"/>
                <w:color w:val="auto"/>
                <w:kern w:val="0"/>
                <w:sz w:val="21"/>
                <w:szCs w:val="21"/>
                <w:lang w:eastAsia="zh-CN"/>
              </w:rPr>
              <w:t>的</w:t>
            </w:r>
            <w:r>
              <w:rPr>
                <w:rFonts w:hint="eastAsia" w:ascii="宋体" w:hAnsi="宋体" w:eastAsia="宋体" w:cs="宋体"/>
                <w:color w:val="auto"/>
                <w:kern w:val="0"/>
                <w:sz w:val="21"/>
                <w:szCs w:val="21"/>
              </w:rPr>
              <w:t>项目</w:t>
            </w:r>
            <w:r>
              <w:rPr>
                <w:rFonts w:hint="eastAsia" w:ascii="宋体" w:hAnsi="宋体" w:eastAsia="宋体" w:cs="宋体"/>
                <w:color w:val="auto"/>
                <w:sz w:val="21"/>
                <w:szCs w:val="21"/>
              </w:rPr>
              <w:t>质量保证措施</w:t>
            </w:r>
            <w:r>
              <w:rPr>
                <w:rFonts w:hint="eastAsia" w:ascii="宋体" w:hAnsi="宋体" w:eastAsia="宋体" w:cs="宋体"/>
                <w:color w:val="auto"/>
                <w:sz w:val="21"/>
                <w:szCs w:val="21"/>
                <w:lang w:eastAsia="zh-CN"/>
              </w:rPr>
              <w:t>，包含</w:t>
            </w:r>
            <w:r>
              <w:rPr>
                <w:rFonts w:hint="eastAsia" w:ascii="宋体" w:hAnsi="宋体" w:eastAsia="宋体" w:cs="宋体"/>
                <w:color w:val="auto"/>
                <w:szCs w:val="21"/>
              </w:rPr>
              <w:t>①质量管理目标；②质量管理体系和职责；③质量控制体系及措施</w:t>
            </w:r>
            <w:r>
              <w:rPr>
                <w:rFonts w:hint="eastAsia" w:ascii="宋体" w:hAnsi="宋体" w:eastAsia="宋体" w:cs="宋体"/>
                <w:color w:val="auto"/>
                <w:sz w:val="21"/>
                <w:szCs w:val="21"/>
              </w:rPr>
              <w:t>进行打分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2BF5AB86">
            <w:pPr>
              <w:widowControl/>
              <w:spacing w:line="360" w:lineRule="auto"/>
              <w:jc w:val="both"/>
              <w:rPr>
                <w:rFonts w:hint="eastAsia" w:ascii="宋体" w:hAnsi="宋体" w:eastAsia="宋体" w:cs="宋体"/>
                <w:color w:val="auto"/>
                <w:kern w:val="0"/>
                <w:sz w:val="21"/>
                <w:szCs w:val="21"/>
              </w:rPr>
            </w:pPr>
            <w:r>
              <w:rPr>
                <w:rFonts w:hint="eastAsia" w:ascii="宋体" w:hAnsi="宋体" w:eastAsia="宋体" w:cs="宋体"/>
                <w:color w:val="auto"/>
                <w:sz w:val="21"/>
                <w:szCs w:val="21"/>
              </w:rPr>
              <w:t>每</w:t>
            </w:r>
            <w:r>
              <w:rPr>
                <w:rFonts w:hint="eastAsia" w:ascii="宋体" w:hAnsi="宋体" w:eastAsia="宋体" w:cs="宋体"/>
                <w:color w:val="auto"/>
                <w:sz w:val="21"/>
                <w:szCs w:val="21"/>
                <w:lang w:val="en-US" w:eastAsia="zh-CN"/>
              </w:rPr>
              <w:t>有一</w:t>
            </w:r>
            <w:r>
              <w:rPr>
                <w:rFonts w:hint="eastAsia" w:ascii="宋体" w:hAnsi="宋体" w:eastAsia="宋体" w:cs="宋体"/>
                <w:color w:val="auto"/>
                <w:sz w:val="21"/>
                <w:szCs w:val="21"/>
              </w:rPr>
              <w:t>项方案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措施完善、</w:t>
            </w:r>
            <w:r>
              <w:rPr>
                <w:rFonts w:hint="eastAsia" w:ascii="宋体" w:hAnsi="宋体" w:eastAsia="宋体" w:cs="宋体"/>
                <w:color w:val="auto"/>
                <w:sz w:val="21"/>
                <w:szCs w:val="21"/>
              </w:rPr>
              <w:t>方案完整</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可落地性强</w:t>
            </w:r>
            <w:r>
              <w:rPr>
                <w:rFonts w:hint="eastAsia" w:ascii="宋体" w:hAnsi="宋体" w:eastAsia="宋体" w:cs="宋体"/>
                <w:color w:val="auto"/>
                <w:sz w:val="21"/>
                <w:szCs w:val="21"/>
                <w:lang w:val="en-US" w:eastAsia="zh-CN"/>
              </w:rPr>
              <w:t>的得3分。</w:t>
            </w:r>
            <w:r>
              <w:rPr>
                <w:rFonts w:hint="eastAsia" w:ascii="宋体" w:hAnsi="宋体" w:eastAsia="宋体" w:cs="宋体"/>
                <w:color w:val="auto"/>
                <w:sz w:val="21"/>
                <w:szCs w:val="21"/>
              </w:rPr>
              <w:t>有基本措施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内容较合理</w:t>
            </w:r>
            <w:r>
              <w:rPr>
                <w:rFonts w:hint="eastAsia" w:ascii="宋体" w:hAnsi="宋体" w:eastAsia="宋体" w:cs="宋体"/>
                <w:color w:val="auto"/>
                <w:sz w:val="21"/>
                <w:szCs w:val="21"/>
                <w:lang w:val="en-US" w:eastAsia="zh-CN"/>
              </w:rPr>
              <w:t>的得2.1分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内容简单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无具体</w:t>
            </w:r>
            <w:r>
              <w:rPr>
                <w:rFonts w:hint="eastAsia" w:ascii="宋体" w:hAnsi="宋体" w:eastAsia="宋体" w:cs="宋体"/>
                <w:color w:val="auto"/>
                <w:sz w:val="21"/>
                <w:szCs w:val="21"/>
                <w:lang w:val="en-US" w:eastAsia="zh-CN"/>
              </w:rPr>
              <w:t>质量</w:t>
            </w:r>
            <w:r>
              <w:rPr>
                <w:rFonts w:hint="eastAsia" w:ascii="宋体" w:hAnsi="宋体" w:eastAsia="宋体" w:cs="宋体"/>
                <w:color w:val="auto"/>
                <w:sz w:val="21"/>
                <w:szCs w:val="21"/>
              </w:rPr>
              <w:t>保障措施</w:t>
            </w:r>
            <w:r>
              <w:rPr>
                <w:rFonts w:hint="eastAsia" w:ascii="宋体" w:hAnsi="宋体" w:eastAsia="宋体" w:cs="宋体"/>
                <w:color w:val="auto"/>
                <w:sz w:val="21"/>
                <w:szCs w:val="21"/>
                <w:lang w:val="en-US" w:eastAsia="zh-CN"/>
              </w:rPr>
              <w:t>的得1.2分。本项最高得9分，</w:t>
            </w:r>
            <w:r>
              <w:rPr>
                <w:rFonts w:hint="eastAsia" w:ascii="宋体" w:hAnsi="宋体" w:eastAsia="宋体" w:cs="宋体"/>
                <w:color w:val="auto"/>
                <w:sz w:val="21"/>
                <w:szCs w:val="21"/>
                <w:lang w:val="zh-CN"/>
              </w:rPr>
              <w:t>不提供者</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zh-CN"/>
              </w:rPr>
              <w:t>。</w:t>
            </w:r>
          </w:p>
        </w:tc>
        <w:tc>
          <w:tcPr>
            <w:tcW w:w="969" w:type="dxa"/>
            <w:tcBorders>
              <w:top w:val="single" w:color="auto" w:sz="4" w:space="0"/>
              <w:left w:val="single" w:color="auto" w:sz="4" w:space="0"/>
              <w:bottom w:val="single" w:color="auto" w:sz="4" w:space="0"/>
              <w:right w:val="single" w:color="auto" w:sz="4" w:space="0"/>
            </w:tcBorders>
            <w:vAlign w:val="center"/>
          </w:tcPr>
          <w:p w14:paraId="3216D1E2">
            <w:pPr>
              <w:tabs>
                <w:tab w:val="left" w:pos="1260"/>
              </w:tabs>
              <w:autoSpaceDE w:val="0"/>
              <w:autoSpaceDN w:val="0"/>
              <w:spacing w:line="360" w:lineRule="auto"/>
              <w:contextualSpacing/>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9分</w:t>
            </w:r>
          </w:p>
        </w:tc>
      </w:tr>
      <w:tr w14:paraId="78DB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2028" w:type="dxa"/>
            <w:tcBorders>
              <w:top w:val="single" w:color="auto" w:sz="4" w:space="0"/>
              <w:left w:val="single" w:color="auto" w:sz="4" w:space="0"/>
              <w:bottom w:val="single" w:color="auto" w:sz="4" w:space="0"/>
              <w:right w:val="single" w:color="auto" w:sz="4" w:space="0"/>
            </w:tcBorders>
            <w:vAlign w:val="center"/>
          </w:tcPr>
          <w:p w14:paraId="0B0E9CB8">
            <w:pPr>
              <w:widowControl/>
              <w:jc w:val="center"/>
              <w:rPr>
                <w:rFonts w:hint="eastAsia" w:ascii="宋体" w:hAnsi="宋体" w:eastAsia="宋体" w:cs="宋体"/>
                <w:color w:val="auto"/>
                <w:kern w:val="0"/>
                <w:szCs w:val="21"/>
              </w:rPr>
            </w:pPr>
            <w:r>
              <w:rPr>
                <w:rFonts w:hint="eastAsia" w:ascii="宋体" w:hAnsi="宋体" w:eastAsia="宋体" w:cs="宋体"/>
                <w:color w:val="auto"/>
                <w:szCs w:val="21"/>
                <w:lang w:val="zh-CN"/>
              </w:rPr>
              <w:t>应急</w:t>
            </w:r>
            <w:r>
              <w:rPr>
                <w:rFonts w:hint="eastAsia" w:ascii="宋体" w:hAnsi="宋体" w:eastAsia="宋体" w:cs="宋体"/>
                <w:color w:val="auto"/>
                <w:szCs w:val="21"/>
                <w:lang w:val="en-US" w:eastAsia="zh-CN"/>
              </w:rPr>
              <w:t>措施</w:t>
            </w:r>
            <w:r>
              <w:rPr>
                <w:rFonts w:hint="eastAsia" w:ascii="宋体" w:hAnsi="宋体" w:eastAsia="宋体" w:cs="宋体"/>
                <w:color w:val="auto"/>
                <w:szCs w:val="21"/>
                <w:lang w:val="zh-CN"/>
              </w:rPr>
              <w:t>方案</w:t>
            </w:r>
          </w:p>
        </w:tc>
        <w:tc>
          <w:tcPr>
            <w:tcW w:w="6112" w:type="dxa"/>
            <w:tcBorders>
              <w:top w:val="single" w:color="auto" w:sz="4" w:space="0"/>
              <w:left w:val="nil"/>
              <w:bottom w:val="single" w:color="auto" w:sz="4" w:space="0"/>
              <w:right w:val="single" w:color="auto" w:sz="4" w:space="0"/>
            </w:tcBorders>
            <w:shd w:val="clear" w:color="auto" w:fill="auto"/>
            <w:vAlign w:val="center"/>
          </w:tcPr>
          <w:p w14:paraId="37F9B885">
            <w:pPr>
              <w:widowControl/>
              <w:spacing w:line="360" w:lineRule="auto"/>
              <w:jc w:val="both"/>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根据</w:t>
            </w:r>
            <w:r>
              <w:rPr>
                <w:rFonts w:hint="eastAsia" w:ascii="宋体" w:hAnsi="宋体" w:eastAsia="宋体" w:cs="宋体"/>
                <w:color w:val="auto"/>
                <w:kern w:val="0"/>
                <w:sz w:val="21"/>
                <w:szCs w:val="21"/>
                <w:lang w:val="en-US" w:eastAsia="zh-CN"/>
              </w:rPr>
              <w:t>投标人</w:t>
            </w:r>
            <w:r>
              <w:rPr>
                <w:rFonts w:hint="eastAsia" w:ascii="宋体" w:hAnsi="宋体" w:eastAsia="宋体" w:cs="宋体"/>
                <w:color w:val="auto"/>
                <w:kern w:val="0"/>
                <w:sz w:val="21"/>
                <w:szCs w:val="21"/>
              </w:rPr>
              <w:t>提供</w:t>
            </w:r>
            <w:r>
              <w:rPr>
                <w:rFonts w:hint="eastAsia" w:ascii="宋体" w:hAnsi="宋体" w:eastAsia="宋体" w:cs="宋体"/>
                <w:color w:val="auto"/>
                <w:kern w:val="0"/>
                <w:sz w:val="21"/>
                <w:szCs w:val="21"/>
                <w:lang w:eastAsia="zh-CN"/>
              </w:rPr>
              <w:t>的</w:t>
            </w:r>
            <w:r>
              <w:rPr>
                <w:rFonts w:hint="eastAsia" w:ascii="宋体" w:hAnsi="宋体" w:eastAsia="宋体" w:cs="宋体"/>
                <w:color w:val="auto"/>
                <w:kern w:val="0"/>
                <w:sz w:val="21"/>
                <w:szCs w:val="21"/>
                <w:lang w:val="en-US" w:eastAsia="zh-CN"/>
              </w:rPr>
              <w:t>应急措施</w:t>
            </w:r>
            <w:r>
              <w:rPr>
                <w:rFonts w:hint="eastAsia" w:ascii="宋体" w:hAnsi="宋体" w:eastAsia="宋体" w:cs="宋体"/>
                <w:color w:val="auto"/>
                <w:kern w:val="0"/>
                <w:sz w:val="21"/>
                <w:szCs w:val="21"/>
              </w:rPr>
              <w:t>方案</w:t>
            </w:r>
            <w:r>
              <w:rPr>
                <w:rFonts w:hint="eastAsia" w:ascii="宋体" w:hAnsi="宋体" w:eastAsia="宋体" w:cs="宋体"/>
                <w:color w:val="auto"/>
                <w:kern w:val="0"/>
                <w:sz w:val="21"/>
                <w:szCs w:val="21"/>
                <w:lang w:eastAsia="zh-CN"/>
              </w:rPr>
              <w:t>，包含</w:t>
            </w:r>
            <w:r>
              <w:rPr>
                <w:rFonts w:hint="eastAsia" w:ascii="宋体" w:hAnsi="宋体" w:eastAsia="宋体" w:cs="宋体"/>
                <w:bCs/>
                <w:color w:val="auto"/>
                <w:spacing w:val="-1"/>
                <w:kern w:val="0"/>
                <w:sz w:val="21"/>
                <w:szCs w:val="21"/>
                <w:highlight w:val="none"/>
                <w:lang w:val="en-US" w:eastAsia="zh-CN" w:bidi="ar-SA"/>
              </w:rPr>
              <w:t>①应急体系、</w:t>
            </w:r>
            <w:r>
              <w:rPr>
                <w:rFonts w:hint="eastAsia" w:ascii="宋体" w:hAnsi="宋体" w:eastAsia="宋体" w:cs="宋体"/>
                <w:color w:val="auto"/>
                <w:sz w:val="21"/>
                <w:szCs w:val="21"/>
              </w:rPr>
              <w:t>突发事件</w:t>
            </w:r>
            <w:r>
              <w:rPr>
                <w:rFonts w:hint="eastAsia" w:ascii="宋体" w:hAnsi="宋体" w:eastAsia="宋体" w:cs="宋体"/>
                <w:color w:val="auto"/>
                <w:sz w:val="21"/>
                <w:szCs w:val="21"/>
                <w:lang w:val="en-US" w:eastAsia="zh-CN"/>
              </w:rPr>
              <w:t>应急处理</w:t>
            </w:r>
            <w:r>
              <w:rPr>
                <w:rFonts w:hint="eastAsia" w:ascii="宋体" w:hAnsi="宋体" w:eastAsia="宋体" w:cs="宋体"/>
                <w:color w:val="auto"/>
                <w:sz w:val="21"/>
                <w:szCs w:val="21"/>
                <w:lang w:val="en-US" w:eastAsia="zh-CN"/>
              </w:rPr>
              <w:t>；</w:t>
            </w:r>
            <w:r>
              <w:rPr>
                <w:rFonts w:hint="eastAsia" w:ascii="宋体" w:hAnsi="宋体" w:eastAsia="宋体" w:cs="宋体"/>
                <w:bCs/>
                <w:color w:val="auto"/>
                <w:spacing w:val="-1"/>
                <w:kern w:val="0"/>
                <w:sz w:val="21"/>
                <w:szCs w:val="21"/>
                <w:highlight w:val="none"/>
                <w:lang w:val="en-US" w:eastAsia="zh-CN" w:bidi="ar-SA"/>
              </w:rPr>
              <w:t>②</w:t>
            </w:r>
            <w:r>
              <w:rPr>
                <w:rFonts w:hint="eastAsia" w:ascii="宋体" w:hAnsi="宋体" w:eastAsia="宋体" w:cs="宋体"/>
                <w:color w:val="auto"/>
                <w:sz w:val="21"/>
                <w:szCs w:val="21"/>
              </w:rPr>
              <w:t>响应机制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处置流程</w:t>
            </w:r>
            <w:r>
              <w:rPr>
                <w:rFonts w:hint="eastAsia" w:ascii="宋体" w:hAnsi="宋体" w:eastAsia="宋体" w:cs="宋体"/>
                <w:color w:val="auto"/>
                <w:sz w:val="21"/>
                <w:szCs w:val="21"/>
                <w:lang w:val="en-US" w:eastAsia="zh-CN"/>
              </w:rPr>
              <w:t>及备用方案</w:t>
            </w:r>
            <w:r>
              <w:rPr>
                <w:rFonts w:hint="eastAsia" w:ascii="宋体" w:hAnsi="宋体" w:eastAsia="宋体" w:cs="宋体"/>
                <w:color w:val="auto"/>
                <w:sz w:val="21"/>
                <w:szCs w:val="21"/>
              </w:rPr>
              <w:t>进行打分</w:t>
            </w:r>
            <w:r>
              <w:rPr>
                <w:rFonts w:hint="eastAsia" w:ascii="宋体" w:hAnsi="宋体" w:eastAsia="宋体" w:cs="宋体"/>
                <w:color w:val="auto"/>
                <w:sz w:val="21"/>
                <w:szCs w:val="21"/>
                <w:lang w:eastAsia="zh-CN"/>
              </w:rPr>
              <w:t>；</w:t>
            </w:r>
          </w:p>
          <w:p w14:paraId="6ABE8BC4">
            <w:pPr>
              <w:widowControl/>
              <w:spacing w:line="36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每</w:t>
            </w:r>
            <w:r>
              <w:rPr>
                <w:rFonts w:hint="eastAsia" w:ascii="宋体" w:hAnsi="宋体" w:eastAsia="宋体" w:cs="宋体"/>
                <w:color w:val="auto"/>
                <w:sz w:val="21"/>
                <w:szCs w:val="21"/>
                <w:lang w:val="en-US" w:eastAsia="zh-CN"/>
              </w:rPr>
              <w:t>有一</w:t>
            </w:r>
            <w:r>
              <w:rPr>
                <w:rFonts w:hint="eastAsia" w:ascii="宋体" w:hAnsi="宋体" w:eastAsia="宋体" w:cs="宋体"/>
                <w:color w:val="auto"/>
                <w:sz w:val="21"/>
                <w:szCs w:val="21"/>
              </w:rPr>
              <w:t>项方案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措施完善、</w:t>
            </w:r>
            <w:r>
              <w:rPr>
                <w:rFonts w:hint="eastAsia" w:ascii="宋体" w:hAnsi="宋体" w:eastAsia="宋体" w:cs="宋体"/>
                <w:color w:val="auto"/>
                <w:sz w:val="21"/>
                <w:szCs w:val="21"/>
              </w:rPr>
              <w:t>方案完整</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可落地性强</w:t>
            </w:r>
            <w:r>
              <w:rPr>
                <w:rFonts w:hint="eastAsia" w:ascii="宋体" w:hAnsi="宋体" w:eastAsia="宋体" w:cs="宋体"/>
                <w:color w:val="auto"/>
                <w:sz w:val="21"/>
                <w:szCs w:val="21"/>
                <w:lang w:val="en-US" w:eastAsia="zh-CN"/>
              </w:rPr>
              <w:t>的得3分。</w:t>
            </w:r>
            <w:r>
              <w:rPr>
                <w:rFonts w:hint="eastAsia" w:ascii="宋体" w:hAnsi="宋体" w:eastAsia="宋体" w:cs="宋体"/>
                <w:color w:val="auto"/>
                <w:sz w:val="21"/>
                <w:szCs w:val="21"/>
              </w:rPr>
              <w:t>有基本措施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内容较合理</w:t>
            </w:r>
            <w:r>
              <w:rPr>
                <w:rFonts w:hint="eastAsia" w:ascii="宋体" w:hAnsi="宋体" w:eastAsia="宋体" w:cs="宋体"/>
                <w:color w:val="auto"/>
                <w:sz w:val="21"/>
                <w:szCs w:val="21"/>
                <w:lang w:val="en-US" w:eastAsia="zh-CN"/>
              </w:rPr>
              <w:t>的得2.1分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内容简单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无具体</w:t>
            </w:r>
            <w:r>
              <w:rPr>
                <w:rFonts w:hint="eastAsia" w:ascii="宋体" w:hAnsi="宋体" w:eastAsia="宋体" w:cs="宋体"/>
                <w:color w:val="auto"/>
                <w:sz w:val="21"/>
                <w:szCs w:val="21"/>
                <w:lang w:val="en-US" w:eastAsia="zh-CN"/>
              </w:rPr>
              <w:t>应急</w:t>
            </w:r>
            <w:r>
              <w:rPr>
                <w:rFonts w:hint="eastAsia" w:ascii="宋体" w:hAnsi="宋体" w:eastAsia="宋体" w:cs="宋体"/>
                <w:color w:val="auto"/>
                <w:sz w:val="21"/>
                <w:szCs w:val="21"/>
              </w:rPr>
              <w:t>保障措施</w:t>
            </w:r>
            <w:r>
              <w:rPr>
                <w:rFonts w:hint="eastAsia" w:ascii="宋体" w:hAnsi="宋体" w:eastAsia="宋体" w:cs="宋体"/>
                <w:color w:val="auto"/>
                <w:sz w:val="21"/>
                <w:szCs w:val="21"/>
                <w:lang w:val="en-US" w:eastAsia="zh-CN"/>
              </w:rPr>
              <w:t>的得1.2分。本项最高得6分，</w:t>
            </w:r>
            <w:r>
              <w:rPr>
                <w:rFonts w:hint="eastAsia" w:ascii="宋体" w:hAnsi="宋体" w:eastAsia="宋体" w:cs="宋体"/>
                <w:color w:val="auto"/>
                <w:sz w:val="21"/>
                <w:szCs w:val="21"/>
                <w:lang w:val="zh-CN"/>
              </w:rPr>
              <w:t>不提供者</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zh-CN"/>
              </w:rPr>
              <w:t>。</w:t>
            </w:r>
          </w:p>
        </w:tc>
        <w:tc>
          <w:tcPr>
            <w:tcW w:w="969" w:type="dxa"/>
            <w:tcBorders>
              <w:top w:val="single" w:color="auto" w:sz="4" w:space="0"/>
              <w:left w:val="single" w:color="auto" w:sz="4" w:space="0"/>
              <w:bottom w:val="single" w:color="auto" w:sz="4" w:space="0"/>
              <w:right w:val="single" w:color="auto" w:sz="4" w:space="0"/>
            </w:tcBorders>
            <w:vAlign w:val="center"/>
          </w:tcPr>
          <w:p w14:paraId="713DFC9B">
            <w:pPr>
              <w:tabs>
                <w:tab w:val="left" w:pos="1260"/>
              </w:tabs>
              <w:autoSpaceDE w:val="0"/>
              <w:autoSpaceDN w:val="0"/>
              <w:spacing w:line="360" w:lineRule="auto"/>
              <w:contextualSpacing/>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6分</w:t>
            </w:r>
          </w:p>
        </w:tc>
      </w:tr>
      <w:tr w14:paraId="6B7B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2028" w:type="dxa"/>
            <w:tcBorders>
              <w:top w:val="single" w:color="auto" w:sz="4" w:space="0"/>
              <w:left w:val="single" w:color="auto" w:sz="4" w:space="0"/>
              <w:bottom w:val="single" w:color="auto" w:sz="4" w:space="0"/>
              <w:right w:val="single" w:color="auto" w:sz="4" w:space="0"/>
            </w:tcBorders>
            <w:vAlign w:val="center"/>
          </w:tcPr>
          <w:p w14:paraId="7F58982C">
            <w:pPr>
              <w:widowControl/>
              <w:jc w:val="center"/>
              <w:rPr>
                <w:rFonts w:hint="eastAsia" w:ascii="宋体" w:hAnsi="宋体" w:eastAsia="宋体" w:cs="宋体"/>
                <w:color w:val="auto"/>
                <w:szCs w:val="21"/>
                <w:lang w:val="zh-CN"/>
              </w:rPr>
            </w:pPr>
            <w:r>
              <w:rPr>
                <w:rFonts w:hint="eastAsia" w:ascii="宋体" w:hAnsi="宋体" w:eastAsia="宋体" w:cs="宋体"/>
                <w:color w:val="auto"/>
                <w:kern w:val="0"/>
                <w:sz w:val="21"/>
                <w:szCs w:val="21"/>
              </w:rPr>
              <w:t>整体</w:t>
            </w:r>
            <w:r>
              <w:rPr>
                <w:rFonts w:hint="eastAsia" w:ascii="宋体" w:hAnsi="宋体" w:eastAsia="宋体" w:cs="宋体"/>
                <w:color w:val="auto"/>
                <w:kern w:val="0"/>
                <w:sz w:val="21"/>
                <w:szCs w:val="21"/>
                <w:lang w:val="en-US" w:eastAsia="zh-CN"/>
              </w:rPr>
              <w:t>货品</w:t>
            </w:r>
            <w:r>
              <w:rPr>
                <w:rFonts w:hint="eastAsia" w:ascii="宋体" w:hAnsi="宋体" w:eastAsia="宋体" w:cs="宋体"/>
                <w:color w:val="auto"/>
                <w:kern w:val="0"/>
                <w:sz w:val="21"/>
                <w:szCs w:val="21"/>
              </w:rPr>
              <w:t>配送方案</w:t>
            </w:r>
          </w:p>
        </w:tc>
        <w:tc>
          <w:tcPr>
            <w:tcW w:w="6112" w:type="dxa"/>
            <w:tcBorders>
              <w:top w:val="single" w:color="auto" w:sz="4" w:space="0"/>
              <w:left w:val="nil"/>
              <w:bottom w:val="single" w:color="auto" w:sz="4" w:space="0"/>
              <w:right w:val="single" w:color="auto" w:sz="4" w:space="0"/>
            </w:tcBorders>
            <w:shd w:val="clear" w:color="auto" w:fill="auto"/>
            <w:vAlign w:val="center"/>
          </w:tcPr>
          <w:p w14:paraId="74459CD0">
            <w:pPr>
              <w:widowControl/>
              <w:spacing w:line="360" w:lineRule="auto"/>
              <w:jc w:val="both"/>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根据</w:t>
            </w:r>
            <w:r>
              <w:rPr>
                <w:rFonts w:hint="eastAsia" w:ascii="宋体" w:hAnsi="宋体" w:eastAsia="宋体" w:cs="宋体"/>
                <w:color w:val="auto"/>
                <w:kern w:val="0"/>
                <w:sz w:val="21"/>
                <w:szCs w:val="21"/>
                <w:lang w:val="en-US" w:eastAsia="zh-CN"/>
              </w:rPr>
              <w:t>投标人</w:t>
            </w:r>
            <w:r>
              <w:rPr>
                <w:rFonts w:hint="eastAsia" w:ascii="宋体" w:hAnsi="宋体" w:eastAsia="宋体" w:cs="宋体"/>
                <w:color w:val="auto"/>
                <w:kern w:val="0"/>
                <w:sz w:val="21"/>
                <w:szCs w:val="21"/>
              </w:rPr>
              <w:t>提供</w:t>
            </w:r>
            <w:r>
              <w:rPr>
                <w:rFonts w:hint="eastAsia" w:ascii="宋体" w:hAnsi="宋体" w:eastAsia="宋体" w:cs="宋体"/>
                <w:color w:val="auto"/>
                <w:kern w:val="0"/>
                <w:sz w:val="21"/>
                <w:szCs w:val="21"/>
                <w:lang w:eastAsia="zh-CN"/>
              </w:rPr>
              <w:t>的</w:t>
            </w:r>
            <w:r>
              <w:rPr>
                <w:rFonts w:hint="eastAsia" w:ascii="宋体" w:hAnsi="宋体" w:eastAsia="宋体" w:cs="宋体"/>
                <w:color w:val="auto"/>
                <w:kern w:val="0"/>
                <w:sz w:val="21"/>
                <w:szCs w:val="21"/>
              </w:rPr>
              <w:t>项目</w:t>
            </w:r>
            <w:r>
              <w:rPr>
                <w:rFonts w:hint="eastAsia" w:ascii="宋体" w:hAnsi="宋体" w:eastAsia="宋体" w:cs="宋体"/>
                <w:color w:val="auto"/>
                <w:sz w:val="21"/>
                <w:szCs w:val="21"/>
              </w:rPr>
              <w:t>整体货品配送方案</w:t>
            </w:r>
            <w:r>
              <w:rPr>
                <w:rFonts w:hint="eastAsia" w:ascii="宋体" w:hAnsi="宋体" w:eastAsia="宋体" w:cs="宋体"/>
                <w:color w:val="auto"/>
                <w:sz w:val="21"/>
                <w:szCs w:val="21"/>
                <w:lang w:eastAsia="zh-CN"/>
              </w:rPr>
              <w:t>，包含</w:t>
            </w:r>
            <w:r>
              <w:rPr>
                <w:rFonts w:hint="eastAsia" w:ascii="宋体" w:hAnsi="宋体" w:eastAsia="宋体" w:cs="宋体"/>
                <w:bCs/>
                <w:color w:val="auto"/>
                <w:spacing w:val="-1"/>
                <w:kern w:val="0"/>
                <w:sz w:val="21"/>
                <w:szCs w:val="21"/>
                <w:highlight w:val="none"/>
                <w:lang w:val="en-US" w:eastAsia="zh-CN" w:bidi="ar-SA"/>
              </w:rPr>
              <w:t>①</w:t>
            </w:r>
            <w:r>
              <w:rPr>
                <w:rFonts w:hint="eastAsia" w:ascii="宋体" w:hAnsi="宋体" w:eastAsia="宋体" w:cs="宋体"/>
                <w:color w:val="auto"/>
                <w:kern w:val="0"/>
                <w:sz w:val="21"/>
                <w:szCs w:val="21"/>
                <w:lang w:val="en-US" w:eastAsia="zh-CN"/>
              </w:rPr>
              <w:t>货品</w:t>
            </w:r>
            <w:r>
              <w:rPr>
                <w:rFonts w:hint="eastAsia" w:ascii="宋体" w:hAnsi="宋体" w:eastAsia="宋体" w:cs="宋体"/>
                <w:color w:val="auto"/>
                <w:sz w:val="21"/>
                <w:szCs w:val="21"/>
              </w:rPr>
              <w:t>配送体系</w:t>
            </w:r>
            <w:r>
              <w:rPr>
                <w:rFonts w:hint="eastAsia" w:ascii="宋体" w:hAnsi="宋体" w:eastAsia="宋体" w:cs="宋体"/>
                <w:color w:val="auto"/>
                <w:sz w:val="21"/>
                <w:szCs w:val="21"/>
                <w:lang w:eastAsia="zh-CN"/>
              </w:rPr>
              <w:t>；</w:t>
            </w:r>
            <w:r>
              <w:rPr>
                <w:rFonts w:hint="eastAsia" w:ascii="宋体" w:hAnsi="宋体" w:eastAsia="宋体" w:cs="宋体"/>
                <w:bCs/>
                <w:color w:val="auto"/>
                <w:spacing w:val="-1"/>
                <w:kern w:val="0"/>
                <w:sz w:val="21"/>
                <w:szCs w:val="21"/>
                <w:highlight w:val="none"/>
                <w:lang w:val="en-US" w:eastAsia="zh-CN" w:bidi="ar-SA"/>
              </w:rPr>
              <w:t>②运输保障措施</w:t>
            </w:r>
            <w:r>
              <w:rPr>
                <w:rFonts w:hint="eastAsia" w:ascii="宋体" w:hAnsi="宋体" w:eastAsia="宋体" w:cs="宋体"/>
                <w:color w:val="auto"/>
                <w:szCs w:val="21"/>
              </w:rPr>
              <w:t>③</w:t>
            </w:r>
            <w:r>
              <w:rPr>
                <w:rFonts w:hint="eastAsia" w:ascii="宋体" w:hAnsi="宋体" w:eastAsia="宋体" w:cs="宋体"/>
                <w:bCs/>
                <w:color w:val="auto"/>
                <w:spacing w:val="-1"/>
                <w:kern w:val="0"/>
                <w:sz w:val="21"/>
                <w:szCs w:val="21"/>
                <w:highlight w:val="none"/>
                <w:lang w:val="en-US" w:eastAsia="zh-CN" w:bidi="ar-SA"/>
              </w:rPr>
              <w:t>人员安排及到货交接方案</w:t>
            </w:r>
            <w:r>
              <w:rPr>
                <w:rFonts w:hint="eastAsia" w:ascii="宋体" w:hAnsi="宋体" w:eastAsia="宋体" w:cs="宋体"/>
                <w:color w:val="auto"/>
                <w:sz w:val="21"/>
                <w:szCs w:val="21"/>
              </w:rPr>
              <w:t>进行打分</w:t>
            </w:r>
            <w:r>
              <w:rPr>
                <w:rFonts w:hint="eastAsia" w:ascii="宋体" w:hAnsi="宋体" w:eastAsia="宋体" w:cs="宋体"/>
                <w:color w:val="auto"/>
                <w:sz w:val="21"/>
                <w:szCs w:val="21"/>
                <w:lang w:eastAsia="zh-CN"/>
              </w:rPr>
              <w:t>；</w:t>
            </w:r>
          </w:p>
          <w:p w14:paraId="47187E7E">
            <w:pPr>
              <w:widowControl/>
              <w:spacing w:line="360" w:lineRule="auto"/>
              <w:jc w:val="both"/>
              <w:rPr>
                <w:rFonts w:hint="eastAsia" w:ascii="宋体" w:hAnsi="宋体" w:eastAsia="宋体" w:cs="宋体"/>
                <w:color w:val="auto"/>
                <w:kern w:val="0"/>
                <w:sz w:val="21"/>
                <w:szCs w:val="21"/>
              </w:rPr>
            </w:pPr>
            <w:r>
              <w:rPr>
                <w:rFonts w:hint="eastAsia" w:ascii="宋体" w:hAnsi="宋体" w:eastAsia="宋体" w:cs="宋体"/>
                <w:color w:val="auto"/>
                <w:sz w:val="21"/>
                <w:szCs w:val="21"/>
              </w:rPr>
              <w:t>每</w:t>
            </w:r>
            <w:r>
              <w:rPr>
                <w:rFonts w:hint="eastAsia" w:ascii="宋体" w:hAnsi="宋体" w:eastAsia="宋体" w:cs="宋体"/>
                <w:color w:val="auto"/>
                <w:sz w:val="21"/>
                <w:szCs w:val="21"/>
                <w:lang w:val="en-US" w:eastAsia="zh-CN"/>
              </w:rPr>
              <w:t>有一</w:t>
            </w:r>
            <w:r>
              <w:rPr>
                <w:rFonts w:hint="eastAsia" w:ascii="宋体" w:hAnsi="宋体" w:eastAsia="宋体" w:cs="宋体"/>
                <w:color w:val="auto"/>
                <w:sz w:val="21"/>
                <w:szCs w:val="21"/>
              </w:rPr>
              <w:t>项方案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流程清晰、节点明确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方案完整</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可落地性强</w:t>
            </w:r>
            <w:r>
              <w:rPr>
                <w:rFonts w:hint="eastAsia" w:ascii="宋体" w:hAnsi="宋体" w:eastAsia="宋体" w:cs="宋体"/>
                <w:color w:val="auto"/>
                <w:sz w:val="21"/>
                <w:szCs w:val="21"/>
                <w:lang w:val="en-US" w:eastAsia="zh-CN"/>
              </w:rPr>
              <w:t>的得3分。</w:t>
            </w:r>
            <w:r>
              <w:rPr>
                <w:rFonts w:hint="eastAsia" w:ascii="宋体" w:hAnsi="宋体" w:eastAsia="宋体" w:cs="宋体"/>
                <w:color w:val="auto"/>
                <w:sz w:val="21"/>
                <w:szCs w:val="21"/>
              </w:rPr>
              <w:t>方案较完整</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有基本流程</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内容较合理</w:t>
            </w:r>
            <w:r>
              <w:rPr>
                <w:rFonts w:hint="eastAsia" w:ascii="宋体" w:hAnsi="宋体" w:eastAsia="宋体" w:cs="宋体"/>
                <w:color w:val="auto"/>
                <w:sz w:val="21"/>
                <w:szCs w:val="21"/>
                <w:lang w:val="en-US" w:eastAsia="zh-CN"/>
              </w:rPr>
              <w:t>的得2.1分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方案简单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仅简单描述</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无具体流程</w:t>
            </w:r>
            <w:r>
              <w:rPr>
                <w:rFonts w:hint="eastAsia" w:ascii="宋体" w:hAnsi="宋体" w:eastAsia="宋体" w:cs="宋体"/>
                <w:color w:val="auto"/>
                <w:sz w:val="21"/>
                <w:szCs w:val="21"/>
                <w:lang w:val="en-US" w:eastAsia="zh-CN"/>
              </w:rPr>
              <w:t>的得1.2分。本项最高得9分，</w:t>
            </w:r>
            <w:r>
              <w:rPr>
                <w:rFonts w:hint="eastAsia" w:ascii="宋体" w:hAnsi="宋体" w:eastAsia="宋体" w:cs="宋体"/>
                <w:color w:val="auto"/>
                <w:sz w:val="21"/>
                <w:szCs w:val="21"/>
                <w:lang w:val="zh-CN"/>
              </w:rPr>
              <w:t>不提供者</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zh-CN"/>
              </w:rPr>
              <w:t>。</w:t>
            </w:r>
          </w:p>
        </w:tc>
        <w:tc>
          <w:tcPr>
            <w:tcW w:w="969" w:type="dxa"/>
            <w:tcBorders>
              <w:top w:val="single" w:color="auto" w:sz="4" w:space="0"/>
              <w:left w:val="single" w:color="auto" w:sz="4" w:space="0"/>
              <w:bottom w:val="single" w:color="auto" w:sz="4" w:space="0"/>
              <w:right w:val="single" w:color="auto" w:sz="4" w:space="0"/>
            </w:tcBorders>
            <w:vAlign w:val="center"/>
          </w:tcPr>
          <w:p w14:paraId="690F3CD3">
            <w:pPr>
              <w:tabs>
                <w:tab w:val="left" w:pos="1260"/>
              </w:tabs>
              <w:autoSpaceDE w:val="0"/>
              <w:autoSpaceDN w:val="0"/>
              <w:spacing w:line="360" w:lineRule="auto"/>
              <w:contextualSpacing/>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9分</w:t>
            </w:r>
          </w:p>
        </w:tc>
      </w:tr>
      <w:tr w14:paraId="2357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trPr>
        <w:tc>
          <w:tcPr>
            <w:tcW w:w="2028" w:type="dxa"/>
            <w:tcBorders>
              <w:top w:val="single" w:color="auto" w:sz="4" w:space="0"/>
              <w:left w:val="single" w:color="auto" w:sz="4" w:space="0"/>
              <w:bottom w:val="single" w:color="auto" w:sz="4" w:space="0"/>
              <w:right w:val="single" w:color="auto" w:sz="4" w:space="0"/>
            </w:tcBorders>
            <w:vAlign w:val="center"/>
          </w:tcPr>
          <w:p w14:paraId="661A7504">
            <w:pPr>
              <w:keepNext w:val="0"/>
              <w:keepLines w:val="0"/>
              <w:pageBreakBefore w:val="0"/>
              <w:kinsoku/>
              <w:wordWrap/>
              <w:overflowPunct/>
              <w:topLinePunct w:val="0"/>
              <w:autoSpaceDE/>
              <w:autoSpaceDN/>
              <w:bidi w:val="0"/>
              <w:spacing w:line="360" w:lineRule="auto"/>
              <w:rPr>
                <w:rFonts w:hint="eastAsia" w:ascii="宋体" w:hAnsi="宋体" w:eastAsia="宋体" w:cs="宋体"/>
                <w:color w:val="auto"/>
                <w:szCs w:val="21"/>
                <w:lang w:val="zh-CN" w:eastAsia="zh-CN"/>
              </w:rPr>
            </w:pPr>
            <w:r>
              <w:rPr>
                <w:rFonts w:hint="eastAsia" w:ascii="宋体" w:hAnsi="宋体" w:eastAsia="宋体" w:cs="宋体"/>
                <w:color w:val="auto"/>
                <w:sz w:val="21"/>
                <w:szCs w:val="21"/>
                <w:highlight w:val="none"/>
                <w:lang w:val="en-US" w:eastAsia="zh-CN"/>
              </w:rPr>
              <w:t>售后</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val="en-US" w:eastAsia="zh-CN"/>
              </w:rPr>
              <w:t>方案</w:t>
            </w:r>
          </w:p>
        </w:tc>
        <w:tc>
          <w:tcPr>
            <w:tcW w:w="6112" w:type="dxa"/>
            <w:tcBorders>
              <w:top w:val="single" w:color="auto" w:sz="4" w:space="0"/>
              <w:left w:val="nil"/>
              <w:bottom w:val="single" w:color="auto" w:sz="4" w:space="0"/>
              <w:right w:val="single" w:color="auto" w:sz="4" w:space="0"/>
            </w:tcBorders>
            <w:shd w:val="clear" w:color="auto" w:fill="auto"/>
            <w:vAlign w:val="center"/>
          </w:tcPr>
          <w:p w14:paraId="5234F5C2">
            <w:pPr>
              <w:keepNext w:val="0"/>
              <w:keepLines w:val="0"/>
              <w:pageBreakBefore w:val="0"/>
              <w:kinsoku/>
              <w:wordWrap/>
              <w:overflowPunct/>
              <w:topLinePunct w:val="0"/>
              <w:autoSpaceDE/>
              <w:autoSpaceDN/>
              <w:bidi w:val="0"/>
              <w:spacing w:line="360" w:lineRule="auto"/>
              <w:jc w:val="left"/>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根据</w:t>
            </w:r>
            <w:r>
              <w:rPr>
                <w:rFonts w:hint="eastAsia" w:ascii="宋体" w:hAnsi="宋体" w:eastAsia="宋体" w:cs="宋体"/>
                <w:color w:val="auto"/>
                <w:kern w:val="0"/>
                <w:sz w:val="21"/>
                <w:szCs w:val="21"/>
                <w:lang w:val="en-US" w:eastAsia="zh-CN"/>
              </w:rPr>
              <w:t>投标人</w:t>
            </w:r>
            <w:r>
              <w:rPr>
                <w:rFonts w:hint="eastAsia" w:ascii="宋体" w:hAnsi="宋体" w:eastAsia="宋体" w:cs="宋体"/>
                <w:color w:val="auto"/>
                <w:kern w:val="0"/>
                <w:sz w:val="21"/>
                <w:szCs w:val="21"/>
              </w:rPr>
              <w:t>提供</w:t>
            </w:r>
            <w:r>
              <w:rPr>
                <w:rFonts w:hint="eastAsia" w:ascii="宋体" w:hAnsi="宋体" w:eastAsia="宋体" w:cs="宋体"/>
                <w:color w:val="auto"/>
                <w:kern w:val="0"/>
                <w:sz w:val="21"/>
                <w:szCs w:val="21"/>
                <w:lang w:eastAsia="zh-CN"/>
              </w:rPr>
              <w:t>的</w:t>
            </w:r>
            <w:r>
              <w:rPr>
                <w:rFonts w:hint="eastAsia" w:ascii="宋体" w:hAnsi="宋体" w:eastAsia="宋体" w:cs="宋体"/>
                <w:color w:val="auto"/>
                <w:sz w:val="21"/>
                <w:szCs w:val="21"/>
                <w:highlight w:val="none"/>
                <w:lang w:val="en-US" w:eastAsia="zh-CN"/>
              </w:rPr>
              <w:t>售后</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 w:val="21"/>
                <w:szCs w:val="21"/>
                <w:highlight w:val="none"/>
                <w:lang w:eastAsia="zh-CN"/>
              </w:rPr>
              <w:t>，包含</w:t>
            </w:r>
            <w:r>
              <w:rPr>
                <w:rFonts w:hint="eastAsia" w:ascii="宋体" w:hAnsi="宋体" w:eastAsia="宋体" w:cs="宋体"/>
                <w:bCs/>
                <w:color w:val="auto"/>
                <w:spacing w:val="-1"/>
                <w:kern w:val="0"/>
                <w:sz w:val="21"/>
                <w:szCs w:val="21"/>
                <w:highlight w:val="none"/>
                <w:lang w:val="en-US" w:eastAsia="zh-CN" w:bidi="ar-SA"/>
              </w:rPr>
              <w:t>①售后服务人员及岗位设置、售后服务响应时间②售后完善程度、解决问题的能力</w:t>
            </w:r>
            <w:r>
              <w:rPr>
                <w:rFonts w:hint="eastAsia" w:ascii="宋体" w:hAnsi="宋体" w:eastAsia="宋体" w:cs="宋体"/>
                <w:color w:val="auto"/>
                <w:sz w:val="21"/>
                <w:szCs w:val="21"/>
              </w:rPr>
              <w:t>进行打分</w:t>
            </w:r>
            <w:r>
              <w:rPr>
                <w:rFonts w:hint="eastAsia" w:ascii="宋体" w:hAnsi="宋体" w:eastAsia="宋体" w:cs="宋体"/>
                <w:color w:val="auto"/>
                <w:sz w:val="21"/>
                <w:szCs w:val="21"/>
                <w:lang w:eastAsia="zh-CN"/>
              </w:rPr>
              <w:t>；</w:t>
            </w:r>
          </w:p>
          <w:p w14:paraId="45AAA75D">
            <w:pPr>
              <w:keepNext w:val="0"/>
              <w:keepLines w:val="0"/>
              <w:pageBreakBefore w:val="0"/>
              <w:kinsoku/>
              <w:wordWrap/>
              <w:overflowPunct/>
              <w:topLinePunct w:val="0"/>
              <w:autoSpaceDE/>
              <w:autoSpaceDN/>
              <w:bidi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每</w:t>
            </w:r>
            <w:r>
              <w:rPr>
                <w:rFonts w:hint="eastAsia" w:ascii="宋体" w:hAnsi="宋体" w:eastAsia="宋体" w:cs="宋体"/>
                <w:color w:val="auto"/>
                <w:sz w:val="21"/>
                <w:szCs w:val="21"/>
                <w:lang w:val="en-US" w:eastAsia="zh-CN"/>
              </w:rPr>
              <w:t>有一</w:t>
            </w:r>
            <w:r>
              <w:rPr>
                <w:rFonts w:hint="eastAsia" w:ascii="宋体" w:hAnsi="宋体" w:eastAsia="宋体" w:cs="宋体"/>
                <w:color w:val="auto"/>
                <w:sz w:val="21"/>
                <w:szCs w:val="21"/>
              </w:rPr>
              <w:t>项方案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内容</w:t>
            </w:r>
            <w:r>
              <w:rPr>
                <w:rFonts w:hint="eastAsia" w:ascii="宋体" w:hAnsi="宋体" w:eastAsia="宋体" w:cs="宋体"/>
                <w:color w:val="auto"/>
                <w:sz w:val="21"/>
                <w:szCs w:val="21"/>
              </w:rPr>
              <w:t>科学合理、可实施性高、内容完整</w:t>
            </w:r>
            <w:r>
              <w:rPr>
                <w:rFonts w:hint="eastAsia" w:ascii="宋体" w:hAnsi="宋体" w:eastAsia="宋体" w:cs="宋体"/>
                <w:color w:val="auto"/>
                <w:sz w:val="21"/>
                <w:szCs w:val="21"/>
                <w:lang w:val="en-US" w:eastAsia="zh-CN"/>
              </w:rPr>
              <w:t>的得2</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不缺项</w:t>
            </w:r>
            <w:r>
              <w:rPr>
                <w:rFonts w:hint="eastAsia" w:ascii="宋体" w:hAnsi="宋体" w:eastAsia="宋体" w:cs="宋体"/>
                <w:color w:val="auto"/>
                <w:sz w:val="21"/>
                <w:szCs w:val="21"/>
              </w:rPr>
              <w:t>仅有简单描述</w:t>
            </w:r>
            <w:r>
              <w:rPr>
                <w:rFonts w:hint="eastAsia" w:ascii="宋体" w:hAnsi="宋体" w:eastAsia="宋体" w:cs="宋体"/>
                <w:color w:val="auto"/>
                <w:sz w:val="21"/>
                <w:szCs w:val="21"/>
                <w:lang w:val="en-US" w:eastAsia="zh-CN"/>
              </w:rPr>
              <w:t>的得1.4</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kern w:val="0"/>
                <w:sz w:val="21"/>
                <w:szCs w:val="21"/>
              </w:rPr>
              <w:t>内容不完整</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缺乏</w:t>
            </w:r>
            <w:r>
              <w:rPr>
                <w:rFonts w:hint="eastAsia" w:ascii="宋体" w:hAnsi="宋体" w:eastAsia="宋体" w:cs="宋体"/>
                <w:color w:val="auto"/>
                <w:sz w:val="21"/>
                <w:szCs w:val="21"/>
              </w:rPr>
              <w:t>科学合理</w:t>
            </w:r>
            <w:r>
              <w:rPr>
                <w:rFonts w:hint="eastAsia" w:ascii="宋体" w:hAnsi="宋体" w:eastAsia="宋体" w:cs="宋体"/>
                <w:color w:val="auto"/>
                <w:sz w:val="21"/>
                <w:szCs w:val="21"/>
                <w:lang w:val="en-US" w:eastAsia="zh-CN"/>
              </w:rPr>
              <w:t>的得0.8</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本项最高得4分，</w:t>
            </w:r>
            <w:r>
              <w:rPr>
                <w:rFonts w:hint="eastAsia" w:ascii="宋体" w:hAnsi="宋体" w:eastAsia="宋体" w:cs="宋体"/>
                <w:color w:val="auto"/>
                <w:sz w:val="21"/>
                <w:szCs w:val="21"/>
                <w:lang w:val="zh-CN"/>
              </w:rPr>
              <w:t>不提供者</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zh-CN"/>
              </w:rPr>
              <w:t>。</w:t>
            </w:r>
          </w:p>
        </w:tc>
        <w:tc>
          <w:tcPr>
            <w:tcW w:w="969" w:type="dxa"/>
            <w:tcBorders>
              <w:top w:val="single" w:color="auto" w:sz="4" w:space="0"/>
              <w:left w:val="single" w:color="auto" w:sz="4" w:space="0"/>
              <w:bottom w:val="single" w:color="auto" w:sz="4" w:space="0"/>
              <w:right w:val="single" w:color="auto" w:sz="4" w:space="0"/>
            </w:tcBorders>
            <w:vAlign w:val="center"/>
          </w:tcPr>
          <w:p w14:paraId="5B94446C">
            <w:pPr>
              <w:tabs>
                <w:tab w:val="left" w:pos="1260"/>
              </w:tabs>
              <w:autoSpaceDE w:val="0"/>
              <w:autoSpaceDN w:val="0"/>
              <w:spacing w:line="360" w:lineRule="auto"/>
              <w:contextualSpacing/>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4分</w:t>
            </w:r>
          </w:p>
        </w:tc>
      </w:tr>
    </w:tbl>
    <w:p w14:paraId="64ECB4FA">
      <w:pPr>
        <w:spacing w:line="360" w:lineRule="auto"/>
        <w:rPr>
          <w:rFonts w:hint="eastAsia" w:ascii="宋体" w:hAnsi="宋体" w:eastAsia="宋体" w:cs="宋体"/>
          <w:color w:val="auto"/>
          <w:sz w:val="21"/>
          <w:szCs w:val="21"/>
          <w:lang w:val="zh-CN"/>
        </w:rPr>
      </w:pPr>
      <w:r>
        <w:rPr>
          <w:rFonts w:hint="eastAsia" w:ascii="宋体" w:hAnsi="宋体" w:eastAsia="宋体" w:cs="宋体"/>
          <w:b/>
          <w:color w:val="auto"/>
          <w:sz w:val="21"/>
          <w:szCs w:val="21"/>
          <w:lang w:val="zh-CN"/>
        </w:rPr>
        <w:t>其中：价格分计算（落实政府采购政策价格调整部分）</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2823"/>
        <w:gridCol w:w="2552"/>
        <w:gridCol w:w="2835"/>
      </w:tblGrid>
      <w:tr w14:paraId="4EB0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1" w:type="dxa"/>
            <w:vAlign w:val="center"/>
          </w:tcPr>
          <w:p w14:paraId="5D213437">
            <w:pPr>
              <w:jc w:val="center"/>
              <w:rPr>
                <w:rFonts w:hint="eastAsia" w:ascii="宋体" w:hAnsi="宋体" w:eastAsia="宋体" w:cs="宋体"/>
                <w:b/>
                <w:color w:val="auto"/>
                <w:szCs w:val="21"/>
                <w:lang w:val="en-GB"/>
              </w:rPr>
            </w:pPr>
            <w:r>
              <w:rPr>
                <w:rFonts w:hint="eastAsia" w:ascii="宋体" w:hAnsi="宋体" w:eastAsia="宋体" w:cs="宋体"/>
                <w:b/>
                <w:color w:val="auto"/>
                <w:szCs w:val="21"/>
                <w:lang w:val="en-GB"/>
              </w:rPr>
              <w:t>序号</w:t>
            </w:r>
          </w:p>
        </w:tc>
        <w:tc>
          <w:tcPr>
            <w:tcW w:w="2823" w:type="dxa"/>
            <w:vAlign w:val="center"/>
          </w:tcPr>
          <w:p w14:paraId="57B7C305">
            <w:pPr>
              <w:jc w:val="center"/>
              <w:rPr>
                <w:rFonts w:hint="eastAsia" w:ascii="宋体" w:hAnsi="宋体" w:eastAsia="宋体" w:cs="宋体"/>
                <w:b/>
                <w:color w:val="auto"/>
                <w:szCs w:val="21"/>
                <w:lang w:val="en-GB"/>
              </w:rPr>
            </w:pPr>
            <w:r>
              <w:rPr>
                <w:rFonts w:hint="eastAsia" w:ascii="宋体" w:hAnsi="宋体" w:eastAsia="宋体" w:cs="宋体"/>
                <w:b/>
                <w:color w:val="auto"/>
                <w:szCs w:val="21"/>
                <w:lang w:val="en-GB"/>
              </w:rPr>
              <w:t>情形</w:t>
            </w:r>
          </w:p>
        </w:tc>
        <w:tc>
          <w:tcPr>
            <w:tcW w:w="2552" w:type="dxa"/>
            <w:vAlign w:val="center"/>
          </w:tcPr>
          <w:p w14:paraId="3A306288">
            <w:pPr>
              <w:jc w:val="center"/>
              <w:rPr>
                <w:rFonts w:hint="eastAsia" w:ascii="宋体" w:hAnsi="宋体" w:eastAsia="宋体" w:cs="宋体"/>
                <w:b/>
                <w:color w:val="auto"/>
                <w:szCs w:val="21"/>
                <w:lang w:val="en-GB"/>
              </w:rPr>
            </w:pPr>
            <w:r>
              <w:rPr>
                <w:rFonts w:hint="eastAsia" w:ascii="宋体" w:hAnsi="宋体" w:eastAsia="宋体" w:cs="宋体"/>
                <w:b/>
                <w:color w:val="auto"/>
                <w:szCs w:val="21"/>
              </w:rPr>
              <w:t>价格扣除</w:t>
            </w:r>
            <w:r>
              <w:rPr>
                <w:rFonts w:hint="eastAsia" w:ascii="宋体" w:hAnsi="宋体" w:eastAsia="宋体" w:cs="宋体"/>
                <w:b/>
                <w:color w:val="auto"/>
                <w:szCs w:val="21"/>
                <w:lang w:val="en-GB"/>
              </w:rPr>
              <w:t>比例</w:t>
            </w:r>
          </w:p>
        </w:tc>
        <w:tc>
          <w:tcPr>
            <w:tcW w:w="2835" w:type="dxa"/>
            <w:vAlign w:val="center"/>
          </w:tcPr>
          <w:p w14:paraId="4DA7B1B6">
            <w:pPr>
              <w:jc w:val="center"/>
              <w:rPr>
                <w:rFonts w:hint="eastAsia" w:ascii="宋体" w:hAnsi="宋体" w:eastAsia="宋体" w:cs="宋体"/>
                <w:b/>
                <w:color w:val="auto"/>
                <w:szCs w:val="21"/>
                <w:lang w:val="en-GB"/>
              </w:rPr>
            </w:pPr>
            <w:r>
              <w:rPr>
                <w:rFonts w:hint="eastAsia" w:ascii="宋体" w:hAnsi="宋体" w:eastAsia="宋体" w:cs="宋体"/>
                <w:b/>
                <w:color w:val="auto"/>
                <w:szCs w:val="21"/>
                <w:lang w:val="en-GB"/>
              </w:rPr>
              <w:t>计算公式</w:t>
            </w:r>
          </w:p>
        </w:tc>
      </w:tr>
      <w:tr w14:paraId="3771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1" w:type="dxa"/>
            <w:vAlign w:val="center"/>
          </w:tcPr>
          <w:p w14:paraId="38E4D825">
            <w:pPr>
              <w:jc w:val="center"/>
              <w:rPr>
                <w:rFonts w:hint="eastAsia" w:ascii="宋体" w:hAnsi="宋体" w:eastAsia="宋体" w:cs="宋体"/>
                <w:b/>
                <w:color w:val="auto"/>
                <w:szCs w:val="21"/>
                <w:lang w:val="en-GB"/>
              </w:rPr>
            </w:pPr>
            <w:r>
              <w:rPr>
                <w:rFonts w:hint="eastAsia" w:ascii="宋体" w:hAnsi="宋体" w:eastAsia="宋体" w:cs="宋体"/>
                <w:b/>
                <w:color w:val="auto"/>
                <w:szCs w:val="21"/>
                <w:lang w:val="en-GB"/>
              </w:rPr>
              <w:t>1</w:t>
            </w:r>
          </w:p>
        </w:tc>
        <w:tc>
          <w:tcPr>
            <w:tcW w:w="2823" w:type="dxa"/>
            <w:vAlign w:val="center"/>
          </w:tcPr>
          <w:p w14:paraId="17A71653">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非联合体投标人</w:t>
            </w:r>
          </w:p>
        </w:tc>
        <w:tc>
          <w:tcPr>
            <w:tcW w:w="2552" w:type="dxa"/>
            <w:vAlign w:val="center"/>
          </w:tcPr>
          <w:p w14:paraId="6737DD2B">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对小型和微型企业报价</w:t>
            </w:r>
          </w:p>
          <w:p w14:paraId="77EA104D">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扣除</w:t>
            </w:r>
            <w:r>
              <w:rPr>
                <w:rFonts w:hint="eastAsia" w:ascii="宋体" w:hAnsi="宋体" w:eastAsia="宋体" w:cs="宋体"/>
                <w:color w:val="auto"/>
                <w:szCs w:val="21"/>
                <w:u w:val="single"/>
              </w:rPr>
              <w:t>20</w:t>
            </w:r>
            <w:r>
              <w:rPr>
                <w:rFonts w:hint="eastAsia" w:ascii="宋体" w:hAnsi="宋体" w:eastAsia="宋体" w:cs="宋体"/>
                <w:color w:val="auto"/>
                <w:szCs w:val="21"/>
                <w:u w:val="single"/>
                <w:lang w:val="en-GB"/>
              </w:rPr>
              <w:t>%</w:t>
            </w:r>
          </w:p>
        </w:tc>
        <w:tc>
          <w:tcPr>
            <w:tcW w:w="2835" w:type="dxa"/>
            <w:vMerge w:val="restart"/>
            <w:vAlign w:val="center"/>
          </w:tcPr>
          <w:p w14:paraId="0F29C59C">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评标价格＝小型和微型企业报价×（1—20%）</w:t>
            </w:r>
          </w:p>
          <w:p w14:paraId="01D4F56E">
            <w:pPr>
              <w:jc w:val="center"/>
              <w:rPr>
                <w:rFonts w:hint="eastAsia" w:ascii="宋体" w:hAnsi="宋体" w:eastAsia="宋体" w:cs="宋体"/>
                <w:color w:val="auto"/>
                <w:szCs w:val="21"/>
                <w:lang w:val="en-GB"/>
              </w:rPr>
            </w:pPr>
          </w:p>
        </w:tc>
      </w:tr>
      <w:tr w14:paraId="4A6B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721" w:type="dxa"/>
            <w:vAlign w:val="center"/>
          </w:tcPr>
          <w:p w14:paraId="08C9B587">
            <w:pPr>
              <w:jc w:val="center"/>
              <w:rPr>
                <w:rFonts w:hint="eastAsia" w:ascii="宋体" w:hAnsi="宋体" w:eastAsia="宋体" w:cs="宋体"/>
                <w:b/>
                <w:color w:val="auto"/>
                <w:szCs w:val="21"/>
                <w:lang w:val="en-GB"/>
              </w:rPr>
            </w:pPr>
            <w:r>
              <w:rPr>
                <w:rFonts w:hint="eastAsia" w:ascii="宋体" w:hAnsi="宋体" w:eastAsia="宋体" w:cs="宋体"/>
                <w:b/>
                <w:color w:val="auto"/>
                <w:szCs w:val="21"/>
                <w:lang w:val="en-GB"/>
              </w:rPr>
              <w:t>2</w:t>
            </w:r>
          </w:p>
        </w:tc>
        <w:tc>
          <w:tcPr>
            <w:tcW w:w="2823" w:type="dxa"/>
            <w:vAlign w:val="center"/>
          </w:tcPr>
          <w:p w14:paraId="2F429681">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联合体各方均为</w:t>
            </w:r>
          </w:p>
          <w:p w14:paraId="3F3EAFBA">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小型、微型企业</w:t>
            </w:r>
          </w:p>
        </w:tc>
        <w:tc>
          <w:tcPr>
            <w:tcW w:w="2552" w:type="dxa"/>
            <w:vAlign w:val="center"/>
          </w:tcPr>
          <w:p w14:paraId="2EF4C0E0">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对小型和微型企业报价</w:t>
            </w:r>
          </w:p>
          <w:p w14:paraId="4E83AC90">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扣除</w:t>
            </w:r>
            <w:r>
              <w:rPr>
                <w:rFonts w:hint="eastAsia" w:ascii="宋体" w:hAnsi="宋体" w:eastAsia="宋体" w:cs="宋体"/>
                <w:color w:val="auto"/>
                <w:szCs w:val="21"/>
                <w:u w:val="single"/>
              </w:rPr>
              <w:t>20</w:t>
            </w:r>
            <w:r>
              <w:rPr>
                <w:rFonts w:hint="eastAsia" w:ascii="宋体" w:hAnsi="宋体" w:eastAsia="宋体" w:cs="宋体"/>
                <w:color w:val="auto"/>
                <w:szCs w:val="21"/>
                <w:u w:val="single"/>
                <w:lang w:val="en-GB"/>
              </w:rPr>
              <w:t>%</w:t>
            </w:r>
            <w:r>
              <w:rPr>
                <w:rFonts w:hint="eastAsia" w:ascii="宋体" w:hAnsi="宋体" w:eastAsia="宋体" w:cs="宋体"/>
                <w:color w:val="auto"/>
                <w:szCs w:val="21"/>
                <w:lang w:val="en-GB"/>
              </w:rPr>
              <w:t>（不再享受序号3的价格折扣）</w:t>
            </w:r>
          </w:p>
        </w:tc>
        <w:tc>
          <w:tcPr>
            <w:tcW w:w="2835" w:type="dxa"/>
            <w:vMerge w:val="continue"/>
          </w:tcPr>
          <w:p w14:paraId="7A38E893">
            <w:pPr>
              <w:jc w:val="center"/>
              <w:rPr>
                <w:rFonts w:hint="eastAsia" w:ascii="宋体" w:hAnsi="宋体" w:eastAsia="宋体" w:cs="宋体"/>
                <w:color w:val="auto"/>
                <w:szCs w:val="21"/>
                <w:lang w:val="en-GB"/>
              </w:rPr>
            </w:pPr>
          </w:p>
        </w:tc>
      </w:tr>
      <w:tr w14:paraId="1251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06564CD2">
            <w:pPr>
              <w:jc w:val="center"/>
              <w:rPr>
                <w:rFonts w:hint="eastAsia" w:ascii="宋体" w:hAnsi="宋体" w:eastAsia="宋体" w:cs="宋体"/>
                <w:b/>
                <w:color w:val="auto"/>
                <w:szCs w:val="21"/>
                <w:lang w:val="en-GB"/>
              </w:rPr>
            </w:pPr>
            <w:r>
              <w:rPr>
                <w:rFonts w:hint="eastAsia" w:ascii="宋体" w:hAnsi="宋体" w:eastAsia="宋体" w:cs="宋体"/>
                <w:b/>
                <w:color w:val="auto"/>
                <w:szCs w:val="21"/>
                <w:lang w:val="en-GB"/>
              </w:rPr>
              <w:t>3</w:t>
            </w:r>
          </w:p>
        </w:tc>
        <w:tc>
          <w:tcPr>
            <w:tcW w:w="2823" w:type="dxa"/>
            <w:vAlign w:val="center"/>
          </w:tcPr>
          <w:p w14:paraId="36CEA38D">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vAlign w:val="center"/>
          </w:tcPr>
          <w:p w14:paraId="48269930">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对联合体或者大中型企业的报价扣除</w:t>
            </w:r>
            <w:r>
              <w:rPr>
                <w:rFonts w:hint="eastAsia" w:ascii="宋体" w:hAnsi="宋体" w:eastAsia="宋体" w:cs="宋体"/>
                <w:color w:val="auto"/>
                <w:szCs w:val="21"/>
                <w:u w:val="single"/>
              </w:rPr>
              <w:t xml:space="preserve"> 6 </w:t>
            </w:r>
            <w:r>
              <w:rPr>
                <w:rFonts w:hint="eastAsia" w:ascii="宋体" w:hAnsi="宋体" w:eastAsia="宋体" w:cs="宋体"/>
                <w:color w:val="auto"/>
                <w:szCs w:val="21"/>
                <w:u w:val="single"/>
                <w:lang w:val="en-GB"/>
              </w:rPr>
              <w:t>%</w:t>
            </w:r>
          </w:p>
        </w:tc>
        <w:tc>
          <w:tcPr>
            <w:tcW w:w="2835" w:type="dxa"/>
            <w:vAlign w:val="center"/>
          </w:tcPr>
          <w:p w14:paraId="55D7DB2C">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评标价格＝投标报价×(1-</w:t>
            </w:r>
            <w:r>
              <w:rPr>
                <w:rFonts w:hint="eastAsia" w:ascii="宋体" w:hAnsi="宋体" w:eastAsia="宋体" w:cs="宋体"/>
                <w:color w:val="auto"/>
                <w:szCs w:val="21"/>
                <w:u w:val="single"/>
              </w:rPr>
              <w:t xml:space="preserve">6 </w:t>
            </w:r>
            <w:r>
              <w:rPr>
                <w:rFonts w:hint="eastAsia" w:ascii="宋体" w:hAnsi="宋体" w:eastAsia="宋体" w:cs="宋体"/>
                <w:color w:val="auto"/>
                <w:szCs w:val="21"/>
                <w:u w:val="single"/>
                <w:lang w:val="en-GB"/>
              </w:rPr>
              <w:t>%</w:t>
            </w:r>
            <w:r>
              <w:rPr>
                <w:rFonts w:hint="eastAsia" w:ascii="宋体" w:hAnsi="宋体" w:eastAsia="宋体" w:cs="宋体"/>
                <w:color w:val="auto"/>
                <w:szCs w:val="21"/>
                <w:lang w:val="en-GB"/>
              </w:rPr>
              <w:t>)</w:t>
            </w:r>
          </w:p>
        </w:tc>
      </w:tr>
      <w:tr w14:paraId="670A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76300DCC">
            <w:pPr>
              <w:jc w:val="center"/>
              <w:rPr>
                <w:rFonts w:hint="eastAsia" w:ascii="宋体" w:hAnsi="宋体" w:eastAsia="宋体" w:cs="宋体"/>
                <w:b/>
                <w:color w:val="auto"/>
                <w:szCs w:val="21"/>
                <w:lang w:val="en-GB"/>
              </w:rPr>
            </w:pPr>
            <w:r>
              <w:rPr>
                <w:rFonts w:hint="eastAsia" w:ascii="宋体" w:hAnsi="宋体" w:eastAsia="宋体" w:cs="宋体"/>
                <w:b/>
                <w:color w:val="auto"/>
                <w:szCs w:val="21"/>
                <w:lang w:val="en-GB"/>
              </w:rPr>
              <w:t>4</w:t>
            </w:r>
          </w:p>
        </w:tc>
        <w:tc>
          <w:tcPr>
            <w:tcW w:w="2823" w:type="dxa"/>
            <w:vAlign w:val="center"/>
          </w:tcPr>
          <w:p w14:paraId="60D411E5">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监狱企业</w:t>
            </w:r>
          </w:p>
        </w:tc>
        <w:tc>
          <w:tcPr>
            <w:tcW w:w="2552" w:type="dxa"/>
            <w:vAlign w:val="center"/>
          </w:tcPr>
          <w:p w14:paraId="4953F006">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对监狱企业产品价格扣除</w:t>
            </w:r>
            <w:r>
              <w:rPr>
                <w:rFonts w:hint="eastAsia" w:ascii="宋体" w:hAnsi="宋体" w:eastAsia="宋体" w:cs="宋体"/>
                <w:color w:val="auto"/>
                <w:szCs w:val="21"/>
                <w:u w:val="single"/>
              </w:rPr>
              <w:t>20</w:t>
            </w:r>
            <w:r>
              <w:rPr>
                <w:rFonts w:hint="eastAsia" w:ascii="宋体" w:hAnsi="宋体" w:eastAsia="宋体" w:cs="宋体"/>
                <w:color w:val="auto"/>
                <w:szCs w:val="21"/>
                <w:u w:val="single"/>
                <w:lang w:val="en-GB"/>
              </w:rPr>
              <w:t>%</w:t>
            </w:r>
          </w:p>
        </w:tc>
        <w:tc>
          <w:tcPr>
            <w:tcW w:w="2835" w:type="dxa"/>
            <w:vAlign w:val="center"/>
          </w:tcPr>
          <w:p w14:paraId="5E524E7E">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评标价格＝投标报价—监狱企业产品的价格×</w:t>
            </w:r>
            <w:r>
              <w:rPr>
                <w:rFonts w:hint="eastAsia" w:ascii="宋体" w:hAnsi="宋体" w:eastAsia="宋体" w:cs="宋体"/>
                <w:color w:val="auto"/>
                <w:szCs w:val="21"/>
                <w:u w:val="single"/>
              </w:rPr>
              <w:t>20</w:t>
            </w:r>
            <w:r>
              <w:rPr>
                <w:rFonts w:hint="eastAsia" w:ascii="宋体" w:hAnsi="宋体" w:eastAsia="宋体" w:cs="宋体"/>
                <w:color w:val="auto"/>
                <w:szCs w:val="21"/>
                <w:u w:val="single"/>
                <w:lang w:val="en-GB"/>
              </w:rPr>
              <w:t>%</w:t>
            </w:r>
          </w:p>
        </w:tc>
      </w:tr>
      <w:tr w14:paraId="6B3A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742931AC">
            <w:pPr>
              <w:jc w:val="center"/>
              <w:rPr>
                <w:rFonts w:hint="eastAsia" w:ascii="宋体" w:hAnsi="宋体" w:eastAsia="宋体" w:cs="宋体"/>
                <w:b/>
                <w:color w:val="auto"/>
                <w:szCs w:val="21"/>
                <w:lang w:val="en-GB"/>
              </w:rPr>
            </w:pPr>
            <w:r>
              <w:rPr>
                <w:rFonts w:hint="eastAsia" w:ascii="宋体" w:hAnsi="宋体" w:eastAsia="宋体" w:cs="宋体"/>
                <w:b/>
                <w:color w:val="auto"/>
                <w:szCs w:val="21"/>
                <w:lang w:val="en-GB"/>
              </w:rPr>
              <w:t>5</w:t>
            </w:r>
          </w:p>
        </w:tc>
        <w:tc>
          <w:tcPr>
            <w:tcW w:w="2823" w:type="dxa"/>
            <w:vAlign w:val="center"/>
          </w:tcPr>
          <w:p w14:paraId="357A8863">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残疾人福利性单位</w:t>
            </w:r>
          </w:p>
        </w:tc>
        <w:tc>
          <w:tcPr>
            <w:tcW w:w="2552" w:type="dxa"/>
            <w:vAlign w:val="center"/>
          </w:tcPr>
          <w:p w14:paraId="15003C78">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对残疾人福利性单位产品价格扣除</w:t>
            </w:r>
            <w:r>
              <w:rPr>
                <w:rFonts w:hint="eastAsia" w:ascii="宋体" w:hAnsi="宋体" w:eastAsia="宋体" w:cs="宋体"/>
                <w:color w:val="auto"/>
                <w:szCs w:val="21"/>
                <w:u w:val="single"/>
              </w:rPr>
              <w:t>20</w:t>
            </w:r>
            <w:r>
              <w:rPr>
                <w:rFonts w:hint="eastAsia" w:ascii="宋体" w:hAnsi="宋体" w:eastAsia="宋体" w:cs="宋体"/>
                <w:color w:val="auto"/>
                <w:szCs w:val="21"/>
                <w:u w:val="single"/>
                <w:lang w:val="en-GB"/>
              </w:rPr>
              <w:t>%</w:t>
            </w:r>
          </w:p>
        </w:tc>
        <w:tc>
          <w:tcPr>
            <w:tcW w:w="2835" w:type="dxa"/>
            <w:vAlign w:val="center"/>
          </w:tcPr>
          <w:p w14:paraId="11C9A9EB">
            <w:pPr>
              <w:jc w:val="center"/>
              <w:rPr>
                <w:rFonts w:hint="eastAsia" w:ascii="宋体" w:hAnsi="宋体" w:eastAsia="宋体" w:cs="宋体"/>
                <w:color w:val="auto"/>
                <w:szCs w:val="21"/>
                <w:lang w:val="en-GB"/>
              </w:rPr>
            </w:pPr>
            <w:r>
              <w:rPr>
                <w:rFonts w:hint="eastAsia" w:ascii="宋体" w:hAnsi="宋体" w:eastAsia="宋体" w:cs="宋体"/>
                <w:color w:val="auto"/>
                <w:szCs w:val="21"/>
                <w:lang w:val="en-GB"/>
              </w:rPr>
              <w:t>评标价格＝投标报价—残疾人福利性单位产品的价格×</w:t>
            </w:r>
            <w:r>
              <w:rPr>
                <w:rFonts w:hint="eastAsia" w:ascii="宋体" w:hAnsi="宋体" w:eastAsia="宋体" w:cs="宋体"/>
                <w:color w:val="auto"/>
                <w:szCs w:val="21"/>
                <w:u w:val="single"/>
              </w:rPr>
              <w:t>20</w:t>
            </w:r>
            <w:r>
              <w:rPr>
                <w:rFonts w:hint="eastAsia" w:ascii="宋体" w:hAnsi="宋体" w:eastAsia="宋体" w:cs="宋体"/>
                <w:color w:val="auto"/>
                <w:szCs w:val="21"/>
                <w:u w:val="single"/>
                <w:lang w:val="en-GB"/>
              </w:rPr>
              <w:t>%</w:t>
            </w:r>
          </w:p>
        </w:tc>
      </w:tr>
      <w:tr w14:paraId="3C77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7BAB6D5F">
            <w:pPr>
              <w:spacing w:line="360" w:lineRule="auto"/>
              <w:jc w:val="center"/>
              <w:rPr>
                <w:rFonts w:hint="eastAsia" w:ascii="宋体" w:hAnsi="宋体" w:eastAsia="宋体" w:cs="宋体"/>
                <w:b/>
                <w:color w:val="auto"/>
                <w:szCs w:val="21"/>
                <w:lang w:val="en-GB"/>
              </w:rPr>
            </w:pPr>
            <w:r>
              <w:rPr>
                <w:rFonts w:hint="eastAsia" w:ascii="宋体" w:hAnsi="宋体" w:eastAsia="宋体" w:cs="宋体"/>
                <w:color w:val="auto"/>
                <w:sz w:val="21"/>
                <w:szCs w:val="21"/>
                <w:highlight w:val="none"/>
                <w:lang w:val="en-US" w:eastAsia="zh-CN"/>
              </w:rPr>
              <w:t>6</w:t>
            </w:r>
          </w:p>
        </w:tc>
        <w:tc>
          <w:tcPr>
            <w:tcW w:w="2823" w:type="dxa"/>
            <w:vAlign w:val="center"/>
          </w:tcPr>
          <w:p w14:paraId="3872BF0F">
            <w:pPr>
              <w:keepNext w:val="0"/>
              <w:keepLines w:val="0"/>
              <w:widowControl/>
              <w:suppressLineNumbers w:val="0"/>
              <w:jc w:val="left"/>
              <w:rPr>
                <w:rFonts w:hint="eastAsia" w:ascii="宋体" w:hAnsi="宋体" w:eastAsia="宋体" w:cs="宋体"/>
                <w:color w:val="auto"/>
                <w:szCs w:val="21"/>
                <w:lang w:val="en-GB"/>
              </w:rPr>
            </w:pPr>
            <w:r>
              <w:rPr>
                <w:rFonts w:hint="eastAsia" w:ascii="宋体" w:hAnsi="宋体" w:eastAsia="宋体" w:cs="宋体"/>
                <w:color w:val="auto"/>
                <w:kern w:val="0"/>
                <w:sz w:val="21"/>
                <w:szCs w:val="21"/>
                <w:highlight w:val="none"/>
                <w:lang w:val="en-US" w:eastAsia="zh-CN" w:bidi="ar"/>
              </w:rPr>
              <w:t>政府采购活动中既有本国产品又有非本国产品参与竞争</w:t>
            </w:r>
            <w:r>
              <w:rPr>
                <w:rFonts w:hint="eastAsia" w:ascii="宋体" w:hAnsi="宋体" w:eastAsia="宋体" w:cs="宋体"/>
                <w:color w:val="auto"/>
                <w:sz w:val="21"/>
                <w:szCs w:val="21"/>
                <w:highlight w:val="none"/>
                <w:lang w:val="en-US" w:eastAsia="zh-CN"/>
              </w:rPr>
              <w:t>的</w:t>
            </w:r>
          </w:p>
        </w:tc>
        <w:tc>
          <w:tcPr>
            <w:tcW w:w="2552" w:type="dxa"/>
            <w:vAlign w:val="center"/>
          </w:tcPr>
          <w:p w14:paraId="0575956E">
            <w:pPr>
              <w:spacing w:line="240" w:lineRule="auto"/>
              <w:jc w:val="center"/>
              <w:rPr>
                <w:rFonts w:hint="eastAsia" w:ascii="宋体" w:hAnsi="宋体" w:eastAsia="宋体" w:cs="宋体"/>
                <w:color w:val="auto"/>
                <w:sz w:val="21"/>
                <w:szCs w:val="21"/>
                <w:highlight w:val="none"/>
                <w:lang w:val="en-US" w:eastAsia="zh-CN"/>
              </w:rPr>
            </w:pPr>
          </w:p>
          <w:p w14:paraId="2746778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对本国产品的报价给予</w:t>
            </w:r>
          </w:p>
          <w:p w14:paraId="52711000">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20%的价格扣除</w:t>
            </w:r>
          </w:p>
          <w:p w14:paraId="3836AA92">
            <w:pPr>
              <w:spacing w:line="240" w:lineRule="auto"/>
              <w:jc w:val="center"/>
              <w:rPr>
                <w:rFonts w:hint="eastAsia" w:ascii="宋体" w:hAnsi="宋体" w:eastAsia="宋体" w:cs="宋体"/>
                <w:color w:val="auto"/>
                <w:szCs w:val="21"/>
                <w:lang w:val="en-GB"/>
              </w:rPr>
            </w:pPr>
          </w:p>
        </w:tc>
        <w:tc>
          <w:tcPr>
            <w:tcW w:w="2835" w:type="dxa"/>
            <w:vAlign w:val="center"/>
          </w:tcPr>
          <w:p w14:paraId="156E0C50">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评标价格=投标报价—本国</w:t>
            </w:r>
          </w:p>
          <w:p w14:paraId="570279A0">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产品的价格×20%</w:t>
            </w:r>
          </w:p>
          <w:p w14:paraId="139C6DB1">
            <w:pPr>
              <w:spacing w:line="240" w:lineRule="auto"/>
              <w:jc w:val="center"/>
              <w:rPr>
                <w:rFonts w:hint="eastAsia" w:ascii="宋体" w:hAnsi="宋体" w:eastAsia="宋体" w:cs="宋体"/>
                <w:color w:val="auto"/>
                <w:szCs w:val="21"/>
                <w:lang w:val="en-GB"/>
              </w:rPr>
            </w:pPr>
          </w:p>
        </w:tc>
      </w:tr>
      <w:tr w14:paraId="3F8F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05580B9C">
            <w:pPr>
              <w:spacing w:line="360" w:lineRule="auto"/>
              <w:jc w:val="center"/>
              <w:rPr>
                <w:rFonts w:hint="eastAsia" w:ascii="宋体" w:hAnsi="宋体" w:eastAsia="宋体" w:cs="宋体"/>
                <w:b/>
                <w:color w:val="auto"/>
                <w:szCs w:val="21"/>
                <w:lang w:val="en-GB"/>
              </w:rPr>
            </w:pPr>
            <w:r>
              <w:rPr>
                <w:rFonts w:hint="eastAsia" w:ascii="宋体" w:hAnsi="宋体" w:eastAsia="宋体" w:cs="宋体"/>
                <w:color w:val="auto"/>
                <w:sz w:val="21"/>
                <w:szCs w:val="21"/>
                <w:highlight w:val="none"/>
                <w:lang w:val="en-US" w:eastAsia="zh-CN"/>
              </w:rPr>
              <w:t>7</w:t>
            </w:r>
          </w:p>
        </w:tc>
        <w:tc>
          <w:tcPr>
            <w:tcW w:w="2823" w:type="dxa"/>
            <w:vAlign w:val="center"/>
          </w:tcPr>
          <w:p w14:paraId="3D6DBE22">
            <w:pPr>
              <w:keepNext w:val="0"/>
              <w:keepLines w:val="0"/>
              <w:widowControl/>
              <w:suppressLineNumbers w:val="0"/>
              <w:jc w:val="left"/>
              <w:rPr>
                <w:rFonts w:hint="eastAsia" w:ascii="宋体" w:hAnsi="宋体" w:eastAsia="宋体" w:cs="宋体"/>
                <w:color w:val="auto"/>
                <w:szCs w:val="21"/>
                <w:lang w:val="en-GB"/>
              </w:rPr>
            </w:pPr>
            <w:r>
              <w:rPr>
                <w:rFonts w:hint="eastAsia" w:ascii="宋体" w:hAnsi="宋体" w:eastAsia="宋体" w:cs="宋体"/>
                <w:color w:val="auto"/>
                <w:kern w:val="0"/>
                <w:sz w:val="21"/>
                <w:szCs w:val="21"/>
                <w:highlight w:val="none"/>
                <w:lang w:val="en-US" w:eastAsia="zh-CN" w:bidi="ar"/>
              </w:rPr>
              <w:t>当采购项目或者采购包中含 有多种产品，供应商为该采购项目或者采购包提供的符合本国产品标准的产品成本之和占该供应商提供的全部产品成本之和的比例达到80%以上时</w:t>
            </w:r>
          </w:p>
        </w:tc>
        <w:tc>
          <w:tcPr>
            <w:tcW w:w="2552" w:type="dxa"/>
            <w:vAlign w:val="center"/>
          </w:tcPr>
          <w:p w14:paraId="5B14B53A">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对该供应商提供的全部产 </w:t>
            </w:r>
          </w:p>
          <w:p w14:paraId="1B88B772">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品的总报价给予 20%的价 </w:t>
            </w:r>
          </w:p>
          <w:p w14:paraId="6A557516">
            <w:pPr>
              <w:keepNext w:val="0"/>
              <w:keepLines w:val="0"/>
              <w:widowControl/>
              <w:suppressLineNumbers w:val="0"/>
              <w:jc w:val="left"/>
              <w:rPr>
                <w:rFonts w:hint="eastAsia" w:ascii="宋体" w:hAnsi="宋体" w:eastAsia="宋体" w:cs="宋体"/>
                <w:color w:val="auto"/>
                <w:szCs w:val="21"/>
                <w:lang w:val="en-GB"/>
              </w:rPr>
            </w:pPr>
            <w:r>
              <w:rPr>
                <w:rFonts w:hint="eastAsia" w:ascii="宋体" w:hAnsi="宋体" w:eastAsia="宋体" w:cs="宋体"/>
                <w:color w:val="auto"/>
                <w:kern w:val="0"/>
                <w:sz w:val="21"/>
                <w:szCs w:val="21"/>
                <w:highlight w:val="none"/>
                <w:lang w:val="en-US" w:eastAsia="zh-CN" w:bidi="ar"/>
              </w:rPr>
              <w:t xml:space="preserve">格扣除 </w:t>
            </w:r>
            <w:r>
              <w:rPr>
                <w:rFonts w:hint="eastAsia" w:ascii="宋体" w:hAnsi="宋体" w:eastAsia="宋体" w:cs="宋体"/>
                <w:b/>
                <w:bCs/>
                <w:color w:val="auto"/>
                <w:kern w:val="0"/>
                <w:sz w:val="21"/>
                <w:szCs w:val="21"/>
                <w:highlight w:val="none"/>
                <w:lang w:val="en-US" w:eastAsia="zh-CN" w:bidi="ar"/>
              </w:rPr>
              <w:t>（全部产品的总报价指采购清单中货物类的小计）</w:t>
            </w:r>
          </w:p>
        </w:tc>
        <w:tc>
          <w:tcPr>
            <w:tcW w:w="2835" w:type="dxa"/>
            <w:vAlign w:val="center"/>
          </w:tcPr>
          <w:p w14:paraId="0C8C3282">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评标价格=投标报价—全部 </w:t>
            </w:r>
          </w:p>
          <w:p w14:paraId="2A75C705">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产品的总报价×20%</w:t>
            </w:r>
          </w:p>
          <w:p w14:paraId="4E85FA1A">
            <w:pPr>
              <w:spacing w:line="360" w:lineRule="auto"/>
              <w:jc w:val="center"/>
              <w:rPr>
                <w:rFonts w:hint="eastAsia" w:ascii="宋体" w:hAnsi="宋体" w:eastAsia="宋体" w:cs="宋体"/>
                <w:color w:val="auto"/>
                <w:szCs w:val="21"/>
                <w:lang w:val="en-GB"/>
              </w:rPr>
            </w:pPr>
          </w:p>
        </w:tc>
      </w:tr>
      <w:tr w14:paraId="2764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931" w:type="dxa"/>
            <w:gridSpan w:val="4"/>
            <w:vAlign w:val="center"/>
          </w:tcPr>
          <w:p w14:paraId="7BBA78C0">
            <w:pPr>
              <w:numPr>
                <w:ilvl w:val="0"/>
                <w:numId w:val="0"/>
              </w:numPr>
              <w:adjustRightInd w:val="0"/>
              <w:spacing w:line="360" w:lineRule="auto"/>
              <w:ind w:firstLine="420" w:firstLineChars="200"/>
              <w:jc w:val="left"/>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1.</w:t>
            </w:r>
            <w:r>
              <w:rPr>
                <w:rFonts w:hint="eastAsia" w:ascii="宋体" w:hAnsi="宋体" w:eastAsia="宋体" w:cs="宋体"/>
                <w:color w:val="auto"/>
                <w:szCs w:val="21"/>
                <w:lang w:val="zh-CN"/>
              </w:rPr>
              <w:t>中小企业应在</w:t>
            </w:r>
            <w:r>
              <w:rPr>
                <w:rFonts w:hint="eastAsia" w:ascii="宋体" w:hAnsi="宋体" w:eastAsia="宋体" w:cs="宋体"/>
                <w:color w:val="auto"/>
                <w:szCs w:val="21"/>
                <w:lang w:val="en-US" w:eastAsia="zh-CN"/>
              </w:rPr>
              <w:t>投标</w:t>
            </w:r>
            <w:r>
              <w:rPr>
                <w:rFonts w:hint="eastAsia" w:ascii="宋体" w:hAnsi="宋体" w:eastAsia="宋体" w:cs="宋体"/>
                <w:color w:val="auto"/>
                <w:szCs w:val="21"/>
                <w:lang w:val="zh-CN"/>
              </w:rPr>
              <w:t>文件中提供《中小企业声明函》。监狱企业应当在</w:t>
            </w:r>
            <w:r>
              <w:rPr>
                <w:rFonts w:hint="eastAsia" w:ascii="宋体" w:hAnsi="宋体" w:eastAsia="宋体" w:cs="宋体"/>
                <w:color w:val="auto"/>
                <w:szCs w:val="21"/>
                <w:lang w:val="en-US" w:eastAsia="zh-CN"/>
              </w:rPr>
              <w:t>投标</w:t>
            </w:r>
            <w:r>
              <w:rPr>
                <w:rFonts w:hint="eastAsia" w:ascii="宋体" w:hAnsi="宋体" w:eastAsia="宋体" w:cs="宋体"/>
                <w:color w:val="auto"/>
                <w:szCs w:val="21"/>
                <w:lang w:val="zh-CN"/>
              </w:rPr>
              <w:t>文件中提供由省级以上监狱管理局、戒毒管理局（含新疆生产建设兵团）出具的属于监狱企业的证明文件。残疾人福利性单位应当在</w:t>
            </w:r>
            <w:r>
              <w:rPr>
                <w:rFonts w:hint="eastAsia" w:ascii="宋体" w:hAnsi="宋体" w:eastAsia="宋体" w:cs="宋体"/>
                <w:color w:val="auto"/>
                <w:szCs w:val="21"/>
                <w:lang w:val="en-US" w:eastAsia="zh-CN"/>
              </w:rPr>
              <w:t>投标</w:t>
            </w:r>
            <w:r>
              <w:rPr>
                <w:rFonts w:hint="eastAsia" w:ascii="宋体" w:hAnsi="宋体" w:eastAsia="宋体" w:cs="宋体"/>
                <w:color w:val="auto"/>
                <w:szCs w:val="21"/>
                <w:lang w:val="zh-CN"/>
              </w:rPr>
              <w:t>文件中提供《残疾人福利性单位声明函》 。供应商应当在</w:t>
            </w:r>
            <w:r>
              <w:rPr>
                <w:rFonts w:hint="eastAsia" w:ascii="宋体" w:hAnsi="宋体" w:eastAsia="宋体" w:cs="宋体"/>
                <w:color w:val="auto"/>
                <w:szCs w:val="21"/>
                <w:lang w:val="en-US" w:eastAsia="zh-CN"/>
              </w:rPr>
              <w:t>投标</w:t>
            </w:r>
            <w:r>
              <w:rPr>
                <w:rFonts w:hint="eastAsia" w:ascii="宋体" w:hAnsi="宋体" w:eastAsia="宋体" w:cs="宋体"/>
                <w:color w:val="auto"/>
                <w:szCs w:val="21"/>
                <w:lang w:val="zh-CN"/>
              </w:rPr>
              <w:t>文件中出具《关于符合本国产品标准的声明函》或财政部会同有关部门规定的有关证明文件，以及《关于产品成本的声明函》。</w:t>
            </w:r>
          </w:p>
          <w:p w14:paraId="1FA8F88F">
            <w:pPr>
              <w:numPr>
                <w:ilvl w:val="0"/>
                <w:numId w:val="0"/>
              </w:numPr>
              <w:adjustRightInd w:val="0"/>
              <w:spacing w:line="360" w:lineRule="auto"/>
              <w:ind w:firstLine="420" w:firstLineChars="200"/>
              <w:jc w:val="left"/>
              <w:rPr>
                <w:rFonts w:hint="eastAsia" w:ascii="宋体" w:hAnsi="宋体" w:eastAsia="宋体" w:cs="宋体"/>
                <w:color w:val="auto"/>
                <w:szCs w:val="21"/>
                <w:lang w:val="zh-CN" w:eastAsia="zh-CN"/>
              </w:rPr>
            </w:pPr>
            <w:r>
              <w:rPr>
                <w:rFonts w:hint="eastAsia" w:ascii="宋体" w:hAnsi="宋体" w:eastAsia="宋体" w:cs="宋体"/>
                <w:color w:val="auto"/>
                <w:szCs w:val="21"/>
                <w:lang w:val="zh-CN"/>
              </w:rPr>
              <w:t>2</w:t>
            </w:r>
            <w:r>
              <w:rPr>
                <w:rFonts w:hint="eastAsia" w:ascii="宋体" w:hAnsi="宋体" w:eastAsia="宋体" w:cs="宋体"/>
                <w:color w:val="auto"/>
                <w:szCs w:val="21"/>
                <w:lang w:val="en-US" w:eastAsia="zh-CN"/>
              </w:rPr>
              <w:t>.经评标委员会审查、评价，投标文件符合招标文件实质性要求且进行了政策性价格扣除后，以评标价格的最低价者定为评标基准价，其价格分为满分。其他投标人的价格分统一按下列公式计算。即：</w:t>
            </w:r>
          </w:p>
          <w:p w14:paraId="552838A8">
            <w:pPr>
              <w:numPr>
                <w:ilvl w:val="0"/>
                <w:numId w:val="0"/>
              </w:numPr>
              <w:adjustRightInd w:val="0"/>
              <w:spacing w:line="360" w:lineRule="auto"/>
              <w:ind w:firstLine="420" w:firstLineChars="200"/>
              <w:jc w:val="left"/>
              <w:rPr>
                <w:rFonts w:hint="eastAsia" w:ascii="宋体" w:hAnsi="宋体" w:eastAsia="宋体" w:cs="宋体"/>
                <w:color w:val="auto"/>
                <w:szCs w:val="21"/>
                <w:lang w:val="zh-CN" w:eastAsia="zh-CN"/>
              </w:rPr>
            </w:pPr>
            <w:r>
              <w:rPr>
                <w:rFonts w:hint="eastAsia" w:ascii="宋体" w:hAnsi="宋体" w:eastAsia="宋体" w:cs="宋体"/>
                <w:color w:val="auto"/>
                <w:szCs w:val="21"/>
                <w:lang w:val="zh-CN" w:eastAsia="zh-CN"/>
              </w:rPr>
              <w:t>评标基准价=评标价格的最低价</w:t>
            </w:r>
          </w:p>
          <w:p w14:paraId="4058F1B1">
            <w:pPr>
              <w:numPr>
                <w:ilvl w:val="0"/>
                <w:numId w:val="0"/>
              </w:numPr>
              <w:adjustRightInd w:val="0"/>
              <w:spacing w:line="360" w:lineRule="auto"/>
              <w:ind w:firstLine="420" w:firstLineChars="200"/>
              <w:jc w:val="left"/>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 xml:space="preserve">其他投标报价得分=（评标基准价/评标价格）×评标标准中价格分值 </w:t>
            </w:r>
          </w:p>
        </w:tc>
      </w:tr>
    </w:tbl>
    <w:p w14:paraId="2EC0AC53">
      <w:pPr>
        <w:spacing w:line="360" w:lineRule="auto"/>
        <w:rPr>
          <w:rFonts w:hint="eastAsia" w:ascii="宋体" w:hAnsi="宋体" w:eastAsia="宋体" w:cs="宋体"/>
          <w:bCs/>
          <w:color w:val="auto"/>
          <w:sz w:val="21"/>
          <w:szCs w:val="21"/>
          <w:lang w:val="en-GB"/>
        </w:rPr>
      </w:pPr>
      <w:r>
        <w:rPr>
          <w:rFonts w:hint="eastAsia" w:ascii="宋体" w:hAnsi="宋体" w:eastAsia="宋体" w:cs="宋体"/>
          <w:bCs/>
          <w:color w:val="auto"/>
          <w:sz w:val="21"/>
          <w:szCs w:val="21"/>
          <w:lang w:val="en-GB"/>
        </w:rPr>
        <w:t>备注：</w:t>
      </w:r>
    </w:p>
    <w:p w14:paraId="50294B67">
      <w:pPr>
        <w:tabs>
          <w:tab w:val="left" w:pos="1260"/>
        </w:tabs>
        <w:autoSpaceDE w:val="0"/>
        <w:autoSpaceDN w:val="0"/>
        <w:spacing w:line="400" w:lineRule="exact"/>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a.不接受联合体投标的项目，本表中第2项、第3项情形不适用。</w:t>
      </w:r>
    </w:p>
    <w:p w14:paraId="384D4E32">
      <w:pPr>
        <w:tabs>
          <w:tab w:val="left" w:pos="1260"/>
        </w:tabs>
        <w:autoSpaceDE w:val="0"/>
        <w:autoSpaceDN w:val="0"/>
        <w:spacing w:line="400" w:lineRule="exact"/>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b.</w:t>
      </w:r>
      <w:r>
        <w:rPr>
          <w:rFonts w:hint="eastAsia" w:ascii="宋体" w:hAnsi="宋体" w:eastAsia="宋体" w:cs="宋体"/>
          <w:color w:val="auto"/>
          <w:sz w:val="21"/>
          <w:szCs w:val="21"/>
          <w:highlight w:val="none"/>
          <w:lang w:val="en-US" w:eastAsia="zh-CN"/>
        </w:rPr>
        <w:t>在货物采购项目中，货物由中小企业制造，即货物由中小企业生产且使用该中小企业商号或者注册商标。在货物采购项目中，供应商提供的货物既有中小企业制造货物，也有大型企业制造货物的，不享受中小企业扶持政策。工程由中小企业承建，即工程施工单位为中小企业；在服务采购项目中，服务由中小企业承接，即提供服务的人员为中小企业依照《中华人民共和国劳动合同法》订立劳动合同的从业人员。</w:t>
      </w:r>
    </w:p>
    <w:p w14:paraId="43A9AD34">
      <w:pPr>
        <w:tabs>
          <w:tab w:val="left" w:pos="1260"/>
        </w:tabs>
        <w:autoSpaceDE w:val="0"/>
        <w:autoSpaceDN w:val="0"/>
        <w:spacing w:line="400" w:lineRule="exact"/>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c.中小企业、残疾人福利性单位提供其他企业制造的货物的，则该货物的制造商也必须为上述企业，否则不能享受价格优惠。</w:t>
      </w:r>
    </w:p>
    <w:p w14:paraId="3607BC9D">
      <w:pPr>
        <w:tabs>
          <w:tab w:val="left" w:pos="1260"/>
        </w:tabs>
        <w:autoSpaceDE w:val="0"/>
        <w:autoSpaceDN w:val="0"/>
        <w:spacing w:line="400" w:lineRule="exact"/>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d.残疾人福利性单位属于小型、微型企业的，不重复享受政策。</w:t>
      </w:r>
    </w:p>
    <w:p w14:paraId="71C42282">
      <w:pPr>
        <w:tabs>
          <w:tab w:val="left" w:pos="1260"/>
        </w:tabs>
        <w:autoSpaceDE w:val="0"/>
        <w:autoSpaceDN w:val="0"/>
        <w:spacing w:line="400" w:lineRule="exact"/>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e.小型和微型企业不包括民办非企业单位。</w:t>
      </w:r>
    </w:p>
    <w:p w14:paraId="744C4A94">
      <w:pPr>
        <w:tabs>
          <w:tab w:val="left" w:pos="1260"/>
        </w:tabs>
        <w:autoSpaceDE w:val="0"/>
        <w:autoSpaceDN w:val="0"/>
        <w:spacing w:line="400" w:lineRule="exact"/>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f.同时适用多项政府采购政策的，各项扣除应在供应商的投标报价基础上进行叠加计算。 </w:t>
      </w:r>
    </w:p>
    <w:p w14:paraId="7BCC9317">
      <w:pPr>
        <w:tabs>
          <w:tab w:val="left" w:pos="1260"/>
        </w:tabs>
        <w:autoSpaceDE w:val="0"/>
        <w:autoSpaceDN w:val="0"/>
        <w:spacing w:line="400" w:lineRule="exact"/>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例如：投标人既享受中小企业扶持政策，又符合本国产品标准、享受价格评审优惠的 </w:t>
      </w:r>
    </w:p>
    <w:p w14:paraId="1989664D">
      <w:pPr>
        <w:tabs>
          <w:tab w:val="left" w:pos="1260"/>
        </w:tabs>
        <w:autoSpaceDE w:val="0"/>
        <w:autoSpaceDN w:val="0"/>
        <w:spacing w:line="400" w:lineRule="exact"/>
        <w:ind w:firstLine="420" w:firstLineChars="200"/>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highlight w:val="none"/>
          <w:lang w:val="en-US" w:eastAsia="zh-CN"/>
        </w:rPr>
        <w:t>评标价格=投标报价—投标报价×中小企业报价扣除比例—本国产品价格（或全部产品总价）×20%</w:t>
      </w:r>
    </w:p>
    <w:p w14:paraId="2B89D34B">
      <w:pPr>
        <w:pStyle w:val="9"/>
        <w:keepNext w:val="0"/>
        <w:keepLines w:val="0"/>
        <w:pageBreakBefore w:val="0"/>
        <w:widowControl w:val="0"/>
        <w:kinsoku/>
        <w:overflowPunct/>
        <w:topLinePunct w:val="0"/>
        <w:bidi w:val="0"/>
        <w:adjustRightInd/>
        <w:snapToGrid/>
        <w:spacing w:line="460" w:lineRule="exact"/>
        <w:ind w:firstLine="211" w:firstLineChars="100"/>
        <w:contextualSpacing/>
        <w:textAlignment w:val="auto"/>
        <w:rPr>
          <w:rFonts w:hint="eastAsia" w:ascii="宋体" w:hAnsi="宋体" w:eastAsia="宋体" w:cs="宋体"/>
          <w:color w:val="auto"/>
          <w:sz w:val="21"/>
          <w:szCs w:val="21"/>
          <w:lang w:val="zh-CN"/>
        </w:rPr>
      </w:pPr>
      <w:r>
        <w:rPr>
          <w:rFonts w:hint="eastAsia" w:ascii="宋体" w:hAnsi="宋体" w:eastAsia="宋体" w:cs="宋体"/>
          <w:b/>
          <w:color w:val="auto"/>
          <w:sz w:val="21"/>
          <w:szCs w:val="21"/>
          <w:lang w:val="zh-CN"/>
        </w:rPr>
        <w:t>（</w:t>
      </w:r>
      <w:r>
        <w:rPr>
          <w:rFonts w:hint="eastAsia" w:ascii="宋体" w:hAnsi="宋体" w:eastAsia="宋体" w:cs="宋体"/>
          <w:b/>
          <w:color w:val="auto"/>
          <w:sz w:val="21"/>
          <w:szCs w:val="21"/>
        </w:rPr>
        <w:t>7</w:t>
      </w:r>
      <w:r>
        <w:rPr>
          <w:rFonts w:hint="eastAsia" w:ascii="宋体" w:hAnsi="宋体" w:eastAsia="宋体" w:cs="宋体"/>
          <w:b/>
          <w:color w:val="auto"/>
          <w:sz w:val="21"/>
          <w:szCs w:val="21"/>
          <w:lang w:val="zh-CN"/>
        </w:rPr>
        <w:t>）评标结果汇总完成后，除下列情形外，任何人不得修改评标结果：</w:t>
      </w:r>
    </w:p>
    <w:p w14:paraId="2B89D34C">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 分值汇总计算错误的；</w:t>
      </w:r>
    </w:p>
    <w:p w14:paraId="2B89D34D">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 分项评分超出评分标准范围的；</w:t>
      </w:r>
    </w:p>
    <w:p w14:paraId="2B89D34E">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 评标委员会成员对客观评审因素评分不一致的；</w:t>
      </w:r>
    </w:p>
    <w:p w14:paraId="2B89D34F">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 经评标委员会认定评分畸高、畸低的。</w:t>
      </w:r>
    </w:p>
    <w:p w14:paraId="2B89D350">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B89D351">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投标人对本条第一款情形提出质疑的，采购人或者采购代理机构可以组织原评标委员会进行重新评审，重新评审改变评标结果的，应当书面报告本级财政部门。</w:t>
      </w:r>
    </w:p>
    <w:p w14:paraId="22E70CBE">
      <w:pPr>
        <w:pStyle w:val="9"/>
        <w:spacing w:line="360" w:lineRule="auto"/>
        <w:ind w:firstLine="422"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b/>
          <w:color w:val="auto"/>
          <w:sz w:val="21"/>
          <w:szCs w:val="21"/>
          <w:highlight w:val="none"/>
          <w:lang w:val="zh-CN"/>
        </w:rPr>
        <w:t>（8）推荐</w:t>
      </w:r>
      <w:r>
        <w:rPr>
          <w:rFonts w:hint="eastAsia" w:ascii="宋体" w:hAnsi="宋体" w:eastAsia="宋体" w:cs="宋体"/>
          <w:b/>
          <w:color w:val="auto"/>
          <w:sz w:val="21"/>
          <w:szCs w:val="21"/>
          <w:highlight w:val="none"/>
          <w:lang w:val="en-US" w:eastAsia="zh-CN"/>
        </w:rPr>
        <w:t>中标</w:t>
      </w:r>
      <w:r>
        <w:rPr>
          <w:rFonts w:hint="eastAsia" w:ascii="宋体" w:hAnsi="宋体" w:eastAsia="宋体" w:cs="宋体"/>
          <w:b/>
          <w:color w:val="auto"/>
          <w:sz w:val="21"/>
          <w:szCs w:val="21"/>
          <w:highlight w:val="none"/>
          <w:lang w:val="zh-CN"/>
        </w:rPr>
        <w:t>候选</w:t>
      </w:r>
      <w:r>
        <w:rPr>
          <w:rFonts w:hint="eastAsia" w:ascii="宋体" w:hAnsi="宋体" w:eastAsia="宋体" w:cs="宋体"/>
          <w:b/>
          <w:color w:val="auto"/>
          <w:sz w:val="21"/>
          <w:szCs w:val="21"/>
          <w:highlight w:val="none"/>
          <w:lang w:val="en-US" w:eastAsia="zh-CN"/>
        </w:rPr>
        <w:t>人</w:t>
      </w:r>
    </w:p>
    <w:p w14:paraId="5E8A3D9D">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shd w:val="clear" w:color="auto" w:fill="FFFFFF"/>
          <w:lang w:val="zh-CN"/>
        </w:rPr>
      </w:pPr>
      <w:r>
        <w:rPr>
          <w:rFonts w:hint="eastAsia" w:ascii="宋体" w:hAnsi="宋体" w:eastAsia="宋体" w:cs="宋体"/>
          <w:color w:val="auto"/>
          <w:szCs w:val="21"/>
          <w:lang w:val="zh-CN"/>
        </w:rPr>
        <w:t>评标委员会</w:t>
      </w:r>
      <w:r>
        <w:rPr>
          <w:rFonts w:hint="eastAsia" w:ascii="宋体" w:hAnsi="宋体" w:eastAsia="宋体" w:cs="宋体"/>
          <w:color w:val="auto"/>
          <w:szCs w:val="21"/>
          <w:highlight w:val="none"/>
          <w:shd w:val="clear" w:color="auto" w:fill="FFFFFF"/>
        </w:rPr>
        <w:t>应当根据综合评分情况，按照评审得分由高到低顺序推荐3名成交候选供应商，并编写评审报告。评审评标结果按评审后得分由高到低顺序排列。得分相同的，按投标报价由低到高顺序排列。得分且投标报价相同的。按照技术指标优劣顺序推荐。</w:t>
      </w:r>
    </w:p>
    <w:p w14:paraId="2B89D352">
      <w:pPr>
        <w:keepNext w:val="0"/>
        <w:keepLines w:val="0"/>
        <w:pageBreakBefore w:val="0"/>
        <w:widowControl w:val="0"/>
        <w:kinsoku/>
        <w:wordWrap w:val="0"/>
        <w:overflowPunct/>
        <w:topLinePunct w:val="0"/>
        <w:bidi w:val="0"/>
        <w:adjustRightInd/>
        <w:snapToGrid/>
        <w:spacing w:line="460" w:lineRule="exact"/>
        <w:ind w:firstLine="422" w:firstLineChars="200"/>
        <w:contextualSpacing/>
        <w:textAlignment w:val="auto"/>
        <w:rPr>
          <w:rFonts w:hint="eastAsia" w:ascii="宋体" w:hAnsi="宋体" w:eastAsia="宋体" w:cs="宋体"/>
          <w:b/>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b/>
          <w:bCs/>
          <w:color w:val="auto"/>
          <w:szCs w:val="21"/>
          <w:lang w:val="en-US" w:eastAsia="zh-CN"/>
        </w:rPr>
        <w:t>9</w:t>
      </w:r>
      <w:r>
        <w:rPr>
          <w:rFonts w:hint="eastAsia" w:ascii="宋体" w:hAnsi="宋体" w:eastAsia="宋体" w:cs="宋体"/>
          <w:b/>
          <w:bCs/>
          <w:color w:val="auto"/>
          <w:szCs w:val="21"/>
          <w:lang w:val="zh-CN"/>
        </w:rPr>
        <w:t>）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2B89D353">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w:t>
      </w:r>
      <w:r>
        <w:rPr>
          <w:rFonts w:hint="eastAsia" w:ascii="宋体" w:hAnsi="宋体" w:eastAsia="宋体" w:cs="宋体"/>
          <w:b/>
          <w:color w:val="auto"/>
          <w:szCs w:val="21"/>
          <w:lang w:val="en-US" w:eastAsia="zh-CN"/>
        </w:rPr>
        <w:t>10</w:t>
      </w:r>
      <w:r>
        <w:rPr>
          <w:rFonts w:hint="eastAsia" w:ascii="宋体" w:hAnsi="宋体" w:eastAsia="宋体" w:cs="宋体"/>
          <w:b/>
          <w:color w:val="auto"/>
          <w:szCs w:val="21"/>
          <w:lang w:val="zh-CN"/>
        </w:rPr>
        <w:t>）评标委员会争议处理</w:t>
      </w:r>
    </w:p>
    <w:p w14:paraId="2B89D354">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0C18D468">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kern w:val="0"/>
          <w:sz w:val="30"/>
          <w:szCs w:val="30"/>
          <w:lang w:val="en-US" w:eastAsia="zh-CN"/>
        </w:rPr>
      </w:pPr>
      <w:r>
        <w:rPr>
          <w:rFonts w:hint="eastAsia" w:ascii="宋体" w:hAnsi="宋体" w:eastAsia="宋体" w:cs="宋体"/>
          <w:b/>
          <w:color w:val="auto"/>
          <w:szCs w:val="21"/>
          <w:lang w:val="en-US" w:eastAsia="zh-CN"/>
        </w:rPr>
        <w:t>4.</w:t>
      </w:r>
      <w:r>
        <w:rPr>
          <w:rFonts w:hint="eastAsia" w:ascii="宋体" w:hAnsi="宋体" w:eastAsia="宋体" w:cs="宋体"/>
          <w:b/>
          <w:color w:val="auto"/>
          <w:szCs w:val="21"/>
          <w:lang w:val="zh-CN"/>
        </w:rPr>
        <w:t>确定中标候选人名单，以及根据采购人委托直接确定中标人。</w:t>
      </w:r>
    </w:p>
    <w:p w14:paraId="7D07918F">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4E949BE2">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1A6BBD4C">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246EC8F7">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550A257C">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009A1DC5">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0FB4F621">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23DB30C1">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146BD2CC">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72C59D13">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5057641D">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130D945E">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1803ADA3">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52501790">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69C38C1C">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724AF811">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0DC59049">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3BC76652">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72A58667">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16D9B361">
      <w:pPr>
        <w:numPr>
          <w:ilvl w:val="0"/>
          <w:numId w:val="0"/>
        </w:numP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0"/>
          <w:szCs w:val="30"/>
          <w:lang w:val="en-US" w:eastAsia="zh-CN"/>
        </w:rPr>
      </w:pPr>
    </w:p>
    <w:p w14:paraId="2B89D365">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lang w:val="en-US" w:eastAsia="zh-CN"/>
        </w:rPr>
        <w:t xml:space="preserve">第七章 </w:t>
      </w:r>
      <w:r>
        <w:rPr>
          <w:rFonts w:hint="eastAsia" w:ascii="宋体" w:hAnsi="宋体" w:eastAsia="宋体" w:cs="宋体"/>
          <w:b/>
          <w:color w:val="auto"/>
          <w:kern w:val="0"/>
          <w:sz w:val="30"/>
          <w:szCs w:val="30"/>
        </w:rPr>
        <w:t>合同条款及格式</w:t>
      </w:r>
    </w:p>
    <w:p w14:paraId="7BC2EAB9">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（此合同仅供参考</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以最终采购人与中标人签订的合同条款为准</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w:t>
      </w:r>
    </w:p>
    <w:p w14:paraId="427AB020">
      <w:pPr>
        <w:spacing w:line="360" w:lineRule="auto"/>
        <w:rPr>
          <w:rFonts w:hint="eastAsia" w:ascii="宋体" w:hAnsi="宋体" w:eastAsia="宋体" w:cs="宋体"/>
          <w:color w:val="auto"/>
          <w:szCs w:val="21"/>
        </w:rPr>
      </w:pPr>
      <w:r>
        <w:rPr>
          <w:rFonts w:hint="eastAsia" w:ascii="宋体" w:hAnsi="宋体" w:eastAsia="宋体" w:cs="宋体"/>
          <w:color w:val="auto"/>
          <w:szCs w:val="21"/>
        </w:rPr>
        <w:t>本合同口是/口否中小企业预留合同</w:t>
      </w:r>
    </w:p>
    <w:p w14:paraId="569ED80E">
      <w:pPr>
        <w:spacing w:line="360" w:lineRule="auto"/>
        <w:ind w:firstLine="2940" w:firstLineChars="1400"/>
        <w:rPr>
          <w:rFonts w:hint="eastAsia" w:ascii="宋体" w:hAnsi="宋体" w:eastAsia="宋体" w:cs="宋体"/>
          <w:color w:val="auto"/>
          <w:szCs w:val="21"/>
        </w:rPr>
      </w:pPr>
      <w:r>
        <w:rPr>
          <w:rFonts w:hint="eastAsia" w:ascii="宋体" w:hAnsi="宋体" w:eastAsia="宋体" w:cs="宋体"/>
          <w:color w:val="auto"/>
          <w:szCs w:val="21"/>
        </w:rPr>
        <w:t>政府采购货物合同（范本）</w:t>
      </w:r>
    </w:p>
    <w:p w14:paraId="67AEAD75">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合同编号：</w:t>
      </w:r>
    </w:p>
    <w:p w14:paraId="5A8CC984">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签 订 地：</w:t>
      </w:r>
    </w:p>
    <w:p w14:paraId="735F1ECD">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甲方（采购人）：</w:t>
      </w:r>
    </w:p>
    <w:p w14:paraId="6C50332D">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住所地：</w:t>
      </w:r>
    </w:p>
    <w:p w14:paraId="6C9B140D">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乙方（中标人）：</w:t>
      </w:r>
    </w:p>
    <w:p w14:paraId="29958E8A">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住所地：</w:t>
      </w:r>
    </w:p>
    <w:p w14:paraId="7B7091FC">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乙方于年月日参加了（</w:t>
      </w:r>
      <w:r>
        <w:rPr>
          <w:rFonts w:hint="eastAsia" w:ascii="宋体" w:hAnsi="宋体" w:eastAsia="宋体" w:cs="宋体"/>
          <w:color w:val="auto"/>
          <w:szCs w:val="21"/>
          <w:u w:val="single"/>
        </w:rPr>
        <w:t>采购代理机构）</w:t>
      </w:r>
      <w:r>
        <w:rPr>
          <w:rFonts w:hint="eastAsia" w:ascii="宋体" w:hAnsi="宋体" w:eastAsia="宋体" w:cs="宋体"/>
          <w:color w:val="auto"/>
          <w:szCs w:val="21"/>
        </w:rPr>
        <w:t>组织的“（</w:t>
      </w:r>
      <w:r>
        <w:rPr>
          <w:rFonts w:hint="eastAsia" w:ascii="宋体" w:hAnsi="宋体" w:eastAsia="宋体" w:cs="宋体"/>
          <w:color w:val="auto"/>
          <w:szCs w:val="21"/>
          <w:u w:val="single"/>
        </w:rPr>
        <w:t>项目名称及项目编号）</w:t>
      </w:r>
      <w:r>
        <w:rPr>
          <w:rFonts w:hint="eastAsia" w:ascii="宋体" w:hAnsi="宋体" w:eastAsia="宋体" w:cs="宋体"/>
          <w:color w:val="auto"/>
          <w:szCs w:val="21"/>
        </w:rPr>
        <w:t>” 政府采购活动，经评标委员会评审确定乙方为（</w:t>
      </w:r>
      <w:r>
        <w:rPr>
          <w:rFonts w:hint="eastAsia" w:ascii="宋体" w:hAnsi="宋体" w:eastAsia="宋体" w:cs="宋体"/>
          <w:color w:val="auto"/>
          <w:szCs w:val="21"/>
          <w:u w:val="single"/>
        </w:rPr>
        <w:t>包及包名称）</w:t>
      </w:r>
      <w:r>
        <w:rPr>
          <w:rFonts w:hint="eastAsia" w:ascii="宋体" w:hAnsi="宋体" w:eastAsia="宋体" w:cs="宋体"/>
          <w:color w:val="auto"/>
          <w:szCs w:val="21"/>
        </w:rPr>
        <w:t>中标人，按照《中华人民共和国民法典》《中华人民共和国政府采购法》和相关的法律法规规定，以及招标文件规定，经甲乙双方协商一致，签订本政府采购合同。</w:t>
      </w:r>
    </w:p>
    <w:p w14:paraId="1FC75D99">
      <w:pPr>
        <w:pStyle w:val="30"/>
        <w:numPr>
          <w:ilvl w:val="0"/>
          <w:numId w:val="18"/>
        </w:numPr>
        <w:spacing w:line="360" w:lineRule="auto"/>
        <w:ind w:firstLineChars="0"/>
        <w:rPr>
          <w:rFonts w:hint="eastAsia" w:ascii="宋体" w:hAnsi="宋体" w:eastAsia="宋体" w:cs="宋体"/>
          <w:color w:val="auto"/>
          <w:szCs w:val="21"/>
        </w:rPr>
      </w:pPr>
      <w:r>
        <w:rPr>
          <w:rFonts w:hint="eastAsia" w:ascii="宋体" w:hAnsi="宋体" w:eastAsia="宋体" w:cs="宋体"/>
          <w:color w:val="auto"/>
          <w:szCs w:val="21"/>
        </w:rPr>
        <w:t xml:space="preserve"> 货物条款</w:t>
      </w:r>
    </w:p>
    <w:p w14:paraId="5D629158">
      <w:pPr>
        <w:spacing w:line="360" w:lineRule="auto"/>
        <w:rPr>
          <w:rFonts w:hint="eastAsia" w:ascii="宋体" w:hAnsi="宋体" w:eastAsia="宋体" w:cs="宋体"/>
          <w:color w:val="auto"/>
          <w:szCs w:val="21"/>
        </w:rPr>
      </w:pPr>
      <w:r>
        <w:rPr>
          <w:rFonts w:hint="eastAsia" w:ascii="宋体" w:hAnsi="宋体" w:eastAsia="宋体" w:cs="宋体"/>
          <w:color w:val="auto"/>
          <w:szCs w:val="21"/>
        </w:rPr>
        <w:t>乙方向甲方提供以下货物</w:t>
      </w:r>
    </w:p>
    <w:tbl>
      <w:tblPr>
        <w:tblStyle w:val="19"/>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42"/>
        <w:gridCol w:w="4253"/>
        <w:gridCol w:w="709"/>
        <w:gridCol w:w="708"/>
        <w:gridCol w:w="749"/>
      </w:tblGrid>
      <w:tr w14:paraId="5E07E4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14:paraId="2B5BDD9E">
            <w:pPr>
              <w:spacing w:line="360" w:lineRule="auto"/>
              <w:rPr>
                <w:rFonts w:hint="eastAsia" w:ascii="宋体" w:hAnsi="宋体" w:eastAsia="宋体" w:cs="宋体"/>
                <w:color w:val="auto"/>
                <w:szCs w:val="21"/>
              </w:rPr>
            </w:pPr>
            <w:r>
              <w:rPr>
                <w:rFonts w:hint="eastAsia" w:ascii="宋体" w:hAnsi="宋体" w:eastAsia="宋体" w:cs="宋体"/>
                <w:color w:val="auto"/>
                <w:szCs w:val="21"/>
              </w:rPr>
              <w:t>货物名称</w:t>
            </w:r>
          </w:p>
        </w:tc>
        <w:tc>
          <w:tcPr>
            <w:tcW w:w="4253" w:type="dxa"/>
          </w:tcPr>
          <w:p w14:paraId="7DD61496">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品牌、规格型号（技术参数）</w:t>
            </w:r>
          </w:p>
        </w:tc>
        <w:tc>
          <w:tcPr>
            <w:tcW w:w="709" w:type="dxa"/>
            <w:tcBorders>
              <w:right w:val="single" w:color="auto" w:sz="4" w:space="0"/>
            </w:tcBorders>
          </w:tcPr>
          <w:p w14:paraId="22A59B4B">
            <w:pPr>
              <w:spacing w:line="360" w:lineRule="auto"/>
              <w:rPr>
                <w:rFonts w:hint="eastAsia" w:ascii="宋体" w:hAnsi="宋体" w:eastAsia="宋体" w:cs="宋体"/>
                <w:color w:val="auto"/>
                <w:szCs w:val="21"/>
              </w:rPr>
            </w:pPr>
            <w:r>
              <w:rPr>
                <w:rFonts w:hint="eastAsia" w:ascii="宋体" w:hAnsi="宋体" w:eastAsia="宋体" w:cs="宋体"/>
                <w:color w:val="auto"/>
                <w:szCs w:val="21"/>
              </w:rPr>
              <w:t>单价</w:t>
            </w:r>
          </w:p>
        </w:tc>
        <w:tc>
          <w:tcPr>
            <w:tcW w:w="708" w:type="dxa"/>
            <w:tcBorders>
              <w:left w:val="single" w:color="auto" w:sz="4" w:space="0"/>
              <w:right w:val="single" w:color="auto" w:sz="4" w:space="0"/>
            </w:tcBorders>
          </w:tcPr>
          <w:p w14:paraId="16B58875">
            <w:pPr>
              <w:spacing w:line="360" w:lineRule="auto"/>
              <w:rPr>
                <w:rFonts w:hint="eastAsia" w:ascii="宋体" w:hAnsi="宋体" w:eastAsia="宋体" w:cs="宋体"/>
                <w:color w:val="auto"/>
                <w:szCs w:val="21"/>
              </w:rPr>
            </w:pPr>
            <w:r>
              <w:rPr>
                <w:rFonts w:hint="eastAsia" w:ascii="宋体" w:hAnsi="宋体" w:eastAsia="宋体" w:cs="宋体"/>
                <w:color w:val="auto"/>
                <w:szCs w:val="21"/>
              </w:rPr>
              <w:t>数量</w:t>
            </w:r>
          </w:p>
        </w:tc>
        <w:tc>
          <w:tcPr>
            <w:tcW w:w="749" w:type="dxa"/>
            <w:tcBorders>
              <w:left w:val="single" w:color="auto" w:sz="4" w:space="0"/>
              <w:right w:val="single" w:color="auto" w:sz="4" w:space="0"/>
            </w:tcBorders>
          </w:tcPr>
          <w:p w14:paraId="3B470611">
            <w:pPr>
              <w:spacing w:line="360" w:lineRule="auto"/>
              <w:rPr>
                <w:rFonts w:hint="eastAsia" w:ascii="宋体" w:hAnsi="宋体" w:eastAsia="宋体" w:cs="宋体"/>
                <w:color w:val="auto"/>
                <w:szCs w:val="21"/>
              </w:rPr>
            </w:pPr>
            <w:r>
              <w:rPr>
                <w:rFonts w:hint="eastAsia" w:ascii="宋体" w:hAnsi="宋体" w:eastAsia="宋体" w:cs="宋体"/>
                <w:color w:val="auto"/>
                <w:szCs w:val="21"/>
              </w:rPr>
              <w:t>小计</w:t>
            </w:r>
          </w:p>
        </w:tc>
      </w:tr>
      <w:tr w14:paraId="4C2876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14:paraId="0B2D4240">
            <w:pPr>
              <w:spacing w:line="360" w:lineRule="auto"/>
              <w:rPr>
                <w:rFonts w:hint="eastAsia" w:ascii="宋体" w:hAnsi="宋体" w:eastAsia="宋体" w:cs="宋体"/>
                <w:color w:val="auto"/>
                <w:szCs w:val="21"/>
              </w:rPr>
            </w:pPr>
          </w:p>
        </w:tc>
        <w:tc>
          <w:tcPr>
            <w:tcW w:w="4253" w:type="dxa"/>
          </w:tcPr>
          <w:p w14:paraId="08010F25">
            <w:pPr>
              <w:spacing w:line="360" w:lineRule="auto"/>
              <w:rPr>
                <w:rFonts w:hint="eastAsia" w:ascii="宋体" w:hAnsi="宋体" w:eastAsia="宋体" w:cs="宋体"/>
                <w:color w:val="auto"/>
                <w:szCs w:val="21"/>
              </w:rPr>
            </w:pPr>
          </w:p>
        </w:tc>
        <w:tc>
          <w:tcPr>
            <w:tcW w:w="709" w:type="dxa"/>
            <w:tcBorders>
              <w:right w:val="single" w:color="auto" w:sz="4" w:space="0"/>
            </w:tcBorders>
          </w:tcPr>
          <w:p w14:paraId="31F1BF6C">
            <w:pPr>
              <w:spacing w:line="360" w:lineRule="auto"/>
              <w:rPr>
                <w:rFonts w:hint="eastAsia" w:ascii="宋体" w:hAnsi="宋体" w:eastAsia="宋体" w:cs="宋体"/>
                <w:color w:val="auto"/>
                <w:szCs w:val="21"/>
              </w:rPr>
            </w:pPr>
          </w:p>
        </w:tc>
        <w:tc>
          <w:tcPr>
            <w:tcW w:w="708" w:type="dxa"/>
            <w:tcBorders>
              <w:left w:val="single" w:color="auto" w:sz="4" w:space="0"/>
              <w:right w:val="single" w:color="auto" w:sz="4" w:space="0"/>
            </w:tcBorders>
          </w:tcPr>
          <w:p w14:paraId="5B0864EC">
            <w:pPr>
              <w:spacing w:line="360" w:lineRule="auto"/>
              <w:rPr>
                <w:rFonts w:hint="eastAsia" w:ascii="宋体" w:hAnsi="宋体" w:eastAsia="宋体" w:cs="宋体"/>
                <w:color w:val="auto"/>
                <w:szCs w:val="21"/>
              </w:rPr>
            </w:pPr>
          </w:p>
        </w:tc>
        <w:tc>
          <w:tcPr>
            <w:tcW w:w="749" w:type="dxa"/>
            <w:tcBorders>
              <w:left w:val="single" w:color="auto" w:sz="4" w:space="0"/>
              <w:right w:val="single" w:color="auto" w:sz="4" w:space="0"/>
            </w:tcBorders>
          </w:tcPr>
          <w:p w14:paraId="7684C5B0">
            <w:pPr>
              <w:spacing w:line="360" w:lineRule="auto"/>
              <w:rPr>
                <w:rFonts w:hint="eastAsia" w:ascii="宋体" w:hAnsi="宋体" w:eastAsia="宋体" w:cs="宋体"/>
                <w:color w:val="auto"/>
                <w:szCs w:val="21"/>
              </w:rPr>
            </w:pPr>
          </w:p>
        </w:tc>
      </w:tr>
      <w:tr w14:paraId="415299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14:paraId="33397947">
            <w:pPr>
              <w:spacing w:line="360" w:lineRule="auto"/>
              <w:rPr>
                <w:rFonts w:hint="eastAsia" w:ascii="宋体" w:hAnsi="宋体" w:eastAsia="宋体" w:cs="宋体"/>
                <w:color w:val="auto"/>
                <w:szCs w:val="21"/>
              </w:rPr>
            </w:pPr>
          </w:p>
        </w:tc>
        <w:tc>
          <w:tcPr>
            <w:tcW w:w="4253" w:type="dxa"/>
          </w:tcPr>
          <w:p w14:paraId="31B036D4">
            <w:pPr>
              <w:spacing w:line="360" w:lineRule="auto"/>
              <w:rPr>
                <w:rFonts w:hint="eastAsia" w:ascii="宋体" w:hAnsi="宋体" w:eastAsia="宋体" w:cs="宋体"/>
                <w:color w:val="auto"/>
                <w:szCs w:val="21"/>
              </w:rPr>
            </w:pPr>
          </w:p>
        </w:tc>
        <w:tc>
          <w:tcPr>
            <w:tcW w:w="709" w:type="dxa"/>
            <w:tcBorders>
              <w:right w:val="single" w:color="auto" w:sz="4" w:space="0"/>
            </w:tcBorders>
          </w:tcPr>
          <w:p w14:paraId="23AC9E68">
            <w:pPr>
              <w:spacing w:line="360" w:lineRule="auto"/>
              <w:rPr>
                <w:rFonts w:hint="eastAsia" w:ascii="宋体" w:hAnsi="宋体" w:eastAsia="宋体" w:cs="宋体"/>
                <w:color w:val="auto"/>
                <w:szCs w:val="21"/>
              </w:rPr>
            </w:pPr>
          </w:p>
        </w:tc>
        <w:tc>
          <w:tcPr>
            <w:tcW w:w="708" w:type="dxa"/>
            <w:tcBorders>
              <w:left w:val="single" w:color="auto" w:sz="4" w:space="0"/>
              <w:right w:val="single" w:color="auto" w:sz="4" w:space="0"/>
            </w:tcBorders>
          </w:tcPr>
          <w:p w14:paraId="215AAC5D">
            <w:pPr>
              <w:spacing w:line="360" w:lineRule="auto"/>
              <w:rPr>
                <w:rFonts w:hint="eastAsia" w:ascii="宋体" w:hAnsi="宋体" w:eastAsia="宋体" w:cs="宋体"/>
                <w:color w:val="auto"/>
                <w:szCs w:val="21"/>
              </w:rPr>
            </w:pPr>
          </w:p>
        </w:tc>
        <w:tc>
          <w:tcPr>
            <w:tcW w:w="749" w:type="dxa"/>
            <w:tcBorders>
              <w:left w:val="single" w:color="auto" w:sz="4" w:space="0"/>
              <w:right w:val="single" w:color="auto" w:sz="4" w:space="0"/>
            </w:tcBorders>
          </w:tcPr>
          <w:p w14:paraId="5B0C7256">
            <w:pPr>
              <w:spacing w:line="360" w:lineRule="auto"/>
              <w:rPr>
                <w:rFonts w:hint="eastAsia" w:ascii="宋体" w:hAnsi="宋体" w:eastAsia="宋体" w:cs="宋体"/>
                <w:color w:val="auto"/>
                <w:szCs w:val="21"/>
              </w:rPr>
            </w:pPr>
          </w:p>
        </w:tc>
      </w:tr>
      <w:tr w14:paraId="4F4B68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0" w:hRule="atLeast"/>
        </w:trPr>
        <w:tc>
          <w:tcPr>
            <w:tcW w:w="1242" w:type="dxa"/>
          </w:tcPr>
          <w:p w14:paraId="59723AE8">
            <w:pPr>
              <w:spacing w:line="360" w:lineRule="auto"/>
              <w:rPr>
                <w:rFonts w:hint="eastAsia" w:ascii="宋体" w:hAnsi="宋体" w:eastAsia="宋体" w:cs="宋体"/>
                <w:color w:val="auto"/>
                <w:szCs w:val="21"/>
              </w:rPr>
            </w:pPr>
          </w:p>
        </w:tc>
        <w:tc>
          <w:tcPr>
            <w:tcW w:w="4253" w:type="dxa"/>
          </w:tcPr>
          <w:p w14:paraId="573124DE">
            <w:pPr>
              <w:spacing w:line="360" w:lineRule="auto"/>
              <w:rPr>
                <w:rFonts w:hint="eastAsia" w:ascii="宋体" w:hAnsi="宋体" w:eastAsia="宋体" w:cs="宋体"/>
                <w:color w:val="auto"/>
                <w:szCs w:val="21"/>
              </w:rPr>
            </w:pPr>
          </w:p>
        </w:tc>
        <w:tc>
          <w:tcPr>
            <w:tcW w:w="709" w:type="dxa"/>
            <w:tcBorders>
              <w:right w:val="single" w:color="auto" w:sz="4" w:space="0"/>
            </w:tcBorders>
          </w:tcPr>
          <w:p w14:paraId="68337290">
            <w:pPr>
              <w:spacing w:line="360" w:lineRule="auto"/>
              <w:rPr>
                <w:rFonts w:hint="eastAsia" w:ascii="宋体" w:hAnsi="宋体" w:eastAsia="宋体" w:cs="宋体"/>
                <w:color w:val="auto"/>
                <w:szCs w:val="21"/>
              </w:rPr>
            </w:pPr>
          </w:p>
        </w:tc>
        <w:tc>
          <w:tcPr>
            <w:tcW w:w="708" w:type="dxa"/>
            <w:tcBorders>
              <w:left w:val="single" w:color="auto" w:sz="4" w:space="0"/>
              <w:right w:val="single" w:color="auto" w:sz="4" w:space="0"/>
            </w:tcBorders>
          </w:tcPr>
          <w:p w14:paraId="15F7685D">
            <w:pPr>
              <w:spacing w:line="360" w:lineRule="auto"/>
              <w:rPr>
                <w:rFonts w:hint="eastAsia" w:ascii="宋体" w:hAnsi="宋体" w:eastAsia="宋体" w:cs="宋体"/>
                <w:color w:val="auto"/>
                <w:szCs w:val="21"/>
              </w:rPr>
            </w:pPr>
          </w:p>
        </w:tc>
        <w:tc>
          <w:tcPr>
            <w:tcW w:w="749" w:type="dxa"/>
            <w:tcBorders>
              <w:left w:val="single" w:color="auto" w:sz="4" w:space="0"/>
              <w:right w:val="single" w:color="auto" w:sz="4" w:space="0"/>
            </w:tcBorders>
          </w:tcPr>
          <w:p w14:paraId="747715A9">
            <w:pPr>
              <w:spacing w:line="360" w:lineRule="auto"/>
              <w:rPr>
                <w:rFonts w:hint="eastAsia" w:ascii="宋体" w:hAnsi="宋体" w:eastAsia="宋体" w:cs="宋体"/>
                <w:color w:val="auto"/>
                <w:szCs w:val="21"/>
              </w:rPr>
            </w:pPr>
          </w:p>
        </w:tc>
      </w:tr>
      <w:tr w14:paraId="5D4EB4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5495" w:type="dxa"/>
            <w:gridSpan w:val="2"/>
          </w:tcPr>
          <w:p w14:paraId="36E88B01">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2166" w:type="dxa"/>
            <w:gridSpan w:val="3"/>
            <w:tcBorders>
              <w:right w:val="single" w:color="auto" w:sz="4" w:space="0"/>
            </w:tcBorders>
          </w:tcPr>
          <w:p w14:paraId="0A02F23C">
            <w:pPr>
              <w:spacing w:line="360" w:lineRule="auto"/>
              <w:rPr>
                <w:rFonts w:hint="eastAsia" w:ascii="宋体" w:hAnsi="宋体" w:eastAsia="宋体" w:cs="宋体"/>
                <w:color w:val="auto"/>
                <w:szCs w:val="21"/>
              </w:rPr>
            </w:pPr>
          </w:p>
        </w:tc>
      </w:tr>
    </w:tbl>
    <w:p w14:paraId="65EA7FF4">
      <w:pPr>
        <w:spacing w:line="360" w:lineRule="auto"/>
        <w:ind w:firstLine="105" w:firstLineChars="50"/>
        <w:rPr>
          <w:rFonts w:hint="eastAsia" w:ascii="宋体" w:hAnsi="宋体" w:eastAsia="宋体" w:cs="宋体"/>
          <w:color w:val="auto"/>
          <w:szCs w:val="21"/>
        </w:rPr>
      </w:pPr>
      <w:r>
        <w:rPr>
          <w:rFonts w:hint="eastAsia" w:ascii="宋体" w:hAnsi="宋体" w:eastAsia="宋体" w:cs="宋体"/>
          <w:color w:val="auto"/>
          <w:szCs w:val="21"/>
        </w:rPr>
        <w:t>注：如上述表格不适用相关货物的，具体品牌、数量、规格型号（技术参数）及质保期等可用附件形式列明，作为本合同组成部分。</w:t>
      </w:r>
    </w:p>
    <w:p w14:paraId="1ACDA6BF">
      <w:pPr>
        <w:spacing w:line="360" w:lineRule="auto"/>
        <w:rPr>
          <w:rFonts w:hint="eastAsia" w:ascii="宋体" w:hAnsi="宋体" w:eastAsia="宋体" w:cs="宋体"/>
          <w:color w:val="auto"/>
          <w:szCs w:val="21"/>
        </w:rPr>
      </w:pPr>
      <w:r>
        <w:rPr>
          <w:rFonts w:hint="eastAsia" w:ascii="宋体" w:hAnsi="宋体" w:eastAsia="宋体" w:cs="宋体"/>
          <w:color w:val="auto"/>
          <w:szCs w:val="21"/>
        </w:rPr>
        <w:t>第二条  合同总金额</w:t>
      </w:r>
    </w:p>
    <w:p w14:paraId="0FA913ED">
      <w:pPr>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合同总金额为人民币（大写）：（￥</w:t>
      </w:r>
      <w:r>
        <w:rPr>
          <w:rFonts w:hint="eastAsia" w:ascii="宋体" w:hAnsi="宋体" w:eastAsia="宋体" w:cs="宋体"/>
          <w:color w:val="auto"/>
          <w:szCs w:val="21"/>
          <w:u w:val="single"/>
        </w:rPr>
        <w:t>）</w:t>
      </w:r>
    </w:p>
    <w:p w14:paraId="3F6966B2">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此价格为合同执行不变价，不因国家政策变化而变化，该价款</w:t>
      </w:r>
      <w:r>
        <w:rPr>
          <w:rFonts w:hint="eastAsia" w:ascii="宋体" w:hAnsi="宋体" w:eastAsia="宋体" w:cs="宋体"/>
          <w:color w:val="auto"/>
          <w:szCs w:val="21"/>
          <w:lang w:eastAsia="zh-CN"/>
        </w:rPr>
        <w:t>包括</w:t>
      </w:r>
      <w:r>
        <w:rPr>
          <w:rFonts w:hint="eastAsia" w:ascii="宋体" w:hAnsi="宋体" w:eastAsia="宋体" w:cs="宋体"/>
          <w:color w:val="auto"/>
          <w:szCs w:val="21"/>
        </w:rPr>
        <w:t>货物及与之配套的设计、制造、正版软件、检验、包装、运输、保险、税费以及安装、组织验收、培训，技术服务（包括技术资料、图纸提供等）。质保期服务等全部价款，除此之外，甲方不再向乙方支付其他任何费用。</w:t>
      </w:r>
    </w:p>
    <w:p w14:paraId="73C8AB2C">
      <w:pPr>
        <w:spacing w:line="360" w:lineRule="auto"/>
        <w:rPr>
          <w:rFonts w:hint="eastAsia" w:ascii="宋体" w:hAnsi="宋体" w:eastAsia="宋体" w:cs="宋体"/>
          <w:color w:val="auto"/>
          <w:szCs w:val="21"/>
        </w:rPr>
      </w:pPr>
      <w:r>
        <w:rPr>
          <w:rFonts w:hint="eastAsia" w:ascii="宋体" w:hAnsi="宋体" w:eastAsia="宋体" w:cs="宋体"/>
          <w:color w:val="auto"/>
          <w:szCs w:val="21"/>
        </w:rPr>
        <w:t>第三条   质量要求及技术标准</w:t>
      </w:r>
    </w:p>
    <w:p w14:paraId="29D443C1">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1.货物原产地：</w:t>
      </w:r>
    </w:p>
    <w:p w14:paraId="05B2E7F6">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2.货物的质量要求：</w:t>
      </w:r>
    </w:p>
    <w:p w14:paraId="6183ECAE">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3.货物的技术标准：</w:t>
      </w:r>
    </w:p>
    <w:p w14:paraId="45160FEA">
      <w:pPr>
        <w:spacing w:line="360" w:lineRule="auto"/>
        <w:rPr>
          <w:rFonts w:hint="eastAsia" w:ascii="宋体" w:hAnsi="宋体" w:eastAsia="宋体" w:cs="宋体"/>
          <w:color w:val="auto"/>
          <w:szCs w:val="21"/>
        </w:rPr>
      </w:pPr>
      <w:r>
        <w:rPr>
          <w:rFonts w:hint="eastAsia" w:ascii="宋体" w:hAnsi="宋体" w:eastAsia="宋体" w:cs="宋体"/>
          <w:color w:val="auto"/>
          <w:szCs w:val="21"/>
        </w:rPr>
        <w:t>第四条   交货</w:t>
      </w:r>
    </w:p>
    <w:p w14:paraId="6E9EE28B">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1.交货日期：</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2.交货地点：</w:t>
      </w:r>
    </w:p>
    <w:p w14:paraId="47A538E7">
      <w:pPr>
        <w:spacing w:line="360" w:lineRule="auto"/>
        <w:rPr>
          <w:rFonts w:hint="eastAsia" w:ascii="宋体" w:hAnsi="宋体" w:eastAsia="宋体" w:cs="宋体"/>
          <w:color w:val="auto"/>
          <w:szCs w:val="21"/>
        </w:rPr>
      </w:pPr>
      <w:r>
        <w:rPr>
          <w:rFonts w:hint="eastAsia" w:ascii="宋体" w:hAnsi="宋体" w:eastAsia="宋体" w:cs="宋体"/>
          <w:color w:val="auto"/>
          <w:szCs w:val="21"/>
        </w:rPr>
        <w:t>第五条   包装、 装运及运输</w:t>
      </w:r>
    </w:p>
    <w:p w14:paraId="445EF4A5">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1.乙方负责包装、装运和运输，由于不适当的包装、装运和运输造成</w:t>
      </w:r>
      <w:r>
        <w:rPr>
          <w:rFonts w:hint="eastAsia" w:ascii="宋体" w:hAnsi="宋体" w:eastAsia="宋体" w:cs="宋体"/>
          <w:color w:val="auto"/>
          <w:szCs w:val="21"/>
          <w:lang w:eastAsia="zh-CN"/>
        </w:rPr>
        <w:t>货物</w:t>
      </w:r>
      <w:r>
        <w:rPr>
          <w:rFonts w:hint="eastAsia" w:ascii="宋体" w:hAnsi="宋体" w:eastAsia="宋体" w:cs="宋体"/>
          <w:color w:val="auto"/>
          <w:szCs w:val="21"/>
        </w:rPr>
        <w:t>任何损坏均由乙方负责。</w:t>
      </w:r>
    </w:p>
    <w:p w14:paraId="3D3840CD">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2.包装费、运费及相关费用已包含在合同总金额内。</w:t>
      </w:r>
    </w:p>
    <w:p w14:paraId="25CA47B8">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3.根据财政部等三部门《关于印发〈商品包装政府采购需求标准（试行）〉〈快递包装政府采购需求标准（试行））的通知》规定，对乙方提出的具体包装要求：</w:t>
      </w:r>
    </w:p>
    <w:p w14:paraId="66ECDF49">
      <w:pPr>
        <w:spacing w:line="360" w:lineRule="auto"/>
        <w:rPr>
          <w:rFonts w:hint="eastAsia" w:ascii="宋体" w:hAnsi="宋体" w:eastAsia="宋体" w:cs="宋体"/>
          <w:color w:val="auto"/>
          <w:szCs w:val="21"/>
        </w:rPr>
      </w:pPr>
      <w:r>
        <w:rPr>
          <w:rFonts w:hint="eastAsia" w:ascii="宋体" w:hAnsi="宋体" w:eastAsia="宋体" w:cs="宋体"/>
          <w:color w:val="auto"/>
          <w:szCs w:val="21"/>
        </w:rPr>
        <w:t>第六条    货款支付</w:t>
      </w:r>
    </w:p>
    <w:p w14:paraId="3359CBF8">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1.货物运到交货地点，经甲乙双方共同验收合格后由甲方负责办理货款支付手续。</w:t>
      </w:r>
    </w:p>
    <w:p w14:paraId="592B00E5">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2.允许并鼓励乙方提供电子发票，甲方自收到发票之日起2个工作日内支付资金，并不得附加未经约定的其他条件。</w:t>
      </w:r>
    </w:p>
    <w:p w14:paraId="52588C64">
      <w:pPr>
        <w:spacing w:line="360" w:lineRule="auto"/>
        <w:ind w:firstLine="210" w:firstLineChars="100"/>
        <w:rPr>
          <w:rFonts w:hint="eastAsia" w:ascii="宋体" w:hAnsi="宋体" w:eastAsia="宋体" w:cs="宋体"/>
          <w:color w:val="auto"/>
          <w:szCs w:val="21"/>
        </w:rPr>
      </w:pPr>
      <w:r>
        <w:rPr>
          <w:rFonts w:hint="eastAsia" w:ascii="宋体" w:hAnsi="宋体" w:eastAsia="宋体" w:cs="宋体"/>
          <w:color w:val="auto"/>
          <w:szCs w:val="21"/>
        </w:rPr>
        <w:t>3.付款方式</w:t>
      </w:r>
    </w:p>
    <w:p w14:paraId="62F4F533">
      <w:pPr>
        <w:spacing w:line="360" w:lineRule="auto"/>
        <w:ind w:firstLine="210" w:firstLineChars="100"/>
        <w:rPr>
          <w:rFonts w:hint="eastAsia" w:ascii="宋体" w:hAnsi="宋体" w:eastAsia="宋体" w:cs="宋体"/>
          <w:color w:val="auto"/>
          <w:szCs w:val="21"/>
        </w:rPr>
      </w:pPr>
      <w:r>
        <w:rPr>
          <w:rFonts w:hint="eastAsia" w:ascii="宋体" w:hAnsi="宋体" w:eastAsia="宋体" w:cs="宋体"/>
          <w:color w:val="auto"/>
          <w:szCs w:val="21"/>
        </w:rPr>
        <w:t>3.1预付款比例： _ %， 于政府采购合同签订生效并具备实施条件后2个工作日内支付。</w:t>
      </w:r>
    </w:p>
    <w:p w14:paraId="33B375EB">
      <w:pPr>
        <w:spacing w:line="360" w:lineRule="auto"/>
        <w:rPr>
          <w:rFonts w:hint="eastAsia" w:ascii="宋体" w:hAnsi="宋体" w:eastAsia="宋体" w:cs="宋体"/>
          <w:color w:val="auto"/>
          <w:szCs w:val="21"/>
        </w:rPr>
      </w:pPr>
      <w:r>
        <w:rPr>
          <w:rFonts w:hint="eastAsia" w:ascii="宋体" w:hAnsi="宋体" w:eastAsia="宋体" w:cs="宋体"/>
          <w:color w:val="auto"/>
          <w:szCs w:val="21"/>
        </w:rPr>
        <w:t>第七条   履约保证金</w:t>
      </w:r>
    </w:p>
    <w:p w14:paraId="236AEBCB">
      <w:pPr>
        <w:spacing w:line="360" w:lineRule="auto"/>
        <w:ind w:firstLine="105" w:firstLineChars="50"/>
        <w:rPr>
          <w:rFonts w:hint="eastAsia" w:ascii="宋体" w:hAnsi="宋体" w:eastAsia="宋体" w:cs="宋体"/>
          <w:color w:val="auto"/>
          <w:szCs w:val="21"/>
        </w:rPr>
      </w:pPr>
      <w:r>
        <w:rPr>
          <w:rFonts w:hint="eastAsia" w:ascii="宋体" w:hAnsi="宋体" w:eastAsia="宋体" w:cs="宋体"/>
          <w:color w:val="auto"/>
          <w:szCs w:val="21"/>
        </w:rPr>
        <w:t>根据许昌市优化政府采购营商环境要求，项目不收取履约保证金。</w:t>
      </w:r>
    </w:p>
    <w:p w14:paraId="48F157FE">
      <w:pPr>
        <w:spacing w:line="360" w:lineRule="auto"/>
        <w:rPr>
          <w:rFonts w:hint="eastAsia" w:ascii="宋体" w:hAnsi="宋体" w:eastAsia="宋体" w:cs="宋体"/>
          <w:color w:val="auto"/>
          <w:szCs w:val="21"/>
        </w:rPr>
      </w:pPr>
      <w:r>
        <w:rPr>
          <w:rFonts w:hint="eastAsia" w:ascii="宋体" w:hAnsi="宋体" w:eastAsia="宋体" w:cs="宋体"/>
          <w:color w:val="auto"/>
          <w:szCs w:val="21"/>
        </w:rPr>
        <w:t>第八条   售后服务及承诺</w:t>
      </w:r>
    </w:p>
    <w:p w14:paraId="74FB2FA7">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1.乙方有完善的服务体系，有能力提供持续的、本地化售后服务。</w:t>
      </w:r>
    </w:p>
    <w:p w14:paraId="690C69DA">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2.乙方负责系统安装和调试以及操作人员培训，并制定详细的培训计划，使操作人员能独立进行管理、操作、维护和故障处理等工作，做好相关记录及技术文档收集整理，待验收合格后移交给甲方。</w:t>
      </w:r>
    </w:p>
    <w:p w14:paraId="44B20C15">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3.供货及服务范围：乙方负责货物的供应、运输、安装调试。免费培训、售后服务。</w:t>
      </w:r>
    </w:p>
    <w:p w14:paraId="3BBA1B1C">
      <w:pPr>
        <w:spacing w:line="360" w:lineRule="auto"/>
        <w:rPr>
          <w:rFonts w:hint="eastAsia" w:ascii="宋体" w:hAnsi="宋体" w:eastAsia="宋体" w:cs="宋体"/>
          <w:color w:val="auto"/>
          <w:szCs w:val="21"/>
        </w:rPr>
      </w:pPr>
      <w:r>
        <w:rPr>
          <w:rFonts w:hint="eastAsia" w:ascii="宋体" w:hAnsi="宋体" w:eastAsia="宋体" w:cs="宋体"/>
          <w:color w:val="auto"/>
          <w:szCs w:val="21"/>
        </w:rPr>
        <w:t>第九条   验收</w:t>
      </w:r>
    </w:p>
    <w:p w14:paraId="5F4D5388">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1.货物运抵现场后，采购人将对货物数量、质量、规格等进行检验。如发现货物和规格或者两者都与合同不符，采购人有权根据检验结果要求中标人立即更换或者提出索赔要求。</w:t>
      </w:r>
    </w:p>
    <w:p w14:paraId="62485325">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2.开箱检查设备外观，如有损伤或质量缺陷，乙方应及时更换。</w:t>
      </w:r>
    </w:p>
    <w:p w14:paraId="6C0E495B">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3.依据合同设备清单，对设备品牌、规格型号（技术参数）、数量、质保书等必备附件进行检查。</w:t>
      </w:r>
    </w:p>
    <w:p w14:paraId="73DA0298">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4.货物由中标人进行安装。完毕后，采购人应对货物的数量、质量、规格、性能等进行详细全面的检验。在收到乙方项目验收建议之日起7个工作日内，对采购项目进行实质性验收（验收建议有明显不当的除外）。</w:t>
      </w:r>
    </w:p>
    <w:p w14:paraId="1EF491B2">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5.对大型或复杂的政府采购项目，以及特种设备。甲方应当邀请国家认可的质量检测机构参与验收工作，并出具验收报告，相关费用负担由甲乙双方约定，履约验收报告应当依法依规及时在市政府采购网公开发布。</w:t>
      </w:r>
    </w:p>
    <w:p w14:paraId="69F7A926">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6.根据财政部等三部门《关于印发〈商品包装政府采购需求标准（试行）〉〈快递包装政府采购需求标准（试行）〉的通知》规定，采购文件对商品包装和快递包装提出具体要求的，对乙方所提供包装的履约验收要求（必要时要求乙方在履约验收环节出具检测报告）：</w:t>
      </w:r>
    </w:p>
    <w:p w14:paraId="509ADAC4">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第十条   权利瑕疵担当</w:t>
      </w:r>
    </w:p>
    <w:p w14:paraId="011BBDFD">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1.乙方保证对其出售的标的物享有合法的权利：</w:t>
      </w:r>
    </w:p>
    <w:p w14:paraId="6A602B7C">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2.乙方应保证在其出售的标的物上不存在任何未曾向甲方披露的担保物权，如抵押权、质押权、留置权等：</w:t>
      </w:r>
    </w:p>
    <w:p w14:paraId="1CCD07BD">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3.乙方应保证其所出售的标的物没有侵害任何第三人的知识产权和商业秘密等权利：</w:t>
      </w:r>
    </w:p>
    <w:p w14:paraId="178F2C3F">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4.如甲方使用该标的物构成上述侵权的，则由乙方承担全部责任。</w:t>
      </w:r>
    </w:p>
    <w:p w14:paraId="562D07DD">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第十一条   知识产权</w:t>
      </w:r>
    </w:p>
    <w:p w14:paraId="6C08EF8E">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1.乙方保证，甲方在使用该货物或者货物的任何一部分时，免受第三方提出的侵犯其专利权、商标权或其他知识产权的起诉。如发生此类纠纷，由乙方承担一切责任：如因此给甲方</w:t>
      </w:r>
      <w:r>
        <w:rPr>
          <w:rFonts w:hint="eastAsia" w:ascii="宋体" w:hAnsi="宋体" w:eastAsia="宋体" w:cs="宋体"/>
          <w:color w:val="auto"/>
          <w:szCs w:val="21"/>
          <w:lang w:eastAsia="zh-CN"/>
        </w:rPr>
        <w:t>造成损失的，由乙方</w:t>
      </w:r>
      <w:r>
        <w:rPr>
          <w:rFonts w:hint="eastAsia" w:ascii="宋体" w:hAnsi="宋体" w:eastAsia="宋体" w:cs="宋体"/>
          <w:color w:val="auto"/>
          <w:szCs w:val="21"/>
        </w:rPr>
        <w:t>负责全额赔偿。</w:t>
      </w:r>
    </w:p>
    <w:p w14:paraId="31E7F9D4">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2.乙方为执行本合同而提供的技术资料或者其他相关资料、软件等由甲方永久免费使用。</w:t>
      </w:r>
    </w:p>
    <w:p w14:paraId="3812668C">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第十二条    甲方责任</w:t>
      </w:r>
    </w:p>
    <w:p w14:paraId="0D02B20C">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1.及时办理付款手续。</w:t>
      </w:r>
    </w:p>
    <w:p w14:paraId="22F78DC3">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2.负责提供工作场地，协助乙方办理有关事宜。</w:t>
      </w:r>
    </w:p>
    <w:p w14:paraId="2282F393">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3.对合同条款及所知悉的乙方商业秘密负有保密义务。</w:t>
      </w:r>
    </w:p>
    <w:p w14:paraId="42B4F1A1">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第十三条    乙方责任</w:t>
      </w:r>
    </w:p>
    <w:p w14:paraId="2EA7D16A">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1.保证所供货物均为投标文件承诺的货物，符合相关质量检测标准， 具有该产品的出厂标准或国家鉴定证书。保证其全部部件为全新的未使用的且符合相关质量要求。</w:t>
      </w:r>
    </w:p>
    <w:p w14:paraId="24ED6CCA">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2.保证货物的售后服务，严格依据投标文件及相关承诺，对货物及系统进行保修、维护等服务。</w:t>
      </w:r>
    </w:p>
    <w:p w14:paraId="6672CCBD">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3.保证其所供货物不存在侵犯第三方知识产权的行为，否则由此产生的损失由己方承担。</w:t>
      </w:r>
    </w:p>
    <w:p w14:paraId="7F0F1245">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第十四条   违约责任</w:t>
      </w:r>
    </w:p>
    <w:p w14:paraId="7F963473">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1.甲乙双方任意一方无故终止合同的，违约方应当按照合同总金额的_ %向守约方支付违约金。</w:t>
      </w:r>
    </w:p>
    <w:p w14:paraId="352F433B">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2.乙方逾期交付货物时，每逾日乙方向甲方支付合同总金 额%的滞纳金。逾期交货超过__日的， 甲方有权决定是否继续履行合同，如甲方决定终止履行合同的，乙方应按照第1款的规定赔偿甲方违约金。</w:t>
      </w:r>
    </w:p>
    <w:p w14:paraId="351EABA1">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3.乙方所供货物品牌、规格型号，质量等不符合合同约定标准，甲方有权拒收，以及甲方收货后，发现货品出现质量问题不能使用的，甲方有权终止合同，同时，乙方向甲方支付合同总金额_ %的违约金， 如果违约金不足以支付甲方所受损失的，甲方有权要求其赔偿。</w:t>
      </w:r>
    </w:p>
    <w:p w14:paraId="06089E39">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4.在质保期内产品出现质量问题，乙方必须在接到甲方通知后_小时内到达现场解决，否则甲方有权另请单位解决，由此产生的费用由乙方承担，产生的损失由乙方赔偿。</w:t>
      </w:r>
    </w:p>
    <w:p w14:paraId="45FA309A">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5.甲方逾期支付资金的违约责任：</w:t>
      </w:r>
    </w:p>
    <w:p w14:paraId="690CE12C">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6.因甲方原因导致变更，中止或者终止政府采购合同的，甲方对供应商受到的损失予以赔偿或者补偿：</w:t>
      </w:r>
    </w:p>
    <w:p w14:paraId="6A1E4E40">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7.甲乙双方违背其他合同条款。违约方赔偿对方损失。</w:t>
      </w:r>
    </w:p>
    <w:p w14:paraId="3E987CA6">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第十五条   不可抗力</w:t>
      </w:r>
    </w:p>
    <w:p w14:paraId="5A741DF7">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甲乙双方的任何一方由于不可抗力不能履行合同时，应当及时通知对方不能履行或不能完全履行的情况和理由：在取得有关主管机关证明后，允许延期履行、部分履行或者终止履行合同的，根据情况可部分或全部免于承担违约责任。</w:t>
      </w:r>
    </w:p>
    <w:p w14:paraId="4CB52894">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第十六条   保密</w:t>
      </w:r>
    </w:p>
    <w:p w14:paraId="14B5F0CC">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乙方在合同履行期间知悉甲方的工作秘密（包括相关业务信息），不得透露或以其他方式提供给合同双方以外的其他方（包括乙方内部与本合同无关的任何人员）。乙方的保密责任不因本合同的终止而终止。</w:t>
      </w:r>
    </w:p>
    <w:p w14:paraId="7FDE1340">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乙方违反本合同所规定的保密义务，应按照本合同总金额的_ %支付违约金。</w:t>
      </w:r>
    </w:p>
    <w:p w14:paraId="211FDAE6">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第十七条   争议解决</w:t>
      </w:r>
    </w:p>
    <w:p w14:paraId="7A0DD74C">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甲乙双方在合同履行</w:t>
      </w:r>
      <w:r>
        <w:rPr>
          <w:rFonts w:hint="eastAsia" w:ascii="宋体" w:hAnsi="宋体" w:eastAsia="宋体" w:cs="宋体"/>
          <w:color w:val="auto"/>
          <w:szCs w:val="21"/>
          <w:lang w:eastAsia="zh-CN"/>
        </w:rPr>
        <w:t>过程中发生争议</w:t>
      </w:r>
      <w:r>
        <w:rPr>
          <w:rFonts w:hint="eastAsia" w:ascii="宋体" w:hAnsi="宋体" w:eastAsia="宋体" w:cs="宋体"/>
          <w:color w:val="auto"/>
          <w:szCs w:val="21"/>
        </w:rPr>
        <w:t>，应通过协商解决。如协商不成，可以向合同签订地法院提起诉讼。</w:t>
      </w:r>
    </w:p>
    <w:p w14:paraId="135C4C3E">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第十八条   合同生效及其他</w:t>
      </w:r>
    </w:p>
    <w:p w14:paraId="73F3506A">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1.除招标文件规定且甲方事先书面同意外，乙方不得部分或者全部转让、分包履行其应履行的合同项下的义务。</w:t>
      </w:r>
    </w:p>
    <w:p w14:paraId="712A9076">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2.合同由甲，乙双方法定代表人（或者授权代表）签字并加盖单位公章，以最后一方签字日期为合同生效日期。</w:t>
      </w:r>
    </w:p>
    <w:p w14:paraId="3E981C00">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3.本合同一式份，甲方</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份，乙方</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份。</w:t>
      </w:r>
    </w:p>
    <w:p w14:paraId="150303D6">
      <w:pPr>
        <w:spacing w:line="360" w:lineRule="auto"/>
        <w:rPr>
          <w:rFonts w:hint="eastAsia" w:ascii="宋体" w:hAnsi="宋体" w:eastAsia="宋体" w:cs="宋体"/>
          <w:color w:val="auto"/>
          <w:szCs w:val="21"/>
        </w:rPr>
      </w:pPr>
      <w:r>
        <w:rPr>
          <w:rFonts w:hint="eastAsia" w:ascii="宋体" w:hAnsi="宋体" w:eastAsia="宋体" w:cs="宋体"/>
          <w:color w:val="auto"/>
          <w:szCs w:val="21"/>
        </w:rPr>
        <w:t>第十九条   政府采购合间融资</w:t>
      </w:r>
    </w:p>
    <w:p w14:paraId="715C7337">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.在</w:t>
      </w:r>
      <w:r>
        <w:rPr>
          <w:rFonts w:hint="eastAsia" w:ascii="宋体" w:hAnsi="宋体" w:eastAsia="宋体" w:cs="宋体"/>
          <w:color w:val="auto"/>
          <w:szCs w:val="21"/>
        </w:rPr>
        <w:t>政府采购合同签订前开展融资业务的。中标（成交）供应商持政府采购中标（成交）通知书提前与金融机构进行合同融资商洽，双方达成融资意向后，中标（成交）供应商与采购人签订政府采购合同，合同中供应商的银行账户要与合同融资的回款账户一致。中标（成交）供应商和贷款金融机构应及时将政府采购合同作为融资质押的信息告知采购人。采购人要从严加强合同付款账户管理，未经贷款银行同意，不随意更改合同付款账户。</w:t>
      </w:r>
    </w:p>
    <w:p w14:paraId="6AA7E1C5">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2.政府采购合同签订后开展</w:t>
      </w:r>
      <w:r>
        <w:rPr>
          <w:rFonts w:hint="eastAsia" w:ascii="宋体" w:hAnsi="宋体" w:eastAsia="宋体" w:cs="宋体"/>
          <w:color w:val="auto"/>
          <w:szCs w:val="21"/>
          <w:lang w:eastAsia="zh-CN"/>
        </w:rPr>
        <w:t>融资</w:t>
      </w:r>
      <w:r>
        <w:rPr>
          <w:rFonts w:hint="eastAsia" w:ascii="宋体" w:hAnsi="宋体" w:eastAsia="宋体" w:cs="宋体"/>
          <w:color w:val="auto"/>
          <w:szCs w:val="21"/>
        </w:rPr>
        <w:t>账户管理。在合同租约期间。中标（成交）供应商持已签订的政府采购合同向金融机构申请合同融资，可能出现政府采购合同中供应商收款的银行账户与拟贷款银行回款账户不一致的情形。为支持供应商通过政府采购合同成功获得银行贷款，采购人应积极协助供应商及时变更政府采购合同中的供应商收款银行账户，保障供应商收款的银行账户与报贷款银行回款账户一致。</w:t>
      </w:r>
    </w:p>
    <w:p w14:paraId="4B10DC66">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当中标（成交）供应商成功获取银行贷款后，采购人还应根据信息公开要求，加强合同账户及资金支付管理，确保合同资金准确支付到贷款银行确认的回款账户。采购人不得不经贷款银行同意擅自更改合同账户。非法支付项目资金，造成不良后果的，将承担相应法律责任。</w:t>
      </w:r>
    </w:p>
    <w:p w14:paraId="40D06C8D">
      <w:pPr>
        <w:spacing w:line="360" w:lineRule="auto"/>
        <w:rPr>
          <w:rFonts w:hint="eastAsia" w:ascii="宋体" w:hAnsi="宋体" w:eastAsia="宋体" w:cs="宋体"/>
          <w:color w:val="auto"/>
          <w:szCs w:val="21"/>
        </w:rPr>
      </w:pPr>
      <w:r>
        <w:rPr>
          <w:rFonts w:hint="eastAsia" w:ascii="宋体" w:hAnsi="宋体" w:eastAsia="宋体" w:cs="宋体"/>
          <w:color w:val="auto"/>
          <w:szCs w:val="21"/>
        </w:rPr>
        <w:t>第二十条        本合同附件</w:t>
      </w:r>
    </w:p>
    <w:p w14:paraId="5197AD79">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1.中标通知书：</w:t>
      </w:r>
    </w:p>
    <w:p w14:paraId="55544F19">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2.政府采购招标文件（含招标文件的澄清，修改等）：</w:t>
      </w:r>
    </w:p>
    <w:p w14:paraId="6DDBAC0F">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3.乙方投标文件：</w:t>
      </w:r>
    </w:p>
    <w:p w14:paraId="0A9BBA5B">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4.中标人在评标过程中做出的有关澄清、说明，承诺或者补正文件（材料）。</w:t>
      </w:r>
    </w:p>
    <w:p w14:paraId="264CCD9D">
      <w:pPr>
        <w:spacing w:line="360" w:lineRule="auto"/>
        <w:rPr>
          <w:rFonts w:hint="eastAsia" w:ascii="宋体" w:hAnsi="宋体" w:eastAsia="宋体" w:cs="宋体"/>
          <w:color w:val="auto"/>
          <w:szCs w:val="21"/>
        </w:rPr>
      </w:pPr>
      <w:r>
        <w:rPr>
          <w:rFonts w:hint="eastAsia" w:ascii="宋体" w:hAnsi="宋体" w:eastAsia="宋体" w:cs="宋体"/>
          <w:color w:val="auto"/>
          <w:szCs w:val="21"/>
        </w:rPr>
        <w:t>甲  方：                                      乙  方：</w:t>
      </w:r>
    </w:p>
    <w:p w14:paraId="54967DA6">
      <w:pPr>
        <w:spacing w:line="360" w:lineRule="auto"/>
        <w:rPr>
          <w:rFonts w:hint="eastAsia" w:ascii="宋体" w:hAnsi="宋体" w:eastAsia="宋体" w:cs="宋体"/>
          <w:color w:val="auto"/>
          <w:szCs w:val="21"/>
        </w:rPr>
      </w:pPr>
      <w:r>
        <w:rPr>
          <w:rFonts w:hint="eastAsia" w:ascii="宋体" w:hAnsi="宋体" w:eastAsia="宋体" w:cs="宋体"/>
          <w:color w:val="auto"/>
          <w:szCs w:val="21"/>
        </w:rPr>
        <w:t>单位名称（公章）：                              单位名称（公章）：</w:t>
      </w:r>
    </w:p>
    <w:p w14:paraId="59F754A9">
      <w:pPr>
        <w:spacing w:line="360" w:lineRule="auto"/>
        <w:rPr>
          <w:rFonts w:hint="eastAsia" w:ascii="宋体" w:hAnsi="宋体" w:eastAsia="宋体" w:cs="宋体"/>
          <w:color w:val="auto"/>
          <w:szCs w:val="21"/>
        </w:rPr>
      </w:pPr>
      <w:r>
        <w:rPr>
          <w:rFonts w:hint="eastAsia" w:ascii="宋体" w:hAnsi="宋体" w:eastAsia="宋体" w:cs="宋体"/>
          <w:color w:val="auto"/>
          <w:szCs w:val="21"/>
        </w:rPr>
        <w:t>法定代表人（授权代表）签字：                    法定代表人（授权代表）签字：</w:t>
      </w:r>
    </w:p>
    <w:p w14:paraId="0A8960C4">
      <w:pPr>
        <w:tabs>
          <w:tab w:val="left" w:pos="4587"/>
        </w:tabs>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电  话：                                    电话：</w:t>
      </w:r>
      <w:r>
        <w:rPr>
          <w:rFonts w:hint="eastAsia" w:ascii="宋体" w:hAnsi="宋体" w:eastAsia="宋体" w:cs="宋体"/>
          <w:color w:val="auto"/>
          <w:szCs w:val="21"/>
        </w:rPr>
        <w:tab/>
      </w:r>
    </w:p>
    <w:p w14:paraId="6537DBF9">
      <w:pPr>
        <w:spacing w:line="360" w:lineRule="auto"/>
        <w:rPr>
          <w:rFonts w:hint="eastAsia" w:ascii="宋体" w:hAnsi="宋体" w:eastAsia="宋体" w:cs="宋体"/>
          <w:b/>
          <w:color w:val="auto"/>
          <w:kern w:val="0"/>
          <w:sz w:val="36"/>
          <w:szCs w:val="36"/>
        </w:rPr>
      </w:pPr>
      <w:r>
        <w:rPr>
          <w:rFonts w:hint="eastAsia" w:ascii="宋体" w:hAnsi="宋体" w:eastAsia="宋体" w:cs="宋体"/>
          <w:color w:val="auto"/>
          <w:szCs w:val="21"/>
        </w:rPr>
        <w:t>年     月    日                                年   月   日</w:t>
      </w:r>
    </w:p>
    <w:p w14:paraId="2B89D3EC">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第八章 投标文件有关格式</w:t>
      </w:r>
    </w:p>
    <w:p w14:paraId="2B89D3ED">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注：</w:t>
      </w:r>
    </w:p>
    <w:p w14:paraId="2B89D3EE">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1.以下的投标文件格式为通用的格式，投标人在制作投标文件时应以招标文件内容要求为准，选择相应的投标文件格式。</w:t>
      </w:r>
    </w:p>
    <w:p w14:paraId="2B89D3EF">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2.没有给定格式的，投标人可以自行设计。</w:t>
      </w:r>
    </w:p>
    <w:p w14:paraId="2B89D3F0">
      <w:pPr>
        <w:pStyle w:val="17"/>
        <w:ind w:firstLine="480"/>
        <w:rPr>
          <w:rFonts w:hint="eastAsia" w:ascii="宋体" w:hAnsi="宋体" w:eastAsia="宋体" w:cs="宋体"/>
          <w:color w:val="auto"/>
          <w:lang w:val="zh-CN"/>
        </w:rPr>
      </w:pPr>
    </w:p>
    <w:p w14:paraId="2B89D3F1">
      <w:pPr>
        <w:pStyle w:val="7"/>
        <w:rPr>
          <w:rFonts w:hint="eastAsia" w:ascii="宋体" w:hAnsi="宋体" w:eastAsia="宋体" w:cs="宋体"/>
          <w:color w:val="auto"/>
          <w:lang w:val="zh-CN"/>
        </w:rPr>
      </w:pPr>
    </w:p>
    <w:p w14:paraId="2B89D3F2">
      <w:pPr>
        <w:spacing w:line="480" w:lineRule="auto"/>
        <w:ind w:firstLine="1080" w:firstLineChars="300"/>
        <w:rPr>
          <w:rFonts w:hint="eastAsia" w:ascii="宋体" w:hAnsi="宋体" w:eastAsia="宋体" w:cs="宋体"/>
          <w:color w:val="auto"/>
          <w:sz w:val="24"/>
        </w:rPr>
      </w:pPr>
      <w:r>
        <w:rPr>
          <w:rFonts w:hint="eastAsia" w:ascii="宋体" w:hAnsi="宋体" w:eastAsia="宋体" w:cs="宋体"/>
          <w:color w:val="auto"/>
          <w:sz w:val="36"/>
          <w:szCs w:val="36"/>
          <w:u w:val="single"/>
        </w:rPr>
        <w:t xml:space="preserve">                   （项目名称</w:t>
      </w:r>
      <w:r>
        <w:rPr>
          <w:rFonts w:hint="eastAsia" w:ascii="宋体" w:hAnsi="宋体" w:eastAsia="宋体" w:cs="宋体"/>
          <w:color w:val="auto"/>
          <w:sz w:val="36"/>
          <w:szCs w:val="36"/>
          <w:u w:val="single"/>
          <w:lang w:eastAsia="zh-CN"/>
        </w:rPr>
        <w:t>、</w:t>
      </w:r>
      <w:r>
        <w:rPr>
          <w:rFonts w:hint="eastAsia" w:ascii="宋体" w:hAnsi="宋体" w:eastAsia="宋体" w:cs="宋体"/>
          <w:color w:val="auto"/>
          <w:sz w:val="36"/>
          <w:szCs w:val="36"/>
          <w:u w:val="single"/>
          <w:lang w:val="en-US" w:eastAsia="zh-CN"/>
        </w:rPr>
        <w:t>标段</w:t>
      </w:r>
      <w:r>
        <w:rPr>
          <w:rFonts w:hint="eastAsia" w:ascii="宋体" w:hAnsi="宋体" w:eastAsia="宋体" w:cs="宋体"/>
          <w:color w:val="auto"/>
          <w:sz w:val="36"/>
          <w:szCs w:val="36"/>
          <w:u w:val="single"/>
        </w:rPr>
        <w:t>）</w:t>
      </w:r>
    </w:p>
    <w:p w14:paraId="2B89D3F3">
      <w:pPr>
        <w:spacing w:line="380" w:lineRule="exact"/>
        <w:rPr>
          <w:rFonts w:hint="eastAsia" w:ascii="宋体" w:hAnsi="宋体" w:eastAsia="宋体" w:cs="宋体"/>
          <w:color w:val="auto"/>
          <w:sz w:val="24"/>
        </w:rPr>
      </w:pPr>
    </w:p>
    <w:p w14:paraId="2B89D3F4">
      <w:pPr>
        <w:spacing w:line="380" w:lineRule="exact"/>
        <w:rPr>
          <w:rFonts w:hint="eastAsia" w:ascii="宋体" w:hAnsi="宋体" w:eastAsia="宋体" w:cs="宋体"/>
          <w:color w:val="auto"/>
          <w:sz w:val="24"/>
        </w:rPr>
      </w:pPr>
    </w:p>
    <w:p w14:paraId="2B89D3F5">
      <w:pPr>
        <w:spacing w:line="380" w:lineRule="exact"/>
        <w:rPr>
          <w:rFonts w:hint="eastAsia" w:ascii="宋体" w:hAnsi="宋体" w:eastAsia="宋体" w:cs="宋体"/>
          <w:color w:val="auto"/>
          <w:sz w:val="24"/>
        </w:rPr>
      </w:pPr>
    </w:p>
    <w:p w14:paraId="2B89D3F6">
      <w:pPr>
        <w:spacing w:line="380" w:lineRule="exact"/>
        <w:rPr>
          <w:rFonts w:hint="eastAsia" w:ascii="宋体" w:hAnsi="宋体" w:eastAsia="宋体" w:cs="宋体"/>
          <w:color w:val="auto"/>
          <w:sz w:val="24"/>
        </w:rPr>
      </w:pPr>
    </w:p>
    <w:p w14:paraId="2B89D3F7">
      <w:pPr>
        <w:spacing w:line="380" w:lineRule="exact"/>
        <w:jc w:val="center"/>
        <w:rPr>
          <w:rFonts w:hint="eastAsia" w:ascii="宋体" w:hAnsi="宋体" w:eastAsia="宋体" w:cs="宋体"/>
          <w:b/>
          <w:bCs/>
          <w:color w:val="auto"/>
          <w:sz w:val="48"/>
          <w:szCs w:val="48"/>
        </w:rPr>
      </w:pPr>
    </w:p>
    <w:p w14:paraId="2B89D3F8">
      <w:pPr>
        <w:spacing w:line="380" w:lineRule="exact"/>
        <w:jc w:val="center"/>
        <w:rPr>
          <w:rFonts w:hint="eastAsia" w:ascii="宋体" w:hAnsi="宋体" w:eastAsia="宋体" w:cs="宋体"/>
          <w:b/>
          <w:bCs/>
          <w:color w:val="auto"/>
          <w:sz w:val="48"/>
          <w:szCs w:val="48"/>
        </w:rPr>
      </w:pPr>
    </w:p>
    <w:p w14:paraId="2B89D3F9">
      <w:pPr>
        <w:spacing w:line="480" w:lineRule="auto"/>
        <w:jc w:val="center"/>
        <w:rPr>
          <w:rFonts w:hint="eastAsia" w:ascii="宋体" w:hAnsi="宋体" w:eastAsia="宋体" w:cs="宋体"/>
          <w:b/>
          <w:bCs/>
          <w:color w:val="auto"/>
          <w:sz w:val="72"/>
          <w:szCs w:val="72"/>
        </w:rPr>
      </w:pPr>
      <w:r>
        <w:rPr>
          <w:rFonts w:hint="eastAsia" w:ascii="宋体" w:hAnsi="宋体" w:eastAsia="宋体" w:cs="宋体"/>
          <w:b/>
          <w:bCs/>
          <w:color w:val="auto"/>
          <w:sz w:val="72"/>
          <w:szCs w:val="72"/>
        </w:rPr>
        <w:t>投标文件</w:t>
      </w:r>
    </w:p>
    <w:p w14:paraId="2B89D3FA">
      <w:pPr>
        <w:spacing w:line="380" w:lineRule="exact"/>
        <w:rPr>
          <w:rFonts w:hint="eastAsia" w:ascii="宋体" w:hAnsi="宋体" w:eastAsia="宋体" w:cs="宋体"/>
          <w:color w:val="auto"/>
          <w:sz w:val="24"/>
        </w:rPr>
      </w:pPr>
    </w:p>
    <w:p w14:paraId="2B89D3FB">
      <w:pPr>
        <w:spacing w:line="380" w:lineRule="exact"/>
        <w:rPr>
          <w:rFonts w:hint="eastAsia" w:ascii="宋体" w:hAnsi="宋体" w:eastAsia="宋体" w:cs="宋体"/>
          <w:color w:val="auto"/>
          <w:sz w:val="24"/>
        </w:rPr>
      </w:pPr>
    </w:p>
    <w:p w14:paraId="2B89D3FC">
      <w:pPr>
        <w:spacing w:line="38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eastAsia="zh-CN"/>
        </w:rPr>
        <w:t>采购编号</w:t>
      </w:r>
      <w:r>
        <w:rPr>
          <w:rFonts w:hint="eastAsia" w:ascii="宋体" w:hAnsi="宋体" w:eastAsia="宋体" w:cs="宋体"/>
          <w:color w:val="auto"/>
          <w:sz w:val="28"/>
          <w:szCs w:val="28"/>
        </w:rPr>
        <w:t>：</w:t>
      </w:r>
    </w:p>
    <w:p w14:paraId="2B89D3FD">
      <w:pPr>
        <w:spacing w:line="380" w:lineRule="exact"/>
        <w:rPr>
          <w:rFonts w:hint="eastAsia" w:ascii="宋体" w:hAnsi="宋体" w:eastAsia="宋体" w:cs="宋体"/>
          <w:color w:val="auto"/>
          <w:sz w:val="24"/>
        </w:rPr>
      </w:pPr>
    </w:p>
    <w:p w14:paraId="2B89D3FE">
      <w:pPr>
        <w:spacing w:line="380" w:lineRule="exact"/>
        <w:rPr>
          <w:rFonts w:hint="eastAsia" w:ascii="宋体" w:hAnsi="宋体" w:eastAsia="宋体" w:cs="宋体"/>
          <w:color w:val="auto"/>
          <w:sz w:val="24"/>
        </w:rPr>
      </w:pPr>
    </w:p>
    <w:p w14:paraId="2B89D3FF">
      <w:pPr>
        <w:spacing w:line="380" w:lineRule="exact"/>
        <w:rPr>
          <w:rFonts w:hint="eastAsia" w:ascii="宋体" w:hAnsi="宋体" w:eastAsia="宋体" w:cs="宋体"/>
          <w:color w:val="auto"/>
          <w:sz w:val="24"/>
        </w:rPr>
      </w:pPr>
    </w:p>
    <w:p w14:paraId="2B89D400">
      <w:pPr>
        <w:spacing w:after="120"/>
        <w:ind w:left="63" w:right="63" w:firstLine="340" w:firstLineChars="100"/>
        <w:rPr>
          <w:rFonts w:hint="eastAsia" w:ascii="宋体" w:hAnsi="宋体" w:eastAsia="宋体" w:cs="宋体"/>
          <w:color w:val="auto"/>
          <w:kern w:val="0"/>
          <w:sz w:val="34"/>
          <w:szCs w:val="20"/>
        </w:rPr>
      </w:pPr>
    </w:p>
    <w:p w14:paraId="2B89D401">
      <w:pPr>
        <w:spacing w:line="380" w:lineRule="exact"/>
        <w:rPr>
          <w:rFonts w:hint="eastAsia" w:ascii="宋体" w:hAnsi="宋体" w:eastAsia="宋体" w:cs="宋体"/>
          <w:color w:val="auto"/>
          <w:sz w:val="24"/>
        </w:rPr>
      </w:pPr>
    </w:p>
    <w:p w14:paraId="2B89D402">
      <w:pPr>
        <w:spacing w:line="480" w:lineRule="auto"/>
        <w:ind w:firstLine="1820" w:firstLineChars="650"/>
        <w:rPr>
          <w:rFonts w:hint="eastAsia" w:ascii="宋体" w:hAnsi="宋体" w:eastAsia="宋体" w:cs="宋体"/>
          <w:color w:val="auto"/>
          <w:sz w:val="28"/>
          <w:szCs w:val="28"/>
        </w:rPr>
      </w:pPr>
      <w:bookmarkStart w:id="4" w:name="_Toc27760_WPSOffice_Level1"/>
      <w:bookmarkStart w:id="5" w:name="_Toc7428_WPSOffice_Level1"/>
      <w:r>
        <w:rPr>
          <w:rFonts w:hint="eastAsia" w:ascii="宋体" w:hAnsi="宋体" w:eastAsia="宋体" w:cs="宋体"/>
          <w:color w:val="auto"/>
          <w:sz w:val="28"/>
          <w:szCs w:val="28"/>
        </w:rPr>
        <w:t>投 标 人：（全称并加盖公章）</w:t>
      </w:r>
      <w:bookmarkEnd w:id="4"/>
      <w:bookmarkEnd w:id="5"/>
    </w:p>
    <w:p w14:paraId="2B89D403">
      <w:pPr>
        <w:spacing w:line="480" w:lineRule="auto"/>
        <w:ind w:firstLine="1540" w:firstLineChars="550"/>
        <w:rPr>
          <w:rFonts w:hint="eastAsia" w:ascii="宋体" w:hAnsi="宋体" w:eastAsia="宋体" w:cs="宋体"/>
          <w:b/>
          <w:bCs/>
          <w:color w:val="auto"/>
          <w:sz w:val="28"/>
          <w:szCs w:val="28"/>
        </w:rPr>
      </w:pPr>
      <w:bookmarkStart w:id="6" w:name="_Toc4840_WPSOffice_Level1"/>
      <w:bookmarkStart w:id="7" w:name="_Toc28157_WPSOffice_Level1"/>
      <w:r>
        <w:rPr>
          <w:rFonts w:hint="eastAsia" w:ascii="宋体" w:hAnsi="宋体" w:eastAsia="宋体" w:cs="宋体"/>
          <w:color w:val="auto"/>
          <w:sz w:val="28"/>
          <w:szCs w:val="28"/>
        </w:rPr>
        <w:t>法定代表人或委托代理人（签字）：</w:t>
      </w:r>
      <w:bookmarkEnd w:id="6"/>
      <w:bookmarkEnd w:id="7"/>
    </w:p>
    <w:p w14:paraId="2B89D404">
      <w:pPr>
        <w:spacing w:line="480" w:lineRule="auto"/>
        <w:ind w:firstLine="1820" w:firstLineChars="650"/>
        <w:rPr>
          <w:rFonts w:hint="eastAsia" w:ascii="宋体" w:hAnsi="宋体" w:eastAsia="宋体" w:cs="宋体"/>
          <w:color w:val="auto"/>
          <w:sz w:val="28"/>
          <w:szCs w:val="28"/>
        </w:rPr>
      </w:pPr>
      <w:bookmarkStart w:id="8" w:name="_Toc15640_WPSOffice_Level1"/>
      <w:bookmarkStart w:id="9" w:name="_Toc2311_WPSOffice_Level1"/>
      <w:r>
        <w:rPr>
          <w:rFonts w:hint="eastAsia" w:ascii="宋体" w:hAnsi="宋体" w:eastAsia="宋体" w:cs="宋体"/>
          <w:color w:val="auto"/>
          <w:sz w:val="28"/>
          <w:szCs w:val="28"/>
        </w:rPr>
        <w:t>日    期：年 月 日</w:t>
      </w:r>
      <w:bookmarkEnd w:id="8"/>
      <w:bookmarkEnd w:id="9"/>
    </w:p>
    <w:p w14:paraId="59B1A924">
      <w:pPr>
        <w:pStyle w:val="7"/>
        <w:rPr>
          <w:rFonts w:hint="eastAsia" w:ascii="宋体" w:hAnsi="宋体" w:eastAsia="宋体" w:cs="宋体"/>
          <w:color w:val="auto"/>
          <w:lang w:val="zh-CN"/>
        </w:rPr>
      </w:pPr>
    </w:p>
    <w:p w14:paraId="42BBF310">
      <w:pPr>
        <w:pStyle w:val="7"/>
        <w:rPr>
          <w:rFonts w:hint="eastAsia" w:ascii="宋体" w:hAnsi="宋体" w:eastAsia="宋体" w:cs="宋体"/>
          <w:color w:val="auto"/>
          <w:lang w:val="zh-CN"/>
        </w:rPr>
      </w:pPr>
    </w:p>
    <w:p w14:paraId="508D2318">
      <w:pPr>
        <w:pStyle w:val="7"/>
        <w:rPr>
          <w:rFonts w:hint="eastAsia" w:ascii="宋体" w:hAnsi="宋体" w:eastAsia="宋体" w:cs="宋体"/>
          <w:color w:val="auto"/>
          <w:lang w:val="zh-CN"/>
        </w:rPr>
      </w:pPr>
    </w:p>
    <w:p w14:paraId="4799E4E9">
      <w:pPr>
        <w:pStyle w:val="34"/>
        <w:numPr>
          <w:ilvl w:val="0"/>
          <w:numId w:val="0"/>
        </w:numPr>
        <w:tabs>
          <w:tab w:val="left" w:pos="660"/>
        </w:tabs>
        <w:snapToGrid w:val="0"/>
        <w:spacing w:before="0" w:line="400" w:lineRule="exact"/>
        <w:jc w:val="center"/>
        <w:rPr>
          <w:rFonts w:hint="eastAsia" w:ascii="宋体" w:hAnsi="宋体" w:eastAsia="宋体" w:cs="宋体"/>
          <w:color w:val="auto"/>
          <w:kern w:val="2"/>
          <w:sz w:val="28"/>
          <w:szCs w:val="28"/>
          <w:lang w:val="zh-CN"/>
        </w:rPr>
      </w:pPr>
      <w:r>
        <w:rPr>
          <w:rFonts w:hint="eastAsia" w:ascii="宋体" w:hAnsi="宋体" w:eastAsia="宋体" w:cs="宋体"/>
          <w:color w:val="auto"/>
          <w:kern w:val="2"/>
          <w:sz w:val="28"/>
          <w:szCs w:val="28"/>
          <w:lang w:val="zh-CN"/>
        </w:rPr>
        <w:t>一、供应商应答索引表</w:t>
      </w:r>
    </w:p>
    <w:tbl>
      <w:tblPr>
        <w:tblStyle w:val="18"/>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33712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7BC21BE6">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3751" w:type="dxa"/>
            <w:vAlign w:val="center"/>
          </w:tcPr>
          <w:p w14:paraId="7AE968BC">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项  目</w:t>
            </w:r>
          </w:p>
        </w:tc>
        <w:tc>
          <w:tcPr>
            <w:tcW w:w="1559" w:type="dxa"/>
            <w:vAlign w:val="center"/>
          </w:tcPr>
          <w:p w14:paraId="3D2FD7B4">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投标人应答</w:t>
            </w:r>
          </w:p>
          <w:p w14:paraId="1568B5C7">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（有/没有）</w:t>
            </w:r>
          </w:p>
        </w:tc>
        <w:tc>
          <w:tcPr>
            <w:tcW w:w="1560" w:type="dxa"/>
            <w:vAlign w:val="center"/>
          </w:tcPr>
          <w:p w14:paraId="7F29B82C">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投标文件中所在页码</w:t>
            </w:r>
          </w:p>
        </w:tc>
        <w:tc>
          <w:tcPr>
            <w:tcW w:w="2018" w:type="dxa"/>
            <w:vAlign w:val="center"/>
          </w:tcPr>
          <w:p w14:paraId="54D247F7">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备注说明</w:t>
            </w:r>
          </w:p>
        </w:tc>
      </w:tr>
      <w:tr w14:paraId="515FD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4FD5159">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w:t>
            </w:r>
          </w:p>
        </w:tc>
        <w:tc>
          <w:tcPr>
            <w:tcW w:w="3751" w:type="dxa"/>
            <w:vAlign w:val="center"/>
          </w:tcPr>
          <w:p w14:paraId="7268834B">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投标人应答索引表</w:t>
            </w:r>
          </w:p>
        </w:tc>
        <w:tc>
          <w:tcPr>
            <w:tcW w:w="1559" w:type="dxa"/>
            <w:vAlign w:val="center"/>
          </w:tcPr>
          <w:p w14:paraId="09F98BD8">
            <w:pPr>
              <w:snapToGrid w:val="0"/>
              <w:spacing w:line="400" w:lineRule="exact"/>
              <w:jc w:val="center"/>
              <w:rPr>
                <w:rFonts w:hint="eastAsia" w:ascii="宋体" w:hAnsi="宋体" w:eastAsia="宋体" w:cs="宋体"/>
                <w:color w:val="auto"/>
                <w:szCs w:val="21"/>
              </w:rPr>
            </w:pPr>
          </w:p>
        </w:tc>
        <w:tc>
          <w:tcPr>
            <w:tcW w:w="1560" w:type="dxa"/>
            <w:vAlign w:val="center"/>
          </w:tcPr>
          <w:p w14:paraId="26D9B498">
            <w:pPr>
              <w:snapToGrid w:val="0"/>
              <w:spacing w:line="400" w:lineRule="exact"/>
              <w:rPr>
                <w:rFonts w:hint="eastAsia" w:ascii="宋体" w:hAnsi="宋体" w:eastAsia="宋体" w:cs="宋体"/>
                <w:color w:val="auto"/>
                <w:szCs w:val="21"/>
              </w:rPr>
            </w:pPr>
          </w:p>
        </w:tc>
        <w:tc>
          <w:tcPr>
            <w:tcW w:w="2018" w:type="dxa"/>
            <w:vAlign w:val="center"/>
          </w:tcPr>
          <w:p w14:paraId="37934ABD">
            <w:pPr>
              <w:snapToGrid w:val="0"/>
              <w:spacing w:line="400" w:lineRule="exact"/>
              <w:rPr>
                <w:rFonts w:hint="eastAsia" w:ascii="宋体" w:hAnsi="宋体" w:eastAsia="宋体" w:cs="宋体"/>
                <w:color w:val="auto"/>
                <w:szCs w:val="21"/>
              </w:rPr>
            </w:pPr>
          </w:p>
        </w:tc>
      </w:tr>
      <w:tr w14:paraId="32F29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684707B">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2</w:t>
            </w:r>
          </w:p>
        </w:tc>
        <w:tc>
          <w:tcPr>
            <w:tcW w:w="3751" w:type="dxa"/>
            <w:vAlign w:val="center"/>
          </w:tcPr>
          <w:p w14:paraId="1A1D3D90">
            <w:pPr>
              <w:pStyle w:val="9"/>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开标一览表</w:t>
            </w:r>
          </w:p>
        </w:tc>
        <w:tc>
          <w:tcPr>
            <w:tcW w:w="1559" w:type="dxa"/>
            <w:vAlign w:val="center"/>
          </w:tcPr>
          <w:p w14:paraId="0F9A38D9">
            <w:pPr>
              <w:snapToGrid w:val="0"/>
              <w:spacing w:line="400" w:lineRule="exact"/>
              <w:jc w:val="center"/>
              <w:rPr>
                <w:rFonts w:hint="eastAsia" w:ascii="宋体" w:hAnsi="宋体" w:eastAsia="宋体" w:cs="宋体"/>
                <w:color w:val="auto"/>
                <w:szCs w:val="21"/>
              </w:rPr>
            </w:pPr>
          </w:p>
        </w:tc>
        <w:tc>
          <w:tcPr>
            <w:tcW w:w="1560" w:type="dxa"/>
            <w:vAlign w:val="center"/>
          </w:tcPr>
          <w:p w14:paraId="273EAF49">
            <w:pPr>
              <w:snapToGrid w:val="0"/>
              <w:spacing w:line="400" w:lineRule="exact"/>
              <w:rPr>
                <w:rFonts w:hint="eastAsia" w:ascii="宋体" w:hAnsi="宋体" w:eastAsia="宋体" w:cs="宋体"/>
                <w:color w:val="auto"/>
                <w:szCs w:val="21"/>
              </w:rPr>
            </w:pPr>
          </w:p>
        </w:tc>
        <w:tc>
          <w:tcPr>
            <w:tcW w:w="2018" w:type="dxa"/>
            <w:vAlign w:val="center"/>
          </w:tcPr>
          <w:p w14:paraId="4420FFB3">
            <w:pPr>
              <w:snapToGrid w:val="0"/>
              <w:spacing w:line="400" w:lineRule="exact"/>
              <w:rPr>
                <w:rFonts w:hint="eastAsia" w:ascii="宋体" w:hAnsi="宋体" w:eastAsia="宋体" w:cs="宋体"/>
                <w:color w:val="auto"/>
                <w:szCs w:val="21"/>
              </w:rPr>
            </w:pPr>
          </w:p>
        </w:tc>
      </w:tr>
      <w:tr w14:paraId="03693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A36719A">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3</w:t>
            </w:r>
          </w:p>
        </w:tc>
        <w:tc>
          <w:tcPr>
            <w:tcW w:w="3751" w:type="dxa"/>
            <w:vAlign w:val="center"/>
          </w:tcPr>
          <w:p w14:paraId="31A13A61">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投标函</w:t>
            </w:r>
          </w:p>
        </w:tc>
        <w:tc>
          <w:tcPr>
            <w:tcW w:w="1559" w:type="dxa"/>
            <w:vAlign w:val="center"/>
          </w:tcPr>
          <w:p w14:paraId="3B9F3E9A">
            <w:pPr>
              <w:snapToGrid w:val="0"/>
              <w:spacing w:line="400" w:lineRule="exact"/>
              <w:jc w:val="center"/>
              <w:rPr>
                <w:rFonts w:hint="eastAsia" w:ascii="宋体" w:hAnsi="宋体" w:eastAsia="宋体" w:cs="宋体"/>
                <w:color w:val="auto"/>
                <w:szCs w:val="21"/>
              </w:rPr>
            </w:pPr>
          </w:p>
        </w:tc>
        <w:tc>
          <w:tcPr>
            <w:tcW w:w="1560" w:type="dxa"/>
            <w:vAlign w:val="center"/>
          </w:tcPr>
          <w:p w14:paraId="5D0743FE">
            <w:pPr>
              <w:snapToGrid w:val="0"/>
              <w:spacing w:line="400" w:lineRule="exact"/>
              <w:rPr>
                <w:rFonts w:hint="eastAsia" w:ascii="宋体" w:hAnsi="宋体" w:eastAsia="宋体" w:cs="宋体"/>
                <w:color w:val="auto"/>
                <w:szCs w:val="21"/>
              </w:rPr>
            </w:pPr>
          </w:p>
        </w:tc>
        <w:tc>
          <w:tcPr>
            <w:tcW w:w="2018" w:type="dxa"/>
            <w:vAlign w:val="center"/>
          </w:tcPr>
          <w:p w14:paraId="7C910C62">
            <w:pPr>
              <w:snapToGrid w:val="0"/>
              <w:spacing w:line="400" w:lineRule="exact"/>
              <w:rPr>
                <w:rFonts w:hint="eastAsia" w:ascii="宋体" w:hAnsi="宋体" w:eastAsia="宋体" w:cs="宋体"/>
                <w:color w:val="auto"/>
                <w:szCs w:val="21"/>
              </w:rPr>
            </w:pPr>
          </w:p>
        </w:tc>
      </w:tr>
      <w:tr w14:paraId="4B7DA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DA73F73">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4</w:t>
            </w:r>
          </w:p>
        </w:tc>
        <w:tc>
          <w:tcPr>
            <w:tcW w:w="3751" w:type="dxa"/>
            <w:vAlign w:val="center"/>
          </w:tcPr>
          <w:p w14:paraId="459C6D04">
            <w:pPr>
              <w:pStyle w:val="9"/>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bCs/>
                <w:color w:val="auto"/>
                <w:sz w:val="21"/>
                <w:szCs w:val="21"/>
                <w:lang w:val="zh-CN"/>
              </w:rPr>
              <w:t>法定代表人（单位负责人）资格证明书</w:t>
            </w:r>
          </w:p>
        </w:tc>
        <w:tc>
          <w:tcPr>
            <w:tcW w:w="1559" w:type="dxa"/>
            <w:vAlign w:val="center"/>
          </w:tcPr>
          <w:p w14:paraId="29603AB9">
            <w:pPr>
              <w:snapToGrid w:val="0"/>
              <w:spacing w:line="400" w:lineRule="exact"/>
              <w:jc w:val="center"/>
              <w:rPr>
                <w:rFonts w:hint="eastAsia" w:ascii="宋体" w:hAnsi="宋体" w:eastAsia="宋体" w:cs="宋体"/>
                <w:color w:val="auto"/>
                <w:szCs w:val="21"/>
              </w:rPr>
            </w:pPr>
          </w:p>
        </w:tc>
        <w:tc>
          <w:tcPr>
            <w:tcW w:w="1560" w:type="dxa"/>
            <w:vAlign w:val="center"/>
          </w:tcPr>
          <w:p w14:paraId="7D85BC81">
            <w:pPr>
              <w:snapToGrid w:val="0"/>
              <w:spacing w:line="400" w:lineRule="exact"/>
              <w:rPr>
                <w:rFonts w:hint="eastAsia" w:ascii="宋体" w:hAnsi="宋体" w:eastAsia="宋体" w:cs="宋体"/>
                <w:color w:val="auto"/>
                <w:szCs w:val="21"/>
              </w:rPr>
            </w:pPr>
          </w:p>
        </w:tc>
        <w:tc>
          <w:tcPr>
            <w:tcW w:w="2018" w:type="dxa"/>
            <w:vAlign w:val="center"/>
          </w:tcPr>
          <w:p w14:paraId="21CC2EFC">
            <w:pPr>
              <w:snapToGrid w:val="0"/>
              <w:spacing w:line="400" w:lineRule="exact"/>
              <w:rPr>
                <w:rFonts w:hint="eastAsia" w:ascii="宋体" w:hAnsi="宋体" w:eastAsia="宋体" w:cs="宋体"/>
                <w:color w:val="auto"/>
                <w:szCs w:val="21"/>
              </w:rPr>
            </w:pPr>
          </w:p>
        </w:tc>
      </w:tr>
      <w:tr w14:paraId="14830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85E7032">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5</w:t>
            </w:r>
          </w:p>
        </w:tc>
        <w:tc>
          <w:tcPr>
            <w:tcW w:w="3751" w:type="dxa"/>
            <w:vAlign w:val="center"/>
          </w:tcPr>
          <w:p w14:paraId="3CC9FD09">
            <w:pPr>
              <w:pStyle w:val="9"/>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法定代表人（单位负责人）授权书</w:t>
            </w:r>
          </w:p>
        </w:tc>
        <w:tc>
          <w:tcPr>
            <w:tcW w:w="1559" w:type="dxa"/>
            <w:vAlign w:val="center"/>
          </w:tcPr>
          <w:p w14:paraId="7049A617">
            <w:pPr>
              <w:snapToGrid w:val="0"/>
              <w:spacing w:line="400" w:lineRule="exact"/>
              <w:jc w:val="center"/>
              <w:rPr>
                <w:rFonts w:hint="eastAsia" w:ascii="宋体" w:hAnsi="宋体" w:eastAsia="宋体" w:cs="宋体"/>
                <w:color w:val="auto"/>
                <w:szCs w:val="21"/>
              </w:rPr>
            </w:pPr>
          </w:p>
        </w:tc>
        <w:tc>
          <w:tcPr>
            <w:tcW w:w="1560" w:type="dxa"/>
            <w:vAlign w:val="center"/>
          </w:tcPr>
          <w:p w14:paraId="20A631FC">
            <w:pPr>
              <w:snapToGrid w:val="0"/>
              <w:spacing w:line="400" w:lineRule="exact"/>
              <w:rPr>
                <w:rFonts w:hint="eastAsia" w:ascii="宋体" w:hAnsi="宋体" w:eastAsia="宋体" w:cs="宋体"/>
                <w:color w:val="auto"/>
                <w:szCs w:val="21"/>
              </w:rPr>
            </w:pPr>
          </w:p>
        </w:tc>
        <w:tc>
          <w:tcPr>
            <w:tcW w:w="2018" w:type="dxa"/>
            <w:vAlign w:val="center"/>
          </w:tcPr>
          <w:p w14:paraId="04BF901C">
            <w:pPr>
              <w:snapToGrid w:val="0"/>
              <w:spacing w:line="400" w:lineRule="exact"/>
              <w:rPr>
                <w:rFonts w:hint="eastAsia" w:ascii="宋体" w:hAnsi="宋体" w:eastAsia="宋体" w:cs="宋体"/>
                <w:color w:val="auto"/>
                <w:szCs w:val="21"/>
              </w:rPr>
            </w:pPr>
          </w:p>
        </w:tc>
      </w:tr>
      <w:tr w14:paraId="2F6E4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2F5F675">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6</w:t>
            </w:r>
          </w:p>
        </w:tc>
        <w:tc>
          <w:tcPr>
            <w:tcW w:w="3751" w:type="dxa"/>
            <w:vAlign w:val="center"/>
          </w:tcPr>
          <w:p w14:paraId="6A9F87B3">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sz w:val="21"/>
                <w:szCs w:val="21"/>
                <w:lang w:val="zh-CN"/>
              </w:rPr>
              <w:t>投标承诺函</w:t>
            </w:r>
          </w:p>
        </w:tc>
        <w:tc>
          <w:tcPr>
            <w:tcW w:w="1559" w:type="dxa"/>
            <w:vAlign w:val="center"/>
          </w:tcPr>
          <w:p w14:paraId="35B86FE9">
            <w:pPr>
              <w:snapToGrid w:val="0"/>
              <w:spacing w:line="400" w:lineRule="exact"/>
              <w:jc w:val="center"/>
              <w:rPr>
                <w:rFonts w:hint="eastAsia" w:ascii="宋体" w:hAnsi="宋体" w:eastAsia="宋体" w:cs="宋体"/>
                <w:color w:val="auto"/>
                <w:szCs w:val="21"/>
              </w:rPr>
            </w:pPr>
          </w:p>
        </w:tc>
        <w:tc>
          <w:tcPr>
            <w:tcW w:w="1560" w:type="dxa"/>
            <w:vAlign w:val="center"/>
          </w:tcPr>
          <w:p w14:paraId="4177D257">
            <w:pPr>
              <w:snapToGrid w:val="0"/>
              <w:spacing w:line="400" w:lineRule="exact"/>
              <w:rPr>
                <w:rFonts w:hint="eastAsia" w:ascii="宋体" w:hAnsi="宋体" w:eastAsia="宋体" w:cs="宋体"/>
                <w:color w:val="auto"/>
                <w:szCs w:val="21"/>
              </w:rPr>
            </w:pPr>
          </w:p>
        </w:tc>
        <w:tc>
          <w:tcPr>
            <w:tcW w:w="2018" w:type="dxa"/>
            <w:vAlign w:val="center"/>
          </w:tcPr>
          <w:p w14:paraId="5F199335">
            <w:pPr>
              <w:snapToGrid w:val="0"/>
              <w:spacing w:line="400" w:lineRule="exact"/>
              <w:rPr>
                <w:rFonts w:hint="eastAsia" w:ascii="宋体" w:hAnsi="宋体" w:eastAsia="宋体" w:cs="宋体"/>
                <w:color w:val="auto"/>
                <w:szCs w:val="21"/>
              </w:rPr>
            </w:pPr>
          </w:p>
        </w:tc>
      </w:tr>
      <w:tr w14:paraId="3F4B5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1894B8B">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7</w:t>
            </w:r>
          </w:p>
        </w:tc>
        <w:tc>
          <w:tcPr>
            <w:tcW w:w="3751" w:type="dxa"/>
            <w:vAlign w:val="center"/>
          </w:tcPr>
          <w:p w14:paraId="7390B9A5">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禹州市政府采购供应商信用承诺函</w:t>
            </w:r>
          </w:p>
        </w:tc>
        <w:tc>
          <w:tcPr>
            <w:tcW w:w="1559" w:type="dxa"/>
            <w:vAlign w:val="center"/>
          </w:tcPr>
          <w:p w14:paraId="4160953F">
            <w:pPr>
              <w:jc w:val="center"/>
              <w:rPr>
                <w:rFonts w:hint="eastAsia" w:ascii="宋体" w:hAnsi="宋体" w:eastAsia="宋体" w:cs="宋体"/>
                <w:color w:val="auto"/>
                <w:szCs w:val="21"/>
              </w:rPr>
            </w:pPr>
          </w:p>
        </w:tc>
        <w:tc>
          <w:tcPr>
            <w:tcW w:w="1560" w:type="dxa"/>
            <w:vAlign w:val="center"/>
          </w:tcPr>
          <w:p w14:paraId="005BDB37">
            <w:pPr>
              <w:snapToGrid w:val="0"/>
              <w:spacing w:line="400" w:lineRule="exact"/>
              <w:rPr>
                <w:rFonts w:hint="eastAsia" w:ascii="宋体" w:hAnsi="宋体" w:eastAsia="宋体" w:cs="宋体"/>
                <w:color w:val="auto"/>
                <w:szCs w:val="21"/>
              </w:rPr>
            </w:pPr>
          </w:p>
        </w:tc>
        <w:tc>
          <w:tcPr>
            <w:tcW w:w="2018" w:type="dxa"/>
            <w:vAlign w:val="center"/>
          </w:tcPr>
          <w:p w14:paraId="31CBA02B">
            <w:pPr>
              <w:snapToGrid w:val="0"/>
              <w:spacing w:line="400" w:lineRule="exact"/>
              <w:rPr>
                <w:rFonts w:hint="eastAsia" w:ascii="宋体" w:hAnsi="宋体" w:eastAsia="宋体" w:cs="宋体"/>
                <w:color w:val="auto"/>
                <w:szCs w:val="21"/>
              </w:rPr>
            </w:pPr>
          </w:p>
        </w:tc>
      </w:tr>
      <w:tr w14:paraId="6FB0A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87A9A3B">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8</w:t>
            </w:r>
          </w:p>
        </w:tc>
        <w:tc>
          <w:tcPr>
            <w:tcW w:w="3751" w:type="dxa"/>
            <w:vAlign w:val="center"/>
          </w:tcPr>
          <w:p w14:paraId="0EFEB45D">
            <w:pPr>
              <w:pStyle w:val="9"/>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联合体协议</w:t>
            </w:r>
          </w:p>
        </w:tc>
        <w:tc>
          <w:tcPr>
            <w:tcW w:w="1559" w:type="dxa"/>
            <w:vAlign w:val="center"/>
          </w:tcPr>
          <w:p w14:paraId="0D72C028">
            <w:pPr>
              <w:jc w:val="center"/>
              <w:rPr>
                <w:rFonts w:hint="eastAsia" w:ascii="宋体" w:hAnsi="宋体" w:eastAsia="宋体" w:cs="宋体"/>
                <w:color w:val="auto"/>
                <w:szCs w:val="21"/>
              </w:rPr>
            </w:pPr>
          </w:p>
        </w:tc>
        <w:tc>
          <w:tcPr>
            <w:tcW w:w="1560" w:type="dxa"/>
            <w:vAlign w:val="center"/>
          </w:tcPr>
          <w:p w14:paraId="3BBCD1BC">
            <w:pPr>
              <w:snapToGrid w:val="0"/>
              <w:spacing w:line="400" w:lineRule="exact"/>
              <w:rPr>
                <w:rFonts w:hint="eastAsia" w:ascii="宋体" w:hAnsi="宋体" w:eastAsia="宋体" w:cs="宋体"/>
                <w:color w:val="auto"/>
                <w:szCs w:val="21"/>
              </w:rPr>
            </w:pPr>
          </w:p>
        </w:tc>
        <w:tc>
          <w:tcPr>
            <w:tcW w:w="2018" w:type="dxa"/>
            <w:vAlign w:val="center"/>
          </w:tcPr>
          <w:p w14:paraId="70715BA9">
            <w:pPr>
              <w:snapToGrid w:val="0"/>
              <w:spacing w:line="400" w:lineRule="exact"/>
              <w:rPr>
                <w:rFonts w:hint="eastAsia" w:ascii="宋体" w:hAnsi="宋体" w:eastAsia="宋体" w:cs="宋体"/>
                <w:color w:val="auto"/>
                <w:szCs w:val="21"/>
              </w:rPr>
            </w:pPr>
          </w:p>
        </w:tc>
      </w:tr>
      <w:tr w14:paraId="436A2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93E7D26">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9</w:t>
            </w:r>
          </w:p>
        </w:tc>
        <w:tc>
          <w:tcPr>
            <w:tcW w:w="3751" w:type="dxa"/>
            <w:vAlign w:val="center"/>
          </w:tcPr>
          <w:p w14:paraId="0C81041C">
            <w:pPr>
              <w:pStyle w:val="9"/>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投标人与参加本项目投标的其他供应商之间，单位负责人不为同一人并且不存在直接控股、管理关系承诺函</w:t>
            </w:r>
          </w:p>
        </w:tc>
        <w:tc>
          <w:tcPr>
            <w:tcW w:w="1559" w:type="dxa"/>
            <w:vAlign w:val="center"/>
          </w:tcPr>
          <w:p w14:paraId="15D71702">
            <w:pPr>
              <w:jc w:val="center"/>
              <w:rPr>
                <w:rFonts w:hint="eastAsia" w:ascii="宋体" w:hAnsi="宋体" w:eastAsia="宋体" w:cs="宋体"/>
                <w:color w:val="auto"/>
                <w:szCs w:val="21"/>
              </w:rPr>
            </w:pPr>
          </w:p>
        </w:tc>
        <w:tc>
          <w:tcPr>
            <w:tcW w:w="1560" w:type="dxa"/>
            <w:vAlign w:val="center"/>
          </w:tcPr>
          <w:p w14:paraId="1DE6A0A8">
            <w:pPr>
              <w:snapToGrid w:val="0"/>
              <w:spacing w:line="400" w:lineRule="exact"/>
              <w:rPr>
                <w:rFonts w:hint="eastAsia" w:ascii="宋体" w:hAnsi="宋体" w:eastAsia="宋体" w:cs="宋体"/>
                <w:color w:val="auto"/>
                <w:szCs w:val="21"/>
              </w:rPr>
            </w:pPr>
          </w:p>
        </w:tc>
        <w:tc>
          <w:tcPr>
            <w:tcW w:w="2018" w:type="dxa"/>
            <w:vAlign w:val="center"/>
          </w:tcPr>
          <w:p w14:paraId="5FFA3C52">
            <w:pPr>
              <w:snapToGrid w:val="0"/>
              <w:spacing w:line="400" w:lineRule="exact"/>
              <w:rPr>
                <w:rFonts w:hint="eastAsia" w:ascii="宋体" w:hAnsi="宋体" w:eastAsia="宋体" w:cs="宋体"/>
                <w:color w:val="auto"/>
                <w:szCs w:val="21"/>
              </w:rPr>
            </w:pPr>
          </w:p>
        </w:tc>
      </w:tr>
      <w:tr w14:paraId="50029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479A306">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10</w:t>
            </w:r>
          </w:p>
        </w:tc>
        <w:tc>
          <w:tcPr>
            <w:tcW w:w="3751" w:type="dxa"/>
            <w:vAlign w:val="center"/>
          </w:tcPr>
          <w:p w14:paraId="71270909">
            <w:pPr>
              <w:pStyle w:val="9"/>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color w:val="auto"/>
                <w:sz w:val="21"/>
                <w:szCs w:val="21"/>
                <w:lang w:val="zh-CN"/>
              </w:rPr>
              <w:t>投标人未为本项目提供整体设计、规范编制或者项目管理、监理、检测等服务承诺函</w:t>
            </w:r>
          </w:p>
        </w:tc>
        <w:tc>
          <w:tcPr>
            <w:tcW w:w="1559" w:type="dxa"/>
            <w:vAlign w:val="center"/>
          </w:tcPr>
          <w:p w14:paraId="28DE6F7E">
            <w:pPr>
              <w:jc w:val="center"/>
              <w:rPr>
                <w:rFonts w:hint="eastAsia" w:ascii="宋体" w:hAnsi="宋体" w:eastAsia="宋体" w:cs="宋体"/>
                <w:color w:val="auto"/>
                <w:szCs w:val="21"/>
              </w:rPr>
            </w:pPr>
          </w:p>
        </w:tc>
        <w:tc>
          <w:tcPr>
            <w:tcW w:w="1560" w:type="dxa"/>
            <w:vAlign w:val="center"/>
          </w:tcPr>
          <w:p w14:paraId="4613BB74">
            <w:pPr>
              <w:snapToGrid w:val="0"/>
              <w:spacing w:line="400" w:lineRule="exact"/>
              <w:rPr>
                <w:rFonts w:hint="eastAsia" w:ascii="宋体" w:hAnsi="宋体" w:eastAsia="宋体" w:cs="宋体"/>
                <w:color w:val="auto"/>
                <w:szCs w:val="21"/>
              </w:rPr>
            </w:pPr>
          </w:p>
        </w:tc>
        <w:tc>
          <w:tcPr>
            <w:tcW w:w="2018" w:type="dxa"/>
            <w:vAlign w:val="center"/>
          </w:tcPr>
          <w:p w14:paraId="5CA187B0">
            <w:pPr>
              <w:snapToGrid w:val="0"/>
              <w:spacing w:line="400" w:lineRule="exact"/>
              <w:rPr>
                <w:rFonts w:hint="eastAsia" w:ascii="宋体" w:hAnsi="宋体" w:eastAsia="宋体" w:cs="宋体"/>
                <w:color w:val="auto"/>
                <w:szCs w:val="21"/>
              </w:rPr>
            </w:pPr>
          </w:p>
        </w:tc>
      </w:tr>
      <w:tr w14:paraId="56CDB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69364AD">
            <w:pPr>
              <w:adjustRightInd w:val="0"/>
              <w:snapToGrid w:val="0"/>
              <w:spacing w:line="400" w:lineRule="exact"/>
              <w:jc w:val="center"/>
              <w:textAlignment w:val="baseline"/>
              <w:rPr>
                <w:rFonts w:hint="eastAsia" w:ascii="宋体" w:hAnsi="宋体" w:eastAsia="宋体" w:cs="宋体"/>
                <w:color w:val="auto"/>
                <w:szCs w:val="21"/>
                <w:lang w:val="zh-CN"/>
              </w:rPr>
            </w:pPr>
            <w:r>
              <w:rPr>
                <w:rFonts w:hint="eastAsia" w:ascii="宋体" w:hAnsi="宋体" w:eastAsia="宋体" w:cs="宋体"/>
                <w:color w:val="auto"/>
                <w:szCs w:val="21"/>
              </w:rPr>
              <w:t>11</w:t>
            </w:r>
          </w:p>
        </w:tc>
        <w:tc>
          <w:tcPr>
            <w:tcW w:w="3751" w:type="dxa"/>
            <w:vAlign w:val="center"/>
          </w:tcPr>
          <w:p w14:paraId="7F9DDCBC">
            <w:pPr>
              <w:pStyle w:val="9"/>
              <w:kinsoku w:val="0"/>
              <w:overflowPunct w:val="0"/>
              <w:autoSpaceDE w:val="0"/>
              <w:autoSpaceDN w:val="0"/>
              <w:spacing w:line="320" w:lineRule="exac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分项报价表</w:t>
            </w:r>
          </w:p>
        </w:tc>
        <w:tc>
          <w:tcPr>
            <w:tcW w:w="1559" w:type="dxa"/>
            <w:vAlign w:val="center"/>
          </w:tcPr>
          <w:p w14:paraId="082DF5EB">
            <w:pPr>
              <w:jc w:val="center"/>
              <w:rPr>
                <w:rFonts w:hint="eastAsia" w:ascii="宋体" w:hAnsi="宋体" w:eastAsia="宋体" w:cs="宋体"/>
                <w:color w:val="auto"/>
                <w:szCs w:val="21"/>
              </w:rPr>
            </w:pPr>
          </w:p>
        </w:tc>
        <w:tc>
          <w:tcPr>
            <w:tcW w:w="1560" w:type="dxa"/>
            <w:vAlign w:val="center"/>
          </w:tcPr>
          <w:p w14:paraId="315129D9">
            <w:pPr>
              <w:snapToGrid w:val="0"/>
              <w:spacing w:line="400" w:lineRule="exact"/>
              <w:rPr>
                <w:rFonts w:hint="eastAsia" w:ascii="宋体" w:hAnsi="宋体" w:eastAsia="宋体" w:cs="宋体"/>
                <w:color w:val="auto"/>
                <w:szCs w:val="21"/>
              </w:rPr>
            </w:pPr>
          </w:p>
        </w:tc>
        <w:tc>
          <w:tcPr>
            <w:tcW w:w="2018" w:type="dxa"/>
            <w:vAlign w:val="center"/>
          </w:tcPr>
          <w:p w14:paraId="7DA93EAB">
            <w:pPr>
              <w:snapToGrid w:val="0"/>
              <w:spacing w:line="400" w:lineRule="exact"/>
              <w:rPr>
                <w:rFonts w:hint="eastAsia" w:ascii="宋体" w:hAnsi="宋体" w:eastAsia="宋体" w:cs="宋体"/>
                <w:color w:val="auto"/>
                <w:szCs w:val="21"/>
              </w:rPr>
            </w:pPr>
          </w:p>
        </w:tc>
      </w:tr>
      <w:tr w14:paraId="2B89D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50">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12</w:t>
            </w:r>
          </w:p>
        </w:tc>
        <w:tc>
          <w:tcPr>
            <w:tcW w:w="3751" w:type="dxa"/>
            <w:vAlign w:val="center"/>
          </w:tcPr>
          <w:p w14:paraId="2B89D451">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技术规格偏离表</w:t>
            </w:r>
          </w:p>
        </w:tc>
        <w:tc>
          <w:tcPr>
            <w:tcW w:w="1559" w:type="dxa"/>
            <w:vAlign w:val="center"/>
          </w:tcPr>
          <w:p w14:paraId="2B89D452">
            <w:pPr>
              <w:jc w:val="center"/>
              <w:rPr>
                <w:rFonts w:hint="eastAsia" w:ascii="宋体" w:hAnsi="宋体" w:eastAsia="宋体" w:cs="宋体"/>
                <w:color w:val="auto"/>
                <w:szCs w:val="21"/>
              </w:rPr>
            </w:pPr>
          </w:p>
        </w:tc>
        <w:tc>
          <w:tcPr>
            <w:tcW w:w="1560" w:type="dxa"/>
            <w:vAlign w:val="center"/>
          </w:tcPr>
          <w:p w14:paraId="2B89D453">
            <w:pPr>
              <w:snapToGrid w:val="0"/>
              <w:spacing w:line="400" w:lineRule="exact"/>
              <w:rPr>
                <w:rFonts w:hint="eastAsia" w:ascii="宋体" w:hAnsi="宋体" w:eastAsia="宋体" w:cs="宋体"/>
                <w:color w:val="auto"/>
                <w:szCs w:val="21"/>
              </w:rPr>
            </w:pPr>
          </w:p>
        </w:tc>
        <w:tc>
          <w:tcPr>
            <w:tcW w:w="2018" w:type="dxa"/>
            <w:vAlign w:val="center"/>
          </w:tcPr>
          <w:p w14:paraId="2B89D454">
            <w:pPr>
              <w:snapToGrid w:val="0"/>
              <w:spacing w:line="400" w:lineRule="exact"/>
              <w:rPr>
                <w:rFonts w:hint="eastAsia" w:ascii="宋体" w:hAnsi="宋体" w:eastAsia="宋体" w:cs="宋体"/>
                <w:color w:val="auto"/>
                <w:szCs w:val="21"/>
              </w:rPr>
            </w:pPr>
          </w:p>
        </w:tc>
      </w:tr>
      <w:tr w14:paraId="44F53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0D3C45F">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13</w:t>
            </w:r>
          </w:p>
        </w:tc>
        <w:tc>
          <w:tcPr>
            <w:tcW w:w="3751" w:type="dxa"/>
            <w:vAlign w:val="center"/>
          </w:tcPr>
          <w:p w14:paraId="6353CAD0">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技术方案（实施方案）</w:t>
            </w:r>
          </w:p>
        </w:tc>
        <w:tc>
          <w:tcPr>
            <w:tcW w:w="1559" w:type="dxa"/>
            <w:vAlign w:val="center"/>
          </w:tcPr>
          <w:p w14:paraId="3F32134A">
            <w:pPr>
              <w:jc w:val="center"/>
              <w:rPr>
                <w:rFonts w:hint="eastAsia" w:ascii="宋体" w:hAnsi="宋体" w:eastAsia="宋体" w:cs="宋体"/>
                <w:color w:val="auto"/>
                <w:szCs w:val="21"/>
              </w:rPr>
            </w:pPr>
          </w:p>
        </w:tc>
        <w:tc>
          <w:tcPr>
            <w:tcW w:w="1560" w:type="dxa"/>
            <w:tcBorders>
              <w:top w:val="single" w:color="auto" w:sz="4" w:space="0"/>
            </w:tcBorders>
            <w:vAlign w:val="center"/>
          </w:tcPr>
          <w:p w14:paraId="619E7CBB">
            <w:pPr>
              <w:snapToGrid w:val="0"/>
              <w:spacing w:line="400" w:lineRule="exact"/>
              <w:rPr>
                <w:rFonts w:hint="eastAsia" w:ascii="宋体" w:hAnsi="宋体" w:eastAsia="宋体" w:cs="宋体"/>
                <w:color w:val="auto"/>
                <w:szCs w:val="21"/>
              </w:rPr>
            </w:pPr>
          </w:p>
        </w:tc>
        <w:tc>
          <w:tcPr>
            <w:tcW w:w="2018" w:type="dxa"/>
            <w:tcBorders>
              <w:top w:val="single" w:color="auto" w:sz="4" w:space="0"/>
            </w:tcBorders>
            <w:vAlign w:val="center"/>
          </w:tcPr>
          <w:p w14:paraId="62A9D774">
            <w:pPr>
              <w:snapToGrid w:val="0"/>
              <w:spacing w:line="400" w:lineRule="exact"/>
              <w:rPr>
                <w:rFonts w:hint="eastAsia" w:ascii="宋体" w:hAnsi="宋体" w:eastAsia="宋体" w:cs="宋体"/>
                <w:color w:val="auto"/>
                <w:szCs w:val="21"/>
              </w:rPr>
            </w:pPr>
          </w:p>
        </w:tc>
      </w:tr>
      <w:tr w14:paraId="67118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7F6D189">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14</w:t>
            </w:r>
          </w:p>
        </w:tc>
        <w:tc>
          <w:tcPr>
            <w:tcW w:w="3751" w:type="dxa"/>
            <w:vAlign w:val="center"/>
          </w:tcPr>
          <w:p w14:paraId="27ADFBAE">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售后服务方案及服务承诺</w:t>
            </w:r>
          </w:p>
        </w:tc>
        <w:tc>
          <w:tcPr>
            <w:tcW w:w="1559" w:type="dxa"/>
            <w:vAlign w:val="center"/>
          </w:tcPr>
          <w:p w14:paraId="2408B338">
            <w:pPr>
              <w:jc w:val="center"/>
              <w:rPr>
                <w:rFonts w:hint="eastAsia" w:ascii="宋体" w:hAnsi="宋体" w:eastAsia="宋体" w:cs="宋体"/>
                <w:color w:val="auto"/>
                <w:szCs w:val="21"/>
              </w:rPr>
            </w:pPr>
          </w:p>
        </w:tc>
        <w:tc>
          <w:tcPr>
            <w:tcW w:w="1560" w:type="dxa"/>
            <w:vAlign w:val="center"/>
          </w:tcPr>
          <w:p w14:paraId="122265CB">
            <w:pPr>
              <w:snapToGrid w:val="0"/>
              <w:spacing w:line="400" w:lineRule="exact"/>
              <w:rPr>
                <w:rFonts w:hint="eastAsia" w:ascii="宋体" w:hAnsi="宋体" w:eastAsia="宋体" w:cs="宋体"/>
                <w:color w:val="auto"/>
                <w:szCs w:val="21"/>
              </w:rPr>
            </w:pPr>
          </w:p>
        </w:tc>
        <w:tc>
          <w:tcPr>
            <w:tcW w:w="2018" w:type="dxa"/>
            <w:vAlign w:val="center"/>
          </w:tcPr>
          <w:p w14:paraId="2DDA0576">
            <w:pPr>
              <w:snapToGrid w:val="0"/>
              <w:spacing w:line="400" w:lineRule="exact"/>
              <w:rPr>
                <w:rFonts w:hint="eastAsia" w:ascii="宋体" w:hAnsi="宋体" w:eastAsia="宋体" w:cs="宋体"/>
                <w:color w:val="auto"/>
                <w:szCs w:val="21"/>
              </w:rPr>
            </w:pPr>
          </w:p>
        </w:tc>
      </w:tr>
      <w:tr w14:paraId="3E01E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09AA4CD">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15</w:t>
            </w:r>
          </w:p>
        </w:tc>
        <w:tc>
          <w:tcPr>
            <w:tcW w:w="3751" w:type="dxa"/>
            <w:vAlign w:val="center"/>
          </w:tcPr>
          <w:p w14:paraId="184033EA">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业绩情况表</w:t>
            </w:r>
          </w:p>
        </w:tc>
        <w:tc>
          <w:tcPr>
            <w:tcW w:w="1559" w:type="dxa"/>
            <w:vAlign w:val="center"/>
          </w:tcPr>
          <w:p w14:paraId="40A0DA42">
            <w:pPr>
              <w:jc w:val="center"/>
              <w:rPr>
                <w:rFonts w:hint="eastAsia" w:ascii="宋体" w:hAnsi="宋体" w:eastAsia="宋体" w:cs="宋体"/>
                <w:color w:val="auto"/>
                <w:szCs w:val="21"/>
              </w:rPr>
            </w:pPr>
          </w:p>
        </w:tc>
        <w:tc>
          <w:tcPr>
            <w:tcW w:w="1560" w:type="dxa"/>
            <w:vAlign w:val="center"/>
          </w:tcPr>
          <w:p w14:paraId="6B7C714A">
            <w:pPr>
              <w:snapToGrid w:val="0"/>
              <w:spacing w:line="400" w:lineRule="exact"/>
              <w:rPr>
                <w:rFonts w:hint="eastAsia" w:ascii="宋体" w:hAnsi="宋体" w:eastAsia="宋体" w:cs="宋体"/>
                <w:color w:val="auto"/>
                <w:szCs w:val="21"/>
              </w:rPr>
            </w:pPr>
          </w:p>
        </w:tc>
        <w:tc>
          <w:tcPr>
            <w:tcW w:w="2018" w:type="dxa"/>
            <w:vAlign w:val="center"/>
          </w:tcPr>
          <w:p w14:paraId="4D300CBE">
            <w:pPr>
              <w:snapToGrid w:val="0"/>
              <w:spacing w:line="400" w:lineRule="exact"/>
              <w:rPr>
                <w:rFonts w:hint="eastAsia" w:ascii="宋体" w:hAnsi="宋体" w:eastAsia="宋体" w:cs="宋体"/>
                <w:color w:val="auto"/>
                <w:szCs w:val="21"/>
              </w:rPr>
            </w:pPr>
          </w:p>
        </w:tc>
      </w:tr>
      <w:tr w14:paraId="232A6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A12A52B">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16</w:t>
            </w:r>
          </w:p>
        </w:tc>
        <w:tc>
          <w:tcPr>
            <w:tcW w:w="3751" w:type="dxa"/>
            <w:vAlign w:val="center"/>
          </w:tcPr>
          <w:p w14:paraId="4F8D8A94">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中小企业声明函</w:t>
            </w:r>
          </w:p>
        </w:tc>
        <w:tc>
          <w:tcPr>
            <w:tcW w:w="1559" w:type="dxa"/>
            <w:vAlign w:val="center"/>
          </w:tcPr>
          <w:p w14:paraId="31D9F044">
            <w:pPr>
              <w:jc w:val="center"/>
              <w:rPr>
                <w:rFonts w:hint="eastAsia" w:ascii="宋体" w:hAnsi="宋体" w:eastAsia="宋体" w:cs="宋体"/>
                <w:color w:val="auto"/>
                <w:szCs w:val="21"/>
              </w:rPr>
            </w:pPr>
          </w:p>
        </w:tc>
        <w:tc>
          <w:tcPr>
            <w:tcW w:w="1560" w:type="dxa"/>
            <w:vAlign w:val="center"/>
          </w:tcPr>
          <w:p w14:paraId="02CD5DED">
            <w:pPr>
              <w:snapToGrid w:val="0"/>
              <w:spacing w:line="400" w:lineRule="exact"/>
              <w:rPr>
                <w:rFonts w:hint="eastAsia" w:ascii="宋体" w:hAnsi="宋体" w:eastAsia="宋体" w:cs="宋体"/>
                <w:color w:val="auto"/>
                <w:szCs w:val="21"/>
              </w:rPr>
            </w:pPr>
          </w:p>
        </w:tc>
        <w:tc>
          <w:tcPr>
            <w:tcW w:w="2018" w:type="dxa"/>
            <w:vAlign w:val="center"/>
          </w:tcPr>
          <w:p w14:paraId="45BC6BAA">
            <w:pPr>
              <w:snapToGrid w:val="0"/>
              <w:spacing w:line="400" w:lineRule="exact"/>
              <w:rPr>
                <w:rFonts w:hint="eastAsia" w:ascii="宋体" w:hAnsi="宋体" w:eastAsia="宋体" w:cs="宋体"/>
                <w:color w:val="auto"/>
                <w:szCs w:val="21"/>
              </w:rPr>
            </w:pPr>
          </w:p>
        </w:tc>
      </w:tr>
      <w:tr w14:paraId="7D6F6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D03DFD2">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17</w:t>
            </w:r>
          </w:p>
        </w:tc>
        <w:tc>
          <w:tcPr>
            <w:tcW w:w="3751" w:type="dxa"/>
            <w:vAlign w:val="center"/>
          </w:tcPr>
          <w:p w14:paraId="6F064713">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sz w:val="21"/>
                <w:szCs w:val="21"/>
                <w:lang w:val="zh-CN"/>
              </w:rPr>
              <w:t>残疾人福利性单位声明函</w:t>
            </w:r>
          </w:p>
        </w:tc>
        <w:tc>
          <w:tcPr>
            <w:tcW w:w="1559" w:type="dxa"/>
            <w:vAlign w:val="center"/>
          </w:tcPr>
          <w:p w14:paraId="5859D33A">
            <w:pPr>
              <w:jc w:val="center"/>
              <w:rPr>
                <w:rFonts w:hint="eastAsia" w:ascii="宋体" w:hAnsi="宋体" w:eastAsia="宋体" w:cs="宋体"/>
                <w:color w:val="auto"/>
                <w:szCs w:val="21"/>
              </w:rPr>
            </w:pPr>
          </w:p>
        </w:tc>
        <w:tc>
          <w:tcPr>
            <w:tcW w:w="1560" w:type="dxa"/>
            <w:vAlign w:val="center"/>
          </w:tcPr>
          <w:p w14:paraId="0F8783F4">
            <w:pPr>
              <w:snapToGrid w:val="0"/>
              <w:spacing w:line="400" w:lineRule="exact"/>
              <w:rPr>
                <w:rFonts w:hint="eastAsia" w:ascii="宋体" w:hAnsi="宋体" w:eastAsia="宋体" w:cs="宋体"/>
                <w:color w:val="auto"/>
                <w:szCs w:val="21"/>
              </w:rPr>
            </w:pPr>
          </w:p>
        </w:tc>
        <w:tc>
          <w:tcPr>
            <w:tcW w:w="2018" w:type="dxa"/>
            <w:vAlign w:val="center"/>
          </w:tcPr>
          <w:p w14:paraId="6C1BD2DD">
            <w:pPr>
              <w:snapToGrid w:val="0"/>
              <w:spacing w:line="400" w:lineRule="exact"/>
              <w:rPr>
                <w:rFonts w:hint="eastAsia" w:ascii="宋体" w:hAnsi="宋体" w:eastAsia="宋体" w:cs="宋体"/>
                <w:color w:val="auto"/>
                <w:szCs w:val="21"/>
              </w:rPr>
            </w:pPr>
          </w:p>
        </w:tc>
      </w:tr>
      <w:tr w14:paraId="1629E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B0B7592">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18</w:t>
            </w:r>
          </w:p>
        </w:tc>
        <w:tc>
          <w:tcPr>
            <w:tcW w:w="3751" w:type="dxa"/>
            <w:vAlign w:val="center"/>
          </w:tcPr>
          <w:p w14:paraId="71085197">
            <w:pPr>
              <w:pStyle w:val="9"/>
              <w:kinsoku w:val="0"/>
              <w:overflowPunct w:val="0"/>
              <w:autoSpaceDE w:val="0"/>
              <w:autoSpaceDN w:val="0"/>
              <w:spacing w:line="320" w:lineRule="exac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监狱企业证明文件</w:t>
            </w:r>
          </w:p>
        </w:tc>
        <w:tc>
          <w:tcPr>
            <w:tcW w:w="1559" w:type="dxa"/>
            <w:vAlign w:val="center"/>
          </w:tcPr>
          <w:p w14:paraId="132FAACA">
            <w:pPr>
              <w:jc w:val="center"/>
              <w:rPr>
                <w:rFonts w:hint="eastAsia" w:ascii="宋体" w:hAnsi="宋体" w:eastAsia="宋体" w:cs="宋体"/>
                <w:color w:val="auto"/>
                <w:szCs w:val="21"/>
              </w:rPr>
            </w:pPr>
          </w:p>
        </w:tc>
        <w:tc>
          <w:tcPr>
            <w:tcW w:w="1560" w:type="dxa"/>
            <w:vAlign w:val="center"/>
          </w:tcPr>
          <w:p w14:paraId="64B131B7">
            <w:pPr>
              <w:snapToGrid w:val="0"/>
              <w:spacing w:line="400" w:lineRule="exact"/>
              <w:rPr>
                <w:rFonts w:hint="eastAsia" w:ascii="宋体" w:hAnsi="宋体" w:eastAsia="宋体" w:cs="宋体"/>
                <w:color w:val="auto"/>
                <w:szCs w:val="21"/>
              </w:rPr>
            </w:pPr>
          </w:p>
        </w:tc>
        <w:tc>
          <w:tcPr>
            <w:tcW w:w="2018" w:type="dxa"/>
            <w:vAlign w:val="center"/>
          </w:tcPr>
          <w:p w14:paraId="5156FA3E">
            <w:pPr>
              <w:snapToGrid w:val="0"/>
              <w:spacing w:line="400" w:lineRule="exact"/>
              <w:rPr>
                <w:rFonts w:hint="eastAsia" w:ascii="宋体" w:hAnsi="宋体" w:eastAsia="宋体" w:cs="宋体"/>
                <w:color w:val="auto"/>
                <w:szCs w:val="21"/>
              </w:rPr>
            </w:pPr>
          </w:p>
        </w:tc>
      </w:tr>
      <w:tr w14:paraId="791CC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49A8E55">
            <w:pPr>
              <w:adjustRightInd w:val="0"/>
              <w:snapToGrid w:val="0"/>
              <w:spacing w:line="400" w:lineRule="exact"/>
              <w:jc w:val="center"/>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19</w:t>
            </w:r>
          </w:p>
        </w:tc>
        <w:tc>
          <w:tcPr>
            <w:tcW w:w="3751" w:type="dxa"/>
            <w:vAlign w:val="center"/>
          </w:tcPr>
          <w:p w14:paraId="103EC136">
            <w:pPr>
              <w:pStyle w:val="9"/>
              <w:kinsoku w:val="0"/>
              <w:overflowPunct w:val="0"/>
              <w:autoSpaceDE w:val="0"/>
              <w:autoSpaceDN w:val="0"/>
              <w:spacing w:line="320" w:lineRule="exact"/>
              <w:rPr>
                <w:rFonts w:hint="eastAsia" w:ascii="宋体" w:hAnsi="宋体" w:eastAsia="宋体" w:cs="宋体"/>
                <w:color w:val="auto"/>
                <w:sz w:val="21"/>
                <w:szCs w:val="21"/>
                <w:lang w:val="zh-CN"/>
              </w:rPr>
            </w:pPr>
            <w:r>
              <w:rPr>
                <w:rFonts w:hint="eastAsia" w:ascii="宋体" w:hAnsi="宋体" w:eastAsia="宋体" w:cs="宋体"/>
                <w:color w:val="auto"/>
                <w:sz w:val="21"/>
                <w:szCs w:val="21"/>
                <w:lang w:val="en-US" w:eastAsia="zh-CN"/>
              </w:rPr>
              <w:t>关于符合本国产品标准的声明函</w:t>
            </w:r>
          </w:p>
        </w:tc>
        <w:tc>
          <w:tcPr>
            <w:tcW w:w="1559" w:type="dxa"/>
            <w:vAlign w:val="center"/>
          </w:tcPr>
          <w:p w14:paraId="3CE02041">
            <w:pPr>
              <w:jc w:val="center"/>
              <w:rPr>
                <w:rFonts w:hint="eastAsia" w:ascii="宋体" w:hAnsi="宋体" w:eastAsia="宋体" w:cs="宋体"/>
                <w:color w:val="auto"/>
                <w:szCs w:val="21"/>
              </w:rPr>
            </w:pPr>
          </w:p>
        </w:tc>
        <w:tc>
          <w:tcPr>
            <w:tcW w:w="1560" w:type="dxa"/>
            <w:vAlign w:val="center"/>
          </w:tcPr>
          <w:p w14:paraId="59053ECC">
            <w:pPr>
              <w:snapToGrid w:val="0"/>
              <w:spacing w:line="400" w:lineRule="exact"/>
              <w:rPr>
                <w:rFonts w:hint="eastAsia" w:ascii="宋体" w:hAnsi="宋体" w:eastAsia="宋体" w:cs="宋体"/>
                <w:color w:val="auto"/>
                <w:szCs w:val="21"/>
              </w:rPr>
            </w:pPr>
          </w:p>
        </w:tc>
        <w:tc>
          <w:tcPr>
            <w:tcW w:w="2018" w:type="dxa"/>
            <w:vAlign w:val="center"/>
          </w:tcPr>
          <w:p w14:paraId="761CE149">
            <w:pPr>
              <w:snapToGrid w:val="0"/>
              <w:spacing w:line="400" w:lineRule="exact"/>
              <w:rPr>
                <w:rFonts w:hint="eastAsia" w:ascii="宋体" w:hAnsi="宋体" w:eastAsia="宋体" w:cs="宋体"/>
                <w:color w:val="auto"/>
                <w:szCs w:val="21"/>
              </w:rPr>
            </w:pPr>
          </w:p>
        </w:tc>
      </w:tr>
      <w:tr w14:paraId="617B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C6A3811">
            <w:pPr>
              <w:adjustRightInd w:val="0"/>
              <w:snapToGrid w:val="0"/>
              <w:spacing w:line="400" w:lineRule="exact"/>
              <w:jc w:val="center"/>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20</w:t>
            </w:r>
          </w:p>
        </w:tc>
        <w:tc>
          <w:tcPr>
            <w:tcW w:w="3751" w:type="dxa"/>
            <w:vAlign w:val="center"/>
          </w:tcPr>
          <w:p w14:paraId="379C255A">
            <w:pPr>
              <w:pStyle w:val="9"/>
              <w:kinsoku w:val="0"/>
              <w:overflowPunct w:val="0"/>
              <w:autoSpaceDE w:val="0"/>
              <w:autoSpaceDN w:val="0"/>
              <w:spacing w:line="320" w:lineRule="exact"/>
              <w:rPr>
                <w:rFonts w:hint="eastAsia" w:ascii="宋体" w:hAnsi="宋体" w:eastAsia="宋体" w:cs="宋体"/>
                <w:color w:val="auto"/>
                <w:sz w:val="21"/>
                <w:szCs w:val="21"/>
                <w:lang w:val="zh-CN"/>
              </w:rPr>
            </w:pPr>
            <w:r>
              <w:rPr>
                <w:rFonts w:hint="eastAsia" w:ascii="宋体" w:hAnsi="宋体" w:eastAsia="宋体" w:cs="宋体"/>
                <w:color w:val="auto"/>
                <w:sz w:val="21"/>
                <w:szCs w:val="21"/>
                <w:lang w:val="en-US" w:eastAsia="zh-CN"/>
              </w:rPr>
              <w:t>关于产品成本的声明函</w:t>
            </w:r>
          </w:p>
        </w:tc>
        <w:tc>
          <w:tcPr>
            <w:tcW w:w="1559" w:type="dxa"/>
            <w:vAlign w:val="center"/>
          </w:tcPr>
          <w:p w14:paraId="5FD6C05D">
            <w:pPr>
              <w:jc w:val="center"/>
              <w:rPr>
                <w:rFonts w:hint="eastAsia" w:ascii="宋体" w:hAnsi="宋体" w:eastAsia="宋体" w:cs="宋体"/>
                <w:color w:val="auto"/>
                <w:szCs w:val="21"/>
              </w:rPr>
            </w:pPr>
          </w:p>
        </w:tc>
        <w:tc>
          <w:tcPr>
            <w:tcW w:w="1560" w:type="dxa"/>
            <w:vAlign w:val="center"/>
          </w:tcPr>
          <w:p w14:paraId="10BCA7B1">
            <w:pPr>
              <w:snapToGrid w:val="0"/>
              <w:spacing w:line="400" w:lineRule="exact"/>
              <w:rPr>
                <w:rFonts w:hint="eastAsia" w:ascii="宋体" w:hAnsi="宋体" w:eastAsia="宋体" w:cs="宋体"/>
                <w:color w:val="auto"/>
                <w:szCs w:val="21"/>
              </w:rPr>
            </w:pPr>
          </w:p>
        </w:tc>
        <w:tc>
          <w:tcPr>
            <w:tcW w:w="2018" w:type="dxa"/>
            <w:vAlign w:val="center"/>
          </w:tcPr>
          <w:p w14:paraId="74392199">
            <w:pPr>
              <w:snapToGrid w:val="0"/>
              <w:spacing w:line="400" w:lineRule="exact"/>
              <w:rPr>
                <w:rFonts w:hint="eastAsia" w:ascii="宋体" w:hAnsi="宋体" w:eastAsia="宋体" w:cs="宋体"/>
                <w:color w:val="auto"/>
                <w:szCs w:val="21"/>
              </w:rPr>
            </w:pPr>
          </w:p>
        </w:tc>
      </w:tr>
      <w:tr w14:paraId="30D4E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FE63615">
            <w:pPr>
              <w:adjustRightInd w:val="0"/>
              <w:snapToGrid w:val="0"/>
              <w:spacing w:line="400" w:lineRule="exact"/>
              <w:jc w:val="center"/>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21</w:t>
            </w:r>
          </w:p>
        </w:tc>
        <w:tc>
          <w:tcPr>
            <w:tcW w:w="3751" w:type="dxa"/>
            <w:vAlign w:val="center"/>
          </w:tcPr>
          <w:p w14:paraId="5E51B9A9">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eastAsia="zh-CN"/>
              </w:rPr>
              <w:t>其他</w:t>
            </w:r>
            <w:r>
              <w:rPr>
                <w:rFonts w:hint="eastAsia" w:ascii="宋体" w:hAnsi="宋体" w:eastAsia="宋体" w:cs="宋体"/>
                <w:bCs/>
                <w:color w:val="auto"/>
                <w:kern w:val="0"/>
                <w:sz w:val="21"/>
                <w:szCs w:val="21"/>
              </w:rPr>
              <w:t>资料</w:t>
            </w:r>
          </w:p>
        </w:tc>
        <w:tc>
          <w:tcPr>
            <w:tcW w:w="1559" w:type="dxa"/>
            <w:vAlign w:val="center"/>
          </w:tcPr>
          <w:p w14:paraId="057C5BDC">
            <w:pPr>
              <w:jc w:val="center"/>
              <w:rPr>
                <w:rFonts w:hint="eastAsia" w:ascii="宋体" w:hAnsi="宋体" w:eastAsia="宋体" w:cs="宋体"/>
                <w:color w:val="auto"/>
                <w:szCs w:val="21"/>
              </w:rPr>
            </w:pPr>
          </w:p>
        </w:tc>
        <w:tc>
          <w:tcPr>
            <w:tcW w:w="1560" w:type="dxa"/>
            <w:vAlign w:val="center"/>
          </w:tcPr>
          <w:p w14:paraId="086C0576">
            <w:pPr>
              <w:snapToGrid w:val="0"/>
              <w:spacing w:line="400" w:lineRule="exact"/>
              <w:rPr>
                <w:rFonts w:hint="eastAsia" w:ascii="宋体" w:hAnsi="宋体" w:eastAsia="宋体" w:cs="宋体"/>
                <w:color w:val="auto"/>
                <w:szCs w:val="21"/>
              </w:rPr>
            </w:pPr>
          </w:p>
        </w:tc>
        <w:tc>
          <w:tcPr>
            <w:tcW w:w="2018" w:type="dxa"/>
            <w:vAlign w:val="center"/>
          </w:tcPr>
          <w:p w14:paraId="33CA6A07">
            <w:pPr>
              <w:snapToGrid w:val="0"/>
              <w:spacing w:line="400" w:lineRule="exact"/>
              <w:rPr>
                <w:rFonts w:hint="eastAsia" w:ascii="宋体" w:hAnsi="宋体" w:eastAsia="宋体" w:cs="宋体"/>
                <w:color w:val="auto"/>
                <w:szCs w:val="21"/>
              </w:rPr>
            </w:pPr>
          </w:p>
        </w:tc>
      </w:tr>
    </w:tbl>
    <w:p w14:paraId="6A166D63">
      <w:pPr>
        <w:rPr>
          <w:rFonts w:hint="eastAsia" w:ascii="宋体" w:hAnsi="宋体" w:eastAsia="宋体" w:cs="宋体"/>
          <w:b/>
          <w:snapToGrid w:val="0"/>
          <w:color w:val="auto"/>
          <w:kern w:val="0"/>
          <w:sz w:val="28"/>
          <w:szCs w:val="28"/>
        </w:rPr>
      </w:pPr>
      <w:r>
        <w:rPr>
          <w:rFonts w:hint="eastAsia" w:ascii="宋体" w:hAnsi="宋体" w:eastAsia="宋体" w:cs="宋体"/>
          <w:b/>
          <w:snapToGrid w:val="0"/>
          <w:color w:val="auto"/>
          <w:kern w:val="0"/>
          <w:sz w:val="28"/>
          <w:szCs w:val="28"/>
        </w:rPr>
        <w:br w:type="page"/>
      </w:r>
    </w:p>
    <w:p w14:paraId="2156854A">
      <w:pPr>
        <w:pStyle w:val="9"/>
        <w:spacing w:line="360" w:lineRule="auto"/>
        <w:jc w:val="center"/>
        <w:rPr>
          <w:rFonts w:hint="eastAsia" w:ascii="宋体" w:hAnsi="宋体" w:eastAsia="宋体" w:cs="宋体"/>
          <w:b/>
          <w:snapToGrid w:val="0"/>
          <w:color w:val="auto"/>
          <w:kern w:val="0"/>
          <w:sz w:val="28"/>
          <w:szCs w:val="28"/>
        </w:rPr>
      </w:pPr>
      <w:r>
        <w:rPr>
          <w:rFonts w:hint="eastAsia" w:ascii="宋体" w:hAnsi="宋体" w:eastAsia="宋体" w:cs="宋体"/>
          <w:b/>
          <w:snapToGrid w:val="0"/>
          <w:color w:val="auto"/>
          <w:kern w:val="0"/>
          <w:sz w:val="28"/>
          <w:szCs w:val="28"/>
        </w:rPr>
        <w:t>二、开标一览表</w:t>
      </w:r>
    </w:p>
    <w:p w14:paraId="1A0702CD">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采购编号</w:t>
      </w:r>
      <w:r>
        <w:rPr>
          <w:rFonts w:hint="eastAsia" w:ascii="宋体" w:hAnsi="宋体" w:eastAsia="宋体" w:cs="宋体"/>
          <w:color w:val="auto"/>
          <w:sz w:val="21"/>
          <w:szCs w:val="21"/>
        </w:rPr>
        <w:t>：</w:t>
      </w:r>
    </w:p>
    <w:p w14:paraId="23772817">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项目名称：                                             单位：元</w:t>
      </w:r>
    </w:p>
    <w:tbl>
      <w:tblPr>
        <w:tblStyle w:val="18"/>
        <w:tblW w:w="9356" w:type="dxa"/>
        <w:tblInd w:w="-292" w:type="dxa"/>
        <w:tblLayout w:type="fixed"/>
        <w:tblCellMar>
          <w:top w:w="0" w:type="dxa"/>
          <w:left w:w="108" w:type="dxa"/>
          <w:bottom w:w="0" w:type="dxa"/>
          <w:right w:w="108" w:type="dxa"/>
        </w:tblCellMar>
      </w:tblPr>
      <w:tblGrid>
        <w:gridCol w:w="851"/>
        <w:gridCol w:w="2268"/>
        <w:gridCol w:w="2694"/>
        <w:gridCol w:w="1984"/>
        <w:gridCol w:w="1559"/>
      </w:tblGrid>
      <w:tr w14:paraId="4E79B1F6">
        <w:tblPrEx>
          <w:tblCellMar>
            <w:top w:w="0" w:type="dxa"/>
            <w:left w:w="108" w:type="dxa"/>
            <w:bottom w:w="0" w:type="dxa"/>
            <w:right w:w="108" w:type="dxa"/>
          </w:tblCellMar>
        </w:tblPrEx>
        <w:trPr>
          <w:trHeight w:val="851" w:hRule="atLeast"/>
        </w:trPr>
        <w:tc>
          <w:tcPr>
            <w:tcW w:w="851" w:type="dxa"/>
            <w:tcBorders>
              <w:top w:val="single" w:color="auto" w:sz="6" w:space="0"/>
              <w:left w:val="single" w:color="auto" w:sz="6" w:space="0"/>
              <w:bottom w:val="single" w:color="auto" w:sz="6" w:space="0"/>
              <w:right w:val="single" w:color="auto" w:sz="6" w:space="0"/>
            </w:tcBorders>
            <w:vAlign w:val="center"/>
          </w:tcPr>
          <w:p w14:paraId="60D52440">
            <w:pPr>
              <w:autoSpaceDE w:val="0"/>
              <w:autoSpaceDN w:val="0"/>
              <w:adjustRightInd w:val="0"/>
              <w:spacing w:line="360" w:lineRule="auto"/>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val="en-US" w:eastAsia="zh-CN"/>
              </w:rPr>
              <w:t>标段</w:t>
            </w:r>
          </w:p>
        </w:tc>
        <w:tc>
          <w:tcPr>
            <w:tcW w:w="2268" w:type="dxa"/>
            <w:tcBorders>
              <w:top w:val="single" w:color="auto" w:sz="6" w:space="0"/>
              <w:left w:val="single" w:color="auto" w:sz="6" w:space="0"/>
              <w:bottom w:val="single" w:color="auto" w:sz="6" w:space="0"/>
              <w:right w:val="single" w:color="auto" w:sz="6" w:space="0"/>
            </w:tcBorders>
            <w:vAlign w:val="center"/>
          </w:tcPr>
          <w:p w14:paraId="332F6A1A">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项目名称</w:t>
            </w:r>
          </w:p>
        </w:tc>
        <w:tc>
          <w:tcPr>
            <w:tcW w:w="2694" w:type="dxa"/>
            <w:tcBorders>
              <w:top w:val="single" w:color="auto" w:sz="6" w:space="0"/>
              <w:left w:val="single" w:color="auto" w:sz="6" w:space="0"/>
              <w:bottom w:val="single" w:color="auto" w:sz="6" w:space="0"/>
              <w:right w:val="single" w:color="auto" w:sz="6" w:space="0"/>
            </w:tcBorders>
            <w:vAlign w:val="center"/>
          </w:tcPr>
          <w:p w14:paraId="534CACFA">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投标报价</w:t>
            </w:r>
          </w:p>
        </w:tc>
        <w:tc>
          <w:tcPr>
            <w:tcW w:w="1984" w:type="dxa"/>
            <w:tcBorders>
              <w:top w:val="single" w:color="auto" w:sz="6" w:space="0"/>
              <w:left w:val="single" w:color="auto" w:sz="4" w:space="0"/>
              <w:bottom w:val="single" w:color="auto" w:sz="6" w:space="0"/>
              <w:right w:val="single" w:color="auto" w:sz="4" w:space="0"/>
            </w:tcBorders>
            <w:vAlign w:val="center"/>
          </w:tcPr>
          <w:p w14:paraId="17E900BE">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合同履行期限</w:t>
            </w:r>
          </w:p>
        </w:tc>
        <w:tc>
          <w:tcPr>
            <w:tcW w:w="1559" w:type="dxa"/>
            <w:tcBorders>
              <w:top w:val="single" w:color="auto" w:sz="6" w:space="0"/>
              <w:left w:val="single" w:color="auto" w:sz="6" w:space="0"/>
              <w:bottom w:val="single" w:color="auto" w:sz="6" w:space="0"/>
              <w:right w:val="single" w:color="auto" w:sz="6" w:space="0"/>
            </w:tcBorders>
            <w:vAlign w:val="center"/>
          </w:tcPr>
          <w:p w14:paraId="7CFE17D0">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备注</w:t>
            </w:r>
          </w:p>
        </w:tc>
      </w:tr>
      <w:tr w14:paraId="63E409D1">
        <w:tblPrEx>
          <w:tblCellMar>
            <w:top w:w="0" w:type="dxa"/>
            <w:left w:w="108" w:type="dxa"/>
            <w:bottom w:w="0" w:type="dxa"/>
            <w:right w:w="108" w:type="dxa"/>
          </w:tblCellMar>
        </w:tblPrEx>
        <w:trPr>
          <w:trHeight w:val="851" w:hRule="atLeast"/>
        </w:trPr>
        <w:tc>
          <w:tcPr>
            <w:tcW w:w="851" w:type="dxa"/>
            <w:tcBorders>
              <w:top w:val="single" w:color="auto" w:sz="6" w:space="0"/>
              <w:left w:val="single" w:color="auto" w:sz="6" w:space="0"/>
              <w:bottom w:val="single" w:color="auto" w:sz="6" w:space="0"/>
              <w:right w:val="single" w:color="auto" w:sz="6" w:space="0"/>
            </w:tcBorders>
            <w:vAlign w:val="center"/>
          </w:tcPr>
          <w:p w14:paraId="2FDA28D6">
            <w:pPr>
              <w:autoSpaceDE w:val="0"/>
              <w:autoSpaceDN w:val="0"/>
              <w:adjustRightInd w:val="0"/>
              <w:spacing w:line="360" w:lineRule="auto"/>
              <w:rPr>
                <w:rFonts w:hint="eastAsia" w:ascii="宋体" w:hAnsi="宋体" w:eastAsia="宋体" w:cs="宋体"/>
                <w:color w:val="auto"/>
                <w:sz w:val="21"/>
                <w:szCs w:val="21"/>
              </w:rPr>
            </w:pPr>
          </w:p>
        </w:tc>
        <w:tc>
          <w:tcPr>
            <w:tcW w:w="2268" w:type="dxa"/>
            <w:tcBorders>
              <w:top w:val="single" w:color="auto" w:sz="6" w:space="0"/>
              <w:left w:val="single" w:color="auto" w:sz="6" w:space="0"/>
              <w:bottom w:val="single" w:color="auto" w:sz="6" w:space="0"/>
              <w:right w:val="single" w:color="auto" w:sz="6" w:space="0"/>
            </w:tcBorders>
            <w:vAlign w:val="center"/>
          </w:tcPr>
          <w:p w14:paraId="4234CDFE">
            <w:pPr>
              <w:autoSpaceDE w:val="0"/>
              <w:autoSpaceDN w:val="0"/>
              <w:adjustRightInd w:val="0"/>
              <w:spacing w:line="360" w:lineRule="auto"/>
              <w:rPr>
                <w:rFonts w:hint="eastAsia" w:ascii="宋体" w:hAnsi="宋体" w:eastAsia="宋体" w:cs="宋体"/>
                <w:color w:val="auto"/>
                <w:sz w:val="21"/>
                <w:szCs w:val="21"/>
              </w:rPr>
            </w:pPr>
          </w:p>
        </w:tc>
        <w:tc>
          <w:tcPr>
            <w:tcW w:w="2694" w:type="dxa"/>
            <w:tcBorders>
              <w:top w:val="single" w:color="auto" w:sz="6" w:space="0"/>
              <w:left w:val="single" w:color="auto" w:sz="6" w:space="0"/>
              <w:bottom w:val="single" w:color="auto" w:sz="6" w:space="0"/>
              <w:right w:val="single" w:color="auto" w:sz="6" w:space="0"/>
            </w:tcBorders>
            <w:vAlign w:val="center"/>
          </w:tcPr>
          <w:p w14:paraId="0FB6B7E1">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大写：      小写：</w:t>
            </w:r>
          </w:p>
        </w:tc>
        <w:tc>
          <w:tcPr>
            <w:tcW w:w="1984" w:type="dxa"/>
            <w:tcBorders>
              <w:top w:val="single" w:color="auto" w:sz="6" w:space="0"/>
              <w:left w:val="single" w:color="auto" w:sz="4" w:space="0"/>
              <w:bottom w:val="single" w:color="auto" w:sz="6" w:space="0"/>
              <w:right w:val="single" w:color="auto" w:sz="4" w:space="0"/>
            </w:tcBorders>
            <w:vAlign w:val="center"/>
          </w:tcPr>
          <w:p w14:paraId="40FDD64E">
            <w:pPr>
              <w:autoSpaceDE w:val="0"/>
              <w:autoSpaceDN w:val="0"/>
              <w:adjustRightInd w:val="0"/>
              <w:spacing w:line="360" w:lineRule="auto"/>
              <w:rPr>
                <w:rFonts w:hint="eastAsia" w:ascii="宋体" w:hAnsi="宋体" w:eastAsia="宋体" w:cs="宋体"/>
                <w:color w:val="auto"/>
                <w:sz w:val="21"/>
                <w:szCs w:val="21"/>
              </w:rPr>
            </w:pPr>
          </w:p>
        </w:tc>
        <w:tc>
          <w:tcPr>
            <w:tcW w:w="1559" w:type="dxa"/>
            <w:tcBorders>
              <w:top w:val="single" w:color="auto" w:sz="6" w:space="0"/>
              <w:left w:val="single" w:color="auto" w:sz="6" w:space="0"/>
              <w:bottom w:val="single" w:color="auto" w:sz="6" w:space="0"/>
              <w:right w:val="single" w:color="auto" w:sz="6" w:space="0"/>
            </w:tcBorders>
            <w:vAlign w:val="center"/>
          </w:tcPr>
          <w:p w14:paraId="1A09B845">
            <w:pPr>
              <w:autoSpaceDE w:val="0"/>
              <w:autoSpaceDN w:val="0"/>
              <w:adjustRightInd w:val="0"/>
              <w:spacing w:line="360" w:lineRule="auto"/>
              <w:rPr>
                <w:rFonts w:hint="eastAsia" w:ascii="宋体" w:hAnsi="宋体" w:eastAsia="宋体" w:cs="宋体"/>
                <w:color w:val="auto"/>
                <w:sz w:val="21"/>
                <w:szCs w:val="21"/>
              </w:rPr>
            </w:pPr>
          </w:p>
        </w:tc>
      </w:tr>
    </w:tbl>
    <w:p w14:paraId="131207EC">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投标人名称：</w:t>
      </w:r>
      <w:r>
        <w:rPr>
          <w:rFonts w:hint="eastAsia" w:ascii="宋体" w:hAnsi="宋体" w:eastAsia="宋体" w:cs="宋体"/>
          <w:color w:val="auto"/>
          <w:sz w:val="21"/>
          <w:szCs w:val="21"/>
          <w:u w:val="single"/>
        </w:rPr>
        <w:t xml:space="preserve">     （全称）   </w:t>
      </w:r>
      <w:r>
        <w:rPr>
          <w:rFonts w:hint="eastAsia" w:ascii="宋体" w:hAnsi="宋体" w:eastAsia="宋体" w:cs="宋体"/>
          <w:color w:val="auto"/>
          <w:sz w:val="21"/>
          <w:szCs w:val="21"/>
        </w:rPr>
        <w:t>（公章）：</w:t>
      </w:r>
    </w:p>
    <w:p w14:paraId="49821388">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投标人法定代表人（或授权代表）签字：</w:t>
      </w:r>
    </w:p>
    <w:p w14:paraId="32D126DA">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日期：</w:t>
      </w:r>
    </w:p>
    <w:p w14:paraId="68D512A2">
      <w:pPr>
        <w:autoSpaceDE w:val="0"/>
        <w:autoSpaceDN w:val="0"/>
        <w:adjustRightInd w:val="0"/>
        <w:spacing w:line="360" w:lineRule="auto"/>
        <w:rPr>
          <w:rFonts w:hint="eastAsia" w:ascii="宋体" w:hAnsi="宋体" w:eastAsia="宋体" w:cs="宋体"/>
          <w:color w:val="auto"/>
          <w:sz w:val="24"/>
          <w:lang w:val="zh-CN"/>
        </w:rPr>
      </w:pPr>
    </w:p>
    <w:p w14:paraId="324DC372">
      <w:pPr>
        <w:autoSpaceDE w:val="0"/>
        <w:autoSpaceDN w:val="0"/>
        <w:adjustRightInd w:val="0"/>
        <w:spacing w:line="360" w:lineRule="auto"/>
        <w:rPr>
          <w:rFonts w:hint="eastAsia" w:ascii="宋体" w:hAnsi="宋体" w:eastAsia="宋体" w:cs="宋体"/>
          <w:color w:val="auto"/>
          <w:sz w:val="24"/>
          <w:lang w:val="zh-CN"/>
        </w:rPr>
      </w:pPr>
    </w:p>
    <w:p w14:paraId="1CB767B5">
      <w:pPr>
        <w:autoSpaceDE w:val="0"/>
        <w:autoSpaceDN w:val="0"/>
        <w:adjustRightInd w:val="0"/>
        <w:spacing w:line="360" w:lineRule="auto"/>
        <w:rPr>
          <w:rFonts w:hint="eastAsia" w:ascii="宋体" w:hAnsi="宋体" w:eastAsia="宋体" w:cs="宋体"/>
          <w:color w:val="auto"/>
          <w:sz w:val="24"/>
          <w:lang w:val="zh-CN"/>
        </w:rPr>
      </w:pPr>
    </w:p>
    <w:p w14:paraId="22CE9EE8">
      <w:pPr>
        <w:autoSpaceDE w:val="0"/>
        <w:autoSpaceDN w:val="0"/>
        <w:adjustRightInd w:val="0"/>
        <w:spacing w:line="360" w:lineRule="auto"/>
        <w:rPr>
          <w:rFonts w:hint="eastAsia" w:ascii="宋体" w:hAnsi="宋体" w:eastAsia="宋体" w:cs="宋体"/>
          <w:color w:val="auto"/>
          <w:sz w:val="24"/>
          <w:lang w:val="zh-CN"/>
        </w:rPr>
      </w:pPr>
    </w:p>
    <w:p w14:paraId="1AE6DE2E">
      <w:pPr>
        <w:autoSpaceDE w:val="0"/>
        <w:autoSpaceDN w:val="0"/>
        <w:adjustRightInd w:val="0"/>
        <w:spacing w:line="360" w:lineRule="auto"/>
        <w:rPr>
          <w:rFonts w:hint="eastAsia" w:ascii="宋体" w:hAnsi="宋体" w:eastAsia="宋体" w:cs="宋体"/>
          <w:color w:val="auto"/>
          <w:sz w:val="24"/>
          <w:lang w:val="zh-CN"/>
        </w:rPr>
      </w:pPr>
    </w:p>
    <w:p w14:paraId="16A5AB76">
      <w:pPr>
        <w:autoSpaceDE w:val="0"/>
        <w:autoSpaceDN w:val="0"/>
        <w:adjustRightInd w:val="0"/>
        <w:spacing w:line="360" w:lineRule="auto"/>
        <w:rPr>
          <w:rFonts w:hint="eastAsia" w:ascii="宋体" w:hAnsi="宋体" w:eastAsia="宋体" w:cs="宋体"/>
          <w:color w:val="auto"/>
          <w:sz w:val="24"/>
          <w:lang w:val="zh-CN"/>
        </w:rPr>
      </w:pPr>
    </w:p>
    <w:p w14:paraId="2F70C173">
      <w:pPr>
        <w:autoSpaceDE w:val="0"/>
        <w:autoSpaceDN w:val="0"/>
        <w:adjustRightInd w:val="0"/>
        <w:spacing w:line="360" w:lineRule="auto"/>
        <w:rPr>
          <w:rFonts w:hint="eastAsia" w:ascii="宋体" w:hAnsi="宋体" w:eastAsia="宋体" w:cs="宋体"/>
          <w:color w:val="auto"/>
          <w:sz w:val="24"/>
          <w:lang w:val="zh-CN"/>
        </w:rPr>
      </w:pPr>
    </w:p>
    <w:p w14:paraId="47A05CFB">
      <w:pPr>
        <w:autoSpaceDE w:val="0"/>
        <w:autoSpaceDN w:val="0"/>
        <w:adjustRightInd w:val="0"/>
        <w:spacing w:line="360" w:lineRule="auto"/>
        <w:rPr>
          <w:rFonts w:hint="eastAsia" w:ascii="宋体" w:hAnsi="宋体" w:eastAsia="宋体" w:cs="宋体"/>
          <w:color w:val="auto"/>
          <w:sz w:val="24"/>
          <w:lang w:val="zh-CN"/>
        </w:rPr>
      </w:pPr>
    </w:p>
    <w:p w14:paraId="6BCD8812">
      <w:pPr>
        <w:autoSpaceDE w:val="0"/>
        <w:autoSpaceDN w:val="0"/>
        <w:adjustRightInd w:val="0"/>
        <w:spacing w:line="360" w:lineRule="auto"/>
        <w:rPr>
          <w:rFonts w:hint="eastAsia" w:ascii="宋体" w:hAnsi="宋体" w:eastAsia="宋体" w:cs="宋体"/>
          <w:color w:val="auto"/>
          <w:sz w:val="24"/>
          <w:lang w:val="zh-CN"/>
        </w:rPr>
      </w:pPr>
    </w:p>
    <w:p w14:paraId="586642A3">
      <w:pPr>
        <w:pStyle w:val="16"/>
        <w:ind w:firstLine="340"/>
        <w:rPr>
          <w:rFonts w:hint="eastAsia" w:ascii="宋体" w:hAnsi="宋体" w:eastAsia="宋体" w:cs="宋体"/>
          <w:color w:val="auto"/>
          <w:lang w:val="zh-CN"/>
        </w:rPr>
      </w:pPr>
    </w:p>
    <w:p w14:paraId="0164A854">
      <w:pPr>
        <w:pStyle w:val="17"/>
        <w:ind w:firstLine="480"/>
        <w:rPr>
          <w:rFonts w:hint="eastAsia" w:ascii="宋体" w:hAnsi="宋体" w:eastAsia="宋体" w:cs="宋体"/>
          <w:color w:val="auto"/>
          <w:lang w:val="zh-CN"/>
        </w:rPr>
      </w:pPr>
    </w:p>
    <w:p w14:paraId="396F3918">
      <w:pPr>
        <w:pStyle w:val="10"/>
        <w:ind w:left="5250"/>
        <w:rPr>
          <w:rFonts w:hint="eastAsia" w:ascii="宋体" w:hAnsi="宋体" w:eastAsia="宋体" w:cs="宋体"/>
          <w:color w:val="auto"/>
          <w:lang w:val="zh-CN"/>
        </w:rPr>
      </w:pPr>
    </w:p>
    <w:p w14:paraId="5F459434">
      <w:pPr>
        <w:rPr>
          <w:rFonts w:hint="eastAsia" w:ascii="宋体" w:hAnsi="宋体" w:eastAsia="宋体" w:cs="宋体"/>
          <w:color w:val="auto"/>
          <w:lang w:val="zh-CN"/>
        </w:rPr>
      </w:pPr>
    </w:p>
    <w:p w14:paraId="48F5F7B9">
      <w:pPr>
        <w:pStyle w:val="7"/>
        <w:rPr>
          <w:rFonts w:hint="eastAsia" w:ascii="宋体" w:hAnsi="宋体" w:eastAsia="宋体" w:cs="宋体"/>
          <w:color w:val="auto"/>
          <w:lang w:val="zh-CN"/>
        </w:rPr>
      </w:pPr>
    </w:p>
    <w:p w14:paraId="7BB2E2B0">
      <w:pPr>
        <w:pStyle w:val="7"/>
        <w:rPr>
          <w:rFonts w:hint="eastAsia" w:ascii="宋体" w:hAnsi="宋体" w:eastAsia="宋体" w:cs="宋体"/>
          <w:color w:val="auto"/>
          <w:lang w:val="zh-CN"/>
        </w:rPr>
      </w:pPr>
    </w:p>
    <w:p w14:paraId="145516B8">
      <w:pPr>
        <w:pStyle w:val="17"/>
        <w:ind w:firstLine="480"/>
        <w:rPr>
          <w:rFonts w:hint="eastAsia" w:ascii="宋体" w:hAnsi="宋体" w:eastAsia="宋体" w:cs="宋体"/>
          <w:color w:val="auto"/>
          <w:lang w:val="zh-CN"/>
        </w:rPr>
      </w:pPr>
    </w:p>
    <w:p w14:paraId="3231113B">
      <w:pPr>
        <w:pStyle w:val="17"/>
        <w:ind w:firstLine="480"/>
        <w:rPr>
          <w:rFonts w:hint="eastAsia" w:ascii="宋体" w:hAnsi="宋体" w:eastAsia="宋体" w:cs="宋体"/>
          <w:color w:val="auto"/>
          <w:lang w:val="zh-CN"/>
        </w:rPr>
      </w:pPr>
    </w:p>
    <w:p w14:paraId="5AE78CDD">
      <w:pPr>
        <w:rPr>
          <w:rFonts w:hint="eastAsia" w:ascii="宋体" w:hAnsi="宋体" w:eastAsia="宋体" w:cs="宋体"/>
          <w:color w:val="auto"/>
          <w:lang w:val="zh-CN"/>
        </w:rPr>
      </w:pPr>
    </w:p>
    <w:p w14:paraId="4FC2731C">
      <w:pPr>
        <w:pStyle w:val="7"/>
        <w:rPr>
          <w:rFonts w:hint="eastAsia" w:ascii="宋体" w:hAnsi="宋体" w:eastAsia="宋体" w:cs="宋体"/>
          <w:color w:val="auto"/>
          <w:lang w:val="zh-CN"/>
        </w:rPr>
      </w:pPr>
    </w:p>
    <w:p w14:paraId="61EB39D6">
      <w:pPr>
        <w:pStyle w:val="28"/>
        <w:rPr>
          <w:rFonts w:hint="eastAsia" w:ascii="宋体" w:hAnsi="宋体" w:eastAsia="宋体" w:cs="宋体"/>
          <w:color w:val="auto"/>
          <w:lang w:val="zh-CN"/>
        </w:rPr>
      </w:pPr>
    </w:p>
    <w:p w14:paraId="1A8C5CC3">
      <w:pPr>
        <w:autoSpaceDE w:val="0"/>
        <w:autoSpaceDN w:val="0"/>
        <w:adjustRightInd w:val="0"/>
        <w:spacing w:line="360" w:lineRule="auto"/>
        <w:jc w:val="center"/>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lang w:val="zh-CN"/>
        </w:rPr>
        <w:t>三、资格审查相关材料</w:t>
      </w:r>
    </w:p>
    <w:p w14:paraId="5BC145FF">
      <w:pPr>
        <w:keepNext w:val="0"/>
        <w:keepLines w:val="0"/>
        <w:pageBreakBefore w:val="0"/>
        <w:widowControl w:val="0"/>
        <w:kinsoku/>
        <w:wordWrap/>
        <w:overflowPunct/>
        <w:topLinePunct w:val="0"/>
        <w:autoSpaceDE w:val="0"/>
        <w:autoSpaceDN w:val="0"/>
        <w:bidi w:val="0"/>
        <w:adjustRightInd w:val="0"/>
        <w:spacing w:line="460" w:lineRule="exact"/>
        <w:jc w:val="center"/>
        <w:textAlignment w:val="auto"/>
        <w:rPr>
          <w:rFonts w:hint="eastAsia" w:ascii="宋体" w:hAnsi="宋体" w:eastAsia="宋体" w:cs="宋体"/>
          <w:b/>
          <w:snapToGrid w:val="0"/>
          <w:color w:val="auto"/>
          <w:kern w:val="0"/>
          <w:sz w:val="24"/>
          <w:szCs w:val="24"/>
        </w:rPr>
      </w:pPr>
      <w:r>
        <w:rPr>
          <w:rFonts w:hint="eastAsia" w:ascii="宋体" w:hAnsi="宋体" w:eastAsia="宋体" w:cs="宋体"/>
          <w:b/>
          <w:snapToGrid w:val="0"/>
          <w:color w:val="auto"/>
          <w:kern w:val="0"/>
          <w:sz w:val="24"/>
          <w:szCs w:val="24"/>
        </w:rPr>
        <w:t>3.1</w:t>
      </w:r>
      <w:r>
        <w:rPr>
          <w:rFonts w:hint="eastAsia" w:ascii="宋体" w:hAnsi="宋体" w:eastAsia="宋体" w:cs="宋体"/>
          <w:b/>
          <w:snapToGrid w:val="0"/>
          <w:color w:val="auto"/>
          <w:kern w:val="0"/>
          <w:sz w:val="24"/>
          <w:szCs w:val="24"/>
          <w:lang w:val="en-US" w:eastAsia="zh-CN"/>
        </w:rPr>
        <w:t xml:space="preserve"> </w:t>
      </w:r>
      <w:r>
        <w:rPr>
          <w:rFonts w:hint="eastAsia" w:ascii="宋体" w:hAnsi="宋体" w:eastAsia="宋体" w:cs="宋体"/>
          <w:b/>
          <w:snapToGrid w:val="0"/>
          <w:color w:val="auto"/>
          <w:kern w:val="0"/>
          <w:sz w:val="24"/>
          <w:szCs w:val="24"/>
        </w:rPr>
        <w:t>投</w:t>
      </w:r>
      <w:r>
        <w:rPr>
          <w:rFonts w:hint="eastAsia" w:ascii="宋体" w:hAnsi="宋体" w:eastAsia="宋体" w:cs="宋体"/>
          <w:b/>
          <w:snapToGrid w:val="0"/>
          <w:color w:val="auto"/>
          <w:kern w:val="0"/>
          <w:sz w:val="24"/>
          <w:szCs w:val="24"/>
          <w:lang w:val="en-US" w:eastAsia="zh-CN"/>
        </w:rPr>
        <w:t xml:space="preserve"> </w:t>
      </w:r>
      <w:r>
        <w:rPr>
          <w:rFonts w:hint="eastAsia" w:ascii="宋体" w:hAnsi="宋体" w:eastAsia="宋体" w:cs="宋体"/>
          <w:b/>
          <w:snapToGrid w:val="0"/>
          <w:color w:val="auto"/>
          <w:kern w:val="0"/>
          <w:sz w:val="24"/>
          <w:szCs w:val="24"/>
        </w:rPr>
        <w:t>标</w:t>
      </w:r>
      <w:r>
        <w:rPr>
          <w:rFonts w:hint="eastAsia" w:ascii="宋体" w:hAnsi="宋体" w:eastAsia="宋体" w:cs="宋体"/>
          <w:b/>
          <w:snapToGrid w:val="0"/>
          <w:color w:val="auto"/>
          <w:kern w:val="0"/>
          <w:sz w:val="24"/>
          <w:szCs w:val="24"/>
          <w:lang w:val="en-US" w:eastAsia="zh-CN"/>
        </w:rPr>
        <w:t xml:space="preserve"> </w:t>
      </w:r>
      <w:r>
        <w:rPr>
          <w:rFonts w:hint="eastAsia" w:ascii="宋体" w:hAnsi="宋体" w:eastAsia="宋体" w:cs="宋体"/>
          <w:b/>
          <w:snapToGrid w:val="0"/>
          <w:color w:val="auto"/>
          <w:kern w:val="0"/>
          <w:sz w:val="24"/>
          <w:szCs w:val="24"/>
        </w:rPr>
        <w:t>函</w:t>
      </w:r>
    </w:p>
    <w:p w14:paraId="554D6E68">
      <w:pPr>
        <w:pStyle w:val="9"/>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（采购人）</w:t>
      </w:r>
    </w:p>
    <w:p w14:paraId="6CB4F604">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根据贵方</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（项目名称</w:t>
      </w:r>
      <w:r>
        <w:rPr>
          <w:rFonts w:hint="eastAsia" w:ascii="宋体" w:hAnsi="宋体" w:eastAsia="宋体" w:cs="宋体"/>
          <w:color w:val="auto"/>
          <w:sz w:val="21"/>
          <w:szCs w:val="21"/>
          <w:u w:val="single"/>
        </w:rPr>
        <w:t>、</w:t>
      </w:r>
      <w:r>
        <w:rPr>
          <w:rFonts w:hint="eastAsia" w:ascii="宋体" w:hAnsi="宋体" w:eastAsia="宋体" w:cs="宋体"/>
          <w:color w:val="auto"/>
          <w:sz w:val="21"/>
          <w:szCs w:val="21"/>
          <w:u w:val="single"/>
          <w:lang w:val="en-US" w:eastAsia="zh-CN"/>
        </w:rPr>
        <w:t>标段</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采购的招标公告及投标邀请，</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（姓名和职务）</w:t>
      </w:r>
      <w:r>
        <w:rPr>
          <w:rFonts w:hint="eastAsia" w:ascii="宋体" w:hAnsi="宋体" w:eastAsia="宋体" w:cs="宋体"/>
          <w:color w:val="auto"/>
          <w:sz w:val="21"/>
          <w:szCs w:val="21"/>
        </w:rPr>
        <w:t>被正式授权并代表投标人</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（投标人名称、地址）</w:t>
      </w:r>
      <w:r>
        <w:rPr>
          <w:rFonts w:hint="eastAsia" w:ascii="宋体" w:hAnsi="宋体" w:eastAsia="宋体" w:cs="宋体"/>
          <w:color w:val="auto"/>
          <w:sz w:val="21"/>
          <w:szCs w:val="21"/>
        </w:rPr>
        <w:t>提交。</w:t>
      </w:r>
    </w:p>
    <w:p w14:paraId="2C61C210">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拟投入</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u w:val="single"/>
        </w:rPr>
        <w:t>项目名称</w:t>
      </w:r>
      <w:r>
        <w:rPr>
          <w:rFonts w:hint="eastAsia" w:ascii="宋体" w:hAnsi="宋体" w:eastAsia="宋体" w:cs="宋体"/>
          <w:color w:val="auto"/>
          <w:sz w:val="21"/>
          <w:szCs w:val="21"/>
          <w:u w:val="single"/>
        </w:rPr>
        <w:t>、</w:t>
      </w:r>
      <w:r>
        <w:rPr>
          <w:rFonts w:hint="eastAsia" w:ascii="宋体" w:hAnsi="宋体" w:eastAsia="宋体" w:cs="宋体"/>
          <w:color w:val="auto"/>
          <w:sz w:val="21"/>
          <w:szCs w:val="21"/>
          <w:u w:val="single"/>
          <w:lang w:val="en-US" w:eastAsia="zh-CN"/>
        </w:rPr>
        <w:t>标段</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rPr>
        <w:t>的项目负责人姓名：</w:t>
      </w:r>
    </w:p>
    <w:p w14:paraId="5F86CDC5">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我方确认收到贵方提供的</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（项目名称</w:t>
      </w:r>
      <w:r>
        <w:rPr>
          <w:rFonts w:hint="eastAsia" w:ascii="宋体" w:hAnsi="宋体" w:eastAsia="宋体" w:cs="宋体"/>
          <w:color w:val="auto"/>
          <w:sz w:val="21"/>
          <w:szCs w:val="21"/>
          <w:u w:val="single"/>
        </w:rPr>
        <w:t>、</w:t>
      </w:r>
      <w:r>
        <w:rPr>
          <w:rFonts w:hint="eastAsia" w:ascii="宋体" w:hAnsi="宋体" w:eastAsia="宋体" w:cs="宋体"/>
          <w:color w:val="auto"/>
          <w:sz w:val="21"/>
          <w:szCs w:val="21"/>
          <w:u w:val="single"/>
          <w:lang w:val="en-US" w:eastAsia="zh-CN"/>
        </w:rPr>
        <w:t>标段</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招标文件的全部内容。</w:t>
      </w:r>
    </w:p>
    <w:p w14:paraId="227CCEC1">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已完全理解并接受招标文件的各项规定和要求及资金支付规定，对招标文件的合理性、合法性不再有异议，并承诺在发生争议时不会以对《招标文件》存在误解、不明白的条款为由，对贵中心行使任何法律上的抗辩权。</w:t>
      </w:r>
    </w:p>
    <w:p w14:paraId="6FB1D143">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我方已完全明白招标文件的所有条款要求，并</w:t>
      </w:r>
      <w:r>
        <w:rPr>
          <w:rFonts w:hint="eastAsia" w:ascii="宋体" w:hAnsi="宋体" w:eastAsia="宋体" w:cs="宋体"/>
          <w:color w:val="auto"/>
          <w:sz w:val="21"/>
          <w:szCs w:val="21"/>
          <w:lang w:val="en-US" w:eastAsia="zh-CN"/>
        </w:rPr>
        <w:t>声</w:t>
      </w:r>
      <w:r>
        <w:rPr>
          <w:rFonts w:hint="eastAsia" w:ascii="宋体" w:hAnsi="宋体" w:eastAsia="宋体" w:cs="宋体"/>
          <w:color w:val="auto"/>
          <w:sz w:val="21"/>
          <w:szCs w:val="21"/>
        </w:rPr>
        <w:t>明如下：</w:t>
      </w:r>
    </w:p>
    <w:p w14:paraId="796C3E8F">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一、按招标文件提供的全部货物与相关服务详见《开标一览表》。</w:t>
      </w:r>
    </w:p>
    <w:p w14:paraId="3C875371">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我方同意在本项目招标文件中规定的开标日起90天内遵守本投标文件中的承诺且在此期限期满之前均具有约束力。我方同意并遵守本招标文件“投标人须知”中第十四条第三款关于延长投标有效期的规定。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1FE67750">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三、我方明白并同意，在规定的开标日之后，投标有效期之内撤销投标的，则我方承担违背投标承诺的责任追究。</w:t>
      </w:r>
    </w:p>
    <w:p w14:paraId="54FC9954">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四、我方同意按照贵方可能提出的要求而提供与投标有关的任何</w:t>
      </w:r>
      <w:r>
        <w:rPr>
          <w:rFonts w:hint="eastAsia" w:ascii="宋体" w:hAnsi="宋体" w:eastAsia="宋体" w:cs="宋体"/>
          <w:color w:val="auto"/>
          <w:sz w:val="21"/>
          <w:szCs w:val="21"/>
          <w:lang w:eastAsia="zh-CN"/>
        </w:rPr>
        <w:t>其他数据</w:t>
      </w:r>
      <w:r>
        <w:rPr>
          <w:rFonts w:hint="eastAsia" w:ascii="宋体" w:hAnsi="宋体" w:eastAsia="宋体" w:cs="宋体"/>
          <w:color w:val="auto"/>
          <w:sz w:val="21"/>
          <w:szCs w:val="21"/>
        </w:rPr>
        <w:t>、信息或资料。</w:t>
      </w:r>
    </w:p>
    <w:p w14:paraId="6020A9E1">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五、我方理解贵方不一定接受最低投标价或任何贵方可能收到的投标。</w:t>
      </w:r>
    </w:p>
    <w:p w14:paraId="57CA0809">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六、我方如果中标，将保证履行招标文件及其澄清、修改文件（如果有）中的全部责任和义务，按质、按量、按期完成《项目需求》及《合同书》中的全部任务。</w:t>
      </w:r>
    </w:p>
    <w:p w14:paraId="2286B635">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七、我方在此保证所提交的所有文件和全部说明是真实的和正确的。</w:t>
      </w:r>
    </w:p>
    <w:p w14:paraId="1B436233">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八、我方投标报价已包含应向知识产权所有权人支付的所有相关税费，并保证采购人在中国使用我方提供的货物时，如有第三方提出侵犯其知识产权主张的，责任由我方承担。 </w:t>
      </w:r>
    </w:p>
    <w:p w14:paraId="57689C8F">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九、我方具备《中华人民共和国政府采购法》第二十二条规定的条件；承诺如下：</w:t>
      </w:r>
    </w:p>
    <w:p w14:paraId="2769616B">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 具有独立承担民事责任能力的在中华人民共和国境内注册的法人或其他组织或自然人，有效的营业执照（或事业法人登记证或身份证等相关证明）。</w:t>
      </w:r>
    </w:p>
    <w:p w14:paraId="0020E7B2">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 我方已依法缴纳了各项税费及社会保险费用，如有需要，可随时向采购人提供近一年内任意一个月的相关缴费证明，以便核查。</w:t>
      </w:r>
    </w:p>
    <w:p w14:paraId="5454953D">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 我方已依法建立健全的财务会计制度，如有需要，可随时向采购人提供相关证明材料，以便核查。</w:t>
      </w:r>
    </w:p>
    <w:p w14:paraId="1AE39995">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 参加政府采购活动前三年内，在经营活动中没有重大违法记录。</w:t>
      </w:r>
    </w:p>
    <w:p w14:paraId="113CC229">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 符合法律、行政法规规定的其他条件。</w:t>
      </w:r>
    </w:p>
    <w:p w14:paraId="3711D2B3">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以上内容如有虚假或与事实不符的，评审委员会可将我方</w:t>
      </w:r>
      <w:r>
        <w:rPr>
          <w:rFonts w:hint="eastAsia" w:ascii="宋体" w:hAnsi="宋体" w:eastAsia="宋体" w:cs="宋体"/>
          <w:color w:val="auto"/>
          <w:sz w:val="21"/>
          <w:szCs w:val="21"/>
          <w:lang w:eastAsia="zh-CN"/>
        </w:rPr>
        <w:t>作</w:t>
      </w:r>
      <w:r>
        <w:rPr>
          <w:rFonts w:hint="eastAsia" w:ascii="宋体" w:hAnsi="宋体" w:eastAsia="宋体" w:cs="宋体"/>
          <w:color w:val="auto"/>
          <w:sz w:val="21"/>
          <w:szCs w:val="21"/>
        </w:rPr>
        <w:t>无效投标处理，我方愿意承担相应的法律责任。</w:t>
      </w:r>
    </w:p>
    <w:p w14:paraId="4E362D26">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十、我方具备履行合同所必需的设备和专业技术能力。</w:t>
      </w:r>
    </w:p>
    <w:p w14:paraId="0F7CE8BA">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十一、我方对在本函及投标文件中所作的所有承诺承担法律责任。</w:t>
      </w:r>
    </w:p>
    <w:p w14:paraId="6FC66495">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十二、若我方中标，愿意按豫招协〔2023〕002规定向代理机构支付招标代理服务费。</w:t>
      </w:r>
    </w:p>
    <w:p w14:paraId="20A67073">
      <w:pPr>
        <w:pStyle w:val="9"/>
        <w:keepNext w:val="0"/>
        <w:keepLines w:val="0"/>
        <w:pageBreakBefore w:val="0"/>
        <w:widowControl w:val="0"/>
        <w:kinsoku/>
        <w:wordWrap/>
        <w:overflowPunct/>
        <w:topLinePunct w:val="0"/>
        <w:bidi w:val="0"/>
        <w:adjustRightInd w:val="0"/>
        <w:snapToGrid w:val="0"/>
        <w:spacing w:line="460" w:lineRule="exact"/>
        <w:ind w:left="5250"/>
        <w:textAlignment w:val="auto"/>
        <w:rPr>
          <w:rFonts w:hint="eastAsia" w:ascii="宋体" w:hAnsi="宋体" w:eastAsia="宋体" w:cs="宋体"/>
          <w:color w:val="auto"/>
          <w:sz w:val="21"/>
          <w:szCs w:val="21"/>
        </w:rPr>
      </w:pPr>
    </w:p>
    <w:p w14:paraId="349B24E3">
      <w:pPr>
        <w:pStyle w:val="9"/>
        <w:keepNext w:val="0"/>
        <w:keepLines w:val="0"/>
        <w:pageBreakBefore w:val="0"/>
        <w:widowControl w:val="0"/>
        <w:kinsoku/>
        <w:wordWrap/>
        <w:overflowPunct/>
        <w:topLinePunct w:val="0"/>
        <w:bidi w:val="0"/>
        <w:adjustRightInd w:val="0"/>
        <w:snapToGrid w:val="0"/>
        <w:spacing w:line="460" w:lineRule="exact"/>
        <w:ind w:left="5250"/>
        <w:textAlignment w:val="auto"/>
        <w:rPr>
          <w:rFonts w:hint="eastAsia" w:ascii="宋体" w:hAnsi="宋体" w:eastAsia="宋体" w:cs="宋体"/>
          <w:color w:val="auto"/>
          <w:sz w:val="21"/>
          <w:szCs w:val="21"/>
        </w:rPr>
      </w:pPr>
    </w:p>
    <w:p w14:paraId="54C43B06">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所有与</w:t>
      </w:r>
      <w:r>
        <w:rPr>
          <w:rFonts w:hint="eastAsia" w:ascii="宋体" w:hAnsi="宋体" w:eastAsia="宋体" w:cs="宋体"/>
          <w:color w:val="auto"/>
          <w:sz w:val="21"/>
          <w:szCs w:val="21"/>
          <w:lang w:eastAsia="zh-CN"/>
        </w:rPr>
        <w:t>本次</w:t>
      </w:r>
      <w:r>
        <w:rPr>
          <w:rFonts w:hint="eastAsia" w:ascii="宋体" w:hAnsi="宋体" w:eastAsia="宋体" w:cs="宋体"/>
          <w:color w:val="auto"/>
          <w:sz w:val="21"/>
          <w:szCs w:val="21"/>
        </w:rPr>
        <w:t>招标有关的一切正式往来请寄：</w:t>
      </w:r>
    </w:p>
    <w:p w14:paraId="6FD807A7">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    址：  邮政编码：</w:t>
      </w:r>
    </w:p>
    <w:p w14:paraId="1733324C">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电    话：  传    真：</w:t>
      </w:r>
    </w:p>
    <w:p w14:paraId="085CDA98">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投标人代表姓名：  职    务：</w:t>
      </w:r>
    </w:p>
    <w:p w14:paraId="3E5321CB">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p>
    <w:p w14:paraId="24F7303E">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p>
    <w:p w14:paraId="615F6869">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投标人法定代表人（或法定代表人授权代表）签字或盖章：</w:t>
      </w:r>
    </w:p>
    <w:p w14:paraId="2827CD51">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投标人名称（盖章）：</w:t>
      </w:r>
    </w:p>
    <w:p w14:paraId="17B225DB">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日期：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w:t>
      </w:r>
    </w:p>
    <w:p w14:paraId="704103B0">
      <w:pPr>
        <w:adjustRightInd w:val="0"/>
        <w:snapToGrid w:val="0"/>
        <w:spacing w:line="360" w:lineRule="auto"/>
        <w:rPr>
          <w:rFonts w:hint="eastAsia" w:ascii="宋体" w:hAnsi="宋体" w:eastAsia="宋体" w:cs="宋体"/>
          <w:color w:val="auto"/>
          <w:szCs w:val="21"/>
          <w:u w:val="single"/>
        </w:rPr>
      </w:pPr>
    </w:p>
    <w:p w14:paraId="535AAD7E">
      <w:pPr>
        <w:spacing w:line="480" w:lineRule="exact"/>
        <w:jc w:val="center"/>
        <w:rPr>
          <w:rFonts w:hint="eastAsia" w:ascii="宋体" w:hAnsi="宋体" w:eastAsia="宋体" w:cs="宋体"/>
          <w:b/>
          <w:bCs/>
          <w:color w:val="auto"/>
          <w:sz w:val="24"/>
          <w:szCs w:val="24"/>
        </w:rPr>
      </w:pPr>
    </w:p>
    <w:p w14:paraId="4C700BBD">
      <w:pPr>
        <w:pStyle w:val="17"/>
        <w:ind w:firstLine="480"/>
        <w:rPr>
          <w:rFonts w:hint="eastAsia" w:ascii="宋体" w:hAnsi="宋体" w:eastAsia="宋体" w:cs="宋体"/>
          <w:color w:val="auto"/>
        </w:rPr>
      </w:pPr>
    </w:p>
    <w:p w14:paraId="4FAA51D3">
      <w:pPr>
        <w:rPr>
          <w:rFonts w:hint="eastAsia" w:ascii="宋体" w:hAnsi="宋体" w:eastAsia="宋体" w:cs="宋体"/>
          <w:color w:val="auto"/>
        </w:rPr>
      </w:pPr>
    </w:p>
    <w:p w14:paraId="5D187733">
      <w:pPr>
        <w:rPr>
          <w:rFonts w:hint="eastAsia" w:ascii="宋体" w:hAnsi="宋体" w:eastAsia="宋体" w:cs="宋体"/>
          <w:color w:val="auto"/>
        </w:rPr>
      </w:pPr>
    </w:p>
    <w:p w14:paraId="7097E3A8">
      <w:pPr>
        <w:spacing w:line="480" w:lineRule="exact"/>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3.2法定代表人（单位负责人）资格证明书</w:t>
      </w:r>
    </w:p>
    <w:p w14:paraId="7985DCB3">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单位名称：</w:t>
      </w:r>
    </w:p>
    <w:p w14:paraId="00079ED8">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地址：</w:t>
      </w:r>
    </w:p>
    <w:p w14:paraId="2DF9D133">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姓名：       性别：     年龄：     职务：</w:t>
      </w:r>
    </w:p>
    <w:p w14:paraId="516A1174">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本人系</w:t>
      </w:r>
      <w:r>
        <w:rPr>
          <w:rFonts w:hint="eastAsia" w:ascii="宋体" w:hAnsi="宋体" w:eastAsia="宋体" w:cs="宋体"/>
          <w:i w:val="0"/>
          <w:iCs/>
          <w:snapToGrid w:val="0"/>
          <w:color w:val="auto"/>
          <w:sz w:val="21"/>
          <w:szCs w:val="21"/>
          <w:u w:val="single"/>
        </w:rPr>
        <w:t>投标人名称</w:t>
      </w:r>
      <w:r>
        <w:rPr>
          <w:rFonts w:hint="eastAsia" w:ascii="宋体" w:hAnsi="宋体" w:eastAsia="宋体" w:cs="宋体"/>
          <w:color w:val="auto"/>
          <w:sz w:val="21"/>
          <w:szCs w:val="21"/>
        </w:rPr>
        <w:t>的法定代表人（单位负责人）。就参加贵方招标编号为</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的</w:t>
      </w:r>
      <w:r>
        <w:rPr>
          <w:rFonts w:hint="eastAsia" w:ascii="宋体" w:hAnsi="宋体" w:eastAsia="宋体" w:cs="宋体"/>
          <w:i w:val="0"/>
          <w:iCs/>
          <w:color w:val="auto"/>
          <w:sz w:val="21"/>
          <w:szCs w:val="21"/>
          <w:u w:val="single"/>
        </w:rPr>
        <w:t>项目名称、标段</w:t>
      </w:r>
      <w:r>
        <w:rPr>
          <w:rFonts w:hint="eastAsia" w:ascii="宋体" w:hAnsi="宋体" w:eastAsia="宋体" w:cs="宋体"/>
          <w:i w:val="0"/>
          <w:iCs/>
          <w:color w:val="auto"/>
          <w:sz w:val="21"/>
          <w:szCs w:val="21"/>
        </w:rPr>
        <w:t>公</w:t>
      </w:r>
      <w:r>
        <w:rPr>
          <w:rFonts w:hint="eastAsia" w:ascii="宋体" w:hAnsi="宋体" w:eastAsia="宋体" w:cs="宋体"/>
          <w:color w:val="auto"/>
          <w:sz w:val="21"/>
          <w:szCs w:val="21"/>
        </w:rPr>
        <w:t>开招标项目的投标报价，签署上述项目的投标文件及合同的执行、完成、服务和保修，签署合同和处理与之有关的一切事务。</w:t>
      </w:r>
    </w:p>
    <w:p w14:paraId="13227D3F">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特此证明。</w:t>
      </w:r>
    </w:p>
    <w:p w14:paraId="1647519F">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法定代表人（单位负责人）联系电话（手机）：</w:t>
      </w:r>
    </w:p>
    <w:p w14:paraId="48DD6846">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p>
    <w:p w14:paraId="00281E96">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p>
    <w:p w14:paraId="4EF34995">
      <w:pPr>
        <w:pStyle w:val="35"/>
        <w:keepNext w:val="0"/>
        <w:keepLines w:val="0"/>
        <w:pageBreakBefore w:val="0"/>
        <w:widowControl w:val="0"/>
        <w:kinsoku/>
        <w:wordWrap/>
        <w:overflowPunct/>
        <w:topLinePunct w:val="0"/>
        <w:bidi w:val="0"/>
        <w:spacing w:line="460" w:lineRule="exact"/>
        <w:ind w:left="-538" w:leftChars="-256" w:firstLine="539" w:firstLineChars="257"/>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【此处请粘贴法定代表人（单位负责人）身份证复印件，需清晰反映身份证有效期限】</w:t>
      </w:r>
    </w:p>
    <w:p w14:paraId="7E2C495E">
      <w:pPr>
        <w:pStyle w:val="35"/>
        <w:keepNext w:val="0"/>
        <w:keepLines w:val="0"/>
        <w:pageBreakBefore w:val="0"/>
        <w:widowControl w:val="0"/>
        <w:kinsoku/>
        <w:wordWrap/>
        <w:overflowPunct/>
        <w:topLinePunct w:val="0"/>
        <w:bidi w:val="0"/>
        <w:spacing w:line="460" w:lineRule="exact"/>
        <w:ind w:left="-538" w:leftChars="-256" w:firstLine="539" w:firstLineChars="257"/>
        <w:jc w:val="center"/>
        <w:rPr>
          <w:rFonts w:hint="eastAsia" w:ascii="宋体" w:hAnsi="宋体" w:eastAsia="宋体" w:cs="宋体"/>
          <w:bCs/>
          <w:color w:val="auto"/>
          <w:sz w:val="21"/>
          <w:szCs w:val="21"/>
        </w:rPr>
      </w:pPr>
    </w:p>
    <w:p w14:paraId="3231DC32">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26EE8861">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0D981D37">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365FD8BF">
      <w:pPr>
        <w:keepNext w:val="0"/>
        <w:keepLines w:val="0"/>
        <w:pageBreakBefore w:val="0"/>
        <w:widowControl w:val="0"/>
        <w:kinsoku/>
        <w:wordWrap/>
        <w:overflowPunct/>
        <w:topLinePunct w:val="0"/>
        <w:bidi w:val="0"/>
        <w:adjustRightInd w:val="0"/>
        <w:snapToGrid w:val="0"/>
        <w:spacing w:line="460" w:lineRule="exact"/>
        <w:ind w:firstLine="3885" w:firstLineChars="1850"/>
        <w:rPr>
          <w:rFonts w:hint="eastAsia" w:ascii="宋体" w:hAnsi="宋体" w:eastAsia="宋体" w:cs="宋体"/>
          <w:color w:val="auto"/>
          <w:szCs w:val="21"/>
        </w:rPr>
      </w:pPr>
      <w:r>
        <w:rPr>
          <w:rFonts w:hint="eastAsia" w:ascii="宋体" w:hAnsi="宋体" w:eastAsia="宋体" w:cs="宋体"/>
          <w:color w:val="auto"/>
          <w:szCs w:val="21"/>
        </w:rPr>
        <w:t>投标人名称（并加盖公章）：</w:t>
      </w:r>
    </w:p>
    <w:p w14:paraId="71F8A1A1">
      <w:pPr>
        <w:pStyle w:val="36"/>
        <w:keepNext w:val="0"/>
        <w:keepLines w:val="0"/>
        <w:pageBreakBefore w:val="0"/>
        <w:widowControl w:val="0"/>
        <w:kinsoku/>
        <w:wordWrap/>
        <w:overflowPunct/>
        <w:topLinePunct w:val="0"/>
        <w:bidi w:val="0"/>
        <w:spacing w:line="460" w:lineRule="exact"/>
        <w:ind w:firstLine="3937" w:firstLineChars="1875"/>
        <w:rPr>
          <w:rFonts w:hint="eastAsia" w:ascii="宋体" w:hAnsi="宋体" w:eastAsia="宋体" w:cs="宋体"/>
          <w:color w:val="auto"/>
          <w:sz w:val="21"/>
          <w:szCs w:val="21"/>
        </w:rPr>
      </w:pPr>
      <w:r>
        <w:rPr>
          <w:rFonts w:hint="eastAsia" w:ascii="宋体" w:hAnsi="宋体" w:eastAsia="宋体" w:cs="宋体"/>
          <w:color w:val="auto"/>
          <w:sz w:val="21"/>
          <w:szCs w:val="21"/>
        </w:rPr>
        <w:t>签署日期：   年   月  日</w:t>
      </w:r>
    </w:p>
    <w:p w14:paraId="0807D3E3">
      <w:pPr>
        <w:pStyle w:val="37"/>
        <w:keepNext w:val="0"/>
        <w:keepLines w:val="0"/>
        <w:pageBreakBefore w:val="0"/>
        <w:widowControl w:val="0"/>
        <w:kinsoku/>
        <w:wordWrap/>
        <w:overflowPunct/>
        <w:topLinePunct w:val="0"/>
        <w:bidi w:val="0"/>
        <w:spacing w:line="460" w:lineRule="exact"/>
        <w:rPr>
          <w:rFonts w:hint="eastAsia" w:ascii="宋体" w:hAnsi="宋体" w:eastAsia="宋体" w:cs="宋体"/>
          <w:color w:val="auto"/>
          <w:sz w:val="21"/>
          <w:szCs w:val="21"/>
        </w:rPr>
      </w:pPr>
    </w:p>
    <w:p w14:paraId="0D4B1339">
      <w:pPr>
        <w:keepNext w:val="0"/>
        <w:keepLines w:val="0"/>
        <w:pageBreakBefore w:val="0"/>
        <w:widowControl w:val="0"/>
        <w:kinsoku/>
        <w:wordWrap/>
        <w:overflowPunct/>
        <w:topLinePunct w:val="0"/>
        <w:bidi w:val="0"/>
        <w:spacing w:line="460" w:lineRule="exact"/>
        <w:rPr>
          <w:rFonts w:hint="eastAsia" w:ascii="宋体" w:hAnsi="宋体" w:eastAsia="宋体" w:cs="宋体"/>
          <w:color w:val="auto"/>
          <w:szCs w:val="21"/>
        </w:rPr>
      </w:pPr>
    </w:p>
    <w:p w14:paraId="19A95DD3">
      <w:pPr>
        <w:keepNext w:val="0"/>
        <w:keepLines w:val="0"/>
        <w:pageBreakBefore w:val="0"/>
        <w:widowControl w:val="0"/>
        <w:kinsoku/>
        <w:wordWrap/>
        <w:overflowPunct/>
        <w:topLinePunct w:val="0"/>
        <w:bidi w:val="0"/>
        <w:spacing w:line="460" w:lineRule="exact"/>
        <w:ind w:firstLine="420" w:firstLineChars="200"/>
        <w:rPr>
          <w:rFonts w:hint="eastAsia" w:ascii="宋体" w:hAnsi="宋体" w:eastAsia="宋体" w:cs="宋体"/>
          <w:bCs/>
          <w:color w:val="auto"/>
          <w:kern w:val="12"/>
          <w:szCs w:val="21"/>
        </w:rPr>
      </w:pPr>
      <w:r>
        <w:rPr>
          <w:rFonts w:hint="eastAsia" w:ascii="宋体" w:hAnsi="宋体" w:eastAsia="宋体" w:cs="宋体"/>
          <w:bCs/>
          <w:color w:val="auto"/>
          <w:kern w:val="12"/>
          <w:szCs w:val="21"/>
        </w:rPr>
        <w:t>说明：法定代表人（单位负责人）参加本招标项目投标的，仅需出具此证明书。</w:t>
      </w:r>
    </w:p>
    <w:p w14:paraId="0FD70E63">
      <w:pPr>
        <w:pStyle w:val="16"/>
        <w:ind w:firstLine="0" w:firstLineChars="0"/>
        <w:rPr>
          <w:rFonts w:hint="eastAsia" w:ascii="宋体" w:hAnsi="宋体" w:eastAsia="宋体" w:cs="宋体"/>
          <w:color w:val="auto"/>
        </w:rPr>
      </w:pPr>
    </w:p>
    <w:p w14:paraId="01A17C22">
      <w:pPr>
        <w:rPr>
          <w:rFonts w:hint="eastAsia" w:ascii="宋体" w:hAnsi="宋体" w:eastAsia="宋体" w:cs="宋体"/>
          <w:color w:val="auto"/>
        </w:rPr>
      </w:pPr>
    </w:p>
    <w:p w14:paraId="1BB44914">
      <w:pPr>
        <w:rPr>
          <w:rFonts w:hint="eastAsia" w:ascii="宋体" w:hAnsi="宋体" w:eastAsia="宋体" w:cs="宋体"/>
          <w:color w:val="auto"/>
        </w:rPr>
      </w:pPr>
    </w:p>
    <w:p w14:paraId="6A03623E">
      <w:pPr>
        <w:rPr>
          <w:rFonts w:hint="eastAsia" w:ascii="宋体" w:hAnsi="宋体" w:eastAsia="宋体" w:cs="宋体"/>
          <w:color w:val="auto"/>
        </w:rPr>
      </w:pPr>
    </w:p>
    <w:p w14:paraId="324BB9FD">
      <w:pPr>
        <w:pStyle w:val="11"/>
        <w:rPr>
          <w:rFonts w:hint="eastAsia" w:ascii="宋体" w:hAnsi="宋体" w:eastAsia="宋体" w:cs="宋体"/>
          <w:color w:val="auto"/>
        </w:rPr>
      </w:pPr>
    </w:p>
    <w:p w14:paraId="75FFCE39">
      <w:pPr>
        <w:rPr>
          <w:rFonts w:hint="eastAsia" w:ascii="宋体" w:hAnsi="宋体" w:eastAsia="宋体" w:cs="宋体"/>
          <w:color w:val="auto"/>
        </w:rPr>
      </w:pPr>
    </w:p>
    <w:p w14:paraId="79F4378E">
      <w:pPr>
        <w:pStyle w:val="11"/>
        <w:rPr>
          <w:rFonts w:hint="eastAsia" w:ascii="宋体" w:hAnsi="宋体" w:eastAsia="宋体" w:cs="宋体"/>
          <w:color w:val="auto"/>
        </w:rPr>
      </w:pPr>
    </w:p>
    <w:p w14:paraId="39BB60B4">
      <w:pPr>
        <w:rPr>
          <w:rFonts w:hint="eastAsia" w:ascii="宋体" w:hAnsi="宋体" w:eastAsia="宋体" w:cs="宋体"/>
          <w:color w:val="auto"/>
        </w:rPr>
      </w:pPr>
    </w:p>
    <w:p w14:paraId="5ECF66A6">
      <w:pPr>
        <w:pStyle w:val="11"/>
        <w:rPr>
          <w:rFonts w:hint="eastAsia" w:ascii="宋体" w:hAnsi="宋体" w:eastAsia="宋体" w:cs="宋体"/>
          <w:color w:val="auto"/>
        </w:rPr>
      </w:pPr>
    </w:p>
    <w:p w14:paraId="08589656">
      <w:pPr>
        <w:rPr>
          <w:rFonts w:hint="eastAsia" w:ascii="宋体" w:hAnsi="宋体" w:eastAsia="宋体" w:cs="宋体"/>
          <w:color w:val="auto"/>
        </w:rPr>
      </w:pPr>
    </w:p>
    <w:p w14:paraId="420AF626">
      <w:pPr>
        <w:pStyle w:val="11"/>
        <w:rPr>
          <w:rFonts w:hint="eastAsia" w:ascii="宋体" w:hAnsi="宋体" w:eastAsia="宋体" w:cs="宋体"/>
          <w:color w:val="auto"/>
        </w:rPr>
      </w:pPr>
    </w:p>
    <w:p w14:paraId="402E13B7">
      <w:pPr>
        <w:rPr>
          <w:rFonts w:hint="eastAsia" w:ascii="宋体" w:hAnsi="宋体" w:eastAsia="宋体" w:cs="宋体"/>
          <w:color w:val="auto"/>
        </w:rPr>
      </w:pPr>
    </w:p>
    <w:p w14:paraId="0FD9C16A">
      <w:pPr>
        <w:spacing w:line="48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3.3法定代表人（单位负责人）授权书</w:t>
      </w:r>
    </w:p>
    <w:p w14:paraId="5B6023C8">
      <w:pPr>
        <w:spacing w:line="480" w:lineRule="exact"/>
        <w:jc w:val="center"/>
        <w:rPr>
          <w:rFonts w:hint="eastAsia" w:ascii="宋体" w:hAnsi="宋体" w:eastAsia="宋体" w:cs="宋体"/>
          <w:b/>
          <w:bCs/>
          <w:color w:val="auto"/>
          <w:sz w:val="36"/>
          <w:szCs w:val="36"/>
        </w:rPr>
      </w:pPr>
    </w:p>
    <w:p w14:paraId="7D334C93">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本人</w:t>
      </w:r>
      <w:r>
        <w:rPr>
          <w:rFonts w:hint="eastAsia" w:ascii="宋体" w:hAnsi="宋体" w:eastAsia="宋体" w:cs="宋体"/>
          <w:color w:val="auto"/>
          <w:sz w:val="21"/>
          <w:szCs w:val="21"/>
          <w:u w:val="single"/>
        </w:rPr>
        <w:t xml:space="preserve">　 </w:t>
      </w:r>
      <w:r>
        <w:rPr>
          <w:rFonts w:hint="eastAsia" w:ascii="宋体" w:hAnsi="宋体" w:eastAsia="宋体" w:cs="宋体"/>
          <w:i/>
          <w:snapToGrid w:val="0"/>
          <w:color w:val="auto"/>
          <w:sz w:val="21"/>
          <w:szCs w:val="21"/>
          <w:u w:val="single"/>
        </w:rPr>
        <w:t>法人姓名</w:t>
      </w:r>
      <w:r>
        <w:rPr>
          <w:rFonts w:hint="eastAsia" w:ascii="宋体" w:hAnsi="宋体" w:eastAsia="宋体" w:cs="宋体"/>
          <w:color w:val="auto"/>
          <w:sz w:val="21"/>
          <w:szCs w:val="21"/>
        </w:rPr>
        <w:t>系</w:t>
      </w:r>
      <w:r>
        <w:rPr>
          <w:rFonts w:hint="eastAsia" w:ascii="宋体" w:hAnsi="宋体" w:eastAsia="宋体" w:cs="宋体"/>
          <w:color w:val="auto"/>
          <w:sz w:val="21"/>
          <w:szCs w:val="21"/>
          <w:u w:val="single"/>
        </w:rPr>
        <w:t>　</w:t>
      </w:r>
      <w:r>
        <w:rPr>
          <w:rFonts w:hint="eastAsia" w:ascii="宋体" w:hAnsi="宋体" w:eastAsia="宋体" w:cs="宋体"/>
          <w:i/>
          <w:snapToGrid w:val="0"/>
          <w:color w:val="auto"/>
          <w:sz w:val="21"/>
          <w:szCs w:val="21"/>
          <w:u w:val="single"/>
        </w:rPr>
        <w:t xml:space="preserve">投标人名称  </w:t>
      </w:r>
      <w:r>
        <w:rPr>
          <w:rFonts w:hint="eastAsia" w:ascii="宋体" w:hAnsi="宋体" w:eastAsia="宋体" w:cs="宋体"/>
          <w:color w:val="auto"/>
          <w:sz w:val="21"/>
          <w:szCs w:val="21"/>
        </w:rPr>
        <w:t>的法定代表人（单位负责人），现委托</w:t>
      </w:r>
      <w:r>
        <w:rPr>
          <w:rFonts w:hint="eastAsia" w:ascii="宋体" w:hAnsi="宋体" w:eastAsia="宋体" w:cs="宋体"/>
          <w:color w:val="auto"/>
          <w:sz w:val="21"/>
          <w:szCs w:val="21"/>
          <w:u w:val="single"/>
        </w:rPr>
        <w:t xml:space="preserve">　 </w:t>
      </w:r>
      <w:r>
        <w:rPr>
          <w:rFonts w:hint="eastAsia" w:ascii="宋体" w:hAnsi="宋体" w:eastAsia="宋体" w:cs="宋体"/>
          <w:i/>
          <w:snapToGrid w:val="0"/>
          <w:color w:val="auto"/>
          <w:sz w:val="21"/>
          <w:szCs w:val="21"/>
          <w:u w:val="single"/>
        </w:rPr>
        <w:t>姓名，职务</w:t>
      </w:r>
      <w:r>
        <w:rPr>
          <w:rFonts w:hint="eastAsia" w:ascii="宋体" w:hAnsi="宋体" w:eastAsia="宋体" w:cs="宋体"/>
          <w:color w:val="auto"/>
          <w:sz w:val="21"/>
          <w:szCs w:val="21"/>
        </w:rPr>
        <w:t>以我方的名义参加贵方</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的</w:t>
      </w:r>
      <w:r>
        <w:rPr>
          <w:rFonts w:hint="eastAsia" w:ascii="宋体" w:hAnsi="宋体" w:eastAsia="宋体" w:cs="宋体"/>
          <w:i w:val="0"/>
          <w:iCs/>
          <w:color w:val="auto"/>
          <w:sz w:val="21"/>
          <w:szCs w:val="21"/>
          <w:u w:val="single"/>
        </w:rPr>
        <w:t xml:space="preserve">项目名称、标段 </w:t>
      </w:r>
      <w:r>
        <w:rPr>
          <w:rFonts w:hint="eastAsia" w:ascii="宋体" w:hAnsi="宋体" w:eastAsia="宋体" w:cs="宋体"/>
          <w:i w:val="0"/>
          <w:iCs/>
          <w:color w:val="auto"/>
          <w:sz w:val="21"/>
          <w:szCs w:val="21"/>
        </w:rPr>
        <w:t>项</w:t>
      </w:r>
      <w:r>
        <w:rPr>
          <w:rFonts w:hint="eastAsia" w:ascii="宋体" w:hAnsi="宋体" w:eastAsia="宋体" w:cs="宋体"/>
          <w:color w:val="auto"/>
          <w:sz w:val="21"/>
          <w:szCs w:val="21"/>
        </w:rPr>
        <w:t>目的投标活动，并代表我方全权办理针对上述项目的投标、开标、投标文件澄清、签约等一切具体事务和签署相关文件。</w:t>
      </w:r>
    </w:p>
    <w:p w14:paraId="13C05043">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我方对被授权人的签名事项负全部责任。</w:t>
      </w:r>
    </w:p>
    <w:p w14:paraId="05CB9FE3">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2A66F648">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被授权人无转委托权，特此委托。</w:t>
      </w:r>
    </w:p>
    <w:p w14:paraId="01815FE0">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投标人名称： </w:t>
      </w:r>
      <w:r>
        <w:rPr>
          <w:rFonts w:hint="eastAsia" w:ascii="宋体" w:hAnsi="宋体" w:eastAsia="宋体" w:cs="宋体"/>
          <w:color w:val="auto"/>
          <w:sz w:val="21"/>
          <w:szCs w:val="21"/>
          <w:u w:val="single"/>
        </w:rPr>
        <w:t xml:space="preserve">       （全称）       </w:t>
      </w:r>
      <w:r>
        <w:rPr>
          <w:rFonts w:hint="eastAsia" w:ascii="宋体" w:hAnsi="宋体" w:eastAsia="宋体" w:cs="宋体"/>
          <w:color w:val="auto"/>
          <w:sz w:val="21"/>
          <w:szCs w:val="21"/>
        </w:rPr>
        <w:t xml:space="preserve"> （加盖单位公章）</w:t>
      </w:r>
    </w:p>
    <w:p w14:paraId="1DB527E3">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 （签名或加盖名章）</w:t>
      </w:r>
    </w:p>
    <w:p w14:paraId="2798743C">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  （签名或加盖名章）</w:t>
      </w:r>
    </w:p>
    <w:p w14:paraId="6558272B">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法定代表人（单位负责人）授权代表联系电话（手机）：</w:t>
      </w:r>
    </w:p>
    <w:tbl>
      <w:tblPr>
        <w:tblStyle w:val="18"/>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2"/>
        <w:gridCol w:w="7"/>
        <w:gridCol w:w="4466"/>
        <w:gridCol w:w="14"/>
      </w:tblGrid>
      <w:tr w14:paraId="6C153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348" w:hRule="atLeast"/>
        </w:trPr>
        <w:tc>
          <w:tcPr>
            <w:tcW w:w="4472" w:type="dxa"/>
            <w:vAlign w:val="center"/>
          </w:tcPr>
          <w:p w14:paraId="6BF05416">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法定代表人（单位负责人）身份证（反面）</w:t>
            </w:r>
          </w:p>
        </w:tc>
        <w:tc>
          <w:tcPr>
            <w:tcW w:w="4473" w:type="dxa"/>
            <w:gridSpan w:val="2"/>
            <w:vAlign w:val="center"/>
          </w:tcPr>
          <w:p w14:paraId="22EA5AEE">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法定代表人（单位负责人）身份证（正面）</w:t>
            </w:r>
          </w:p>
        </w:tc>
      </w:tr>
      <w:tr w14:paraId="7DD1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5" w:hRule="atLeast"/>
        </w:trPr>
        <w:tc>
          <w:tcPr>
            <w:tcW w:w="4479" w:type="dxa"/>
            <w:gridSpan w:val="2"/>
            <w:vAlign w:val="center"/>
          </w:tcPr>
          <w:p w14:paraId="0DD96F57">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法定代表人（单位负责人）授权代表身份证</w:t>
            </w:r>
          </w:p>
          <w:p w14:paraId="50E156EF">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（反面）</w:t>
            </w:r>
          </w:p>
        </w:tc>
        <w:tc>
          <w:tcPr>
            <w:tcW w:w="4480" w:type="dxa"/>
            <w:gridSpan w:val="2"/>
            <w:vAlign w:val="center"/>
          </w:tcPr>
          <w:p w14:paraId="233102A2">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法定代表人（单位负责人）授权代表身份证</w:t>
            </w:r>
          </w:p>
          <w:p w14:paraId="1AED4941">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（正面）</w:t>
            </w:r>
          </w:p>
        </w:tc>
      </w:tr>
    </w:tbl>
    <w:p w14:paraId="0BAE3D4D">
      <w:pPr>
        <w:widowControl/>
        <w:spacing w:before="100" w:beforeAutospacing="1" w:after="100" w:afterAutospacing="1" w:line="360" w:lineRule="auto"/>
        <w:jc w:val="center"/>
        <w:rPr>
          <w:rFonts w:hint="eastAsia" w:ascii="宋体" w:hAnsi="宋体" w:eastAsia="宋体" w:cs="宋体"/>
          <w:b/>
          <w:bCs/>
          <w:color w:val="auto"/>
          <w:sz w:val="24"/>
          <w:szCs w:val="24"/>
        </w:rPr>
      </w:pPr>
    </w:p>
    <w:p w14:paraId="5753E529">
      <w:pPr>
        <w:widowControl/>
        <w:spacing w:before="100" w:beforeAutospacing="1" w:after="100" w:afterAutospacing="1" w:line="360" w:lineRule="auto"/>
        <w:jc w:val="center"/>
        <w:rPr>
          <w:rFonts w:hint="eastAsia" w:ascii="宋体" w:hAnsi="宋体" w:eastAsia="宋体" w:cs="宋体"/>
          <w:b/>
          <w:bCs/>
          <w:color w:val="auto"/>
          <w:sz w:val="24"/>
          <w:szCs w:val="24"/>
        </w:rPr>
      </w:pPr>
    </w:p>
    <w:p w14:paraId="52A5D9C5">
      <w:pPr>
        <w:pStyle w:val="11"/>
        <w:rPr>
          <w:rFonts w:hint="eastAsia" w:ascii="宋体" w:hAnsi="宋体" w:eastAsia="宋体" w:cs="宋体"/>
          <w:b/>
          <w:bCs/>
          <w:color w:val="auto"/>
          <w:sz w:val="24"/>
          <w:szCs w:val="24"/>
        </w:rPr>
      </w:pPr>
    </w:p>
    <w:p w14:paraId="7C8DF019">
      <w:pPr>
        <w:pStyle w:val="11"/>
        <w:rPr>
          <w:rFonts w:hint="eastAsia" w:ascii="宋体" w:hAnsi="宋体" w:eastAsia="宋体" w:cs="宋体"/>
          <w:b/>
          <w:bCs/>
          <w:color w:val="auto"/>
          <w:sz w:val="24"/>
          <w:szCs w:val="24"/>
        </w:rPr>
      </w:pPr>
    </w:p>
    <w:p w14:paraId="7F5EBAB4">
      <w:pPr>
        <w:rPr>
          <w:rFonts w:hint="eastAsia" w:ascii="宋体" w:hAnsi="宋体" w:eastAsia="宋体" w:cs="宋体"/>
          <w:color w:val="auto"/>
        </w:rPr>
      </w:pPr>
    </w:p>
    <w:p w14:paraId="40A6F46A">
      <w:pPr>
        <w:spacing w:line="480" w:lineRule="exact"/>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3.4禹州市政府采购供应商信用承诺函</w:t>
      </w:r>
    </w:p>
    <w:p w14:paraId="0B3ACBE5">
      <w:pPr>
        <w:adjustRightInd w:val="0"/>
        <w:spacing w:line="360" w:lineRule="auto"/>
        <w:ind w:firstLine="441" w:firstLineChars="210"/>
        <w:contextualSpacing/>
        <w:rPr>
          <w:rFonts w:hint="eastAsia" w:ascii="宋体" w:hAnsi="宋体" w:eastAsia="宋体" w:cs="宋体"/>
          <w:color w:val="auto"/>
          <w:szCs w:val="21"/>
        </w:rPr>
      </w:pPr>
    </w:p>
    <w:p w14:paraId="5502A4AD">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致（采购人或采购代理机构）： </w:t>
      </w:r>
    </w:p>
    <w:p w14:paraId="1101FFEB">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单位名称（自然人姓名）</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45A17DBD">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统一社会信用代码（身份证号码）</w:t>
      </w:r>
      <w:r>
        <w:rPr>
          <w:rFonts w:hint="eastAsia" w:ascii="宋体" w:hAnsi="宋体" w:eastAsia="宋体" w:cs="宋体"/>
          <w:color w:val="auto"/>
          <w:sz w:val="21"/>
          <w:szCs w:val="21"/>
          <w:lang w:eastAsia="zh-CN"/>
        </w:rPr>
        <w:t>：</w:t>
      </w:r>
    </w:p>
    <w:p w14:paraId="5174CAAD">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法定代表人（负责人）</w:t>
      </w:r>
      <w:r>
        <w:rPr>
          <w:rFonts w:hint="eastAsia" w:ascii="宋体" w:hAnsi="宋体" w:eastAsia="宋体" w:cs="宋体"/>
          <w:color w:val="auto"/>
          <w:sz w:val="21"/>
          <w:szCs w:val="21"/>
          <w:lang w:eastAsia="zh-CN"/>
        </w:rPr>
        <w:t>：</w:t>
      </w:r>
    </w:p>
    <w:p w14:paraId="6D6C43FE">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联系地址和电话：</w:t>
      </w:r>
    </w:p>
    <w:p w14:paraId="6D7398E8">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为维护公平、公正、公开的政府采购市场秩序，树立诚实守信的政府采购供应商形象，我单位（本人）自愿作出以下承诺： </w:t>
      </w:r>
    </w:p>
    <w:p w14:paraId="2223FE8B">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 </w:t>
      </w:r>
    </w:p>
    <w:p w14:paraId="3EA57549">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（一）具有独立承担民事责任的能力； </w:t>
      </w:r>
    </w:p>
    <w:p w14:paraId="25A35302">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（二）具有良好的商业信誉和健全的财务会计制度； </w:t>
      </w:r>
    </w:p>
    <w:p w14:paraId="067DAD1A">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（三）具有履行合同所必需的设备和专业技术能力； </w:t>
      </w:r>
    </w:p>
    <w:p w14:paraId="56207885">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（四）有依法缴纳税收和社会保障资金的良好记录； </w:t>
      </w:r>
    </w:p>
    <w:p w14:paraId="58D04933">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（五）参加政府采购活动前三年内，在经营活动中没有重大违法记录； </w:t>
      </w:r>
    </w:p>
    <w:p w14:paraId="399607F7">
      <w:pPr>
        <w:keepNext w:val="0"/>
        <w:keepLines w:val="0"/>
        <w:pageBreakBefore w:val="0"/>
        <w:kinsoku/>
        <w:wordWrap/>
        <w:overflowPunct/>
        <w:topLinePunct w:val="0"/>
        <w:autoSpaceDE/>
        <w:autoSpaceDN/>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（六）未被列入经营异常名录或者严重违法失信名单、失信被执行人，重大税收违法失信主体、政府采购严重违法失信行为记录名单； </w:t>
      </w:r>
    </w:p>
    <w:p w14:paraId="51BB3FA5">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（七）未被相关监管部门作出行政处罚且尚在处罚有效期的； </w:t>
      </w:r>
    </w:p>
    <w:p w14:paraId="740065CA">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（八）未曾作出虚假采购承诺； </w:t>
      </w:r>
    </w:p>
    <w:p w14:paraId="5C7B4509">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（九）符合法律、行政法规规定的其他条件。 </w:t>
      </w:r>
    </w:p>
    <w:p w14:paraId="7B21C08C">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二、我单位（本人）保证上述承诺事项的真实性。如有弄虚作假或其他违法违规行为，自愿按照规定将违背承诺行为作为失信行为记录到社会信用信息平台，并视同为“提供虚假材料谋取中标、成交”按照《中华人民共和国政府采购法》第七十</w:t>
      </w:r>
      <w:r>
        <w:rPr>
          <w:rFonts w:hint="eastAsia" w:ascii="宋体" w:hAnsi="宋体" w:eastAsia="宋体" w:cs="宋体"/>
          <w:color w:val="auto"/>
          <w:sz w:val="21"/>
          <w:szCs w:val="21"/>
          <w:lang w:eastAsia="zh-CN"/>
        </w:rPr>
        <w:t>七条、第</w:t>
      </w:r>
      <w:r>
        <w:rPr>
          <w:rFonts w:hint="eastAsia" w:ascii="宋体" w:hAnsi="宋体" w:eastAsia="宋体" w:cs="宋体"/>
          <w:color w:val="auto"/>
          <w:sz w:val="21"/>
          <w:szCs w:val="21"/>
        </w:rPr>
        <w:t xml:space="preserve">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57C69036">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供应商（电子章）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4E34FB10">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法定代表人、负责人、本人或授权代表（签字或电子印章）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159AD11C">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日期：   年   月   日 </w:t>
      </w:r>
    </w:p>
    <w:p w14:paraId="1270FB68">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注：</w:t>
      </w:r>
    </w:p>
    <w:p w14:paraId="2645F45E">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 xml:space="preserve">1.投标人须在投标文件中按此模板提供承诺函，未提供视为未实质性响应招标文件要求，按无效投标处理。 </w:t>
      </w:r>
    </w:p>
    <w:p w14:paraId="1EF6A2D8">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2.投标人的法定代表人或者授权代表的签字或盖章应真实、有效，如由授权代表签字或盖章的，应提供“法定代表人授权书”。</w:t>
      </w:r>
    </w:p>
    <w:p w14:paraId="0613FB37">
      <w:pPr>
        <w:keepNext w:val="0"/>
        <w:keepLines w:val="0"/>
        <w:pageBreakBefore w:val="0"/>
        <w:kinsoku/>
        <w:wordWrap/>
        <w:overflowPunct/>
        <w:topLinePunct w:val="0"/>
        <w:autoSpaceDE/>
        <w:autoSpaceDN/>
        <w:bidi w:val="0"/>
        <w:adjustRightInd/>
        <w:snapToGrid/>
        <w:spacing w:line="460" w:lineRule="exact"/>
        <w:ind w:right="420" w:firstLine="4800" w:firstLineChars="2286"/>
        <w:textAlignment w:val="auto"/>
        <w:rPr>
          <w:rFonts w:hint="eastAsia" w:ascii="宋体" w:hAnsi="宋体" w:eastAsia="宋体" w:cs="宋体"/>
          <w:color w:val="auto"/>
          <w:sz w:val="21"/>
          <w:szCs w:val="21"/>
          <w:lang w:val="zh-CN"/>
        </w:rPr>
      </w:pPr>
    </w:p>
    <w:p w14:paraId="3F41E5BF">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3B2546A0">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58D0FCBA">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7E8B64C3">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77216663">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4BD762A1">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485E0CC8">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0BED3119">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5C83C1FF">
      <w:pPr>
        <w:pStyle w:val="16"/>
        <w:ind w:firstLine="340"/>
        <w:rPr>
          <w:rFonts w:hint="eastAsia" w:ascii="宋体" w:hAnsi="宋体" w:eastAsia="宋体" w:cs="宋体"/>
          <w:color w:val="auto"/>
          <w:lang w:val="zh-CN"/>
        </w:rPr>
      </w:pPr>
    </w:p>
    <w:p w14:paraId="4403F463">
      <w:pPr>
        <w:pStyle w:val="17"/>
        <w:ind w:firstLine="480"/>
        <w:rPr>
          <w:rFonts w:hint="eastAsia" w:ascii="宋体" w:hAnsi="宋体" w:eastAsia="宋体" w:cs="宋体"/>
          <w:color w:val="auto"/>
          <w:lang w:val="zh-CN"/>
        </w:rPr>
      </w:pPr>
    </w:p>
    <w:p w14:paraId="5893F077">
      <w:pPr>
        <w:pStyle w:val="16"/>
        <w:ind w:firstLine="0" w:firstLineChars="0"/>
        <w:rPr>
          <w:rFonts w:hint="eastAsia" w:ascii="宋体" w:hAnsi="宋体" w:eastAsia="宋体" w:cs="宋体"/>
          <w:color w:val="auto"/>
          <w:lang w:val="zh-CN"/>
        </w:rPr>
      </w:pPr>
    </w:p>
    <w:p w14:paraId="79A6A952">
      <w:pPr>
        <w:rPr>
          <w:rFonts w:hint="eastAsia" w:ascii="宋体" w:hAnsi="宋体" w:eastAsia="宋体" w:cs="宋体"/>
          <w:color w:val="auto"/>
          <w:lang w:val="zh-CN"/>
        </w:rPr>
      </w:pPr>
    </w:p>
    <w:p w14:paraId="781D8965">
      <w:pPr>
        <w:rPr>
          <w:rFonts w:hint="eastAsia" w:ascii="宋体" w:hAnsi="宋体" w:eastAsia="宋体" w:cs="宋体"/>
          <w:color w:val="auto"/>
          <w:lang w:val="zh-CN"/>
        </w:rPr>
      </w:pPr>
    </w:p>
    <w:p w14:paraId="288C1E6A">
      <w:pPr>
        <w:pStyle w:val="7"/>
        <w:rPr>
          <w:rFonts w:hint="eastAsia" w:ascii="宋体" w:hAnsi="宋体" w:eastAsia="宋体" w:cs="宋体"/>
          <w:color w:val="auto"/>
          <w:lang w:val="zh-CN"/>
        </w:rPr>
      </w:pPr>
    </w:p>
    <w:p w14:paraId="552D1319">
      <w:pPr>
        <w:pStyle w:val="26"/>
        <w:rPr>
          <w:rFonts w:hint="eastAsia" w:ascii="宋体" w:hAnsi="宋体" w:eastAsia="宋体" w:cs="宋体"/>
          <w:color w:val="auto"/>
          <w:lang w:val="zh-CN"/>
        </w:rPr>
      </w:pPr>
    </w:p>
    <w:p w14:paraId="47FC2D77">
      <w:pPr>
        <w:rPr>
          <w:rFonts w:hint="eastAsia" w:ascii="宋体" w:hAnsi="宋体" w:eastAsia="宋体" w:cs="宋体"/>
          <w:color w:val="auto"/>
          <w:lang w:val="zh-CN"/>
        </w:rPr>
      </w:pPr>
    </w:p>
    <w:p w14:paraId="49B58C61">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3.5</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投标承诺函</w:t>
      </w:r>
    </w:p>
    <w:p w14:paraId="3F2C0CF4">
      <w:pPr>
        <w:autoSpaceDE w:val="0"/>
        <w:autoSpaceDN w:val="0"/>
        <w:snapToGrid w:val="0"/>
        <w:spacing w:line="360" w:lineRule="auto"/>
        <w:jc w:val="center"/>
        <w:rPr>
          <w:rFonts w:hint="eastAsia" w:ascii="宋体" w:hAnsi="宋体" w:eastAsia="宋体" w:cs="宋体"/>
          <w:b/>
          <w:bCs/>
          <w:color w:val="auto"/>
          <w:sz w:val="24"/>
          <w:szCs w:val="24"/>
        </w:rPr>
      </w:pPr>
    </w:p>
    <w:p w14:paraId="67FEDDF3">
      <w:pPr>
        <w:keepNext w:val="0"/>
        <w:keepLines w:val="0"/>
        <w:pageBreakBefore w:val="0"/>
        <w:widowControl w:val="0"/>
        <w:kinsoku/>
        <w:wordWrap/>
        <w:overflowPunct/>
        <w:topLinePunct w:val="0"/>
        <w:bidi w:val="0"/>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本企业郑重承诺：</w:t>
      </w:r>
    </w:p>
    <w:p w14:paraId="3AB2D26D">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经研究，我方自愿参与贵方</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年</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月</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日（</w:t>
      </w:r>
      <w:r>
        <w:rPr>
          <w:rFonts w:hint="eastAsia" w:ascii="宋体" w:hAnsi="宋体" w:eastAsia="宋体" w:cs="宋体"/>
          <w:color w:val="auto"/>
          <w:sz w:val="21"/>
          <w:szCs w:val="21"/>
          <w:lang w:val="en-US" w:eastAsia="zh-CN"/>
        </w:rPr>
        <w:t>填写开标日期）</w:t>
      </w:r>
      <w:r>
        <w:rPr>
          <w:rFonts w:hint="eastAsia" w:ascii="宋体" w:hAnsi="宋体" w:eastAsia="宋体" w:cs="宋体"/>
          <w:color w:val="auto"/>
          <w:sz w:val="21"/>
          <w:szCs w:val="21"/>
          <w:u w:val="single"/>
          <w:lang w:val="zh-CN"/>
        </w:rPr>
        <w:t>（</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u w:val="single"/>
          <w:lang w:val="zh-CN"/>
        </w:rPr>
        <w:t>、项目名称</w:t>
      </w:r>
      <w:r>
        <w:rPr>
          <w:rFonts w:hint="eastAsia" w:ascii="宋体" w:hAnsi="宋体" w:eastAsia="宋体" w:cs="宋体"/>
          <w:color w:val="auto"/>
          <w:sz w:val="21"/>
          <w:szCs w:val="21"/>
          <w:u w:val="single"/>
        </w:rPr>
        <w:t>、</w:t>
      </w:r>
      <w:r>
        <w:rPr>
          <w:rFonts w:hint="eastAsia" w:ascii="宋体" w:hAnsi="宋体" w:eastAsia="宋体" w:cs="宋体"/>
          <w:color w:val="auto"/>
          <w:sz w:val="21"/>
          <w:szCs w:val="21"/>
          <w:u w:val="single"/>
          <w:lang w:val="en-US" w:eastAsia="zh-CN"/>
        </w:rPr>
        <w:t>标段</w:t>
      </w:r>
      <w:r>
        <w:rPr>
          <w:rFonts w:hint="eastAsia" w:ascii="宋体" w:hAnsi="宋体" w:eastAsia="宋体" w:cs="宋体"/>
          <w:color w:val="auto"/>
          <w:sz w:val="21"/>
          <w:szCs w:val="21"/>
          <w:u w:val="single"/>
          <w:lang w:val="zh-CN"/>
        </w:rPr>
        <w:t>）</w:t>
      </w:r>
      <w:r>
        <w:rPr>
          <w:rFonts w:hint="eastAsia" w:ascii="宋体" w:hAnsi="宋体" w:eastAsia="宋体" w:cs="宋体"/>
          <w:color w:val="auto"/>
          <w:sz w:val="21"/>
          <w:szCs w:val="21"/>
          <w:lang w:val="zh-CN"/>
        </w:rPr>
        <w:t>的投标，将严格遵守《中华人民共和国政府采购法》等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325ECD2A">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一、在投标有效期内撤销投标文件；</w:t>
      </w:r>
    </w:p>
    <w:p w14:paraId="5D63F11B">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二、在投标文件中提供虚假材料；</w:t>
      </w:r>
    </w:p>
    <w:p w14:paraId="31A184DE">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三、除因不可抗力或招标文件认可的情形以外，中标后不与采购人签订合同；</w:t>
      </w:r>
    </w:p>
    <w:p w14:paraId="6AD1B095">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四、与采购人、其他投标人或者采购代理机构恶意串通；</w:t>
      </w:r>
    </w:p>
    <w:p w14:paraId="30D54086">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五、法律法规及本招标文件规定的其他严重违法行为。</w:t>
      </w:r>
    </w:p>
    <w:p w14:paraId="52C1327A">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color w:val="auto"/>
          <w:sz w:val="21"/>
          <w:szCs w:val="21"/>
          <w:u w:val="single"/>
        </w:rPr>
      </w:pPr>
    </w:p>
    <w:p w14:paraId="04CDD71B">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color w:val="auto"/>
          <w:sz w:val="21"/>
          <w:szCs w:val="21"/>
          <w:u w:val="single"/>
        </w:rPr>
      </w:pPr>
    </w:p>
    <w:p w14:paraId="49D9BDF3">
      <w:pPr>
        <w:keepNext w:val="0"/>
        <w:keepLines w:val="0"/>
        <w:pageBreakBefore w:val="0"/>
        <w:widowControl w:val="0"/>
        <w:kinsoku/>
        <w:wordWrap/>
        <w:overflowPunct/>
        <w:topLinePunct w:val="0"/>
        <w:bidi w:val="0"/>
        <w:snapToGrid/>
        <w:spacing w:line="460" w:lineRule="exact"/>
        <w:ind w:firstLine="4357" w:firstLineChars="2075"/>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zh-CN"/>
        </w:rPr>
        <w:t>投标人名称（</w:t>
      </w:r>
      <w:r>
        <w:rPr>
          <w:rFonts w:hint="eastAsia" w:ascii="宋体" w:hAnsi="宋体" w:eastAsia="宋体" w:cs="宋体"/>
          <w:color w:val="auto"/>
          <w:sz w:val="21"/>
          <w:szCs w:val="21"/>
        </w:rPr>
        <w:t>并加盖公章</w:t>
      </w:r>
      <w:r>
        <w:rPr>
          <w:rFonts w:hint="eastAsia" w:ascii="宋体" w:hAnsi="宋体" w:eastAsia="宋体" w:cs="宋体"/>
          <w:color w:val="auto"/>
          <w:sz w:val="21"/>
          <w:szCs w:val="21"/>
          <w:lang w:val="zh-CN"/>
        </w:rPr>
        <w:t>）：</w:t>
      </w:r>
      <w:r>
        <w:rPr>
          <w:rFonts w:hint="eastAsia" w:ascii="宋体" w:hAnsi="宋体" w:eastAsia="宋体" w:cs="宋体"/>
          <w:color w:val="auto"/>
          <w:sz w:val="21"/>
          <w:szCs w:val="21"/>
        </w:rPr>
        <w:t>　　　　　　　　　</w:t>
      </w:r>
    </w:p>
    <w:p w14:paraId="3481FA9B">
      <w:pPr>
        <w:keepNext w:val="0"/>
        <w:keepLines w:val="0"/>
        <w:pageBreakBefore w:val="0"/>
        <w:widowControl w:val="0"/>
        <w:kinsoku/>
        <w:wordWrap/>
        <w:overflowPunct/>
        <w:topLinePunct w:val="0"/>
        <w:bidi w:val="0"/>
        <w:snapToGrid/>
        <w:spacing w:line="460" w:lineRule="exact"/>
        <w:ind w:firstLine="4357" w:firstLineChars="2075"/>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日期：      年    月    日</w:t>
      </w:r>
    </w:p>
    <w:p w14:paraId="700084C0">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 w:val="21"/>
          <w:szCs w:val="21"/>
          <w:lang w:val="zh-CN"/>
        </w:rPr>
      </w:pPr>
    </w:p>
    <w:p w14:paraId="2CCC4F11">
      <w:pPr>
        <w:pStyle w:val="7"/>
        <w:rPr>
          <w:rFonts w:hint="eastAsia" w:ascii="宋体" w:hAnsi="宋体" w:eastAsia="宋体" w:cs="宋体"/>
          <w:color w:val="auto"/>
          <w:lang w:val="zh-CN"/>
        </w:rPr>
      </w:pPr>
    </w:p>
    <w:p w14:paraId="2D9ABEB0">
      <w:pPr>
        <w:pStyle w:val="16"/>
        <w:ind w:firstLine="340"/>
        <w:rPr>
          <w:rFonts w:hint="eastAsia" w:ascii="宋体" w:hAnsi="宋体" w:eastAsia="宋体" w:cs="宋体"/>
          <w:color w:val="auto"/>
          <w:lang w:val="zh-CN"/>
        </w:rPr>
      </w:pPr>
    </w:p>
    <w:p w14:paraId="276DCFFF">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70760050">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777108F3">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7783DEE7">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6AC794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68FD875F">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678BDD1">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0EA09156">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06E31329">
      <w:pPr>
        <w:autoSpaceDE w:val="0"/>
        <w:autoSpaceDN w:val="0"/>
        <w:adjustRightInd w:val="0"/>
        <w:spacing w:line="360" w:lineRule="auto"/>
        <w:jc w:val="both"/>
        <w:outlineLvl w:val="0"/>
        <w:rPr>
          <w:rFonts w:hint="eastAsia" w:ascii="宋体" w:hAnsi="宋体" w:eastAsia="宋体" w:cs="宋体"/>
          <w:b/>
          <w:bCs/>
          <w:color w:val="auto"/>
          <w:kern w:val="2"/>
          <w:sz w:val="24"/>
          <w:szCs w:val="24"/>
          <w:lang w:val="en-US" w:eastAsia="zh-CN" w:bidi="ar-SA"/>
        </w:rPr>
      </w:pPr>
    </w:p>
    <w:p w14:paraId="7DAF3EC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3.6中小企业声明函（货物）</w:t>
      </w:r>
    </w:p>
    <w:p w14:paraId="1E97817F">
      <w:pPr>
        <w:pStyle w:val="7"/>
        <w:rPr>
          <w:rFonts w:hint="eastAsia" w:ascii="宋体" w:hAnsi="宋体" w:eastAsia="宋体" w:cs="宋体"/>
          <w:color w:val="auto"/>
          <w:szCs w:val="21"/>
        </w:rPr>
      </w:pPr>
    </w:p>
    <w:p w14:paraId="3FE37D80">
      <w:pPr>
        <w:spacing w:line="360" w:lineRule="auto"/>
        <w:ind w:firstLine="707" w:firstLineChars="337"/>
        <w:jc w:val="left"/>
        <w:rPr>
          <w:rFonts w:hint="eastAsia" w:ascii="宋体" w:hAnsi="宋体" w:eastAsia="宋体" w:cs="宋体"/>
          <w:color w:val="auto"/>
          <w:szCs w:val="21"/>
        </w:rPr>
      </w:pPr>
      <w:r>
        <w:rPr>
          <w:rFonts w:hint="eastAsia" w:ascii="宋体" w:hAnsi="宋体" w:eastAsia="宋体" w:cs="宋体"/>
          <w:color w:val="auto"/>
          <w:szCs w:val="21"/>
        </w:rPr>
        <w:t>本公司（联合体）郑重声明，根据《政府采购促进中小企业发展管理办法》（财库﹝2020﹞46 号）的规定，本公司参加</w:t>
      </w:r>
      <w:r>
        <w:rPr>
          <w:rFonts w:hint="eastAsia" w:ascii="宋体" w:hAnsi="宋体" w:eastAsia="宋体" w:cs="宋体"/>
          <w:i/>
          <w:color w:val="auto"/>
          <w:szCs w:val="21"/>
          <w:u w:val="single"/>
        </w:rPr>
        <w:t>（单位名称）</w:t>
      </w:r>
      <w:r>
        <w:rPr>
          <w:rFonts w:hint="eastAsia" w:ascii="宋体" w:hAnsi="宋体" w:eastAsia="宋体" w:cs="宋体"/>
          <w:color w:val="auto"/>
          <w:szCs w:val="21"/>
        </w:rPr>
        <w:t>的</w:t>
      </w:r>
      <w:r>
        <w:rPr>
          <w:rFonts w:hint="eastAsia" w:ascii="宋体" w:hAnsi="宋体" w:eastAsia="宋体" w:cs="宋体"/>
          <w:i/>
          <w:color w:val="auto"/>
          <w:szCs w:val="21"/>
          <w:u w:val="single"/>
        </w:rPr>
        <w:t>（项目名称、标段）</w:t>
      </w:r>
      <w:r>
        <w:rPr>
          <w:rFonts w:hint="eastAsia" w:ascii="宋体" w:hAnsi="宋体" w:eastAsia="宋体" w:cs="宋体"/>
          <w:color w:val="auto"/>
          <w:szCs w:val="21"/>
        </w:rPr>
        <w:t>采购活动，提供本招标文件中所采购的服务全部由符合政策要求的中小企业承接。相关企业（含联合体中的中小企业、签订分包意向协议的中小企业）的具体情况如下：</w:t>
      </w:r>
    </w:p>
    <w:p w14:paraId="1625A9CB">
      <w:pPr>
        <w:spacing w:line="360" w:lineRule="auto"/>
        <w:ind w:firstLine="707" w:firstLineChars="337"/>
        <w:jc w:val="left"/>
        <w:rPr>
          <w:rFonts w:hint="eastAsia" w:ascii="宋体" w:hAnsi="宋体" w:eastAsia="宋体" w:cs="宋体"/>
          <w:color w:val="auto"/>
          <w:szCs w:val="21"/>
        </w:rPr>
      </w:pPr>
      <w:r>
        <w:rPr>
          <w:rFonts w:hint="eastAsia" w:ascii="宋体" w:hAnsi="宋体" w:eastAsia="宋体" w:cs="宋体"/>
          <w:color w:val="auto"/>
          <w:szCs w:val="21"/>
        </w:rPr>
        <w:t xml:space="preserve">1. </w:t>
      </w:r>
      <w:r>
        <w:rPr>
          <w:rFonts w:hint="eastAsia" w:ascii="宋体" w:hAnsi="宋体" w:eastAsia="宋体" w:cs="宋体"/>
          <w:i/>
          <w:color w:val="auto"/>
          <w:szCs w:val="21"/>
          <w:u w:val="single"/>
        </w:rPr>
        <w:t>（标的名称）</w:t>
      </w:r>
      <w:r>
        <w:rPr>
          <w:rFonts w:hint="eastAsia" w:ascii="宋体" w:hAnsi="宋体" w:eastAsia="宋体" w:cs="宋体"/>
          <w:color w:val="auto"/>
          <w:szCs w:val="21"/>
        </w:rPr>
        <w:t>，属于</w:t>
      </w:r>
      <w:r>
        <w:rPr>
          <w:rFonts w:hint="eastAsia" w:ascii="宋体" w:hAnsi="宋体" w:eastAsia="宋体" w:cs="宋体"/>
          <w:i/>
          <w:color w:val="auto"/>
          <w:szCs w:val="21"/>
          <w:u w:val="single"/>
        </w:rPr>
        <w:t>（采购文件中明确的所属行业）</w:t>
      </w:r>
      <w:r>
        <w:rPr>
          <w:rFonts w:hint="eastAsia" w:ascii="宋体" w:hAnsi="宋体" w:eastAsia="宋体" w:cs="宋体"/>
          <w:color w:val="auto"/>
          <w:szCs w:val="21"/>
        </w:rPr>
        <w:t>行业；制造商为</w:t>
      </w:r>
      <w:r>
        <w:rPr>
          <w:rFonts w:hint="eastAsia" w:ascii="宋体" w:hAnsi="宋体" w:eastAsia="宋体" w:cs="宋体"/>
          <w:i/>
          <w:color w:val="auto"/>
          <w:szCs w:val="21"/>
          <w:u w:val="single"/>
        </w:rPr>
        <w:t>（企业名称）</w:t>
      </w:r>
      <w:r>
        <w:rPr>
          <w:rFonts w:hint="eastAsia" w:ascii="宋体" w:hAnsi="宋体" w:eastAsia="宋体" w:cs="宋体"/>
          <w:color w:val="auto"/>
          <w:szCs w:val="21"/>
        </w:rPr>
        <w:t>，从业人员</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人，营业收入为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万元，资产总额为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万元，属于</w:t>
      </w:r>
      <w:r>
        <w:rPr>
          <w:rFonts w:hint="eastAsia" w:ascii="宋体" w:hAnsi="宋体" w:eastAsia="宋体" w:cs="宋体"/>
          <w:i/>
          <w:color w:val="auto"/>
          <w:szCs w:val="21"/>
          <w:u w:val="single"/>
        </w:rPr>
        <w:t>（中型企业、小型企业、微型企业）</w:t>
      </w:r>
      <w:r>
        <w:rPr>
          <w:rFonts w:hint="eastAsia" w:ascii="宋体" w:hAnsi="宋体" w:eastAsia="宋体" w:cs="宋体"/>
          <w:color w:val="auto"/>
          <w:szCs w:val="21"/>
        </w:rPr>
        <w:t>；</w:t>
      </w:r>
    </w:p>
    <w:p w14:paraId="6062564E">
      <w:pPr>
        <w:spacing w:line="360" w:lineRule="auto"/>
        <w:ind w:firstLine="707" w:firstLineChars="337"/>
        <w:jc w:val="left"/>
        <w:rPr>
          <w:rFonts w:hint="eastAsia" w:ascii="宋体" w:hAnsi="宋体" w:eastAsia="宋体" w:cs="宋体"/>
          <w:color w:val="auto"/>
          <w:szCs w:val="21"/>
        </w:rPr>
      </w:pPr>
      <w:r>
        <w:rPr>
          <w:rFonts w:hint="eastAsia" w:ascii="宋体" w:hAnsi="宋体" w:eastAsia="宋体" w:cs="宋体"/>
          <w:color w:val="auto"/>
          <w:szCs w:val="21"/>
        </w:rPr>
        <w:t xml:space="preserve">…… </w:t>
      </w:r>
    </w:p>
    <w:p w14:paraId="5349F81C">
      <w:pPr>
        <w:spacing w:line="360" w:lineRule="auto"/>
        <w:ind w:firstLine="707" w:firstLineChars="337"/>
        <w:jc w:val="left"/>
        <w:rPr>
          <w:rFonts w:hint="eastAsia" w:ascii="宋体" w:hAnsi="宋体" w:eastAsia="宋体" w:cs="宋体"/>
          <w:color w:val="auto"/>
          <w:szCs w:val="21"/>
        </w:rPr>
      </w:pPr>
      <w:r>
        <w:rPr>
          <w:rFonts w:hint="eastAsia" w:ascii="宋体" w:hAnsi="宋体" w:eastAsia="宋体" w:cs="宋体"/>
          <w:color w:val="auto"/>
          <w:szCs w:val="21"/>
        </w:rPr>
        <w:t>以上企业，不属于大企业的分支机构，不存在控股股东为大企业的情形，也不存在与大企业的负责人为同一人的情形。</w:t>
      </w:r>
    </w:p>
    <w:p w14:paraId="5BC4AD89">
      <w:pPr>
        <w:spacing w:line="360" w:lineRule="auto"/>
        <w:ind w:firstLine="707" w:firstLineChars="337"/>
        <w:jc w:val="left"/>
        <w:rPr>
          <w:rFonts w:hint="eastAsia" w:ascii="宋体" w:hAnsi="宋体" w:eastAsia="宋体" w:cs="宋体"/>
          <w:color w:val="auto"/>
          <w:szCs w:val="21"/>
        </w:rPr>
      </w:pPr>
      <w:r>
        <w:rPr>
          <w:rFonts w:hint="eastAsia" w:ascii="宋体" w:hAnsi="宋体" w:eastAsia="宋体" w:cs="宋体"/>
          <w:color w:val="auto"/>
          <w:szCs w:val="21"/>
        </w:rPr>
        <w:t>本企业对上述声明内容的真实性负责。如有虚假，将依法承担相应责任。</w:t>
      </w:r>
    </w:p>
    <w:p w14:paraId="351714DD">
      <w:pPr>
        <w:spacing w:line="360" w:lineRule="auto"/>
        <w:ind w:firstLine="707" w:firstLineChars="337"/>
        <w:jc w:val="left"/>
        <w:rPr>
          <w:rFonts w:hint="eastAsia" w:ascii="宋体" w:hAnsi="宋体" w:eastAsia="宋体" w:cs="宋体"/>
          <w:color w:val="auto"/>
          <w:szCs w:val="21"/>
        </w:rPr>
      </w:pPr>
    </w:p>
    <w:p w14:paraId="75B3DCE9">
      <w:pPr>
        <w:spacing w:line="480" w:lineRule="auto"/>
        <w:ind w:firstLine="5957" w:firstLineChars="2837"/>
        <w:jc w:val="left"/>
        <w:rPr>
          <w:rFonts w:hint="eastAsia" w:ascii="宋体" w:hAnsi="宋体" w:eastAsia="宋体" w:cs="宋体"/>
          <w:color w:val="auto"/>
          <w:szCs w:val="21"/>
        </w:rPr>
      </w:pPr>
      <w:r>
        <w:rPr>
          <w:rFonts w:hint="eastAsia" w:ascii="宋体" w:hAnsi="宋体" w:eastAsia="宋体" w:cs="宋体"/>
          <w:color w:val="auto"/>
          <w:szCs w:val="21"/>
        </w:rPr>
        <w:t>企业名称（盖章）：</w:t>
      </w:r>
    </w:p>
    <w:p w14:paraId="53D708EA">
      <w:pPr>
        <w:spacing w:line="480" w:lineRule="auto"/>
        <w:ind w:firstLine="5957" w:firstLineChars="2837"/>
        <w:jc w:val="left"/>
        <w:rPr>
          <w:rFonts w:hint="eastAsia" w:ascii="宋体" w:hAnsi="宋体" w:eastAsia="宋体" w:cs="宋体"/>
          <w:color w:val="auto"/>
          <w:szCs w:val="21"/>
        </w:rPr>
      </w:pPr>
      <w:r>
        <w:rPr>
          <w:rFonts w:hint="eastAsia" w:ascii="宋体" w:hAnsi="宋体" w:eastAsia="宋体" w:cs="宋体"/>
          <w:color w:val="auto"/>
          <w:szCs w:val="21"/>
        </w:rPr>
        <w:t>日期：</w:t>
      </w:r>
    </w:p>
    <w:p w14:paraId="5D9F6A8E">
      <w:pPr>
        <w:autoSpaceDE w:val="0"/>
        <w:autoSpaceDN w:val="0"/>
        <w:adjustRightInd w:val="0"/>
        <w:spacing w:line="360" w:lineRule="auto"/>
        <w:outlineLvl w:val="0"/>
        <w:rPr>
          <w:rFonts w:hint="eastAsia" w:ascii="宋体" w:hAnsi="宋体" w:eastAsia="宋体" w:cs="宋体"/>
          <w:color w:val="auto"/>
          <w:szCs w:val="21"/>
        </w:rPr>
      </w:pPr>
      <w:r>
        <w:rPr>
          <w:rFonts w:hint="eastAsia" w:ascii="宋体" w:hAnsi="宋体" w:eastAsia="宋体" w:cs="宋体"/>
          <w:color w:val="auto"/>
          <w:szCs w:val="21"/>
        </w:rPr>
        <w:t>说明：</w:t>
      </w:r>
    </w:p>
    <w:p w14:paraId="75E92998">
      <w:pPr>
        <w:widowControl/>
        <w:spacing w:before="100" w:beforeAutospacing="1" w:after="100" w:afterAutospacing="1"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lang w:eastAsia="zh-CN"/>
        </w:rPr>
        <w:t>1.</w:t>
      </w:r>
      <w:r>
        <w:rPr>
          <w:rFonts w:hint="eastAsia" w:ascii="宋体" w:hAnsi="宋体" w:eastAsia="宋体" w:cs="宋体"/>
          <w:color w:val="auto"/>
          <w:szCs w:val="21"/>
        </w:rPr>
        <w:t>从业人员、营业收入、资产总额填报上一年度数据，无上一年度数据的新成立企业可不填报。</w:t>
      </w:r>
    </w:p>
    <w:p w14:paraId="2DD0F7A7">
      <w:pPr>
        <w:spacing w:line="360" w:lineRule="auto"/>
        <w:jc w:val="left"/>
        <w:rPr>
          <w:rFonts w:hint="eastAsia" w:ascii="宋体" w:hAnsi="宋体" w:eastAsia="宋体" w:cs="宋体"/>
          <w:b/>
          <w:bCs/>
          <w:color w:val="auto"/>
          <w:szCs w:val="21"/>
        </w:rPr>
      </w:pPr>
      <w:r>
        <w:rPr>
          <w:rFonts w:hint="eastAsia" w:ascii="宋体" w:hAnsi="宋体" w:eastAsia="宋体" w:cs="宋体"/>
          <w:color w:val="auto"/>
          <w:kern w:val="0"/>
          <w:szCs w:val="21"/>
          <w:lang w:eastAsia="zh-CN"/>
        </w:rPr>
        <w:t>2.</w:t>
      </w:r>
      <w:r>
        <w:rPr>
          <w:rFonts w:hint="eastAsia" w:ascii="宋体" w:hAnsi="宋体" w:eastAsia="宋体" w:cs="宋体"/>
          <w:color w:val="auto"/>
          <w:kern w:val="0"/>
          <w:szCs w:val="21"/>
        </w:rPr>
        <w:t>中小企业参加政府采购活动，应当出具</w:t>
      </w:r>
      <w:r>
        <w:rPr>
          <w:rFonts w:hint="eastAsia" w:ascii="宋体" w:hAnsi="宋体" w:eastAsia="宋体" w:cs="宋体"/>
          <w:color w:val="auto"/>
          <w:szCs w:val="21"/>
        </w:rPr>
        <w:t>《中小企业声明函》，否则不得享受相关中小企业扶持政</w:t>
      </w:r>
      <w:r>
        <w:rPr>
          <w:rFonts w:hint="eastAsia" w:ascii="宋体" w:hAnsi="宋体" w:eastAsia="宋体" w:cs="宋体"/>
          <w:color w:val="auto"/>
          <w:kern w:val="0"/>
          <w:szCs w:val="21"/>
        </w:rPr>
        <w:t>策</w:t>
      </w:r>
    </w:p>
    <w:p w14:paraId="6E48A050">
      <w:pPr>
        <w:autoSpaceDE w:val="0"/>
        <w:autoSpaceDN w:val="0"/>
        <w:adjustRightInd w:val="0"/>
        <w:spacing w:line="360" w:lineRule="auto"/>
        <w:jc w:val="center"/>
        <w:outlineLvl w:val="0"/>
        <w:rPr>
          <w:rFonts w:hint="eastAsia" w:ascii="宋体" w:hAnsi="宋体" w:eastAsia="宋体" w:cs="宋体"/>
          <w:color w:val="auto"/>
        </w:rPr>
      </w:pPr>
    </w:p>
    <w:p w14:paraId="1854A5BD">
      <w:pPr>
        <w:rPr>
          <w:rFonts w:hint="eastAsia" w:ascii="宋体" w:hAnsi="宋体" w:eastAsia="宋体" w:cs="宋体"/>
          <w:color w:val="auto"/>
        </w:rPr>
      </w:pPr>
    </w:p>
    <w:p w14:paraId="12B62929">
      <w:pPr>
        <w:rPr>
          <w:rFonts w:hint="eastAsia" w:ascii="宋体" w:hAnsi="宋体" w:eastAsia="宋体" w:cs="宋体"/>
          <w:color w:val="auto"/>
        </w:rPr>
      </w:pPr>
    </w:p>
    <w:p w14:paraId="69DB2E9A">
      <w:pPr>
        <w:rPr>
          <w:rFonts w:hint="eastAsia" w:ascii="宋体" w:hAnsi="宋体" w:eastAsia="宋体" w:cs="宋体"/>
          <w:color w:val="auto"/>
        </w:rPr>
      </w:pPr>
    </w:p>
    <w:p w14:paraId="3ED956F1">
      <w:pPr>
        <w:ind w:firstLine="2715" w:firstLineChars="1127"/>
        <w:rPr>
          <w:rFonts w:hint="eastAsia" w:ascii="宋体" w:hAnsi="宋体" w:eastAsia="宋体" w:cs="宋体"/>
          <w:b/>
          <w:bCs/>
          <w:color w:val="auto"/>
          <w:sz w:val="24"/>
          <w:szCs w:val="24"/>
          <w:lang w:val="en-US" w:eastAsia="zh-CN"/>
        </w:rPr>
      </w:pPr>
    </w:p>
    <w:p w14:paraId="73058FA3">
      <w:pPr>
        <w:ind w:firstLine="2715" w:firstLineChars="1127"/>
        <w:rPr>
          <w:rFonts w:hint="eastAsia" w:ascii="宋体" w:hAnsi="宋体" w:eastAsia="宋体" w:cs="宋体"/>
          <w:b/>
          <w:bCs/>
          <w:color w:val="auto"/>
          <w:sz w:val="24"/>
          <w:szCs w:val="24"/>
          <w:lang w:val="en-US" w:eastAsia="zh-CN"/>
        </w:rPr>
      </w:pPr>
    </w:p>
    <w:p w14:paraId="1B84182F">
      <w:pPr>
        <w:ind w:firstLine="2715" w:firstLineChars="1127"/>
        <w:rPr>
          <w:rFonts w:hint="eastAsia" w:ascii="宋体" w:hAnsi="宋体" w:eastAsia="宋体" w:cs="宋体"/>
          <w:b/>
          <w:bCs/>
          <w:color w:val="auto"/>
          <w:sz w:val="24"/>
          <w:szCs w:val="24"/>
          <w:lang w:val="en-US" w:eastAsia="zh-CN"/>
        </w:rPr>
      </w:pPr>
    </w:p>
    <w:p w14:paraId="598821EB">
      <w:pPr>
        <w:ind w:firstLine="2715" w:firstLineChars="1127"/>
        <w:rPr>
          <w:rFonts w:hint="eastAsia" w:ascii="宋体" w:hAnsi="宋体" w:eastAsia="宋体" w:cs="宋体"/>
          <w:b/>
          <w:bCs/>
          <w:color w:val="auto"/>
          <w:sz w:val="24"/>
          <w:szCs w:val="24"/>
          <w:lang w:val="en-US" w:eastAsia="zh-CN"/>
        </w:rPr>
      </w:pPr>
    </w:p>
    <w:p w14:paraId="63DD693B">
      <w:pPr>
        <w:ind w:firstLine="2715" w:firstLineChars="1127"/>
        <w:rPr>
          <w:rFonts w:hint="eastAsia" w:ascii="宋体" w:hAnsi="宋体" w:eastAsia="宋体" w:cs="宋体"/>
          <w:b/>
          <w:bCs/>
          <w:color w:val="auto"/>
          <w:sz w:val="24"/>
          <w:szCs w:val="24"/>
          <w:lang w:val="en-US" w:eastAsia="zh-CN"/>
        </w:rPr>
      </w:pPr>
    </w:p>
    <w:p w14:paraId="1EC24CB8">
      <w:pPr>
        <w:ind w:firstLine="2715" w:firstLineChars="1127"/>
        <w:rPr>
          <w:rFonts w:hint="eastAsia" w:ascii="宋体" w:hAnsi="宋体" w:eastAsia="宋体" w:cs="宋体"/>
          <w:b/>
          <w:bCs/>
          <w:color w:val="auto"/>
          <w:sz w:val="24"/>
          <w:szCs w:val="24"/>
          <w:lang w:val="en-US" w:eastAsia="zh-CN"/>
        </w:rPr>
      </w:pPr>
    </w:p>
    <w:p w14:paraId="0D544ED7">
      <w:pPr>
        <w:ind w:firstLine="2715" w:firstLineChars="1127"/>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3.7</w:t>
      </w:r>
      <w:r>
        <w:rPr>
          <w:rFonts w:hint="eastAsia" w:ascii="宋体" w:hAnsi="宋体" w:eastAsia="宋体" w:cs="宋体"/>
          <w:b/>
          <w:bCs/>
          <w:color w:val="auto"/>
          <w:sz w:val="24"/>
          <w:szCs w:val="24"/>
        </w:rPr>
        <w:t>残疾人福利性单位声明函</w:t>
      </w:r>
    </w:p>
    <w:p w14:paraId="3752D016">
      <w:pPr>
        <w:rPr>
          <w:rFonts w:hint="eastAsia" w:ascii="宋体" w:hAnsi="宋体" w:eastAsia="宋体" w:cs="宋体"/>
          <w:color w:val="auto"/>
          <w:szCs w:val="21"/>
        </w:rPr>
      </w:pPr>
    </w:p>
    <w:p w14:paraId="775A49FE">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本单位郑重声明，根据《财政部 民政部 中国残疾人联合会关于促进残疾人就业政府采购政策的通知》（财库〔2017〕141号）的规定，本单位为（□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4377EE69">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本单位对上述声明的真实性负责。如有虚假，将依法承担相应责任。</w:t>
      </w:r>
    </w:p>
    <w:p w14:paraId="11034246">
      <w:pPr>
        <w:spacing w:line="360" w:lineRule="auto"/>
        <w:ind w:firstLine="420" w:firstLineChars="200"/>
        <w:rPr>
          <w:rFonts w:hint="eastAsia" w:ascii="宋体" w:hAnsi="宋体" w:eastAsia="宋体" w:cs="宋体"/>
          <w:color w:val="auto"/>
          <w:szCs w:val="21"/>
        </w:rPr>
      </w:pPr>
    </w:p>
    <w:p w14:paraId="534BA2AA">
      <w:pPr>
        <w:spacing w:line="360" w:lineRule="auto"/>
        <w:ind w:firstLine="420" w:firstLineChars="200"/>
        <w:rPr>
          <w:rFonts w:hint="eastAsia" w:ascii="宋体" w:hAnsi="宋体" w:eastAsia="宋体" w:cs="宋体"/>
          <w:color w:val="auto"/>
          <w:szCs w:val="21"/>
        </w:rPr>
      </w:pPr>
    </w:p>
    <w:p w14:paraId="2755A09C">
      <w:pPr>
        <w:spacing w:line="360" w:lineRule="auto"/>
        <w:ind w:firstLine="420" w:firstLineChars="200"/>
        <w:rPr>
          <w:rFonts w:hint="eastAsia" w:ascii="宋体" w:hAnsi="宋体" w:eastAsia="宋体" w:cs="宋体"/>
          <w:color w:val="auto"/>
          <w:szCs w:val="21"/>
        </w:rPr>
      </w:pPr>
    </w:p>
    <w:p w14:paraId="399F2C0D">
      <w:pPr>
        <w:spacing w:line="360" w:lineRule="auto"/>
        <w:ind w:firstLine="420" w:firstLineChars="200"/>
        <w:jc w:val="right"/>
        <w:rPr>
          <w:rFonts w:hint="eastAsia" w:ascii="宋体" w:hAnsi="宋体" w:eastAsia="宋体" w:cs="宋体"/>
          <w:color w:val="auto"/>
          <w:szCs w:val="21"/>
        </w:rPr>
      </w:pPr>
      <w:r>
        <w:rPr>
          <w:rFonts w:hint="eastAsia" w:ascii="宋体" w:hAnsi="宋体" w:eastAsia="宋体" w:cs="宋体"/>
          <w:color w:val="auto"/>
          <w:szCs w:val="21"/>
        </w:rPr>
        <w:t>单位名称（盖章）：</w:t>
      </w:r>
    </w:p>
    <w:p w14:paraId="27DCA744">
      <w:pPr>
        <w:spacing w:line="360" w:lineRule="auto"/>
        <w:ind w:firstLine="420" w:firstLineChars="200"/>
        <w:jc w:val="right"/>
        <w:rPr>
          <w:rFonts w:hint="eastAsia" w:ascii="宋体" w:hAnsi="宋体" w:eastAsia="宋体" w:cs="宋体"/>
          <w:color w:val="auto"/>
          <w:szCs w:val="21"/>
        </w:rPr>
      </w:pPr>
      <w:r>
        <w:rPr>
          <w:rFonts w:hint="eastAsia" w:ascii="宋体" w:hAnsi="宋体" w:eastAsia="宋体" w:cs="宋体"/>
          <w:color w:val="auto"/>
          <w:szCs w:val="21"/>
        </w:rPr>
        <w:t xml:space="preserve"> 日    期：      年    月    日</w:t>
      </w:r>
    </w:p>
    <w:p w14:paraId="3B2CFE0A">
      <w:pPr>
        <w:pStyle w:val="7"/>
        <w:jc w:val="right"/>
        <w:rPr>
          <w:rFonts w:hint="eastAsia" w:ascii="宋体" w:hAnsi="宋体" w:eastAsia="宋体" w:cs="宋体"/>
          <w:color w:val="auto"/>
          <w:sz w:val="24"/>
          <w:lang w:val="zh-CN"/>
        </w:rPr>
      </w:pPr>
    </w:p>
    <w:p w14:paraId="193BE692">
      <w:pPr>
        <w:autoSpaceDE w:val="0"/>
        <w:autoSpaceDN w:val="0"/>
        <w:spacing w:line="360" w:lineRule="auto"/>
        <w:jc w:val="right"/>
        <w:rPr>
          <w:rFonts w:hint="eastAsia" w:ascii="宋体" w:hAnsi="宋体" w:eastAsia="宋体" w:cs="宋体"/>
          <w:b/>
          <w:color w:val="auto"/>
          <w:sz w:val="21"/>
          <w:szCs w:val="21"/>
          <w:lang w:val="en-US" w:eastAsia="zh-CN"/>
        </w:rPr>
      </w:pPr>
    </w:p>
    <w:p w14:paraId="2001FF34">
      <w:pPr>
        <w:autoSpaceDE w:val="0"/>
        <w:autoSpaceDN w:val="0"/>
        <w:adjustRightInd w:val="0"/>
        <w:spacing w:line="360" w:lineRule="auto"/>
        <w:rPr>
          <w:rFonts w:hint="eastAsia" w:ascii="宋体" w:hAnsi="宋体" w:eastAsia="宋体" w:cs="宋体"/>
          <w:b/>
          <w:bCs/>
          <w:color w:val="auto"/>
          <w:sz w:val="28"/>
          <w:szCs w:val="28"/>
        </w:rPr>
      </w:pPr>
    </w:p>
    <w:p w14:paraId="017C2B84">
      <w:pPr>
        <w:autoSpaceDE w:val="0"/>
        <w:autoSpaceDN w:val="0"/>
        <w:adjustRightInd w:val="0"/>
        <w:spacing w:line="360" w:lineRule="auto"/>
        <w:jc w:val="center"/>
        <w:rPr>
          <w:rFonts w:hint="eastAsia" w:ascii="宋体" w:hAnsi="宋体" w:eastAsia="宋体" w:cs="宋体"/>
          <w:b/>
          <w:bCs/>
          <w:color w:val="auto"/>
          <w:sz w:val="28"/>
          <w:szCs w:val="28"/>
          <w:lang w:val="zh-CN"/>
        </w:rPr>
      </w:pPr>
    </w:p>
    <w:p w14:paraId="57060F02">
      <w:pPr>
        <w:pStyle w:val="17"/>
        <w:rPr>
          <w:rFonts w:hint="eastAsia" w:ascii="宋体" w:hAnsi="宋体" w:eastAsia="宋体" w:cs="宋体"/>
          <w:color w:val="auto"/>
          <w:lang w:val="zh-CN"/>
        </w:rPr>
      </w:pPr>
    </w:p>
    <w:p w14:paraId="7356EB0D">
      <w:pPr>
        <w:pStyle w:val="10"/>
        <w:rPr>
          <w:rFonts w:hint="eastAsia" w:ascii="宋体" w:hAnsi="宋体" w:eastAsia="宋体" w:cs="宋体"/>
          <w:color w:val="auto"/>
          <w:lang w:val="zh-CN"/>
        </w:rPr>
      </w:pPr>
    </w:p>
    <w:p w14:paraId="6ABF5FBF">
      <w:pPr>
        <w:rPr>
          <w:rFonts w:hint="eastAsia" w:ascii="宋体" w:hAnsi="宋体" w:eastAsia="宋体" w:cs="宋体"/>
          <w:color w:val="auto"/>
          <w:lang w:val="zh-CN"/>
        </w:rPr>
      </w:pPr>
    </w:p>
    <w:p w14:paraId="269A1A1A">
      <w:pPr>
        <w:pStyle w:val="11"/>
        <w:rPr>
          <w:rFonts w:hint="eastAsia" w:ascii="宋体" w:hAnsi="宋体" w:eastAsia="宋体" w:cs="宋体"/>
          <w:color w:val="auto"/>
          <w:lang w:val="zh-CN"/>
        </w:rPr>
      </w:pPr>
    </w:p>
    <w:p w14:paraId="05262D96">
      <w:pPr>
        <w:rPr>
          <w:rFonts w:hint="eastAsia" w:ascii="宋体" w:hAnsi="宋体" w:eastAsia="宋体" w:cs="宋体"/>
          <w:color w:val="auto"/>
          <w:lang w:val="zh-CN"/>
        </w:rPr>
      </w:pPr>
    </w:p>
    <w:p w14:paraId="1CFB3256">
      <w:pPr>
        <w:pStyle w:val="11"/>
        <w:rPr>
          <w:rFonts w:hint="eastAsia" w:ascii="宋体" w:hAnsi="宋体" w:eastAsia="宋体" w:cs="宋体"/>
          <w:color w:val="auto"/>
          <w:lang w:val="zh-CN"/>
        </w:rPr>
      </w:pPr>
    </w:p>
    <w:p w14:paraId="775E3164">
      <w:pPr>
        <w:rPr>
          <w:rFonts w:hint="eastAsia" w:ascii="宋体" w:hAnsi="宋体" w:eastAsia="宋体" w:cs="宋体"/>
          <w:color w:val="auto"/>
          <w:lang w:val="zh-CN"/>
        </w:rPr>
      </w:pPr>
    </w:p>
    <w:p w14:paraId="1A532E28">
      <w:pPr>
        <w:pStyle w:val="11"/>
        <w:rPr>
          <w:rFonts w:hint="eastAsia" w:ascii="宋体" w:hAnsi="宋体" w:eastAsia="宋体" w:cs="宋体"/>
          <w:color w:val="auto"/>
          <w:lang w:val="zh-CN"/>
        </w:rPr>
      </w:pPr>
    </w:p>
    <w:p w14:paraId="69F92E7A">
      <w:pPr>
        <w:rPr>
          <w:rFonts w:hint="eastAsia" w:ascii="宋体" w:hAnsi="宋体" w:eastAsia="宋体" w:cs="宋体"/>
          <w:color w:val="auto"/>
          <w:lang w:val="zh-CN"/>
        </w:rPr>
      </w:pPr>
    </w:p>
    <w:p w14:paraId="2CAB1FF2">
      <w:pPr>
        <w:pStyle w:val="11"/>
        <w:rPr>
          <w:rFonts w:hint="eastAsia" w:ascii="宋体" w:hAnsi="宋体" w:eastAsia="宋体" w:cs="宋体"/>
          <w:color w:val="auto"/>
          <w:lang w:val="zh-CN"/>
        </w:rPr>
      </w:pPr>
    </w:p>
    <w:p w14:paraId="1655003A">
      <w:pPr>
        <w:rPr>
          <w:rFonts w:hint="eastAsia" w:ascii="宋体" w:hAnsi="宋体" w:eastAsia="宋体" w:cs="宋体"/>
          <w:color w:val="auto"/>
          <w:lang w:val="zh-CN"/>
        </w:rPr>
      </w:pPr>
    </w:p>
    <w:p w14:paraId="5723E588">
      <w:pPr>
        <w:pStyle w:val="11"/>
        <w:rPr>
          <w:rFonts w:hint="eastAsia" w:ascii="宋体" w:hAnsi="宋体" w:eastAsia="宋体" w:cs="宋体"/>
          <w:color w:val="auto"/>
          <w:lang w:val="zh-CN"/>
        </w:rPr>
      </w:pPr>
    </w:p>
    <w:p w14:paraId="39DF6C77">
      <w:pPr>
        <w:rPr>
          <w:rFonts w:hint="eastAsia" w:ascii="宋体" w:hAnsi="宋体" w:eastAsia="宋体" w:cs="宋体"/>
          <w:color w:val="auto"/>
          <w:lang w:val="zh-CN"/>
        </w:rPr>
      </w:pPr>
    </w:p>
    <w:p w14:paraId="624CE0DD">
      <w:pPr>
        <w:pStyle w:val="7"/>
        <w:rPr>
          <w:rFonts w:hint="eastAsia" w:ascii="宋体" w:hAnsi="宋体" w:eastAsia="宋体" w:cs="宋体"/>
          <w:color w:val="auto"/>
          <w:lang w:val="zh-CN"/>
        </w:rPr>
      </w:pPr>
    </w:p>
    <w:p w14:paraId="056BEF14">
      <w:pPr>
        <w:pStyle w:val="14"/>
        <w:rPr>
          <w:rFonts w:hint="eastAsia" w:ascii="宋体" w:hAnsi="宋体" w:eastAsia="宋体" w:cs="宋体"/>
          <w:color w:val="auto"/>
          <w:lang w:val="zh-CN"/>
        </w:rPr>
      </w:pPr>
    </w:p>
    <w:p w14:paraId="0ED575AE">
      <w:pPr>
        <w:rPr>
          <w:rFonts w:hint="eastAsia" w:ascii="宋体" w:hAnsi="宋体" w:eastAsia="宋体" w:cs="宋体"/>
          <w:color w:val="auto"/>
          <w:lang w:val="zh-CN"/>
        </w:rPr>
      </w:pPr>
    </w:p>
    <w:p w14:paraId="3311F066">
      <w:pPr>
        <w:rPr>
          <w:rFonts w:hint="eastAsia" w:ascii="宋体" w:hAnsi="宋体" w:eastAsia="宋体" w:cs="宋体"/>
          <w:color w:val="auto"/>
          <w:lang w:val="zh-CN"/>
        </w:rPr>
      </w:pPr>
    </w:p>
    <w:p w14:paraId="406AAD3B">
      <w:pPr>
        <w:pStyle w:val="7"/>
        <w:rPr>
          <w:rFonts w:hint="eastAsia" w:ascii="宋体" w:hAnsi="宋体" w:eastAsia="宋体" w:cs="宋体"/>
          <w:color w:val="auto"/>
          <w:sz w:val="24"/>
          <w:lang w:val="zh-CN"/>
        </w:rPr>
      </w:pPr>
    </w:p>
    <w:p w14:paraId="0EA0665A">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投标人提供与参加本项目投标的其他</w:t>
      </w:r>
      <w:r>
        <w:rPr>
          <w:rFonts w:hint="eastAsia" w:ascii="宋体" w:hAnsi="宋体" w:eastAsia="宋体" w:cs="宋体"/>
          <w:b/>
          <w:bCs/>
          <w:color w:val="auto"/>
          <w:sz w:val="24"/>
          <w:szCs w:val="24"/>
          <w:lang w:val="en-US" w:eastAsia="zh-CN"/>
        </w:rPr>
        <w:t>投标人</w:t>
      </w:r>
      <w:r>
        <w:rPr>
          <w:rFonts w:hint="eastAsia" w:ascii="宋体" w:hAnsi="宋体" w:eastAsia="宋体" w:cs="宋体"/>
          <w:b/>
          <w:bCs/>
          <w:color w:val="auto"/>
          <w:sz w:val="24"/>
          <w:szCs w:val="24"/>
        </w:rPr>
        <w:t xml:space="preserve">之间，单位负责人不为同一人并且不存在直接控股、管理关系承诺函 </w:t>
      </w:r>
    </w:p>
    <w:p w14:paraId="22F6D685">
      <w:pPr>
        <w:pStyle w:val="15"/>
        <w:widowControl/>
        <w:spacing w:beforeAutospacing="1" w:afterAutospacing="1" w:line="27" w:lineRule="atLeast"/>
        <w:jc w:val="center"/>
        <w:rPr>
          <w:rFonts w:hint="eastAsia" w:ascii="宋体" w:hAnsi="宋体" w:eastAsia="宋体" w:cs="宋体"/>
          <w:color w:val="auto"/>
        </w:rPr>
      </w:pPr>
      <w:r>
        <w:rPr>
          <w:rFonts w:hint="eastAsia" w:ascii="宋体" w:hAnsi="宋体" w:eastAsia="宋体" w:cs="宋体"/>
          <w:color w:val="auto"/>
        </w:rPr>
        <w:t>（承诺函格式自拟）</w:t>
      </w:r>
    </w:p>
    <w:p w14:paraId="2508C071">
      <w:pPr>
        <w:pStyle w:val="15"/>
        <w:widowControl/>
        <w:spacing w:beforeAutospacing="1" w:afterAutospacing="1"/>
        <w:rPr>
          <w:rFonts w:hint="eastAsia" w:ascii="宋体" w:hAnsi="宋体" w:eastAsia="宋体" w:cs="宋体"/>
          <w:color w:val="auto"/>
        </w:rPr>
      </w:pPr>
    </w:p>
    <w:p w14:paraId="2CA15220">
      <w:pPr>
        <w:pStyle w:val="15"/>
        <w:widowControl/>
        <w:spacing w:beforeAutospacing="1" w:afterAutospacing="1"/>
        <w:rPr>
          <w:rFonts w:hint="eastAsia" w:ascii="宋体" w:hAnsi="宋体" w:eastAsia="宋体" w:cs="宋体"/>
          <w:color w:val="auto"/>
        </w:rPr>
      </w:pPr>
    </w:p>
    <w:p w14:paraId="1CF1FFB5">
      <w:pPr>
        <w:pStyle w:val="15"/>
        <w:widowControl/>
        <w:spacing w:beforeAutospacing="1" w:afterAutospacing="1"/>
        <w:rPr>
          <w:rFonts w:hint="eastAsia" w:ascii="宋体" w:hAnsi="宋体" w:eastAsia="宋体" w:cs="宋体"/>
          <w:color w:val="auto"/>
        </w:rPr>
      </w:pPr>
    </w:p>
    <w:p w14:paraId="4EC5D3CE">
      <w:pPr>
        <w:pStyle w:val="15"/>
        <w:widowControl/>
        <w:spacing w:beforeAutospacing="1" w:afterAutospacing="1"/>
        <w:rPr>
          <w:rFonts w:hint="eastAsia" w:ascii="宋体" w:hAnsi="宋体" w:eastAsia="宋体" w:cs="宋体"/>
          <w:color w:val="auto"/>
        </w:rPr>
      </w:pPr>
    </w:p>
    <w:p w14:paraId="6261E1C4">
      <w:pPr>
        <w:pStyle w:val="15"/>
        <w:widowControl/>
        <w:spacing w:beforeAutospacing="1" w:afterAutospacing="1"/>
        <w:rPr>
          <w:rFonts w:hint="eastAsia" w:ascii="宋体" w:hAnsi="宋体" w:eastAsia="宋体" w:cs="宋体"/>
          <w:color w:val="auto"/>
        </w:rPr>
      </w:pPr>
    </w:p>
    <w:p w14:paraId="465A04CF">
      <w:pPr>
        <w:pStyle w:val="15"/>
        <w:widowControl/>
        <w:spacing w:beforeAutospacing="1" w:afterAutospacing="1"/>
        <w:rPr>
          <w:rFonts w:hint="eastAsia" w:ascii="宋体" w:hAnsi="宋体" w:eastAsia="宋体" w:cs="宋体"/>
          <w:color w:val="auto"/>
        </w:rPr>
      </w:pPr>
    </w:p>
    <w:p w14:paraId="71F8A549">
      <w:pPr>
        <w:pStyle w:val="15"/>
        <w:widowControl/>
        <w:spacing w:beforeAutospacing="1" w:afterAutospacing="1"/>
        <w:rPr>
          <w:rFonts w:hint="eastAsia" w:ascii="宋体" w:hAnsi="宋体" w:eastAsia="宋体" w:cs="宋体"/>
          <w:color w:val="auto"/>
        </w:rPr>
      </w:pPr>
    </w:p>
    <w:p w14:paraId="2F393D54">
      <w:pPr>
        <w:pStyle w:val="15"/>
        <w:widowControl/>
        <w:spacing w:beforeAutospacing="1" w:afterAutospacing="1"/>
        <w:rPr>
          <w:rFonts w:hint="eastAsia" w:ascii="宋体" w:hAnsi="宋体" w:eastAsia="宋体" w:cs="宋体"/>
          <w:color w:val="auto"/>
        </w:rPr>
      </w:pPr>
    </w:p>
    <w:p w14:paraId="05C1E9D8">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9</w:t>
      </w:r>
      <w:r>
        <w:rPr>
          <w:rFonts w:hint="eastAsia" w:ascii="宋体" w:hAnsi="宋体" w:eastAsia="宋体" w:cs="宋体"/>
          <w:b/>
          <w:bCs/>
          <w:color w:val="auto"/>
          <w:sz w:val="24"/>
          <w:szCs w:val="24"/>
        </w:rPr>
        <w:t xml:space="preserve">投标人提供未为本项目提供整体设计、规范编制或者项目管理、监理、检测等服务承诺函 </w:t>
      </w:r>
    </w:p>
    <w:p w14:paraId="16CE66A0">
      <w:pPr>
        <w:autoSpaceDE w:val="0"/>
        <w:autoSpaceDN w:val="0"/>
        <w:adjustRightInd w:val="0"/>
        <w:spacing w:line="360" w:lineRule="auto"/>
        <w:jc w:val="center"/>
        <w:outlineLvl w:val="0"/>
        <w:rPr>
          <w:rFonts w:hint="eastAsia" w:ascii="宋体" w:hAnsi="宋体" w:eastAsia="宋体" w:cs="宋体"/>
          <w:color w:val="auto"/>
        </w:rPr>
      </w:pPr>
      <w:r>
        <w:rPr>
          <w:rFonts w:hint="eastAsia" w:ascii="宋体" w:hAnsi="宋体" w:eastAsia="宋体" w:cs="宋体"/>
          <w:color w:val="auto"/>
          <w:sz w:val="24"/>
          <w:szCs w:val="24"/>
        </w:rPr>
        <w:t>（承诺函格式自拟）</w:t>
      </w:r>
    </w:p>
    <w:p w14:paraId="2EECECDC">
      <w:pPr>
        <w:pStyle w:val="7"/>
        <w:rPr>
          <w:rFonts w:hint="eastAsia" w:ascii="宋体" w:hAnsi="宋体" w:eastAsia="宋体" w:cs="宋体"/>
          <w:color w:val="auto"/>
          <w:sz w:val="24"/>
          <w:lang w:val="zh-CN"/>
        </w:rPr>
      </w:pPr>
    </w:p>
    <w:p w14:paraId="3D7ED381">
      <w:pPr>
        <w:pStyle w:val="7"/>
        <w:rPr>
          <w:rFonts w:hint="eastAsia" w:ascii="宋体" w:hAnsi="宋体" w:eastAsia="宋体" w:cs="宋体"/>
          <w:b/>
          <w:bCs/>
          <w:color w:val="auto"/>
          <w:kern w:val="2"/>
          <w:sz w:val="24"/>
          <w:szCs w:val="24"/>
          <w:lang w:val="zh-CN" w:eastAsia="zh-CN" w:bidi="ar-SA"/>
        </w:rPr>
      </w:pPr>
    </w:p>
    <w:p w14:paraId="39F4AB4B">
      <w:pPr>
        <w:pStyle w:val="7"/>
        <w:rPr>
          <w:rFonts w:hint="eastAsia" w:ascii="宋体" w:hAnsi="宋体" w:eastAsia="宋体" w:cs="宋体"/>
          <w:color w:val="auto"/>
          <w:sz w:val="24"/>
          <w:lang w:val="zh-CN"/>
        </w:rPr>
      </w:pPr>
    </w:p>
    <w:p w14:paraId="0551FB7B">
      <w:pPr>
        <w:pStyle w:val="7"/>
        <w:rPr>
          <w:rFonts w:hint="eastAsia" w:ascii="宋体" w:hAnsi="宋体" w:eastAsia="宋体" w:cs="宋体"/>
          <w:color w:val="auto"/>
          <w:sz w:val="24"/>
          <w:lang w:val="zh-CN"/>
        </w:rPr>
      </w:pPr>
    </w:p>
    <w:p w14:paraId="78A4B655">
      <w:pPr>
        <w:pStyle w:val="7"/>
        <w:rPr>
          <w:rFonts w:hint="eastAsia" w:ascii="宋体" w:hAnsi="宋体" w:eastAsia="宋体" w:cs="宋体"/>
          <w:color w:val="auto"/>
          <w:sz w:val="24"/>
          <w:lang w:val="zh-CN"/>
        </w:rPr>
      </w:pPr>
    </w:p>
    <w:p w14:paraId="4B8F0A13">
      <w:pPr>
        <w:pStyle w:val="7"/>
        <w:rPr>
          <w:rFonts w:hint="eastAsia" w:ascii="宋体" w:hAnsi="宋体" w:eastAsia="宋体" w:cs="宋体"/>
          <w:color w:val="auto"/>
          <w:sz w:val="24"/>
          <w:lang w:val="zh-CN"/>
        </w:rPr>
      </w:pPr>
    </w:p>
    <w:p w14:paraId="409D0046">
      <w:pPr>
        <w:pStyle w:val="7"/>
        <w:rPr>
          <w:rFonts w:hint="eastAsia" w:ascii="宋体" w:hAnsi="宋体" w:eastAsia="宋体" w:cs="宋体"/>
          <w:color w:val="auto"/>
          <w:sz w:val="24"/>
          <w:lang w:val="zh-CN"/>
        </w:rPr>
      </w:pPr>
    </w:p>
    <w:p w14:paraId="084211E2">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10</w:t>
      </w:r>
      <w:r>
        <w:rPr>
          <w:rFonts w:hint="eastAsia" w:ascii="宋体" w:hAnsi="宋体" w:eastAsia="宋体" w:cs="宋体"/>
          <w:b/>
          <w:bCs/>
          <w:color w:val="auto"/>
          <w:sz w:val="24"/>
          <w:szCs w:val="24"/>
        </w:rPr>
        <w:t xml:space="preserve">其他资格证书或材料 </w:t>
      </w:r>
    </w:p>
    <w:p w14:paraId="430BEFA5">
      <w:pPr>
        <w:autoSpaceDE w:val="0"/>
        <w:autoSpaceDN w:val="0"/>
        <w:adjustRightInd w:val="0"/>
        <w:spacing w:line="360" w:lineRule="auto"/>
        <w:rPr>
          <w:rFonts w:hint="eastAsia" w:ascii="宋体" w:hAnsi="宋体" w:eastAsia="宋体" w:cs="宋体"/>
          <w:b/>
          <w:bCs/>
          <w:color w:val="auto"/>
          <w:sz w:val="28"/>
          <w:szCs w:val="28"/>
          <w:lang w:val="zh-CN"/>
        </w:rPr>
      </w:pPr>
    </w:p>
    <w:p w14:paraId="2C6936BA">
      <w:pPr>
        <w:pStyle w:val="7"/>
        <w:rPr>
          <w:rFonts w:hint="eastAsia" w:ascii="宋体" w:hAnsi="宋体" w:eastAsia="宋体" w:cs="宋体"/>
          <w:color w:val="auto"/>
          <w:lang w:val="zh-CN"/>
        </w:rPr>
      </w:pPr>
    </w:p>
    <w:p w14:paraId="17ED3F31">
      <w:pPr>
        <w:pStyle w:val="7"/>
        <w:rPr>
          <w:rFonts w:hint="eastAsia" w:ascii="宋体" w:hAnsi="宋体" w:eastAsia="宋体" w:cs="宋体"/>
          <w:color w:val="auto"/>
          <w:lang w:val="zh-CN"/>
        </w:rPr>
      </w:pPr>
    </w:p>
    <w:p w14:paraId="5B5604AC">
      <w:pPr>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lang w:val="zh-CN"/>
        </w:rPr>
        <w:br w:type="page"/>
      </w:r>
    </w:p>
    <w:p w14:paraId="48A7F3E4">
      <w:pPr>
        <w:autoSpaceDE w:val="0"/>
        <w:autoSpaceDN w:val="0"/>
        <w:adjustRightInd w:val="0"/>
        <w:spacing w:line="360" w:lineRule="auto"/>
        <w:jc w:val="center"/>
        <w:rPr>
          <w:rFonts w:hint="eastAsia" w:ascii="宋体" w:hAnsi="宋体" w:eastAsia="宋体" w:cs="宋体"/>
          <w:b/>
          <w:snapToGrid w:val="0"/>
          <w:color w:val="auto"/>
          <w:kern w:val="0"/>
          <w:sz w:val="28"/>
          <w:szCs w:val="28"/>
        </w:rPr>
      </w:pPr>
      <w:r>
        <w:rPr>
          <w:rFonts w:hint="eastAsia" w:ascii="宋体" w:hAnsi="宋体" w:eastAsia="宋体" w:cs="宋体"/>
          <w:b/>
          <w:bCs/>
          <w:color w:val="auto"/>
          <w:sz w:val="28"/>
          <w:szCs w:val="28"/>
          <w:lang w:val="zh-CN"/>
        </w:rPr>
        <w:t>四、符合性审查相关材料</w:t>
      </w:r>
    </w:p>
    <w:p w14:paraId="2B89D579">
      <w:pPr>
        <w:spacing w:line="48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4.1分项报价表（此表供参考，可以根据情况自行修改）</w:t>
      </w:r>
    </w:p>
    <w:p w14:paraId="2B89D57A">
      <w:pPr>
        <w:spacing w:line="360" w:lineRule="auto"/>
        <w:contextualSpacing/>
        <w:jc w:val="left"/>
        <w:rPr>
          <w:rFonts w:hint="eastAsia" w:ascii="宋体" w:hAnsi="宋体" w:eastAsia="宋体" w:cs="宋体"/>
          <w:color w:val="auto"/>
          <w:szCs w:val="21"/>
        </w:rPr>
      </w:pPr>
      <w:r>
        <w:rPr>
          <w:rFonts w:hint="eastAsia" w:ascii="宋体" w:hAnsi="宋体" w:eastAsia="宋体" w:cs="宋体"/>
          <w:color w:val="auto"/>
          <w:szCs w:val="21"/>
          <w:lang w:eastAsia="zh-CN"/>
        </w:rPr>
        <w:t>采购编号</w:t>
      </w:r>
      <w:r>
        <w:rPr>
          <w:rFonts w:hint="eastAsia" w:ascii="宋体" w:hAnsi="宋体" w:eastAsia="宋体" w:cs="宋体"/>
          <w:color w:val="auto"/>
          <w:szCs w:val="21"/>
        </w:rPr>
        <w:t>：</w:t>
      </w:r>
    </w:p>
    <w:tbl>
      <w:tblPr>
        <w:tblStyle w:val="18"/>
        <w:tblpPr w:leftFromText="180" w:rightFromText="180" w:vertAnchor="text" w:horzAnchor="page" w:tblpX="1220" w:tblpY="1163"/>
        <w:tblOverlap w:val="never"/>
        <w:tblW w:w="9536" w:type="dxa"/>
        <w:tblInd w:w="0" w:type="dxa"/>
        <w:tblLayout w:type="fixed"/>
        <w:tblCellMar>
          <w:top w:w="0" w:type="dxa"/>
          <w:left w:w="108" w:type="dxa"/>
          <w:bottom w:w="0" w:type="dxa"/>
          <w:right w:w="108" w:type="dxa"/>
        </w:tblCellMar>
      </w:tblPr>
      <w:tblGrid>
        <w:gridCol w:w="593"/>
        <w:gridCol w:w="1290"/>
        <w:gridCol w:w="2276"/>
        <w:gridCol w:w="942"/>
        <w:gridCol w:w="1047"/>
        <w:gridCol w:w="1098"/>
        <w:gridCol w:w="1145"/>
        <w:gridCol w:w="1145"/>
      </w:tblGrid>
      <w:tr w14:paraId="48ABFC1E">
        <w:tblPrEx>
          <w:tblCellMar>
            <w:top w:w="0" w:type="dxa"/>
            <w:left w:w="108" w:type="dxa"/>
            <w:bottom w:w="0" w:type="dxa"/>
            <w:right w:w="108" w:type="dxa"/>
          </w:tblCellMar>
        </w:tblPrEx>
        <w:trPr>
          <w:trHeight w:val="851" w:hRule="atLeast"/>
        </w:trPr>
        <w:tc>
          <w:tcPr>
            <w:tcW w:w="59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EC7DC53">
            <w:pPr>
              <w:keepNext w:val="0"/>
              <w:keepLines w:val="0"/>
              <w:pageBreakBefore w:val="0"/>
              <w:widowControl/>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29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DF61EA2">
            <w:pPr>
              <w:widowControl/>
              <w:autoSpaceDE w:val="0"/>
              <w:autoSpaceDN w:val="0"/>
              <w:adjustRightInd w:val="0"/>
              <w:spacing w:line="280" w:lineRule="exact"/>
              <w:jc w:val="center"/>
              <w:rPr>
                <w:rFonts w:hint="eastAsia" w:ascii="宋体" w:hAnsi="宋体" w:eastAsia="宋体" w:cs="宋体"/>
                <w:b/>
                <w:color w:val="auto"/>
                <w:szCs w:val="21"/>
              </w:rPr>
            </w:pPr>
            <w:r>
              <w:rPr>
                <w:rFonts w:hint="eastAsia" w:ascii="宋体" w:hAnsi="宋体" w:eastAsia="宋体" w:cs="宋体"/>
                <w:b/>
                <w:bCs/>
                <w:color w:val="auto"/>
                <w:sz w:val="21"/>
                <w:szCs w:val="21"/>
              </w:rPr>
              <w:t>货物</w:t>
            </w:r>
            <w:r>
              <w:rPr>
                <w:rFonts w:hint="eastAsia" w:ascii="宋体" w:hAnsi="宋体" w:eastAsia="宋体" w:cs="宋体"/>
                <w:b/>
                <w:color w:val="auto"/>
                <w:szCs w:val="21"/>
              </w:rPr>
              <w:t>名称</w:t>
            </w:r>
          </w:p>
        </w:tc>
        <w:tc>
          <w:tcPr>
            <w:tcW w:w="2276" w:type="dxa"/>
            <w:tcBorders>
              <w:top w:val="single" w:color="auto" w:sz="6" w:space="0"/>
              <w:left w:val="single" w:color="auto" w:sz="6" w:space="0"/>
              <w:bottom w:val="single" w:color="auto" w:sz="6" w:space="0"/>
              <w:right w:val="single" w:color="auto" w:sz="4" w:space="0"/>
            </w:tcBorders>
            <w:shd w:val="clear" w:color="auto" w:fill="F1F1F1" w:themeFill="background1" w:themeFillShade="F2"/>
            <w:vAlign w:val="center"/>
          </w:tcPr>
          <w:p w14:paraId="113E7539">
            <w:pPr>
              <w:widowControl/>
              <w:autoSpaceDE w:val="0"/>
              <w:autoSpaceDN w:val="0"/>
              <w:adjustRightInd w:val="0"/>
              <w:spacing w:line="280" w:lineRule="exact"/>
              <w:jc w:val="center"/>
              <w:rPr>
                <w:rFonts w:hint="eastAsia" w:ascii="宋体" w:hAnsi="宋体" w:eastAsia="宋体" w:cs="宋体"/>
                <w:b/>
                <w:color w:val="auto"/>
                <w:szCs w:val="21"/>
                <w:lang w:val="en-US" w:eastAsia="zh-CN"/>
              </w:rPr>
            </w:pPr>
            <w:r>
              <w:rPr>
                <w:rFonts w:hint="eastAsia" w:ascii="宋体" w:hAnsi="宋体" w:eastAsia="宋体" w:cs="宋体"/>
                <w:b/>
                <w:color w:val="auto"/>
                <w:szCs w:val="21"/>
              </w:rPr>
              <w:t>品牌</w:t>
            </w:r>
            <w:r>
              <w:rPr>
                <w:rFonts w:hint="eastAsia" w:ascii="宋体" w:hAnsi="宋体" w:eastAsia="宋体" w:cs="宋体"/>
                <w:b/>
                <w:color w:val="auto"/>
                <w:szCs w:val="21"/>
                <w:lang w:eastAsia="zh-CN"/>
              </w:rPr>
              <w:t>、</w:t>
            </w:r>
            <w:r>
              <w:rPr>
                <w:rFonts w:hint="eastAsia" w:ascii="宋体" w:hAnsi="宋体" w:eastAsia="宋体" w:cs="宋体"/>
                <w:b/>
                <w:color w:val="auto"/>
                <w:szCs w:val="21"/>
                <w:lang w:val="en-US" w:eastAsia="zh-CN"/>
              </w:rPr>
              <w:t>规格型号</w:t>
            </w:r>
          </w:p>
        </w:tc>
        <w:tc>
          <w:tcPr>
            <w:tcW w:w="942" w:type="dxa"/>
            <w:tcBorders>
              <w:top w:val="single" w:color="auto" w:sz="6" w:space="0"/>
              <w:left w:val="single" w:color="auto" w:sz="4" w:space="0"/>
              <w:bottom w:val="single" w:color="auto" w:sz="6" w:space="0"/>
              <w:right w:val="single" w:color="auto" w:sz="4" w:space="0"/>
            </w:tcBorders>
            <w:shd w:val="clear" w:color="auto" w:fill="F1F1F1" w:themeFill="background1" w:themeFillShade="F2"/>
            <w:vAlign w:val="center"/>
          </w:tcPr>
          <w:p w14:paraId="512399A3">
            <w:pPr>
              <w:widowControl/>
              <w:autoSpaceDE w:val="0"/>
              <w:autoSpaceDN w:val="0"/>
              <w:adjustRightInd w:val="0"/>
              <w:spacing w:line="280" w:lineRule="exact"/>
              <w:jc w:val="center"/>
              <w:rPr>
                <w:rFonts w:hint="eastAsia" w:ascii="宋体" w:hAnsi="宋体" w:eastAsia="宋体" w:cs="宋体"/>
                <w:b/>
                <w:color w:val="auto"/>
                <w:szCs w:val="21"/>
              </w:rPr>
            </w:pPr>
            <w:r>
              <w:rPr>
                <w:rFonts w:hint="eastAsia" w:ascii="宋体" w:hAnsi="宋体" w:eastAsia="宋体" w:cs="宋体"/>
                <w:b/>
                <w:color w:val="auto"/>
                <w:szCs w:val="21"/>
              </w:rPr>
              <w:t>单位</w:t>
            </w:r>
          </w:p>
        </w:tc>
        <w:tc>
          <w:tcPr>
            <w:tcW w:w="1047" w:type="dxa"/>
            <w:tcBorders>
              <w:top w:val="single" w:color="auto" w:sz="6" w:space="0"/>
              <w:left w:val="single" w:color="auto" w:sz="4" w:space="0"/>
              <w:bottom w:val="single" w:color="auto" w:sz="6" w:space="0"/>
              <w:right w:val="single" w:color="auto" w:sz="6" w:space="0"/>
            </w:tcBorders>
            <w:shd w:val="clear" w:color="auto" w:fill="F1F1F1" w:themeFill="background1" w:themeFillShade="F2"/>
            <w:vAlign w:val="center"/>
          </w:tcPr>
          <w:p w14:paraId="7BFF1D87">
            <w:pPr>
              <w:widowControl/>
              <w:autoSpaceDE w:val="0"/>
              <w:autoSpaceDN w:val="0"/>
              <w:adjustRightInd w:val="0"/>
              <w:spacing w:line="280" w:lineRule="exact"/>
              <w:jc w:val="center"/>
              <w:rPr>
                <w:rFonts w:hint="eastAsia" w:ascii="宋体" w:hAnsi="宋体" w:eastAsia="宋体" w:cs="宋体"/>
                <w:b/>
                <w:color w:val="auto"/>
                <w:szCs w:val="21"/>
              </w:rPr>
            </w:pPr>
            <w:r>
              <w:rPr>
                <w:rFonts w:hint="eastAsia" w:ascii="宋体" w:hAnsi="宋体" w:eastAsia="宋体" w:cs="宋体"/>
                <w:b/>
                <w:color w:val="auto"/>
                <w:szCs w:val="21"/>
              </w:rPr>
              <w:t>数量</w:t>
            </w:r>
          </w:p>
        </w:tc>
        <w:tc>
          <w:tcPr>
            <w:tcW w:w="109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B58CA0">
            <w:pPr>
              <w:widowControl/>
              <w:autoSpaceDE w:val="0"/>
              <w:autoSpaceDN w:val="0"/>
              <w:adjustRightInd w:val="0"/>
              <w:spacing w:line="280" w:lineRule="exact"/>
              <w:jc w:val="center"/>
              <w:rPr>
                <w:rFonts w:hint="eastAsia" w:ascii="宋体" w:hAnsi="宋体" w:eastAsia="宋体" w:cs="宋体"/>
                <w:b/>
                <w:color w:val="auto"/>
                <w:szCs w:val="21"/>
              </w:rPr>
            </w:pPr>
            <w:r>
              <w:rPr>
                <w:rFonts w:hint="eastAsia" w:ascii="宋体" w:hAnsi="宋体" w:eastAsia="宋体" w:cs="宋体"/>
                <w:b/>
                <w:color w:val="auto"/>
                <w:szCs w:val="21"/>
              </w:rPr>
              <w:t>单价</w:t>
            </w: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0DA870D">
            <w:pPr>
              <w:widowControl/>
              <w:autoSpaceDE w:val="0"/>
              <w:autoSpaceDN w:val="0"/>
              <w:adjustRightInd w:val="0"/>
              <w:spacing w:line="280" w:lineRule="exact"/>
              <w:jc w:val="center"/>
              <w:rPr>
                <w:rFonts w:hint="eastAsia" w:ascii="宋体" w:hAnsi="宋体" w:eastAsia="宋体" w:cs="宋体"/>
                <w:b/>
                <w:color w:val="auto"/>
                <w:szCs w:val="21"/>
              </w:rPr>
            </w:pPr>
            <w:r>
              <w:rPr>
                <w:rFonts w:hint="eastAsia" w:ascii="宋体" w:hAnsi="宋体" w:eastAsia="宋体" w:cs="宋体"/>
                <w:b/>
                <w:color w:val="auto"/>
                <w:szCs w:val="21"/>
              </w:rPr>
              <w:t>总价</w:t>
            </w: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D4ACAC7">
            <w:pPr>
              <w:widowControl/>
              <w:autoSpaceDE w:val="0"/>
              <w:autoSpaceDN w:val="0"/>
              <w:adjustRightInd w:val="0"/>
              <w:spacing w:line="280" w:lineRule="exact"/>
              <w:jc w:val="center"/>
              <w:rPr>
                <w:rFonts w:hint="eastAsia" w:ascii="宋体" w:hAnsi="宋体" w:eastAsia="宋体" w:cs="宋体"/>
                <w:b/>
                <w:color w:val="auto"/>
                <w:szCs w:val="21"/>
              </w:rPr>
            </w:pPr>
            <w:r>
              <w:rPr>
                <w:rFonts w:hint="eastAsia" w:ascii="宋体" w:hAnsi="宋体" w:eastAsia="宋体" w:cs="宋体"/>
                <w:b/>
                <w:color w:val="auto"/>
                <w:szCs w:val="21"/>
              </w:rPr>
              <w:t>生产厂家</w:t>
            </w:r>
          </w:p>
        </w:tc>
      </w:tr>
      <w:tr w14:paraId="13211923">
        <w:tblPrEx>
          <w:tblCellMar>
            <w:top w:w="0" w:type="dxa"/>
            <w:left w:w="108" w:type="dxa"/>
            <w:bottom w:w="0" w:type="dxa"/>
            <w:right w:w="108" w:type="dxa"/>
          </w:tblCellMar>
        </w:tblPrEx>
        <w:trPr>
          <w:trHeight w:val="619" w:hRule="atLeast"/>
        </w:trPr>
        <w:tc>
          <w:tcPr>
            <w:tcW w:w="9536" w:type="dxa"/>
            <w:gridSpan w:val="8"/>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9B078B9">
            <w:pPr>
              <w:widowControl/>
              <w:autoSpaceDE w:val="0"/>
              <w:autoSpaceDN w:val="0"/>
              <w:adjustRightInd w:val="0"/>
              <w:spacing w:line="280" w:lineRule="exact"/>
              <w:jc w:val="left"/>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适用本国产品标准的货物</w:t>
            </w:r>
          </w:p>
        </w:tc>
      </w:tr>
      <w:tr w14:paraId="317E7164">
        <w:tblPrEx>
          <w:tblCellMar>
            <w:top w:w="0" w:type="dxa"/>
            <w:left w:w="108" w:type="dxa"/>
            <w:bottom w:w="0" w:type="dxa"/>
            <w:right w:w="108" w:type="dxa"/>
          </w:tblCellMar>
        </w:tblPrEx>
        <w:trPr>
          <w:trHeight w:val="669" w:hRule="atLeast"/>
        </w:trPr>
        <w:tc>
          <w:tcPr>
            <w:tcW w:w="59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BFA714E">
            <w:pPr>
              <w:autoSpaceDE w:val="0"/>
              <w:autoSpaceDN w:val="0"/>
              <w:adjustRightInd w:val="0"/>
              <w:spacing w:line="280" w:lineRule="exact"/>
              <w:jc w:val="center"/>
              <w:rPr>
                <w:rFonts w:hint="eastAsia" w:ascii="宋体" w:hAnsi="宋体" w:eastAsia="宋体" w:cs="宋体"/>
                <w:b/>
                <w:color w:val="auto"/>
                <w:szCs w:val="21"/>
              </w:rPr>
            </w:pPr>
            <w:r>
              <w:rPr>
                <w:rFonts w:hint="eastAsia" w:ascii="宋体" w:hAnsi="宋体" w:eastAsia="宋体" w:cs="宋体"/>
                <w:b/>
                <w:color w:val="auto"/>
                <w:szCs w:val="21"/>
              </w:rPr>
              <w:t>1</w:t>
            </w:r>
          </w:p>
        </w:tc>
        <w:tc>
          <w:tcPr>
            <w:tcW w:w="129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791143D">
            <w:pPr>
              <w:autoSpaceDE w:val="0"/>
              <w:autoSpaceDN w:val="0"/>
              <w:adjustRightInd w:val="0"/>
              <w:spacing w:line="360" w:lineRule="auto"/>
              <w:jc w:val="center"/>
              <w:rPr>
                <w:rFonts w:hint="eastAsia" w:ascii="宋体" w:hAnsi="宋体" w:eastAsia="宋体" w:cs="宋体"/>
                <w:b/>
                <w:color w:val="auto"/>
                <w:szCs w:val="21"/>
                <w:lang w:val="zh-CN"/>
              </w:rPr>
            </w:pPr>
          </w:p>
        </w:tc>
        <w:tc>
          <w:tcPr>
            <w:tcW w:w="2276" w:type="dxa"/>
            <w:tcBorders>
              <w:top w:val="single" w:color="auto" w:sz="6" w:space="0"/>
              <w:left w:val="single" w:color="auto" w:sz="6" w:space="0"/>
              <w:bottom w:val="single" w:color="auto" w:sz="6" w:space="0"/>
              <w:right w:val="single" w:color="auto" w:sz="4" w:space="0"/>
            </w:tcBorders>
            <w:shd w:val="clear" w:color="auto" w:fill="F1F1F1" w:themeFill="background1" w:themeFillShade="F2"/>
            <w:vAlign w:val="center"/>
          </w:tcPr>
          <w:p w14:paraId="6607AA7E">
            <w:pPr>
              <w:autoSpaceDE w:val="0"/>
              <w:autoSpaceDN w:val="0"/>
              <w:adjustRightInd w:val="0"/>
              <w:spacing w:line="360" w:lineRule="auto"/>
              <w:jc w:val="center"/>
              <w:rPr>
                <w:rFonts w:hint="eastAsia" w:ascii="宋体" w:hAnsi="宋体" w:eastAsia="宋体" w:cs="宋体"/>
                <w:b/>
                <w:color w:val="auto"/>
                <w:szCs w:val="21"/>
              </w:rPr>
            </w:pPr>
          </w:p>
        </w:tc>
        <w:tc>
          <w:tcPr>
            <w:tcW w:w="942" w:type="dxa"/>
            <w:tcBorders>
              <w:top w:val="single" w:color="auto" w:sz="6" w:space="0"/>
              <w:left w:val="single" w:color="auto" w:sz="4" w:space="0"/>
              <w:bottom w:val="single" w:color="auto" w:sz="6" w:space="0"/>
              <w:right w:val="single" w:color="auto" w:sz="4" w:space="0"/>
            </w:tcBorders>
            <w:shd w:val="clear" w:color="auto" w:fill="F1F1F1" w:themeFill="background1" w:themeFillShade="F2"/>
            <w:vAlign w:val="center"/>
          </w:tcPr>
          <w:p w14:paraId="272A71E4">
            <w:pPr>
              <w:autoSpaceDE w:val="0"/>
              <w:autoSpaceDN w:val="0"/>
              <w:adjustRightInd w:val="0"/>
              <w:spacing w:line="360" w:lineRule="auto"/>
              <w:jc w:val="center"/>
              <w:rPr>
                <w:rFonts w:hint="eastAsia" w:ascii="宋体" w:hAnsi="宋体" w:eastAsia="宋体" w:cs="宋体"/>
                <w:b/>
                <w:color w:val="auto"/>
                <w:szCs w:val="21"/>
              </w:rPr>
            </w:pPr>
          </w:p>
        </w:tc>
        <w:tc>
          <w:tcPr>
            <w:tcW w:w="1047" w:type="dxa"/>
            <w:tcBorders>
              <w:top w:val="single" w:color="auto" w:sz="6" w:space="0"/>
              <w:left w:val="single" w:color="auto" w:sz="4" w:space="0"/>
              <w:bottom w:val="single" w:color="auto" w:sz="6" w:space="0"/>
              <w:right w:val="single" w:color="auto" w:sz="6" w:space="0"/>
            </w:tcBorders>
            <w:shd w:val="clear" w:color="auto" w:fill="F1F1F1" w:themeFill="background1" w:themeFillShade="F2"/>
            <w:vAlign w:val="center"/>
          </w:tcPr>
          <w:p w14:paraId="1ABE0ED5">
            <w:pPr>
              <w:autoSpaceDE w:val="0"/>
              <w:autoSpaceDN w:val="0"/>
              <w:adjustRightInd w:val="0"/>
              <w:spacing w:line="280" w:lineRule="exact"/>
              <w:jc w:val="center"/>
              <w:rPr>
                <w:rFonts w:hint="eastAsia" w:ascii="宋体" w:hAnsi="宋体" w:eastAsia="宋体" w:cs="宋体"/>
                <w:b/>
                <w:color w:val="auto"/>
                <w:szCs w:val="21"/>
              </w:rPr>
            </w:pPr>
          </w:p>
        </w:tc>
        <w:tc>
          <w:tcPr>
            <w:tcW w:w="109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441463F">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4D003DE">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3EB4447">
            <w:pPr>
              <w:autoSpaceDE w:val="0"/>
              <w:autoSpaceDN w:val="0"/>
              <w:adjustRightInd w:val="0"/>
              <w:spacing w:line="280" w:lineRule="exact"/>
              <w:jc w:val="center"/>
              <w:rPr>
                <w:rFonts w:hint="eastAsia" w:ascii="宋体" w:hAnsi="宋体" w:eastAsia="宋体" w:cs="宋体"/>
                <w:b/>
                <w:color w:val="auto"/>
                <w:szCs w:val="21"/>
                <w:lang w:val="zh-CN"/>
              </w:rPr>
            </w:pPr>
          </w:p>
        </w:tc>
      </w:tr>
      <w:tr w14:paraId="16FEC5D2">
        <w:tblPrEx>
          <w:tblCellMar>
            <w:top w:w="0" w:type="dxa"/>
            <w:left w:w="108" w:type="dxa"/>
            <w:bottom w:w="0" w:type="dxa"/>
            <w:right w:w="108" w:type="dxa"/>
          </w:tblCellMar>
        </w:tblPrEx>
        <w:trPr>
          <w:trHeight w:val="736" w:hRule="atLeast"/>
        </w:trPr>
        <w:tc>
          <w:tcPr>
            <w:tcW w:w="59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5C4247D">
            <w:pPr>
              <w:autoSpaceDE w:val="0"/>
              <w:autoSpaceDN w:val="0"/>
              <w:adjustRightInd w:val="0"/>
              <w:spacing w:line="280" w:lineRule="exact"/>
              <w:jc w:val="center"/>
              <w:rPr>
                <w:rFonts w:hint="eastAsia" w:ascii="宋体" w:hAnsi="宋体" w:eastAsia="宋体" w:cs="宋体"/>
                <w:b/>
                <w:color w:val="auto"/>
                <w:szCs w:val="21"/>
              </w:rPr>
            </w:pPr>
            <w:r>
              <w:rPr>
                <w:rFonts w:hint="eastAsia" w:ascii="宋体" w:hAnsi="宋体" w:eastAsia="宋体" w:cs="宋体"/>
                <w:b/>
                <w:color w:val="auto"/>
                <w:szCs w:val="21"/>
              </w:rPr>
              <w:t>2</w:t>
            </w:r>
          </w:p>
        </w:tc>
        <w:tc>
          <w:tcPr>
            <w:tcW w:w="129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B1ECC72">
            <w:pPr>
              <w:autoSpaceDE w:val="0"/>
              <w:autoSpaceDN w:val="0"/>
              <w:adjustRightInd w:val="0"/>
              <w:spacing w:line="360" w:lineRule="auto"/>
              <w:jc w:val="center"/>
              <w:rPr>
                <w:rFonts w:hint="eastAsia" w:ascii="宋体" w:hAnsi="宋体" w:eastAsia="宋体" w:cs="宋体"/>
                <w:b/>
                <w:color w:val="auto"/>
                <w:szCs w:val="21"/>
                <w:lang w:val="zh-CN"/>
              </w:rPr>
            </w:pPr>
          </w:p>
        </w:tc>
        <w:tc>
          <w:tcPr>
            <w:tcW w:w="2276" w:type="dxa"/>
            <w:tcBorders>
              <w:top w:val="single" w:color="auto" w:sz="6" w:space="0"/>
              <w:left w:val="single" w:color="auto" w:sz="6" w:space="0"/>
              <w:bottom w:val="single" w:color="auto" w:sz="6" w:space="0"/>
              <w:right w:val="single" w:color="auto" w:sz="4" w:space="0"/>
            </w:tcBorders>
            <w:shd w:val="clear" w:color="auto" w:fill="F1F1F1" w:themeFill="background1" w:themeFillShade="F2"/>
            <w:vAlign w:val="center"/>
          </w:tcPr>
          <w:p w14:paraId="537D3E69">
            <w:pPr>
              <w:autoSpaceDE w:val="0"/>
              <w:autoSpaceDN w:val="0"/>
              <w:adjustRightInd w:val="0"/>
              <w:spacing w:line="360" w:lineRule="auto"/>
              <w:jc w:val="center"/>
              <w:rPr>
                <w:rFonts w:hint="eastAsia" w:ascii="宋体" w:hAnsi="宋体" w:eastAsia="宋体" w:cs="宋体"/>
                <w:b/>
                <w:color w:val="auto"/>
                <w:szCs w:val="21"/>
              </w:rPr>
            </w:pPr>
          </w:p>
        </w:tc>
        <w:tc>
          <w:tcPr>
            <w:tcW w:w="942" w:type="dxa"/>
            <w:tcBorders>
              <w:top w:val="single" w:color="auto" w:sz="6" w:space="0"/>
              <w:left w:val="single" w:color="auto" w:sz="4" w:space="0"/>
              <w:bottom w:val="single" w:color="auto" w:sz="6" w:space="0"/>
              <w:right w:val="single" w:color="auto" w:sz="4" w:space="0"/>
            </w:tcBorders>
            <w:shd w:val="clear" w:color="auto" w:fill="F1F1F1" w:themeFill="background1" w:themeFillShade="F2"/>
            <w:vAlign w:val="center"/>
          </w:tcPr>
          <w:p w14:paraId="4B41DDDA">
            <w:pPr>
              <w:autoSpaceDE w:val="0"/>
              <w:autoSpaceDN w:val="0"/>
              <w:adjustRightInd w:val="0"/>
              <w:spacing w:line="360" w:lineRule="auto"/>
              <w:jc w:val="center"/>
              <w:rPr>
                <w:rFonts w:hint="eastAsia" w:ascii="宋体" w:hAnsi="宋体" w:eastAsia="宋体" w:cs="宋体"/>
                <w:b/>
                <w:color w:val="auto"/>
                <w:szCs w:val="21"/>
              </w:rPr>
            </w:pPr>
          </w:p>
        </w:tc>
        <w:tc>
          <w:tcPr>
            <w:tcW w:w="1047" w:type="dxa"/>
            <w:tcBorders>
              <w:top w:val="single" w:color="auto" w:sz="6" w:space="0"/>
              <w:left w:val="single" w:color="auto" w:sz="4" w:space="0"/>
              <w:bottom w:val="single" w:color="auto" w:sz="6" w:space="0"/>
              <w:right w:val="single" w:color="auto" w:sz="6" w:space="0"/>
            </w:tcBorders>
            <w:shd w:val="clear" w:color="auto" w:fill="F1F1F1" w:themeFill="background1" w:themeFillShade="F2"/>
            <w:vAlign w:val="center"/>
          </w:tcPr>
          <w:p w14:paraId="6711A5EE">
            <w:pPr>
              <w:autoSpaceDE w:val="0"/>
              <w:autoSpaceDN w:val="0"/>
              <w:adjustRightInd w:val="0"/>
              <w:spacing w:line="280" w:lineRule="exact"/>
              <w:jc w:val="center"/>
              <w:rPr>
                <w:rFonts w:hint="eastAsia" w:ascii="宋体" w:hAnsi="宋体" w:eastAsia="宋体" w:cs="宋体"/>
                <w:b/>
                <w:color w:val="auto"/>
                <w:szCs w:val="21"/>
              </w:rPr>
            </w:pPr>
          </w:p>
        </w:tc>
        <w:tc>
          <w:tcPr>
            <w:tcW w:w="109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8EE9634">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AE44D61">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F50CC29">
            <w:pPr>
              <w:autoSpaceDE w:val="0"/>
              <w:autoSpaceDN w:val="0"/>
              <w:adjustRightInd w:val="0"/>
              <w:spacing w:line="280" w:lineRule="exact"/>
              <w:jc w:val="center"/>
              <w:rPr>
                <w:rFonts w:hint="eastAsia" w:ascii="宋体" w:hAnsi="宋体" w:eastAsia="宋体" w:cs="宋体"/>
                <w:b/>
                <w:color w:val="auto"/>
                <w:szCs w:val="21"/>
                <w:lang w:val="zh-CN"/>
              </w:rPr>
            </w:pPr>
          </w:p>
        </w:tc>
      </w:tr>
      <w:tr w14:paraId="295154D3">
        <w:tblPrEx>
          <w:tblCellMar>
            <w:top w:w="0" w:type="dxa"/>
            <w:left w:w="108" w:type="dxa"/>
            <w:bottom w:w="0" w:type="dxa"/>
            <w:right w:w="108" w:type="dxa"/>
          </w:tblCellMar>
        </w:tblPrEx>
        <w:trPr>
          <w:trHeight w:val="669" w:hRule="atLeast"/>
        </w:trPr>
        <w:tc>
          <w:tcPr>
            <w:tcW w:w="59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5BB6CD5">
            <w:pPr>
              <w:widowControl/>
              <w:jc w:val="left"/>
              <w:rPr>
                <w:rFonts w:hint="eastAsia" w:ascii="宋体" w:hAnsi="宋体" w:eastAsia="宋体" w:cs="宋体"/>
                <w:b/>
                <w:color w:val="auto"/>
                <w:szCs w:val="21"/>
              </w:rPr>
            </w:pPr>
            <w:r>
              <w:rPr>
                <w:rFonts w:hint="eastAsia" w:ascii="宋体" w:hAnsi="宋体" w:eastAsia="宋体" w:cs="宋体"/>
                <w:color w:val="auto"/>
                <w:kern w:val="0"/>
                <w:sz w:val="20"/>
                <w:szCs w:val="20"/>
                <w:lang w:bidi="ar"/>
              </w:rPr>
              <w:t>…</w:t>
            </w:r>
          </w:p>
        </w:tc>
        <w:tc>
          <w:tcPr>
            <w:tcW w:w="129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14B45AF">
            <w:pPr>
              <w:autoSpaceDE w:val="0"/>
              <w:autoSpaceDN w:val="0"/>
              <w:adjustRightInd w:val="0"/>
              <w:spacing w:line="360" w:lineRule="auto"/>
              <w:jc w:val="center"/>
              <w:rPr>
                <w:rFonts w:hint="eastAsia" w:ascii="宋体" w:hAnsi="宋体" w:eastAsia="宋体" w:cs="宋体"/>
                <w:b/>
                <w:color w:val="auto"/>
                <w:szCs w:val="21"/>
                <w:lang w:val="zh-CN"/>
              </w:rPr>
            </w:pPr>
          </w:p>
        </w:tc>
        <w:tc>
          <w:tcPr>
            <w:tcW w:w="2276" w:type="dxa"/>
            <w:tcBorders>
              <w:top w:val="single" w:color="auto" w:sz="6" w:space="0"/>
              <w:left w:val="single" w:color="auto" w:sz="6" w:space="0"/>
              <w:bottom w:val="single" w:color="auto" w:sz="6" w:space="0"/>
              <w:right w:val="single" w:color="auto" w:sz="4" w:space="0"/>
            </w:tcBorders>
            <w:shd w:val="clear" w:color="auto" w:fill="F1F1F1" w:themeFill="background1" w:themeFillShade="F2"/>
            <w:vAlign w:val="center"/>
          </w:tcPr>
          <w:p w14:paraId="696E73FD">
            <w:pPr>
              <w:autoSpaceDE w:val="0"/>
              <w:autoSpaceDN w:val="0"/>
              <w:adjustRightInd w:val="0"/>
              <w:spacing w:line="360" w:lineRule="auto"/>
              <w:jc w:val="center"/>
              <w:rPr>
                <w:rFonts w:hint="eastAsia" w:ascii="宋体" w:hAnsi="宋体" w:eastAsia="宋体" w:cs="宋体"/>
                <w:b/>
                <w:color w:val="auto"/>
                <w:szCs w:val="21"/>
              </w:rPr>
            </w:pPr>
          </w:p>
        </w:tc>
        <w:tc>
          <w:tcPr>
            <w:tcW w:w="942" w:type="dxa"/>
            <w:tcBorders>
              <w:top w:val="single" w:color="auto" w:sz="6" w:space="0"/>
              <w:left w:val="single" w:color="auto" w:sz="4" w:space="0"/>
              <w:bottom w:val="single" w:color="auto" w:sz="6" w:space="0"/>
              <w:right w:val="single" w:color="auto" w:sz="4" w:space="0"/>
            </w:tcBorders>
            <w:shd w:val="clear" w:color="auto" w:fill="F1F1F1" w:themeFill="background1" w:themeFillShade="F2"/>
            <w:vAlign w:val="center"/>
          </w:tcPr>
          <w:p w14:paraId="70DA7036">
            <w:pPr>
              <w:autoSpaceDE w:val="0"/>
              <w:autoSpaceDN w:val="0"/>
              <w:adjustRightInd w:val="0"/>
              <w:spacing w:line="360" w:lineRule="auto"/>
              <w:jc w:val="center"/>
              <w:rPr>
                <w:rFonts w:hint="eastAsia" w:ascii="宋体" w:hAnsi="宋体" w:eastAsia="宋体" w:cs="宋体"/>
                <w:b/>
                <w:color w:val="auto"/>
                <w:szCs w:val="21"/>
              </w:rPr>
            </w:pPr>
          </w:p>
        </w:tc>
        <w:tc>
          <w:tcPr>
            <w:tcW w:w="1047" w:type="dxa"/>
            <w:tcBorders>
              <w:top w:val="single" w:color="auto" w:sz="6" w:space="0"/>
              <w:left w:val="single" w:color="auto" w:sz="4" w:space="0"/>
              <w:bottom w:val="single" w:color="auto" w:sz="6" w:space="0"/>
              <w:right w:val="single" w:color="auto" w:sz="6" w:space="0"/>
            </w:tcBorders>
            <w:shd w:val="clear" w:color="auto" w:fill="F1F1F1" w:themeFill="background1" w:themeFillShade="F2"/>
            <w:vAlign w:val="center"/>
          </w:tcPr>
          <w:p w14:paraId="0CCCDDA9">
            <w:pPr>
              <w:autoSpaceDE w:val="0"/>
              <w:autoSpaceDN w:val="0"/>
              <w:adjustRightInd w:val="0"/>
              <w:spacing w:line="280" w:lineRule="exact"/>
              <w:jc w:val="center"/>
              <w:rPr>
                <w:rFonts w:hint="eastAsia" w:ascii="宋体" w:hAnsi="宋体" w:eastAsia="宋体" w:cs="宋体"/>
                <w:b/>
                <w:color w:val="auto"/>
                <w:szCs w:val="21"/>
              </w:rPr>
            </w:pPr>
          </w:p>
        </w:tc>
        <w:tc>
          <w:tcPr>
            <w:tcW w:w="109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78C204">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4B4654D">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76B4D9F">
            <w:pPr>
              <w:autoSpaceDE w:val="0"/>
              <w:autoSpaceDN w:val="0"/>
              <w:adjustRightInd w:val="0"/>
              <w:spacing w:line="280" w:lineRule="exact"/>
              <w:jc w:val="center"/>
              <w:rPr>
                <w:rFonts w:hint="eastAsia" w:ascii="宋体" w:hAnsi="宋体" w:eastAsia="宋体" w:cs="宋体"/>
                <w:b/>
                <w:color w:val="auto"/>
                <w:szCs w:val="21"/>
                <w:lang w:val="zh-CN"/>
              </w:rPr>
            </w:pPr>
          </w:p>
        </w:tc>
      </w:tr>
      <w:tr w14:paraId="732DEBA6">
        <w:tblPrEx>
          <w:tblCellMar>
            <w:top w:w="0" w:type="dxa"/>
            <w:left w:w="108" w:type="dxa"/>
            <w:bottom w:w="0" w:type="dxa"/>
            <w:right w:w="108" w:type="dxa"/>
          </w:tblCellMar>
        </w:tblPrEx>
        <w:trPr>
          <w:trHeight w:val="686" w:hRule="atLeast"/>
        </w:trPr>
        <w:tc>
          <w:tcPr>
            <w:tcW w:w="1883" w:type="dxa"/>
            <w:gridSpan w:val="2"/>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0944531">
            <w:pPr>
              <w:autoSpaceDE w:val="0"/>
              <w:autoSpaceDN w:val="0"/>
              <w:adjustRightInd w:val="0"/>
              <w:spacing w:line="360" w:lineRule="auto"/>
              <w:jc w:val="center"/>
              <w:rPr>
                <w:rFonts w:hint="eastAsia" w:ascii="宋体" w:hAnsi="宋体" w:eastAsia="宋体" w:cs="宋体"/>
                <w:b w:val="0"/>
                <w:bCs/>
                <w:color w:val="auto"/>
                <w:szCs w:val="21"/>
                <w:lang w:val="zh-CN"/>
              </w:rPr>
            </w:pPr>
            <w:r>
              <w:rPr>
                <w:rFonts w:hint="eastAsia" w:ascii="宋体" w:hAnsi="宋体" w:eastAsia="宋体" w:cs="宋体"/>
                <w:b w:val="0"/>
                <w:bCs/>
                <w:color w:val="auto"/>
                <w:szCs w:val="21"/>
                <w:lang w:val="en-US" w:eastAsia="zh-CN"/>
              </w:rPr>
              <w:t>小</w:t>
            </w:r>
            <w:r>
              <w:rPr>
                <w:rFonts w:hint="eastAsia" w:ascii="宋体" w:hAnsi="宋体" w:eastAsia="宋体" w:cs="宋体"/>
                <w:b w:val="0"/>
                <w:bCs/>
                <w:color w:val="auto"/>
                <w:szCs w:val="21"/>
                <w:lang w:val="zh-CN"/>
              </w:rPr>
              <w:t>计</w:t>
            </w:r>
          </w:p>
        </w:tc>
        <w:tc>
          <w:tcPr>
            <w:tcW w:w="7653" w:type="dxa"/>
            <w:gridSpan w:val="6"/>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5607ECF">
            <w:pPr>
              <w:autoSpaceDE w:val="0"/>
              <w:autoSpaceDN w:val="0"/>
              <w:adjustRightInd w:val="0"/>
              <w:spacing w:line="280" w:lineRule="exact"/>
              <w:jc w:val="left"/>
              <w:rPr>
                <w:rFonts w:hint="eastAsia" w:ascii="宋体" w:hAnsi="宋体" w:eastAsia="宋体" w:cs="宋体"/>
                <w:b w:val="0"/>
                <w:bCs/>
                <w:color w:val="auto"/>
                <w:szCs w:val="21"/>
                <w:lang w:val="zh-CN"/>
              </w:rPr>
            </w:pPr>
            <w:r>
              <w:rPr>
                <w:rFonts w:hint="eastAsia" w:ascii="宋体" w:hAnsi="宋体" w:eastAsia="宋体" w:cs="宋体"/>
                <w:b w:val="0"/>
                <w:bCs/>
                <w:color w:val="auto"/>
                <w:szCs w:val="21"/>
                <w:lang w:val="zh-CN"/>
              </w:rPr>
              <w:t xml:space="preserve">大写： </w:t>
            </w:r>
            <w:r>
              <w:rPr>
                <w:rFonts w:hint="eastAsia" w:ascii="宋体" w:hAnsi="宋体" w:eastAsia="宋体" w:cs="宋体"/>
                <w:b w:val="0"/>
                <w:bCs/>
                <w:color w:val="auto"/>
                <w:szCs w:val="21"/>
              </w:rPr>
              <w:t xml:space="preserve">     </w:t>
            </w:r>
            <w:r>
              <w:rPr>
                <w:rFonts w:hint="eastAsia" w:ascii="宋体" w:hAnsi="宋体" w:eastAsia="宋体" w:cs="宋体"/>
                <w:b w:val="0"/>
                <w:bCs/>
                <w:color w:val="auto"/>
                <w:szCs w:val="21"/>
                <w:lang w:val="zh-CN"/>
              </w:rPr>
              <w:t>小写：</w:t>
            </w:r>
          </w:p>
        </w:tc>
      </w:tr>
      <w:tr w14:paraId="0B7BE153">
        <w:tblPrEx>
          <w:tblCellMar>
            <w:top w:w="0" w:type="dxa"/>
            <w:left w:w="108" w:type="dxa"/>
            <w:bottom w:w="0" w:type="dxa"/>
            <w:right w:w="108" w:type="dxa"/>
          </w:tblCellMar>
        </w:tblPrEx>
        <w:trPr>
          <w:trHeight w:val="653" w:hRule="atLeast"/>
        </w:trPr>
        <w:tc>
          <w:tcPr>
            <w:tcW w:w="9536" w:type="dxa"/>
            <w:gridSpan w:val="8"/>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538BF11">
            <w:pPr>
              <w:autoSpaceDE w:val="0"/>
              <w:autoSpaceDN w:val="0"/>
              <w:adjustRightInd w:val="0"/>
              <w:spacing w:line="280" w:lineRule="exact"/>
              <w:jc w:val="left"/>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其他</w:t>
            </w:r>
          </w:p>
        </w:tc>
      </w:tr>
      <w:tr w14:paraId="31980014">
        <w:tblPrEx>
          <w:tblCellMar>
            <w:top w:w="0" w:type="dxa"/>
            <w:left w:w="108" w:type="dxa"/>
            <w:bottom w:w="0" w:type="dxa"/>
            <w:right w:w="108" w:type="dxa"/>
          </w:tblCellMar>
        </w:tblPrEx>
        <w:trPr>
          <w:trHeight w:val="636" w:hRule="atLeast"/>
        </w:trPr>
        <w:tc>
          <w:tcPr>
            <w:tcW w:w="59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799C5B">
            <w:pPr>
              <w:widowControl/>
              <w:jc w:val="left"/>
              <w:rPr>
                <w:rFonts w:hint="eastAsia" w:ascii="宋体" w:hAnsi="宋体" w:eastAsia="宋体" w:cs="宋体"/>
                <w:color w:val="auto"/>
                <w:kern w:val="0"/>
                <w:sz w:val="20"/>
                <w:szCs w:val="20"/>
                <w:lang w:bidi="ar"/>
              </w:rPr>
            </w:pPr>
            <w:r>
              <w:rPr>
                <w:rFonts w:hint="eastAsia" w:ascii="宋体" w:hAnsi="宋体" w:eastAsia="宋体" w:cs="宋体"/>
                <w:color w:val="auto"/>
                <w:kern w:val="0"/>
                <w:sz w:val="20"/>
                <w:szCs w:val="20"/>
                <w:lang w:bidi="ar"/>
              </w:rPr>
              <w:t>…</w:t>
            </w:r>
          </w:p>
        </w:tc>
        <w:tc>
          <w:tcPr>
            <w:tcW w:w="129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C4A1441">
            <w:pPr>
              <w:autoSpaceDE w:val="0"/>
              <w:autoSpaceDN w:val="0"/>
              <w:adjustRightInd w:val="0"/>
              <w:spacing w:line="360" w:lineRule="auto"/>
              <w:jc w:val="center"/>
              <w:rPr>
                <w:rFonts w:hint="eastAsia" w:ascii="宋体" w:hAnsi="宋体" w:eastAsia="宋体" w:cs="宋体"/>
                <w:b/>
                <w:color w:val="auto"/>
                <w:szCs w:val="21"/>
                <w:lang w:val="zh-CN"/>
              </w:rPr>
            </w:pPr>
          </w:p>
        </w:tc>
        <w:tc>
          <w:tcPr>
            <w:tcW w:w="2276" w:type="dxa"/>
            <w:tcBorders>
              <w:top w:val="single" w:color="auto" w:sz="6" w:space="0"/>
              <w:left w:val="single" w:color="auto" w:sz="6" w:space="0"/>
              <w:bottom w:val="single" w:color="auto" w:sz="6" w:space="0"/>
              <w:right w:val="single" w:color="auto" w:sz="4" w:space="0"/>
            </w:tcBorders>
            <w:shd w:val="clear" w:color="auto" w:fill="F1F1F1" w:themeFill="background1" w:themeFillShade="F2"/>
            <w:vAlign w:val="center"/>
          </w:tcPr>
          <w:p w14:paraId="182FBBA4">
            <w:pPr>
              <w:autoSpaceDE w:val="0"/>
              <w:autoSpaceDN w:val="0"/>
              <w:adjustRightInd w:val="0"/>
              <w:spacing w:line="360" w:lineRule="auto"/>
              <w:jc w:val="center"/>
              <w:rPr>
                <w:rFonts w:hint="eastAsia" w:ascii="宋体" w:hAnsi="宋体" w:eastAsia="宋体" w:cs="宋体"/>
                <w:b/>
                <w:color w:val="auto"/>
                <w:szCs w:val="21"/>
              </w:rPr>
            </w:pPr>
          </w:p>
        </w:tc>
        <w:tc>
          <w:tcPr>
            <w:tcW w:w="942" w:type="dxa"/>
            <w:tcBorders>
              <w:top w:val="single" w:color="auto" w:sz="6" w:space="0"/>
              <w:left w:val="single" w:color="auto" w:sz="4" w:space="0"/>
              <w:bottom w:val="single" w:color="auto" w:sz="6" w:space="0"/>
              <w:right w:val="single" w:color="auto" w:sz="4" w:space="0"/>
            </w:tcBorders>
            <w:shd w:val="clear" w:color="auto" w:fill="F1F1F1" w:themeFill="background1" w:themeFillShade="F2"/>
            <w:vAlign w:val="center"/>
          </w:tcPr>
          <w:p w14:paraId="58DC8A71">
            <w:pPr>
              <w:autoSpaceDE w:val="0"/>
              <w:autoSpaceDN w:val="0"/>
              <w:adjustRightInd w:val="0"/>
              <w:spacing w:line="360" w:lineRule="auto"/>
              <w:jc w:val="center"/>
              <w:rPr>
                <w:rFonts w:hint="eastAsia" w:ascii="宋体" w:hAnsi="宋体" w:eastAsia="宋体" w:cs="宋体"/>
                <w:b/>
                <w:color w:val="auto"/>
                <w:szCs w:val="21"/>
              </w:rPr>
            </w:pPr>
          </w:p>
        </w:tc>
        <w:tc>
          <w:tcPr>
            <w:tcW w:w="1047" w:type="dxa"/>
            <w:tcBorders>
              <w:top w:val="single" w:color="auto" w:sz="6" w:space="0"/>
              <w:left w:val="single" w:color="auto" w:sz="4" w:space="0"/>
              <w:bottom w:val="single" w:color="auto" w:sz="6" w:space="0"/>
              <w:right w:val="single" w:color="auto" w:sz="6" w:space="0"/>
            </w:tcBorders>
            <w:shd w:val="clear" w:color="auto" w:fill="F1F1F1" w:themeFill="background1" w:themeFillShade="F2"/>
            <w:vAlign w:val="center"/>
          </w:tcPr>
          <w:p w14:paraId="21C80C70">
            <w:pPr>
              <w:autoSpaceDE w:val="0"/>
              <w:autoSpaceDN w:val="0"/>
              <w:adjustRightInd w:val="0"/>
              <w:spacing w:line="280" w:lineRule="exact"/>
              <w:jc w:val="center"/>
              <w:rPr>
                <w:rFonts w:hint="eastAsia" w:ascii="宋体" w:hAnsi="宋体" w:eastAsia="宋体" w:cs="宋体"/>
                <w:b/>
                <w:color w:val="auto"/>
                <w:szCs w:val="21"/>
              </w:rPr>
            </w:pPr>
          </w:p>
        </w:tc>
        <w:tc>
          <w:tcPr>
            <w:tcW w:w="109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A4322FE">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D237564">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CCE4EB4">
            <w:pPr>
              <w:autoSpaceDE w:val="0"/>
              <w:autoSpaceDN w:val="0"/>
              <w:adjustRightInd w:val="0"/>
              <w:spacing w:line="280" w:lineRule="exact"/>
              <w:jc w:val="center"/>
              <w:rPr>
                <w:rFonts w:hint="eastAsia" w:ascii="宋体" w:hAnsi="宋体" w:eastAsia="宋体" w:cs="宋体"/>
                <w:b/>
                <w:color w:val="auto"/>
                <w:szCs w:val="21"/>
                <w:lang w:val="zh-CN"/>
              </w:rPr>
            </w:pPr>
          </w:p>
        </w:tc>
      </w:tr>
      <w:tr w14:paraId="1976CCEF">
        <w:tblPrEx>
          <w:tblCellMar>
            <w:top w:w="0" w:type="dxa"/>
            <w:left w:w="108" w:type="dxa"/>
            <w:bottom w:w="0" w:type="dxa"/>
            <w:right w:w="108" w:type="dxa"/>
          </w:tblCellMar>
        </w:tblPrEx>
        <w:trPr>
          <w:trHeight w:val="652" w:hRule="atLeast"/>
        </w:trPr>
        <w:tc>
          <w:tcPr>
            <w:tcW w:w="59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4DC0A90">
            <w:pPr>
              <w:widowControl/>
              <w:jc w:val="left"/>
              <w:rPr>
                <w:rFonts w:hint="eastAsia" w:ascii="宋体" w:hAnsi="宋体" w:eastAsia="宋体" w:cs="宋体"/>
                <w:color w:val="auto"/>
                <w:kern w:val="0"/>
                <w:sz w:val="20"/>
                <w:szCs w:val="20"/>
                <w:lang w:bidi="ar"/>
              </w:rPr>
            </w:pPr>
            <w:r>
              <w:rPr>
                <w:rFonts w:hint="eastAsia" w:ascii="宋体" w:hAnsi="宋体" w:eastAsia="宋体" w:cs="宋体"/>
                <w:color w:val="auto"/>
                <w:kern w:val="0"/>
                <w:sz w:val="20"/>
                <w:szCs w:val="20"/>
                <w:lang w:bidi="ar"/>
              </w:rPr>
              <w:t>…</w:t>
            </w:r>
          </w:p>
        </w:tc>
        <w:tc>
          <w:tcPr>
            <w:tcW w:w="129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F4BDA9C">
            <w:pPr>
              <w:autoSpaceDE w:val="0"/>
              <w:autoSpaceDN w:val="0"/>
              <w:adjustRightInd w:val="0"/>
              <w:spacing w:line="360" w:lineRule="auto"/>
              <w:jc w:val="center"/>
              <w:rPr>
                <w:rFonts w:hint="eastAsia" w:ascii="宋体" w:hAnsi="宋体" w:eastAsia="宋体" w:cs="宋体"/>
                <w:b/>
                <w:color w:val="auto"/>
                <w:szCs w:val="21"/>
                <w:lang w:val="zh-CN"/>
              </w:rPr>
            </w:pPr>
          </w:p>
        </w:tc>
        <w:tc>
          <w:tcPr>
            <w:tcW w:w="2276" w:type="dxa"/>
            <w:tcBorders>
              <w:top w:val="single" w:color="auto" w:sz="6" w:space="0"/>
              <w:left w:val="single" w:color="auto" w:sz="6" w:space="0"/>
              <w:bottom w:val="single" w:color="auto" w:sz="6" w:space="0"/>
              <w:right w:val="single" w:color="auto" w:sz="4" w:space="0"/>
            </w:tcBorders>
            <w:shd w:val="clear" w:color="auto" w:fill="F1F1F1" w:themeFill="background1" w:themeFillShade="F2"/>
            <w:vAlign w:val="center"/>
          </w:tcPr>
          <w:p w14:paraId="5602E57B">
            <w:pPr>
              <w:autoSpaceDE w:val="0"/>
              <w:autoSpaceDN w:val="0"/>
              <w:adjustRightInd w:val="0"/>
              <w:spacing w:line="360" w:lineRule="auto"/>
              <w:jc w:val="center"/>
              <w:rPr>
                <w:rFonts w:hint="eastAsia" w:ascii="宋体" w:hAnsi="宋体" w:eastAsia="宋体" w:cs="宋体"/>
                <w:b/>
                <w:color w:val="auto"/>
                <w:szCs w:val="21"/>
              </w:rPr>
            </w:pPr>
          </w:p>
        </w:tc>
        <w:tc>
          <w:tcPr>
            <w:tcW w:w="942" w:type="dxa"/>
            <w:tcBorders>
              <w:top w:val="single" w:color="auto" w:sz="6" w:space="0"/>
              <w:left w:val="single" w:color="auto" w:sz="4" w:space="0"/>
              <w:bottom w:val="single" w:color="auto" w:sz="6" w:space="0"/>
              <w:right w:val="single" w:color="auto" w:sz="4" w:space="0"/>
            </w:tcBorders>
            <w:shd w:val="clear" w:color="auto" w:fill="F1F1F1" w:themeFill="background1" w:themeFillShade="F2"/>
            <w:vAlign w:val="center"/>
          </w:tcPr>
          <w:p w14:paraId="73061B2D">
            <w:pPr>
              <w:autoSpaceDE w:val="0"/>
              <w:autoSpaceDN w:val="0"/>
              <w:adjustRightInd w:val="0"/>
              <w:spacing w:line="360" w:lineRule="auto"/>
              <w:jc w:val="center"/>
              <w:rPr>
                <w:rFonts w:hint="eastAsia" w:ascii="宋体" w:hAnsi="宋体" w:eastAsia="宋体" w:cs="宋体"/>
                <w:b/>
                <w:color w:val="auto"/>
                <w:szCs w:val="21"/>
              </w:rPr>
            </w:pPr>
          </w:p>
        </w:tc>
        <w:tc>
          <w:tcPr>
            <w:tcW w:w="1047" w:type="dxa"/>
            <w:tcBorders>
              <w:top w:val="single" w:color="auto" w:sz="6" w:space="0"/>
              <w:left w:val="single" w:color="auto" w:sz="4" w:space="0"/>
              <w:bottom w:val="single" w:color="auto" w:sz="6" w:space="0"/>
              <w:right w:val="single" w:color="auto" w:sz="6" w:space="0"/>
            </w:tcBorders>
            <w:shd w:val="clear" w:color="auto" w:fill="F1F1F1" w:themeFill="background1" w:themeFillShade="F2"/>
            <w:vAlign w:val="center"/>
          </w:tcPr>
          <w:p w14:paraId="12B7B7A3">
            <w:pPr>
              <w:autoSpaceDE w:val="0"/>
              <w:autoSpaceDN w:val="0"/>
              <w:adjustRightInd w:val="0"/>
              <w:spacing w:line="280" w:lineRule="exact"/>
              <w:jc w:val="center"/>
              <w:rPr>
                <w:rFonts w:hint="eastAsia" w:ascii="宋体" w:hAnsi="宋体" w:eastAsia="宋体" w:cs="宋体"/>
                <w:b/>
                <w:color w:val="auto"/>
                <w:szCs w:val="21"/>
              </w:rPr>
            </w:pPr>
          </w:p>
        </w:tc>
        <w:tc>
          <w:tcPr>
            <w:tcW w:w="109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E794B72">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4EE0648">
            <w:pPr>
              <w:autoSpaceDE w:val="0"/>
              <w:autoSpaceDN w:val="0"/>
              <w:adjustRightInd w:val="0"/>
              <w:spacing w:line="280" w:lineRule="exact"/>
              <w:jc w:val="center"/>
              <w:rPr>
                <w:rFonts w:hint="eastAsia" w:ascii="宋体" w:hAnsi="宋体" w:eastAsia="宋体" w:cs="宋体"/>
                <w:b/>
                <w:color w:val="auto"/>
                <w:szCs w:val="21"/>
                <w:lang w:val="zh-CN"/>
              </w:rPr>
            </w:pPr>
          </w:p>
        </w:tc>
        <w:tc>
          <w:tcPr>
            <w:tcW w:w="114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86AC489">
            <w:pPr>
              <w:autoSpaceDE w:val="0"/>
              <w:autoSpaceDN w:val="0"/>
              <w:adjustRightInd w:val="0"/>
              <w:spacing w:line="280" w:lineRule="exact"/>
              <w:jc w:val="center"/>
              <w:rPr>
                <w:rFonts w:hint="eastAsia" w:ascii="宋体" w:hAnsi="宋体" w:eastAsia="宋体" w:cs="宋体"/>
                <w:b/>
                <w:color w:val="auto"/>
                <w:szCs w:val="21"/>
                <w:lang w:val="zh-CN"/>
              </w:rPr>
            </w:pPr>
          </w:p>
        </w:tc>
      </w:tr>
      <w:tr w14:paraId="485DB019">
        <w:tblPrEx>
          <w:tblCellMar>
            <w:top w:w="0" w:type="dxa"/>
            <w:left w:w="108" w:type="dxa"/>
            <w:bottom w:w="0" w:type="dxa"/>
            <w:right w:w="108" w:type="dxa"/>
          </w:tblCellMar>
        </w:tblPrEx>
        <w:trPr>
          <w:trHeight w:val="669" w:hRule="atLeast"/>
        </w:trPr>
        <w:tc>
          <w:tcPr>
            <w:tcW w:w="1883" w:type="dxa"/>
            <w:gridSpan w:val="2"/>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97AA603">
            <w:pPr>
              <w:autoSpaceDE w:val="0"/>
              <w:autoSpaceDN w:val="0"/>
              <w:adjustRightInd w:val="0"/>
              <w:spacing w:line="360" w:lineRule="auto"/>
              <w:jc w:val="center"/>
              <w:rPr>
                <w:rFonts w:hint="eastAsia" w:ascii="宋体" w:hAnsi="宋体" w:eastAsia="宋体" w:cs="宋体"/>
                <w:b/>
                <w:color w:val="auto"/>
                <w:szCs w:val="21"/>
                <w:lang w:val="zh-CN"/>
              </w:rPr>
            </w:pPr>
            <w:r>
              <w:rPr>
                <w:rFonts w:hint="eastAsia" w:ascii="宋体" w:hAnsi="宋体" w:eastAsia="宋体" w:cs="宋体"/>
                <w:b w:val="0"/>
                <w:bCs/>
                <w:color w:val="auto"/>
                <w:szCs w:val="21"/>
                <w:lang w:val="en-US" w:eastAsia="zh-CN"/>
              </w:rPr>
              <w:t>小</w:t>
            </w:r>
            <w:r>
              <w:rPr>
                <w:rFonts w:hint="eastAsia" w:ascii="宋体" w:hAnsi="宋体" w:eastAsia="宋体" w:cs="宋体"/>
                <w:b w:val="0"/>
                <w:bCs/>
                <w:color w:val="auto"/>
                <w:szCs w:val="21"/>
                <w:lang w:val="zh-CN"/>
              </w:rPr>
              <w:t>计</w:t>
            </w:r>
          </w:p>
        </w:tc>
        <w:tc>
          <w:tcPr>
            <w:tcW w:w="7653" w:type="dxa"/>
            <w:gridSpan w:val="6"/>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B49B68F">
            <w:pPr>
              <w:autoSpaceDE w:val="0"/>
              <w:autoSpaceDN w:val="0"/>
              <w:adjustRightInd w:val="0"/>
              <w:spacing w:line="280" w:lineRule="exact"/>
              <w:jc w:val="left"/>
              <w:rPr>
                <w:rFonts w:hint="eastAsia" w:ascii="宋体" w:hAnsi="宋体" w:eastAsia="宋体" w:cs="宋体"/>
                <w:b/>
                <w:color w:val="auto"/>
                <w:szCs w:val="21"/>
                <w:lang w:val="zh-CN"/>
              </w:rPr>
            </w:pPr>
            <w:r>
              <w:rPr>
                <w:rFonts w:hint="eastAsia" w:ascii="宋体" w:hAnsi="宋体" w:eastAsia="宋体" w:cs="宋体"/>
                <w:b w:val="0"/>
                <w:bCs/>
                <w:color w:val="auto"/>
                <w:szCs w:val="21"/>
                <w:lang w:val="zh-CN"/>
              </w:rPr>
              <w:t xml:space="preserve">大写： </w:t>
            </w:r>
            <w:r>
              <w:rPr>
                <w:rFonts w:hint="eastAsia" w:ascii="宋体" w:hAnsi="宋体" w:eastAsia="宋体" w:cs="宋体"/>
                <w:b w:val="0"/>
                <w:bCs/>
                <w:color w:val="auto"/>
                <w:szCs w:val="21"/>
              </w:rPr>
              <w:t xml:space="preserve">     </w:t>
            </w:r>
            <w:r>
              <w:rPr>
                <w:rFonts w:hint="eastAsia" w:ascii="宋体" w:hAnsi="宋体" w:eastAsia="宋体" w:cs="宋体"/>
                <w:b w:val="0"/>
                <w:bCs/>
                <w:color w:val="auto"/>
                <w:szCs w:val="21"/>
                <w:lang w:val="zh-CN"/>
              </w:rPr>
              <w:t>小写：</w:t>
            </w:r>
          </w:p>
        </w:tc>
      </w:tr>
      <w:tr w14:paraId="7625C061">
        <w:tblPrEx>
          <w:tblCellMar>
            <w:top w:w="0" w:type="dxa"/>
            <w:left w:w="108" w:type="dxa"/>
            <w:bottom w:w="0" w:type="dxa"/>
            <w:right w:w="108" w:type="dxa"/>
          </w:tblCellMar>
        </w:tblPrEx>
        <w:trPr>
          <w:trHeight w:val="735" w:hRule="atLeast"/>
        </w:trPr>
        <w:tc>
          <w:tcPr>
            <w:tcW w:w="1883" w:type="dxa"/>
            <w:gridSpan w:val="2"/>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2B090DF">
            <w:pPr>
              <w:autoSpaceDE w:val="0"/>
              <w:autoSpaceDN w:val="0"/>
              <w:adjustRightInd w:val="0"/>
              <w:spacing w:line="360" w:lineRule="auto"/>
              <w:jc w:val="center"/>
              <w:rPr>
                <w:rFonts w:hint="eastAsia" w:ascii="宋体" w:hAnsi="宋体" w:eastAsia="宋体" w:cs="宋体"/>
                <w:b/>
                <w:color w:val="auto"/>
                <w:szCs w:val="21"/>
                <w:lang w:val="zh-CN"/>
              </w:rPr>
            </w:pPr>
            <w:r>
              <w:rPr>
                <w:rFonts w:hint="eastAsia" w:ascii="宋体" w:hAnsi="宋体" w:eastAsia="宋体" w:cs="宋体"/>
                <w:b/>
                <w:color w:val="auto"/>
                <w:szCs w:val="21"/>
                <w:lang w:val="zh-CN"/>
              </w:rPr>
              <w:t>合计</w:t>
            </w:r>
          </w:p>
        </w:tc>
        <w:tc>
          <w:tcPr>
            <w:tcW w:w="7653" w:type="dxa"/>
            <w:gridSpan w:val="6"/>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362EAD">
            <w:pPr>
              <w:autoSpaceDE w:val="0"/>
              <w:autoSpaceDN w:val="0"/>
              <w:adjustRightInd w:val="0"/>
              <w:spacing w:line="280" w:lineRule="exact"/>
              <w:rPr>
                <w:rFonts w:hint="eastAsia" w:ascii="宋体" w:hAnsi="宋体" w:eastAsia="宋体" w:cs="宋体"/>
                <w:b/>
                <w:color w:val="auto"/>
                <w:szCs w:val="21"/>
                <w:lang w:val="zh-CN"/>
              </w:rPr>
            </w:pPr>
            <w:r>
              <w:rPr>
                <w:rFonts w:hint="eastAsia" w:ascii="宋体" w:hAnsi="宋体" w:eastAsia="宋体" w:cs="宋体"/>
                <w:b/>
                <w:color w:val="auto"/>
                <w:szCs w:val="21"/>
                <w:lang w:val="zh-CN"/>
              </w:rPr>
              <w:t xml:space="preserve">大写： </w:t>
            </w:r>
            <w:r>
              <w:rPr>
                <w:rFonts w:hint="eastAsia" w:ascii="宋体" w:hAnsi="宋体" w:eastAsia="宋体" w:cs="宋体"/>
                <w:b/>
                <w:color w:val="auto"/>
                <w:szCs w:val="21"/>
              </w:rPr>
              <w:t xml:space="preserve">     </w:t>
            </w:r>
            <w:r>
              <w:rPr>
                <w:rFonts w:hint="eastAsia" w:ascii="宋体" w:hAnsi="宋体" w:eastAsia="宋体" w:cs="宋体"/>
                <w:b/>
                <w:color w:val="auto"/>
                <w:szCs w:val="21"/>
                <w:lang w:val="zh-CN"/>
              </w:rPr>
              <w:t>小写：</w:t>
            </w:r>
          </w:p>
        </w:tc>
      </w:tr>
    </w:tbl>
    <w:p w14:paraId="2B89D5A4">
      <w:pPr>
        <w:spacing w:line="480" w:lineRule="exact"/>
        <w:rPr>
          <w:rFonts w:hint="eastAsia" w:ascii="宋体" w:hAnsi="宋体" w:eastAsia="宋体" w:cs="宋体"/>
          <w:color w:val="auto"/>
          <w:szCs w:val="21"/>
          <w:lang w:val="zh-CN"/>
        </w:rPr>
      </w:pPr>
      <w:r>
        <w:rPr>
          <w:rFonts w:hint="eastAsia" w:ascii="宋体" w:hAnsi="宋体" w:eastAsia="宋体" w:cs="宋体"/>
          <w:color w:val="auto"/>
          <w:szCs w:val="21"/>
        </w:rPr>
        <w:t>项目名称</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标段</w:t>
      </w:r>
      <w:r>
        <w:rPr>
          <w:rFonts w:hint="eastAsia" w:ascii="宋体" w:hAnsi="宋体" w:eastAsia="宋体" w:cs="宋体"/>
          <w:color w:val="auto"/>
          <w:szCs w:val="21"/>
        </w:rPr>
        <w:t>：</w:t>
      </w:r>
    </w:p>
    <w:p w14:paraId="34410EA3">
      <w:pPr>
        <w:spacing w:line="360" w:lineRule="auto"/>
        <w:ind w:firstLine="4410" w:firstLineChars="2100"/>
        <w:contextualSpacing/>
        <w:rPr>
          <w:rFonts w:hint="eastAsia" w:ascii="宋体" w:hAnsi="宋体" w:eastAsia="宋体" w:cs="宋体"/>
          <w:color w:val="auto"/>
          <w:szCs w:val="21"/>
          <w:lang w:val="zh-CN"/>
        </w:rPr>
      </w:pPr>
    </w:p>
    <w:p w14:paraId="535D67FF">
      <w:pPr>
        <w:spacing w:line="360" w:lineRule="auto"/>
        <w:ind w:firstLine="4410" w:firstLineChars="2100"/>
        <w:contextualSpacing/>
        <w:rPr>
          <w:rFonts w:hint="eastAsia" w:ascii="宋体" w:hAnsi="宋体" w:eastAsia="宋体" w:cs="宋体"/>
          <w:color w:val="auto"/>
          <w:szCs w:val="21"/>
          <w:lang w:val="zh-CN"/>
        </w:rPr>
      </w:pPr>
    </w:p>
    <w:p w14:paraId="325CDB28">
      <w:pPr>
        <w:spacing w:line="360" w:lineRule="auto"/>
        <w:ind w:firstLine="4410" w:firstLineChars="2100"/>
        <w:contextualSpacing/>
        <w:rPr>
          <w:rFonts w:hint="eastAsia" w:ascii="宋体" w:hAnsi="宋体" w:eastAsia="宋体" w:cs="宋体"/>
          <w:color w:val="auto"/>
          <w:szCs w:val="21"/>
          <w:lang w:val="zh-CN"/>
        </w:rPr>
      </w:pPr>
    </w:p>
    <w:p w14:paraId="2B89D5A5">
      <w:pPr>
        <w:spacing w:line="360" w:lineRule="auto"/>
        <w:ind w:firstLine="4410" w:firstLineChars="2100"/>
        <w:contextualSpacing/>
        <w:rPr>
          <w:rFonts w:hint="eastAsia" w:ascii="宋体" w:hAnsi="宋体" w:eastAsia="宋体" w:cs="宋体"/>
          <w:color w:val="auto"/>
          <w:szCs w:val="21"/>
        </w:rPr>
      </w:pPr>
      <w:r>
        <w:rPr>
          <w:rFonts w:hint="eastAsia" w:ascii="宋体" w:hAnsi="宋体" w:eastAsia="宋体" w:cs="宋体"/>
          <w:color w:val="auto"/>
          <w:szCs w:val="21"/>
          <w:lang w:val="zh-CN"/>
        </w:rPr>
        <w:t>投标人名称（盖章）：</w:t>
      </w:r>
    </w:p>
    <w:p w14:paraId="2B89D5A6">
      <w:pPr>
        <w:spacing w:line="360" w:lineRule="auto"/>
        <w:contextualSpacing/>
        <w:rPr>
          <w:rFonts w:hint="eastAsia" w:ascii="宋体" w:hAnsi="宋体" w:eastAsia="宋体" w:cs="宋体"/>
          <w:color w:val="auto"/>
          <w:sz w:val="24"/>
          <w:szCs w:val="24"/>
        </w:rPr>
      </w:pPr>
      <w:r>
        <w:rPr>
          <w:rFonts w:hint="eastAsia" w:ascii="宋体" w:hAnsi="宋体" w:eastAsia="宋体" w:cs="宋体"/>
          <w:color w:val="auto"/>
          <w:szCs w:val="21"/>
        </w:rPr>
        <w:t xml:space="preserve">                                         日期：   年    月    日</w:t>
      </w:r>
    </w:p>
    <w:p w14:paraId="2B89D5A7">
      <w:pPr>
        <w:autoSpaceDE w:val="0"/>
        <w:autoSpaceDN w:val="0"/>
        <w:adjustRightInd w:val="0"/>
        <w:spacing w:line="480" w:lineRule="auto"/>
        <w:rPr>
          <w:rFonts w:hint="eastAsia" w:ascii="宋体" w:hAnsi="宋体" w:eastAsia="宋体" w:cs="宋体"/>
          <w:color w:val="auto"/>
          <w:sz w:val="24"/>
          <w:szCs w:val="24"/>
        </w:rPr>
      </w:pPr>
    </w:p>
    <w:p w14:paraId="6C1EEC00">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518F8542">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4A51D664">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B89D5A8">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4.2 技术规格偏离表</w:t>
      </w:r>
    </w:p>
    <w:p w14:paraId="2B89D5A9">
      <w:pPr>
        <w:spacing w:line="360" w:lineRule="auto"/>
        <w:contextualSpacing/>
        <w:jc w:val="left"/>
        <w:rPr>
          <w:rFonts w:hint="eastAsia" w:ascii="宋体" w:hAnsi="宋体" w:eastAsia="宋体" w:cs="宋体"/>
          <w:color w:val="auto"/>
          <w:szCs w:val="21"/>
        </w:rPr>
      </w:pPr>
      <w:r>
        <w:rPr>
          <w:rFonts w:hint="eastAsia" w:ascii="宋体" w:hAnsi="宋体" w:eastAsia="宋体" w:cs="宋体"/>
          <w:color w:val="auto"/>
          <w:szCs w:val="21"/>
          <w:lang w:eastAsia="zh-CN"/>
        </w:rPr>
        <w:t>采购编号</w:t>
      </w:r>
      <w:r>
        <w:rPr>
          <w:rFonts w:hint="eastAsia" w:ascii="宋体" w:hAnsi="宋体" w:eastAsia="宋体" w:cs="宋体"/>
          <w:color w:val="auto"/>
          <w:szCs w:val="21"/>
        </w:rPr>
        <w:t>：</w:t>
      </w:r>
    </w:p>
    <w:p w14:paraId="2B89D5AA">
      <w:pPr>
        <w:autoSpaceDE w:val="0"/>
        <w:autoSpaceDN w:val="0"/>
        <w:adjustRightInd w:val="0"/>
        <w:spacing w:line="360" w:lineRule="auto"/>
        <w:outlineLvl w:val="0"/>
        <w:rPr>
          <w:rFonts w:hint="eastAsia" w:ascii="宋体" w:hAnsi="宋体" w:eastAsia="宋体" w:cs="宋体"/>
          <w:b/>
          <w:snapToGrid w:val="0"/>
          <w:color w:val="auto"/>
          <w:kern w:val="0"/>
          <w:szCs w:val="21"/>
        </w:rPr>
      </w:pPr>
      <w:r>
        <w:rPr>
          <w:rFonts w:hint="eastAsia" w:ascii="宋体" w:hAnsi="宋体" w:eastAsia="宋体" w:cs="宋体"/>
          <w:color w:val="auto"/>
          <w:szCs w:val="21"/>
        </w:rPr>
        <w:t>项目名称</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标段</w:t>
      </w:r>
      <w:r>
        <w:rPr>
          <w:rFonts w:hint="eastAsia" w:ascii="宋体" w:hAnsi="宋体" w:eastAsia="宋体" w:cs="宋体"/>
          <w:color w:val="auto"/>
          <w:szCs w:val="21"/>
        </w:rPr>
        <w:t xml:space="preserve">：   </w:t>
      </w:r>
    </w:p>
    <w:tbl>
      <w:tblPr>
        <w:tblStyle w:val="18"/>
        <w:tblW w:w="9315" w:type="dxa"/>
        <w:tblInd w:w="0" w:type="dxa"/>
        <w:tblLayout w:type="fixed"/>
        <w:tblCellMar>
          <w:top w:w="0" w:type="dxa"/>
          <w:left w:w="108" w:type="dxa"/>
          <w:bottom w:w="0" w:type="dxa"/>
          <w:right w:w="108" w:type="dxa"/>
        </w:tblCellMar>
      </w:tblPr>
      <w:tblGrid>
        <w:gridCol w:w="674"/>
        <w:gridCol w:w="1417"/>
        <w:gridCol w:w="987"/>
        <w:gridCol w:w="1396"/>
        <w:gridCol w:w="1866"/>
        <w:gridCol w:w="1559"/>
        <w:gridCol w:w="1416"/>
      </w:tblGrid>
      <w:tr w14:paraId="2B89D5B6">
        <w:tblPrEx>
          <w:tblCellMar>
            <w:top w:w="0" w:type="dxa"/>
            <w:left w:w="108" w:type="dxa"/>
            <w:bottom w:w="0" w:type="dxa"/>
            <w:right w:w="108" w:type="dxa"/>
          </w:tblCellMar>
        </w:tblPrEx>
        <w:trPr>
          <w:trHeight w:val="851" w:hRule="atLeast"/>
        </w:trPr>
        <w:tc>
          <w:tcPr>
            <w:tcW w:w="67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B89D5AB">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B89D5AD">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货物名称</w:t>
            </w:r>
          </w:p>
        </w:tc>
        <w:tc>
          <w:tcPr>
            <w:tcW w:w="987" w:type="dxa"/>
            <w:tcBorders>
              <w:top w:val="single" w:color="auto" w:sz="6" w:space="0"/>
              <w:left w:val="single" w:color="auto" w:sz="6" w:space="0"/>
              <w:bottom w:val="single" w:color="auto" w:sz="6" w:space="0"/>
              <w:right w:val="single" w:color="auto" w:sz="4" w:space="0"/>
            </w:tcBorders>
            <w:shd w:val="clear" w:color="auto" w:fill="F1F1F1" w:themeFill="background1" w:themeFillShade="F2"/>
            <w:vAlign w:val="center"/>
          </w:tcPr>
          <w:p w14:paraId="485D2BAA">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规格</w:t>
            </w:r>
          </w:p>
          <w:p w14:paraId="2B89D5AF">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型号</w:t>
            </w:r>
          </w:p>
        </w:tc>
        <w:tc>
          <w:tcPr>
            <w:tcW w:w="1396" w:type="dxa"/>
            <w:tcBorders>
              <w:top w:val="single" w:color="auto" w:sz="6" w:space="0"/>
              <w:left w:val="single" w:color="auto" w:sz="4" w:space="0"/>
              <w:bottom w:val="single" w:color="auto" w:sz="6" w:space="0"/>
              <w:right w:val="single" w:color="auto" w:sz="6" w:space="0"/>
            </w:tcBorders>
            <w:shd w:val="clear" w:color="auto" w:fill="F1F1F1" w:themeFill="background1" w:themeFillShade="F2"/>
            <w:vAlign w:val="center"/>
          </w:tcPr>
          <w:p w14:paraId="0FD60C35">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招标文件</w:t>
            </w:r>
          </w:p>
          <w:p w14:paraId="7D24159A">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技术参数</w:t>
            </w:r>
          </w:p>
        </w:tc>
        <w:tc>
          <w:tcPr>
            <w:tcW w:w="18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B89D5B0">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投标文件</w:t>
            </w:r>
          </w:p>
          <w:p w14:paraId="2B89D5B1">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技术参数</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B89D5B2">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偏离</w:t>
            </w:r>
          </w:p>
          <w:p w14:paraId="2B89D5B3">
            <w:pPr>
              <w:jc w:val="center"/>
              <w:rPr>
                <w:rFonts w:hint="eastAsia" w:ascii="宋体" w:hAnsi="宋体" w:eastAsia="宋体" w:cs="宋体"/>
                <w:b/>
                <w:bCs/>
                <w:color w:val="auto"/>
                <w:szCs w:val="21"/>
              </w:rPr>
            </w:pPr>
            <w:r>
              <w:rPr>
                <w:rFonts w:hint="eastAsia" w:ascii="宋体" w:hAnsi="宋体" w:eastAsia="宋体" w:cs="宋体"/>
                <w:b/>
                <w:bCs/>
                <w:color w:val="auto"/>
                <w:szCs w:val="21"/>
              </w:rPr>
              <w:t>（无偏离/正偏离/负偏离）</w:t>
            </w:r>
          </w:p>
        </w:tc>
        <w:tc>
          <w:tcPr>
            <w:tcW w:w="141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B89D5B4">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偏离内容</w:t>
            </w:r>
          </w:p>
          <w:p w14:paraId="2B89D5B5">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说明</w:t>
            </w:r>
          </w:p>
        </w:tc>
      </w:tr>
      <w:tr w14:paraId="2B89D5BD">
        <w:tblPrEx>
          <w:tblCellMar>
            <w:top w:w="0" w:type="dxa"/>
            <w:left w:w="108" w:type="dxa"/>
            <w:bottom w:w="0" w:type="dxa"/>
            <w:right w:w="108" w:type="dxa"/>
          </w:tblCellMar>
        </w:tblPrEx>
        <w:trPr>
          <w:trHeight w:val="851" w:hRule="atLeast"/>
        </w:trPr>
        <w:tc>
          <w:tcPr>
            <w:tcW w:w="674" w:type="dxa"/>
            <w:tcBorders>
              <w:top w:val="single" w:color="auto" w:sz="6" w:space="0"/>
              <w:left w:val="single" w:color="auto" w:sz="6" w:space="0"/>
              <w:bottom w:val="single" w:color="auto" w:sz="6" w:space="0"/>
              <w:right w:val="single" w:color="auto" w:sz="6" w:space="0"/>
            </w:tcBorders>
            <w:vAlign w:val="center"/>
          </w:tcPr>
          <w:p w14:paraId="2B89D5B7">
            <w:pPr>
              <w:autoSpaceDE w:val="0"/>
              <w:autoSpaceDN w:val="0"/>
              <w:adjustRightInd w:val="0"/>
              <w:spacing w:line="480" w:lineRule="exact"/>
              <w:jc w:val="center"/>
              <w:rPr>
                <w:rFonts w:hint="eastAsia" w:ascii="宋体" w:hAnsi="宋体" w:eastAsia="宋体" w:cs="宋体"/>
                <w:bCs/>
                <w:color w:val="auto"/>
                <w:szCs w:val="21"/>
              </w:rPr>
            </w:pPr>
            <w:r>
              <w:rPr>
                <w:rFonts w:hint="eastAsia" w:ascii="宋体" w:hAnsi="宋体" w:eastAsia="宋体" w:cs="宋体"/>
                <w:bCs/>
                <w:color w:val="auto"/>
                <w:szCs w:val="21"/>
              </w:rPr>
              <w:t>1</w:t>
            </w:r>
          </w:p>
        </w:tc>
        <w:tc>
          <w:tcPr>
            <w:tcW w:w="1417" w:type="dxa"/>
            <w:tcBorders>
              <w:top w:val="single" w:color="auto" w:sz="6" w:space="0"/>
              <w:left w:val="single" w:color="auto" w:sz="6" w:space="0"/>
              <w:bottom w:val="single" w:color="auto" w:sz="6" w:space="0"/>
              <w:right w:val="single" w:color="auto" w:sz="6" w:space="0"/>
            </w:tcBorders>
          </w:tcPr>
          <w:p w14:paraId="2B89D5B8">
            <w:pPr>
              <w:autoSpaceDE w:val="0"/>
              <w:autoSpaceDN w:val="0"/>
              <w:adjustRightInd w:val="0"/>
              <w:spacing w:line="480" w:lineRule="exact"/>
              <w:rPr>
                <w:rFonts w:hint="eastAsia" w:ascii="宋体" w:hAnsi="宋体" w:eastAsia="宋体" w:cs="宋体"/>
                <w:b/>
                <w:bCs/>
                <w:color w:val="auto"/>
                <w:szCs w:val="21"/>
              </w:rPr>
            </w:pPr>
          </w:p>
        </w:tc>
        <w:tc>
          <w:tcPr>
            <w:tcW w:w="987" w:type="dxa"/>
            <w:tcBorders>
              <w:top w:val="single" w:color="auto" w:sz="6" w:space="0"/>
              <w:left w:val="single" w:color="auto" w:sz="6" w:space="0"/>
              <w:bottom w:val="single" w:color="auto" w:sz="6" w:space="0"/>
              <w:right w:val="single" w:color="auto" w:sz="4" w:space="0"/>
            </w:tcBorders>
          </w:tcPr>
          <w:p w14:paraId="2B89D5B9">
            <w:pPr>
              <w:autoSpaceDE w:val="0"/>
              <w:autoSpaceDN w:val="0"/>
              <w:adjustRightInd w:val="0"/>
              <w:spacing w:line="480" w:lineRule="exact"/>
              <w:rPr>
                <w:rFonts w:hint="eastAsia" w:ascii="宋体" w:hAnsi="宋体" w:eastAsia="宋体" w:cs="宋体"/>
                <w:b/>
                <w:bCs/>
                <w:color w:val="auto"/>
                <w:szCs w:val="21"/>
              </w:rPr>
            </w:pPr>
          </w:p>
        </w:tc>
        <w:tc>
          <w:tcPr>
            <w:tcW w:w="1396" w:type="dxa"/>
            <w:tcBorders>
              <w:top w:val="single" w:color="auto" w:sz="6" w:space="0"/>
              <w:left w:val="single" w:color="auto" w:sz="4" w:space="0"/>
              <w:bottom w:val="single" w:color="auto" w:sz="6" w:space="0"/>
              <w:right w:val="single" w:color="auto" w:sz="6" w:space="0"/>
            </w:tcBorders>
          </w:tcPr>
          <w:p w14:paraId="52BE912E">
            <w:pPr>
              <w:autoSpaceDE w:val="0"/>
              <w:autoSpaceDN w:val="0"/>
              <w:adjustRightInd w:val="0"/>
              <w:spacing w:line="480" w:lineRule="exact"/>
              <w:rPr>
                <w:rFonts w:hint="eastAsia" w:ascii="宋体" w:hAnsi="宋体" w:eastAsia="宋体" w:cs="宋体"/>
                <w:b/>
                <w:bCs/>
                <w:color w:val="auto"/>
                <w:szCs w:val="21"/>
              </w:rPr>
            </w:pPr>
          </w:p>
        </w:tc>
        <w:tc>
          <w:tcPr>
            <w:tcW w:w="1866" w:type="dxa"/>
            <w:tcBorders>
              <w:top w:val="single" w:color="auto" w:sz="6" w:space="0"/>
              <w:left w:val="single" w:color="auto" w:sz="6" w:space="0"/>
              <w:bottom w:val="single" w:color="auto" w:sz="6" w:space="0"/>
              <w:right w:val="single" w:color="auto" w:sz="6" w:space="0"/>
            </w:tcBorders>
          </w:tcPr>
          <w:p w14:paraId="776EAA75">
            <w:pPr>
              <w:autoSpaceDE w:val="0"/>
              <w:autoSpaceDN w:val="0"/>
              <w:adjustRightInd w:val="0"/>
              <w:spacing w:line="480" w:lineRule="exact"/>
              <w:rPr>
                <w:rFonts w:hint="eastAsia" w:ascii="宋体" w:hAnsi="宋体" w:eastAsia="宋体" w:cs="宋体"/>
                <w:b/>
                <w:bCs/>
                <w:color w:val="auto"/>
                <w:szCs w:val="21"/>
              </w:rPr>
            </w:pPr>
          </w:p>
        </w:tc>
        <w:tc>
          <w:tcPr>
            <w:tcW w:w="1559" w:type="dxa"/>
            <w:tcBorders>
              <w:top w:val="single" w:color="auto" w:sz="6" w:space="0"/>
              <w:left w:val="single" w:color="auto" w:sz="6" w:space="0"/>
              <w:bottom w:val="single" w:color="auto" w:sz="6" w:space="0"/>
              <w:right w:val="single" w:color="auto" w:sz="6" w:space="0"/>
            </w:tcBorders>
          </w:tcPr>
          <w:p w14:paraId="2B89D5BB">
            <w:pPr>
              <w:autoSpaceDE w:val="0"/>
              <w:autoSpaceDN w:val="0"/>
              <w:adjustRightInd w:val="0"/>
              <w:spacing w:line="480" w:lineRule="exact"/>
              <w:rPr>
                <w:rFonts w:hint="eastAsia" w:ascii="宋体" w:hAnsi="宋体" w:eastAsia="宋体" w:cs="宋体"/>
                <w:b/>
                <w:bCs/>
                <w:color w:val="auto"/>
                <w:szCs w:val="21"/>
              </w:rPr>
            </w:pPr>
          </w:p>
        </w:tc>
        <w:tc>
          <w:tcPr>
            <w:tcW w:w="1416" w:type="dxa"/>
            <w:tcBorders>
              <w:top w:val="single" w:color="auto" w:sz="6" w:space="0"/>
              <w:left w:val="single" w:color="auto" w:sz="6" w:space="0"/>
              <w:bottom w:val="single" w:color="auto" w:sz="6" w:space="0"/>
              <w:right w:val="single" w:color="auto" w:sz="6" w:space="0"/>
            </w:tcBorders>
            <w:vAlign w:val="center"/>
          </w:tcPr>
          <w:p w14:paraId="2B89D5BC">
            <w:pPr>
              <w:autoSpaceDE w:val="0"/>
              <w:autoSpaceDN w:val="0"/>
              <w:adjustRightInd w:val="0"/>
              <w:spacing w:line="480" w:lineRule="exact"/>
              <w:jc w:val="center"/>
              <w:rPr>
                <w:rFonts w:hint="eastAsia" w:ascii="宋体" w:hAnsi="宋体" w:eastAsia="宋体" w:cs="宋体"/>
                <w:b/>
                <w:bCs/>
                <w:color w:val="auto"/>
                <w:szCs w:val="21"/>
              </w:rPr>
            </w:pPr>
          </w:p>
        </w:tc>
      </w:tr>
      <w:tr w14:paraId="2B89D5C4">
        <w:tblPrEx>
          <w:tblCellMar>
            <w:top w:w="0" w:type="dxa"/>
            <w:left w:w="108" w:type="dxa"/>
            <w:bottom w:w="0" w:type="dxa"/>
            <w:right w:w="108" w:type="dxa"/>
          </w:tblCellMar>
        </w:tblPrEx>
        <w:trPr>
          <w:trHeight w:val="851" w:hRule="atLeast"/>
        </w:trPr>
        <w:tc>
          <w:tcPr>
            <w:tcW w:w="674" w:type="dxa"/>
            <w:tcBorders>
              <w:top w:val="single" w:color="auto" w:sz="6" w:space="0"/>
              <w:left w:val="single" w:color="auto" w:sz="6" w:space="0"/>
              <w:bottom w:val="single" w:color="auto" w:sz="6" w:space="0"/>
              <w:right w:val="single" w:color="auto" w:sz="6" w:space="0"/>
            </w:tcBorders>
            <w:vAlign w:val="center"/>
          </w:tcPr>
          <w:p w14:paraId="2B89D5BE">
            <w:pPr>
              <w:autoSpaceDE w:val="0"/>
              <w:autoSpaceDN w:val="0"/>
              <w:adjustRightInd w:val="0"/>
              <w:spacing w:line="480" w:lineRule="exact"/>
              <w:jc w:val="center"/>
              <w:rPr>
                <w:rFonts w:hint="eastAsia" w:ascii="宋体" w:hAnsi="宋体" w:eastAsia="宋体" w:cs="宋体"/>
                <w:bCs/>
                <w:color w:val="auto"/>
                <w:szCs w:val="21"/>
              </w:rPr>
            </w:pPr>
            <w:r>
              <w:rPr>
                <w:rFonts w:hint="eastAsia" w:ascii="宋体" w:hAnsi="宋体" w:eastAsia="宋体" w:cs="宋体"/>
                <w:color w:val="auto"/>
                <w:szCs w:val="21"/>
              </w:rPr>
              <w:t>…</w:t>
            </w:r>
          </w:p>
        </w:tc>
        <w:tc>
          <w:tcPr>
            <w:tcW w:w="1417" w:type="dxa"/>
            <w:tcBorders>
              <w:top w:val="single" w:color="auto" w:sz="6" w:space="0"/>
              <w:left w:val="single" w:color="auto" w:sz="6" w:space="0"/>
              <w:bottom w:val="single" w:color="auto" w:sz="6" w:space="0"/>
              <w:right w:val="single" w:color="auto" w:sz="6" w:space="0"/>
            </w:tcBorders>
          </w:tcPr>
          <w:p w14:paraId="2B89D5BF">
            <w:pPr>
              <w:autoSpaceDE w:val="0"/>
              <w:autoSpaceDN w:val="0"/>
              <w:adjustRightInd w:val="0"/>
              <w:spacing w:line="480" w:lineRule="exact"/>
              <w:rPr>
                <w:rFonts w:hint="eastAsia" w:ascii="宋体" w:hAnsi="宋体" w:eastAsia="宋体" w:cs="宋体"/>
                <w:b/>
                <w:bCs/>
                <w:color w:val="auto"/>
                <w:szCs w:val="21"/>
              </w:rPr>
            </w:pPr>
          </w:p>
        </w:tc>
        <w:tc>
          <w:tcPr>
            <w:tcW w:w="987" w:type="dxa"/>
            <w:tcBorders>
              <w:top w:val="single" w:color="auto" w:sz="6" w:space="0"/>
              <w:left w:val="single" w:color="auto" w:sz="6" w:space="0"/>
              <w:bottom w:val="single" w:color="auto" w:sz="6" w:space="0"/>
              <w:right w:val="single" w:color="auto" w:sz="4" w:space="0"/>
            </w:tcBorders>
          </w:tcPr>
          <w:p w14:paraId="2B89D5C0">
            <w:pPr>
              <w:autoSpaceDE w:val="0"/>
              <w:autoSpaceDN w:val="0"/>
              <w:adjustRightInd w:val="0"/>
              <w:spacing w:line="480" w:lineRule="exact"/>
              <w:rPr>
                <w:rFonts w:hint="eastAsia" w:ascii="宋体" w:hAnsi="宋体" w:eastAsia="宋体" w:cs="宋体"/>
                <w:b/>
                <w:bCs/>
                <w:color w:val="auto"/>
                <w:szCs w:val="21"/>
              </w:rPr>
            </w:pPr>
          </w:p>
        </w:tc>
        <w:tc>
          <w:tcPr>
            <w:tcW w:w="1396" w:type="dxa"/>
            <w:tcBorders>
              <w:top w:val="single" w:color="auto" w:sz="6" w:space="0"/>
              <w:left w:val="single" w:color="auto" w:sz="4" w:space="0"/>
              <w:bottom w:val="single" w:color="auto" w:sz="6" w:space="0"/>
              <w:right w:val="single" w:color="auto" w:sz="6" w:space="0"/>
            </w:tcBorders>
          </w:tcPr>
          <w:p w14:paraId="4D8FC6A1">
            <w:pPr>
              <w:autoSpaceDE w:val="0"/>
              <w:autoSpaceDN w:val="0"/>
              <w:adjustRightInd w:val="0"/>
              <w:spacing w:line="480" w:lineRule="exact"/>
              <w:rPr>
                <w:rFonts w:hint="eastAsia" w:ascii="宋体" w:hAnsi="宋体" w:eastAsia="宋体" w:cs="宋体"/>
                <w:b/>
                <w:bCs/>
                <w:color w:val="auto"/>
                <w:szCs w:val="21"/>
              </w:rPr>
            </w:pPr>
          </w:p>
        </w:tc>
        <w:tc>
          <w:tcPr>
            <w:tcW w:w="1866" w:type="dxa"/>
            <w:tcBorders>
              <w:top w:val="single" w:color="auto" w:sz="6" w:space="0"/>
              <w:left w:val="single" w:color="auto" w:sz="6" w:space="0"/>
              <w:bottom w:val="single" w:color="auto" w:sz="6" w:space="0"/>
              <w:right w:val="single" w:color="auto" w:sz="6" w:space="0"/>
            </w:tcBorders>
          </w:tcPr>
          <w:p w14:paraId="735294D9">
            <w:pPr>
              <w:autoSpaceDE w:val="0"/>
              <w:autoSpaceDN w:val="0"/>
              <w:adjustRightInd w:val="0"/>
              <w:spacing w:line="480" w:lineRule="exact"/>
              <w:rPr>
                <w:rFonts w:hint="eastAsia" w:ascii="宋体" w:hAnsi="宋体" w:eastAsia="宋体" w:cs="宋体"/>
                <w:b/>
                <w:bCs/>
                <w:color w:val="auto"/>
                <w:szCs w:val="21"/>
              </w:rPr>
            </w:pPr>
          </w:p>
        </w:tc>
        <w:tc>
          <w:tcPr>
            <w:tcW w:w="1559" w:type="dxa"/>
            <w:tcBorders>
              <w:top w:val="single" w:color="auto" w:sz="6" w:space="0"/>
              <w:left w:val="single" w:color="auto" w:sz="6" w:space="0"/>
              <w:bottom w:val="single" w:color="auto" w:sz="6" w:space="0"/>
              <w:right w:val="single" w:color="auto" w:sz="6" w:space="0"/>
            </w:tcBorders>
          </w:tcPr>
          <w:p w14:paraId="2B89D5C2">
            <w:pPr>
              <w:autoSpaceDE w:val="0"/>
              <w:autoSpaceDN w:val="0"/>
              <w:adjustRightInd w:val="0"/>
              <w:spacing w:line="480" w:lineRule="exact"/>
              <w:rPr>
                <w:rFonts w:hint="eastAsia" w:ascii="宋体" w:hAnsi="宋体" w:eastAsia="宋体" w:cs="宋体"/>
                <w:b/>
                <w:bCs/>
                <w:color w:val="auto"/>
                <w:szCs w:val="21"/>
              </w:rPr>
            </w:pPr>
          </w:p>
        </w:tc>
        <w:tc>
          <w:tcPr>
            <w:tcW w:w="1416" w:type="dxa"/>
            <w:tcBorders>
              <w:top w:val="single" w:color="auto" w:sz="6" w:space="0"/>
              <w:left w:val="single" w:color="auto" w:sz="6" w:space="0"/>
              <w:bottom w:val="single" w:color="auto" w:sz="6" w:space="0"/>
              <w:right w:val="single" w:color="auto" w:sz="6" w:space="0"/>
            </w:tcBorders>
            <w:vAlign w:val="center"/>
          </w:tcPr>
          <w:p w14:paraId="2B89D5C3">
            <w:pPr>
              <w:autoSpaceDE w:val="0"/>
              <w:autoSpaceDN w:val="0"/>
              <w:adjustRightInd w:val="0"/>
              <w:spacing w:line="480" w:lineRule="exact"/>
              <w:jc w:val="center"/>
              <w:rPr>
                <w:rFonts w:hint="eastAsia" w:ascii="宋体" w:hAnsi="宋体" w:eastAsia="宋体" w:cs="宋体"/>
                <w:b/>
                <w:bCs/>
                <w:color w:val="auto"/>
                <w:szCs w:val="21"/>
              </w:rPr>
            </w:pPr>
          </w:p>
        </w:tc>
      </w:tr>
    </w:tbl>
    <w:p w14:paraId="2B89D5C5">
      <w:pPr>
        <w:autoSpaceDE w:val="0"/>
        <w:autoSpaceDN w:val="0"/>
        <w:adjustRightInd w:val="0"/>
        <w:spacing w:line="480" w:lineRule="auto"/>
        <w:rPr>
          <w:rFonts w:hint="eastAsia" w:ascii="宋体" w:hAnsi="宋体" w:eastAsia="宋体" w:cs="宋体"/>
          <w:color w:val="auto"/>
          <w:szCs w:val="21"/>
          <w:lang w:val="zh-CN"/>
        </w:rPr>
      </w:pPr>
    </w:p>
    <w:p w14:paraId="2B89D5C6">
      <w:pPr>
        <w:autoSpaceDE w:val="0"/>
        <w:autoSpaceDN w:val="0"/>
        <w:adjustRightInd w:val="0"/>
        <w:spacing w:line="480" w:lineRule="auto"/>
        <w:rPr>
          <w:rFonts w:hint="eastAsia" w:ascii="宋体" w:hAnsi="宋体" w:eastAsia="宋体" w:cs="宋体"/>
          <w:color w:val="auto"/>
          <w:lang w:val="zh-CN"/>
        </w:rPr>
      </w:pPr>
      <w:r>
        <w:rPr>
          <w:rFonts w:hint="eastAsia" w:ascii="宋体" w:hAnsi="宋体" w:eastAsia="宋体" w:cs="宋体"/>
          <w:color w:val="auto"/>
          <w:szCs w:val="21"/>
          <w:lang w:val="zh-CN"/>
        </w:rPr>
        <w:t>供应商名称（</w:t>
      </w:r>
      <w:r>
        <w:rPr>
          <w:rFonts w:hint="eastAsia" w:ascii="宋体" w:hAnsi="宋体" w:eastAsia="宋体" w:cs="宋体"/>
          <w:color w:val="auto"/>
          <w:szCs w:val="21"/>
        </w:rPr>
        <w:t>并加盖公章</w:t>
      </w:r>
      <w:r>
        <w:rPr>
          <w:rFonts w:hint="eastAsia" w:ascii="宋体" w:hAnsi="宋体" w:eastAsia="宋体" w:cs="宋体"/>
          <w:color w:val="auto"/>
          <w:szCs w:val="21"/>
          <w:lang w:val="zh-CN"/>
        </w:rPr>
        <w:t>）：</w:t>
      </w:r>
    </w:p>
    <w:p w14:paraId="27D700CE">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4253F6E4">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AB10FB1">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6C0AB332">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4BE1FA5">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01C7E3D3">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0C90EF5C">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4A116879">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F2F072B">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EF7A636">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06BC7981">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82A60C5">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5D7B6D5C">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8C5DCB5">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5F0D917F">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6E7CDC18">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0DE12A33">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4D187696">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4.3 技术方案（实施方案）</w:t>
      </w:r>
    </w:p>
    <w:p w14:paraId="78D17FD4">
      <w:pPr>
        <w:snapToGrid w:val="0"/>
        <w:spacing w:line="360" w:lineRule="auto"/>
        <w:jc w:val="center"/>
        <w:rPr>
          <w:rFonts w:hint="eastAsia" w:ascii="宋体" w:hAnsi="宋体" w:eastAsia="宋体" w:cs="宋体"/>
          <w:b/>
          <w:snapToGrid w:val="0"/>
          <w:color w:val="auto"/>
          <w:kern w:val="0"/>
          <w:sz w:val="36"/>
          <w:szCs w:val="36"/>
        </w:rPr>
      </w:pPr>
    </w:p>
    <w:p w14:paraId="14966FE4">
      <w:pPr>
        <w:autoSpaceDE w:val="0"/>
        <w:autoSpaceDN w:val="0"/>
        <w:adjustRightInd w:val="0"/>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（投标人根据招标文件要求自行编制）</w:t>
      </w:r>
    </w:p>
    <w:p w14:paraId="570853E0">
      <w:pPr>
        <w:pStyle w:val="16"/>
        <w:ind w:firstLine="340"/>
        <w:rPr>
          <w:rFonts w:hint="eastAsia" w:ascii="宋体" w:hAnsi="宋体" w:eastAsia="宋体" w:cs="宋体"/>
          <w:color w:val="auto"/>
        </w:rPr>
      </w:pPr>
    </w:p>
    <w:p w14:paraId="279C5A56">
      <w:pPr>
        <w:pStyle w:val="17"/>
        <w:ind w:firstLine="480"/>
        <w:rPr>
          <w:rFonts w:hint="eastAsia" w:ascii="宋体" w:hAnsi="宋体" w:eastAsia="宋体" w:cs="宋体"/>
          <w:color w:val="auto"/>
        </w:rPr>
      </w:pPr>
    </w:p>
    <w:p w14:paraId="5F1D1A94">
      <w:pPr>
        <w:pStyle w:val="10"/>
        <w:ind w:left="5250"/>
        <w:rPr>
          <w:rFonts w:hint="eastAsia" w:ascii="宋体" w:hAnsi="宋体" w:eastAsia="宋体" w:cs="宋体"/>
          <w:color w:val="auto"/>
        </w:rPr>
      </w:pPr>
    </w:p>
    <w:p w14:paraId="3A2A6AC2">
      <w:pPr>
        <w:rPr>
          <w:rFonts w:hint="eastAsia" w:ascii="宋体" w:hAnsi="宋体" w:eastAsia="宋体" w:cs="宋体"/>
          <w:color w:val="auto"/>
        </w:rPr>
      </w:pPr>
    </w:p>
    <w:p w14:paraId="510E008D">
      <w:pPr>
        <w:rPr>
          <w:rFonts w:hint="eastAsia" w:ascii="宋体" w:hAnsi="宋体" w:eastAsia="宋体" w:cs="宋体"/>
          <w:color w:val="auto"/>
        </w:rPr>
      </w:pPr>
    </w:p>
    <w:p w14:paraId="63E9159F">
      <w:pPr>
        <w:rPr>
          <w:rFonts w:hint="eastAsia" w:ascii="宋体" w:hAnsi="宋体" w:eastAsia="宋体" w:cs="宋体"/>
          <w:color w:val="auto"/>
        </w:rPr>
      </w:pPr>
    </w:p>
    <w:p w14:paraId="3989D541">
      <w:pPr>
        <w:rPr>
          <w:rFonts w:hint="eastAsia" w:ascii="宋体" w:hAnsi="宋体" w:eastAsia="宋体" w:cs="宋体"/>
          <w:color w:val="auto"/>
        </w:rPr>
      </w:pPr>
    </w:p>
    <w:p w14:paraId="63AE7B46">
      <w:pPr>
        <w:rPr>
          <w:rFonts w:hint="eastAsia" w:ascii="宋体" w:hAnsi="宋体" w:eastAsia="宋体" w:cs="宋体"/>
          <w:color w:val="auto"/>
        </w:rPr>
      </w:pPr>
    </w:p>
    <w:p w14:paraId="2CEFA9F8">
      <w:pPr>
        <w:rPr>
          <w:rFonts w:hint="eastAsia" w:ascii="宋体" w:hAnsi="宋体" w:eastAsia="宋体" w:cs="宋体"/>
          <w:color w:val="auto"/>
        </w:rPr>
      </w:pPr>
    </w:p>
    <w:p w14:paraId="0F6224A9">
      <w:pPr>
        <w:rPr>
          <w:rFonts w:hint="eastAsia" w:ascii="宋体" w:hAnsi="宋体" w:eastAsia="宋体" w:cs="宋体"/>
          <w:color w:val="auto"/>
        </w:rPr>
      </w:pPr>
    </w:p>
    <w:p w14:paraId="27EE9461">
      <w:pPr>
        <w:rPr>
          <w:rFonts w:hint="eastAsia" w:ascii="宋体" w:hAnsi="宋体" w:eastAsia="宋体" w:cs="宋体"/>
          <w:color w:val="auto"/>
        </w:rPr>
      </w:pPr>
    </w:p>
    <w:p w14:paraId="601334E2">
      <w:pPr>
        <w:rPr>
          <w:rFonts w:hint="eastAsia" w:ascii="宋体" w:hAnsi="宋体" w:eastAsia="宋体" w:cs="宋体"/>
          <w:color w:val="auto"/>
        </w:rPr>
      </w:pPr>
    </w:p>
    <w:p w14:paraId="73C3A865">
      <w:pPr>
        <w:rPr>
          <w:rFonts w:hint="eastAsia" w:ascii="宋体" w:hAnsi="宋体" w:eastAsia="宋体" w:cs="宋体"/>
          <w:color w:val="auto"/>
        </w:rPr>
      </w:pPr>
    </w:p>
    <w:p w14:paraId="7E4231DE">
      <w:pPr>
        <w:rPr>
          <w:rFonts w:hint="eastAsia" w:ascii="宋体" w:hAnsi="宋体" w:eastAsia="宋体" w:cs="宋体"/>
          <w:color w:val="auto"/>
        </w:rPr>
      </w:pPr>
    </w:p>
    <w:p w14:paraId="753BF281">
      <w:pPr>
        <w:rPr>
          <w:rFonts w:hint="eastAsia" w:ascii="宋体" w:hAnsi="宋体" w:eastAsia="宋体" w:cs="宋体"/>
          <w:color w:val="auto"/>
        </w:rPr>
      </w:pPr>
    </w:p>
    <w:p w14:paraId="1C3E21E2">
      <w:pPr>
        <w:rPr>
          <w:rFonts w:hint="eastAsia" w:ascii="宋体" w:hAnsi="宋体" w:eastAsia="宋体" w:cs="宋体"/>
          <w:color w:val="auto"/>
        </w:rPr>
      </w:pPr>
    </w:p>
    <w:p w14:paraId="4F2F3AFC">
      <w:pPr>
        <w:rPr>
          <w:rFonts w:hint="eastAsia" w:ascii="宋体" w:hAnsi="宋体" w:eastAsia="宋体" w:cs="宋体"/>
          <w:color w:val="auto"/>
        </w:rPr>
      </w:pPr>
    </w:p>
    <w:p w14:paraId="2AE80C80">
      <w:pPr>
        <w:rPr>
          <w:rFonts w:hint="eastAsia" w:ascii="宋体" w:hAnsi="宋体" w:eastAsia="宋体" w:cs="宋体"/>
          <w:color w:val="auto"/>
        </w:rPr>
      </w:pPr>
    </w:p>
    <w:p w14:paraId="6F997985">
      <w:pPr>
        <w:rPr>
          <w:rFonts w:hint="eastAsia" w:ascii="宋体" w:hAnsi="宋体" w:eastAsia="宋体" w:cs="宋体"/>
          <w:color w:val="auto"/>
        </w:rPr>
      </w:pPr>
    </w:p>
    <w:p w14:paraId="3422D279">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35A980B2">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27987A8">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4.4 售后服务方案</w:t>
      </w:r>
    </w:p>
    <w:p w14:paraId="2B6A5339">
      <w:pPr>
        <w:autoSpaceDE w:val="0"/>
        <w:autoSpaceDN w:val="0"/>
        <w:adjustRightInd w:val="0"/>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（投标人根据招标文件要求自行编制）</w:t>
      </w:r>
    </w:p>
    <w:p w14:paraId="5E915ADE">
      <w:pPr>
        <w:pStyle w:val="7"/>
        <w:rPr>
          <w:rFonts w:hint="eastAsia" w:ascii="宋体" w:hAnsi="宋体" w:eastAsia="宋体" w:cs="宋体"/>
          <w:color w:val="auto"/>
          <w:kern w:val="0"/>
          <w:sz w:val="34"/>
          <w:szCs w:val="20"/>
          <w:lang w:val="zh-CN"/>
        </w:rPr>
      </w:pPr>
    </w:p>
    <w:p w14:paraId="15C03FD7">
      <w:pPr>
        <w:rPr>
          <w:rFonts w:hint="eastAsia" w:ascii="宋体" w:hAnsi="宋体" w:eastAsia="宋体" w:cs="宋体"/>
          <w:color w:val="auto"/>
          <w:lang w:val="zh-CN"/>
        </w:rPr>
      </w:pPr>
    </w:p>
    <w:p w14:paraId="5FF38901">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0E653EE7">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79D0FDA">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7C469A0D">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4AC0345">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9C1C456">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510648F">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4.5 业绩情况表</w:t>
      </w:r>
    </w:p>
    <w:p w14:paraId="779DFC96">
      <w:pPr>
        <w:autoSpaceDE w:val="0"/>
        <w:autoSpaceDN w:val="0"/>
        <w:adjustRightInd w:val="0"/>
        <w:spacing w:line="360" w:lineRule="auto"/>
        <w:jc w:val="center"/>
        <w:outlineLvl w:val="0"/>
        <w:rPr>
          <w:rFonts w:hint="eastAsia" w:ascii="宋体" w:hAnsi="宋体" w:eastAsia="宋体" w:cs="宋体"/>
          <w:b/>
          <w:bCs/>
          <w:color w:val="auto"/>
          <w:sz w:val="28"/>
          <w:szCs w:val="28"/>
        </w:rPr>
      </w:pPr>
    </w:p>
    <w:p w14:paraId="35668B1B">
      <w:pPr>
        <w:spacing w:before="50" w:after="156" w:afterLines="50" w:line="360" w:lineRule="auto"/>
        <w:contextualSpacing/>
        <w:jc w:val="left"/>
        <w:rPr>
          <w:rFonts w:hint="eastAsia" w:ascii="宋体" w:hAnsi="宋体" w:eastAsia="宋体" w:cs="宋体"/>
          <w:color w:val="auto"/>
          <w:szCs w:val="21"/>
        </w:rPr>
      </w:pPr>
      <w:r>
        <w:rPr>
          <w:rFonts w:hint="eastAsia" w:ascii="宋体" w:hAnsi="宋体" w:eastAsia="宋体" w:cs="宋体"/>
          <w:color w:val="auto"/>
          <w:szCs w:val="21"/>
          <w:lang w:eastAsia="zh-CN"/>
        </w:rPr>
        <w:t>采购编号</w:t>
      </w:r>
      <w:r>
        <w:rPr>
          <w:rFonts w:hint="eastAsia" w:ascii="宋体" w:hAnsi="宋体" w:eastAsia="宋体" w:cs="宋体"/>
          <w:color w:val="auto"/>
          <w:szCs w:val="21"/>
        </w:rPr>
        <w:t>：</w:t>
      </w:r>
    </w:p>
    <w:p w14:paraId="03B1A161">
      <w:pPr>
        <w:snapToGrid w:val="0"/>
        <w:spacing w:line="360" w:lineRule="auto"/>
        <w:rPr>
          <w:rFonts w:hint="eastAsia" w:ascii="宋体" w:hAnsi="宋体" w:eastAsia="宋体" w:cs="宋体"/>
          <w:b/>
          <w:snapToGrid w:val="0"/>
          <w:color w:val="auto"/>
          <w:kern w:val="0"/>
          <w:szCs w:val="21"/>
        </w:rPr>
      </w:pPr>
      <w:r>
        <w:rPr>
          <w:rFonts w:hint="eastAsia" w:ascii="宋体" w:hAnsi="宋体" w:eastAsia="宋体" w:cs="宋体"/>
          <w:color w:val="auto"/>
          <w:szCs w:val="21"/>
        </w:rPr>
        <w:t xml:space="preserve">项目名称、标段：   </w:t>
      </w:r>
    </w:p>
    <w:tbl>
      <w:tblPr>
        <w:tblStyle w:val="18"/>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0B76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vAlign w:val="center"/>
          </w:tcPr>
          <w:p w14:paraId="5E1AC96F">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808" w:type="dxa"/>
            <w:vAlign w:val="center"/>
          </w:tcPr>
          <w:p w14:paraId="7CB084E3">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客户单位名称</w:t>
            </w:r>
          </w:p>
        </w:tc>
        <w:tc>
          <w:tcPr>
            <w:tcW w:w="3579" w:type="dxa"/>
            <w:vAlign w:val="center"/>
          </w:tcPr>
          <w:p w14:paraId="5DCDAD24">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项目名称及主要内容</w:t>
            </w:r>
          </w:p>
        </w:tc>
        <w:tc>
          <w:tcPr>
            <w:tcW w:w="1440" w:type="dxa"/>
            <w:vAlign w:val="center"/>
          </w:tcPr>
          <w:p w14:paraId="0EA1AE03">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合同金额</w:t>
            </w:r>
          </w:p>
          <w:p w14:paraId="16A48721">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（万元）</w:t>
            </w:r>
          </w:p>
        </w:tc>
        <w:tc>
          <w:tcPr>
            <w:tcW w:w="1706" w:type="dxa"/>
            <w:vAlign w:val="center"/>
          </w:tcPr>
          <w:p w14:paraId="1C040B34">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联系人及电话</w:t>
            </w:r>
          </w:p>
        </w:tc>
      </w:tr>
      <w:tr w14:paraId="492C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1C9BCBF3">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808" w:type="dxa"/>
            <w:vAlign w:val="center"/>
          </w:tcPr>
          <w:p w14:paraId="4283A635">
            <w:pPr>
              <w:pStyle w:val="5"/>
              <w:spacing w:line="360" w:lineRule="auto"/>
              <w:rPr>
                <w:rFonts w:hint="eastAsia" w:ascii="宋体" w:hAnsi="宋体" w:eastAsia="宋体" w:cs="宋体"/>
                <w:color w:val="auto"/>
                <w:sz w:val="21"/>
                <w:szCs w:val="21"/>
              </w:rPr>
            </w:pPr>
          </w:p>
        </w:tc>
        <w:tc>
          <w:tcPr>
            <w:tcW w:w="3579" w:type="dxa"/>
            <w:vAlign w:val="center"/>
          </w:tcPr>
          <w:p w14:paraId="11E4DD15">
            <w:pPr>
              <w:pStyle w:val="5"/>
              <w:spacing w:line="360" w:lineRule="auto"/>
              <w:rPr>
                <w:rFonts w:hint="eastAsia" w:ascii="宋体" w:hAnsi="宋体" w:eastAsia="宋体" w:cs="宋体"/>
                <w:color w:val="auto"/>
                <w:sz w:val="21"/>
                <w:szCs w:val="21"/>
              </w:rPr>
            </w:pPr>
          </w:p>
        </w:tc>
        <w:tc>
          <w:tcPr>
            <w:tcW w:w="1440" w:type="dxa"/>
            <w:vAlign w:val="center"/>
          </w:tcPr>
          <w:p w14:paraId="09B8C52C">
            <w:pPr>
              <w:pStyle w:val="5"/>
              <w:spacing w:line="360" w:lineRule="auto"/>
              <w:rPr>
                <w:rFonts w:hint="eastAsia" w:ascii="宋体" w:hAnsi="宋体" w:eastAsia="宋体" w:cs="宋体"/>
                <w:color w:val="auto"/>
                <w:sz w:val="21"/>
                <w:szCs w:val="21"/>
              </w:rPr>
            </w:pPr>
          </w:p>
        </w:tc>
        <w:tc>
          <w:tcPr>
            <w:tcW w:w="1706" w:type="dxa"/>
            <w:vAlign w:val="center"/>
          </w:tcPr>
          <w:p w14:paraId="09A5E4FC">
            <w:pPr>
              <w:pStyle w:val="5"/>
              <w:spacing w:line="360" w:lineRule="auto"/>
              <w:rPr>
                <w:rFonts w:hint="eastAsia" w:ascii="宋体" w:hAnsi="宋体" w:eastAsia="宋体" w:cs="宋体"/>
                <w:color w:val="auto"/>
                <w:sz w:val="21"/>
                <w:szCs w:val="21"/>
              </w:rPr>
            </w:pPr>
          </w:p>
        </w:tc>
      </w:tr>
      <w:tr w14:paraId="002E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7DE9333">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808" w:type="dxa"/>
            <w:vAlign w:val="center"/>
          </w:tcPr>
          <w:p w14:paraId="02D6CE31">
            <w:pPr>
              <w:pStyle w:val="5"/>
              <w:spacing w:line="360" w:lineRule="auto"/>
              <w:rPr>
                <w:rFonts w:hint="eastAsia" w:ascii="宋体" w:hAnsi="宋体" w:eastAsia="宋体" w:cs="宋体"/>
                <w:color w:val="auto"/>
                <w:sz w:val="21"/>
                <w:szCs w:val="21"/>
              </w:rPr>
            </w:pPr>
          </w:p>
        </w:tc>
        <w:tc>
          <w:tcPr>
            <w:tcW w:w="3579" w:type="dxa"/>
            <w:vAlign w:val="center"/>
          </w:tcPr>
          <w:p w14:paraId="611C66B8">
            <w:pPr>
              <w:pStyle w:val="5"/>
              <w:spacing w:line="360" w:lineRule="auto"/>
              <w:rPr>
                <w:rFonts w:hint="eastAsia" w:ascii="宋体" w:hAnsi="宋体" w:eastAsia="宋体" w:cs="宋体"/>
                <w:color w:val="auto"/>
                <w:sz w:val="21"/>
                <w:szCs w:val="21"/>
              </w:rPr>
            </w:pPr>
          </w:p>
        </w:tc>
        <w:tc>
          <w:tcPr>
            <w:tcW w:w="1440" w:type="dxa"/>
            <w:vAlign w:val="center"/>
          </w:tcPr>
          <w:p w14:paraId="5B5AE4FF">
            <w:pPr>
              <w:pStyle w:val="5"/>
              <w:spacing w:line="360" w:lineRule="auto"/>
              <w:rPr>
                <w:rFonts w:hint="eastAsia" w:ascii="宋体" w:hAnsi="宋体" w:eastAsia="宋体" w:cs="宋体"/>
                <w:color w:val="auto"/>
                <w:sz w:val="21"/>
                <w:szCs w:val="21"/>
              </w:rPr>
            </w:pPr>
          </w:p>
        </w:tc>
        <w:tc>
          <w:tcPr>
            <w:tcW w:w="1706" w:type="dxa"/>
            <w:vAlign w:val="center"/>
          </w:tcPr>
          <w:p w14:paraId="1BB32D5C">
            <w:pPr>
              <w:pStyle w:val="5"/>
              <w:spacing w:line="360" w:lineRule="auto"/>
              <w:rPr>
                <w:rFonts w:hint="eastAsia" w:ascii="宋体" w:hAnsi="宋体" w:eastAsia="宋体" w:cs="宋体"/>
                <w:color w:val="auto"/>
                <w:sz w:val="21"/>
                <w:szCs w:val="21"/>
              </w:rPr>
            </w:pPr>
          </w:p>
        </w:tc>
      </w:tr>
      <w:tr w14:paraId="15D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1909237">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808" w:type="dxa"/>
            <w:vAlign w:val="center"/>
          </w:tcPr>
          <w:p w14:paraId="7D7EB92C">
            <w:pPr>
              <w:pStyle w:val="5"/>
              <w:spacing w:line="360" w:lineRule="auto"/>
              <w:rPr>
                <w:rFonts w:hint="eastAsia" w:ascii="宋体" w:hAnsi="宋体" w:eastAsia="宋体" w:cs="宋体"/>
                <w:color w:val="auto"/>
                <w:sz w:val="21"/>
                <w:szCs w:val="21"/>
              </w:rPr>
            </w:pPr>
          </w:p>
        </w:tc>
        <w:tc>
          <w:tcPr>
            <w:tcW w:w="3579" w:type="dxa"/>
            <w:vAlign w:val="center"/>
          </w:tcPr>
          <w:p w14:paraId="1585AE22">
            <w:pPr>
              <w:pStyle w:val="5"/>
              <w:spacing w:line="360" w:lineRule="auto"/>
              <w:rPr>
                <w:rFonts w:hint="eastAsia" w:ascii="宋体" w:hAnsi="宋体" w:eastAsia="宋体" w:cs="宋体"/>
                <w:color w:val="auto"/>
                <w:sz w:val="21"/>
                <w:szCs w:val="21"/>
              </w:rPr>
            </w:pPr>
          </w:p>
        </w:tc>
        <w:tc>
          <w:tcPr>
            <w:tcW w:w="1440" w:type="dxa"/>
            <w:vAlign w:val="center"/>
          </w:tcPr>
          <w:p w14:paraId="6FB1287C">
            <w:pPr>
              <w:pStyle w:val="5"/>
              <w:spacing w:line="360" w:lineRule="auto"/>
              <w:rPr>
                <w:rFonts w:hint="eastAsia" w:ascii="宋体" w:hAnsi="宋体" w:eastAsia="宋体" w:cs="宋体"/>
                <w:color w:val="auto"/>
                <w:sz w:val="21"/>
                <w:szCs w:val="21"/>
              </w:rPr>
            </w:pPr>
          </w:p>
        </w:tc>
        <w:tc>
          <w:tcPr>
            <w:tcW w:w="1706" w:type="dxa"/>
            <w:vAlign w:val="center"/>
          </w:tcPr>
          <w:p w14:paraId="07ED2A9C">
            <w:pPr>
              <w:pStyle w:val="5"/>
              <w:spacing w:line="360" w:lineRule="auto"/>
              <w:rPr>
                <w:rFonts w:hint="eastAsia" w:ascii="宋体" w:hAnsi="宋体" w:eastAsia="宋体" w:cs="宋体"/>
                <w:color w:val="auto"/>
                <w:sz w:val="21"/>
                <w:szCs w:val="21"/>
              </w:rPr>
            </w:pPr>
          </w:p>
        </w:tc>
      </w:tr>
      <w:tr w14:paraId="4816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7AE5D66">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1808" w:type="dxa"/>
            <w:vAlign w:val="center"/>
          </w:tcPr>
          <w:p w14:paraId="0DEA0333">
            <w:pPr>
              <w:rPr>
                <w:rFonts w:hint="eastAsia" w:ascii="宋体" w:hAnsi="宋体" w:eastAsia="宋体" w:cs="宋体"/>
                <w:color w:val="auto"/>
                <w:szCs w:val="21"/>
              </w:rPr>
            </w:pPr>
          </w:p>
        </w:tc>
        <w:tc>
          <w:tcPr>
            <w:tcW w:w="3579" w:type="dxa"/>
            <w:vAlign w:val="center"/>
          </w:tcPr>
          <w:p w14:paraId="01309060">
            <w:pPr>
              <w:rPr>
                <w:rFonts w:hint="eastAsia" w:ascii="宋体" w:hAnsi="宋体" w:eastAsia="宋体" w:cs="宋体"/>
                <w:color w:val="auto"/>
                <w:szCs w:val="21"/>
              </w:rPr>
            </w:pPr>
          </w:p>
        </w:tc>
        <w:tc>
          <w:tcPr>
            <w:tcW w:w="1440" w:type="dxa"/>
            <w:vAlign w:val="center"/>
          </w:tcPr>
          <w:p w14:paraId="74B66795">
            <w:pPr>
              <w:rPr>
                <w:rFonts w:hint="eastAsia" w:ascii="宋体" w:hAnsi="宋体" w:eastAsia="宋体" w:cs="宋体"/>
                <w:color w:val="auto"/>
                <w:szCs w:val="21"/>
              </w:rPr>
            </w:pPr>
          </w:p>
        </w:tc>
        <w:tc>
          <w:tcPr>
            <w:tcW w:w="1706" w:type="dxa"/>
            <w:vAlign w:val="center"/>
          </w:tcPr>
          <w:p w14:paraId="7C7E5F31">
            <w:pPr>
              <w:rPr>
                <w:rFonts w:hint="eastAsia" w:ascii="宋体" w:hAnsi="宋体" w:eastAsia="宋体" w:cs="宋体"/>
                <w:color w:val="auto"/>
                <w:szCs w:val="21"/>
              </w:rPr>
            </w:pPr>
          </w:p>
        </w:tc>
      </w:tr>
      <w:tr w14:paraId="11D8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8E0B5DF">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808" w:type="dxa"/>
            <w:vAlign w:val="center"/>
          </w:tcPr>
          <w:p w14:paraId="52E3D1D8">
            <w:pPr>
              <w:rPr>
                <w:rFonts w:hint="eastAsia" w:ascii="宋体" w:hAnsi="宋体" w:eastAsia="宋体" w:cs="宋体"/>
                <w:color w:val="auto"/>
                <w:szCs w:val="21"/>
              </w:rPr>
            </w:pPr>
          </w:p>
        </w:tc>
        <w:tc>
          <w:tcPr>
            <w:tcW w:w="3579" w:type="dxa"/>
            <w:vAlign w:val="center"/>
          </w:tcPr>
          <w:p w14:paraId="76D93621">
            <w:pPr>
              <w:rPr>
                <w:rFonts w:hint="eastAsia" w:ascii="宋体" w:hAnsi="宋体" w:eastAsia="宋体" w:cs="宋体"/>
                <w:color w:val="auto"/>
                <w:szCs w:val="21"/>
              </w:rPr>
            </w:pPr>
          </w:p>
        </w:tc>
        <w:tc>
          <w:tcPr>
            <w:tcW w:w="1440" w:type="dxa"/>
            <w:vAlign w:val="center"/>
          </w:tcPr>
          <w:p w14:paraId="0EA2396A">
            <w:pPr>
              <w:rPr>
                <w:rFonts w:hint="eastAsia" w:ascii="宋体" w:hAnsi="宋体" w:eastAsia="宋体" w:cs="宋体"/>
                <w:color w:val="auto"/>
                <w:szCs w:val="21"/>
              </w:rPr>
            </w:pPr>
          </w:p>
        </w:tc>
        <w:tc>
          <w:tcPr>
            <w:tcW w:w="1706" w:type="dxa"/>
            <w:vAlign w:val="center"/>
          </w:tcPr>
          <w:p w14:paraId="1AB4672E">
            <w:pPr>
              <w:rPr>
                <w:rFonts w:hint="eastAsia" w:ascii="宋体" w:hAnsi="宋体" w:eastAsia="宋体" w:cs="宋体"/>
                <w:color w:val="auto"/>
                <w:szCs w:val="21"/>
              </w:rPr>
            </w:pPr>
          </w:p>
        </w:tc>
      </w:tr>
    </w:tbl>
    <w:p w14:paraId="1A72582D">
      <w:pPr>
        <w:autoSpaceDE w:val="0"/>
        <w:autoSpaceDN w:val="0"/>
        <w:adjustRightInd w:val="0"/>
        <w:spacing w:line="480" w:lineRule="auto"/>
        <w:rPr>
          <w:rFonts w:hint="eastAsia" w:ascii="宋体" w:hAnsi="宋体" w:eastAsia="宋体" w:cs="宋体"/>
          <w:color w:val="auto"/>
          <w:szCs w:val="21"/>
          <w:lang w:val="zh-CN"/>
        </w:rPr>
      </w:pPr>
    </w:p>
    <w:p w14:paraId="2E49CBAF">
      <w:pPr>
        <w:autoSpaceDE w:val="0"/>
        <w:autoSpaceDN w:val="0"/>
        <w:adjustRightInd w:val="0"/>
        <w:spacing w:line="480" w:lineRule="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投标人名称（</w:t>
      </w:r>
      <w:r>
        <w:rPr>
          <w:rFonts w:hint="eastAsia" w:ascii="宋体" w:hAnsi="宋体" w:eastAsia="宋体" w:cs="宋体"/>
          <w:color w:val="auto"/>
          <w:szCs w:val="21"/>
        </w:rPr>
        <w:t>并加盖公章</w:t>
      </w:r>
      <w:r>
        <w:rPr>
          <w:rFonts w:hint="eastAsia" w:ascii="宋体" w:hAnsi="宋体" w:eastAsia="宋体" w:cs="宋体"/>
          <w:color w:val="auto"/>
          <w:szCs w:val="21"/>
          <w:lang w:val="zh-CN"/>
        </w:rPr>
        <w:t>）：</w:t>
      </w:r>
    </w:p>
    <w:p w14:paraId="46235B86">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EDA7D2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E61667D">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74C3D84">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6DB26A9F">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DD44806">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02C9A924">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6DA4E516">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BB3ECB0">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7BBA82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00D38EE8">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0540CFF9">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141B9F0">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32AFA1E5">
      <w:pPr>
        <w:autoSpaceDE w:val="0"/>
        <w:autoSpaceDN w:val="0"/>
        <w:adjustRightInd w:val="0"/>
        <w:spacing w:line="360" w:lineRule="auto"/>
        <w:jc w:val="both"/>
        <w:outlineLvl w:val="0"/>
        <w:rPr>
          <w:rFonts w:hint="eastAsia" w:ascii="宋体" w:hAnsi="宋体" w:eastAsia="宋体" w:cs="宋体"/>
          <w:b/>
          <w:bCs/>
          <w:color w:val="auto"/>
          <w:kern w:val="2"/>
          <w:sz w:val="24"/>
          <w:szCs w:val="24"/>
          <w:lang w:val="en-US" w:eastAsia="zh-CN" w:bidi="ar-SA"/>
        </w:rPr>
      </w:pPr>
    </w:p>
    <w:p w14:paraId="4E4300A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4.6关于符合本国产品标准的声明函</w:t>
      </w:r>
    </w:p>
    <w:p w14:paraId="61EE5B7D">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3A17A669">
      <w:pPr>
        <w:keepNext w:val="0"/>
        <w:keepLines w:val="0"/>
        <w:pageBreakBefore w:val="0"/>
        <w:widowControl/>
        <w:suppressLineNumbers w:val="0"/>
        <w:kinsoku/>
        <w:wordWrap/>
        <w:overflowPunct/>
        <w:topLinePunct w:val="0"/>
        <w:bidi w:val="0"/>
        <w:snapToGrid/>
        <w:spacing w:line="460" w:lineRule="exact"/>
        <w:ind w:firstLine="630" w:firstLineChars="3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本公司（单位）郑重声明，根据《国务院办公厅关于在政府采购中实施本国产品标准及相关政策的通知》（国办发〔2025〕34 号）的规定，本公司（单位）提供的以下产品属于本国产品。具体情况如下： </w:t>
      </w:r>
    </w:p>
    <w:p w14:paraId="60A17A0E">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u w:val="single"/>
          <w:lang w:val="en-US" w:eastAsia="zh-CN" w:bidi="ar"/>
        </w:rPr>
        <w:t>（产品名称 1）</w:t>
      </w:r>
      <w:r>
        <w:rPr>
          <w:rFonts w:hint="eastAsia" w:ascii="宋体" w:hAnsi="宋体" w:eastAsia="宋体" w:cs="宋体"/>
          <w:color w:val="auto"/>
          <w:kern w:val="0"/>
          <w:sz w:val="21"/>
          <w:szCs w:val="21"/>
          <w:highlight w:val="none"/>
          <w:lang w:val="en-US" w:eastAsia="zh-CN" w:bidi="ar"/>
        </w:rPr>
        <w:t>1，生产厂为</w:t>
      </w:r>
      <w:r>
        <w:rPr>
          <w:rFonts w:hint="eastAsia" w:ascii="宋体" w:hAnsi="宋体" w:eastAsia="宋体" w:cs="宋体"/>
          <w:color w:val="auto"/>
          <w:kern w:val="0"/>
          <w:sz w:val="21"/>
          <w:szCs w:val="21"/>
          <w:highlight w:val="none"/>
          <w:u w:val="single"/>
          <w:lang w:val="en-US" w:eastAsia="zh-CN" w:bidi="ar"/>
        </w:rPr>
        <w:t>（厂名）</w:t>
      </w:r>
      <w:r>
        <w:rPr>
          <w:rFonts w:hint="eastAsia" w:ascii="宋体" w:hAnsi="宋体" w:eastAsia="宋体" w:cs="宋体"/>
          <w:color w:val="auto"/>
          <w:kern w:val="0"/>
          <w:sz w:val="21"/>
          <w:szCs w:val="21"/>
          <w:highlight w:val="none"/>
          <w:lang w:val="en-US" w:eastAsia="zh-CN" w:bidi="ar"/>
        </w:rPr>
        <w:t>2，厂址为</w:t>
      </w:r>
      <w:r>
        <w:rPr>
          <w:rFonts w:hint="eastAsia" w:ascii="宋体" w:hAnsi="宋体" w:eastAsia="宋体" w:cs="宋体"/>
          <w:color w:val="auto"/>
          <w:kern w:val="0"/>
          <w:sz w:val="21"/>
          <w:szCs w:val="21"/>
          <w:highlight w:val="none"/>
          <w:u w:val="single"/>
          <w:lang w:val="en-US" w:eastAsia="zh-CN" w:bidi="ar"/>
        </w:rPr>
        <w:t>（生产厂址）</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 1）</w:t>
      </w:r>
      <w:r>
        <w:rPr>
          <w:rFonts w:hint="eastAsia" w:ascii="宋体" w:hAnsi="宋体" w:eastAsia="宋体" w:cs="宋体"/>
          <w:color w:val="auto"/>
          <w:kern w:val="0"/>
          <w:sz w:val="21"/>
          <w:szCs w:val="21"/>
          <w:highlight w:val="none"/>
          <w:lang w:val="en-US" w:eastAsia="zh-CN" w:bidi="ar"/>
        </w:rPr>
        <w:t xml:space="preserve">的中国境内生 </w:t>
      </w:r>
    </w:p>
    <w:p w14:paraId="5374E6CB">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产的组件成本占比≥</w:t>
      </w:r>
      <w:r>
        <w:rPr>
          <w:rFonts w:hint="eastAsia" w:ascii="宋体" w:hAnsi="宋体" w:eastAsia="宋体" w:cs="宋体"/>
          <w:color w:val="auto"/>
          <w:kern w:val="0"/>
          <w:sz w:val="21"/>
          <w:szCs w:val="21"/>
          <w:highlight w:val="none"/>
          <w:u w:val="single"/>
          <w:lang w:val="en-US" w:eastAsia="zh-CN" w:bidi="ar"/>
        </w:rPr>
        <w:t>（规定比例）</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u w:val="single"/>
          <w:lang w:val="en-US" w:eastAsia="zh-CN" w:bidi="ar"/>
        </w:rPr>
        <w:t>（产品名称 1）</w:t>
      </w:r>
      <w:r>
        <w:rPr>
          <w:rFonts w:hint="eastAsia" w:ascii="宋体" w:hAnsi="宋体" w:eastAsia="宋体" w:cs="宋体"/>
          <w:color w:val="auto"/>
          <w:kern w:val="0"/>
          <w:sz w:val="21"/>
          <w:szCs w:val="21"/>
          <w:highlight w:val="none"/>
          <w:lang w:val="en-US" w:eastAsia="zh-CN" w:bidi="ar"/>
        </w:rPr>
        <w:t>的（关键组件）4 在中国境内生产。</w:t>
      </w:r>
      <w:r>
        <w:rPr>
          <w:rFonts w:hint="eastAsia" w:ascii="宋体" w:hAnsi="宋体" w:eastAsia="宋体" w:cs="宋体"/>
          <w:color w:val="auto"/>
          <w:kern w:val="0"/>
          <w:sz w:val="21"/>
          <w:szCs w:val="21"/>
          <w:highlight w:val="none"/>
          <w:u w:val="single"/>
          <w:lang w:val="en-US" w:eastAsia="zh-CN" w:bidi="ar"/>
        </w:rPr>
        <w:t>（产品名称 1）</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（关键工序）</w:t>
      </w:r>
      <w:r>
        <w:rPr>
          <w:rFonts w:hint="eastAsia" w:ascii="宋体" w:hAnsi="宋体" w:eastAsia="宋体" w:cs="宋体"/>
          <w:color w:val="auto"/>
          <w:kern w:val="0"/>
          <w:sz w:val="21"/>
          <w:szCs w:val="21"/>
          <w:highlight w:val="none"/>
          <w:lang w:val="en-US" w:eastAsia="zh-CN" w:bidi="ar"/>
        </w:rPr>
        <w:t xml:space="preserve">5 在中国境内完成。 </w:t>
      </w:r>
    </w:p>
    <w:p w14:paraId="6F8B304C">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u w:val="single"/>
          <w:lang w:val="en-US" w:eastAsia="zh-CN" w:bidi="ar"/>
        </w:rPr>
        <w:t>（产品名称 2）</w:t>
      </w:r>
      <w:r>
        <w:rPr>
          <w:rFonts w:hint="eastAsia" w:ascii="宋体" w:hAnsi="宋体" w:eastAsia="宋体" w:cs="宋体"/>
          <w:color w:val="auto"/>
          <w:kern w:val="0"/>
          <w:sz w:val="21"/>
          <w:szCs w:val="21"/>
          <w:highlight w:val="none"/>
          <w:lang w:val="en-US" w:eastAsia="zh-CN" w:bidi="ar"/>
        </w:rPr>
        <w:t>，生产厂为</w:t>
      </w:r>
      <w:r>
        <w:rPr>
          <w:rFonts w:hint="eastAsia" w:ascii="宋体" w:hAnsi="宋体" w:eastAsia="宋体" w:cs="宋体"/>
          <w:color w:val="auto"/>
          <w:kern w:val="0"/>
          <w:sz w:val="21"/>
          <w:szCs w:val="21"/>
          <w:highlight w:val="none"/>
          <w:u w:val="single"/>
          <w:lang w:val="en-US" w:eastAsia="zh-CN" w:bidi="ar"/>
        </w:rPr>
        <w:t>（厂名）</w:t>
      </w:r>
      <w:r>
        <w:rPr>
          <w:rFonts w:hint="eastAsia" w:ascii="宋体" w:hAnsi="宋体" w:eastAsia="宋体" w:cs="宋体"/>
          <w:color w:val="auto"/>
          <w:kern w:val="0"/>
          <w:sz w:val="21"/>
          <w:szCs w:val="21"/>
          <w:highlight w:val="none"/>
          <w:lang w:val="en-US" w:eastAsia="zh-CN" w:bidi="ar"/>
        </w:rPr>
        <w:t>，厂址为</w:t>
      </w:r>
      <w:r>
        <w:rPr>
          <w:rFonts w:hint="eastAsia" w:ascii="宋体" w:hAnsi="宋体" w:eastAsia="宋体" w:cs="宋体"/>
          <w:color w:val="auto"/>
          <w:kern w:val="0"/>
          <w:sz w:val="21"/>
          <w:szCs w:val="21"/>
          <w:highlight w:val="none"/>
          <w:u w:val="single"/>
          <w:lang w:val="en-US" w:eastAsia="zh-CN" w:bidi="ar"/>
        </w:rPr>
        <w:t>（生产厂址）</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 2）</w:t>
      </w:r>
      <w:r>
        <w:rPr>
          <w:rFonts w:hint="eastAsia" w:ascii="宋体" w:hAnsi="宋体" w:eastAsia="宋体" w:cs="宋体"/>
          <w:color w:val="auto"/>
          <w:kern w:val="0"/>
          <w:sz w:val="21"/>
          <w:szCs w:val="21"/>
          <w:highlight w:val="none"/>
          <w:lang w:val="en-US" w:eastAsia="zh-CN" w:bidi="ar"/>
        </w:rPr>
        <w:t>的中国境内生产的组件成本占比≥</w:t>
      </w:r>
      <w:r>
        <w:rPr>
          <w:rFonts w:hint="eastAsia" w:ascii="宋体" w:hAnsi="宋体" w:eastAsia="宋体" w:cs="宋体"/>
          <w:color w:val="auto"/>
          <w:kern w:val="0"/>
          <w:sz w:val="21"/>
          <w:szCs w:val="21"/>
          <w:highlight w:val="none"/>
          <w:u w:val="single"/>
          <w:lang w:val="en-US" w:eastAsia="zh-CN" w:bidi="ar"/>
        </w:rPr>
        <w:t>（规定比例）</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 2）</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（关键组件）</w:t>
      </w:r>
      <w:r>
        <w:rPr>
          <w:rFonts w:hint="eastAsia" w:ascii="宋体" w:hAnsi="宋体" w:eastAsia="宋体" w:cs="宋体"/>
          <w:color w:val="auto"/>
          <w:kern w:val="0"/>
          <w:sz w:val="21"/>
          <w:szCs w:val="21"/>
          <w:highlight w:val="none"/>
          <w:lang w:val="en-US" w:eastAsia="zh-CN" w:bidi="ar"/>
        </w:rPr>
        <w:t>在中国境内生产。</w:t>
      </w:r>
      <w:r>
        <w:rPr>
          <w:rFonts w:hint="eastAsia" w:ascii="宋体" w:hAnsi="宋体" w:eastAsia="宋体" w:cs="宋体"/>
          <w:color w:val="auto"/>
          <w:kern w:val="0"/>
          <w:sz w:val="21"/>
          <w:szCs w:val="21"/>
          <w:highlight w:val="none"/>
          <w:u w:val="single"/>
          <w:lang w:val="en-US" w:eastAsia="zh-CN" w:bidi="ar"/>
        </w:rPr>
        <w:t>（产品名称 2）</w:t>
      </w:r>
      <w:r>
        <w:rPr>
          <w:rFonts w:hint="eastAsia" w:ascii="宋体" w:hAnsi="宋体" w:eastAsia="宋体" w:cs="宋体"/>
          <w:color w:val="auto"/>
          <w:kern w:val="0"/>
          <w:sz w:val="21"/>
          <w:szCs w:val="21"/>
          <w:highlight w:val="none"/>
          <w:lang w:val="en-US" w:eastAsia="zh-CN" w:bidi="ar"/>
        </w:rPr>
        <w:t xml:space="preserve">的 </w:t>
      </w:r>
      <w:r>
        <w:rPr>
          <w:rFonts w:hint="eastAsia" w:ascii="宋体" w:hAnsi="宋体" w:eastAsia="宋体" w:cs="宋体"/>
          <w:color w:val="auto"/>
          <w:kern w:val="0"/>
          <w:sz w:val="21"/>
          <w:szCs w:val="21"/>
          <w:highlight w:val="none"/>
          <w:u w:val="single"/>
          <w:lang w:val="en-US" w:eastAsia="zh-CN" w:bidi="ar"/>
        </w:rPr>
        <w:t>（关键工序）</w:t>
      </w:r>
      <w:r>
        <w:rPr>
          <w:rFonts w:hint="eastAsia" w:ascii="宋体" w:hAnsi="宋体" w:eastAsia="宋体" w:cs="宋体"/>
          <w:color w:val="auto"/>
          <w:kern w:val="0"/>
          <w:sz w:val="21"/>
          <w:szCs w:val="21"/>
          <w:highlight w:val="none"/>
          <w:lang w:val="en-US" w:eastAsia="zh-CN" w:bidi="ar"/>
        </w:rPr>
        <w:t xml:space="preserve">在中国境内完成。 </w:t>
      </w:r>
    </w:p>
    <w:p w14:paraId="42ED4A80">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w:t>
      </w:r>
    </w:p>
    <w:p w14:paraId="2DCCB613">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本公司（单位）对上述声明内容的真实性负责。如有虚假，愿承担相应法律责任。 </w:t>
      </w:r>
    </w:p>
    <w:p w14:paraId="5E87D739">
      <w:pPr>
        <w:keepNext w:val="0"/>
        <w:keepLines w:val="0"/>
        <w:pageBreakBefore w:val="0"/>
        <w:widowControl/>
        <w:suppressLineNumbers w:val="0"/>
        <w:kinsoku/>
        <w:wordWrap/>
        <w:overflowPunct/>
        <w:topLinePunct w:val="0"/>
        <w:bidi w:val="0"/>
        <w:snapToGrid/>
        <w:spacing w:line="460" w:lineRule="exact"/>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公司（单位）名称（盖章）： </w:t>
      </w:r>
    </w:p>
    <w:p w14:paraId="4E0EAEEB">
      <w:pPr>
        <w:keepNext w:val="0"/>
        <w:keepLines w:val="0"/>
        <w:pageBreakBefore w:val="0"/>
        <w:widowControl/>
        <w:suppressLineNumbers w:val="0"/>
        <w:kinsoku/>
        <w:wordWrap/>
        <w:overflowPunct/>
        <w:topLinePunct w:val="0"/>
        <w:bidi w:val="0"/>
        <w:snapToGrid/>
        <w:spacing w:line="460" w:lineRule="exact"/>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日期：   年   月   日   </w:t>
      </w:r>
    </w:p>
    <w:p w14:paraId="204C12AA">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__________________ </w:t>
      </w:r>
    </w:p>
    <w:p w14:paraId="5D2169F2">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1.产品如有型号，请在“产品名称”栏一并填写。 </w:t>
      </w:r>
    </w:p>
    <w:p w14:paraId="6BE4AFEC">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2.生产厂名与厂址应与生产厂营业执照载明的相关信息保持一致。 </w:t>
      </w:r>
    </w:p>
    <w:p w14:paraId="14D6028A">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3.该产品的中国境内生产的组件成本占比相关要求实施前，“规定比例”栏可不填，下同。 </w:t>
      </w:r>
    </w:p>
    <w:p w14:paraId="7B20C469">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4.该产品的关键组件要求实施前，“关键组件”栏可不填，下同。 </w:t>
      </w:r>
    </w:p>
    <w:p w14:paraId="25E44D93">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5.该产品的关键工序要求实施前，“关键工序”栏可不填，下同。</w:t>
      </w:r>
      <w:r>
        <w:rPr>
          <w:rFonts w:hint="eastAsia" w:ascii="宋体" w:hAnsi="宋体" w:eastAsia="宋体" w:cs="宋体"/>
          <w:color w:val="auto"/>
          <w:kern w:val="0"/>
          <w:sz w:val="21"/>
          <w:szCs w:val="21"/>
          <w:highlight w:val="none"/>
          <w:lang w:val="en-US" w:eastAsia="zh-CN" w:bidi="ar"/>
        </w:rPr>
        <w:t xml:space="preserve"> </w:t>
      </w:r>
    </w:p>
    <w:p w14:paraId="76398791">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b/>
          <w:bCs/>
          <w:color w:val="auto"/>
          <w:kern w:val="0"/>
          <w:sz w:val="21"/>
          <w:szCs w:val="21"/>
          <w:highlight w:val="none"/>
          <w:lang w:val="en-US" w:eastAsia="zh-CN" w:bidi="ar"/>
        </w:rPr>
      </w:pPr>
    </w:p>
    <w:p w14:paraId="3D97FE85">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b/>
          <w:bCs/>
          <w:color w:val="auto"/>
          <w:kern w:val="0"/>
          <w:sz w:val="21"/>
          <w:szCs w:val="21"/>
          <w:highlight w:val="none"/>
          <w:lang w:val="en-US" w:eastAsia="zh-CN" w:bidi="ar"/>
        </w:rPr>
      </w:pPr>
    </w:p>
    <w:p w14:paraId="0A3F2B82">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b/>
          <w:bCs/>
          <w:color w:val="auto"/>
          <w:kern w:val="0"/>
          <w:sz w:val="24"/>
          <w:szCs w:val="24"/>
          <w:highlight w:val="none"/>
          <w:lang w:val="en-US" w:eastAsia="zh-CN" w:bidi="ar"/>
        </w:rPr>
      </w:pPr>
    </w:p>
    <w:p w14:paraId="162CF77F">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b/>
          <w:bCs/>
          <w:color w:val="auto"/>
          <w:kern w:val="0"/>
          <w:sz w:val="24"/>
          <w:szCs w:val="24"/>
          <w:highlight w:val="none"/>
          <w:lang w:val="en-US" w:eastAsia="zh-CN" w:bidi="ar"/>
        </w:rPr>
      </w:pPr>
    </w:p>
    <w:p w14:paraId="6C4210F2">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b/>
          <w:bCs/>
          <w:color w:val="auto"/>
          <w:kern w:val="0"/>
          <w:sz w:val="24"/>
          <w:szCs w:val="24"/>
          <w:highlight w:val="none"/>
          <w:lang w:val="en-US" w:eastAsia="zh-CN" w:bidi="ar"/>
        </w:rPr>
      </w:pPr>
    </w:p>
    <w:p w14:paraId="13BB2FF5">
      <w:pPr>
        <w:keepNext w:val="0"/>
        <w:keepLines w:val="0"/>
        <w:pageBreakBefore w:val="0"/>
        <w:widowControl/>
        <w:suppressLineNumbers w:val="0"/>
        <w:kinsoku/>
        <w:wordWrap/>
        <w:overflowPunct/>
        <w:topLinePunct w:val="0"/>
        <w:bidi w:val="0"/>
        <w:snapToGrid/>
        <w:spacing w:line="460" w:lineRule="exact"/>
        <w:jc w:val="both"/>
        <w:textAlignment w:val="auto"/>
        <w:rPr>
          <w:rFonts w:hint="eastAsia" w:ascii="宋体" w:hAnsi="宋体" w:eastAsia="宋体" w:cs="宋体"/>
          <w:b/>
          <w:bCs/>
          <w:color w:val="auto"/>
          <w:kern w:val="0"/>
          <w:sz w:val="24"/>
          <w:szCs w:val="24"/>
          <w:highlight w:val="none"/>
          <w:lang w:val="en-US" w:eastAsia="zh-CN" w:bidi="ar"/>
        </w:rPr>
      </w:pPr>
    </w:p>
    <w:p w14:paraId="472E4A11">
      <w:pPr>
        <w:keepNext w:val="0"/>
        <w:keepLines w:val="0"/>
        <w:pageBreakBefore w:val="0"/>
        <w:widowControl/>
        <w:suppressLineNumbers w:val="0"/>
        <w:kinsoku/>
        <w:wordWrap/>
        <w:overflowPunct/>
        <w:topLinePunct w:val="0"/>
        <w:bidi w:val="0"/>
        <w:snapToGrid/>
        <w:spacing w:line="460" w:lineRule="exact"/>
        <w:jc w:val="center"/>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4.7 关于产品成本的声明函</w:t>
      </w:r>
    </w:p>
    <w:p w14:paraId="3F32D296">
      <w:pPr>
        <w:keepNext w:val="0"/>
        <w:keepLines w:val="0"/>
        <w:pageBreakBefore w:val="0"/>
        <w:widowControl/>
        <w:suppressLineNumbers w:val="0"/>
        <w:kinsoku/>
        <w:wordWrap/>
        <w:overflowPunct/>
        <w:topLinePunct w:val="0"/>
        <w:bidi w:val="0"/>
        <w:snapToGrid/>
        <w:spacing w:line="460" w:lineRule="exact"/>
        <w:jc w:val="center"/>
        <w:textAlignment w:val="auto"/>
        <w:rPr>
          <w:rFonts w:hint="eastAsia" w:ascii="宋体" w:hAnsi="宋体" w:eastAsia="宋体" w:cs="宋体"/>
          <w:b/>
          <w:bCs/>
          <w:color w:val="auto"/>
          <w:kern w:val="0"/>
          <w:sz w:val="24"/>
          <w:szCs w:val="24"/>
          <w:highlight w:val="none"/>
          <w:lang w:val="en-US" w:eastAsia="zh-CN" w:bidi="ar"/>
        </w:rPr>
      </w:pPr>
    </w:p>
    <w:p w14:paraId="5BC7571C">
      <w:pPr>
        <w:keepNext w:val="0"/>
        <w:keepLines w:val="0"/>
        <w:pageBreakBefore w:val="0"/>
        <w:widowControl/>
        <w:suppressLineNumbers w:val="0"/>
        <w:kinsoku/>
        <w:wordWrap/>
        <w:overflowPunct/>
        <w:topLinePunct w:val="0"/>
        <w:bidi w:val="0"/>
        <w:snapToGrid/>
        <w:spacing w:line="460" w:lineRule="exact"/>
        <w:ind w:firstLine="630" w:firstLineChars="3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本公司（单位）郑重声明，根据《国务院办公厅关于在政府采购中实施本国产品标准及相关政策的通知》（国办发〔2025〕34 号）的规定，本公司参加</w:t>
      </w:r>
      <w:r>
        <w:rPr>
          <w:rFonts w:hint="eastAsia" w:ascii="宋体" w:hAnsi="宋体" w:eastAsia="宋体" w:cs="宋体"/>
          <w:color w:val="auto"/>
          <w:kern w:val="0"/>
          <w:sz w:val="21"/>
          <w:szCs w:val="21"/>
          <w:highlight w:val="none"/>
          <w:u w:val="single"/>
          <w:lang w:val="en-US" w:eastAsia="zh-CN" w:bidi="ar"/>
        </w:rPr>
        <w:t>（单位名称）</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（项目名称）</w:t>
      </w:r>
      <w:r>
        <w:rPr>
          <w:rFonts w:hint="eastAsia" w:ascii="宋体" w:hAnsi="宋体" w:eastAsia="宋体" w:cs="宋体"/>
          <w:color w:val="auto"/>
          <w:kern w:val="0"/>
          <w:sz w:val="21"/>
          <w:szCs w:val="21"/>
          <w:highlight w:val="none"/>
          <w:lang w:val="en-US" w:eastAsia="zh-CN" w:bidi="ar"/>
        </w:rPr>
        <w:t>采购活动，为本项目</w:t>
      </w:r>
      <w:r>
        <w:rPr>
          <w:rFonts w:hint="eastAsia" w:ascii="宋体" w:hAnsi="宋体" w:eastAsia="宋体" w:cs="宋体"/>
          <w:color w:val="auto"/>
          <w:kern w:val="0"/>
          <w:sz w:val="21"/>
          <w:szCs w:val="21"/>
          <w:highlight w:val="none"/>
          <w:u w:val="single"/>
          <w:lang w:val="en-US" w:eastAsia="zh-CN" w:bidi="ar"/>
        </w:rPr>
        <w:t>（采购包或标段）</w:t>
      </w:r>
      <w:r>
        <w:rPr>
          <w:rFonts w:hint="eastAsia" w:ascii="宋体" w:hAnsi="宋体" w:eastAsia="宋体" w:cs="宋体"/>
          <w:color w:val="auto"/>
          <w:kern w:val="0"/>
          <w:sz w:val="21"/>
          <w:szCs w:val="21"/>
          <w:highlight w:val="none"/>
          <w:lang w:val="en-US" w:eastAsia="zh-CN" w:bidi="ar"/>
        </w:rPr>
        <w:t>提供的全部产品（采购清单中的货物）总报价为（大写）：</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none"/>
          <w:lang w:val="en-US" w:eastAsia="zh-CN" w:bidi="ar"/>
        </w:rPr>
        <w:t>万</w:t>
      </w:r>
      <w:r>
        <w:rPr>
          <w:rFonts w:hint="eastAsia" w:ascii="宋体" w:hAnsi="宋体" w:eastAsia="宋体" w:cs="宋体"/>
          <w:color w:val="auto"/>
          <w:kern w:val="0"/>
          <w:sz w:val="21"/>
          <w:szCs w:val="21"/>
          <w:highlight w:val="none"/>
          <w:lang w:val="en-US" w:eastAsia="zh-CN" w:bidi="ar"/>
        </w:rPr>
        <w:t>元。其中：符合本国产品标准的产品成本之和为（大写）：</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，全部产品成本之和为（大写）：</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符合本国产品标准的产品成本之和占全部产品成本之和的比例为</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 </w:t>
      </w:r>
    </w:p>
    <w:p w14:paraId="6453CD16">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kern w:val="0"/>
          <w:sz w:val="21"/>
          <w:szCs w:val="21"/>
          <w:highlight w:val="none"/>
          <w:lang w:val="en-US" w:eastAsia="zh-CN" w:bidi="ar"/>
        </w:rPr>
      </w:pPr>
    </w:p>
    <w:p w14:paraId="4A0582AC">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本公司（单位）对上述声明内容的真实性负责。如有虚假，愿承担相应法律责任。 </w:t>
      </w:r>
    </w:p>
    <w:p w14:paraId="6AA91BD7">
      <w:pPr>
        <w:keepNext w:val="0"/>
        <w:keepLines w:val="0"/>
        <w:pageBreakBefore w:val="0"/>
        <w:widowControl/>
        <w:suppressLineNumbers w:val="0"/>
        <w:kinsoku/>
        <w:wordWrap/>
        <w:overflowPunct/>
        <w:topLinePunct w:val="0"/>
        <w:bidi w:val="0"/>
        <w:snapToGrid/>
        <w:spacing w:line="460" w:lineRule="exact"/>
        <w:jc w:val="right"/>
        <w:textAlignment w:val="auto"/>
        <w:rPr>
          <w:rFonts w:hint="eastAsia" w:ascii="宋体" w:hAnsi="宋体" w:eastAsia="宋体" w:cs="宋体"/>
          <w:color w:val="auto"/>
          <w:kern w:val="0"/>
          <w:sz w:val="21"/>
          <w:szCs w:val="21"/>
          <w:highlight w:val="none"/>
          <w:lang w:val="en-US" w:eastAsia="zh-CN" w:bidi="ar"/>
        </w:rPr>
      </w:pPr>
    </w:p>
    <w:p w14:paraId="544CF2F8">
      <w:pPr>
        <w:keepNext w:val="0"/>
        <w:keepLines w:val="0"/>
        <w:pageBreakBefore w:val="0"/>
        <w:widowControl/>
        <w:suppressLineNumbers w:val="0"/>
        <w:kinsoku/>
        <w:wordWrap/>
        <w:overflowPunct/>
        <w:topLinePunct w:val="0"/>
        <w:bidi w:val="0"/>
        <w:snapToGrid/>
        <w:spacing w:line="460" w:lineRule="exact"/>
        <w:jc w:val="right"/>
        <w:textAlignment w:val="auto"/>
        <w:rPr>
          <w:rFonts w:hint="eastAsia" w:ascii="宋体" w:hAnsi="宋体" w:eastAsia="宋体" w:cs="宋体"/>
          <w:color w:val="auto"/>
          <w:kern w:val="0"/>
          <w:sz w:val="21"/>
          <w:szCs w:val="21"/>
          <w:highlight w:val="none"/>
          <w:lang w:val="en-US" w:eastAsia="zh-CN" w:bidi="ar"/>
        </w:rPr>
      </w:pPr>
    </w:p>
    <w:p w14:paraId="675858A2">
      <w:pPr>
        <w:keepNext w:val="0"/>
        <w:keepLines w:val="0"/>
        <w:pageBreakBefore w:val="0"/>
        <w:widowControl/>
        <w:suppressLineNumbers w:val="0"/>
        <w:kinsoku/>
        <w:wordWrap/>
        <w:overflowPunct/>
        <w:topLinePunct w:val="0"/>
        <w:bidi w:val="0"/>
        <w:snapToGrid/>
        <w:spacing w:line="460" w:lineRule="exact"/>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公司（单位）名称（盖章）： </w:t>
      </w:r>
    </w:p>
    <w:p w14:paraId="1EB9B61A">
      <w:pPr>
        <w:keepNext w:val="0"/>
        <w:keepLines w:val="0"/>
        <w:pageBreakBefore w:val="0"/>
        <w:widowControl/>
        <w:suppressLineNumbers w:val="0"/>
        <w:kinsoku/>
        <w:wordWrap/>
        <w:overflowPunct/>
        <w:topLinePunct w:val="0"/>
        <w:bidi w:val="0"/>
        <w:snapToGrid/>
        <w:spacing w:line="460" w:lineRule="exact"/>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日期：   年   月   日 </w:t>
      </w:r>
    </w:p>
    <w:p w14:paraId="0666702C">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__________________ </w:t>
      </w:r>
    </w:p>
    <w:p w14:paraId="5FE612ED">
      <w:pPr>
        <w:keepNext w:val="0"/>
        <w:keepLines w:val="0"/>
        <w:pageBreakBefore w:val="0"/>
        <w:widowControl/>
        <w:suppressLineNumbers w:val="0"/>
        <w:kinsoku/>
        <w:wordWrap/>
        <w:overflowPunct/>
        <w:topLinePunct w:val="0"/>
        <w:bidi w:val="0"/>
        <w:snapToGrid/>
        <w:spacing w:line="4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符合本国产品标准的产品成本之和占全部产品成本之和的比例= 符合本国产品标准的产品成本之和÷全部产品成本之和×100</w:t>
      </w:r>
    </w:p>
    <w:p w14:paraId="31352109">
      <w:pPr>
        <w:keepNext w:val="0"/>
        <w:keepLines w:val="0"/>
        <w:pageBreakBefore w:val="0"/>
        <w:kinsoku/>
        <w:wordWrap/>
        <w:overflowPunct/>
        <w:topLinePunct w:val="0"/>
        <w:autoSpaceDE w:val="0"/>
        <w:autoSpaceDN w:val="0"/>
        <w:bidi w:val="0"/>
        <w:adjustRightInd w:val="0"/>
        <w:snapToGrid/>
        <w:spacing w:line="460" w:lineRule="exact"/>
        <w:jc w:val="center"/>
        <w:textAlignment w:val="auto"/>
        <w:outlineLvl w:val="1"/>
        <w:rPr>
          <w:rFonts w:hint="eastAsia" w:ascii="宋体" w:hAnsi="宋体" w:eastAsia="宋体" w:cs="宋体"/>
          <w:b/>
          <w:bCs/>
          <w:color w:val="auto"/>
          <w:sz w:val="21"/>
          <w:szCs w:val="21"/>
          <w:highlight w:val="none"/>
          <w:lang w:val="zh-CN"/>
        </w:rPr>
      </w:pPr>
    </w:p>
    <w:p w14:paraId="4742631F">
      <w:pPr>
        <w:autoSpaceDE w:val="0"/>
        <w:autoSpaceDN w:val="0"/>
        <w:adjustRightInd w:val="0"/>
        <w:spacing w:line="360" w:lineRule="auto"/>
        <w:jc w:val="center"/>
        <w:outlineLvl w:val="1"/>
        <w:rPr>
          <w:rFonts w:hint="eastAsia" w:ascii="宋体" w:hAnsi="宋体" w:eastAsia="宋体" w:cs="宋体"/>
          <w:b/>
          <w:bCs/>
          <w:color w:val="auto"/>
          <w:sz w:val="21"/>
          <w:szCs w:val="21"/>
          <w:highlight w:val="none"/>
          <w:lang w:val="zh-CN"/>
        </w:rPr>
      </w:pPr>
    </w:p>
    <w:p w14:paraId="6F0ECF33">
      <w:pPr>
        <w:pStyle w:val="7"/>
        <w:rPr>
          <w:rFonts w:hint="eastAsia" w:ascii="宋体" w:hAnsi="宋体" w:eastAsia="宋体" w:cs="宋体"/>
          <w:color w:val="auto"/>
          <w:lang w:val="en-US" w:eastAsia="zh-CN"/>
        </w:rPr>
      </w:pPr>
    </w:p>
    <w:p w14:paraId="5931A809">
      <w:pPr>
        <w:autoSpaceDE w:val="0"/>
        <w:autoSpaceDN w:val="0"/>
        <w:adjustRightInd w:val="0"/>
        <w:spacing w:line="360" w:lineRule="auto"/>
        <w:jc w:val="center"/>
        <w:rPr>
          <w:rFonts w:hint="eastAsia" w:ascii="宋体" w:hAnsi="宋体" w:eastAsia="宋体" w:cs="宋体"/>
          <w:b/>
          <w:bCs/>
          <w:color w:val="auto"/>
          <w:sz w:val="28"/>
          <w:szCs w:val="28"/>
          <w:lang w:val="zh-CN"/>
        </w:rPr>
      </w:pPr>
    </w:p>
    <w:p w14:paraId="65121701">
      <w:pPr>
        <w:pStyle w:val="7"/>
        <w:rPr>
          <w:rFonts w:hint="eastAsia" w:ascii="宋体" w:hAnsi="宋体" w:eastAsia="宋体" w:cs="宋体"/>
          <w:b/>
          <w:bCs/>
          <w:color w:val="auto"/>
          <w:sz w:val="28"/>
          <w:szCs w:val="28"/>
          <w:lang w:val="zh-CN"/>
        </w:rPr>
      </w:pPr>
    </w:p>
    <w:p w14:paraId="6331A391">
      <w:pPr>
        <w:pStyle w:val="14"/>
        <w:rPr>
          <w:rFonts w:hint="eastAsia" w:ascii="宋体" w:hAnsi="宋体" w:eastAsia="宋体" w:cs="宋体"/>
          <w:b/>
          <w:bCs/>
          <w:color w:val="auto"/>
          <w:sz w:val="28"/>
          <w:szCs w:val="28"/>
          <w:lang w:val="zh-CN"/>
        </w:rPr>
      </w:pPr>
    </w:p>
    <w:p w14:paraId="4E9B21A8">
      <w:pPr>
        <w:pStyle w:val="7"/>
        <w:rPr>
          <w:rFonts w:hint="eastAsia" w:ascii="宋体" w:hAnsi="宋体" w:eastAsia="宋体" w:cs="宋体"/>
          <w:b/>
          <w:bCs/>
          <w:color w:val="auto"/>
          <w:sz w:val="28"/>
          <w:szCs w:val="28"/>
          <w:lang w:val="zh-CN"/>
        </w:rPr>
      </w:pPr>
    </w:p>
    <w:p w14:paraId="3E38AB42">
      <w:pPr>
        <w:pStyle w:val="7"/>
        <w:rPr>
          <w:rFonts w:hint="eastAsia" w:ascii="宋体" w:hAnsi="宋体" w:eastAsia="宋体" w:cs="宋体"/>
          <w:b/>
          <w:bCs/>
          <w:color w:val="auto"/>
          <w:sz w:val="28"/>
          <w:szCs w:val="28"/>
          <w:lang w:val="zh-CN"/>
        </w:rPr>
      </w:pPr>
    </w:p>
    <w:p w14:paraId="3E5E0318">
      <w:pPr>
        <w:pStyle w:val="14"/>
        <w:rPr>
          <w:rFonts w:hint="eastAsia" w:ascii="宋体" w:hAnsi="宋体" w:eastAsia="宋体" w:cs="宋体"/>
          <w:color w:val="auto"/>
          <w:lang w:val="zh-CN"/>
        </w:rPr>
      </w:pPr>
    </w:p>
    <w:p w14:paraId="313D2590">
      <w:pPr>
        <w:autoSpaceDE w:val="0"/>
        <w:autoSpaceDN w:val="0"/>
        <w:adjustRightInd w:val="0"/>
        <w:spacing w:line="360" w:lineRule="auto"/>
        <w:jc w:val="center"/>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lang w:val="zh-CN"/>
        </w:rPr>
        <w:t>五、其他资料（若有）</w:t>
      </w:r>
    </w:p>
    <w:p w14:paraId="41A20353">
      <w:pPr>
        <w:rPr>
          <w:rFonts w:hint="eastAsia" w:ascii="宋体" w:hAnsi="宋体" w:eastAsia="宋体" w:cs="宋体"/>
          <w:color w:val="auto"/>
        </w:rPr>
      </w:pPr>
    </w:p>
    <w:p w14:paraId="594866EA">
      <w:pPr>
        <w:rPr>
          <w:rFonts w:hint="eastAsia" w:ascii="宋体" w:hAnsi="宋体" w:eastAsia="宋体" w:cs="宋体"/>
          <w:color w:val="auto"/>
        </w:rPr>
      </w:pPr>
    </w:p>
    <w:p w14:paraId="2A252DE3">
      <w:pPr>
        <w:rPr>
          <w:rFonts w:hint="eastAsia" w:ascii="宋体" w:hAnsi="宋体" w:eastAsia="宋体" w:cs="宋体"/>
          <w:color w:val="auto"/>
        </w:rPr>
      </w:pPr>
    </w:p>
    <w:p w14:paraId="303160B8">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除招标文件另有规定外，投标人认为需要提交的其他证明材料或资料加盖投标人公章后应在此项下提交。</w:t>
      </w:r>
    </w:p>
    <w:p w14:paraId="54084C7A">
      <w:pPr>
        <w:rPr>
          <w:rFonts w:hint="eastAsia" w:ascii="宋体" w:hAnsi="宋体" w:eastAsia="宋体" w:cs="宋体"/>
          <w:color w:val="auto"/>
        </w:rPr>
      </w:pPr>
    </w:p>
    <w:p w14:paraId="5C3D8136">
      <w:pPr>
        <w:rPr>
          <w:rFonts w:hint="eastAsia" w:ascii="宋体" w:hAnsi="宋体" w:eastAsia="宋体" w:cs="宋体"/>
          <w:color w:val="auto"/>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roma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0BC8">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90B6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D490B66">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DD259"/>
    <w:multiLevelType w:val="singleLevel"/>
    <w:tmpl w:val="80FDD259"/>
    <w:lvl w:ilvl="0" w:tentative="0">
      <w:start w:val="1"/>
      <w:numFmt w:val="decimal"/>
      <w:lvlText w:val="(%1)"/>
      <w:lvlJc w:val="left"/>
      <w:pPr>
        <w:ind w:left="425" w:hanging="425"/>
      </w:pPr>
      <w:rPr>
        <w:rFonts w:hint="default"/>
      </w:rPr>
    </w:lvl>
  </w:abstractNum>
  <w:abstractNum w:abstractNumId="1">
    <w:nsid w:val="9EF2B42A"/>
    <w:multiLevelType w:val="singleLevel"/>
    <w:tmpl w:val="9EF2B42A"/>
    <w:lvl w:ilvl="0" w:tentative="0">
      <w:start w:val="1"/>
      <w:numFmt w:val="chineseCounting"/>
      <w:suff w:val="nothing"/>
      <w:lvlText w:val="（%1）"/>
      <w:lvlJc w:val="left"/>
      <w:rPr>
        <w:rFonts w:hint="eastAsia"/>
      </w:rPr>
    </w:lvl>
  </w:abstractNum>
  <w:abstractNum w:abstractNumId="2">
    <w:nsid w:val="A6886026"/>
    <w:multiLevelType w:val="singleLevel"/>
    <w:tmpl w:val="A6886026"/>
    <w:lvl w:ilvl="0" w:tentative="0">
      <w:start w:val="1"/>
      <w:numFmt w:val="decimal"/>
      <w:suff w:val="nothing"/>
      <w:lvlText w:val="%1、"/>
      <w:lvlJc w:val="left"/>
    </w:lvl>
  </w:abstractNum>
  <w:abstractNum w:abstractNumId="3">
    <w:nsid w:val="AAC5A105"/>
    <w:multiLevelType w:val="singleLevel"/>
    <w:tmpl w:val="AAC5A105"/>
    <w:lvl w:ilvl="0" w:tentative="0">
      <w:start w:val="1"/>
      <w:numFmt w:val="decimal"/>
      <w:suff w:val="nothing"/>
      <w:lvlText w:val="%1、"/>
      <w:lvlJc w:val="left"/>
    </w:lvl>
  </w:abstractNum>
  <w:abstractNum w:abstractNumId="4">
    <w:nsid w:val="D158DB43"/>
    <w:multiLevelType w:val="singleLevel"/>
    <w:tmpl w:val="D158DB43"/>
    <w:lvl w:ilvl="0" w:tentative="0">
      <w:start w:val="29"/>
      <w:numFmt w:val="decimal"/>
      <w:suff w:val="space"/>
      <w:lvlText w:val="%1."/>
      <w:lvlJc w:val="left"/>
    </w:lvl>
  </w:abstractNum>
  <w:abstractNum w:abstractNumId="5">
    <w:nsid w:val="D424EB12"/>
    <w:multiLevelType w:val="singleLevel"/>
    <w:tmpl w:val="D424EB12"/>
    <w:lvl w:ilvl="0" w:tentative="0">
      <w:start w:val="1"/>
      <w:numFmt w:val="decimal"/>
      <w:suff w:val="nothing"/>
      <w:lvlText w:val="%1、"/>
      <w:lvlJc w:val="left"/>
    </w:lvl>
  </w:abstractNum>
  <w:abstractNum w:abstractNumId="6">
    <w:nsid w:val="D7EEB531"/>
    <w:multiLevelType w:val="singleLevel"/>
    <w:tmpl w:val="D7EEB531"/>
    <w:lvl w:ilvl="0" w:tentative="0">
      <w:start w:val="1"/>
      <w:numFmt w:val="decimal"/>
      <w:lvlText w:val="%1."/>
      <w:lvlJc w:val="left"/>
      <w:pPr>
        <w:tabs>
          <w:tab w:val="left" w:pos="312"/>
        </w:tabs>
      </w:pPr>
    </w:lvl>
  </w:abstractNum>
  <w:abstractNum w:abstractNumId="7">
    <w:nsid w:val="FE46AF7F"/>
    <w:multiLevelType w:val="singleLevel"/>
    <w:tmpl w:val="FE46AF7F"/>
    <w:lvl w:ilvl="0" w:tentative="0">
      <w:start w:val="1"/>
      <w:numFmt w:val="decimal"/>
      <w:lvlText w:val="(%1)"/>
      <w:lvlJc w:val="left"/>
      <w:pPr>
        <w:ind w:left="425" w:hanging="425"/>
      </w:pPr>
      <w:rPr>
        <w:rFonts w:hint="default"/>
      </w:rPr>
    </w:lvl>
  </w:abstractNum>
  <w:abstractNum w:abstractNumId="8">
    <w:nsid w:val="00000014"/>
    <w:multiLevelType w:val="multilevel"/>
    <w:tmpl w:val="00000014"/>
    <w:lvl w:ilvl="0" w:tentative="0">
      <w:start w:val="1"/>
      <w:numFmt w:val="decimal"/>
      <w:pStyle w:val="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0476825F"/>
    <w:multiLevelType w:val="singleLevel"/>
    <w:tmpl w:val="0476825F"/>
    <w:lvl w:ilvl="0" w:tentative="0">
      <w:start w:val="1"/>
      <w:numFmt w:val="decimal"/>
      <w:lvlText w:val="(%1)"/>
      <w:lvlJc w:val="left"/>
      <w:pPr>
        <w:ind w:left="425" w:hanging="425"/>
      </w:pPr>
      <w:rPr>
        <w:rFonts w:hint="default"/>
      </w:rPr>
    </w:lvl>
  </w:abstractNum>
  <w:abstractNum w:abstractNumId="10">
    <w:nsid w:val="0DD05C00"/>
    <w:multiLevelType w:val="singleLevel"/>
    <w:tmpl w:val="0DD05C00"/>
    <w:lvl w:ilvl="0" w:tentative="0">
      <w:start w:val="1"/>
      <w:numFmt w:val="decimal"/>
      <w:lvlText w:val="(%1)"/>
      <w:lvlJc w:val="left"/>
      <w:pPr>
        <w:ind w:left="425" w:hanging="425"/>
      </w:pPr>
      <w:rPr>
        <w:rFonts w:hint="default"/>
      </w:rPr>
    </w:lvl>
  </w:abstractNum>
  <w:abstractNum w:abstractNumId="11">
    <w:nsid w:val="280DEB1E"/>
    <w:multiLevelType w:val="singleLevel"/>
    <w:tmpl w:val="280DEB1E"/>
    <w:lvl w:ilvl="0" w:tentative="0">
      <w:start w:val="1"/>
      <w:numFmt w:val="decimal"/>
      <w:lvlText w:val="(%1)"/>
      <w:lvlJc w:val="left"/>
      <w:pPr>
        <w:ind w:left="425" w:hanging="425"/>
      </w:pPr>
      <w:rPr>
        <w:rFonts w:hint="default"/>
      </w:rPr>
    </w:lvl>
  </w:abstractNum>
  <w:abstractNum w:abstractNumId="12">
    <w:nsid w:val="436E25C3"/>
    <w:multiLevelType w:val="multilevel"/>
    <w:tmpl w:val="436E25C3"/>
    <w:lvl w:ilvl="0" w:tentative="0">
      <w:start w:val="1"/>
      <w:numFmt w:val="japaneseCounting"/>
      <w:lvlText w:val="第%1条"/>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9F817E8"/>
    <w:multiLevelType w:val="singleLevel"/>
    <w:tmpl w:val="59F817E8"/>
    <w:lvl w:ilvl="0" w:tentative="0">
      <w:start w:val="1"/>
      <w:numFmt w:val="chineseCounting"/>
      <w:pStyle w:val="34"/>
      <w:suff w:val="nothing"/>
      <w:lvlText w:val="%1、"/>
      <w:lvlJc w:val="left"/>
    </w:lvl>
  </w:abstractNum>
  <w:abstractNum w:abstractNumId="14">
    <w:nsid w:val="5BD929FE"/>
    <w:multiLevelType w:val="singleLevel"/>
    <w:tmpl w:val="5BD929FE"/>
    <w:lvl w:ilvl="0" w:tentative="0">
      <w:start w:val="1"/>
      <w:numFmt w:val="decimal"/>
      <w:lvlText w:val="(%1)"/>
      <w:lvlJc w:val="left"/>
      <w:pPr>
        <w:ind w:left="425" w:hanging="425"/>
      </w:pPr>
      <w:rPr>
        <w:rFonts w:hint="default"/>
      </w:rPr>
    </w:lvl>
  </w:abstractNum>
  <w:abstractNum w:abstractNumId="15">
    <w:nsid w:val="5C3055E2"/>
    <w:multiLevelType w:val="multilevel"/>
    <w:tmpl w:val="5C3055E2"/>
    <w:lvl w:ilvl="0" w:tentative="0">
      <w:start w:val="34"/>
      <w:numFmt w:val="decimal"/>
      <w:lvlText w:val="%1."/>
      <w:lvlJc w:val="left"/>
      <w:pPr>
        <w:ind w:left="420" w:hanging="420"/>
      </w:pPr>
      <w:rPr>
        <w:rFonts w:hint="eastAsia"/>
      </w:rPr>
    </w:lvl>
    <w:lvl w:ilvl="1" w:tentative="0">
      <w:start w:val="1"/>
      <w:numFmt w:val="decimal"/>
      <w:lvlText w:val="34. %2 "/>
      <w:lvlJc w:val="left"/>
      <w:pPr>
        <w:ind w:left="964" w:hanging="544"/>
      </w:pPr>
      <w:rPr>
        <w:rFonts w:hint="eastAsia"/>
      </w:rPr>
    </w:lvl>
    <w:lvl w:ilvl="2" w:tentative="0">
      <w:start w:val="23"/>
      <w:numFmt w:val="decimal"/>
      <w:lvlText w:val="%3.4 "/>
      <w:lvlJc w:val="left"/>
      <w:pPr>
        <w:ind w:left="1560" w:hanging="720"/>
      </w:pPr>
      <w:rPr>
        <w:rFonts w:hint="eastAsia"/>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16">
    <w:nsid w:val="72645D4F"/>
    <w:multiLevelType w:val="singleLevel"/>
    <w:tmpl w:val="72645D4F"/>
    <w:lvl w:ilvl="0" w:tentative="0">
      <w:start w:val="1"/>
      <w:numFmt w:val="decimal"/>
      <w:lvlText w:val="(%1)"/>
      <w:lvlJc w:val="left"/>
      <w:pPr>
        <w:ind w:left="425" w:hanging="425"/>
      </w:pPr>
      <w:rPr>
        <w:rFonts w:hint="default"/>
      </w:rPr>
    </w:lvl>
  </w:abstractNum>
  <w:abstractNum w:abstractNumId="17">
    <w:nsid w:val="775F2E6B"/>
    <w:multiLevelType w:val="singleLevel"/>
    <w:tmpl w:val="775F2E6B"/>
    <w:lvl w:ilvl="0" w:tentative="0">
      <w:start w:val="1"/>
      <w:numFmt w:val="decimal"/>
      <w:lvlText w:val="(%1)"/>
      <w:lvlJc w:val="left"/>
      <w:pPr>
        <w:ind w:left="425" w:hanging="425"/>
      </w:pPr>
      <w:rPr>
        <w:rFonts w:hint="default"/>
      </w:rPr>
    </w:lvl>
  </w:abstractNum>
  <w:num w:numId="1">
    <w:abstractNumId w:val="8"/>
  </w:num>
  <w:num w:numId="2">
    <w:abstractNumId w:val="13"/>
  </w:num>
  <w:num w:numId="3">
    <w:abstractNumId w:val="1"/>
  </w:num>
  <w:num w:numId="4">
    <w:abstractNumId w:val="7"/>
  </w:num>
  <w:num w:numId="5">
    <w:abstractNumId w:val="16"/>
  </w:num>
  <w:num w:numId="6">
    <w:abstractNumId w:val="10"/>
  </w:num>
  <w:num w:numId="7">
    <w:abstractNumId w:val="0"/>
  </w:num>
  <w:num w:numId="8">
    <w:abstractNumId w:val="11"/>
  </w:num>
  <w:num w:numId="9">
    <w:abstractNumId w:val="9"/>
  </w:num>
  <w:num w:numId="10">
    <w:abstractNumId w:val="14"/>
  </w:num>
  <w:num w:numId="11">
    <w:abstractNumId w:val="17"/>
  </w:num>
  <w:num w:numId="12">
    <w:abstractNumId w:val="5"/>
  </w:num>
  <w:num w:numId="13">
    <w:abstractNumId w:val="3"/>
  </w:num>
  <w:num w:numId="14">
    <w:abstractNumId w:val="6"/>
  </w:num>
  <w:num w:numId="15">
    <w:abstractNumId w:val="2"/>
  </w:num>
  <w:num w:numId="16">
    <w:abstractNumId w:val="4"/>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81320"/>
    <w:rsid w:val="00076791"/>
    <w:rsid w:val="000C51EB"/>
    <w:rsid w:val="0019234F"/>
    <w:rsid w:val="001C21A3"/>
    <w:rsid w:val="0032026C"/>
    <w:rsid w:val="004A355A"/>
    <w:rsid w:val="005F3245"/>
    <w:rsid w:val="00745F0B"/>
    <w:rsid w:val="00825002"/>
    <w:rsid w:val="008F2B6E"/>
    <w:rsid w:val="009107CC"/>
    <w:rsid w:val="00B76409"/>
    <w:rsid w:val="00C25AA7"/>
    <w:rsid w:val="00DF53CD"/>
    <w:rsid w:val="00EA6C67"/>
    <w:rsid w:val="00F315C8"/>
    <w:rsid w:val="00FF7F1A"/>
    <w:rsid w:val="01086C64"/>
    <w:rsid w:val="013E4434"/>
    <w:rsid w:val="01B129DA"/>
    <w:rsid w:val="01B63B53"/>
    <w:rsid w:val="01DA661C"/>
    <w:rsid w:val="03215DBB"/>
    <w:rsid w:val="037D56E7"/>
    <w:rsid w:val="03AE5E46"/>
    <w:rsid w:val="03D472D2"/>
    <w:rsid w:val="04486EB8"/>
    <w:rsid w:val="04CB1767"/>
    <w:rsid w:val="04E83035"/>
    <w:rsid w:val="055E32F7"/>
    <w:rsid w:val="056853E9"/>
    <w:rsid w:val="05E7509A"/>
    <w:rsid w:val="060E6ACB"/>
    <w:rsid w:val="060F45F1"/>
    <w:rsid w:val="061C410F"/>
    <w:rsid w:val="06514C09"/>
    <w:rsid w:val="07394EAA"/>
    <w:rsid w:val="07C248D5"/>
    <w:rsid w:val="07D433FC"/>
    <w:rsid w:val="08CE42EF"/>
    <w:rsid w:val="090267BF"/>
    <w:rsid w:val="096F084D"/>
    <w:rsid w:val="097137CA"/>
    <w:rsid w:val="09C455B3"/>
    <w:rsid w:val="0A4F320E"/>
    <w:rsid w:val="0A5D3B7D"/>
    <w:rsid w:val="0AEE3ABD"/>
    <w:rsid w:val="0B185CF6"/>
    <w:rsid w:val="0B7E3D66"/>
    <w:rsid w:val="0BD864D1"/>
    <w:rsid w:val="0BF16C73"/>
    <w:rsid w:val="0CBA0191"/>
    <w:rsid w:val="0CF46990"/>
    <w:rsid w:val="0CFA3905"/>
    <w:rsid w:val="0DFC36AD"/>
    <w:rsid w:val="0E140A6B"/>
    <w:rsid w:val="0EB36461"/>
    <w:rsid w:val="0ECA37AB"/>
    <w:rsid w:val="0EE259B5"/>
    <w:rsid w:val="0F106EEB"/>
    <w:rsid w:val="0F8A6A96"/>
    <w:rsid w:val="0FAF155D"/>
    <w:rsid w:val="10702130"/>
    <w:rsid w:val="10797237"/>
    <w:rsid w:val="110F36F7"/>
    <w:rsid w:val="1127475F"/>
    <w:rsid w:val="11390774"/>
    <w:rsid w:val="118977FC"/>
    <w:rsid w:val="118B423E"/>
    <w:rsid w:val="11CE7BC3"/>
    <w:rsid w:val="121C27F8"/>
    <w:rsid w:val="12787CDD"/>
    <w:rsid w:val="12C0114D"/>
    <w:rsid w:val="133B07D3"/>
    <w:rsid w:val="13B85E6A"/>
    <w:rsid w:val="13D6674E"/>
    <w:rsid w:val="14AD5701"/>
    <w:rsid w:val="14C32369"/>
    <w:rsid w:val="153943AF"/>
    <w:rsid w:val="15477903"/>
    <w:rsid w:val="156F29B6"/>
    <w:rsid w:val="15920736"/>
    <w:rsid w:val="15DC65E3"/>
    <w:rsid w:val="1600278D"/>
    <w:rsid w:val="16CE78F9"/>
    <w:rsid w:val="171A0BCD"/>
    <w:rsid w:val="17A4103D"/>
    <w:rsid w:val="17FA1D07"/>
    <w:rsid w:val="182C27EF"/>
    <w:rsid w:val="1881137E"/>
    <w:rsid w:val="190B19F9"/>
    <w:rsid w:val="196B3BC9"/>
    <w:rsid w:val="196C5B8A"/>
    <w:rsid w:val="19A5109C"/>
    <w:rsid w:val="1A0C2EC9"/>
    <w:rsid w:val="1A2C70C8"/>
    <w:rsid w:val="1A6D6F89"/>
    <w:rsid w:val="1B3C7454"/>
    <w:rsid w:val="1B746F78"/>
    <w:rsid w:val="1B886580"/>
    <w:rsid w:val="1B943177"/>
    <w:rsid w:val="1BAC6712"/>
    <w:rsid w:val="1BB11F7A"/>
    <w:rsid w:val="1BC03F6C"/>
    <w:rsid w:val="1C0C71B1"/>
    <w:rsid w:val="1CA850A2"/>
    <w:rsid w:val="1CD06430"/>
    <w:rsid w:val="1D012A8E"/>
    <w:rsid w:val="1D90796E"/>
    <w:rsid w:val="1DCA2E80"/>
    <w:rsid w:val="1E7F6837"/>
    <w:rsid w:val="1EAB0F03"/>
    <w:rsid w:val="1ED146E2"/>
    <w:rsid w:val="1F122D30"/>
    <w:rsid w:val="1FA912D7"/>
    <w:rsid w:val="1FD46E59"/>
    <w:rsid w:val="2027280B"/>
    <w:rsid w:val="20670E5A"/>
    <w:rsid w:val="20B32185"/>
    <w:rsid w:val="20F562C0"/>
    <w:rsid w:val="20FC3C98"/>
    <w:rsid w:val="210112AE"/>
    <w:rsid w:val="21051C71"/>
    <w:rsid w:val="212E7BC9"/>
    <w:rsid w:val="21336A03"/>
    <w:rsid w:val="21423843"/>
    <w:rsid w:val="21590ACC"/>
    <w:rsid w:val="22577148"/>
    <w:rsid w:val="22AC524A"/>
    <w:rsid w:val="2308571D"/>
    <w:rsid w:val="23130E25"/>
    <w:rsid w:val="23152DEF"/>
    <w:rsid w:val="23627FFE"/>
    <w:rsid w:val="238241FC"/>
    <w:rsid w:val="23916358"/>
    <w:rsid w:val="23927375"/>
    <w:rsid w:val="243C1541"/>
    <w:rsid w:val="2460532C"/>
    <w:rsid w:val="25493224"/>
    <w:rsid w:val="255870C9"/>
    <w:rsid w:val="258D0968"/>
    <w:rsid w:val="264A2090"/>
    <w:rsid w:val="26956DF8"/>
    <w:rsid w:val="269E7C09"/>
    <w:rsid w:val="270F5DA7"/>
    <w:rsid w:val="274E68CF"/>
    <w:rsid w:val="27C40A27"/>
    <w:rsid w:val="287E4F92"/>
    <w:rsid w:val="28AA5315"/>
    <w:rsid w:val="28B210E0"/>
    <w:rsid w:val="28D54528"/>
    <w:rsid w:val="295D54F0"/>
    <w:rsid w:val="298365D8"/>
    <w:rsid w:val="2A422128"/>
    <w:rsid w:val="2A4823D4"/>
    <w:rsid w:val="2A5E151F"/>
    <w:rsid w:val="2A9F77C7"/>
    <w:rsid w:val="2B095386"/>
    <w:rsid w:val="2B391645"/>
    <w:rsid w:val="2B65243A"/>
    <w:rsid w:val="2BC03B14"/>
    <w:rsid w:val="2BC76C50"/>
    <w:rsid w:val="2BF10209"/>
    <w:rsid w:val="2C2322E7"/>
    <w:rsid w:val="2C2C11A9"/>
    <w:rsid w:val="2C6B7F24"/>
    <w:rsid w:val="2C7D37B3"/>
    <w:rsid w:val="2CA1772C"/>
    <w:rsid w:val="2CA84CD4"/>
    <w:rsid w:val="2CBA0563"/>
    <w:rsid w:val="2D2F2CFF"/>
    <w:rsid w:val="2D5E5392"/>
    <w:rsid w:val="2D6A3D37"/>
    <w:rsid w:val="2DE02538"/>
    <w:rsid w:val="2E6764D8"/>
    <w:rsid w:val="2EA94D33"/>
    <w:rsid w:val="2EB77450"/>
    <w:rsid w:val="2F1D42E7"/>
    <w:rsid w:val="2F41392E"/>
    <w:rsid w:val="2F5E5A76"/>
    <w:rsid w:val="2F637560"/>
    <w:rsid w:val="2F9B2584"/>
    <w:rsid w:val="2FB83480"/>
    <w:rsid w:val="2FBE0EB7"/>
    <w:rsid w:val="2FCC0CD9"/>
    <w:rsid w:val="2FDE0A0C"/>
    <w:rsid w:val="30313232"/>
    <w:rsid w:val="30422D49"/>
    <w:rsid w:val="306F78B6"/>
    <w:rsid w:val="30AC4667"/>
    <w:rsid w:val="31140B8A"/>
    <w:rsid w:val="31300370"/>
    <w:rsid w:val="31466CA2"/>
    <w:rsid w:val="31886E82"/>
    <w:rsid w:val="31B639EF"/>
    <w:rsid w:val="32A877CC"/>
    <w:rsid w:val="32B31CDC"/>
    <w:rsid w:val="32C81234"/>
    <w:rsid w:val="33564B72"/>
    <w:rsid w:val="33835B53"/>
    <w:rsid w:val="33CB74FA"/>
    <w:rsid w:val="34270BD4"/>
    <w:rsid w:val="346911EC"/>
    <w:rsid w:val="34C208FD"/>
    <w:rsid w:val="35573916"/>
    <w:rsid w:val="35E54A6E"/>
    <w:rsid w:val="35E7171B"/>
    <w:rsid w:val="3630291D"/>
    <w:rsid w:val="363C282A"/>
    <w:rsid w:val="36751779"/>
    <w:rsid w:val="367E6AA5"/>
    <w:rsid w:val="36C413B9"/>
    <w:rsid w:val="3740447F"/>
    <w:rsid w:val="376A0E8C"/>
    <w:rsid w:val="37712B2B"/>
    <w:rsid w:val="380011F0"/>
    <w:rsid w:val="38675A43"/>
    <w:rsid w:val="386D0B7F"/>
    <w:rsid w:val="386D6FDA"/>
    <w:rsid w:val="38AD16A4"/>
    <w:rsid w:val="38E52E0C"/>
    <w:rsid w:val="39123A15"/>
    <w:rsid w:val="392C7780"/>
    <w:rsid w:val="3A63544E"/>
    <w:rsid w:val="3A687246"/>
    <w:rsid w:val="3A9659D3"/>
    <w:rsid w:val="3AB54D18"/>
    <w:rsid w:val="3AB72586"/>
    <w:rsid w:val="3ADC1BAC"/>
    <w:rsid w:val="3B20637D"/>
    <w:rsid w:val="3B5D497D"/>
    <w:rsid w:val="3C3A521C"/>
    <w:rsid w:val="3C8D7564"/>
    <w:rsid w:val="3CE77152"/>
    <w:rsid w:val="3D0268A8"/>
    <w:rsid w:val="3D4A148F"/>
    <w:rsid w:val="3D97168C"/>
    <w:rsid w:val="3EC6723B"/>
    <w:rsid w:val="3EFD0EAF"/>
    <w:rsid w:val="3FDD2F01"/>
    <w:rsid w:val="40866C82"/>
    <w:rsid w:val="40B008AA"/>
    <w:rsid w:val="40B818BF"/>
    <w:rsid w:val="40B97948"/>
    <w:rsid w:val="418D1865"/>
    <w:rsid w:val="418D2A97"/>
    <w:rsid w:val="41F23ACD"/>
    <w:rsid w:val="445B21D4"/>
    <w:rsid w:val="44B409FB"/>
    <w:rsid w:val="44CD5094"/>
    <w:rsid w:val="4550160D"/>
    <w:rsid w:val="45667082"/>
    <w:rsid w:val="456C0989"/>
    <w:rsid w:val="45B55E6D"/>
    <w:rsid w:val="46357180"/>
    <w:rsid w:val="4645313C"/>
    <w:rsid w:val="46827EEC"/>
    <w:rsid w:val="46AA2F9F"/>
    <w:rsid w:val="46CC3DB2"/>
    <w:rsid w:val="46D21877"/>
    <w:rsid w:val="46D71951"/>
    <w:rsid w:val="47581320"/>
    <w:rsid w:val="47BC5C53"/>
    <w:rsid w:val="48193EC2"/>
    <w:rsid w:val="48806EA9"/>
    <w:rsid w:val="48822197"/>
    <w:rsid w:val="48E46C3C"/>
    <w:rsid w:val="49AE2DA6"/>
    <w:rsid w:val="49F66C36"/>
    <w:rsid w:val="4A413C1A"/>
    <w:rsid w:val="4B335C59"/>
    <w:rsid w:val="4B767B1E"/>
    <w:rsid w:val="4C0B44E0"/>
    <w:rsid w:val="4C285091"/>
    <w:rsid w:val="4C6D1FBB"/>
    <w:rsid w:val="4C894F6F"/>
    <w:rsid w:val="4CA11C86"/>
    <w:rsid w:val="4CA8439A"/>
    <w:rsid w:val="4CB10C20"/>
    <w:rsid w:val="4CCE6D0D"/>
    <w:rsid w:val="4D437238"/>
    <w:rsid w:val="4D4C3002"/>
    <w:rsid w:val="4E8D38D2"/>
    <w:rsid w:val="4EAE1256"/>
    <w:rsid w:val="4F161B19"/>
    <w:rsid w:val="50083210"/>
    <w:rsid w:val="502E743D"/>
    <w:rsid w:val="505B7715"/>
    <w:rsid w:val="50A867A1"/>
    <w:rsid w:val="50BF1FC8"/>
    <w:rsid w:val="50C7131D"/>
    <w:rsid w:val="514C6430"/>
    <w:rsid w:val="5291221C"/>
    <w:rsid w:val="52A337B8"/>
    <w:rsid w:val="532C190B"/>
    <w:rsid w:val="53DB0C3B"/>
    <w:rsid w:val="53E140A6"/>
    <w:rsid w:val="53F40340"/>
    <w:rsid w:val="53FC752F"/>
    <w:rsid w:val="54065CB8"/>
    <w:rsid w:val="541A3860"/>
    <w:rsid w:val="54472C0B"/>
    <w:rsid w:val="54994D7E"/>
    <w:rsid w:val="55022203"/>
    <w:rsid w:val="559B1E1A"/>
    <w:rsid w:val="55A90FF1"/>
    <w:rsid w:val="55DB3175"/>
    <w:rsid w:val="57016C0B"/>
    <w:rsid w:val="58805459"/>
    <w:rsid w:val="588B44F8"/>
    <w:rsid w:val="58BF5411"/>
    <w:rsid w:val="5913587D"/>
    <w:rsid w:val="592B7F6F"/>
    <w:rsid w:val="596A6CE9"/>
    <w:rsid w:val="59F82547"/>
    <w:rsid w:val="5AC661A1"/>
    <w:rsid w:val="5AE247D8"/>
    <w:rsid w:val="5B417F1E"/>
    <w:rsid w:val="5C0C4088"/>
    <w:rsid w:val="5C27795C"/>
    <w:rsid w:val="5C5305C6"/>
    <w:rsid w:val="5C9A5B38"/>
    <w:rsid w:val="5CF05758"/>
    <w:rsid w:val="5D3B7BF9"/>
    <w:rsid w:val="5D812854"/>
    <w:rsid w:val="5E286E2B"/>
    <w:rsid w:val="5E2A6A47"/>
    <w:rsid w:val="5E512226"/>
    <w:rsid w:val="5E766130"/>
    <w:rsid w:val="5F1F0576"/>
    <w:rsid w:val="5FFB2762"/>
    <w:rsid w:val="601B4AB2"/>
    <w:rsid w:val="60477D84"/>
    <w:rsid w:val="60996106"/>
    <w:rsid w:val="60BA121F"/>
    <w:rsid w:val="60E70C20"/>
    <w:rsid w:val="60EC281B"/>
    <w:rsid w:val="61263C84"/>
    <w:rsid w:val="6194746E"/>
    <w:rsid w:val="61A15272"/>
    <w:rsid w:val="61A426DB"/>
    <w:rsid w:val="61D03DA9"/>
    <w:rsid w:val="620F042E"/>
    <w:rsid w:val="621A068C"/>
    <w:rsid w:val="62816AEB"/>
    <w:rsid w:val="62FA229D"/>
    <w:rsid w:val="630809D1"/>
    <w:rsid w:val="6320666B"/>
    <w:rsid w:val="632D58C6"/>
    <w:rsid w:val="63550E6F"/>
    <w:rsid w:val="63554566"/>
    <w:rsid w:val="63DB22D1"/>
    <w:rsid w:val="63EE6769"/>
    <w:rsid w:val="642342DE"/>
    <w:rsid w:val="642E1F2E"/>
    <w:rsid w:val="64964E36"/>
    <w:rsid w:val="64E0485D"/>
    <w:rsid w:val="65911CB5"/>
    <w:rsid w:val="65F77B57"/>
    <w:rsid w:val="660B715E"/>
    <w:rsid w:val="6614668C"/>
    <w:rsid w:val="662121FF"/>
    <w:rsid w:val="66A7157D"/>
    <w:rsid w:val="673A0F3D"/>
    <w:rsid w:val="6791267E"/>
    <w:rsid w:val="68131439"/>
    <w:rsid w:val="6830229F"/>
    <w:rsid w:val="68574D1B"/>
    <w:rsid w:val="685B3DB5"/>
    <w:rsid w:val="68FB5BB0"/>
    <w:rsid w:val="68FC61BF"/>
    <w:rsid w:val="692A657D"/>
    <w:rsid w:val="69A41DA4"/>
    <w:rsid w:val="69EA352F"/>
    <w:rsid w:val="6A6032F2"/>
    <w:rsid w:val="6AD61151"/>
    <w:rsid w:val="6AF705F9"/>
    <w:rsid w:val="6B8E4AB9"/>
    <w:rsid w:val="6BC14406"/>
    <w:rsid w:val="6BD04D39"/>
    <w:rsid w:val="6BDA5F51"/>
    <w:rsid w:val="6C511366"/>
    <w:rsid w:val="6C5E4739"/>
    <w:rsid w:val="6C6B6BA9"/>
    <w:rsid w:val="6CC51F64"/>
    <w:rsid w:val="6DB37557"/>
    <w:rsid w:val="6E0E3640"/>
    <w:rsid w:val="6E25722B"/>
    <w:rsid w:val="6E7206C2"/>
    <w:rsid w:val="6E9E14B7"/>
    <w:rsid w:val="6F321C00"/>
    <w:rsid w:val="6F83245B"/>
    <w:rsid w:val="6F863CF9"/>
    <w:rsid w:val="6F896044"/>
    <w:rsid w:val="6FBE6451"/>
    <w:rsid w:val="6FD131C7"/>
    <w:rsid w:val="70074E3A"/>
    <w:rsid w:val="70E21403"/>
    <w:rsid w:val="70F96386"/>
    <w:rsid w:val="71092E34"/>
    <w:rsid w:val="71A32E24"/>
    <w:rsid w:val="71C733BC"/>
    <w:rsid w:val="71F80EDE"/>
    <w:rsid w:val="72B648F6"/>
    <w:rsid w:val="731F693F"/>
    <w:rsid w:val="734712AB"/>
    <w:rsid w:val="736D3E45"/>
    <w:rsid w:val="73A051F4"/>
    <w:rsid w:val="73ED07EB"/>
    <w:rsid w:val="73EF1E6D"/>
    <w:rsid w:val="74EC671B"/>
    <w:rsid w:val="750000AA"/>
    <w:rsid w:val="75395AE6"/>
    <w:rsid w:val="7582310C"/>
    <w:rsid w:val="75A75028"/>
    <w:rsid w:val="75C630A2"/>
    <w:rsid w:val="75C86E1A"/>
    <w:rsid w:val="769D0FFC"/>
    <w:rsid w:val="769E5DCD"/>
    <w:rsid w:val="76D93A3E"/>
    <w:rsid w:val="76EA1012"/>
    <w:rsid w:val="76F52AFE"/>
    <w:rsid w:val="77A66FA4"/>
    <w:rsid w:val="77DA4BE2"/>
    <w:rsid w:val="77F06C2D"/>
    <w:rsid w:val="78474627"/>
    <w:rsid w:val="785C7CED"/>
    <w:rsid w:val="78A771BA"/>
    <w:rsid w:val="78E81581"/>
    <w:rsid w:val="78FF0DA4"/>
    <w:rsid w:val="792F71B0"/>
    <w:rsid w:val="796400CB"/>
    <w:rsid w:val="79773031"/>
    <w:rsid w:val="79D22F1C"/>
    <w:rsid w:val="7A043B98"/>
    <w:rsid w:val="7A2D5EF4"/>
    <w:rsid w:val="7A804167"/>
    <w:rsid w:val="7A951A42"/>
    <w:rsid w:val="7AD640E6"/>
    <w:rsid w:val="7B205002"/>
    <w:rsid w:val="7BC10DC0"/>
    <w:rsid w:val="7C42727D"/>
    <w:rsid w:val="7CA9211B"/>
    <w:rsid w:val="7CD85128"/>
    <w:rsid w:val="7D036989"/>
    <w:rsid w:val="7D3D235A"/>
    <w:rsid w:val="7D5316BF"/>
    <w:rsid w:val="7D8F2650"/>
    <w:rsid w:val="7D9C12B8"/>
    <w:rsid w:val="7DA77C5D"/>
    <w:rsid w:val="7E431733"/>
    <w:rsid w:val="7E486D4A"/>
    <w:rsid w:val="7E8813E9"/>
    <w:rsid w:val="7E885398"/>
    <w:rsid w:val="7E8B66C5"/>
    <w:rsid w:val="7F5259A6"/>
    <w:rsid w:val="7F5B485B"/>
    <w:rsid w:val="7F6C60FE"/>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autoSpaceDE w:val="0"/>
      <w:autoSpaceDN w:val="0"/>
      <w:jc w:val="center"/>
      <w:outlineLvl w:val="1"/>
    </w:pPr>
    <w:rPr>
      <w:rFonts w:ascii="宋体" w:hAnsi="宋体"/>
      <w:color w:val="000000"/>
      <w:kern w:val="0"/>
      <w:sz w:val="30"/>
      <w:szCs w:val="1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ind w:firstLine="425"/>
    </w:pPr>
    <w:rPr>
      <w:rFonts w:ascii="Times New Roman" w:hAnsi="Times New Roman" w:eastAsia="宋体" w:cs="Times New Roman"/>
      <w:szCs w:val="20"/>
    </w:rPr>
  </w:style>
  <w:style w:type="paragraph" w:customStyle="1" w:styleId="4">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5">
    <w:name w:val="caption"/>
    <w:basedOn w:val="1"/>
    <w:next w:val="1"/>
    <w:qFormat/>
    <w:uiPriority w:val="99"/>
    <w:rPr>
      <w:rFonts w:ascii="Arial" w:hAnsi="Arial" w:eastAsia="黑体" w:cs="Arial"/>
      <w:sz w:val="20"/>
      <w:szCs w:val="20"/>
    </w:rPr>
  </w:style>
  <w:style w:type="paragraph" w:styleId="6">
    <w:name w:val="annotation text"/>
    <w:basedOn w:val="1"/>
    <w:qFormat/>
    <w:uiPriority w:val="0"/>
    <w:pPr>
      <w:jc w:val="left"/>
    </w:pPr>
  </w:style>
  <w:style w:type="paragraph" w:styleId="7">
    <w:name w:val="Body Text"/>
    <w:basedOn w:val="1"/>
    <w:unhideWhenUsed/>
    <w:qFormat/>
    <w:uiPriority w:val="0"/>
    <w:pPr>
      <w:spacing w:after="120"/>
    </w:pPr>
  </w:style>
  <w:style w:type="paragraph" w:styleId="8">
    <w:name w:val="Body Text Indent"/>
    <w:basedOn w:val="1"/>
    <w:next w:val="3"/>
    <w:qFormat/>
    <w:uiPriority w:val="0"/>
    <w:pPr>
      <w:adjustRightInd w:val="0"/>
      <w:spacing w:after="120" w:line="360" w:lineRule="atLeast"/>
      <w:ind w:left="420" w:leftChars="200"/>
      <w:jc w:val="left"/>
      <w:textAlignment w:val="baseline"/>
    </w:pPr>
    <w:rPr>
      <w:kern w:val="0"/>
      <w:sz w:val="24"/>
      <w:szCs w:val="20"/>
    </w:rPr>
  </w:style>
  <w:style w:type="paragraph" w:styleId="9">
    <w:name w:val="Plain Text"/>
    <w:basedOn w:val="1"/>
    <w:qFormat/>
    <w:uiPriority w:val="99"/>
    <w:rPr>
      <w:rFonts w:eastAsia="宋体"/>
      <w:sz w:val="24"/>
    </w:rPr>
  </w:style>
  <w:style w:type="paragraph" w:styleId="10">
    <w:name w:val="Date"/>
    <w:basedOn w:val="1"/>
    <w:next w:val="1"/>
    <w:unhideWhenUsed/>
    <w:qFormat/>
    <w:uiPriority w:val="99"/>
    <w:pPr>
      <w:ind w:left="100" w:leftChars="2500"/>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envelope return"/>
    <w:basedOn w:val="1"/>
    <w:qFormat/>
    <w:uiPriority w:val="0"/>
    <w:pPr>
      <w:snapToGrid w:val="0"/>
    </w:pPr>
    <w:rPr>
      <w:rFonts w:ascii="Arial" w:hAnsi="Arial"/>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Body Text 2"/>
    <w:basedOn w:val="1"/>
    <w:next w:val="7"/>
    <w:qFormat/>
    <w:uiPriority w:val="0"/>
    <w:pPr>
      <w:spacing w:after="120" w:line="480" w:lineRule="auto"/>
    </w:pPr>
  </w:style>
  <w:style w:type="paragraph" w:styleId="15">
    <w:name w:val="Normal (Web)"/>
    <w:basedOn w:val="1"/>
    <w:qFormat/>
    <w:uiPriority w:val="99"/>
    <w:rPr>
      <w:rFonts w:ascii="Calibri" w:hAnsi="Calibri" w:eastAsia="宋体" w:cs="Times New Roman"/>
      <w:sz w:val="24"/>
      <w:szCs w:val="24"/>
    </w:rPr>
  </w:style>
  <w:style w:type="paragraph" w:styleId="16">
    <w:name w:val="Body Text First Indent"/>
    <w:basedOn w:val="7"/>
    <w:next w:val="17"/>
    <w:qFormat/>
    <w:uiPriority w:val="0"/>
    <w:pPr>
      <w:ind w:firstLine="420" w:firstLineChars="100"/>
    </w:pPr>
    <w:rPr>
      <w:rFonts w:ascii="宋体" w:hAnsi="Times New Roman" w:eastAsia="宋体" w:cs="Times New Roman"/>
      <w:kern w:val="0"/>
      <w:sz w:val="34"/>
      <w:szCs w:val="20"/>
    </w:rPr>
  </w:style>
  <w:style w:type="paragraph" w:styleId="17">
    <w:name w:val="Body Text First Indent 2"/>
    <w:basedOn w:val="8"/>
    <w:next w:val="1"/>
    <w:qFormat/>
    <w:uiPriority w:val="99"/>
    <w:pPr>
      <w:tabs>
        <w:tab w:val="left" w:pos="945"/>
        <w:tab w:val="left" w:pos="1155"/>
      </w:tabs>
      <w:ind w:firstLine="420" w:firstLineChars="200"/>
    </w:p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FollowedHyperlink"/>
    <w:basedOn w:val="20"/>
    <w:qFormat/>
    <w:uiPriority w:val="0"/>
    <w:rPr>
      <w:color w:val="444444"/>
      <w:sz w:val="21"/>
      <w:szCs w:val="21"/>
      <w:u w:val="none"/>
    </w:rPr>
  </w:style>
  <w:style w:type="character" w:styleId="22">
    <w:name w:val="Hyperlink"/>
    <w:basedOn w:val="20"/>
    <w:unhideWhenUsed/>
    <w:qFormat/>
    <w:uiPriority w:val="0"/>
    <w:rPr>
      <w:color w:val="000000"/>
      <w:u w:val="none"/>
    </w:rPr>
  </w:style>
  <w:style w:type="paragraph" w:customStyle="1" w:styleId="23">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24">
    <w:name w:val="列出段落1"/>
    <w:basedOn w:val="1"/>
    <w:qFormat/>
    <w:uiPriority w:val="34"/>
    <w:pPr>
      <w:ind w:firstLine="420" w:firstLineChars="200"/>
    </w:pPr>
  </w:style>
  <w:style w:type="paragraph" w:customStyle="1" w:styleId="25">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26">
    <w:name w:val="style4"/>
    <w:basedOn w:val="1"/>
    <w:next w:val="27"/>
    <w:qFormat/>
    <w:uiPriority w:val="0"/>
    <w:pPr>
      <w:widowControl/>
      <w:spacing w:before="280" w:after="280"/>
    </w:pPr>
    <w:rPr>
      <w:rFonts w:ascii="宋体" w:hAnsi="Times New Roman" w:eastAsia="宋体" w:cs="Times New Roman"/>
      <w:sz w:val="18"/>
    </w:rPr>
  </w:style>
  <w:style w:type="paragraph" w:customStyle="1" w:styleId="27">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8">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9">
    <w:name w:val="列表段落3"/>
    <w:basedOn w:val="1"/>
    <w:qFormat/>
    <w:uiPriority w:val="99"/>
    <w:pPr>
      <w:ind w:firstLine="420" w:firstLineChars="200"/>
    </w:pPr>
  </w:style>
  <w:style w:type="paragraph" w:styleId="30">
    <w:name w:val="List Paragraph"/>
    <w:basedOn w:val="1"/>
    <w:unhideWhenUsed/>
    <w:qFormat/>
    <w:uiPriority w:val="34"/>
    <w:pPr>
      <w:ind w:firstLine="420" w:firstLineChars="200"/>
    </w:pPr>
  </w:style>
  <w:style w:type="paragraph" w:customStyle="1" w:styleId="31">
    <w:name w:val="样式1"/>
    <w:basedOn w:val="1"/>
    <w:qFormat/>
    <w:uiPriority w:val="0"/>
    <w:pPr>
      <w:numPr>
        <w:ilvl w:val="0"/>
        <w:numId w:val="1"/>
      </w:numPr>
      <w:adjustRightInd w:val="0"/>
      <w:textAlignment w:val="baseline"/>
    </w:pPr>
    <w:rPr>
      <w:rFonts w:ascii="宋体" w:hAnsi="宋体" w:eastAsia="宋体" w:cs="Times New Roman"/>
      <w:kern w:val="0"/>
      <w:szCs w:val="21"/>
    </w:rPr>
  </w:style>
  <w:style w:type="character" w:customStyle="1" w:styleId="32">
    <w:name w:val="NormalCharacter"/>
    <w:qFormat/>
    <w:uiPriority w:val="0"/>
  </w:style>
  <w:style w:type="paragraph" w:styleId="33">
    <w:name w:val="No Spacing"/>
    <w:qFormat/>
    <w:uiPriority w:val="1"/>
    <w:pPr>
      <w:widowControl w:val="0"/>
      <w:spacing w:line="360" w:lineRule="auto"/>
      <w:jc w:val="both"/>
    </w:pPr>
    <w:rPr>
      <w:rFonts w:ascii="宋体" w:eastAsia="宋体" w:hAnsiTheme="minorHAnsi" w:cstheme="minorBidi"/>
      <w:kern w:val="2"/>
      <w:sz w:val="24"/>
      <w:szCs w:val="22"/>
      <w:lang w:val="en-US" w:eastAsia="zh-CN" w:bidi="ar-SA"/>
    </w:rPr>
  </w:style>
  <w:style w:type="paragraph" w:customStyle="1" w:styleId="34">
    <w:name w:val="样式 样式 样式 样式 标题 2 + 宋体 五号 非加粗 黑色 + 段前: 6 磅 段后: 0 磅 行距: 单倍行距 + 段前:..."/>
    <w:basedOn w:val="1"/>
    <w:qFormat/>
    <w:uiPriority w:val="0"/>
    <w:pPr>
      <w:keepNext/>
      <w:keepLines/>
      <w:numPr>
        <w:ilvl w:val="0"/>
        <w:numId w:val="2"/>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35">
    <w:name w:val="正文文本缩进1"/>
    <w:basedOn w:val="1"/>
    <w:qFormat/>
    <w:uiPriority w:val="0"/>
    <w:pPr>
      <w:spacing w:line="360" w:lineRule="auto"/>
      <w:ind w:firstLine="480" w:firstLineChars="200"/>
    </w:pPr>
    <w:rPr>
      <w:rFonts w:ascii="宋体"/>
      <w:sz w:val="24"/>
    </w:rPr>
  </w:style>
  <w:style w:type="paragraph" w:customStyle="1" w:styleId="36">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37">
    <w:name w:val="日期1"/>
    <w:basedOn w:val="1"/>
    <w:next w:val="1"/>
    <w:qFormat/>
    <w:uiPriority w:val="0"/>
    <w:rPr>
      <w:sz w:val="24"/>
    </w:rPr>
  </w:style>
  <w:style w:type="paragraph" w:customStyle="1" w:styleId="38">
    <w:name w:val="Table Text"/>
    <w:basedOn w:val="1"/>
    <w:semiHidden/>
    <w:qFormat/>
    <w:uiPriority w:val="0"/>
    <w:rPr>
      <w:rFonts w:ascii="宋体" w:hAnsi="宋体" w:eastAsia="宋体" w:cs="宋体"/>
      <w:sz w:val="22"/>
      <w:szCs w:val="22"/>
      <w:lang w:val="en-US" w:eastAsia="en-US" w:bidi="ar-SA"/>
    </w:rPr>
  </w:style>
  <w:style w:type="table" w:customStyle="1" w:styleId="39">
    <w:name w:val="Table Normal"/>
    <w:semiHidden/>
    <w:unhideWhenUsed/>
    <w:qFormat/>
    <w:uiPriority w:val="0"/>
    <w:tblPr>
      <w:tblCellMar>
        <w:top w:w="0" w:type="dxa"/>
        <w:left w:w="0" w:type="dxa"/>
        <w:bottom w:w="0" w:type="dxa"/>
        <w:right w:w="0" w:type="dxa"/>
      </w:tblCellMar>
    </w:tblPr>
  </w:style>
  <w:style w:type="paragraph" w:customStyle="1" w:styleId="40">
    <w:name w:val="表格文字"/>
    <w:basedOn w:val="1"/>
    <w:next w:val="7"/>
    <w:qFormat/>
    <w:uiPriority w:val="0"/>
    <w:pPr>
      <w:widowControl/>
      <w:spacing w:line="300" w:lineRule="auto"/>
      <w:jc w:val="left"/>
    </w:pPr>
    <w:rPr>
      <w:rFonts w:ascii="宋体" w:hAnsi="宋体"/>
      <w:sz w:val="24"/>
      <w:szCs w:val="32"/>
    </w:rPr>
  </w:style>
  <w:style w:type="character" w:customStyle="1" w:styleId="41">
    <w:name w:val="hover18"/>
    <w:basedOn w:val="20"/>
    <w:qFormat/>
    <w:uiPriority w:val="0"/>
  </w:style>
  <w:style w:type="paragraph" w:customStyle="1" w:styleId="42">
    <w:name w:val="HtmlNormal"/>
    <w:basedOn w:val="1"/>
    <w:qFormat/>
    <w:uiPriority w:val="0"/>
    <w:rPr>
      <w:sz w:val="24"/>
      <w:szCs w:val="24"/>
    </w:rPr>
  </w:style>
  <w:style w:type="paragraph" w:customStyle="1" w:styleId="43">
    <w:name w:val="Body text|4"/>
    <w:basedOn w:val="1"/>
    <w:qFormat/>
    <w:uiPriority w:val="0"/>
    <w:pPr>
      <w:widowControl w:val="0"/>
      <w:shd w:val="clear" w:color="auto" w:fill="auto"/>
      <w:ind w:right="660"/>
      <w:jc w:val="right"/>
    </w:pPr>
    <w:rPr>
      <w:rFonts w:ascii="宋体" w:hAnsi="宋体" w:eastAsia="宋体" w:cs="宋体"/>
      <w:color w:val="434E5A"/>
      <w:sz w:val="26"/>
      <w:szCs w:val="26"/>
      <w:u w:val="none"/>
      <w:shd w:val="clear" w:color="auto" w:fill="auto"/>
      <w:lang w:val="zh-TW" w:eastAsia="zh-TW" w:bidi="zh-TW"/>
    </w:rPr>
  </w:style>
  <w:style w:type="paragraph" w:customStyle="1" w:styleId="44">
    <w:name w:val="Heading #2|1"/>
    <w:basedOn w:val="1"/>
    <w:qFormat/>
    <w:uiPriority w:val="0"/>
    <w:pPr>
      <w:widowControl w:val="0"/>
      <w:shd w:val="clear" w:color="auto" w:fill="auto"/>
      <w:spacing w:after="270" w:line="590" w:lineRule="exact"/>
      <w:jc w:val="center"/>
      <w:outlineLvl w:val="1"/>
    </w:pPr>
    <w:rPr>
      <w:rFonts w:ascii="宋体" w:hAnsi="宋体" w:eastAsia="宋体" w:cs="宋体"/>
      <w:color w:val="58646D"/>
      <w:sz w:val="42"/>
      <w:szCs w:val="42"/>
      <w:u w:val="none"/>
      <w:shd w:val="clear" w:color="auto" w:fill="auto"/>
      <w:lang w:val="zh-TW" w:eastAsia="zh-TW" w:bidi="zh-TW"/>
    </w:rPr>
  </w:style>
  <w:style w:type="paragraph" w:customStyle="1" w:styleId="45">
    <w:name w:val="Body text|1"/>
    <w:basedOn w:val="1"/>
    <w:qFormat/>
    <w:uiPriority w:val="0"/>
    <w:pPr>
      <w:widowControl w:val="0"/>
      <w:shd w:val="clear" w:color="auto" w:fill="auto"/>
      <w:spacing w:line="379" w:lineRule="auto"/>
      <w:ind w:firstLine="400"/>
    </w:pPr>
    <w:rPr>
      <w:rFonts w:ascii="宋体" w:hAnsi="宋体" w:eastAsia="宋体" w:cs="宋体"/>
      <w:color w:val="434E5A"/>
      <w:sz w:val="22"/>
      <w:szCs w:val="22"/>
      <w:u w:val="none"/>
      <w:shd w:val="clear" w:color="auto" w:fill="auto"/>
      <w:lang w:val="zh-TW" w:eastAsia="zh-TW" w:bidi="zh-TW"/>
    </w:rPr>
  </w:style>
  <w:style w:type="paragraph" w:customStyle="1" w:styleId="46">
    <w:name w:val="Header or footer|1"/>
    <w:basedOn w:val="1"/>
    <w:qFormat/>
    <w:uiPriority w:val="0"/>
    <w:pPr>
      <w:widowControl w:val="0"/>
      <w:shd w:val="clear" w:color="auto" w:fill="auto"/>
    </w:pPr>
    <w:rPr>
      <w:sz w:val="17"/>
      <w:szCs w:val="17"/>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17bf0128-349d-42b7-aa34-8021ea1acd35</errorID>
      <errorWord>（</errorWord>
      <group>L1_Punc</group>
      <groupName>标点问题</groupName>
      <ability>L2_Punc_CN</ability>
      <abilityName>标点符号问题</abilityName>
      <candidateList/>
      <explain>同一形式括号套用。</explain>
      <paraID>2B89CE85</paraID>
      <start>95</start>
      <end>96</end>
      <status>ignored</status>
      <modifiedWord/>
      <trackRevisions>false</trackRevisions>
    </reviewItem>
    <reviewItem>
      <errorID>d4386a8e-bf5f-490b-b8f4-09285a30c2ce</errorID>
      <errorWord>）</errorWord>
      <group>L1_Punc</group>
      <groupName>标点问题</groupName>
      <ability>L2_Punc_CN</ability>
      <abilityName>标点符号问题</abilityName>
      <candidateList/>
      <explain>同一形式括号套用。</explain>
      <paraID>2B89CE85</paraID>
      <start>103</start>
      <end>104</end>
      <status>ignored</status>
      <modifiedWord/>
      <trackRevisions>false</trackRevisions>
    </reviewItem>
    <reviewItem>
      <errorID>1bafa18e-50dc-4383-9b36-4f8c5caa32e1</errorID>
      <errorWord>日至2026年</errorWord>
      <group>L1_Word</group>
      <groupName>字词问题</groupName>
      <ability>L2_Typo</ability>
      <abilityName>字词错误</abilityName>
      <candidateList>
        <item>日起至2026年</item>
      </candidateList>
      <explain/>
      <paraID>2B89CEB3</paraID>
      <start>15</start>
      <end>22</end>
      <status>ignored</status>
      <modifiedWord/>
      <trackRevisions>false</trackRevisions>
    </reviewItem>
    <reviewItem>
      <errorID>95ff62eb-bfc3-401a-8576-83251b0b0399</errorID>
      <errorWord>上午00:00</errorWord>
      <group>L1_Knowledge</group>
      <groupName>知识性问题</groupName>
      <ability>L2_Time</ability>
      <abilityName>日期时间</abilityName>
      <candidateList/>
      <explain>时间与前缀不匹配，可能的时间前缀有“下午、晚上、凌晨、午夜”。</explain>
      <paraID>2B89CEB3</paraID>
      <start>31</start>
      <end>38</end>
      <status>ignored</status>
      <modifiedWord/>
      <trackRevisions>false</trackRevisions>
    </reviewItem>
    <reviewItem>
      <errorID>bd5fc671-0f47-4e45-91e6-a2dc69eee299</errorID>
      <errorWord>.</errorWord>
      <group>L1_Format</group>
      <groupName>格式问题</groupName>
      <ability>L2_HalfPunc_CN</ability>
      <abilityName>全半角问题</abilityName>
      <candidateList>
        <item>。</item>
      </candidateList>
      <explain>文本全半角错误。</explain>
      <paraID>2B89CEB9</paraID>
      <start>81</start>
      <end>82</end>
      <status>ignored</status>
      <modifiedWord/>
      <trackRevisions>false</trackRevisions>
    </reviewItem>
    <reviewItem>
      <errorID>4c439137-db5c-4912-ad55-a3daa2bcec3c</errorID>
      <errorWord>.</errorWord>
      <group>L1_Format</group>
      <groupName>格式问题</groupName>
      <ability>L2_HalfPunc_CN</ability>
      <abilityName>全半角问题</abilityName>
      <candidateList>
        <item>。</item>
      </candidateList>
      <explain>文本全半角错误。</explain>
      <paraID>4EF8F44C</paraID>
      <start>68</start>
      <end>69</end>
      <status>ignored</status>
      <modifiedWord/>
      <trackRevisions>false</trackRevisions>
    </reviewItem>
    <reviewItem>
      <errorID>25a65cba-b350-45f8-9209-6be147b0628b</errorID>
      <errorWord>.</errorWord>
      <group>L1_Format</group>
      <groupName>格式问题</groupName>
      <ability>L2_HalfPunc_CN</ability>
      <abilityName>全半角问题</abilityName>
      <candidateList>
        <item>。</item>
      </candidateList>
      <explain>文本全半角错误。</explain>
      <paraID>4EF8F44C</paraID>
      <start>75</start>
      <end>76</end>
      <status>ignored</status>
      <modifiedWord/>
      <trackRevisions>false</trackRevisions>
    </reviewItem>
    <reviewItem>
      <errorID>d8168170-1112-4e4b-a79a-13ec1e291edc</errorID>
      <errorWord>“.</errorWord>
      <group>L1_Punc</group>
      <groupName>标点问题</groupName>
      <ability>L2_Punc_CN</ability>
      <abilityName>标点符号问题</abilityName>
      <candidateList>
        <item>“</item>
      </candidateList>
      <explain/>
      <paraID>4EF8F44C</paraID>
      <start>91</start>
      <end>93</end>
      <status>ignored</status>
      <modifiedWord/>
      <trackRevisions>false</trackRevisions>
    </reviewItem>
    <reviewItem>
      <errorID>2715aa57-f4f9-4a9e-89d5-aa792675b1c6</errorID>
      <errorWord>“.</errorWord>
      <group>L1_Punc</group>
      <groupName>标点问题</groupName>
      <ability>L2_Punc_CN</ability>
      <abilityName>标点符号问题</abilityName>
      <candidateList>
        <item>“</item>
      </candidateList>
      <explain/>
      <paraID>4EF8F44C</paraID>
      <start>126</start>
      <end>128</end>
      <status>ignored</status>
      <modifiedWord/>
      <trackRevisions>false</trackRevisions>
    </reviewItem>
    <reviewItem>
      <errorID>5886c951-14fd-4955-a898-8b3db3b85df0</errorID>
      <errorWord>（</errorWord>
      <group>L1_Punc</group>
      <groupName>标点问题</groupName>
      <ability>L2_Punc_CN</ability>
      <abilityName>标点符号问题</abilityName>
      <candidateList/>
      <explain>同一形式括号套用。</explain>
      <paraID>2835356F</paraID>
      <start>117</start>
      <end>118</end>
      <status>ignored</status>
      <modifiedWord/>
      <trackRevisions>false</trackRevisions>
    </reviewItem>
    <reviewItem>
      <errorID>68637c91-5ad1-4827-9b9a-ff8c7a83e67e</errorID>
      <errorWord>）</errorWord>
      <group>L1_Punc</group>
      <groupName>标点问题</groupName>
      <ability>L2_Punc_CN</ability>
      <abilityName>标点符号问题</abilityName>
      <candidateList/>
      <explain>同一形式括号套用。</explain>
      <paraID>2835356F</paraID>
      <start>122</start>
      <end>123</end>
      <status>ignored</status>
      <modifiedWord/>
      <trackRevisions>false</trackRevisions>
    </reviewItem>
    <reviewItem>
      <errorID>ebcba0af-e25d-465b-a78f-f7ef4e574c45</errorID>
      <errorWord>震动</errorWord>
      <group>L1_Word</group>
      <groupName>字词问题</groupName>
      <ability>L2_Typo</ability>
      <abilityName>字词错误</abilityName>
      <candidateList>
        <item>振动</item>
      </candidateList>
      <explain>存在发音相同字词的误用。</explain>
      <paraID>6A93B118</paraID>
      <start>5</start>
      <end>7</end>
      <status>ignored</status>
      <modifiedWord/>
      <trackRevisions>false</trackRevisions>
    </reviewItem>
    <reviewItem>
      <errorID>c19f481c-1de6-4f6c-9369-a04734de3ccc</errorID>
      <errorWord>震动</errorWord>
      <group>L1_Word</group>
      <groupName>字词问题</groupName>
      <ability>L2_Typo</ability>
      <abilityName>字词错误</abilityName>
      <candidateList>
        <item>振动</item>
      </candidateList>
      <explain>存在发音相同字词的误用。</explain>
      <paraID>506FDDA8</paraID>
      <start>2</start>
      <end>4</end>
      <status>ignored</status>
      <modifiedWord/>
      <trackRevisions>false</trackRevisions>
    </reviewItem>
    <reviewItem>
      <errorID>57926ff8-34d2-4585-9e99-2999e015aebb</errorID>
      <errorWord>噪音</errorWord>
      <group>L1_Word</group>
      <groupName>字词问题</groupName>
      <ability>L2_Alias</ability>
      <abilityName>也作/曾用词</abilityName>
      <candidateList>
        <item>噪声</item>
      </candidateList>
      <explain>词汇[噪音]为不规范表述或旧称，其规范书面表述为[噪声]。</explain>
      <paraID>10D7F874</paraID>
      <start>6</start>
      <end>8</end>
      <status>ignored</status>
      <modifiedWord/>
      <trackRevisions>false</trackRevisions>
    </reviewItem>
    <reviewItem>
      <errorID>cd290724-f089-478c-a50d-45947f1131dc</errorID>
      <errorWord>搁板</errorWord>
      <group>L1_Word</group>
      <groupName>字词问题</groupName>
      <ability>L2_Typo</ability>
      <abilityName>字词错误</abilityName>
      <candidateList>
        <item>隔板</item>
      </candidateList>
      <explain/>
      <paraID>77D061B9</paraID>
      <start>17</start>
      <end>19</end>
      <status>ignored</status>
      <modifiedWord/>
      <trackRevisions>false</trackRevisions>
    </reviewItem>
    <reviewItem>
      <errorID>34b07cdf-655f-4927-b860-5088d45b85fd</errorID>
      <errorWord>噪音</errorWord>
      <group>L1_Word</group>
      <groupName>字词问题</groupName>
      <ability>L2_Alias</ability>
      <abilityName>也作/曾用词</abilityName>
      <candidateList>
        <item>噪声</item>
      </candidateList>
      <explain>词汇[噪音]为不规范表述或旧称，其规范书面表述为[噪声]。</explain>
      <paraID>75C2ACF9</paraID>
      <start>6</start>
      <end>8</end>
      <status>ignored</status>
      <modifiedWord/>
      <trackRevisions>false</trackRevisions>
    </reviewItem>
    <reviewItem>
      <errorID>b33e6935-3366-409e-b859-2c92c165aab7</errorID>
      <errorWord>搁板</errorWord>
      <group>L1_Word</group>
      <groupName>字词问题</groupName>
      <ability>L2_Typo</ability>
      <abilityName>字词错误</abilityName>
      <candidateList>
        <item>隔板</item>
      </candidateList>
      <explain/>
      <paraID>323D6A65</paraID>
      <start>12</start>
      <end>14</end>
      <status>ignored</status>
      <modifiedWord/>
      <trackRevisions>false</trackRevisions>
    </reviewItem>
    <reviewItem>
      <errorID>8d475afd-b851-4166-b626-5b7b6043e585</errorID>
      <errorWord>噪音</errorWord>
      <group>L1_Word</group>
      <groupName>字词问题</groupName>
      <ability>L2_Alias</ability>
      <abilityName>也作/曾用词</abilityName>
      <candidateList>
        <item>噪声</item>
      </candidateList>
      <explain>词汇[噪音]为不规范表述或旧称，其规范书面表述为[噪声]。</explain>
      <paraID>7868E119</paraID>
      <start>6</start>
      <end>8</end>
      <status>ignored</status>
      <modifiedWord/>
      <trackRevisions>false</trackRevisions>
    </reviewItem>
    <reviewItem>
      <errorID>e75c874f-98eb-4a86-b389-7207ee3b62f1</errorID>
      <errorWord>.</errorWord>
      <group>L1_Format</group>
      <groupName>格式问题</groupName>
      <ability>L2_HalfPunc_CN</ability>
      <abilityName>全半角问题</abilityName>
      <candidateList>
        <item>。</item>
      </candidateList>
      <explain>文本全半角错误。</explain>
      <paraID>2B89D08C</paraID>
      <start>47</start>
      <end>48</end>
      <status>ignored</status>
      <modifiedWord/>
      <trackRevisions>false</trackRevisions>
    </reviewItem>
    <reviewItem>
      <errorID>216f2589-5177-4969-8bc8-209518ce2808</errorID>
      <errorWord>“.</errorWord>
      <group>L1_Punc</group>
      <groupName>标点问题</groupName>
      <ability>L2_Punc_CN</ability>
      <abilityName>标点符号问题</abilityName>
      <candidateList>
        <item>“</item>
      </candidateList>
      <explain/>
      <paraID>2B89D095</paraID>
      <start>72</start>
      <end>74</end>
      <status>ignored</status>
      <modifiedWord/>
      <trackRevisions>false</trackRevisions>
    </reviewItem>
    <reviewItem>
      <errorID>708354d4-a211-4377-a02a-e760c1563e09</errorID>
      <errorWord>.</errorWord>
      <group>L1_Format</group>
      <groupName>格式问题</groupName>
      <ability>L2_HalfPunc_CN</ability>
      <abilityName>全半角问题</abilityName>
      <candidateList>
        <item>。</item>
      </candidateList>
      <explain>文本全半角错误。</explain>
      <paraID>2B89D097</paraID>
      <start>65</start>
      <end>66</end>
      <status>ignored</status>
      <modifiedWord/>
      <trackRevisions>false</trackRevisions>
    </reviewItem>
    <reviewItem>
      <errorID>a1284e24-2568-4192-b11b-d0bb7fe3cfa2</errorID>
      <errorWord>.</errorWord>
      <group>L1_Format</group>
      <groupName>格式问题</groupName>
      <ability>L2_HalfPunc_CN</ability>
      <abilityName>全半角问题</abilityName>
      <candidateList>
        <item>。</item>
      </candidateList>
      <explain>文本全半角错误。</explain>
      <paraID>2B89D097</paraID>
      <start>72</start>
      <end>73</end>
      <status>ignored</status>
      <modifiedWord/>
      <trackRevisions>false</trackRevisions>
    </reviewItem>
    <reviewItem>
      <errorID>6beeac7b-09ea-4acb-b313-1484662f3b63</errorID>
      <errorWord>“.</errorWord>
      <group>L1_Punc</group>
      <groupName>标点问题</groupName>
      <ability>L2_Punc_CN</ability>
      <abilityName>标点符号问题</abilityName>
      <candidateList>
        <item>“</item>
      </candidateList>
      <explain/>
      <paraID>2B89D097</paraID>
      <start>88</start>
      <end>90</end>
      <status>ignored</status>
      <modifiedWord/>
      <trackRevisions>false</trackRevisions>
    </reviewItem>
    <reviewItem>
      <errorID>8ff2514b-d499-4e11-9be0-8d5dfc4fb4b1</errorID>
      <errorWord>“.</errorWord>
      <group>L1_Punc</group>
      <groupName>标点问题</groupName>
      <ability>L2_Punc_CN</ability>
      <abilityName>标点符号问题</abilityName>
      <candidateList>
        <item>“</item>
      </candidateList>
      <explain/>
      <paraID>2B89D09D</paraID>
      <start>49</start>
      <end>51</end>
      <status>ignored</status>
      <modifiedWord/>
      <trackRevisions>false</trackRevisions>
    </reviewItem>
    <reviewItem>
      <errorID>7f2c4d49-0f57-412d-8c8f-1ad157304d55</errorID>
      <errorWord>.</errorWord>
      <group>L1_Format</group>
      <groupName>格式问题</groupName>
      <ability>L2_HalfPunc_CN</ability>
      <abilityName>全半角问题</abilityName>
      <candidateList>
        <item>。</item>
      </candidateList>
      <explain>文本全半角错误。</explain>
      <paraID>2BB4FBFB</paraID>
      <start>132</start>
      <end>133</end>
      <status>ignored</status>
      <modifiedWord/>
      <trackRevisions>false</trackRevisions>
    </reviewItem>
    <reviewItem>
      <errorID>3039065a-e5d4-4028-b1a9-0999f2375b9c</errorID>
      <errorWord>.</errorWord>
      <group>L1_Format</group>
      <groupName>格式问题</groupName>
      <ability>L2_HalfPunc_CN</ability>
      <abilityName>全半角问题</abilityName>
      <candidateList>
        <item>。</item>
      </candidateList>
      <explain>文本全半角错误。</explain>
      <paraID>2BB4FBFB</paraID>
      <start>139</start>
      <end>140</end>
      <status>ignored</status>
      <modifiedWord/>
      <trackRevisions>false</trackRevisions>
    </reviewItem>
    <reviewItem>
      <errorID>26e304fc-51e4-4a67-8c28-713604745f8f</errorID>
      <errorWord>“.</errorWord>
      <group>L1_Punc</group>
      <groupName>标点问题</groupName>
      <ability>L2_Punc_CN</ability>
      <abilityName>标点符号问题</abilityName>
      <candidateList>
        <item>“</item>
      </candidateList>
      <explain/>
      <paraID>2BB4FBFB</paraID>
      <start>155</start>
      <end>157</end>
      <status>ignored</status>
      <modifiedWord/>
      <trackRevisions>false</trackRevisions>
    </reviewItem>
    <reviewItem>
      <errorID>57c97bb2-55e3-45e1-ab65-c64025410168</errorID>
      <errorWord>“.</errorWord>
      <group>L1_Punc</group>
      <groupName>标点问题</groupName>
      <ability>L2_Punc_CN</ability>
      <abilityName>标点符号问题</abilityName>
      <candidateList>
        <item>“</item>
      </candidateList>
      <explain/>
      <paraID>2BB4FBFB</paraID>
      <start>191</start>
      <end>193</end>
      <status>ignored</status>
      <modifiedWord/>
      <trackRevisions>false</trackRevisions>
    </reviewItem>
    <reviewItem>
      <errorID>787299f6-32a0-4afa-8937-cf79e4becfa7</errorID>
      <errorWord>.</errorWord>
      <group>L1_Format</group>
      <groupName>格式问题</groupName>
      <ability>L2_HalfPunc_CN</ability>
      <abilityName>全半角问题</abilityName>
      <candidateList>
        <item>。</item>
      </candidateList>
      <explain>文本全半角错误。</explain>
      <paraID>344C682E</paraID>
      <start>55</start>
      <end>56</end>
      <status>ignored</status>
      <modifiedWord/>
      <trackRevisions>false</trackRevisions>
    </reviewItem>
    <reviewItem>
      <errorID>debd1d48-c21e-4274-8452-2c6276d49a3d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5E718923</paraID>
      <start>40</start>
      <end>41</end>
      <status>ignored</status>
      <modifiedWord/>
      <trackRevisions>false</trackRevisions>
    </reviewItem>
    <reviewItem>
      <errorID>5eb9be84-91d1-4422-8cc3-266d365df523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48EBCE78</paraID>
      <start>40</start>
      <end>41</end>
      <status>ignored</status>
      <modifiedWord/>
      <trackRevisions>false</trackRevisions>
    </reviewItem>
    <reviewItem>
      <errorID>1206620c-9600-4455-afa5-deb9f8bf6471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156EF4F7</paraID>
      <start>29</start>
      <end>30</end>
      <status>ignored</status>
      <modifiedWord/>
      <trackRevisions>false</trackRevisions>
    </reviewItem>
    <reviewItem>
      <errorID>9a5d5420-00f2-4b0e-a785-36838eeb125b</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6151AA7E</paraID>
      <start>37</start>
      <end>41</end>
      <status>ignored</status>
      <modifiedWord/>
      <trackRevisions>false</trackRevisions>
    </reviewItem>
    <reviewItem>
      <errorID>867eaeea-f768-4eb3-9334-55d41258825b</errorID>
      <errorWord>1—20%</errorWord>
      <group>L1_Knowledge</group>
      <groupName>知识性问题</groupName>
      <ability>L2_Knowledge</ability>
      <abilityName>其他知识</abilityName>
      <candidateList>
        <item>1%—20%</item>
      </candidateList>
      <explain>1. “1—20%”中的单位“%”仅出现在后一个数字上，容易引起歧义；根据《现代汉语标点符号数字用法规范手册》，数字表示范围两边需要使用统一的格式。2. 根据标点国标 4.13 中的规则，数字、时间或地域连接符应使用（视觉上更长的）“—”或“～”。</explain>
      <paraID> F29C59C</paraID>
      <start>16</start>
      <end>21</end>
      <status>ignored</status>
      <modifiedWord/>
      <trackRevisions>false</trackRevisions>
    </reviewItem>
    <reviewItem>
      <errorID>78f0a784-5ca8-416b-a7ee-997f58156930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25CA47B8</paraID>
      <start>34</start>
      <end>35</end>
      <status>ignored</status>
      <modifiedWord/>
      <trackRevisions>false</trackRevisions>
    </reviewItem>
    <reviewItem>
      <errorID>9cde0999-318d-48ee-8436-d4f536c87757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25CA47B8</paraID>
      <start>51</start>
      <end>52</end>
      <status>ignored</status>
      <modifiedWord/>
      <trackRevisions>false</trackRevisions>
    </reviewItem>
    <reviewItem>
      <errorID>1e2cb1de-434e-46e5-8dd1-6866169dbb05</errorID>
      <errorWord>参加本招标</errorWord>
      <group>L1_Word</group>
      <groupName>字词问题</groupName>
      <ability>L2_Typo</ability>
      <abilityName>字词错误</abilityName>
      <candidateList>
        <item>参加本次招标</item>
      </candidateList>
      <explain/>
      <paraID>19A95DD3</paraID>
      <start>15</start>
      <end>20</end>
      <status>ignored</status>
      <modifiedWord/>
      <trackRevisions>false</trackRevisions>
    </reviewItem>
    <reviewItem>
      <errorID>27b73227-e1b6-4a58-b9b6-bdfb8916702e</errorID>
      <errorWord>(</errorWord>
      <group>L1_Format</group>
      <groupName>格式问题</groupName>
      <ability>L2_HalfPunc_CN</ability>
      <abilityName>全半角问题</abilityName>
      <candidateList>
        <item>（</item>
      </candidateList>
      <explain>文本全半角错误。</explain>
      <paraID>3AB2D26D</paraID>
      <start>30</start>
      <end>31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8aeb41-bf87-4f5c-8508-62ecff7ab24d}">
  <ds:schemaRefs/>
</ds:datastoreItem>
</file>

<file path=docProps/app.xml><?xml version="1.0" encoding="utf-8"?>
<Properties xmlns="http://schemas.openxmlformats.org/officeDocument/2006/extended-properties" xmlns:vt="http://schemas.openxmlformats.org/officeDocument/2006/docPropsVTypes">
  <Template>Normal.dotm</Template>
  <Pages>84</Pages>
  <Words>3601</Words>
  <Characters>4020</Characters>
  <Lines>342</Lines>
  <Paragraphs>96</Paragraphs>
  <TotalTime>54</TotalTime>
  <ScaleCrop>false</ScaleCrop>
  <LinksUpToDate>false</LinksUpToDate>
  <CharactersWithSpaces>4083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2025-09-05T14:08:00Z</dcterms:created>
  <dc:creator>孙钟</dc:creator>
  <cp:lastModifiedBy>Administrator</cp:lastModifiedBy>
  <cp:lastPrinted>2026-10-12T07:54:53Z</cp:lastPrinted>
  <dcterms:modified xsi:type="dcterms:W3CDTF">2026-10-12T08:53:33Z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9A9E39B68D6E44FD8E27AFB85DC6A493_13</vt:lpwstr>
  </property>
  <property fmtid="{D5CDD505-2E9C-101B-9397-08002B2CF9AE}" pid="4" name="KSOTemplateDocerSaveRecord">
    <vt:lpwstr>eyJoZGlkIjoiYzc3ZjE3ZmVjZjMyZjE2MzUwYzE2YWE4MTQ5OWRjYzYiLCJ1c2VySWQiOiIxNTUwNTcwODY2In0=</vt:lpwstr>
  </property>
</Properties>
</file>