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9CE56">
      <w:pPr>
        <w:jc w:val="center"/>
        <w:rPr>
          <w:rFonts w:hint="eastAsia" w:ascii="宋体" w:hAnsi="宋体" w:eastAsia="宋体" w:cs="宋体"/>
          <w:b/>
          <w:bCs/>
          <w:color w:val="auto"/>
          <w:sz w:val="44"/>
          <w:szCs w:val="44"/>
          <w:lang w:eastAsia="zh-CN"/>
        </w:rPr>
      </w:pPr>
      <w:r>
        <w:rPr>
          <w:rFonts w:hint="eastAsia" w:ascii="宋体" w:hAnsi="宋体" w:eastAsia="宋体" w:cs="宋体"/>
          <w:b/>
          <w:bCs/>
          <w:color w:val="auto"/>
          <w:sz w:val="44"/>
          <w:szCs w:val="44"/>
          <w:lang w:eastAsia="zh-CN"/>
        </w:rPr>
        <w:t>禹州市行政审批和政务信息管理局2026年度禹州市电子政务工作线路租赁与运维、机房与网络安全项目</w:t>
      </w:r>
    </w:p>
    <w:p w14:paraId="2B89CE57">
      <w:pPr>
        <w:pStyle w:val="7"/>
        <w:rPr>
          <w:rFonts w:hint="eastAsia" w:ascii="宋体" w:hAnsi="宋体" w:eastAsia="宋体" w:cs="宋体"/>
          <w:bCs/>
          <w:color w:val="auto"/>
          <w:w w:val="90"/>
          <w:sz w:val="72"/>
          <w:szCs w:val="72"/>
        </w:rPr>
      </w:pPr>
    </w:p>
    <w:p w14:paraId="2B89CE58">
      <w:pPr>
        <w:pStyle w:val="26"/>
        <w:rPr>
          <w:rFonts w:hint="eastAsia" w:ascii="宋体" w:hAnsi="宋体" w:eastAsia="宋体" w:cs="宋体"/>
          <w:color w:val="auto"/>
        </w:rPr>
      </w:pPr>
    </w:p>
    <w:p w14:paraId="138B7F63">
      <w:pPr>
        <w:pStyle w:val="27"/>
        <w:rPr>
          <w:rFonts w:hint="eastAsia" w:ascii="宋体" w:hAnsi="宋体" w:eastAsia="宋体" w:cs="宋体"/>
          <w:color w:val="auto"/>
        </w:rPr>
      </w:pPr>
    </w:p>
    <w:p w14:paraId="29F4982E">
      <w:pPr>
        <w:rPr>
          <w:rFonts w:hint="eastAsia" w:ascii="宋体" w:hAnsi="宋体" w:eastAsia="宋体" w:cs="宋体"/>
          <w:color w:val="auto"/>
        </w:rPr>
      </w:pPr>
    </w:p>
    <w:p w14:paraId="104EF1B9">
      <w:pPr>
        <w:pStyle w:val="17"/>
        <w:rPr>
          <w:rFonts w:hint="eastAsia" w:ascii="宋体" w:hAnsi="宋体" w:eastAsia="宋体" w:cs="宋体"/>
          <w:color w:val="auto"/>
        </w:rPr>
      </w:pPr>
    </w:p>
    <w:p w14:paraId="179B1CAA">
      <w:pPr>
        <w:pStyle w:val="10"/>
        <w:rPr>
          <w:rFonts w:hint="eastAsia" w:ascii="宋体" w:hAnsi="宋体" w:eastAsia="宋体" w:cs="宋体"/>
        </w:rPr>
      </w:pPr>
    </w:p>
    <w:p w14:paraId="2B89CE59">
      <w:pPr>
        <w:pStyle w:val="7"/>
        <w:rPr>
          <w:rFonts w:hint="eastAsia" w:ascii="宋体" w:hAnsi="宋体" w:eastAsia="宋体" w:cs="宋体"/>
          <w:color w:val="auto"/>
        </w:rPr>
      </w:pPr>
    </w:p>
    <w:p w14:paraId="2B89CE5A">
      <w:pPr>
        <w:jc w:val="center"/>
        <w:rPr>
          <w:rFonts w:hint="eastAsia" w:ascii="宋体" w:hAnsi="宋体" w:eastAsia="宋体" w:cs="宋体"/>
          <w:b/>
          <w:bCs w:val="0"/>
          <w:color w:val="auto"/>
          <w:w w:val="90"/>
          <w:sz w:val="72"/>
          <w:szCs w:val="72"/>
        </w:rPr>
      </w:pPr>
      <w:r>
        <w:rPr>
          <w:rFonts w:hint="eastAsia" w:ascii="宋体" w:hAnsi="宋体" w:eastAsia="宋体" w:cs="宋体"/>
          <w:b/>
          <w:bCs w:val="0"/>
          <w:color w:val="auto"/>
          <w:w w:val="90"/>
          <w:sz w:val="72"/>
          <w:szCs w:val="72"/>
        </w:rPr>
        <w:t>招 标 文 件</w:t>
      </w:r>
    </w:p>
    <w:p w14:paraId="2B89CE5B">
      <w:pPr>
        <w:rPr>
          <w:rFonts w:hint="eastAsia" w:ascii="宋体" w:hAnsi="宋体" w:eastAsia="宋体" w:cs="宋体"/>
          <w:color w:val="auto"/>
        </w:rPr>
      </w:pPr>
    </w:p>
    <w:p w14:paraId="2B89CE5C">
      <w:pPr>
        <w:rPr>
          <w:rFonts w:hint="eastAsia" w:ascii="宋体" w:hAnsi="宋体" w:eastAsia="宋体" w:cs="宋体"/>
          <w:color w:val="auto"/>
        </w:rPr>
      </w:pPr>
    </w:p>
    <w:p w14:paraId="2B89CE5D">
      <w:pPr>
        <w:rPr>
          <w:rFonts w:hint="eastAsia" w:ascii="宋体" w:hAnsi="宋体" w:eastAsia="宋体" w:cs="宋体"/>
          <w:color w:val="auto"/>
        </w:rPr>
      </w:pPr>
    </w:p>
    <w:p w14:paraId="2B89CE5E">
      <w:pPr>
        <w:rPr>
          <w:rFonts w:hint="eastAsia" w:ascii="宋体" w:hAnsi="宋体" w:eastAsia="宋体" w:cs="宋体"/>
          <w:color w:val="auto"/>
        </w:rPr>
      </w:pPr>
    </w:p>
    <w:p w14:paraId="2B89CE5F">
      <w:pPr>
        <w:rPr>
          <w:rFonts w:hint="eastAsia" w:ascii="宋体" w:hAnsi="宋体" w:eastAsia="宋体" w:cs="宋体"/>
          <w:color w:val="auto"/>
        </w:rPr>
      </w:pPr>
    </w:p>
    <w:p w14:paraId="2B89CE60">
      <w:pPr>
        <w:rPr>
          <w:rFonts w:hint="eastAsia" w:ascii="宋体" w:hAnsi="宋体" w:eastAsia="宋体" w:cs="宋体"/>
          <w:color w:val="auto"/>
        </w:rPr>
      </w:pPr>
    </w:p>
    <w:p w14:paraId="2B89CE61">
      <w:pPr>
        <w:rPr>
          <w:rFonts w:hint="eastAsia" w:ascii="宋体" w:hAnsi="宋体" w:eastAsia="宋体" w:cs="宋体"/>
          <w:color w:val="auto"/>
        </w:rPr>
      </w:pPr>
    </w:p>
    <w:p w14:paraId="2B89CE66">
      <w:pPr>
        <w:pStyle w:val="26"/>
        <w:rPr>
          <w:rFonts w:hint="eastAsia" w:ascii="宋体" w:hAnsi="宋体" w:eastAsia="宋体" w:cs="宋体"/>
          <w:color w:val="auto"/>
        </w:rPr>
      </w:pPr>
    </w:p>
    <w:p w14:paraId="2B89CE67">
      <w:pPr>
        <w:pStyle w:val="27"/>
        <w:rPr>
          <w:rFonts w:hint="eastAsia" w:ascii="宋体" w:hAnsi="宋体" w:eastAsia="宋体" w:cs="宋体"/>
          <w:color w:val="auto"/>
        </w:rPr>
      </w:pPr>
    </w:p>
    <w:p w14:paraId="2B89CE68">
      <w:pPr>
        <w:spacing w:line="600" w:lineRule="exact"/>
        <w:ind w:firstLine="1066" w:firstLineChars="295"/>
        <w:rPr>
          <w:rFonts w:hint="default" w:ascii="宋体" w:hAnsi="宋体" w:eastAsia="宋体" w:cs="宋体"/>
          <w:b/>
          <w:bCs/>
          <w:color w:val="auto"/>
          <w:sz w:val="36"/>
          <w:szCs w:val="36"/>
          <w:lang w:val="en-US" w:eastAsia="zh-CN"/>
        </w:rPr>
      </w:pPr>
      <w:bookmarkStart w:id="0" w:name="_Hlk82421398"/>
      <w:r>
        <w:rPr>
          <w:rFonts w:hint="eastAsia" w:ascii="宋体" w:hAnsi="宋体" w:eastAsia="宋体" w:cs="宋体"/>
          <w:b/>
          <w:bCs/>
          <w:color w:val="auto"/>
          <w:sz w:val="36"/>
          <w:szCs w:val="36"/>
        </w:rPr>
        <w:t>采购编号：YZCG-DLG202</w:t>
      </w:r>
      <w:r>
        <w:rPr>
          <w:rFonts w:hint="eastAsia" w:ascii="宋体" w:hAnsi="宋体" w:eastAsia="宋体" w:cs="宋体"/>
          <w:b/>
          <w:bCs/>
          <w:color w:val="auto"/>
          <w:sz w:val="36"/>
          <w:szCs w:val="36"/>
          <w:lang w:val="en-US" w:eastAsia="zh-CN"/>
        </w:rPr>
        <w:t xml:space="preserve">6106 </w:t>
      </w:r>
    </w:p>
    <w:bookmarkEnd w:id="0"/>
    <w:p w14:paraId="2B89CE69">
      <w:pPr>
        <w:ind w:firstLine="1066" w:firstLineChars="295"/>
        <w:rPr>
          <w:rFonts w:hint="eastAsia" w:ascii="宋体" w:hAnsi="宋体" w:eastAsia="宋体" w:cs="宋体"/>
          <w:b/>
          <w:bCs/>
          <w:color w:val="auto"/>
          <w:sz w:val="36"/>
          <w:szCs w:val="36"/>
          <w:lang w:eastAsia="zh-CN"/>
        </w:rPr>
      </w:pPr>
      <w:r>
        <w:rPr>
          <w:rFonts w:hint="eastAsia" w:ascii="宋体" w:hAnsi="宋体" w:eastAsia="宋体" w:cs="宋体"/>
          <w:b/>
          <w:bCs/>
          <w:color w:val="auto"/>
          <w:sz w:val="36"/>
          <w:szCs w:val="36"/>
        </w:rPr>
        <w:t>采购单位：</w:t>
      </w:r>
      <w:r>
        <w:rPr>
          <w:rFonts w:hint="eastAsia" w:ascii="宋体" w:hAnsi="宋体" w:eastAsia="宋体" w:cs="宋体"/>
          <w:b/>
          <w:bCs/>
          <w:color w:val="auto"/>
          <w:sz w:val="36"/>
          <w:szCs w:val="36"/>
          <w:lang w:eastAsia="zh-CN"/>
        </w:rPr>
        <w:t>禹州市行政审批和政务信息管理局</w:t>
      </w:r>
    </w:p>
    <w:p w14:paraId="2B89CE6A">
      <w:pPr>
        <w:ind w:firstLine="1066" w:firstLineChars="295"/>
        <w:rPr>
          <w:rFonts w:hint="eastAsia" w:ascii="宋体" w:hAnsi="宋体" w:eastAsia="宋体" w:cs="宋体"/>
          <w:color w:val="auto"/>
        </w:rPr>
      </w:pPr>
      <w:r>
        <w:rPr>
          <w:rFonts w:hint="eastAsia" w:ascii="宋体" w:hAnsi="宋体" w:eastAsia="宋体" w:cs="宋体"/>
          <w:b/>
          <w:bCs/>
          <w:color w:val="auto"/>
          <w:sz w:val="36"/>
          <w:szCs w:val="36"/>
        </w:rPr>
        <w:t>代理机构：师梦勘测设计集团有限公司</w:t>
      </w:r>
    </w:p>
    <w:p w14:paraId="2B89CE6B">
      <w:pPr>
        <w:ind w:firstLine="1084" w:firstLineChars="300"/>
        <w:rPr>
          <w:rFonts w:hint="eastAsia" w:ascii="宋体" w:hAnsi="宋体" w:eastAsia="宋体" w:cs="宋体"/>
          <w:b/>
          <w:bCs/>
          <w:color w:val="auto"/>
          <w:sz w:val="36"/>
          <w:szCs w:val="36"/>
        </w:rPr>
      </w:pPr>
      <w:r>
        <w:rPr>
          <w:rFonts w:hint="eastAsia" w:ascii="宋体" w:hAnsi="宋体" w:eastAsia="宋体" w:cs="宋体"/>
          <w:b/>
          <w:bCs/>
          <w:color w:val="auto"/>
          <w:sz w:val="36"/>
          <w:szCs w:val="36"/>
        </w:rPr>
        <w:t>日    期：二〇二</w:t>
      </w:r>
      <w:r>
        <w:rPr>
          <w:rFonts w:hint="eastAsia" w:ascii="宋体" w:hAnsi="宋体" w:eastAsia="宋体" w:cs="宋体"/>
          <w:b/>
          <w:bCs/>
          <w:color w:val="auto"/>
          <w:sz w:val="36"/>
          <w:szCs w:val="36"/>
          <w:lang w:val="en-US" w:eastAsia="zh-CN"/>
        </w:rPr>
        <w:t>六</w:t>
      </w:r>
      <w:r>
        <w:rPr>
          <w:rFonts w:hint="eastAsia" w:ascii="宋体" w:hAnsi="宋体" w:eastAsia="宋体" w:cs="宋体"/>
          <w:b/>
          <w:bCs/>
          <w:color w:val="auto"/>
          <w:sz w:val="36"/>
          <w:szCs w:val="36"/>
        </w:rPr>
        <w:t>年</w:t>
      </w:r>
      <w:r>
        <w:rPr>
          <w:rFonts w:hint="eastAsia" w:ascii="宋体" w:hAnsi="宋体" w:eastAsia="宋体" w:cs="宋体"/>
          <w:b/>
          <w:bCs/>
          <w:color w:val="auto"/>
          <w:sz w:val="36"/>
          <w:szCs w:val="36"/>
          <w:lang w:val="en-US" w:eastAsia="zh-CN"/>
        </w:rPr>
        <w:t>十</w:t>
      </w:r>
      <w:r>
        <w:rPr>
          <w:rFonts w:hint="eastAsia" w:ascii="宋体" w:hAnsi="宋体" w:eastAsia="宋体" w:cs="宋体"/>
          <w:b/>
          <w:bCs/>
          <w:color w:val="auto"/>
          <w:sz w:val="36"/>
          <w:szCs w:val="36"/>
        </w:rPr>
        <w:t>月</w:t>
      </w:r>
    </w:p>
    <w:p w14:paraId="2B89CE6C">
      <w:pPr>
        <w:autoSpaceDE w:val="0"/>
        <w:autoSpaceDN w:val="0"/>
        <w:adjustRightInd w:val="0"/>
        <w:spacing w:line="700" w:lineRule="exact"/>
        <w:rPr>
          <w:rFonts w:hint="eastAsia" w:ascii="宋体" w:hAnsi="宋体" w:eastAsia="宋体" w:cs="宋体"/>
          <w:b/>
          <w:bCs/>
          <w:color w:val="auto"/>
          <w:sz w:val="44"/>
          <w:szCs w:val="44"/>
        </w:rPr>
        <w:sectPr>
          <w:pgSz w:w="11906" w:h="16838"/>
          <w:pgMar w:top="1928" w:right="1474" w:bottom="1928" w:left="1588" w:header="851" w:footer="992" w:gutter="0"/>
          <w:pgNumType w:start="1"/>
          <w:cols w:space="425" w:num="1"/>
          <w:docGrid w:type="lines" w:linePitch="312" w:charSpace="0"/>
        </w:sectPr>
      </w:pPr>
    </w:p>
    <w:p w14:paraId="2B89CE6D">
      <w:pPr>
        <w:autoSpaceDE w:val="0"/>
        <w:autoSpaceDN w:val="0"/>
        <w:adjustRightInd w:val="0"/>
        <w:spacing w:line="700" w:lineRule="exact"/>
        <w:jc w:val="center"/>
        <w:rPr>
          <w:rFonts w:hint="eastAsia" w:ascii="宋体" w:hAnsi="宋体" w:eastAsia="宋体" w:cs="宋体"/>
          <w:b/>
          <w:bCs/>
          <w:color w:val="auto"/>
          <w:sz w:val="44"/>
          <w:szCs w:val="44"/>
          <w:lang w:val="zh-CN"/>
        </w:rPr>
      </w:pPr>
      <w:r>
        <w:rPr>
          <w:rFonts w:hint="eastAsia" w:ascii="宋体" w:hAnsi="宋体" w:eastAsia="宋体" w:cs="宋体"/>
          <w:b/>
          <w:bCs/>
          <w:color w:val="auto"/>
          <w:sz w:val="44"/>
          <w:szCs w:val="44"/>
          <w:lang w:val="zh-CN"/>
        </w:rPr>
        <w:t>目    录</w:t>
      </w:r>
    </w:p>
    <w:p w14:paraId="2B89CE6E">
      <w:pPr>
        <w:autoSpaceDE w:val="0"/>
        <w:autoSpaceDN w:val="0"/>
        <w:adjustRightInd w:val="0"/>
        <w:spacing w:line="700" w:lineRule="exact"/>
        <w:ind w:firstLine="551"/>
        <w:rPr>
          <w:rFonts w:hint="eastAsia" w:ascii="宋体" w:hAnsi="宋体" w:eastAsia="宋体" w:cs="宋体"/>
          <w:b/>
          <w:bCs/>
          <w:color w:val="auto"/>
          <w:sz w:val="32"/>
          <w:szCs w:val="32"/>
          <w:lang w:val="zh-CN"/>
        </w:rPr>
      </w:pPr>
    </w:p>
    <w:p w14:paraId="2B89CE6F">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第一章 投标邀请</w:t>
      </w:r>
    </w:p>
    <w:p w14:paraId="2B89CE70">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第二章 项目需求</w:t>
      </w:r>
    </w:p>
    <w:p w14:paraId="2B89CE71">
      <w:pPr>
        <w:autoSpaceDE w:val="0"/>
        <w:autoSpaceDN w:val="0"/>
        <w:adjustRightInd w:val="0"/>
        <w:spacing w:line="700" w:lineRule="exact"/>
        <w:ind w:firstLine="560"/>
        <w:rPr>
          <w:rFonts w:hint="eastAsia" w:ascii="宋体" w:hAnsi="宋体" w:eastAsia="宋体" w:cs="宋体"/>
          <w:b/>
          <w:color w:val="auto"/>
          <w:kern w:val="0"/>
          <w:sz w:val="30"/>
          <w:szCs w:val="30"/>
        </w:rPr>
      </w:pPr>
      <w:r>
        <w:rPr>
          <w:rFonts w:hint="eastAsia" w:ascii="宋体" w:hAnsi="宋体" w:eastAsia="宋体" w:cs="宋体"/>
          <w:b/>
          <w:bCs/>
          <w:color w:val="auto"/>
          <w:sz w:val="30"/>
          <w:szCs w:val="30"/>
          <w:lang w:val="zh-CN"/>
        </w:rPr>
        <w:t xml:space="preserve">第三章 </w:t>
      </w:r>
      <w:r>
        <w:rPr>
          <w:rFonts w:hint="eastAsia" w:ascii="宋体" w:hAnsi="宋体" w:eastAsia="宋体" w:cs="宋体"/>
          <w:b/>
          <w:color w:val="auto"/>
          <w:kern w:val="0"/>
          <w:sz w:val="30"/>
          <w:szCs w:val="30"/>
        </w:rPr>
        <w:t>投标人须知前附表</w:t>
      </w:r>
    </w:p>
    <w:p w14:paraId="2B89CE72">
      <w:pPr>
        <w:autoSpaceDE w:val="0"/>
        <w:autoSpaceDN w:val="0"/>
        <w:adjustRightInd w:val="0"/>
        <w:spacing w:line="700" w:lineRule="exact"/>
        <w:ind w:firstLine="560"/>
        <w:rPr>
          <w:rFonts w:hint="eastAsia" w:ascii="宋体" w:hAnsi="宋体" w:eastAsia="宋体" w:cs="宋体"/>
          <w:b/>
          <w:color w:val="auto"/>
          <w:kern w:val="0"/>
          <w:sz w:val="30"/>
          <w:szCs w:val="30"/>
        </w:rPr>
      </w:pPr>
      <w:r>
        <w:rPr>
          <w:rFonts w:hint="eastAsia" w:ascii="宋体" w:hAnsi="宋体" w:eastAsia="宋体" w:cs="宋体"/>
          <w:b/>
          <w:bCs/>
          <w:color w:val="auto"/>
          <w:sz w:val="30"/>
          <w:szCs w:val="30"/>
          <w:lang w:val="zh-CN"/>
        </w:rPr>
        <w:t xml:space="preserve">第四章 </w:t>
      </w:r>
      <w:r>
        <w:rPr>
          <w:rFonts w:hint="eastAsia" w:ascii="宋体" w:hAnsi="宋体" w:eastAsia="宋体" w:cs="宋体"/>
          <w:b/>
          <w:color w:val="auto"/>
          <w:kern w:val="0"/>
          <w:sz w:val="30"/>
          <w:szCs w:val="30"/>
        </w:rPr>
        <w:t>投标人须知</w:t>
      </w:r>
    </w:p>
    <w:p w14:paraId="2B89CE73">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一、概念释义</w:t>
      </w:r>
    </w:p>
    <w:p w14:paraId="2B89CE74">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二、招标文件说明</w:t>
      </w:r>
    </w:p>
    <w:p w14:paraId="2B89CE75">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三、投标文件的编制</w:t>
      </w:r>
    </w:p>
    <w:p w14:paraId="2B89CE76">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四、投标文件的递交</w:t>
      </w:r>
    </w:p>
    <w:p w14:paraId="2B89CE77">
      <w:pPr>
        <w:autoSpaceDE w:val="0"/>
        <w:autoSpaceDN w:val="0"/>
        <w:adjustRightInd w:val="0"/>
        <w:spacing w:line="700" w:lineRule="exact"/>
        <w:ind w:firstLine="560"/>
        <w:rPr>
          <w:rFonts w:hint="eastAsia" w:ascii="宋体" w:hAnsi="宋体" w:eastAsia="宋体" w:cs="宋体"/>
          <w:color w:val="auto"/>
          <w:sz w:val="30"/>
          <w:szCs w:val="30"/>
          <w:lang w:val="zh-CN"/>
        </w:rPr>
      </w:pPr>
      <w:r>
        <w:rPr>
          <w:rFonts w:hint="eastAsia" w:ascii="宋体" w:hAnsi="宋体" w:eastAsia="宋体" w:cs="宋体"/>
          <w:color w:val="auto"/>
          <w:sz w:val="30"/>
          <w:szCs w:val="30"/>
          <w:lang w:val="zh-CN"/>
        </w:rPr>
        <w:t>五、开标和评标</w:t>
      </w:r>
    </w:p>
    <w:p w14:paraId="2B89CE78">
      <w:pPr>
        <w:autoSpaceDE w:val="0"/>
        <w:autoSpaceDN w:val="0"/>
        <w:adjustRightInd w:val="0"/>
        <w:spacing w:line="700" w:lineRule="exact"/>
        <w:ind w:firstLine="551"/>
        <w:rPr>
          <w:rFonts w:hint="eastAsia" w:ascii="宋体" w:hAnsi="宋体" w:eastAsia="宋体" w:cs="宋体"/>
          <w:b/>
          <w:bCs/>
          <w:color w:val="auto"/>
          <w:sz w:val="30"/>
          <w:szCs w:val="30"/>
          <w:lang w:val="zh-CN"/>
        </w:rPr>
      </w:pPr>
      <w:r>
        <w:rPr>
          <w:rFonts w:hint="eastAsia" w:ascii="宋体" w:hAnsi="宋体" w:eastAsia="宋体" w:cs="宋体"/>
          <w:color w:val="auto"/>
          <w:sz w:val="30"/>
          <w:szCs w:val="30"/>
          <w:lang w:val="zh-CN"/>
        </w:rPr>
        <w:t>六、定标和授予合同</w:t>
      </w:r>
    </w:p>
    <w:p w14:paraId="2B89CE79">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第五章 政府采购政策功能</w:t>
      </w:r>
    </w:p>
    <w:p w14:paraId="2B89CE7A">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第六章 资格审查与评标</w:t>
      </w:r>
    </w:p>
    <w:p w14:paraId="2B89CE7B">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第七章 拟签订的合同文本</w:t>
      </w:r>
    </w:p>
    <w:p w14:paraId="2B89CE7C">
      <w:pPr>
        <w:autoSpaceDE w:val="0"/>
        <w:autoSpaceDN w:val="0"/>
        <w:adjustRightInd w:val="0"/>
        <w:spacing w:line="700" w:lineRule="exact"/>
        <w:ind w:firstLine="560"/>
        <w:rPr>
          <w:rFonts w:hint="eastAsia" w:ascii="宋体" w:hAnsi="宋体" w:eastAsia="宋体" w:cs="宋体"/>
          <w:b/>
          <w:bCs/>
          <w:color w:val="auto"/>
          <w:sz w:val="30"/>
          <w:szCs w:val="30"/>
          <w:lang w:val="zh-CN"/>
        </w:rPr>
      </w:pPr>
      <w:r>
        <w:rPr>
          <w:rFonts w:hint="eastAsia" w:ascii="宋体" w:hAnsi="宋体" w:eastAsia="宋体" w:cs="宋体"/>
          <w:b/>
          <w:bCs/>
          <w:color w:val="auto"/>
          <w:sz w:val="30"/>
          <w:szCs w:val="30"/>
          <w:lang w:val="zh-CN"/>
        </w:rPr>
        <w:t>第八章 投标文件有关格式</w:t>
      </w:r>
    </w:p>
    <w:p w14:paraId="2B89CE7D">
      <w:pPr>
        <w:pStyle w:val="16"/>
        <w:ind w:firstLine="301"/>
        <w:rPr>
          <w:rFonts w:hint="eastAsia" w:ascii="宋体" w:hAnsi="宋体" w:eastAsia="宋体" w:cs="宋体"/>
          <w:b/>
          <w:bCs/>
          <w:color w:val="auto"/>
          <w:sz w:val="30"/>
          <w:szCs w:val="30"/>
          <w:lang w:val="zh-CN"/>
        </w:rPr>
      </w:pPr>
    </w:p>
    <w:p w14:paraId="2B89CE7E">
      <w:pPr>
        <w:pStyle w:val="17"/>
        <w:ind w:firstLine="480"/>
        <w:rPr>
          <w:rFonts w:hint="eastAsia" w:ascii="宋体" w:hAnsi="宋体" w:eastAsia="宋体" w:cs="宋体"/>
          <w:color w:val="auto"/>
        </w:rPr>
      </w:pPr>
    </w:p>
    <w:p w14:paraId="2B89CE7F">
      <w:pPr>
        <w:rPr>
          <w:rFonts w:hint="eastAsia" w:ascii="宋体" w:hAnsi="宋体" w:eastAsia="宋体" w:cs="宋体"/>
          <w:color w:val="auto"/>
        </w:rPr>
      </w:pPr>
    </w:p>
    <w:p w14:paraId="2B89CE80">
      <w:pPr>
        <w:pStyle w:val="7"/>
        <w:rPr>
          <w:rFonts w:hint="eastAsia" w:ascii="宋体" w:hAnsi="宋体" w:eastAsia="宋体" w:cs="宋体"/>
          <w:color w:val="auto"/>
        </w:rPr>
      </w:pPr>
    </w:p>
    <w:p w14:paraId="5D6F7296">
      <w:pPr>
        <w:pStyle w:val="7"/>
        <w:rPr>
          <w:rFonts w:hint="eastAsia" w:ascii="宋体" w:hAnsi="宋体" w:eastAsia="宋体" w:cs="宋体"/>
          <w:color w:val="auto"/>
        </w:rPr>
      </w:pPr>
    </w:p>
    <w:p w14:paraId="2B89CE82">
      <w:pPr>
        <w:pStyle w:val="7"/>
        <w:rPr>
          <w:rFonts w:hint="eastAsia" w:ascii="宋体" w:hAnsi="宋体" w:eastAsia="宋体" w:cs="宋体"/>
          <w:color w:val="auto"/>
        </w:rPr>
      </w:pPr>
    </w:p>
    <w:p w14:paraId="2B89CE83">
      <w:pPr>
        <w:jc w:val="center"/>
        <w:rPr>
          <w:rFonts w:hint="eastAsia" w:ascii="宋体" w:hAnsi="宋体" w:eastAsia="宋体" w:cs="宋体"/>
          <w:color w:val="auto"/>
          <w:sz w:val="30"/>
          <w:szCs w:val="30"/>
        </w:rPr>
      </w:pPr>
      <w:r>
        <w:rPr>
          <w:rFonts w:hint="eastAsia" w:ascii="宋体" w:hAnsi="宋体" w:eastAsia="宋体" w:cs="宋体"/>
          <w:b/>
          <w:color w:val="auto"/>
          <w:kern w:val="0"/>
          <w:sz w:val="30"/>
          <w:szCs w:val="30"/>
        </w:rPr>
        <w:t>第一章 投标邀请</w:t>
      </w:r>
    </w:p>
    <w:p w14:paraId="2B89CE84">
      <w:pPr>
        <w:keepNext w:val="0"/>
        <w:keepLines w:val="0"/>
        <w:pageBreakBefore w:val="0"/>
        <w:tabs>
          <w:tab w:val="left" w:pos="7347"/>
        </w:tabs>
        <w:kinsoku/>
        <w:wordWrap w:val="0"/>
        <w:overflowPunct/>
        <w:topLinePunct w:val="0"/>
        <w:autoSpaceDE/>
        <w:autoSpaceDN/>
        <w:bidi w:val="0"/>
        <w:adjustRightInd/>
        <w:snapToGrid/>
        <w:spacing w:line="460" w:lineRule="exact"/>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zh-CN"/>
        </w:rPr>
        <w:t>项目概况</w:t>
      </w:r>
      <w:r>
        <w:rPr>
          <w:rFonts w:hint="eastAsia" w:ascii="宋体" w:hAnsi="宋体" w:eastAsia="宋体" w:cs="宋体"/>
          <w:color w:val="auto"/>
          <w:sz w:val="21"/>
          <w:szCs w:val="21"/>
          <w:lang w:val="zh-CN"/>
        </w:rPr>
        <w:tab/>
      </w:r>
      <w:r>
        <w:rPr>
          <w:rFonts w:hint="eastAsia" w:ascii="宋体" w:hAnsi="宋体" w:eastAsia="宋体" w:cs="宋体"/>
          <w:color w:val="auto"/>
          <w:sz w:val="21"/>
          <w:szCs w:val="21"/>
          <w:lang w:val="en-US" w:eastAsia="zh-CN"/>
        </w:rPr>
        <w:t xml:space="preserve">   </w:t>
      </w:r>
    </w:p>
    <w:p w14:paraId="2B89CE85">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禹州市行政审批和政务信息管理局2026年度禹州市电子政务工作线路租赁与运维、机房与网络安全项目的潜在投标人应在投标截止时间前登录《全国公共资源交易平台（河南省·许昌市）》“投标人/供应商登录”入口（下文所述“全国公共资源交易平台（河南省•许昌市）”的地址均为https://ggzy.xuchang.gov.cn）自行免费下载获取招标文件，并于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val="zh-CN"/>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lang w:val="zh-CN"/>
        </w:rPr>
        <w:t>月</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lang w:val="zh-CN"/>
        </w:rPr>
        <w:t>日</w:t>
      </w:r>
      <w:r>
        <w:rPr>
          <w:rFonts w:hint="eastAsia" w:ascii="宋体" w:hAnsi="宋体" w:eastAsia="宋体" w:cs="宋体"/>
          <w:color w:val="auto"/>
          <w:sz w:val="21"/>
          <w:szCs w:val="21"/>
          <w:lang w:val="zh-CN"/>
        </w:rPr>
        <w:t>08时30分（北京时间）前递交投标文件。</w:t>
      </w:r>
    </w:p>
    <w:p w14:paraId="2B89CE86">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一、项目基本情况</w:t>
      </w:r>
    </w:p>
    <w:p w14:paraId="2B89CE8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1.项目编号：YZCG-DLG202</w:t>
      </w:r>
      <w:r>
        <w:rPr>
          <w:rFonts w:hint="eastAsia" w:ascii="宋体" w:hAnsi="宋体" w:eastAsia="宋体" w:cs="宋体"/>
          <w:color w:val="auto"/>
          <w:sz w:val="21"/>
          <w:szCs w:val="21"/>
          <w:lang w:val="en-US" w:eastAsia="zh-CN"/>
        </w:rPr>
        <w:t xml:space="preserve">6106  </w:t>
      </w:r>
      <w:r>
        <w:rPr>
          <w:rFonts w:hint="eastAsia" w:ascii="宋体" w:hAnsi="宋体" w:eastAsia="宋体" w:cs="宋体"/>
          <w:color w:val="auto"/>
          <w:sz w:val="21"/>
          <w:szCs w:val="21"/>
        </w:rPr>
        <w:t xml:space="preserve">    </w:t>
      </w:r>
    </w:p>
    <w:p w14:paraId="2B89CE8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2.项目名称：</w:t>
      </w:r>
      <w:r>
        <w:rPr>
          <w:rFonts w:hint="eastAsia" w:ascii="宋体" w:hAnsi="宋体" w:eastAsia="宋体" w:cs="宋体"/>
          <w:color w:val="auto"/>
          <w:sz w:val="21"/>
          <w:szCs w:val="21"/>
          <w:lang w:eastAsia="zh-CN"/>
        </w:rPr>
        <w:t>禹州市行政审批和政务信息管理局2026年度禹州市电子政务工作线路租赁与运维、机房与网络安全项目</w:t>
      </w:r>
    </w:p>
    <w:p w14:paraId="2B89CE89">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3.采购方式：公开招标</w:t>
      </w:r>
    </w:p>
    <w:p w14:paraId="41C2F06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4.</w:t>
      </w:r>
      <w:r>
        <w:rPr>
          <w:rFonts w:hint="eastAsia" w:ascii="宋体" w:hAnsi="宋体" w:eastAsia="宋体" w:cs="宋体"/>
          <w:color w:val="auto"/>
          <w:sz w:val="21"/>
          <w:szCs w:val="21"/>
          <w:highlight w:val="none"/>
        </w:rPr>
        <w:t>预算金额：</w:t>
      </w:r>
      <w:r>
        <w:rPr>
          <w:rFonts w:hint="eastAsia" w:ascii="宋体" w:hAnsi="宋体" w:eastAsia="宋体" w:cs="宋体"/>
          <w:color w:val="auto"/>
          <w:sz w:val="21"/>
          <w:szCs w:val="21"/>
          <w:highlight w:val="none"/>
          <w:lang w:val="en-US" w:eastAsia="zh-CN"/>
        </w:rPr>
        <w:t>3206506.2</w:t>
      </w:r>
      <w:r>
        <w:rPr>
          <w:rFonts w:hint="eastAsia" w:ascii="宋体" w:hAnsi="宋体" w:eastAsia="宋体" w:cs="宋体"/>
          <w:color w:val="auto"/>
          <w:sz w:val="21"/>
          <w:szCs w:val="21"/>
          <w:highlight w:val="none"/>
        </w:rPr>
        <w:t xml:space="preserve">元   </w:t>
      </w:r>
    </w:p>
    <w:p w14:paraId="2B89CE8B">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最高限价：</w:t>
      </w:r>
      <w:r>
        <w:rPr>
          <w:rFonts w:hint="eastAsia" w:ascii="宋体" w:hAnsi="宋体" w:eastAsia="宋体" w:cs="宋体"/>
          <w:color w:val="auto"/>
          <w:sz w:val="21"/>
          <w:szCs w:val="21"/>
          <w:highlight w:val="none"/>
          <w:lang w:val="en-US" w:eastAsia="zh-CN"/>
        </w:rPr>
        <w:t>3206506.2</w:t>
      </w:r>
      <w:r>
        <w:rPr>
          <w:rFonts w:hint="eastAsia" w:ascii="宋体" w:hAnsi="宋体" w:eastAsia="宋体" w:cs="宋体"/>
          <w:color w:val="auto"/>
          <w:sz w:val="21"/>
          <w:szCs w:val="21"/>
          <w:highlight w:val="none"/>
        </w:rPr>
        <w:t>元</w:t>
      </w:r>
    </w:p>
    <w:tbl>
      <w:tblPr>
        <w:tblStyle w:val="19"/>
        <w:tblpPr w:leftFromText="180" w:rightFromText="180" w:vertAnchor="text" w:horzAnchor="page" w:tblpX="1705" w:tblpY="461"/>
        <w:tblOverlap w:val="never"/>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100"/>
        <w:gridCol w:w="1405"/>
        <w:gridCol w:w="1595"/>
        <w:gridCol w:w="1868"/>
        <w:gridCol w:w="1582"/>
      </w:tblGrid>
      <w:tr w14:paraId="2B89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844" w:type="dxa"/>
            <w:vAlign w:val="center"/>
          </w:tcPr>
          <w:p w14:paraId="2B89CE8C">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序号</w:t>
            </w:r>
          </w:p>
        </w:tc>
        <w:tc>
          <w:tcPr>
            <w:tcW w:w="2100" w:type="dxa"/>
            <w:vAlign w:val="center"/>
          </w:tcPr>
          <w:p w14:paraId="2B89CE8D">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包号</w:t>
            </w:r>
          </w:p>
        </w:tc>
        <w:tc>
          <w:tcPr>
            <w:tcW w:w="1405" w:type="dxa"/>
            <w:vAlign w:val="center"/>
          </w:tcPr>
          <w:p w14:paraId="2B89CE8E">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包名称</w:t>
            </w:r>
          </w:p>
        </w:tc>
        <w:tc>
          <w:tcPr>
            <w:tcW w:w="1595" w:type="dxa"/>
            <w:vAlign w:val="center"/>
          </w:tcPr>
          <w:p w14:paraId="2B89CE90">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包预算（元）</w:t>
            </w:r>
          </w:p>
        </w:tc>
        <w:tc>
          <w:tcPr>
            <w:tcW w:w="1868" w:type="dxa"/>
            <w:vAlign w:val="center"/>
          </w:tcPr>
          <w:p w14:paraId="2B89CE91">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包最高限价（元）</w:t>
            </w:r>
          </w:p>
        </w:tc>
        <w:tc>
          <w:tcPr>
            <w:tcW w:w="1582" w:type="dxa"/>
            <w:vAlign w:val="center"/>
          </w:tcPr>
          <w:p w14:paraId="2B89CE92">
            <w:pPr>
              <w:keepNext w:val="0"/>
              <w:keepLines w:val="0"/>
              <w:pageBreakBefore w:val="0"/>
              <w:widowControl/>
              <w:kinsoku/>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是否专门面向中小企业</w:t>
            </w:r>
          </w:p>
        </w:tc>
      </w:tr>
      <w:tr w14:paraId="2B89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844" w:type="dxa"/>
            <w:vAlign w:val="center"/>
          </w:tcPr>
          <w:p w14:paraId="2B89CE94">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100" w:type="dxa"/>
            <w:vAlign w:val="center"/>
          </w:tcPr>
          <w:p w14:paraId="2B89CE95">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YZCG-DLG202</w:t>
            </w:r>
            <w:r>
              <w:rPr>
                <w:rFonts w:hint="eastAsia" w:ascii="宋体" w:hAnsi="宋体" w:eastAsia="宋体" w:cs="宋体"/>
                <w:color w:val="auto"/>
                <w:sz w:val="21"/>
                <w:szCs w:val="21"/>
                <w:lang w:val="en-US" w:eastAsia="zh-CN"/>
              </w:rPr>
              <w:t>6106-A</w:t>
            </w:r>
          </w:p>
        </w:tc>
        <w:tc>
          <w:tcPr>
            <w:tcW w:w="1405" w:type="dxa"/>
            <w:vAlign w:val="center"/>
          </w:tcPr>
          <w:p w14:paraId="2B89CE96">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第一标段</w:t>
            </w:r>
          </w:p>
        </w:tc>
        <w:tc>
          <w:tcPr>
            <w:tcW w:w="1595" w:type="dxa"/>
            <w:vAlign w:val="center"/>
          </w:tcPr>
          <w:p w14:paraId="2B89CE97">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highlight w:val="none"/>
                <w:lang w:val="en-US" w:eastAsia="zh-CN"/>
              </w:rPr>
              <w:t>3206506.2</w:t>
            </w:r>
          </w:p>
        </w:tc>
        <w:tc>
          <w:tcPr>
            <w:tcW w:w="1868" w:type="dxa"/>
            <w:vAlign w:val="center"/>
          </w:tcPr>
          <w:p w14:paraId="2B89CE98">
            <w:pPr>
              <w:keepNext w:val="0"/>
              <w:keepLines w:val="0"/>
              <w:pageBreakBefore w:val="0"/>
              <w:kinsoku/>
              <w:overflowPunct/>
              <w:topLinePunct w:val="0"/>
              <w:autoSpaceDE/>
              <w:autoSpaceDN/>
              <w:bidi w:val="0"/>
              <w:adjustRightInd/>
              <w:snapToGrid/>
              <w:spacing w:line="460" w:lineRule="exact"/>
              <w:contextualSpacing/>
              <w:jc w:val="center"/>
              <w:textAlignment w:val="auto"/>
              <w:rPr>
                <w:rFonts w:hint="eastAsia" w:ascii="宋体" w:hAnsi="宋体" w:eastAsia="宋体" w:cs="宋体"/>
                <w:color w:val="auto"/>
                <w:sz w:val="21"/>
                <w:szCs w:val="21"/>
                <w:lang w:val="en-US"/>
              </w:rPr>
            </w:pPr>
            <w:r>
              <w:rPr>
                <w:rFonts w:hint="eastAsia" w:ascii="宋体" w:hAnsi="宋体" w:eastAsia="宋体" w:cs="宋体"/>
                <w:color w:val="auto"/>
                <w:sz w:val="21"/>
                <w:szCs w:val="21"/>
                <w:highlight w:val="none"/>
                <w:lang w:val="en-US" w:eastAsia="zh-CN"/>
              </w:rPr>
              <w:t>3206506.2</w:t>
            </w:r>
          </w:p>
        </w:tc>
        <w:tc>
          <w:tcPr>
            <w:tcW w:w="1582" w:type="dxa"/>
            <w:vAlign w:val="center"/>
          </w:tcPr>
          <w:p w14:paraId="2B89CE99">
            <w:pPr>
              <w:keepNext w:val="0"/>
              <w:keepLines w:val="0"/>
              <w:pageBreakBefore w:val="0"/>
              <w:tabs>
                <w:tab w:val="left" w:pos="7095"/>
              </w:tabs>
              <w:kinsoku/>
              <w:overflowPunct/>
              <w:topLinePunct w:val="0"/>
              <w:autoSpaceDE/>
              <w:autoSpaceDN/>
              <w:bidi w:val="0"/>
              <w:adjustRightInd/>
              <w:snapToGrid/>
              <w:spacing w:line="460" w:lineRule="exact"/>
              <w:contextualSpacing/>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是</w:t>
            </w:r>
          </w:p>
        </w:tc>
      </w:tr>
    </w:tbl>
    <w:p w14:paraId="754037ED">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p>
    <w:p w14:paraId="2B89CEA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5.采购需求（包括但不限于标的的名称、数量、简要技术需求等）</w:t>
      </w:r>
    </w:p>
    <w:p w14:paraId="175AC489">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禹州市行政审批和政务信息管理局2026年度禹州市电子政务工作线路租赁与运维、机房与网络安全项目，</w:t>
      </w:r>
      <w:r>
        <w:rPr>
          <w:rFonts w:hint="eastAsia" w:ascii="宋体" w:hAnsi="宋体" w:eastAsia="宋体" w:cs="宋体"/>
          <w:color w:val="auto"/>
          <w:sz w:val="21"/>
          <w:szCs w:val="21"/>
          <w:lang w:val="en-US" w:eastAsia="zh-CN"/>
        </w:rPr>
        <w:t>本项目共划分一个标段。（详见招标文件第二章项目需求）</w:t>
      </w:r>
    </w:p>
    <w:p w14:paraId="2719F2B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6.合同履</w:t>
      </w:r>
      <w:r>
        <w:rPr>
          <w:rFonts w:hint="eastAsia" w:ascii="宋体" w:hAnsi="宋体" w:eastAsia="宋体" w:cs="宋体"/>
          <w:color w:val="auto"/>
          <w:sz w:val="21"/>
          <w:szCs w:val="21"/>
          <w:lang w:eastAsia="zh-CN"/>
        </w:rPr>
        <w:t>行期限：签订合同后一年（期满考核，合格可以续约</w:t>
      </w:r>
      <w:r>
        <w:rPr>
          <w:rFonts w:hint="eastAsia" w:ascii="宋体" w:hAnsi="宋体" w:eastAsia="宋体" w:cs="宋体"/>
          <w:color w:val="auto"/>
          <w:sz w:val="21"/>
          <w:szCs w:val="21"/>
          <w:lang w:val="en-US" w:eastAsia="zh-CN"/>
        </w:rPr>
        <w:t>两</w:t>
      </w:r>
      <w:r>
        <w:rPr>
          <w:rFonts w:hint="eastAsia" w:ascii="宋体" w:hAnsi="宋体" w:eastAsia="宋体" w:cs="宋体"/>
          <w:color w:val="auto"/>
          <w:sz w:val="21"/>
          <w:szCs w:val="21"/>
          <w:lang w:eastAsia="zh-CN"/>
        </w:rPr>
        <w:t>次）</w:t>
      </w:r>
    </w:p>
    <w:p w14:paraId="2B89CEA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7.本项目是否接受联合体投标：否</w:t>
      </w:r>
    </w:p>
    <w:p w14:paraId="2B89CEA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8.是否接受进口产品：否</w:t>
      </w:r>
    </w:p>
    <w:p w14:paraId="2B89CEA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9.是否专门面向中小企业：</w:t>
      </w:r>
      <w:r>
        <w:rPr>
          <w:rFonts w:hint="eastAsia" w:ascii="宋体" w:hAnsi="宋体" w:eastAsia="宋体" w:cs="宋体"/>
          <w:color w:val="auto"/>
          <w:sz w:val="21"/>
          <w:szCs w:val="21"/>
          <w:highlight w:val="none"/>
          <w:lang w:val="en-US" w:eastAsia="zh-CN"/>
        </w:rPr>
        <w:t>是</w:t>
      </w:r>
    </w:p>
    <w:p w14:paraId="2B89CEA9">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二、申请人资格要求：</w:t>
      </w:r>
    </w:p>
    <w:p w14:paraId="3A016B6D">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1.满足《中华人民共和国政府采购法》第二十二条规定。</w:t>
      </w:r>
    </w:p>
    <w:p w14:paraId="2F285541">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2.落实政府采购政策满足的资格要求：</w:t>
      </w:r>
    </w:p>
    <w:p w14:paraId="23601938">
      <w:pPr>
        <w:shd w:val="clear"/>
        <w:topLinePunct/>
        <w:spacing w:line="360" w:lineRule="auto"/>
        <w:ind w:firstLine="420" w:firstLineChars="200"/>
        <w:contextualSpacing/>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本项目落实节约能源、保护环境、扶持不发达地区和少数民族地区、促进中小企业、监狱企业发展等政府采购政策。</w:t>
      </w:r>
      <w:r>
        <w:rPr>
          <w:rFonts w:hint="eastAsia" w:ascii="宋体" w:hAnsi="宋体" w:eastAsia="宋体" w:cs="宋体"/>
          <w:color w:val="auto"/>
          <w:highlight w:val="none"/>
        </w:rPr>
        <w:t>（本项目专门面向小微企业采购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w:t>
      </w:r>
    </w:p>
    <w:p w14:paraId="087AE744">
      <w:pPr>
        <w:tabs>
          <w:tab w:val="left" w:pos="7095"/>
        </w:tabs>
        <w:spacing w:line="440" w:lineRule="atLeast"/>
        <w:ind w:firstLine="420" w:firstLineChars="200"/>
        <w:contextualSpacing/>
        <w:jc w:val="left"/>
        <w:rPr>
          <w:rFonts w:hint="eastAsia" w:asciiTheme="minorEastAsia" w:hAnsiTheme="minorEastAsia" w:eastAsiaTheme="minorEastAsia" w:cstheme="minorEastAsia"/>
          <w:b w:val="0"/>
          <w:bCs w:val="0"/>
          <w:color w:val="auto"/>
          <w:szCs w:val="21"/>
          <w:shd w:val="clear" w:color="auto" w:fill="FFFFFF"/>
        </w:rPr>
      </w:pPr>
      <w:r>
        <w:rPr>
          <w:rFonts w:hint="eastAsia" w:asciiTheme="minorEastAsia" w:hAnsiTheme="minorEastAsia" w:eastAsiaTheme="minorEastAsia" w:cstheme="minorEastAsia"/>
          <w:b w:val="0"/>
          <w:bCs w:val="0"/>
          <w:color w:val="auto"/>
          <w:szCs w:val="21"/>
          <w:shd w:val="clear" w:color="auto" w:fill="FFFFFF"/>
        </w:rPr>
        <w:t>3.本项目的特定资格要求</w:t>
      </w:r>
    </w:p>
    <w:p w14:paraId="0A92CE7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投标人具有履行合同所必需的设备和专业技术能力；</w:t>
      </w:r>
    </w:p>
    <w:p w14:paraId="38AE4AF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4.本项目实行资格后审；</w:t>
      </w:r>
    </w:p>
    <w:p w14:paraId="13559FAE">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5.本次采购不接受联合体响应。</w:t>
      </w:r>
    </w:p>
    <w:p w14:paraId="2B89CEB2">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三、招标文件的获取</w:t>
      </w:r>
    </w:p>
    <w:p w14:paraId="2B89CEB3">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日至202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日，</w:t>
      </w:r>
      <w:r>
        <w:rPr>
          <w:rFonts w:hint="eastAsia" w:ascii="宋体" w:hAnsi="宋体" w:eastAsia="宋体" w:cs="宋体"/>
          <w:color w:val="auto"/>
          <w:sz w:val="21"/>
          <w:szCs w:val="21"/>
        </w:rPr>
        <w:t>每天上午00:00至12:00，下午12:01至23:59（北京时间，法定节假日除外）。</w:t>
      </w:r>
    </w:p>
    <w:p w14:paraId="2B89CEB4">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2.地点：投标文件提交截止时间前登录《全国公共资源交易平台（河南省·许昌市）》“投标人/供应商登录”入口（https://ggzy.xuchang.gov.cn）自行免费下载。</w:t>
      </w:r>
    </w:p>
    <w:p w14:paraId="2B89CEB5">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3.方式：网上自行下载</w:t>
      </w:r>
    </w:p>
    <w:p w14:paraId="2B89CEB6">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4.售价：0元</w:t>
      </w:r>
    </w:p>
    <w:p w14:paraId="2B89CEB7">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四、投标截止时间及地点</w:t>
      </w:r>
    </w:p>
    <w:p w14:paraId="2B89CEB8">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日</w:t>
      </w:r>
      <w:r>
        <w:rPr>
          <w:rFonts w:hint="eastAsia" w:ascii="宋体" w:hAnsi="宋体" w:eastAsia="宋体" w:cs="宋体"/>
          <w:color w:val="auto"/>
          <w:sz w:val="21"/>
          <w:szCs w:val="21"/>
        </w:rPr>
        <w:t>08时30分（北京时间）</w:t>
      </w:r>
    </w:p>
    <w:p w14:paraId="2B89CEB9">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2B89CEBA">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五、开标时间及地点</w:t>
      </w:r>
    </w:p>
    <w:p w14:paraId="2B89CEBB">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1.时间：202</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日</w:t>
      </w:r>
      <w:r>
        <w:rPr>
          <w:rFonts w:hint="eastAsia" w:ascii="宋体" w:hAnsi="宋体" w:eastAsia="宋体" w:cs="宋体"/>
          <w:color w:val="auto"/>
          <w:sz w:val="21"/>
          <w:szCs w:val="21"/>
        </w:rPr>
        <w:t>08时30分（北京时间）</w:t>
      </w:r>
    </w:p>
    <w:p w14:paraId="03F7D68A">
      <w:pPr>
        <w:keepNext w:val="0"/>
        <w:keepLines w:val="0"/>
        <w:pageBreakBefore w:val="0"/>
        <w:widowControl w:val="0"/>
        <w:tabs>
          <w:tab w:val="left" w:pos="7095"/>
        </w:tabs>
        <w:kinsoku/>
        <w:wordWrap/>
        <w:overflowPunct/>
        <w:topLinePunct w:val="0"/>
        <w:autoSpaceDE/>
        <w:autoSpaceDN/>
        <w:bidi w:val="0"/>
        <w:adjustRightInd/>
        <w:snapToGrid/>
        <w:spacing w:line="52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2.地点：</w:t>
      </w:r>
      <w:r>
        <w:rPr>
          <w:rFonts w:hint="eastAsia" w:ascii="宋体" w:hAnsi="宋体" w:eastAsia="宋体" w:cs="宋体"/>
          <w:color w:val="auto"/>
          <w:sz w:val="21"/>
          <w:szCs w:val="21"/>
          <w:highlight w:val="none"/>
        </w:rPr>
        <w:t>本项目采用“不见面”网上开标方式，请投标供应商使用CA数字证书</w:t>
      </w:r>
      <w:r>
        <w:rPr>
          <w:rFonts w:hint="eastAsia" w:ascii="宋体" w:hAnsi="宋体" w:eastAsia="宋体" w:cs="宋体"/>
          <w:color w:val="auto"/>
          <w:sz w:val="21"/>
          <w:szCs w:val="21"/>
          <w:highlight w:val="none"/>
          <w:shd w:val="clear" w:color="auto" w:fill="FFFFFF"/>
        </w:rPr>
        <w:t>或移动数字证书</w:t>
      </w:r>
      <w:r>
        <w:rPr>
          <w:rFonts w:hint="eastAsia" w:ascii="宋体" w:hAnsi="宋体" w:eastAsia="宋体" w:cs="宋体"/>
          <w:color w:val="auto"/>
          <w:sz w:val="21"/>
          <w:szCs w:val="21"/>
          <w:highlight w:val="none"/>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2B89CEBD">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六、发布公告的媒介及招标公告期限</w:t>
      </w:r>
    </w:p>
    <w:p w14:paraId="2B89CEBE">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本次招标公告在《河南省政府采购网》《许昌市政府采购网》《全国公共资源交易平台（河南省•许昌市）》上发布。招标公告期限为五个工作日。</w:t>
      </w:r>
    </w:p>
    <w:p w14:paraId="2B89CEBF">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七、其他补充事宜</w:t>
      </w:r>
    </w:p>
    <w:p w14:paraId="12716647">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1.监督单位：禹州市政府采购监督管理办公室</w:t>
      </w:r>
    </w:p>
    <w:p w14:paraId="2B89CEC1">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电话：0374-8112523</w:t>
      </w:r>
    </w:p>
    <w:p w14:paraId="2B89CEC2">
      <w:pPr>
        <w:keepNext w:val="0"/>
        <w:keepLines w:val="0"/>
        <w:pageBreakBefore w:val="0"/>
        <w:tabs>
          <w:tab w:val="left" w:pos="7095"/>
        </w:tabs>
        <w:kinsoku/>
        <w:overflowPunct/>
        <w:topLinePunct w:val="0"/>
        <w:autoSpaceDE/>
        <w:autoSpaceDN/>
        <w:bidi w:val="0"/>
        <w:adjustRightInd/>
        <w:snapToGrid/>
        <w:spacing w:line="460" w:lineRule="exact"/>
        <w:ind w:firstLine="420" w:firstLineChars="200"/>
        <w:contextualSpacing/>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.项目编号以本</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rPr>
        <w:t>文件中的采购编号为准，采购编号：YZCG-DL</w:t>
      </w:r>
      <w:r>
        <w:rPr>
          <w:rFonts w:hint="eastAsia" w:ascii="宋体" w:hAnsi="宋体" w:eastAsia="宋体" w:cs="宋体"/>
          <w:color w:val="auto"/>
          <w:sz w:val="21"/>
          <w:szCs w:val="21"/>
          <w:lang w:val="en-US" w:eastAsia="zh-CN"/>
        </w:rPr>
        <w:t>G</w:t>
      </w:r>
      <w:r>
        <w:rPr>
          <w:rFonts w:hint="eastAsia" w:ascii="宋体" w:hAnsi="宋体" w:eastAsia="宋体" w:cs="宋体"/>
          <w:color w:val="auto"/>
          <w:sz w:val="21"/>
          <w:szCs w:val="21"/>
        </w:rPr>
        <w:t>2026</w:t>
      </w:r>
      <w:r>
        <w:rPr>
          <w:rFonts w:hint="eastAsia" w:ascii="宋体" w:hAnsi="宋体" w:eastAsia="宋体" w:cs="宋体"/>
          <w:color w:val="auto"/>
          <w:sz w:val="21"/>
          <w:szCs w:val="21"/>
          <w:lang w:val="en-US" w:eastAsia="zh-CN"/>
        </w:rPr>
        <w:t xml:space="preserve">106 </w:t>
      </w:r>
    </w:p>
    <w:p w14:paraId="2B89CEC3">
      <w:pPr>
        <w:keepNext w:val="0"/>
        <w:keepLines w:val="0"/>
        <w:pageBreakBefore w:val="0"/>
        <w:tabs>
          <w:tab w:val="left" w:pos="7095"/>
        </w:tabs>
        <w:kinsoku/>
        <w:overflowPunct/>
        <w:topLinePunct w:val="0"/>
        <w:autoSpaceDE/>
        <w:autoSpaceDN/>
        <w:bidi w:val="0"/>
        <w:adjustRightInd/>
        <w:snapToGrid/>
        <w:spacing w:line="460" w:lineRule="exact"/>
        <w:ind w:firstLine="422" w:firstLineChars="200"/>
        <w:contextualSpacing/>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八、凡对本次招标提出询问，请按照以下方式联系</w:t>
      </w:r>
    </w:p>
    <w:p w14:paraId="1634A84E">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1.采购人信息</w:t>
      </w:r>
    </w:p>
    <w:p w14:paraId="2B9E33AD">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名称：禹州市行政审批和政务信息管理局</w:t>
      </w:r>
    </w:p>
    <w:p w14:paraId="69A8E70A">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地址：禹州市禹王大道99号政务服务大楼</w:t>
      </w:r>
    </w:p>
    <w:p w14:paraId="265E7A9D">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联系人：连</w:t>
      </w:r>
      <w:r>
        <w:rPr>
          <w:rFonts w:hint="eastAsia" w:asciiTheme="minorEastAsia" w:hAnsiTheme="minorEastAsia" w:eastAsiaTheme="minorEastAsia" w:cstheme="minorEastAsia"/>
          <w:color w:val="auto"/>
          <w:szCs w:val="21"/>
        </w:rPr>
        <w:t xml:space="preserve">女士 </w:t>
      </w:r>
    </w:p>
    <w:p w14:paraId="3A2D59C1">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联系方式：0374-2076799</w:t>
      </w:r>
    </w:p>
    <w:p w14:paraId="64F11E3B">
      <w:pPr>
        <w:spacing w:line="440" w:lineRule="atLeast"/>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2.采购代理机构信息</w:t>
      </w:r>
    </w:p>
    <w:p w14:paraId="438FC233">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名称：师梦勘测设计集团有限公司</w:t>
      </w:r>
    </w:p>
    <w:p w14:paraId="7930E512">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地址：郑州市高新技术开发区冬青街46号B区007号</w:t>
      </w:r>
    </w:p>
    <w:p w14:paraId="4B0908C0">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联系人：王女士</w:t>
      </w:r>
    </w:p>
    <w:p w14:paraId="517B5D74">
      <w:pPr>
        <w:tabs>
          <w:tab w:val="left" w:pos="7095"/>
        </w:tabs>
        <w:spacing w:line="440" w:lineRule="atLeast"/>
        <w:ind w:firstLine="420" w:firstLineChars="200"/>
        <w:contextualSpacing/>
        <w:jc w:val="left"/>
        <w:rPr>
          <w:rFonts w:hint="default" w:asciiTheme="minorEastAsia" w:hAnsiTheme="minorEastAsia" w:eastAsiaTheme="minorEastAsia" w:cstheme="minorEastAsia"/>
          <w:color w:val="auto"/>
          <w:szCs w:val="21"/>
          <w:shd w:val="clear" w:color="auto" w:fill="FFFFFF"/>
          <w:lang w:val="en-US" w:eastAsia="zh-CN"/>
        </w:rPr>
      </w:pPr>
      <w:r>
        <w:rPr>
          <w:rFonts w:hint="eastAsia" w:asciiTheme="minorEastAsia" w:hAnsiTheme="minorEastAsia" w:eastAsiaTheme="minorEastAsia" w:cstheme="minorEastAsia"/>
          <w:color w:val="auto"/>
          <w:szCs w:val="21"/>
          <w:shd w:val="clear" w:color="auto" w:fill="FFFFFF"/>
        </w:rPr>
        <w:t>联系方式：</w:t>
      </w:r>
      <w:r>
        <w:rPr>
          <w:rFonts w:hint="eastAsia" w:asciiTheme="minorEastAsia" w:hAnsiTheme="minorEastAsia" w:cstheme="minorEastAsia"/>
          <w:color w:val="auto"/>
          <w:szCs w:val="21"/>
          <w:shd w:val="clear" w:color="auto" w:fill="FFFFFF"/>
          <w:lang w:val="en-US" w:eastAsia="zh-CN"/>
        </w:rPr>
        <w:t>13733156531</w:t>
      </w:r>
    </w:p>
    <w:p w14:paraId="29DE3050">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3.项目联系方式</w:t>
      </w:r>
    </w:p>
    <w:p w14:paraId="6F79E93B">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联系人：王女士</w:t>
      </w:r>
    </w:p>
    <w:p w14:paraId="66DED70E">
      <w:pPr>
        <w:tabs>
          <w:tab w:val="left" w:pos="7095"/>
        </w:tabs>
        <w:spacing w:line="440" w:lineRule="atLeast"/>
        <w:ind w:firstLine="420" w:firstLineChars="200"/>
        <w:contextualSpacing/>
        <w:jc w:val="left"/>
        <w:rPr>
          <w:rFonts w:hint="eastAsia" w:asciiTheme="minorEastAsia" w:hAnsiTheme="minorEastAsia" w:eastAsiaTheme="minorEastAsia" w:cstheme="minorEastAsia"/>
          <w:color w:val="auto"/>
          <w:szCs w:val="21"/>
          <w:shd w:val="clear" w:color="auto" w:fill="FFFFFF"/>
        </w:rPr>
      </w:pPr>
      <w:r>
        <w:rPr>
          <w:rFonts w:hint="eastAsia" w:asciiTheme="minorEastAsia" w:hAnsiTheme="minorEastAsia" w:eastAsiaTheme="minorEastAsia" w:cstheme="minorEastAsia"/>
          <w:color w:val="auto"/>
          <w:szCs w:val="21"/>
          <w:shd w:val="clear" w:color="auto" w:fill="FFFFFF"/>
        </w:rPr>
        <w:t>联系方式：</w:t>
      </w:r>
      <w:r>
        <w:rPr>
          <w:rFonts w:hint="eastAsia" w:asciiTheme="minorEastAsia" w:hAnsiTheme="minorEastAsia" w:cstheme="minorEastAsia"/>
          <w:color w:val="auto"/>
          <w:szCs w:val="21"/>
          <w:shd w:val="clear" w:color="auto" w:fill="FFFFFF"/>
          <w:lang w:val="en-US" w:eastAsia="zh-CN"/>
        </w:rPr>
        <w:t>13733156531</w:t>
      </w:r>
    </w:p>
    <w:p w14:paraId="10026D27">
      <w:pPr>
        <w:pStyle w:val="11"/>
        <w:rPr>
          <w:rFonts w:hint="eastAsia" w:ascii="宋体" w:hAnsi="宋体" w:eastAsia="宋体" w:cs="宋体"/>
          <w:b/>
          <w:bCs/>
          <w:color w:val="auto"/>
          <w:szCs w:val="21"/>
          <w:shd w:val="clear" w:color="auto" w:fill="FFFFFF"/>
        </w:rPr>
      </w:pPr>
    </w:p>
    <w:p w14:paraId="2B89CED1">
      <w:pPr>
        <w:keepNext w:val="0"/>
        <w:keepLines w:val="0"/>
        <w:pageBreakBefore w:val="0"/>
        <w:tabs>
          <w:tab w:val="left" w:pos="7095"/>
        </w:tabs>
        <w:kinsoku/>
        <w:wordWrap/>
        <w:overflowPunct/>
        <w:topLinePunct w:val="0"/>
        <w:autoSpaceDE/>
        <w:autoSpaceDN/>
        <w:bidi w:val="0"/>
        <w:adjustRightInd/>
        <w:snapToGrid/>
        <w:spacing w:line="460" w:lineRule="exact"/>
        <w:ind w:firstLine="422" w:firstLineChars="200"/>
        <w:contextualSpacing/>
        <w:jc w:val="left"/>
        <w:textAlignment w:val="auto"/>
        <w:rPr>
          <w:rFonts w:hint="eastAsia" w:ascii="宋体" w:hAnsi="宋体" w:eastAsia="宋体" w:cs="宋体"/>
          <w:b/>
          <w:bCs/>
          <w:color w:val="auto"/>
          <w:szCs w:val="21"/>
          <w:shd w:val="clear" w:color="auto" w:fill="FFFFFF"/>
        </w:rPr>
      </w:pPr>
      <w:r>
        <w:rPr>
          <w:rFonts w:hint="eastAsia" w:ascii="宋体" w:hAnsi="宋体" w:eastAsia="宋体" w:cs="宋体"/>
          <w:b/>
          <w:bCs/>
          <w:color w:val="auto"/>
          <w:szCs w:val="21"/>
          <w:shd w:val="clear" w:color="auto" w:fill="FFFFFF"/>
        </w:rPr>
        <w:t>温馨提示：本项目为全流程电子化交易项目，请注意以下事项。</w:t>
      </w:r>
    </w:p>
    <w:p w14:paraId="490D1CCD">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1.投标人参加本项目投标，需提前自行联系CA服务机构办理数字认证证书并进行电子签章。</w:t>
      </w:r>
    </w:p>
    <w:p w14:paraId="64E8B20F">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2.招标文件下载、投标文件制作、提交、远程不见面开标（电子投标文件的解密）环节，投标人须使用同一个CA数字证书（证书须在有效期内并可正常使用）。</w:t>
      </w:r>
    </w:p>
    <w:p w14:paraId="60CC5BF9">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left="420" w:leftChars="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3.电子投标文件的制作</w:t>
      </w:r>
    </w:p>
    <w:p w14:paraId="54618C4E">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3.1供应商登录“全国公共资源交易平台（河南省·许昌市）”下载“新点投标文件制作软件（河南省版）”的最新版本制作电子响应文件。</w:t>
      </w:r>
    </w:p>
    <w:p w14:paraId="4EF8F44C">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3.2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后缀格式为“.nXCSTF”的不加密电子投标文件用于查看投标文件</w:t>
      </w:r>
    </w:p>
    <w:p w14:paraId="17A95A70">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内容或导出PDF 格式投标文件。</w:t>
      </w:r>
    </w:p>
    <w:p w14:paraId="7D6B6DFE">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4.加密电子投标文件的提交</w:t>
      </w:r>
    </w:p>
    <w:p w14:paraId="24B58906">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4.1投标人对同一项目多个标段进行投标的，加密电子投标文件应按标段分别提交。</w:t>
      </w:r>
    </w:p>
    <w:p w14:paraId="5ED6C4F9">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4.2加密电子响应文件成功上传至“全国公共资源交易平台（河南省·许昌市）”后，应在上传页面进行模拟解密，以验证是否能够成功解密。</w:t>
      </w:r>
    </w:p>
    <w:p w14:paraId="46726741">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left="420" w:leftChars="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5.远程不见面开标（电子投标文件的解密）</w:t>
      </w:r>
    </w:p>
    <w:p w14:paraId="28566F76">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5.1本项目采用远程不见面开标方式，投标前请详细阅读“全国公共资源交易平台（河南省·许昌市）”的“服务指南”栏目下《新交易平台使用手册》中的相关内容。</w:t>
      </w:r>
    </w:p>
    <w:p w14:paraId="4A176017">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5.2投标人应按新交易平台使用手册提前设置好浏览器，并于开标时间前登录本项目不见面开标大厅，按照规定的开标时间准时参加网上开标。</w:t>
      </w:r>
    </w:p>
    <w:p w14:paraId="2835356F">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5.3根据开标大厅界面右侧“公告栏”中的系统提示，投标人应在“标书解密”环节完成解密操作（自代理机构点击“开启投标解密”按钮后投标人解密，系统初设解密时间为30分钟，投标人应在30分钟内完成解密。如因网络、系统原因未完成解密的，招标人（代理机构）报经相关监督管理部门同意后可适当延长解密时间）。投标人未解密或因投标人原因解密失败的，其投标文件将被退回。</w:t>
      </w:r>
    </w:p>
    <w:p w14:paraId="6E11343D">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5.4 在开标结束环节，投标人应在《开标情况记录表》上进行电子签章。投标人未签章的，视同认可开标结果。</w:t>
      </w:r>
    </w:p>
    <w:p w14:paraId="64D83E51">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5.5 投标人对开标过程和开标记录如有异议，可在本项目开标大厅界面右下方“发起异议”中在线提出异议。</w:t>
      </w:r>
    </w:p>
    <w:p w14:paraId="23FD86D3">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6.评标依据</w:t>
      </w:r>
    </w:p>
    <w:p w14:paraId="695F76EC">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6.1全流程电子化交易（不见面开标）项目，评标委员会以成功上传、解密的电子投标文件为依据评审。</w:t>
      </w:r>
    </w:p>
    <w:p w14:paraId="02A1355B">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6.2评标期间，投标人应保持通讯手机畅通。评标委员会如要求投标人作出澄清、说明或者补正等，投标人应在评标委员会要求的评标期间合理的时间内通过电子邮件形式提供。</w:t>
      </w:r>
    </w:p>
    <w:p w14:paraId="0DC7CDF1">
      <w:pPr>
        <w:pStyle w:val="30"/>
        <w:keepNext w:val="0"/>
        <w:keepLines w:val="0"/>
        <w:pageBreakBefore w:val="0"/>
        <w:numPr>
          <w:ilvl w:val="0"/>
          <w:numId w:val="0"/>
        </w:numPr>
        <w:tabs>
          <w:tab w:val="left" w:pos="7095"/>
        </w:tabs>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6.3投标人通过电子邮件提供的书面说明或相关证明材料应加盖公章，或者由法定代表人或其授权的代表签字。</w:t>
      </w:r>
    </w:p>
    <w:p w14:paraId="402C92B3">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outlineLvl w:val="2"/>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7.相关事项</w:t>
      </w:r>
    </w:p>
    <w:p w14:paraId="31955F67">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right="0" w:rightChars="0" w:firstLine="420" w:firstLineChars="200"/>
        <w:jc w:val="both"/>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3EDB8EE7">
      <w:pPr>
        <w:tabs>
          <w:tab w:val="left" w:pos="7095"/>
        </w:tabs>
        <w:spacing w:line="440" w:lineRule="atLeast"/>
        <w:ind w:firstLine="643" w:firstLineChars="200"/>
        <w:contextualSpacing/>
        <w:jc w:val="left"/>
        <w:rPr>
          <w:rFonts w:hint="eastAsia" w:ascii="宋体" w:hAnsi="宋体" w:eastAsia="宋体" w:cs="宋体"/>
          <w:b/>
          <w:bCs/>
          <w:color w:val="auto"/>
          <w:kern w:val="0"/>
          <w:sz w:val="32"/>
          <w:szCs w:val="32"/>
        </w:rPr>
      </w:pPr>
    </w:p>
    <w:p w14:paraId="2B89CEEA">
      <w:pPr>
        <w:pStyle w:val="28"/>
        <w:rPr>
          <w:rFonts w:hint="eastAsia" w:ascii="宋体" w:hAnsi="宋体" w:eastAsia="宋体" w:cs="宋体"/>
          <w:color w:val="auto"/>
        </w:rPr>
      </w:pPr>
    </w:p>
    <w:p w14:paraId="5AB4CBF7">
      <w:pPr>
        <w:pStyle w:val="28"/>
        <w:rPr>
          <w:rFonts w:hint="eastAsia" w:ascii="宋体" w:hAnsi="宋体" w:eastAsia="宋体" w:cs="宋体"/>
          <w:color w:val="auto"/>
        </w:rPr>
      </w:pPr>
    </w:p>
    <w:p w14:paraId="7D405A8C">
      <w:pPr>
        <w:pStyle w:val="28"/>
        <w:rPr>
          <w:rFonts w:hint="eastAsia" w:ascii="宋体" w:hAnsi="宋体" w:eastAsia="宋体" w:cs="宋体"/>
          <w:color w:val="auto"/>
        </w:rPr>
      </w:pPr>
    </w:p>
    <w:p w14:paraId="730EF899">
      <w:pPr>
        <w:pStyle w:val="28"/>
        <w:rPr>
          <w:rFonts w:hint="eastAsia" w:ascii="宋体" w:hAnsi="宋体" w:eastAsia="宋体" w:cs="宋体"/>
          <w:color w:val="auto"/>
        </w:rPr>
      </w:pPr>
    </w:p>
    <w:p w14:paraId="143A931A">
      <w:pPr>
        <w:pStyle w:val="28"/>
        <w:rPr>
          <w:rFonts w:hint="eastAsia" w:ascii="宋体" w:hAnsi="宋体" w:eastAsia="宋体" w:cs="宋体"/>
          <w:color w:val="auto"/>
        </w:rPr>
      </w:pPr>
    </w:p>
    <w:p w14:paraId="2B4F6611">
      <w:pPr>
        <w:pStyle w:val="28"/>
        <w:rPr>
          <w:rFonts w:hint="eastAsia" w:ascii="宋体" w:hAnsi="宋体" w:eastAsia="宋体" w:cs="宋体"/>
          <w:color w:val="auto"/>
        </w:rPr>
      </w:pPr>
    </w:p>
    <w:p w14:paraId="14AD4803">
      <w:pPr>
        <w:pStyle w:val="28"/>
        <w:rPr>
          <w:rFonts w:hint="eastAsia" w:ascii="宋体" w:hAnsi="宋体" w:eastAsia="宋体" w:cs="宋体"/>
          <w:color w:val="auto"/>
        </w:rPr>
      </w:pPr>
    </w:p>
    <w:p w14:paraId="3BBC303B">
      <w:pPr>
        <w:pStyle w:val="28"/>
        <w:rPr>
          <w:rFonts w:hint="eastAsia" w:ascii="宋体" w:hAnsi="宋体" w:eastAsia="宋体" w:cs="宋体"/>
          <w:color w:val="auto"/>
        </w:rPr>
      </w:pPr>
    </w:p>
    <w:p w14:paraId="0CCE9E41">
      <w:pPr>
        <w:pStyle w:val="28"/>
        <w:rPr>
          <w:rFonts w:hint="eastAsia" w:ascii="宋体" w:hAnsi="宋体" w:eastAsia="宋体" w:cs="宋体"/>
          <w:color w:val="auto"/>
        </w:rPr>
      </w:pPr>
    </w:p>
    <w:p w14:paraId="04038F7F">
      <w:pPr>
        <w:pStyle w:val="28"/>
        <w:rPr>
          <w:rFonts w:hint="eastAsia" w:ascii="宋体" w:hAnsi="宋体" w:eastAsia="宋体" w:cs="宋体"/>
          <w:color w:val="auto"/>
        </w:rPr>
      </w:pPr>
    </w:p>
    <w:p w14:paraId="25781DC5">
      <w:pPr>
        <w:pStyle w:val="28"/>
        <w:rPr>
          <w:rFonts w:hint="eastAsia" w:ascii="宋体" w:hAnsi="宋体" w:eastAsia="宋体" w:cs="宋体"/>
          <w:color w:val="auto"/>
        </w:rPr>
      </w:pPr>
    </w:p>
    <w:p w14:paraId="449F1E16">
      <w:pPr>
        <w:pStyle w:val="28"/>
        <w:rPr>
          <w:rFonts w:hint="eastAsia" w:ascii="宋体" w:hAnsi="宋体" w:eastAsia="宋体" w:cs="宋体"/>
          <w:color w:val="auto"/>
        </w:rPr>
      </w:pPr>
    </w:p>
    <w:p w14:paraId="2D158843">
      <w:pPr>
        <w:pStyle w:val="28"/>
        <w:rPr>
          <w:rFonts w:hint="eastAsia" w:ascii="宋体" w:hAnsi="宋体" w:eastAsia="宋体" w:cs="宋体"/>
          <w:color w:val="auto"/>
        </w:rPr>
      </w:pPr>
    </w:p>
    <w:p w14:paraId="6AB1C7DA">
      <w:pPr>
        <w:pStyle w:val="28"/>
        <w:rPr>
          <w:rFonts w:hint="eastAsia" w:ascii="宋体" w:hAnsi="宋体" w:eastAsia="宋体" w:cs="宋体"/>
          <w:color w:val="auto"/>
        </w:rPr>
      </w:pPr>
    </w:p>
    <w:p w14:paraId="584DDF5E">
      <w:pPr>
        <w:pStyle w:val="28"/>
        <w:rPr>
          <w:rFonts w:hint="eastAsia" w:ascii="宋体" w:hAnsi="宋体" w:eastAsia="宋体" w:cs="宋体"/>
          <w:color w:val="auto"/>
        </w:rPr>
      </w:pPr>
    </w:p>
    <w:p w14:paraId="51161961">
      <w:pPr>
        <w:pStyle w:val="28"/>
        <w:rPr>
          <w:rFonts w:hint="eastAsia" w:ascii="宋体" w:hAnsi="宋体" w:eastAsia="宋体" w:cs="宋体"/>
          <w:color w:val="auto"/>
        </w:rPr>
      </w:pPr>
    </w:p>
    <w:p w14:paraId="0C0490ED">
      <w:pPr>
        <w:pStyle w:val="28"/>
        <w:rPr>
          <w:rFonts w:hint="eastAsia" w:ascii="宋体" w:hAnsi="宋体" w:eastAsia="宋体" w:cs="宋体"/>
          <w:color w:val="auto"/>
        </w:rPr>
      </w:pPr>
    </w:p>
    <w:p w14:paraId="504C891A">
      <w:pPr>
        <w:pStyle w:val="28"/>
        <w:rPr>
          <w:rFonts w:hint="eastAsia" w:ascii="宋体" w:hAnsi="宋体" w:eastAsia="宋体" w:cs="宋体"/>
          <w:color w:val="auto"/>
        </w:rPr>
      </w:pPr>
    </w:p>
    <w:p w14:paraId="006821D3">
      <w:pPr>
        <w:pStyle w:val="28"/>
        <w:rPr>
          <w:rFonts w:hint="eastAsia" w:ascii="宋体" w:hAnsi="宋体" w:eastAsia="宋体" w:cs="宋体"/>
          <w:color w:val="auto"/>
        </w:rPr>
      </w:pPr>
    </w:p>
    <w:p w14:paraId="210DB26E">
      <w:pPr>
        <w:pStyle w:val="28"/>
        <w:rPr>
          <w:rFonts w:hint="eastAsia" w:ascii="宋体" w:hAnsi="宋体" w:eastAsia="宋体" w:cs="宋体"/>
          <w:color w:val="auto"/>
        </w:rPr>
      </w:pPr>
    </w:p>
    <w:p w14:paraId="5EC4140C">
      <w:pPr>
        <w:pStyle w:val="28"/>
        <w:rPr>
          <w:rFonts w:hint="eastAsia" w:ascii="宋体" w:hAnsi="宋体" w:eastAsia="宋体" w:cs="宋体"/>
          <w:color w:val="auto"/>
        </w:rPr>
      </w:pPr>
    </w:p>
    <w:p w14:paraId="12E3AAD5">
      <w:pPr>
        <w:pStyle w:val="28"/>
        <w:rPr>
          <w:rFonts w:hint="eastAsia" w:ascii="宋体" w:hAnsi="宋体" w:eastAsia="宋体" w:cs="宋体"/>
          <w:color w:val="auto"/>
        </w:rPr>
      </w:pPr>
    </w:p>
    <w:p w14:paraId="24CE0B73">
      <w:pPr>
        <w:pStyle w:val="28"/>
        <w:rPr>
          <w:rFonts w:hint="eastAsia" w:ascii="宋体" w:hAnsi="宋体" w:eastAsia="宋体" w:cs="宋体"/>
          <w:color w:val="auto"/>
        </w:rPr>
      </w:pPr>
    </w:p>
    <w:p w14:paraId="53BDE7C8">
      <w:pPr>
        <w:pStyle w:val="28"/>
        <w:rPr>
          <w:rFonts w:hint="eastAsia" w:ascii="宋体" w:hAnsi="宋体" w:eastAsia="宋体" w:cs="宋体"/>
          <w:color w:val="auto"/>
        </w:rPr>
      </w:pPr>
    </w:p>
    <w:p w14:paraId="717493B3">
      <w:pPr>
        <w:pStyle w:val="28"/>
        <w:rPr>
          <w:rFonts w:hint="eastAsia" w:ascii="宋体" w:hAnsi="宋体" w:eastAsia="宋体" w:cs="宋体"/>
          <w:color w:val="auto"/>
        </w:rPr>
      </w:pPr>
    </w:p>
    <w:p w14:paraId="62747078">
      <w:pPr>
        <w:pStyle w:val="28"/>
        <w:rPr>
          <w:rFonts w:hint="eastAsia" w:ascii="宋体" w:hAnsi="宋体" w:eastAsia="宋体" w:cs="宋体"/>
          <w:color w:val="auto"/>
        </w:rPr>
      </w:pPr>
    </w:p>
    <w:p w14:paraId="16125BC8">
      <w:pPr>
        <w:pStyle w:val="28"/>
        <w:rPr>
          <w:rFonts w:hint="eastAsia" w:ascii="宋体" w:hAnsi="宋体" w:eastAsia="宋体" w:cs="宋体"/>
          <w:color w:val="auto"/>
        </w:rPr>
      </w:pPr>
    </w:p>
    <w:p w14:paraId="32AF050A">
      <w:pPr>
        <w:pStyle w:val="28"/>
        <w:rPr>
          <w:rFonts w:hint="eastAsia" w:ascii="宋体" w:hAnsi="宋体" w:eastAsia="宋体" w:cs="宋体"/>
          <w:color w:val="auto"/>
        </w:rPr>
      </w:pPr>
    </w:p>
    <w:p w14:paraId="21FA1180">
      <w:pPr>
        <w:pStyle w:val="28"/>
        <w:rPr>
          <w:rFonts w:hint="eastAsia" w:ascii="宋体" w:hAnsi="宋体" w:eastAsia="宋体" w:cs="宋体"/>
          <w:color w:val="auto"/>
        </w:rPr>
      </w:pPr>
    </w:p>
    <w:p w14:paraId="2C6DE427">
      <w:pPr>
        <w:pStyle w:val="28"/>
        <w:rPr>
          <w:rFonts w:hint="eastAsia" w:ascii="宋体" w:hAnsi="宋体" w:eastAsia="宋体" w:cs="宋体"/>
          <w:color w:val="auto"/>
        </w:rPr>
      </w:pPr>
    </w:p>
    <w:p w14:paraId="45C1D1CA">
      <w:pPr>
        <w:pStyle w:val="28"/>
        <w:rPr>
          <w:rFonts w:hint="eastAsia" w:ascii="宋体" w:hAnsi="宋体" w:eastAsia="宋体" w:cs="宋体"/>
          <w:color w:val="auto"/>
        </w:rPr>
      </w:pPr>
    </w:p>
    <w:p w14:paraId="4155D500">
      <w:pPr>
        <w:pStyle w:val="28"/>
        <w:rPr>
          <w:rFonts w:hint="eastAsia" w:ascii="宋体" w:hAnsi="宋体" w:eastAsia="宋体" w:cs="宋体"/>
          <w:color w:val="auto"/>
        </w:rPr>
      </w:pPr>
    </w:p>
    <w:p w14:paraId="631ACD5F">
      <w:pPr>
        <w:pStyle w:val="28"/>
        <w:rPr>
          <w:rFonts w:hint="eastAsia" w:ascii="宋体" w:hAnsi="宋体" w:eastAsia="宋体" w:cs="宋体"/>
          <w:color w:val="auto"/>
        </w:rPr>
      </w:pPr>
    </w:p>
    <w:p w14:paraId="55BCC65C">
      <w:pPr>
        <w:pStyle w:val="28"/>
        <w:rPr>
          <w:rFonts w:hint="eastAsia" w:ascii="宋体" w:hAnsi="宋体" w:eastAsia="宋体" w:cs="宋体"/>
          <w:color w:val="auto"/>
        </w:rPr>
      </w:pPr>
    </w:p>
    <w:p w14:paraId="4AAC2694">
      <w:pPr>
        <w:pStyle w:val="28"/>
        <w:rPr>
          <w:rFonts w:hint="eastAsia" w:ascii="宋体" w:hAnsi="宋体" w:eastAsia="宋体" w:cs="宋体"/>
          <w:color w:val="auto"/>
        </w:rPr>
      </w:pPr>
    </w:p>
    <w:p w14:paraId="2FE1FB37">
      <w:pPr>
        <w:pStyle w:val="28"/>
        <w:rPr>
          <w:rFonts w:hint="eastAsia" w:ascii="宋体" w:hAnsi="宋体" w:eastAsia="宋体" w:cs="宋体"/>
          <w:color w:val="auto"/>
        </w:rPr>
      </w:pPr>
    </w:p>
    <w:p w14:paraId="2B89CEFE">
      <w:pPr>
        <w:pStyle w:val="28"/>
        <w:rPr>
          <w:rFonts w:hint="eastAsia" w:ascii="宋体" w:hAnsi="宋体" w:eastAsia="宋体" w:cs="宋体"/>
          <w:color w:val="auto"/>
        </w:rPr>
      </w:pPr>
    </w:p>
    <w:p w14:paraId="2B89CEFF">
      <w:pPr>
        <w:numPr>
          <w:ilvl w:val="0"/>
          <w:numId w:val="0"/>
        </w:numPr>
        <w:tabs>
          <w:tab w:val="left" w:pos="7095"/>
        </w:tabs>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lang w:val="en-US" w:eastAsia="zh-CN"/>
        </w:rPr>
        <w:t>第二章</w:t>
      </w:r>
      <w:r>
        <w:rPr>
          <w:rFonts w:hint="eastAsia" w:ascii="宋体" w:hAnsi="宋体" w:eastAsia="宋体" w:cs="宋体"/>
          <w:b/>
          <w:color w:val="auto"/>
          <w:kern w:val="0"/>
          <w:sz w:val="30"/>
          <w:szCs w:val="30"/>
        </w:rPr>
        <w:t xml:space="preserve"> </w:t>
      </w:r>
      <w:r>
        <w:rPr>
          <w:rFonts w:hint="eastAsia" w:ascii="宋体" w:hAnsi="宋体" w:eastAsia="宋体" w:cs="宋体"/>
          <w:b/>
          <w:color w:val="auto"/>
          <w:kern w:val="0"/>
          <w:sz w:val="30"/>
          <w:szCs w:val="30"/>
          <w:lang w:val="en-US" w:eastAsia="zh-CN"/>
        </w:rPr>
        <w:t>项目</w:t>
      </w:r>
      <w:r>
        <w:rPr>
          <w:rFonts w:hint="eastAsia" w:ascii="宋体" w:hAnsi="宋体" w:eastAsia="宋体" w:cs="宋体"/>
          <w:b/>
          <w:color w:val="auto"/>
          <w:kern w:val="0"/>
          <w:sz w:val="30"/>
          <w:szCs w:val="30"/>
        </w:rPr>
        <w:t>需求</w:t>
      </w:r>
    </w:p>
    <w:p w14:paraId="402CA871">
      <w:pPr>
        <w:pStyle w:val="42"/>
        <w:keepNext w:val="0"/>
        <w:keepLines w:val="0"/>
        <w:pageBreakBefore w:val="0"/>
        <w:wordWrap/>
        <w:overflowPunct/>
        <w:topLinePunct w:val="0"/>
        <w:bidi w:val="0"/>
        <w:spacing w:line="520" w:lineRule="exact"/>
        <w:rPr>
          <w:rStyle w:val="32"/>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shd w:val="clear" w:color="auto" w:fill="FFFFFF"/>
        </w:rPr>
        <w:t>一、本项目需实现的功能或者目标</w:t>
      </w:r>
    </w:p>
    <w:p w14:paraId="7042579C">
      <w:pPr>
        <w:keepNext w:val="0"/>
        <w:keepLines w:val="0"/>
        <w:pageBreakBefore w:val="0"/>
        <w:widowControl w:val="0"/>
        <w:kinsoku/>
        <w:wordWrap/>
        <w:overflowPunct/>
        <w:topLinePunct w:val="0"/>
        <w:autoSpaceDN/>
        <w:bidi w:val="0"/>
        <w:spacing w:line="520" w:lineRule="exact"/>
        <w:ind w:firstLine="420" w:firstLineChars="200"/>
        <w:textAlignment w:val="auto"/>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cstheme="minorEastAsia"/>
          <w:color w:val="000000"/>
          <w:sz w:val="21"/>
          <w:szCs w:val="21"/>
          <w:lang w:val="en-US" w:eastAsia="zh-CN"/>
        </w:rPr>
        <w:t>禹州市行政审批和政务信息管理局2026年度禹州市电子政务工作线路租赁与运维、机房与网络安全项目</w:t>
      </w:r>
      <w:r>
        <w:rPr>
          <w:rFonts w:hint="eastAsia" w:asciiTheme="minorEastAsia" w:hAnsiTheme="minorEastAsia" w:eastAsiaTheme="minorEastAsia" w:cstheme="minorEastAsia"/>
          <w:color w:val="000000"/>
          <w:sz w:val="21"/>
          <w:szCs w:val="21"/>
          <w:lang w:val="en-US" w:eastAsia="zh-CN"/>
        </w:rPr>
        <w:t>，为保障我市电子政务工作正常运转，持续提升政府治理效能和公共服务水平，避免电子政务外网、视频会议、运维服务等业务因合同到期出现服务暂停等突发状况。</w:t>
      </w:r>
    </w:p>
    <w:p w14:paraId="0C5CD081">
      <w:pPr>
        <w:tabs>
          <w:tab w:val="left" w:pos="7095"/>
        </w:tabs>
        <w:spacing w:line="440" w:lineRule="exact"/>
        <w:rPr>
          <w:rFonts w:ascii="Calibri" w:hAnsi="Calibri" w:eastAsia="宋体" w:cs="Helvetica"/>
          <w:b/>
        </w:rPr>
      </w:pPr>
      <w:r>
        <w:rPr>
          <w:rFonts w:hint="eastAsia" w:ascii="Calibri" w:hAnsi="Calibri" w:eastAsia="宋体" w:cs="Helvetica"/>
          <w:b/>
        </w:rPr>
        <w:t>二、采购内容：</w:t>
      </w:r>
    </w:p>
    <w:tbl>
      <w:tblPr>
        <w:tblStyle w:val="19"/>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370"/>
        <w:gridCol w:w="6942"/>
      </w:tblGrid>
      <w:tr w14:paraId="1C62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vAlign w:val="center"/>
          </w:tcPr>
          <w:p w14:paraId="1EF86C4E">
            <w:pPr>
              <w:autoSpaceDE w:val="0"/>
              <w:autoSpaceDN w:val="0"/>
              <w:adjustRightInd w:val="0"/>
              <w:spacing w:line="440" w:lineRule="exact"/>
              <w:jc w:val="center"/>
              <w:rPr>
                <w:rFonts w:ascii="宋体" w:hAnsi="宋体" w:eastAsia="宋体" w:cs="黑体"/>
                <w:b/>
                <w:snapToGrid w:val="0"/>
                <w:color w:val="auto"/>
                <w:spacing w:val="8"/>
                <w:kern w:val="0"/>
                <w:szCs w:val="21"/>
              </w:rPr>
            </w:pPr>
            <w:r>
              <w:rPr>
                <w:rFonts w:hint="eastAsia" w:ascii="宋体" w:hAnsi="宋体" w:eastAsia="宋体" w:cs="黑体"/>
                <w:b/>
                <w:snapToGrid w:val="0"/>
                <w:color w:val="auto"/>
                <w:spacing w:val="8"/>
                <w:kern w:val="0"/>
                <w:szCs w:val="21"/>
              </w:rPr>
              <w:t>序号</w:t>
            </w:r>
          </w:p>
        </w:tc>
        <w:tc>
          <w:tcPr>
            <w:tcW w:w="1370" w:type="dxa"/>
            <w:vAlign w:val="center"/>
          </w:tcPr>
          <w:p w14:paraId="550B7DCD">
            <w:pPr>
              <w:autoSpaceDE w:val="0"/>
              <w:autoSpaceDN w:val="0"/>
              <w:adjustRightInd w:val="0"/>
              <w:spacing w:line="440" w:lineRule="exact"/>
              <w:jc w:val="center"/>
              <w:rPr>
                <w:rFonts w:ascii="宋体" w:hAnsi="宋体" w:eastAsia="宋体" w:cs="黑体"/>
                <w:b/>
                <w:snapToGrid w:val="0"/>
                <w:color w:val="auto"/>
                <w:spacing w:val="8"/>
                <w:kern w:val="0"/>
                <w:szCs w:val="21"/>
              </w:rPr>
            </w:pPr>
            <w:r>
              <w:rPr>
                <w:rFonts w:hint="eastAsia" w:ascii="宋体" w:hAnsi="宋体" w:eastAsia="宋体" w:cs="黑体"/>
                <w:b/>
                <w:snapToGrid w:val="0"/>
                <w:color w:val="auto"/>
                <w:spacing w:val="8"/>
                <w:kern w:val="0"/>
                <w:szCs w:val="21"/>
              </w:rPr>
              <w:t>名称</w:t>
            </w:r>
          </w:p>
        </w:tc>
        <w:tc>
          <w:tcPr>
            <w:tcW w:w="6942" w:type="dxa"/>
            <w:vAlign w:val="center"/>
          </w:tcPr>
          <w:p w14:paraId="2A42B3BE">
            <w:pPr>
              <w:autoSpaceDE w:val="0"/>
              <w:autoSpaceDN w:val="0"/>
              <w:adjustRightInd w:val="0"/>
              <w:spacing w:line="440" w:lineRule="exact"/>
              <w:jc w:val="center"/>
              <w:rPr>
                <w:rFonts w:ascii="宋体" w:hAnsi="宋体" w:eastAsia="宋体" w:cs="黑体"/>
                <w:b/>
                <w:snapToGrid w:val="0"/>
                <w:color w:val="auto"/>
                <w:spacing w:val="8"/>
                <w:kern w:val="0"/>
                <w:szCs w:val="21"/>
              </w:rPr>
            </w:pPr>
            <w:r>
              <w:rPr>
                <w:rFonts w:hint="eastAsia" w:ascii="宋体" w:hAnsi="宋体" w:eastAsia="宋体" w:cs="黑体"/>
                <w:b/>
                <w:snapToGrid w:val="0"/>
                <w:color w:val="auto"/>
                <w:spacing w:val="8"/>
                <w:kern w:val="0"/>
                <w:szCs w:val="21"/>
              </w:rPr>
              <w:t>内容及要求</w:t>
            </w:r>
          </w:p>
        </w:tc>
      </w:tr>
      <w:tr w14:paraId="6362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vAlign w:val="center"/>
          </w:tcPr>
          <w:p w14:paraId="24E5940B">
            <w:pPr>
              <w:autoSpaceDE w:val="0"/>
              <w:autoSpaceDN w:val="0"/>
              <w:adjustRightInd w:val="0"/>
              <w:spacing w:line="440" w:lineRule="exact"/>
              <w:jc w:val="left"/>
              <w:rPr>
                <w:rFonts w:ascii="宋体" w:hAnsi="宋体" w:eastAsia="宋体" w:cs="仿宋_GB2312"/>
                <w:bCs/>
                <w:snapToGrid w:val="0"/>
                <w:color w:val="auto"/>
                <w:spacing w:val="8"/>
                <w:kern w:val="0"/>
                <w:szCs w:val="21"/>
              </w:rPr>
            </w:pPr>
            <w:r>
              <w:rPr>
                <w:rFonts w:hint="eastAsia" w:ascii="宋体" w:hAnsi="宋体" w:eastAsia="宋体" w:cs="仿宋_GB2312"/>
                <w:bCs/>
                <w:snapToGrid w:val="0"/>
                <w:color w:val="auto"/>
                <w:spacing w:val="8"/>
                <w:kern w:val="0"/>
                <w:szCs w:val="21"/>
              </w:rPr>
              <w:t>1</w:t>
            </w:r>
          </w:p>
        </w:tc>
        <w:tc>
          <w:tcPr>
            <w:tcW w:w="1370" w:type="dxa"/>
            <w:vAlign w:val="center"/>
          </w:tcPr>
          <w:p w14:paraId="0232F429">
            <w:pPr>
              <w:autoSpaceDE w:val="0"/>
              <w:autoSpaceDN w:val="0"/>
              <w:snapToGrid/>
              <w:spacing w:line="440" w:lineRule="exact"/>
              <w:ind w:firstLine="0" w:firstLineChars="0"/>
              <w:jc w:val="left"/>
              <w:rPr>
                <w:rFonts w:ascii="宋体" w:hAnsi="宋体" w:eastAsia="宋体" w:cs="仿宋_GB2312"/>
                <w:b/>
                <w:snapToGrid w:val="0"/>
                <w:color w:val="auto"/>
                <w:spacing w:val="8"/>
                <w:kern w:val="0"/>
                <w:szCs w:val="21"/>
              </w:rPr>
            </w:pPr>
            <w:r>
              <w:rPr>
                <w:rFonts w:hint="eastAsia" w:ascii="宋体" w:hAnsi="宋体" w:eastAsia="宋体"/>
                <w:color w:val="auto"/>
                <w:spacing w:val="8"/>
                <w:kern w:val="0"/>
                <w:sz w:val="21"/>
                <w:szCs w:val="21"/>
              </w:rPr>
              <w:t>电子政务外网运维</w:t>
            </w:r>
          </w:p>
        </w:tc>
        <w:tc>
          <w:tcPr>
            <w:tcW w:w="6942" w:type="dxa"/>
            <w:vAlign w:val="center"/>
          </w:tcPr>
          <w:p w14:paraId="4055D604">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1.</w:t>
            </w:r>
            <w:r>
              <w:rPr>
                <w:rFonts w:hint="eastAsia" w:ascii="宋体" w:hAnsi="宋体" w:eastAsia="宋体"/>
                <w:color w:val="auto"/>
                <w:spacing w:val="8"/>
                <w:kern w:val="0"/>
                <w:sz w:val="21"/>
                <w:szCs w:val="21"/>
              </w:rPr>
              <w:t>对全市所有使用电子政务外网的单位进行全面维护服务，处理常见的网络故障及问题，包括系统及终端软件、维护、安全等方面的工作，对各单位专网接入提供技术支持、咨询、网络规划等服务。保证全市电子政务外网系统长期稳定运行。</w:t>
            </w:r>
          </w:p>
          <w:p w14:paraId="641EA5F0">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2.</w:t>
            </w:r>
            <w:r>
              <w:rPr>
                <w:rFonts w:hint="eastAsia" w:ascii="宋体" w:hAnsi="宋体" w:eastAsia="宋体"/>
                <w:color w:val="auto"/>
                <w:spacing w:val="8"/>
                <w:kern w:val="0"/>
                <w:sz w:val="21"/>
                <w:szCs w:val="21"/>
              </w:rPr>
              <w:t>对局委及乡镇单位电子政务外网进行全面维护服务，包括软件维护、培训和安全等方面的工作，保证系统长期稳定运行。</w:t>
            </w:r>
          </w:p>
          <w:p w14:paraId="54410F79">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3.</w:t>
            </w:r>
            <w:r>
              <w:rPr>
                <w:rFonts w:hint="eastAsia" w:ascii="宋体" w:hAnsi="宋体" w:eastAsia="宋体"/>
                <w:color w:val="auto"/>
                <w:spacing w:val="8"/>
                <w:kern w:val="0"/>
                <w:sz w:val="21"/>
                <w:szCs w:val="21"/>
              </w:rPr>
              <w:t>二级机构接入电子政务外网的日常维护服务。每年都会有新的单位接入电子政务外网，按照上级文件要求及业主需求进行有效对接，确保新需求单位按时完成接入。</w:t>
            </w:r>
          </w:p>
          <w:p w14:paraId="4A5DA05E">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4.</w:t>
            </w:r>
            <w:r>
              <w:rPr>
                <w:rFonts w:hint="eastAsia" w:ascii="宋体" w:hAnsi="宋体" w:eastAsia="宋体"/>
                <w:color w:val="auto"/>
                <w:spacing w:val="8"/>
                <w:kern w:val="0"/>
                <w:sz w:val="21"/>
                <w:szCs w:val="21"/>
              </w:rPr>
              <w:t>监测、维护全市电子政务外网的运行情况，处理日常出现的问题，包括网络安全、三级等保测评、专网调整、网络调整、设备调试、系统升级以及终端系统问题等，及时处理故障及日常技术问题咨询、解决。对可能发生的故障，制定预防方案，制定和实施故障处理预案。</w:t>
            </w:r>
          </w:p>
          <w:p w14:paraId="21B7A750">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5.</w:t>
            </w:r>
            <w:r>
              <w:rPr>
                <w:rFonts w:hint="eastAsia" w:ascii="宋体" w:hAnsi="宋体" w:eastAsia="宋体"/>
                <w:color w:val="auto"/>
                <w:spacing w:val="8"/>
                <w:kern w:val="0"/>
                <w:sz w:val="21"/>
                <w:szCs w:val="21"/>
              </w:rPr>
              <w:t>对相关人员进行培训。协助制定相关规章制度、建设规划等。对网络的整体和局部进行优化调整的有关需求提供指导咨询，并按确定的方案实施，达到满意。</w:t>
            </w:r>
          </w:p>
          <w:p w14:paraId="7AAD1675">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6.</w:t>
            </w:r>
            <w:r>
              <w:rPr>
                <w:rFonts w:hint="eastAsia" w:ascii="宋体" w:hAnsi="宋体" w:eastAsia="宋体"/>
                <w:color w:val="auto"/>
                <w:spacing w:val="8"/>
                <w:kern w:val="0"/>
                <w:sz w:val="21"/>
                <w:szCs w:val="21"/>
              </w:rPr>
              <w:t>提供电子政务外网网络设备网络优化、工程割接配合、问题处理、巡检服务等网络运维服务。</w:t>
            </w:r>
          </w:p>
          <w:p w14:paraId="20D65D53">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7.</w:t>
            </w:r>
            <w:r>
              <w:rPr>
                <w:rFonts w:hint="eastAsia" w:ascii="宋体" w:hAnsi="宋体" w:eastAsia="宋体"/>
                <w:color w:val="auto"/>
                <w:spacing w:val="8"/>
                <w:kern w:val="0"/>
                <w:sz w:val="21"/>
                <w:szCs w:val="21"/>
              </w:rPr>
              <w:t>电子政务外网机房（前后楼两个大机房包括政务云，前楼12个小机房（部分管理）的全面管理。包括但不限于日常管理、维护、运维及空调、UPS、线路、电源、防火、防雷、防水等的日常检查，消防设备的维保等。</w:t>
            </w:r>
          </w:p>
          <w:p w14:paraId="31A22E2A">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8.</w:t>
            </w:r>
            <w:r>
              <w:rPr>
                <w:rFonts w:hint="eastAsia" w:ascii="宋体" w:hAnsi="宋体" w:eastAsia="宋体"/>
                <w:color w:val="auto"/>
                <w:spacing w:val="8"/>
                <w:kern w:val="0"/>
                <w:sz w:val="21"/>
                <w:szCs w:val="21"/>
              </w:rPr>
              <w:t>电子政务外网互联网线路所涉及的工作等。</w:t>
            </w:r>
          </w:p>
          <w:p w14:paraId="0D00D9B7">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9.</w:t>
            </w:r>
            <w:r>
              <w:rPr>
                <w:rFonts w:hint="eastAsia" w:ascii="宋体" w:hAnsi="宋体" w:eastAsia="宋体"/>
                <w:color w:val="auto"/>
                <w:spacing w:val="8"/>
                <w:kern w:val="0"/>
                <w:sz w:val="21"/>
                <w:szCs w:val="21"/>
              </w:rPr>
              <w:t>参与电子政务外网的日常维护管理、系统巡检工作等，对项目运行过程中遇到的各种问题提供7×24小时响应服务等。</w:t>
            </w:r>
          </w:p>
          <w:p w14:paraId="0CCB402F">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10.</w:t>
            </w:r>
            <w:r>
              <w:rPr>
                <w:rFonts w:hint="eastAsia" w:ascii="宋体" w:hAnsi="宋体" w:eastAsia="宋体"/>
                <w:color w:val="auto"/>
                <w:spacing w:val="8"/>
                <w:kern w:val="0"/>
                <w:sz w:val="21"/>
                <w:szCs w:val="21"/>
              </w:rPr>
              <w:t>特殊任务增加相关专业及相应数量的技术人员（例如上级检查、创文、临时检查等）。</w:t>
            </w:r>
          </w:p>
          <w:p w14:paraId="5421CD08">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eastAsia="zh-CN"/>
              </w:rPr>
              <w:t>11.</w:t>
            </w:r>
            <w:r>
              <w:rPr>
                <w:rFonts w:hint="eastAsia" w:ascii="宋体" w:hAnsi="宋体" w:eastAsia="宋体"/>
                <w:color w:val="auto"/>
                <w:spacing w:val="8"/>
                <w:kern w:val="0"/>
                <w:sz w:val="21"/>
                <w:szCs w:val="21"/>
                <w:lang w:val="en-US" w:eastAsia="zh-CN"/>
              </w:rPr>
              <w:t>电子政务外网</w:t>
            </w:r>
            <w:r>
              <w:rPr>
                <w:rFonts w:hint="eastAsia" w:ascii="宋体" w:hAnsi="宋体" w:eastAsia="宋体"/>
                <w:color w:val="auto"/>
                <w:spacing w:val="8"/>
                <w:kern w:val="0"/>
                <w:sz w:val="21"/>
                <w:szCs w:val="21"/>
              </w:rPr>
              <w:t>机房内制冷设备需定期清洗（每年不低于两次），确保设备正常运转，不出现高温预警等情况。包括但不限于人防大楼三楼303房间制冷设备等。</w:t>
            </w:r>
          </w:p>
          <w:p w14:paraId="1A5BBC5E">
            <w:pPr>
              <w:autoSpaceDE w:val="0"/>
              <w:autoSpaceDN w:val="0"/>
              <w:snapToGrid/>
              <w:spacing w:line="440" w:lineRule="exact"/>
              <w:ind w:firstLine="0" w:firstLineChars="0"/>
              <w:rPr>
                <w:rFonts w:hint="eastAsia" w:ascii="宋体" w:hAnsi="宋体" w:eastAsia="宋体"/>
                <w:color w:val="auto"/>
                <w:spacing w:val="8"/>
                <w:kern w:val="0"/>
                <w:sz w:val="21"/>
                <w:szCs w:val="21"/>
              </w:rPr>
            </w:pPr>
            <w:r>
              <w:rPr>
                <w:rFonts w:hint="eastAsia" w:ascii="宋体" w:hAnsi="宋体" w:eastAsia="宋体"/>
                <w:color w:val="auto"/>
                <w:spacing w:val="8"/>
                <w:kern w:val="0"/>
                <w:sz w:val="21"/>
                <w:szCs w:val="21"/>
                <w:lang w:val="en-US" w:eastAsia="zh-CN"/>
              </w:rPr>
              <w:t>12.按月向甲方提交包含故障处理记录、巡检报告、安全日志的运维台账，甲方有权随时抽查。</w:t>
            </w:r>
          </w:p>
          <w:p w14:paraId="5BB52494">
            <w:pPr>
              <w:autoSpaceDE w:val="0"/>
              <w:autoSpaceDN w:val="0"/>
              <w:snapToGrid/>
              <w:spacing w:line="440" w:lineRule="exact"/>
              <w:ind w:firstLine="0" w:firstLineChars="0"/>
              <w:rPr>
                <w:rFonts w:hint="default" w:eastAsia="宋体"/>
                <w:lang w:val="en-US" w:eastAsia="zh-CN"/>
              </w:rPr>
            </w:pPr>
            <w:r>
              <w:rPr>
                <w:rFonts w:hint="eastAsia" w:ascii="宋体" w:hAnsi="宋体" w:eastAsia="宋体"/>
                <w:color w:val="auto"/>
                <w:spacing w:val="8"/>
                <w:kern w:val="0"/>
                <w:sz w:val="21"/>
                <w:szCs w:val="21"/>
                <w:lang w:eastAsia="zh-CN"/>
              </w:rPr>
              <w:t>13.</w:t>
            </w:r>
            <w:r>
              <w:rPr>
                <w:rFonts w:hint="eastAsia" w:ascii="宋体" w:hAnsi="宋体" w:eastAsia="宋体"/>
                <w:color w:val="auto"/>
                <w:spacing w:val="8"/>
                <w:kern w:val="0"/>
                <w:sz w:val="21"/>
                <w:szCs w:val="21"/>
              </w:rPr>
              <w:t>完成临时交办的其他任务。如节假日及重大活动配备相关工作人员的值班值守，黑客、病毒的攻击防护等，操作系统、安全设备及其他设备的规则的调整，专网接入规则的调整，VPN日常问题的处置等。</w:t>
            </w:r>
          </w:p>
        </w:tc>
      </w:tr>
      <w:tr w14:paraId="06E0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vAlign w:val="center"/>
          </w:tcPr>
          <w:p w14:paraId="19C9C1FF">
            <w:pPr>
              <w:autoSpaceDE w:val="0"/>
              <w:autoSpaceDN w:val="0"/>
              <w:adjustRightInd w:val="0"/>
              <w:spacing w:line="440" w:lineRule="exact"/>
              <w:jc w:val="left"/>
              <w:rPr>
                <w:rFonts w:ascii="宋体" w:hAnsi="宋体" w:eastAsia="宋体" w:cs="仿宋_GB2312"/>
                <w:snapToGrid w:val="0"/>
                <w:color w:val="auto"/>
                <w:spacing w:val="8"/>
                <w:kern w:val="0"/>
                <w:szCs w:val="21"/>
              </w:rPr>
            </w:pPr>
            <w:r>
              <w:rPr>
                <w:rFonts w:hint="eastAsia" w:ascii="宋体" w:hAnsi="宋体" w:eastAsia="宋体" w:cs="仿宋_GB2312"/>
                <w:snapToGrid w:val="0"/>
                <w:color w:val="auto"/>
                <w:spacing w:val="8"/>
                <w:kern w:val="0"/>
                <w:szCs w:val="21"/>
              </w:rPr>
              <w:t>2</w:t>
            </w:r>
          </w:p>
        </w:tc>
        <w:tc>
          <w:tcPr>
            <w:tcW w:w="1370" w:type="dxa"/>
            <w:vAlign w:val="center"/>
          </w:tcPr>
          <w:p w14:paraId="1D3CAC42">
            <w:pPr>
              <w:autoSpaceDE w:val="0"/>
              <w:autoSpaceDN w:val="0"/>
              <w:snapToGrid/>
              <w:spacing w:line="440" w:lineRule="exact"/>
              <w:ind w:firstLine="0" w:firstLineChars="0"/>
              <w:jc w:val="left"/>
              <w:rPr>
                <w:rFonts w:ascii="宋体" w:hAnsi="宋体" w:eastAsia="宋体" w:cs="仿宋_GB2312"/>
                <w:snapToGrid w:val="0"/>
                <w:color w:val="auto"/>
                <w:spacing w:val="8"/>
                <w:kern w:val="0"/>
                <w:szCs w:val="21"/>
              </w:rPr>
            </w:pPr>
            <w:r>
              <w:rPr>
                <w:rFonts w:hint="eastAsia" w:ascii="宋体" w:hAnsi="宋体" w:eastAsia="宋体"/>
                <w:color w:val="auto"/>
                <w:spacing w:val="8"/>
                <w:kern w:val="0"/>
                <w:sz w:val="21"/>
                <w:szCs w:val="21"/>
              </w:rPr>
              <w:t>1000M互联网线路</w:t>
            </w:r>
          </w:p>
        </w:tc>
        <w:tc>
          <w:tcPr>
            <w:tcW w:w="6942" w:type="dxa"/>
            <w:vAlign w:val="center"/>
          </w:tcPr>
          <w:p w14:paraId="60BB51F5">
            <w:pPr>
              <w:autoSpaceDE w:val="0"/>
              <w:autoSpaceDN w:val="0"/>
              <w:snapToGrid/>
              <w:spacing w:line="440" w:lineRule="exact"/>
              <w:ind w:firstLine="0" w:firstLineChars="0"/>
              <w:jc w:val="left"/>
              <w:rPr>
                <w:rFonts w:ascii="宋体" w:hAnsi="宋体" w:eastAsia="宋体" w:cs="仿宋_GB2312"/>
                <w:snapToGrid w:val="0"/>
                <w:color w:val="auto"/>
                <w:spacing w:val="8"/>
                <w:kern w:val="0"/>
                <w:szCs w:val="21"/>
              </w:rPr>
            </w:pPr>
            <w:r>
              <w:rPr>
                <w:rFonts w:hint="eastAsia" w:ascii="宋体" w:hAnsi="宋体" w:eastAsia="宋体"/>
                <w:color w:val="auto"/>
                <w:spacing w:val="8"/>
                <w:kern w:val="0"/>
                <w:sz w:val="21"/>
                <w:szCs w:val="21"/>
              </w:rPr>
              <w:t>根据采购人需求购买2主1备的1000M互联网固定IP线路。</w:t>
            </w:r>
          </w:p>
        </w:tc>
      </w:tr>
      <w:tr w14:paraId="571C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vAlign w:val="center"/>
          </w:tcPr>
          <w:p w14:paraId="00A9CC16">
            <w:pPr>
              <w:autoSpaceDE w:val="0"/>
              <w:autoSpaceDN w:val="0"/>
              <w:adjustRightInd w:val="0"/>
              <w:spacing w:line="440" w:lineRule="exact"/>
              <w:jc w:val="left"/>
              <w:rPr>
                <w:rFonts w:ascii="宋体" w:hAnsi="宋体" w:eastAsia="宋体" w:cs="仿宋_GB2312"/>
                <w:snapToGrid w:val="0"/>
                <w:color w:val="auto"/>
                <w:spacing w:val="8"/>
                <w:kern w:val="0"/>
                <w:szCs w:val="21"/>
              </w:rPr>
            </w:pPr>
            <w:r>
              <w:rPr>
                <w:rFonts w:hint="eastAsia" w:ascii="宋体" w:hAnsi="宋体" w:eastAsia="宋体" w:cs="仿宋_GB2312"/>
                <w:snapToGrid w:val="0"/>
                <w:color w:val="auto"/>
                <w:spacing w:val="8"/>
                <w:kern w:val="0"/>
                <w:szCs w:val="21"/>
              </w:rPr>
              <w:t>3</w:t>
            </w:r>
          </w:p>
        </w:tc>
        <w:tc>
          <w:tcPr>
            <w:tcW w:w="1370" w:type="dxa"/>
            <w:vAlign w:val="center"/>
          </w:tcPr>
          <w:p w14:paraId="0EBB08C9">
            <w:pPr>
              <w:autoSpaceDE w:val="0"/>
              <w:autoSpaceDN w:val="0"/>
              <w:snapToGrid/>
              <w:spacing w:line="440" w:lineRule="exact"/>
              <w:ind w:firstLine="0" w:firstLineChars="0"/>
              <w:jc w:val="left"/>
              <w:rPr>
                <w:rFonts w:ascii="宋体" w:hAnsi="宋体" w:eastAsia="宋体" w:cs="仿宋_GB2312"/>
                <w:snapToGrid w:val="0"/>
                <w:color w:val="auto"/>
                <w:spacing w:val="8"/>
                <w:kern w:val="0"/>
                <w:szCs w:val="21"/>
              </w:rPr>
            </w:pPr>
            <w:r>
              <w:rPr>
                <w:rFonts w:hint="eastAsia" w:ascii="宋体" w:hAnsi="宋体" w:eastAsia="宋体"/>
                <w:color w:val="auto"/>
                <w:spacing w:val="8"/>
                <w:kern w:val="0"/>
                <w:sz w:val="21"/>
                <w:szCs w:val="21"/>
              </w:rPr>
              <w:t>全市电子政务外网线路租赁</w:t>
            </w:r>
          </w:p>
        </w:tc>
        <w:tc>
          <w:tcPr>
            <w:tcW w:w="6942" w:type="dxa"/>
            <w:vAlign w:val="center"/>
          </w:tcPr>
          <w:p w14:paraId="0BA52EEF">
            <w:pPr>
              <w:autoSpaceDE w:val="0"/>
              <w:autoSpaceDN w:val="0"/>
              <w:snapToGrid/>
              <w:spacing w:line="440" w:lineRule="exact"/>
              <w:ind w:firstLine="0" w:firstLineChars="0"/>
              <w:jc w:val="left"/>
              <w:rPr>
                <w:rFonts w:hint="eastAsia" w:ascii="宋体" w:hAnsi="宋体" w:eastAsia="宋体" w:cs="仿宋_GB2312"/>
                <w:snapToGrid w:val="0"/>
                <w:color w:val="auto"/>
                <w:spacing w:val="8"/>
                <w:kern w:val="0"/>
                <w:szCs w:val="21"/>
                <w:lang w:eastAsia="zh-CN"/>
              </w:rPr>
            </w:pPr>
            <w:r>
              <w:rPr>
                <w:rFonts w:hint="eastAsia" w:ascii="宋体" w:hAnsi="宋体" w:eastAsia="宋体"/>
                <w:color w:val="auto"/>
                <w:spacing w:val="8"/>
                <w:kern w:val="0"/>
                <w:sz w:val="21"/>
                <w:szCs w:val="21"/>
              </w:rPr>
              <w:t>全市所有电子政务网使用单位政务外网线路租赁。</w:t>
            </w:r>
          </w:p>
        </w:tc>
      </w:tr>
      <w:tr w14:paraId="0BB3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585" w:type="dxa"/>
            <w:vAlign w:val="center"/>
          </w:tcPr>
          <w:p w14:paraId="14CABD6E">
            <w:pPr>
              <w:autoSpaceDE w:val="0"/>
              <w:autoSpaceDN w:val="0"/>
              <w:adjustRightInd w:val="0"/>
              <w:spacing w:line="440" w:lineRule="exact"/>
              <w:jc w:val="left"/>
              <w:rPr>
                <w:rFonts w:ascii="宋体" w:hAnsi="宋体" w:eastAsia="宋体" w:cs="仿宋_GB2312"/>
                <w:snapToGrid w:val="0"/>
                <w:color w:val="auto"/>
                <w:spacing w:val="8"/>
                <w:kern w:val="0"/>
                <w:szCs w:val="21"/>
              </w:rPr>
            </w:pPr>
            <w:r>
              <w:rPr>
                <w:rFonts w:hint="eastAsia" w:ascii="宋体" w:hAnsi="宋体" w:eastAsia="宋体" w:cs="仿宋_GB2312"/>
                <w:snapToGrid w:val="0"/>
                <w:color w:val="auto"/>
                <w:spacing w:val="8"/>
                <w:kern w:val="0"/>
                <w:szCs w:val="21"/>
              </w:rPr>
              <w:t>4</w:t>
            </w:r>
          </w:p>
        </w:tc>
        <w:tc>
          <w:tcPr>
            <w:tcW w:w="1370" w:type="dxa"/>
            <w:vAlign w:val="center"/>
          </w:tcPr>
          <w:p w14:paraId="4DFB7F64">
            <w:pPr>
              <w:autoSpaceDE w:val="0"/>
              <w:autoSpaceDN w:val="0"/>
              <w:snapToGrid/>
              <w:spacing w:line="440" w:lineRule="exact"/>
              <w:ind w:firstLine="0" w:firstLineChars="0"/>
              <w:jc w:val="left"/>
              <w:rPr>
                <w:rFonts w:ascii="宋体" w:hAnsi="宋体" w:eastAsia="宋体" w:cs="仿宋_GB2312"/>
                <w:snapToGrid w:val="0"/>
                <w:color w:val="auto"/>
                <w:spacing w:val="8"/>
                <w:kern w:val="0"/>
                <w:szCs w:val="21"/>
              </w:rPr>
            </w:pPr>
            <w:r>
              <w:rPr>
                <w:rFonts w:hint="eastAsia" w:ascii="宋体" w:hAnsi="宋体" w:eastAsia="宋体"/>
                <w:color w:val="auto"/>
                <w:spacing w:val="8"/>
                <w:kern w:val="0"/>
                <w:sz w:val="21"/>
                <w:szCs w:val="21"/>
              </w:rPr>
              <w:t>试点村线路维护</w:t>
            </w:r>
          </w:p>
        </w:tc>
        <w:tc>
          <w:tcPr>
            <w:tcW w:w="6942" w:type="dxa"/>
            <w:vAlign w:val="center"/>
          </w:tcPr>
          <w:p w14:paraId="1471DB67">
            <w:pPr>
              <w:autoSpaceDE w:val="0"/>
              <w:autoSpaceDN w:val="0"/>
              <w:snapToGrid/>
              <w:spacing w:line="440" w:lineRule="exact"/>
              <w:ind w:firstLine="0" w:firstLineChars="0"/>
              <w:rPr>
                <w:rFonts w:ascii="宋体" w:hAnsi="宋体" w:eastAsia="宋体" w:cs="仿宋_GB2312"/>
                <w:snapToGrid w:val="0"/>
                <w:color w:val="auto"/>
                <w:spacing w:val="8"/>
                <w:kern w:val="0"/>
                <w:szCs w:val="21"/>
              </w:rPr>
            </w:pPr>
            <w:r>
              <w:rPr>
                <w:rFonts w:hint="eastAsia" w:ascii="宋体" w:hAnsi="宋体" w:eastAsia="宋体"/>
                <w:color w:val="auto"/>
                <w:spacing w:val="8"/>
                <w:kern w:val="0"/>
                <w:sz w:val="21"/>
                <w:szCs w:val="21"/>
              </w:rPr>
              <w:t>所有电子政务外网试点村线路维护；社区及便民服务大厅电子政务外网线路的全面维护服务，包括软件维护、培训和安全等方面的工作，保证系统长期稳定运行。</w:t>
            </w:r>
          </w:p>
        </w:tc>
      </w:tr>
      <w:tr w14:paraId="5709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vAlign w:val="center"/>
          </w:tcPr>
          <w:p w14:paraId="1A9C913E">
            <w:pPr>
              <w:autoSpaceDE w:val="0"/>
              <w:autoSpaceDN w:val="0"/>
              <w:adjustRightInd w:val="0"/>
              <w:spacing w:line="440" w:lineRule="exact"/>
              <w:jc w:val="left"/>
              <w:rPr>
                <w:rFonts w:hint="eastAsia" w:ascii="宋体" w:hAnsi="宋体" w:eastAsia="宋体" w:cs="仿宋_GB2312"/>
                <w:snapToGrid w:val="0"/>
                <w:color w:val="auto"/>
                <w:spacing w:val="8"/>
                <w:kern w:val="0"/>
                <w:szCs w:val="21"/>
                <w:lang w:eastAsia="zh-CN"/>
              </w:rPr>
            </w:pPr>
            <w:r>
              <w:rPr>
                <w:rFonts w:hint="eastAsia" w:ascii="宋体" w:hAnsi="宋体" w:eastAsia="宋体" w:cs="仿宋_GB2312"/>
                <w:snapToGrid w:val="0"/>
                <w:color w:val="auto"/>
                <w:spacing w:val="8"/>
                <w:kern w:val="0"/>
                <w:szCs w:val="21"/>
                <w:lang w:val="en-US" w:eastAsia="zh-CN"/>
              </w:rPr>
              <w:t>5</w:t>
            </w:r>
          </w:p>
        </w:tc>
        <w:tc>
          <w:tcPr>
            <w:tcW w:w="1370" w:type="dxa"/>
            <w:vAlign w:val="center"/>
          </w:tcPr>
          <w:p w14:paraId="779C23B2">
            <w:pPr>
              <w:autoSpaceDE w:val="0"/>
              <w:autoSpaceDN w:val="0"/>
              <w:snapToGrid/>
              <w:spacing w:line="440" w:lineRule="exact"/>
              <w:ind w:firstLine="0" w:firstLineChars="0"/>
              <w:jc w:val="left"/>
              <w:rPr>
                <w:rFonts w:ascii="宋体" w:hAnsi="宋体" w:eastAsia="宋体" w:cs="仿宋_GB2312"/>
                <w:snapToGrid w:val="0"/>
                <w:color w:val="auto"/>
                <w:spacing w:val="8"/>
                <w:kern w:val="0"/>
                <w:szCs w:val="21"/>
              </w:rPr>
            </w:pPr>
            <w:r>
              <w:rPr>
                <w:rFonts w:hint="eastAsia" w:ascii="宋体" w:hAnsi="宋体" w:eastAsia="宋体"/>
                <w:color w:val="auto"/>
                <w:spacing w:val="8"/>
                <w:kern w:val="0"/>
                <w:sz w:val="21"/>
                <w:szCs w:val="21"/>
              </w:rPr>
              <w:t>视频会议系统的线路租赁、维护</w:t>
            </w:r>
          </w:p>
        </w:tc>
        <w:tc>
          <w:tcPr>
            <w:tcW w:w="6942" w:type="dxa"/>
            <w:vAlign w:val="center"/>
          </w:tcPr>
          <w:p w14:paraId="42534568">
            <w:pPr>
              <w:autoSpaceDE w:val="0"/>
              <w:autoSpaceDN w:val="0"/>
              <w:snapToGrid/>
              <w:spacing w:line="440" w:lineRule="exact"/>
              <w:ind w:firstLine="0" w:firstLineChars="0"/>
              <w:jc w:val="left"/>
              <w:rPr>
                <w:rFonts w:hint="eastAsia" w:ascii="宋体" w:hAnsi="宋体" w:eastAsia="宋体" w:cs="仿宋_GB2312"/>
                <w:snapToGrid w:val="0"/>
                <w:color w:val="auto"/>
                <w:spacing w:val="8"/>
                <w:kern w:val="0"/>
                <w:szCs w:val="21"/>
                <w:lang w:eastAsia="zh-CN"/>
              </w:rPr>
            </w:pPr>
            <w:r>
              <w:rPr>
                <w:rFonts w:hint="eastAsia" w:ascii="宋体" w:hAnsi="宋体" w:eastAsia="宋体"/>
                <w:color w:val="auto"/>
                <w:spacing w:val="8"/>
                <w:kern w:val="0"/>
                <w:sz w:val="21"/>
                <w:szCs w:val="21"/>
              </w:rPr>
              <w:t>视频会议系统的线路租赁、维护。</w:t>
            </w:r>
          </w:p>
        </w:tc>
      </w:tr>
      <w:tr w14:paraId="38EE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vAlign w:val="center"/>
          </w:tcPr>
          <w:p w14:paraId="161DF21B">
            <w:pPr>
              <w:autoSpaceDE w:val="0"/>
              <w:autoSpaceDN w:val="0"/>
              <w:adjustRightInd w:val="0"/>
              <w:spacing w:line="440" w:lineRule="exact"/>
              <w:jc w:val="left"/>
              <w:rPr>
                <w:rFonts w:hint="eastAsia" w:ascii="宋体" w:hAnsi="宋体" w:eastAsia="宋体" w:cs="仿宋_GB2312"/>
                <w:snapToGrid w:val="0"/>
                <w:color w:val="auto"/>
                <w:spacing w:val="8"/>
                <w:kern w:val="0"/>
                <w:szCs w:val="21"/>
                <w:lang w:eastAsia="zh-CN"/>
              </w:rPr>
            </w:pPr>
            <w:r>
              <w:rPr>
                <w:rFonts w:hint="eastAsia" w:ascii="宋体" w:hAnsi="宋体" w:eastAsia="宋体" w:cs="仿宋_GB2312"/>
                <w:snapToGrid w:val="0"/>
                <w:color w:val="auto"/>
                <w:spacing w:val="8"/>
                <w:kern w:val="0"/>
                <w:szCs w:val="21"/>
                <w:lang w:val="en-US" w:eastAsia="zh-CN"/>
              </w:rPr>
              <w:t>6</w:t>
            </w:r>
          </w:p>
        </w:tc>
        <w:tc>
          <w:tcPr>
            <w:tcW w:w="1370" w:type="dxa"/>
            <w:vAlign w:val="center"/>
          </w:tcPr>
          <w:p w14:paraId="261BF86F">
            <w:pPr>
              <w:autoSpaceDE w:val="0"/>
              <w:autoSpaceDN w:val="0"/>
              <w:snapToGrid/>
              <w:spacing w:line="440" w:lineRule="exact"/>
              <w:ind w:firstLine="0" w:firstLineChars="0"/>
              <w:jc w:val="left"/>
              <w:rPr>
                <w:rFonts w:ascii="宋体" w:hAnsi="宋体" w:eastAsia="宋体" w:cs="仿宋_GB2312"/>
                <w:snapToGrid w:val="0"/>
                <w:color w:val="auto"/>
                <w:spacing w:val="8"/>
                <w:kern w:val="0"/>
                <w:szCs w:val="21"/>
              </w:rPr>
            </w:pPr>
            <w:r>
              <w:rPr>
                <w:rFonts w:hint="eastAsia" w:ascii="宋体" w:hAnsi="宋体" w:eastAsia="宋体"/>
                <w:color w:val="auto"/>
                <w:spacing w:val="8"/>
                <w:kern w:val="0"/>
                <w:sz w:val="21"/>
                <w:szCs w:val="21"/>
              </w:rPr>
              <w:t>网络安全设备升级</w:t>
            </w:r>
          </w:p>
        </w:tc>
        <w:tc>
          <w:tcPr>
            <w:tcW w:w="6942" w:type="dxa"/>
            <w:vAlign w:val="center"/>
          </w:tcPr>
          <w:p w14:paraId="49DA80A4">
            <w:pPr>
              <w:ind w:left="0" w:leftChars="0" w:firstLine="0" w:firstLineChars="0"/>
              <w:rPr>
                <w:rFonts w:hint="eastAsia" w:ascii="宋体" w:hAnsi="宋体" w:eastAsia="宋体" w:cs="仿宋_GB2312"/>
                <w:snapToGrid w:val="0"/>
                <w:color w:val="auto"/>
                <w:spacing w:val="8"/>
                <w:kern w:val="0"/>
                <w:szCs w:val="21"/>
                <w:lang w:eastAsia="zh-CN"/>
              </w:rPr>
            </w:pPr>
            <w:r>
              <w:rPr>
                <w:rFonts w:hint="eastAsia" w:ascii="宋体" w:hAnsi="宋体" w:eastAsia="宋体"/>
                <w:color w:val="auto"/>
                <w:spacing w:val="8"/>
                <w:kern w:val="0"/>
                <w:sz w:val="21"/>
                <w:szCs w:val="21"/>
              </w:rPr>
              <w:t>对</w:t>
            </w:r>
            <w:r>
              <w:rPr>
                <w:rFonts w:hint="eastAsia" w:ascii="宋体" w:hAnsi="宋体" w:eastAsia="宋体"/>
                <w:color w:val="auto"/>
                <w:spacing w:val="8"/>
                <w:kern w:val="0"/>
                <w:sz w:val="21"/>
                <w:szCs w:val="21"/>
                <w:lang w:val="en-US" w:eastAsia="zh-CN"/>
              </w:rPr>
              <w:t>电子政务外网所有使用单位网络安全设备升级</w:t>
            </w:r>
            <w:r>
              <w:rPr>
                <w:rFonts w:hint="eastAsia" w:ascii="宋体" w:hAnsi="宋体" w:eastAsia="宋体"/>
                <w:color w:val="auto"/>
                <w:spacing w:val="8"/>
                <w:kern w:val="0"/>
                <w:sz w:val="21"/>
                <w:szCs w:val="21"/>
              </w:rPr>
              <w:t>；</w:t>
            </w:r>
            <w:r>
              <w:rPr>
                <w:rFonts w:hint="eastAsia" w:ascii="宋体" w:hAnsi="宋体" w:eastAsia="宋体"/>
                <w:color w:val="auto"/>
                <w:spacing w:val="8"/>
                <w:kern w:val="0"/>
                <w:sz w:val="21"/>
                <w:szCs w:val="21"/>
                <w:lang w:val="en-US" w:eastAsia="zh-CN"/>
              </w:rPr>
              <w:t>对电子政</w:t>
            </w:r>
            <w:r>
              <w:rPr>
                <w:rFonts w:hint="eastAsia" w:ascii="宋体" w:hAnsi="宋体" w:eastAsia="宋体"/>
                <w:color w:val="auto"/>
                <w:spacing w:val="8"/>
                <w:kern w:val="0"/>
                <w:sz w:val="21"/>
                <w:szCs w:val="21"/>
              </w:rPr>
              <w:t>务外网所有使用单位</w:t>
            </w:r>
            <w:r>
              <w:rPr>
                <w:rFonts w:hint="eastAsia" w:ascii="宋体" w:hAnsi="宋体" w:eastAsia="宋体"/>
                <w:color w:val="auto"/>
                <w:spacing w:val="8"/>
                <w:kern w:val="0"/>
                <w:sz w:val="21"/>
                <w:szCs w:val="21"/>
                <w:lang w:val="en-US" w:eastAsia="zh-CN"/>
              </w:rPr>
              <w:t>的</w:t>
            </w:r>
            <w:r>
              <w:rPr>
                <w:rFonts w:hint="eastAsia" w:ascii="宋体" w:hAnsi="宋体" w:eastAsia="宋体"/>
                <w:color w:val="auto"/>
                <w:spacing w:val="8"/>
                <w:kern w:val="0"/>
                <w:sz w:val="21"/>
                <w:szCs w:val="21"/>
              </w:rPr>
              <w:t>网络安全</w:t>
            </w:r>
            <w:r>
              <w:rPr>
                <w:rFonts w:hint="eastAsia" w:ascii="宋体" w:hAnsi="宋体" w:eastAsia="宋体"/>
                <w:color w:val="auto"/>
                <w:spacing w:val="8"/>
                <w:kern w:val="0"/>
                <w:sz w:val="21"/>
                <w:szCs w:val="21"/>
                <w:lang w:val="en-US" w:eastAsia="zh-CN"/>
              </w:rPr>
              <w:t>进行负责，如防控防火墙、网络防护、网络攻击等。</w:t>
            </w:r>
          </w:p>
        </w:tc>
      </w:tr>
    </w:tbl>
    <w:p w14:paraId="070D7877">
      <w:pPr>
        <w:widowControl/>
        <w:shd w:val="clear" w:color="auto" w:fill="FFFFFF"/>
        <w:spacing w:line="440" w:lineRule="exact"/>
        <w:ind w:firstLine="422" w:firstLineChars="200"/>
        <w:contextualSpacing/>
        <w:jc w:val="left"/>
        <w:rPr>
          <w:rFonts w:ascii="宋体" w:hAnsi="宋体" w:cs="宋体"/>
          <w:b/>
          <w:szCs w:val="21"/>
          <w:lang w:val="zh-CN"/>
        </w:rPr>
      </w:pPr>
      <w:r>
        <w:rPr>
          <w:rFonts w:hint="eastAsia" w:ascii="宋体" w:hAnsi="宋体" w:cs="宋体"/>
          <w:b/>
          <w:szCs w:val="21"/>
          <w:lang w:val="zh-CN"/>
        </w:rPr>
        <w:t>采购清单中</w:t>
      </w:r>
      <w:r>
        <w:rPr>
          <w:rFonts w:hint="eastAsia" w:ascii="宋体" w:hAnsi="宋体" w:cs="宋体"/>
          <w:b/>
          <w:szCs w:val="21"/>
        </w:rPr>
        <w:t>技术性能或技术参数</w:t>
      </w:r>
      <w:r>
        <w:rPr>
          <w:rFonts w:hint="eastAsia" w:ascii="宋体" w:hAnsi="宋体" w:cs="宋体"/>
          <w:b/>
          <w:szCs w:val="21"/>
          <w:lang w:val="zh-CN"/>
        </w:rPr>
        <w:t>所列</w:t>
      </w:r>
      <w:r>
        <w:rPr>
          <w:rFonts w:hint="eastAsia" w:ascii="宋体" w:hAnsi="宋体" w:cs="宋体"/>
          <w:b/>
          <w:szCs w:val="21"/>
        </w:rPr>
        <w:t>要求</w:t>
      </w:r>
      <w:r>
        <w:rPr>
          <w:rFonts w:hint="eastAsia" w:ascii="宋体" w:hAnsi="宋体" w:cs="宋体"/>
          <w:b/>
          <w:szCs w:val="21"/>
          <w:lang w:val="zh-CN"/>
        </w:rPr>
        <w:t>为最低要求，不允许负偏离，否则将承担其投标被视为非实质性响应投标的风险。</w:t>
      </w:r>
    </w:p>
    <w:p w14:paraId="4A8218AF">
      <w:pPr>
        <w:widowControl/>
        <w:shd w:val="clear" w:color="auto" w:fill="FFFFFF"/>
        <w:spacing w:line="440" w:lineRule="exact"/>
        <w:contextualSpacing/>
        <w:jc w:val="left"/>
        <w:rPr>
          <w:rFonts w:ascii="宋体" w:hAnsi="宋体" w:cs="宋体"/>
          <w:b/>
          <w:szCs w:val="21"/>
          <w:lang w:val="zh-CN"/>
        </w:rPr>
      </w:pPr>
      <w:r>
        <w:rPr>
          <w:rFonts w:hint="eastAsia" w:ascii="宋体" w:hAnsi="宋体"/>
          <w:b/>
          <w:szCs w:val="21"/>
        </w:rPr>
        <w:t>三、</w:t>
      </w:r>
      <w:r>
        <w:rPr>
          <w:rFonts w:hint="eastAsia" w:ascii="宋体" w:hAnsi="宋体" w:cs="宋体"/>
          <w:b/>
          <w:szCs w:val="21"/>
          <w:lang w:val="zh-CN"/>
        </w:rPr>
        <w:t>采购标的执行标准</w:t>
      </w:r>
    </w:p>
    <w:p w14:paraId="0D4C532A">
      <w:pPr>
        <w:pStyle w:val="15"/>
        <w:widowControl/>
        <w:shd w:val="clear" w:color="auto" w:fill="FFFFFF"/>
        <w:spacing w:line="360" w:lineRule="auto"/>
        <w:ind w:firstLine="315" w:firstLineChars="150"/>
        <w:jc w:val="left"/>
        <w:rPr>
          <w:rFonts w:ascii="宋体" w:hAnsi="宋体" w:cs="仿宋_GB2312"/>
          <w:sz w:val="21"/>
          <w:szCs w:val="21"/>
          <w:lang w:val="zh-CN"/>
        </w:rPr>
      </w:pPr>
      <w:r>
        <w:rPr>
          <w:rFonts w:hint="eastAsia" w:ascii="宋体" w:hAnsi="宋体" w:cs="仿宋_GB2312"/>
          <w:sz w:val="21"/>
          <w:szCs w:val="21"/>
          <w:lang w:val="zh-CN"/>
        </w:rPr>
        <w:t>执行国家相关标准。</w:t>
      </w:r>
    </w:p>
    <w:p w14:paraId="059584D7">
      <w:pPr>
        <w:widowControl/>
        <w:shd w:val="clear" w:color="auto" w:fill="FFFFFF"/>
        <w:spacing w:line="440" w:lineRule="exact"/>
        <w:contextualSpacing/>
        <w:jc w:val="left"/>
        <w:rPr>
          <w:rFonts w:ascii="宋体" w:hAnsi="宋体" w:cs="宋体"/>
          <w:b/>
          <w:szCs w:val="21"/>
          <w:lang w:val="zh-CN"/>
        </w:rPr>
      </w:pPr>
      <w:r>
        <w:rPr>
          <w:rFonts w:hint="eastAsia" w:ascii="宋体" w:hAnsi="宋体"/>
          <w:b/>
          <w:szCs w:val="21"/>
        </w:rPr>
        <w:t>四</w:t>
      </w:r>
      <w:r>
        <w:rPr>
          <w:rFonts w:hint="eastAsia" w:ascii="宋体" w:hAnsi="宋体" w:cs="宋体"/>
          <w:b/>
          <w:szCs w:val="21"/>
          <w:lang w:val="zh-CN"/>
        </w:rPr>
        <w:t>、服务</w:t>
      </w:r>
      <w:r>
        <w:rPr>
          <w:rFonts w:hint="eastAsia" w:ascii="宋体" w:hAnsi="宋体" w:cs="宋体"/>
          <w:b/>
          <w:szCs w:val="21"/>
        </w:rPr>
        <w:t>标准</w:t>
      </w:r>
      <w:r>
        <w:rPr>
          <w:rFonts w:hint="eastAsia" w:ascii="宋体" w:hAnsi="宋体" w:cs="宋体"/>
          <w:b/>
          <w:szCs w:val="21"/>
          <w:lang w:val="zh-CN"/>
        </w:rPr>
        <w:t>、期限等要求</w:t>
      </w:r>
    </w:p>
    <w:p w14:paraId="772854D2">
      <w:pPr>
        <w:autoSpaceDE w:val="0"/>
        <w:autoSpaceDN w:val="0"/>
        <w:adjustRightInd w:val="0"/>
        <w:spacing w:line="360" w:lineRule="auto"/>
        <w:ind w:firstLine="454" w:firstLineChars="200"/>
        <w:outlineLvl w:val="0"/>
        <w:rPr>
          <w:rFonts w:ascii="宋体" w:hAnsi="宋体" w:eastAsia="宋体" w:cs="仿宋_GB2312"/>
          <w:b/>
          <w:snapToGrid w:val="0"/>
          <w:color w:val="000000" w:themeColor="text1"/>
          <w:spacing w:val="8"/>
          <w:kern w:val="0"/>
          <w:szCs w:val="21"/>
          <w14:textFill>
            <w14:solidFill>
              <w14:schemeClr w14:val="tx1"/>
            </w14:solidFill>
          </w14:textFill>
        </w:rPr>
      </w:pPr>
      <w:r>
        <w:rPr>
          <w:rFonts w:hint="eastAsia" w:ascii="宋体" w:hAnsi="宋体" w:eastAsia="宋体" w:cs="仿宋_GB2312"/>
          <w:b/>
          <w:snapToGrid w:val="0"/>
          <w:color w:val="000000" w:themeColor="text1"/>
          <w:spacing w:val="8"/>
          <w:kern w:val="0"/>
          <w:szCs w:val="21"/>
          <w:lang w:eastAsia="zh-CN"/>
          <w14:textFill>
            <w14:solidFill>
              <w14:schemeClr w14:val="tx1"/>
            </w14:solidFill>
          </w14:textFill>
        </w:rPr>
        <w:t>1.</w:t>
      </w:r>
      <w:r>
        <w:rPr>
          <w:rFonts w:hint="eastAsia" w:ascii="宋体" w:hAnsi="宋体" w:eastAsia="宋体" w:cs="仿宋_GB2312"/>
          <w:b/>
          <w:snapToGrid w:val="0"/>
          <w:color w:val="000000" w:themeColor="text1"/>
          <w:spacing w:val="8"/>
          <w:kern w:val="0"/>
          <w:szCs w:val="21"/>
          <w14:textFill>
            <w14:solidFill>
              <w14:schemeClr w14:val="tx1"/>
            </w14:solidFill>
          </w14:textFill>
        </w:rPr>
        <w:t>维护团队要求</w:t>
      </w:r>
    </w:p>
    <w:p w14:paraId="3D3E6F4D">
      <w:pPr>
        <w:autoSpaceDE w:val="0"/>
        <w:autoSpaceDN w:val="0"/>
        <w:adjustRightInd w:val="0"/>
        <w:spacing w:line="360" w:lineRule="auto"/>
        <w:ind w:firstLine="452" w:firstLineChars="20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1.1</w:t>
      </w:r>
      <w:r>
        <w:rPr>
          <w:rFonts w:hint="eastAsia" w:ascii="宋体" w:hAnsi="宋体" w:eastAsia="宋体" w:cs="仿宋_GB2312"/>
          <w:snapToGrid w:val="0"/>
          <w:color w:val="000000" w:themeColor="text1"/>
          <w:spacing w:val="8"/>
          <w:kern w:val="0"/>
          <w:szCs w:val="21"/>
          <w14:textFill>
            <w14:solidFill>
              <w14:schemeClr w14:val="tx1"/>
            </w14:solidFill>
          </w14:textFill>
        </w:rPr>
        <w:t>要求维护人员具有较高的网络技术维护水平及认真负责的工作态度。熟练掌握网络相关技术，能够处理常见的网络问题及故障。对各单位专网接入提供网络规划。</w:t>
      </w:r>
    </w:p>
    <w:p w14:paraId="09F81773">
      <w:pPr>
        <w:autoSpaceDE w:val="0"/>
        <w:autoSpaceDN w:val="0"/>
        <w:adjustRightInd w:val="0"/>
        <w:spacing w:line="360" w:lineRule="auto"/>
        <w:ind w:firstLine="452" w:firstLineChars="20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1.2</w:t>
      </w:r>
      <w:r>
        <w:rPr>
          <w:rFonts w:hint="eastAsia" w:ascii="宋体" w:hAnsi="宋体" w:eastAsia="宋体" w:cs="仿宋_GB2312"/>
          <w:snapToGrid w:val="0"/>
          <w:color w:val="000000" w:themeColor="text1"/>
          <w:spacing w:val="8"/>
          <w:kern w:val="0"/>
          <w:szCs w:val="21"/>
          <w14:textFill>
            <w14:solidFill>
              <w14:schemeClr w14:val="tx1"/>
            </w14:solidFill>
          </w14:textFill>
        </w:rPr>
        <w:t>要求具有相关专业较高技术水平的维护队伍，具有涵盖上述维护工作内容和技术要求所需要的专业技能，主要技术人员必须保持稳定，专职负责本项目工作。</w:t>
      </w:r>
    </w:p>
    <w:p w14:paraId="4FC93D59">
      <w:pPr>
        <w:autoSpaceDE w:val="0"/>
        <w:autoSpaceDN w:val="0"/>
        <w:adjustRightInd w:val="0"/>
        <w:spacing w:line="360" w:lineRule="auto"/>
        <w:ind w:firstLine="454" w:firstLineChars="200"/>
        <w:outlineLvl w:val="0"/>
        <w:rPr>
          <w:rFonts w:ascii="宋体" w:hAnsi="宋体" w:eastAsia="宋体" w:cs="仿宋_GB2312"/>
          <w:b/>
          <w:snapToGrid w:val="0"/>
          <w:color w:val="000000" w:themeColor="text1"/>
          <w:spacing w:val="8"/>
          <w:kern w:val="0"/>
          <w:szCs w:val="21"/>
          <w14:textFill>
            <w14:solidFill>
              <w14:schemeClr w14:val="tx1"/>
            </w14:solidFill>
          </w14:textFill>
        </w:rPr>
      </w:pPr>
      <w:r>
        <w:rPr>
          <w:rFonts w:hint="eastAsia" w:ascii="宋体" w:hAnsi="宋体" w:eastAsia="宋体" w:cs="仿宋_GB2312"/>
          <w:b/>
          <w:snapToGrid w:val="0"/>
          <w:color w:val="000000" w:themeColor="text1"/>
          <w:spacing w:val="8"/>
          <w:kern w:val="0"/>
          <w:szCs w:val="21"/>
          <w:lang w:eastAsia="zh-CN"/>
          <w14:textFill>
            <w14:solidFill>
              <w14:schemeClr w14:val="tx1"/>
            </w14:solidFill>
          </w14:textFill>
        </w:rPr>
        <w:t>2.</w:t>
      </w:r>
      <w:r>
        <w:rPr>
          <w:rFonts w:hint="eastAsia" w:ascii="宋体" w:hAnsi="宋体" w:eastAsia="宋体" w:cs="仿宋_GB2312"/>
          <w:b/>
          <w:snapToGrid w:val="0"/>
          <w:color w:val="000000" w:themeColor="text1"/>
          <w:spacing w:val="8"/>
          <w:kern w:val="0"/>
          <w:szCs w:val="21"/>
          <w14:textFill>
            <w14:solidFill>
              <w14:schemeClr w14:val="tx1"/>
            </w14:solidFill>
          </w14:textFill>
        </w:rPr>
        <w:t>维护服务方式</w:t>
      </w:r>
    </w:p>
    <w:p w14:paraId="7E71111E">
      <w:pPr>
        <w:autoSpaceDE w:val="0"/>
        <w:autoSpaceDN w:val="0"/>
        <w:adjustRightInd w:val="0"/>
        <w:spacing w:line="360" w:lineRule="auto"/>
        <w:ind w:firstLine="452" w:firstLineChars="20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2.1</w:t>
      </w:r>
      <w:r>
        <w:rPr>
          <w:rFonts w:hint="eastAsia" w:ascii="宋体" w:hAnsi="宋体" w:eastAsia="宋体" w:cs="仿宋_GB2312"/>
          <w:snapToGrid w:val="0"/>
          <w:color w:val="000000" w:themeColor="text1"/>
          <w:spacing w:val="8"/>
          <w:kern w:val="0"/>
          <w:szCs w:val="21"/>
          <w14:textFill>
            <w14:solidFill>
              <w14:schemeClr w14:val="tx1"/>
            </w14:solidFill>
          </w14:textFill>
        </w:rPr>
        <w:t>驻场维护：现场7×24小时驻场进行日常维护</w:t>
      </w:r>
      <w:r>
        <w:rPr>
          <w:rFonts w:hint="eastAsia" w:ascii="宋体" w:hAnsi="宋体" w:eastAsia="宋体" w:cs="仿宋_GB2312"/>
          <w:snapToGrid w:val="0"/>
          <w:color w:val="000000" w:themeColor="text1"/>
          <w:spacing w:val="8"/>
          <w:kern w:val="0"/>
          <w:szCs w:val="21"/>
          <w:lang w:eastAsia="zh-CN"/>
          <w14:textFill>
            <w14:solidFill>
              <w14:schemeClr w14:val="tx1"/>
            </w14:solidFill>
          </w14:textFill>
        </w:rPr>
        <w:t>，</w:t>
      </w:r>
      <w:r>
        <w:rPr>
          <w:rFonts w:hint="eastAsia" w:ascii="宋体" w:hAnsi="宋体" w:eastAsia="宋体" w:cs="仿宋_GB2312"/>
          <w:snapToGrid w:val="0"/>
          <w:color w:val="000000" w:themeColor="text1"/>
          <w:spacing w:val="8"/>
          <w:kern w:val="0"/>
          <w:szCs w:val="21"/>
          <w:lang w:val="en-US" w:eastAsia="zh-CN"/>
          <w14:textFill>
            <w14:solidFill>
              <w14:schemeClr w14:val="tx1"/>
            </w14:solidFill>
          </w14:textFill>
        </w:rPr>
        <w:t>驻场人员不低于3人</w:t>
      </w:r>
      <w:r>
        <w:rPr>
          <w:rFonts w:hint="eastAsia" w:ascii="宋体" w:hAnsi="宋体" w:eastAsia="宋体" w:cs="仿宋_GB2312"/>
          <w:snapToGrid w:val="0"/>
          <w:color w:val="000000" w:themeColor="text1"/>
          <w:spacing w:val="8"/>
          <w:kern w:val="0"/>
          <w:szCs w:val="21"/>
          <w14:textFill>
            <w14:solidFill>
              <w14:schemeClr w14:val="tx1"/>
            </w14:solidFill>
          </w14:textFill>
        </w:rPr>
        <w:t>；</w:t>
      </w:r>
    </w:p>
    <w:p w14:paraId="148153E6">
      <w:pPr>
        <w:autoSpaceDE w:val="0"/>
        <w:autoSpaceDN w:val="0"/>
        <w:adjustRightInd w:val="0"/>
        <w:spacing w:line="360" w:lineRule="auto"/>
        <w:ind w:firstLine="452" w:firstLineChars="20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2.2</w:t>
      </w:r>
      <w:r>
        <w:rPr>
          <w:rFonts w:hint="eastAsia" w:ascii="宋体" w:hAnsi="宋体" w:eastAsia="宋体" w:cs="仿宋_GB2312"/>
          <w:snapToGrid w:val="0"/>
          <w:color w:val="000000" w:themeColor="text1"/>
          <w:spacing w:val="8"/>
          <w:kern w:val="0"/>
          <w:szCs w:val="21"/>
          <w14:textFill>
            <w14:solidFill>
              <w14:schemeClr w14:val="tx1"/>
            </w14:solidFill>
          </w14:textFill>
        </w:rPr>
        <w:t>远程维护：其他专业技术人员利用网络或电话提供7×24小时远程在线技术支持。</w:t>
      </w:r>
    </w:p>
    <w:p w14:paraId="669C9CDA">
      <w:pPr>
        <w:autoSpaceDE w:val="0"/>
        <w:autoSpaceDN w:val="0"/>
        <w:adjustRightInd w:val="0"/>
        <w:spacing w:line="360" w:lineRule="auto"/>
        <w:ind w:firstLine="454" w:firstLineChars="200"/>
        <w:outlineLvl w:val="0"/>
        <w:rPr>
          <w:rFonts w:ascii="宋体" w:hAnsi="宋体" w:eastAsia="宋体" w:cs="仿宋_GB2312"/>
          <w:b/>
          <w:snapToGrid w:val="0"/>
          <w:color w:val="000000" w:themeColor="text1"/>
          <w:spacing w:val="8"/>
          <w:kern w:val="0"/>
          <w:szCs w:val="21"/>
          <w14:textFill>
            <w14:solidFill>
              <w14:schemeClr w14:val="tx1"/>
            </w14:solidFill>
          </w14:textFill>
        </w:rPr>
      </w:pPr>
      <w:r>
        <w:rPr>
          <w:rFonts w:hint="eastAsia" w:ascii="宋体" w:hAnsi="宋体" w:eastAsia="宋体" w:cs="仿宋_GB2312"/>
          <w:b/>
          <w:snapToGrid w:val="0"/>
          <w:color w:val="000000" w:themeColor="text1"/>
          <w:spacing w:val="8"/>
          <w:kern w:val="0"/>
          <w:szCs w:val="21"/>
          <w:lang w:eastAsia="zh-CN"/>
          <w14:textFill>
            <w14:solidFill>
              <w14:schemeClr w14:val="tx1"/>
            </w14:solidFill>
          </w14:textFill>
        </w:rPr>
        <w:t>3.</w:t>
      </w:r>
      <w:r>
        <w:rPr>
          <w:rFonts w:hint="eastAsia" w:ascii="宋体" w:hAnsi="宋体" w:eastAsia="宋体" w:cs="仿宋_GB2312"/>
          <w:b/>
          <w:snapToGrid w:val="0"/>
          <w:color w:val="000000" w:themeColor="text1"/>
          <w:spacing w:val="8"/>
          <w:kern w:val="0"/>
          <w:szCs w:val="21"/>
          <w14:textFill>
            <w14:solidFill>
              <w14:schemeClr w14:val="tx1"/>
            </w14:solidFill>
          </w14:textFill>
        </w:rPr>
        <w:t>维护计划</w:t>
      </w:r>
    </w:p>
    <w:p w14:paraId="30F3C3D1">
      <w:pPr>
        <w:autoSpaceDE w:val="0"/>
        <w:autoSpaceDN w:val="0"/>
        <w:adjustRightInd w:val="0"/>
        <w:spacing w:line="360" w:lineRule="auto"/>
        <w:ind w:firstLine="452" w:firstLineChars="200"/>
        <w:rPr>
          <w:rFonts w:ascii="宋体" w:hAnsi="宋体" w:eastAsia="宋体" w:cs="仿宋_GB2312"/>
          <w:snapToGrid w:val="0"/>
          <w:color w:val="000000" w:themeColor="text1"/>
          <w:spacing w:val="8"/>
          <w:kern w:val="0"/>
          <w:szCs w:val="21"/>
          <w14:textFill>
            <w14:solidFill>
              <w14:schemeClr w14:val="tx1"/>
            </w14:solidFill>
          </w14:textFill>
        </w:rPr>
      </w:pPr>
      <w:r>
        <w:rPr>
          <w:rFonts w:hint="eastAsia" w:ascii="宋体" w:hAnsi="宋体" w:eastAsia="宋体" w:cs="仿宋_GB2312"/>
          <w:snapToGrid w:val="0"/>
          <w:color w:val="000000" w:themeColor="text1"/>
          <w:spacing w:val="8"/>
          <w:kern w:val="0"/>
          <w:szCs w:val="21"/>
          <w14:textFill>
            <w14:solidFill>
              <w14:schemeClr w14:val="tx1"/>
            </w14:solidFill>
          </w14:textFill>
        </w:rPr>
        <w:t>制定切实可行的维护服务工作计划，并每月提供维护服务报告。</w:t>
      </w:r>
    </w:p>
    <w:p w14:paraId="169DD2B0">
      <w:pPr>
        <w:autoSpaceDE w:val="0"/>
        <w:autoSpaceDN w:val="0"/>
        <w:adjustRightInd w:val="0"/>
        <w:spacing w:line="360" w:lineRule="auto"/>
        <w:ind w:firstLine="454" w:firstLineChars="200"/>
        <w:outlineLvl w:val="0"/>
        <w:rPr>
          <w:rFonts w:ascii="宋体" w:hAnsi="宋体" w:eastAsia="宋体" w:cs="仿宋_GB2312"/>
          <w:b/>
          <w:snapToGrid w:val="0"/>
          <w:color w:val="000000" w:themeColor="text1"/>
          <w:spacing w:val="8"/>
          <w:kern w:val="0"/>
          <w:szCs w:val="21"/>
          <w14:textFill>
            <w14:solidFill>
              <w14:schemeClr w14:val="tx1"/>
            </w14:solidFill>
          </w14:textFill>
        </w:rPr>
      </w:pPr>
      <w:r>
        <w:rPr>
          <w:rFonts w:hint="eastAsia" w:ascii="宋体" w:hAnsi="宋体" w:eastAsia="宋体" w:cs="仿宋_GB2312"/>
          <w:b/>
          <w:snapToGrid w:val="0"/>
          <w:color w:val="000000" w:themeColor="text1"/>
          <w:spacing w:val="8"/>
          <w:kern w:val="0"/>
          <w:szCs w:val="21"/>
          <w:lang w:eastAsia="zh-CN"/>
          <w14:textFill>
            <w14:solidFill>
              <w14:schemeClr w14:val="tx1"/>
            </w14:solidFill>
          </w14:textFill>
        </w:rPr>
        <w:t>4.</w:t>
      </w:r>
      <w:r>
        <w:rPr>
          <w:rFonts w:hint="eastAsia" w:ascii="宋体" w:hAnsi="宋体" w:eastAsia="宋体" w:cs="仿宋_GB2312"/>
          <w:b/>
          <w:snapToGrid w:val="0"/>
          <w:color w:val="000000" w:themeColor="text1"/>
          <w:spacing w:val="8"/>
          <w:kern w:val="0"/>
          <w:szCs w:val="21"/>
          <w14:textFill>
            <w14:solidFill>
              <w14:schemeClr w14:val="tx1"/>
            </w14:solidFill>
          </w14:textFill>
        </w:rPr>
        <w:t>维护服务质量保证及措施</w:t>
      </w:r>
    </w:p>
    <w:p w14:paraId="385E254E">
      <w:pPr>
        <w:autoSpaceDE w:val="0"/>
        <w:autoSpaceDN w:val="0"/>
        <w:adjustRightInd w:val="0"/>
        <w:spacing w:line="360" w:lineRule="auto"/>
        <w:ind w:firstLine="452" w:firstLineChars="200"/>
        <w:outlineLvl w:val="0"/>
        <w:rPr>
          <w:rFonts w:hint="eastAsia"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4.1</w:t>
      </w:r>
      <w:r>
        <w:rPr>
          <w:rFonts w:hint="eastAsia" w:ascii="宋体" w:hAnsi="宋体" w:eastAsia="宋体" w:cs="仿宋_GB2312"/>
          <w:snapToGrid w:val="0"/>
          <w:color w:val="000000" w:themeColor="text1"/>
          <w:spacing w:val="8"/>
          <w:kern w:val="0"/>
          <w:szCs w:val="21"/>
          <w14:textFill>
            <w14:solidFill>
              <w14:schemeClr w14:val="tx1"/>
            </w14:solidFill>
          </w14:textFill>
        </w:rPr>
        <w:t>服从采购人在特殊、应急情况下的调度。</w:t>
      </w:r>
    </w:p>
    <w:p w14:paraId="18AD1449">
      <w:pPr>
        <w:autoSpaceDE w:val="0"/>
        <w:autoSpaceDN w:val="0"/>
        <w:adjustRightInd w:val="0"/>
        <w:spacing w:line="360" w:lineRule="auto"/>
        <w:ind w:firstLine="452" w:firstLineChars="200"/>
        <w:outlineLvl w:val="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4.2</w:t>
      </w:r>
      <w:r>
        <w:rPr>
          <w:rFonts w:hint="eastAsia" w:ascii="宋体" w:hAnsi="宋体" w:eastAsia="宋体" w:cs="仿宋_GB2312"/>
          <w:snapToGrid w:val="0"/>
          <w:color w:val="000000" w:themeColor="text1"/>
          <w:spacing w:val="8"/>
          <w:kern w:val="0"/>
          <w:szCs w:val="21"/>
          <w14:textFill>
            <w14:solidFill>
              <w14:schemeClr w14:val="tx1"/>
            </w14:solidFill>
          </w14:textFill>
        </w:rPr>
        <w:t>遇特殊任务需要增加相关专业及相应数量的技术人员时，应确保满足。</w:t>
      </w:r>
    </w:p>
    <w:p w14:paraId="5AB3B373">
      <w:pPr>
        <w:autoSpaceDE w:val="0"/>
        <w:autoSpaceDN w:val="0"/>
        <w:adjustRightInd w:val="0"/>
        <w:spacing w:line="360" w:lineRule="auto"/>
        <w:ind w:firstLine="452" w:firstLineChars="200"/>
        <w:outlineLvl w:val="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4.3</w:t>
      </w:r>
      <w:r>
        <w:rPr>
          <w:rFonts w:hint="eastAsia" w:ascii="宋体" w:hAnsi="宋体" w:eastAsia="宋体" w:cs="仿宋_GB2312"/>
          <w:snapToGrid w:val="0"/>
          <w:color w:val="000000" w:themeColor="text1"/>
          <w:spacing w:val="8"/>
          <w:kern w:val="0"/>
          <w:szCs w:val="21"/>
          <w14:textFill>
            <w14:solidFill>
              <w14:schemeClr w14:val="tx1"/>
            </w14:solidFill>
          </w14:textFill>
        </w:rPr>
        <w:t>制定相关工作流程和工作制度。</w:t>
      </w:r>
    </w:p>
    <w:p w14:paraId="5DD50630">
      <w:pPr>
        <w:autoSpaceDE w:val="0"/>
        <w:autoSpaceDN w:val="0"/>
        <w:adjustRightInd w:val="0"/>
        <w:spacing w:line="360" w:lineRule="auto"/>
        <w:ind w:firstLine="452" w:firstLineChars="200"/>
        <w:outlineLvl w:val="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4.</w:t>
      </w:r>
      <w:r>
        <w:rPr>
          <w:rFonts w:hint="eastAsia" w:ascii="宋体" w:hAnsi="宋体" w:eastAsia="宋体" w:cs="仿宋_GB2312"/>
          <w:snapToGrid w:val="0"/>
          <w:color w:val="000000" w:themeColor="text1"/>
          <w:spacing w:val="8"/>
          <w:kern w:val="0"/>
          <w:szCs w:val="21"/>
          <w:lang w:val="en-US" w:eastAsia="zh-CN"/>
          <w14:textFill>
            <w14:solidFill>
              <w14:schemeClr w14:val="tx1"/>
            </w14:solidFill>
          </w14:textFill>
        </w:rPr>
        <w:t>4</w:t>
      </w:r>
      <w:r>
        <w:rPr>
          <w:rFonts w:hint="eastAsia" w:ascii="宋体" w:hAnsi="宋体" w:eastAsia="宋体" w:cs="仿宋_GB2312"/>
          <w:snapToGrid w:val="0"/>
          <w:color w:val="000000" w:themeColor="text1"/>
          <w:spacing w:val="8"/>
          <w:kern w:val="0"/>
          <w:szCs w:val="21"/>
          <w14:textFill>
            <w14:solidFill>
              <w14:schemeClr w14:val="tx1"/>
            </w14:solidFill>
          </w14:textFill>
        </w:rPr>
        <w:t>对维护质量定期进行用户满意度测评，要求满意度不低于90%。</w:t>
      </w:r>
    </w:p>
    <w:p w14:paraId="60F9CFDB">
      <w:pPr>
        <w:autoSpaceDE w:val="0"/>
        <w:autoSpaceDN w:val="0"/>
        <w:adjustRightInd w:val="0"/>
        <w:spacing w:line="360" w:lineRule="auto"/>
        <w:ind w:firstLine="452" w:firstLineChars="200"/>
        <w:outlineLvl w:val="0"/>
        <w:rPr>
          <w:rFonts w:ascii="宋体" w:hAnsi="宋体" w:eastAsia="宋体" w:cs="仿宋_GB2312"/>
          <w:snapToGrid w:val="0"/>
          <w:color w:val="000000" w:themeColor="text1"/>
          <w:spacing w:val="8"/>
          <w:kern w:val="0"/>
          <w:szCs w:val="21"/>
          <w14:textFill>
            <w14:solidFill>
              <w14:schemeClr w14:val="tx1"/>
            </w14:solidFill>
          </w14:textFill>
        </w:rPr>
      </w:pPr>
      <w:r>
        <w:rPr>
          <w:rFonts w:ascii="宋体" w:hAnsi="宋体" w:eastAsia="宋体" w:cs="仿宋_GB2312"/>
          <w:snapToGrid w:val="0"/>
          <w:color w:val="000000" w:themeColor="text1"/>
          <w:spacing w:val="8"/>
          <w:kern w:val="0"/>
          <w:szCs w:val="21"/>
          <w14:textFill>
            <w14:solidFill>
              <w14:schemeClr w14:val="tx1"/>
            </w14:solidFill>
          </w14:textFill>
        </w:rPr>
        <w:t>4.</w:t>
      </w:r>
      <w:r>
        <w:rPr>
          <w:rFonts w:hint="eastAsia" w:ascii="宋体" w:hAnsi="宋体" w:eastAsia="宋体" w:cs="仿宋_GB2312"/>
          <w:snapToGrid w:val="0"/>
          <w:color w:val="000000" w:themeColor="text1"/>
          <w:spacing w:val="8"/>
          <w:kern w:val="0"/>
          <w:szCs w:val="21"/>
          <w:lang w:val="en-US" w:eastAsia="zh-CN"/>
          <w14:textFill>
            <w14:solidFill>
              <w14:schemeClr w14:val="tx1"/>
            </w14:solidFill>
          </w14:textFill>
        </w:rPr>
        <w:t>5</w:t>
      </w:r>
      <w:r>
        <w:rPr>
          <w:rFonts w:hint="eastAsia" w:ascii="宋体" w:hAnsi="宋体" w:eastAsia="宋体" w:cs="仿宋_GB2312"/>
          <w:snapToGrid w:val="0"/>
          <w:color w:val="000000" w:themeColor="text1"/>
          <w:spacing w:val="8"/>
          <w:kern w:val="0"/>
          <w:szCs w:val="21"/>
          <w14:textFill>
            <w14:solidFill>
              <w14:schemeClr w14:val="tx1"/>
            </w14:solidFill>
          </w14:textFill>
        </w:rPr>
        <w:t>通过定期座谈了解用户需求和用户意见，制定相应改进措施。</w:t>
      </w:r>
    </w:p>
    <w:p w14:paraId="1A393688">
      <w:pPr>
        <w:autoSpaceDE w:val="0"/>
        <w:autoSpaceDN w:val="0"/>
        <w:adjustRightInd w:val="0"/>
        <w:spacing w:line="360" w:lineRule="auto"/>
        <w:ind w:firstLine="452" w:firstLineChars="200"/>
        <w:outlineLvl w:val="0"/>
        <w:rPr>
          <w:rFonts w:hint="eastAsia" w:ascii="宋体" w:hAnsi="宋体" w:eastAsia="宋体" w:cs="仿宋_GB2312"/>
          <w:snapToGrid w:val="0"/>
          <w:color w:val="000000" w:themeColor="text1"/>
          <w:spacing w:val="8"/>
          <w:kern w:val="0"/>
          <w:szCs w:val="21"/>
          <w14:textFill>
            <w14:solidFill>
              <w14:schemeClr w14:val="tx1"/>
            </w14:solidFill>
          </w14:textFill>
        </w:rPr>
      </w:pPr>
      <w:r>
        <w:rPr>
          <w:rFonts w:hint="eastAsia" w:ascii="宋体" w:hAnsi="宋体" w:eastAsia="宋体" w:cs="仿宋_GB2312"/>
          <w:snapToGrid w:val="0"/>
          <w:color w:val="000000" w:themeColor="text1"/>
          <w:spacing w:val="8"/>
          <w:kern w:val="0"/>
          <w:szCs w:val="21"/>
          <w14:textFill>
            <w14:solidFill>
              <w14:schemeClr w14:val="tx1"/>
            </w14:solidFill>
          </w14:textFill>
        </w:rPr>
        <w:t>4.</w:t>
      </w:r>
      <w:r>
        <w:rPr>
          <w:rFonts w:hint="eastAsia" w:ascii="宋体" w:hAnsi="宋体" w:eastAsia="宋体" w:cs="仿宋_GB2312"/>
          <w:snapToGrid w:val="0"/>
          <w:color w:val="000000" w:themeColor="text1"/>
          <w:spacing w:val="8"/>
          <w:kern w:val="0"/>
          <w:szCs w:val="21"/>
          <w:lang w:val="en-US" w:eastAsia="zh-CN"/>
          <w14:textFill>
            <w14:solidFill>
              <w14:schemeClr w14:val="tx1"/>
            </w14:solidFill>
          </w14:textFill>
        </w:rPr>
        <w:t>6</w:t>
      </w:r>
      <w:r>
        <w:rPr>
          <w:rFonts w:hint="eastAsia" w:ascii="宋体" w:hAnsi="宋体" w:eastAsia="宋体" w:cs="仿宋_GB2312"/>
          <w:snapToGrid w:val="0"/>
          <w:color w:val="000000" w:themeColor="text1"/>
          <w:spacing w:val="8"/>
          <w:kern w:val="0"/>
          <w:szCs w:val="21"/>
          <w14:textFill>
            <w14:solidFill>
              <w14:schemeClr w14:val="tx1"/>
            </w14:solidFill>
          </w14:textFill>
        </w:rPr>
        <w:t>中标方自行购买网络维护所需软件及工具，费用自理。购买前需与采购人沟通，保证能够达到采购人需求。</w:t>
      </w:r>
    </w:p>
    <w:p w14:paraId="1CA06A1F">
      <w:pPr>
        <w:autoSpaceDE w:val="0"/>
        <w:autoSpaceDN w:val="0"/>
        <w:adjustRightInd w:val="0"/>
        <w:spacing w:line="360" w:lineRule="auto"/>
        <w:ind w:firstLine="452" w:firstLineChars="200"/>
        <w:outlineLvl w:val="0"/>
        <w:rPr>
          <w:rFonts w:hint="eastAsia" w:ascii="宋体" w:hAnsi="宋体" w:eastAsia="宋体" w:cs="仿宋_GB2312"/>
          <w:snapToGrid w:val="0"/>
          <w:color w:val="000000" w:themeColor="text1"/>
          <w:spacing w:val="8"/>
          <w:kern w:val="0"/>
          <w:szCs w:val="21"/>
          <w14:textFill>
            <w14:solidFill>
              <w14:schemeClr w14:val="tx1"/>
            </w14:solidFill>
          </w14:textFill>
        </w:rPr>
      </w:pPr>
      <w:r>
        <w:rPr>
          <w:rFonts w:hint="eastAsia" w:ascii="宋体" w:hAnsi="宋体" w:eastAsia="宋体" w:cs="仿宋_GB2312"/>
          <w:snapToGrid w:val="0"/>
          <w:color w:val="000000" w:themeColor="text1"/>
          <w:spacing w:val="8"/>
          <w:kern w:val="0"/>
          <w:szCs w:val="21"/>
          <w14:textFill>
            <w14:solidFill>
              <w14:schemeClr w14:val="tx1"/>
            </w14:solidFill>
          </w14:textFill>
        </w:rPr>
        <w:t>4.</w:t>
      </w:r>
      <w:r>
        <w:rPr>
          <w:rFonts w:hint="eastAsia" w:ascii="宋体" w:hAnsi="宋体" w:eastAsia="宋体" w:cs="仿宋_GB2312"/>
          <w:snapToGrid w:val="0"/>
          <w:color w:val="000000" w:themeColor="text1"/>
          <w:spacing w:val="8"/>
          <w:kern w:val="0"/>
          <w:szCs w:val="21"/>
          <w:lang w:val="en-US" w:eastAsia="zh-CN"/>
          <w14:textFill>
            <w14:solidFill>
              <w14:schemeClr w14:val="tx1"/>
            </w14:solidFill>
          </w14:textFill>
        </w:rPr>
        <w:t>7</w:t>
      </w:r>
      <w:r>
        <w:rPr>
          <w:rFonts w:hint="eastAsia" w:ascii="宋体" w:hAnsi="宋体" w:eastAsia="宋体" w:cs="仿宋_GB2312"/>
          <w:snapToGrid w:val="0"/>
          <w:color w:val="000000" w:themeColor="text1"/>
          <w:spacing w:val="8"/>
          <w:kern w:val="0"/>
          <w:szCs w:val="21"/>
          <w14:textFill>
            <w14:solidFill>
              <w14:schemeClr w14:val="tx1"/>
            </w14:solidFill>
          </w14:textFill>
        </w:rPr>
        <w:t>中标方采购互联网线路前需与采购人沟通，保证线路质量及带宽，允许后方能采购。</w:t>
      </w:r>
    </w:p>
    <w:p w14:paraId="6D31D697">
      <w:pPr>
        <w:autoSpaceDE w:val="0"/>
        <w:autoSpaceDN w:val="0"/>
        <w:adjustRightInd w:val="0"/>
        <w:spacing w:line="360" w:lineRule="auto"/>
        <w:ind w:firstLine="452" w:firstLineChars="200"/>
        <w:outlineLvl w:val="0"/>
        <w:rPr>
          <w:rFonts w:hint="default" w:ascii="宋体" w:hAnsi="宋体" w:eastAsia="宋体" w:cs="仿宋_GB2312"/>
          <w:snapToGrid w:val="0"/>
          <w:color w:val="000000" w:themeColor="text1"/>
          <w:spacing w:val="8"/>
          <w:kern w:val="0"/>
          <w:szCs w:val="21"/>
          <w:lang w:val="en-US" w:eastAsia="zh-CN"/>
          <w14:textFill>
            <w14:solidFill>
              <w14:schemeClr w14:val="tx1"/>
            </w14:solidFill>
          </w14:textFill>
        </w:rPr>
      </w:pPr>
      <w:r>
        <w:rPr>
          <w:rFonts w:hint="eastAsia" w:ascii="宋体" w:hAnsi="宋体" w:eastAsia="宋体" w:cs="仿宋_GB2312"/>
          <w:snapToGrid w:val="0"/>
          <w:color w:val="000000" w:themeColor="text1"/>
          <w:spacing w:val="8"/>
          <w:kern w:val="0"/>
          <w:szCs w:val="21"/>
          <w:lang w:val="en-US" w:eastAsia="zh-CN"/>
          <w14:textFill>
            <w14:solidFill>
              <w14:schemeClr w14:val="tx1"/>
            </w14:solidFill>
          </w14:textFill>
        </w:rPr>
        <w:t>4.8维护团队实行双重管理机制，同时接受市政府主管部门及采购人（业主）的监督管理，必须严格遵循国家相关法律法规、行业规范开展运维工作。日常运维涉及所有管理软件平台的最终所有权和解释权均归属于采购人。</w:t>
      </w:r>
    </w:p>
    <w:p w14:paraId="04F17DEC">
      <w:pPr>
        <w:autoSpaceDE w:val="0"/>
        <w:autoSpaceDN w:val="0"/>
        <w:adjustRightInd w:val="0"/>
        <w:spacing w:line="360" w:lineRule="auto"/>
        <w:ind w:firstLine="452" w:firstLineChars="200"/>
        <w:outlineLvl w:val="0"/>
        <w:rPr>
          <w:rFonts w:hint="eastAsia" w:ascii="宋体" w:hAnsi="宋体" w:eastAsia="宋体" w:cs="仿宋_GB2312"/>
          <w:snapToGrid w:val="0"/>
          <w:color w:val="000000" w:themeColor="text1"/>
          <w:spacing w:val="8"/>
          <w:kern w:val="0"/>
          <w:szCs w:val="21"/>
          <w14:textFill>
            <w14:solidFill>
              <w14:schemeClr w14:val="tx1"/>
            </w14:solidFill>
          </w14:textFill>
        </w:rPr>
      </w:pPr>
      <w:r>
        <w:rPr>
          <w:rFonts w:hint="eastAsia" w:ascii="宋体" w:hAnsi="宋体" w:eastAsia="宋体" w:cs="仿宋_GB2312"/>
          <w:snapToGrid w:val="0"/>
          <w:color w:val="000000" w:themeColor="text1"/>
          <w:spacing w:val="8"/>
          <w:kern w:val="0"/>
          <w:szCs w:val="21"/>
          <w:lang w:val="en-US" w:eastAsia="zh-CN"/>
          <w14:textFill>
            <w14:solidFill>
              <w14:schemeClr w14:val="tx1"/>
            </w14:solidFill>
          </w14:textFill>
        </w:rPr>
        <w:t>4.9以上</w:t>
      </w:r>
      <w:r>
        <w:rPr>
          <w:rFonts w:hint="eastAsia" w:ascii="宋体" w:hAnsi="宋体" w:eastAsia="宋体" w:cs="仿宋_GB2312"/>
          <w:snapToGrid w:val="0"/>
          <w:color w:val="000000" w:themeColor="text1"/>
          <w:spacing w:val="8"/>
          <w:kern w:val="0"/>
          <w:szCs w:val="21"/>
          <w14:textFill>
            <w14:solidFill>
              <w14:schemeClr w14:val="tx1"/>
            </w14:solidFill>
          </w14:textFill>
        </w:rPr>
        <w:t>所列需求为最低要求，投标人不得低于此要求，否则为无效投标。</w:t>
      </w:r>
    </w:p>
    <w:p w14:paraId="0ABFA3FC">
      <w:pPr>
        <w:spacing w:line="440" w:lineRule="exact"/>
        <w:contextualSpacing/>
        <w:rPr>
          <w:rFonts w:ascii="宋体" w:hAnsi="宋体"/>
          <w:b/>
          <w:szCs w:val="21"/>
        </w:rPr>
      </w:pPr>
      <w:r>
        <w:rPr>
          <w:rFonts w:hint="eastAsia" w:ascii="宋体" w:hAnsi="宋体"/>
          <w:b/>
          <w:szCs w:val="21"/>
        </w:rPr>
        <w:t>五、采购标的的其他技术、服务等要求</w:t>
      </w:r>
    </w:p>
    <w:p w14:paraId="716AE15C">
      <w:pPr>
        <w:spacing w:line="360" w:lineRule="auto"/>
        <w:ind w:firstLine="420" w:firstLineChars="200"/>
        <w:jc w:val="left"/>
        <w:rPr>
          <w:rFonts w:ascii="宋体" w:hAnsi="宋体" w:eastAsia="宋体"/>
          <w:kern w:val="0"/>
          <w:szCs w:val="21"/>
          <w:lang w:val="zh-CN"/>
        </w:rPr>
      </w:pPr>
      <w:r>
        <w:rPr>
          <w:rFonts w:hint="eastAsia" w:ascii="宋体" w:hAnsi="宋体" w:eastAsia="宋体"/>
          <w:kern w:val="0"/>
          <w:szCs w:val="21"/>
          <w:lang w:eastAsia="zh-CN"/>
        </w:rPr>
        <w:t>1.</w:t>
      </w:r>
      <w:r>
        <w:rPr>
          <w:rFonts w:hint="eastAsia" w:ascii="宋体" w:hAnsi="宋体" w:eastAsia="宋体"/>
          <w:kern w:val="0"/>
          <w:szCs w:val="21"/>
        </w:rPr>
        <w:t>投标人应就本项目完整投标，报价含税费等综合费用，否则为无效投标。</w:t>
      </w:r>
    </w:p>
    <w:p w14:paraId="74C40A1F">
      <w:pPr>
        <w:spacing w:line="360" w:lineRule="auto"/>
        <w:ind w:firstLine="420" w:firstLineChars="200"/>
        <w:jc w:val="left"/>
        <w:rPr>
          <w:rFonts w:ascii="新宋体" w:hAnsi="新宋体" w:eastAsia="新宋体" w:cs="新宋体"/>
          <w:szCs w:val="21"/>
          <w:lang w:val="zh-CN"/>
        </w:rPr>
      </w:pPr>
      <w:r>
        <w:rPr>
          <w:rFonts w:hint="eastAsia" w:ascii="新宋体" w:hAnsi="新宋体" w:eastAsia="新宋体" w:cs="新宋体"/>
          <w:szCs w:val="21"/>
          <w:lang w:val="zh-CN"/>
        </w:rPr>
        <w:t>2.本招标文件所列需求为最低要求，投标人不得低于此要求，否则为无效投标。</w:t>
      </w:r>
    </w:p>
    <w:p w14:paraId="19F94FD3">
      <w:pPr>
        <w:spacing w:line="360" w:lineRule="auto"/>
        <w:ind w:firstLine="420" w:firstLineChars="200"/>
        <w:rPr>
          <w:rFonts w:ascii="宋体" w:hAnsi="宋体" w:eastAsia="宋体"/>
          <w:kern w:val="0"/>
          <w:szCs w:val="21"/>
        </w:rPr>
      </w:pPr>
      <w:r>
        <w:rPr>
          <w:rFonts w:hint="eastAsia" w:ascii="宋体" w:hAnsi="宋体" w:eastAsia="宋体"/>
          <w:kern w:val="0"/>
          <w:szCs w:val="21"/>
          <w:lang w:eastAsia="zh-CN"/>
        </w:rPr>
        <w:t>3.</w:t>
      </w:r>
      <w:r>
        <w:rPr>
          <w:rFonts w:ascii="宋体" w:hAnsi="宋体" w:eastAsia="宋体"/>
          <w:kern w:val="0"/>
          <w:szCs w:val="21"/>
        </w:rPr>
        <w:t>由于电子政务外网的互联网出口主要传输采用了国家基础互联网运营商的物理链路，所以</w:t>
      </w:r>
      <w:r>
        <w:rPr>
          <w:rFonts w:hint="eastAsia" w:ascii="宋体" w:hAnsi="宋体" w:eastAsia="宋体"/>
          <w:kern w:val="0"/>
          <w:szCs w:val="21"/>
          <w:lang w:val="en-US" w:eastAsia="zh-CN"/>
        </w:rPr>
        <w:t>投标人</w:t>
      </w:r>
      <w:r>
        <w:rPr>
          <w:rFonts w:ascii="宋体" w:hAnsi="宋体" w:eastAsia="宋体"/>
          <w:kern w:val="0"/>
          <w:szCs w:val="21"/>
        </w:rPr>
        <w:t>应有能力完成互联网线路的接入工作。</w:t>
      </w:r>
      <w:r>
        <w:rPr>
          <w:rFonts w:hint="eastAsia" w:ascii="宋体" w:hAnsi="宋体" w:eastAsia="宋体"/>
          <w:kern w:val="0"/>
          <w:szCs w:val="21"/>
        </w:rPr>
        <w:t>并对此项做出承诺，</w:t>
      </w:r>
      <w:r>
        <w:rPr>
          <w:rFonts w:hint="eastAsia" w:ascii="新宋体" w:hAnsi="新宋体" w:eastAsia="新宋体" w:cs="新宋体"/>
          <w:szCs w:val="21"/>
          <w:lang w:val="zh-CN"/>
        </w:rPr>
        <w:t>否则为无效投标。</w:t>
      </w:r>
    </w:p>
    <w:p w14:paraId="143E421A">
      <w:pPr>
        <w:spacing w:line="360" w:lineRule="auto"/>
        <w:ind w:firstLine="420" w:firstLineChars="200"/>
        <w:jc w:val="left"/>
        <w:rPr>
          <w:rFonts w:hint="eastAsia" w:ascii="新宋体" w:hAnsi="新宋体" w:eastAsia="新宋体" w:cs="新宋体"/>
          <w:szCs w:val="21"/>
          <w:lang w:val="zh-CN"/>
        </w:rPr>
      </w:pPr>
      <w:r>
        <w:rPr>
          <w:rFonts w:hint="eastAsia" w:ascii="新宋体" w:hAnsi="新宋体" w:eastAsia="新宋体" w:cs="新宋体"/>
          <w:szCs w:val="21"/>
          <w:lang w:val="zh-CN"/>
        </w:rPr>
        <w:t>4.由于电子政务外网与各单位的日常办公息息相关，因此</w:t>
      </w:r>
      <w:r>
        <w:rPr>
          <w:rFonts w:hint="eastAsia" w:ascii="新宋体" w:hAnsi="新宋体" w:eastAsia="新宋体" w:cs="新宋体"/>
          <w:szCs w:val="21"/>
          <w:lang w:val="en-US" w:eastAsia="zh-CN"/>
        </w:rPr>
        <w:t>投标人</w:t>
      </w:r>
      <w:r>
        <w:rPr>
          <w:rFonts w:hint="eastAsia" w:ascii="新宋体" w:hAnsi="新宋体" w:eastAsia="新宋体" w:cs="新宋体"/>
          <w:szCs w:val="21"/>
          <w:lang w:val="zh-CN"/>
        </w:rPr>
        <w:t>应具有信息的安全保障能力。并对此项做出承诺，否则为无效投标。</w:t>
      </w:r>
    </w:p>
    <w:p w14:paraId="26A54023">
      <w:pPr>
        <w:spacing w:line="360" w:lineRule="auto"/>
        <w:ind w:firstLine="420" w:firstLineChars="200"/>
        <w:jc w:val="left"/>
        <w:rPr>
          <w:rFonts w:hint="eastAsia" w:ascii="新宋体" w:hAnsi="新宋体" w:eastAsia="新宋体" w:cs="新宋体"/>
          <w:szCs w:val="21"/>
          <w:lang w:val="zh-CN"/>
        </w:rPr>
      </w:pPr>
      <w:r>
        <w:rPr>
          <w:rFonts w:hint="eastAsia" w:ascii="新宋体" w:hAnsi="新宋体" w:eastAsia="新宋体" w:cs="新宋体"/>
          <w:szCs w:val="21"/>
          <w:lang w:val="en-US" w:eastAsia="zh-CN"/>
        </w:rPr>
        <w:t>5.</w:t>
      </w:r>
      <w:r>
        <w:rPr>
          <w:rFonts w:hint="eastAsia" w:ascii="新宋体" w:hAnsi="新宋体" w:eastAsia="新宋体" w:cs="新宋体"/>
          <w:szCs w:val="21"/>
          <w:lang w:val="zh-CN"/>
        </w:rPr>
        <w:t>投标文件中须有详细的运维实施（技术）方案，否则为无效投标。</w:t>
      </w:r>
    </w:p>
    <w:p w14:paraId="3693FA5D">
      <w:pPr>
        <w:spacing w:line="360" w:lineRule="auto"/>
        <w:ind w:firstLine="420" w:firstLineChars="200"/>
        <w:jc w:val="left"/>
        <w:rPr>
          <w:rFonts w:hint="eastAsia" w:ascii="新宋体" w:hAnsi="新宋体" w:eastAsia="新宋体" w:cs="新宋体"/>
          <w:szCs w:val="21"/>
          <w:lang w:val="zh-CN" w:eastAsia="zh-CN"/>
        </w:rPr>
      </w:pPr>
      <w:r>
        <w:rPr>
          <w:rFonts w:hint="eastAsia" w:ascii="新宋体" w:hAnsi="新宋体" w:eastAsia="新宋体" w:cs="新宋体"/>
          <w:szCs w:val="21"/>
          <w:lang w:val="en-US" w:eastAsia="zh-CN"/>
        </w:rPr>
        <w:t>6.</w:t>
      </w:r>
      <w:r>
        <w:rPr>
          <w:rFonts w:hint="eastAsia" w:ascii="新宋体" w:hAnsi="新宋体" w:eastAsia="新宋体" w:cs="新宋体"/>
          <w:szCs w:val="21"/>
          <w:lang w:val="zh-CN"/>
        </w:rPr>
        <w:t>软件测试：</w:t>
      </w:r>
      <w:r>
        <w:rPr>
          <w:rFonts w:hint="eastAsia" w:ascii="新宋体" w:hAnsi="新宋体" w:eastAsia="新宋体" w:cs="新宋体"/>
          <w:szCs w:val="21"/>
          <w:lang w:val="en-US" w:eastAsia="zh-CN"/>
        </w:rPr>
        <w:t>投标人</w:t>
      </w:r>
      <w:r>
        <w:rPr>
          <w:rFonts w:hint="eastAsia" w:ascii="新宋体" w:hAnsi="新宋体" w:eastAsia="新宋体" w:cs="新宋体"/>
          <w:szCs w:val="21"/>
          <w:lang w:val="zh-CN"/>
        </w:rPr>
        <w:t>需保证提供的各项参数必须符合</w:t>
      </w:r>
      <w:r>
        <w:rPr>
          <w:rFonts w:hint="eastAsia" w:ascii="新宋体" w:hAnsi="新宋体" w:eastAsia="新宋体" w:cs="新宋体"/>
          <w:szCs w:val="21"/>
          <w:lang w:val="en-US" w:eastAsia="zh-CN"/>
        </w:rPr>
        <w:t>招标</w:t>
      </w:r>
      <w:r>
        <w:rPr>
          <w:rFonts w:hint="eastAsia" w:ascii="新宋体" w:hAnsi="新宋体" w:eastAsia="新宋体" w:cs="新宋体"/>
          <w:szCs w:val="21"/>
          <w:lang w:val="zh-CN"/>
        </w:rPr>
        <w:t>文件规定，在</w:t>
      </w:r>
      <w:r>
        <w:rPr>
          <w:rFonts w:hint="eastAsia" w:ascii="新宋体" w:hAnsi="新宋体" w:eastAsia="新宋体" w:cs="新宋体"/>
          <w:szCs w:val="21"/>
          <w:lang w:val="en-US" w:eastAsia="zh-CN"/>
        </w:rPr>
        <w:t>中标</w:t>
      </w:r>
      <w:r>
        <w:rPr>
          <w:rFonts w:hint="eastAsia" w:ascii="新宋体" w:hAnsi="新宋体" w:eastAsia="新宋体" w:cs="新宋体"/>
          <w:szCs w:val="21"/>
          <w:lang w:val="zh-CN"/>
        </w:rPr>
        <w:t>通知书发出后2个工作日内，应提供项目中所涉及关键模块的功能测试，对</w:t>
      </w:r>
      <w:r>
        <w:rPr>
          <w:rFonts w:hint="eastAsia" w:ascii="新宋体" w:hAnsi="新宋体" w:eastAsia="新宋体" w:cs="新宋体"/>
          <w:szCs w:val="21"/>
          <w:lang w:val="en-US" w:eastAsia="zh-CN"/>
        </w:rPr>
        <w:t>招标</w:t>
      </w:r>
      <w:r>
        <w:rPr>
          <w:rFonts w:hint="eastAsia" w:ascii="新宋体" w:hAnsi="新宋体" w:eastAsia="新宋体" w:cs="新宋体"/>
          <w:szCs w:val="21"/>
          <w:lang w:val="zh-CN"/>
        </w:rPr>
        <w:t>文件要求的各项技术参数逐条响应，测试合格后才能签订合同，否则作废标处理并追究法律责任。要求在投标文件中提供相应承诺函</w:t>
      </w:r>
      <w:r>
        <w:rPr>
          <w:rFonts w:hint="eastAsia" w:ascii="新宋体" w:hAnsi="新宋体" w:eastAsia="新宋体" w:cs="新宋体"/>
          <w:szCs w:val="21"/>
          <w:lang w:val="zh-CN" w:eastAsia="zh-CN"/>
        </w:rPr>
        <w:t>。</w:t>
      </w:r>
    </w:p>
    <w:p w14:paraId="3CD47DE4">
      <w:pPr>
        <w:widowControl/>
        <w:spacing w:line="440" w:lineRule="exact"/>
        <w:jc w:val="left"/>
        <w:rPr>
          <w:rFonts w:ascii="宋体" w:hAnsi="宋体" w:cs="宋体"/>
          <w:b/>
          <w:szCs w:val="21"/>
        </w:rPr>
      </w:pPr>
      <w:r>
        <w:rPr>
          <w:rFonts w:hint="eastAsia" w:ascii="宋体" w:hAnsi="宋体" w:cs="宋体"/>
          <w:b/>
          <w:szCs w:val="21"/>
        </w:rPr>
        <w:t>六、验收标准</w:t>
      </w:r>
    </w:p>
    <w:p w14:paraId="47FEF867">
      <w:pPr>
        <w:spacing w:line="440" w:lineRule="exact"/>
        <w:ind w:firstLine="420" w:firstLineChars="200"/>
        <w:jc w:val="left"/>
        <w:rPr>
          <w:rFonts w:ascii="宋体" w:hAnsi="宋体" w:eastAsia="宋体" w:cs="宋体"/>
          <w:szCs w:val="21"/>
        </w:rPr>
      </w:pPr>
      <w:r>
        <w:rPr>
          <w:rFonts w:hint="eastAsia" w:ascii="宋体" w:hAnsi="宋体" w:eastAsia="宋体" w:cs="宋体"/>
          <w:szCs w:val="21"/>
          <w:lang w:eastAsia="zh-CN"/>
        </w:rPr>
        <w:t>1.</w:t>
      </w:r>
      <w:r>
        <w:rPr>
          <w:rFonts w:hint="eastAsia" w:ascii="宋体" w:hAnsi="宋体" w:eastAsia="宋体" w:cs="宋体"/>
          <w:szCs w:val="21"/>
        </w:rPr>
        <w:t>由采购人成立验收小组</w:t>
      </w:r>
      <w:r>
        <w:rPr>
          <w:rFonts w:hint="eastAsia" w:ascii="宋体" w:hAnsi="宋体" w:eastAsia="宋体" w:cs="宋体"/>
          <w:szCs w:val="21"/>
          <w:lang w:eastAsia="zh-CN"/>
        </w:rPr>
        <w:t>，</w:t>
      </w:r>
      <w:r>
        <w:rPr>
          <w:rFonts w:hint="eastAsia" w:ascii="宋体" w:hAnsi="宋体" w:eastAsia="宋体" w:cs="宋体"/>
          <w:szCs w:val="21"/>
        </w:rPr>
        <w:t>按照采购合同的约定对中标人履约情况进行验收。验收时，按照采购合同的约定对每一项技术、服务、安全标准的履约情况进行确认；列明各项标准的验收情况及项目总体评价</w:t>
      </w:r>
      <w:r>
        <w:rPr>
          <w:rFonts w:hint="eastAsia" w:ascii="宋体" w:hAnsi="宋体" w:eastAsia="宋体" w:cs="宋体"/>
          <w:szCs w:val="21"/>
          <w:lang w:eastAsia="zh-CN"/>
        </w:rPr>
        <w:t>，</w:t>
      </w:r>
      <w:r>
        <w:rPr>
          <w:rFonts w:hint="eastAsia" w:ascii="宋体" w:hAnsi="宋体" w:eastAsia="宋体" w:cs="宋体"/>
          <w:szCs w:val="21"/>
        </w:rPr>
        <w:t>由验收双方共同签署。</w:t>
      </w:r>
    </w:p>
    <w:p w14:paraId="416B927E">
      <w:pPr>
        <w:widowControl/>
        <w:spacing w:line="440" w:lineRule="exact"/>
        <w:ind w:firstLine="420" w:firstLineChars="200"/>
        <w:jc w:val="left"/>
        <w:rPr>
          <w:rFonts w:ascii="宋体" w:hAnsi="宋体" w:cs="宋体"/>
          <w:szCs w:val="21"/>
        </w:rPr>
      </w:pPr>
      <w:r>
        <w:rPr>
          <w:rFonts w:hint="eastAsia" w:ascii="宋体" w:hAnsi="宋体" w:cs="宋体"/>
          <w:szCs w:val="21"/>
          <w:lang w:eastAsia="zh-CN"/>
        </w:rPr>
        <w:t>2.</w:t>
      </w:r>
      <w:r>
        <w:rPr>
          <w:rFonts w:hint="eastAsia" w:ascii="宋体" w:hAnsi="宋体" w:cs="宋体"/>
          <w:szCs w:val="21"/>
        </w:rPr>
        <w:t>按照招标文件要求、投标文件响应和承诺验收。</w:t>
      </w:r>
    </w:p>
    <w:p w14:paraId="665EEBA9">
      <w:pPr>
        <w:spacing w:line="440" w:lineRule="exact"/>
        <w:ind w:firstLine="420" w:firstLineChars="200"/>
        <w:rPr>
          <w:rFonts w:ascii="宋体" w:hAnsi="宋体" w:cs="宋体"/>
          <w:szCs w:val="21"/>
        </w:rPr>
      </w:pPr>
      <w:r>
        <w:rPr>
          <w:rFonts w:hint="eastAsia" w:ascii="宋体" w:hAnsi="宋体" w:cs="宋体"/>
          <w:szCs w:val="21"/>
          <w:lang w:eastAsia="zh-CN"/>
        </w:rPr>
        <w:t>3.</w:t>
      </w:r>
      <w:r>
        <w:rPr>
          <w:rFonts w:hint="eastAsia" w:ascii="宋体" w:hAnsi="宋体" w:cs="宋体"/>
          <w:szCs w:val="21"/>
        </w:rPr>
        <w:t>按照国家及行业相关标准验收。</w:t>
      </w:r>
    </w:p>
    <w:p w14:paraId="6C1F7312">
      <w:pPr>
        <w:widowControl/>
        <w:shd w:val="clear" w:color="auto" w:fill="FFFFFF"/>
        <w:spacing w:line="360" w:lineRule="auto"/>
        <w:ind w:firstLine="440" w:firstLineChars="200"/>
        <w:jc w:val="left"/>
        <w:rPr>
          <w:rFonts w:ascii="宋体" w:hAnsi="宋体" w:eastAsia="宋体" w:cs="宋体"/>
          <w:szCs w:val="21"/>
        </w:rPr>
      </w:pPr>
      <w:r>
        <w:rPr>
          <w:rFonts w:hint="eastAsia" w:ascii="宋体" w:hAnsi="宋体" w:eastAsia="宋体" w:cs="宋体"/>
          <w:sz w:val="22"/>
          <w:lang w:eastAsia="zh-CN"/>
        </w:rPr>
        <w:t>4.</w:t>
      </w:r>
      <w:r>
        <w:rPr>
          <w:rFonts w:hint="eastAsia" w:ascii="宋体" w:hAnsi="宋体" w:eastAsia="宋体" w:cs="宋体"/>
          <w:szCs w:val="21"/>
          <w:lang w:val="zh-CN"/>
        </w:rPr>
        <w:t>本项目验收如需要第三方验收，中标方将承担所有产生的费用。</w:t>
      </w:r>
    </w:p>
    <w:p w14:paraId="66BB5ED9">
      <w:pPr>
        <w:spacing w:line="360" w:lineRule="auto"/>
        <w:rPr>
          <w:rFonts w:ascii="宋体" w:hAnsi="宋体" w:eastAsia="宋体" w:cs="宋体"/>
          <w:b/>
          <w:szCs w:val="21"/>
        </w:rPr>
      </w:pPr>
      <w:r>
        <w:rPr>
          <w:rFonts w:hint="eastAsia" w:ascii="宋体" w:hAnsi="宋体" w:eastAsia="宋体" w:cs="宋体"/>
          <w:b/>
          <w:szCs w:val="21"/>
        </w:rPr>
        <w:t>七、支付方式：</w:t>
      </w:r>
    </w:p>
    <w:p w14:paraId="7AE125FA">
      <w:pPr>
        <w:spacing w:line="360" w:lineRule="auto"/>
        <w:ind w:firstLine="420" w:firstLineChars="200"/>
        <w:jc w:val="left"/>
        <w:rPr>
          <w:rFonts w:ascii="宋体" w:hAnsi="宋体" w:eastAsia="宋体" w:cs="宋体"/>
          <w:szCs w:val="21"/>
        </w:rPr>
      </w:pPr>
      <w:r>
        <w:rPr>
          <w:rFonts w:hint="eastAsia" w:ascii="宋体" w:hAnsi="宋体" w:eastAsia="宋体" w:cs="宋体"/>
          <w:szCs w:val="21"/>
          <w:lang w:eastAsia="zh-CN"/>
        </w:rPr>
        <w:t>1.</w:t>
      </w:r>
      <w:r>
        <w:rPr>
          <w:rFonts w:hint="eastAsia" w:ascii="宋体" w:hAnsi="宋体" w:eastAsia="宋体" w:cs="宋体"/>
          <w:szCs w:val="21"/>
        </w:rPr>
        <w:t>支付方式：银行转账。</w:t>
      </w:r>
    </w:p>
    <w:p w14:paraId="2BDA6785">
      <w:pPr>
        <w:spacing w:line="360" w:lineRule="auto"/>
        <w:ind w:firstLine="420" w:firstLineChars="200"/>
        <w:jc w:val="left"/>
        <w:rPr>
          <w:rFonts w:ascii="宋体" w:hAnsi="宋体" w:eastAsia="宋体" w:cs="宋体"/>
          <w:sz w:val="24"/>
          <w:szCs w:val="24"/>
        </w:rPr>
      </w:pPr>
      <w:r>
        <w:rPr>
          <w:rFonts w:hint="eastAsia" w:ascii="宋体" w:hAnsi="宋体" w:eastAsia="宋体" w:cs="宋体"/>
          <w:szCs w:val="21"/>
          <w:lang w:eastAsia="zh-CN"/>
        </w:rPr>
        <w:t>2.</w:t>
      </w:r>
      <w:r>
        <w:rPr>
          <w:rFonts w:hint="eastAsia" w:ascii="宋体" w:hAnsi="宋体" w:eastAsia="宋体" w:cs="宋体"/>
          <w:szCs w:val="21"/>
        </w:rPr>
        <w:t>支付时间及条件：</w:t>
      </w:r>
      <w:r>
        <w:rPr>
          <w:rFonts w:hint="eastAsia" w:ascii="宋体" w:hAnsi="宋体" w:cs="仿宋_GB2312"/>
          <w:szCs w:val="21"/>
          <w:lang w:val="zh-CN"/>
        </w:rPr>
        <w:t>项目验收合格后按政府采购资金拨付程序执行</w:t>
      </w:r>
      <w:r>
        <w:rPr>
          <w:rFonts w:hint="eastAsia" w:ascii="宋体" w:hAnsi="宋体" w:eastAsia="宋体" w:cs="宋体"/>
          <w:szCs w:val="21"/>
        </w:rPr>
        <w:t>。</w:t>
      </w:r>
    </w:p>
    <w:p w14:paraId="652D0E18">
      <w:pPr>
        <w:autoSpaceDE w:val="0"/>
        <w:autoSpaceDN w:val="0"/>
        <w:adjustRightInd w:val="0"/>
        <w:jc w:val="both"/>
        <w:rPr>
          <w:rFonts w:hint="eastAsia" w:ascii="宋体" w:hAnsi="宋体" w:eastAsia="宋体" w:cs="宋体"/>
          <w:b/>
          <w:color w:val="auto"/>
          <w:kern w:val="0"/>
          <w:sz w:val="30"/>
          <w:szCs w:val="30"/>
        </w:rPr>
      </w:pPr>
    </w:p>
    <w:p w14:paraId="7458666E">
      <w:pPr>
        <w:autoSpaceDE w:val="0"/>
        <w:autoSpaceDN w:val="0"/>
        <w:adjustRightInd w:val="0"/>
        <w:jc w:val="both"/>
        <w:rPr>
          <w:rFonts w:hint="eastAsia" w:ascii="宋体" w:hAnsi="宋体" w:eastAsia="宋体" w:cs="宋体"/>
          <w:b/>
          <w:color w:val="auto"/>
          <w:kern w:val="0"/>
          <w:sz w:val="30"/>
          <w:szCs w:val="30"/>
        </w:rPr>
      </w:pPr>
    </w:p>
    <w:p w14:paraId="74A4D48A">
      <w:pPr>
        <w:autoSpaceDE w:val="0"/>
        <w:autoSpaceDN w:val="0"/>
        <w:adjustRightInd w:val="0"/>
        <w:jc w:val="both"/>
        <w:rPr>
          <w:rFonts w:hint="eastAsia" w:ascii="宋体" w:hAnsi="宋体" w:eastAsia="宋体" w:cs="宋体"/>
          <w:b/>
          <w:color w:val="auto"/>
          <w:kern w:val="0"/>
          <w:sz w:val="30"/>
          <w:szCs w:val="30"/>
        </w:rPr>
      </w:pPr>
    </w:p>
    <w:p w14:paraId="53E9073D">
      <w:pPr>
        <w:autoSpaceDE w:val="0"/>
        <w:autoSpaceDN w:val="0"/>
        <w:adjustRightInd w:val="0"/>
        <w:jc w:val="both"/>
        <w:rPr>
          <w:rFonts w:hint="eastAsia" w:ascii="宋体" w:hAnsi="宋体" w:eastAsia="宋体" w:cs="宋体"/>
          <w:b/>
          <w:color w:val="auto"/>
          <w:kern w:val="0"/>
          <w:sz w:val="30"/>
          <w:szCs w:val="30"/>
        </w:rPr>
      </w:pPr>
    </w:p>
    <w:p w14:paraId="0EED5AE1">
      <w:pPr>
        <w:autoSpaceDE w:val="0"/>
        <w:autoSpaceDN w:val="0"/>
        <w:adjustRightInd w:val="0"/>
        <w:jc w:val="both"/>
        <w:rPr>
          <w:rFonts w:hint="eastAsia" w:ascii="宋体" w:hAnsi="宋体" w:eastAsia="宋体" w:cs="宋体"/>
          <w:b/>
          <w:color w:val="auto"/>
          <w:kern w:val="0"/>
          <w:sz w:val="30"/>
          <w:szCs w:val="30"/>
        </w:rPr>
      </w:pPr>
    </w:p>
    <w:p w14:paraId="606FF02D">
      <w:pPr>
        <w:autoSpaceDE w:val="0"/>
        <w:autoSpaceDN w:val="0"/>
        <w:adjustRightInd w:val="0"/>
        <w:jc w:val="both"/>
        <w:rPr>
          <w:rFonts w:hint="eastAsia" w:ascii="宋体" w:hAnsi="宋体" w:eastAsia="宋体" w:cs="宋体"/>
          <w:b/>
          <w:color w:val="auto"/>
          <w:kern w:val="0"/>
          <w:sz w:val="30"/>
          <w:szCs w:val="30"/>
        </w:rPr>
      </w:pPr>
    </w:p>
    <w:p w14:paraId="4077B112">
      <w:pPr>
        <w:autoSpaceDE w:val="0"/>
        <w:autoSpaceDN w:val="0"/>
        <w:adjustRightInd w:val="0"/>
        <w:jc w:val="both"/>
        <w:rPr>
          <w:rFonts w:hint="eastAsia" w:ascii="宋体" w:hAnsi="宋体" w:eastAsia="宋体" w:cs="宋体"/>
          <w:b/>
          <w:color w:val="auto"/>
          <w:kern w:val="0"/>
          <w:sz w:val="30"/>
          <w:szCs w:val="30"/>
        </w:rPr>
      </w:pPr>
    </w:p>
    <w:p w14:paraId="11E3457F">
      <w:pPr>
        <w:autoSpaceDE w:val="0"/>
        <w:autoSpaceDN w:val="0"/>
        <w:adjustRightInd w:val="0"/>
        <w:jc w:val="both"/>
        <w:rPr>
          <w:rFonts w:hint="eastAsia" w:ascii="宋体" w:hAnsi="宋体" w:eastAsia="宋体" w:cs="宋体"/>
          <w:b/>
          <w:color w:val="auto"/>
          <w:kern w:val="0"/>
          <w:sz w:val="30"/>
          <w:szCs w:val="30"/>
        </w:rPr>
      </w:pPr>
    </w:p>
    <w:p w14:paraId="2790191A">
      <w:pPr>
        <w:autoSpaceDE w:val="0"/>
        <w:autoSpaceDN w:val="0"/>
        <w:adjustRightInd w:val="0"/>
        <w:jc w:val="both"/>
        <w:rPr>
          <w:rFonts w:hint="eastAsia" w:ascii="宋体" w:hAnsi="宋体" w:eastAsia="宋体" w:cs="宋体"/>
          <w:b/>
          <w:color w:val="auto"/>
          <w:kern w:val="0"/>
          <w:sz w:val="30"/>
          <w:szCs w:val="30"/>
        </w:rPr>
      </w:pPr>
    </w:p>
    <w:p w14:paraId="718C72B8">
      <w:pPr>
        <w:autoSpaceDE w:val="0"/>
        <w:autoSpaceDN w:val="0"/>
        <w:adjustRightInd w:val="0"/>
        <w:jc w:val="both"/>
        <w:rPr>
          <w:rFonts w:hint="eastAsia" w:ascii="宋体" w:hAnsi="宋体" w:eastAsia="宋体" w:cs="宋体"/>
          <w:b/>
          <w:color w:val="auto"/>
          <w:kern w:val="0"/>
          <w:sz w:val="30"/>
          <w:szCs w:val="30"/>
        </w:rPr>
      </w:pPr>
    </w:p>
    <w:p w14:paraId="2B89D00B">
      <w:pPr>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第三章 投标人须知前附表</w:t>
      </w:r>
    </w:p>
    <w:p w14:paraId="2B89D00C">
      <w:pPr>
        <w:autoSpaceDE w:val="0"/>
        <w:autoSpaceDN w:val="0"/>
        <w:adjustRightInd w:val="0"/>
        <w:spacing w:line="360" w:lineRule="auto"/>
        <w:ind w:right="-11"/>
        <w:jc w:val="left"/>
        <w:rPr>
          <w:rFonts w:hint="eastAsia" w:ascii="宋体" w:hAnsi="宋体" w:eastAsia="宋体" w:cs="宋体"/>
          <w:b/>
          <w:color w:val="auto"/>
          <w:kern w:val="0"/>
          <w:szCs w:val="21"/>
        </w:rPr>
      </w:pPr>
      <w:r>
        <w:rPr>
          <w:rFonts w:hint="eastAsia" w:ascii="宋体" w:hAnsi="宋体" w:eastAsia="宋体" w:cs="宋体"/>
          <w:b/>
          <w:color w:val="auto"/>
          <w:szCs w:val="21"/>
        </w:rPr>
        <w:t>招标文件中凡标有★条款均为实质性要求条款，投标文件须完全响应，未实质响应的，按照无效投标处理。</w:t>
      </w:r>
    </w:p>
    <w:tbl>
      <w:tblPr>
        <w:tblStyle w:val="18"/>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268"/>
        <w:gridCol w:w="6813"/>
      </w:tblGrid>
      <w:tr w14:paraId="2B89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2B89D00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268" w:type="dxa"/>
            <w:vAlign w:val="center"/>
          </w:tcPr>
          <w:p w14:paraId="2B89D00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条款名称</w:t>
            </w:r>
          </w:p>
        </w:tc>
        <w:tc>
          <w:tcPr>
            <w:tcW w:w="6813" w:type="dxa"/>
            <w:vAlign w:val="center"/>
          </w:tcPr>
          <w:p w14:paraId="2B89D00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说明和要求</w:t>
            </w:r>
          </w:p>
        </w:tc>
      </w:tr>
      <w:tr w14:paraId="2B89D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06" w:type="dxa"/>
            <w:vAlign w:val="center"/>
          </w:tcPr>
          <w:p w14:paraId="2B89D01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w:t>
            </w:r>
          </w:p>
        </w:tc>
        <w:tc>
          <w:tcPr>
            <w:tcW w:w="2268" w:type="dxa"/>
            <w:vAlign w:val="center"/>
          </w:tcPr>
          <w:p w14:paraId="2B89D012">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采购项目</w:t>
            </w:r>
          </w:p>
        </w:tc>
        <w:tc>
          <w:tcPr>
            <w:tcW w:w="6813" w:type="dxa"/>
            <w:vAlign w:val="center"/>
          </w:tcPr>
          <w:p w14:paraId="37372CEE">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lang w:val="en-US" w:eastAsia="zh-CN"/>
              </w:rPr>
            </w:pPr>
            <w:r>
              <w:rPr>
                <w:rFonts w:hint="eastAsia" w:ascii="宋体" w:hAnsi="宋体" w:eastAsia="宋体" w:cs="宋体"/>
                <w:color w:val="auto"/>
                <w:szCs w:val="21"/>
                <w:lang w:eastAsia="zh-CN"/>
              </w:rPr>
              <w:t>禹州市行政审批和政务信息管理局2026年度禹州市电子政务工作线路租赁与运维、机房与网络安全项目</w:t>
            </w:r>
          </w:p>
        </w:tc>
      </w:tr>
      <w:tr w14:paraId="2B89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806" w:type="dxa"/>
            <w:vAlign w:val="center"/>
          </w:tcPr>
          <w:p w14:paraId="2B89D01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w:t>
            </w:r>
          </w:p>
        </w:tc>
        <w:tc>
          <w:tcPr>
            <w:tcW w:w="2268" w:type="dxa"/>
            <w:vAlign w:val="center"/>
          </w:tcPr>
          <w:p w14:paraId="2B89D01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采购人</w:t>
            </w:r>
          </w:p>
        </w:tc>
        <w:tc>
          <w:tcPr>
            <w:tcW w:w="6813" w:type="dxa"/>
            <w:vAlign w:val="center"/>
          </w:tcPr>
          <w:p w14:paraId="73DF53C1">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名称：禹州市行政审批和政务信息管理局</w:t>
            </w:r>
          </w:p>
          <w:p w14:paraId="5C1FD49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地址：禹州市禹王大道99号政务服务大楼</w:t>
            </w:r>
          </w:p>
          <w:p w14:paraId="473B9D9C">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 xml:space="preserve">联系人：连女士 </w:t>
            </w:r>
          </w:p>
          <w:p w14:paraId="787893DA">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联系方式：0374-2076799</w:t>
            </w:r>
          </w:p>
        </w:tc>
      </w:tr>
      <w:tr w14:paraId="2B89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1" w:hRule="atLeast"/>
          <w:jc w:val="center"/>
        </w:trPr>
        <w:tc>
          <w:tcPr>
            <w:tcW w:w="806" w:type="dxa"/>
            <w:vAlign w:val="center"/>
          </w:tcPr>
          <w:p w14:paraId="2B89D01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3</w:t>
            </w:r>
          </w:p>
        </w:tc>
        <w:tc>
          <w:tcPr>
            <w:tcW w:w="2268" w:type="dxa"/>
            <w:vAlign w:val="center"/>
          </w:tcPr>
          <w:p w14:paraId="2B89D01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代理机构</w:t>
            </w:r>
          </w:p>
        </w:tc>
        <w:tc>
          <w:tcPr>
            <w:tcW w:w="6813" w:type="dxa"/>
            <w:vAlign w:val="center"/>
          </w:tcPr>
          <w:p w14:paraId="07935AE4">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名称：师梦勘测设计集团有限公司</w:t>
            </w:r>
          </w:p>
          <w:p w14:paraId="1F0F703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地址：郑州市高新技术开发区冬青街46号B区007号</w:t>
            </w:r>
          </w:p>
          <w:p w14:paraId="30264A17">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联系人：王女士</w:t>
            </w:r>
          </w:p>
          <w:p w14:paraId="00E581B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default" w:ascii="宋体" w:hAnsi="宋体" w:eastAsia="宋体" w:cs="宋体"/>
                <w:color w:val="auto"/>
                <w:lang w:val="en-US" w:eastAsia="zh-CN"/>
              </w:rPr>
            </w:pPr>
            <w:r>
              <w:rPr>
                <w:rFonts w:hint="eastAsia" w:ascii="宋体" w:hAnsi="宋体" w:eastAsia="宋体" w:cs="宋体"/>
                <w:color w:val="auto"/>
              </w:rPr>
              <w:t>联系方式：</w:t>
            </w:r>
            <w:r>
              <w:rPr>
                <w:rFonts w:hint="eastAsia" w:ascii="宋体" w:hAnsi="宋体" w:eastAsia="宋体" w:cs="宋体"/>
                <w:color w:val="auto"/>
                <w:lang w:val="en-US" w:eastAsia="zh-CN"/>
              </w:rPr>
              <w:t>13733156531</w:t>
            </w:r>
          </w:p>
        </w:tc>
      </w:tr>
      <w:tr w14:paraId="2B89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06" w:type="dxa"/>
            <w:vAlign w:val="center"/>
          </w:tcPr>
          <w:p w14:paraId="2B89D02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4</w:t>
            </w:r>
          </w:p>
        </w:tc>
        <w:tc>
          <w:tcPr>
            <w:tcW w:w="2268" w:type="dxa"/>
            <w:vAlign w:val="center"/>
          </w:tcPr>
          <w:p w14:paraId="2B89D02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资格</w:t>
            </w:r>
          </w:p>
        </w:tc>
        <w:tc>
          <w:tcPr>
            <w:tcW w:w="6813" w:type="dxa"/>
            <w:vAlign w:val="center"/>
          </w:tcPr>
          <w:p w14:paraId="24CCEB90">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一、中小企业或者残疾人福利性单位声明函或监狱企业证明文件</w:t>
            </w:r>
          </w:p>
          <w:p w14:paraId="2E54A2BA">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1.中小型企业出具《中小企业声明函》</w:t>
            </w:r>
          </w:p>
          <w:p w14:paraId="0F471048">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2.残疾人福利性单位出具《残疾人福利企业声明函》</w:t>
            </w:r>
          </w:p>
          <w:p w14:paraId="7AA5FA0D">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3.监狱企业提供由省级以上监狱管理局、戒毒管理局（含新疆生产建设兵团）出具的属于监狱企业的证明文件</w:t>
            </w:r>
          </w:p>
          <w:p w14:paraId="3494054B">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二</w:t>
            </w:r>
            <w:r>
              <w:rPr>
                <w:rFonts w:hint="eastAsia" w:ascii="宋体" w:hAnsi="宋体" w:eastAsia="宋体" w:cs="宋体"/>
                <w:color w:val="auto"/>
                <w:szCs w:val="21"/>
              </w:rPr>
              <w:t>、符合《中华人民共和国政府采购法》第二十二条规定</w:t>
            </w:r>
          </w:p>
          <w:p w14:paraId="6328EFBE">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1.具有独立承担民事责任的能力；</w:t>
            </w:r>
          </w:p>
          <w:p w14:paraId="3C3E4BCD">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2.具有良好的商业信誉和健全的财务会计制度；</w:t>
            </w:r>
          </w:p>
          <w:p w14:paraId="23BDCDF1">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3.具有履行合同所必需的设备和专业技术能力；</w:t>
            </w:r>
          </w:p>
          <w:p w14:paraId="77D478C7">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4.具有依法缴纳税收和社会保障资金的良好记录；</w:t>
            </w:r>
          </w:p>
          <w:p w14:paraId="751FA48B">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5.参加政府采购活动前三年内，在经营活动中没有重大违法记录。</w:t>
            </w:r>
          </w:p>
          <w:p w14:paraId="4DA72D00">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注：</w:t>
            </w:r>
          </w:p>
          <w:p w14:paraId="7470DDBD">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在响应时，提供《</w:t>
            </w:r>
            <w:r>
              <w:rPr>
                <w:rFonts w:hint="eastAsia" w:ascii="宋体" w:hAnsi="宋体" w:eastAsia="宋体" w:cs="宋体"/>
                <w:color w:val="auto"/>
                <w:szCs w:val="21"/>
                <w:lang w:val="en-US" w:eastAsia="zh-CN"/>
              </w:rPr>
              <w:t>禹州市</w:t>
            </w:r>
            <w:r>
              <w:rPr>
                <w:rFonts w:hint="eastAsia" w:ascii="宋体" w:hAnsi="宋体" w:eastAsia="宋体" w:cs="宋体"/>
                <w:color w:val="auto"/>
                <w:szCs w:val="21"/>
                <w:lang w:val="zh-CN"/>
              </w:rPr>
              <w:t>政府采购供应商信用承诺函》（详见</w:t>
            </w:r>
            <w:r>
              <w:rPr>
                <w:rFonts w:hint="eastAsia" w:ascii="宋体" w:hAnsi="宋体" w:eastAsia="宋体" w:cs="宋体"/>
                <w:color w:val="auto"/>
                <w:szCs w:val="21"/>
                <w:lang w:val="en-US" w:eastAsia="zh-CN"/>
              </w:rPr>
              <w:t>投标</w:t>
            </w:r>
            <w:r>
              <w:rPr>
                <w:rFonts w:hint="eastAsia" w:ascii="宋体" w:hAnsi="宋体" w:eastAsia="宋体" w:cs="宋体"/>
                <w:color w:val="auto"/>
                <w:szCs w:val="21"/>
                <w:lang w:val="zh-CN"/>
              </w:rPr>
              <w:t>文件第八章3.</w:t>
            </w:r>
            <w:r>
              <w:rPr>
                <w:rFonts w:hint="eastAsia" w:ascii="宋体" w:hAnsi="宋体" w:eastAsia="宋体" w:cs="宋体"/>
                <w:color w:val="auto"/>
                <w:szCs w:val="21"/>
                <w:lang w:val="en-US" w:eastAsia="zh-CN"/>
              </w:rPr>
              <w:t>4</w:t>
            </w:r>
            <w:r>
              <w:rPr>
                <w:rFonts w:hint="eastAsia" w:ascii="宋体" w:hAnsi="宋体" w:eastAsia="宋体" w:cs="宋体"/>
                <w:color w:val="auto"/>
                <w:szCs w:val="21"/>
                <w:lang w:val="zh-CN"/>
              </w:rPr>
              <w:t>格式），无需再提交上述证明材料。</w:t>
            </w:r>
          </w:p>
          <w:p w14:paraId="669DE162">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2.采购人有权在签订合同前要求</w:t>
            </w:r>
            <w:r>
              <w:rPr>
                <w:rFonts w:hint="eastAsia" w:ascii="宋体" w:hAnsi="宋体" w:eastAsia="宋体" w:cs="宋体"/>
                <w:color w:val="auto"/>
                <w:szCs w:val="21"/>
                <w:lang w:val="en-US" w:eastAsia="zh-CN"/>
              </w:rPr>
              <w:t>中标人</w:t>
            </w:r>
            <w:r>
              <w:rPr>
                <w:rFonts w:hint="eastAsia" w:ascii="宋体" w:hAnsi="宋体" w:eastAsia="宋体" w:cs="宋体"/>
                <w:color w:val="auto"/>
                <w:szCs w:val="21"/>
                <w:lang w:val="zh-CN"/>
              </w:rPr>
              <w:t>提供相关证明材料以核实</w:t>
            </w:r>
            <w:r>
              <w:rPr>
                <w:rFonts w:hint="eastAsia" w:ascii="宋体" w:hAnsi="宋体" w:eastAsia="宋体" w:cs="宋体"/>
                <w:color w:val="auto"/>
                <w:szCs w:val="21"/>
                <w:lang w:val="en-US" w:eastAsia="zh-CN"/>
              </w:rPr>
              <w:t>中标人</w:t>
            </w:r>
            <w:r>
              <w:rPr>
                <w:rFonts w:hint="eastAsia" w:ascii="宋体" w:hAnsi="宋体" w:eastAsia="宋体" w:cs="宋体"/>
                <w:color w:val="auto"/>
                <w:szCs w:val="21"/>
                <w:lang w:val="zh-CN"/>
              </w:rPr>
              <w:t>承诺事项的真实性。</w:t>
            </w:r>
          </w:p>
          <w:p w14:paraId="25786C13">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对信用承诺内容的真实性、合法性、有效性负责。如作出虚假信用承诺，视同为“提供虚假材料谋取中标”的违法行为。</w:t>
            </w:r>
          </w:p>
          <w:p w14:paraId="3601DE8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三</w:t>
            </w:r>
            <w:r>
              <w:rPr>
                <w:rFonts w:hint="eastAsia" w:ascii="宋体" w:hAnsi="宋体" w:eastAsia="宋体" w:cs="宋体"/>
                <w:color w:val="auto"/>
                <w:szCs w:val="21"/>
              </w:rPr>
              <w:t>、特定资格要求：详见招标公告</w:t>
            </w:r>
          </w:p>
        </w:tc>
      </w:tr>
      <w:tr w14:paraId="2B89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5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5</w:t>
            </w:r>
          </w:p>
        </w:tc>
        <w:tc>
          <w:tcPr>
            <w:tcW w:w="2268" w:type="dxa"/>
            <w:vAlign w:val="center"/>
          </w:tcPr>
          <w:p w14:paraId="2B89D05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t>★</w:t>
            </w:r>
            <w:r>
              <w:rPr>
                <w:rFonts w:hint="eastAsia" w:ascii="宋体" w:hAnsi="宋体" w:eastAsia="宋体" w:cs="宋体"/>
                <w:bCs/>
                <w:color w:val="auto"/>
                <w:szCs w:val="21"/>
                <w:lang w:val="zh-CN"/>
              </w:rPr>
              <w:t>联合体投标</w:t>
            </w:r>
          </w:p>
        </w:tc>
        <w:tc>
          <w:tcPr>
            <w:tcW w:w="6813" w:type="dxa"/>
            <w:vAlign w:val="center"/>
          </w:tcPr>
          <w:p w14:paraId="2B89D05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kern w:val="0"/>
                <w:szCs w:val="21"/>
              </w:rPr>
              <w:t>本项目</w:t>
            </w: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color w:val="auto"/>
                <w:kern w:val="0"/>
                <w:szCs w:val="21"/>
              </w:rPr>
              <w:t>不接受</w:t>
            </w:r>
            <w:r>
              <w:rPr>
                <w:rFonts w:hint="eastAsia" w:ascii="宋体" w:hAnsi="宋体" w:eastAsia="宋体" w:cs="宋体"/>
                <w:bCs/>
                <w:color w:val="auto"/>
                <w:szCs w:val="21"/>
                <w:lang w:val="zh-CN"/>
              </w:rPr>
              <w:t>□接受</w:t>
            </w:r>
            <w:r>
              <w:rPr>
                <w:rFonts w:hint="eastAsia" w:ascii="宋体" w:hAnsi="宋体" w:eastAsia="宋体" w:cs="宋体"/>
                <w:color w:val="auto"/>
                <w:kern w:val="0"/>
                <w:szCs w:val="21"/>
              </w:rPr>
              <w:t>联合体</w:t>
            </w:r>
          </w:p>
        </w:tc>
      </w:tr>
      <w:tr w14:paraId="2B89D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5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6</w:t>
            </w:r>
          </w:p>
        </w:tc>
        <w:tc>
          <w:tcPr>
            <w:tcW w:w="2268" w:type="dxa"/>
            <w:vAlign w:val="center"/>
          </w:tcPr>
          <w:p w14:paraId="2B89D05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t>★</w:t>
            </w:r>
            <w:r>
              <w:rPr>
                <w:rFonts w:hint="eastAsia" w:ascii="宋体" w:hAnsi="宋体" w:eastAsia="宋体" w:cs="宋体"/>
                <w:bCs/>
                <w:color w:val="auto"/>
                <w:szCs w:val="21"/>
                <w:lang w:val="zh-CN"/>
              </w:rPr>
              <w:t>最高限价</w:t>
            </w:r>
          </w:p>
        </w:tc>
        <w:tc>
          <w:tcPr>
            <w:tcW w:w="6813" w:type="dxa"/>
            <w:vAlign w:val="center"/>
          </w:tcPr>
          <w:p w14:paraId="2B89D05C">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bCs/>
                <w:color w:val="auto"/>
              </w:rPr>
            </w:pPr>
            <w:r>
              <w:rPr>
                <w:rFonts w:hint="eastAsia" w:ascii="宋体" w:hAnsi="宋体" w:eastAsia="宋体" w:cs="宋体"/>
                <w:bCs/>
                <w:color w:val="auto"/>
              </w:rPr>
              <w:t>采购预算（最高限价）：3206506.2元。</w:t>
            </w:r>
          </w:p>
          <w:p w14:paraId="2B89D05E">
            <w:pPr>
              <w:keepNext w:val="0"/>
              <w:keepLines w:val="0"/>
              <w:pageBreakBefore w:val="0"/>
              <w:widowControl w:val="0"/>
              <w:tabs>
                <w:tab w:val="left" w:pos="7095"/>
              </w:tabs>
              <w:kinsoku/>
              <w:overflowPunct/>
              <w:topLinePunct w:val="0"/>
              <w:bidi w:val="0"/>
              <w:snapToGrid/>
              <w:spacing w:line="460" w:lineRule="exact"/>
              <w:contextualSpacing/>
              <w:textAlignment w:val="auto"/>
              <w:rPr>
                <w:rFonts w:hint="eastAsia" w:ascii="宋体" w:hAnsi="宋体" w:eastAsia="宋体" w:cs="宋体"/>
                <w:bCs/>
                <w:color w:val="auto"/>
                <w:szCs w:val="21"/>
                <w:lang w:val="zh-CN"/>
              </w:rPr>
            </w:pPr>
            <w:r>
              <w:rPr>
                <w:rFonts w:hint="eastAsia" w:ascii="宋体" w:hAnsi="宋体" w:eastAsia="宋体" w:cs="宋体"/>
                <w:bCs/>
                <w:color w:val="auto"/>
                <w:lang w:val="zh-CN"/>
              </w:rPr>
              <w:t>注</w:t>
            </w:r>
            <w:r>
              <w:rPr>
                <w:rFonts w:hint="eastAsia" w:ascii="宋体" w:hAnsi="宋体" w:eastAsia="宋体" w:cs="宋体"/>
                <w:bCs/>
                <w:color w:val="auto"/>
                <w:szCs w:val="21"/>
                <w:lang w:val="zh-CN"/>
              </w:rPr>
              <w:t>：超出最高限价的投标无效</w:t>
            </w:r>
            <w:r>
              <w:rPr>
                <w:rFonts w:hint="eastAsia" w:ascii="宋体" w:hAnsi="宋体" w:eastAsia="宋体" w:cs="宋体"/>
                <w:bCs/>
                <w:color w:val="auto"/>
              </w:rPr>
              <w:t>。</w:t>
            </w:r>
          </w:p>
        </w:tc>
      </w:tr>
      <w:tr w14:paraId="2B89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B89D06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7</w:t>
            </w:r>
          </w:p>
        </w:tc>
        <w:tc>
          <w:tcPr>
            <w:tcW w:w="2268" w:type="dxa"/>
            <w:vAlign w:val="center"/>
          </w:tcPr>
          <w:p w14:paraId="2B89D06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现场考察</w:t>
            </w:r>
          </w:p>
        </w:tc>
        <w:tc>
          <w:tcPr>
            <w:tcW w:w="6813" w:type="dxa"/>
            <w:vAlign w:val="center"/>
          </w:tcPr>
          <w:p w14:paraId="2B89D062">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不组织</w:t>
            </w:r>
          </w:p>
          <w:p w14:paraId="2B89D063">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Cs/>
                <w:color w:val="auto"/>
                <w:szCs w:val="21"/>
                <w:lang w:val="zh-CN"/>
              </w:rPr>
              <w:t>组织，时间：      地点：</w:t>
            </w:r>
          </w:p>
        </w:tc>
      </w:tr>
      <w:tr w14:paraId="2B89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B89D06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8</w:t>
            </w:r>
          </w:p>
        </w:tc>
        <w:tc>
          <w:tcPr>
            <w:tcW w:w="2268" w:type="dxa"/>
            <w:vAlign w:val="center"/>
          </w:tcPr>
          <w:p w14:paraId="2B89D06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开标前答疑会</w:t>
            </w:r>
          </w:p>
        </w:tc>
        <w:tc>
          <w:tcPr>
            <w:tcW w:w="6813" w:type="dxa"/>
            <w:vAlign w:val="center"/>
          </w:tcPr>
          <w:p w14:paraId="2B89D06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不召开</w:t>
            </w:r>
          </w:p>
          <w:p w14:paraId="2B89D068">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□召开，时间：      地点：</w:t>
            </w:r>
          </w:p>
        </w:tc>
      </w:tr>
      <w:tr w14:paraId="2B89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6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9</w:t>
            </w:r>
          </w:p>
        </w:tc>
        <w:tc>
          <w:tcPr>
            <w:tcW w:w="2268" w:type="dxa"/>
            <w:vAlign w:val="center"/>
          </w:tcPr>
          <w:p w14:paraId="2B89D06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进口产品参与</w:t>
            </w:r>
          </w:p>
        </w:tc>
        <w:tc>
          <w:tcPr>
            <w:tcW w:w="6813" w:type="dxa"/>
            <w:vAlign w:val="center"/>
          </w:tcPr>
          <w:p w14:paraId="2B89D06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宋体"/>
                <w:color w:val="auto"/>
                <w:szCs w:val="21"/>
              </w:rPr>
              <w:t>允许</w:t>
            </w:r>
          </w:p>
        </w:tc>
      </w:tr>
      <w:tr w14:paraId="2B89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6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10</w:t>
            </w:r>
          </w:p>
        </w:tc>
        <w:tc>
          <w:tcPr>
            <w:tcW w:w="2268" w:type="dxa"/>
            <w:vAlign w:val="center"/>
          </w:tcPr>
          <w:p w14:paraId="2B89D06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w:t>
            </w:r>
            <w:r>
              <w:rPr>
                <w:rFonts w:hint="eastAsia" w:ascii="宋体" w:hAnsi="宋体" w:eastAsia="宋体" w:cs="宋体"/>
                <w:color w:val="auto"/>
                <w:szCs w:val="21"/>
              </w:rPr>
              <w:t>投标有效期</w:t>
            </w:r>
          </w:p>
        </w:tc>
        <w:tc>
          <w:tcPr>
            <w:tcW w:w="6813" w:type="dxa"/>
            <w:vAlign w:val="center"/>
          </w:tcPr>
          <w:p w14:paraId="2B89D07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rPr>
              <w:t>90天（自</w:t>
            </w:r>
            <w:r>
              <w:rPr>
                <w:rFonts w:hint="eastAsia" w:ascii="宋体" w:hAnsi="宋体" w:eastAsia="宋体" w:cs="宋体"/>
                <w:color w:val="auto"/>
                <w:kern w:val="0"/>
                <w:szCs w:val="21"/>
              </w:rPr>
              <w:t>提交投标</w:t>
            </w:r>
            <w:r>
              <w:rPr>
                <w:rFonts w:hint="eastAsia" w:ascii="宋体" w:hAnsi="宋体" w:eastAsia="宋体" w:cs="宋体"/>
                <w:color w:val="auto"/>
                <w:kern w:val="0"/>
                <w:szCs w:val="21"/>
                <w:lang w:eastAsia="zh-CN"/>
              </w:rPr>
              <w:t>文件</w:t>
            </w:r>
            <w:r>
              <w:rPr>
                <w:rFonts w:hint="eastAsia" w:ascii="宋体" w:hAnsi="宋体" w:eastAsia="宋体" w:cs="宋体"/>
                <w:color w:val="auto"/>
                <w:kern w:val="0"/>
                <w:szCs w:val="21"/>
              </w:rPr>
              <w:t>截止之日起</w:t>
            </w:r>
            <w:r>
              <w:rPr>
                <w:rFonts w:hint="eastAsia" w:ascii="宋体" w:hAnsi="宋体" w:eastAsia="宋体" w:cs="宋体"/>
                <w:color w:val="auto"/>
                <w:kern w:val="0"/>
                <w:szCs w:val="21"/>
                <w:lang w:val="en-US" w:eastAsia="zh-CN"/>
              </w:rPr>
              <w:t>算</w:t>
            </w:r>
            <w:r>
              <w:rPr>
                <w:rFonts w:hint="eastAsia" w:ascii="宋体" w:hAnsi="宋体" w:eastAsia="宋体" w:cs="宋体"/>
                <w:color w:val="auto"/>
                <w:szCs w:val="21"/>
              </w:rPr>
              <w:t>）</w:t>
            </w:r>
          </w:p>
        </w:tc>
      </w:tr>
      <w:tr w14:paraId="2B89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11</w:t>
            </w:r>
          </w:p>
        </w:tc>
        <w:tc>
          <w:tcPr>
            <w:tcW w:w="2268" w:type="dxa"/>
            <w:vAlign w:val="center"/>
          </w:tcPr>
          <w:p w14:paraId="2B89D074">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Cs/>
                <w:color w:val="auto"/>
                <w:szCs w:val="21"/>
                <w:lang w:val="en-US" w:eastAsia="zh-CN"/>
              </w:rPr>
              <w:t>中标人</w:t>
            </w:r>
            <w:r>
              <w:rPr>
                <w:rFonts w:hint="eastAsia" w:ascii="宋体" w:hAnsi="宋体" w:eastAsia="宋体" w:cs="宋体"/>
                <w:bCs/>
                <w:color w:val="auto"/>
                <w:szCs w:val="21"/>
                <w:lang w:val="zh-CN"/>
              </w:rPr>
              <w:t>将本项目非主体、非关键性工作分包</w:t>
            </w:r>
          </w:p>
        </w:tc>
        <w:tc>
          <w:tcPr>
            <w:tcW w:w="6813" w:type="dxa"/>
            <w:vAlign w:val="center"/>
          </w:tcPr>
          <w:p w14:paraId="2B89D07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 w:val="13"/>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 xml:space="preserve">不允许   </w:t>
            </w:r>
            <w:r>
              <w:rPr>
                <w:rFonts w:hint="eastAsia" w:ascii="宋体" w:hAnsi="宋体" w:eastAsia="宋体" w:cs="宋体"/>
                <w:b/>
                <w:bCs/>
                <w:color w:val="auto"/>
                <w:szCs w:val="21"/>
                <w:lang w:val="zh-CN"/>
              </w:rPr>
              <w:t>□</w:t>
            </w:r>
            <w:r>
              <w:rPr>
                <w:rFonts w:hint="eastAsia" w:ascii="宋体" w:hAnsi="宋体" w:eastAsia="宋体" w:cs="宋体"/>
                <w:color w:val="auto"/>
                <w:szCs w:val="21"/>
              </w:rPr>
              <w:t>允许</w:t>
            </w:r>
          </w:p>
        </w:tc>
      </w:tr>
      <w:tr w14:paraId="2B89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12</w:t>
            </w:r>
          </w:p>
        </w:tc>
        <w:tc>
          <w:tcPr>
            <w:tcW w:w="2268" w:type="dxa"/>
            <w:vAlign w:val="center"/>
          </w:tcPr>
          <w:p w14:paraId="2B89D07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shd w:val="clear" w:color="auto" w:fill="FFFFFF"/>
              </w:rPr>
              <w:t>投标文件提交截止</w:t>
            </w:r>
            <w:r>
              <w:rPr>
                <w:rFonts w:hint="eastAsia" w:ascii="宋体" w:hAnsi="宋体" w:eastAsia="宋体" w:cs="宋体"/>
                <w:bCs/>
                <w:color w:val="auto"/>
                <w:szCs w:val="21"/>
                <w:lang w:val="zh-CN"/>
              </w:rPr>
              <w:t>及开标时间</w:t>
            </w:r>
          </w:p>
        </w:tc>
        <w:tc>
          <w:tcPr>
            <w:tcW w:w="6813" w:type="dxa"/>
            <w:vAlign w:val="center"/>
          </w:tcPr>
          <w:p w14:paraId="2B89D079">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0000FF"/>
                <w:szCs w:val="21"/>
                <w:lang w:val="zh-CN"/>
              </w:rPr>
              <w:t>202</w:t>
            </w:r>
            <w:r>
              <w:rPr>
                <w:rFonts w:hint="eastAsia" w:ascii="宋体" w:hAnsi="宋体" w:eastAsia="宋体" w:cs="宋体"/>
                <w:color w:val="0000FF"/>
                <w:szCs w:val="21"/>
                <w:lang w:val="en-US" w:eastAsia="zh-CN"/>
              </w:rPr>
              <w:t>6</w:t>
            </w:r>
            <w:r>
              <w:rPr>
                <w:rFonts w:hint="eastAsia" w:ascii="宋体" w:hAnsi="宋体" w:eastAsia="宋体" w:cs="宋体"/>
                <w:color w:val="0000FF"/>
                <w:szCs w:val="21"/>
                <w:lang w:val="zh-CN"/>
              </w:rPr>
              <w:t>年</w:t>
            </w:r>
            <w:r>
              <w:rPr>
                <w:rFonts w:hint="eastAsia" w:ascii="宋体" w:hAnsi="宋体" w:eastAsia="宋体" w:cs="宋体"/>
                <w:color w:val="0000FF"/>
                <w:szCs w:val="21"/>
                <w:lang w:val="en-US" w:eastAsia="zh-CN"/>
              </w:rPr>
              <w:t>11</w:t>
            </w:r>
            <w:r>
              <w:rPr>
                <w:rFonts w:hint="eastAsia" w:ascii="宋体" w:hAnsi="宋体" w:eastAsia="宋体" w:cs="宋体"/>
                <w:color w:val="0000FF"/>
                <w:szCs w:val="21"/>
                <w:lang w:val="zh-CN"/>
              </w:rPr>
              <w:t>月</w:t>
            </w:r>
            <w:r>
              <w:rPr>
                <w:rFonts w:hint="eastAsia" w:ascii="宋体" w:hAnsi="宋体" w:eastAsia="宋体" w:cs="宋体"/>
                <w:color w:val="0000FF"/>
                <w:szCs w:val="21"/>
                <w:lang w:val="en-US" w:eastAsia="zh-CN"/>
              </w:rPr>
              <w:t>9</w:t>
            </w:r>
            <w:r>
              <w:rPr>
                <w:rFonts w:hint="eastAsia" w:ascii="宋体" w:hAnsi="宋体" w:eastAsia="宋体" w:cs="宋体"/>
                <w:color w:val="0000FF"/>
                <w:szCs w:val="21"/>
                <w:lang w:val="zh-CN"/>
              </w:rPr>
              <w:t>日08时30分（北京时间）</w:t>
            </w:r>
            <w:bookmarkStart w:id="10" w:name="_GoBack"/>
            <w:bookmarkEnd w:id="10"/>
          </w:p>
        </w:tc>
      </w:tr>
      <w:tr w14:paraId="2B89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7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13</w:t>
            </w:r>
          </w:p>
        </w:tc>
        <w:tc>
          <w:tcPr>
            <w:tcW w:w="2268" w:type="dxa"/>
            <w:vAlign w:val="center"/>
          </w:tcPr>
          <w:p w14:paraId="2B89D07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开标地点</w:t>
            </w:r>
          </w:p>
        </w:tc>
        <w:tc>
          <w:tcPr>
            <w:tcW w:w="6813" w:type="dxa"/>
            <w:vAlign w:val="center"/>
          </w:tcPr>
          <w:p w14:paraId="2B89D07E">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en-US" w:eastAsia="zh-CN"/>
              </w:rPr>
              <w:t>开标地点：</w:t>
            </w:r>
            <w:r>
              <w:rPr>
                <w:rFonts w:hint="eastAsia" w:ascii="宋体" w:hAnsi="宋体" w:eastAsia="宋体" w:cs="宋体"/>
                <w:color w:val="auto"/>
                <w:szCs w:val="21"/>
              </w:rPr>
              <w:t>禹州市公共资源交易中心开标</w:t>
            </w:r>
            <w:r>
              <w:rPr>
                <w:rFonts w:hint="eastAsia" w:ascii="宋体" w:hAnsi="宋体" w:eastAsia="宋体" w:cs="宋体"/>
                <w:color w:val="auto"/>
                <w:szCs w:val="21"/>
                <w:lang w:eastAsia="zh-CN"/>
              </w:rPr>
              <w:t>二</w:t>
            </w:r>
            <w:r>
              <w:rPr>
                <w:rFonts w:hint="eastAsia" w:ascii="宋体" w:hAnsi="宋体" w:eastAsia="宋体" w:cs="宋体"/>
                <w:color w:val="auto"/>
                <w:szCs w:val="21"/>
              </w:rPr>
              <w:t>室（地址：禹州市行政服务中心楼九楼）（</w:t>
            </w:r>
            <w:r>
              <w:rPr>
                <w:rFonts w:hint="eastAsia" w:ascii="宋体" w:hAnsi="宋体" w:eastAsia="宋体" w:cs="宋体"/>
                <w:b/>
                <w:color w:val="auto"/>
                <w:szCs w:val="21"/>
              </w:rPr>
              <w:t>本项目采用远程不见面开标，</w:t>
            </w:r>
            <w:r>
              <w:rPr>
                <w:rFonts w:hint="eastAsia" w:ascii="宋体" w:hAnsi="宋体" w:eastAsia="宋体" w:cs="宋体"/>
                <w:b/>
                <w:color w:val="auto"/>
                <w:szCs w:val="21"/>
                <w:lang w:val="en-US" w:eastAsia="zh-CN"/>
              </w:rPr>
              <w:t>投标人</w:t>
            </w:r>
            <w:r>
              <w:rPr>
                <w:rFonts w:hint="eastAsia" w:ascii="宋体" w:hAnsi="宋体" w:eastAsia="宋体" w:cs="宋体"/>
                <w:b/>
                <w:color w:val="auto"/>
                <w:szCs w:val="21"/>
              </w:rPr>
              <w:t>无须到达现场</w:t>
            </w:r>
            <w:r>
              <w:rPr>
                <w:rFonts w:hint="eastAsia" w:ascii="宋体" w:hAnsi="宋体" w:eastAsia="宋体" w:cs="宋体"/>
                <w:color w:val="auto"/>
                <w:szCs w:val="21"/>
              </w:rPr>
              <w:t>）</w:t>
            </w:r>
          </w:p>
        </w:tc>
      </w:tr>
      <w:tr w14:paraId="2B89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B89D08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14</w:t>
            </w:r>
          </w:p>
        </w:tc>
        <w:tc>
          <w:tcPr>
            <w:tcW w:w="2268" w:type="dxa"/>
            <w:vAlign w:val="center"/>
          </w:tcPr>
          <w:p w14:paraId="2B89D081">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kern w:val="0"/>
                <w:szCs w:val="21"/>
              </w:rPr>
              <w:t>投标保证金</w:t>
            </w:r>
          </w:p>
        </w:tc>
        <w:tc>
          <w:tcPr>
            <w:tcW w:w="6813" w:type="dxa"/>
            <w:vAlign w:val="center"/>
          </w:tcPr>
          <w:p w14:paraId="2B89D082">
            <w:pPr>
              <w:keepNext w:val="0"/>
              <w:keepLines w:val="0"/>
              <w:pageBreakBefore w:val="0"/>
              <w:widowControl w:val="0"/>
              <w:tabs>
                <w:tab w:val="left" w:pos="1260"/>
              </w:tabs>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本项目不收取。</w:t>
            </w:r>
          </w:p>
          <w:p w14:paraId="2B89D083">
            <w:pPr>
              <w:keepNext w:val="0"/>
              <w:keepLines w:val="0"/>
              <w:pageBreakBefore w:val="0"/>
              <w:widowControl w:val="0"/>
              <w:tabs>
                <w:tab w:val="left" w:pos="1260"/>
              </w:tabs>
              <w:kinsoku/>
              <w:overflowPunct/>
              <w:topLinePunct w:val="0"/>
              <w:autoSpaceDE w:val="0"/>
              <w:autoSpaceDN w:val="0"/>
              <w:bidi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应提供投标承诺函。</w:t>
            </w:r>
          </w:p>
        </w:tc>
      </w:tr>
      <w:tr w14:paraId="2B89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2B89D08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15</w:t>
            </w:r>
          </w:p>
        </w:tc>
        <w:tc>
          <w:tcPr>
            <w:tcW w:w="2268" w:type="dxa"/>
            <w:vAlign w:val="center"/>
          </w:tcPr>
          <w:p w14:paraId="2B89D08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公告发布</w:t>
            </w:r>
          </w:p>
        </w:tc>
        <w:tc>
          <w:tcPr>
            <w:tcW w:w="6813" w:type="dxa"/>
            <w:tcBorders>
              <w:top w:val="single" w:color="auto" w:sz="4" w:space="0"/>
            </w:tcBorders>
            <w:vAlign w:val="center"/>
          </w:tcPr>
          <w:p w14:paraId="2B89D08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采购公告、</w:t>
            </w:r>
            <w:r>
              <w:rPr>
                <w:rFonts w:hint="eastAsia" w:ascii="宋体" w:hAnsi="宋体" w:eastAsia="宋体" w:cs="宋体"/>
                <w:color w:val="auto"/>
                <w:szCs w:val="21"/>
                <w:lang w:val="en-US" w:eastAsia="zh-CN"/>
              </w:rPr>
              <w:t>中标</w:t>
            </w:r>
            <w:r>
              <w:rPr>
                <w:rFonts w:hint="eastAsia" w:ascii="宋体" w:hAnsi="宋体" w:eastAsia="宋体" w:cs="宋体"/>
                <w:color w:val="auto"/>
                <w:szCs w:val="21"/>
              </w:rPr>
              <w:t>公告、变更（更正）公告、现场勘察答复等相关信息同时在以下网站发布：《河南省政府采购网》《许昌市政府采购网》《全国公共资源交易平台（河南省·许昌市）》。</w:t>
            </w:r>
          </w:p>
        </w:tc>
      </w:tr>
      <w:tr w14:paraId="2B89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8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16</w:t>
            </w:r>
          </w:p>
        </w:tc>
        <w:tc>
          <w:tcPr>
            <w:tcW w:w="2268" w:type="dxa"/>
            <w:vAlign w:val="center"/>
          </w:tcPr>
          <w:p w14:paraId="2B89D08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采购人澄清或修改</w:t>
            </w:r>
          </w:p>
          <w:p w14:paraId="2B89D08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招标文件时间</w:t>
            </w:r>
          </w:p>
        </w:tc>
        <w:tc>
          <w:tcPr>
            <w:tcW w:w="6813" w:type="dxa"/>
            <w:vAlign w:val="center"/>
          </w:tcPr>
          <w:p w14:paraId="2B89D08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en-US" w:eastAsia="zh-CN"/>
              </w:rPr>
            </w:pPr>
            <w:r>
              <w:rPr>
                <w:rFonts w:hint="eastAsia" w:ascii="宋体" w:hAnsi="宋体" w:eastAsia="宋体" w:cs="宋体"/>
                <w:bCs/>
                <w:color w:val="auto"/>
                <w:szCs w:val="21"/>
                <w:lang w:val="zh-CN"/>
              </w:rPr>
              <w:t>投标截止时间</w:t>
            </w:r>
            <w:r>
              <w:rPr>
                <w:rFonts w:hint="eastAsia" w:ascii="宋体" w:hAnsi="宋体" w:eastAsia="宋体" w:cs="宋体"/>
                <w:bCs/>
                <w:color w:val="auto"/>
                <w:szCs w:val="21"/>
              </w:rPr>
              <w:t>15</w:t>
            </w:r>
            <w:r>
              <w:rPr>
                <w:rFonts w:hint="eastAsia" w:ascii="宋体" w:hAnsi="宋体" w:eastAsia="宋体" w:cs="宋体"/>
                <w:bCs/>
                <w:color w:val="auto"/>
                <w:szCs w:val="21"/>
                <w:lang w:val="zh-CN"/>
              </w:rPr>
              <w:t>个工作日前（</w:t>
            </w:r>
            <w:r>
              <w:rPr>
                <w:rFonts w:hint="eastAsia" w:ascii="宋体" w:hAnsi="宋体" w:eastAsia="宋体" w:cs="宋体"/>
                <w:color w:val="auto"/>
                <w:szCs w:val="21"/>
                <w:lang w:val="zh-CN"/>
              </w:rPr>
              <w:t>澄清内容可能影响投标文件编制的），</w:t>
            </w:r>
            <w:r>
              <w:rPr>
                <w:rFonts w:hint="eastAsia" w:ascii="宋体" w:hAnsi="宋体" w:eastAsia="宋体" w:cs="宋体"/>
                <w:color w:val="auto"/>
                <w:szCs w:val="21"/>
                <w:lang w:val="en-US" w:eastAsia="zh-CN"/>
              </w:rPr>
              <w:t>通过全国公共资源交易平台（河南省.许昌市）交易系统电子平台发出；不足15日的，采购人或者采购代理机构应当顺延提交投标文件的截止时间。</w:t>
            </w:r>
          </w:p>
        </w:tc>
      </w:tr>
      <w:tr w14:paraId="2B89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8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17</w:t>
            </w:r>
          </w:p>
        </w:tc>
        <w:tc>
          <w:tcPr>
            <w:tcW w:w="2268" w:type="dxa"/>
            <w:vAlign w:val="center"/>
          </w:tcPr>
          <w:p w14:paraId="2B89D08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对招标文件</w:t>
            </w:r>
          </w:p>
          <w:p w14:paraId="2B89D09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质疑截止时间</w:t>
            </w:r>
          </w:p>
        </w:tc>
        <w:tc>
          <w:tcPr>
            <w:tcW w:w="6813" w:type="dxa"/>
            <w:vAlign w:val="center"/>
          </w:tcPr>
          <w:p w14:paraId="2B89D09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采购公告期满之日起七个工作日</w:t>
            </w:r>
          </w:p>
        </w:tc>
      </w:tr>
      <w:tr w14:paraId="2B89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18</w:t>
            </w:r>
          </w:p>
        </w:tc>
        <w:tc>
          <w:tcPr>
            <w:tcW w:w="2268" w:type="dxa"/>
            <w:vAlign w:val="center"/>
          </w:tcPr>
          <w:p w14:paraId="2B89D09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投标文件份数</w:t>
            </w:r>
          </w:p>
        </w:tc>
        <w:tc>
          <w:tcPr>
            <w:tcW w:w="6813" w:type="dxa"/>
            <w:vAlign w:val="center"/>
          </w:tcPr>
          <w:p w14:paraId="2B89D09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rPr>
              <w:fldChar w:fldCharType="begin"/>
            </w:r>
            <w:r>
              <w:rPr>
                <w:rFonts w:hint="eastAsia" w:ascii="宋体" w:hAnsi="宋体" w:eastAsia="宋体" w:cs="宋体"/>
                <w:bCs/>
                <w:color w:val="auto"/>
                <w:szCs w:val="21"/>
              </w:rPr>
              <w:instrText xml:space="preserve">eq \o\ac(</w:instrText>
            </w:r>
            <w:r>
              <w:rPr>
                <w:rFonts w:hint="eastAsia" w:ascii="宋体" w:hAnsi="宋体" w:eastAsia="宋体" w:cs="宋体"/>
                <w:bCs/>
                <w:color w:val="auto"/>
                <w:position w:val="-4"/>
                <w:sz w:val="31"/>
                <w:szCs w:val="21"/>
              </w:rPr>
              <w:instrText xml:space="preserve">□</w:instrText>
            </w:r>
            <w:r>
              <w:rPr>
                <w:rFonts w:hint="eastAsia" w:ascii="宋体" w:hAnsi="宋体" w:eastAsia="宋体" w:cs="宋体"/>
                <w:bCs/>
                <w:color w:val="auto"/>
                <w:szCs w:val="21"/>
              </w:rPr>
              <w:instrText xml:space="preserve">,√)</w:instrText>
            </w:r>
            <w:r>
              <w:rPr>
                <w:rFonts w:hint="eastAsia" w:ascii="宋体" w:hAnsi="宋体" w:eastAsia="宋体" w:cs="宋体"/>
                <w:bCs/>
                <w:color w:val="auto"/>
                <w:szCs w:val="21"/>
              </w:rPr>
              <w:fldChar w:fldCharType="end"/>
            </w:r>
            <w:r>
              <w:rPr>
                <w:rFonts w:hint="eastAsia" w:ascii="宋体" w:hAnsi="宋体" w:eastAsia="宋体" w:cs="宋体"/>
                <w:bCs/>
                <w:color w:val="auto"/>
                <w:szCs w:val="21"/>
                <w:lang w:val="zh-CN"/>
              </w:rPr>
              <w:t>电子投标文件：成功上传至《全国公共资源交易平台（河南省·许昌市）》公共资源交易系统加密电子投标文件1份（后缀格式为“.XCSTF”的加密电子响应文件）。</w:t>
            </w:r>
          </w:p>
          <w:p w14:paraId="2B89D09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注：供应商登录“全国公共资源交易平台（河南省·许昌市）”下载“新点投标文件制作软件（河南省版）”的最新版本制作电子响应文件。</w:t>
            </w:r>
          </w:p>
          <w:p w14:paraId="2B89D097">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w:t>
            </w:r>
          </w:p>
        </w:tc>
      </w:tr>
      <w:tr w14:paraId="2B89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19</w:t>
            </w:r>
          </w:p>
        </w:tc>
        <w:tc>
          <w:tcPr>
            <w:tcW w:w="2268" w:type="dxa"/>
            <w:vAlign w:val="center"/>
          </w:tcPr>
          <w:p w14:paraId="2B89D09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投标文件的</w:t>
            </w:r>
          </w:p>
          <w:p w14:paraId="2B89D09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签署盖章</w:t>
            </w:r>
          </w:p>
        </w:tc>
        <w:tc>
          <w:tcPr>
            <w:tcW w:w="6813" w:type="dxa"/>
            <w:vAlign w:val="center"/>
          </w:tcPr>
          <w:p w14:paraId="2B89D09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szCs w:val="21"/>
              </w:rPr>
              <w:fldChar w:fldCharType="end"/>
            </w:r>
            <w:r>
              <w:rPr>
                <w:rFonts w:hint="eastAsia" w:ascii="宋体" w:hAnsi="宋体" w:eastAsia="宋体" w:cs="宋体"/>
                <w:color w:val="auto"/>
                <w:szCs w:val="21"/>
              </w:rPr>
              <w:t>电子投标文件：按招标文件要求加盖供应商电子印章和法人电子印章。</w:t>
            </w:r>
          </w:p>
          <w:p w14:paraId="2B89D09D">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b/>
                <w:bCs/>
                <w:color w:val="auto"/>
                <w:szCs w:val="21"/>
                <w:lang w:val="zh-CN"/>
              </w:rPr>
              <w:t>□</w:t>
            </w:r>
            <w:r>
              <w:rPr>
                <w:rFonts w:hint="eastAsia" w:ascii="宋体" w:hAnsi="宋体" w:eastAsia="宋体" w:cs="宋体"/>
                <w:color w:val="auto"/>
                <w:szCs w:val="21"/>
              </w:rPr>
              <w:t>纸质投标文件：投标文件封面加盖投标人公章（投标文件是指投标人电子投标文件制作完成后生成的后缀名为“.PDF”的文件打印的纸质投标文件）。</w:t>
            </w:r>
          </w:p>
        </w:tc>
      </w:tr>
      <w:tr w14:paraId="2B89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9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20</w:t>
            </w:r>
          </w:p>
        </w:tc>
        <w:tc>
          <w:tcPr>
            <w:tcW w:w="2268" w:type="dxa"/>
            <w:vAlign w:val="center"/>
          </w:tcPr>
          <w:p w14:paraId="2B89D0A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评标委员会组建</w:t>
            </w:r>
          </w:p>
        </w:tc>
        <w:tc>
          <w:tcPr>
            <w:tcW w:w="6813" w:type="dxa"/>
            <w:vAlign w:val="center"/>
          </w:tcPr>
          <w:p w14:paraId="2B89D0A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position w:val="2"/>
                <w:sz w:val="13"/>
                <w:szCs w:val="21"/>
              </w:rPr>
              <w:instrText xml:space="preserve">√</w:instrText>
            </w:r>
            <w:r>
              <w:rPr>
                <w:rFonts w:hint="eastAsia" w:ascii="宋体" w:hAnsi="宋体" w:eastAsia="宋体" w:cs="宋体"/>
                <w:b/>
                <w:color w:val="auto"/>
                <w:szCs w:val="21"/>
              </w:rPr>
              <w:instrText xml:space="preserve">)</w:instrText>
            </w:r>
            <w:r>
              <w:rPr>
                <w:rFonts w:hint="eastAsia" w:ascii="宋体" w:hAnsi="宋体" w:eastAsia="宋体" w:cs="宋体"/>
                <w:b/>
                <w:color w:val="auto"/>
                <w:szCs w:val="21"/>
              </w:rPr>
              <w:fldChar w:fldCharType="end"/>
            </w:r>
            <w:r>
              <w:rPr>
                <w:rFonts w:hint="eastAsia" w:ascii="宋体" w:hAnsi="宋体" w:eastAsia="宋体" w:cs="宋体"/>
                <w:color w:val="auto"/>
                <w:szCs w:val="21"/>
                <w:lang w:val="zh-CN"/>
              </w:rPr>
              <w:t>由采购人代表</w:t>
            </w:r>
            <w:r>
              <w:rPr>
                <w:rFonts w:hint="eastAsia" w:ascii="宋体" w:hAnsi="宋体" w:eastAsia="宋体" w:cs="宋体"/>
                <w:color w:val="auto"/>
                <w:szCs w:val="21"/>
              </w:rPr>
              <w:t>1人</w:t>
            </w:r>
            <w:r>
              <w:rPr>
                <w:rFonts w:hint="eastAsia" w:ascii="宋体" w:hAnsi="宋体" w:eastAsia="宋体" w:cs="宋体"/>
                <w:color w:val="auto"/>
                <w:szCs w:val="21"/>
                <w:lang w:val="zh-CN"/>
              </w:rPr>
              <w:t>和评审专家</w:t>
            </w:r>
            <w:r>
              <w:rPr>
                <w:rFonts w:hint="eastAsia" w:ascii="宋体" w:hAnsi="宋体" w:eastAsia="宋体" w:cs="宋体"/>
                <w:color w:val="auto"/>
                <w:szCs w:val="21"/>
              </w:rPr>
              <w:t>4人</w:t>
            </w:r>
            <w:r>
              <w:rPr>
                <w:rFonts w:hint="eastAsia" w:ascii="宋体" w:hAnsi="宋体" w:eastAsia="宋体" w:cs="宋体"/>
                <w:color w:val="auto"/>
                <w:szCs w:val="21"/>
                <w:lang w:val="zh-CN"/>
              </w:rPr>
              <w:t>组成，其中评审专家的人数不少于评标委员会成员总数的三分之二。评审专家从政府采购评审专家库中随机抽取。</w:t>
            </w:r>
          </w:p>
          <w:p w14:paraId="2B89D0A2">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color w:val="auto"/>
                <w:szCs w:val="21"/>
              </w:rPr>
              <w:fldChar w:fldCharType="begin"/>
            </w:r>
            <w:r>
              <w:rPr>
                <w:rFonts w:hint="eastAsia" w:ascii="宋体" w:hAnsi="宋体" w:eastAsia="宋体" w:cs="宋体"/>
                <w:b/>
                <w:color w:val="auto"/>
                <w:szCs w:val="21"/>
              </w:rPr>
              <w:instrText xml:space="preserve">eq \o\ac(□)</w:instrText>
            </w:r>
            <w:r>
              <w:rPr>
                <w:rFonts w:hint="eastAsia" w:ascii="宋体" w:hAnsi="宋体" w:eastAsia="宋体" w:cs="宋体"/>
                <w:b/>
                <w:color w:val="auto"/>
                <w:szCs w:val="21"/>
              </w:rPr>
              <w:fldChar w:fldCharType="end"/>
            </w:r>
            <w:r>
              <w:rPr>
                <w:rFonts w:hint="eastAsia" w:ascii="宋体" w:hAnsi="宋体" w:eastAsia="宋体" w:cs="宋体"/>
                <w:color w:val="auto"/>
                <w:szCs w:val="21"/>
                <w:lang w:val="zh-CN"/>
              </w:rPr>
              <w:t>由评审专家组成。评审专家从政府采购评审专家库中随机抽取。</w:t>
            </w:r>
          </w:p>
        </w:tc>
      </w:tr>
      <w:tr w14:paraId="2B89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A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21</w:t>
            </w:r>
          </w:p>
        </w:tc>
        <w:tc>
          <w:tcPr>
            <w:tcW w:w="2268" w:type="dxa"/>
            <w:vAlign w:val="center"/>
          </w:tcPr>
          <w:p w14:paraId="2B89D0A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评标方法</w:t>
            </w:r>
          </w:p>
        </w:tc>
        <w:tc>
          <w:tcPr>
            <w:tcW w:w="6813" w:type="dxa"/>
            <w:vAlign w:val="center"/>
          </w:tcPr>
          <w:p w14:paraId="2B89D0A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综合评分法</w:t>
            </w:r>
            <w:r>
              <w:rPr>
                <w:rFonts w:hint="eastAsia" w:ascii="宋体" w:hAnsi="宋体" w:eastAsia="宋体" w:cs="宋体"/>
                <w:b/>
                <w:bCs/>
                <w:color w:val="auto"/>
                <w:szCs w:val="21"/>
                <w:lang w:val="zh-CN"/>
              </w:rPr>
              <w:t>□</w:t>
            </w:r>
            <w:r>
              <w:rPr>
                <w:rFonts w:hint="eastAsia" w:ascii="宋体" w:hAnsi="宋体" w:eastAsia="宋体" w:cs="宋体"/>
                <w:color w:val="auto"/>
                <w:szCs w:val="21"/>
                <w:lang w:val="zh-CN"/>
              </w:rPr>
              <w:t>最低评标价法</w:t>
            </w:r>
          </w:p>
        </w:tc>
      </w:tr>
      <w:tr w14:paraId="2881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AB7045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22</w:t>
            </w:r>
          </w:p>
        </w:tc>
        <w:tc>
          <w:tcPr>
            <w:tcW w:w="2268" w:type="dxa"/>
            <w:vAlign w:val="center"/>
          </w:tcPr>
          <w:p w14:paraId="1152FE7B">
            <w:pPr>
              <w:autoSpaceDE w:val="0"/>
              <w:autoSpaceDN w:val="0"/>
              <w:adjustRightInd w:val="0"/>
              <w:spacing w:line="360" w:lineRule="auto"/>
              <w:jc w:val="center"/>
              <w:rPr>
                <w:rFonts w:hint="eastAsia" w:ascii="宋体" w:hAnsi="宋体" w:eastAsia="宋体" w:cs="宋体"/>
                <w:color w:val="auto"/>
                <w:szCs w:val="21"/>
              </w:rPr>
            </w:pPr>
            <w:r>
              <w:rPr>
                <w:rFonts w:hint="eastAsia" w:cs="宋体" w:asciiTheme="minorEastAsia" w:hAnsiTheme="minorEastAsia"/>
                <w:bCs/>
                <w:color w:val="auto"/>
                <w:szCs w:val="21"/>
                <w:highlight w:val="none"/>
                <w:lang w:val="zh-CN"/>
              </w:rPr>
              <w:t>异常低价审核</w:t>
            </w:r>
          </w:p>
        </w:tc>
        <w:tc>
          <w:tcPr>
            <w:tcW w:w="6813" w:type="dxa"/>
            <w:vAlign w:val="center"/>
          </w:tcPr>
          <w:p w14:paraId="72D357B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w:t>
            </w:r>
            <w:r>
              <w:rPr>
                <w:rFonts w:hint="eastAsia" w:ascii="ˎ̥" w:hAnsi="ˎ̥"/>
                <w:color w:val="auto"/>
                <w:highlight w:val="none"/>
                <w:lang w:val="en-US" w:eastAsia="zh-CN"/>
              </w:rPr>
              <w:t>投标人</w:t>
            </w:r>
            <w:r>
              <w:rPr>
                <w:rFonts w:hint="eastAsia" w:ascii="ˎ̥" w:hAnsi="ˎ̥"/>
                <w:color w:val="auto"/>
                <w:highlight w:val="none"/>
                <w:lang w:val="zh-CN"/>
              </w:rPr>
              <w:t>投标报价平均值50%的；</w:t>
            </w:r>
          </w:p>
          <w:p w14:paraId="191A8EF0">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w:t>
            </w:r>
            <w:r>
              <w:rPr>
                <w:rFonts w:hint="eastAsia" w:ascii="ˎ̥" w:hAnsi="ˎ̥"/>
                <w:color w:val="auto"/>
                <w:highlight w:val="none"/>
                <w:lang w:val="en-US" w:eastAsia="zh-CN"/>
              </w:rPr>
              <w:t>投标人</w:t>
            </w:r>
            <w:r>
              <w:rPr>
                <w:rFonts w:hint="eastAsia" w:ascii="ˎ̥" w:hAnsi="ˎ̥"/>
                <w:color w:val="auto"/>
                <w:highlight w:val="none"/>
                <w:lang w:val="zh-CN"/>
              </w:rPr>
              <w:t>投标报价50%的；</w:t>
            </w:r>
          </w:p>
          <w:p w14:paraId="1A2A846A">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C067C98">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w:t>
            </w:r>
            <w:r>
              <w:rPr>
                <w:rFonts w:hint="eastAsia" w:ascii="ˎ̥" w:hAnsi="ˎ̥"/>
                <w:color w:val="auto"/>
                <w:highlight w:val="none"/>
                <w:lang w:val="en-US" w:eastAsia="zh-CN"/>
              </w:rPr>
              <w:t>投标人</w:t>
            </w:r>
            <w:r>
              <w:rPr>
                <w:rFonts w:hint="eastAsia" w:ascii="ˎ̥" w:hAnsi="ˎ̥"/>
                <w:color w:val="auto"/>
                <w:highlight w:val="none"/>
                <w:lang w:val="zh-CN"/>
              </w:rPr>
              <w:t>报价过低，有可能影响产品质量或者不能诚信履约的其他情形。</w:t>
            </w:r>
          </w:p>
          <w:p w14:paraId="207F36B5">
            <w:pPr>
              <w:autoSpaceDE w:val="0"/>
              <w:autoSpaceDN w:val="0"/>
              <w:adjustRightInd w:val="0"/>
              <w:spacing w:line="360" w:lineRule="auto"/>
              <w:jc w:val="both"/>
              <w:rPr>
                <w:rFonts w:hint="eastAsia" w:ascii="宋体" w:hAnsi="宋体" w:eastAsia="宋体" w:cs="宋体"/>
                <w:b/>
                <w:color w:val="auto"/>
                <w:kern w:val="0"/>
                <w:szCs w:val="21"/>
                <w:lang w:val="zh-CN"/>
              </w:rPr>
            </w:pPr>
            <w:r>
              <w:rPr>
                <w:rFonts w:hint="eastAsia" w:ascii="ˎ̥" w:hAnsi="ˎ̥"/>
                <w:color w:val="auto"/>
                <w:highlight w:val="none"/>
                <w:lang w:val="zh-CN"/>
              </w:rPr>
              <w:t>5.相关法律法规对</w:t>
            </w:r>
            <w:r>
              <w:rPr>
                <w:rFonts w:hint="eastAsia" w:ascii="ˎ̥" w:hAnsi="ˎ̥"/>
                <w:color w:val="auto"/>
                <w:highlight w:val="none"/>
                <w:lang w:val="en-US" w:eastAsia="zh-CN"/>
              </w:rPr>
              <w:t>投标人</w:t>
            </w:r>
            <w:r>
              <w:rPr>
                <w:rFonts w:hint="eastAsia" w:ascii="ˎ̥" w:hAnsi="ˎ̥"/>
                <w:color w:val="auto"/>
                <w:highlight w:val="none"/>
                <w:lang w:val="zh-CN"/>
              </w:rPr>
              <w:t>报价有规定的，从其规定。</w:t>
            </w:r>
          </w:p>
        </w:tc>
      </w:tr>
      <w:tr w14:paraId="2B89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A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3</w:t>
            </w:r>
          </w:p>
        </w:tc>
        <w:tc>
          <w:tcPr>
            <w:tcW w:w="2268" w:type="dxa"/>
            <w:vAlign w:val="center"/>
          </w:tcPr>
          <w:p w14:paraId="2B89D0A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授权函</w:t>
            </w:r>
          </w:p>
        </w:tc>
        <w:tc>
          <w:tcPr>
            <w:tcW w:w="6813" w:type="dxa"/>
            <w:vAlign w:val="center"/>
          </w:tcPr>
          <w:p w14:paraId="71179137">
            <w:pPr>
              <w:pStyle w:val="23"/>
              <w:keepNext w:val="0"/>
              <w:keepLines w:val="0"/>
              <w:pageBreakBefore w:val="0"/>
              <w:widowControl w:val="0"/>
              <w:kinsoku/>
              <w:overflowPunct/>
              <w:topLinePunct w:val="0"/>
              <w:bidi w:val="0"/>
              <w:snapToGrid/>
              <w:spacing w:line="460" w:lineRule="exact"/>
              <w:ind w:left="0" w:leftChars="0" w:firstLine="0" w:firstLineChars="0"/>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采购单位委派代表参加资格审查和评审委员会的，须出具授权函。除授权代表外，采购单位委派监察人员对评标过程实施监督的须进入禹州市公共资源交易中心电子监督室，且不得超过2人。监察人员对评审工作实施监督，并签字登记备案、备查，监督人员应切实履行监督责任。</w:t>
            </w:r>
          </w:p>
        </w:tc>
      </w:tr>
      <w:tr w14:paraId="2B89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A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4</w:t>
            </w:r>
          </w:p>
        </w:tc>
        <w:tc>
          <w:tcPr>
            <w:tcW w:w="2268" w:type="dxa"/>
            <w:vAlign w:val="center"/>
          </w:tcPr>
          <w:p w14:paraId="5741EE7A">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bCs/>
                <w:color w:val="auto"/>
                <w:szCs w:val="21"/>
                <w:lang w:val="zh-CN"/>
              </w:rPr>
            </w:pPr>
          </w:p>
          <w:p w14:paraId="2B89D0A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中小企业有关政策</w:t>
            </w:r>
          </w:p>
        </w:tc>
        <w:tc>
          <w:tcPr>
            <w:tcW w:w="6813" w:type="dxa"/>
            <w:vAlign w:val="center"/>
          </w:tcPr>
          <w:p w14:paraId="7746CC5F">
            <w:pPr>
              <w:keepNext w:val="0"/>
              <w:keepLines w:val="0"/>
              <w:pageBreakBefore w:val="0"/>
              <w:widowControl w:val="0"/>
              <w:numPr>
                <w:ilvl w:val="0"/>
                <w:numId w:val="3"/>
              </w:numPr>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本次采购标的对应的中小企业划分标准所属行业：软件和信息技术服务业。</w:t>
            </w:r>
          </w:p>
          <w:p w14:paraId="4AFB9A74">
            <w:pPr>
              <w:keepNext w:val="0"/>
              <w:keepLines w:val="0"/>
              <w:pageBreakBefore w:val="0"/>
              <w:widowControl w:val="0"/>
              <w:numPr>
                <w:ilvl w:val="0"/>
                <w:numId w:val="3"/>
              </w:numPr>
              <w:kinsoku/>
              <w:overflowPunct/>
              <w:topLinePunct w:val="0"/>
              <w:bidi w:val="0"/>
              <w:snapToGrid/>
              <w:spacing w:line="460" w:lineRule="exact"/>
              <w:ind w:left="0" w:leftChars="0" w:firstLine="0" w:firstLineChars="0"/>
              <w:textAlignment w:val="auto"/>
              <w:rPr>
                <w:rFonts w:hint="eastAsia" w:ascii="宋体" w:hAnsi="宋体" w:eastAsia="宋体" w:cs="宋体"/>
                <w:color w:val="auto"/>
                <w:lang w:eastAsia="zh-CN"/>
              </w:rPr>
            </w:pPr>
            <w:r>
              <w:rPr>
                <w:rFonts w:hint="eastAsia" w:ascii="宋体" w:hAnsi="宋体" w:eastAsia="宋体" w:cs="宋体"/>
                <w:color w:val="auto"/>
                <w:lang w:eastAsia="zh-CN"/>
              </w:rPr>
              <w:t>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14:paraId="174EAED5">
            <w:pPr>
              <w:keepNext w:val="0"/>
              <w:keepLines w:val="0"/>
              <w:pageBreakBefore w:val="0"/>
              <w:widowControl w:val="0"/>
              <w:numPr>
                <w:ilvl w:val="0"/>
                <w:numId w:val="0"/>
              </w:numPr>
              <w:kinsoku/>
              <w:overflowPunct/>
              <w:topLinePunct w:val="0"/>
              <w:bidi w:val="0"/>
              <w:snapToGrid/>
              <w:spacing w:line="460" w:lineRule="exact"/>
              <w:ind w:leftChars="0"/>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3.</w:t>
            </w:r>
            <w:r>
              <w:rPr>
                <w:rFonts w:hint="eastAsia" w:ascii="宋体" w:hAnsi="宋体" w:eastAsia="宋体" w:cs="宋体"/>
                <w:color w:val="auto"/>
                <w:lang w:eastAsia="zh-CN"/>
              </w:rPr>
              <w:t>本项目不接受联合体投标。</w:t>
            </w:r>
          </w:p>
          <w:p w14:paraId="7DE9D802">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4</w:t>
            </w:r>
            <w:r>
              <w:rPr>
                <w:rFonts w:hint="eastAsia" w:ascii="宋体" w:hAnsi="宋体" w:eastAsia="宋体" w:cs="宋体"/>
                <w:color w:val="auto"/>
                <w:lang w:eastAsia="zh-CN"/>
              </w:rPr>
              <w:t>.提供由省级以上监狱管理局、戒毒管理局（含新疆生产建设兵团）出具的属于监狱企业证明文件的，视同为小型和微型企业。</w:t>
            </w:r>
          </w:p>
          <w:p w14:paraId="2B89D0B4">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val="en-US" w:eastAsia="zh-CN"/>
              </w:rPr>
              <w:t>5</w:t>
            </w:r>
            <w:r>
              <w:rPr>
                <w:rFonts w:hint="eastAsia" w:ascii="宋体" w:hAnsi="宋体" w:eastAsia="宋体" w:cs="宋体"/>
                <w:color w:val="auto"/>
                <w:lang w:eastAsia="zh-CN"/>
              </w:rPr>
              <w:t>.符合享受政府采购支持政策的残疾人福利性单位条件且提供《残疾人福利性单位声明函》的，视同为小型和微型企业。</w:t>
            </w:r>
          </w:p>
          <w:p w14:paraId="0FDD5364">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lang w:eastAsia="zh-CN"/>
              </w:rPr>
              <w:t>6.符合中小企业划分标准的个体工商户，在政府采购活动中视同中小企业。</w:t>
            </w:r>
          </w:p>
        </w:tc>
      </w:tr>
      <w:tr w14:paraId="2B89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B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5</w:t>
            </w:r>
          </w:p>
        </w:tc>
        <w:tc>
          <w:tcPr>
            <w:tcW w:w="2268" w:type="dxa"/>
            <w:vAlign w:val="center"/>
          </w:tcPr>
          <w:p w14:paraId="2B89D0B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节能环保要求</w:t>
            </w:r>
          </w:p>
        </w:tc>
        <w:tc>
          <w:tcPr>
            <w:tcW w:w="6813" w:type="dxa"/>
            <w:vAlign w:val="center"/>
          </w:tcPr>
          <w:p w14:paraId="2B89D0B8">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1.本项目强制采购的节能产品：（无）</w:t>
            </w:r>
          </w:p>
          <w:p w14:paraId="2B89D0B9">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lang w:val="zh-CN"/>
              </w:rPr>
            </w:pPr>
            <w:r>
              <w:rPr>
                <w:rFonts w:hint="eastAsia" w:ascii="宋体" w:hAnsi="宋体" w:eastAsia="宋体" w:cs="宋体"/>
                <w:bCs/>
                <w:color w:val="auto"/>
                <w:szCs w:val="21"/>
                <w:lang w:val="zh-CN"/>
              </w:rPr>
              <w:t>2.执行《财政部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14:paraId="2B89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B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6</w:t>
            </w:r>
          </w:p>
        </w:tc>
        <w:tc>
          <w:tcPr>
            <w:tcW w:w="2268" w:type="dxa"/>
            <w:vAlign w:val="center"/>
          </w:tcPr>
          <w:p w14:paraId="2B89D0B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网络关键设备、网络安全专用产品要求</w:t>
            </w:r>
          </w:p>
        </w:tc>
        <w:tc>
          <w:tcPr>
            <w:tcW w:w="6813" w:type="dxa"/>
            <w:vAlign w:val="center"/>
          </w:tcPr>
          <w:p w14:paraId="2B89D0BD">
            <w:pPr>
              <w:keepNext w:val="0"/>
              <w:keepLines w:val="0"/>
              <w:pageBreakBefore w:val="0"/>
              <w:widowControl w:val="0"/>
              <w:numPr>
                <w:ilvl w:val="0"/>
                <w:numId w:val="4"/>
              </w:numPr>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rPr>
            </w:pPr>
            <w:r>
              <w:rPr>
                <w:rFonts w:hint="eastAsia" w:ascii="宋体" w:hAnsi="宋体" w:eastAsia="宋体" w:cs="宋体"/>
                <w:color w:val="auto"/>
                <w:szCs w:val="21"/>
              </w:rPr>
              <w:t>本项目网络关键设备：（无）；网络安全专用产品：（无）</w:t>
            </w:r>
          </w:p>
          <w:p w14:paraId="2B89D0BE">
            <w:pPr>
              <w:keepNext w:val="0"/>
              <w:keepLines w:val="0"/>
              <w:pageBreakBefore w:val="0"/>
              <w:widowControl w:val="0"/>
              <w:numPr>
                <w:ilvl w:val="0"/>
                <w:numId w:val="4"/>
              </w:numPr>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rPr>
              <w:t>项目中涉及网络关键设备或网络安全专用产品的，执行国家互联网信息办公室、工业和信息化部、公安部和国家认证认可监督管理委员会2023 年第 2 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2B89D0BF">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eastAsia="zh-CN"/>
              </w:rPr>
              <w:t>3.</w:t>
            </w:r>
            <w:r>
              <w:rPr>
                <w:rFonts w:hint="eastAsia" w:ascii="宋体" w:hAnsi="宋体" w:eastAsia="宋体" w:cs="宋体"/>
                <w:color w:val="auto"/>
                <w:szCs w:val="21"/>
              </w:rPr>
              <w:t>提供资料（下列资料任意一项）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提供公布安全认证、安全检测结果页面网址和安全认证、检测结果截图）。</w:t>
            </w:r>
          </w:p>
        </w:tc>
      </w:tr>
      <w:tr w14:paraId="2B89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2B89D0C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7</w:t>
            </w:r>
          </w:p>
        </w:tc>
        <w:tc>
          <w:tcPr>
            <w:tcW w:w="2268" w:type="dxa"/>
            <w:vAlign w:val="center"/>
          </w:tcPr>
          <w:p w14:paraId="2B89D0C9">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lang w:val="zh-CN"/>
              </w:rPr>
            </w:pPr>
          </w:p>
          <w:p w14:paraId="2B89D0CA">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政府采购合同融资 </w:t>
            </w:r>
          </w:p>
          <w:p w14:paraId="2B89D0CB">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政策告知函</w:t>
            </w:r>
          </w:p>
        </w:tc>
        <w:tc>
          <w:tcPr>
            <w:tcW w:w="6813" w:type="dxa"/>
            <w:vAlign w:val="center"/>
          </w:tcPr>
          <w:p w14:paraId="2B89D0CC">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w:t>
            </w:r>
            <w:r>
              <w:rPr>
                <w:rFonts w:hint="eastAsia" w:ascii="宋体" w:hAnsi="宋体" w:eastAsia="宋体" w:cs="宋体"/>
                <w:color w:val="auto"/>
                <w:szCs w:val="21"/>
                <w:lang w:val="en-US" w:eastAsia="zh-CN"/>
              </w:rPr>
              <w:t>人</w:t>
            </w:r>
            <w:r>
              <w:rPr>
                <w:rFonts w:hint="eastAsia" w:ascii="宋体" w:hAnsi="宋体" w:eastAsia="宋体" w:cs="宋体"/>
                <w:color w:val="auto"/>
                <w:szCs w:val="21"/>
              </w:rPr>
              <w:t>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14:paraId="2B89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70142C56">
            <w:pPr>
              <w:keepNext w:val="0"/>
              <w:keepLines w:val="0"/>
              <w:pageBreakBefore w:val="0"/>
              <w:widowControl w:val="0"/>
              <w:kinsoku/>
              <w:overflowPunct/>
              <w:topLinePunct w:val="0"/>
              <w:autoSpaceDE w:val="0"/>
              <w:autoSpaceDN w:val="0"/>
              <w:bidi w:val="0"/>
              <w:adjustRightInd w:val="0"/>
              <w:snapToGrid/>
              <w:spacing w:line="460" w:lineRule="exact"/>
              <w:jc w:val="both"/>
              <w:textAlignment w:val="auto"/>
              <w:rPr>
                <w:rFonts w:hint="eastAsia" w:ascii="宋体" w:hAnsi="宋体" w:eastAsia="宋体" w:cs="宋体"/>
                <w:color w:val="auto"/>
                <w:szCs w:val="21"/>
              </w:rPr>
            </w:pPr>
          </w:p>
          <w:p w14:paraId="411200A7">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8</w:t>
            </w:r>
          </w:p>
        </w:tc>
        <w:tc>
          <w:tcPr>
            <w:tcW w:w="2268" w:type="dxa"/>
            <w:vAlign w:val="center"/>
          </w:tcPr>
          <w:p w14:paraId="2B89D0C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kern w:val="0"/>
                <w:szCs w:val="21"/>
              </w:rPr>
              <w:t>加快推广绿色建材发展应用</w:t>
            </w:r>
          </w:p>
        </w:tc>
        <w:tc>
          <w:tcPr>
            <w:tcW w:w="6813" w:type="dxa"/>
            <w:vAlign w:val="center"/>
          </w:tcPr>
          <w:p w14:paraId="2B89D0D0">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kern w:val="0"/>
                <w:szCs w:val="21"/>
              </w:rPr>
            </w:pPr>
            <w:r>
              <w:rPr>
                <w:rFonts w:hint="eastAsia" w:ascii="宋体" w:hAnsi="宋体" w:eastAsia="宋体" w:cs="宋体"/>
                <w:bCs/>
                <w:color w:val="auto"/>
                <w:szCs w:val="21"/>
                <w:lang w:val="zh-CN"/>
              </w:rPr>
              <w:t>本项目</w:t>
            </w:r>
            <w:r>
              <w:rPr>
                <w:rFonts w:hint="eastAsia" w:ascii="宋体" w:hAnsi="宋体" w:eastAsia="宋体" w:cs="宋体"/>
                <w:color w:val="auto"/>
                <w:kern w:val="0"/>
                <w:szCs w:val="21"/>
              </w:rPr>
              <w:t>绿色建材</w:t>
            </w:r>
            <w:r>
              <w:rPr>
                <w:rFonts w:hint="eastAsia" w:ascii="宋体" w:hAnsi="宋体" w:eastAsia="宋体" w:cs="宋体"/>
                <w:bCs/>
                <w:color w:val="auto"/>
                <w:szCs w:val="21"/>
                <w:lang w:val="zh-CN"/>
              </w:rPr>
              <w:t xml:space="preserve">产品：（无） </w:t>
            </w:r>
          </w:p>
          <w:p w14:paraId="2B89D0D1">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szCs w:val="21"/>
              </w:rPr>
            </w:pPr>
            <w:r>
              <w:rPr>
                <w:rFonts w:hint="eastAsia" w:ascii="宋体" w:hAnsi="宋体" w:eastAsia="宋体" w:cs="宋体"/>
                <w:color w:val="auto"/>
                <w:kern w:val="0"/>
                <w:szCs w:val="21"/>
              </w:rPr>
              <w:t>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2B89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D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9</w:t>
            </w:r>
          </w:p>
        </w:tc>
        <w:tc>
          <w:tcPr>
            <w:tcW w:w="2268" w:type="dxa"/>
            <w:vAlign w:val="center"/>
          </w:tcPr>
          <w:p w14:paraId="2B89D0D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履约保证金</w:t>
            </w:r>
          </w:p>
        </w:tc>
        <w:tc>
          <w:tcPr>
            <w:tcW w:w="6813" w:type="dxa"/>
            <w:vAlign w:val="center"/>
          </w:tcPr>
          <w:p w14:paraId="2B89D0D5">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color w:val="auto"/>
                <w:kern w:val="0"/>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无要求</w:t>
            </w:r>
          </w:p>
          <w:p w14:paraId="2B89D0D6">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color w:val="auto"/>
                <w:szCs w:val="21"/>
                <w:lang w:val="zh-CN"/>
              </w:rPr>
              <w:t>要求提交。履约保证金的数额为合同金额的%。成交供应商以支票、汇票、本票或者金融机构、担保机构出具的保函等非现金形式向采购人提交。</w:t>
            </w:r>
          </w:p>
        </w:tc>
      </w:tr>
      <w:tr w14:paraId="2B89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5" w:hRule="atLeast"/>
          <w:jc w:val="center"/>
        </w:trPr>
        <w:tc>
          <w:tcPr>
            <w:tcW w:w="806" w:type="dxa"/>
            <w:vAlign w:val="center"/>
          </w:tcPr>
          <w:p w14:paraId="2B89D0D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30</w:t>
            </w:r>
          </w:p>
        </w:tc>
        <w:tc>
          <w:tcPr>
            <w:tcW w:w="2268" w:type="dxa"/>
            <w:vAlign w:val="center"/>
          </w:tcPr>
          <w:p w14:paraId="2B89D0D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代理服务费</w:t>
            </w:r>
          </w:p>
        </w:tc>
        <w:tc>
          <w:tcPr>
            <w:tcW w:w="6813" w:type="dxa"/>
            <w:vAlign w:val="center"/>
          </w:tcPr>
          <w:p w14:paraId="2B89D0DA">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lang w:val="zh-CN"/>
              </w:rPr>
              <w:t>☑收取，</w:t>
            </w:r>
            <w:r>
              <w:rPr>
                <w:rFonts w:hint="eastAsia" w:ascii="宋体" w:hAnsi="宋体" w:eastAsia="宋体" w:cs="宋体"/>
                <w:color w:val="auto"/>
              </w:rPr>
              <w:t>招标代理服务费由中标人支付，按照豫招协〔2023〕002《河南省招标代理服务收费指导意见》收取，由中标单位在领取中标通知书时</w:t>
            </w:r>
            <w:r>
              <w:rPr>
                <w:rFonts w:hint="eastAsia" w:ascii="宋体" w:hAnsi="宋体" w:eastAsia="宋体" w:cs="宋体"/>
                <w:color w:val="auto"/>
                <w:lang w:eastAsia="zh-CN"/>
              </w:rPr>
              <w:t>一次性支付</w:t>
            </w:r>
            <w:r>
              <w:rPr>
                <w:rFonts w:hint="eastAsia" w:ascii="宋体" w:hAnsi="宋体" w:eastAsia="宋体" w:cs="宋体"/>
                <w:color w:val="auto"/>
              </w:rPr>
              <w:t>代理机构。</w:t>
            </w:r>
          </w:p>
          <w:p w14:paraId="2B89D0DB">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招标代理服务收费按差额定率累计法计算：</w:t>
            </w:r>
          </w:p>
          <w:p w14:paraId="2B89D0DC">
            <w:pPr>
              <w:pStyle w:val="16"/>
              <w:keepNext w:val="0"/>
              <w:keepLines w:val="0"/>
              <w:pageBreakBefore w:val="0"/>
              <w:widowControl w:val="0"/>
              <w:kinsoku/>
              <w:overflowPunct/>
              <w:topLinePunct w:val="0"/>
              <w:bidi w:val="0"/>
              <w:snapToGrid/>
              <w:spacing w:after="0" w:line="460" w:lineRule="exact"/>
              <w:ind w:firstLine="340"/>
              <w:textAlignment w:val="auto"/>
              <w:rPr>
                <w:rFonts w:hint="eastAsia" w:ascii="宋体" w:hAnsi="宋体" w:eastAsia="宋体" w:cs="宋体"/>
                <w:bCs/>
                <w:color w:val="auto"/>
                <w:szCs w:val="21"/>
                <w:lang w:val="zh-CN"/>
              </w:rPr>
            </w:pPr>
            <w:r>
              <w:rPr>
                <w:rFonts w:hint="eastAsia" w:ascii="宋体" w:hAnsi="宋体" w:eastAsia="宋体" w:cs="宋体"/>
                <w:color w:val="auto"/>
              </w:rPr>
              <w:drawing>
                <wp:anchor distT="0" distB="0" distL="114300" distR="114300" simplePos="0" relativeHeight="251659264" behindDoc="0" locked="0" layoutInCell="1" allowOverlap="1">
                  <wp:simplePos x="0" y="0"/>
                  <wp:positionH relativeFrom="column">
                    <wp:posOffset>-10795</wp:posOffset>
                  </wp:positionH>
                  <wp:positionV relativeFrom="paragraph">
                    <wp:posOffset>251460</wp:posOffset>
                  </wp:positionV>
                  <wp:extent cx="3671570" cy="2573020"/>
                  <wp:effectExtent l="0" t="0" r="5080" b="17780"/>
                  <wp:wrapSquare wrapText="bothSides"/>
                  <wp:docPr id="2" name="图片 2" descr="beb982d9b13b73535a8dfa2cb990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b982d9b13b73535a8dfa2cb990fd7"/>
                          <pic:cNvPicPr>
                            <a:picLocks noChangeAspect="1"/>
                          </pic:cNvPicPr>
                        </pic:nvPicPr>
                        <pic:blipFill>
                          <a:blip r:embed="rId5"/>
                          <a:stretch>
                            <a:fillRect/>
                          </a:stretch>
                        </pic:blipFill>
                        <pic:spPr>
                          <a:xfrm>
                            <a:off x="0" y="0"/>
                            <a:ext cx="3671570" cy="2573020"/>
                          </a:xfrm>
                          <a:prstGeom prst="rect">
                            <a:avLst/>
                          </a:prstGeom>
                          <a:noFill/>
                          <a:ln>
                            <a:noFill/>
                          </a:ln>
                        </pic:spPr>
                      </pic:pic>
                    </a:graphicData>
                  </a:graphic>
                </wp:anchor>
              </w:drawing>
            </w:r>
          </w:p>
        </w:tc>
      </w:tr>
      <w:tr w14:paraId="2B89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D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31</w:t>
            </w:r>
          </w:p>
        </w:tc>
        <w:tc>
          <w:tcPr>
            <w:tcW w:w="2268" w:type="dxa"/>
            <w:vAlign w:val="center"/>
          </w:tcPr>
          <w:p w14:paraId="2B89D0DF">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en-US" w:eastAsia="zh-CN"/>
              </w:rPr>
              <w:t>中标人</w:t>
            </w:r>
            <w:r>
              <w:rPr>
                <w:rFonts w:hint="eastAsia" w:ascii="宋体" w:hAnsi="宋体" w:eastAsia="宋体" w:cs="宋体"/>
                <w:bCs/>
                <w:color w:val="auto"/>
                <w:szCs w:val="21"/>
                <w:lang w:val="zh-CN"/>
              </w:rPr>
              <w:t>需提交</w:t>
            </w:r>
          </w:p>
          <w:p w14:paraId="2B89D0E0">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的资料</w:t>
            </w:r>
          </w:p>
        </w:tc>
        <w:tc>
          <w:tcPr>
            <w:tcW w:w="6813" w:type="dxa"/>
            <w:vAlign w:val="center"/>
          </w:tcPr>
          <w:p w14:paraId="2B89D0E1">
            <w:pPr>
              <w:keepNext w:val="0"/>
              <w:keepLines w:val="0"/>
              <w:pageBreakBefore w:val="0"/>
              <w:widowControl w:val="0"/>
              <w:kinsoku/>
              <w:overflowPunct/>
              <w:topLinePunct w:val="0"/>
              <w:autoSpaceDE w:val="0"/>
              <w:autoSpaceDN w:val="0"/>
              <w:bidi w:val="0"/>
              <w:adjustRightInd w:val="0"/>
              <w:snapToGrid/>
              <w:spacing w:line="460" w:lineRule="exact"/>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zh-CN"/>
              </w:rPr>
              <w:t>中标人在接到中标通知时，须向代理机构发送投标报价及分项报价一览表（包含主要中标标的的名称、规格型号、数量、单价、服务要求等）电子文档，联系电话：</w:t>
            </w:r>
            <w:r>
              <w:rPr>
                <w:rFonts w:hint="eastAsia" w:ascii="宋体" w:hAnsi="宋体" w:eastAsia="宋体" w:cs="宋体"/>
                <w:color w:val="auto"/>
                <w:szCs w:val="21"/>
                <w:lang w:val="en-US" w:eastAsia="zh-CN"/>
              </w:rPr>
              <w:t>13733156531</w:t>
            </w:r>
            <w:r>
              <w:rPr>
                <w:rFonts w:hint="eastAsia" w:ascii="宋体" w:hAnsi="宋体" w:eastAsia="宋体" w:cs="宋体"/>
                <w:color w:val="auto"/>
                <w:szCs w:val="21"/>
                <w:lang w:val="zh-CN"/>
              </w:rPr>
              <w:t>，邮箱：shimengzb2024@163.com。并配合业主需要提供纸质投标文件。</w:t>
            </w:r>
          </w:p>
        </w:tc>
      </w:tr>
      <w:tr w14:paraId="2B89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E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2</w:t>
            </w:r>
          </w:p>
        </w:tc>
        <w:tc>
          <w:tcPr>
            <w:tcW w:w="2268" w:type="dxa"/>
            <w:vAlign w:val="center"/>
          </w:tcPr>
          <w:p w14:paraId="2B89D0E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电子化采购模式</w:t>
            </w:r>
          </w:p>
        </w:tc>
        <w:tc>
          <w:tcPr>
            <w:tcW w:w="6813" w:type="dxa"/>
            <w:vAlign w:val="center"/>
          </w:tcPr>
          <w:p w14:paraId="2B89D0E5">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b/>
                <w:color w:val="auto"/>
                <w:kern w:val="0"/>
                <w:szCs w:val="21"/>
                <w:lang w:val="zh-CN"/>
              </w:rPr>
              <w:fldChar w:fldCharType="begin"/>
            </w:r>
            <w:r>
              <w:rPr>
                <w:rFonts w:hint="eastAsia" w:ascii="宋体" w:hAnsi="宋体" w:eastAsia="宋体" w:cs="宋体"/>
                <w:b/>
                <w:color w:val="auto"/>
                <w:kern w:val="0"/>
                <w:szCs w:val="21"/>
                <w:lang w:val="zh-CN"/>
              </w:rPr>
              <w:instrText xml:space="preserve">eq \o\ac(□,</w:instrText>
            </w:r>
            <w:r>
              <w:rPr>
                <w:rFonts w:hint="eastAsia" w:ascii="宋体" w:hAnsi="宋体" w:eastAsia="宋体" w:cs="宋体"/>
                <w:b/>
                <w:color w:val="auto"/>
                <w:kern w:val="0"/>
                <w:position w:val="2"/>
                <w:szCs w:val="21"/>
                <w:lang w:val="zh-CN"/>
              </w:rPr>
              <w:instrText xml:space="preserve">√</w:instrText>
            </w:r>
            <w:r>
              <w:rPr>
                <w:rFonts w:hint="eastAsia" w:ascii="宋体" w:hAnsi="宋体" w:eastAsia="宋体" w:cs="宋体"/>
                <w:b/>
                <w:color w:val="auto"/>
                <w:kern w:val="0"/>
                <w:szCs w:val="21"/>
                <w:lang w:val="zh-CN"/>
              </w:rPr>
              <w:instrText xml:space="preserve">)</w:instrText>
            </w:r>
            <w:r>
              <w:rPr>
                <w:rFonts w:hint="eastAsia" w:ascii="宋体" w:hAnsi="宋体" w:eastAsia="宋体" w:cs="宋体"/>
                <w:b/>
                <w:color w:val="auto"/>
                <w:kern w:val="0"/>
                <w:szCs w:val="21"/>
                <w:lang w:val="zh-CN"/>
              </w:rPr>
              <w:fldChar w:fldCharType="end"/>
            </w:r>
            <w:r>
              <w:rPr>
                <w:rFonts w:hint="eastAsia" w:ascii="宋体" w:hAnsi="宋体" w:eastAsia="宋体" w:cs="宋体"/>
                <w:bCs/>
                <w:color w:val="auto"/>
                <w:szCs w:val="21"/>
                <w:lang w:val="zh-CN"/>
              </w:rPr>
              <w:t>是。</w:t>
            </w:r>
            <w:r>
              <w:rPr>
                <w:rFonts w:hint="eastAsia" w:ascii="宋体" w:hAnsi="宋体" w:eastAsia="宋体" w:cs="宋体"/>
                <w:color w:val="auto"/>
                <w:szCs w:val="21"/>
                <w:lang w:val="zh-CN"/>
              </w:rPr>
              <w:t>投标人投标时须成功上传、解密电子投标文件。投标人资质、业绩、荣誉及相关人员证明材料等资料原件不再提交（本招标文件第六章另有要求提供原件的除外）。</w:t>
            </w:r>
          </w:p>
          <w:p w14:paraId="2B89D0E6">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zh-CN"/>
              </w:rPr>
              <w:t>□否。投标人投标时须提供纸质投标文件。投标人资质、业绩、荣誉及相关人员证明材料等资料原件根据招标文件要求提供。</w:t>
            </w:r>
          </w:p>
        </w:tc>
      </w:tr>
      <w:tr w14:paraId="2B89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06" w:type="dxa"/>
            <w:vAlign w:val="center"/>
          </w:tcPr>
          <w:p w14:paraId="2B89D0E8">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3</w:t>
            </w:r>
          </w:p>
        </w:tc>
        <w:tc>
          <w:tcPr>
            <w:tcW w:w="2268" w:type="dxa"/>
            <w:vAlign w:val="center"/>
          </w:tcPr>
          <w:p w14:paraId="2B89D0E9">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投标人代表出席开标会及其他</w:t>
            </w:r>
          </w:p>
        </w:tc>
        <w:tc>
          <w:tcPr>
            <w:tcW w:w="6813" w:type="dxa"/>
            <w:vAlign w:val="center"/>
          </w:tcPr>
          <w:p w14:paraId="2B89D0EA">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投标人准时在网上参加投标、开标活动。</w:t>
            </w:r>
          </w:p>
        </w:tc>
      </w:tr>
      <w:tr w14:paraId="2B89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EC">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4</w:t>
            </w:r>
          </w:p>
        </w:tc>
        <w:tc>
          <w:tcPr>
            <w:tcW w:w="2268" w:type="dxa"/>
            <w:vAlign w:val="center"/>
          </w:tcPr>
          <w:p w14:paraId="2B89D0E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解释权</w:t>
            </w:r>
          </w:p>
        </w:tc>
        <w:tc>
          <w:tcPr>
            <w:tcW w:w="6813" w:type="dxa"/>
            <w:vAlign w:val="center"/>
          </w:tcPr>
          <w:p w14:paraId="2B89D0EE">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构成本招标文件的各个组成文件应互为解释，互为说明；</w:t>
            </w:r>
          </w:p>
          <w:p w14:paraId="2B89D0E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1.除招标文件中有特别规定外，仅适用于招标投标阶段的规定，按招标公告（投标邀请书）、投标人须知、评标办法的先后顺序解释；</w:t>
            </w:r>
          </w:p>
          <w:p w14:paraId="2B89D0F0">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eastAsia="zh-CN"/>
              </w:rPr>
              <w:t>2.</w:t>
            </w:r>
            <w:r>
              <w:rPr>
                <w:rFonts w:hint="eastAsia" w:ascii="宋体" w:hAnsi="宋体" w:eastAsia="宋体" w:cs="宋体"/>
                <w:color w:val="auto"/>
                <w:szCs w:val="21"/>
                <w:lang w:val="zh-CN"/>
              </w:rPr>
              <w:t>同一组成文件中就同一事项的规定或约定不一致的，以编排顺序在后者为准；</w:t>
            </w:r>
          </w:p>
          <w:p w14:paraId="2B89D0F1">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eastAsia="zh-CN"/>
              </w:rPr>
              <w:t>3.</w:t>
            </w:r>
            <w:r>
              <w:rPr>
                <w:rFonts w:hint="eastAsia" w:ascii="宋体" w:hAnsi="宋体" w:eastAsia="宋体" w:cs="宋体"/>
                <w:color w:val="auto"/>
                <w:szCs w:val="21"/>
                <w:lang w:val="zh-CN"/>
              </w:rPr>
              <w:t>同一组成文件不同版本之间有不一致的，以形成时间在后者为准；</w:t>
            </w:r>
          </w:p>
          <w:p w14:paraId="2B89D0F2">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按本款前述规定仍不能形成结论的，由招标人负责解释。</w:t>
            </w:r>
          </w:p>
        </w:tc>
      </w:tr>
      <w:tr w14:paraId="2B89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0F4">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5</w:t>
            </w:r>
          </w:p>
        </w:tc>
        <w:tc>
          <w:tcPr>
            <w:tcW w:w="2268" w:type="dxa"/>
            <w:vAlign w:val="center"/>
          </w:tcPr>
          <w:p w14:paraId="2B89D0F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知识产权</w:t>
            </w:r>
          </w:p>
        </w:tc>
        <w:tc>
          <w:tcPr>
            <w:tcW w:w="6813" w:type="dxa"/>
            <w:vAlign w:val="center"/>
          </w:tcPr>
          <w:p w14:paraId="2B89D0F6">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构成本采购文件各个组成部分的文件，未经采购人书面同意，</w:t>
            </w:r>
            <w:r>
              <w:rPr>
                <w:rFonts w:hint="eastAsia" w:ascii="宋体" w:hAnsi="宋体" w:eastAsia="宋体" w:cs="宋体"/>
                <w:color w:val="auto"/>
                <w:szCs w:val="21"/>
                <w:lang w:val="en-US" w:eastAsia="zh-CN"/>
              </w:rPr>
              <w:t>投标人</w:t>
            </w:r>
            <w:r>
              <w:rPr>
                <w:rFonts w:hint="eastAsia" w:ascii="宋体" w:hAnsi="宋体" w:eastAsia="宋体" w:cs="宋体"/>
                <w:color w:val="auto"/>
                <w:szCs w:val="21"/>
                <w:lang w:val="zh-CN"/>
              </w:rPr>
              <w:t>不得擅自复印和用于非本招标项目所需的其他目的。采购人全部或者部分使用未中标人投标文件中的技术成果或技术方案时，需征得其书面同意，并不得擅自复印或提供给第三人。</w:t>
            </w:r>
          </w:p>
        </w:tc>
      </w:tr>
      <w:tr w14:paraId="2B89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05">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36</w:t>
            </w:r>
          </w:p>
        </w:tc>
        <w:tc>
          <w:tcPr>
            <w:tcW w:w="2268" w:type="dxa"/>
            <w:vAlign w:val="center"/>
          </w:tcPr>
          <w:p w14:paraId="2B89D106">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特别提示</w:t>
            </w:r>
          </w:p>
        </w:tc>
        <w:tc>
          <w:tcPr>
            <w:tcW w:w="6813" w:type="dxa"/>
            <w:vAlign w:val="center"/>
          </w:tcPr>
          <w:p w14:paraId="2B89D107">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lang w:eastAsia="zh-CN"/>
              </w:rPr>
              <w:t>1.</w:t>
            </w:r>
            <w:r>
              <w:rPr>
                <w:rFonts w:hint="eastAsia" w:ascii="宋体" w:hAnsi="宋体" w:eastAsia="宋体" w:cs="宋体"/>
                <w:color w:val="auto"/>
              </w:rPr>
              <w:t>按照《关于推进全流程电子化交易和在线监管工作有关问题的通知》（许公管办〔2019〕3号）规定：</w:t>
            </w:r>
          </w:p>
          <w:p w14:paraId="2B89D108">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不同</w:t>
            </w:r>
            <w:r>
              <w:rPr>
                <w:rFonts w:hint="eastAsia" w:ascii="宋体" w:hAnsi="宋体" w:eastAsia="宋体" w:cs="宋体"/>
                <w:color w:val="auto"/>
                <w:lang w:val="en-US" w:eastAsia="zh-CN"/>
              </w:rPr>
              <w:t>投标人</w:t>
            </w:r>
            <w:r>
              <w:rPr>
                <w:rFonts w:hint="eastAsia" w:ascii="宋体" w:hAnsi="宋体" w:eastAsia="宋体" w:cs="宋体"/>
                <w:color w:val="auto"/>
              </w:rPr>
              <w:t>电子投标文件制作硬件特征码（网卡MAC地址、CPU序号、硬盘序列号）均一致时，视为‘不同投标人的投标文件由同一单位或者个人编制’或‘不同投标人委托同一单位或者个人办理投标事宜’，其投标无效。</w:t>
            </w:r>
          </w:p>
          <w:p w14:paraId="2B89D109">
            <w:pPr>
              <w:keepNext w:val="0"/>
              <w:keepLines w:val="0"/>
              <w:pageBreakBefore w:val="0"/>
              <w:widowControl w:val="0"/>
              <w:kinsoku/>
              <w:overflowPunct/>
              <w:topLinePunct w:val="0"/>
              <w:autoSpaceDE w:val="0"/>
              <w:autoSpaceDN w:val="0"/>
              <w:bidi w:val="0"/>
              <w:adjustRightInd w:val="0"/>
              <w:snapToGrid/>
              <w:spacing w:line="460" w:lineRule="exact"/>
              <w:contextualSpacing/>
              <w:textAlignment w:val="auto"/>
              <w:rPr>
                <w:rFonts w:hint="eastAsia" w:ascii="宋体" w:hAnsi="宋体" w:eastAsia="宋体" w:cs="宋体"/>
                <w:color w:val="auto"/>
              </w:rPr>
            </w:pPr>
            <w:r>
              <w:rPr>
                <w:rFonts w:hint="eastAsia" w:ascii="宋体" w:hAnsi="宋体" w:eastAsia="宋体" w:cs="宋体"/>
                <w:color w:val="auto"/>
              </w:rPr>
              <w:t>评审专家应严格按照要求查看“硬件特征码” 相关信息并进行评审，在评审报告中显示“不同投标人电子投标文件制作硬件特征码”是否雷同的分析及判定结果。</w:t>
            </w:r>
          </w:p>
          <w:p w14:paraId="2B89D10A">
            <w:pPr>
              <w:pStyle w:val="7"/>
              <w:keepNext w:val="0"/>
              <w:keepLines w:val="0"/>
              <w:pageBreakBefore w:val="0"/>
              <w:widowControl w:val="0"/>
              <w:kinsoku/>
              <w:overflowPunct/>
              <w:topLinePunct w:val="0"/>
              <w:bidi w:val="0"/>
              <w:snapToGrid/>
              <w:spacing w:after="0" w:line="460" w:lineRule="exact"/>
              <w:textAlignment w:val="auto"/>
              <w:rPr>
                <w:rFonts w:hint="eastAsia" w:ascii="宋体" w:hAnsi="宋体" w:eastAsia="宋体" w:cs="宋体"/>
                <w:color w:val="auto"/>
                <w:lang w:val="zh-CN"/>
              </w:rPr>
            </w:pPr>
            <w:r>
              <w:rPr>
                <w:rFonts w:hint="eastAsia" w:ascii="宋体" w:hAnsi="宋体" w:eastAsia="宋体" w:cs="宋体"/>
                <w:color w:val="auto"/>
                <w:lang w:eastAsia="zh-CN"/>
              </w:rPr>
              <w:t>2.</w:t>
            </w:r>
            <w:r>
              <w:rPr>
                <w:rFonts w:hint="eastAsia" w:ascii="宋体" w:hAnsi="宋体" w:eastAsia="宋体" w:cs="宋体"/>
                <w:color w:val="auto"/>
                <w:lang w:val="zh-CN"/>
              </w:rPr>
              <w:t>项目编号以本项目招标文件</w:t>
            </w:r>
            <w:r>
              <w:rPr>
                <w:rFonts w:hint="eastAsia" w:ascii="宋体" w:hAnsi="宋体" w:eastAsia="宋体" w:cs="宋体"/>
                <w:color w:val="auto"/>
                <w:lang w:val="en-US" w:eastAsia="zh-CN"/>
              </w:rPr>
              <w:t>采购</w:t>
            </w:r>
            <w:r>
              <w:rPr>
                <w:rFonts w:hint="eastAsia" w:ascii="宋体" w:hAnsi="宋体" w:eastAsia="宋体" w:cs="宋体"/>
                <w:color w:val="auto"/>
                <w:lang w:val="zh-CN"/>
              </w:rPr>
              <w:t>编号为准。</w:t>
            </w:r>
          </w:p>
          <w:p w14:paraId="2B89D10B">
            <w:pPr>
              <w:pStyle w:val="7"/>
              <w:keepNext w:val="0"/>
              <w:keepLines w:val="0"/>
              <w:pageBreakBefore w:val="0"/>
              <w:widowControl w:val="0"/>
              <w:kinsoku/>
              <w:overflowPunct/>
              <w:topLinePunct w:val="0"/>
              <w:bidi w:val="0"/>
              <w:snapToGrid/>
              <w:spacing w:after="0" w:line="460" w:lineRule="exact"/>
              <w:textAlignment w:val="auto"/>
              <w:rPr>
                <w:rFonts w:hint="eastAsia" w:ascii="宋体" w:hAnsi="宋体" w:eastAsia="宋体" w:cs="宋体"/>
                <w:color w:val="auto"/>
                <w:lang w:val="zh-CN"/>
              </w:rPr>
            </w:pPr>
            <w:r>
              <w:rPr>
                <w:rFonts w:hint="eastAsia" w:ascii="宋体" w:hAnsi="宋体" w:eastAsia="宋体" w:cs="宋体"/>
                <w:color w:val="auto"/>
                <w:lang w:eastAsia="zh-CN"/>
              </w:rPr>
              <w:t>3.</w:t>
            </w:r>
            <w:r>
              <w:rPr>
                <w:rFonts w:hint="eastAsia" w:ascii="宋体" w:hAnsi="宋体" w:eastAsia="宋体" w:cs="宋体"/>
                <w:color w:val="auto"/>
                <w:lang w:val="zh-CN"/>
              </w:rPr>
              <w:t>投标文件格式的先后顺序不作为废标项。</w:t>
            </w:r>
          </w:p>
        </w:tc>
      </w:tr>
      <w:tr w14:paraId="2B89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0D">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37</w:t>
            </w:r>
          </w:p>
        </w:tc>
        <w:tc>
          <w:tcPr>
            <w:tcW w:w="2268" w:type="dxa"/>
            <w:vAlign w:val="center"/>
          </w:tcPr>
          <w:p w14:paraId="2B89D10E">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bCs/>
                <w:color w:val="auto"/>
                <w:szCs w:val="21"/>
                <w:lang w:val="zh-CN"/>
              </w:rPr>
            </w:pPr>
            <w:r>
              <w:rPr>
                <w:rFonts w:hint="eastAsia" w:ascii="宋体" w:hAnsi="宋体" w:eastAsia="宋体" w:cs="宋体"/>
                <w:color w:val="auto"/>
                <w:szCs w:val="21"/>
                <w:lang w:val="en-US" w:eastAsia="zh-CN"/>
              </w:rPr>
              <w:t>投标人</w:t>
            </w:r>
            <w:r>
              <w:rPr>
                <w:rFonts w:hint="eastAsia" w:ascii="宋体" w:hAnsi="宋体" w:eastAsia="宋体" w:cs="宋体"/>
                <w:color w:val="auto"/>
                <w:szCs w:val="21"/>
              </w:rPr>
              <w:t>资格核验</w:t>
            </w:r>
          </w:p>
        </w:tc>
        <w:tc>
          <w:tcPr>
            <w:tcW w:w="6813" w:type="dxa"/>
            <w:vAlign w:val="center"/>
          </w:tcPr>
          <w:p w14:paraId="2B89D10F">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rPr>
            </w:pPr>
            <w:r>
              <w:rPr>
                <w:rFonts w:hint="eastAsia" w:ascii="宋体" w:hAnsi="宋体" w:eastAsia="宋体" w:cs="宋体"/>
                <w:color w:val="auto"/>
                <w:lang w:val="en-US" w:eastAsia="zh-CN"/>
              </w:rPr>
              <w:t>投标人</w:t>
            </w:r>
            <w:r>
              <w:rPr>
                <w:rFonts w:hint="eastAsia" w:ascii="宋体" w:hAnsi="宋体" w:eastAsia="宋体" w:cs="宋体"/>
                <w:color w:val="auto"/>
              </w:rPr>
              <w:t>在</w:t>
            </w:r>
            <w:r>
              <w:rPr>
                <w:rFonts w:hint="eastAsia" w:ascii="宋体" w:hAnsi="宋体" w:eastAsia="宋体" w:cs="宋体"/>
                <w:color w:val="auto"/>
                <w:lang w:val="en-US" w:eastAsia="zh-CN"/>
              </w:rPr>
              <w:t>中标</w:t>
            </w:r>
            <w:r>
              <w:rPr>
                <w:rFonts w:hint="eastAsia" w:ascii="宋体" w:hAnsi="宋体" w:eastAsia="宋体" w:cs="宋体"/>
                <w:color w:val="auto"/>
              </w:rPr>
              <w:t>后，应将由《禹州市政府采购供应商信用承诺函》替代的证明材料提交采购人核验，经核验无误后，采购人发出</w:t>
            </w:r>
            <w:r>
              <w:rPr>
                <w:rFonts w:hint="eastAsia" w:ascii="宋体" w:hAnsi="宋体" w:eastAsia="宋体" w:cs="宋体"/>
                <w:color w:val="auto"/>
                <w:lang w:val="en-US" w:eastAsia="zh-CN"/>
              </w:rPr>
              <w:t>中标</w:t>
            </w:r>
            <w:r>
              <w:rPr>
                <w:rFonts w:hint="eastAsia" w:ascii="宋体" w:hAnsi="宋体" w:eastAsia="宋体" w:cs="宋体"/>
                <w:color w:val="auto"/>
              </w:rPr>
              <w:t>通知书。</w:t>
            </w:r>
          </w:p>
          <w:p w14:paraId="2B89D110">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一、法人或者其他组织的营业执照等证明文件，自然人的身份证明</w:t>
            </w:r>
          </w:p>
          <w:p w14:paraId="2B89D111">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1.企业法人营业执照或营业执照。（企业提供）</w:t>
            </w:r>
          </w:p>
          <w:p w14:paraId="2B89D112">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2.事业单位法人证书。（事业单位提供）</w:t>
            </w:r>
          </w:p>
          <w:p w14:paraId="2B89D113">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3.执业许可证。（非企业专业服务机构提供）</w:t>
            </w:r>
          </w:p>
          <w:p w14:paraId="2B89D114">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4.个体工商户营业执照。（个体工商户提供）</w:t>
            </w:r>
          </w:p>
          <w:p w14:paraId="2B89D115">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5.自然人身份证明。（自然人提供）</w:t>
            </w:r>
          </w:p>
          <w:p w14:paraId="2B89D116">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6.民办非企业单位登记证书。（民办非企业单位提供）</w:t>
            </w:r>
          </w:p>
          <w:p w14:paraId="2B89D117">
            <w:pPr>
              <w:keepNext w:val="0"/>
              <w:keepLines w:val="0"/>
              <w:pageBreakBefore w:val="0"/>
              <w:widowControl w:val="0"/>
              <w:kinsoku/>
              <w:overflowPunct/>
              <w:topLinePunct w:val="0"/>
              <w:bidi w:val="0"/>
              <w:snapToGrid/>
              <w:spacing w:line="460" w:lineRule="exact"/>
              <w:jc w:val="lef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二、财务状况报告相关材料</w:t>
            </w:r>
          </w:p>
          <w:p w14:paraId="2B89D118">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en-US" w:eastAsia="zh-CN"/>
              </w:rPr>
              <w:t>投标人</w:t>
            </w:r>
            <w:r>
              <w:rPr>
                <w:rFonts w:hint="eastAsia" w:ascii="宋体" w:hAnsi="宋体" w:eastAsia="宋体" w:cs="宋体"/>
                <w:color w:val="auto"/>
              </w:rPr>
              <w:t>是法人（法人包括企业法人、机关法人、事业单位法人和社会团体法人），提供本单位：</w:t>
            </w:r>
          </w:p>
          <w:p w14:paraId="2B89D119">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①</w:t>
            </w:r>
            <w:r>
              <w:rPr>
                <w:rFonts w:hint="eastAsia" w:ascii="宋体" w:hAnsi="宋体" w:eastAsia="宋体" w:cs="宋体"/>
                <w:color w:val="auto"/>
                <w:szCs w:val="21"/>
              </w:rPr>
              <w:t>202</w:t>
            </w:r>
            <w:r>
              <w:rPr>
                <w:rFonts w:hint="eastAsia" w:ascii="宋体" w:hAnsi="宋体" w:eastAsia="宋体" w:cs="宋体"/>
                <w:color w:val="auto"/>
                <w:szCs w:val="21"/>
                <w:lang w:val="en-US" w:eastAsia="zh-CN"/>
              </w:rPr>
              <w:t>5</w:t>
            </w:r>
            <w:r>
              <w:rPr>
                <w:rFonts w:hint="eastAsia" w:ascii="宋体" w:hAnsi="宋体" w:eastAsia="宋体" w:cs="宋体"/>
                <w:color w:val="auto"/>
                <w:szCs w:val="21"/>
              </w:rPr>
              <w:t>年度</w:t>
            </w:r>
            <w:r>
              <w:rPr>
                <w:rFonts w:hint="eastAsia" w:ascii="宋体" w:hAnsi="宋体" w:eastAsia="宋体" w:cs="宋体"/>
                <w:color w:val="auto"/>
              </w:rPr>
              <w:t>经审计的财务报告</w:t>
            </w:r>
            <w:r>
              <w:rPr>
                <w:rFonts w:hint="eastAsia" w:ascii="宋体" w:hAnsi="宋体" w:eastAsia="宋体" w:cs="宋体"/>
                <w:color w:val="auto"/>
                <w:lang w:eastAsia="zh-CN"/>
              </w:rPr>
              <w:t>，包括资产负债表、利润表、现金流量表、所有者权益变动表及其附注；</w:t>
            </w:r>
          </w:p>
          <w:p w14:paraId="2B89D11A">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②基本开户银行出具的资信证明；</w:t>
            </w:r>
          </w:p>
          <w:p w14:paraId="2B89D11B">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③财政部门认可的政府采购专业担保机构的证明文件和担保机构出具的投标担保函。</w:t>
            </w:r>
          </w:p>
          <w:p w14:paraId="2B89D11C">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lang w:val="zh-CN"/>
              </w:rPr>
              <w:t>注：仅需提供序号</w:t>
            </w:r>
            <w:r>
              <w:rPr>
                <w:rFonts w:hint="eastAsia" w:ascii="宋体" w:hAnsi="宋体" w:eastAsia="宋体" w:cs="宋体"/>
                <w:color w:val="auto"/>
              </w:rPr>
              <w:t>①～③其中之一即可。</w:t>
            </w:r>
          </w:p>
          <w:p w14:paraId="2B89D11D">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en-US" w:eastAsia="zh-CN"/>
              </w:rPr>
              <w:t>投标人</w:t>
            </w:r>
            <w:r>
              <w:rPr>
                <w:rFonts w:hint="eastAsia" w:ascii="宋体" w:hAnsi="宋体" w:eastAsia="宋体" w:cs="宋体"/>
                <w:color w:val="auto"/>
              </w:rPr>
              <w:t>（其他组织和自然人）提供本单位：</w:t>
            </w:r>
          </w:p>
          <w:p w14:paraId="5E8875E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lang w:eastAsia="zh-CN"/>
              </w:rPr>
            </w:pPr>
            <w:r>
              <w:rPr>
                <w:rFonts w:hint="eastAsia" w:ascii="宋体" w:hAnsi="宋体" w:eastAsia="宋体" w:cs="宋体"/>
                <w:color w:val="auto"/>
              </w:rPr>
              <w:t>①</w:t>
            </w:r>
            <w:r>
              <w:rPr>
                <w:rFonts w:hint="eastAsia" w:ascii="宋体" w:hAnsi="宋体" w:eastAsia="宋体" w:cs="宋体"/>
                <w:color w:val="auto"/>
                <w:szCs w:val="21"/>
              </w:rPr>
              <w:t>202</w:t>
            </w:r>
            <w:r>
              <w:rPr>
                <w:rFonts w:hint="eastAsia" w:ascii="宋体" w:hAnsi="宋体" w:eastAsia="宋体" w:cs="宋体"/>
                <w:color w:val="auto"/>
                <w:szCs w:val="21"/>
                <w:lang w:val="en-US" w:eastAsia="zh-CN"/>
              </w:rPr>
              <w:t>5</w:t>
            </w:r>
            <w:r>
              <w:rPr>
                <w:rFonts w:hint="eastAsia" w:ascii="宋体" w:hAnsi="宋体" w:eastAsia="宋体" w:cs="宋体"/>
                <w:color w:val="auto"/>
                <w:szCs w:val="21"/>
              </w:rPr>
              <w:t>年度</w:t>
            </w:r>
            <w:r>
              <w:rPr>
                <w:rFonts w:hint="eastAsia" w:ascii="宋体" w:hAnsi="宋体" w:eastAsia="宋体" w:cs="宋体"/>
                <w:color w:val="auto"/>
              </w:rPr>
              <w:t>经审计的财务报告</w:t>
            </w:r>
            <w:r>
              <w:rPr>
                <w:rFonts w:hint="eastAsia" w:ascii="宋体" w:hAnsi="宋体" w:eastAsia="宋体" w:cs="宋体"/>
                <w:color w:val="auto"/>
                <w:lang w:eastAsia="zh-CN"/>
              </w:rPr>
              <w:t>，包括资产负债表、利润表、现金流量表、所有者权益变动表及其附注；</w:t>
            </w:r>
          </w:p>
          <w:p w14:paraId="2B89D11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②银行出具的资信证明；</w:t>
            </w:r>
          </w:p>
          <w:p w14:paraId="2B89D120">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③财政部门认可的政府采购专业担保机构的证明文件和担保机构出具的投标担保函。</w:t>
            </w:r>
          </w:p>
          <w:p w14:paraId="2B89D121">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注：仅需提供序号</w:t>
            </w:r>
            <w:r>
              <w:rPr>
                <w:rFonts w:hint="eastAsia" w:ascii="宋体" w:hAnsi="宋体" w:eastAsia="宋体" w:cs="宋体"/>
                <w:color w:val="auto"/>
              </w:rPr>
              <w:t>①～③其中之一即可。</w:t>
            </w:r>
          </w:p>
          <w:p w14:paraId="2B89D122">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rPr>
              <w:t>三、依法缴纳税收相关材料</w:t>
            </w:r>
          </w:p>
          <w:p w14:paraId="2B89D123">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参加本次政府采购项目</w:t>
            </w:r>
            <w:r>
              <w:rPr>
                <w:rFonts w:hint="eastAsia" w:ascii="宋体" w:hAnsi="宋体" w:eastAsia="宋体" w:cs="宋体"/>
                <w:color w:val="auto"/>
                <w:lang w:val="en-US" w:eastAsia="zh-CN"/>
              </w:rPr>
              <w:t>投标</w:t>
            </w:r>
            <w:r>
              <w:rPr>
                <w:rFonts w:hint="eastAsia" w:ascii="宋体" w:hAnsi="宋体" w:eastAsia="宋体" w:cs="宋体"/>
                <w:color w:val="auto"/>
                <w:lang w:val="zh-CN"/>
              </w:rPr>
              <w:t>截止时间前一年内任意一个月缴纳税收凭据。（依法免税的</w:t>
            </w:r>
            <w:r>
              <w:rPr>
                <w:rFonts w:hint="eastAsia" w:ascii="宋体" w:hAnsi="宋体" w:eastAsia="宋体" w:cs="宋体"/>
                <w:color w:val="auto"/>
                <w:lang w:val="en-US" w:eastAsia="zh-CN"/>
              </w:rPr>
              <w:t>投标人</w:t>
            </w:r>
            <w:r>
              <w:rPr>
                <w:rFonts w:hint="eastAsia" w:ascii="宋体" w:hAnsi="宋体" w:eastAsia="宋体" w:cs="宋体"/>
                <w:color w:val="auto"/>
                <w:lang w:val="zh-CN"/>
              </w:rPr>
              <w:t>，应提供相应文件证明依法免税）</w:t>
            </w:r>
          </w:p>
          <w:p w14:paraId="2B89D124">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四、依法缴纳社会保障资金的证明材料</w:t>
            </w:r>
          </w:p>
          <w:p w14:paraId="2B89D125">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参加本次政府采购项目</w:t>
            </w:r>
            <w:r>
              <w:rPr>
                <w:rFonts w:hint="eastAsia" w:ascii="宋体" w:hAnsi="宋体" w:eastAsia="宋体" w:cs="宋体"/>
                <w:color w:val="auto"/>
                <w:lang w:val="en-US" w:eastAsia="zh-CN"/>
              </w:rPr>
              <w:t>投标</w:t>
            </w:r>
            <w:r>
              <w:rPr>
                <w:rFonts w:hint="eastAsia" w:ascii="宋体" w:hAnsi="宋体" w:eastAsia="宋体" w:cs="宋体"/>
                <w:color w:val="auto"/>
                <w:lang w:val="zh-CN"/>
              </w:rPr>
              <w:t>截止时间前一年内月内任意一个月缴纳社会保险凭据。（依法不需要缴纳社会保障资金的</w:t>
            </w:r>
            <w:r>
              <w:rPr>
                <w:rFonts w:hint="eastAsia" w:ascii="宋体" w:hAnsi="宋体" w:eastAsia="宋体" w:cs="宋体"/>
                <w:color w:val="auto"/>
                <w:lang w:val="en-US" w:eastAsia="zh-CN"/>
              </w:rPr>
              <w:t>投标人</w:t>
            </w:r>
            <w:r>
              <w:rPr>
                <w:rFonts w:hint="eastAsia" w:ascii="宋体" w:hAnsi="宋体" w:eastAsia="宋体" w:cs="宋体"/>
                <w:color w:val="auto"/>
                <w:lang w:val="zh-CN"/>
              </w:rPr>
              <w:t>，应提供相应文件证明依法不需要缴纳社会保障资金）</w:t>
            </w:r>
          </w:p>
          <w:p w14:paraId="2B89D126">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lang w:val="zh-CN"/>
              </w:rPr>
              <w:t>五、履行合同所必需的设备和专业技术能力的证明材料</w:t>
            </w:r>
          </w:p>
          <w:p w14:paraId="2B89D127">
            <w:pPr>
              <w:keepNext w:val="0"/>
              <w:keepLines w:val="0"/>
              <w:pageBreakBefore w:val="0"/>
              <w:widowControl w:val="0"/>
              <w:kinsoku/>
              <w:overflowPunct/>
              <w:topLinePunct w:val="0"/>
              <w:autoSpaceDE w:val="0"/>
              <w:autoSpaceDN w:val="0"/>
              <w:bidi w:val="0"/>
              <w:adjustRightInd w:val="0"/>
              <w:snapToGrid/>
              <w:spacing w:line="460" w:lineRule="exact"/>
              <w:jc w:val="left"/>
              <w:textAlignment w:val="auto"/>
              <w:rPr>
                <w:rFonts w:hint="eastAsia" w:ascii="宋体" w:hAnsi="宋体" w:eastAsia="宋体" w:cs="宋体"/>
                <w:color w:val="auto"/>
                <w:lang w:val="zh-CN"/>
              </w:rPr>
            </w:pPr>
            <w:r>
              <w:rPr>
                <w:rFonts w:hint="eastAsia" w:ascii="宋体" w:hAnsi="宋体" w:eastAsia="宋体" w:cs="宋体"/>
                <w:color w:val="auto"/>
                <w:lang w:val="zh-CN"/>
              </w:rPr>
              <w:t>①相关设备的购置发票、专业技术人员职称证书、用工合同等；</w:t>
            </w:r>
          </w:p>
          <w:p w14:paraId="2B89D128">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rPr>
            </w:pPr>
            <w:r>
              <w:rPr>
                <w:rFonts w:hint="eastAsia" w:ascii="宋体" w:hAnsi="宋体" w:eastAsia="宋体" w:cs="宋体"/>
                <w:color w:val="auto"/>
              </w:rPr>
              <w:t>②</w:t>
            </w:r>
            <w:r>
              <w:rPr>
                <w:rFonts w:hint="eastAsia" w:ascii="宋体" w:hAnsi="宋体" w:eastAsia="宋体" w:cs="宋体"/>
                <w:color w:val="auto"/>
                <w:lang w:val="en-US" w:eastAsia="zh-CN"/>
              </w:rPr>
              <w:t>投标人</w:t>
            </w:r>
            <w:r>
              <w:rPr>
                <w:rFonts w:hint="eastAsia" w:ascii="宋体" w:hAnsi="宋体" w:eastAsia="宋体" w:cs="宋体"/>
                <w:color w:val="auto"/>
              </w:rPr>
              <w:t>具备履行合同所必需的设备和专业技术能力承诺函或声明（承诺函或声明格式自拟）。</w:t>
            </w:r>
          </w:p>
          <w:p w14:paraId="2B89D129">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rPr>
            </w:pPr>
            <w:r>
              <w:rPr>
                <w:rFonts w:hint="eastAsia" w:ascii="宋体" w:hAnsi="宋体" w:eastAsia="宋体" w:cs="宋体"/>
                <w:color w:val="auto"/>
                <w:lang w:val="zh-CN"/>
              </w:rPr>
              <w:t>注：仅需提供序号</w:t>
            </w:r>
            <w:r>
              <w:rPr>
                <w:rFonts w:hint="eastAsia" w:ascii="宋体" w:hAnsi="宋体" w:eastAsia="宋体" w:cs="宋体"/>
                <w:color w:val="auto"/>
              </w:rPr>
              <w:t>①～②其中之一即可。</w:t>
            </w:r>
          </w:p>
          <w:p w14:paraId="2B89D12A">
            <w:pPr>
              <w:keepNext w:val="0"/>
              <w:keepLines w:val="0"/>
              <w:pageBreakBefore w:val="0"/>
              <w:widowControl w:val="0"/>
              <w:kinsoku/>
              <w:overflowPunct/>
              <w:topLinePunct w:val="0"/>
              <w:autoSpaceDE w:val="0"/>
              <w:autoSpaceDN w:val="0"/>
              <w:bidi w:val="0"/>
              <w:adjustRightInd w:val="0"/>
              <w:snapToGrid/>
              <w:spacing w:line="460" w:lineRule="exact"/>
              <w:ind w:right="-11"/>
              <w:textAlignment w:val="auto"/>
              <w:rPr>
                <w:rFonts w:hint="eastAsia" w:ascii="宋体" w:hAnsi="宋体" w:eastAsia="宋体" w:cs="宋体"/>
                <w:color w:val="auto"/>
                <w:lang w:val="zh-CN"/>
              </w:rPr>
            </w:pPr>
            <w:r>
              <w:rPr>
                <w:rFonts w:hint="eastAsia" w:ascii="宋体" w:hAnsi="宋体" w:eastAsia="宋体" w:cs="宋体"/>
                <w:color w:val="auto"/>
              </w:rPr>
              <w:t>六、</w:t>
            </w:r>
            <w:r>
              <w:rPr>
                <w:rFonts w:hint="eastAsia" w:ascii="宋体" w:hAnsi="宋体" w:eastAsia="宋体" w:cs="宋体"/>
                <w:color w:val="auto"/>
                <w:lang w:val="zh-CN"/>
              </w:rPr>
              <w:t>参加政府采购活动前3年内在经营活动中没有重大违法记录的声明</w:t>
            </w:r>
          </w:p>
          <w:p w14:paraId="2B89D12B">
            <w:pPr>
              <w:keepNext w:val="0"/>
              <w:keepLines w:val="0"/>
              <w:pageBreakBefore w:val="0"/>
              <w:widowControl w:val="0"/>
              <w:kinsoku/>
              <w:overflowPunct/>
              <w:topLinePunct w:val="0"/>
              <w:autoSpaceDE w:val="0"/>
              <w:autoSpaceDN w:val="0"/>
              <w:bidi w:val="0"/>
              <w:snapToGrid/>
              <w:spacing w:line="460" w:lineRule="exact"/>
              <w:contextualSpacing/>
              <w:jc w:val="left"/>
              <w:textAlignment w:val="auto"/>
              <w:rPr>
                <w:rFonts w:hint="eastAsia" w:ascii="宋体" w:hAnsi="宋体" w:eastAsia="宋体" w:cs="宋体"/>
                <w:color w:val="auto"/>
                <w:lang w:val="zh-CN"/>
              </w:rPr>
            </w:pPr>
            <w:r>
              <w:rPr>
                <w:rFonts w:hint="eastAsia" w:ascii="宋体" w:hAnsi="宋体" w:eastAsia="宋体" w:cs="宋体"/>
                <w:color w:val="auto"/>
                <w:lang w:val="en-US" w:eastAsia="zh-CN"/>
              </w:rPr>
              <w:t>投标人</w:t>
            </w:r>
            <w:r>
              <w:rPr>
                <w:rFonts w:hint="eastAsia" w:ascii="宋体" w:hAnsi="宋体" w:eastAsia="宋体" w:cs="宋体"/>
                <w:color w:val="auto"/>
                <w:lang w:val="zh-CN"/>
              </w:rPr>
              <w:t>“参加政府采购活动前3年内在经营活动中没有重大违法记录的书面声明”。重大违法记录，是指</w:t>
            </w:r>
            <w:r>
              <w:rPr>
                <w:rFonts w:hint="eastAsia" w:ascii="宋体" w:hAnsi="宋体" w:eastAsia="宋体" w:cs="宋体"/>
                <w:color w:val="auto"/>
                <w:lang w:val="en-US" w:eastAsia="zh-CN"/>
              </w:rPr>
              <w:t>投标人</w:t>
            </w:r>
            <w:r>
              <w:rPr>
                <w:rFonts w:hint="eastAsia" w:ascii="宋体" w:hAnsi="宋体" w:eastAsia="宋体" w:cs="宋体"/>
                <w:color w:val="auto"/>
                <w:lang w:val="zh-CN"/>
              </w:rPr>
              <w:t>因违法经营受到刑事处罚或者责令停产停业、吊销许可证或者执照、较大数额罚款等行政处罚。</w:t>
            </w:r>
          </w:p>
          <w:p w14:paraId="2B89D12C">
            <w:pPr>
              <w:keepNext w:val="0"/>
              <w:keepLines w:val="0"/>
              <w:pageBreakBefore w:val="0"/>
              <w:widowControl w:val="0"/>
              <w:kinsoku/>
              <w:wordWrap w:val="0"/>
              <w:overflowPunct/>
              <w:topLinePunct w:val="0"/>
              <w:autoSpaceDE w:val="0"/>
              <w:autoSpaceDN w:val="0"/>
              <w:bidi w:val="0"/>
              <w:snapToGrid/>
              <w:spacing w:line="460" w:lineRule="exact"/>
              <w:contextualSpacing/>
              <w:jc w:val="left"/>
              <w:textAlignment w:val="auto"/>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lang w:val="zh-CN"/>
              </w:rPr>
              <w:t>七、</w:t>
            </w:r>
            <w:r>
              <w:rPr>
                <w:rFonts w:hint="eastAsia" w:ascii="宋体" w:hAnsi="宋体" w:eastAsia="宋体" w:cs="宋体"/>
                <w:color w:val="auto"/>
                <w:szCs w:val="21"/>
                <w:highlight w:val="none"/>
                <w:shd w:val="clear" w:color="auto" w:fill="FFFFFF"/>
              </w:rPr>
              <w:t>未被列入“信用中国”网站（www.creditchina.gov.cn）失信被执行人、重大税收违法失信主体的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color w:val="auto"/>
                <w:szCs w:val="21"/>
                <w:highlight w:val="none"/>
                <w:shd w:val="clear" w:color="auto" w:fill="FFFFFF"/>
              </w:rPr>
              <w:t>；“中国政府采购网”（www.ccgp.gov.cn）政府采购严重违法失信行为记录名单的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bCs/>
                <w:color w:val="auto"/>
                <w:szCs w:val="21"/>
                <w:highlight w:val="none"/>
                <w:lang w:val="zh-CN"/>
              </w:rPr>
              <w:t>；</w:t>
            </w:r>
            <w:r>
              <w:rPr>
                <w:rFonts w:hint="eastAsia" w:ascii="宋体" w:hAnsi="宋体" w:eastAsia="宋体" w:cs="宋体"/>
                <w:color w:val="auto"/>
                <w:szCs w:val="21"/>
                <w:highlight w:val="none"/>
                <w:shd w:val="clear" w:color="auto" w:fill="FFFFFF"/>
              </w:rPr>
              <w:t>“中国社会组织政务服务平台”网站（https://chinanpo.mca.gov.cn）严重违法失信社会组织名单的</w:t>
            </w:r>
            <w:r>
              <w:rPr>
                <w:rFonts w:hint="eastAsia" w:ascii="宋体" w:hAnsi="宋体" w:eastAsia="宋体" w:cs="宋体"/>
                <w:color w:val="auto"/>
                <w:szCs w:val="21"/>
                <w:highlight w:val="none"/>
                <w:shd w:val="clear" w:color="auto" w:fill="FFFFFF"/>
                <w:lang w:val="en-US" w:eastAsia="zh-CN"/>
              </w:rPr>
              <w:t>投标人</w:t>
            </w:r>
            <w:r>
              <w:rPr>
                <w:rFonts w:hint="eastAsia" w:ascii="宋体" w:hAnsi="宋体" w:eastAsia="宋体" w:cs="宋体"/>
                <w:color w:val="auto"/>
                <w:szCs w:val="21"/>
                <w:highlight w:val="none"/>
                <w:shd w:val="clear" w:color="auto" w:fill="FFFFFF"/>
                <w:lang w:eastAsia="zh-CN"/>
              </w:rPr>
              <w:t>（以</w:t>
            </w:r>
            <w:r>
              <w:rPr>
                <w:rFonts w:hint="eastAsia" w:ascii="宋体" w:hAnsi="宋体" w:eastAsia="宋体" w:cs="宋体"/>
                <w:color w:val="auto"/>
                <w:kern w:val="0"/>
                <w:szCs w:val="21"/>
                <w:highlight w:val="none"/>
              </w:rPr>
              <w:t>联合体形式投标的，联合体成员存在不良信用记录，视同联合体存在不良信用记录）。</w:t>
            </w:r>
          </w:p>
          <w:p w14:paraId="2B89D12D">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eastAsia="zh-CN"/>
              </w:rPr>
              <w:t>1.</w:t>
            </w:r>
            <w:r>
              <w:rPr>
                <w:rFonts w:hint="eastAsia" w:ascii="宋体" w:hAnsi="宋体" w:eastAsia="宋体" w:cs="宋体"/>
                <w:color w:val="auto"/>
                <w:kern w:val="0"/>
                <w:szCs w:val="21"/>
              </w:rPr>
              <w:t>查询渠道：</w:t>
            </w:r>
          </w:p>
          <w:p w14:paraId="2B89D12E">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①“信用中国”网站（</w:t>
            </w:r>
            <w:r>
              <w:rPr>
                <w:rFonts w:hint="eastAsia" w:ascii="宋体" w:hAnsi="宋体" w:eastAsia="宋体" w:cs="宋体"/>
                <w:color w:val="auto"/>
              </w:rPr>
              <w:fldChar w:fldCharType="begin"/>
            </w:r>
            <w:r>
              <w:rPr>
                <w:rFonts w:hint="eastAsia" w:ascii="宋体" w:hAnsi="宋体" w:eastAsia="宋体" w:cs="宋体"/>
                <w:color w:val="auto"/>
              </w:rPr>
              <w:instrText xml:space="preserve"> HYPERLINK "http://www.creditchina.gov.cn" </w:instrText>
            </w:r>
            <w:r>
              <w:rPr>
                <w:rFonts w:hint="eastAsia" w:ascii="宋体" w:hAnsi="宋体" w:eastAsia="宋体" w:cs="宋体"/>
                <w:color w:val="auto"/>
              </w:rPr>
              <w:fldChar w:fldCharType="separate"/>
            </w:r>
            <w:r>
              <w:rPr>
                <w:rFonts w:hint="eastAsia" w:ascii="宋体" w:hAnsi="宋体" w:eastAsia="宋体" w:cs="宋体"/>
                <w:color w:val="auto"/>
                <w:kern w:val="0"/>
              </w:rPr>
              <w:t>www.creditchina.gov.cn</w:t>
            </w:r>
            <w:r>
              <w:rPr>
                <w:rFonts w:hint="eastAsia" w:ascii="宋体" w:hAnsi="宋体" w:eastAsia="宋体" w:cs="宋体"/>
                <w:color w:val="auto"/>
                <w:kern w:val="0"/>
              </w:rPr>
              <w:fldChar w:fldCharType="end"/>
            </w:r>
            <w:r>
              <w:rPr>
                <w:rFonts w:hint="eastAsia" w:ascii="宋体" w:hAnsi="宋体" w:eastAsia="宋体" w:cs="宋体"/>
                <w:color w:val="auto"/>
                <w:kern w:val="0"/>
                <w:szCs w:val="21"/>
              </w:rPr>
              <w:t>）</w:t>
            </w:r>
          </w:p>
          <w:p w14:paraId="2B89D12F">
            <w:pPr>
              <w:keepNext w:val="0"/>
              <w:keepLines w:val="0"/>
              <w:pageBreakBefore w:val="0"/>
              <w:widowControl w:val="0"/>
              <w:kinsoku/>
              <w:overflowPunct/>
              <w:topLinePunct w:val="0"/>
              <w:bidi w:val="0"/>
              <w:snapToGrid/>
              <w:spacing w:line="460" w:lineRule="exact"/>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②“中国政府采购网”（www.ccgp.gov.cn）</w:t>
            </w:r>
          </w:p>
          <w:p w14:paraId="5A5595FE">
            <w:pPr>
              <w:keepNext w:val="0"/>
              <w:keepLines w:val="0"/>
              <w:pageBreakBefore w:val="0"/>
              <w:widowControl w:val="0"/>
              <w:kinsoku/>
              <w:overflowPunct/>
              <w:topLinePunct w:val="0"/>
              <w:bidi w:val="0"/>
              <w:snapToGrid/>
              <w:spacing w:line="460" w:lineRule="exact"/>
              <w:textAlignment w:val="auto"/>
              <w:rPr>
                <w:rFonts w:hint="default" w:ascii="宋体" w:hAnsi="宋体" w:eastAsia="宋体" w:cs="宋体"/>
                <w:color w:val="auto"/>
                <w:kern w:val="0"/>
                <w:szCs w:val="21"/>
                <w:lang w:val="en-US" w:eastAsia="zh-CN"/>
              </w:rPr>
            </w:pPr>
            <w:r>
              <w:rPr>
                <w:rFonts w:hint="eastAsia" w:ascii="宋体" w:hAnsi="宋体" w:eastAsia="宋体" w:cs="宋体"/>
                <w:color w:val="auto"/>
                <w:kern w:val="0"/>
                <w:szCs w:val="21"/>
              </w:rPr>
              <w:t>③“中国社会组织政务服务平台”网站（https://chinanpo.mca.gov.cn）（仅查询社会组织）；</w:t>
            </w:r>
          </w:p>
        </w:tc>
      </w:tr>
      <w:tr w14:paraId="2B89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89D132">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38</w:t>
            </w:r>
          </w:p>
        </w:tc>
        <w:tc>
          <w:tcPr>
            <w:tcW w:w="2268" w:type="dxa"/>
            <w:vAlign w:val="center"/>
          </w:tcPr>
          <w:p w14:paraId="2B89D133">
            <w:pPr>
              <w:keepNext w:val="0"/>
              <w:keepLines w:val="0"/>
              <w:pageBreakBefore w:val="0"/>
              <w:widowControl w:val="0"/>
              <w:kinsoku/>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color w:val="auto"/>
                <w:szCs w:val="21"/>
              </w:rPr>
              <w:t>投诉渠道</w:t>
            </w:r>
          </w:p>
        </w:tc>
        <w:tc>
          <w:tcPr>
            <w:tcW w:w="6813" w:type="dxa"/>
            <w:vAlign w:val="center"/>
          </w:tcPr>
          <w:p w14:paraId="2B89D134">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投标人</w:t>
            </w:r>
            <w:r>
              <w:rPr>
                <w:rFonts w:hint="eastAsia" w:ascii="宋体" w:hAnsi="宋体" w:eastAsia="宋体" w:cs="宋体"/>
                <w:color w:val="auto"/>
                <w:kern w:val="0"/>
                <w:szCs w:val="21"/>
              </w:rPr>
              <w:t>在评标结果和中标结果公示期间，按照《政府采购质疑和投诉办法》的有关规定，已质疑的</w:t>
            </w:r>
            <w:r>
              <w:rPr>
                <w:rFonts w:hint="eastAsia" w:ascii="宋体" w:hAnsi="宋体" w:eastAsia="宋体" w:cs="宋体"/>
                <w:color w:val="auto"/>
                <w:kern w:val="0"/>
                <w:szCs w:val="21"/>
                <w:lang w:val="en-US" w:eastAsia="zh-CN"/>
              </w:rPr>
              <w:t>投标人</w:t>
            </w:r>
            <w:r>
              <w:rPr>
                <w:rFonts w:hint="eastAsia" w:ascii="宋体" w:hAnsi="宋体" w:eastAsia="宋体" w:cs="宋体"/>
                <w:color w:val="auto"/>
                <w:kern w:val="0"/>
                <w:szCs w:val="21"/>
              </w:rPr>
              <w:t>可以依法向财政部门提起书面投诉。</w:t>
            </w:r>
          </w:p>
          <w:p w14:paraId="2B89D135">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受理部门：禹州市政府采购监督管理办公室</w:t>
            </w:r>
          </w:p>
          <w:p w14:paraId="2B89D136">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受理电话：0374-8112523   </w:t>
            </w:r>
          </w:p>
          <w:p w14:paraId="2B89D137">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电子邮箱：yzscgb8112523@163.com</w:t>
            </w:r>
          </w:p>
          <w:p w14:paraId="2B89D138">
            <w:pPr>
              <w:keepNext w:val="0"/>
              <w:keepLines w:val="0"/>
              <w:pageBreakBefore w:val="0"/>
              <w:widowControl w:val="0"/>
              <w:kinsoku/>
              <w:overflowPunct/>
              <w:topLinePunct w:val="0"/>
              <w:autoSpaceDE w:val="0"/>
              <w:autoSpaceDN w:val="0"/>
              <w:bidi w:val="0"/>
              <w:snapToGrid/>
              <w:spacing w:line="460" w:lineRule="exact"/>
              <w:contextualSpacing/>
              <w:textAlignment w:val="auto"/>
              <w:rPr>
                <w:rFonts w:hint="eastAsia" w:ascii="宋体" w:hAnsi="宋体" w:eastAsia="宋体" w:cs="宋体"/>
                <w:color w:val="auto"/>
                <w:kern w:val="0"/>
                <w:szCs w:val="21"/>
              </w:rPr>
            </w:pPr>
            <w:r>
              <w:rPr>
                <w:rFonts w:hint="eastAsia" w:ascii="宋体" w:hAnsi="宋体" w:eastAsia="宋体" w:cs="宋体"/>
                <w:color w:val="auto"/>
                <w:kern w:val="0"/>
                <w:szCs w:val="21"/>
              </w:rPr>
              <w:t xml:space="preserve">   通讯地址：禹州市行政北路2号禹州市财政局1305房间</w:t>
            </w:r>
          </w:p>
        </w:tc>
      </w:tr>
    </w:tbl>
    <w:p w14:paraId="638AE2F0">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1B50DB92">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25371391">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75DEEB39">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318ED574">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7C5F4F6A">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1DC07C58">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1A2EBA91">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5B30E2D2">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51F18219">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2"/>
          <w:szCs w:val="32"/>
        </w:rPr>
      </w:pPr>
    </w:p>
    <w:p w14:paraId="5055E59F">
      <w:p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rPr>
      </w:pPr>
    </w:p>
    <w:p w14:paraId="2B89D144">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第四章 投标人须知</w:t>
      </w:r>
    </w:p>
    <w:p w14:paraId="2B89D256">
      <w:pPr>
        <w:keepNext w:val="0"/>
        <w:keepLines w:val="0"/>
        <w:pageBreakBefore w:val="0"/>
        <w:widowControl w:val="0"/>
        <w:tabs>
          <w:tab w:val="left" w:pos="1260"/>
        </w:tabs>
        <w:kinsoku/>
        <w:overflowPunct/>
        <w:autoSpaceDE w:val="0"/>
        <w:autoSpaceDN w:val="0"/>
        <w:bidi w:val="0"/>
        <w:adjustRightInd w:val="0"/>
        <w:snapToGrid/>
        <w:spacing w:line="460" w:lineRule="exact"/>
        <w:contextualSpacing/>
        <w:jc w:val="center"/>
        <w:textAlignment w:val="auto"/>
        <w:rPr>
          <w:rFonts w:hint="eastAsia" w:ascii="宋体" w:hAnsi="宋体" w:eastAsia="宋体" w:cs="宋体"/>
          <w:b/>
          <w:color w:val="auto"/>
          <w:kern w:val="0"/>
          <w:szCs w:val="21"/>
        </w:rPr>
      </w:pPr>
      <w:r>
        <w:rPr>
          <w:rFonts w:hint="eastAsia" w:ascii="宋体" w:hAnsi="宋体" w:eastAsia="宋体" w:cs="宋体"/>
          <w:b/>
          <w:color w:val="auto"/>
          <w:kern w:val="0"/>
          <w:szCs w:val="21"/>
        </w:rPr>
        <w:t>一、概念释义</w:t>
      </w:r>
    </w:p>
    <w:p w14:paraId="333AC858">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w:t>
      </w:r>
      <w:r>
        <w:rPr>
          <w:rFonts w:hint="eastAsia" w:asciiTheme="minorEastAsia" w:hAnsiTheme="minorEastAsia" w:eastAsiaTheme="minorEastAsia" w:cstheme="minorEastAsia"/>
          <w:b/>
          <w:color w:val="auto"/>
          <w:kern w:val="0"/>
          <w:sz w:val="21"/>
          <w:szCs w:val="21"/>
          <w:highlight w:val="none"/>
        </w:rPr>
        <w:t>适用范围</w:t>
      </w:r>
    </w:p>
    <w:p w14:paraId="178C016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1.1本招标文件仅适用于本次“投标邀请”中所述采购项目。</w:t>
      </w:r>
    </w:p>
    <w:p w14:paraId="3001DC5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1.2本招标文件解释权属于“投标邀请”所述的采购人。</w:t>
      </w:r>
    </w:p>
    <w:p w14:paraId="21ECE8B3">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w:t>
      </w:r>
      <w:r>
        <w:rPr>
          <w:rFonts w:hint="eastAsia" w:asciiTheme="minorEastAsia" w:hAnsiTheme="minorEastAsia" w:eastAsiaTheme="minorEastAsia" w:cstheme="minorEastAsia"/>
          <w:b/>
          <w:color w:val="auto"/>
          <w:kern w:val="0"/>
          <w:sz w:val="21"/>
          <w:szCs w:val="21"/>
          <w:highlight w:val="none"/>
        </w:rPr>
        <w:t>定义</w:t>
      </w:r>
    </w:p>
    <w:p w14:paraId="551E334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2.1</w:t>
      </w:r>
      <w:r>
        <w:rPr>
          <w:rFonts w:hint="eastAsia" w:asciiTheme="minorEastAsia" w:hAnsiTheme="minorEastAsia" w:eastAsiaTheme="minorEastAsia" w:cstheme="minorEastAsia"/>
          <w:color w:val="auto"/>
          <w:kern w:val="0"/>
          <w:sz w:val="21"/>
          <w:szCs w:val="21"/>
          <w:highlight w:val="none"/>
        </w:rPr>
        <w:t>“采购项目”：“投标人须知前附表”中所述的采购项目。</w:t>
      </w:r>
    </w:p>
    <w:p w14:paraId="3D0B8C37">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2.2</w:t>
      </w:r>
      <w:r>
        <w:rPr>
          <w:rFonts w:hint="eastAsia" w:asciiTheme="minorEastAsia" w:hAnsiTheme="minorEastAsia" w:eastAsiaTheme="minorEastAsia" w:cstheme="minorEastAsia"/>
          <w:color w:val="auto"/>
          <w:kern w:val="0"/>
          <w:sz w:val="21"/>
          <w:szCs w:val="21"/>
          <w:highlight w:val="none"/>
        </w:rPr>
        <w:t>“招标人”：“投标人须知前附表”中所述的组织本次招标的代理机构和采购人。</w:t>
      </w:r>
    </w:p>
    <w:p w14:paraId="3F2E3EFE">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2.3</w:t>
      </w:r>
      <w:r>
        <w:rPr>
          <w:rFonts w:hint="eastAsia" w:asciiTheme="minorEastAsia" w:hAnsiTheme="minorEastAsia" w:eastAsiaTheme="minorEastAsia" w:cstheme="minorEastAsia"/>
          <w:color w:val="auto"/>
          <w:kern w:val="0"/>
          <w:sz w:val="21"/>
          <w:szCs w:val="21"/>
          <w:highlight w:val="none"/>
        </w:rPr>
        <w:t>“采购人”：是指依法进行政府采购的国家机关、事业单位、团体组织。采购人名称、地址、电话、联系人见“投标人须知前附表”。</w:t>
      </w:r>
    </w:p>
    <w:p w14:paraId="01E25A2F">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2.4</w:t>
      </w:r>
      <w:r>
        <w:rPr>
          <w:rFonts w:hint="eastAsia" w:asciiTheme="minorEastAsia" w:hAnsiTheme="minorEastAsia" w:eastAsiaTheme="minorEastAsia" w:cstheme="minorEastAsia"/>
          <w:color w:val="auto"/>
          <w:kern w:val="0"/>
          <w:sz w:val="21"/>
          <w:szCs w:val="21"/>
          <w:highlight w:val="none"/>
        </w:rPr>
        <w:t>“代理机构”：接受采购人委托，代理采购项目的采购代理机构。代理机构名称、地址、电话、联系人见“投标人须知前附表”。</w:t>
      </w:r>
    </w:p>
    <w:p w14:paraId="62E770BE">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采购代理机构及其分支机构不得在所代理的采购项目中投标或者代理投标，不得为所代理的采购项目的投标人参加本项目提供投标咨询。</w:t>
      </w:r>
    </w:p>
    <w:p w14:paraId="315D36BA">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2.5</w:t>
      </w:r>
      <w:r>
        <w:rPr>
          <w:rFonts w:hint="eastAsia" w:asciiTheme="minorEastAsia" w:hAnsiTheme="minorEastAsia" w:eastAsiaTheme="minorEastAsia" w:cstheme="minorEastAsia"/>
          <w:color w:val="auto"/>
          <w:kern w:val="0"/>
          <w:sz w:val="21"/>
          <w:szCs w:val="21"/>
          <w:highlight w:val="none"/>
        </w:rPr>
        <w:t>“潜在投标人”指符合《中华人民共和国政府采购法》及相关法律法规和本招标文件的各项规定，且按照本项目招标公告及招标文件规定的方式获取招标文件的法人、其他组织或者自然人。</w:t>
      </w:r>
    </w:p>
    <w:p w14:paraId="52ADACC7">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2.6</w:t>
      </w:r>
      <w:r>
        <w:rPr>
          <w:rFonts w:hint="eastAsia" w:asciiTheme="minorEastAsia" w:hAnsiTheme="minorEastAsia" w:eastAsiaTheme="minorEastAsia" w:cstheme="minorEastAsia"/>
          <w:color w:val="auto"/>
          <w:kern w:val="0"/>
          <w:sz w:val="21"/>
          <w:szCs w:val="21"/>
          <w:highlight w:val="none"/>
        </w:rPr>
        <w:t>“投标人”：是指符合《中华人民共和国政府采购法》及相关法律法规和本招标文件的各项规定，响应招标、参加投标竞争，从招标人处按规定获取招标文件，并按照招标文</w:t>
      </w:r>
      <w:r>
        <w:rPr>
          <w:rFonts w:hint="eastAsia" w:asciiTheme="minorEastAsia" w:hAnsiTheme="minorEastAsia" w:eastAsiaTheme="minorEastAsia" w:cstheme="minorEastAsia"/>
          <w:color w:val="auto"/>
          <w:kern w:val="0"/>
          <w:sz w:val="21"/>
          <w:szCs w:val="21"/>
          <w:highlight w:val="none"/>
          <w:lang w:val="en-US" w:eastAsia="zh-CN" w:bidi="ar-SA"/>
        </w:rPr>
        <w:t>件要求向招标人提交投标文件的法人、其他组织或者自然人。</w:t>
      </w:r>
    </w:p>
    <w:p w14:paraId="5A0358D8">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2.7“进口产品”：是指通过中国海关报关验放进入中国境内且产自关境外的产品，包括已经进入中国境内的进口产品。详见《政府采购进口产品管理办法》（财库〔2007〕119号）、《关于政府采购进口产品管理有关问题的通知》（财办库〔2008〕248号）。</w:t>
      </w:r>
    </w:p>
    <w:p w14:paraId="72504C52">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2.7.1招标文件列明不允许或未列明允许进口产品参加投标的，均视为拒绝进口产品参加投标。</w:t>
      </w:r>
    </w:p>
    <w:p w14:paraId="2FCE0A6B">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2.7.2如招标文件中已说明，经财政部门审核同意，允许部分或全部产品采购进口产品，投标人既可提供本国产品，也可以提供进口产品。</w:t>
      </w:r>
    </w:p>
    <w:p w14:paraId="0F0D4518">
      <w:pPr>
        <w:pStyle w:val="30"/>
        <w:keepNext w:val="0"/>
        <w:keepLines w:val="0"/>
        <w:pageBreakBefore w:val="0"/>
        <w:numPr>
          <w:ilvl w:val="1"/>
          <w:numId w:val="0"/>
        </w:numPr>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2.8 招标文件中凡标有“★”的条款均系实质性要求条款。</w:t>
      </w:r>
    </w:p>
    <w:p w14:paraId="6F16A3DA">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3.</w:t>
      </w:r>
      <w:r>
        <w:rPr>
          <w:rFonts w:hint="eastAsia" w:asciiTheme="minorEastAsia" w:hAnsiTheme="minorEastAsia" w:eastAsiaTheme="minorEastAsia" w:cstheme="minorEastAsia"/>
          <w:b/>
          <w:color w:val="auto"/>
          <w:kern w:val="0"/>
          <w:sz w:val="21"/>
          <w:szCs w:val="21"/>
          <w:highlight w:val="none"/>
        </w:rPr>
        <w:t>合格的投标人</w:t>
      </w:r>
    </w:p>
    <w:p w14:paraId="1E08FA9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3.1 </w:t>
      </w:r>
      <w:r>
        <w:rPr>
          <w:rFonts w:hint="eastAsia" w:asciiTheme="minorEastAsia" w:hAnsiTheme="minorEastAsia" w:eastAsiaTheme="minorEastAsia" w:cstheme="minorEastAsia"/>
          <w:color w:val="auto"/>
          <w:kern w:val="0"/>
          <w:sz w:val="21"/>
          <w:szCs w:val="21"/>
          <w:highlight w:val="none"/>
        </w:rPr>
        <w:t>在中华人民共和国境内注册，具有本项目生产、制造、供应或实施能力，符合、承认并承诺履行本招标文件各项规定的法人、其他组织或者自然人。</w:t>
      </w:r>
    </w:p>
    <w:p w14:paraId="740BD66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3.2 </w:t>
      </w:r>
      <w:r>
        <w:rPr>
          <w:rFonts w:hint="eastAsia" w:asciiTheme="minorEastAsia" w:hAnsiTheme="minorEastAsia" w:eastAsiaTheme="minorEastAsia" w:cstheme="minorEastAsia"/>
          <w:color w:val="auto"/>
          <w:kern w:val="0"/>
          <w:sz w:val="21"/>
          <w:szCs w:val="21"/>
          <w:highlight w:val="none"/>
        </w:rPr>
        <w:t>符合本项目“投标邀请”和“投标人须知前附表”中规定的合格投标人所必须具备的条件。</w:t>
      </w:r>
    </w:p>
    <w:p w14:paraId="56D6472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3.3 </w:t>
      </w:r>
      <w:r>
        <w:rPr>
          <w:rFonts w:hint="eastAsia" w:asciiTheme="minorEastAsia" w:hAnsiTheme="minorEastAsia" w:eastAsiaTheme="minorEastAsia" w:cstheme="minorEastAsia"/>
          <w:color w:val="auto"/>
          <w:sz w:val="21"/>
          <w:szCs w:val="21"/>
          <w:highlight w:val="none"/>
        </w:rPr>
        <w:t>按照财政部《</w:t>
      </w:r>
      <w:r>
        <w:rPr>
          <w:rFonts w:hint="eastAsia" w:asciiTheme="minorEastAsia" w:hAnsiTheme="minorEastAsia" w:eastAsiaTheme="minorEastAsia" w:cstheme="minorEastAsia"/>
          <w:bCs/>
          <w:color w:val="auto"/>
          <w:sz w:val="21"/>
          <w:szCs w:val="21"/>
          <w:highlight w:val="none"/>
        </w:rPr>
        <w:t>关于在政府采购活动中查询及使用信用记录有关问题的通知</w:t>
      </w:r>
      <w:r>
        <w:rPr>
          <w:rFonts w:hint="eastAsia" w:asciiTheme="minorEastAsia" w:hAnsiTheme="minorEastAsia" w:eastAsiaTheme="minorEastAsia" w:cstheme="minorEastAsia"/>
          <w:color w:val="auto"/>
          <w:sz w:val="21"/>
          <w:szCs w:val="21"/>
          <w:highlight w:val="none"/>
        </w:rPr>
        <w:t>》（财库</w:t>
      </w:r>
      <w:r>
        <w:rPr>
          <w:rFonts w:hint="eastAsia" w:asciiTheme="minorEastAsia" w:hAnsiTheme="minorEastAsia" w:eastAsiaTheme="minorEastAsia" w:cstheme="minorEastAsia"/>
          <w:bCs/>
          <w:color w:val="auto"/>
          <w:sz w:val="21"/>
          <w:szCs w:val="21"/>
          <w:highlight w:val="none"/>
        </w:rPr>
        <w:t>〔2016〕</w:t>
      </w:r>
      <w:r>
        <w:rPr>
          <w:rFonts w:hint="eastAsia" w:asciiTheme="minorEastAsia" w:hAnsiTheme="minorEastAsia" w:eastAsiaTheme="minorEastAsia" w:cstheme="minorEastAsia"/>
          <w:color w:val="auto"/>
          <w:sz w:val="21"/>
          <w:szCs w:val="21"/>
          <w:highlight w:val="none"/>
        </w:rPr>
        <w:t>125号）要求，</w:t>
      </w:r>
      <w:r>
        <w:rPr>
          <w:rFonts w:hint="eastAsia" w:asciiTheme="minorEastAsia" w:hAnsiTheme="minorEastAsia" w:eastAsiaTheme="minorEastAsia" w:cstheme="minorEastAsia"/>
          <w:color w:val="auto"/>
          <w:kern w:val="0"/>
          <w:sz w:val="21"/>
          <w:szCs w:val="21"/>
          <w:highlight w:val="none"/>
        </w:rPr>
        <w:t>政府采购活动中查询及使用投标人信用记录的具体要求为：投标人未被列入失信被执行人、重大税收违法失信主体、</w:t>
      </w:r>
      <w:r>
        <w:rPr>
          <w:rFonts w:hint="eastAsia" w:asciiTheme="minorEastAsia" w:hAnsiTheme="minorEastAsia" w:eastAsiaTheme="minorEastAsia" w:cstheme="minorEastAsia"/>
          <w:color w:val="auto"/>
          <w:sz w:val="21"/>
          <w:szCs w:val="21"/>
          <w:highlight w:val="none"/>
          <w:shd w:val="clear" w:color="auto" w:fill="FFFFFF"/>
        </w:rPr>
        <w:t>政府采购严重违法失信行为记录名单、</w:t>
      </w:r>
      <w:r>
        <w:rPr>
          <w:rFonts w:hint="eastAsia" w:asciiTheme="minorEastAsia" w:hAnsiTheme="minorEastAsia" w:eastAsiaTheme="minorEastAsia" w:cstheme="minorEastAsia"/>
          <w:color w:val="auto"/>
          <w:kern w:val="0"/>
          <w:sz w:val="21"/>
          <w:szCs w:val="21"/>
          <w:highlight w:val="none"/>
        </w:rPr>
        <w:t>严重违法失信社会组织名单（联合体形式投标的，联合体成员存在不良信用记录，视同联合体存在不良信用记录）。</w:t>
      </w:r>
    </w:p>
    <w:p w14:paraId="78EEE81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查询渠道：“信用中国”网站（www.creditchina.gov.cn）、“中国政府采购网”（www.ccgp.gov.cn）、“中国社会组织政务服务平台”网站（</w:t>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"http://www.chinanpo.gov.cn" </w:instrText>
      </w:r>
      <w:r>
        <w:rPr>
          <w:rFonts w:hint="eastAsia" w:asciiTheme="minorEastAsia" w:hAnsiTheme="minorEastAsia" w:eastAsiaTheme="minorEastAsia" w:cstheme="minorEastAsia"/>
          <w:color w:val="auto"/>
          <w:sz w:val="21"/>
          <w:szCs w:val="21"/>
          <w:highlight w:val="none"/>
        </w:rPr>
        <w:fldChar w:fldCharType="separate"/>
      </w:r>
      <w:r>
        <w:rPr>
          <w:rStyle w:val="22"/>
          <w:rFonts w:hint="eastAsia" w:asciiTheme="minorEastAsia" w:hAnsiTheme="minorEastAsia" w:eastAsiaTheme="minorEastAsia" w:cstheme="minorEastAsia"/>
          <w:color w:val="auto"/>
          <w:kern w:val="0"/>
          <w:sz w:val="21"/>
          <w:szCs w:val="21"/>
          <w:highlight w:val="none"/>
        </w:rPr>
        <w:t>https://chinanpo.mca.gov.cn</w:t>
      </w:r>
      <w:r>
        <w:rPr>
          <w:rStyle w:val="22"/>
          <w:rFonts w:hint="eastAsia" w:asciiTheme="minorEastAsia" w:hAnsiTheme="minorEastAsia" w:eastAsiaTheme="minorEastAsia" w:cstheme="minorEastAsia"/>
          <w:color w:val="auto"/>
          <w:kern w:val="0"/>
          <w:sz w:val="21"/>
          <w:szCs w:val="21"/>
          <w:highlight w:val="none"/>
        </w:rPr>
        <w:fldChar w:fldCharType="end"/>
      </w:r>
      <w:r>
        <w:rPr>
          <w:rFonts w:hint="eastAsia" w:asciiTheme="minorEastAsia" w:hAnsiTheme="minorEastAsia" w:eastAsiaTheme="minorEastAsia" w:cstheme="minorEastAsia"/>
          <w:color w:val="auto"/>
          <w:kern w:val="0"/>
          <w:sz w:val="21"/>
          <w:szCs w:val="21"/>
          <w:highlight w:val="none"/>
        </w:rPr>
        <w:t>）；</w:t>
      </w:r>
    </w:p>
    <w:p w14:paraId="4D94B6D5">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3.4</w:t>
      </w:r>
      <w:r>
        <w:rPr>
          <w:rFonts w:hint="eastAsia" w:asciiTheme="minorEastAsia" w:hAnsiTheme="minorEastAsia" w:eastAsiaTheme="minorEastAsia" w:cstheme="minorEastAsia"/>
          <w:color w:val="auto"/>
          <w:kern w:val="0"/>
          <w:sz w:val="21"/>
          <w:szCs w:val="21"/>
          <w:highlight w:val="none"/>
        </w:rPr>
        <w:t>信用信息的使用原则：经采购人认定的被列入失信被执行人、</w:t>
      </w:r>
      <w:r>
        <w:rPr>
          <w:rFonts w:hint="eastAsia" w:asciiTheme="minorEastAsia" w:hAnsiTheme="minorEastAsia" w:eastAsiaTheme="minorEastAsia" w:cstheme="minorEastAsia"/>
          <w:color w:val="auto"/>
          <w:kern w:val="0"/>
          <w:sz w:val="21"/>
          <w:szCs w:val="21"/>
          <w:highlight w:val="none"/>
          <w:lang w:val="en-US" w:eastAsia="zh-CN"/>
        </w:rPr>
        <w:t>重大税收违法失信主体</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sz w:val="21"/>
          <w:szCs w:val="21"/>
          <w:highlight w:val="none"/>
          <w:shd w:val="clear" w:color="auto" w:fill="FFFFFF"/>
        </w:rPr>
        <w:t>政府采购严重违法失信行为记录名单的投标人、</w:t>
      </w:r>
      <w:r>
        <w:rPr>
          <w:rFonts w:hint="eastAsia" w:asciiTheme="minorEastAsia" w:hAnsiTheme="minorEastAsia" w:eastAsiaTheme="minorEastAsia" w:cstheme="minorEastAsia"/>
          <w:color w:val="auto"/>
          <w:kern w:val="0"/>
          <w:sz w:val="21"/>
          <w:szCs w:val="21"/>
          <w:highlight w:val="none"/>
        </w:rPr>
        <w:t>严重违法失信社会组织名单的社会组织，将拒绝其参与本次政府采购活动；</w:t>
      </w:r>
    </w:p>
    <w:p w14:paraId="2F1612A0">
      <w:pPr>
        <w:pStyle w:val="30"/>
        <w:keepNext w:val="0"/>
        <w:keepLines w:val="0"/>
        <w:pageBreakBefore w:val="0"/>
        <w:numPr>
          <w:ilvl w:val="0"/>
          <w:numId w:val="0"/>
        </w:numPr>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3.5 </w:t>
      </w:r>
      <w:r>
        <w:rPr>
          <w:rFonts w:hint="eastAsia" w:asciiTheme="minorEastAsia" w:hAnsiTheme="minorEastAsia" w:eastAsiaTheme="minorEastAsia" w:cstheme="minorEastAsia"/>
          <w:color w:val="auto"/>
          <w:kern w:val="0"/>
          <w:sz w:val="21"/>
          <w:szCs w:val="21"/>
          <w:highlight w:val="none"/>
        </w:rPr>
        <w:t>投标人无须提供</w:t>
      </w:r>
      <w:r>
        <w:rPr>
          <w:rFonts w:hint="eastAsia" w:asciiTheme="minorEastAsia" w:hAnsiTheme="minorEastAsia" w:eastAsiaTheme="minorEastAsia" w:cstheme="minorEastAsia"/>
          <w:bCs/>
          <w:color w:val="auto"/>
          <w:sz w:val="21"/>
          <w:szCs w:val="21"/>
          <w:highlight w:val="none"/>
        </w:rPr>
        <w:t>信用记录查询结果网页截屏。</w:t>
      </w:r>
      <w:r>
        <w:rPr>
          <w:rFonts w:hint="eastAsia" w:asciiTheme="minorEastAsia" w:hAnsiTheme="minorEastAsia" w:eastAsiaTheme="minorEastAsia" w:cstheme="minorEastAsia"/>
          <w:color w:val="auto"/>
          <w:kern w:val="0"/>
          <w:sz w:val="21"/>
          <w:szCs w:val="21"/>
          <w:highlight w:val="none"/>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3.6 单位负责人为同一人或者存在直接控股、管理关系的不同供应商，不得同时参加本项目投标。违反规定的，相关投标均无效。</w:t>
      </w:r>
    </w:p>
    <w:p w14:paraId="04C4B3B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3.7为采购项目提供整体设计、规范编制或者项目管理、监理、检测等服务的供应商，不得再参加该采购项目的其他采购活动。</w:t>
      </w:r>
    </w:p>
    <w:p w14:paraId="2F5FE957">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3.8“投标邀请”和“投标人须知前附表”规定接受联合体投标的，除应符合本章第3.1项和3.2项要求外，还应遵守以下规定：</w:t>
      </w:r>
    </w:p>
    <w:p w14:paraId="18DD473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3.9</w:t>
      </w:r>
      <w:r>
        <w:rPr>
          <w:rFonts w:hint="eastAsia" w:asciiTheme="minorEastAsia" w:hAnsiTheme="minorEastAsia" w:eastAsiaTheme="minorEastAsia" w:cstheme="minorEastAsia"/>
          <w:color w:val="auto"/>
          <w:kern w:val="0"/>
          <w:sz w:val="21"/>
          <w:szCs w:val="21"/>
          <w:highlight w:val="none"/>
        </w:rPr>
        <w:t>在投标文件中向采购人提交联合体协议书，明确联合体各方承担的工作和义务；</w:t>
      </w:r>
    </w:p>
    <w:p w14:paraId="38B21F2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3.10 </w:t>
      </w:r>
      <w:r>
        <w:rPr>
          <w:rFonts w:hint="eastAsia" w:asciiTheme="minorEastAsia" w:hAnsiTheme="minorEastAsia" w:eastAsiaTheme="minorEastAsia" w:cstheme="minorEastAsia"/>
          <w:color w:val="auto"/>
          <w:kern w:val="0"/>
          <w:sz w:val="21"/>
          <w:szCs w:val="21"/>
          <w:highlight w:val="none"/>
        </w:rPr>
        <w:t>联合体中有同类资质的供应商按联合体分工承担相同工作的，应当按照资质等级较低的供应商确定资质等级；</w:t>
      </w:r>
    </w:p>
    <w:p w14:paraId="46C1D59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3.11 </w:t>
      </w:r>
      <w:r>
        <w:rPr>
          <w:rFonts w:hint="eastAsia" w:asciiTheme="minorEastAsia" w:hAnsiTheme="minorEastAsia" w:eastAsiaTheme="minorEastAsia" w:cstheme="minorEastAsia"/>
          <w:color w:val="auto"/>
          <w:kern w:val="0"/>
          <w:sz w:val="21"/>
          <w:szCs w:val="21"/>
          <w:highlight w:val="none"/>
        </w:rPr>
        <w:t>招标人根据采购项目的特殊要求规定投标人特定条件的，联合体各方中至少应当有一方符合采购规定的特定条件。</w:t>
      </w:r>
    </w:p>
    <w:p w14:paraId="3E4E1F9E">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3.12 </w:t>
      </w:r>
      <w:r>
        <w:rPr>
          <w:rFonts w:hint="eastAsia" w:asciiTheme="minorEastAsia" w:hAnsiTheme="minorEastAsia" w:eastAsiaTheme="minorEastAsia" w:cstheme="minorEastAsia"/>
          <w:color w:val="auto"/>
          <w:kern w:val="0"/>
          <w:sz w:val="21"/>
          <w:szCs w:val="21"/>
          <w:highlight w:val="none"/>
        </w:rPr>
        <w:t>联合体各方不得再单独参加或者与其他供应商另外组成联合体参加同一合同项下的政府采购活动。</w:t>
      </w:r>
    </w:p>
    <w:p w14:paraId="0B2803E0">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3.13 </w:t>
      </w:r>
      <w:r>
        <w:rPr>
          <w:rFonts w:hint="eastAsia" w:asciiTheme="minorEastAsia" w:hAnsiTheme="minorEastAsia" w:eastAsiaTheme="minorEastAsia" w:cstheme="minorEastAsia"/>
          <w:color w:val="auto"/>
          <w:kern w:val="0"/>
          <w:sz w:val="21"/>
          <w:szCs w:val="21"/>
          <w:highlight w:val="none"/>
        </w:rPr>
        <w:t>联合体各方应当共同与采购人签订采购合同，就采购合同约定的事项对采购人</w:t>
      </w:r>
      <w:r>
        <w:rPr>
          <w:rFonts w:hint="eastAsia" w:asciiTheme="minorEastAsia" w:hAnsiTheme="minorEastAsia" w:eastAsiaTheme="minorEastAsia" w:cstheme="minorEastAsia"/>
          <w:color w:val="auto"/>
          <w:sz w:val="21"/>
          <w:szCs w:val="21"/>
          <w:highlight w:val="none"/>
        </w:rPr>
        <w:fldChar w:fldCharType="begin"/>
      </w:r>
      <w:r>
        <w:rPr>
          <w:rFonts w:hint="eastAsia" w:asciiTheme="minorEastAsia" w:hAnsiTheme="minorEastAsia" w:eastAsiaTheme="minorEastAsia" w:cstheme="minorEastAsia"/>
          <w:color w:val="auto"/>
          <w:sz w:val="21"/>
          <w:szCs w:val="21"/>
          <w:highlight w:val="none"/>
        </w:rPr>
        <w:instrText xml:space="preserve"> HYPERLINK "https://baike.baidu.com/item/%E6%89%BF%E6%8B%85%E8%BF%9E%E5%B8%A6%E8%B4%A3%E4%BB%BB" \t "_blank" </w:instrText>
      </w:r>
      <w:r>
        <w:rPr>
          <w:rFonts w:hint="eastAsia"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kern w:val="0"/>
          <w:sz w:val="21"/>
          <w:szCs w:val="21"/>
          <w:highlight w:val="none"/>
        </w:rPr>
        <w:t>承担连带责任</w:t>
      </w:r>
      <w:r>
        <w:rPr>
          <w:rFonts w:hint="eastAsia" w:asciiTheme="minorEastAsia" w:hAnsiTheme="minorEastAsia" w:eastAsiaTheme="minorEastAsia" w:cstheme="minorEastAsia"/>
          <w:color w:val="auto"/>
          <w:kern w:val="0"/>
          <w:sz w:val="21"/>
          <w:szCs w:val="21"/>
          <w:highlight w:val="none"/>
        </w:rPr>
        <w:fldChar w:fldCharType="end"/>
      </w:r>
      <w:r>
        <w:rPr>
          <w:rFonts w:hint="eastAsia" w:asciiTheme="minorEastAsia" w:hAnsiTheme="minorEastAsia" w:eastAsiaTheme="minorEastAsia" w:cstheme="minorEastAsia"/>
          <w:color w:val="auto"/>
          <w:kern w:val="0"/>
          <w:sz w:val="21"/>
          <w:szCs w:val="21"/>
          <w:highlight w:val="none"/>
        </w:rPr>
        <w:t>。</w:t>
      </w:r>
    </w:p>
    <w:p w14:paraId="6B7D564D">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3.14 </w:t>
      </w:r>
      <w:r>
        <w:rPr>
          <w:rFonts w:hint="eastAsia" w:asciiTheme="minorEastAsia" w:hAnsiTheme="minorEastAsia" w:eastAsiaTheme="minorEastAsia" w:cstheme="minorEastAsia"/>
          <w:color w:val="auto"/>
          <w:kern w:val="0"/>
          <w:sz w:val="21"/>
          <w:szCs w:val="21"/>
          <w:highlight w:val="none"/>
        </w:rPr>
        <w:t>法律、行政法规规定的其他条件。</w:t>
      </w:r>
    </w:p>
    <w:p w14:paraId="5FCDBADB">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4.</w:t>
      </w:r>
      <w:r>
        <w:rPr>
          <w:rFonts w:hint="eastAsia" w:asciiTheme="minorEastAsia" w:hAnsiTheme="minorEastAsia" w:eastAsiaTheme="minorEastAsia" w:cstheme="minorEastAsia"/>
          <w:b/>
          <w:color w:val="auto"/>
          <w:kern w:val="0"/>
          <w:sz w:val="21"/>
          <w:szCs w:val="21"/>
          <w:highlight w:val="none"/>
        </w:rPr>
        <w:t>合格的货物和服务</w:t>
      </w:r>
    </w:p>
    <w:p w14:paraId="7B7D4CF1">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4.1 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7A7FC023">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4.2 投标人所提供的服务应当没有侵犯任何第三方的知识产权、技术秘密等合法权利。</w:t>
      </w:r>
    </w:p>
    <w:p w14:paraId="471693E2">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4.3 根据《财政部、发展改革委、生态环境部、市场监管总局关于调整优化节能产品、环境 标志产品政府采购执行机制的通知》（财库〔2019〕9号）要求，采购属于政府强制采 </w:t>
      </w:r>
    </w:p>
    <w:p w14:paraId="77D17533">
      <w:pPr>
        <w:pStyle w:val="30"/>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购产品的，该产品必须具有国家确定的认证机构出具的、处于有效期之内的节能产品认证证书，否则其投标将被拒绝。</w:t>
      </w:r>
    </w:p>
    <w:p w14:paraId="3BF8E2FF">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w:t>
      </w:r>
      <w:r>
        <w:rPr>
          <w:rFonts w:hint="eastAsia" w:asciiTheme="minorEastAsia" w:hAnsiTheme="minorEastAsia" w:eastAsiaTheme="minorEastAsia" w:cstheme="minorEastAsia"/>
          <w:color w:val="auto"/>
          <w:kern w:val="0"/>
          <w:sz w:val="21"/>
          <w:szCs w:val="21"/>
          <w:highlight w:val="none"/>
          <w:lang w:val="zh-CN" w:eastAsia="zh-CN"/>
        </w:rPr>
        <w:t>.</w:t>
      </w:r>
      <w:r>
        <w:rPr>
          <w:rFonts w:hint="eastAsia" w:asciiTheme="minorEastAsia" w:hAnsiTheme="minorEastAsia" w:eastAsiaTheme="minorEastAsia" w:cstheme="minorEastAsia"/>
          <w:color w:val="auto"/>
          <w:kern w:val="0"/>
          <w:sz w:val="21"/>
          <w:szCs w:val="21"/>
          <w:highlight w:val="none"/>
          <w:lang w:val="en-US" w:eastAsia="zh-CN"/>
        </w:rPr>
        <w:t>4 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 由具备资格的机构安全认证合格或安全检测符合要求；二是已获得《计算机信息系统安全专用产品销售许可证》，且在有效期内。</w:t>
      </w:r>
    </w:p>
    <w:p w14:paraId="69A57640">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5.</w:t>
      </w:r>
      <w:r>
        <w:rPr>
          <w:rFonts w:hint="eastAsia" w:asciiTheme="minorEastAsia" w:hAnsiTheme="minorEastAsia" w:eastAsiaTheme="minorEastAsia" w:cstheme="minorEastAsia"/>
          <w:b/>
          <w:color w:val="auto"/>
          <w:kern w:val="0"/>
          <w:sz w:val="21"/>
          <w:szCs w:val="21"/>
          <w:highlight w:val="none"/>
        </w:rPr>
        <w:t>投</w:t>
      </w:r>
      <w:r>
        <w:rPr>
          <w:rFonts w:hint="eastAsia" w:asciiTheme="minorEastAsia" w:hAnsiTheme="minorEastAsia" w:eastAsiaTheme="minorEastAsia" w:cstheme="minorEastAsia"/>
          <w:b/>
          <w:bCs/>
          <w:color w:val="auto"/>
          <w:kern w:val="0"/>
          <w:sz w:val="21"/>
          <w:szCs w:val="21"/>
          <w:highlight w:val="none"/>
          <w:lang w:val="en-US" w:eastAsia="zh-CN"/>
        </w:rPr>
        <w:t>标费用</w:t>
      </w:r>
    </w:p>
    <w:p w14:paraId="6FF4D369">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不论投标的结果如何，投标人均应自行承担所有与投标有关的全部费用，招标人在任何情况下均无义务和责任承担这些费用。</w:t>
      </w:r>
    </w:p>
    <w:p w14:paraId="0CCB1905">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6.</w:t>
      </w:r>
      <w:r>
        <w:rPr>
          <w:rFonts w:hint="eastAsia" w:asciiTheme="minorEastAsia" w:hAnsiTheme="minorEastAsia" w:eastAsiaTheme="minorEastAsia" w:cstheme="minorEastAsia"/>
          <w:b/>
          <w:color w:val="auto"/>
          <w:kern w:val="0"/>
          <w:sz w:val="21"/>
          <w:szCs w:val="21"/>
          <w:highlight w:val="none"/>
        </w:rPr>
        <w:t>信息发</w:t>
      </w:r>
      <w:r>
        <w:rPr>
          <w:rFonts w:hint="eastAsia" w:asciiTheme="minorEastAsia" w:hAnsiTheme="minorEastAsia" w:eastAsiaTheme="minorEastAsia" w:cstheme="minorEastAsia"/>
          <w:b/>
          <w:color w:val="auto"/>
          <w:kern w:val="0"/>
          <w:sz w:val="21"/>
          <w:szCs w:val="21"/>
          <w:highlight w:val="none"/>
          <w:lang w:val="en-US" w:eastAsia="zh-CN"/>
        </w:rPr>
        <w:t>布</w:t>
      </w:r>
    </w:p>
    <w:p w14:paraId="73582FA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本采购项目需要公开的有关信息，包括招标公告、招标文件澄清或修改公告、中标公告以及延长投标截止时间等与招标活动有关的通知，招标人均将通过《河南省政府采购网》《许昌市政府采购网》《全国公共资源交易平台（河南省·许昌市）》公开发布。投标人在参与本采购项目招投标活动期间，请及时关注以上媒体上的相关信息，投标人因没有及时关注而未能如期获取相关信息，以及因此所产生的一切后果和责任，由投标人自行承担，招标人在任何情况下均不对此承担任何责任。</w:t>
      </w:r>
    </w:p>
    <w:p w14:paraId="275D88F2">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7.</w:t>
      </w:r>
      <w:r>
        <w:rPr>
          <w:rFonts w:hint="eastAsia" w:asciiTheme="minorEastAsia" w:hAnsiTheme="minorEastAsia" w:eastAsiaTheme="minorEastAsia" w:cstheme="minorEastAsia"/>
          <w:b/>
          <w:color w:val="auto"/>
          <w:kern w:val="0"/>
          <w:sz w:val="21"/>
          <w:szCs w:val="21"/>
          <w:highlight w:val="none"/>
        </w:rPr>
        <w:t>采购代理机构代理费用收取标准和方式</w:t>
      </w:r>
    </w:p>
    <w:p w14:paraId="4D0CEECE">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本项目收取代理费用。招标代理服务费由中标人支付，按照豫招协〔2023〕002《河南省招标代理服务收费指导意见》收取，由中标单位在领取中标通知书时</w:t>
      </w:r>
      <w:r>
        <w:rPr>
          <w:rFonts w:hint="eastAsia" w:asciiTheme="minorEastAsia" w:hAnsiTheme="minorEastAsia" w:cstheme="minorEastAsia"/>
          <w:color w:val="auto"/>
          <w:kern w:val="0"/>
          <w:sz w:val="21"/>
          <w:szCs w:val="21"/>
          <w:highlight w:val="none"/>
          <w:lang w:val="en-US" w:eastAsia="zh-CN"/>
        </w:rPr>
        <w:t>一次性支付</w:t>
      </w:r>
      <w:r>
        <w:rPr>
          <w:rFonts w:hint="eastAsia" w:asciiTheme="minorEastAsia" w:hAnsiTheme="minorEastAsia" w:eastAsiaTheme="minorEastAsia" w:cstheme="minorEastAsia"/>
          <w:color w:val="auto"/>
          <w:kern w:val="0"/>
          <w:sz w:val="21"/>
          <w:szCs w:val="21"/>
          <w:highlight w:val="none"/>
          <w:lang w:val="en-US" w:eastAsia="zh-CN"/>
        </w:rPr>
        <w:t>代理机构。</w:t>
      </w:r>
    </w:p>
    <w:p w14:paraId="639DBB16">
      <w:pPr>
        <w:pStyle w:val="30"/>
        <w:keepNext w:val="0"/>
        <w:keepLines w:val="0"/>
        <w:pageBreakBefore w:val="0"/>
        <w:numPr>
          <w:ilvl w:val="0"/>
          <w:numId w:val="0"/>
        </w:numPr>
        <w:kinsoku/>
        <w:overflowPunct/>
        <w:autoSpaceDE w:val="0"/>
        <w:autoSpaceDN w:val="0"/>
        <w:bidi w:val="0"/>
        <w:snapToGrid/>
        <w:spacing w:line="460" w:lineRule="exact"/>
        <w:ind w:left="2" w:leftChars="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8.</w:t>
      </w:r>
      <w:r>
        <w:rPr>
          <w:rFonts w:hint="eastAsia" w:asciiTheme="minorEastAsia" w:hAnsiTheme="minorEastAsia" w:eastAsiaTheme="minorEastAsia" w:cstheme="minorEastAsia"/>
          <w:b/>
          <w:color w:val="auto"/>
          <w:kern w:val="0"/>
          <w:sz w:val="21"/>
          <w:szCs w:val="21"/>
          <w:highlight w:val="none"/>
        </w:rPr>
        <w:t>其他</w:t>
      </w:r>
    </w:p>
    <w:p w14:paraId="35E3BBFB">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本“投标人须知”的条款如与“投标邀请”“项目需求”“投标人须知前附表”和“资格审查与评标”就同一内容的表述不一致的，以“投标邀请”“ 项目需求”、 “投标人须知前附表”和“资格审查与评标”中规定的内容为准。</w:t>
      </w:r>
    </w:p>
    <w:p w14:paraId="5B19BB3C">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二、招标文件说明</w:t>
      </w:r>
    </w:p>
    <w:p w14:paraId="152D1857">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9.</w:t>
      </w:r>
      <w:r>
        <w:rPr>
          <w:rFonts w:hint="eastAsia" w:asciiTheme="minorEastAsia" w:hAnsiTheme="minorEastAsia" w:eastAsiaTheme="minorEastAsia" w:cstheme="minorEastAsia"/>
          <w:b/>
          <w:color w:val="auto"/>
          <w:kern w:val="0"/>
          <w:sz w:val="21"/>
          <w:szCs w:val="21"/>
          <w:highlight w:val="none"/>
        </w:rPr>
        <w:t>招标文件构成</w:t>
      </w:r>
    </w:p>
    <w:p w14:paraId="1676EAD5">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9.1</w:t>
      </w:r>
      <w:r>
        <w:rPr>
          <w:rFonts w:hint="eastAsia" w:asciiTheme="minorEastAsia" w:hAnsiTheme="minorEastAsia" w:eastAsiaTheme="minorEastAsia" w:cstheme="minorEastAsia"/>
          <w:color w:val="auto"/>
          <w:kern w:val="0"/>
          <w:sz w:val="21"/>
          <w:szCs w:val="21"/>
          <w:highlight w:val="none"/>
        </w:rPr>
        <w:t>招标文件由以下部分组成：</w:t>
      </w:r>
    </w:p>
    <w:p w14:paraId="7E152778">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（1）投标邀请（招标公告）</w:t>
      </w:r>
    </w:p>
    <w:p w14:paraId="26B04D8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（2）项目需求</w:t>
      </w:r>
    </w:p>
    <w:p w14:paraId="3E4C53DC">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（3）投标人须知前附表</w:t>
      </w:r>
    </w:p>
    <w:p w14:paraId="0C56A719">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（4）投标人须知</w:t>
      </w:r>
    </w:p>
    <w:p w14:paraId="5BDBFD2F">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（5）政府采购政策功能</w:t>
      </w:r>
    </w:p>
    <w:p w14:paraId="0261544D">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（6）资格审查与评标</w:t>
      </w:r>
    </w:p>
    <w:p w14:paraId="1FDE073A">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（7）拟签订的合同文本</w:t>
      </w:r>
    </w:p>
    <w:p w14:paraId="0ED9A0CE">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（8）投标文件有关格式</w:t>
      </w:r>
    </w:p>
    <w:p w14:paraId="0D01F42D">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（9）本项目招标文件的澄清、答复、修改、补充内容（如有的话）</w:t>
      </w:r>
    </w:p>
    <w:p w14:paraId="1B053682">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3C50B795">
      <w:pPr>
        <w:pStyle w:val="30"/>
        <w:keepNext w:val="0"/>
        <w:keepLines w:val="0"/>
        <w:pageBreakBefore w:val="0"/>
        <w:numPr>
          <w:ilvl w:val="0"/>
          <w:numId w:val="0"/>
        </w:numPr>
        <w:kinsoku/>
        <w:overflowPunct/>
        <w:autoSpaceDE w:val="0"/>
        <w:autoSpaceDN w:val="0"/>
        <w:bidi w:val="0"/>
        <w:snapToGrid/>
        <w:spacing w:line="460" w:lineRule="exact"/>
        <w:ind w:left="2"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9.3 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07346093">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10.</w:t>
      </w:r>
      <w:r>
        <w:rPr>
          <w:rFonts w:hint="eastAsia" w:asciiTheme="minorEastAsia" w:hAnsiTheme="minorEastAsia" w:eastAsiaTheme="minorEastAsia" w:cstheme="minorEastAsia"/>
          <w:b/>
          <w:color w:val="auto"/>
          <w:kern w:val="0"/>
          <w:sz w:val="21"/>
          <w:szCs w:val="21"/>
          <w:highlight w:val="none"/>
        </w:rPr>
        <w:t>现场考察、开标前答疑会</w:t>
      </w:r>
    </w:p>
    <w:p w14:paraId="4B1AE32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10.1 </w:t>
      </w:r>
      <w:r>
        <w:rPr>
          <w:rFonts w:hint="eastAsia" w:asciiTheme="minorEastAsia" w:hAnsiTheme="minorEastAsia" w:eastAsiaTheme="minorEastAsia" w:cstheme="minorEastAsia"/>
          <w:color w:val="auto"/>
          <w:kern w:val="0"/>
          <w:sz w:val="21"/>
          <w:szCs w:val="21"/>
          <w:highlight w:val="none"/>
        </w:rPr>
        <w:t>招标人根据采购项目的具体情况，可以在招标文件公告期满后，组织已获取招标文件的潜在投标人现场考察或者召开开标前答疑会。</w:t>
      </w:r>
    </w:p>
    <w:p w14:paraId="129C9406">
      <w:pPr>
        <w:keepNext w:val="0"/>
        <w:keepLines w:val="0"/>
        <w:pageBreakBefore w:val="0"/>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10.2 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10.3 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0BE62F5B">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10.4 </w:t>
      </w:r>
      <w:r>
        <w:rPr>
          <w:rFonts w:hint="eastAsia" w:asciiTheme="minorEastAsia" w:hAnsiTheme="minorEastAsia" w:eastAsiaTheme="minorEastAsia" w:cstheme="minorEastAsia"/>
          <w:color w:val="auto"/>
          <w:kern w:val="0"/>
          <w:sz w:val="21"/>
          <w:szCs w:val="21"/>
          <w:highlight w:val="none"/>
        </w:rPr>
        <w:t>现场考察及参加开标前答疑会所发生的费用及一切责任由投标人自行承担。</w:t>
      </w:r>
    </w:p>
    <w:p w14:paraId="3E6327D1">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11.</w:t>
      </w:r>
      <w:r>
        <w:rPr>
          <w:rFonts w:hint="eastAsia" w:asciiTheme="minorEastAsia" w:hAnsiTheme="minorEastAsia" w:eastAsiaTheme="minorEastAsia" w:cstheme="minorEastAsia"/>
          <w:b/>
          <w:color w:val="auto"/>
          <w:kern w:val="0"/>
          <w:sz w:val="21"/>
          <w:szCs w:val="21"/>
          <w:highlight w:val="none"/>
        </w:rPr>
        <w:t>招标文件的澄清或修改</w:t>
      </w:r>
    </w:p>
    <w:p w14:paraId="0F4352B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11.1 在投标截止期前，无论出于何种原因，招标人可主动地或在解答潜在投标人提出的澄清问题时对招标文件进行修改。</w:t>
      </w:r>
    </w:p>
    <w:p w14:paraId="65DCFA2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11.2 招标人可以对已发出的招标文件进行必要的澄清或者修改。澄清或者修改的内容可能影响投标文件编制的，招标人将在投标截止时间15日前，在财政部门指定的政府采购信息发布媒体和《全国公共资源交易平台（河南省·许昌市）》发布更正公告。</w:t>
      </w:r>
    </w:p>
    <w:p w14:paraId="3490A00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11.3 澄清或修改公告的内容为招标文件的组成部分，并对投标人具有约束力。当招标文件与澄清或修改公告就同一内容的表述不一致时，以最后发出的文件内容为准。</w:t>
      </w:r>
    </w:p>
    <w:p w14:paraId="14A7B34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11.4 如果澄清或者修改发出的时间距规定的投标截止时间不足15日，招标人将顺延提交投标文件的截止时间。</w:t>
      </w:r>
    </w:p>
    <w:p w14:paraId="1F457160">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三、投标文件的编制</w:t>
      </w:r>
    </w:p>
    <w:p w14:paraId="2D1D0A47">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12.</w:t>
      </w:r>
      <w:r>
        <w:rPr>
          <w:rFonts w:hint="eastAsia" w:asciiTheme="minorEastAsia" w:hAnsiTheme="minorEastAsia" w:eastAsiaTheme="minorEastAsia" w:cstheme="minorEastAsia"/>
          <w:b/>
          <w:color w:val="auto"/>
          <w:kern w:val="0"/>
          <w:sz w:val="21"/>
          <w:szCs w:val="21"/>
          <w:highlight w:val="none"/>
        </w:rPr>
        <w:t>投标的语言及计量单位</w:t>
      </w:r>
    </w:p>
    <w:p w14:paraId="54796A6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12.1 投标人提交的投标文件以及投标人与招标人就有关投标事宜的所有来往书面文件均应使用中文。除签名、盖章、专用名称等特殊情形外，以中文以外的文字表述的投标文件视同未提供。</w:t>
      </w:r>
    </w:p>
    <w:p w14:paraId="6F63361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12.2 投标计量单位，招标文件已有明确规定的，使用招标文件规定的计量单位；招标文件没有规定的，一律采用中华人民共和国法定计量单位。</w:t>
      </w:r>
    </w:p>
    <w:p w14:paraId="3F2FD9E6">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13.</w:t>
      </w:r>
      <w:r>
        <w:rPr>
          <w:rFonts w:hint="eastAsia" w:asciiTheme="minorEastAsia" w:hAnsiTheme="minorEastAsia" w:eastAsiaTheme="minorEastAsia" w:cstheme="minorEastAsia"/>
          <w:b/>
          <w:color w:val="auto"/>
          <w:kern w:val="0"/>
          <w:sz w:val="21"/>
          <w:szCs w:val="21"/>
          <w:highlight w:val="none"/>
        </w:rPr>
        <w:t>投标报价</w:t>
      </w:r>
    </w:p>
    <w:p w14:paraId="73507F90">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13.1 本次招标项目的投标均以人民币为计算单位。</w:t>
      </w:r>
    </w:p>
    <w:p w14:paraId="2FE1CBA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13.2 采购人不得向投标人索要或者接受其给予的赠品、回扣或者与采购无关的其他商品、服务。</w:t>
      </w:r>
    </w:p>
    <w:p w14:paraId="3FD498B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13.3 投标人应对项目要求的全部内容进行报价，少报漏报将导致其投标为非实质性响应予以拒绝。</w:t>
      </w:r>
    </w:p>
    <w:p w14:paraId="4EC8A76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13.4 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13.5 本项目所涉及的运输、施工、安装、集成、调试、验收、备品和工具等费用均包含在投标报价中。</w:t>
      </w:r>
    </w:p>
    <w:p w14:paraId="3C5B952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13.6 本次招标不接受可选择或可调整的投标方案和报价，任何有选择的或可调整的投标方案和报价将被视为非实质性响应投标而作无效投标处理。</w:t>
      </w:r>
    </w:p>
    <w:p w14:paraId="10FFBA4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13.7 报价不得高于本项目最高限价，且不低于成本价。本次招标实行“最高限价（项目控制金额上限）”，投标人的投标报价高于最高限价（项目控制金额上限）的，该投标人的投标文件将被视为非实质性响应予以拒绝。</w:t>
      </w:r>
    </w:p>
    <w:p w14:paraId="399D151A">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13.8 </w:t>
      </w:r>
      <w:r>
        <w:rPr>
          <w:rFonts w:hint="eastAsia" w:asciiTheme="minorEastAsia" w:hAnsiTheme="minorEastAsia" w:eastAsiaTheme="minorEastAsia" w:cstheme="minorEastAsia"/>
          <w:color w:val="auto"/>
          <w:kern w:val="0"/>
          <w:sz w:val="21"/>
          <w:szCs w:val="21"/>
          <w:highlight w:val="none"/>
        </w:rPr>
        <w:t>最低报价不能作为中标的保证。</w:t>
      </w:r>
    </w:p>
    <w:p w14:paraId="62863C94">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14.</w:t>
      </w:r>
      <w:r>
        <w:rPr>
          <w:rFonts w:hint="eastAsia" w:asciiTheme="minorEastAsia" w:hAnsiTheme="minorEastAsia" w:eastAsiaTheme="minorEastAsia" w:cstheme="minorEastAsia"/>
          <w:b/>
          <w:color w:val="auto"/>
          <w:kern w:val="0"/>
          <w:sz w:val="21"/>
          <w:szCs w:val="21"/>
          <w:highlight w:val="none"/>
        </w:rPr>
        <w:t>投标有效期</w:t>
      </w:r>
    </w:p>
    <w:p w14:paraId="768AFC7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14.1 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14.2 </w:t>
      </w:r>
      <w:r>
        <w:rPr>
          <w:rFonts w:hint="eastAsia" w:asciiTheme="minorEastAsia" w:hAnsiTheme="minorEastAsia" w:eastAsiaTheme="minorEastAsia" w:cstheme="minorEastAsia"/>
          <w:color w:val="auto"/>
          <w:kern w:val="0"/>
          <w:sz w:val="21"/>
          <w:szCs w:val="21"/>
          <w:highlight w:val="none"/>
        </w:rPr>
        <w:t>投标有效期内投标人撤销投标文件的，投标人将承担违背投标承诺函的责任追究。</w:t>
      </w:r>
    </w:p>
    <w:p w14:paraId="1B83BBF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14.3 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59E228B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14.4 中标人的投标文件作为项目合同的附件，其有效期至中标人全部合同义务履行完毕为止。</w:t>
      </w:r>
    </w:p>
    <w:p w14:paraId="2C3DBA1F">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15.</w:t>
      </w:r>
      <w:r>
        <w:rPr>
          <w:rFonts w:hint="eastAsia" w:asciiTheme="minorEastAsia" w:hAnsiTheme="minorEastAsia" w:eastAsiaTheme="minorEastAsia" w:cstheme="minorEastAsia"/>
          <w:b/>
          <w:color w:val="auto"/>
          <w:kern w:val="0"/>
          <w:sz w:val="21"/>
          <w:szCs w:val="21"/>
          <w:highlight w:val="none"/>
        </w:rPr>
        <w:t>投标文件构成</w:t>
      </w:r>
    </w:p>
    <w:p w14:paraId="22AC0954">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15.1 </w:t>
      </w:r>
      <w:r>
        <w:rPr>
          <w:rFonts w:hint="eastAsia" w:asciiTheme="minorEastAsia" w:hAnsiTheme="minorEastAsia" w:eastAsiaTheme="minorEastAsia" w:cstheme="minorEastAsia"/>
          <w:color w:val="auto"/>
          <w:kern w:val="0"/>
          <w:sz w:val="21"/>
          <w:szCs w:val="21"/>
          <w:highlight w:val="none"/>
        </w:rPr>
        <w:t>投标文件的构成应符合法律法规及招标文件的要求。</w:t>
      </w:r>
    </w:p>
    <w:p w14:paraId="62B1C44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15.2 投标人应当按照招标文件的要求编制投标文件。投标文件应当对招标文件提出的要求和条件作出明确响应。</w:t>
      </w:r>
    </w:p>
    <w:p w14:paraId="175DCF46">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15.3 </w:t>
      </w:r>
      <w:r>
        <w:rPr>
          <w:rFonts w:hint="eastAsia" w:asciiTheme="minorEastAsia" w:hAnsiTheme="minorEastAsia" w:eastAsiaTheme="minorEastAsia" w:cstheme="minorEastAsia"/>
          <w:color w:val="auto"/>
          <w:kern w:val="0"/>
          <w:sz w:val="21"/>
          <w:szCs w:val="21"/>
          <w:highlight w:val="none"/>
        </w:rPr>
        <w:t>投标文件由资格证明材料、符合性证明材料、</w:t>
      </w:r>
      <w:r>
        <w:rPr>
          <w:rFonts w:hint="eastAsia" w:asciiTheme="minorEastAsia" w:hAnsiTheme="minorEastAsia" w:eastAsiaTheme="minorEastAsia" w:cstheme="minorEastAsia"/>
          <w:color w:val="auto"/>
          <w:kern w:val="0"/>
          <w:sz w:val="21"/>
          <w:szCs w:val="21"/>
          <w:highlight w:val="none"/>
          <w:lang w:eastAsia="zh-CN"/>
        </w:rPr>
        <w:t>其他</w:t>
      </w:r>
      <w:r>
        <w:rPr>
          <w:rFonts w:hint="eastAsia" w:asciiTheme="minorEastAsia" w:hAnsiTheme="minorEastAsia" w:eastAsiaTheme="minorEastAsia" w:cstheme="minorEastAsia"/>
          <w:color w:val="auto"/>
          <w:kern w:val="0"/>
          <w:sz w:val="21"/>
          <w:szCs w:val="21"/>
          <w:highlight w:val="none"/>
        </w:rPr>
        <w:t>材料等组成。</w:t>
      </w:r>
    </w:p>
    <w:p w14:paraId="6CF42D6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15.4 投标人根据招标文件的规定和采购项目的实际情况，拟在中标后将中标项目的非主体、非关键性工作分包的，应当在投标文件中载明分包承担主体，分包承担主体应当具备相应资质条件且不得再次分包。</w:t>
      </w:r>
    </w:p>
    <w:p w14:paraId="2BB4FBF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15.5 投标人登录“全国公共资源交易平台（河南省·许昌市）”下载“新点投标文件制作软件（河南省版）”（在 “投标人”登录页面右下方“投标文件制作工具下载”）制作电子投标文件，按所投标段招标文件的要求制作电子投标文件。一个标段对应生成2份电子投标文件（后缀格式 为.XCSTF和.nXCSTF），其中后缀格式为“.XCSTF”的加密电子投标文件用于上传至交易 系统中投标，后缀格式为“.nXCSTF”的不加密电子投标文件用于查看投标文件内容或导出PDF格式投标文件。</w:t>
      </w:r>
    </w:p>
    <w:p w14:paraId="6CD73985">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60" w:lineRule="exact"/>
        <w:ind w:leftChars="0" w:right="0" w:rightChars="0" w:firstLine="420" w:firstLineChars="200"/>
        <w:jc w:val="both"/>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15.6 电子响应文件制作技术咨询：0374-2961598。</w:t>
      </w:r>
    </w:p>
    <w:p w14:paraId="40F98800">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16.</w:t>
      </w:r>
      <w:r>
        <w:rPr>
          <w:rFonts w:hint="eastAsia" w:asciiTheme="minorEastAsia" w:hAnsiTheme="minorEastAsia" w:eastAsiaTheme="minorEastAsia" w:cstheme="minorEastAsia"/>
          <w:b/>
          <w:color w:val="auto"/>
          <w:kern w:val="0"/>
          <w:sz w:val="21"/>
          <w:szCs w:val="21"/>
          <w:highlight w:val="none"/>
        </w:rPr>
        <w:t>投标文件格式</w:t>
      </w:r>
    </w:p>
    <w:p w14:paraId="71194DCC">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16.1 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7326492">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16.2 </w:t>
      </w:r>
      <w:r>
        <w:rPr>
          <w:rFonts w:hint="eastAsia" w:asciiTheme="minorEastAsia" w:hAnsiTheme="minorEastAsia" w:eastAsiaTheme="minorEastAsia" w:cstheme="minorEastAsia"/>
          <w:color w:val="auto"/>
          <w:kern w:val="0"/>
          <w:sz w:val="21"/>
          <w:szCs w:val="21"/>
          <w:highlight w:val="none"/>
        </w:rPr>
        <w:t>招标文件未提供标准格式的投标人可自行拟定。</w:t>
      </w:r>
    </w:p>
    <w:p w14:paraId="3D8904AB">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17.</w:t>
      </w:r>
      <w:r>
        <w:rPr>
          <w:rFonts w:hint="eastAsia" w:asciiTheme="minorEastAsia" w:hAnsiTheme="minorEastAsia" w:eastAsiaTheme="minorEastAsia" w:cstheme="minorEastAsia"/>
          <w:b/>
          <w:color w:val="auto"/>
          <w:kern w:val="0"/>
          <w:sz w:val="21"/>
          <w:szCs w:val="21"/>
          <w:highlight w:val="none"/>
        </w:rPr>
        <w:t>投标保证金</w:t>
      </w:r>
    </w:p>
    <w:p w14:paraId="0989D474">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17.1 </w:t>
      </w:r>
      <w:r>
        <w:rPr>
          <w:rFonts w:hint="eastAsia" w:asciiTheme="minorEastAsia" w:hAnsiTheme="minorEastAsia" w:eastAsiaTheme="minorEastAsia" w:cstheme="minorEastAsia"/>
          <w:color w:val="auto"/>
          <w:kern w:val="0"/>
          <w:sz w:val="21"/>
          <w:szCs w:val="21"/>
          <w:highlight w:val="none"/>
        </w:rPr>
        <w:t>本项目不收取投标保证金。</w:t>
      </w:r>
    </w:p>
    <w:p w14:paraId="5705B75A">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17.2 </w:t>
      </w:r>
      <w:r>
        <w:rPr>
          <w:rFonts w:hint="eastAsia" w:asciiTheme="minorEastAsia" w:hAnsiTheme="minorEastAsia" w:eastAsiaTheme="minorEastAsia" w:cstheme="minorEastAsia"/>
          <w:color w:val="auto"/>
          <w:kern w:val="0"/>
          <w:sz w:val="21"/>
          <w:szCs w:val="21"/>
          <w:highlight w:val="none"/>
        </w:rPr>
        <w:t>投标人应提供投标承诺函。</w:t>
      </w:r>
    </w:p>
    <w:p w14:paraId="6094E855">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18.</w:t>
      </w:r>
      <w:r>
        <w:rPr>
          <w:rFonts w:hint="eastAsia" w:asciiTheme="minorEastAsia" w:hAnsiTheme="minorEastAsia" w:eastAsiaTheme="minorEastAsia" w:cstheme="minorEastAsia"/>
          <w:b/>
          <w:color w:val="auto"/>
          <w:kern w:val="0"/>
          <w:sz w:val="21"/>
          <w:szCs w:val="21"/>
          <w:highlight w:val="none"/>
        </w:rPr>
        <w:t>投标文件的数量和签署盖章</w:t>
      </w:r>
    </w:p>
    <w:p w14:paraId="4CFD46CE">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18.1 </w:t>
      </w:r>
      <w:r>
        <w:rPr>
          <w:rFonts w:hint="eastAsia" w:asciiTheme="minorEastAsia" w:hAnsiTheme="minorEastAsia" w:eastAsiaTheme="minorEastAsia" w:cstheme="minorEastAsia"/>
          <w:color w:val="auto"/>
          <w:kern w:val="0"/>
          <w:sz w:val="21"/>
          <w:szCs w:val="21"/>
          <w:highlight w:val="none"/>
        </w:rPr>
        <w:t>投标人应提交投标文件份数见“投标人须知前附表”。</w:t>
      </w:r>
    </w:p>
    <w:p w14:paraId="2E91831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18.2 在招标文件中已明示需盖章及签名之处，电子投标文件应按招标文件要求加盖投标人电子印章和法人电子印章或授权代表电子印章。</w:t>
      </w:r>
    </w:p>
    <w:p w14:paraId="52266F2C">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四、投标文件的提交</w:t>
      </w:r>
    </w:p>
    <w:p w14:paraId="19D0A2DA">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19.</w:t>
      </w:r>
      <w:r>
        <w:rPr>
          <w:rFonts w:hint="eastAsia" w:asciiTheme="minorEastAsia" w:hAnsiTheme="minorEastAsia" w:eastAsiaTheme="minorEastAsia" w:cstheme="minorEastAsia"/>
          <w:b/>
          <w:color w:val="auto"/>
          <w:kern w:val="0"/>
          <w:sz w:val="21"/>
          <w:szCs w:val="21"/>
          <w:highlight w:val="none"/>
        </w:rPr>
        <w:t>投标截止时间</w:t>
      </w:r>
    </w:p>
    <w:p w14:paraId="344C682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19.1 投标人必须在“投标邀请”和“投标人须知前附表”中规定的投标截止时间前，将加密电子投标文件（后缀格式为.XCSTF）通过《全国公共资源交易平台（河南省▪许昌市）》（https://ggzy.xuchang.gov.cn/）公共资源交易系统成功上传。</w:t>
      </w:r>
    </w:p>
    <w:p w14:paraId="477BEE4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19.2 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18518F3C">
      <w:pPr>
        <w:pStyle w:val="30"/>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20.迟交的投标文件</w:t>
      </w:r>
    </w:p>
    <w:p w14:paraId="4CCA6446">
      <w:pPr>
        <w:pStyle w:val="30"/>
        <w:keepNext w:val="0"/>
        <w:keepLines w:val="0"/>
        <w:pageBreakBefore w:val="0"/>
        <w:numPr>
          <w:ilvl w:val="0"/>
          <w:numId w:val="0"/>
        </w:numPr>
        <w:kinsoku/>
        <w:overflowPunct/>
        <w:autoSpaceDE w:val="0"/>
        <w:autoSpaceDN w:val="0"/>
        <w:bidi w:val="0"/>
        <w:snapToGrid/>
        <w:spacing w:line="460" w:lineRule="exact"/>
        <w:ind w:left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投标截止时间之后上传的投标文件，招标人将拒绝接收。</w:t>
      </w:r>
    </w:p>
    <w:p w14:paraId="37CAACE9">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21.</w:t>
      </w:r>
      <w:r>
        <w:rPr>
          <w:rFonts w:hint="eastAsia" w:asciiTheme="minorEastAsia" w:hAnsiTheme="minorEastAsia" w:eastAsiaTheme="minorEastAsia" w:cstheme="minorEastAsia"/>
          <w:b/>
          <w:color w:val="auto"/>
          <w:kern w:val="0"/>
          <w:sz w:val="21"/>
          <w:szCs w:val="21"/>
          <w:highlight w:val="none"/>
        </w:rPr>
        <w:t>投标文件的修改和撤回</w:t>
      </w:r>
    </w:p>
    <w:p w14:paraId="5EF9CBB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21.1 投标人在投标截止时间前，对投标文件进行补充、修改或者撤回的，须书面通知招标人。投标人应当在投标截止时间前完成电子投标文件的提交，可以补充、修改或撤回。投标截止时间前未完成电子投标文件提交的，视为撤回投标文件。</w:t>
      </w:r>
    </w:p>
    <w:p w14:paraId="0BCD823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21.2 投标人补充、修改的内容并作为投标文件的组成部分。补充或修改应当按招标文件要求签署、盖章、提交，并应注明“修改”或“补充”字样。</w:t>
      </w:r>
    </w:p>
    <w:p w14:paraId="1B7C885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21.3 投标人在提交投标文件后，可以撤回其投标，但投标人必须在规定的投标截止时间前以书面形式告知招标人。</w:t>
      </w:r>
    </w:p>
    <w:p w14:paraId="467E479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21.4 投标人不得在投标有效期内撤销投标文件，否则投标人将承担违背投标承诺函的责任追究。</w:t>
      </w:r>
    </w:p>
    <w:p w14:paraId="02F3E134">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22.</w:t>
      </w:r>
      <w:r>
        <w:rPr>
          <w:rFonts w:hint="eastAsia" w:asciiTheme="minorEastAsia" w:hAnsiTheme="minorEastAsia" w:eastAsiaTheme="minorEastAsia" w:cstheme="minorEastAsia"/>
          <w:b/>
          <w:color w:val="auto"/>
          <w:kern w:val="0"/>
          <w:sz w:val="21"/>
          <w:szCs w:val="21"/>
          <w:highlight w:val="none"/>
        </w:rPr>
        <w:t>除投标人须知前附表另有规定外，投标人所提交的电子投标文件不予退还。</w:t>
      </w:r>
    </w:p>
    <w:p w14:paraId="49EB058A">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五、开标和评标</w:t>
      </w:r>
    </w:p>
    <w:p w14:paraId="44A28D91">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23.</w:t>
      </w:r>
      <w:r>
        <w:rPr>
          <w:rFonts w:hint="eastAsia" w:asciiTheme="minorEastAsia" w:hAnsiTheme="minorEastAsia" w:eastAsiaTheme="minorEastAsia" w:cstheme="minorEastAsia"/>
          <w:b/>
          <w:color w:val="auto"/>
          <w:kern w:val="0"/>
          <w:sz w:val="21"/>
          <w:szCs w:val="21"/>
          <w:highlight w:val="none"/>
        </w:rPr>
        <w:t>开标</w:t>
      </w:r>
    </w:p>
    <w:p w14:paraId="198535B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23.1 招标人将按招标文件规定的时间和地点组织远程不见面开标。开标由代理机构主持，投标人无须到现场。评标委员会成员不得参加开标活动。</w:t>
      </w:r>
    </w:p>
    <w:p w14:paraId="3E0C2B3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23.2 招标人应当对开标、评标现场活动进行全程录音录像。录音录像应当清晰可辨，音像资料作为采购文件一并存档。</w:t>
      </w:r>
    </w:p>
    <w:p w14:paraId="007A1BB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23.3 开标时，由代理机构开通网上开标大厅及开启“群聊”等功能；投标人进行电子投标文件的解密。</w:t>
      </w:r>
    </w:p>
    <w:p w14:paraId="414C3B4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23.4 电子投标文件的解密。全流程电子化交易项目电子投标文件采用投标人一层加密。解密时由投标人进行一次解密即可。</w:t>
      </w:r>
    </w:p>
    <w:p w14:paraId="3F0CA710">
      <w:pPr>
        <w:pStyle w:val="30"/>
        <w:keepNext w:val="0"/>
        <w:keepLines w:val="0"/>
        <w:pageBreakBefore w:val="0"/>
        <w:numPr>
          <w:ilvl w:val="1"/>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23.5 </w:t>
      </w:r>
      <w:r>
        <w:rPr>
          <w:rFonts w:hint="eastAsia" w:asciiTheme="minorEastAsia" w:hAnsiTheme="minorEastAsia" w:eastAsiaTheme="minorEastAsia" w:cstheme="minorEastAsia"/>
          <w:color w:val="auto"/>
          <w:kern w:val="0"/>
          <w:sz w:val="21"/>
          <w:szCs w:val="21"/>
          <w:highlight w:val="none"/>
        </w:rPr>
        <w:t>投标人解密：投标人使用本单位CA数字证书</w:t>
      </w:r>
      <w:r>
        <w:rPr>
          <w:rFonts w:hint="eastAsia" w:asciiTheme="minorEastAsia" w:hAnsiTheme="minorEastAsia" w:eastAsiaTheme="minorEastAsia" w:cstheme="minorEastAsia"/>
          <w:color w:val="auto"/>
          <w:kern w:val="0"/>
          <w:sz w:val="21"/>
          <w:szCs w:val="21"/>
          <w:highlight w:val="none"/>
          <w:lang w:val="en-US" w:eastAsia="zh-CN"/>
        </w:rPr>
        <w:t>或CA移动数字证书</w:t>
      </w:r>
      <w:r>
        <w:rPr>
          <w:rFonts w:hint="eastAsia" w:asciiTheme="minorEastAsia" w:hAnsiTheme="minorEastAsia" w:eastAsiaTheme="minorEastAsia" w:cstheme="minorEastAsia"/>
          <w:color w:val="auto"/>
          <w:kern w:val="0"/>
          <w:sz w:val="21"/>
          <w:szCs w:val="21"/>
          <w:highlight w:val="none"/>
        </w:rPr>
        <w:t>远程进行解密。</w:t>
      </w:r>
    </w:p>
    <w:p w14:paraId="4440D2E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 xml:space="preserve">23.6 </w:t>
      </w:r>
      <w:r>
        <w:rPr>
          <w:rFonts w:hint="eastAsia" w:asciiTheme="minorEastAsia" w:hAnsiTheme="minorEastAsia" w:eastAsiaTheme="minorEastAsia" w:cstheme="minorEastAsia"/>
          <w:color w:val="auto"/>
          <w:kern w:val="0"/>
          <w:sz w:val="21"/>
          <w:szCs w:val="21"/>
          <w:highlight w:val="none"/>
        </w:rPr>
        <w:t>因投标人原因电子投标文件解密失败的，其投标将被拒绝。</w:t>
      </w:r>
    </w:p>
    <w:p w14:paraId="24000335">
      <w:pPr>
        <w:pStyle w:val="30"/>
        <w:keepNext w:val="0"/>
        <w:keepLines w:val="0"/>
        <w:pageBreakBefore w:val="0"/>
        <w:numPr>
          <w:ilvl w:val="1"/>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23.7 </w:t>
      </w:r>
      <w:r>
        <w:rPr>
          <w:rFonts w:hint="eastAsia" w:asciiTheme="minorEastAsia" w:hAnsiTheme="minorEastAsia" w:eastAsiaTheme="minorEastAsia" w:cstheme="minorEastAsia"/>
          <w:color w:val="auto"/>
          <w:kern w:val="0"/>
          <w:sz w:val="21"/>
          <w:szCs w:val="21"/>
          <w:highlight w:val="none"/>
        </w:rPr>
        <w:t>投标人不足3家的，不得开标。</w:t>
      </w:r>
    </w:p>
    <w:p w14:paraId="1A66D18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23.8 开标过程由采购代理机构负责记录，《开标记录表》经投标人进行电子签章、由参加开标相关工作人员签字确认后随采购文件一并存档。投标人未电子签章的，视同认可开标结果。</w:t>
      </w:r>
    </w:p>
    <w:p w14:paraId="4E53A07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23.9 投标人对开标过程和开标记录如有疑义，以及认为采购人、采购代理机构相关工作人员有需要回避的情形的，应在不见面开标大厅的“发起异议”功能在线提出询问或者回避申请。采购人、采购代理机构对投标人代表提出的询问或者回避申请应当及时处理。</w:t>
      </w:r>
    </w:p>
    <w:p w14:paraId="353D1869">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23.10 项目远程不见面开标活动结束时，投标人应在《开标记录表》上进行电子签章。投标人未签章的，视同认可开标结果。</w:t>
      </w:r>
    </w:p>
    <w:p w14:paraId="27EBA567">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24.</w:t>
      </w:r>
      <w:r>
        <w:rPr>
          <w:rFonts w:hint="eastAsia" w:asciiTheme="minorEastAsia" w:hAnsiTheme="minorEastAsia" w:eastAsiaTheme="minorEastAsia" w:cstheme="minorEastAsia"/>
          <w:b/>
          <w:color w:val="auto"/>
          <w:kern w:val="0"/>
          <w:sz w:val="21"/>
          <w:szCs w:val="21"/>
          <w:highlight w:val="none"/>
        </w:rPr>
        <w:t>资格审查</w:t>
      </w:r>
    </w:p>
    <w:p w14:paraId="491789A3">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开标结束后，采购人依法对投标人的资格进行审查。合格投标人不足3家的，不得评标。</w:t>
      </w:r>
    </w:p>
    <w:p w14:paraId="7BA11890">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25.</w:t>
      </w:r>
      <w:r>
        <w:rPr>
          <w:rFonts w:hint="eastAsia" w:asciiTheme="minorEastAsia" w:hAnsiTheme="minorEastAsia" w:eastAsiaTheme="minorEastAsia" w:cstheme="minorEastAsia"/>
          <w:b/>
          <w:color w:val="auto"/>
          <w:kern w:val="0"/>
          <w:sz w:val="21"/>
          <w:szCs w:val="21"/>
          <w:highlight w:val="none"/>
        </w:rPr>
        <w:t>评标委员会的组成</w:t>
      </w:r>
    </w:p>
    <w:p w14:paraId="1915966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25.1 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7D1F162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25.1.1 招标人将依法组建评标委员会，评标委员会由评审专家组成，成员人数应当为5人以上单 数。评审专家依法从政府采购评审专家库中随机抽取。</w:t>
      </w:r>
    </w:p>
    <w:p w14:paraId="22B99C3B">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25.1.2</w:t>
      </w:r>
      <w:r>
        <w:rPr>
          <w:rFonts w:hint="eastAsia" w:asciiTheme="minorEastAsia" w:hAnsiTheme="minorEastAsia" w:eastAsiaTheme="minorEastAsia" w:cstheme="minorEastAsia"/>
          <w:color w:val="auto"/>
          <w:kern w:val="0"/>
          <w:sz w:val="21"/>
          <w:szCs w:val="21"/>
          <w:highlight w:val="none"/>
        </w:rPr>
        <w:t>采购项目符合下列情形之一的，评标委员会成员人数应当为7人以上单数：</w:t>
      </w:r>
    </w:p>
    <w:p w14:paraId="7B78FB46">
      <w:pPr>
        <w:pStyle w:val="30"/>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lang w:val="en-US" w:eastAsia="zh-CN"/>
        </w:rPr>
        <w:t>一</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 xml:space="preserve"> 采购预算金额在1000万元以上；</w:t>
      </w:r>
    </w:p>
    <w:p w14:paraId="5B5A9B14">
      <w:pPr>
        <w:pStyle w:val="30"/>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（二）</w:t>
      </w:r>
      <w:r>
        <w:rPr>
          <w:rFonts w:hint="eastAsia" w:asciiTheme="minorEastAsia" w:hAnsiTheme="minorEastAsia" w:eastAsiaTheme="minorEastAsia" w:cstheme="minorEastAsia"/>
          <w:color w:val="auto"/>
          <w:kern w:val="0"/>
          <w:sz w:val="21"/>
          <w:szCs w:val="21"/>
          <w:highlight w:val="none"/>
        </w:rPr>
        <w:t xml:space="preserve"> 技术复杂；</w:t>
      </w:r>
    </w:p>
    <w:p w14:paraId="26CF8A40">
      <w:pPr>
        <w:pStyle w:val="30"/>
        <w:keepNext w:val="0"/>
        <w:keepLines w:val="0"/>
        <w:pageBreakBefore w:val="0"/>
        <w:numPr>
          <w:ilvl w:val="0"/>
          <w:numId w:val="0"/>
        </w:numPr>
        <w:kinsoku/>
        <w:overflowPunct/>
        <w:autoSpaceDE w:val="0"/>
        <w:autoSpaceDN w:val="0"/>
        <w:bidi w:val="0"/>
        <w:snapToGrid/>
        <w:spacing w:line="460" w:lineRule="exact"/>
        <w:ind w:left="1839" w:leftChars="200" w:hanging="1419" w:hangingChars="676"/>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（三）</w:t>
      </w:r>
      <w:r>
        <w:rPr>
          <w:rFonts w:hint="eastAsia" w:asciiTheme="minorEastAsia" w:hAnsiTheme="minorEastAsia" w:eastAsiaTheme="minorEastAsia" w:cstheme="minorEastAsia"/>
          <w:color w:val="auto"/>
          <w:kern w:val="0"/>
          <w:sz w:val="21"/>
          <w:szCs w:val="21"/>
          <w:highlight w:val="none"/>
        </w:rPr>
        <w:t xml:space="preserve"> 社会影响较大。</w:t>
      </w:r>
    </w:p>
    <w:p w14:paraId="2C3A56F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25.2 评审专家对本单位的采购项目只能作为采购人代表参与评标。采购代理机构工作人员不得参加由本机构代理的政府采购项目的评标。</w:t>
      </w:r>
    </w:p>
    <w:p w14:paraId="6C788E35">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25.3 </w:t>
      </w:r>
      <w:r>
        <w:rPr>
          <w:rFonts w:hint="eastAsia" w:asciiTheme="minorEastAsia" w:hAnsiTheme="minorEastAsia" w:eastAsiaTheme="minorEastAsia" w:cstheme="minorEastAsia"/>
          <w:color w:val="auto"/>
          <w:kern w:val="0"/>
          <w:sz w:val="21"/>
          <w:szCs w:val="21"/>
          <w:highlight w:val="none"/>
        </w:rPr>
        <w:t>评审专家与投标人存在下列利害关系之一的</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应当回避</w:t>
      </w:r>
      <w:r>
        <w:rPr>
          <w:rFonts w:hint="eastAsia" w:asciiTheme="minorEastAsia" w:hAnsiTheme="minorEastAsia" w:eastAsiaTheme="minorEastAsia" w:cstheme="minorEastAsia"/>
          <w:color w:val="auto"/>
          <w:kern w:val="0"/>
          <w:sz w:val="21"/>
          <w:szCs w:val="21"/>
          <w:highlight w:val="none"/>
          <w:lang w:eastAsia="zh-CN"/>
        </w:rPr>
        <w:t>：</w:t>
      </w:r>
    </w:p>
    <w:p w14:paraId="6EAAD86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（一）参加采购活动前三年内，与供应商存在劳动关系，或者担任过供应商的董事、监事，或者是供应商的控股股东或实际控制人；</w:t>
      </w:r>
    </w:p>
    <w:p w14:paraId="464F14A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（二）与供应商的法定代表人或者负责人有夫妻、直系血亲、三代以内旁系血亲或者近姻亲关系；</w:t>
      </w:r>
    </w:p>
    <w:p w14:paraId="184030F7">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（三）</w:t>
      </w:r>
      <w:r>
        <w:rPr>
          <w:rFonts w:hint="eastAsia" w:asciiTheme="minorEastAsia" w:hAnsiTheme="minorEastAsia" w:eastAsiaTheme="minorEastAsia" w:cstheme="minorEastAsia"/>
          <w:color w:val="auto"/>
          <w:kern w:val="0"/>
          <w:sz w:val="21"/>
          <w:szCs w:val="21"/>
          <w:highlight w:val="none"/>
        </w:rPr>
        <w:t>与供应商有其他可能影响政府采购活动公平、公正进行的关系。</w:t>
      </w:r>
    </w:p>
    <w:p w14:paraId="5963A8A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25.4 评审专家发现本人与参加采购活动的供应商有利害关系的，应当主动提出回避。采购人或者代理机构发现评审专家与参加采购活动的供应商有利害关系的，应当要求其回避。</w:t>
      </w:r>
    </w:p>
    <w:p w14:paraId="563E4C34">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25.5 </w:t>
      </w:r>
      <w:r>
        <w:rPr>
          <w:rFonts w:hint="eastAsia" w:asciiTheme="minorEastAsia" w:hAnsiTheme="minorEastAsia" w:eastAsiaTheme="minorEastAsia" w:cstheme="minorEastAsia"/>
          <w:color w:val="auto"/>
          <w:kern w:val="0"/>
          <w:sz w:val="21"/>
          <w:szCs w:val="21"/>
          <w:highlight w:val="none"/>
        </w:rPr>
        <w:t>采购人不得担任评标小组长。</w:t>
      </w:r>
    </w:p>
    <w:p w14:paraId="4683F0E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25.6 采购人可以在评标前说明项目背景和采购需求，说明内容不得含有歧视性、倾向性意见，不得超出招标文件所述范围。说明应当提交书面材料，并随采购文件一并存档。</w:t>
      </w:r>
    </w:p>
    <w:p w14:paraId="72EA0917">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25.7 </w:t>
      </w:r>
      <w:r>
        <w:rPr>
          <w:rFonts w:hint="eastAsia" w:asciiTheme="minorEastAsia" w:hAnsiTheme="minorEastAsia" w:eastAsiaTheme="minorEastAsia" w:cstheme="minorEastAsia"/>
          <w:color w:val="auto"/>
          <w:kern w:val="0"/>
          <w:sz w:val="21"/>
          <w:szCs w:val="21"/>
          <w:highlight w:val="none"/>
        </w:rPr>
        <w:t>评标委员会成员名单在评标结果公告前应当保密。</w:t>
      </w:r>
    </w:p>
    <w:p w14:paraId="64FB1288">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26.</w:t>
      </w:r>
      <w:r>
        <w:rPr>
          <w:rFonts w:hint="eastAsia" w:asciiTheme="minorEastAsia" w:hAnsiTheme="minorEastAsia" w:eastAsiaTheme="minorEastAsia" w:cstheme="minorEastAsia"/>
          <w:b/>
          <w:color w:val="auto"/>
          <w:kern w:val="0"/>
          <w:sz w:val="21"/>
          <w:szCs w:val="21"/>
          <w:highlight w:val="none"/>
        </w:rPr>
        <w:t>符合性审查</w:t>
      </w:r>
    </w:p>
    <w:p w14:paraId="416E073A">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26.1 评标委员会依据有关法律法规和招标文件的规定，对符合资格的投标人的投标文件进行符合性审查，以确定其是否满足招标文件的实质性要求。</w:t>
      </w:r>
    </w:p>
    <w:p w14:paraId="633654CB">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26.2 </w:t>
      </w:r>
      <w:r>
        <w:rPr>
          <w:rFonts w:hint="eastAsia" w:asciiTheme="minorEastAsia" w:hAnsiTheme="minorEastAsia" w:eastAsiaTheme="minorEastAsia" w:cstheme="minorEastAsia"/>
          <w:color w:val="auto"/>
          <w:kern w:val="0"/>
          <w:sz w:val="21"/>
          <w:szCs w:val="21"/>
          <w:highlight w:val="none"/>
        </w:rPr>
        <w:t>审查、评价投标文件是否符合招标文件的商务、技术等实质性要求。</w:t>
      </w:r>
    </w:p>
    <w:p w14:paraId="4E2D76FE">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26.3 </w:t>
      </w:r>
      <w:r>
        <w:rPr>
          <w:rFonts w:hint="eastAsia" w:asciiTheme="minorEastAsia" w:hAnsiTheme="minorEastAsia" w:eastAsiaTheme="minorEastAsia" w:cstheme="minorEastAsia"/>
          <w:color w:val="auto"/>
          <w:kern w:val="0"/>
          <w:sz w:val="21"/>
          <w:szCs w:val="21"/>
          <w:highlight w:val="none"/>
        </w:rPr>
        <w:t>可要求投标人对投标文件有关事项作出澄清或者说明。</w:t>
      </w:r>
    </w:p>
    <w:p w14:paraId="668C29A2">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 xml:space="preserve">27. </w:t>
      </w:r>
      <w:r>
        <w:rPr>
          <w:rFonts w:hint="eastAsia" w:asciiTheme="minorEastAsia" w:hAnsiTheme="minorEastAsia" w:eastAsiaTheme="minorEastAsia" w:cstheme="minorEastAsia"/>
          <w:b/>
          <w:color w:val="auto"/>
          <w:kern w:val="0"/>
          <w:sz w:val="21"/>
          <w:szCs w:val="21"/>
          <w:highlight w:val="none"/>
        </w:rPr>
        <w:t>投标文件的澄清</w:t>
      </w:r>
    </w:p>
    <w:p w14:paraId="329BF5D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27.1 对于投标文件中含义不明确、同类问题表述不一致或者有明显文字和计算错误的内容，评标委员会应当以书面形式要求投标人作出必要的澄清、说明或者补正。</w:t>
      </w:r>
    </w:p>
    <w:p w14:paraId="63EC659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27.2 投标人的澄清、说明或者补正应当采用书面形式，并加盖公章，或者由法定代表人或其授权的代表签字。投标人的澄清、说明或者补正不得超出投标文件的范围或者改变投标文件的实质性内容。</w:t>
      </w:r>
    </w:p>
    <w:p w14:paraId="08A1C7B8">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27.3 </w:t>
      </w:r>
      <w:r>
        <w:rPr>
          <w:rFonts w:hint="eastAsia" w:asciiTheme="minorEastAsia" w:hAnsiTheme="minorEastAsia" w:eastAsiaTheme="minorEastAsia" w:cstheme="minorEastAsia"/>
          <w:color w:val="auto"/>
          <w:kern w:val="0"/>
          <w:sz w:val="21"/>
          <w:szCs w:val="21"/>
          <w:highlight w:val="none"/>
        </w:rPr>
        <w:t>投标人的澄清文件是其投标文件的组成部分。</w:t>
      </w:r>
    </w:p>
    <w:p w14:paraId="25F0ED71">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28.投标价格的审查</w:t>
      </w:r>
    </w:p>
    <w:p w14:paraId="04E55F8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 投标文件报价出现前后不一致的修正</w:t>
      </w:r>
    </w:p>
    <w:p w14:paraId="4D5DC17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28.1.1 投标文件中开标一览表（报价表）内容与投标文件中相应内容不一致的，以开标一览表（报价表）为准；</w:t>
      </w:r>
    </w:p>
    <w:p w14:paraId="69825AD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28.1.2 大写金额和小写金额不一致的，以大写金额为准；</w:t>
      </w:r>
    </w:p>
    <w:p w14:paraId="7667859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28.1.3 单价金额小数点或者百分比有明显错位的，以开标一览表的总价为准，并修改单价；</w:t>
      </w:r>
    </w:p>
    <w:p w14:paraId="32332852">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28.1.4 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2D624A5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28.2 异常低价审查。 </w:t>
      </w:r>
    </w:p>
    <w:p w14:paraId="4B8A190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28.2.1 评审中出现下列情形之一的，评标委员会应当启动异常低价投标审查程序：</w:t>
      </w:r>
    </w:p>
    <w:p w14:paraId="5E71892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w:t>
      </w:r>
      <w:r>
        <w:rPr>
          <w:rFonts w:hint="eastAsia" w:asciiTheme="minorEastAsia" w:hAnsiTheme="minorEastAsia" w:cstheme="minorEastAsia"/>
          <w:color w:val="auto"/>
          <w:kern w:val="0"/>
          <w:sz w:val="21"/>
          <w:szCs w:val="21"/>
          <w:highlight w:val="none"/>
          <w:lang w:val="en-US" w:eastAsia="zh-CN"/>
        </w:rPr>
        <w:t xml:space="preserve"> </w:t>
      </w:r>
      <w:r>
        <w:rPr>
          <w:rFonts w:hint="eastAsia" w:asciiTheme="minorEastAsia" w:hAnsiTheme="minorEastAsia" w:eastAsiaTheme="minorEastAsia" w:cstheme="minorEastAsia"/>
          <w:color w:val="auto"/>
          <w:kern w:val="0"/>
          <w:sz w:val="21"/>
          <w:szCs w:val="21"/>
          <w:highlight w:val="none"/>
          <w:lang w:val="en-US" w:eastAsia="zh-CN"/>
        </w:rPr>
        <w:t>（1）投标报价低于全部通过符合性审查供应商投标报价平均值50%的，即投标报价〈全部通过符合性审查</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投标报价平均值×50%；</w:t>
      </w:r>
    </w:p>
    <w:p w14:paraId="48EBCE78">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w:t>
      </w:r>
      <w:r>
        <w:rPr>
          <w:rFonts w:hint="eastAsia" w:asciiTheme="minorEastAsia" w:hAnsiTheme="minorEastAsia" w:cstheme="minorEastAsia"/>
          <w:color w:val="auto"/>
          <w:kern w:val="0"/>
          <w:sz w:val="21"/>
          <w:szCs w:val="21"/>
          <w:highlight w:val="none"/>
          <w:lang w:val="en-US" w:eastAsia="zh-CN"/>
        </w:rPr>
        <w:t xml:space="preserve"> </w:t>
      </w:r>
      <w:r>
        <w:rPr>
          <w:rFonts w:hint="eastAsia" w:asciiTheme="minorEastAsia" w:hAnsiTheme="minorEastAsia" w:eastAsiaTheme="minorEastAsia" w:cstheme="minorEastAsia"/>
          <w:color w:val="auto"/>
          <w:kern w:val="0"/>
          <w:sz w:val="21"/>
          <w:szCs w:val="21"/>
          <w:highlight w:val="none"/>
          <w:lang w:val="en-US" w:eastAsia="zh-CN"/>
        </w:rPr>
        <w:t>（2）投标报价低于通过符合性审查的次低报价供应商投标报价50%的，即投标报价〈通过符合性审查的次低报价</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投标报价×50%；</w:t>
      </w:r>
    </w:p>
    <w:p w14:paraId="156EF4F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w:t>
      </w:r>
      <w:r>
        <w:rPr>
          <w:rFonts w:hint="eastAsia" w:asciiTheme="minorEastAsia" w:hAnsiTheme="minorEastAsia" w:cstheme="minorEastAsia"/>
          <w:color w:val="auto"/>
          <w:kern w:val="0"/>
          <w:sz w:val="21"/>
          <w:szCs w:val="21"/>
          <w:highlight w:val="none"/>
          <w:lang w:val="en-US" w:eastAsia="zh-CN"/>
        </w:rPr>
        <w:t xml:space="preserve"> </w:t>
      </w:r>
      <w:r>
        <w:rPr>
          <w:rFonts w:hint="eastAsia" w:asciiTheme="minorEastAsia" w:hAnsiTheme="minorEastAsia" w:eastAsiaTheme="minorEastAsia" w:cstheme="minorEastAsia"/>
          <w:color w:val="auto"/>
          <w:kern w:val="0"/>
          <w:sz w:val="21"/>
          <w:szCs w:val="21"/>
          <w:highlight w:val="none"/>
          <w:lang w:val="en-US" w:eastAsia="zh-CN"/>
        </w:rPr>
        <w:t xml:space="preserve">（3）投标报价低于采购项目最高限价45%的，即投标报价〈采购项目最高限价×45%； </w:t>
      </w:r>
    </w:p>
    <w:p w14:paraId="4128C088">
      <w:pPr>
        <w:pStyle w:val="30"/>
        <w:keepNext w:val="0"/>
        <w:keepLines w:val="0"/>
        <w:pageBreakBefore w:val="0"/>
        <w:numPr>
          <w:ilvl w:val="0"/>
          <w:numId w:val="0"/>
        </w:numPr>
        <w:kinsoku/>
        <w:overflowPunct/>
        <w:autoSpaceDE w:val="0"/>
        <w:autoSpaceDN w:val="0"/>
        <w:bidi w:val="0"/>
        <w:snapToGrid/>
        <w:spacing w:line="460" w:lineRule="exact"/>
        <w:ind w:firstLine="630" w:firstLineChars="3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（4）评标委员会基于专业判断，认为</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报价过低，有可能影响产品质量或者不能诚信履约的其他情形。</w:t>
      </w:r>
    </w:p>
    <w:p w14:paraId="25B94F50">
      <w:pPr>
        <w:pStyle w:val="30"/>
        <w:keepNext w:val="0"/>
        <w:keepLines w:val="0"/>
        <w:pageBreakBefore w:val="0"/>
        <w:numPr>
          <w:ilvl w:val="0"/>
          <w:numId w:val="0"/>
        </w:numPr>
        <w:kinsoku/>
        <w:overflowPunct/>
        <w:autoSpaceDE w:val="0"/>
        <w:autoSpaceDN w:val="0"/>
        <w:bidi w:val="0"/>
        <w:snapToGrid/>
        <w:spacing w:line="460" w:lineRule="exact"/>
        <w:ind w:leftChars="0" w:firstLine="630" w:firstLineChars="3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（5）相关法律法规对</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报价有规定的，从其规定。</w:t>
      </w:r>
    </w:p>
    <w:p w14:paraId="0F5D036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28.2.2 评标委员会启动异常低价投标审查后，属于前述第1项至第4项情形的，应当要求相关</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在评审现场规定时间内（给予</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的时间不少于</w:t>
      </w:r>
      <w:r>
        <w:rPr>
          <w:rFonts w:hint="eastAsia" w:asciiTheme="minorEastAsia" w:hAnsiTheme="minorEastAsia" w:cstheme="minorEastAsia"/>
          <w:color w:val="auto"/>
          <w:kern w:val="0"/>
          <w:sz w:val="21"/>
          <w:szCs w:val="21"/>
          <w:highlight w:val="none"/>
          <w:lang w:val="en-US" w:eastAsia="zh-CN"/>
        </w:rPr>
        <w:t>60</w:t>
      </w:r>
      <w:r>
        <w:rPr>
          <w:rFonts w:hint="eastAsia" w:asciiTheme="minorEastAsia" w:hAnsiTheme="minorEastAsia" w:eastAsiaTheme="minorEastAsia" w:cstheme="minorEastAsia"/>
          <w:color w:val="auto"/>
          <w:kern w:val="0"/>
          <w:sz w:val="21"/>
          <w:szCs w:val="21"/>
          <w:highlight w:val="none"/>
          <w:lang w:val="en-US" w:eastAsia="zh-CN"/>
        </w:rPr>
        <w:t>分钟）对投标价格作出解释，提供项目具体成本测算等与报价合理性相关的书面说明及必要的证明材料，包括但不限于原材料成本、人工成本、制造费用等。其中，属于第3项情形，</w:t>
      </w:r>
      <w:r>
        <w:rPr>
          <w:rFonts w:hint="eastAsia" w:asciiTheme="minorEastAsia" w:hAnsiTheme="minorEastAsia" w:cstheme="minorEastAsia"/>
          <w:color w:val="auto"/>
          <w:kern w:val="0"/>
          <w:sz w:val="21"/>
          <w:szCs w:val="21"/>
          <w:highlight w:val="none"/>
          <w:lang w:val="en-US" w:eastAsia="zh-CN"/>
        </w:rPr>
        <w:t>投标人</w:t>
      </w:r>
      <w:r>
        <w:rPr>
          <w:rFonts w:hint="eastAsia" w:asciiTheme="minorEastAsia" w:hAnsiTheme="minorEastAsia" w:eastAsiaTheme="minorEastAsia" w:cstheme="minorEastAsia"/>
          <w:color w:val="auto"/>
          <w:kern w:val="0"/>
          <w:sz w:val="21"/>
          <w:szCs w:val="21"/>
          <w:highlight w:val="none"/>
          <w:lang w:val="en-US" w:eastAsia="zh-CN"/>
        </w:rPr>
        <w:t>已随投标文件一并提交相关书面说明及必要的 证明材料的，在评审现场可不再重复提交。</w:t>
      </w:r>
    </w:p>
    <w:p w14:paraId="344B13A5">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 28.2.3 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1C70E0BF">
      <w:pPr>
        <w:pStyle w:val="30"/>
        <w:keepNext w:val="0"/>
        <w:keepLines w:val="0"/>
        <w:pageBreakBefore w:val="0"/>
        <w:numPr>
          <w:ilvl w:val="0"/>
          <w:numId w:val="5"/>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投标无效情形</w:t>
      </w:r>
    </w:p>
    <w:p w14:paraId="7D52A200">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29.1 </w:t>
      </w:r>
      <w:r>
        <w:rPr>
          <w:rFonts w:hint="eastAsia" w:asciiTheme="minorEastAsia" w:hAnsiTheme="minorEastAsia" w:eastAsiaTheme="minorEastAsia" w:cstheme="minorEastAsia"/>
          <w:color w:val="auto"/>
          <w:kern w:val="0"/>
          <w:sz w:val="21"/>
          <w:szCs w:val="21"/>
          <w:highlight w:val="none"/>
        </w:rPr>
        <w:t>投标文件属下列情况之一的，按照无效投标处理：</w:t>
      </w:r>
    </w:p>
    <w:p w14:paraId="0FC8439A">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29.1.1</w:t>
      </w:r>
      <w:r>
        <w:rPr>
          <w:rFonts w:hint="eastAsia" w:asciiTheme="minorEastAsia" w:hAnsiTheme="minorEastAsia" w:eastAsiaTheme="minorEastAsia" w:cstheme="minorEastAsia"/>
          <w:color w:val="auto"/>
          <w:kern w:val="0"/>
          <w:sz w:val="21"/>
          <w:szCs w:val="21"/>
          <w:highlight w:val="none"/>
        </w:rPr>
        <w:t>未按照招标文件的规定提交《禹州市政府采购供应商信用承诺函》的；</w:t>
      </w:r>
    </w:p>
    <w:p w14:paraId="76D14427">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29.1.2</w:t>
      </w:r>
      <w:r>
        <w:rPr>
          <w:rFonts w:hint="eastAsia" w:asciiTheme="minorEastAsia" w:hAnsiTheme="minorEastAsia" w:eastAsiaTheme="minorEastAsia" w:cstheme="minorEastAsia"/>
          <w:color w:val="auto"/>
          <w:kern w:val="0"/>
          <w:sz w:val="21"/>
          <w:szCs w:val="21"/>
          <w:highlight w:val="none"/>
        </w:rPr>
        <w:t>未按照招标文件的规定提交投标承诺函的；</w:t>
      </w:r>
    </w:p>
    <w:p w14:paraId="0C36C798">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29.1.3</w:t>
      </w:r>
      <w:r>
        <w:rPr>
          <w:rFonts w:hint="eastAsia" w:asciiTheme="minorEastAsia" w:hAnsiTheme="minorEastAsia" w:eastAsiaTheme="minorEastAsia" w:cstheme="minorEastAsia"/>
          <w:color w:val="auto"/>
          <w:kern w:val="0"/>
          <w:sz w:val="21"/>
          <w:szCs w:val="21"/>
          <w:highlight w:val="none"/>
        </w:rPr>
        <w:t>投标文件未按招标文件要求签署、盖章的；</w:t>
      </w:r>
    </w:p>
    <w:p w14:paraId="73D1C2B4">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29.1.4</w:t>
      </w:r>
      <w:r>
        <w:rPr>
          <w:rFonts w:hint="eastAsia" w:asciiTheme="minorEastAsia" w:hAnsiTheme="minorEastAsia" w:eastAsiaTheme="minorEastAsia" w:cstheme="minorEastAsia"/>
          <w:color w:val="auto"/>
          <w:kern w:val="0"/>
          <w:sz w:val="21"/>
          <w:szCs w:val="21"/>
          <w:highlight w:val="none"/>
        </w:rPr>
        <w:t>报价超过招标文件中规定的预算金额或者最高限价的；</w:t>
      </w:r>
    </w:p>
    <w:p w14:paraId="328952E0">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29.1.5</w:t>
      </w:r>
      <w:r>
        <w:rPr>
          <w:rFonts w:hint="eastAsia" w:asciiTheme="minorEastAsia" w:hAnsiTheme="minorEastAsia" w:eastAsiaTheme="minorEastAsia" w:cstheme="minorEastAsia"/>
          <w:color w:val="auto"/>
          <w:kern w:val="0"/>
          <w:sz w:val="21"/>
          <w:szCs w:val="21"/>
          <w:highlight w:val="none"/>
        </w:rPr>
        <w:t>投标文件含有采购人不能接受的附加条件的。</w:t>
      </w:r>
    </w:p>
    <w:p w14:paraId="0EDAC67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29.2根据《河南省财政厅关于防范供应商串通投标促进政府采购公平竞争的通知》（豫财购﹝2021﹞6号）要求，参与同一个标段的供应商存在下列情形之一的，其投标文件无效：</w:t>
      </w:r>
    </w:p>
    <w:p w14:paraId="4E7A36CD">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29.2.1不同供应商的电子投标文件上传计算机的网卡MAC地址、CPU序列号和硬盘序列号等硬件信息相同的；</w:t>
      </w:r>
    </w:p>
    <w:p w14:paraId="4FAB679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29.2.2不同供应商的投标文件由同一电子设备编制、打印加密或者上传；</w:t>
      </w:r>
    </w:p>
    <w:p w14:paraId="108A0AEB">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29.2.3不同供应商的投标文件由同一电子设备打印、复印；</w:t>
      </w:r>
    </w:p>
    <w:p w14:paraId="35EEA05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29.2.4不同供应商的投标文件由同一人送达或者分发，或者不同供应商联系人为同一人或不同联系人的联系电话一致的；</w:t>
      </w:r>
    </w:p>
    <w:p w14:paraId="31252233">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29.2.5不同供应商的投标文件的内容存在两处以上细节错误一致；</w:t>
      </w:r>
    </w:p>
    <w:p w14:paraId="4453A32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29.2.6不同供应商的法定代表人、委托代理人、项目经理、项目负责人等由同一个单位缴纳社会保险或者领取报酬的；</w:t>
      </w:r>
    </w:p>
    <w:p w14:paraId="2636741E">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29.2.7</w:t>
      </w:r>
      <w:r>
        <w:rPr>
          <w:rFonts w:hint="eastAsia" w:asciiTheme="minorEastAsia" w:hAnsiTheme="minorEastAsia" w:eastAsiaTheme="minorEastAsia" w:cstheme="minorEastAsia"/>
          <w:color w:val="auto"/>
          <w:kern w:val="0"/>
          <w:sz w:val="21"/>
          <w:szCs w:val="21"/>
          <w:highlight w:val="none"/>
        </w:rPr>
        <w:t>不同供应商投标文件中法定代表人或者负责人签字出自同一人之手；</w:t>
      </w:r>
    </w:p>
    <w:p w14:paraId="3AC7894F">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29.2.8其他</w:t>
      </w:r>
      <w:r>
        <w:rPr>
          <w:rFonts w:hint="eastAsia" w:asciiTheme="minorEastAsia" w:hAnsiTheme="minorEastAsia" w:eastAsiaTheme="minorEastAsia" w:cstheme="minorEastAsia"/>
          <w:color w:val="auto"/>
          <w:kern w:val="0"/>
          <w:sz w:val="21"/>
          <w:szCs w:val="21"/>
          <w:highlight w:val="none"/>
        </w:rPr>
        <w:t>涉嫌串通的情形。</w:t>
      </w:r>
    </w:p>
    <w:p w14:paraId="6ADBC1DE">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w:t>
      </w:r>
      <w:r>
        <w:rPr>
          <w:rFonts w:hint="eastAsia" w:asciiTheme="minorEastAsia" w:hAnsiTheme="minorEastAsia" w:eastAsiaTheme="minorEastAsia" w:cstheme="minorEastAsia"/>
          <w:color w:val="auto"/>
          <w:kern w:val="0"/>
          <w:sz w:val="21"/>
          <w:szCs w:val="21"/>
          <w:highlight w:val="none"/>
        </w:rPr>
        <w:t>有下列情形之一的，视为投标人串通投标，其投标无效：</w:t>
      </w:r>
    </w:p>
    <w:p w14:paraId="68416FCD">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29.3.1</w:t>
      </w:r>
      <w:r>
        <w:rPr>
          <w:rFonts w:hint="eastAsia" w:asciiTheme="minorEastAsia" w:hAnsiTheme="minorEastAsia" w:eastAsiaTheme="minorEastAsia" w:cstheme="minorEastAsia"/>
          <w:color w:val="auto"/>
          <w:kern w:val="0"/>
          <w:sz w:val="21"/>
          <w:szCs w:val="21"/>
          <w:highlight w:val="none"/>
        </w:rPr>
        <w:t>不同投标人的投标文件由同一单位或者个人编制；</w:t>
      </w:r>
    </w:p>
    <w:p w14:paraId="445730F5">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29.3.2</w:t>
      </w:r>
      <w:r>
        <w:rPr>
          <w:rFonts w:hint="eastAsia" w:asciiTheme="minorEastAsia" w:hAnsiTheme="minorEastAsia" w:eastAsiaTheme="minorEastAsia" w:cstheme="minorEastAsia"/>
          <w:color w:val="auto"/>
          <w:kern w:val="0"/>
          <w:sz w:val="21"/>
          <w:szCs w:val="21"/>
          <w:highlight w:val="none"/>
        </w:rPr>
        <w:t>不同投标人委托同一单位或者个人办理投标事宜；</w:t>
      </w:r>
    </w:p>
    <w:p w14:paraId="7294F89E">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29.3.3</w:t>
      </w:r>
      <w:r>
        <w:rPr>
          <w:rFonts w:hint="eastAsia" w:asciiTheme="minorEastAsia" w:hAnsiTheme="minorEastAsia" w:eastAsiaTheme="minorEastAsia" w:cstheme="minorEastAsia"/>
          <w:color w:val="auto"/>
          <w:kern w:val="0"/>
          <w:sz w:val="21"/>
          <w:szCs w:val="21"/>
          <w:highlight w:val="none"/>
        </w:rPr>
        <w:t>不同投标人的投标文件载明的项目管理成员或者联系人员为同一人；</w:t>
      </w:r>
    </w:p>
    <w:p w14:paraId="08E204DD">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29.3.4</w:t>
      </w:r>
      <w:r>
        <w:rPr>
          <w:rFonts w:hint="eastAsia" w:asciiTheme="minorEastAsia" w:hAnsiTheme="minorEastAsia" w:eastAsiaTheme="minorEastAsia" w:cstheme="minorEastAsia"/>
          <w:color w:val="auto"/>
          <w:kern w:val="0"/>
          <w:sz w:val="21"/>
          <w:szCs w:val="21"/>
          <w:highlight w:val="none"/>
        </w:rPr>
        <w:t>不同投标人的投标文件异常一致或者投标报价呈规律性差异；</w:t>
      </w:r>
    </w:p>
    <w:p w14:paraId="5AA12C84">
      <w:pPr>
        <w:pStyle w:val="30"/>
        <w:keepNext w:val="0"/>
        <w:keepLines w:val="0"/>
        <w:pageBreakBefore w:val="0"/>
        <w:numPr>
          <w:ilvl w:val="0"/>
          <w:numId w:val="0"/>
        </w:numPr>
        <w:kinsoku/>
        <w:overflowPunct/>
        <w:autoSpaceDE w:val="0"/>
        <w:autoSpaceDN w:val="0"/>
        <w:bidi w:val="0"/>
        <w:snapToGrid/>
        <w:spacing w:line="460" w:lineRule="exact"/>
        <w:ind w:left="1379" w:leftChars="200" w:hanging="959" w:hangingChars="457"/>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29.3.5</w:t>
      </w:r>
      <w:r>
        <w:rPr>
          <w:rFonts w:hint="eastAsia" w:asciiTheme="minorEastAsia" w:hAnsiTheme="minorEastAsia" w:eastAsiaTheme="minorEastAsia" w:cstheme="minorEastAsia"/>
          <w:color w:val="auto"/>
          <w:kern w:val="0"/>
          <w:sz w:val="21"/>
          <w:szCs w:val="21"/>
          <w:highlight w:val="none"/>
        </w:rPr>
        <w:t>不同投标人的投标文件相互混装。</w:t>
      </w:r>
    </w:p>
    <w:p w14:paraId="16A184BF">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29.4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89D17EC">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29.5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2B77AB0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29.6评标委员会启动异常低价投标审查后，要求相关供应商在规定时间内对投标价格作出解释、提供证明材料，投标供应商未在规定时间内提供书面说明、证明材料，或者提供的书面说明、证明材料不能证明其报价合理性的，评标委员会应当将其作为无效投标处理。</w:t>
      </w:r>
    </w:p>
    <w:p w14:paraId="5D8293F7">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29.7按照《关于推进全流程电子化交易和在线监管工作有关问题的通知》（许公管办〔2019〕3号）规定，不同投标人电子投标文件记录的网卡MAC地址、CPU序号、硬盘序列号等硬件特征码均相同时，视为‘不同投标人的投标文件由同一单位或者个人编制’或‘不同投标人委托同一单位或者个人办理响应事宜’，其投标无效。</w:t>
      </w:r>
    </w:p>
    <w:p w14:paraId="06ADCEA6">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29.8法律法规和招标文件规定的其他无效情形。</w:t>
      </w:r>
    </w:p>
    <w:p w14:paraId="41105D47">
      <w:pPr>
        <w:pStyle w:val="30"/>
        <w:keepNext w:val="0"/>
        <w:keepLines w:val="0"/>
        <w:pageBreakBefore w:val="0"/>
        <w:numPr>
          <w:ilvl w:val="0"/>
          <w:numId w:val="5"/>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相同品牌投标人的认定</w:t>
      </w:r>
      <w:r>
        <w:rPr>
          <w:rFonts w:hint="eastAsia" w:asciiTheme="minorEastAsia" w:hAnsiTheme="minorEastAsia" w:eastAsiaTheme="minorEastAsia" w:cstheme="minorEastAsia"/>
          <w:b/>
          <w:bCs/>
          <w:color w:val="auto"/>
          <w:sz w:val="21"/>
          <w:szCs w:val="21"/>
          <w:highlight w:val="none"/>
          <w:lang w:val="zh-CN"/>
        </w:rPr>
        <w:t>（服务类项目不适用本条款规定）</w:t>
      </w:r>
    </w:p>
    <w:p w14:paraId="31747494">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30.1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19CA3F1E">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30.2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0106615">
      <w:pPr>
        <w:pStyle w:val="30"/>
        <w:keepNext w:val="0"/>
        <w:keepLines w:val="0"/>
        <w:pageBreakBefore w:val="0"/>
        <w:numPr>
          <w:ilvl w:val="0"/>
          <w:numId w:val="0"/>
        </w:numPr>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rPr>
        <w:t>31.</w:t>
      </w:r>
      <w:r>
        <w:rPr>
          <w:rFonts w:hint="eastAsia" w:asciiTheme="minorEastAsia" w:hAnsiTheme="minorEastAsia" w:eastAsiaTheme="minorEastAsia" w:cstheme="minorEastAsia"/>
          <w:b/>
          <w:color w:val="auto"/>
          <w:kern w:val="0"/>
          <w:sz w:val="21"/>
          <w:szCs w:val="21"/>
          <w:highlight w:val="none"/>
        </w:rPr>
        <w:t>投标文件的比较与评价</w:t>
      </w:r>
    </w:p>
    <w:p w14:paraId="57108771">
      <w:pPr>
        <w:pStyle w:val="30"/>
        <w:keepNext w:val="0"/>
        <w:keepLines w:val="0"/>
        <w:pageBreakBefore w:val="0"/>
        <w:numPr>
          <w:ilvl w:val="0"/>
          <w:numId w:val="0"/>
        </w:numPr>
        <w:kinsoku/>
        <w:overflowPunct/>
        <w:autoSpaceDE w:val="0"/>
        <w:autoSpaceDN w:val="0"/>
        <w:bidi w:val="0"/>
        <w:snapToGrid/>
        <w:spacing w:line="460" w:lineRule="exact"/>
        <w:ind w:leftChars="0"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评标委员会按照招标文件中规定的评标方法和标准，对符合性审查合格的投标文件进行商务和技术评估，综合比较与评价。</w:t>
      </w:r>
    </w:p>
    <w:p w14:paraId="09691254">
      <w:pPr>
        <w:pStyle w:val="30"/>
        <w:keepNext w:val="0"/>
        <w:keepLines w:val="0"/>
        <w:pageBreakBefore w:val="0"/>
        <w:numPr>
          <w:ilvl w:val="0"/>
          <w:numId w:val="0"/>
        </w:numPr>
        <w:kinsoku/>
        <w:overflowPunct/>
        <w:autoSpaceDE w:val="0"/>
        <w:autoSpaceDN w:val="0"/>
        <w:bidi w:val="0"/>
        <w:snapToGrid/>
        <w:spacing w:line="460" w:lineRule="exact"/>
        <w:ind w:left="420" w:leftChars="0" w:hanging="420"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bidi="ar-SA"/>
        </w:rPr>
        <w:t>32.</w:t>
      </w:r>
      <w:r>
        <w:rPr>
          <w:rFonts w:hint="eastAsia" w:asciiTheme="minorEastAsia" w:hAnsiTheme="minorEastAsia" w:eastAsiaTheme="minorEastAsia" w:cstheme="minorEastAsia"/>
          <w:b/>
          <w:color w:val="auto"/>
          <w:kern w:val="0"/>
          <w:sz w:val="21"/>
          <w:szCs w:val="21"/>
          <w:highlight w:val="none"/>
        </w:rPr>
        <w:t>评标方法、评标标准</w:t>
      </w:r>
    </w:p>
    <w:p w14:paraId="05D31B88">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32.1</w:t>
      </w:r>
      <w:r>
        <w:rPr>
          <w:rFonts w:hint="eastAsia" w:asciiTheme="minorEastAsia" w:hAnsiTheme="minorEastAsia" w:eastAsiaTheme="minorEastAsia" w:cstheme="minorEastAsia"/>
          <w:color w:val="auto"/>
          <w:kern w:val="0"/>
          <w:sz w:val="21"/>
          <w:szCs w:val="21"/>
          <w:highlight w:val="none"/>
        </w:rPr>
        <w:t>评标方法分为最低评标价法和综合评分法。</w:t>
      </w:r>
    </w:p>
    <w:p w14:paraId="7F296381">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32.1.1</w:t>
      </w:r>
      <w:r>
        <w:rPr>
          <w:rFonts w:hint="eastAsia" w:asciiTheme="minorEastAsia" w:hAnsiTheme="minorEastAsia" w:eastAsiaTheme="minorEastAsia" w:cstheme="minorEastAsia"/>
          <w:color w:val="auto"/>
          <w:kern w:val="0"/>
          <w:sz w:val="21"/>
          <w:szCs w:val="21"/>
          <w:highlight w:val="none"/>
        </w:rPr>
        <w:t>最低评标价法</w:t>
      </w:r>
    </w:p>
    <w:p w14:paraId="0A22362B">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32.1.1.1</w:t>
      </w:r>
      <w:r>
        <w:rPr>
          <w:rFonts w:hint="eastAsia" w:asciiTheme="minorEastAsia" w:hAnsiTheme="minorEastAsia" w:eastAsiaTheme="minorEastAsia" w:cstheme="minorEastAsia"/>
          <w:color w:val="auto"/>
          <w:sz w:val="21"/>
          <w:szCs w:val="21"/>
          <w:highlight w:val="none"/>
        </w:rPr>
        <w:t>最低评标价法，是指投标文件满足招标文件全部实质性要求，且投标报价最低的投标人为中标候选人的评标方法。</w:t>
      </w:r>
    </w:p>
    <w:p w14:paraId="03B45668">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32.1.1.2</w:t>
      </w:r>
      <w:r>
        <w:rPr>
          <w:rFonts w:hint="eastAsia" w:asciiTheme="minorEastAsia" w:hAnsiTheme="minorEastAsia" w:eastAsiaTheme="minorEastAsia" w:cstheme="minorEastAsia"/>
          <w:color w:val="auto"/>
          <w:sz w:val="21"/>
          <w:szCs w:val="21"/>
          <w:highlight w:val="none"/>
        </w:rPr>
        <w:t>采用最低评标价法评标时，除了算术修正和落实政府采购政策需进行的价格扣除外，不能对投标人的投标价格进行任何调整。</w:t>
      </w:r>
    </w:p>
    <w:p w14:paraId="0414FC69">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32.1.2</w:t>
      </w:r>
      <w:r>
        <w:rPr>
          <w:rFonts w:hint="eastAsia" w:asciiTheme="minorEastAsia" w:hAnsiTheme="minorEastAsia" w:eastAsiaTheme="minorEastAsia" w:cstheme="minorEastAsia"/>
          <w:color w:val="auto"/>
          <w:sz w:val="21"/>
          <w:szCs w:val="21"/>
          <w:highlight w:val="none"/>
        </w:rPr>
        <w:t>综合评分法，是指投标文件满足招标文件全部实质性要求，且按照评审因素的量化指标评审得分最高的投标人为中标候选人的评标方法。</w:t>
      </w:r>
    </w:p>
    <w:p w14:paraId="42BFDF6E">
      <w:pPr>
        <w:pStyle w:val="30"/>
        <w:keepNext w:val="0"/>
        <w:keepLines w:val="0"/>
        <w:pageBreakBefore w:val="0"/>
        <w:numPr>
          <w:ilvl w:val="0"/>
          <w:numId w:val="0"/>
        </w:numPr>
        <w:kinsoku/>
        <w:overflowPunct/>
        <w:autoSpaceDE w:val="0"/>
        <w:autoSpaceDN w:val="0"/>
        <w:bidi w:val="0"/>
        <w:snapToGrid/>
        <w:spacing w:line="460" w:lineRule="exact"/>
        <w:ind w:left="991" w:leftChars="200" w:hanging="571" w:hangingChars="272"/>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32.2 </w:t>
      </w:r>
      <w:r>
        <w:rPr>
          <w:rFonts w:hint="eastAsia" w:asciiTheme="minorEastAsia" w:hAnsiTheme="minorEastAsia" w:eastAsiaTheme="minorEastAsia" w:cstheme="minorEastAsia"/>
          <w:color w:val="auto"/>
          <w:kern w:val="0"/>
          <w:sz w:val="21"/>
          <w:szCs w:val="21"/>
          <w:highlight w:val="none"/>
        </w:rPr>
        <w:t>价格分</w:t>
      </w:r>
    </w:p>
    <w:p w14:paraId="753D3EEE">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32.2.1</w:t>
      </w:r>
      <w:r>
        <w:rPr>
          <w:rFonts w:hint="eastAsia" w:asciiTheme="minorEastAsia" w:hAnsiTheme="minorEastAsia" w:eastAsiaTheme="minorEastAsia" w:cstheme="minorEastAsia"/>
          <w:color w:val="auto"/>
          <w:sz w:val="21"/>
          <w:szCs w:val="21"/>
          <w:highlight w:val="none"/>
        </w:rPr>
        <w:t>价格分采用低价优先法计算，即满足招标文件要求且投标价格最低的投标报价为评标基准价，其价格分为满分。其他投标人的价格分统一按照下列公式计算：</w:t>
      </w:r>
    </w:p>
    <w:p w14:paraId="1901D5C2">
      <w:pPr>
        <w:pStyle w:val="35"/>
        <w:keepNext w:val="0"/>
        <w:keepLines w:val="0"/>
        <w:pageBreakBefore w:val="0"/>
        <w:kinsoku/>
        <w:overflowPunct/>
        <w:bidi w:val="0"/>
        <w:snapToGrid/>
        <w:spacing w:line="460" w:lineRule="exact"/>
        <w:ind w:left="0" w:leftChars="0" w:firstLine="0" w:firstLineChars="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投标报价得分=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评标基准价/投标报价</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×100</w:t>
      </w:r>
    </w:p>
    <w:p w14:paraId="215557FE">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评标总得分=F1×A1+F2×A2+……+Fn×An</w:t>
      </w:r>
    </w:p>
    <w:p w14:paraId="1C8751E6">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F1、F2……Fn分别为各项评审因素的得分</w:t>
      </w:r>
      <w:r>
        <w:rPr>
          <w:rFonts w:hint="eastAsia" w:asciiTheme="minorEastAsia" w:hAnsiTheme="minorEastAsia" w:eastAsiaTheme="minorEastAsia" w:cstheme="minorEastAsia"/>
          <w:color w:val="auto"/>
          <w:sz w:val="21"/>
          <w:szCs w:val="21"/>
          <w:highlight w:val="none"/>
          <w:lang w:eastAsia="zh-CN"/>
        </w:rPr>
        <w:t>；</w:t>
      </w:r>
    </w:p>
    <w:p w14:paraId="4448FFEC">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A1、A2、……An 分别为各项评审因素所占的权重</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A1+A2+……+An=1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p w14:paraId="1B016D17">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32.2.2</w:t>
      </w:r>
      <w:r>
        <w:rPr>
          <w:rFonts w:hint="eastAsia" w:asciiTheme="minorEastAsia" w:hAnsiTheme="minorEastAsia" w:eastAsiaTheme="minorEastAsia" w:cstheme="minorEastAsia"/>
          <w:color w:val="auto"/>
          <w:sz w:val="21"/>
          <w:szCs w:val="21"/>
          <w:highlight w:val="none"/>
        </w:rPr>
        <w:t>评标过程中，不得去掉报价中的最高报价和最低报价。</w:t>
      </w:r>
    </w:p>
    <w:p w14:paraId="5AA8E801">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32.2.3</w:t>
      </w:r>
      <w:r>
        <w:rPr>
          <w:rFonts w:hint="eastAsia" w:asciiTheme="minorEastAsia" w:hAnsiTheme="minorEastAsia" w:eastAsiaTheme="minorEastAsia" w:cstheme="minorEastAsia"/>
          <w:color w:val="auto"/>
          <w:sz w:val="21"/>
          <w:szCs w:val="21"/>
          <w:highlight w:val="none"/>
        </w:rPr>
        <w:t>因落实政府采购政策进行价格调整的，以调整后的价格计算评标基准</w:t>
      </w:r>
      <w:r>
        <w:rPr>
          <w:rFonts w:hint="eastAsia" w:asciiTheme="minorEastAsia" w:hAnsiTheme="minorEastAsia" w:eastAsiaTheme="minorEastAsia" w:cstheme="minorEastAsia"/>
          <w:color w:val="auto"/>
          <w:kern w:val="0"/>
          <w:sz w:val="21"/>
          <w:szCs w:val="21"/>
          <w:highlight w:val="none"/>
        </w:rPr>
        <w:t>价和投标报价。</w:t>
      </w:r>
    </w:p>
    <w:p w14:paraId="349DEBB7">
      <w:pPr>
        <w:pStyle w:val="30"/>
        <w:keepNext w:val="0"/>
        <w:keepLines w:val="0"/>
        <w:pageBreakBefore w:val="0"/>
        <w:numPr>
          <w:ilvl w:val="1"/>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 xml:space="preserve">32.3 </w:t>
      </w:r>
      <w:r>
        <w:rPr>
          <w:rFonts w:hint="eastAsia" w:asciiTheme="minorEastAsia" w:hAnsiTheme="minorEastAsia" w:eastAsiaTheme="minorEastAsia" w:cstheme="minorEastAsia"/>
          <w:b/>
          <w:color w:val="auto"/>
          <w:kern w:val="0"/>
          <w:sz w:val="21"/>
          <w:szCs w:val="21"/>
          <w:highlight w:val="none"/>
        </w:rPr>
        <w:t>本次评标具体评标方法、评标标准见（第六章 资格审查与评标）</w:t>
      </w:r>
      <w:r>
        <w:rPr>
          <w:rFonts w:hint="eastAsia" w:asciiTheme="minorEastAsia" w:hAnsiTheme="minorEastAsia" w:eastAsiaTheme="minorEastAsia" w:cstheme="minorEastAsia"/>
          <w:color w:val="auto"/>
          <w:kern w:val="0"/>
          <w:sz w:val="21"/>
          <w:szCs w:val="21"/>
          <w:highlight w:val="none"/>
        </w:rPr>
        <w:t>。</w:t>
      </w:r>
    </w:p>
    <w:p w14:paraId="4DC0CEE3">
      <w:pPr>
        <w:pStyle w:val="30"/>
        <w:keepNext w:val="0"/>
        <w:keepLines w:val="0"/>
        <w:pageBreakBefore w:val="0"/>
        <w:numPr>
          <w:ilvl w:val="0"/>
          <w:numId w:val="0"/>
        </w:numPr>
        <w:kinsoku/>
        <w:overflowPunct/>
        <w:autoSpaceDE w:val="0"/>
        <w:autoSpaceDN w:val="0"/>
        <w:bidi w:val="0"/>
        <w:snapToGrid/>
        <w:spacing w:line="460" w:lineRule="exact"/>
        <w:ind w:left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rPr>
        <w:t>33.</w:t>
      </w:r>
      <w:r>
        <w:rPr>
          <w:rFonts w:hint="eastAsia" w:asciiTheme="minorEastAsia" w:hAnsiTheme="minorEastAsia" w:eastAsiaTheme="minorEastAsia" w:cstheme="minorEastAsia"/>
          <w:b/>
          <w:color w:val="auto"/>
          <w:kern w:val="0"/>
          <w:sz w:val="21"/>
          <w:szCs w:val="21"/>
          <w:highlight w:val="none"/>
        </w:rPr>
        <w:t>推荐中标候选人</w:t>
      </w:r>
    </w:p>
    <w:p w14:paraId="29290C94">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33.1采用最低评标价法的，评标结果按投标报价由低到高顺序排列。投标报价相同的并列。投标文件满足招标文件全部实质性要求且投标报价最低的投标人为排名第一的中标候选人。</w:t>
      </w:r>
    </w:p>
    <w:p w14:paraId="254CCDF7">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33.2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2E399D">
      <w:pPr>
        <w:pStyle w:val="30"/>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评审意见无效情形</w:t>
      </w:r>
    </w:p>
    <w:p w14:paraId="4D165982">
      <w:pPr>
        <w:pStyle w:val="30"/>
        <w:keepNext w:val="0"/>
        <w:keepLines w:val="0"/>
        <w:pageBreakBefore w:val="0"/>
        <w:numPr>
          <w:ilvl w:val="0"/>
          <w:numId w:val="0"/>
        </w:numPr>
        <w:kinsoku/>
        <w:overflowPunct/>
        <w:autoSpaceDE w:val="0"/>
        <w:autoSpaceDN w:val="0"/>
        <w:bidi w:val="0"/>
        <w:snapToGrid/>
        <w:spacing w:line="460" w:lineRule="exact"/>
        <w:ind w:left="991" w:leftChars="200" w:hanging="571" w:hangingChars="272"/>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w:t>
      </w:r>
      <w:r>
        <w:rPr>
          <w:rFonts w:hint="eastAsia" w:asciiTheme="minorEastAsia" w:hAnsiTheme="minorEastAsia" w:eastAsiaTheme="minorEastAsia" w:cstheme="minorEastAsia"/>
          <w:color w:val="auto"/>
          <w:kern w:val="0"/>
          <w:sz w:val="21"/>
          <w:szCs w:val="21"/>
          <w:highlight w:val="none"/>
        </w:rPr>
        <w:t>评标委员会及其成员有下列行为之一的，其评审意见无效：</w:t>
      </w:r>
    </w:p>
    <w:p w14:paraId="2406BAA0">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34.1.1</w:t>
      </w:r>
      <w:r>
        <w:rPr>
          <w:rFonts w:hint="eastAsia" w:asciiTheme="minorEastAsia" w:hAnsiTheme="minorEastAsia" w:eastAsiaTheme="minorEastAsia" w:cstheme="minorEastAsia"/>
          <w:color w:val="auto"/>
          <w:kern w:val="0"/>
          <w:sz w:val="21"/>
          <w:szCs w:val="21"/>
          <w:highlight w:val="none"/>
        </w:rPr>
        <w:t>确定参与评标至评标结束前私自接触投标人；</w:t>
      </w:r>
    </w:p>
    <w:p w14:paraId="6151AA7E">
      <w:pPr>
        <w:pStyle w:val="35"/>
        <w:keepNext w:val="0"/>
        <w:keepLines w:val="0"/>
        <w:pageBreakBefore w:val="0"/>
        <w:kinsoku/>
        <w:overflowPunct/>
        <w:bidi w:val="0"/>
        <w:snapToGrid/>
        <w:spacing w:line="460" w:lineRule="exact"/>
        <w:ind w:left="0" w:leftChars="0"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34.1.2接受投标人提出的与投标文件不一致的澄清或者说明，《投标人须知》第26条规定的情形除外；</w:t>
      </w:r>
    </w:p>
    <w:p w14:paraId="2801E75C">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34.1.3</w:t>
      </w:r>
      <w:r>
        <w:rPr>
          <w:rFonts w:hint="eastAsia" w:asciiTheme="minorEastAsia" w:hAnsiTheme="minorEastAsia" w:eastAsiaTheme="minorEastAsia" w:cstheme="minorEastAsia"/>
          <w:color w:val="auto"/>
          <w:kern w:val="0"/>
          <w:sz w:val="21"/>
          <w:szCs w:val="21"/>
          <w:highlight w:val="none"/>
        </w:rPr>
        <w:t>违反评标纪律发表倾向性意见或者征询采购人的倾向性意见；</w:t>
      </w:r>
    </w:p>
    <w:p w14:paraId="737AA6FE">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34.1.4</w:t>
      </w:r>
      <w:r>
        <w:rPr>
          <w:rFonts w:hint="eastAsia" w:asciiTheme="minorEastAsia" w:hAnsiTheme="minorEastAsia" w:eastAsiaTheme="minorEastAsia" w:cstheme="minorEastAsia"/>
          <w:color w:val="auto"/>
          <w:kern w:val="0"/>
          <w:sz w:val="21"/>
          <w:szCs w:val="21"/>
          <w:highlight w:val="none"/>
        </w:rPr>
        <w:t>对需要专业判断的主观评审因素协商评分；</w:t>
      </w:r>
    </w:p>
    <w:p w14:paraId="226EE13F">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34.1.5</w:t>
      </w:r>
      <w:r>
        <w:rPr>
          <w:rFonts w:hint="eastAsia" w:asciiTheme="minorEastAsia" w:hAnsiTheme="minorEastAsia" w:eastAsiaTheme="minorEastAsia" w:cstheme="minorEastAsia"/>
          <w:color w:val="auto"/>
          <w:kern w:val="0"/>
          <w:sz w:val="21"/>
          <w:szCs w:val="21"/>
          <w:highlight w:val="none"/>
        </w:rPr>
        <w:t>在评标过程中擅离职守，影响评标程序正常进行的；</w:t>
      </w:r>
    </w:p>
    <w:p w14:paraId="2723C3D3">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34.1.6</w:t>
      </w:r>
      <w:r>
        <w:rPr>
          <w:rFonts w:hint="eastAsia" w:asciiTheme="minorEastAsia" w:hAnsiTheme="minorEastAsia" w:eastAsiaTheme="minorEastAsia" w:cstheme="minorEastAsia"/>
          <w:color w:val="auto"/>
          <w:kern w:val="0"/>
          <w:sz w:val="21"/>
          <w:szCs w:val="21"/>
          <w:highlight w:val="none"/>
        </w:rPr>
        <w:t>记录、复制或者带走任何评标资料；</w:t>
      </w:r>
    </w:p>
    <w:p w14:paraId="494454C7">
      <w:pPr>
        <w:pStyle w:val="30"/>
        <w:keepNext w:val="0"/>
        <w:keepLines w:val="0"/>
        <w:pageBreakBefore w:val="0"/>
        <w:numPr>
          <w:ilvl w:val="0"/>
          <w:numId w:val="0"/>
        </w:numPr>
        <w:kinsoku/>
        <w:overflowPunct/>
        <w:autoSpaceDE w:val="0"/>
        <w:autoSpaceDN w:val="0"/>
        <w:bidi w:val="0"/>
        <w:snapToGrid/>
        <w:spacing w:line="460" w:lineRule="exact"/>
        <w:ind w:left="1417" w:leftChars="200" w:hanging="997" w:hangingChars="475"/>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SA"/>
        </w:rPr>
        <w:t>34.1.7</w:t>
      </w:r>
      <w:r>
        <w:rPr>
          <w:rFonts w:hint="eastAsia" w:asciiTheme="minorEastAsia" w:hAnsiTheme="minorEastAsia" w:eastAsiaTheme="minorEastAsia" w:cstheme="minorEastAsia"/>
          <w:color w:val="auto"/>
          <w:kern w:val="0"/>
          <w:sz w:val="21"/>
          <w:szCs w:val="21"/>
          <w:highlight w:val="none"/>
        </w:rPr>
        <w:t>其他不遵守评标纪律的行为。</w:t>
      </w:r>
    </w:p>
    <w:p w14:paraId="708A14F6">
      <w:pPr>
        <w:pStyle w:val="30"/>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保密</w:t>
      </w:r>
    </w:p>
    <w:p w14:paraId="1755F12B">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35.1</w:t>
      </w:r>
      <w:r>
        <w:rPr>
          <w:rFonts w:hint="eastAsia" w:asciiTheme="minorEastAsia" w:hAnsiTheme="minorEastAsia" w:eastAsiaTheme="minorEastAsia" w:cstheme="minorEastAsia"/>
          <w:color w:val="auto"/>
          <w:kern w:val="0"/>
          <w:sz w:val="21"/>
          <w:szCs w:val="21"/>
          <w:highlight w:val="none"/>
        </w:rPr>
        <w:t>评审专家应当遵守评审工作纪律，不得泄露评审文件、评审情况和评审中获悉的商业秘密。</w:t>
      </w:r>
    </w:p>
    <w:p w14:paraId="3D54DD80">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35.2采购人、采购代理机构应当采取必要措施，保证评标在严格保密的情况下进行。有关人员对评标情况以及在评标过程中获悉的国家秘密、商业秘密负有保密责任。</w:t>
      </w:r>
    </w:p>
    <w:p w14:paraId="4F0BCF8A">
      <w:pPr>
        <w:keepNext w:val="0"/>
        <w:keepLines w:val="0"/>
        <w:pageBreakBefore w:val="0"/>
        <w:tabs>
          <w:tab w:val="left" w:pos="1260"/>
        </w:tabs>
        <w:kinsoku/>
        <w:overflowPunct/>
        <w:autoSpaceDE w:val="0"/>
        <w:autoSpaceDN w:val="0"/>
        <w:bidi w:val="0"/>
        <w:snapToGrid/>
        <w:spacing w:line="460" w:lineRule="exact"/>
        <w:contextualSpacing/>
        <w:jc w:val="center"/>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六、定标和授予合同</w:t>
      </w:r>
    </w:p>
    <w:p w14:paraId="1D6A858C">
      <w:pPr>
        <w:pStyle w:val="30"/>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确定中标人</w:t>
      </w:r>
    </w:p>
    <w:p w14:paraId="795C8EE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36.1</w:t>
      </w:r>
      <w:r>
        <w:rPr>
          <w:rFonts w:hint="eastAsia" w:asciiTheme="minorEastAsia" w:hAnsiTheme="minorEastAsia" w:eastAsiaTheme="minorEastAsia" w:cstheme="minorEastAsia"/>
          <w:color w:val="auto"/>
          <w:kern w:val="0"/>
          <w:sz w:val="21"/>
          <w:szCs w:val="21"/>
          <w:highlight w:val="none"/>
        </w:rPr>
        <w:t>采购人应当自收到评标报告之日起1个工作日内，在评标报告确定的中标候选人名单中按顺序确定中标人（核验中标供应商由《禹州市政府采购供应商信用承诺函》替代的证明材料）。中标候选人并列的，由采购人采取随机抽取的方式确定。</w:t>
      </w:r>
    </w:p>
    <w:p w14:paraId="2B8741D4">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36.2</w:t>
      </w:r>
      <w:r>
        <w:rPr>
          <w:rFonts w:hint="eastAsia" w:asciiTheme="minorEastAsia" w:hAnsiTheme="minorEastAsia" w:eastAsiaTheme="minorEastAsia" w:cstheme="minorEastAsia"/>
          <w:color w:val="auto"/>
          <w:kern w:val="0"/>
          <w:sz w:val="21"/>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59E89E90">
      <w:pPr>
        <w:pStyle w:val="30"/>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中标公告、发出中标通知书</w:t>
      </w:r>
    </w:p>
    <w:p w14:paraId="1580DC7F">
      <w:pPr>
        <w:pStyle w:val="30"/>
        <w:keepNext w:val="0"/>
        <w:keepLines w:val="0"/>
        <w:pageBreakBefore w:val="0"/>
        <w:numPr>
          <w:ilvl w:val="0"/>
          <w:numId w:val="0"/>
        </w:numPr>
        <w:kinsoku/>
        <w:overflowPunct/>
        <w:autoSpaceDE w:val="0"/>
        <w:autoSpaceDN w:val="0"/>
        <w:bidi w:val="0"/>
        <w:snapToGrid/>
        <w:spacing w:line="460" w:lineRule="exact"/>
        <w:ind w:left="840" w:leftChars="200" w:hanging="420" w:hanging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37.1采购人确认中标人后公告中标结果的同时，向中标人发出中标通知书。</w:t>
      </w:r>
    </w:p>
    <w:p w14:paraId="42382EB6">
      <w:pPr>
        <w:pStyle w:val="30"/>
        <w:keepNext w:val="0"/>
        <w:keepLines w:val="0"/>
        <w:pageBreakBefore w:val="0"/>
        <w:numPr>
          <w:ilvl w:val="0"/>
          <w:numId w:val="0"/>
        </w:numPr>
        <w:kinsoku/>
        <w:overflowPunct/>
        <w:autoSpaceDE w:val="0"/>
        <w:autoSpaceDN w:val="0"/>
        <w:bidi w:val="0"/>
        <w:snapToGrid/>
        <w:spacing w:line="460" w:lineRule="exact"/>
        <w:ind w:left="961" w:leftChars="200" w:hanging="541" w:hangingChars="258"/>
        <w:contextualSpacing/>
        <w:textAlignment w:val="auto"/>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37.2中标通知书发出后，采购人不得违法改变中标结果，中标人无正当理由不得放弃中标。</w:t>
      </w:r>
    </w:p>
    <w:p w14:paraId="179F8806">
      <w:pPr>
        <w:pStyle w:val="30"/>
        <w:keepNext w:val="0"/>
        <w:keepLines w:val="0"/>
        <w:pageBreakBefore w:val="0"/>
        <w:numPr>
          <w:ilvl w:val="0"/>
          <w:numId w:val="6"/>
        </w:numPr>
        <w:kinsoku/>
        <w:overflowPunct/>
        <w:autoSpaceDE w:val="0"/>
        <w:autoSpaceDN w:val="0"/>
        <w:bidi w:val="0"/>
        <w:snapToGrid/>
        <w:spacing w:line="460" w:lineRule="exact"/>
        <w:ind w:firstLineChars="0"/>
        <w:contextualSpacing/>
        <w:textAlignment w:val="auto"/>
        <w:rPr>
          <w:rFonts w:hint="eastAsia" w:asciiTheme="minorEastAsia" w:hAnsiTheme="minorEastAsia" w:eastAsiaTheme="minorEastAsia" w:cstheme="minorEastAsia"/>
          <w:b/>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rPr>
        <w:t>质疑提出与答复</w:t>
      </w:r>
    </w:p>
    <w:p w14:paraId="0BDDF6AF">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供应商认为采购文件、采购过程和中标结果使自己的权益受到损害的，可以按照《政府采购质疑和投诉办法》（财政部令第94号）质疑。提出质疑的供应商应当是参与本项目采购活动的供应商。提出时应按照《政府采购质疑和投诉办法》（财政部令第94号）第十二条规定提交质疑函和必要的证明材料，质疑提出后潜在投标人应及时联系招标公告中代理机构联系人查看。如未提出视为全面接受。</w:t>
      </w:r>
    </w:p>
    <w:p w14:paraId="77E308C1">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38.1.1对采购文件提出质疑的，潜在投标人应已依法获取采购文件，且应当在获取采购文件或者采购文件公告期限届满之日起7个工作日内使用CA数字证书或CA移动数字证书登录 《全国公共资源交易平台（河南省·许昌市）》（https://ggzy.xuchang.gov.cn/），通过许昌市公共资源电子交易系统一次性提出，逾期提交或未按照要求提交的质疑函将不予受理。质疑提出后潜在投标人应及时联系招标公告中代理机构联系人查看。</w:t>
      </w:r>
    </w:p>
    <w:p w14:paraId="56FD888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38.1.2对采购过程提出质疑的，为各采购程序环节结束之日起七个工作日内，投标人使 用CA数字证书或CA移动数字证书登录《全国公共资源交易平台（河南省·许昌市）》 （https://ggzy.xuchang.gov.cn/），通过许昌市公共资源电子交易系统一次性提出，逾期提交或未按照要求提交的质疑函将不予受理。质疑提出后投标人应及时联系招标公告中代理机构联系人查看。</w:t>
      </w:r>
    </w:p>
    <w:p w14:paraId="70AD0CBB">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38.1.3对中标结果提出质疑的，为中标结果公告期限届满之日起七个工作日内，投标人使用CA数字证书或CA移动数字证书登录《全国公共资源交易平台（河南省·许昌市）》（https://ggzy.xuchang.gov.cn/），通过许昌市公共资源电子交易系统 一次性提出，逾期提交或未按照要求提交的质疑函将不予受理。质疑提出后投标 人应及时联系招标公告中代理机构联系人查看。</w:t>
      </w:r>
    </w:p>
    <w:p w14:paraId="6467752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38.2采购人、采购代理机构认为供应商质疑不成立，或者成立但未对中标结果构成影响的，在收到质疑函7个工作日内通过《全国公共资源交易平台（河南省·许昌市）》交易系统作出答复，并继续开展采购活动；认为供应商质疑成立且影响或者可能影响中标结果的，在收到质疑函7个工作日内通过《全国公共资源交易平台（河南省·许昌市）》交易系统作出答复，并按照下列情况处理。</w:t>
      </w:r>
    </w:p>
    <w:p w14:paraId="01E4642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38.2.1对采购文件提出的质疑，依法通过澄清或者修改可以继续开展采购活动的，澄清或者修改采购文件后继续开展采购活动；否则应当修改采购文件后重新开展采购活动。</w:t>
      </w:r>
    </w:p>
    <w:p w14:paraId="6A0D2B2D">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38.2.2对采购过程、中标结果提出的质疑，合格供应商符合法定数量时，可以从合格的中标候选人中另行确定中标供应商的，应当依法另行确定中标供应商；否则应当重新开展采购活动。</w:t>
      </w:r>
    </w:p>
    <w:p w14:paraId="600AD887">
      <w:pPr>
        <w:keepNext w:val="0"/>
        <w:keepLines w:val="0"/>
        <w:pageBreakBefore w:val="0"/>
        <w:widowControl/>
        <w:suppressLineNumbers w:val="0"/>
        <w:kinsoku/>
        <w:overflowPunct/>
        <w:bidi w:val="0"/>
        <w:snapToGrid/>
        <w:spacing w:line="460" w:lineRule="exact"/>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39. 投诉 </w:t>
      </w:r>
    </w:p>
    <w:p w14:paraId="2D074F9A">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 xml:space="preserve">39.1若对质疑答复不满意或质疑答复未在答复期限内作出，质疑供应商可在答复期满后15个工作日内按照《政府采购质疑和投诉办法》的有关规定向招标文件第一章载明的本项目监督管理部门提起投诉。 </w:t>
      </w:r>
    </w:p>
    <w:p w14:paraId="775A7463">
      <w:pPr>
        <w:keepNext w:val="0"/>
        <w:keepLines w:val="0"/>
        <w:pageBreakBefore w:val="0"/>
        <w:widowControl/>
        <w:suppressLineNumbers w:val="0"/>
        <w:kinsoku/>
        <w:overflowPunct/>
        <w:bidi w:val="0"/>
        <w:snapToGrid/>
        <w:spacing w:line="460" w:lineRule="exact"/>
        <w:ind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39.2投诉应有明确的请求和必要的证明材料，投诉的事项不得超出已质疑事项的范围。</w:t>
      </w:r>
    </w:p>
    <w:p w14:paraId="4F4B6F58">
      <w:pPr>
        <w:keepNext w:val="0"/>
        <w:keepLines w:val="0"/>
        <w:pageBreakBefore w:val="0"/>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bidi="ar-SA"/>
        </w:rPr>
        <w:t xml:space="preserve">40. </w:t>
      </w:r>
      <w:r>
        <w:rPr>
          <w:rFonts w:hint="eastAsia" w:asciiTheme="minorEastAsia" w:hAnsiTheme="minorEastAsia" w:eastAsiaTheme="minorEastAsia" w:cstheme="minorEastAsia"/>
          <w:b/>
          <w:color w:val="auto"/>
          <w:kern w:val="0"/>
          <w:sz w:val="21"/>
          <w:szCs w:val="21"/>
          <w:highlight w:val="none"/>
        </w:rPr>
        <w:t>签订合同与备案</w:t>
      </w:r>
    </w:p>
    <w:p w14:paraId="39ADD95C">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采购人应当自中标通知书发出之日起15日内，按照招标文件和中标人投标文件的规定，与中标人签订书面合同。所签订的合同不得对招标文件确定的事项和中标人投标文件作实质性修改。</w:t>
      </w:r>
    </w:p>
    <w:p w14:paraId="4466BAE1">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采购人自采购合同签订之日起2个工作日内，到禹州市政府采购监督管理办公室进行合同备案，并登录“河南省政府采购网”进行网上备案。</w:t>
      </w:r>
    </w:p>
    <w:p w14:paraId="387B5AE8">
      <w:pPr>
        <w:keepNext w:val="0"/>
        <w:keepLines w:val="0"/>
        <w:pageBreakBefore w:val="0"/>
        <w:kinsoku/>
        <w:overflowPunct/>
        <w:autoSpaceDE w:val="0"/>
        <w:autoSpaceDN w:val="0"/>
        <w:bidi w:val="0"/>
        <w:snapToGrid/>
        <w:spacing w:line="460" w:lineRule="exact"/>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b/>
          <w:color w:val="auto"/>
          <w:kern w:val="0"/>
          <w:sz w:val="21"/>
          <w:szCs w:val="21"/>
          <w:highlight w:val="none"/>
          <w:lang w:val="en-US" w:eastAsia="zh-CN"/>
        </w:rPr>
        <w:t>41.</w:t>
      </w:r>
      <w:r>
        <w:rPr>
          <w:rFonts w:hint="eastAsia" w:asciiTheme="minorEastAsia" w:hAnsiTheme="minorEastAsia" w:eastAsiaTheme="minorEastAsia" w:cstheme="minorEastAsia"/>
          <w:b/>
          <w:color w:val="auto"/>
          <w:kern w:val="0"/>
          <w:sz w:val="21"/>
          <w:szCs w:val="21"/>
          <w:highlight w:val="none"/>
        </w:rPr>
        <w:t>履约保证金</w:t>
      </w:r>
    </w:p>
    <w:p w14:paraId="398F7DFD">
      <w:pPr>
        <w:keepNext w:val="0"/>
        <w:keepLines w:val="0"/>
        <w:pageBreakBefore w:val="0"/>
        <w:kinsoku/>
        <w:overflowPunct/>
        <w:autoSpaceDE w:val="0"/>
        <w:autoSpaceDN w:val="0"/>
        <w:bidi w:val="0"/>
        <w:snapToGrid/>
        <w:spacing w:line="460" w:lineRule="exact"/>
        <w:ind w:firstLine="420" w:firstLineChars="200"/>
        <w:contextualSpacing/>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“投标人须知前附表”中规定中标人提交履约保证金的，中标人应当以支票、汇票、本票或者金融机构、担保机构出具的保函等非现金形式向采购人提交。履约保证金的数额不得超过政府采购合同金额的10%。</w:t>
      </w:r>
    </w:p>
    <w:p w14:paraId="3734034A">
      <w:pPr>
        <w:pStyle w:val="30"/>
        <w:keepNext w:val="0"/>
        <w:keepLines w:val="0"/>
        <w:pageBreakBefore w:val="0"/>
        <w:numPr>
          <w:ilvl w:val="0"/>
          <w:numId w:val="0"/>
        </w:numPr>
        <w:kinsoku/>
        <w:overflowPunct/>
        <w:autoSpaceDE w:val="0"/>
        <w:autoSpaceDN w:val="0"/>
        <w:bidi w:val="0"/>
        <w:snapToGrid/>
        <w:spacing w:line="460" w:lineRule="exact"/>
        <w:ind w:leftChars="0"/>
        <w:contextualSpacing/>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b/>
          <w:color w:val="auto"/>
          <w:kern w:val="0"/>
          <w:sz w:val="21"/>
          <w:szCs w:val="21"/>
          <w:highlight w:val="none"/>
          <w:lang w:val="en-US" w:eastAsia="zh-CN"/>
        </w:rPr>
        <w:t>42.</w:t>
      </w:r>
      <w:r>
        <w:rPr>
          <w:rFonts w:hint="eastAsia" w:asciiTheme="minorEastAsia" w:hAnsiTheme="minorEastAsia" w:eastAsiaTheme="minorEastAsia" w:cstheme="minorEastAsia"/>
          <w:b/>
          <w:color w:val="auto"/>
          <w:kern w:val="0"/>
          <w:sz w:val="21"/>
          <w:szCs w:val="21"/>
          <w:highlight w:val="none"/>
        </w:rPr>
        <w:t>政府采购合同融资</w:t>
      </w:r>
    </w:p>
    <w:p w14:paraId="627D7670">
      <w:pPr>
        <w:pStyle w:val="30"/>
        <w:keepNext w:val="0"/>
        <w:keepLines w:val="0"/>
        <w:pageBreakBefore w:val="0"/>
        <w:numPr>
          <w:ilvl w:val="0"/>
          <w:numId w:val="0"/>
        </w:numPr>
        <w:kinsoku/>
        <w:wordWrap w:val="0"/>
        <w:overflowPunct/>
        <w:topLinePunct/>
        <w:autoSpaceDE w:val="0"/>
        <w:autoSpaceDN w:val="0"/>
        <w:bidi w:val="0"/>
        <w:adjustRightInd w:val="0"/>
        <w:snapToGrid/>
        <w:spacing w:line="460" w:lineRule="exact"/>
        <w:ind w:leftChars="0" w:firstLine="420" w:firstLineChars="200"/>
        <w:contextualSpacing/>
        <w:textAlignment w:val="auto"/>
        <w:outlineLvl w:val="3"/>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42.1</w:t>
      </w:r>
      <w:r>
        <w:rPr>
          <w:rFonts w:hint="eastAsia" w:asciiTheme="minorEastAsia" w:hAnsiTheme="minorEastAsia" w:eastAsiaTheme="minorEastAsia" w:cstheme="minorEastAsia"/>
          <w:color w:val="auto"/>
          <w:kern w:val="0"/>
          <w:sz w:val="21"/>
          <w:szCs w:val="21"/>
          <w:highlight w:val="none"/>
        </w:rPr>
        <w:t>缓解中小企业融资难题</w:t>
      </w:r>
    </w:p>
    <w:p w14:paraId="09D16031">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650FC8EA">
      <w:pPr>
        <w:keepNext w:val="0"/>
        <w:keepLines w:val="0"/>
        <w:pageBreakBefore w:val="0"/>
        <w:kinsoku/>
        <w:overflowPunct/>
        <w:autoSpaceDE w:val="0"/>
        <w:autoSpaceDN w:val="0"/>
        <w:bidi w:val="0"/>
        <w:snapToGrid/>
        <w:spacing w:line="460" w:lineRule="exact"/>
        <w:ind w:firstLine="420" w:firstLineChars="200"/>
        <w:contextualSpacing/>
        <w:jc w:val="left"/>
        <w:textAlignment w:val="auto"/>
        <w:outlineLvl w:val="3"/>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42</w:t>
      </w:r>
      <w:r>
        <w:rPr>
          <w:rFonts w:hint="eastAsia" w:asciiTheme="minorEastAsia" w:hAnsiTheme="minorEastAsia" w:eastAsiaTheme="minorEastAsia" w:cstheme="minorEastAsia"/>
          <w:color w:val="auto"/>
          <w:kern w:val="0"/>
          <w:sz w:val="21"/>
          <w:szCs w:val="21"/>
          <w:highlight w:val="none"/>
        </w:rPr>
        <w:t>.2合作金融机构（排名不分先后）</w:t>
      </w:r>
    </w:p>
    <w:p w14:paraId="6D0CB88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1）合作金融机构名称：中原银行许昌分行（小微金融部）</w:t>
      </w:r>
    </w:p>
    <w:p w14:paraId="760E942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联系人及电话：陈阳 13137407575   方金龙  15836539901</w:t>
      </w:r>
    </w:p>
    <w:p w14:paraId="5FAEC6F3">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地址：许昌市建安大道与紫云路交汇处中原银行</w:t>
      </w:r>
    </w:p>
    <w:p w14:paraId="1449EE4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2）合作金融机构名称：浦发银行许昌分行</w:t>
      </w:r>
    </w:p>
    <w:p w14:paraId="00DCBA2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联系人及电话：赵勇  0374-7313569、7313502 18937459920</w:t>
      </w:r>
    </w:p>
    <w:p w14:paraId="342EE7A4">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地址：许昌市许继大道1163号许继花园</w:t>
      </w:r>
    </w:p>
    <w:p w14:paraId="51EBF63B">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3）合作金融机构名称：交通银行许昌分行</w:t>
      </w:r>
    </w:p>
    <w:p w14:paraId="66E5EE3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联系人：宋纪刚  0374-2369912  13733951305</w:t>
      </w:r>
    </w:p>
    <w:p w14:paraId="07145FB4">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地址：许昌市莲城大道114号</w:t>
      </w:r>
    </w:p>
    <w:p w14:paraId="49DCCBB2">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4）合作金融机构名称：光大银行许昌分行</w:t>
      </w:r>
    </w:p>
    <w:p w14:paraId="4425589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联系人：李东磊  0374-2928168 18569936868</w:t>
      </w:r>
    </w:p>
    <w:p w14:paraId="3E745BA5">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地址：许昌市魏都区八一</w:t>
      </w:r>
      <w:r>
        <w:rPr>
          <w:rFonts w:hint="eastAsia" w:asciiTheme="minorEastAsia" w:hAnsiTheme="minorEastAsia" w:eastAsiaTheme="minorEastAsia" w:cstheme="minorEastAsia"/>
          <w:color w:val="auto"/>
          <w:kern w:val="0"/>
          <w:sz w:val="21"/>
          <w:szCs w:val="21"/>
          <w:highlight w:val="none"/>
          <w:lang w:eastAsia="zh-CN"/>
        </w:rPr>
        <w:t>路与</w:t>
      </w:r>
      <w:r>
        <w:rPr>
          <w:rFonts w:hint="eastAsia" w:asciiTheme="minorEastAsia" w:hAnsiTheme="minorEastAsia" w:eastAsiaTheme="minorEastAsia" w:cstheme="minorEastAsia"/>
          <w:color w:val="auto"/>
          <w:kern w:val="0"/>
          <w:sz w:val="21"/>
          <w:szCs w:val="21"/>
          <w:highlight w:val="none"/>
        </w:rPr>
        <w:t>文峰路交叉口西北角</w:t>
      </w:r>
    </w:p>
    <w:p w14:paraId="17627F5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5）合作金融机构名称：招商银行许昌分行</w:t>
      </w:r>
    </w:p>
    <w:p w14:paraId="59F28F36">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联系人及电话：崔星迪  0374-5376058  18839983051</w:t>
      </w:r>
    </w:p>
    <w:p w14:paraId="129ADCED">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地址：许昌市建安大道中段新天下AB座</w:t>
      </w:r>
    </w:p>
    <w:p w14:paraId="0EBADB5F">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6）合作金融机构名称：邮储银行许昌市分行</w:t>
      </w:r>
    </w:p>
    <w:p w14:paraId="793BAE38">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联系人及电话：张彦峰13839001972 武松涛18839902679</w:t>
      </w:r>
    </w:p>
    <w:p w14:paraId="3C19518D">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徐亚爽15038297574</w:t>
      </w:r>
    </w:p>
    <w:p w14:paraId="1A3FD695">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地址：许昌市莲城大道邮储银行莲城支行二楼</w:t>
      </w:r>
    </w:p>
    <w:p w14:paraId="35C4E2C9">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7）合作金融机构名称：中国银行许昌分行</w:t>
      </w:r>
    </w:p>
    <w:p w14:paraId="407C60F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联系人及电话：白炜 13938772680   刘晓飞  0374-3338596</w:t>
      </w:r>
    </w:p>
    <w:p w14:paraId="19EBD67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地址：许昌市魏都区建设路1488号</w:t>
      </w:r>
    </w:p>
    <w:p w14:paraId="27FBB5AA">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8）合作金融机构名称：中信银行郑州红专路支行</w:t>
      </w:r>
    </w:p>
    <w:p w14:paraId="2F8840DB">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联系人：韩晨  13253490679</w:t>
      </w:r>
    </w:p>
    <w:p w14:paraId="1DCE5006">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地址：郑州市金水区经三路北26号中信银行郑州红专路支行</w:t>
      </w:r>
    </w:p>
    <w:p w14:paraId="0510FAAE">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9）合作金融机构名称：郑州银行许昌分行 </w:t>
      </w:r>
    </w:p>
    <w:p w14:paraId="7D3FB8B7">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联系人：王晶 0374-2298011 18339062222 </w:t>
      </w:r>
    </w:p>
    <w:p w14:paraId="111B618C">
      <w:pPr>
        <w:keepNext w:val="0"/>
        <w:keepLines w:val="0"/>
        <w:pageBreakBefore w:val="0"/>
        <w:kinsoku/>
        <w:overflowPunct/>
        <w:autoSpaceDE w:val="0"/>
        <w:autoSpaceDN w:val="0"/>
        <w:bidi w:val="0"/>
        <w:snapToGrid/>
        <w:spacing w:line="460" w:lineRule="exact"/>
        <w:ind w:firstLine="420" w:firstLineChars="200"/>
        <w:contextualSpacing/>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地址：河南省许昌市魏都区莲城大道与魏文路交叉口西南角亨通君成国际大厦 </w:t>
      </w:r>
    </w:p>
    <w:p w14:paraId="22A973C6">
      <w:pPr>
        <w:keepNext w:val="0"/>
        <w:keepLines w:val="0"/>
        <w:pageBreakBefore w:val="0"/>
        <w:numPr>
          <w:ilvl w:val="0"/>
          <w:numId w:val="0"/>
        </w:numPr>
        <w:kinsoku/>
        <w:wordWrap w:val="0"/>
        <w:overflowPunct/>
        <w:topLinePunct/>
        <w:autoSpaceDE w:val="0"/>
        <w:autoSpaceDN w:val="0"/>
        <w:bidi w:val="0"/>
        <w:adjustRightInd w:val="0"/>
        <w:snapToGrid/>
        <w:spacing w:line="460" w:lineRule="exact"/>
        <w:ind w:leftChars="0" w:firstLine="420" w:firstLineChars="200"/>
        <w:contextualSpacing/>
        <w:textAlignment w:val="auto"/>
        <w:outlineLvl w:val="3"/>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t>42.3</w:t>
      </w:r>
      <w:r>
        <w:rPr>
          <w:rFonts w:hint="eastAsia" w:asciiTheme="minorEastAsia" w:hAnsiTheme="minorEastAsia" w:eastAsiaTheme="minorEastAsia" w:cstheme="minorEastAsia"/>
          <w:color w:val="auto"/>
          <w:kern w:val="0"/>
          <w:sz w:val="21"/>
          <w:szCs w:val="21"/>
          <w:highlight w:val="none"/>
        </w:rPr>
        <w:t xml:space="preserve"> “政府采购合同融资金融产品推介名录”链接</w:t>
      </w:r>
    </w:p>
    <w:p w14:paraId="0AEF08B6">
      <w:pPr>
        <w:keepNext w:val="0"/>
        <w:keepLines w:val="0"/>
        <w:pageBreakBefore w:val="0"/>
        <w:widowControl/>
        <w:suppressLineNumbers w:val="0"/>
        <w:kinsoku/>
        <w:overflowPunct/>
        <w:bidi w:val="0"/>
        <w:snapToGrid/>
        <w:spacing w:line="46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http://ccgp-henan.gov.cn/xuchang/content?infoId=1606365368231095</w:t>
      </w:r>
    </w:p>
    <w:p w14:paraId="57FD0413">
      <w:pPr>
        <w:autoSpaceDE w:val="0"/>
        <w:autoSpaceDN w:val="0"/>
        <w:spacing w:line="360" w:lineRule="auto"/>
        <w:contextualSpacing/>
        <w:rPr>
          <w:rFonts w:ascii="宋体" w:cs="宋体"/>
          <w:b/>
          <w:color w:val="auto"/>
          <w:szCs w:val="21"/>
          <w:highlight w:val="none"/>
        </w:rPr>
      </w:pPr>
      <w:r>
        <w:rPr>
          <w:rFonts w:ascii="宋体" w:hAnsi="宋体" w:cs="宋体"/>
          <w:b/>
          <w:color w:val="auto"/>
          <w:szCs w:val="21"/>
          <w:highlight w:val="none"/>
        </w:rPr>
        <w:t>4</w:t>
      </w:r>
      <w:r>
        <w:rPr>
          <w:rFonts w:hint="eastAsia" w:ascii="宋体" w:hAnsi="宋体" w:cs="宋体"/>
          <w:b/>
          <w:color w:val="auto"/>
          <w:szCs w:val="21"/>
          <w:highlight w:val="none"/>
        </w:rPr>
        <w:t>3</w:t>
      </w:r>
      <w:r>
        <w:rPr>
          <w:rFonts w:ascii="宋体" w:hAnsi="宋体" w:cs="宋体"/>
          <w:b/>
          <w:color w:val="auto"/>
          <w:szCs w:val="21"/>
          <w:highlight w:val="none"/>
        </w:rPr>
        <w:t xml:space="preserve">. </w:t>
      </w:r>
      <w:r>
        <w:rPr>
          <w:rFonts w:hint="eastAsia" w:ascii="宋体" w:hAnsi="宋体" w:cs="宋体"/>
          <w:b/>
          <w:color w:val="auto"/>
          <w:szCs w:val="21"/>
          <w:highlight w:val="none"/>
        </w:rPr>
        <w:t>其他</w:t>
      </w:r>
    </w:p>
    <w:p w14:paraId="313B33CD">
      <w:pPr>
        <w:tabs>
          <w:tab w:val="left" w:pos="1260"/>
        </w:tabs>
        <w:autoSpaceDE w:val="0"/>
        <w:autoSpaceDN w:val="0"/>
        <w:spacing w:line="360" w:lineRule="auto"/>
        <w:ind w:firstLine="420" w:firstLineChars="200"/>
        <w:contextualSpacing/>
        <w:jc w:val="left"/>
        <w:rPr>
          <w:rFonts w:hint="eastAsia" w:ascii="宋体" w:hAnsi="宋体" w:eastAsia="宋体" w:cs="宋体"/>
          <w:b/>
          <w:color w:val="auto"/>
          <w:kern w:val="0"/>
          <w:sz w:val="32"/>
          <w:szCs w:val="32"/>
        </w:rPr>
      </w:pPr>
      <w:r>
        <w:rPr>
          <w:rFonts w:hint="eastAsia" w:ascii="宋体" w:hAnsi="宋体" w:cs="宋体"/>
          <w:color w:val="auto"/>
          <w:kern w:val="0"/>
          <w:szCs w:val="21"/>
          <w:highlight w:val="none"/>
        </w:rPr>
        <w:t>本次招标文件未尽事项，以法律法规规定的为准。</w:t>
      </w:r>
    </w:p>
    <w:p w14:paraId="6280F390">
      <w:pPr>
        <w:autoSpaceDE w:val="0"/>
        <w:autoSpaceDN w:val="0"/>
        <w:spacing w:line="360" w:lineRule="auto"/>
        <w:contextualSpacing/>
        <w:jc w:val="center"/>
        <w:rPr>
          <w:rFonts w:hint="eastAsia" w:ascii="宋体" w:hAnsi="宋体" w:eastAsia="宋体" w:cs="宋体"/>
          <w:b/>
          <w:color w:val="auto"/>
          <w:kern w:val="0"/>
          <w:sz w:val="30"/>
          <w:szCs w:val="30"/>
        </w:rPr>
      </w:pPr>
    </w:p>
    <w:p w14:paraId="2B89D265">
      <w:pPr>
        <w:autoSpaceDE w:val="0"/>
        <w:autoSpaceDN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第五章 政府采购政策功能</w:t>
      </w:r>
    </w:p>
    <w:p w14:paraId="2B89D266">
      <w:pPr>
        <w:pStyle w:val="9"/>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2B89D267">
      <w:pPr>
        <w:pStyle w:val="9"/>
        <w:keepNext w:val="0"/>
        <w:keepLines w:val="0"/>
        <w:pageBreakBefore w:val="0"/>
        <w:widowControl w:val="0"/>
        <w:kinsoku/>
        <w:wordWrap/>
        <w:overflowPunct/>
        <w:autoSpaceDE/>
        <w:autoSpaceDN/>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一、节约能源、保护环境</w:t>
      </w:r>
    </w:p>
    <w:p w14:paraId="2B89D268">
      <w:pPr>
        <w:pStyle w:val="9"/>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按照《财政部、发展改革委、生态环境部、市场监管总局关于调整优化节能产品、环境标志产品政府采购执行机制的通知》（财库〔2019〕9号）和</w:t>
      </w:r>
      <w:r>
        <w:rPr>
          <w:rFonts w:hint="eastAsia" w:ascii="宋体" w:hAnsi="宋体" w:eastAsia="宋体" w:cs="宋体"/>
          <w:color w:val="auto"/>
          <w:sz w:val="21"/>
          <w:szCs w:val="21"/>
        </w:rPr>
        <w:t>财政部、生态环境部</w:t>
      </w:r>
      <w:r>
        <w:rPr>
          <w:rFonts w:hint="eastAsia" w:ascii="宋体" w:hAnsi="宋体" w:eastAsia="宋体" w:cs="宋体"/>
          <w:color w:val="auto"/>
          <w:sz w:val="21"/>
          <w:szCs w:val="21"/>
          <w:lang w:val="zh-CN"/>
        </w:rPr>
        <w:t>《关于印发环境标志产品政府采购品目清单的通知》</w:t>
      </w:r>
      <w:r>
        <w:rPr>
          <w:rFonts w:hint="eastAsia" w:ascii="宋体" w:hAnsi="宋体" w:eastAsia="宋体" w:cs="宋体"/>
          <w:color w:val="auto"/>
          <w:sz w:val="21"/>
          <w:szCs w:val="21"/>
        </w:rPr>
        <w:t>（财库〔2019〕18号）以及</w:t>
      </w:r>
      <w:r>
        <w:rPr>
          <w:rFonts w:hint="eastAsia" w:ascii="宋体" w:hAnsi="宋体" w:eastAsia="宋体" w:cs="宋体"/>
          <w:color w:val="auto"/>
          <w:sz w:val="21"/>
          <w:szCs w:val="21"/>
          <w:lang w:val="zh-CN"/>
        </w:rPr>
        <w:t>财政部、发展改革委</w:t>
      </w:r>
      <w:r>
        <w:rPr>
          <w:rFonts w:hint="eastAsia" w:ascii="宋体" w:hAnsi="宋体" w:eastAsia="宋体" w:cs="宋体"/>
          <w:color w:val="auto"/>
          <w:sz w:val="21"/>
          <w:szCs w:val="21"/>
        </w:rPr>
        <w:t>《关于印发节能产品政府采购品目清单的通知》（财库〔2019〕19号）</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采购政府强</w:t>
      </w:r>
      <w:r>
        <w:rPr>
          <w:rFonts w:hint="eastAsia" w:ascii="宋体" w:hAnsi="宋体" w:eastAsia="宋体" w:cs="宋体"/>
          <w:color w:val="auto"/>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2B89D269">
      <w:pPr>
        <w:pStyle w:val="9"/>
        <w:keepNext w:val="0"/>
        <w:keepLines w:val="0"/>
        <w:pageBreakBefore w:val="0"/>
        <w:widowControl w:val="0"/>
        <w:kinsoku/>
        <w:wordWrap/>
        <w:overflowPunct/>
        <w:autoSpaceDE/>
        <w:autoSpaceDN/>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二、促进中小企业发展（不含民办非企业）</w:t>
      </w:r>
    </w:p>
    <w:p w14:paraId="05B4CED4">
      <w:pPr>
        <w:shd w:val="clear"/>
        <w:topLinePunct/>
        <w:spacing w:line="360" w:lineRule="auto"/>
        <w:ind w:firstLine="420" w:firstLineChars="200"/>
        <w:contextualSpacing/>
        <w:rPr>
          <w:rFonts w:hint="eastAsia" w:ascii="宋体" w:hAnsi="宋体" w:eastAsia="宋体" w:cs="宋体"/>
          <w:color w:val="auto"/>
          <w:highlight w:val="none"/>
        </w:rPr>
      </w:pPr>
      <w:r>
        <w:rPr>
          <w:rFonts w:hint="eastAsia" w:ascii="宋体" w:hAnsi="宋体" w:eastAsia="宋体" w:cs="宋体"/>
          <w:color w:val="auto"/>
          <w:highlight w:val="none"/>
        </w:rPr>
        <w:t>（一）专门面向中小微企业采购（本项目专门面向小微企业采购，不再享受相关中小企业扶持政策。）</w:t>
      </w:r>
    </w:p>
    <w:p w14:paraId="737DF033">
      <w:pPr>
        <w:shd w:val="clear"/>
        <w:topLinePunct/>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highlight w:val="none"/>
        </w:rPr>
        <w:t>（二）非</w:t>
      </w:r>
      <w:r>
        <w:rPr>
          <w:rFonts w:hint="eastAsia" w:ascii="宋体" w:hAnsi="宋体" w:eastAsia="宋体" w:cs="宋体"/>
          <w:color w:val="auto"/>
          <w:szCs w:val="21"/>
          <w:highlight w:val="none"/>
          <w:lang w:val="zh-CN"/>
        </w:rPr>
        <w:t>专门面向中小企业预留采购份额</w:t>
      </w:r>
    </w:p>
    <w:p w14:paraId="40CDE547">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本项目如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32206F26">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2.在货物采购项目中，供应商提供的货物既有中小企业制造货物，也有大型企业制造货物的，不享受《政府采购促进中小企业发展管理办法》（财库〔2020〕46号）规定的中小企业扶持政策。</w:t>
      </w:r>
    </w:p>
    <w:p w14:paraId="7A72D69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3.以联合体形式参加政府采购活动，联合体各方均为中小企业的，联合体视同中小企业。其中，联合体各方均为小微企业的，联合体视同小微企业。</w:t>
      </w:r>
    </w:p>
    <w:p w14:paraId="1940D3D1">
      <w:pPr>
        <w:shd w:val="clear"/>
        <w:topLinePunct/>
        <w:spacing w:line="360" w:lineRule="auto"/>
        <w:ind w:firstLine="420"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组成联合体或者接受分包的小微企业与联合体内其他企业、分包企业之间存在直接控股、管理关系的，不享受价格扣除优惠政策。</w:t>
      </w:r>
    </w:p>
    <w:p w14:paraId="50A08A64">
      <w:pPr>
        <w:shd w:val="clear"/>
        <w:topLinePunct/>
        <w:spacing w:line="360" w:lineRule="auto"/>
        <w:ind w:firstLine="420" w:firstLineChars="200"/>
        <w:contextualSpacing/>
        <w:rPr>
          <w:rFonts w:hint="eastAsia" w:ascii="宋体" w:hAnsi="宋体" w:eastAsia="宋体" w:cs="宋体"/>
          <w:b/>
          <w:bCs/>
          <w:color w:val="auto"/>
          <w:sz w:val="21"/>
          <w:szCs w:val="21"/>
          <w:highlight w:val="none"/>
          <w:lang w:val="zh-CN" w:eastAsia="zh-CN"/>
        </w:rPr>
      </w:pPr>
      <w:r>
        <w:rPr>
          <w:rFonts w:hint="eastAsia" w:ascii="宋体" w:hAnsi="宋体" w:eastAsia="宋体" w:cs="宋体"/>
          <w:color w:val="auto"/>
          <w:sz w:val="21"/>
          <w:szCs w:val="21"/>
          <w:highlight w:val="none"/>
          <w:lang w:val="zh-CN" w:eastAsia="zh-CN"/>
        </w:rPr>
        <w:t>5.按照本次采购标的所属行业的划型标准，符合条件的中小企业应按照</w:t>
      </w:r>
      <w:r>
        <w:rPr>
          <w:rFonts w:hint="eastAsia" w:asciiTheme="minorEastAsia" w:hAnsiTheme="minorEastAsia" w:cstheme="minorEastAsia"/>
          <w:bCs/>
          <w:sz w:val="22"/>
          <w:lang w:val="en-US" w:eastAsia="zh-CN"/>
        </w:rPr>
        <w:t>招标</w:t>
      </w:r>
      <w:r>
        <w:rPr>
          <w:rFonts w:hint="eastAsia" w:ascii="宋体" w:hAnsi="宋体" w:eastAsia="宋体" w:cs="宋体"/>
          <w:color w:val="auto"/>
          <w:sz w:val="21"/>
          <w:szCs w:val="21"/>
          <w:highlight w:val="none"/>
          <w:lang w:val="zh-CN" w:eastAsia="zh-CN"/>
        </w:rPr>
        <w:t>文件格式要求提供《中小企业声明函》，否则不得享受相关中小企业扶持政策。</w:t>
      </w:r>
    </w:p>
    <w:p w14:paraId="6D63FD19">
      <w:pPr>
        <w:topLinePunct/>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三、支持监狱企业发展</w:t>
      </w:r>
    </w:p>
    <w:p w14:paraId="2906A4D3">
      <w:pPr>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按照财政部、司法部发布的《关于政府采购支持监狱企业发展有关问题的通知》（</w:t>
      </w:r>
      <w:bookmarkStart w:id="1" w:name="OLE_LINK6"/>
      <w:r>
        <w:rPr>
          <w:rFonts w:hint="eastAsia" w:ascii="宋体" w:hAnsi="宋体" w:eastAsia="宋体" w:cs="宋体"/>
          <w:color w:val="auto"/>
          <w:szCs w:val="21"/>
          <w:highlight w:val="none"/>
          <w:lang w:val="zh-CN"/>
        </w:rPr>
        <w:t>财库〔2014〕68号</w:t>
      </w:r>
      <w:bookmarkEnd w:id="1"/>
      <w:r>
        <w:rPr>
          <w:rFonts w:hint="eastAsia" w:ascii="宋体" w:hAnsi="宋体" w:eastAsia="宋体" w:cs="宋体"/>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2478DA58">
      <w:pPr>
        <w:spacing w:line="360" w:lineRule="auto"/>
        <w:ind w:firstLine="422" w:firstLineChars="200"/>
        <w:contextualSpacing/>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四、促进残疾人就业</w:t>
      </w:r>
    </w:p>
    <w:p w14:paraId="562E8C6E">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宋体" w:hAnsi="宋体" w:eastAsia="宋体" w:cs="宋体"/>
          <w:color w:val="auto"/>
          <w:sz w:val="21"/>
          <w:szCs w:val="21"/>
          <w:highlight w:val="none"/>
        </w:rPr>
        <w:t>残疾人福利性单位属于小型、微型企业的，不重复享受政策。</w:t>
      </w:r>
    </w:p>
    <w:p w14:paraId="3A901D0D">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67468505">
      <w:pPr>
        <w:pStyle w:val="9"/>
        <w:spacing w:line="360" w:lineRule="auto"/>
        <w:ind w:firstLine="420" w:firstLineChars="200"/>
        <w:contextualSpacing/>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3.中标人为残疾人福利性单位的，招标人应当随中标结果同时公告其《残疾人福利性单位声明函》，接受社会监督。</w:t>
      </w:r>
    </w:p>
    <w:p w14:paraId="0B6B89CA">
      <w:pPr>
        <w:topLinePunct/>
        <w:spacing w:line="360" w:lineRule="auto"/>
        <w:ind w:firstLine="420" w:firstLineChars="200"/>
        <w:contextualSpacing/>
        <w:rPr>
          <w:rFonts w:hint="eastAsia" w:asciiTheme="minorEastAsia" w:hAnsiTheme="minorEastAsia" w:eastAsiaTheme="minorEastAsia" w:cstheme="minorEastAsia"/>
          <w:color w:val="0000FF"/>
          <w:sz w:val="21"/>
          <w:szCs w:val="21"/>
          <w:highlight w:val="none"/>
          <w:lang w:val="zh-CN"/>
        </w:rPr>
      </w:pPr>
    </w:p>
    <w:p w14:paraId="11828EF6">
      <w:pPr>
        <w:pStyle w:val="9"/>
        <w:keepNext w:val="0"/>
        <w:keepLines w:val="0"/>
        <w:pageBreakBefore w:val="0"/>
        <w:widowControl w:val="0"/>
        <w:kinsoku/>
        <w:wordWrap/>
        <w:overflowPunct/>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p>
    <w:p w14:paraId="2B89D277">
      <w:pPr>
        <w:pStyle w:val="9"/>
        <w:spacing w:line="360" w:lineRule="auto"/>
        <w:ind w:left="282" w:hanging="282" w:hangingChars="78"/>
        <w:contextualSpacing/>
        <w:jc w:val="center"/>
        <w:rPr>
          <w:rFonts w:hint="eastAsia" w:ascii="宋体" w:hAnsi="宋体" w:eastAsia="宋体" w:cs="宋体"/>
          <w:b/>
          <w:color w:val="auto"/>
          <w:kern w:val="0"/>
          <w:sz w:val="36"/>
          <w:szCs w:val="36"/>
        </w:rPr>
      </w:pPr>
    </w:p>
    <w:p w14:paraId="2B89D278">
      <w:pPr>
        <w:pStyle w:val="7"/>
        <w:rPr>
          <w:rFonts w:hint="eastAsia" w:ascii="宋体" w:hAnsi="宋体" w:eastAsia="宋体" w:cs="宋体"/>
          <w:b/>
          <w:color w:val="auto"/>
          <w:kern w:val="0"/>
          <w:sz w:val="32"/>
          <w:szCs w:val="32"/>
        </w:rPr>
      </w:pPr>
    </w:p>
    <w:p w14:paraId="2B89D27C">
      <w:pPr>
        <w:pStyle w:val="26"/>
        <w:rPr>
          <w:rFonts w:hint="eastAsia" w:ascii="宋体" w:hAnsi="宋体" w:eastAsia="宋体" w:cs="宋体"/>
          <w:color w:val="auto"/>
        </w:rPr>
      </w:pPr>
    </w:p>
    <w:p w14:paraId="772D9DF7">
      <w:pPr>
        <w:pStyle w:val="27"/>
        <w:rPr>
          <w:rFonts w:hint="eastAsia" w:ascii="宋体" w:hAnsi="宋体" w:eastAsia="宋体" w:cs="宋体"/>
          <w:color w:val="auto"/>
        </w:rPr>
      </w:pPr>
    </w:p>
    <w:p w14:paraId="673D5B5D">
      <w:pPr>
        <w:rPr>
          <w:rFonts w:hint="eastAsia" w:ascii="宋体" w:hAnsi="宋体" w:eastAsia="宋体" w:cs="宋体"/>
          <w:color w:val="auto"/>
        </w:rPr>
      </w:pPr>
    </w:p>
    <w:p w14:paraId="10EBF89C">
      <w:pPr>
        <w:rPr>
          <w:rFonts w:hint="eastAsia" w:ascii="宋体" w:hAnsi="宋体" w:eastAsia="宋体" w:cs="宋体"/>
          <w:color w:val="auto"/>
        </w:rPr>
      </w:pPr>
    </w:p>
    <w:p w14:paraId="2B89D27D">
      <w:pPr>
        <w:tabs>
          <w:tab w:val="left" w:pos="1260"/>
        </w:tabs>
        <w:autoSpaceDE w:val="0"/>
        <w:autoSpaceDN w:val="0"/>
        <w:adjustRightInd w:val="0"/>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第六章   资格审查与评标</w:t>
      </w:r>
    </w:p>
    <w:p w14:paraId="2B89D27E">
      <w:pPr>
        <w:pStyle w:val="9"/>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bCs/>
          <w:color w:val="auto"/>
          <w:sz w:val="21"/>
          <w:szCs w:val="21"/>
        </w:rPr>
      </w:pPr>
      <w:r>
        <w:rPr>
          <w:rFonts w:hint="eastAsia" w:ascii="宋体" w:hAnsi="宋体" w:eastAsia="宋体" w:cs="宋体"/>
          <w:b/>
          <w:color w:val="auto"/>
          <w:sz w:val="21"/>
          <w:szCs w:val="21"/>
          <w:lang w:val="zh-CN"/>
        </w:rPr>
        <w:t>一、资格审查</w:t>
      </w:r>
    </w:p>
    <w:p w14:paraId="2B89D27F">
      <w:pPr>
        <w:pStyle w:val="9"/>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（一）开标结束后，采购人依法对投标人资格进行审查。确定符合资格的投标人不少于 3家的，将组织评标委员会进行评标。</w:t>
      </w:r>
    </w:p>
    <w:p w14:paraId="2B89D280">
      <w:pPr>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（二）资格证明材料（本栏所列内容为本项目的资格审查条件，如有一项不符合要求，则不能进入下一步评审）。</w:t>
      </w:r>
    </w:p>
    <w:p w14:paraId="2B89D281">
      <w:pPr>
        <w:keepNext w:val="0"/>
        <w:keepLines w:val="0"/>
        <w:pageBreakBefore w:val="0"/>
        <w:widowControl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（三）资格审查中所涉及的证书及材料，均须在电子投标文件中提供原件扫描件（或图片）。</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2B89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410" w:type="dxa"/>
            <w:vAlign w:val="center"/>
          </w:tcPr>
          <w:p w14:paraId="2B89D28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资格审查因素</w:t>
            </w:r>
          </w:p>
        </w:tc>
        <w:tc>
          <w:tcPr>
            <w:tcW w:w="5954" w:type="dxa"/>
            <w:vAlign w:val="center"/>
          </w:tcPr>
          <w:p w14:paraId="2B89D28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说明与要求</w:t>
            </w:r>
          </w:p>
        </w:tc>
      </w:tr>
      <w:tr w14:paraId="2B89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1</w:t>
            </w:r>
          </w:p>
        </w:tc>
        <w:tc>
          <w:tcPr>
            <w:tcW w:w="2410" w:type="dxa"/>
            <w:vAlign w:val="center"/>
          </w:tcPr>
          <w:p w14:paraId="2B89D28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投标函</w:t>
            </w:r>
          </w:p>
        </w:tc>
        <w:tc>
          <w:tcPr>
            <w:tcW w:w="5954" w:type="dxa"/>
            <w:vAlign w:val="center"/>
          </w:tcPr>
          <w:p w14:paraId="2B89D28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bCs/>
                <w:color w:val="auto"/>
                <w:szCs w:val="21"/>
              </w:rPr>
              <w:t>参考招标文件第八章3.1格式填写</w:t>
            </w:r>
          </w:p>
        </w:tc>
      </w:tr>
      <w:tr w14:paraId="2B89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8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2</w:t>
            </w:r>
          </w:p>
        </w:tc>
        <w:tc>
          <w:tcPr>
            <w:tcW w:w="2410" w:type="dxa"/>
            <w:vAlign w:val="center"/>
          </w:tcPr>
          <w:p w14:paraId="2B89D28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禹州市政府采购</w:t>
            </w:r>
          </w:p>
          <w:p w14:paraId="2B89D28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供应商信用承诺函</w:t>
            </w:r>
          </w:p>
        </w:tc>
        <w:tc>
          <w:tcPr>
            <w:tcW w:w="5954" w:type="dxa"/>
            <w:vAlign w:val="center"/>
          </w:tcPr>
          <w:p w14:paraId="2B89D28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按照招标文件第八章3.</w:t>
            </w:r>
            <w:r>
              <w:rPr>
                <w:rFonts w:hint="eastAsia" w:ascii="宋体" w:hAnsi="宋体" w:eastAsia="宋体" w:cs="宋体"/>
                <w:bCs/>
                <w:color w:val="auto"/>
                <w:szCs w:val="21"/>
              </w:rPr>
              <w:t>4</w:t>
            </w:r>
            <w:r>
              <w:rPr>
                <w:rFonts w:hint="eastAsia" w:ascii="宋体" w:hAnsi="宋体" w:eastAsia="宋体" w:cs="宋体"/>
                <w:bCs/>
                <w:color w:val="auto"/>
                <w:szCs w:val="21"/>
                <w:lang w:val="zh-CN"/>
              </w:rPr>
              <w:t>格式填写</w:t>
            </w:r>
          </w:p>
        </w:tc>
      </w:tr>
      <w:tr w14:paraId="771D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4075C637">
            <w:pPr>
              <w:spacing w:line="360" w:lineRule="auto"/>
              <w:jc w:val="center"/>
              <w:rPr>
                <w:rFonts w:hint="eastAsia" w:ascii="宋体" w:hAnsi="宋体" w:eastAsia="宋体" w:cs="宋体"/>
                <w:b/>
                <w:bCs/>
                <w:color w:val="auto"/>
                <w:szCs w:val="21"/>
                <w:lang w:val="en-US" w:eastAsia="zh-CN"/>
              </w:rPr>
            </w:pPr>
            <w:r>
              <w:rPr>
                <w:rFonts w:hint="eastAsia" w:asciiTheme="minorEastAsia" w:hAnsiTheme="minorEastAsia" w:cstheme="minorEastAsia"/>
                <w:b/>
                <w:bCs/>
                <w:szCs w:val="21"/>
                <w:lang w:val="en-US" w:eastAsia="zh-CN"/>
              </w:rPr>
              <w:t>3</w:t>
            </w:r>
          </w:p>
        </w:tc>
        <w:tc>
          <w:tcPr>
            <w:tcW w:w="2410" w:type="dxa"/>
            <w:vAlign w:val="center"/>
          </w:tcPr>
          <w:p w14:paraId="4ED1175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en-US" w:eastAsia="zh-CN"/>
              </w:rPr>
              <w:t>中小企业</w:t>
            </w:r>
          </w:p>
        </w:tc>
        <w:tc>
          <w:tcPr>
            <w:tcW w:w="5954" w:type="dxa"/>
            <w:vAlign w:val="center"/>
          </w:tcPr>
          <w:p w14:paraId="6DECB016">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en-US" w:eastAsia="zh-CN"/>
              </w:rPr>
              <w:t>提供</w:t>
            </w:r>
            <w:r>
              <w:rPr>
                <w:rFonts w:hint="eastAsia" w:ascii="宋体" w:hAnsi="宋体" w:eastAsia="宋体" w:cs="宋体"/>
                <w:bCs/>
                <w:color w:val="auto"/>
                <w:szCs w:val="21"/>
                <w:lang w:val="zh-CN"/>
              </w:rPr>
              <w:t>中小企业或者残疾人福利性单位声明函或监狱企业证明文件</w:t>
            </w:r>
          </w:p>
          <w:p w14:paraId="4B34F8A0">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1.中小型企业出具《中小企业声明函》</w:t>
            </w:r>
          </w:p>
          <w:p w14:paraId="2765B671">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2.残疾人福利性单位出具《残疾人福利企业声明函》</w:t>
            </w:r>
          </w:p>
          <w:p w14:paraId="6E81A3B7">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lang w:val="zh-CN"/>
              </w:rPr>
            </w:pPr>
            <w:r>
              <w:rPr>
                <w:rFonts w:hint="eastAsia" w:ascii="宋体" w:hAnsi="宋体" w:eastAsia="宋体" w:cs="宋体"/>
                <w:bCs/>
                <w:color w:val="auto"/>
                <w:szCs w:val="21"/>
                <w:lang w:val="zh-CN"/>
              </w:rPr>
              <w:t>3.监狱企业提供由省级以上监狱管理局、戒毒管理局（含新疆生产建设兵团）出具的属于监狱企业的证明文件</w:t>
            </w:r>
          </w:p>
        </w:tc>
      </w:tr>
      <w:tr w14:paraId="2B89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9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lang w:eastAsia="zh-CN"/>
              </w:rPr>
            </w:pPr>
            <w:r>
              <w:rPr>
                <w:rFonts w:hint="eastAsia" w:ascii="宋体" w:hAnsi="宋体" w:eastAsia="宋体" w:cs="宋体"/>
                <w:b/>
                <w:bCs/>
                <w:color w:val="auto"/>
                <w:szCs w:val="21"/>
                <w:lang w:val="en-US" w:eastAsia="zh-CN"/>
              </w:rPr>
              <w:t>4</w:t>
            </w:r>
          </w:p>
        </w:tc>
        <w:tc>
          <w:tcPr>
            <w:tcW w:w="2410" w:type="dxa"/>
            <w:vAlign w:val="center"/>
          </w:tcPr>
          <w:p w14:paraId="2B89D29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b/>
                <w:color w:val="auto"/>
                <w:szCs w:val="21"/>
              </w:rPr>
              <w:t>投标人须具备的特殊</w:t>
            </w:r>
          </w:p>
          <w:p w14:paraId="2B89D29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color w:val="auto"/>
                <w:szCs w:val="21"/>
              </w:rPr>
              <w:t>资质证书</w:t>
            </w:r>
          </w:p>
        </w:tc>
        <w:tc>
          <w:tcPr>
            <w:tcW w:w="5954" w:type="dxa"/>
            <w:vAlign w:val="center"/>
          </w:tcPr>
          <w:p w14:paraId="2B89D29A">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bCs/>
                <w:color w:val="auto"/>
                <w:szCs w:val="21"/>
              </w:rPr>
            </w:pPr>
            <w:r>
              <w:rPr>
                <w:rFonts w:hint="eastAsia" w:ascii="宋体" w:hAnsi="宋体" w:eastAsia="宋体" w:cs="宋体"/>
                <w:bCs/>
                <w:color w:val="auto"/>
                <w:szCs w:val="21"/>
              </w:rPr>
              <w:t>详见招标公告</w:t>
            </w:r>
          </w:p>
        </w:tc>
      </w:tr>
      <w:tr w14:paraId="2B89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9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5</w:t>
            </w:r>
          </w:p>
        </w:tc>
        <w:tc>
          <w:tcPr>
            <w:tcW w:w="2410" w:type="dxa"/>
            <w:vAlign w:val="center"/>
          </w:tcPr>
          <w:p w14:paraId="2B89D29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投标</w:t>
            </w:r>
            <w:r>
              <w:rPr>
                <w:rFonts w:hint="eastAsia" w:ascii="宋体" w:hAnsi="宋体" w:eastAsia="宋体" w:cs="宋体"/>
                <w:b/>
                <w:color w:val="auto"/>
                <w:szCs w:val="21"/>
                <w:lang w:val="zh-CN"/>
              </w:rPr>
              <w:t>报价</w:t>
            </w:r>
          </w:p>
        </w:tc>
        <w:tc>
          <w:tcPr>
            <w:tcW w:w="5954" w:type="dxa"/>
          </w:tcPr>
          <w:p w14:paraId="2B89D29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color w:val="auto"/>
                <w:szCs w:val="21"/>
                <w:lang w:val="zh-CN"/>
              </w:rPr>
              <w:t>投标报价是否超出招标文件中规定的预算金额，超出预算金额的投标无效。如投标人须知前附表规定最高限价，则</w:t>
            </w:r>
            <w:r>
              <w:rPr>
                <w:rFonts w:hint="eastAsia" w:ascii="宋体" w:hAnsi="宋体" w:eastAsia="宋体" w:cs="宋体"/>
                <w:bCs/>
                <w:color w:val="auto"/>
                <w:szCs w:val="21"/>
                <w:lang w:val="zh-CN"/>
              </w:rPr>
              <w:t>超出预算金额和最高限价的投标无效。</w:t>
            </w:r>
          </w:p>
        </w:tc>
      </w:tr>
      <w:tr w14:paraId="2B89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B89D2A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6</w:t>
            </w:r>
          </w:p>
        </w:tc>
        <w:tc>
          <w:tcPr>
            <w:tcW w:w="2410" w:type="dxa"/>
            <w:vAlign w:val="center"/>
          </w:tcPr>
          <w:p w14:paraId="2B89D2A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Cs w:val="21"/>
              </w:rPr>
            </w:pPr>
            <w:r>
              <w:rPr>
                <w:rFonts w:hint="eastAsia" w:ascii="宋体" w:hAnsi="宋体" w:eastAsia="宋体" w:cs="宋体"/>
                <w:b/>
                <w:color w:val="auto"/>
                <w:szCs w:val="21"/>
              </w:rPr>
              <w:t>投标承诺函</w:t>
            </w:r>
          </w:p>
        </w:tc>
        <w:tc>
          <w:tcPr>
            <w:tcW w:w="5954" w:type="dxa"/>
            <w:vAlign w:val="center"/>
          </w:tcPr>
          <w:p w14:paraId="2B89D2A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color w:val="auto"/>
                <w:szCs w:val="21"/>
              </w:rPr>
              <w:t>投标人以投标承诺函的形式替代投标保证金。</w:t>
            </w:r>
          </w:p>
        </w:tc>
      </w:tr>
      <w:tr w14:paraId="2B89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Align w:val="center"/>
          </w:tcPr>
          <w:p w14:paraId="2B89D2A4">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7</w:t>
            </w:r>
          </w:p>
        </w:tc>
        <w:tc>
          <w:tcPr>
            <w:tcW w:w="2410" w:type="dxa"/>
            <w:vAlign w:val="center"/>
          </w:tcPr>
          <w:p w14:paraId="2B89D2A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Cs w:val="21"/>
              </w:rPr>
            </w:pPr>
            <w:r>
              <w:rPr>
                <w:rFonts w:hint="eastAsia" w:ascii="宋体" w:hAnsi="宋体" w:eastAsia="宋体" w:cs="宋体"/>
                <w:b/>
                <w:bCs/>
                <w:color w:val="auto"/>
                <w:szCs w:val="21"/>
              </w:rPr>
              <w:t>联合体协议</w:t>
            </w:r>
          </w:p>
        </w:tc>
        <w:tc>
          <w:tcPr>
            <w:tcW w:w="5954" w:type="dxa"/>
          </w:tcPr>
          <w:p w14:paraId="2B89D2A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Cs/>
                <w:color w:val="auto"/>
                <w:szCs w:val="21"/>
              </w:rPr>
              <w:t>招标文件接受联合体投标且投标人为联合体的，投标人应提供本协议；否则无须提供。</w:t>
            </w:r>
          </w:p>
        </w:tc>
      </w:tr>
      <w:tr w14:paraId="2B89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A8">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8</w:t>
            </w:r>
          </w:p>
        </w:tc>
        <w:tc>
          <w:tcPr>
            <w:tcW w:w="2410" w:type="dxa"/>
            <w:vAlign w:val="center"/>
          </w:tcPr>
          <w:p w14:paraId="2B89D2A9">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eastAsia" w:ascii="宋体" w:hAnsi="宋体" w:eastAsia="宋体" w:cs="宋体"/>
                <w:b/>
                <w:color w:val="auto"/>
                <w:szCs w:val="21"/>
              </w:rPr>
            </w:pPr>
            <w:r>
              <w:rPr>
                <w:rFonts w:hint="eastAsia" w:ascii="宋体" w:hAnsi="宋体" w:eastAsia="宋体" w:cs="宋体"/>
                <w:b/>
                <w:color w:val="auto"/>
                <w:szCs w:val="21"/>
              </w:rPr>
              <w:t>投标人身份证明及授权</w:t>
            </w:r>
          </w:p>
        </w:tc>
        <w:tc>
          <w:tcPr>
            <w:tcW w:w="5954" w:type="dxa"/>
          </w:tcPr>
          <w:p w14:paraId="2B89D2A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（1）法定代表人身份证明或提供法定代表人授权委托书及被授权人身份证明。（法人投标提供）</w:t>
            </w:r>
          </w:p>
          <w:p w14:paraId="2B89D2A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（2）单位负责人身份证明或提供单位负责人授权委托书及被授权人身份证明。（非法人投标提供）</w:t>
            </w:r>
          </w:p>
          <w:p w14:paraId="2B89D2A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注：</w:t>
            </w:r>
          </w:p>
          <w:p w14:paraId="2B89D2A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color w:val="auto"/>
                <w:szCs w:val="21"/>
              </w:rPr>
            </w:pPr>
            <w:r>
              <w:rPr>
                <w:rFonts w:hint="eastAsia" w:ascii="宋体" w:hAnsi="宋体" w:eastAsia="宋体" w:cs="宋体"/>
                <w:color w:val="auto"/>
                <w:szCs w:val="21"/>
              </w:rPr>
              <w:t>①企业（银行、保险、石油石化、电力、电信等行业除外）、事业单位和社会团体投标人以法人身份参加投标的，法定代表人应与实际提交的“营业执照等证明文件”载明的一致。</w:t>
            </w:r>
          </w:p>
          <w:p w14:paraId="2B89D2AE">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Cs w:val="21"/>
              </w:rPr>
            </w:pPr>
            <w:r>
              <w:rPr>
                <w:rFonts w:hint="eastAsia" w:ascii="宋体" w:hAnsi="宋体" w:eastAsia="宋体" w:cs="宋体"/>
                <w:color w:val="auto"/>
                <w:szCs w:val="21"/>
              </w:rPr>
              <w:t>②银行、保险、石油石化、电力、电信等行业：以法人身份</w:t>
            </w:r>
            <w:r>
              <w:rPr>
                <w:rFonts w:hint="eastAsia" w:ascii="宋体" w:hAnsi="宋体" w:eastAsia="宋体" w:cs="宋体"/>
                <w:color w:val="auto"/>
                <w:szCs w:val="21"/>
                <w:lang w:val="en-US" w:eastAsia="zh-CN"/>
              </w:rPr>
              <w:t>8</w:t>
            </w:r>
            <w:r>
              <w:rPr>
                <w:rFonts w:hint="eastAsia" w:ascii="宋体" w:hAnsi="宋体" w:eastAsia="宋体" w:cs="宋体"/>
                <w:color w:val="auto"/>
                <w:szCs w:val="21"/>
              </w:rPr>
              <w:t>加投标的，法定代表人应与实际提交的“营业执照等证明文件”载明的一致；以非法人身份参加投标的，“单位负责人”指代表单位行使职权的主要负责人，应与实际提交的“营业执照等证明文件”载明的一致。</w:t>
            </w:r>
          </w:p>
          <w:p w14:paraId="2B89D2AF">
            <w:pPr>
              <w:keepNext w:val="0"/>
              <w:keepLines w:val="0"/>
              <w:pageBreakBefore w:val="0"/>
              <w:widowControl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b/>
                <w:color w:val="auto"/>
                <w:szCs w:val="21"/>
              </w:rPr>
            </w:pPr>
            <w:r>
              <w:rPr>
                <w:rFonts w:hint="eastAsia" w:ascii="宋体" w:hAnsi="宋体" w:eastAsia="宋体" w:cs="宋体"/>
                <w:color w:val="auto"/>
                <w:szCs w:val="21"/>
              </w:rPr>
              <w:t>③</w:t>
            </w:r>
            <w:r>
              <w:rPr>
                <w:rFonts w:hint="eastAsia" w:ascii="宋体" w:hAnsi="宋体" w:eastAsia="宋体" w:cs="宋体"/>
                <w:color w:val="auto"/>
                <w:kern w:val="0"/>
                <w:szCs w:val="21"/>
              </w:rPr>
              <w:t>投标人为自然人的，无需填写法定代表人授权书。</w:t>
            </w:r>
          </w:p>
        </w:tc>
      </w:tr>
      <w:tr w14:paraId="2B89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B1">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9</w:t>
            </w:r>
          </w:p>
        </w:tc>
        <w:tc>
          <w:tcPr>
            <w:tcW w:w="2410" w:type="dxa"/>
            <w:vAlign w:val="center"/>
          </w:tcPr>
          <w:p w14:paraId="2B89D2B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
                <w:bCs/>
                <w:color w:val="auto"/>
                <w:szCs w:val="21"/>
              </w:rPr>
              <w:t>单位负责人为同一人或者存在直接控股、管理关系的不同供应商，不得参加同一合同项下的政府采购活动</w:t>
            </w:r>
          </w:p>
        </w:tc>
        <w:tc>
          <w:tcPr>
            <w:tcW w:w="5954" w:type="dxa"/>
          </w:tcPr>
          <w:p w14:paraId="2B89D2B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投标人提供与参加本项目投标的其他供应商之间，单位负责人不为同一人并且不存在直接控股、管理关系承诺函（承诺函格式自拟）。</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lang w:val="zh-CN" w:eastAsia="zh-CN"/>
              </w:rPr>
              <w:t>提供加盖</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单位公章的“国家企业信用信息公示系统”中公示的公司信息、股东或投资人信息截图</w:t>
            </w:r>
            <w:r>
              <w:rPr>
                <w:rFonts w:hint="eastAsia" w:ascii="宋体" w:hAnsi="宋体" w:eastAsia="宋体" w:cs="宋体"/>
                <w:color w:val="auto"/>
                <w:sz w:val="21"/>
                <w:szCs w:val="21"/>
                <w:highlight w:val="none"/>
                <w:lang w:val="zh-CN"/>
              </w:rPr>
              <w:t>。</w:t>
            </w:r>
          </w:p>
          <w:p w14:paraId="2B89D2B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p>
        </w:tc>
      </w:tr>
      <w:tr w14:paraId="2B89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B89D2B6">
            <w:pPr>
              <w:keepNext w:val="0"/>
              <w:keepLines w:val="0"/>
              <w:pageBreakBefore w:val="0"/>
              <w:widowControl w:val="0"/>
              <w:kinsoku/>
              <w:wordWrap/>
              <w:overflowPunct/>
              <w:topLinePunct w:val="0"/>
              <w:autoSpaceDE/>
              <w:autoSpaceDN/>
              <w:bidi w:val="0"/>
              <w:adjustRightInd/>
              <w:snapToGrid/>
              <w:spacing w:line="460" w:lineRule="exact"/>
              <w:contextualSpacing/>
              <w:jc w:val="center"/>
              <w:textAlignment w:val="auto"/>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10</w:t>
            </w:r>
          </w:p>
        </w:tc>
        <w:tc>
          <w:tcPr>
            <w:tcW w:w="2410" w:type="dxa"/>
            <w:vAlign w:val="center"/>
          </w:tcPr>
          <w:p w14:paraId="2B89D2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为本项目提供整体设计、规范编制或者项目管理、监理、检测等服务的供应商不得参加本项目投标</w:t>
            </w:r>
          </w:p>
        </w:tc>
        <w:tc>
          <w:tcPr>
            <w:tcW w:w="5954" w:type="dxa"/>
          </w:tcPr>
          <w:p w14:paraId="2B89D2B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w:t>
            </w:r>
            <w:bookmarkStart w:id="2" w:name="baidusnap2"/>
            <w:bookmarkEnd w:id="2"/>
            <w:r>
              <w:rPr>
                <w:rFonts w:hint="eastAsia" w:ascii="宋体" w:hAnsi="宋体" w:eastAsia="宋体" w:cs="宋体"/>
                <w:color w:val="auto"/>
                <w:szCs w:val="21"/>
                <w:lang w:val="zh-CN"/>
              </w:rPr>
              <w:t>提供未为本项目提供整体设计、</w:t>
            </w:r>
            <w:bookmarkStart w:id="3" w:name="baidusnap9"/>
            <w:bookmarkEnd w:id="3"/>
            <w:r>
              <w:rPr>
                <w:rFonts w:hint="eastAsia" w:ascii="宋体" w:hAnsi="宋体" w:eastAsia="宋体" w:cs="宋体"/>
                <w:color w:val="auto"/>
                <w:szCs w:val="21"/>
                <w:lang w:val="zh-CN"/>
              </w:rPr>
              <w:t>规范编制或者项目管理、监理、检测等服务的承诺函（承诺函格式自拟）。</w:t>
            </w:r>
          </w:p>
          <w:p w14:paraId="2B89D2B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bCs/>
                <w:color w:val="auto"/>
                <w:szCs w:val="21"/>
              </w:rPr>
            </w:pPr>
          </w:p>
        </w:tc>
      </w:tr>
    </w:tbl>
    <w:p w14:paraId="2B89D2BB">
      <w:pPr>
        <w:pStyle w:val="9"/>
        <w:keepNext w:val="0"/>
        <w:keepLines w:val="0"/>
        <w:pageBreakBefore w:val="0"/>
        <w:widowControl w:val="0"/>
        <w:kinsoku/>
        <w:wordWrap/>
        <w:overflowPunct/>
        <w:topLinePunct w:val="0"/>
        <w:bidi w:val="0"/>
        <w:adjustRightInd/>
        <w:snapToGrid/>
        <w:spacing w:line="460" w:lineRule="exact"/>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二、评标</w:t>
      </w:r>
    </w:p>
    <w:p w14:paraId="2B89D2BC">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（一）评标方法</w:t>
      </w:r>
    </w:p>
    <w:p w14:paraId="2B89D2BD">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color w:val="auto"/>
          <w:sz w:val="21"/>
          <w:szCs w:val="21"/>
          <w:lang w:val="zh-CN"/>
        </w:rPr>
        <w:t>本项目采用综合评分法。总分为100分。</w:t>
      </w:r>
    </w:p>
    <w:p w14:paraId="2B89D2BE">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（二）评标委员会负责具体评标事务，并独立履行下列职责</w:t>
      </w:r>
    </w:p>
    <w:p w14:paraId="2B89D2BF">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jc w:val="left"/>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1.审查、评价投标文件是否符合招标文件的商务、技术等实质性要求；</w:t>
      </w:r>
    </w:p>
    <w:p w14:paraId="2B89D2C0">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评标委员会对符合资格的投标人的投标文件进行符合性审查，以确定其是否满足招标文件的商务、技术等实质性要求。</w:t>
      </w:r>
    </w:p>
    <w:p w14:paraId="2B89D2C1">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注：符合性审查中所涉及的证书及材料，均应在电子投标文件中提供原件扫描件（或图片）。</w:t>
      </w:r>
    </w:p>
    <w:p w14:paraId="2B89D2C2">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2.要求投标人对投标文件有关事项作出澄清或者说明；</w:t>
      </w:r>
    </w:p>
    <w:p w14:paraId="176770EE">
      <w:pPr>
        <w:pStyle w:val="9"/>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3A34CC37">
      <w:pPr>
        <w:pStyle w:val="9"/>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2</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47519402">
      <w:pPr>
        <w:pStyle w:val="9"/>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2B89D2C5">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3.对投标文件进行比较和评价；</w:t>
      </w:r>
    </w:p>
    <w:p w14:paraId="2B89D2C6">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2B89D2C7">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注：评标标准中所涉及的证书及材料，均应在电子投标文件中提供原件扫描件（或图片）。</w:t>
      </w:r>
    </w:p>
    <w:p w14:paraId="057AD0E9">
      <w:pPr>
        <w:pStyle w:val="9"/>
        <w:keepNext w:val="0"/>
        <w:keepLines w:val="0"/>
        <w:pageBreakBefore w:val="0"/>
        <w:widowControl w:val="0"/>
        <w:kinsoku/>
        <w:wordWrap/>
        <w:overflowPunct/>
        <w:topLinePunct w:val="0"/>
        <w:bidi w:val="0"/>
        <w:adjustRightInd/>
        <w:snapToGrid/>
        <w:spacing w:line="460" w:lineRule="exact"/>
        <w:contextualSpacing/>
        <w:textAlignment w:val="auto"/>
        <w:rPr>
          <w:rFonts w:hint="eastAsia" w:ascii="宋体" w:hAnsi="宋体" w:eastAsia="宋体" w:cs="宋体"/>
          <w:b/>
          <w:color w:val="0000FF"/>
          <w:sz w:val="21"/>
          <w:szCs w:val="21"/>
          <w:highlight w:val="red"/>
          <w:lang w:val="zh-CN"/>
        </w:rPr>
      </w:pPr>
      <w:r>
        <w:rPr>
          <w:rFonts w:hint="eastAsia" w:ascii="宋体" w:hAnsi="宋体" w:eastAsia="宋体" w:cs="宋体"/>
          <w:b/>
          <w:color w:val="auto"/>
          <w:sz w:val="21"/>
          <w:szCs w:val="21"/>
          <w:lang w:val="zh-CN"/>
        </w:rPr>
        <w:t>（1）价格分计算（本项目专门面向小微企业采购，不再享受相关中小企业扶持政策。）</w:t>
      </w:r>
    </w:p>
    <w:p w14:paraId="2B89D2C9">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价格分采用低价优先法计算，即满足采购文件要求且投标价格最低的投标报价为评标基准价，其价格分为满分。因落实政府采购政策进行价格调整的，以调整后的价格计算评标基准价和投标报价。</w:t>
      </w:r>
    </w:p>
    <w:p w14:paraId="2B89D2CA">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rPr>
      </w:pPr>
      <w:r>
        <w:rPr>
          <w:rFonts w:hint="eastAsia" w:ascii="宋体" w:hAnsi="宋体" w:eastAsia="宋体" w:cs="宋体"/>
          <w:color w:val="auto"/>
          <w:sz w:val="21"/>
          <w:szCs w:val="21"/>
          <w:lang w:val="zh-CN"/>
        </w:rPr>
        <w:t>1）</w:t>
      </w:r>
      <w:r>
        <w:rPr>
          <w:rFonts w:hint="eastAsia" w:ascii="宋体" w:hAnsi="宋体" w:eastAsia="宋体" w:cs="宋体"/>
          <w:color w:val="auto"/>
          <w:sz w:val="21"/>
          <w:szCs w:val="21"/>
        </w:rPr>
        <w:t>非专门面向中小企业采购，对符合《政府采购促进中小企业发展管理办法》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财库〔2020〕46号、《关于进一步加大政府采购支持中小企业力度的通知》（财库〔2022〕19号）规定的小微企业报价给予20%的扣除，用扣除后的价格参与评审。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6%的扣除，用扣除后的价格参加评审。组成联合体或者接受分包的小微企业与联合体内其他企业、分包企业之间存在直接控股、管理关系的，不享受价格扣除优惠政策。按照本次采购标的所属行业的划型标准，符合条件的中小企业应按照招标文件格式要求提供《中小企业声明函》，否则不得享受相关中小企业扶持政策。</w:t>
      </w:r>
    </w:p>
    <w:p w14:paraId="2B89D2CB">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小型和微型企业不包含民办非企业单位。</w:t>
      </w:r>
    </w:p>
    <w:p w14:paraId="2B89D2CC">
      <w:pPr>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2）监狱企业视同小型、微型企业，对监狱企业价格给予2</w:t>
      </w:r>
      <w:r>
        <w:rPr>
          <w:rFonts w:hint="eastAsia" w:ascii="宋体" w:hAnsi="宋体" w:eastAsia="宋体" w:cs="宋体"/>
          <w:color w:val="auto"/>
          <w:szCs w:val="21"/>
        </w:rPr>
        <w:t>0%</w:t>
      </w:r>
      <w:r>
        <w:rPr>
          <w:rFonts w:hint="eastAsia" w:ascii="宋体" w:hAnsi="宋体" w:eastAsia="宋体" w:cs="宋体"/>
          <w:color w:val="auto"/>
          <w:szCs w:val="21"/>
          <w:lang w:val="zh-CN"/>
        </w:rPr>
        <w:t>的扣除，用扣除后的价格参与评审。监狱企业应当提供由省级以上监狱管理局、戒毒管理局（含新疆生产建设兵团）出具的属于监狱企业的证明文件。</w:t>
      </w:r>
    </w:p>
    <w:p w14:paraId="2B89D2CD">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3）残疾人福利性单位视同小型、微型企业，对残疾人福利性单位提供本单位制造的货物、承担的工程或者服务，或者提供其他残疾人福利性单位制造的货物（不包括使用非残疾人福利性单位注册商标的货物）价格给予2</w:t>
      </w:r>
      <w:r>
        <w:rPr>
          <w:rFonts w:hint="eastAsia" w:ascii="宋体" w:hAnsi="宋体" w:eastAsia="宋体" w:cs="宋体"/>
          <w:color w:val="auto"/>
          <w:sz w:val="21"/>
          <w:szCs w:val="21"/>
        </w:rPr>
        <w:t>0%</w:t>
      </w:r>
      <w:r>
        <w:rPr>
          <w:rFonts w:hint="eastAsia" w:ascii="宋体" w:hAnsi="宋体" w:eastAsia="宋体" w:cs="宋体"/>
          <w:color w:val="auto"/>
          <w:sz w:val="21"/>
          <w:szCs w:val="21"/>
          <w:lang w:val="zh-CN"/>
        </w:rPr>
        <w:t>的扣除，用扣除后的价格参与评审。符合条件的残疾人福利性单位在参加政府采购活动时，应当提供《三部门联合发布关于促进残疾人就业政府采购政策的通知》规定的《残疾人福利性单位声明函》，并对声明的真实性负责。</w:t>
      </w:r>
      <w:r>
        <w:rPr>
          <w:rFonts w:hint="eastAsia" w:ascii="宋体" w:hAnsi="宋体" w:eastAsia="宋体" w:cs="宋体"/>
          <w:color w:val="auto"/>
          <w:sz w:val="21"/>
          <w:szCs w:val="21"/>
        </w:rPr>
        <w:t>残疾人福利性单位属于小型、微型企业的，不重复享受政策。</w:t>
      </w:r>
    </w:p>
    <w:p w14:paraId="2B89D2CE">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val="zh-CN"/>
        </w:rPr>
        <w:t>关于相同品牌产品</w:t>
      </w:r>
      <w:r>
        <w:rPr>
          <w:rFonts w:hint="eastAsia" w:ascii="宋体" w:hAnsi="宋体" w:eastAsia="宋体" w:cs="宋体"/>
          <w:b/>
          <w:bCs/>
          <w:color w:val="auto"/>
          <w:sz w:val="21"/>
          <w:szCs w:val="21"/>
          <w:lang w:val="zh-CN"/>
        </w:rPr>
        <w:t>（服务类项目不适用本条款规定）</w:t>
      </w:r>
    </w:p>
    <w:p w14:paraId="2B89D2CF">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采取随机抽取方式确定一个参加评标的投标人，其他投标无效。</w:t>
      </w:r>
    </w:p>
    <w:p w14:paraId="2B89D2D0">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用综合评分法的，提供相同品牌产品（非单一产品采购项目，多家投标人提供的核心产品品牌相同）且通过资格审查、符合性审查的不同投标人参加同一合同项下投标的，按一家投标人计算，评审后得分最高的同品牌投标人作为中标候选人推荐；评审得分相同的，由采购人或者采购人委托评标委员会采取随机抽取方式确定一个投标人获得中标人推荐资格，其他同品牌投标人不作为中标候选人。</w:t>
      </w:r>
    </w:p>
    <w:p w14:paraId="2B89D2D1">
      <w:pPr>
        <w:pStyle w:val="9"/>
        <w:keepNext w:val="0"/>
        <w:keepLines w:val="0"/>
        <w:pageBreakBefore w:val="0"/>
        <w:widowControl w:val="0"/>
        <w:kinsoku/>
        <w:wordWrap/>
        <w:overflowPunct/>
        <w:topLinePunct w:val="0"/>
        <w:bidi w:val="0"/>
        <w:adjustRightInd/>
        <w:snapToGrid/>
        <w:spacing w:line="460" w:lineRule="exact"/>
        <w:ind w:firstLine="422" w:firstLineChars="200"/>
        <w:contextualSpacing/>
        <w:textAlignment w:val="auto"/>
        <w:rPr>
          <w:rFonts w:hint="eastAsia" w:ascii="宋体" w:hAnsi="宋体" w:eastAsia="宋体" w:cs="宋体"/>
          <w:b/>
          <w:color w:val="auto"/>
          <w:sz w:val="21"/>
          <w:szCs w:val="21"/>
          <w:lang w:val="zh-CN"/>
        </w:rPr>
      </w:pPr>
      <w:r>
        <w:rPr>
          <w:rFonts w:hint="eastAsia" w:ascii="宋体" w:hAnsi="宋体" w:eastAsia="宋体" w:cs="宋体"/>
          <w:b/>
          <w:color w:val="auto"/>
          <w:sz w:val="21"/>
          <w:szCs w:val="21"/>
        </w:rPr>
        <w:t>（3）强制采购节能产品和优先采购节能产品、优先采购环保产品</w:t>
      </w:r>
    </w:p>
    <w:p w14:paraId="2B89D2D2">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1）对《节能产品政府采购品目清单》所列的政府强制采购节能产品</w:t>
      </w:r>
      <w:r>
        <w:rPr>
          <w:rFonts w:hint="eastAsia" w:ascii="宋体" w:hAnsi="宋体" w:eastAsia="宋体" w:cs="宋体"/>
          <w:color w:val="auto"/>
          <w:sz w:val="21"/>
          <w:szCs w:val="21"/>
        </w:rPr>
        <w:t>，</w:t>
      </w:r>
      <w:r>
        <w:rPr>
          <w:rFonts w:hint="eastAsia" w:ascii="宋体" w:hAnsi="宋体" w:eastAsia="宋体" w:cs="宋体"/>
          <w:color w:val="auto"/>
          <w:sz w:val="21"/>
          <w:szCs w:val="21"/>
          <w:lang w:val="zh-CN"/>
        </w:rPr>
        <w:t>投标人投标文件中应提供具有国家确定的认证机构出具的、处于有效期之内的节能产品或环境标志产品认证证书，否则将承担其投标被视为非实质性响应投标的风险。</w:t>
      </w:r>
    </w:p>
    <w:p w14:paraId="2B89D2D3">
      <w:pPr>
        <w:pStyle w:val="9"/>
        <w:keepNext w:val="0"/>
        <w:keepLines w:val="0"/>
        <w:pageBreakBefore w:val="0"/>
        <w:widowControl w:val="0"/>
        <w:kinsoku/>
        <w:wordWrap/>
        <w:overflowPunct/>
        <w:topLinePunct w:val="0"/>
        <w:bidi w:val="0"/>
        <w:adjustRightInd/>
        <w:snapToGrid/>
        <w:spacing w:line="460" w:lineRule="exact"/>
        <w:ind w:firstLine="465"/>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投标人所投其他产品若属于《节能产品政府采购品目清单》优先采购产品，投标文件中应提供具有国家确定的认证机构出具的、处于有效期之内的节能产品认证证书，评标委员会根据本项目评标标准予以判定并赋分。</w:t>
      </w:r>
    </w:p>
    <w:p w14:paraId="2B89D2D4">
      <w:pPr>
        <w:pStyle w:val="9"/>
        <w:keepNext w:val="0"/>
        <w:keepLines w:val="0"/>
        <w:pageBreakBefore w:val="0"/>
        <w:widowControl w:val="0"/>
        <w:kinsoku/>
        <w:wordWrap/>
        <w:overflowPunct/>
        <w:topLinePunct w:val="0"/>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2B89D2D5">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 xml:space="preserve">    （</w:t>
      </w:r>
      <w:r>
        <w:rPr>
          <w:rFonts w:hint="eastAsia" w:ascii="宋体" w:hAnsi="宋体" w:eastAsia="宋体" w:cs="宋体"/>
          <w:b/>
          <w:color w:val="auto"/>
          <w:szCs w:val="21"/>
        </w:rPr>
        <w:t>4</w:t>
      </w:r>
      <w:r>
        <w:rPr>
          <w:rFonts w:hint="eastAsia" w:ascii="宋体" w:hAnsi="宋体" w:eastAsia="宋体" w:cs="宋体"/>
          <w:b/>
          <w:color w:val="auto"/>
          <w:szCs w:val="21"/>
          <w:lang w:val="zh-CN"/>
        </w:rPr>
        <w:t xml:space="preserve">）网络关键设备、网络安全专用产品要求 </w:t>
      </w:r>
    </w:p>
    <w:p w14:paraId="2B89D2D6">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val="zh-CN"/>
        </w:rPr>
        <w:t>项目中涉及网络关键设备或网络安全专用产品的，至少符合以下条件之一：一是已由具备资格的机构安全认证合格或安全检测符合要求；二是已获得《计算机信息系统安全专用产品销售许可证》，且在有效期内。</w:t>
      </w:r>
    </w:p>
    <w:p w14:paraId="2B89D2D7">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提供资料（下列资料任意一项）</w:t>
      </w:r>
    </w:p>
    <w:p w14:paraId="2B89D2D8">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①网络关键设备和网络安全专用产品安全认证证书；</w:t>
      </w:r>
    </w:p>
    <w:p w14:paraId="2B89D2D9">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②网络关键设备安全检测证书、网络安全专用产品安全检测证书；</w:t>
      </w:r>
    </w:p>
    <w:p w14:paraId="2B89D2DA">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③计算机信息系统安全专用产品销售许可证；</w:t>
      </w:r>
    </w:p>
    <w:p w14:paraId="2B89D2DB">
      <w:pPr>
        <w:pStyle w:val="7"/>
        <w:keepNext w:val="0"/>
        <w:keepLines w:val="0"/>
        <w:pageBreakBefore w:val="0"/>
        <w:widowControl w:val="0"/>
        <w:kinsoku/>
        <w:wordWrap/>
        <w:overflowPunct/>
        <w:topLinePunct w:val="0"/>
        <w:bidi w:val="0"/>
        <w:adjustRightInd/>
        <w:snapToGrid/>
        <w:spacing w:after="0" w:line="460" w:lineRule="exact"/>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 xml:space="preserve">    ④中国网信网或工业和信息化部网站或公安部网站或国家认证认可监督管理委员会网站公布的认证、检测结果（提供公布安全认证、安全检测结果页面网址和安全认证、检测结果截图）。</w:t>
      </w:r>
    </w:p>
    <w:p w14:paraId="2B89D2DC">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w:t>
      </w:r>
      <w:r>
        <w:rPr>
          <w:rFonts w:hint="eastAsia" w:ascii="宋体" w:hAnsi="宋体" w:eastAsia="宋体" w:cs="宋体"/>
          <w:b/>
          <w:color w:val="auto"/>
          <w:szCs w:val="21"/>
        </w:rPr>
        <w:t>5</w:t>
      </w:r>
      <w:r>
        <w:rPr>
          <w:rFonts w:hint="eastAsia" w:ascii="宋体" w:hAnsi="宋体" w:eastAsia="宋体" w:cs="宋体"/>
          <w:b/>
          <w:color w:val="auto"/>
          <w:szCs w:val="21"/>
          <w:lang w:val="zh-CN"/>
        </w:rPr>
        <w:t>）投标无效情形</w:t>
      </w:r>
    </w:p>
    <w:p w14:paraId="2B89D2DD">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2B89D2DE">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2）符合性审查资料未按招标文件要求签署、盖章的；</w:t>
      </w:r>
    </w:p>
    <w:p w14:paraId="2B89D2DF">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3）有下列情形之一的，视为投标人串通投标，其投标无效：</w:t>
      </w:r>
    </w:p>
    <w:p w14:paraId="2B89D2E0">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a.不同投标人的投标文件由同一单位或者个人编制；</w:t>
      </w:r>
    </w:p>
    <w:p w14:paraId="2B89D2E1">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b.不同投标人委托同一单位或者个人办理投标事宜；</w:t>
      </w:r>
    </w:p>
    <w:p w14:paraId="2B89D2E2">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c.不同投标人的投标文件载明的项目管理成员或者联系人员为同一人；</w:t>
      </w:r>
    </w:p>
    <w:p w14:paraId="2B89D2E3">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d.不同投标人的投标文件异常一致或者投标报价呈规律性差异；</w:t>
      </w:r>
    </w:p>
    <w:p w14:paraId="2B89D2E4">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e.不同投标人的投标文件相互混装；</w:t>
      </w:r>
    </w:p>
    <w:p w14:paraId="0A0662EB">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ascii="宋体" w:hAnsi="宋体" w:eastAsia="宋体" w:cs="宋体"/>
          <w:color w:val="auto"/>
          <w:szCs w:val="21"/>
          <w:lang w:val="zh-CN"/>
        </w:rPr>
        <w:t>4）评标委员会认为投标人的报价明显低于其他通过符合性审查的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231FC32">
      <w:pPr>
        <w:tabs>
          <w:tab w:val="left" w:pos="1260"/>
        </w:tabs>
        <w:autoSpaceDE w:val="0"/>
        <w:autoSpaceDN w:val="0"/>
        <w:spacing w:line="360" w:lineRule="auto"/>
        <w:ind w:firstLine="420" w:firstLineChars="200"/>
        <w:contextualSpacing/>
        <w:rPr>
          <w:rFonts w:hint="eastAsia" w:ascii="宋体" w:hAnsi="宋体" w:eastAsia="宋体" w:cs="宋体"/>
          <w:color w:val="auto"/>
          <w:szCs w:val="21"/>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予供应商的时间不少于60分钟）对投标（响应）价格作出解释、提供证明材料，投标（响应）供应商未在规定时间内提供书面说明、证明材料，或者提供的书面说明、证明材料不能证明其报价合理性的，评标委员会应当将其作为无效投标（响应）处理。</w:t>
      </w:r>
    </w:p>
    <w:p w14:paraId="2B89D2E6">
      <w:pPr>
        <w:keepNext w:val="0"/>
        <w:keepLines w:val="0"/>
        <w:pageBreakBefore w:val="0"/>
        <w:widowControl w:val="0"/>
        <w:tabs>
          <w:tab w:val="left" w:pos="1260"/>
        </w:tabs>
        <w:kinsoku/>
        <w:wordWrap/>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val="zh-CN"/>
        </w:rPr>
        <w:t>）法律法规和招标文件规定的其他无效情形。</w:t>
      </w:r>
    </w:p>
    <w:p w14:paraId="2B89D305">
      <w:pPr>
        <w:pStyle w:val="9"/>
        <w:numPr>
          <w:ilvl w:val="0"/>
          <w:numId w:val="0"/>
        </w:numPr>
        <w:spacing w:line="360" w:lineRule="auto"/>
        <w:contextualSpacing/>
        <w:rPr>
          <w:rFonts w:hint="eastAsia" w:ascii="宋体" w:hAnsi="宋体" w:eastAsia="宋体" w:cs="宋体"/>
          <w:color w:val="auto"/>
          <w:lang w:val="zh-CN"/>
        </w:rPr>
      </w:pPr>
      <w:r>
        <w:rPr>
          <w:rFonts w:hint="eastAsia" w:ascii="宋体" w:hAnsi="宋体" w:eastAsia="宋体" w:cs="宋体"/>
          <w:b/>
          <w:color w:val="auto"/>
          <w:sz w:val="21"/>
          <w:szCs w:val="21"/>
          <w:lang w:val="zh-CN"/>
        </w:rPr>
        <w:t>（</w:t>
      </w:r>
      <w:r>
        <w:rPr>
          <w:rFonts w:hint="eastAsia" w:ascii="宋体" w:hAnsi="宋体" w:eastAsia="宋体" w:cs="宋体"/>
          <w:b/>
          <w:color w:val="auto"/>
          <w:sz w:val="21"/>
          <w:szCs w:val="21"/>
          <w:lang w:val="en-US" w:eastAsia="zh-CN"/>
        </w:rPr>
        <w:t>6</w:t>
      </w:r>
      <w:r>
        <w:rPr>
          <w:rFonts w:hint="eastAsia" w:ascii="宋体" w:hAnsi="宋体" w:eastAsia="宋体" w:cs="宋体"/>
          <w:b/>
          <w:color w:val="auto"/>
          <w:sz w:val="21"/>
          <w:szCs w:val="21"/>
          <w:lang w:val="zh-CN"/>
        </w:rPr>
        <w:t>）评标标准</w:t>
      </w:r>
    </w:p>
    <w:tbl>
      <w:tblPr>
        <w:tblStyle w:val="18"/>
        <w:tblpPr w:leftFromText="180" w:rightFromText="180" w:vertAnchor="text" w:horzAnchor="page" w:tblpX="1439" w:tblpY="429"/>
        <w:tblOverlap w:val="never"/>
        <w:tblW w:w="91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6"/>
        <w:gridCol w:w="6310"/>
        <w:gridCol w:w="873"/>
      </w:tblGrid>
      <w:tr w14:paraId="6E57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976" w:type="dxa"/>
            <w:tcBorders>
              <w:top w:val="single" w:color="auto" w:sz="4" w:space="0"/>
              <w:left w:val="single" w:color="auto" w:sz="4" w:space="0"/>
              <w:bottom w:val="single" w:color="auto" w:sz="4" w:space="0"/>
              <w:right w:val="single" w:color="auto" w:sz="4" w:space="0"/>
            </w:tcBorders>
            <w:vAlign w:val="center"/>
          </w:tcPr>
          <w:p w14:paraId="1292BAEE">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分值构成</w:t>
            </w:r>
          </w:p>
          <w:p w14:paraId="08621F8D">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（总分100分）</w:t>
            </w:r>
          </w:p>
        </w:tc>
        <w:tc>
          <w:tcPr>
            <w:tcW w:w="7183" w:type="dxa"/>
            <w:gridSpan w:val="2"/>
            <w:tcBorders>
              <w:top w:val="single" w:color="auto" w:sz="4" w:space="0"/>
              <w:left w:val="single" w:color="auto" w:sz="4" w:space="0"/>
              <w:bottom w:val="single" w:color="auto" w:sz="4" w:space="0"/>
              <w:right w:val="single" w:color="auto" w:sz="4" w:space="0"/>
            </w:tcBorders>
            <w:vAlign w:val="center"/>
          </w:tcPr>
          <w:p w14:paraId="507D49CE">
            <w:pPr>
              <w:tabs>
                <w:tab w:val="left" w:pos="1260"/>
              </w:tabs>
              <w:autoSpaceDE w:val="0"/>
              <w:autoSpaceDN w:val="0"/>
              <w:spacing w:line="360" w:lineRule="auto"/>
              <w:ind w:firstLine="420" w:firstLineChars="200"/>
              <w:contextualSpacing/>
              <w:rPr>
                <w:rFonts w:ascii="宋体" w:hAnsi="宋体" w:eastAsia="宋体" w:cs="宋体"/>
                <w:szCs w:val="21"/>
                <w:lang w:val="zh-CN"/>
              </w:rPr>
            </w:pPr>
            <w:r>
              <w:rPr>
                <w:rFonts w:hint="eastAsia" w:ascii="宋体" w:hAnsi="宋体" w:eastAsia="宋体" w:cs="宋体"/>
                <w:szCs w:val="21"/>
                <w:lang w:val="zh-CN"/>
              </w:rPr>
              <w:t>价格得分：</w:t>
            </w:r>
            <w:r>
              <w:rPr>
                <w:rFonts w:hint="eastAsia" w:ascii="宋体" w:hAnsi="宋体" w:eastAsia="宋体" w:cs="宋体"/>
                <w:szCs w:val="21"/>
                <w:lang w:val="en-US" w:eastAsia="zh-CN"/>
              </w:rPr>
              <w:t>30</w:t>
            </w:r>
            <w:r>
              <w:rPr>
                <w:rFonts w:ascii="宋体" w:hAnsi="宋体" w:eastAsia="宋体" w:cs="宋体"/>
                <w:szCs w:val="21"/>
                <w:lang w:val="zh-CN"/>
              </w:rPr>
              <w:t>分</w:t>
            </w:r>
          </w:p>
          <w:p w14:paraId="01082162">
            <w:pPr>
              <w:tabs>
                <w:tab w:val="left" w:pos="1260"/>
              </w:tabs>
              <w:autoSpaceDE w:val="0"/>
              <w:autoSpaceDN w:val="0"/>
              <w:spacing w:line="360" w:lineRule="auto"/>
              <w:ind w:firstLine="420" w:firstLineChars="200"/>
              <w:contextualSpacing/>
              <w:rPr>
                <w:rFonts w:ascii="宋体" w:hAnsi="宋体" w:eastAsia="宋体" w:cs="宋体"/>
                <w:szCs w:val="21"/>
                <w:lang w:val="zh-CN"/>
              </w:rPr>
            </w:pPr>
            <w:r>
              <w:rPr>
                <w:rFonts w:hint="eastAsia" w:ascii="宋体" w:hAnsi="宋体" w:eastAsia="宋体" w:cs="宋体"/>
                <w:szCs w:val="21"/>
                <w:lang w:val="zh-CN"/>
              </w:rPr>
              <w:t>商务部分：</w:t>
            </w:r>
            <w:r>
              <w:rPr>
                <w:rFonts w:hint="eastAsia" w:ascii="宋体" w:hAnsi="宋体" w:eastAsia="宋体" w:cs="宋体"/>
                <w:szCs w:val="21"/>
              </w:rPr>
              <w:t>15</w:t>
            </w:r>
            <w:r>
              <w:rPr>
                <w:rFonts w:hint="eastAsia" w:ascii="宋体" w:hAnsi="宋体" w:eastAsia="宋体" w:cs="宋体"/>
                <w:szCs w:val="21"/>
                <w:lang w:val="zh-CN"/>
              </w:rPr>
              <w:t>分</w:t>
            </w:r>
          </w:p>
          <w:p w14:paraId="63F4643F">
            <w:pPr>
              <w:tabs>
                <w:tab w:val="left" w:pos="1260"/>
              </w:tabs>
              <w:autoSpaceDE w:val="0"/>
              <w:autoSpaceDN w:val="0"/>
              <w:spacing w:line="360" w:lineRule="auto"/>
              <w:ind w:firstLine="420" w:firstLineChars="200"/>
              <w:contextualSpacing/>
              <w:rPr>
                <w:rFonts w:ascii="宋体" w:hAnsi="宋体" w:eastAsia="宋体" w:cs="宋体"/>
                <w:szCs w:val="21"/>
                <w:lang w:val="zh-CN"/>
              </w:rPr>
            </w:pPr>
            <w:r>
              <w:rPr>
                <w:rFonts w:hint="eastAsia" w:ascii="宋体" w:hAnsi="宋体" w:eastAsia="宋体" w:cs="宋体"/>
                <w:szCs w:val="21"/>
                <w:lang w:val="zh-CN"/>
              </w:rPr>
              <w:t>技术部分：</w:t>
            </w:r>
            <w:r>
              <w:rPr>
                <w:rFonts w:hint="eastAsia" w:ascii="宋体" w:hAnsi="宋体" w:eastAsia="宋体" w:cs="宋体"/>
                <w:szCs w:val="21"/>
                <w:lang w:val="en-US" w:eastAsia="zh-CN"/>
              </w:rPr>
              <w:t>5</w:t>
            </w:r>
            <w:r>
              <w:rPr>
                <w:rFonts w:hint="eastAsia" w:ascii="宋体" w:hAnsi="宋体" w:eastAsia="宋体" w:cs="宋体"/>
                <w:szCs w:val="21"/>
              </w:rPr>
              <w:t>5</w:t>
            </w:r>
            <w:r>
              <w:rPr>
                <w:rFonts w:hint="eastAsia" w:ascii="宋体" w:hAnsi="宋体" w:eastAsia="宋体" w:cs="宋体"/>
                <w:szCs w:val="21"/>
                <w:lang w:val="zh-CN"/>
              </w:rPr>
              <w:t>分</w:t>
            </w:r>
          </w:p>
        </w:tc>
      </w:tr>
      <w:tr w14:paraId="3B68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159" w:type="dxa"/>
            <w:gridSpan w:val="3"/>
            <w:tcBorders>
              <w:top w:val="single" w:color="auto" w:sz="4" w:space="0"/>
              <w:left w:val="single" w:color="auto" w:sz="4" w:space="0"/>
              <w:bottom w:val="single" w:color="auto" w:sz="4" w:space="0"/>
              <w:right w:val="single" w:color="auto" w:sz="4" w:space="0"/>
            </w:tcBorders>
            <w:vAlign w:val="center"/>
          </w:tcPr>
          <w:p w14:paraId="1E11F02D">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一、价格得分（满分</w:t>
            </w:r>
            <w:r>
              <w:rPr>
                <w:rFonts w:hint="eastAsia" w:ascii="宋体" w:hAnsi="宋体" w:eastAsia="宋体" w:cs="宋体"/>
                <w:szCs w:val="21"/>
                <w:lang w:val="en-US" w:eastAsia="zh-CN"/>
              </w:rPr>
              <w:t>30</w:t>
            </w:r>
            <w:r>
              <w:rPr>
                <w:rFonts w:hint="eastAsia" w:ascii="宋体" w:hAnsi="宋体" w:eastAsia="宋体" w:cs="宋体"/>
                <w:szCs w:val="21"/>
                <w:lang w:val="zh-CN"/>
              </w:rPr>
              <w:t>分）</w:t>
            </w:r>
          </w:p>
        </w:tc>
      </w:tr>
      <w:tr w14:paraId="0D67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976" w:type="dxa"/>
            <w:tcBorders>
              <w:top w:val="single" w:color="auto" w:sz="4" w:space="0"/>
              <w:left w:val="single" w:color="auto" w:sz="4" w:space="0"/>
              <w:bottom w:val="single" w:color="auto" w:sz="4" w:space="0"/>
              <w:right w:val="single" w:color="auto" w:sz="4" w:space="0"/>
            </w:tcBorders>
            <w:vAlign w:val="center"/>
          </w:tcPr>
          <w:p w14:paraId="2E3CD839">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评分因素</w:t>
            </w:r>
          </w:p>
        </w:tc>
        <w:tc>
          <w:tcPr>
            <w:tcW w:w="6310" w:type="dxa"/>
            <w:tcBorders>
              <w:top w:val="single" w:color="auto" w:sz="4" w:space="0"/>
              <w:left w:val="single" w:color="auto" w:sz="4" w:space="0"/>
              <w:bottom w:val="single" w:color="auto" w:sz="4" w:space="0"/>
              <w:right w:val="single" w:color="auto" w:sz="4" w:space="0"/>
            </w:tcBorders>
            <w:vAlign w:val="center"/>
          </w:tcPr>
          <w:p w14:paraId="6CFAD54F">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评分标准</w:t>
            </w:r>
          </w:p>
        </w:tc>
        <w:tc>
          <w:tcPr>
            <w:tcW w:w="873" w:type="dxa"/>
            <w:tcBorders>
              <w:top w:val="single" w:color="auto" w:sz="4" w:space="0"/>
              <w:left w:val="single" w:color="auto" w:sz="4" w:space="0"/>
              <w:bottom w:val="single" w:color="auto" w:sz="4" w:space="0"/>
              <w:right w:val="single" w:color="auto" w:sz="4" w:space="0"/>
            </w:tcBorders>
            <w:vAlign w:val="center"/>
          </w:tcPr>
          <w:p w14:paraId="206D6543">
            <w:pPr>
              <w:tabs>
                <w:tab w:val="left" w:pos="1260"/>
              </w:tabs>
              <w:autoSpaceDE w:val="0"/>
              <w:autoSpaceDN w:val="0"/>
              <w:spacing w:line="330" w:lineRule="atLeast"/>
              <w:contextualSpacing/>
              <w:jc w:val="center"/>
              <w:rPr>
                <w:rFonts w:ascii="宋体" w:hAnsi="宋体" w:eastAsia="宋体" w:cs="宋体"/>
                <w:szCs w:val="21"/>
                <w:lang w:val="zh-CN"/>
              </w:rPr>
            </w:pPr>
            <w:r>
              <w:rPr>
                <w:rFonts w:hint="eastAsia" w:ascii="宋体" w:hAnsi="宋体" w:eastAsia="宋体" w:cs="宋体"/>
                <w:szCs w:val="21"/>
                <w:lang w:val="zh-CN"/>
              </w:rPr>
              <w:t>分值</w:t>
            </w:r>
          </w:p>
        </w:tc>
      </w:tr>
      <w:tr w14:paraId="1D37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976" w:type="dxa"/>
            <w:tcBorders>
              <w:top w:val="single" w:color="auto" w:sz="4" w:space="0"/>
              <w:left w:val="single" w:color="auto" w:sz="4" w:space="0"/>
              <w:bottom w:val="single" w:color="auto" w:sz="4" w:space="0"/>
              <w:right w:val="single" w:color="auto" w:sz="4" w:space="0"/>
            </w:tcBorders>
            <w:vAlign w:val="center"/>
          </w:tcPr>
          <w:p w14:paraId="700618C2">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投标报价</w:t>
            </w:r>
          </w:p>
          <w:p w14:paraId="15D9F4A2">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评分标准</w:t>
            </w:r>
          </w:p>
        </w:tc>
        <w:tc>
          <w:tcPr>
            <w:tcW w:w="6310" w:type="dxa"/>
            <w:tcBorders>
              <w:top w:val="single" w:color="auto" w:sz="4" w:space="0"/>
              <w:left w:val="single" w:color="auto" w:sz="4" w:space="0"/>
              <w:bottom w:val="single" w:color="auto" w:sz="4" w:space="0"/>
              <w:right w:val="single" w:color="auto" w:sz="4" w:space="0"/>
            </w:tcBorders>
            <w:vAlign w:val="center"/>
          </w:tcPr>
          <w:p w14:paraId="51DBEE1A">
            <w:pPr>
              <w:tabs>
                <w:tab w:val="left" w:pos="1260"/>
              </w:tabs>
              <w:autoSpaceDE w:val="0"/>
              <w:autoSpaceDN w:val="0"/>
              <w:spacing w:line="360" w:lineRule="auto"/>
              <w:ind w:firstLine="420" w:firstLineChars="200"/>
              <w:contextualSpacing/>
              <w:rPr>
                <w:rFonts w:ascii="宋体" w:hAnsi="宋体" w:eastAsia="宋体" w:cs="宋体"/>
                <w:szCs w:val="21"/>
                <w:lang w:val="zh-CN"/>
              </w:rPr>
            </w:pPr>
            <w:r>
              <w:rPr>
                <w:rFonts w:hint="eastAsia" w:ascii="宋体" w:hAnsi="宋体" w:eastAsia="宋体" w:cs="宋体"/>
                <w:szCs w:val="21"/>
                <w:lang w:val="zh-CN"/>
              </w:rPr>
              <w:t>投标报价得分采用低价优先法计算，即满足招标文件要求且投标价格最低的投标报价为评标基准价，其价格分为满分。</w:t>
            </w:r>
          </w:p>
          <w:p w14:paraId="388BA932">
            <w:pPr>
              <w:tabs>
                <w:tab w:val="left" w:pos="1260"/>
              </w:tabs>
              <w:autoSpaceDE w:val="0"/>
              <w:autoSpaceDN w:val="0"/>
              <w:spacing w:line="360" w:lineRule="auto"/>
              <w:ind w:firstLine="420" w:firstLineChars="200"/>
              <w:contextualSpacing/>
              <w:rPr>
                <w:rFonts w:ascii="宋体" w:hAnsi="宋体" w:eastAsia="宋体" w:cs="宋体"/>
                <w:szCs w:val="21"/>
                <w:lang w:val="zh-CN"/>
              </w:rPr>
            </w:pPr>
            <w:r>
              <w:rPr>
                <w:rFonts w:hint="eastAsia" w:ascii="宋体" w:hAnsi="宋体" w:eastAsia="宋体" w:cs="宋体"/>
                <w:szCs w:val="21"/>
                <w:lang w:val="zh-CN"/>
              </w:rPr>
              <w:t>其他投标人的价格分统一按照下列公式计算：</w:t>
            </w:r>
          </w:p>
          <w:p w14:paraId="21F28B8D">
            <w:pPr>
              <w:tabs>
                <w:tab w:val="left" w:pos="1260"/>
              </w:tabs>
              <w:autoSpaceDE w:val="0"/>
              <w:autoSpaceDN w:val="0"/>
              <w:spacing w:line="360" w:lineRule="auto"/>
              <w:ind w:firstLine="420" w:firstLineChars="200"/>
              <w:contextualSpacing/>
              <w:rPr>
                <w:rFonts w:hint="default" w:ascii="宋体" w:hAnsi="宋体" w:eastAsia="宋体" w:cs="宋体"/>
                <w:szCs w:val="21"/>
                <w:lang w:val="en-US" w:eastAsia="zh-CN"/>
              </w:rPr>
            </w:pPr>
            <w:r>
              <w:rPr>
                <w:rFonts w:hint="eastAsia" w:ascii="宋体" w:hAnsi="宋体" w:eastAsia="宋体" w:cs="宋体"/>
                <w:szCs w:val="21"/>
                <w:lang w:val="zh-CN"/>
              </w:rPr>
              <w:t>投标报价得分=（评标基准价/投标报价）×</w:t>
            </w:r>
            <w:r>
              <w:rPr>
                <w:rFonts w:hint="eastAsia" w:ascii="宋体" w:hAnsi="宋体" w:eastAsia="宋体" w:cs="宋体"/>
                <w:szCs w:val="21"/>
                <w:lang w:val="en-US" w:eastAsia="zh-CN"/>
              </w:rPr>
              <w:t>30</w:t>
            </w:r>
          </w:p>
          <w:p w14:paraId="795A05E4">
            <w:pPr>
              <w:tabs>
                <w:tab w:val="left" w:pos="1260"/>
              </w:tabs>
              <w:autoSpaceDE w:val="0"/>
              <w:autoSpaceDN w:val="0"/>
              <w:spacing w:line="360" w:lineRule="auto"/>
              <w:ind w:firstLine="420" w:firstLineChars="200"/>
              <w:contextualSpacing/>
              <w:rPr>
                <w:rFonts w:ascii="宋体" w:hAnsi="宋体" w:eastAsia="宋体" w:cs="宋体"/>
                <w:szCs w:val="21"/>
                <w:lang w:val="zh-CN"/>
              </w:rPr>
            </w:pPr>
            <w:r>
              <w:rPr>
                <w:rFonts w:hint="eastAsia" w:ascii="宋体" w:hAnsi="宋体" w:eastAsia="宋体" w:cs="宋体"/>
                <w:szCs w:val="21"/>
              </w:rPr>
              <w:t>注：</w:t>
            </w:r>
            <w:r>
              <w:rPr>
                <w:rFonts w:hint="eastAsia" w:ascii="宋体" w:hAnsi="宋体" w:eastAsia="宋体" w:cs="宋体"/>
                <w:szCs w:val="21"/>
                <w:lang w:val="zh-CN"/>
              </w:rPr>
              <w:t>计算按四舍五入法则，保留小数点后两位。</w:t>
            </w:r>
          </w:p>
        </w:tc>
        <w:tc>
          <w:tcPr>
            <w:tcW w:w="873" w:type="dxa"/>
            <w:tcBorders>
              <w:top w:val="single" w:color="auto" w:sz="4" w:space="0"/>
              <w:left w:val="single" w:color="auto" w:sz="4" w:space="0"/>
              <w:bottom w:val="single" w:color="auto" w:sz="4" w:space="0"/>
              <w:right w:val="single" w:color="auto" w:sz="4" w:space="0"/>
            </w:tcBorders>
            <w:vAlign w:val="center"/>
          </w:tcPr>
          <w:p w14:paraId="40495DC1">
            <w:pPr>
              <w:tabs>
                <w:tab w:val="left" w:pos="1260"/>
              </w:tabs>
              <w:autoSpaceDE w:val="0"/>
              <w:autoSpaceDN w:val="0"/>
              <w:spacing w:line="360" w:lineRule="auto"/>
              <w:contextualSpacing/>
              <w:jc w:val="center"/>
              <w:rPr>
                <w:rFonts w:hint="default" w:ascii="宋体" w:hAnsi="宋体" w:eastAsia="宋体" w:cs="宋体"/>
                <w:szCs w:val="21"/>
                <w:lang w:val="en-US" w:eastAsia="zh-CN"/>
              </w:rPr>
            </w:pPr>
            <w:r>
              <w:rPr>
                <w:rFonts w:hint="eastAsia" w:ascii="宋体" w:hAnsi="宋体" w:eastAsia="宋体" w:cs="宋体"/>
                <w:szCs w:val="21"/>
                <w:lang w:val="en-US" w:eastAsia="zh-CN"/>
              </w:rPr>
              <w:t>30</w:t>
            </w:r>
          </w:p>
        </w:tc>
      </w:tr>
      <w:tr w14:paraId="5D03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159" w:type="dxa"/>
            <w:gridSpan w:val="3"/>
            <w:tcBorders>
              <w:top w:val="single" w:color="auto" w:sz="4" w:space="0"/>
              <w:left w:val="single" w:color="auto" w:sz="4" w:space="0"/>
              <w:bottom w:val="single" w:color="auto" w:sz="4" w:space="0"/>
              <w:right w:val="single" w:color="auto" w:sz="4" w:space="0"/>
            </w:tcBorders>
            <w:vAlign w:val="center"/>
          </w:tcPr>
          <w:p w14:paraId="23743DFF">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二、商务部分（满分</w:t>
            </w:r>
            <w:r>
              <w:rPr>
                <w:rFonts w:hint="eastAsia" w:ascii="宋体" w:hAnsi="宋体" w:eastAsia="宋体" w:cs="宋体"/>
                <w:szCs w:val="21"/>
              </w:rPr>
              <w:t>15</w:t>
            </w:r>
            <w:r>
              <w:rPr>
                <w:rFonts w:hint="eastAsia" w:ascii="宋体" w:hAnsi="宋体" w:eastAsia="宋体" w:cs="宋体"/>
                <w:szCs w:val="21"/>
                <w:lang w:val="zh-CN"/>
              </w:rPr>
              <w:t>分）</w:t>
            </w:r>
          </w:p>
        </w:tc>
      </w:tr>
      <w:tr w14:paraId="44F6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976" w:type="dxa"/>
            <w:tcBorders>
              <w:top w:val="single" w:color="auto" w:sz="4" w:space="0"/>
              <w:left w:val="single" w:color="auto" w:sz="4" w:space="0"/>
              <w:bottom w:val="single" w:color="auto" w:sz="4" w:space="0"/>
              <w:right w:val="single" w:color="auto" w:sz="4" w:space="0"/>
            </w:tcBorders>
            <w:vAlign w:val="center"/>
          </w:tcPr>
          <w:p w14:paraId="0F548C09">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评分因素</w:t>
            </w:r>
          </w:p>
        </w:tc>
        <w:tc>
          <w:tcPr>
            <w:tcW w:w="6310" w:type="dxa"/>
            <w:tcBorders>
              <w:top w:val="single" w:color="auto" w:sz="4" w:space="0"/>
              <w:left w:val="single" w:color="auto" w:sz="4" w:space="0"/>
              <w:bottom w:val="single" w:color="auto" w:sz="4" w:space="0"/>
              <w:right w:val="single" w:color="auto" w:sz="4" w:space="0"/>
            </w:tcBorders>
            <w:vAlign w:val="center"/>
          </w:tcPr>
          <w:p w14:paraId="589DE4D7">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评分标准</w:t>
            </w:r>
          </w:p>
        </w:tc>
        <w:tc>
          <w:tcPr>
            <w:tcW w:w="873" w:type="dxa"/>
            <w:tcBorders>
              <w:top w:val="single" w:color="auto" w:sz="4" w:space="0"/>
              <w:left w:val="single" w:color="auto" w:sz="4" w:space="0"/>
              <w:bottom w:val="single" w:color="auto" w:sz="4" w:space="0"/>
              <w:right w:val="single" w:color="auto" w:sz="4" w:space="0"/>
            </w:tcBorders>
            <w:vAlign w:val="center"/>
          </w:tcPr>
          <w:p w14:paraId="10823667">
            <w:pPr>
              <w:tabs>
                <w:tab w:val="left" w:pos="1260"/>
              </w:tabs>
              <w:autoSpaceDE w:val="0"/>
              <w:autoSpaceDN w:val="0"/>
              <w:spacing w:line="330" w:lineRule="atLeast"/>
              <w:contextualSpacing/>
              <w:jc w:val="center"/>
              <w:rPr>
                <w:rFonts w:ascii="宋体" w:hAnsi="宋体" w:eastAsia="宋体" w:cs="宋体"/>
                <w:szCs w:val="21"/>
                <w:lang w:val="zh-CN"/>
              </w:rPr>
            </w:pPr>
            <w:r>
              <w:rPr>
                <w:rFonts w:hint="eastAsia" w:ascii="宋体" w:hAnsi="宋体" w:eastAsia="宋体" w:cs="宋体"/>
                <w:szCs w:val="21"/>
                <w:lang w:val="zh-CN"/>
              </w:rPr>
              <w:t>分值</w:t>
            </w:r>
          </w:p>
        </w:tc>
      </w:tr>
      <w:tr w14:paraId="1D40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2" w:hRule="atLeast"/>
        </w:trPr>
        <w:tc>
          <w:tcPr>
            <w:tcW w:w="1976" w:type="dxa"/>
            <w:tcBorders>
              <w:top w:val="single" w:color="auto" w:sz="4" w:space="0"/>
              <w:left w:val="single" w:color="auto" w:sz="4" w:space="0"/>
              <w:bottom w:val="single" w:color="auto" w:sz="4" w:space="0"/>
              <w:right w:val="single" w:color="auto" w:sz="4" w:space="0"/>
            </w:tcBorders>
            <w:shd w:val="clear" w:color="auto" w:fill="auto"/>
            <w:vAlign w:val="center"/>
          </w:tcPr>
          <w:p w14:paraId="7FB2D280">
            <w:pPr>
              <w:tabs>
                <w:tab w:val="left" w:pos="1260"/>
              </w:tabs>
              <w:autoSpaceDE w:val="0"/>
              <w:autoSpaceDN w:val="0"/>
              <w:spacing w:line="360" w:lineRule="auto"/>
              <w:ind w:firstLine="630" w:firstLineChars="300"/>
              <w:contextualSpacing/>
              <w:jc w:val="both"/>
              <w:rPr>
                <w:rFonts w:ascii="宋体" w:hAnsi="宋体" w:eastAsia="宋体" w:cs="宋体"/>
                <w:szCs w:val="21"/>
                <w:lang w:val="zh-CN"/>
              </w:rPr>
            </w:pPr>
            <w:r>
              <w:rPr>
                <w:rFonts w:hint="eastAsia" w:ascii="宋体" w:hAnsi="宋体" w:eastAsia="宋体" w:cs="宋体"/>
                <w:szCs w:val="21"/>
                <w:lang w:val="zh-CN"/>
              </w:rPr>
              <w:t>业绩</w:t>
            </w:r>
          </w:p>
        </w:tc>
        <w:tc>
          <w:tcPr>
            <w:tcW w:w="6310" w:type="dxa"/>
            <w:tcBorders>
              <w:top w:val="single" w:color="auto" w:sz="4" w:space="0"/>
              <w:left w:val="nil"/>
              <w:bottom w:val="single" w:color="auto" w:sz="4" w:space="0"/>
              <w:right w:val="single" w:color="auto" w:sz="4" w:space="0"/>
            </w:tcBorders>
            <w:shd w:val="clear" w:color="auto" w:fill="auto"/>
            <w:vAlign w:val="center"/>
          </w:tcPr>
          <w:p w14:paraId="2B584855">
            <w:pPr>
              <w:tabs>
                <w:tab w:val="left" w:pos="1260"/>
              </w:tabs>
              <w:autoSpaceDE w:val="0"/>
              <w:autoSpaceDN w:val="0"/>
              <w:spacing w:line="360" w:lineRule="auto"/>
              <w:ind w:firstLine="420" w:firstLineChars="200"/>
              <w:contextualSpacing/>
              <w:rPr>
                <w:rFonts w:ascii="宋体" w:hAnsi="宋体" w:eastAsia="宋体" w:cs="宋体"/>
                <w:szCs w:val="21"/>
                <w:lang w:val="zh-CN"/>
              </w:rPr>
            </w:pPr>
            <w:r>
              <w:rPr>
                <w:rFonts w:hint="eastAsia" w:ascii="宋体" w:hAnsi="宋体" w:eastAsia="宋体" w:cs="宋体"/>
                <w:szCs w:val="21"/>
                <w:lang w:val="zh-CN"/>
              </w:rPr>
              <w:t>20</w:t>
            </w:r>
            <w:r>
              <w:rPr>
                <w:rFonts w:hint="eastAsia" w:ascii="宋体" w:hAnsi="宋体" w:eastAsia="宋体" w:cs="宋体"/>
                <w:szCs w:val="21"/>
              </w:rPr>
              <w:t>2</w:t>
            </w:r>
            <w:r>
              <w:rPr>
                <w:rFonts w:hint="eastAsia" w:ascii="宋体" w:hAnsi="宋体" w:eastAsia="宋体" w:cs="宋体"/>
                <w:szCs w:val="21"/>
                <w:lang w:val="en-US" w:eastAsia="zh-CN"/>
              </w:rPr>
              <w:t>3</w:t>
            </w:r>
            <w:r>
              <w:rPr>
                <w:rFonts w:hint="eastAsia" w:ascii="宋体" w:hAnsi="宋体" w:eastAsia="宋体" w:cs="宋体"/>
                <w:szCs w:val="21"/>
                <w:lang w:val="zh-CN"/>
              </w:rPr>
              <w:t>年1月1日以来，承接有</w:t>
            </w:r>
            <w:r>
              <w:rPr>
                <w:rFonts w:hint="eastAsia" w:ascii="宋体" w:hAnsi="宋体" w:eastAsia="宋体" w:cs="宋体"/>
                <w:szCs w:val="21"/>
                <w:lang w:val="en-US" w:eastAsia="zh-CN"/>
              </w:rPr>
              <w:t>类似</w:t>
            </w:r>
            <w:r>
              <w:rPr>
                <w:rFonts w:hint="eastAsia" w:ascii="宋体" w:hAnsi="宋体" w:eastAsia="宋体" w:cs="宋体"/>
                <w:szCs w:val="21"/>
                <w:lang w:val="zh-CN"/>
              </w:rPr>
              <w:t>项目业绩的</w:t>
            </w:r>
            <w:r>
              <w:rPr>
                <w:rFonts w:hint="eastAsia" w:ascii="宋体" w:hAnsi="宋体" w:eastAsia="宋体" w:cs="宋体"/>
                <w:szCs w:val="21"/>
              </w:rPr>
              <w:t>每个得5</w:t>
            </w:r>
            <w:r>
              <w:rPr>
                <w:rFonts w:hint="eastAsia" w:ascii="宋体" w:hAnsi="宋体" w:eastAsia="宋体" w:cs="宋体"/>
                <w:szCs w:val="21"/>
                <w:lang w:val="zh-CN"/>
              </w:rPr>
              <w:t>分，最高得</w:t>
            </w:r>
            <w:r>
              <w:rPr>
                <w:rFonts w:hint="eastAsia" w:ascii="宋体" w:hAnsi="宋体" w:eastAsia="宋体" w:cs="宋体"/>
                <w:szCs w:val="21"/>
              </w:rPr>
              <w:t>15分，</w:t>
            </w:r>
            <w:r>
              <w:rPr>
                <w:rFonts w:hint="eastAsia" w:ascii="宋体" w:hAnsi="宋体" w:eastAsia="宋体" w:cs="宋体"/>
                <w:szCs w:val="21"/>
                <w:lang w:val="zh-CN"/>
              </w:rPr>
              <w:t>不提供者为0分。</w:t>
            </w:r>
          </w:p>
          <w:p w14:paraId="092C25C6">
            <w:pPr>
              <w:tabs>
                <w:tab w:val="left" w:pos="1260"/>
              </w:tabs>
              <w:autoSpaceDE w:val="0"/>
              <w:autoSpaceDN w:val="0"/>
              <w:spacing w:line="360" w:lineRule="auto"/>
              <w:ind w:firstLine="420" w:firstLineChars="200"/>
              <w:contextualSpacing/>
              <w:rPr>
                <w:rFonts w:ascii="宋体" w:hAnsi="宋体" w:eastAsia="宋体" w:cs="宋体"/>
                <w:szCs w:val="21"/>
              </w:rPr>
            </w:pPr>
            <w:r>
              <w:rPr>
                <w:rFonts w:hint="eastAsia" w:ascii="宋体" w:hAnsi="宋体" w:eastAsia="宋体" w:cs="宋体"/>
                <w:szCs w:val="21"/>
                <w:lang w:val="en-US" w:eastAsia="zh-CN"/>
              </w:rPr>
              <w:t>注：投标人</w:t>
            </w:r>
            <w:r>
              <w:rPr>
                <w:rFonts w:hint="eastAsia" w:ascii="宋体" w:hAnsi="宋体" w:eastAsia="宋体" w:cs="宋体"/>
                <w:szCs w:val="21"/>
              </w:rPr>
              <w:t>需提供完整合同</w:t>
            </w:r>
            <w:r>
              <w:rPr>
                <w:rFonts w:hint="eastAsia" w:ascii="宋体" w:hAnsi="宋体" w:eastAsia="宋体" w:cs="宋体"/>
                <w:szCs w:val="21"/>
                <w:lang w:val="en-US" w:eastAsia="zh-CN"/>
              </w:rPr>
              <w:t>原件</w:t>
            </w:r>
            <w:r>
              <w:rPr>
                <w:rFonts w:hint="eastAsia" w:ascii="宋体" w:hAnsi="宋体" w:eastAsia="宋体" w:cs="宋体"/>
                <w:szCs w:val="21"/>
              </w:rPr>
              <w:t>的扫描件（或图片）；如为政府采购项目，需提供中标通知书、完整合同</w:t>
            </w:r>
            <w:r>
              <w:rPr>
                <w:rFonts w:hint="eastAsia" w:ascii="宋体" w:hAnsi="宋体" w:eastAsia="宋体" w:cs="宋体"/>
                <w:szCs w:val="21"/>
                <w:lang w:val="en-US" w:eastAsia="zh-CN"/>
              </w:rPr>
              <w:t>原件</w:t>
            </w:r>
            <w:r>
              <w:rPr>
                <w:rFonts w:hint="eastAsia" w:ascii="宋体" w:hAnsi="宋体" w:eastAsia="宋体" w:cs="宋体"/>
                <w:color w:val="auto"/>
                <w:sz w:val="21"/>
                <w:szCs w:val="21"/>
              </w:rPr>
              <w:t>的扫描件（或图片）</w:t>
            </w:r>
            <w:r>
              <w:rPr>
                <w:rFonts w:hint="eastAsia" w:ascii="宋体" w:hAnsi="宋体" w:eastAsia="宋体" w:cs="宋体"/>
                <w:szCs w:val="21"/>
              </w:rPr>
              <w:t>，否则不得分。</w:t>
            </w:r>
          </w:p>
        </w:tc>
        <w:tc>
          <w:tcPr>
            <w:tcW w:w="873" w:type="dxa"/>
            <w:tcBorders>
              <w:top w:val="single" w:color="auto" w:sz="4" w:space="0"/>
              <w:left w:val="single" w:color="auto" w:sz="4" w:space="0"/>
              <w:bottom w:val="single" w:color="auto" w:sz="4" w:space="0"/>
              <w:right w:val="single" w:color="auto" w:sz="4" w:space="0"/>
            </w:tcBorders>
            <w:vAlign w:val="center"/>
          </w:tcPr>
          <w:p w14:paraId="4A345292">
            <w:pPr>
              <w:spacing w:line="360" w:lineRule="exact"/>
              <w:jc w:val="center"/>
              <w:rPr>
                <w:rFonts w:ascii="宋体" w:hAnsi="宋体" w:eastAsia="宋体" w:cs="宋体"/>
                <w:szCs w:val="21"/>
              </w:rPr>
            </w:pPr>
            <w:r>
              <w:rPr>
                <w:rFonts w:hint="eastAsia" w:ascii="宋体" w:hAnsi="宋体" w:eastAsia="宋体" w:cs="宋体"/>
                <w:szCs w:val="21"/>
              </w:rPr>
              <w:t>15</w:t>
            </w:r>
          </w:p>
        </w:tc>
      </w:tr>
      <w:tr w14:paraId="2CE7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9159" w:type="dxa"/>
            <w:gridSpan w:val="3"/>
            <w:tcBorders>
              <w:top w:val="single" w:color="auto" w:sz="4" w:space="0"/>
              <w:left w:val="single" w:color="auto" w:sz="4" w:space="0"/>
              <w:bottom w:val="single" w:color="auto" w:sz="4" w:space="0"/>
              <w:right w:val="single" w:color="auto" w:sz="4" w:space="0"/>
            </w:tcBorders>
            <w:vAlign w:val="center"/>
          </w:tcPr>
          <w:p w14:paraId="64643592">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三、技术部分（满分</w:t>
            </w:r>
            <w:r>
              <w:rPr>
                <w:rFonts w:hint="eastAsia" w:ascii="宋体" w:hAnsi="宋体" w:eastAsia="宋体" w:cs="宋体"/>
                <w:szCs w:val="21"/>
                <w:lang w:val="en-US" w:eastAsia="zh-CN"/>
              </w:rPr>
              <w:t>5</w:t>
            </w:r>
            <w:r>
              <w:rPr>
                <w:rFonts w:hint="eastAsia" w:ascii="宋体" w:hAnsi="宋体" w:eastAsia="宋体" w:cs="宋体"/>
                <w:szCs w:val="21"/>
              </w:rPr>
              <w:t>5</w:t>
            </w:r>
            <w:r>
              <w:rPr>
                <w:rFonts w:hint="eastAsia" w:ascii="宋体" w:hAnsi="宋体" w:eastAsia="宋体" w:cs="宋体"/>
                <w:szCs w:val="21"/>
                <w:lang w:val="zh-CN"/>
              </w:rPr>
              <w:t>分）</w:t>
            </w:r>
          </w:p>
        </w:tc>
      </w:tr>
      <w:tr w14:paraId="5F83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976" w:type="dxa"/>
            <w:tcBorders>
              <w:top w:val="single" w:color="auto" w:sz="4" w:space="0"/>
              <w:left w:val="single" w:color="auto" w:sz="4" w:space="0"/>
              <w:bottom w:val="single" w:color="auto" w:sz="4" w:space="0"/>
              <w:right w:val="single" w:color="auto" w:sz="4" w:space="0"/>
            </w:tcBorders>
            <w:vAlign w:val="center"/>
          </w:tcPr>
          <w:p w14:paraId="7E6A6555">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评分因素</w:t>
            </w:r>
          </w:p>
        </w:tc>
        <w:tc>
          <w:tcPr>
            <w:tcW w:w="6310" w:type="dxa"/>
            <w:tcBorders>
              <w:top w:val="single" w:color="auto" w:sz="4" w:space="0"/>
              <w:left w:val="single" w:color="auto" w:sz="4" w:space="0"/>
              <w:bottom w:val="single" w:color="auto" w:sz="4" w:space="0"/>
              <w:right w:val="single" w:color="auto" w:sz="4" w:space="0"/>
            </w:tcBorders>
            <w:vAlign w:val="center"/>
          </w:tcPr>
          <w:p w14:paraId="60359465">
            <w:pPr>
              <w:tabs>
                <w:tab w:val="left" w:pos="1260"/>
              </w:tabs>
              <w:autoSpaceDE w:val="0"/>
              <w:autoSpaceDN w:val="0"/>
              <w:spacing w:line="360" w:lineRule="auto"/>
              <w:contextualSpacing/>
              <w:jc w:val="center"/>
              <w:rPr>
                <w:rFonts w:ascii="宋体" w:hAnsi="宋体" w:eastAsia="宋体" w:cs="宋体"/>
                <w:szCs w:val="21"/>
                <w:lang w:val="zh-CN"/>
              </w:rPr>
            </w:pPr>
            <w:r>
              <w:rPr>
                <w:rFonts w:hint="eastAsia" w:ascii="宋体" w:hAnsi="宋体" w:eastAsia="宋体" w:cs="宋体"/>
                <w:szCs w:val="21"/>
                <w:lang w:val="zh-CN"/>
              </w:rPr>
              <w:t>评分标准</w:t>
            </w:r>
          </w:p>
        </w:tc>
        <w:tc>
          <w:tcPr>
            <w:tcW w:w="873" w:type="dxa"/>
            <w:tcBorders>
              <w:top w:val="single" w:color="auto" w:sz="4" w:space="0"/>
              <w:left w:val="single" w:color="auto" w:sz="4" w:space="0"/>
              <w:bottom w:val="single" w:color="auto" w:sz="4" w:space="0"/>
              <w:right w:val="single" w:color="auto" w:sz="4" w:space="0"/>
            </w:tcBorders>
            <w:vAlign w:val="center"/>
          </w:tcPr>
          <w:p w14:paraId="74B42618">
            <w:pPr>
              <w:tabs>
                <w:tab w:val="left" w:pos="1260"/>
              </w:tabs>
              <w:autoSpaceDE w:val="0"/>
              <w:autoSpaceDN w:val="0"/>
              <w:spacing w:line="330" w:lineRule="atLeast"/>
              <w:contextualSpacing/>
              <w:jc w:val="center"/>
              <w:rPr>
                <w:rFonts w:ascii="宋体" w:hAnsi="宋体" w:eastAsia="宋体" w:cs="宋体"/>
                <w:szCs w:val="21"/>
                <w:lang w:val="zh-CN"/>
              </w:rPr>
            </w:pPr>
            <w:r>
              <w:rPr>
                <w:rFonts w:hint="eastAsia" w:ascii="宋体" w:hAnsi="宋体" w:eastAsia="宋体" w:cs="宋体"/>
                <w:szCs w:val="21"/>
                <w:lang w:val="zh-CN"/>
              </w:rPr>
              <w:t>分值</w:t>
            </w:r>
          </w:p>
        </w:tc>
      </w:tr>
      <w:tr w14:paraId="4095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976" w:type="dxa"/>
            <w:tcBorders>
              <w:top w:val="single" w:color="auto" w:sz="4" w:space="0"/>
              <w:left w:val="single" w:color="auto" w:sz="4" w:space="0"/>
              <w:bottom w:val="single" w:color="auto" w:sz="4" w:space="0"/>
              <w:right w:val="single" w:color="auto" w:sz="4" w:space="0"/>
            </w:tcBorders>
            <w:vAlign w:val="center"/>
          </w:tcPr>
          <w:p w14:paraId="6DB1B6F3">
            <w:pPr>
              <w:tabs>
                <w:tab w:val="left" w:pos="1260"/>
              </w:tabs>
              <w:autoSpaceDE w:val="0"/>
              <w:autoSpaceDN w:val="0"/>
              <w:spacing w:line="360" w:lineRule="auto"/>
              <w:contextualSpacing/>
              <w:jc w:val="center"/>
              <w:rPr>
                <w:rFonts w:ascii="宋体" w:hAnsi="宋体" w:eastAsia="宋体" w:cs="宋体"/>
                <w:szCs w:val="21"/>
                <w:lang w:val="zh-CN"/>
              </w:rPr>
            </w:pPr>
            <w:r>
              <w:rPr>
                <w:spacing w:val="-3"/>
              </w:rPr>
              <w:t>实施方案</w:t>
            </w:r>
          </w:p>
        </w:tc>
        <w:tc>
          <w:tcPr>
            <w:tcW w:w="6310" w:type="dxa"/>
            <w:tcBorders>
              <w:top w:val="single" w:color="auto" w:sz="4" w:space="0"/>
              <w:left w:val="nil"/>
              <w:bottom w:val="single" w:color="auto" w:sz="4" w:space="0"/>
              <w:right w:val="single" w:color="auto" w:sz="4" w:space="0"/>
            </w:tcBorders>
            <w:shd w:val="clear" w:color="auto" w:fill="auto"/>
            <w:vAlign w:val="center"/>
          </w:tcPr>
          <w:p w14:paraId="64FBF944">
            <w:pPr>
              <w:tabs>
                <w:tab w:val="left" w:pos="1260"/>
              </w:tabs>
              <w:autoSpaceDE w:val="0"/>
              <w:autoSpaceDN w:val="0"/>
              <w:spacing w:line="360" w:lineRule="auto"/>
              <w:contextualSpacing/>
              <w:rPr>
                <w:rFonts w:ascii="宋体" w:hAnsi="宋体" w:eastAsia="宋体" w:cs="宋体"/>
                <w:szCs w:val="21"/>
              </w:rPr>
            </w:pPr>
            <w:r>
              <w:rPr>
                <w:rFonts w:hint="eastAsia" w:cs="仿宋_GB2312" w:asciiTheme="minorEastAsia" w:hAnsiTheme="minorEastAsia"/>
                <w:szCs w:val="21"/>
                <w:lang w:val="zh-CN"/>
              </w:rPr>
              <w:t>投标人</w:t>
            </w:r>
            <w:r>
              <w:rPr>
                <w:rFonts w:hint="eastAsia" w:cs="仿宋_GB2312" w:asciiTheme="minorEastAsia" w:hAnsiTheme="minorEastAsia"/>
                <w:szCs w:val="21"/>
              </w:rPr>
              <w:t>提供针对本项目的</w:t>
            </w:r>
            <w:r>
              <w:rPr>
                <w:rFonts w:hint="eastAsia" w:ascii="宋体" w:hAnsi="宋体" w:eastAsia="宋体" w:cs="仿宋_GB2312"/>
                <w:kern w:val="0"/>
                <w:szCs w:val="21"/>
              </w:rPr>
              <w:t>实施方案，包括</w:t>
            </w:r>
            <w:r>
              <w:rPr>
                <w:rFonts w:hint="eastAsia" w:ascii="宋体" w:hAnsi="宋体" w:eastAsia="宋体" w:cs="宋体"/>
                <w:szCs w:val="21"/>
                <w:lang w:val="zh-CN"/>
              </w:rPr>
              <w:t>①</w:t>
            </w:r>
            <w:r>
              <w:rPr>
                <w:rFonts w:hint="eastAsia" w:ascii="宋体" w:hAnsi="宋体" w:eastAsia="宋体" w:cs="仿宋_GB2312"/>
                <w:kern w:val="0"/>
                <w:szCs w:val="21"/>
              </w:rPr>
              <w:t>服务管理制度</w:t>
            </w:r>
            <w:r>
              <w:rPr>
                <w:rFonts w:hint="eastAsia" w:ascii="宋体" w:hAnsi="宋体" w:eastAsia="宋体" w:cs="宋体"/>
                <w:szCs w:val="21"/>
                <w:lang w:val="zh-CN"/>
              </w:rPr>
              <w:t>②</w:t>
            </w:r>
            <w:r>
              <w:rPr>
                <w:rFonts w:hint="eastAsia" w:ascii="宋体" w:hAnsi="宋体" w:eastAsia="宋体" w:cs="仿宋_GB2312"/>
                <w:kern w:val="0"/>
                <w:szCs w:val="21"/>
              </w:rPr>
              <w:t>维护服务流程</w:t>
            </w:r>
            <w:r>
              <w:rPr>
                <w:rFonts w:hint="eastAsia" w:ascii="宋体" w:hAnsi="宋体" w:eastAsia="宋体" w:cs="宋体"/>
                <w:szCs w:val="21"/>
                <w:lang w:val="zh-CN"/>
              </w:rPr>
              <w:t>③</w:t>
            </w:r>
            <w:r>
              <w:rPr>
                <w:rFonts w:hint="eastAsia" w:ascii="宋体" w:hAnsi="宋体" w:eastAsia="宋体" w:cs="仿宋_GB2312"/>
                <w:kern w:val="0"/>
                <w:szCs w:val="21"/>
              </w:rPr>
              <w:t>故障处理措施</w:t>
            </w:r>
            <w:r>
              <w:rPr>
                <w:rFonts w:hint="eastAsia" w:ascii="宋体" w:hAnsi="宋体" w:eastAsia="宋体" w:cs="宋体"/>
                <w:szCs w:val="21"/>
                <w:lang w:val="zh-CN"/>
              </w:rPr>
              <w:t>④</w:t>
            </w:r>
            <w:r>
              <w:rPr>
                <w:rFonts w:hint="eastAsia" w:ascii="宋体" w:hAnsi="宋体" w:eastAsia="宋体" w:cs="仿宋_GB2312"/>
                <w:kern w:val="0"/>
                <w:szCs w:val="21"/>
              </w:rPr>
              <w:t>应急保障方案</w:t>
            </w:r>
            <w:r>
              <w:rPr>
                <w:rFonts w:hint="eastAsia" w:ascii="宋体" w:hAnsi="宋体" w:eastAsia="宋体" w:cs="宋体"/>
                <w:szCs w:val="21"/>
                <w:lang w:val="zh-CN"/>
              </w:rPr>
              <w:t>⑤</w:t>
            </w:r>
            <w:r>
              <w:rPr>
                <w:rFonts w:hint="eastAsia" w:ascii="宋体" w:hAnsi="宋体" w:eastAsia="宋体" w:cs="仿宋_GB2312"/>
                <w:kern w:val="0"/>
                <w:szCs w:val="21"/>
              </w:rPr>
              <w:t>定期巡检内容</w:t>
            </w:r>
            <w:r>
              <w:rPr>
                <w:rFonts w:hint="eastAsia" w:ascii="宋体" w:hAnsi="宋体" w:eastAsia="宋体" w:cs="宋体"/>
                <w:szCs w:val="21"/>
              </w:rPr>
              <w:t>⑥</w:t>
            </w:r>
            <w:r>
              <w:rPr>
                <w:rFonts w:hint="eastAsia" w:cs="仿宋_GB2312" w:asciiTheme="minorEastAsia" w:hAnsiTheme="minorEastAsia"/>
                <w:szCs w:val="21"/>
              </w:rPr>
              <w:t>质量管理体系</w:t>
            </w:r>
            <w:r>
              <w:rPr>
                <w:rFonts w:hint="eastAsia" w:ascii="宋体" w:hAnsi="宋体" w:eastAsia="宋体" w:cs="宋体"/>
                <w:szCs w:val="21"/>
              </w:rPr>
              <w:t>⑦人员</w:t>
            </w:r>
            <w:r>
              <w:rPr>
                <w:rFonts w:hint="eastAsia" w:ascii="宋体" w:hAnsi="宋体" w:eastAsia="宋体" w:cs="仿宋_GB2312"/>
                <w:kern w:val="0"/>
                <w:szCs w:val="21"/>
              </w:rPr>
              <w:t>培训。</w:t>
            </w:r>
            <w:r>
              <w:rPr>
                <w:rFonts w:hint="eastAsia" w:asciiTheme="minorEastAsia" w:hAnsiTheme="minorEastAsia" w:eastAsiaTheme="minorEastAsia" w:cstheme="minorEastAsia"/>
                <w:color w:val="auto"/>
                <w:sz w:val="21"/>
                <w:szCs w:val="21"/>
              </w:rPr>
              <w:t>每项方案科学合理、可实施性高、内容完整</w:t>
            </w:r>
            <w:r>
              <w:rPr>
                <w:rFonts w:hint="eastAsia" w:asciiTheme="minorEastAsia" w:hAnsiTheme="minorEastAsia" w:cstheme="minorEastAsia"/>
                <w:color w:val="auto"/>
                <w:sz w:val="21"/>
                <w:szCs w:val="21"/>
                <w:lang w:eastAsia="zh-CN"/>
              </w:rPr>
              <w:t>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sz w:val="21"/>
                <w:szCs w:val="21"/>
                <w:lang w:val="en-US" w:eastAsia="zh-CN"/>
              </w:rPr>
              <w:t>不缺项</w:t>
            </w:r>
            <w:r>
              <w:rPr>
                <w:rFonts w:hint="eastAsia" w:asciiTheme="minorEastAsia" w:hAnsiTheme="minorEastAsia" w:eastAsiaTheme="minorEastAsia" w:cstheme="minorEastAsia"/>
                <w:color w:val="auto"/>
                <w:sz w:val="21"/>
                <w:szCs w:val="21"/>
              </w:rPr>
              <w:t>仅有简单描述的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2.1</w:t>
            </w:r>
            <w:r>
              <w:rPr>
                <w:rFonts w:hint="eastAsia" w:asciiTheme="minorEastAsia" w:hAnsiTheme="minorEastAsia" w:eastAsiaTheme="minorEastAsia" w:cstheme="minorEastAsia"/>
                <w:color w:val="auto"/>
                <w:kern w:val="0"/>
                <w:sz w:val="21"/>
                <w:szCs w:val="21"/>
              </w:rPr>
              <w:t>分；内容不完整，</w:t>
            </w:r>
            <w:r>
              <w:rPr>
                <w:rFonts w:hint="eastAsia" w:asciiTheme="minorEastAsia" w:hAnsiTheme="minorEastAsia" w:eastAsiaTheme="minorEastAsia" w:cstheme="minorEastAsia"/>
                <w:color w:val="auto"/>
                <w:kern w:val="0"/>
                <w:sz w:val="21"/>
                <w:szCs w:val="21"/>
                <w:lang w:val="en-US" w:eastAsia="zh-CN"/>
              </w:rPr>
              <w:t>缺乏</w:t>
            </w:r>
            <w:r>
              <w:rPr>
                <w:rFonts w:hint="eastAsia" w:asciiTheme="minorEastAsia" w:hAnsiTheme="minorEastAsia" w:eastAsiaTheme="minorEastAsia" w:cstheme="minorEastAsia"/>
                <w:color w:val="auto"/>
                <w:sz w:val="21"/>
                <w:szCs w:val="21"/>
              </w:rPr>
              <w:t>科学合理</w:t>
            </w:r>
            <w:r>
              <w:rPr>
                <w:rFonts w:hint="eastAsia" w:asciiTheme="minorEastAsia" w:hAnsiTheme="minorEastAsia" w:eastAsiaTheme="minorEastAsia" w:cstheme="minorEastAsia"/>
                <w:color w:val="auto"/>
                <w:kern w:val="0"/>
                <w:sz w:val="21"/>
                <w:szCs w:val="21"/>
              </w:rPr>
              <w:t>的得</w:t>
            </w:r>
            <w:r>
              <w:rPr>
                <w:rFonts w:hint="eastAsia" w:asciiTheme="minorEastAsia" w:hAnsiTheme="minorEastAsia" w:cstheme="minorEastAsia"/>
                <w:color w:val="auto"/>
                <w:kern w:val="0"/>
                <w:sz w:val="21"/>
                <w:szCs w:val="21"/>
                <w:lang w:val="en-US" w:eastAsia="zh-CN"/>
              </w:rPr>
              <w:t>1.2</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kern w:val="0"/>
                <w:sz w:val="21"/>
                <w:szCs w:val="21"/>
                <w:lang w:val="en-US" w:eastAsia="zh-CN"/>
              </w:rPr>
              <w:t>本项最高得2</w:t>
            </w:r>
            <w:r>
              <w:rPr>
                <w:rFonts w:hint="eastAsia" w:asciiTheme="minorEastAsia" w:hAnsi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lang w:val="en-US" w:eastAsia="zh-CN"/>
              </w:rPr>
              <w:t>分。</w:t>
            </w:r>
            <w:r>
              <w:rPr>
                <w:rFonts w:hint="eastAsia" w:ascii="宋体" w:hAnsi="宋体" w:eastAsia="宋体" w:cs="仿宋_GB2312"/>
                <w:kern w:val="0"/>
                <w:szCs w:val="21"/>
              </w:rPr>
              <w:t>不提供的不得分。</w:t>
            </w:r>
          </w:p>
        </w:tc>
        <w:tc>
          <w:tcPr>
            <w:tcW w:w="873" w:type="dxa"/>
            <w:tcBorders>
              <w:top w:val="single" w:color="auto" w:sz="4" w:space="0"/>
              <w:left w:val="single" w:color="auto" w:sz="4" w:space="0"/>
              <w:bottom w:val="single" w:color="auto" w:sz="4" w:space="0"/>
              <w:right w:val="single" w:color="auto" w:sz="4" w:space="0"/>
            </w:tcBorders>
            <w:vAlign w:val="center"/>
          </w:tcPr>
          <w:p w14:paraId="341E5341">
            <w:pPr>
              <w:tabs>
                <w:tab w:val="left" w:pos="1260"/>
              </w:tabs>
              <w:autoSpaceDE w:val="0"/>
              <w:autoSpaceDN w:val="0"/>
              <w:spacing w:line="360" w:lineRule="auto"/>
              <w:contextualSpacing/>
              <w:jc w:val="center"/>
              <w:rPr>
                <w:rFonts w:hint="default" w:ascii="宋体" w:hAnsi="宋体" w:eastAsia="宋体" w:cs="宋体"/>
                <w:szCs w:val="21"/>
                <w:lang w:val="en-US" w:eastAsia="zh-CN"/>
              </w:rPr>
            </w:pPr>
            <w:r>
              <w:rPr>
                <w:rFonts w:hint="eastAsia" w:ascii="宋体" w:hAnsi="宋体" w:eastAsia="宋体" w:cs="宋体"/>
                <w:szCs w:val="21"/>
                <w:lang w:val="en-US" w:eastAsia="zh-CN"/>
              </w:rPr>
              <w:t>21</w:t>
            </w:r>
          </w:p>
        </w:tc>
      </w:tr>
      <w:tr w14:paraId="35BA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3" w:hRule="atLeast"/>
        </w:trPr>
        <w:tc>
          <w:tcPr>
            <w:tcW w:w="1976" w:type="dxa"/>
            <w:tcBorders>
              <w:top w:val="single" w:color="auto" w:sz="4" w:space="0"/>
              <w:left w:val="single" w:color="auto" w:sz="4" w:space="0"/>
              <w:bottom w:val="single" w:color="auto" w:sz="4" w:space="0"/>
              <w:right w:val="single" w:color="auto" w:sz="4" w:space="0"/>
            </w:tcBorders>
            <w:vAlign w:val="center"/>
          </w:tcPr>
          <w:p w14:paraId="46F65039">
            <w:pPr>
              <w:spacing w:line="360" w:lineRule="auto"/>
              <w:ind w:firstLine="420" w:firstLineChars="200"/>
              <w:contextualSpacing/>
              <w:rPr>
                <w:rFonts w:cs="仿宋_GB2312" w:asciiTheme="minorEastAsia" w:hAnsiTheme="minorEastAsia"/>
                <w:szCs w:val="21"/>
              </w:rPr>
            </w:pPr>
            <w:r>
              <w:rPr>
                <w:rFonts w:hint="eastAsia" w:cs="仿宋_GB2312" w:asciiTheme="minorEastAsia" w:hAnsiTheme="minorEastAsia"/>
                <w:szCs w:val="21"/>
              </w:rPr>
              <w:t>运维方案</w:t>
            </w:r>
          </w:p>
        </w:tc>
        <w:tc>
          <w:tcPr>
            <w:tcW w:w="6310" w:type="dxa"/>
            <w:tcBorders>
              <w:top w:val="single" w:color="auto" w:sz="4" w:space="0"/>
              <w:left w:val="nil"/>
              <w:bottom w:val="single" w:color="auto" w:sz="4" w:space="0"/>
              <w:right w:val="single" w:color="auto" w:sz="4" w:space="0"/>
            </w:tcBorders>
            <w:shd w:val="clear" w:color="auto" w:fill="auto"/>
            <w:vAlign w:val="center"/>
          </w:tcPr>
          <w:p w14:paraId="10037AA4">
            <w:pPr>
              <w:tabs>
                <w:tab w:val="left" w:pos="1260"/>
              </w:tabs>
              <w:autoSpaceDE w:val="0"/>
              <w:autoSpaceDN w:val="0"/>
              <w:spacing w:line="360" w:lineRule="auto"/>
              <w:contextualSpacing/>
              <w:rPr>
                <w:rFonts w:cs="仿宋_GB2312" w:asciiTheme="minorEastAsia" w:hAnsiTheme="minorEastAsia"/>
                <w:szCs w:val="21"/>
              </w:rPr>
            </w:pPr>
            <w:r>
              <w:rPr>
                <w:rFonts w:hint="eastAsia" w:cs="仿宋_GB2312" w:asciiTheme="minorEastAsia" w:hAnsiTheme="minorEastAsia"/>
                <w:szCs w:val="21"/>
              </w:rPr>
              <w:t>1.投标人有完整的</w:t>
            </w:r>
            <w:r>
              <w:rPr>
                <w:rFonts w:hint="eastAsia" w:cs="仿宋_GB2312" w:asciiTheme="minorEastAsia" w:hAnsiTheme="minorEastAsia"/>
                <w:szCs w:val="21"/>
                <w:lang w:val="en-US" w:eastAsia="zh-CN"/>
              </w:rPr>
              <w:t>运维</w:t>
            </w:r>
            <w:r>
              <w:rPr>
                <w:rFonts w:hint="eastAsia" w:cs="仿宋_GB2312" w:asciiTheme="minorEastAsia" w:hAnsiTheme="minorEastAsia"/>
                <w:szCs w:val="21"/>
              </w:rPr>
              <w:t>服务方案，包括①服务范围②服务内容③服务技术指标或等级保护级别标准④重点保障。</w:t>
            </w:r>
            <w:r>
              <w:rPr>
                <w:rFonts w:hint="eastAsia" w:asciiTheme="minorEastAsia" w:hAnsiTheme="minorEastAsia" w:eastAsiaTheme="minorEastAsia" w:cstheme="minorEastAsia"/>
                <w:color w:val="auto"/>
                <w:sz w:val="21"/>
                <w:szCs w:val="21"/>
              </w:rPr>
              <w:t>每项方案科学合理、可实施性高、内容完整</w:t>
            </w:r>
            <w:r>
              <w:rPr>
                <w:rFonts w:hint="eastAsia" w:asciiTheme="minorEastAsia" w:hAnsiTheme="minorEastAsia" w:cstheme="minorEastAsia"/>
                <w:color w:val="auto"/>
                <w:sz w:val="21"/>
                <w:szCs w:val="21"/>
                <w:lang w:eastAsia="zh-CN"/>
              </w:rPr>
              <w:t>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sz w:val="21"/>
                <w:szCs w:val="21"/>
                <w:lang w:val="en-US" w:eastAsia="zh-CN"/>
              </w:rPr>
              <w:t>不缺项</w:t>
            </w:r>
            <w:r>
              <w:rPr>
                <w:rFonts w:hint="eastAsia" w:asciiTheme="minorEastAsia" w:hAnsiTheme="minorEastAsia" w:eastAsiaTheme="minorEastAsia" w:cstheme="minorEastAsia"/>
                <w:color w:val="auto"/>
                <w:sz w:val="21"/>
                <w:szCs w:val="21"/>
              </w:rPr>
              <w:t>仅有简单描述的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2.1</w:t>
            </w:r>
            <w:r>
              <w:rPr>
                <w:rFonts w:hint="eastAsia" w:asciiTheme="minorEastAsia" w:hAnsiTheme="minorEastAsia" w:eastAsiaTheme="minorEastAsia" w:cstheme="minorEastAsia"/>
                <w:color w:val="auto"/>
                <w:kern w:val="0"/>
                <w:sz w:val="21"/>
                <w:szCs w:val="21"/>
              </w:rPr>
              <w:t>分；内容不完整，</w:t>
            </w:r>
            <w:r>
              <w:rPr>
                <w:rFonts w:hint="eastAsia" w:asciiTheme="minorEastAsia" w:hAnsiTheme="minorEastAsia" w:eastAsiaTheme="minorEastAsia" w:cstheme="minorEastAsia"/>
                <w:color w:val="auto"/>
                <w:kern w:val="0"/>
                <w:sz w:val="21"/>
                <w:szCs w:val="21"/>
                <w:lang w:val="en-US" w:eastAsia="zh-CN"/>
              </w:rPr>
              <w:t>缺乏</w:t>
            </w:r>
            <w:r>
              <w:rPr>
                <w:rFonts w:hint="eastAsia" w:asciiTheme="minorEastAsia" w:hAnsiTheme="minorEastAsia" w:eastAsiaTheme="minorEastAsia" w:cstheme="minorEastAsia"/>
                <w:color w:val="auto"/>
                <w:sz w:val="21"/>
                <w:szCs w:val="21"/>
              </w:rPr>
              <w:t>科学合理</w:t>
            </w:r>
            <w:r>
              <w:rPr>
                <w:rFonts w:hint="eastAsia" w:asciiTheme="minorEastAsia" w:hAnsiTheme="minorEastAsia" w:eastAsiaTheme="minorEastAsia" w:cstheme="minorEastAsia"/>
                <w:color w:val="auto"/>
                <w:kern w:val="0"/>
                <w:sz w:val="21"/>
                <w:szCs w:val="21"/>
              </w:rPr>
              <w:t>的得</w:t>
            </w:r>
            <w:r>
              <w:rPr>
                <w:rFonts w:hint="eastAsia" w:asciiTheme="minorEastAsia" w:hAnsiTheme="minorEastAsia" w:cstheme="minorEastAsia"/>
                <w:color w:val="auto"/>
                <w:kern w:val="0"/>
                <w:sz w:val="21"/>
                <w:szCs w:val="21"/>
                <w:lang w:val="en-US" w:eastAsia="zh-CN"/>
              </w:rPr>
              <w:t>1.2</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kern w:val="0"/>
                <w:sz w:val="21"/>
                <w:szCs w:val="21"/>
                <w:lang w:val="en-US" w:eastAsia="zh-CN"/>
              </w:rPr>
              <w:t>本项最高得</w:t>
            </w:r>
            <w:r>
              <w:rPr>
                <w:rFonts w:hint="eastAsia" w:asciiTheme="minorEastAsia" w:hAnsiTheme="minorEastAsia" w:cstheme="minorEastAsia"/>
                <w:color w:val="auto"/>
                <w:kern w:val="0"/>
                <w:sz w:val="21"/>
                <w:szCs w:val="21"/>
                <w:lang w:val="en-US" w:eastAsia="zh-CN"/>
              </w:rPr>
              <w:t>12</w:t>
            </w:r>
            <w:r>
              <w:rPr>
                <w:rFonts w:hint="eastAsia" w:asciiTheme="minorEastAsia" w:hAnsiTheme="minorEastAsia" w:eastAsiaTheme="minorEastAsia" w:cstheme="minorEastAsia"/>
                <w:color w:val="auto"/>
                <w:kern w:val="0"/>
                <w:sz w:val="21"/>
                <w:szCs w:val="21"/>
                <w:lang w:val="en-US" w:eastAsia="zh-CN"/>
              </w:rPr>
              <w:t>分。</w:t>
            </w:r>
            <w:r>
              <w:rPr>
                <w:rFonts w:hint="eastAsia" w:ascii="宋体" w:hAnsi="宋体" w:eastAsia="宋体" w:cs="仿宋_GB2312"/>
                <w:kern w:val="0"/>
                <w:szCs w:val="21"/>
              </w:rPr>
              <w:t>不提供的不得分。</w:t>
            </w:r>
          </w:p>
          <w:p w14:paraId="5E2D485F">
            <w:pPr>
              <w:tabs>
                <w:tab w:val="left" w:pos="1260"/>
              </w:tabs>
              <w:autoSpaceDE w:val="0"/>
              <w:autoSpaceDN w:val="0"/>
              <w:spacing w:line="360" w:lineRule="auto"/>
              <w:contextualSpacing/>
              <w:rPr>
                <w:rFonts w:cs="仿宋_GB2312" w:asciiTheme="minorEastAsia" w:hAnsiTheme="minorEastAsia"/>
                <w:szCs w:val="21"/>
              </w:rPr>
            </w:pPr>
            <w:r>
              <w:rPr>
                <w:rFonts w:hint="eastAsia" w:cs="仿宋_GB2312" w:asciiTheme="minorEastAsia" w:hAnsiTheme="minorEastAsia"/>
                <w:szCs w:val="21"/>
              </w:rPr>
              <w:t>2.投标人有完整的电子政务外网运维实施方案。提供的方案思路清晰，设计合理，内容完善的得</w:t>
            </w:r>
            <w:r>
              <w:rPr>
                <w:rFonts w:hint="eastAsia" w:cs="仿宋_GB2312" w:asciiTheme="minorEastAsia" w:hAnsiTheme="minorEastAsia"/>
                <w:szCs w:val="21"/>
                <w:lang w:val="en-US" w:eastAsia="zh-CN"/>
              </w:rPr>
              <w:t>5</w:t>
            </w:r>
            <w:r>
              <w:rPr>
                <w:rFonts w:hint="eastAsia" w:cs="仿宋_GB2312" w:asciiTheme="minorEastAsia" w:hAnsiTheme="minorEastAsia"/>
                <w:szCs w:val="21"/>
              </w:rPr>
              <w:t>分；</w:t>
            </w:r>
            <w:r>
              <w:rPr>
                <w:rFonts w:hint="eastAsia" w:asciiTheme="minorEastAsia" w:hAnsiTheme="minorEastAsia" w:eastAsiaTheme="minorEastAsia" w:cstheme="minorEastAsia"/>
                <w:color w:val="auto"/>
                <w:sz w:val="21"/>
                <w:szCs w:val="21"/>
                <w:lang w:val="en-US" w:eastAsia="zh-CN"/>
              </w:rPr>
              <w:t>不缺项</w:t>
            </w:r>
            <w:r>
              <w:rPr>
                <w:rFonts w:hint="eastAsia" w:asciiTheme="minorEastAsia" w:hAnsiTheme="minorEastAsia" w:eastAsiaTheme="minorEastAsia" w:cstheme="minorEastAsia"/>
                <w:color w:val="auto"/>
                <w:sz w:val="21"/>
                <w:szCs w:val="21"/>
              </w:rPr>
              <w:t>仅有简单描述的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3.5</w:t>
            </w:r>
            <w:r>
              <w:rPr>
                <w:rFonts w:hint="eastAsia" w:asciiTheme="minorEastAsia" w:hAnsiTheme="minorEastAsia" w:eastAsiaTheme="minorEastAsia" w:cstheme="minorEastAsia"/>
                <w:color w:val="auto"/>
                <w:kern w:val="0"/>
                <w:sz w:val="21"/>
                <w:szCs w:val="21"/>
              </w:rPr>
              <w:t>分；内容不完整，</w:t>
            </w:r>
            <w:r>
              <w:rPr>
                <w:rFonts w:hint="eastAsia" w:asciiTheme="minorEastAsia" w:hAnsiTheme="minorEastAsia" w:eastAsiaTheme="minorEastAsia" w:cstheme="minorEastAsia"/>
                <w:color w:val="auto"/>
                <w:kern w:val="0"/>
                <w:sz w:val="21"/>
                <w:szCs w:val="21"/>
                <w:lang w:val="en-US" w:eastAsia="zh-CN"/>
              </w:rPr>
              <w:t>缺乏</w:t>
            </w:r>
            <w:r>
              <w:rPr>
                <w:rFonts w:hint="eastAsia" w:asciiTheme="minorEastAsia" w:hAnsiTheme="minorEastAsia" w:eastAsiaTheme="minorEastAsia" w:cstheme="minorEastAsia"/>
                <w:color w:val="auto"/>
                <w:sz w:val="21"/>
                <w:szCs w:val="21"/>
              </w:rPr>
              <w:t>科学合理</w:t>
            </w:r>
            <w:r>
              <w:rPr>
                <w:rFonts w:hint="eastAsia" w:asciiTheme="minorEastAsia" w:hAnsiTheme="minorEastAsia" w:eastAsiaTheme="minorEastAsia" w:cstheme="minorEastAsia"/>
                <w:color w:val="auto"/>
                <w:kern w:val="0"/>
                <w:sz w:val="21"/>
                <w:szCs w:val="21"/>
              </w:rPr>
              <w:t>的得</w:t>
            </w:r>
            <w:r>
              <w:rPr>
                <w:rFonts w:hint="eastAsia" w:asciiTheme="minorEastAsia" w:hAnsiTheme="minorEastAsia" w:cstheme="minorEastAsia"/>
                <w:color w:val="auto"/>
                <w:kern w:val="0"/>
                <w:sz w:val="21"/>
                <w:szCs w:val="21"/>
                <w:lang w:val="en-US" w:eastAsia="zh-CN"/>
              </w:rPr>
              <w:t>2</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kern w:val="0"/>
                <w:sz w:val="21"/>
                <w:szCs w:val="21"/>
                <w:lang w:val="en-US" w:eastAsia="zh-CN"/>
              </w:rPr>
              <w:t>本项最高得</w:t>
            </w:r>
            <w:r>
              <w:rPr>
                <w:rFonts w:hint="eastAsia" w:asciiTheme="minorEastAsia" w:hAnsiTheme="minorEastAsia" w:cstheme="minorEastAsia"/>
                <w:color w:val="auto"/>
                <w:kern w:val="0"/>
                <w:sz w:val="21"/>
                <w:szCs w:val="21"/>
                <w:lang w:val="en-US" w:eastAsia="zh-CN"/>
              </w:rPr>
              <w:t>5</w:t>
            </w:r>
            <w:r>
              <w:rPr>
                <w:rFonts w:hint="eastAsia" w:asciiTheme="minorEastAsia" w:hAnsiTheme="minorEastAsia" w:eastAsiaTheme="minorEastAsia" w:cstheme="minorEastAsia"/>
                <w:color w:val="auto"/>
                <w:kern w:val="0"/>
                <w:sz w:val="21"/>
                <w:szCs w:val="21"/>
                <w:lang w:val="en-US" w:eastAsia="zh-CN"/>
              </w:rPr>
              <w:t>分。</w:t>
            </w:r>
            <w:r>
              <w:rPr>
                <w:rFonts w:hint="eastAsia" w:ascii="宋体" w:hAnsi="宋体" w:eastAsia="宋体" w:cs="仿宋_GB2312"/>
                <w:kern w:val="0"/>
                <w:szCs w:val="21"/>
              </w:rPr>
              <w:t>不提供的不得分。</w:t>
            </w:r>
          </w:p>
        </w:tc>
        <w:tc>
          <w:tcPr>
            <w:tcW w:w="873" w:type="dxa"/>
            <w:tcBorders>
              <w:top w:val="single" w:color="auto" w:sz="4" w:space="0"/>
              <w:left w:val="single" w:color="auto" w:sz="4" w:space="0"/>
              <w:bottom w:val="single" w:color="auto" w:sz="4" w:space="0"/>
              <w:right w:val="single" w:color="auto" w:sz="4" w:space="0"/>
            </w:tcBorders>
            <w:vAlign w:val="center"/>
          </w:tcPr>
          <w:p w14:paraId="6D08F339">
            <w:pPr>
              <w:tabs>
                <w:tab w:val="left" w:pos="1260"/>
              </w:tabs>
              <w:autoSpaceDE w:val="0"/>
              <w:autoSpaceDN w:val="0"/>
              <w:spacing w:line="360" w:lineRule="auto"/>
              <w:contextualSpacing/>
              <w:jc w:val="center"/>
              <w:rPr>
                <w:rFonts w:hint="default" w:ascii="宋体" w:hAnsi="宋体" w:eastAsia="宋体" w:cs="宋体"/>
                <w:szCs w:val="21"/>
                <w:lang w:val="en-US" w:eastAsia="zh-CN"/>
              </w:rPr>
            </w:pPr>
            <w:r>
              <w:rPr>
                <w:rFonts w:hint="eastAsia" w:ascii="宋体" w:hAnsi="宋体" w:eastAsia="宋体" w:cs="宋体"/>
                <w:szCs w:val="21"/>
                <w:lang w:val="en-US" w:eastAsia="zh-CN"/>
              </w:rPr>
              <w:t>17</w:t>
            </w:r>
          </w:p>
        </w:tc>
      </w:tr>
      <w:tr w14:paraId="7ADF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976" w:type="dxa"/>
            <w:tcBorders>
              <w:top w:val="single" w:color="auto" w:sz="4" w:space="0"/>
              <w:left w:val="single" w:color="auto" w:sz="4" w:space="0"/>
              <w:bottom w:val="single" w:color="auto" w:sz="4" w:space="0"/>
              <w:right w:val="single" w:color="auto" w:sz="4" w:space="0"/>
            </w:tcBorders>
            <w:vAlign w:val="center"/>
          </w:tcPr>
          <w:p w14:paraId="281EF5A9">
            <w:pPr>
              <w:pStyle w:val="9"/>
              <w:spacing w:line="360" w:lineRule="auto"/>
              <w:contextualSpacing/>
              <w:jc w:val="center"/>
              <w:rPr>
                <w:rFonts w:ascii="宋体" w:hAnsi="宋体" w:cs="宋体"/>
                <w:sz w:val="21"/>
                <w:szCs w:val="21"/>
                <w:lang w:val="zh-CN"/>
              </w:rPr>
            </w:pPr>
            <w:r>
              <w:rPr>
                <w:rFonts w:hint="eastAsia" w:ascii="宋体" w:hAnsi="宋体" w:cs="宋体"/>
                <w:sz w:val="21"/>
                <w:szCs w:val="21"/>
                <w:lang w:val="zh-CN"/>
              </w:rPr>
              <w:t>服务质量保证措施</w:t>
            </w:r>
          </w:p>
        </w:tc>
        <w:tc>
          <w:tcPr>
            <w:tcW w:w="6310" w:type="dxa"/>
            <w:tcBorders>
              <w:top w:val="single" w:color="auto" w:sz="4" w:space="0"/>
              <w:left w:val="nil"/>
              <w:bottom w:val="single" w:color="auto" w:sz="4" w:space="0"/>
              <w:right w:val="single" w:color="auto" w:sz="4" w:space="0"/>
            </w:tcBorders>
            <w:shd w:val="clear" w:color="auto" w:fill="auto"/>
            <w:vAlign w:val="center"/>
          </w:tcPr>
          <w:p w14:paraId="7CA389BD">
            <w:pPr>
              <w:tabs>
                <w:tab w:val="left" w:pos="1260"/>
              </w:tabs>
              <w:autoSpaceDE w:val="0"/>
              <w:autoSpaceDN w:val="0"/>
              <w:spacing w:line="360" w:lineRule="auto"/>
              <w:ind w:firstLine="420" w:firstLineChars="200"/>
              <w:contextualSpacing/>
              <w:rPr>
                <w:rFonts w:hint="eastAsia" w:cs="仿宋_GB2312" w:asciiTheme="minorEastAsia" w:hAnsiTheme="minorEastAsia"/>
                <w:szCs w:val="21"/>
              </w:rPr>
            </w:pPr>
            <w:r>
              <w:rPr>
                <w:rFonts w:hint="eastAsia" w:cs="仿宋_GB2312" w:asciiTheme="minorEastAsia" w:hAnsiTheme="minorEastAsia"/>
                <w:szCs w:val="21"/>
              </w:rPr>
              <w:t>对服务质量保证措施进行评价，</w:t>
            </w:r>
            <w:r>
              <w:rPr>
                <w:rFonts w:hint="eastAsia" w:cs="仿宋_GB2312" w:asciiTheme="minorEastAsia" w:hAnsiTheme="minorEastAsia"/>
                <w:szCs w:val="21"/>
                <w:lang w:val="en-US" w:eastAsia="zh-CN"/>
              </w:rPr>
              <w:t>方案需保证</w:t>
            </w:r>
            <w:r>
              <w:rPr>
                <w:rFonts w:hint="eastAsia" w:cs="仿宋_GB2312" w:asciiTheme="minorEastAsia" w:hAnsiTheme="minorEastAsia"/>
                <w:szCs w:val="21"/>
              </w:rPr>
              <w:t>提供7×24小时响应服务，如遇紧急故障，半小时内到现场，一般问题2小时解决，复杂问题2小时内恢复业务，24小时内完全解决。</w:t>
            </w:r>
          </w:p>
          <w:p w14:paraId="44CE25FC">
            <w:pPr>
              <w:tabs>
                <w:tab w:val="left" w:pos="1260"/>
              </w:tabs>
              <w:autoSpaceDE w:val="0"/>
              <w:autoSpaceDN w:val="0"/>
              <w:spacing w:line="360" w:lineRule="auto"/>
              <w:ind w:firstLine="420" w:firstLineChars="200"/>
              <w:contextualSpacing/>
              <w:rPr>
                <w:rFonts w:cs="仿宋_GB2312" w:asciiTheme="minorEastAsia" w:hAnsiTheme="minorEastAsia"/>
                <w:szCs w:val="21"/>
              </w:rPr>
            </w:pPr>
            <w:r>
              <w:rPr>
                <w:rFonts w:hint="eastAsia" w:asciiTheme="minorEastAsia" w:hAnsiTheme="minorEastAsia" w:eastAsiaTheme="minorEastAsia" w:cstheme="minorEastAsia"/>
                <w:color w:val="auto"/>
                <w:sz w:val="21"/>
                <w:szCs w:val="21"/>
              </w:rPr>
              <w:t>方案科学合理、可实施性高、内容完整</w:t>
            </w:r>
            <w:r>
              <w:rPr>
                <w:rFonts w:hint="eastAsia" w:asciiTheme="minorEastAsia" w:hAnsiTheme="minorEastAsia" w:cstheme="minorEastAsia"/>
                <w:color w:val="auto"/>
                <w:sz w:val="21"/>
                <w:szCs w:val="21"/>
                <w:lang w:eastAsia="zh-CN"/>
              </w:rPr>
              <w:t>的、</w:t>
            </w:r>
            <w:r>
              <w:rPr>
                <w:rFonts w:hint="eastAsia" w:cs="仿宋_GB2312" w:asciiTheme="minorEastAsia" w:hAnsiTheme="minorEastAsia"/>
                <w:szCs w:val="21"/>
              </w:rPr>
              <w:t>确保本项目服务质量的，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5</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sz w:val="21"/>
                <w:szCs w:val="21"/>
                <w:lang w:val="en-US" w:eastAsia="zh-CN"/>
              </w:rPr>
              <w:t>不缺项</w:t>
            </w:r>
            <w:r>
              <w:rPr>
                <w:rFonts w:hint="eastAsia" w:asciiTheme="minorEastAsia" w:hAnsiTheme="minorEastAsia" w:eastAsiaTheme="minorEastAsia" w:cstheme="minorEastAsia"/>
                <w:color w:val="auto"/>
                <w:sz w:val="21"/>
                <w:szCs w:val="21"/>
              </w:rPr>
              <w:t>仅有简单描述的</w:t>
            </w:r>
            <w:r>
              <w:rPr>
                <w:rFonts w:hint="eastAsia" w:asciiTheme="minorEastAsia" w:hAnsiTheme="minorEastAsia" w:cstheme="minorEastAsia"/>
                <w:color w:val="auto"/>
                <w:sz w:val="21"/>
                <w:szCs w:val="21"/>
                <w:lang w:eastAsia="zh-CN"/>
              </w:rPr>
              <w:t>、</w:t>
            </w:r>
            <w:r>
              <w:rPr>
                <w:rFonts w:hint="eastAsia" w:cs="仿宋_GB2312" w:asciiTheme="minorEastAsia" w:hAnsiTheme="minorEastAsia"/>
                <w:szCs w:val="21"/>
              </w:rPr>
              <w:t>基本能够满足本项目服务质量要求的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3.5</w:t>
            </w:r>
            <w:r>
              <w:rPr>
                <w:rFonts w:hint="eastAsia" w:asciiTheme="minorEastAsia" w:hAnsiTheme="minorEastAsia" w:eastAsiaTheme="minorEastAsia" w:cstheme="minorEastAsia"/>
                <w:color w:val="auto"/>
                <w:kern w:val="0"/>
                <w:sz w:val="21"/>
                <w:szCs w:val="21"/>
              </w:rPr>
              <w:t>分；内容不完整，</w:t>
            </w:r>
            <w:r>
              <w:rPr>
                <w:rFonts w:hint="eastAsia" w:asciiTheme="minorEastAsia" w:hAnsiTheme="minorEastAsia" w:eastAsiaTheme="minorEastAsia" w:cstheme="minorEastAsia"/>
                <w:color w:val="auto"/>
                <w:kern w:val="0"/>
                <w:sz w:val="21"/>
                <w:szCs w:val="21"/>
                <w:lang w:val="en-US" w:eastAsia="zh-CN"/>
              </w:rPr>
              <w:t>缺乏</w:t>
            </w:r>
            <w:r>
              <w:rPr>
                <w:rFonts w:hint="eastAsia" w:asciiTheme="minorEastAsia" w:hAnsiTheme="minorEastAsia" w:eastAsiaTheme="minorEastAsia" w:cstheme="minorEastAsia"/>
                <w:color w:val="auto"/>
                <w:sz w:val="21"/>
                <w:szCs w:val="21"/>
              </w:rPr>
              <w:t>科学合理</w:t>
            </w:r>
            <w:r>
              <w:rPr>
                <w:rFonts w:hint="eastAsia" w:asciiTheme="minorEastAsia" w:hAnsiTheme="minorEastAsia" w:eastAsiaTheme="minorEastAsia" w:cstheme="minorEastAsia"/>
                <w:color w:val="auto"/>
                <w:kern w:val="0"/>
                <w:sz w:val="21"/>
                <w:szCs w:val="21"/>
              </w:rPr>
              <w:t>的得</w:t>
            </w:r>
            <w:r>
              <w:rPr>
                <w:rFonts w:hint="eastAsia" w:asciiTheme="minorEastAsia" w:hAnsiTheme="minorEastAsia" w:cstheme="minorEastAsia"/>
                <w:color w:val="auto"/>
                <w:kern w:val="0"/>
                <w:sz w:val="21"/>
                <w:szCs w:val="21"/>
                <w:lang w:val="en-US" w:eastAsia="zh-CN"/>
              </w:rPr>
              <w:t>2</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kern w:val="0"/>
                <w:sz w:val="21"/>
                <w:szCs w:val="21"/>
                <w:lang w:val="en-US" w:eastAsia="zh-CN"/>
              </w:rPr>
              <w:t>本项最高得</w:t>
            </w:r>
            <w:r>
              <w:rPr>
                <w:rFonts w:hint="eastAsia" w:asciiTheme="minorEastAsia" w:hAnsiTheme="minorEastAsia" w:cstheme="minorEastAsia"/>
                <w:color w:val="auto"/>
                <w:kern w:val="0"/>
                <w:sz w:val="21"/>
                <w:szCs w:val="21"/>
                <w:lang w:val="en-US" w:eastAsia="zh-CN"/>
              </w:rPr>
              <w:t>5</w:t>
            </w:r>
            <w:r>
              <w:rPr>
                <w:rFonts w:hint="eastAsia" w:asciiTheme="minorEastAsia" w:hAnsiTheme="minorEastAsia" w:eastAsiaTheme="minorEastAsia" w:cstheme="minorEastAsia"/>
                <w:color w:val="auto"/>
                <w:kern w:val="0"/>
                <w:sz w:val="21"/>
                <w:szCs w:val="21"/>
                <w:lang w:val="en-US" w:eastAsia="zh-CN"/>
              </w:rPr>
              <w:t>分。</w:t>
            </w:r>
            <w:r>
              <w:rPr>
                <w:rFonts w:hint="eastAsia" w:ascii="宋体" w:hAnsi="宋体" w:eastAsia="宋体" w:cs="仿宋_GB2312"/>
                <w:kern w:val="0"/>
                <w:szCs w:val="21"/>
              </w:rPr>
              <w:t>不提供的不得分。</w:t>
            </w:r>
          </w:p>
        </w:tc>
        <w:tc>
          <w:tcPr>
            <w:tcW w:w="873" w:type="dxa"/>
            <w:tcBorders>
              <w:top w:val="single" w:color="auto" w:sz="4" w:space="0"/>
              <w:left w:val="single" w:color="auto" w:sz="4" w:space="0"/>
              <w:bottom w:val="single" w:color="auto" w:sz="4" w:space="0"/>
              <w:right w:val="single" w:color="auto" w:sz="4" w:space="0"/>
            </w:tcBorders>
            <w:vAlign w:val="center"/>
          </w:tcPr>
          <w:p w14:paraId="1C55C6FB">
            <w:pPr>
              <w:tabs>
                <w:tab w:val="left" w:pos="1260"/>
              </w:tabs>
              <w:autoSpaceDE w:val="0"/>
              <w:autoSpaceDN w:val="0"/>
              <w:spacing w:line="360" w:lineRule="auto"/>
              <w:contextualSpacing/>
              <w:jc w:val="center"/>
              <w:rPr>
                <w:rFonts w:hint="eastAsia" w:ascii="宋体" w:hAnsi="宋体" w:eastAsia="宋体" w:cs="宋体"/>
                <w:szCs w:val="21"/>
                <w:lang w:eastAsia="zh-CN"/>
              </w:rPr>
            </w:pPr>
            <w:r>
              <w:rPr>
                <w:rFonts w:hint="eastAsia" w:ascii="宋体" w:hAnsi="宋体" w:eastAsia="宋体" w:cs="宋体"/>
                <w:szCs w:val="21"/>
                <w:lang w:val="en-US" w:eastAsia="zh-CN"/>
              </w:rPr>
              <w:t>5</w:t>
            </w:r>
          </w:p>
        </w:tc>
      </w:tr>
      <w:tr w14:paraId="73E7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trPr>
        <w:tc>
          <w:tcPr>
            <w:tcW w:w="1976" w:type="dxa"/>
            <w:tcBorders>
              <w:top w:val="single" w:color="auto" w:sz="4" w:space="0"/>
              <w:left w:val="single" w:color="auto" w:sz="4" w:space="0"/>
              <w:right w:val="single" w:color="auto" w:sz="4" w:space="0"/>
            </w:tcBorders>
            <w:vAlign w:val="center"/>
          </w:tcPr>
          <w:p w14:paraId="5384DF0A">
            <w:pPr>
              <w:pStyle w:val="9"/>
              <w:spacing w:line="360" w:lineRule="auto"/>
              <w:contextualSpacing/>
              <w:jc w:val="center"/>
              <w:rPr>
                <w:rFonts w:ascii="宋体" w:hAnsi="宋体" w:cs="宋体"/>
                <w:sz w:val="21"/>
                <w:szCs w:val="21"/>
                <w:lang w:val="zh-CN"/>
              </w:rPr>
            </w:pPr>
            <w:r>
              <w:rPr>
                <w:rFonts w:hint="eastAsia" w:ascii="宋体" w:hAnsi="宋体" w:cs="宋体"/>
                <w:sz w:val="21"/>
                <w:szCs w:val="21"/>
                <w:lang w:val="zh-CN"/>
              </w:rPr>
              <w:t>售后服务承诺</w:t>
            </w:r>
          </w:p>
        </w:tc>
        <w:tc>
          <w:tcPr>
            <w:tcW w:w="6310" w:type="dxa"/>
            <w:tcBorders>
              <w:top w:val="single" w:color="auto" w:sz="4" w:space="0"/>
              <w:left w:val="nil"/>
              <w:bottom w:val="single" w:color="auto" w:sz="4" w:space="0"/>
              <w:right w:val="single" w:color="auto" w:sz="4" w:space="0"/>
            </w:tcBorders>
            <w:shd w:val="clear" w:color="auto" w:fill="auto"/>
            <w:vAlign w:val="center"/>
          </w:tcPr>
          <w:p w14:paraId="77F4A9EE">
            <w:pPr>
              <w:pStyle w:val="38"/>
              <w:spacing w:before="28" w:line="403" w:lineRule="auto"/>
              <w:ind w:left="110" w:right="105"/>
              <w:rPr>
                <w:rFonts w:cs="仿宋_GB2312" w:asciiTheme="minorEastAsia" w:hAnsiTheme="minorEastAsia"/>
                <w:szCs w:val="21"/>
              </w:rPr>
            </w:pPr>
            <w:r>
              <w:rPr>
                <w:rFonts w:hint="eastAsia" w:cs="仿宋_GB2312" w:asciiTheme="minorEastAsia" w:hAnsiTheme="minorEastAsia" w:eastAsiaTheme="minorEastAsia"/>
                <w:lang w:eastAsia="zh-CN"/>
              </w:rPr>
              <w:t>投标人有完整的售后服务承诺：①具体的违约责任承诺②针对性保证措施③服务人员配备④网络维护所需软件及工具准备情况。</w:t>
            </w:r>
            <w:r>
              <w:rPr>
                <w:rFonts w:hint="eastAsia" w:asciiTheme="minorEastAsia" w:hAnsiTheme="minorEastAsia" w:eastAsiaTheme="minorEastAsia" w:cstheme="minorEastAsia"/>
                <w:color w:val="auto"/>
                <w:sz w:val="21"/>
                <w:szCs w:val="21"/>
              </w:rPr>
              <w:t>每项方案科学合理、可实施性高、内容完整</w:t>
            </w:r>
            <w:r>
              <w:rPr>
                <w:rFonts w:hint="eastAsia" w:asciiTheme="minorEastAsia" w:hAnsiTheme="minorEastAsia" w:cstheme="minorEastAsia"/>
                <w:color w:val="auto"/>
                <w:sz w:val="21"/>
                <w:szCs w:val="21"/>
                <w:lang w:eastAsia="zh-CN"/>
              </w:rPr>
              <w:t>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sz w:val="21"/>
                <w:szCs w:val="21"/>
                <w:lang w:val="en-US" w:eastAsia="zh-CN"/>
              </w:rPr>
              <w:t>不缺项</w:t>
            </w:r>
            <w:r>
              <w:rPr>
                <w:rFonts w:hint="eastAsia" w:asciiTheme="minorEastAsia" w:hAnsiTheme="minorEastAsia" w:eastAsiaTheme="minorEastAsia" w:cstheme="minorEastAsia"/>
                <w:color w:val="auto"/>
                <w:sz w:val="21"/>
                <w:szCs w:val="21"/>
              </w:rPr>
              <w:t>仅有简单描述的</w:t>
            </w:r>
            <w:r>
              <w:rPr>
                <w:rFonts w:hint="eastAsia" w:asciiTheme="minorEastAsia" w:hAnsiTheme="minorEastAsia" w:eastAsiaTheme="minorEastAsia" w:cstheme="minorEastAsia"/>
                <w:color w:val="auto"/>
                <w:kern w:val="0"/>
                <w:sz w:val="21"/>
                <w:szCs w:val="21"/>
              </w:rPr>
              <w:t>得</w:t>
            </w:r>
            <w:r>
              <w:rPr>
                <w:rFonts w:hint="eastAsia" w:asciiTheme="minorEastAsia" w:hAnsiTheme="minorEastAsia" w:cstheme="minorEastAsia"/>
                <w:color w:val="auto"/>
                <w:kern w:val="0"/>
                <w:sz w:val="21"/>
                <w:szCs w:val="21"/>
                <w:lang w:val="en-US" w:eastAsia="zh-CN"/>
              </w:rPr>
              <w:t>2.1</w:t>
            </w:r>
            <w:r>
              <w:rPr>
                <w:rFonts w:hint="eastAsia" w:asciiTheme="minorEastAsia" w:hAnsiTheme="minorEastAsia" w:eastAsiaTheme="minorEastAsia" w:cstheme="minorEastAsia"/>
                <w:color w:val="auto"/>
                <w:kern w:val="0"/>
                <w:sz w:val="21"/>
                <w:szCs w:val="21"/>
              </w:rPr>
              <w:t>分；内容不完整，</w:t>
            </w:r>
            <w:r>
              <w:rPr>
                <w:rFonts w:hint="eastAsia" w:asciiTheme="minorEastAsia" w:hAnsiTheme="minorEastAsia" w:eastAsiaTheme="minorEastAsia" w:cstheme="minorEastAsia"/>
                <w:color w:val="auto"/>
                <w:kern w:val="0"/>
                <w:sz w:val="21"/>
                <w:szCs w:val="21"/>
                <w:lang w:val="en-US" w:eastAsia="zh-CN"/>
              </w:rPr>
              <w:t>缺乏</w:t>
            </w:r>
            <w:r>
              <w:rPr>
                <w:rFonts w:hint="eastAsia" w:asciiTheme="minorEastAsia" w:hAnsiTheme="minorEastAsia" w:eastAsiaTheme="minorEastAsia" w:cstheme="minorEastAsia"/>
                <w:color w:val="auto"/>
                <w:sz w:val="21"/>
                <w:szCs w:val="21"/>
              </w:rPr>
              <w:t>科学合理</w:t>
            </w:r>
            <w:r>
              <w:rPr>
                <w:rFonts w:hint="eastAsia" w:asciiTheme="minorEastAsia" w:hAnsiTheme="minorEastAsia" w:eastAsiaTheme="minorEastAsia" w:cstheme="minorEastAsia"/>
                <w:color w:val="auto"/>
                <w:kern w:val="0"/>
                <w:sz w:val="21"/>
                <w:szCs w:val="21"/>
              </w:rPr>
              <w:t>的得</w:t>
            </w:r>
            <w:r>
              <w:rPr>
                <w:rFonts w:hint="eastAsia" w:asciiTheme="minorEastAsia" w:hAnsiTheme="minorEastAsia" w:cstheme="minorEastAsia"/>
                <w:color w:val="auto"/>
                <w:kern w:val="0"/>
                <w:sz w:val="21"/>
                <w:szCs w:val="21"/>
                <w:lang w:val="en-US" w:eastAsia="zh-CN"/>
              </w:rPr>
              <w:t>1.2</w:t>
            </w:r>
            <w:r>
              <w:rPr>
                <w:rFonts w:hint="eastAsia" w:asciiTheme="minorEastAsia" w:hAnsiTheme="minorEastAsia" w:eastAsiaTheme="minorEastAsia" w:cstheme="minorEastAsia"/>
                <w:color w:val="auto"/>
                <w:kern w:val="0"/>
                <w:sz w:val="21"/>
                <w:szCs w:val="21"/>
              </w:rPr>
              <w:t>分。</w:t>
            </w:r>
            <w:r>
              <w:rPr>
                <w:rFonts w:hint="eastAsia" w:asciiTheme="minorEastAsia" w:hAnsiTheme="minorEastAsia" w:eastAsiaTheme="minorEastAsia" w:cstheme="minorEastAsia"/>
                <w:color w:val="auto"/>
                <w:kern w:val="0"/>
                <w:sz w:val="21"/>
                <w:szCs w:val="21"/>
                <w:lang w:val="en-US" w:eastAsia="zh-CN"/>
              </w:rPr>
              <w:t>本项最高得12分。</w:t>
            </w:r>
            <w:r>
              <w:rPr>
                <w:rFonts w:hint="eastAsia" w:ascii="宋体" w:hAnsi="宋体" w:eastAsia="宋体" w:cs="仿宋_GB2312"/>
                <w:kern w:val="0"/>
                <w:szCs w:val="21"/>
              </w:rPr>
              <w:t>不提供的不得分。</w:t>
            </w:r>
          </w:p>
        </w:tc>
        <w:tc>
          <w:tcPr>
            <w:tcW w:w="873" w:type="dxa"/>
            <w:tcBorders>
              <w:top w:val="single" w:color="auto" w:sz="4" w:space="0"/>
              <w:left w:val="single" w:color="auto" w:sz="4" w:space="0"/>
              <w:bottom w:val="single" w:color="auto" w:sz="4" w:space="0"/>
              <w:right w:val="single" w:color="auto" w:sz="4" w:space="0"/>
            </w:tcBorders>
            <w:vAlign w:val="center"/>
          </w:tcPr>
          <w:p w14:paraId="68BBADE9">
            <w:pPr>
              <w:tabs>
                <w:tab w:val="left" w:pos="1260"/>
              </w:tabs>
              <w:autoSpaceDE w:val="0"/>
              <w:autoSpaceDN w:val="0"/>
              <w:spacing w:line="360" w:lineRule="auto"/>
              <w:contextualSpacing/>
              <w:jc w:val="center"/>
              <w:rPr>
                <w:rFonts w:hint="default" w:ascii="宋体" w:hAnsi="宋体" w:eastAsia="宋体" w:cs="宋体"/>
                <w:szCs w:val="21"/>
                <w:lang w:val="en-US" w:eastAsia="zh-CN"/>
              </w:rPr>
            </w:pPr>
            <w:r>
              <w:rPr>
                <w:rFonts w:hint="eastAsia" w:ascii="宋体" w:hAnsi="宋体" w:eastAsia="宋体" w:cs="宋体"/>
                <w:szCs w:val="21"/>
                <w:lang w:val="en-US" w:eastAsia="zh-CN"/>
              </w:rPr>
              <w:t>12</w:t>
            </w:r>
          </w:p>
        </w:tc>
      </w:tr>
    </w:tbl>
    <w:p w14:paraId="2B89D34B">
      <w:pPr>
        <w:pStyle w:val="9"/>
        <w:keepNext w:val="0"/>
        <w:keepLines w:val="0"/>
        <w:pageBreakBefore w:val="0"/>
        <w:widowControl w:val="0"/>
        <w:kinsoku/>
        <w:overflowPunct/>
        <w:topLinePunct w:val="0"/>
        <w:bidi w:val="0"/>
        <w:adjustRightInd/>
        <w:snapToGrid/>
        <w:spacing w:line="460" w:lineRule="exact"/>
        <w:ind w:firstLine="211" w:firstLineChars="100"/>
        <w:contextualSpacing/>
        <w:textAlignment w:val="auto"/>
        <w:rPr>
          <w:rFonts w:hint="eastAsia" w:ascii="宋体" w:hAnsi="宋体" w:eastAsia="宋体" w:cs="宋体"/>
          <w:color w:val="auto"/>
          <w:sz w:val="21"/>
          <w:szCs w:val="21"/>
          <w:lang w:val="zh-CN"/>
        </w:rPr>
      </w:pPr>
      <w:r>
        <w:rPr>
          <w:rFonts w:hint="eastAsia" w:ascii="宋体" w:hAnsi="宋体" w:eastAsia="宋体" w:cs="宋体"/>
          <w:b/>
          <w:color w:val="auto"/>
          <w:sz w:val="21"/>
          <w:szCs w:val="21"/>
          <w:lang w:val="zh-CN"/>
        </w:rPr>
        <w:t>（</w:t>
      </w:r>
      <w:r>
        <w:rPr>
          <w:rFonts w:hint="eastAsia" w:ascii="宋体" w:hAnsi="宋体" w:eastAsia="宋体" w:cs="宋体"/>
          <w:b/>
          <w:color w:val="auto"/>
          <w:sz w:val="21"/>
          <w:szCs w:val="21"/>
        </w:rPr>
        <w:t>7</w:t>
      </w:r>
      <w:r>
        <w:rPr>
          <w:rFonts w:hint="eastAsia" w:ascii="宋体" w:hAnsi="宋体" w:eastAsia="宋体" w:cs="宋体"/>
          <w:b/>
          <w:color w:val="auto"/>
          <w:sz w:val="21"/>
          <w:szCs w:val="21"/>
          <w:lang w:val="zh-CN"/>
        </w:rPr>
        <w:t>）评标结果汇总完成后，除下列情形外，任何人不得修改评标结果：</w:t>
      </w:r>
    </w:p>
    <w:p w14:paraId="2B89D34C">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1） 分值汇总计算错误的；</w:t>
      </w:r>
    </w:p>
    <w:p w14:paraId="2B89D34D">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2） 分项评分超出评分标准范围的；</w:t>
      </w:r>
    </w:p>
    <w:p w14:paraId="2B89D34E">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3） 评标委员会成员对客观评审因素评分不一致的；</w:t>
      </w:r>
    </w:p>
    <w:p w14:paraId="2B89D34F">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4） 经评标委员会认定评分畸高、畸低的。</w:t>
      </w:r>
    </w:p>
    <w:p w14:paraId="2B89D350">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B89D351">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投标人对本条第一款情形提出质疑的，采购人或者采购代理机构可以组织原评标委员会进行重新评审，重新评审改变评标结果的，应当书面报告本级财政部门。</w:t>
      </w:r>
    </w:p>
    <w:p w14:paraId="22E70CBE">
      <w:pPr>
        <w:pStyle w:val="9"/>
        <w:spacing w:line="360" w:lineRule="auto"/>
        <w:ind w:firstLine="422" w:firstLineChars="200"/>
        <w:contextualSpacing/>
        <w:rPr>
          <w:rFonts w:hint="eastAsia" w:ascii="宋体" w:hAnsi="宋体" w:eastAsia="宋体" w:cs="宋体"/>
          <w:color w:val="auto"/>
          <w:sz w:val="21"/>
          <w:szCs w:val="21"/>
          <w:highlight w:val="none"/>
          <w:lang w:val="zh-CN" w:eastAsia="zh-CN"/>
        </w:rPr>
      </w:pPr>
      <w:r>
        <w:rPr>
          <w:rFonts w:hint="eastAsia" w:ascii="宋体" w:hAnsi="宋体" w:eastAsia="宋体" w:cs="宋体"/>
          <w:b/>
          <w:color w:val="auto"/>
          <w:sz w:val="21"/>
          <w:szCs w:val="21"/>
          <w:highlight w:val="none"/>
          <w:lang w:val="zh-CN"/>
        </w:rPr>
        <w:t>（8）推荐</w:t>
      </w:r>
      <w:r>
        <w:rPr>
          <w:rFonts w:hint="eastAsia" w:ascii="宋体" w:hAnsi="宋体" w:eastAsia="宋体" w:cs="宋体"/>
          <w:b/>
          <w:color w:val="auto"/>
          <w:sz w:val="21"/>
          <w:szCs w:val="21"/>
          <w:highlight w:val="none"/>
          <w:lang w:val="en-US" w:eastAsia="zh-CN"/>
        </w:rPr>
        <w:t>中标</w:t>
      </w:r>
      <w:r>
        <w:rPr>
          <w:rFonts w:hint="eastAsia" w:ascii="宋体" w:hAnsi="宋体" w:eastAsia="宋体" w:cs="宋体"/>
          <w:b/>
          <w:color w:val="auto"/>
          <w:sz w:val="21"/>
          <w:szCs w:val="21"/>
          <w:highlight w:val="none"/>
          <w:lang w:val="zh-CN"/>
        </w:rPr>
        <w:t>候选</w:t>
      </w:r>
      <w:r>
        <w:rPr>
          <w:rFonts w:hint="eastAsia" w:ascii="宋体" w:hAnsi="宋体" w:eastAsia="宋体" w:cs="宋体"/>
          <w:b/>
          <w:color w:val="auto"/>
          <w:sz w:val="21"/>
          <w:szCs w:val="21"/>
          <w:highlight w:val="none"/>
          <w:lang w:val="en-US" w:eastAsia="zh-CN"/>
        </w:rPr>
        <w:t>人</w:t>
      </w:r>
    </w:p>
    <w:p w14:paraId="5E8A3D9D">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shd w:val="clear" w:color="auto" w:fill="FFFFFF"/>
          <w:lang w:val="zh-CN"/>
        </w:rPr>
      </w:pPr>
      <w:r>
        <w:rPr>
          <w:rFonts w:hint="eastAsia" w:ascii="宋体" w:hAnsi="宋体" w:eastAsia="宋体" w:cs="宋体"/>
          <w:color w:val="auto"/>
          <w:szCs w:val="21"/>
          <w:lang w:val="zh-CN"/>
        </w:rPr>
        <w:t>评标委员会</w:t>
      </w:r>
      <w:r>
        <w:rPr>
          <w:rFonts w:hint="eastAsia" w:ascii="宋体" w:hAnsi="宋体" w:eastAsia="宋体" w:cs="宋体"/>
          <w:color w:val="auto"/>
          <w:szCs w:val="21"/>
          <w:highlight w:val="none"/>
          <w:shd w:val="clear" w:color="auto" w:fill="FFFFFF"/>
        </w:rPr>
        <w:t>应当根据综合评分情况，按照评审得分由高到低顺序推荐3名</w:t>
      </w:r>
      <w:r>
        <w:rPr>
          <w:rFonts w:hint="eastAsia" w:ascii="宋体" w:hAnsi="宋体" w:eastAsia="宋体" w:cs="宋体"/>
          <w:color w:val="auto"/>
          <w:szCs w:val="21"/>
          <w:highlight w:val="none"/>
          <w:shd w:val="clear" w:color="auto" w:fill="FFFFFF"/>
          <w:lang w:val="en-US" w:eastAsia="zh-CN"/>
        </w:rPr>
        <w:t>中标</w:t>
      </w:r>
      <w:r>
        <w:rPr>
          <w:rFonts w:hint="eastAsia" w:ascii="宋体" w:hAnsi="宋体" w:eastAsia="宋体" w:cs="宋体"/>
          <w:color w:val="auto"/>
          <w:szCs w:val="21"/>
          <w:highlight w:val="none"/>
          <w:shd w:val="clear" w:color="auto" w:fill="FFFFFF"/>
        </w:rPr>
        <w:t>候选</w:t>
      </w:r>
      <w:r>
        <w:rPr>
          <w:rFonts w:hint="eastAsia" w:ascii="宋体" w:hAnsi="宋体" w:eastAsia="宋体" w:cs="宋体"/>
          <w:color w:val="auto"/>
          <w:szCs w:val="21"/>
          <w:highlight w:val="none"/>
          <w:shd w:val="clear" w:color="auto" w:fill="FFFFFF"/>
          <w:lang w:val="en-US" w:eastAsia="zh-CN"/>
        </w:rPr>
        <w:t>人</w:t>
      </w:r>
      <w:r>
        <w:rPr>
          <w:rFonts w:hint="eastAsia" w:ascii="宋体" w:hAnsi="宋体" w:eastAsia="宋体" w:cs="宋体"/>
          <w:color w:val="auto"/>
          <w:szCs w:val="21"/>
          <w:highlight w:val="none"/>
          <w:shd w:val="clear" w:color="auto" w:fill="FFFFFF"/>
        </w:rPr>
        <w:t>，并编写评审报告。评审评标结果按评审后得分由高到低顺序排列。得分相同的，按投标报价由低到高顺序排列。得分且投标报价相同的。按照技术指标优劣顺序推荐。</w:t>
      </w:r>
    </w:p>
    <w:p w14:paraId="2B89D352">
      <w:pPr>
        <w:keepNext w:val="0"/>
        <w:keepLines w:val="0"/>
        <w:pageBreakBefore w:val="0"/>
        <w:widowControl w:val="0"/>
        <w:kinsoku/>
        <w:wordWrap w:val="0"/>
        <w:overflowPunct/>
        <w:topLinePunct w:val="0"/>
        <w:bidi w:val="0"/>
        <w:adjustRightInd/>
        <w:snapToGrid/>
        <w:spacing w:line="460" w:lineRule="exact"/>
        <w:ind w:firstLine="422" w:firstLineChars="200"/>
        <w:contextualSpacing/>
        <w:textAlignment w:val="auto"/>
        <w:rPr>
          <w:rFonts w:hint="eastAsia" w:ascii="宋体" w:hAnsi="宋体" w:eastAsia="宋体" w:cs="宋体"/>
          <w:b/>
          <w:bCs/>
          <w:color w:val="auto"/>
          <w:szCs w:val="21"/>
          <w:lang w:val="zh-CN"/>
        </w:rPr>
      </w:pPr>
      <w:r>
        <w:rPr>
          <w:rFonts w:hint="eastAsia" w:ascii="宋体" w:hAnsi="宋体" w:eastAsia="宋体" w:cs="宋体"/>
          <w:b/>
          <w:bCs/>
          <w:color w:val="auto"/>
          <w:szCs w:val="21"/>
          <w:lang w:val="zh-CN"/>
        </w:rPr>
        <w:t>（</w:t>
      </w:r>
      <w:r>
        <w:rPr>
          <w:rFonts w:hint="eastAsia" w:ascii="宋体" w:hAnsi="宋体" w:eastAsia="宋体" w:cs="宋体"/>
          <w:b/>
          <w:bCs/>
          <w:color w:val="auto"/>
          <w:szCs w:val="21"/>
          <w:lang w:val="en-US" w:eastAsia="zh-CN"/>
        </w:rPr>
        <w:t>9</w:t>
      </w:r>
      <w:r>
        <w:rPr>
          <w:rFonts w:hint="eastAsia" w:ascii="宋体" w:hAnsi="宋体" w:eastAsia="宋体" w:cs="宋体"/>
          <w:b/>
          <w:bCs/>
          <w:color w:val="auto"/>
          <w:szCs w:val="21"/>
          <w:lang w:val="zh-CN"/>
        </w:rPr>
        <w:t>）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2B89D353">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szCs w:val="21"/>
          <w:lang w:val="zh-CN"/>
        </w:rPr>
      </w:pPr>
      <w:r>
        <w:rPr>
          <w:rFonts w:hint="eastAsia" w:ascii="宋体" w:hAnsi="宋体" w:eastAsia="宋体" w:cs="宋体"/>
          <w:b/>
          <w:color w:val="auto"/>
          <w:szCs w:val="21"/>
          <w:lang w:val="zh-CN"/>
        </w:rPr>
        <w:t>（</w:t>
      </w:r>
      <w:r>
        <w:rPr>
          <w:rFonts w:hint="eastAsia" w:ascii="宋体" w:hAnsi="宋体" w:eastAsia="宋体" w:cs="宋体"/>
          <w:b/>
          <w:color w:val="auto"/>
          <w:szCs w:val="21"/>
          <w:lang w:val="en-US" w:eastAsia="zh-CN"/>
        </w:rPr>
        <w:t>10</w:t>
      </w:r>
      <w:r>
        <w:rPr>
          <w:rFonts w:hint="eastAsia" w:ascii="宋体" w:hAnsi="宋体" w:eastAsia="宋体" w:cs="宋体"/>
          <w:b/>
          <w:color w:val="auto"/>
          <w:szCs w:val="21"/>
          <w:lang w:val="zh-CN"/>
        </w:rPr>
        <w:t>）评标委员会争议处理</w:t>
      </w:r>
    </w:p>
    <w:p w14:paraId="2B89D354">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0" w:firstLineChars="200"/>
        <w:contextualSpacing/>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01063B33">
      <w:pPr>
        <w:keepNext w:val="0"/>
        <w:keepLines w:val="0"/>
        <w:pageBreakBefore w:val="0"/>
        <w:widowControl w:val="0"/>
        <w:tabs>
          <w:tab w:val="left" w:pos="1260"/>
        </w:tabs>
        <w:kinsoku/>
        <w:overflowPunct/>
        <w:topLinePunct w:val="0"/>
        <w:autoSpaceDE w:val="0"/>
        <w:autoSpaceDN w:val="0"/>
        <w:bidi w:val="0"/>
        <w:adjustRightInd/>
        <w:snapToGrid/>
        <w:spacing w:line="460" w:lineRule="exact"/>
        <w:ind w:firstLine="422" w:firstLineChars="200"/>
        <w:contextualSpacing/>
        <w:textAlignment w:val="auto"/>
        <w:rPr>
          <w:rFonts w:hint="eastAsia" w:ascii="宋体" w:hAnsi="宋体" w:eastAsia="宋体" w:cs="宋体"/>
          <w:b/>
          <w:color w:val="auto"/>
          <w:kern w:val="0"/>
          <w:sz w:val="30"/>
          <w:szCs w:val="30"/>
          <w:lang w:val="en-US" w:eastAsia="zh-CN"/>
        </w:rPr>
      </w:pPr>
      <w:r>
        <w:rPr>
          <w:rFonts w:hint="eastAsia" w:ascii="宋体" w:hAnsi="宋体" w:eastAsia="宋体" w:cs="宋体"/>
          <w:b/>
          <w:color w:val="auto"/>
          <w:szCs w:val="21"/>
          <w:lang w:val="en-US" w:eastAsia="zh-CN"/>
        </w:rPr>
        <w:t>4.</w:t>
      </w:r>
      <w:r>
        <w:rPr>
          <w:rFonts w:hint="eastAsia" w:ascii="宋体" w:hAnsi="宋体" w:eastAsia="宋体" w:cs="宋体"/>
          <w:b/>
          <w:color w:val="auto"/>
          <w:szCs w:val="21"/>
          <w:lang w:val="zh-CN"/>
        </w:rPr>
        <w:t>确定中标候选人名单，以及根据采购人委托直接确定中标人。</w:t>
      </w:r>
    </w:p>
    <w:p w14:paraId="37B848DA">
      <w:pPr>
        <w:numPr>
          <w:ilvl w:val="0"/>
          <w:numId w:val="0"/>
        </w:num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lang w:val="en-US" w:eastAsia="zh-CN"/>
        </w:rPr>
      </w:pPr>
    </w:p>
    <w:p w14:paraId="332A8614">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1A566342">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5551EFFE">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6357868D">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3F7A08CB">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3F0E6869">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lang w:val="en-US" w:eastAsia="zh-CN"/>
        </w:rPr>
      </w:pPr>
    </w:p>
    <w:p w14:paraId="56EEB1E7">
      <w:pPr>
        <w:numPr>
          <w:ilvl w:val="0"/>
          <w:numId w:val="0"/>
        </w:num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lang w:val="en-US" w:eastAsia="zh-CN"/>
        </w:rPr>
      </w:pPr>
    </w:p>
    <w:p w14:paraId="0C18D468">
      <w:pPr>
        <w:numPr>
          <w:ilvl w:val="0"/>
          <w:numId w:val="0"/>
        </w:numPr>
        <w:tabs>
          <w:tab w:val="left" w:pos="1260"/>
        </w:tabs>
        <w:autoSpaceDE w:val="0"/>
        <w:autoSpaceDN w:val="0"/>
        <w:adjustRightInd w:val="0"/>
        <w:spacing w:line="360" w:lineRule="auto"/>
        <w:contextualSpacing/>
        <w:jc w:val="both"/>
        <w:rPr>
          <w:rFonts w:hint="eastAsia" w:ascii="宋体" w:hAnsi="宋体" w:eastAsia="宋体" w:cs="宋体"/>
          <w:b/>
          <w:color w:val="auto"/>
          <w:kern w:val="0"/>
          <w:sz w:val="30"/>
          <w:szCs w:val="30"/>
          <w:lang w:val="en-US" w:eastAsia="zh-CN"/>
        </w:rPr>
      </w:pPr>
    </w:p>
    <w:p w14:paraId="2B89D365">
      <w:pPr>
        <w:numPr>
          <w:ilvl w:val="0"/>
          <w:numId w:val="0"/>
        </w:num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lang w:val="en-US" w:eastAsia="zh-CN"/>
        </w:rPr>
        <w:t xml:space="preserve">第七章 </w:t>
      </w:r>
      <w:r>
        <w:rPr>
          <w:rFonts w:hint="eastAsia" w:ascii="宋体" w:hAnsi="宋体" w:eastAsia="宋体" w:cs="宋体"/>
          <w:b/>
          <w:color w:val="auto"/>
          <w:kern w:val="0"/>
          <w:sz w:val="30"/>
          <w:szCs w:val="30"/>
        </w:rPr>
        <w:t>合同条款及格式</w:t>
      </w:r>
    </w:p>
    <w:p w14:paraId="7BC2EAB9">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（此合同仅供参考</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以最终采购人与中标人签订的合同条款为准</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w:t>
      </w:r>
    </w:p>
    <w:p w14:paraId="13AF15AD">
      <w:pPr>
        <w:spacing w:line="360" w:lineRule="auto"/>
        <w:jc w:val="righ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本合同口是/口否中小企业预留合同</w:t>
      </w:r>
    </w:p>
    <w:p w14:paraId="42F161E1">
      <w:pPr>
        <w:spacing w:line="360" w:lineRule="auto"/>
        <w:ind w:firstLine="2520" w:firstLineChars="1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政府采购服务合同（范本）</w:t>
      </w:r>
    </w:p>
    <w:p w14:paraId="36B8E11D">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合同编号：</w:t>
      </w:r>
    </w:p>
    <w:p w14:paraId="1FD3CDCF">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签订地：</w:t>
      </w:r>
    </w:p>
    <w:p w14:paraId="7426708A">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甲方（采购人）：</w:t>
      </w:r>
    </w:p>
    <w:p w14:paraId="43626567">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住所地：</w:t>
      </w:r>
    </w:p>
    <w:p w14:paraId="4195A609">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乙方（中标人）：</w:t>
      </w:r>
    </w:p>
    <w:p w14:paraId="65B0BB69">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住所地：</w:t>
      </w:r>
    </w:p>
    <w:p w14:paraId="13A97663">
      <w:pPr>
        <w:spacing w:line="360" w:lineRule="auto"/>
        <w:ind w:firstLine="315" w:firstLineChars="150"/>
        <w:rPr>
          <w:rFonts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乙方于年月日参加了</w:t>
      </w:r>
      <w:r>
        <w:rPr>
          <w:rFonts w:hint="eastAsia" w:ascii="宋体" w:hAnsi="宋体" w:eastAsia="宋体" w:cs="宋体"/>
          <w:color w:val="auto"/>
          <w:sz w:val="21"/>
          <w:szCs w:val="21"/>
          <w:highlight w:val="none"/>
          <w:u w:val="single"/>
        </w:rPr>
        <w:t>（采购代理机构）</w:t>
      </w:r>
      <w:r>
        <w:rPr>
          <w:rFonts w:hint="eastAsia" w:ascii="宋体" w:hAnsi="宋体" w:eastAsia="宋体" w:cs="宋体"/>
          <w:color w:val="auto"/>
          <w:sz w:val="21"/>
          <w:szCs w:val="21"/>
          <w:highlight w:val="none"/>
        </w:rPr>
        <w:t xml:space="preserve"> 组织的“（</w:t>
      </w:r>
      <w:r>
        <w:rPr>
          <w:rFonts w:hint="eastAsia" w:ascii="宋体" w:hAnsi="宋体" w:eastAsia="宋体" w:cs="宋体"/>
          <w:color w:val="auto"/>
          <w:sz w:val="21"/>
          <w:szCs w:val="21"/>
          <w:highlight w:val="none"/>
          <w:u w:val="single"/>
        </w:rPr>
        <w:t>项目名称及项目编号）</w:t>
      </w:r>
      <w:r>
        <w:rPr>
          <w:rFonts w:hint="eastAsia" w:ascii="宋体" w:hAnsi="宋体" w:eastAsia="宋体" w:cs="宋体"/>
          <w:color w:val="auto"/>
          <w:sz w:val="21"/>
          <w:szCs w:val="21"/>
          <w:highlight w:val="none"/>
        </w:rPr>
        <w:t>” 政府采购活动，经评标委员会评审确定乙方为 （</w:t>
      </w:r>
      <w:r>
        <w:rPr>
          <w:rFonts w:hint="eastAsia" w:ascii="宋体" w:hAnsi="宋体" w:eastAsia="宋体" w:cs="宋体"/>
          <w:color w:val="auto"/>
          <w:sz w:val="21"/>
          <w:szCs w:val="21"/>
          <w:highlight w:val="none"/>
          <w:u w:val="single"/>
        </w:rPr>
        <w:t>包及包名称）</w:t>
      </w:r>
      <w:r>
        <w:rPr>
          <w:rFonts w:hint="eastAsia" w:ascii="宋体" w:hAnsi="宋体" w:eastAsia="宋体" w:cs="宋体"/>
          <w:color w:val="auto"/>
          <w:sz w:val="21"/>
          <w:szCs w:val="21"/>
          <w:highlight w:val="none"/>
        </w:rPr>
        <w:t>中标人，按照《中华人民共和国民法典》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《中华人民共和国政府采购法》和相关的法律法规规定，以及招标文件规定，经甲乙双方协商一致，签订本政府采购合同。</w:t>
      </w:r>
    </w:p>
    <w:p w14:paraId="7C407FDC">
      <w:pPr>
        <w:spacing w:line="360" w:lineRule="auto"/>
        <w:ind w:firstLine="42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第一条合同标的</w:t>
      </w:r>
    </w:p>
    <w:p w14:paraId="42B3B98E">
      <w:pPr>
        <w:spacing w:line="36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服务名称：</w:t>
      </w:r>
    </w:p>
    <w:p w14:paraId="439DB889">
      <w:pPr>
        <w:spacing w:line="360" w:lineRule="auto"/>
        <w:ind w:firstLine="525" w:firstLineChars="2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服务内容：</w:t>
      </w:r>
    </w:p>
    <w:p w14:paraId="1B3F0977">
      <w:pPr>
        <w:spacing w:line="360" w:lineRule="auto"/>
        <w:ind w:firstLine="525" w:firstLineChars="2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w:t>
      </w:r>
    </w:p>
    <w:p w14:paraId="50B70991">
      <w:pPr>
        <w:widowControl w:val="0"/>
        <w:numPr>
          <w:ilvl w:val="0"/>
          <w:numId w:val="7"/>
        </w:numPr>
        <w:spacing w:line="360" w:lineRule="auto"/>
        <w:ind w:left="720" w:hanging="720" w:firstLineChars="0"/>
        <w:jc w:val="both"/>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合同总金额</w:t>
      </w:r>
    </w:p>
    <w:p w14:paraId="4582ADB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合同总金额为人民币（大写）： _____  (￥_____ )</w:t>
      </w:r>
    </w:p>
    <w:p w14:paraId="7C0D7C19">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此价格为合同执行不变价，不因国家政策变化而变化，该价款</w:t>
      </w:r>
      <w:r>
        <w:rPr>
          <w:rFonts w:hint="eastAsia" w:ascii="宋体" w:hAnsi="宋体" w:eastAsia="宋体" w:cs="宋体"/>
          <w:color w:val="auto"/>
          <w:sz w:val="21"/>
          <w:szCs w:val="21"/>
          <w:highlight w:val="none"/>
          <w:lang w:eastAsia="zh-CN"/>
        </w:rPr>
        <w:t>包括</w:t>
      </w:r>
      <w:r>
        <w:rPr>
          <w:rFonts w:hint="eastAsia" w:ascii="宋体" w:hAnsi="宋体" w:eastAsia="宋体" w:cs="宋体"/>
          <w:color w:val="auto"/>
          <w:sz w:val="21"/>
          <w:szCs w:val="21"/>
          <w:highlight w:val="none"/>
        </w:rPr>
        <w:t>货物及与之配套的设计，制造，正版软件。检验，包装。运输。保险、税费以及安装。组织验收、培训、技术服务（包括技术资料。图纸提供等）。质保期服务等全部价格，除此之外，甲方不再向乙方支付其他任何费用。 .</w:t>
      </w:r>
    </w:p>
    <w:p w14:paraId="77BBF7BA">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第三条    服务交付</w:t>
      </w:r>
    </w:p>
    <w:p w14:paraId="3D4528D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1.交付日期：</w:t>
      </w:r>
    </w:p>
    <w:p w14:paraId="1C8C903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2.交付地点：</w:t>
      </w:r>
    </w:p>
    <w:p w14:paraId="76AEA1CD">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第四条   交付验收</w:t>
      </w:r>
    </w:p>
    <w:p w14:paraId="2BCE509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应当根据国家。行业验收标准，以及合同约定验收方案，明确验收时间、方式。程序和内容等事项，组成验收小组，在收到乙方项目验收建议之日起1个工作日内。对采购项目进行实质性验收（验收建议有明显不当的除外）。乙方应对提交的服务成果作出全面检查和整理，并列出清单，作为甲方验收和使用技术条件依据，清单应随提交的服务成果交给甲方。</w:t>
      </w:r>
    </w:p>
    <w:p w14:paraId="0093455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2.对大型或复杂的政府采购项目，甲方应当邀请国家认可的质量检测机构参与验收工作，并出具验收报告，相关费用负担由甲乙双方约定。</w:t>
      </w:r>
    </w:p>
    <w:p w14:paraId="58762B4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3.乙方在指定地点提交服务成果后，甲乙双方应依据招标文件、投标文件等文件材料的要求共同验收。并且出具书面验收报告，履约验收报告应当依法依规及时在市政府采购网公开发布。</w:t>
      </w:r>
    </w:p>
    <w:p w14:paraId="40DE29B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根据财政部等三部门《关于印发〈商品包装政府采购需求标准（试行）〉〈快递包装政府采购需求标准（试行）〉的通知》规定，采购文件对商品包装和快递包装提出具体要求的，对乙方所提供包装的履约验收要求（必要时要求乙方在履约验收环节出具检测报告）：</w:t>
      </w:r>
    </w:p>
    <w:p w14:paraId="775BA982">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第五条   权利瑕疵担当</w:t>
      </w:r>
    </w:p>
    <w:p w14:paraId="3A7A14F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1.乙方保证对其出售的标的物享有合法的权利：</w:t>
      </w:r>
    </w:p>
    <w:p w14:paraId="657899C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2.乙方应保证在其出售的标的物上不存在任何未曾向甲方透露的担保物权，如抵押权、质押权，留置权等：</w:t>
      </w:r>
    </w:p>
    <w:p w14:paraId="6F8324A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3.乙方应保证其所出售的标的物没有侵害任何第三人的知识产权和商业秘密等权利：</w:t>
      </w:r>
    </w:p>
    <w:p w14:paraId="0ED9CEBE">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4.如甲方使用该标的物构成上述侵权的，则由乙方承担全部责任。</w:t>
      </w:r>
    </w:p>
    <w:p w14:paraId="39A17B52">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第六条   所有权归属</w:t>
      </w:r>
    </w:p>
    <w:p w14:paraId="4FC4A366">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乙方将服务成果交付甲方，并且经甲乙双方共同验收合格后所有权转</w:t>
      </w:r>
      <w:r>
        <w:rPr>
          <w:rFonts w:hint="eastAsia" w:ascii="宋体" w:hAnsi="宋体" w:eastAsia="宋体" w:cs="宋体"/>
          <w:color w:val="auto"/>
          <w:sz w:val="21"/>
          <w:szCs w:val="21"/>
          <w:highlight w:val="none"/>
          <w:lang w:eastAsia="zh-CN"/>
        </w:rPr>
        <w:t>移给</w:t>
      </w:r>
      <w:r>
        <w:rPr>
          <w:rFonts w:hint="eastAsia" w:ascii="宋体" w:hAnsi="宋体" w:eastAsia="宋体" w:cs="宋体"/>
          <w:color w:val="auto"/>
          <w:sz w:val="21"/>
          <w:szCs w:val="21"/>
          <w:highlight w:val="none"/>
        </w:rPr>
        <w:t>甲方，在所有权转移之前，标的物损毁。灭失的风险归乙方，乙方保证所交付的服务成果的所有权完全属于乙方且无任何抵押、查封等产权瑕疵。</w:t>
      </w:r>
    </w:p>
    <w:p w14:paraId="3312315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如乙方交付的服务成果有产权实施的，视为乙方违约，乙方须向甲方支付_ %的违约金：如果合同总金额价款已经支付完毕或者开始支付合同价款时才发现产权有瑕疵的，乙方仍须支付上述违约金并且赔偿甲 方由此所遭受的一切损失。</w:t>
      </w:r>
    </w:p>
    <w:p w14:paraId="7D3FD7E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第七条   包装， 装运及运输</w:t>
      </w:r>
    </w:p>
    <w:p w14:paraId="4E169B9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乙方负责包装、装运和运输，由于不适当的包装。装运和运输造成任何损坏均由乙方负责。</w:t>
      </w:r>
    </w:p>
    <w:p w14:paraId="387E77D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2.包装费、运费及相关费用已包含在合同总金额内。</w:t>
      </w:r>
    </w:p>
    <w:p w14:paraId="7A23AB1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3.根据财政部等三部门关于印发〈商品包装政府采购需求标准（试行）〉《快递包装政府采购需求标准（试行）的通知》规定，对乙方提出的具体包装要求：</w:t>
      </w:r>
    </w:p>
    <w:p w14:paraId="3512156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第八条   款项支付</w:t>
      </w:r>
    </w:p>
    <w:p w14:paraId="2571197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1.服务成果交付甲方，经甲乙双方共同验收合格后由甲方负责办理支付手续。</w:t>
      </w:r>
    </w:p>
    <w:p w14:paraId="62B680B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2.允许并鼓励乙方提供电子发票，甲方自收到发票之日起2个工作日内支付资金，并不得附加未经约定的其他条件。</w:t>
      </w:r>
    </w:p>
    <w:p w14:paraId="7DED781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3.付款方式</w:t>
      </w:r>
    </w:p>
    <w:p w14:paraId="2001FB47">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3.1预付款比例：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 xml:space="preserve"> %， 于政府采购合同签订生效并具备实施条件后2个工作日内支付。</w:t>
      </w:r>
    </w:p>
    <w:p w14:paraId="55A910F7">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第九条   履约保证金</w:t>
      </w:r>
    </w:p>
    <w:p w14:paraId="72D4AD0D">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根据许昌市优化政府采购营商环境要求。项目不收取履约保证金。</w:t>
      </w:r>
    </w:p>
    <w:p w14:paraId="09C9D4E4">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第十条   售后服务及承诺</w:t>
      </w:r>
    </w:p>
    <w:p w14:paraId="554A1AD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1.服务质量保证期限自提交服务验收合格之日起___ 年，在质量保证期内，乙方应对服务出现的问题负责处理并承担一切费用，</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赔偿甲方的损失。</w:t>
      </w:r>
    </w:p>
    <w:p w14:paraId="5EDA9AAD">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2.乙方有完善的服务体系，有能力提供持续的、本地化售后服务。</w:t>
      </w:r>
    </w:p>
    <w:p w14:paraId="3DFB314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3.乙方负责系统安装和调试以及操作人员培训，并制定详细的培训计划，使操作人员能独立进行管理，操作、维护和故障处理等工作，做好相关记录及技术文档收集整理，验收后移交。</w:t>
      </w:r>
    </w:p>
    <w:p w14:paraId="194136D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4.服务范围：负责招标文件所涉及的所有服务。</w:t>
      </w:r>
    </w:p>
    <w:p w14:paraId="0EFDB9C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第十一  条知识产权</w:t>
      </w:r>
    </w:p>
    <w:p w14:paraId="71F0810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1.乙方保证，甲方在享受服务或者服务的任何一部分时，免受第三方提出的侵犯其专利权、商标权或其他知识产权的起诉。如发生此类纠纷，由乙方承担一切责任：如因此给甲方</w:t>
      </w:r>
      <w:r>
        <w:rPr>
          <w:rFonts w:hint="eastAsia" w:ascii="宋体" w:hAnsi="宋体" w:eastAsia="宋体" w:cs="宋体"/>
          <w:color w:val="auto"/>
          <w:sz w:val="21"/>
          <w:szCs w:val="21"/>
          <w:highlight w:val="none"/>
          <w:lang w:eastAsia="zh-CN"/>
        </w:rPr>
        <w:t>造成损失的，由乙方</w:t>
      </w:r>
      <w:r>
        <w:rPr>
          <w:rFonts w:hint="eastAsia" w:ascii="宋体" w:hAnsi="宋体" w:eastAsia="宋体" w:cs="宋体"/>
          <w:color w:val="auto"/>
          <w:sz w:val="21"/>
          <w:szCs w:val="21"/>
          <w:highlight w:val="none"/>
        </w:rPr>
        <w:t>负责全额赔偿。</w:t>
      </w:r>
    </w:p>
    <w:p w14:paraId="3E72FD5C">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2.乙方为执行本合同而提供的技术资料或者其他相关资料，软件等由甲方永久免费使用。</w:t>
      </w:r>
    </w:p>
    <w:p w14:paraId="19AAE4C5">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第十二   条甲方责任</w:t>
      </w:r>
    </w:p>
    <w:p w14:paraId="2FFC515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1.及时办理付款手续。</w:t>
      </w:r>
    </w:p>
    <w:p w14:paraId="4B2B12F3">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2.负责提供工作场地，协助乙方办理有关事宜。</w:t>
      </w:r>
    </w:p>
    <w:p w14:paraId="14F255F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对合同条款及所知悉的乙方商业秘密负有保密义务。</w:t>
      </w:r>
    </w:p>
    <w:p w14:paraId="13DEE303">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第十三条   乙方责任</w:t>
      </w:r>
    </w:p>
    <w:p w14:paraId="13AD9BE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1.保证所提供服务为投标文件承诺服务，符合相关法律法规规定并且满足甲方的需求，保证其配套项目部件为全新的未使用的且符合相关的质量要求。</w:t>
      </w:r>
    </w:p>
    <w:p w14:paraId="45161449">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2.保证所提供服务的售后服务。严格依据投标文件及相关承诺，对服务以及与之配套的项目进行保修、维护等服务。</w:t>
      </w:r>
    </w:p>
    <w:p w14:paraId="6D6566E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3.保证其所提供服务不存在侵犯第三方知识产权的行为，否则由此产生的损失由乙方承担。</w:t>
      </w:r>
    </w:p>
    <w:p w14:paraId="34098210">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第十四条   违约责任</w:t>
      </w:r>
    </w:p>
    <w:p w14:paraId="352AE0AE">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1.乙方所提供服务成果及与之配套项目等不符合合同约定标准，甲方有权拒收。同时，乙方向甲方支付合同总金额__ %的违约金。</w:t>
      </w:r>
    </w:p>
    <w:p w14:paraId="2A4FFCC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乙方不能交付服务成果时，乙方向甲方支付合同总金额_ %的违约金。</w:t>
      </w:r>
    </w:p>
    <w:p w14:paraId="1248D01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乙方逾期交付服务成果时，每逾__日乙方向甲方支付合同总金额_ %的滞纳金。逾期交付超过_日， 甲方有权决定是否继续履行合同，如甲方决定终止履行合同的，乙方向甲方支付合同总金额_ %的违约金， 并且赔偿甲方因此所遭受的损失。</w:t>
      </w:r>
    </w:p>
    <w:p w14:paraId="0953E8B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4.甲方逾期退还履约保证金的违约责任：采购人延迟退还供应商缴纳的履约保证金的，应当支付逾期利息。双方对逾期利息的利率有约定的，约定利率不得低于合同订立时__年期贷款市场报价利率： 未作约定的，按照每日利率___支付逾期利息。</w:t>
      </w:r>
    </w:p>
    <w:p w14:paraId="6751D474">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5.甲方逾期支付资金的违约责任：</w:t>
      </w:r>
    </w:p>
    <w:p w14:paraId="5F88296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6.因甲方原因导致变更、中止或者终止政府采购合同的，甲方对供应商受到的损失予以赔偿或者补偿：</w:t>
      </w:r>
    </w:p>
    <w:p w14:paraId="017F898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7.因甲方过错给乙方造成的损失，由甲方负担。</w:t>
      </w:r>
    </w:p>
    <w:p w14:paraId="26D160A5">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第十五条   不可抗力</w:t>
      </w:r>
    </w:p>
    <w:p w14:paraId="684B69B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甲乙双方的任何一方由于不可抗力不能履行合同时，应当及时通知对方不能履行或不能完全履行的情况和理由：在取得有关主管机关证明以后，允许延期履行、部分履行或者终止履行合同的，根据情况</w:t>
      </w:r>
      <w:r>
        <w:rPr>
          <w:rFonts w:hint="eastAsia" w:ascii="宋体" w:hAnsi="宋体" w:eastAsia="宋体" w:cs="宋体"/>
          <w:color w:val="auto"/>
          <w:sz w:val="21"/>
          <w:szCs w:val="21"/>
          <w:highlight w:val="none"/>
          <w:lang w:eastAsia="zh-CN"/>
        </w:rPr>
        <w:t>可以</w:t>
      </w:r>
      <w:r>
        <w:rPr>
          <w:rFonts w:hint="eastAsia" w:ascii="宋体" w:hAnsi="宋体" w:eastAsia="宋体" w:cs="宋体"/>
          <w:color w:val="auto"/>
          <w:sz w:val="21"/>
          <w:szCs w:val="21"/>
          <w:highlight w:val="none"/>
        </w:rPr>
        <w:t>部分或全部免于承担违约责任。</w:t>
      </w:r>
    </w:p>
    <w:p w14:paraId="7B95DFEB">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第十六条   保密</w:t>
      </w:r>
    </w:p>
    <w:p w14:paraId="3CAC6B3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乙方在合同履行期间知悉甲方的工作秘密（包括相关业务信息）。不得披露或以其他方式提供结合双方以外的其他方（包括乙方内部与本合同无关的任何人员）。乙方的保密责任不因本合同的终止而终止。</w:t>
      </w:r>
    </w:p>
    <w:p w14:paraId="7EC3B11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乙方违反本合同所规定的保密义务，应按照本合同总金额的_ %支付违约金。</w:t>
      </w:r>
    </w:p>
    <w:p w14:paraId="30CA76B4">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第十七条   争议解决</w:t>
      </w:r>
    </w:p>
    <w:p w14:paraId="4C117DA8">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甲乙双方在合同履行</w:t>
      </w:r>
      <w:r>
        <w:rPr>
          <w:rFonts w:hint="eastAsia" w:ascii="宋体" w:hAnsi="宋体" w:eastAsia="宋体" w:cs="宋体"/>
          <w:color w:val="auto"/>
          <w:sz w:val="21"/>
          <w:szCs w:val="21"/>
          <w:highlight w:val="none"/>
          <w:lang w:eastAsia="zh-CN"/>
        </w:rPr>
        <w:t>过程中发生争议</w:t>
      </w:r>
      <w:r>
        <w:rPr>
          <w:rFonts w:hint="eastAsia" w:ascii="宋体" w:hAnsi="宋体" w:eastAsia="宋体" w:cs="宋体"/>
          <w:color w:val="auto"/>
          <w:sz w:val="21"/>
          <w:szCs w:val="21"/>
          <w:highlight w:val="none"/>
        </w:rPr>
        <w:t>，应通过协商解决。如协商不成，可以向合同签订地法院提起诉讼。</w:t>
      </w:r>
    </w:p>
    <w:p w14:paraId="4AEED182">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第十八条   合同生效及其他</w:t>
      </w:r>
    </w:p>
    <w:p w14:paraId="26901A98">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1.除招标文件规定且甲方事先书面同意外，乙方不得部分或者全部转让、分包履行其应履行的合同项下的义务。</w:t>
      </w:r>
    </w:p>
    <w:p w14:paraId="36EA88E2">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合同由甲、乙双方法定代表人（或者被授权代表）签字并加盖单位公章。</w:t>
      </w:r>
    </w:p>
    <w:p w14:paraId="73C4F2D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本合同一式份，甲方_份，乙方_份。</w:t>
      </w:r>
    </w:p>
    <w:p w14:paraId="3345D14C">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第十九条   服务期限</w:t>
      </w:r>
    </w:p>
    <w:p w14:paraId="41648ABB">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本合同服务期限为_年：服务期限自_年_ 月_ 日起至_ 年月日止。本合同期限未定，如需续签，根据《政府采购目录</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有关规定，经财政部门批准，双方可以根据法律及各项规定另行签订书面合同。</w:t>
      </w:r>
    </w:p>
    <w:p w14:paraId="2A7A7C66">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第二十条   政府采购合 同融资</w:t>
      </w:r>
    </w:p>
    <w:p w14:paraId="1C47F85E">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rPr>
        <w:t>政府采购合同签订前开展融资业务的。中标（成交）供应商持政府采购中标（成交）通知书提前与金融机构进行合同融资商洽，双方达成融资意向后，中标（成交）供应商与采购人签订政府采购合同，合同中供应商的银行账户要与合同融资的回款账户一致。中标（成交）供应商和贷款金融机构要及时将政府采购合同作为融资质押的信息告知采购人。采购人要从严加强合同付款账户管理，经贷款银行同意，不随意更改合同付款账户。</w:t>
      </w:r>
    </w:p>
    <w:p w14:paraId="459D0A4F">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2.政府采购合同签订后开展</w:t>
      </w:r>
      <w:r>
        <w:rPr>
          <w:rFonts w:hint="eastAsia" w:ascii="宋体" w:hAnsi="宋体" w:eastAsia="宋体" w:cs="宋体"/>
          <w:color w:val="auto"/>
          <w:sz w:val="21"/>
          <w:szCs w:val="21"/>
          <w:highlight w:val="none"/>
          <w:lang w:eastAsia="zh-CN"/>
        </w:rPr>
        <w:t>融资</w:t>
      </w:r>
      <w:r>
        <w:rPr>
          <w:rFonts w:hint="eastAsia" w:ascii="宋体" w:hAnsi="宋体" w:eastAsia="宋体" w:cs="宋体"/>
          <w:color w:val="auto"/>
          <w:sz w:val="21"/>
          <w:szCs w:val="21"/>
          <w:highlight w:val="none"/>
        </w:rPr>
        <w:t>账户管理。在合同履约期间，中标（成交）供应商持已签订的政府采购合同向金融机构申请合同融资，可能出现政府采购合同中供应商收款的银行账户与报贷款银行回款账户不一致的情形。为支持供应商通过政府采购合同成功获得银行贷款，采购人应积极协助供应商及时变更政府采购合同中的供应商收款银行账户，保障供应商收款的银行账户与报贷款银行回款账户一致。</w:t>
      </w:r>
    </w:p>
    <w:p w14:paraId="667CDAD7">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3.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14:paraId="57D96F6E">
      <w:pPr>
        <w:spacing w:line="36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第二十一条   下列文件为本合同不可分割部分</w:t>
      </w:r>
    </w:p>
    <w:p w14:paraId="0F1AE0F1">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1.政府采购招标文件（包括澄清、修改）；</w:t>
      </w:r>
    </w:p>
    <w:p w14:paraId="1F717DE6">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乙方投标文件：</w:t>
      </w:r>
    </w:p>
    <w:p w14:paraId="6E7196D5">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中标（成交）通知书：</w:t>
      </w:r>
    </w:p>
    <w:p w14:paraId="77A4F610">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4.中标人在评标过程中做出的有关澄清、说明，承诺或者补正文件：</w:t>
      </w:r>
    </w:p>
    <w:p w14:paraId="76F1A9EA">
      <w:pPr>
        <w:spacing w:line="360" w:lineRule="auto"/>
        <w:ind w:firstLine="315" w:firstLineChars="1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5.政府采购委托协议书。</w:t>
      </w:r>
    </w:p>
    <w:p w14:paraId="57C34203">
      <w:pPr>
        <w:spacing w:line="360" w:lineRule="auto"/>
        <w:ind w:firstLine="210" w:firstLineChars="1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甲  方：                                       乙   方：</w:t>
      </w:r>
    </w:p>
    <w:p w14:paraId="1F8D66DB">
      <w:pPr>
        <w:spacing w:line="360" w:lineRule="auto"/>
        <w:ind w:firstLine="105" w:firstLineChars="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单位名称（公章）：                              单位名称（公章）：</w:t>
      </w:r>
    </w:p>
    <w:p w14:paraId="23396A18">
      <w:pPr>
        <w:spacing w:line="360" w:lineRule="auto"/>
        <w:ind w:firstLine="105" w:firstLineChars="50"/>
        <w:rPr>
          <w:rFonts w:ascii="宋体" w:hAnsi="宋体" w:eastAsia="宋体" w:cs="宋体"/>
          <w:color w:val="auto"/>
          <w:sz w:val="21"/>
          <w:szCs w:val="21"/>
          <w:highlight w:val="none"/>
        </w:rPr>
      </w:pPr>
    </w:p>
    <w:p w14:paraId="7E690763">
      <w:pPr>
        <w:spacing w:line="360" w:lineRule="auto"/>
        <w:ind w:left="3520" w:hanging="3360" w:hangingChars="16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法定代表人（被授权代表）签字：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法定代表人（被授权代表）签字：</w:t>
      </w:r>
    </w:p>
    <w:p w14:paraId="7D065C4F">
      <w:pPr>
        <w:spacing w:line="360" w:lineRule="auto"/>
        <w:ind w:firstLine="105" w:firstLineChars="5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    话：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电   话：</w:t>
      </w:r>
    </w:p>
    <w:p w14:paraId="4289A3DC">
      <w:pPr>
        <w:pStyle w:val="45"/>
        <w:keepNext w:val="0"/>
        <w:keepLines w:val="0"/>
        <w:pageBreakBefore w:val="0"/>
        <w:widowControl w:val="0"/>
        <w:shd w:val="clear" w:color="auto" w:fill="auto"/>
        <w:kinsoku/>
        <w:wordWrap/>
        <w:overflowPunct/>
        <w:topLinePunct w:val="0"/>
        <w:autoSpaceDE/>
        <w:autoSpaceDN/>
        <w:bidi w:val="0"/>
        <w:adjustRightInd/>
        <w:snapToGrid/>
        <w:spacing w:before="0" w:line="460" w:lineRule="exact"/>
        <w:ind w:left="0" w:right="0" w:firstLine="480"/>
        <w:jc w:val="both"/>
        <w:textAlignment w:val="auto"/>
        <w:rPr>
          <w:rFonts w:hint="eastAsia"/>
          <w:color w:val="auto"/>
          <w:spacing w:val="0"/>
          <w:w w:val="100"/>
          <w:position w:val="0"/>
          <w:sz w:val="21"/>
          <w:szCs w:val="21"/>
          <w:highlight w:val="none"/>
        </w:rPr>
      </w:pPr>
    </w:p>
    <w:p w14:paraId="308DD3D0">
      <w:pPr>
        <w:pStyle w:val="9"/>
        <w:spacing w:line="360" w:lineRule="auto"/>
        <w:contextualSpacing/>
        <w:rPr>
          <w:rFonts w:hint="eastAsia" w:ascii="宋体" w:hAnsi="宋体" w:eastAsia="宋体" w:cs="宋体"/>
          <w:b/>
          <w:color w:val="auto"/>
          <w:kern w:val="0"/>
          <w:sz w:val="36"/>
          <w:szCs w:val="36"/>
        </w:rPr>
      </w:pPr>
    </w:p>
    <w:p w14:paraId="48F7B120">
      <w:pPr>
        <w:pStyle w:val="9"/>
        <w:spacing w:line="360" w:lineRule="auto"/>
        <w:contextualSpacing/>
        <w:rPr>
          <w:rFonts w:hint="eastAsia" w:ascii="宋体" w:hAnsi="宋体" w:eastAsia="宋体" w:cs="宋体"/>
          <w:b/>
          <w:color w:val="auto"/>
          <w:kern w:val="0"/>
          <w:sz w:val="36"/>
          <w:szCs w:val="36"/>
        </w:rPr>
      </w:pPr>
    </w:p>
    <w:p w14:paraId="3FB1D3F3">
      <w:pPr>
        <w:pStyle w:val="9"/>
        <w:spacing w:line="360" w:lineRule="auto"/>
        <w:contextualSpacing/>
        <w:rPr>
          <w:rFonts w:hint="eastAsia" w:ascii="宋体" w:hAnsi="宋体" w:eastAsia="宋体" w:cs="宋体"/>
          <w:b/>
          <w:color w:val="auto"/>
          <w:kern w:val="0"/>
          <w:sz w:val="36"/>
          <w:szCs w:val="36"/>
        </w:rPr>
      </w:pPr>
    </w:p>
    <w:p w14:paraId="7F12DFE8">
      <w:pPr>
        <w:pStyle w:val="9"/>
        <w:spacing w:line="360" w:lineRule="auto"/>
        <w:contextualSpacing/>
        <w:rPr>
          <w:rFonts w:hint="eastAsia" w:ascii="宋体" w:hAnsi="宋体" w:eastAsia="宋体" w:cs="宋体"/>
          <w:b/>
          <w:color w:val="auto"/>
          <w:kern w:val="0"/>
          <w:sz w:val="36"/>
          <w:szCs w:val="36"/>
        </w:rPr>
      </w:pPr>
    </w:p>
    <w:p w14:paraId="6942FF01">
      <w:pPr>
        <w:pStyle w:val="9"/>
        <w:spacing w:line="360" w:lineRule="auto"/>
        <w:contextualSpacing/>
        <w:rPr>
          <w:rFonts w:hint="eastAsia" w:ascii="宋体" w:hAnsi="宋体" w:eastAsia="宋体" w:cs="宋体"/>
          <w:b/>
          <w:color w:val="auto"/>
          <w:kern w:val="0"/>
          <w:sz w:val="36"/>
          <w:szCs w:val="36"/>
        </w:rPr>
      </w:pPr>
    </w:p>
    <w:p w14:paraId="28A3195A">
      <w:pPr>
        <w:pStyle w:val="9"/>
        <w:spacing w:line="360" w:lineRule="auto"/>
        <w:contextualSpacing/>
        <w:rPr>
          <w:rFonts w:hint="eastAsia" w:ascii="宋体" w:hAnsi="宋体" w:eastAsia="宋体" w:cs="宋体"/>
          <w:b/>
          <w:color w:val="auto"/>
          <w:kern w:val="0"/>
          <w:sz w:val="36"/>
          <w:szCs w:val="36"/>
        </w:rPr>
      </w:pPr>
    </w:p>
    <w:p w14:paraId="48ABA399">
      <w:pPr>
        <w:pStyle w:val="9"/>
        <w:spacing w:line="360" w:lineRule="auto"/>
        <w:contextualSpacing/>
        <w:rPr>
          <w:rFonts w:hint="eastAsia" w:ascii="宋体" w:hAnsi="宋体" w:eastAsia="宋体" w:cs="宋体"/>
          <w:b/>
          <w:color w:val="auto"/>
          <w:kern w:val="0"/>
          <w:sz w:val="36"/>
          <w:szCs w:val="36"/>
        </w:rPr>
      </w:pPr>
    </w:p>
    <w:p w14:paraId="369A00BE">
      <w:pPr>
        <w:pStyle w:val="9"/>
        <w:spacing w:line="360" w:lineRule="auto"/>
        <w:contextualSpacing/>
        <w:rPr>
          <w:rFonts w:hint="eastAsia" w:ascii="宋体" w:hAnsi="宋体" w:eastAsia="宋体" w:cs="宋体"/>
          <w:b/>
          <w:color w:val="auto"/>
          <w:kern w:val="0"/>
          <w:sz w:val="36"/>
          <w:szCs w:val="36"/>
        </w:rPr>
      </w:pPr>
    </w:p>
    <w:p w14:paraId="2295CF31">
      <w:pPr>
        <w:pStyle w:val="9"/>
        <w:spacing w:line="360" w:lineRule="auto"/>
        <w:contextualSpacing/>
        <w:rPr>
          <w:rFonts w:hint="eastAsia" w:ascii="宋体" w:hAnsi="宋体" w:eastAsia="宋体" w:cs="宋体"/>
          <w:b/>
          <w:color w:val="auto"/>
          <w:kern w:val="0"/>
          <w:sz w:val="36"/>
          <w:szCs w:val="36"/>
        </w:rPr>
      </w:pPr>
    </w:p>
    <w:p w14:paraId="330E9D82">
      <w:pPr>
        <w:pStyle w:val="9"/>
        <w:spacing w:line="360" w:lineRule="auto"/>
        <w:contextualSpacing/>
        <w:rPr>
          <w:rFonts w:hint="eastAsia" w:ascii="宋体" w:hAnsi="宋体" w:eastAsia="宋体" w:cs="宋体"/>
          <w:b/>
          <w:color w:val="auto"/>
          <w:kern w:val="0"/>
          <w:sz w:val="36"/>
          <w:szCs w:val="36"/>
        </w:rPr>
      </w:pPr>
    </w:p>
    <w:p w14:paraId="7FD0D862">
      <w:pPr>
        <w:pStyle w:val="9"/>
        <w:spacing w:line="360" w:lineRule="auto"/>
        <w:contextualSpacing/>
        <w:rPr>
          <w:rFonts w:hint="eastAsia" w:ascii="宋体" w:hAnsi="宋体" w:eastAsia="宋体" w:cs="宋体"/>
          <w:b/>
          <w:color w:val="auto"/>
          <w:kern w:val="0"/>
          <w:sz w:val="36"/>
          <w:szCs w:val="36"/>
        </w:rPr>
      </w:pPr>
    </w:p>
    <w:p w14:paraId="6FD97DFB">
      <w:pPr>
        <w:pStyle w:val="9"/>
        <w:spacing w:line="360" w:lineRule="auto"/>
        <w:contextualSpacing/>
        <w:rPr>
          <w:rFonts w:hint="eastAsia" w:ascii="宋体" w:hAnsi="宋体" w:eastAsia="宋体" w:cs="宋体"/>
          <w:b/>
          <w:color w:val="auto"/>
          <w:kern w:val="0"/>
          <w:sz w:val="36"/>
          <w:szCs w:val="36"/>
        </w:rPr>
      </w:pPr>
    </w:p>
    <w:p w14:paraId="7ABCBF94">
      <w:pPr>
        <w:pStyle w:val="9"/>
        <w:spacing w:line="360" w:lineRule="auto"/>
        <w:contextualSpacing/>
        <w:rPr>
          <w:rFonts w:hint="eastAsia" w:ascii="宋体" w:hAnsi="宋体" w:eastAsia="宋体" w:cs="宋体"/>
          <w:b/>
          <w:color w:val="auto"/>
          <w:kern w:val="0"/>
          <w:sz w:val="36"/>
          <w:szCs w:val="36"/>
        </w:rPr>
      </w:pPr>
    </w:p>
    <w:p w14:paraId="4385FCFC">
      <w:pPr>
        <w:pStyle w:val="9"/>
        <w:spacing w:line="360" w:lineRule="auto"/>
        <w:contextualSpacing/>
        <w:rPr>
          <w:rFonts w:hint="eastAsia" w:ascii="宋体" w:hAnsi="宋体" w:eastAsia="宋体" w:cs="宋体"/>
          <w:b/>
          <w:color w:val="auto"/>
          <w:kern w:val="0"/>
          <w:sz w:val="36"/>
          <w:szCs w:val="36"/>
        </w:rPr>
      </w:pPr>
    </w:p>
    <w:p w14:paraId="472665F6">
      <w:pPr>
        <w:pStyle w:val="9"/>
        <w:spacing w:line="360" w:lineRule="auto"/>
        <w:contextualSpacing/>
        <w:rPr>
          <w:rFonts w:hint="eastAsia" w:ascii="宋体" w:hAnsi="宋体" w:eastAsia="宋体" w:cs="宋体"/>
          <w:b/>
          <w:color w:val="auto"/>
          <w:kern w:val="0"/>
          <w:sz w:val="36"/>
          <w:szCs w:val="36"/>
        </w:rPr>
      </w:pPr>
    </w:p>
    <w:p w14:paraId="067242FA">
      <w:pPr>
        <w:pStyle w:val="9"/>
        <w:spacing w:line="360" w:lineRule="auto"/>
        <w:contextualSpacing/>
        <w:rPr>
          <w:rFonts w:hint="eastAsia" w:ascii="宋体" w:hAnsi="宋体" w:eastAsia="宋体" w:cs="宋体"/>
          <w:b/>
          <w:color w:val="auto"/>
          <w:kern w:val="0"/>
          <w:sz w:val="36"/>
          <w:szCs w:val="36"/>
        </w:rPr>
      </w:pPr>
    </w:p>
    <w:p w14:paraId="6D6BDAB3">
      <w:pPr>
        <w:pStyle w:val="9"/>
        <w:spacing w:line="360" w:lineRule="auto"/>
        <w:contextualSpacing/>
        <w:rPr>
          <w:rFonts w:hint="eastAsia" w:ascii="宋体" w:hAnsi="宋体" w:eastAsia="宋体" w:cs="宋体"/>
          <w:b/>
          <w:color w:val="auto"/>
          <w:kern w:val="0"/>
          <w:sz w:val="36"/>
          <w:szCs w:val="36"/>
        </w:rPr>
      </w:pPr>
    </w:p>
    <w:p w14:paraId="6537DBF9">
      <w:pPr>
        <w:pStyle w:val="9"/>
        <w:spacing w:line="360" w:lineRule="auto"/>
        <w:contextualSpacing/>
        <w:rPr>
          <w:rFonts w:hint="eastAsia" w:ascii="宋体" w:hAnsi="宋体" w:eastAsia="宋体" w:cs="宋体"/>
          <w:b/>
          <w:color w:val="auto"/>
          <w:kern w:val="0"/>
          <w:sz w:val="36"/>
          <w:szCs w:val="36"/>
        </w:rPr>
      </w:pPr>
    </w:p>
    <w:p w14:paraId="2B89D3EC">
      <w:pPr>
        <w:tabs>
          <w:tab w:val="left" w:pos="1260"/>
        </w:tabs>
        <w:autoSpaceDE w:val="0"/>
        <w:autoSpaceDN w:val="0"/>
        <w:adjustRightInd w:val="0"/>
        <w:spacing w:line="360" w:lineRule="auto"/>
        <w:contextualSpacing/>
        <w:jc w:val="center"/>
        <w:rPr>
          <w:rFonts w:hint="eastAsia" w:ascii="宋体" w:hAnsi="宋体" w:eastAsia="宋体" w:cs="宋体"/>
          <w:b/>
          <w:color w:val="auto"/>
          <w:kern w:val="0"/>
          <w:sz w:val="30"/>
          <w:szCs w:val="30"/>
        </w:rPr>
      </w:pPr>
      <w:r>
        <w:rPr>
          <w:rFonts w:hint="eastAsia" w:ascii="宋体" w:hAnsi="宋体" w:eastAsia="宋体" w:cs="宋体"/>
          <w:b/>
          <w:color w:val="auto"/>
          <w:kern w:val="0"/>
          <w:sz w:val="30"/>
          <w:szCs w:val="30"/>
        </w:rPr>
        <w:t>第八章 投标文件有关格式</w:t>
      </w:r>
    </w:p>
    <w:p w14:paraId="2B89D3ED">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注：</w:t>
      </w:r>
    </w:p>
    <w:p w14:paraId="2B89D3EE">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1.以下的投标文件格式为通用的格式，投标人在制作投标文件时应以招标文件内容要求为准，选择相应的投标文件格式。</w:t>
      </w:r>
    </w:p>
    <w:p w14:paraId="2B89D3EF">
      <w:pPr>
        <w:spacing w:line="480" w:lineRule="exact"/>
        <w:ind w:firstLine="460" w:firstLineChars="192"/>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2.没有给定格式的，投标人可以自行设计。</w:t>
      </w:r>
    </w:p>
    <w:p w14:paraId="2B89D3F0">
      <w:pPr>
        <w:pStyle w:val="17"/>
        <w:ind w:firstLine="480"/>
        <w:rPr>
          <w:rFonts w:hint="eastAsia" w:ascii="宋体" w:hAnsi="宋体" w:eastAsia="宋体" w:cs="宋体"/>
          <w:color w:val="auto"/>
          <w:lang w:val="zh-CN"/>
        </w:rPr>
      </w:pPr>
    </w:p>
    <w:p w14:paraId="2B89D3F1">
      <w:pPr>
        <w:pStyle w:val="7"/>
        <w:rPr>
          <w:rFonts w:hint="eastAsia" w:ascii="宋体" w:hAnsi="宋体" w:eastAsia="宋体" w:cs="宋体"/>
          <w:color w:val="auto"/>
          <w:lang w:val="zh-CN"/>
        </w:rPr>
      </w:pPr>
    </w:p>
    <w:p w14:paraId="2B89D3F2">
      <w:pPr>
        <w:spacing w:line="480" w:lineRule="auto"/>
        <w:ind w:firstLine="1080" w:firstLineChars="300"/>
        <w:rPr>
          <w:rFonts w:hint="eastAsia" w:ascii="宋体" w:hAnsi="宋体" w:eastAsia="宋体" w:cs="宋体"/>
          <w:color w:val="auto"/>
          <w:sz w:val="24"/>
        </w:rPr>
      </w:pPr>
      <w:r>
        <w:rPr>
          <w:rFonts w:hint="eastAsia" w:ascii="宋体" w:hAnsi="宋体" w:eastAsia="宋体" w:cs="宋体"/>
          <w:color w:val="auto"/>
          <w:sz w:val="36"/>
          <w:szCs w:val="36"/>
          <w:u w:val="single"/>
        </w:rPr>
        <w:t xml:space="preserve">                   （项目名称）</w:t>
      </w:r>
    </w:p>
    <w:p w14:paraId="2B89D3F3">
      <w:pPr>
        <w:spacing w:line="380" w:lineRule="exact"/>
        <w:rPr>
          <w:rFonts w:hint="eastAsia" w:ascii="宋体" w:hAnsi="宋体" w:eastAsia="宋体" w:cs="宋体"/>
          <w:color w:val="auto"/>
          <w:sz w:val="24"/>
        </w:rPr>
      </w:pPr>
    </w:p>
    <w:p w14:paraId="2B89D3F4">
      <w:pPr>
        <w:spacing w:line="380" w:lineRule="exact"/>
        <w:rPr>
          <w:rFonts w:hint="eastAsia" w:ascii="宋体" w:hAnsi="宋体" w:eastAsia="宋体" w:cs="宋体"/>
          <w:color w:val="auto"/>
          <w:sz w:val="24"/>
        </w:rPr>
      </w:pPr>
    </w:p>
    <w:p w14:paraId="2B89D3F5">
      <w:pPr>
        <w:spacing w:line="380" w:lineRule="exact"/>
        <w:rPr>
          <w:rFonts w:hint="eastAsia" w:ascii="宋体" w:hAnsi="宋体" w:eastAsia="宋体" w:cs="宋体"/>
          <w:color w:val="auto"/>
          <w:sz w:val="24"/>
        </w:rPr>
      </w:pPr>
    </w:p>
    <w:p w14:paraId="2B89D3F6">
      <w:pPr>
        <w:spacing w:line="380" w:lineRule="exact"/>
        <w:rPr>
          <w:rFonts w:hint="eastAsia" w:ascii="宋体" w:hAnsi="宋体" w:eastAsia="宋体" w:cs="宋体"/>
          <w:color w:val="auto"/>
          <w:sz w:val="24"/>
        </w:rPr>
      </w:pPr>
    </w:p>
    <w:p w14:paraId="2B89D3F7">
      <w:pPr>
        <w:spacing w:line="380" w:lineRule="exact"/>
        <w:jc w:val="center"/>
        <w:rPr>
          <w:rFonts w:hint="eastAsia" w:ascii="宋体" w:hAnsi="宋体" w:eastAsia="宋体" w:cs="宋体"/>
          <w:b/>
          <w:bCs/>
          <w:color w:val="auto"/>
          <w:sz w:val="48"/>
          <w:szCs w:val="48"/>
        </w:rPr>
      </w:pPr>
    </w:p>
    <w:p w14:paraId="2B89D3F8">
      <w:pPr>
        <w:spacing w:line="380" w:lineRule="exact"/>
        <w:jc w:val="center"/>
        <w:rPr>
          <w:rFonts w:hint="eastAsia" w:ascii="宋体" w:hAnsi="宋体" w:eastAsia="宋体" w:cs="宋体"/>
          <w:b/>
          <w:bCs/>
          <w:color w:val="auto"/>
          <w:sz w:val="48"/>
          <w:szCs w:val="48"/>
        </w:rPr>
      </w:pPr>
    </w:p>
    <w:p w14:paraId="2B89D3F9">
      <w:pPr>
        <w:spacing w:line="480" w:lineRule="auto"/>
        <w:jc w:val="center"/>
        <w:rPr>
          <w:rFonts w:hint="eastAsia" w:ascii="宋体" w:hAnsi="宋体" w:eastAsia="宋体" w:cs="宋体"/>
          <w:b/>
          <w:bCs/>
          <w:color w:val="auto"/>
          <w:sz w:val="72"/>
          <w:szCs w:val="72"/>
        </w:rPr>
      </w:pPr>
      <w:r>
        <w:rPr>
          <w:rFonts w:hint="eastAsia" w:ascii="宋体" w:hAnsi="宋体" w:eastAsia="宋体" w:cs="宋体"/>
          <w:b/>
          <w:bCs/>
          <w:color w:val="auto"/>
          <w:sz w:val="72"/>
          <w:szCs w:val="72"/>
        </w:rPr>
        <w:t>投标文件</w:t>
      </w:r>
    </w:p>
    <w:p w14:paraId="2B89D3FA">
      <w:pPr>
        <w:spacing w:line="380" w:lineRule="exact"/>
        <w:rPr>
          <w:rFonts w:hint="eastAsia" w:ascii="宋体" w:hAnsi="宋体" w:eastAsia="宋体" w:cs="宋体"/>
          <w:color w:val="auto"/>
          <w:sz w:val="24"/>
        </w:rPr>
      </w:pPr>
    </w:p>
    <w:p w14:paraId="2B89D3FB">
      <w:pPr>
        <w:spacing w:line="380" w:lineRule="exact"/>
        <w:rPr>
          <w:rFonts w:hint="eastAsia" w:ascii="宋体" w:hAnsi="宋体" w:eastAsia="宋体" w:cs="宋体"/>
          <w:color w:val="auto"/>
          <w:sz w:val="24"/>
        </w:rPr>
      </w:pPr>
    </w:p>
    <w:p w14:paraId="2B89D3FC">
      <w:pPr>
        <w:spacing w:line="380" w:lineRule="exact"/>
        <w:jc w:val="center"/>
        <w:rPr>
          <w:rFonts w:hint="eastAsia" w:ascii="宋体" w:hAnsi="宋体" w:eastAsia="宋体" w:cs="宋体"/>
          <w:color w:val="auto"/>
          <w:sz w:val="28"/>
          <w:szCs w:val="28"/>
        </w:rPr>
      </w:pPr>
      <w:r>
        <w:rPr>
          <w:rFonts w:hint="eastAsia" w:ascii="宋体" w:hAnsi="宋体" w:eastAsia="宋体" w:cs="宋体"/>
          <w:color w:val="auto"/>
          <w:sz w:val="28"/>
          <w:szCs w:val="28"/>
          <w:lang w:eastAsia="zh-CN"/>
        </w:rPr>
        <w:t>采购编号</w:t>
      </w:r>
      <w:r>
        <w:rPr>
          <w:rFonts w:hint="eastAsia" w:ascii="宋体" w:hAnsi="宋体" w:eastAsia="宋体" w:cs="宋体"/>
          <w:color w:val="auto"/>
          <w:sz w:val="28"/>
          <w:szCs w:val="28"/>
        </w:rPr>
        <w:t>：</w:t>
      </w:r>
    </w:p>
    <w:p w14:paraId="2B89D3FD">
      <w:pPr>
        <w:spacing w:line="380" w:lineRule="exact"/>
        <w:rPr>
          <w:rFonts w:hint="eastAsia" w:ascii="宋体" w:hAnsi="宋体" w:eastAsia="宋体" w:cs="宋体"/>
          <w:color w:val="auto"/>
          <w:sz w:val="24"/>
        </w:rPr>
      </w:pPr>
    </w:p>
    <w:p w14:paraId="2B89D3FE">
      <w:pPr>
        <w:spacing w:line="380" w:lineRule="exact"/>
        <w:rPr>
          <w:rFonts w:hint="eastAsia" w:ascii="宋体" w:hAnsi="宋体" w:eastAsia="宋体" w:cs="宋体"/>
          <w:color w:val="auto"/>
          <w:sz w:val="24"/>
        </w:rPr>
      </w:pPr>
    </w:p>
    <w:p w14:paraId="2B89D3FF">
      <w:pPr>
        <w:spacing w:line="380" w:lineRule="exact"/>
        <w:rPr>
          <w:rFonts w:hint="eastAsia" w:ascii="宋体" w:hAnsi="宋体" w:eastAsia="宋体" w:cs="宋体"/>
          <w:color w:val="auto"/>
          <w:sz w:val="24"/>
        </w:rPr>
      </w:pPr>
    </w:p>
    <w:p w14:paraId="2B89D400">
      <w:pPr>
        <w:spacing w:after="120"/>
        <w:ind w:left="63" w:right="63" w:firstLine="340" w:firstLineChars="100"/>
        <w:rPr>
          <w:rFonts w:hint="eastAsia" w:ascii="宋体" w:hAnsi="宋体" w:eastAsia="宋体" w:cs="宋体"/>
          <w:color w:val="auto"/>
          <w:kern w:val="0"/>
          <w:sz w:val="34"/>
          <w:szCs w:val="20"/>
        </w:rPr>
      </w:pPr>
    </w:p>
    <w:p w14:paraId="2B89D401">
      <w:pPr>
        <w:spacing w:line="380" w:lineRule="exact"/>
        <w:rPr>
          <w:rFonts w:hint="eastAsia" w:ascii="宋体" w:hAnsi="宋体" w:eastAsia="宋体" w:cs="宋体"/>
          <w:color w:val="auto"/>
          <w:sz w:val="24"/>
        </w:rPr>
      </w:pPr>
    </w:p>
    <w:p w14:paraId="2B89D402">
      <w:pPr>
        <w:spacing w:line="480" w:lineRule="auto"/>
        <w:ind w:firstLine="1820" w:firstLineChars="650"/>
        <w:rPr>
          <w:rFonts w:hint="eastAsia" w:ascii="宋体" w:hAnsi="宋体" w:eastAsia="宋体" w:cs="宋体"/>
          <w:color w:val="auto"/>
          <w:sz w:val="28"/>
          <w:szCs w:val="28"/>
        </w:rPr>
      </w:pPr>
      <w:bookmarkStart w:id="4" w:name="_Toc7428_WPSOffice_Level1"/>
      <w:bookmarkStart w:id="5" w:name="_Toc27760_WPSOffice_Level1"/>
      <w:r>
        <w:rPr>
          <w:rFonts w:hint="eastAsia" w:ascii="宋体" w:hAnsi="宋体" w:eastAsia="宋体" w:cs="宋体"/>
          <w:color w:val="auto"/>
          <w:sz w:val="28"/>
          <w:szCs w:val="28"/>
        </w:rPr>
        <w:t>投 标 人：（全称并加盖公章）</w:t>
      </w:r>
      <w:bookmarkEnd w:id="4"/>
      <w:bookmarkEnd w:id="5"/>
    </w:p>
    <w:p w14:paraId="2B89D403">
      <w:pPr>
        <w:spacing w:line="480" w:lineRule="auto"/>
        <w:ind w:firstLine="1540" w:firstLineChars="550"/>
        <w:rPr>
          <w:rFonts w:hint="eastAsia" w:ascii="宋体" w:hAnsi="宋体" w:eastAsia="宋体" w:cs="宋体"/>
          <w:b/>
          <w:bCs/>
          <w:color w:val="auto"/>
          <w:sz w:val="28"/>
          <w:szCs w:val="28"/>
        </w:rPr>
      </w:pPr>
      <w:bookmarkStart w:id="6" w:name="_Toc28157_WPSOffice_Level1"/>
      <w:bookmarkStart w:id="7" w:name="_Toc4840_WPSOffice_Level1"/>
      <w:r>
        <w:rPr>
          <w:rFonts w:hint="eastAsia" w:ascii="宋体" w:hAnsi="宋体" w:eastAsia="宋体" w:cs="宋体"/>
          <w:color w:val="auto"/>
          <w:sz w:val="28"/>
          <w:szCs w:val="28"/>
        </w:rPr>
        <w:t>法定代表人或委托代理人（签字）：</w:t>
      </w:r>
      <w:bookmarkEnd w:id="6"/>
      <w:bookmarkEnd w:id="7"/>
    </w:p>
    <w:p w14:paraId="2B89D404">
      <w:pPr>
        <w:spacing w:line="480" w:lineRule="auto"/>
        <w:ind w:firstLine="1820" w:firstLineChars="650"/>
        <w:rPr>
          <w:rFonts w:hint="eastAsia" w:ascii="宋体" w:hAnsi="宋体" w:eastAsia="宋体" w:cs="宋体"/>
          <w:color w:val="auto"/>
          <w:sz w:val="28"/>
          <w:szCs w:val="28"/>
        </w:rPr>
      </w:pPr>
      <w:bookmarkStart w:id="8" w:name="_Toc15640_WPSOffice_Level1"/>
      <w:bookmarkStart w:id="9" w:name="_Toc2311_WPSOffice_Level1"/>
      <w:r>
        <w:rPr>
          <w:rFonts w:hint="eastAsia" w:ascii="宋体" w:hAnsi="宋体" w:eastAsia="宋体" w:cs="宋体"/>
          <w:color w:val="auto"/>
          <w:sz w:val="28"/>
          <w:szCs w:val="28"/>
        </w:rPr>
        <w:t>日    期：年 月 日</w:t>
      </w:r>
      <w:bookmarkEnd w:id="8"/>
      <w:bookmarkEnd w:id="9"/>
    </w:p>
    <w:p w14:paraId="59B1A924">
      <w:pPr>
        <w:pStyle w:val="7"/>
        <w:rPr>
          <w:rFonts w:hint="eastAsia"/>
          <w:lang w:val="zh-CN"/>
        </w:rPr>
      </w:pPr>
    </w:p>
    <w:p w14:paraId="42BBF310">
      <w:pPr>
        <w:pStyle w:val="7"/>
        <w:rPr>
          <w:rFonts w:hint="eastAsia"/>
          <w:lang w:val="zh-CN"/>
        </w:rPr>
      </w:pPr>
    </w:p>
    <w:p w14:paraId="2B89D406">
      <w:pPr>
        <w:pStyle w:val="34"/>
        <w:numPr>
          <w:ilvl w:val="0"/>
          <w:numId w:val="0"/>
        </w:numPr>
        <w:tabs>
          <w:tab w:val="left" w:pos="660"/>
        </w:tabs>
        <w:snapToGrid w:val="0"/>
        <w:spacing w:before="0" w:line="400" w:lineRule="exact"/>
        <w:jc w:val="center"/>
        <w:rPr>
          <w:rFonts w:hint="eastAsia" w:ascii="宋体" w:hAnsi="宋体" w:eastAsia="宋体" w:cs="宋体"/>
          <w:color w:val="auto"/>
          <w:kern w:val="2"/>
          <w:sz w:val="28"/>
          <w:szCs w:val="28"/>
          <w:lang w:val="zh-CN"/>
        </w:rPr>
      </w:pPr>
      <w:r>
        <w:rPr>
          <w:rFonts w:hint="eastAsia" w:ascii="宋体" w:hAnsi="宋体" w:eastAsia="宋体" w:cs="宋体"/>
          <w:color w:val="auto"/>
          <w:kern w:val="2"/>
          <w:sz w:val="28"/>
          <w:szCs w:val="28"/>
          <w:lang w:val="zh-CN"/>
        </w:rPr>
        <w:t>一、供应商应答索引表</w:t>
      </w:r>
    </w:p>
    <w:tbl>
      <w:tblPr>
        <w:tblStyle w:val="18"/>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2B89D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B89D407">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3751" w:type="dxa"/>
            <w:vAlign w:val="center"/>
          </w:tcPr>
          <w:p w14:paraId="2B89D408">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项  目</w:t>
            </w:r>
          </w:p>
        </w:tc>
        <w:tc>
          <w:tcPr>
            <w:tcW w:w="1559" w:type="dxa"/>
            <w:vAlign w:val="center"/>
          </w:tcPr>
          <w:p w14:paraId="2B89D409">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投标人应答</w:t>
            </w:r>
          </w:p>
          <w:p w14:paraId="2B89D40A">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（有/没有）</w:t>
            </w:r>
          </w:p>
        </w:tc>
        <w:tc>
          <w:tcPr>
            <w:tcW w:w="1560" w:type="dxa"/>
            <w:vAlign w:val="center"/>
          </w:tcPr>
          <w:p w14:paraId="2B89D40B">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投标文件中所在页码</w:t>
            </w:r>
          </w:p>
        </w:tc>
        <w:tc>
          <w:tcPr>
            <w:tcW w:w="2018" w:type="dxa"/>
            <w:vAlign w:val="center"/>
          </w:tcPr>
          <w:p w14:paraId="2B89D40C">
            <w:pPr>
              <w:snapToGrid w:val="0"/>
              <w:spacing w:line="400" w:lineRule="exact"/>
              <w:jc w:val="center"/>
              <w:rPr>
                <w:rFonts w:hint="eastAsia" w:ascii="宋体" w:hAnsi="宋体" w:eastAsia="宋体" w:cs="宋体"/>
                <w:b/>
                <w:color w:val="auto"/>
                <w:szCs w:val="21"/>
              </w:rPr>
            </w:pPr>
            <w:r>
              <w:rPr>
                <w:rFonts w:hint="eastAsia" w:ascii="宋体" w:hAnsi="宋体" w:eastAsia="宋体" w:cs="宋体"/>
                <w:b/>
                <w:color w:val="auto"/>
                <w:szCs w:val="21"/>
              </w:rPr>
              <w:t>备注说明</w:t>
            </w:r>
          </w:p>
        </w:tc>
      </w:tr>
      <w:tr w14:paraId="2B89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0E">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w:t>
            </w:r>
          </w:p>
        </w:tc>
        <w:tc>
          <w:tcPr>
            <w:tcW w:w="3751" w:type="dxa"/>
            <w:vAlign w:val="center"/>
          </w:tcPr>
          <w:p w14:paraId="2B89D40F">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投标人应答索引表</w:t>
            </w:r>
          </w:p>
        </w:tc>
        <w:tc>
          <w:tcPr>
            <w:tcW w:w="1559" w:type="dxa"/>
            <w:vAlign w:val="center"/>
          </w:tcPr>
          <w:p w14:paraId="2B89D410">
            <w:pPr>
              <w:snapToGrid w:val="0"/>
              <w:spacing w:line="400" w:lineRule="exact"/>
              <w:jc w:val="center"/>
              <w:rPr>
                <w:rFonts w:hint="eastAsia" w:ascii="宋体" w:hAnsi="宋体" w:eastAsia="宋体" w:cs="宋体"/>
                <w:color w:val="auto"/>
                <w:szCs w:val="21"/>
              </w:rPr>
            </w:pPr>
          </w:p>
        </w:tc>
        <w:tc>
          <w:tcPr>
            <w:tcW w:w="1560" w:type="dxa"/>
            <w:vAlign w:val="center"/>
          </w:tcPr>
          <w:p w14:paraId="2B89D411">
            <w:pPr>
              <w:snapToGrid w:val="0"/>
              <w:spacing w:line="400" w:lineRule="exact"/>
              <w:rPr>
                <w:rFonts w:hint="eastAsia" w:ascii="宋体" w:hAnsi="宋体" w:eastAsia="宋体" w:cs="宋体"/>
                <w:color w:val="auto"/>
                <w:szCs w:val="21"/>
              </w:rPr>
            </w:pPr>
          </w:p>
        </w:tc>
        <w:tc>
          <w:tcPr>
            <w:tcW w:w="2018" w:type="dxa"/>
            <w:vAlign w:val="center"/>
          </w:tcPr>
          <w:p w14:paraId="2B89D412">
            <w:pPr>
              <w:snapToGrid w:val="0"/>
              <w:spacing w:line="400" w:lineRule="exact"/>
              <w:rPr>
                <w:rFonts w:hint="eastAsia" w:ascii="宋体" w:hAnsi="宋体" w:eastAsia="宋体" w:cs="宋体"/>
                <w:color w:val="auto"/>
                <w:szCs w:val="21"/>
              </w:rPr>
            </w:pPr>
          </w:p>
        </w:tc>
      </w:tr>
      <w:tr w14:paraId="2B89D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14">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2</w:t>
            </w:r>
          </w:p>
        </w:tc>
        <w:tc>
          <w:tcPr>
            <w:tcW w:w="3751" w:type="dxa"/>
            <w:vAlign w:val="center"/>
          </w:tcPr>
          <w:p w14:paraId="2B89D415">
            <w:pPr>
              <w:pStyle w:val="9"/>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开标一览表</w:t>
            </w:r>
          </w:p>
        </w:tc>
        <w:tc>
          <w:tcPr>
            <w:tcW w:w="1559" w:type="dxa"/>
            <w:vAlign w:val="center"/>
          </w:tcPr>
          <w:p w14:paraId="2B89D416">
            <w:pPr>
              <w:snapToGrid w:val="0"/>
              <w:spacing w:line="400" w:lineRule="exact"/>
              <w:jc w:val="center"/>
              <w:rPr>
                <w:rFonts w:hint="eastAsia" w:ascii="宋体" w:hAnsi="宋体" w:eastAsia="宋体" w:cs="宋体"/>
                <w:color w:val="auto"/>
                <w:szCs w:val="21"/>
              </w:rPr>
            </w:pPr>
          </w:p>
        </w:tc>
        <w:tc>
          <w:tcPr>
            <w:tcW w:w="1560" w:type="dxa"/>
            <w:vAlign w:val="center"/>
          </w:tcPr>
          <w:p w14:paraId="2B89D417">
            <w:pPr>
              <w:snapToGrid w:val="0"/>
              <w:spacing w:line="400" w:lineRule="exact"/>
              <w:rPr>
                <w:rFonts w:hint="eastAsia" w:ascii="宋体" w:hAnsi="宋体" w:eastAsia="宋体" w:cs="宋体"/>
                <w:color w:val="auto"/>
                <w:szCs w:val="21"/>
              </w:rPr>
            </w:pPr>
          </w:p>
        </w:tc>
        <w:tc>
          <w:tcPr>
            <w:tcW w:w="2018" w:type="dxa"/>
            <w:vAlign w:val="center"/>
          </w:tcPr>
          <w:p w14:paraId="2B89D418">
            <w:pPr>
              <w:snapToGrid w:val="0"/>
              <w:spacing w:line="400" w:lineRule="exact"/>
              <w:rPr>
                <w:rFonts w:hint="eastAsia" w:ascii="宋体" w:hAnsi="宋体" w:eastAsia="宋体" w:cs="宋体"/>
                <w:color w:val="auto"/>
                <w:szCs w:val="21"/>
              </w:rPr>
            </w:pPr>
          </w:p>
        </w:tc>
      </w:tr>
      <w:tr w14:paraId="2B89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1A">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3</w:t>
            </w:r>
          </w:p>
        </w:tc>
        <w:tc>
          <w:tcPr>
            <w:tcW w:w="3751" w:type="dxa"/>
            <w:vAlign w:val="center"/>
          </w:tcPr>
          <w:p w14:paraId="2B89D41B">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投标函</w:t>
            </w:r>
          </w:p>
        </w:tc>
        <w:tc>
          <w:tcPr>
            <w:tcW w:w="1559" w:type="dxa"/>
            <w:vAlign w:val="center"/>
          </w:tcPr>
          <w:p w14:paraId="2B89D41C">
            <w:pPr>
              <w:snapToGrid w:val="0"/>
              <w:spacing w:line="400" w:lineRule="exact"/>
              <w:jc w:val="center"/>
              <w:rPr>
                <w:rFonts w:hint="eastAsia" w:ascii="宋体" w:hAnsi="宋体" w:eastAsia="宋体" w:cs="宋体"/>
                <w:color w:val="auto"/>
                <w:szCs w:val="21"/>
              </w:rPr>
            </w:pPr>
          </w:p>
        </w:tc>
        <w:tc>
          <w:tcPr>
            <w:tcW w:w="1560" w:type="dxa"/>
            <w:vAlign w:val="center"/>
          </w:tcPr>
          <w:p w14:paraId="2B89D41D">
            <w:pPr>
              <w:snapToGrid w:val="0"/>
              <w:spacing w:line="400" w:lineRule="exact"/>
              <w:rPr>
                <w:rFonts w:hint="eastAsia" w:ascii="宋体" w:hAnsi="宋体" w:eastAsia="宋体" w:cs="宋体"/>
                <w:color w:val="auto"/>
                <w:szCs w:val="21"/>
              </w:rPr>
            </w:pPr>
          </w:p>
        </w:tc>
        <w:tc>
          <w:tcPr>
            <w:tcW w:w="2018" w:type="dxa"/>
            <w:vAlign w:val="center"/>
          </w:tcPr>
          <w:p w14:paraId="2B89D41E">
            <w:pPr>
              <w:snapToGrid w:val="0"/>
              <w:spacing w:line="400" w:lineRule="exact"/>
              <w:rPr>
                <w:rFonts w:hint="eastAsia" w:ascii="宋体" w:hAnsi="宋体" w:eastAsia="宋体" w:cs="宋体"/>
                <w:color w:val="auto"/>
                <w:szCs w:val="21"/>
              </w:rPr>
            </w:pPr>
          </w:p>
        </w:tc>
      </w:tr>
      <w:tr w14:paraId="2B89D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20">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4</w:t>
            </w:r>
          </w:p>
        </w:tc>
        <w:tc>
          <w:tcPr>
            <w:tcW w:w="3751" w:type="dxa"/>
            <w:vAlign w:val="center"/>
          </w:tcPr>
          <w:p w14:paraId="2B89D421">
            <w:pPr>
              <w:pStyle w:val="9"/>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bCs/>
                <w:color w:val="auto"/>
                <w:sz w:val="21"/>
                <w:szCs w:val="21"/>
                <w:lang w:val="zh-CN"/>
              </w:rPr>
              <w:t>法定代表人（单位负责人）资格证明书</w:t>
            </w:r>
          </w:p>
        </w:tc>
        <w:tc>
          <w:tcPr>
            <w:tcW w:w="1559" w:type="dxa"/>
            <w:vAlign w:val="center"/>
          </w:tcPr>
          <w:p w14:paraId="2B89D422">
            <w:pPr>
              <w:snapToGrid w:val="0"/>
              <w:spacing w:line="400" w:lineRule="exact"/>
              <w:jc w:val="center"/>
              <w:rPr>
                <w:rFonts w:hint="eastAsia" w:ascii="宋体" w:hAnsi="宋体" w:eastAsia="宋体" w:cs="宋体"/>
                <w:color w:val="auto"/>
                <w:szCs w:val="21"/>
              </w:rPr>
            </w:pPr>
          </w:p>
        </w:tc>
        <w:tc>
          <w:tcPr>
            <w:tcW w:w="1560" w:type="dxa"/>
            <w:vAlign w:val="center"/>
          </w:tcPr>
          <w:p w14:paraId="2B89D423">
            <w:pPr>
              <w:snapToGrid w:val="0"/>
              <w:spacing w:line="400" w:lineRule="exact"/>
              <w:rPr>
                <w:rFonts w:hint="eastAsia" w:ascii="宋体" w:hAnsi="宋体" w:eastAsia="宋体" w:cs="宋体"/>
                <w:color w:val="auto"/>
                <w:szCs w:val="21"/>
              </w:rPr>
            </w:pPr>
          </w:p>
        </w:tc>
        <w:tc>
          <w:tcPr>
            <w:tcW w:w="2018" w:type="dxa"/>
            <w:vAlign w:val="center"/>
          </w:tcPr>
          <w:p w14:paraId="2B89D424">
            <w:pPr>
              <w:snapToGrid w:val="0"/>
              <w:spacing w:line="400" w:lineRule="exact"/>
              <w:rPr>
                <w:rFonts w:hint="eastAsia" w:ascii="宋体" w:hAnsi="宋体" w:eastAsia="宋体" w:cs="宋体"/>
                <w:color w:val="auto"/>
                <w:szCs w:val="21"/>
              </w:rPr>
            </w:pPr>
          </w:p>
        </w:tc>
      </w:tr>
      <w:tr w14:paraId="2B89D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26">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5</w:t>
            </w:r>
          </w:p>
        </w:tc>
        <w:tc>
          <w:tcPr>
            <w:tcW w:w="3751" w:type="dxa"/>
            <w:vAlign w:val="center"/>
          </w:tcPr>
          <w:p w14:paraId="2B89D427">
            <w:pPr>
              <w:pStyle w:val="9"/>
              <w:kinsoku w:val="0"/>
              <w:overflowPunct w:val="0"/>
              <w:autoSpaceDE w:val="0"/>
              <w:autoSpaceDN w:val="0"/>
              <w:spacing w:line="320" w:lineRule="exac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法定代表人（单位负责人）授权书</w:t>
            </w:r>
          </w:p>
        </w:tc>
        <w:tc>
          <w:tcPr>
            <w:tcW w:w="1559" w:type="dxa"/>
            <w:vAlign w:val="center"/>
          </w:tcPr>
          <w:p w14:paraId="2B89D428">
            <w:pPr>
              <w:snapToGrid w:val="0"/>
              <w:spacing w:line="400" w:lineRule="exact"/>
              <w:jc w:val="center"/>
              <w:rPr>
                <w:rFonts w:hint="eastAsia" w:ascii="宋体" w:hAnsi="宋体" w:eastAsia="宋体" w:cs="宋体"/>
                <w:color w:val="auto"/>
                <w:szCs w:val="21"/>
              </w:rPr>
            </w:pPr>
          </w:p>
        </w:tc>
        <w:tc>
          <w:tcPr>
            <w:tcW w:w="1560" w:type="dxa"/>
            <w:vAlign w:val="center"/>
          </w:tcPr>
          <w:p w14:paraId="2B89D429">
            <w:pPr>
              <w:snapToGrid w:val="0"/>
              <w:spacing w:line="400" w:lineRule="exact"/>
              <w:rPr>
                <w:rFonts w:hint="eastAsia" w:ascii="宋体" w:hAnsi="宋体" w:eastAsia="宋体" w:cs="宋体"/>
                <w:color w:val="auto"/>
                <w:szCs w:val="21"/>
              </w:rPr>
            </w:pPr>
          </w:p>
        </w:tc>
        <w:tc>
          <w:tcPr>
            <w:tcW w:w="2018" w:type="dxa"/>
            <w:vAlign w:val="center"/>
          </w:tcPr>
          <w:p w14:paraId="2B89D42A">
            <w:pPr>
              <w:snapToGrid w:val="0"/>
              <w:spacing w:line="400" w:lineRule="exact"/>
              <w:rPr>
                <w:rFonts w:hint="eastAsia" w:ascii="宋体" w:hAnsi="宋体" w:eastAsia="宋体" w:cs="宋体"/>
                <w:color w:val="auto"/>
                <w:szCs w:val="21"/>
              </w:rPr>
            </w:pPr>
          </w:p>
        </w:tc>
      </w:tr>
      <w:tr w14:paraId="2B89D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2B89D42C">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6</w:t>
            </w:r>
          </w:p>
        </w:tc>
        <w:tc>
          <w:tcPr>
            <w:tcW w:w="3751" w:type="dxa"/>
            <w:vAlign w:val="center"/>
          </w:tcPr>
          <w:p w14:paraId="2B89D42D">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sz w:val="21"/>
                <w:szCs w:val="21"/>
                <w:lang w:val="zh-CN"/>
              </w:rPr>
              <w:t>投标承诺函</w:t>
            </w:r>
          </w:p>
        </w:tc>
        <w:tc>
          <w:tcPr>
            <w:tcW w:w="1559" w:type="dxa"/>
            <w:vAlign w:val="center"/>
          </w:tcPr>
          <w:p w14:paraId="2B89D42E">
            <w:pPr>
              <w:snapToGrid w:val="0"/>
              <w:spacing w:line="400" w:lineRule="exact"/>
              <w:jc w:val="center"/>
              <w:rPr>
                <w:rFonts w:hint="eastAsia" w:ascii="宋体" w:hAnsi="宋体" w:eastAsia="宋体" w:cs="宋体"/>
                <w:color w:val="auto"/>
                <w:szCs w:val="21"/>
              </w:rPr>
            </w:pPr>
          </w:p>
        </w:tc>
        <w:tc>
          <w:tcPr>
            <w:tcW w:w="1560" w:type="dxa"/>
            <w:vAlign w:val="center"/>
          </w:tcPr>
          <w:p w14:paraId="2B89D42F">
            <w:pPr>
              <w:snapToGrid w:val="0"/>
              <w:spacing w:line="400" w:lineRule="exact"/>
              <w:rPr>
                <w:rFonts w:hint="eastAsia" w:ascii="宋体" w:hAnsi="宋体" w:eastAsia="宋体" w:cs="宋体"/>
                <w:color w:val="auto"/>
                <w:szCs w:val="21"/>
              </w:rPr>
            </w:pPr>
          </w:p>
        </w:tc>
        <w:tc>
          <w:tcPr>
            <w:tcW w:w="2018" w:type="dxa"/>
            <w:vAlign w:val="center"/>
          </w:tcPr>
          <w:p w14:paraId="2B89D430">
            <w:pPr>
              <w:snapToGrid w:val="0"/>
              <w:spacing w:line="400" w:lineRule="exact"/>
              <w:rPr>
                <w:rFonts w:hint="eastAsia" w:ascii="宋体" w:hAnsi="宋体" w:eastAsia="宋体" w:cs="宋体"/>
                <w:color w:val="auto"/>
                <w:szCs w:val="21"/>
              </w:rPr>
            </w:pPr>
          </w:p>
        </w:tc>
      </w:tr>
      <w:tr w14:paraId="2B89D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32">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7</w:t>
            </w:r>
          </w:p>
        </w:tc>
        <w:tc>
          <w:tcPr>
            <w:tcW w:w="3751" w:type="dxa"/>
            <w:vAlign w:val="center"/>
          </w:tcPr>
          <w:p w14:paraId="2B89D433">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kern w:val="0"/>
                <w:sz w:val="21"/>
                <w:szCs w:val="21"/>
              </w:rPr>
              <w:t>禹州市政府采购供应商信用承诺函</w:t>
            </w:r>
          </w:p>
        </w:tc>
        <w:tc>
          <w:tcPr>
            <w:tcW w:w="1559" w:type="dxa"/>
            <w:vAlign w:val="center"/>
          </w:tcPr>
          <w:p w14:paraId="2B89D434">
            <w:pPr>
              <w:jc w:val="center"/>
              <w:rPr>
                <w:rFonts w:hint="eastAsia" w:ascii="宋体" w:hAnsi="宋体" w:eastAsia="宋体" w:cs="宋体"/>
                <w:color w:val="auto"/>
                <w:szCs w:val="21"/>
              </w:rPr>
            </w:pPr>
          </w:p>
        </w:tc>
        <w:tc>
          <w:tcPr>
            <w:tcW w:w="1560" w:type="dxa"/>
            <w:vAlign w:val="center"/>
          </w:tcPr>
          <w:p w14:paraId="2B89D435">
            <w:pPr>
              <w:snapToGrid w:val="0"/>
              <w:spacing w:line="400" w:lineRule="exact"/>
              <w:rPr>
                <w:rFonts w:hint="eastAsia" w:ascii="宋体" w:hAnsi="宋体" w:eastAsia="宋体" w:cs="宋体"/>
                <w:color w:val="auto"/>
                <w:szCs w:val="21"/>
              </w:rPr>
            </w:pPr>
          </w:p>
        </w:tc>
        <w:tc>
          <w:tcPr>
            <w:tcW w:w="2018" w:type="dxa"/>
            <w:vAlign w:val="center"/>
          </w:tcPr>
          <w:p w14:paraId="2B89D436">
            <w:pPr>
              <w:snapToGrid w:val="0"/>
              <w:spacing w:line="400" w:lineRule="exact"/>
              <w:rPr>
                <w:rFonts w:hint="eastAsia" w:ascii="宋体" w:hAnsi="宋体" w:eastAsia="宋体" w:cs="宋体"/>
                <w:color w:val="auto"/>
                <w:szCs w:val="21"/>
              </w:rPr>
            </w:pPr>
          </w:p>
        </w:tc>
      </w:tr>
      <w:tr w14:paraId="2B89D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38">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8</w:t>
            </w:r>
          </w:p>
        </w:tc>
        <w:tc>
          <w:tcPr>
            <w:tcW w:w="3751" w:type="dxa"/>
            <w:vAlign w:val="center"/>
          </w:tcPr>
          <w:p w14:paraId="2B89D439">
            <w:pPr>
              <w:pStyle w:val="9"/>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联合体协议</w:t>
            </w:r>
          </w:p>
        </w:tc>
        <w:tc>
          <w:tcPr>
            <w:tcW w:w="1559" w:type="dxa"/>
            <w:vAlign w:val="center"/>
          </w:tcPr>
          <w:p w14:paraId="2B89D43A">
            <w:pPr>
              <w:jc w:val="center"/>
              <w:rPr>
                <w:rFonts w:hint="eastAsia" w:ascii="宋体" w:hAnsi="宋体" w:eastAsia="宋体" w:cs="宋体"/>
                <w:color w:val="auto"/>
                <w:szCs w:val="21"/>
              </w:rPr>
            </w:pPr>
          </w:p>
        </w:tc>
        <w:tc>
          <w:tcPr>
            <w:tcW w:w="1560" w:type="dxa"/>
            <w:vAlign w:val="center"/>
          </w:tcPr>
          <w:p w14:paraId="2B89D43B">
            <w:pPr>
              <w:snapToGrid w:val="0"/>
              <w:spacing w:line="400" w:lineRule="exact"/>
              <w:rPr>
                <w:rFonts w:hint="eastAsia" w:ascii="宋体" w:hAnsi="宋体" w:eastAsia="宋体" w:cs="宋体"/>
                <w:color w:val="auto"/>
                <w:szCs w:val="21"/>
              </w:rPr>
            </w:pPr>
          </w:p>
        </w:tc>
        <w:tc>
          <w:tcPr>
            <w:tcW w:w="2018" w:type="dxa"/>
            <w:vAlign w:val="center"/>
          </w:tcPr>
          <w:p w14:paraId="2B89D43C">
            <w:pPr>
              <w:snapToGrid w:val="0"/>
              <w:spacing w:line="400" w:lineRule="exact"/>
              <w:rPr>
                <w:rFonts w:hint="eastAsia" w:ascii="宋体" w:hAnsi="宋体" w:eastAsia="宋体" w:cs="宋体"/>
                <w:color w:val="auto"/>
                <w:szCs w:val="21"/>
              </w:rPr>
            </w:pPr>
          </w:p>
        </w:tc>
      </w:tr>
      <w:tr w14:paraId="2B89D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3E">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9</w:t>
            </w:r>
          </w:p>
        </w:tc>
        <w:tc>
          <w:tcPr>
            <w:tcW w:w="3751" w:type="dxa"/>
            <w:vAlign w:val="center"/>
          </w:tcPr>
          <w:p w14:paraId="2B89D43F">
            <w:pPr>
              <w:pStyle w:val="9"/>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bCs/>
                <w:color w:val="auto"/>
                <w:sz w:val="21"/>
                <w:szCs w:val="21"/>
                <w:lang w:val="zh-CN"/>
              </w:rPr>
              <w:t>投标人与参加本项目投标的其他供应商之间，单位负责人不为同一人并且不存在直接控股、管理关系承诺函</w:t>
            </w:r>
          </w:p>
        </w:tc>
        <w:tc>
          <w:tcPr>
            <w:tcW w:w="1559" w:type="dxa"/>
            <w:vAlign w:val="center"/>
          </w:tcPr>
          <w:p w14:paraId="2B89D440">
            <w:pPr>
              <w:jc w:val="center"/>
              <w:rPr>
                <w:rFonts w:hint="eastAsia" w:ascii="宋体" w:hAnsi="宋体" w:eastAsia="宋体" w:cs="宋体"/>
                <w:color w:val="auto"/>
                <w:szCs w:val="21"/>
              </w:rPr>
            </w:pPr>
          </w:p>
        </w:tc>
        <w:tc>
          <w:tcPr>
            <w:tcW w:w="1560" w:type="dxa"/>
            <w:vAlign w:val="center"/>
          </w:tcPr>
          <w:p w14:paraId="2B89D441">
            <w:pPr>
              <w:snapToGrid w:val="0"/>
              <w:spacing w:line="400" w:lineRule="exact"/>
              <w:rPr>
                <w:rFonts w:hint="eastAsia" w:ascii="宋体" w:hAnsi="宋体" w:eastAsia="宋体" w:cs="宋体"/>
                <w:color w:val="auto"/>
                <w:szCs w:val="21"/>
              </w:rPr>
            </w:pPr>
          </w:p>
        </w:tc>
        <w:tc>
          <w:tcPr>
            <w:tcW w:w="2018" w:type="dxa"/>
            <w:vAlign w:val="center"/>
          </w:tcPr>
          <w:p w14:paraId="2B89D442">
            <w:pPr>
              <w:snapToGrid w:val="0"/>
              <w:spacing w:line="400" w:lineRule="exact"/>
              <w:rPr>
                <w:rFonts w:hint="eastAsia" w:ascii="宋体" w:hAnsi="宋体" w:eastAsia="宋体" w:cs="宋体"/>
                <w:color w:val="auto"/>
                <w:szCs w:val="21"/>
              </w:rPr>
            </w:pPr>
          </w:p>
        </w:tc>
      </w:tr>
      <w:tr w14:paraId="2B89D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44">
            <w:pPr>
              <w:adjustRightInd w:val="0"/>
              <w:snapToGrid w:val="0"/>
              <w:spacing w:line="400" w:lineRule="exact"/>
              <w:jc w:val="center"/>
              <w:textAlignment w:val="baseline"/>
              <w:rPr>
                <w:rFonts w:hint="eastAsia" w:ascii="宋体" w:hAnsi="宋体" w:eastAsia="宋体" w:cs="宋体"/>
                <w:bCs/>
                <w:color w:val="auto"/>
                <w:szCs w:val="21"/>
                <w:lang w:val="zh-CN"/>
              </w:rPr>
            </w:pPr>
            <w:r>
              <w:rPr>
                <w:rFonts w:hint="eastAsia" w:ascii="宋体" w:hAnsi="宋体" w:eastAsia="宋体" w:cs="宋体"/>
                <w:bCs/>
                <w:color w:val="auto"/>
                <w:szCs w:val="21"/>
                <w:lang w:val="zh-CN"/>
              </w:rPr>
              <w:t>10</w:t>
            </w:r>
          </w:p>
        </w:tc>
        <w:tc>
          <w:tcPr>
            <w:tcW w:w="3751" w:type="dxa"/>
            <w:vAlign w:val="center"/>
          </w:tcPr>
          <w:p w14:paraId="2B89D445">
            <w:pPr>
              <w:pStyle w:val="9"/>
              <w:kinsoku w:val="0"/>
              <w:overflowPunct w:val="0"/>
              <w:autoSpaceDE w:val="0"/>
              <w:autoSpaceDN w:val="0"/>
              <w:spacing w:line="320" w:lineRule="exact"/>
              <w:rPr>
                <w:rFonts w:hint="eastAsia" w:ascii="宋体" w:hAnsi="宋体" w:eastAsia="宋体" w:cs="宋体"/>
                <w:bCs/>
                <w:color w:val="auto"/>
                <w:sz w:val="21"/>
                <w:szCs w:val="21"/>
                <w:lang w:val="zh-CN"/>
              </w:rPr>
            </w:pPr>
            <w:r>
              <w:rPr>
                <w:rFonts w:hint="eastAsia" w:ascii="宋体" w:hAnsi="宋体" w:eastAsia="宋体" w:cs="宋体"/>
                <w:color w:val="auto"/>
                <w:sz w:val="21"/>
                <w:szCs w:val="21"/>
                <w:lang w:val="zh-CN"/>
              </w:rPr>
              <w:t>投标人未为本项目提供整体设计、规范编制或者项目管理、监理、检测等服务承诺函</w:t>
            </w:r>
          </w:p>
        </w:tc>
        <w:tc>
          <w:tcPr>
            <w:tcW w:w="1559" w:type="dxa"/>
            <w:vAlign w:val="center"/>
          </w:tcPr>
          <w:p w14:paraId="2B89D446">
            <w:pPr>
              <w:jc w:val="center"/>
              <w:rPr>
                <w:rFonts w:hint="eastAsia" w:ascii="宋体" w:hAnsi="宋体" w:eastAsia="宋体" w:cs="宋体"/>
                <w:color w:val="auto"/>
                <w:szCs w:val="21"/>
              </w:rPr>
            </w:pPr>
          </w:p>
        </w:tc>
        <w:tc>
          <w:tcPr>
            <w:tcW w:w="1560" w:type="dxa"/>
            <w:vAlign w:val="center"/>
          </w:tcPr>
          <w:p w14:paraId="2B89D447">
            <w:pPr>
              <w:snapToGrid w:val="0"/>
              <w:spacing w:line="400" w:lineRule="exact"/>
              <w:rPr>
                <w:rFonts w:hint="eastAsia" w:ascii="宋体" w:hAnsi="宋体" w:eastAsia="宋体" w:cs="宋体"/>
                <w:color w:val="auto"/>
                <w:szCs w:val="21"/>
              </w:rPr>
            </w:pPr>
          </w:p>
        </w:tc>
        <w:tc>
          <w:tcPr>
            <w:tcW w:w="2018" w:type="dxa"/>
            <w:vAlign w:val="center"/>
          </w:tcPr>
          <w:p w14:paraId="2B89D448">
            <w:pPr>
              <w:snapToGrid w:val="0"/>
              <w:spacing w:line="400" w:lineRule="exact"/>
              <w:rPr>
                <w:rFonts w:hint="eastAsia" w:ascii="宋体" w:hAnsi="宋体" w:eastAsia="宋体" w:cs="宋体"/>
                <w:color w:val="auto"/>
                <w:szCs w:val="21"/>
              </w:rPr>
            </w:pPr>
          </w:p>
        </w:tc>
      </w:tr>
      <w:tr w14:paraId="2B89D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4A">
            <w:pPr>
              <w:adjustRightInd w:val="0"/>
              <w:snapToGrid w:val="0"/>
              <w:spacing w:line="400" w:lineRule="exact"/>
              <w:jc w:val="center"/>
              <w:textAlignment w:val="baseline"/>
              <w:rPr>
                <w:rFonts w:hint="eastAsia" w:ascii="宋体" w:hAnsi="宋体" w:eastAsia="宋体" w:cs="宋体"/>
                <w:color w:val="auto"/>
                <w:szCs w:val="21"/>
                <w:lang w:val="zh-CN"/>
              </w:rPr>
            </w:pPr>
            <w:r>
              <w:rPr>
                <w:rFonts w:hint="eastAsia" w:ascii="宋体" w:hAnsi="宋体" w:eastAsia="宋体" w:cs="宋体"/>
                <w:color w:val="auto"/>
                <w:szCs w:val="21"/>
              </w:rPr>
              <w:t>11</w:t>
            </w:r>
          </w:p>
        </w:tc>
        <w:tc>
          <w:tcPr>
            <w:tcW w:w="3751" w:type="dxa"/>
            <w:vAlign w:val="center"/>
          </w:tcPr>
          <w:p w14:paraId="2B89D44B">
            <w:pPr>
              <w:pStyle w:val="9"/>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分项报价表</w:t>
            </w:r>
          </w:p>
        </w:tc>
        <w:tc>
          <w:tcPr>
            <w:tcW w:w="1559" w:type="dxa"/>
            <w:vAlign w:val="center"/>
          </w:tcPr>
          <w:p w14:paraId="2B89D44C">
            <w:pPr>
              <w:jc w:val="center"/>
              <w:rPr>
                <w:rFonts w:hint="eastAsia" w:ascii="宋体" w:hAnsi="宋体" w:eastAsia="宋体" w:cs="宋体"/>
                <w:color w:val="auto"/>
                <w:szCs w:val="21"/>
              </w:rPr>
            </w:pPr>
          </w:p>
        </w:tc>
        <w:tc>
          <w:tcPr>
            <w:tcW w:w="1560" w:type="dxa"/>
            <w:vAlign w:val="center"/>
          </w:tcPr>
          <w:p w14:paraId="2B89D44D">
            <w:pPr>
              <w:snapToGrid w:val="0"/>
              <w:spacing w:line="400" w:lineRule="exact"/>
              <w:rPr>
                <w:rFonts w:hint="eastAsia" w:ascii="宋体" w:hAnsi="宋体" w:eastAsia="宋体" w:cs="宋体"/>
                <w:color w:val="auto"/>
                <w:szCs w:val="21"/>
              </w:rPr>
            </w:pPr>
          </w:p>
        </w:tc>
        <w:tc>
          <w:tcPr>
            <w:tcW w:w="2018" w:type="dxa"/>
            <w:vAlign w:val="center"/>
          </w:tcPr>
          <w:p w14:paraId="2B89D44E">
            <w:pPr>
              <w:snapToGrid w:val="0"/>
              <w:spacing w:line="400" w:lineRule="exact"/>
              <w:rPr>
                <w:rFonts w:hint="eastAsia" w:ascii="宋体" w:hAnsi="宋体" w:eastAsia="宋体" w:cs="宋体"/>
                <w:color w:val="auto"/>
                <w:szCs w:val="21"/>
              </w:rPr>
            </w:pPr>
          </w:p>
        </w:tc>
      </w:tr>
      <w:tr w14:paraId="2B89D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56">
            <w:pPr>
              <w:adjustRightInd w:val="0"/>
              <w:snapToGrid w:val="0"/>
              <w:spacing w:line="400" w:lineRule="exact"/>
              <w:jc w:val="center"/>
              <w:textAlignment w:val="baseline"/>
              <w:rPr>
                <w:rFonts w:hint="eastAsia" w:ascii="宋体" w:hAnsi="宋体" w:eastAsia="宋体" w:cs="宋体"/>
                <w:color w:val="auto"/>
                <w:szCs w:val="21"/>
                <w:lang w:val="en-US" w:eastAsia="zh-CN"/>
              </w:rPr>
            </w:pPr>
            <w:r>
              <w:rPr>
                <w:rFonts w:hint="eastAsia" w:ascii="宋体" w:hAnsi="宋体" w:eastAsia="宋体" w:cs="宋体"/>
                <w:color w:val="auto"/>
                <w:szCs w:val="21"/>
              </w:rPr>
              <w:t>1</w:t>
            </w:r>
            <w:r>
              <w:rPr>
                <w:rFonts w:hint="eastAsia" w:ascii="宋体" w:hAnsi="宋体" w:eastAsia="宋体" w:cs="宋体"/>
                <w:color w:val="auto"/>
                <w:szCs w:val="21"/>
                <w:lang w:val="en-US" w:eastAsia="zh-CN"/>
              </w:rPr>
              <w:t>2</w:t>
            </w:r>
          </w:p>
        </w:tc>
        <w:tc>
          <w:tcPr>
            <w:tcW w:w="3751" w:type="dxa"/>
            <w:vAlign w:val="center"/>
          </w:tcPr>
          <w:p w14:paraId="2B89D457">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技术方案（实施方案）</w:t>
            </w:r>
          </w:p>
        </w:tc>
        <w:tc>
          <w:tcPr>
            <w:tcW w:w="1559" w:type="dxa"/>
            <w:vAlign w:val="center"/>
          </w:tcPr>
          <w:p w14:paraId="2B89D458">
            <w:pPr>
              <w:jc w:val="center"/>
              <w:rPr>
                <w:rFonts w:hint="eastAsia" w:ascii="宋体" w:hAnsi="宋体" w:eastAsia="宋体" w:cs="宋体"/>
                <w:color w:val="auto"/>
                <w:szCs w:val="21"/>
              </w:rPr>
            </w:pPr>
          </w:p>
        </w:tc>
        <w:tc>
          <w:tcPr>
            <w:tcW w:w="1560" w:type="dxa"/>
            <w:tcBorders>
              <w:top w:val="single" w:color="auto" w:sz="4" w:space="0"/>
            </w:tcBorders>
            <w:vAlign w:val="center"/>
          </w:tcPr>
          <w:p w14:paraId="2B89D459">
            <w:pPr>
              <w:snapToGrid w:val="0"/>
              <w:spacing w:line="400" w:lineRule="exact"/>
              <w:rPr>
                <w:rFonts w:hint="eastAsia" w:ascii="宋体" w:hAnsi="宋体" w:eastAsia="宋体" w:cs="宋体"/>
                <w:color w:val="auto"/>
                <w:szCs w:val="21"/>
              </w:rPr>
            </w:pPr>
          </w:p>
        </w:tc>
        <w:tc>
          <w:tcPr>
            <w:tcW w:w="2018" w:type="dxa"/>
            <w:tcBorders>
              <w:top w:val="single" w:color="auto" w:sz="4" w:space="0"/>
            </w:tcBorders>
            <w:vAlign w:val="center"/>
          </w:tcPr>
          <w:p w14:paraId="2B89D45A">
            <w:pPr>
              <w:snapToGrid w:val="0"/>
              <w:spacing w:line="400" w:lineRule="exact"/>
              <w:rPr>
                <w:rFonts w:hint="eastAsia" w:ascii="宋体" w:hAnsi="宋体" w:eastAsia="宋体" w:cs="宋体"/>
                <w:color w:val="auto"/>
                <w:szCs w:val="21"/>
              </w:rPr>
            </w:pPr>
          </w:p>
        </w:tc>
      </w:tr>
      <w:tr w14:paraId="2B89D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5C">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13</w:t>
            </w:r>
          </w:p>
        </w:tc>
        <w:tc>
          <w:tcPr>
            <w:tcW w:w="3751" w:type="dxa"/>
            <w:vAlign w:val="center"/>
          </w:tcPr>
          <w:p w14:paraId="2B89D45D">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服务承诺</w:t>
            </w:r>
          </w:p>
        </w:tc>
        <w:tc>
          <w:tcPr>
            <w:tcW w:w="1559" w:type="dxa"/>
            <w:vAlign w:val="center"/>
          </w:tcPr>
          <w:p w14:paraId="2B89D45E">
            <w:pPr>
              <w:jc w:val="center"/>
              <w:rPr>
                <w:rFonts w:hint="eastAsia" w:ascii="宋体" w:hAnsi="宋体" w:eastAsia="宋体" w:cs="宋体"/>
                <w:color w:val="auto"/>
                <w:szCs w:val="21"/>
              </w:rPr>
            </w:pPr>
          </w:p>
        </w:tc>
        <w:tc>
          <w:tcPr>
            <w:tcW w:w="1560" w:type="dxa"/>
            <w:vAlign w:val="center"/>
          </w:tcPr>
          <w:p w14:paraId="2B89D45F">
            <w:pPr>
              <w:snapToGrid w:val="0"/>
              <w:spacing w:line="400" w:lineRule="exact"/>
              <w:rPr>
                <w:rFonts w:hint="eastAsia" w:ascii="宋体" w:hAnsi="宋体" w:eastAsia="宋体" w:cs="宋体"/>
                <w:color w:val="auto"/>
                <w:szCs w:val="21"/>
              </w:rPr>
            </w:pPr>
          </w:p>
        </w:tc>
        <w:tc>
          <w:tcPr>
            <w:tcW w:w="2018" w:type="dxa"/>
            <w:vAlign w:val="center"/>
          </w:tcPr>
          <w:p w14:paraId="2B89D460">
            <w:pPr>
              <w:snapToGrid w:val="0"/>
              <w:spacing w:line="400" w:lineRule="exact"/>
              <w:rPr>
                <w:rFonts w:hint="eastAsia" w:ascii="宋体" w:hAnsi="宋体" w:eastAsia="宋体" w:cs="宋体"/>
                <w:color w:val="auto"/>
                <w:szCs w:val="21"/>
              </w:rPr>
            </w:pPr>
          </w:p>
        </w:tc>
      </w:tr>
      <w:tr w14:paraId="2B89D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62">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14</w:t>
            </w:r>
          </w:p>
        </w:tc>
        <w:tc>
          <w:tcPr>
            <w:tcW w:w="3751" w:type="dxa"/>
            <w:vAlign w:val="center"/>
          </w:tcPr>
          <w:p w14:paraId="2B89D463">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业绩情况表</w:t>
            </w:r>
          </w:p>
        </w:tc>
        <w:tc>
          <w:tcPr>
            <w:tcW w:w="1559" w:type="dxa"/>
            <w:vAlign w:val="center"/>
          </w:tcPr>
          <w:p w14:paraId="2B89D464">
            <w:pPr>
              <w:jc w:val="center"/>
              <w:rPr>
                <w:rFonts w:hint="eastAsia" w:ascii="宋体" w:hAnsi="宋体" w:eastAsia="宋体" w:cs="宋体"/>
                <w:color w:val="auto"/>
                <w:szCs w:val="21"/>
              </w:rPr>
            </w:pPr>
          </w:p>
        </w:tc>
        <w:tc>
          <w:tcPr>
            <w:tcW w:w="1560" w:type="dxa"/>
            <w:vAlign w:val="center"/>
          </w:tcPr>
          <w:p w14:paraId="2B89D465">
            <w:pPr>
              <w:snapToGrid w:val="0"/>
              <w:spacing w:line="400" w:lineRule="exact"/>
              <w:rPr>
                <w:rFonts w:hint="eastAsia" w:ascii="宋体" w:hAnsi="宋体" w:eastAsia="宋体" w:cs="宋体"/>
                <w:color w:val="auto"/>
                <w:szCs w:val="21"/>
              </w:rPr>
            </w:pPr>
          </w:p>
        </w:tc>
        <w:tc>
          <w:tcPr>
            <w:tcW w:w="2018" w:type="dxa"/>
            <w:vAlign w:val="center"/>
          </w:tcPr>
          <w:p w14:paraId="2B89D466">
            <w:pPr>
              <w:snapToGrid w:val="0"/>
              <w:spacing w:line="400" w:lineRule="exact"/>
              <w:rPr>
                <w:rFonts w:hint="eastAsia" w:ascii="宋体" w:hAnsi="宋体" w:eastAsia="宋体" w:cs="宋体"/>
                <w:color w:val="auto"/>
                <w:szCs w:val="21"/>
              </w:rPr>
            </w:pPr>
          </w:p>
        </w:tc>
      </w:tr>
      <w:tr w14:paraId="2B89D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68">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15</w:t>
            </w:r>
          </w:p>
        </w:tc>
        <w:tc>
          <w:tcPr>
            <w:tcW w:w="3751" w:type="dxa"/>
            <w:vAlign w:val="center"/>
          </w:tcPr>
          <w:p w14:paraId="2B89D469">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中小企业声明函</w:t>
            </w:r>
          </w:p>
        </w:tc>
        <w:tc>
          <w:tcPr>
            <w:tcW w:w="1559" w:type="dxa"/>
            <w:vAlign w:val="center"/>
          </w:tcPr>
          <w:p w14:paraId="2B89D46A">
            <w:pPr>
              <w:jc w:val="center"/>
              <w:rPr>
                <w:rFonts w:hint="eastAsia" w:ascii="宋体" w:hAnsi="宋体" w:eastAsia="宋体" w:cs="宋体"/>
                <w:color w:val="auto"/>
                <w:szCs w:val="21"/>
              </w:rPr>
            </w:pPr>
          </w:p>
        </w:tc>
        <w:tc>
          <w:tcPr>
            <w:tcW w:w="1560" w:type="dxa"/>
            <w:vAlign w:val="center"/>
          </w:tcPr>
          <w:p w14:paraId="2B89D46B">
            <w:pPr>
              <w:snapToGrid w:val="0"/>
              <w:spacing w:line="400" w:lineRule="exact"/>
              <w:rPr>
                <w:rFonts w:hint="eastAsia" w:ascii="宋体" w:hAnsi="宋体" w:eastAsia="宋体" w:cs="宋体"/>
                <w:color w:val="auto"/>
                <w:szCs w:val="21"/>
              </w:rPr>
            </w:pPr>
          </w:p>
        </w:tc>
        <w:tc>
          <w:tcPr>
            <w:tcW w:w="2018" w:type="dxa"/>
            <w:vAlign w:val="center"/>
          </w:tcPr>
          <w:p w14:paraId="2B89D46C">
            <w:pPr>
              <w:snapToGrid w:val="0"/>
              <w:spacing w:line="400" w:lineRule="exact"/>
              <w:rPr>
                <w:rFonts w:hint="eastAsia" w:ascii="宋体" w:hAnsi="宋体" w:eastAsia="宋体" w:cs="宋体"/>
                <w:color w:val="auto"/>
                <w:szCs w:val="21"/>
              </w:rPr>
            </w:pPr>
          </w:p>
        </w:tc>
      </w:tr>
      <w:tr w14:paraId="2B89D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6E">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16</w:t>
            </w:r>
          </w:p>
        </w:tc>
        <w:tc>
          <w:tcPr>
            <w:tcW w:w="3751" w:type="dxa"/>
            <w:vAlign w:val="center"/>
          </w:tcPr>
          <w:p w14:paraId="2B89D46F">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color w:val="auto"/>
                <w:sz w:val="21"/>
                <w:szCs w:val="21"/>
                <w:lang w:val="zh-CN"/>
              </w:rPr>
              <w:t>残疾人福利性单位声明函</w:t>
            </w:r>
          </w:p>
        </w:tc>
        <w:tc>
          <w:tcPr>
            <w:tcW w:w="1559" w:type="dxa"/>
            <w:vAlign w:val="center"/>
          </w:tcPr>
          <w:p w14:paraId="2B89D470">
            <w:pPr>
              <w:jc w:val="center"/>
              <w:rPr>
                <w:rFonts w:hint="eastAsia" w:ascii="宋体" w:hAnsi="宋体" w:eastAsia="宋体" w:cs="宋体"/>
                <w:color w:val="auto"/>
                <w:szCs w:val="21"/>
              </w:rPr>
            </w:pPr>
          </w:p>
        </w:tc>
        <w:tc>
          <w:tcPr>
            <w:tcW w:w="1560" w:type="dxa"/>
            <w:vAlign w:val="center"/>
          </w:tcPr>
          <w:p w14:paraId="2B89D471">
            <w:pPr>
              <w:snapToGrid w:val="0"/>
              <w:spacing w:line="400" w:lineRule="exact"/>
              <w:rPr>
                <w:rFonts w:hint="eastAsia" w:ascii="宋体" w:hAnsi="宋体" w:eastAsia="宋体" w:cs="宋体"/>
                <w:color w:val="auto"/>
                <w:szCs w:val="21"/>
              </w:rPr>
            </w:pPr>
          </w:p>
        </w:tc>
        <w:tc>
          <w:tcPr>
            <w:tcW w:w="2018" w:type="dxa"/>
            <w:vAlign w:val="center"/>
          </w:tcPr>
          <w:p w14:paraId="2B89D472">
            <w:pPr>
              <w:snapToGrid w:val="0"/>
              <w:spacing w:line="400" w:lineRule="exact"/>
              <w:rPr>
                <w:rFonts w:hint="eastAsia" w:ascii="宋体" w:hAnsi="宋体" w:eastAsia="宋体" w:cs="宋体"/>
                <w:color w:val="auto"/>
                <w:szCs w:val="21"/>
              </w:rPr>
            </w:pPr>
          </w:p>
        </w:tc>
      </w:tr>
      <w:tr w14:paraId="2B89D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74">
            <w:pPr>
              <w:adjustRightInd w:val="0"/>
              <w:snapToGrid w:val="0"/>
              <w:spacing w:line="400" w:lineRule="exact"/>
              <w:jc w:val="center"/>
              <w:textAlignment w:val="baseline"/>
              <w:rPr>
                <w:rFonts w:hint="eastAsia" w:ascii="宋体" w:hAnsi="宋体" w:eastAsia="宋体" w:cs="宋体"/>
                <w:color w:val="auto"/>
                <w:szCs w:val="21"/>
              </w:rPr>
            </w:pPr>
            <w:r>
              <w:rPr>
                <w:rFonts w:hint="eastAsia" w:ascii="宋体" w:hAnsi="宋体" w:eastAsia="宋体" w:cs="宋体"/>
                <w:color w:val="auto"/>
                <w:szCs w:val="21"/>
              </w:rPr>
              <w:t>17</w:t>
            </w:r>
          </w:p>
        </w:tc>
        <w:tc>
          <w:tcPr>
            <w:tcW w:w="3751" w:type="dxa"/>
            <w:vAlign w:val="center"/>
          </w:tcPr>
          <w:p w14:paraId="2B89D475">
            <w:pPr>
              <w:pStyle w:val="9"/>
              <w:kinsoku w:val="0"/>
              <w:overflowPunct w:val="0"/>
              <w:autoSpaceDE w:val="0"/>
              <w:autoSpaceDN w:val="0"/>
              <w:spacing w:line="320" w:lineRule="exac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监狱企业证明文件</w:t>
            </w:r>
          </w:p>
        </w:tc>
        <w:tc>
          <w:tcPr>
            <w:tcW w:w="1559" w:type="dxa"/>
            <w:vAlign w:val="center"/>
          </w:tcPr>
          <w:p w14:paraId="2B89D476">
            <w:pPr>
              <w:jc w:val="center"/>
              <w:rPr>
                <w:rFonts w:hint="eastAsia" w:ascii="宋体" w:hAnsi="宋体" w:eastAsia="宋体" w:cs="宋体"/>
                <w:color w:val="auto"/>
                <w:szCs w:val="21"/>
              </w:rPr>
            </w:pPr>
          </w:p>
        </w:tc>
        <w:tc>
          <w:tcPr>
            <w:tcW w:w="1560" w:type="dxa"/>
            <w:vAlign w:val="center"/>
          </w:tcPr>
          <w:p w14:paraId="2B89D477">
            <w:pPr>
              <w:snapToGrid w:val="0"/>
              <w:spacing w:line="400" w:lineRule="exact"/>
              <w:rPr>
                <w:rFonts w:hint="eastAsia" w:ascii="宋体" w:hAnsi="宋体" w:eastAsia="宋体" w:cs="宋体"/>
                <w:color w:val="auto"/>
                <w:szCs w:val="21"/>
              </w:rPr>
            </w:pPr>
          </w:p>
        </w:tc>
        <w:tc>
          <w:tcPr>
            <w:tcW w:w="2018" w:type="dxa"/>
            <w:vAlign w:val="center"/>
          </w:tcPr>
          <w:p w14:paraId="2B89D478">
            <w:pPr>
              <w:snapToGrid w:val="0"/>
              <w:spacing w:line="400" w:lineRule="exact"/>
              <w:rPr>
                <w:rFonts w:hint="eastAsia" w:ascii="宋体" w:hAnsi="宋体" w:eastAsia="宋体" w:cs="宋体"/>
                <w:color w:val="auto"/>
                <w:szCs w:val="21"/>
              </w:rPr>
            </w:pPr>
          </w:p>
        </w:tc>
      </w:tr>
      <w:tr w14:paraId="2B89D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B89D47A">
            <w:pPr>
              <w:adjustRightInd w:val="0"/>
              <w:snapToGrid w:val="0"/>
              <w:spacing w:line="400" w:lineRule="exact"/>
              <w:jc w:val="center"/>
              <w:textAlignment w:val="baseline"/>
              <w:rPr>
                <w:rFonts w:hint="default" w:ascii="宋体" w:hAnsi="宋体" w:eastAsia="宋体" w:cs="宋体"/>
                <w:color w:val="auto"/>
                <w:szCs w:val="21"/>
                <w:lang w:val="en-US" w:eastAsia="zh-CN"/>
              </w:rPr>
            </w:pPr>
            <w:r>
              <w:rPr>
                <w:rFonts w:hint="eastAsia" w:ascii="宋体" w:hAnsi="宋体" w:eastAsia="宋体" w:cs="宋体"/>
                <w:color w:val="auto"/>
                <w:szCs w:val="21"/>
              </w:rPr>
              <w:t>18</w:t>
            </w:r>
          </w:p>
        </w:tc>
        <w:tc>
          <w:tcPr>
            <w:tcW w:w="3751" w:type="dxa"/>
            <w:vAlign w:val="center"/>
          </w:tcPr>
          <w:p w14:paraId="2B89D47B">
            <w:pPr>
              <w:pStyle w:val="9"/>
              <w:kinsoku w:val="0"/>
              <w:overflowPunct w:val="0"/>
              <w:autoSpaceDE w:val="0"/>
              <w:autoSpaceDN w:val="0"/>
              <w:spacing w:line="320" w:lineRule="exact"/>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lang w:eastAsia="zh-CN"/>
              </w:rPr>
              <w:t>其他</w:t>
            </w:r>
            <w:r>
              <w:rPr>
                <w:rFonts w:hint="eastAsia" w:ascii="宋体" w:hAnsi="宋体" w:eastAsia="宋体" w:cs="宋体"/>
                <w:bCs/>
                <w:color w:val="auto"/>
                <w:kern w:val="0"/>
                <w:sz w:val="21"/>
                <w:szCs w:val="21"/>
              </w:rPr>
              <w:t>资料</w:t>
            </w:r>
          </w:p>
        </w:tc>
        <w:tc>
          <w:tcPr>
            <w:tcW w:w="1559" w:type="dxa"/>
            <w:vAlign w:val="center"/>
          </w:tcPr>
          <w:p w14:paraId="2B89D47C">
            <w:pPr>
              <w:jc w:val="center"/>
              <w:rPr>
                <w:rFonts w:hint="eastAsia" w:ascii="宋体" w:hAnsi="宋体" w:eastAsia="宋体" w:cs="宋体"/>
                <w:color w:val="auto"/>
                <w:szCs w:val="21"/>
              </w:rPr>
            </w:pPr>
          </w:p>
        </w:tc>
        <w:tc>
          <w:tcPr>
            <w:tcW w:w="1560" w:type="dxa"/>
            <w:vAlign w:val="center"/>
          </w:tcPr>
          <w:p w14:paraId="2B89D47D">
            <w:pPr>
              <w:snapToGrid w:val="0"/>
              <w:spacing w:line="400" w:lineRule="exact"/>
              <w:rPr>
                <w:rFonts w:hint="eastAsia" w:ascii="宋体" w:hAnsi="宋体" w:eastAsia="宋体" w:cs="宋体"/>
                <w:color w:val="auto"/>
                <w:szCs w:val="21"/>
              </w:rPr>
            </w:pPr>
          </w:p>
        </w:tc>
        <w:tc>
          <w:tcPr>
            <w:tcW w:w="2018" w:type="dxa"/>
            <w:vAlign w:val="center"/>
          </w:tcPr>
          <w:p w14:paraId="2B89D47E">
            <w:pPr>
              <w:snapToGrid w:val="0"/>
              <w:spacing w:line="400" w:lineRule="exact"/>
              <w:rPr>
                <w:rFonts w:hint="eastAsia" w:ascii="宋体" w:hAnsi="宋体" w:eastAsia="宋体" w:cs="宋体"/>
                <w:color w:val="auto"/>
                <w:szCs w:val="21"/>
              </w:rPr>
            </w:pPr>
          </w:p>
        </w:tc>
      </w:tr>
    </w:tbl>
    <w:p w14:paraId="23EFBBCF">
      <w:pPr>
        <w:pStyle w:val="9"/>
        <w:spacing w:line="360" w:lineRule="auto"/>
        <w:jc w:val="center"/>
        <w:rPr>
          <w:rFonts w:hint="eastAsia" w:ascii="宋体" w:hAnsi="宋体" w:eastAsia="宋体" w:cs="宋体"/>
          <w:b/>
          <w:snapToGrid w:val="0"/>
          <w:color w:val="auto"/>
          <w:kern w:val="0"/>
          <w:sz w:val="28"/>
          <w:szCs w:val="28"/>
        </w:rPr>
      </w:pPr>
    </w:p>
    <w:p w14:paraId="4D61147C">
      <w:pPr>
        <w:pStyle w:val="9"/>
        <w:spacing w:line="360" w:lineRule="auto"/>
        <w:jc w:val="center"/>
        <w:rPr>
          <w:rFonts w:hint="eastAsia" w:ascii="宋体" w:hAnsi="宋体" w:eastAsia="宋体" w:cs="宋体"/>
          <w:b/>
          <w:snapToGrid w:val="0"/>
          <w:color w:val="auto"/>
          <w:kern w:val="0"/>
          <w:sz w:val="28"/>
          <w:szCs w:val="28"/>
        </w:rPr>
      </w:pPr>
    </w:p>
    <w:p w14:paraId="2EAE4C30">
      <w:pPr>
        <w:pStyle w:val="9"/>
        <w:spacing w:line="360" w:lineRule="auto"/>
        <w:jc w:val="center"/>
        <w:rPr>
          <w:rFonts w:hint="eastAsia" w:ascii="宋体" w:hAnsi="宋体" w:eastAsia="宋体" w:cs="宋体"/>
          <w:b/>
          <w:snapToGrid w:val="0"/>
          <w:color w:val="auto"/>
          <w:kern w:val="0"/>
          <w:sz w:val="28"/>
          <w:szCs w:val="28"/>
        </w:rPr>
      </w:pPr>
    </w:p>
    <w:p w14:paraId="581BBC20">
      <w:pPr>
        <w:pStyle w:val="9"/>
        <w:spacing w:line="360" w:lineRule="auto"/>
        <w:jc w:val="center"/>
        <w:rPr>
          <w:rFonts w:hint="eastAsia" w:ascii="宋体" w:hAnsi="宋体" w:eastAsia="宋体" w:cs="宋体"/>
          <w:b/>
          <w:snapToGrid w:val="0"/>
          <w:color w:val="auto"/>
          <w:kern w:val="0"/>
          <w:sz w:val="28"/>
          <w:szCs w:val="28"/>
        </w:rPr>
      </w:pPr>
    </w:p>
    <w:p w14:paraId="2B89D483">
      <w:pPr>
        <w:pStyle w:val="9"/>
        <w:spacing w:line="360" w:lineRule="auto"/>
        <w:jc w:val="center"/>
        <w:rPr>
          <w:rFonts w:hint="eastAsia" w:ascii="宋体" w:hAnsi="宋体" w:eastAsia="宋体" w:cs="宋体"/>
          <w:b/>
          <w:snapToGrid w:val="0"/>
          <w:color w:val="auto"/>
          <w:kern w:val="0"/>
          <w:sz w:val="28"/>
          <w:szCs w:val="28"/>
        </w:rPr>
      </w:pPr>
      <w:r>
        <w:rPr>
          <w:rFonts w:hint="eastAsia" w:ascii="宋体" w:hAnsi="宋体" w:eastAsia="宋体" w:cs="宋体"/>
          <w:b/>
          <w:snapToGrid w:val="0"/>
          <w:color w:val="auto"/>
          <w:kern w:val="0"/>
          <w:sz w:val="28"/>
          <w:szCs w:val="28"/>
        </w:rPr>
        <w:t>二、开标一览表</w:t>
      </w:r>
    </w:p>
    <w:p w14:paraId="2B89D484">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采购编号</w:t>
      </w:r>
      <w:r>
        <w:rPr>
          <w:rFonts w:hint="eastAsia" w:ascii="宋体" w:hAnsi="宋体" w:eastAsia="宋体" w:cs="宋体"/>
          <w:color w:val="auto"/>
          <w:sz w:val="21"/>
          <w:szCs w:val="21"/>
        </w:rPr>
        <w:t>：</w:t>
      </w:r>
    </w:p>
    <w:p w14:paraId="2B89D485">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项目名称：                                             单位：元</w:t>
      </w:r>
    </w:p>
    <w:tbl>
      <w:tblPr>
        <w:tblStyle w:val="18"/>
        <w:tblW w:w="9356" w:type="dxa"/>
        <w:tblInd w:w="-292" w:type="dxa"/>
        <w:tblLayout w:type="fixed"/>
        <w:tblCellMar>
          <w:top w:w="0" w:type="dxa"/>
          <w:left w:w="108" w:type="dxa"/>
          <w:bottom w:w="0" w:type="dxa"/>
          <w:right w:w="108" w:type="dxa"/>
        </w:tblCellMar>
      </w:tblPr>
      <w:tblGrid>
        <w:gridCol w:w="851"/>
        <w:gridCol w:w="2268"/>
        <w:gridCol w:w="2694"/>
        <w:gridCol w:w="1984"/>
        <w:gridCol w:w="1559"/>
      </w:tblGrid>
      <w:tr w14:paraId="2B89D48B">
        <w:tblPrEx>
          <w:tblCellMar>
            <w:top w:w="0" w:type="dxa"/>
            <w:left w:w="108" w:type="dxa"/>
            <w:bottom w:w="0" w:type="dxa"/>
            <w:right w:w="108" w:type="dxa"/>
          </w:tblCellMar>
        </w:tblPrEx>
        <w:trPr>
          <w:trHeight w:val="851" w:hRule="atLeast"/>
        </w:trPr>
        <w:tc>
          <w:tcPr>
            <w:tcW w:w="851" w:type="dxa"/>
            <w:tcBorders>
              <w:top w:val="single" w:color="auto" w:sz="6" w:space="0"/>
              <w:left w:val="single" w:color="auto" w:sz="6" w:space="0"/>
              <w:bottom w:val="single" w:color="auto" w:sz="6" w:space="0"/>
              <w:right w:val="single" w:color="auto" w:sz="6" w:space="0"/>
            </w:tcBorders>
            <w:vAlign w:val="center"/>
          </w:tcPr>
          <w:p w14:paraId="2B89D486">
            <w:pPr>
              <w:autoSpaceDE w:val="0"/>
              <w:autoSpaceDN w:val="0"/>
              <w:adjustRightInd w:val="0"/>
              <w:spacing w:line="360" w:lineRule="auto"/>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val="en-US" w:eastAsia="zh-CN"/>
              </w:rPr>
              <w:t>序号</w:t>
            </w:r>
          </w:p>
        </w:tc>
        <w:tc>
          <w:tcPr>
            <w:tcW w:w="2268" w:type="dxa"/>
            <w:tcBorders>
              <w:top w:val="single" w:color="auto" w:sz="6" w:space="0"/>
              <w:left w:val="single" w:color="auto" w:sz="6" w:space="0"/>
              <w:bottom w:val="single" w:color="auto" w:sz="6" w:space="0"/>
              <w:right w:val="single" w:color="auto" w:sz="6" w:space="0"/>
            </w:tcBorders>
            <w:vAlign w:val="center"/>
          </w:tcPr>
          <w:p w14:paraId="2B89D487">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项目名称</w:t>
            </w:r>
          </w:p>
        </w:tc>
        <w:tc>
          <w:tcPr>
            <w:tcW w:w="2694" w:type="dxa"/>
            <w:tcBorders>
              <w:top w:val="single" w:color="auto" w:sz="6" w:space="0"/>
              <w:left w:val="single" w:color="auto" w:sz="6" w:space="0"/>
              <w:bottom w:val="single" w:color="auto" w:sz="6" w:space="0"/>
              <w:right w:val="single" w:color="auto" w:sz="6" w:space="0"/>
            </w:tcBorders>
            <w:vAlign w:val="center"/>
          </w:tcPr>
          <w:p w14:paraId="2B89D488">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投标报价</w:t>
            </w:r>
          </w:p>
        </w:tc>
        <w:tc>
          <w:tcPr>
            <w:tcW w:w="1984" w:type="dxa"/>
            <w:tcBorders>
              <w:top w:val="single" w:color="auto" w:sz="6" w:space="0"/>
              <w:left w:val="single" w:color="auto" w:sz="4" w:space="0"/>
              <w:bottom w:val="single" w:color="auto" w:sz="6" w:space="0"/>
              <w:right w:val="single" w:color="auto" w:sz="4" w:space="0"/>
            </w:tcBorders>
            <w:vAlign w:val="center"/>
          </w:tcPr>
          <w:p w14:paraId="2B89D489">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合同履行期限</w:t>
            </w:r>
          </w:p>
        </w:tc>
        <w:tc>
          <w:tcPr>
            <w:tcW w:w="1559" w:type="dxa"/>
            <w:tcBorders>
              <w:top w:val="single" w:color="auto" w:sz="6" w:space="0"/>
              <w:left w:val="single" w:color="auto" w:sz="6" w:space="0"/>
              <w:bottom w:val="single" w:color="auto" w:sz="6" w:space="0"/>
              <w:right w:val="single" w:color="auto" w:sz="6" w:space="0"/>
            </w:tcBorders>
            <w:vAlign w:val="center"/>
          </w:tcPr>
          <w:p w14:paraId="2B89D48A">
            <w:pPr>
              <w:autoSpaceDE w:val="0"/>
              <w:autoSpaceDN w:val="0"/>
              <w:adjustRightInd w:val="0"/>
              <w:spacing w:line="36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备注</w:t>
            </w:r>
          </w:p>
        </w:tc>
      </w:tr>
      <w:tr w14:paraId="2B89D491">
        <w:tblPrEx>
          <w:tblCellMar>
            <w:top w:w="0" w:type="dxa"/>
            <w:left w:w="108" w:type="dxa"/>
            <w:bottom w:w="0" w:type="dxa"/>
            <w:right w:w="108" w:type="dxa"/>
          </w:tblCellMar>
        </w:tblPrEx>
        <w:trPr>
          <w:trHeight w:val="851" w:hRule="atLeast"/>
        </w:trPr>
        <w:tc>
          <w:tcPr>
            <w:tcW w:w="851" w:type="dxa"/>
            <w:tcBorders>
              <w:top w:val="single" w:color="auto" w:sz="6" w:space="0"/>
              <w:left w:val="single" w:color="auto" w:sz="6" w:space="0"/>
              <w:bottom w:val="single" w:color="auto" w:sz="6" w:space="0"/>
              <w:right w:val="single" w:color="auto" w:sz="6" w:space="0"/>
            </w:tcBorders>
            <w:vAlign w:val="center"/>
          </w:tcPr>
          <w:p w14:paraId="2B89D48C">
            <w:pPr>
              <w:autoSpaceDE w:val="0"/>
              <w:autoSpaceDN w:val="0"/>
              <w:adjustRightInd w:val="0"/>
              <w:spacing w:line="360" w:lineRule="auto"/>
              <w:rPr>
                <w:rFonts w:hint="eastAsia" w:ascii="宋体" w:hAnsi="宋体" w:eastAsia="宋体" w:cs="宋体"/>
                <w:color w:val="auto"/>
                <w:sz w:val="21"/>
                <w:szCs w:val="21"/>
              </w:rPr>
            </w:pPr>
          </w:p>
        </w:tc>
        <w:tc>
          <w:tcPr>
            <w:tcW w:w="2268" w:type="dxa"/>
            <w:tcBorders>
              <w:top w:val="single" w:color="auto" w:sz="6" w:space="0"/>
              <w:left w:val="single" w:color="auto" w:sz="6" w:space="0"/>
              <w:bottom w:val="single" w:color="auto" w:sz="6" w:space="0"/>
              <w:right w:val="single" w:color="auto" w:sz="6" w:space="0"/>
            </w:tcBorders>
            <w:vAlign w:val="center"/>
          </w:tcPr>
          <w:p w14:paraId="2B89D48D">
            <w:pPr>
              <w:autoSpaceDE w:val="0"/>
              <w:autoSpaceDN w:val="0"/>
              <w:adjustRightInd w:val="0"/>
              <w:spacing w:line="360" w:lineRule="auto"/>
              <w:rPr>
                <w:rFonts w:hint="eastAsia" w:ascii="宋体" w:hAnsi="宋体" w:eastAsia="宋体" w:cs="宋体"/>
                <w:color w:val="auto"/>
                <w:sz w:val="21"/>
                <w:szCs w:val="21"/>
              </w:rPr>
            </w:pPr>
          </w:p>
        </w:tc>
        <w:tc>
          <w:tcPr>
            <w:tcW w:w="2694" w:type="dxa"/>
            <w:tcBorders>
              <w:top w:val="single" w:color="auto" w:sz="6" w:space="0"/>
              <w:left w:val="single" w:color="auto" w:sz="6" w:space="0"/>
              <w:bottom w:val="single" w:color="auto" w:sz="6" w:space="0"/>
              <w:right w:val="single" w:color="auto" w:sz="6" w:space="0"/>
            </w:tcBorders>
            <w:vAlign w:val="center"/>
          </w:tcPr>
          <w:p w14:paraId="2B89D48E">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大写：      小写：</w:t>
            </w:r>
          </w:p>
        </w:tc>
        <w:tc>
          <w:tcPr>
            <w:tcW w:w="1984" w:type="dxa"/>
            <w:tcBorders>
              <w:top w:val="single" w:color="auto" w:sz="6" w:space="0"/>
              <w:left w:val="single" w:color="auto" w:sz="4" w:space="0"/>
              <w:bottom w:val="single" w:color="auto" w:sz="6" w:space="0"/>
              <w:right w:val="single" w:color="auto" w:sz="4" w:space="0"/>
            </w:tcBorders>
            <w:vAlign w:val="center"/>
          </w:tcPr>
          <w:p w14:paraId="2B89D48F">
            <w:pPr>
              <w:autoSpaceDE w:val="0"/>
              <w:autoSpaceDN w:val="0"/>
              <w:adjustRightInd w:val="0"/>
              <w:spacing w:line="360" w:lineRule="auto"/>
              <w:rPr>
                <w:rFonts w:hint="eastAsia" w:ascii="宋体" w:hAnsi="宋体" w:eastAsia="宋体" w:cs="宋体"/>
                <w:color w:val="auto"/>
                <w:sz w:val="21"/>
                <w:szCs w:val="21"/>
              </w:rPr>
            </w:pPr>
          </w:p>
        </w:tc>
        <w:tc>
          <w:tcPr>
            <w:tcW w:w="1559" w:type="dxa"/>
            <w:tcBorders>
              <w:top w:val="single" w:color="auto" w:sz="6" w:space="0"/>
              <w:left w:val="single" w:color="auto" w:sz="6" w:space="0"/>
              <w:bottom w:val="single" w:color="auto" w:sz="6" w:space="0"/>
              <w:right w:val="single" w:color="auto" w:sz="6" w:space="0"/>
            </w:tcBorders>
            <w:vAlign w:val="center"/>
          </w:tcPr>
          <w:p w14:paraId="2B89D490">
            <w:pPr>
              <w:autoSpaceDE w:val="0"/>
              <w:autoSpaceDN w:val="0"/>
              <w:adjustRightInd w:val="0"/>
              <w:spacing w:line="360" w:lineRule="auto"/>
              <w:rPr>
                <w:rFonts w:hint="eastAsia" w:ascii="宋体" w:hAnsi="宋体" w:eastAsia="宋体" w:cs="宋体"/>
                <w:color w:val="auto"/>
                <w:sz w:val="21"/>
                <w:szCs w:val="21"/>
              </w:rPr>
            </w:pPr>
          </w:p>
        </w:tc>
      </w:tr>
    </w:tbl>
    <w:p w14:paraId="2B89D492">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投标人名称：</w:t>
      </w:r>
      <w:r>
        <w:rPr>
          <w:rFonts w:hint="eastAsia" w:ascii="宋体" w:hAnsi="宋体" w:eastAsia="宋体" w:cs="宋体"/>
          <w:color w:val="auto"/>
          <w:sz w:val="21"/>
          <w:szCs w:val="21"/>
          <w:u w:val="single"/>
        </w:rPr>
        <w:t xml:space="preserve">     （全称）   </w:t>
      </w:r>
      <w:r>
        <w:rPr>
          <w:rFonts w:hint="eastAsia" w:ascii="宋体" w:hAnsi="宋体" w:eastAsia="宋体" w:cs="宋体"/>
          <w:color w:val="auto"/>
          <w:sz w:val="21"/>
          <w:szCs w:val="21"/>
        </w:rPr>
        <w:t>（公章）：</w:t>
      </w:r>
    </w:p>
    <w:p w14:paraId="2B89D493">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投标人法定代表人（或授权代表）签字：</w:t>
      </w:r>
    </w:p>
    <w:p w14:paraId="2B89D494">
      <w:pPr>
        <w:autoSpaceDE w:val="0"/>
        <w:autoSpaceDN w:val="0"/>
        <w:adjustRightIn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日期：</w:t>
      </w:r>
    </w:p>
    <w:p w14:paraId="2B89D495">
      <w:pPr>
        <w:autoSpaceDE w:val="0"/>
        <w:autoSpaceDN w:val="0"/>
        <w:adjustRightInd w:val="0"/>
        <w:spacing w:line="360" w:lineRule="auto"/>
        <w:rPr>
          <w:rFonts w:hint="eastAsia" w:ascii="宋体" w:hAnsi="宋体" w:eastAsia="宋体" w:cs="宋体"/>
          <w:color w:val="auto"/>
          <w:sz w:val="24"/>
          <w:lang w:val="zh-CN"/>
        </w:rPr>
      </w:pPr>
    </w:p>
    <w:p w14:paraId="2B89D496">
      <w:pPr>
        <w:autoSpaceDE w:val="0"/>
        <w:autoSpaceDN w:val="0"/>
        <w:adjustRightInd w:val="0"/>
        <w:spacing w:line="360" w:lineRule="auto"/>
        <w:rPr>
          <w:rFonts w:hint="eastAsia" w:ascii="宋体" w:hAnsi="宋体" w:eastAsia="宋体" w:cs="宋体"/>
          <w:color w:val="auto"/>
          <w:sz w:val="24"/>
          <w:lang w:val="zh-CN"/>
        </w:rPr>
      </w:pPr>
    </w:p>
    <w:p w14:paraId="2B89D497">
      <w:pPr>
        <w:autoSpaceDE w:val="0"/>
        <w:autoSpaceDN w:val="0"/>
        <w:adjustRightInd w:val="0"/>
        <w:spacing w:line="360" w:lineRule="auto"/>
        <w:rPr>
          <w:rFonts w:hint="eastAsia" w:ascii="宋体" w:hAnsi="宋体" w:eastAsia="宋体" w:cs="宋体"/>
          <w:color w:val="auto"/>
          <w:sz w:val="24"/>
          <w:lang w:val="zh-CN"/>
        </w:rPr>
      </w:pPr>
    </w:p>
    <w:p w14:paraId="2B89D498">
      <w:pPr>
        <w:autoSpaceDE w:val="0"/>
        <w:autoSpaceDN w:val="0"/>
        <w:adjustRightInd w:val="0"/>
        <w:spacing w:line="360" w:lineRule="auto"/>
        <w:rPr>
          <w:rFonts w:hint="eastAsia" w:ascii="宋体" w:hAnsi="宋体" w:eastAsia="宋体" w:cs="宋体"/>
          <w:color w:val="auto"/>
          <w:sz w:val="24"/>
          <w:lang w:val="zh-CN"/>
        </w:rPr>
      </w:pPr>
    </w:p>
    <w:p w14:paraId="2B89D499">
      <w:pPr>
        <w:autoSpaceDE w:val="0"/>
        <w:autoSpaceDN w:val="0"/>
        <w:adjustRightInd w:val="0"/>
        <w:spacing w:line="360" w:lineRule="auto"/>
        <w:rPr>
          <w:rFonts w:hint="eastAsia" w:ascii="宋体" w:hAnsi="宋体" w:eastAsia="宋体" w:cs="宋体"/>
          <w:color w:val="auto"/>
          <w:sz w:val="24"/>
          <w:lang w:val="zh-CN"/>
        </w:rPr>
      </w:pPr>
    </w:p>
    <w:p w14:paraId="2B89D49A">
      <w:pPr>
        <w:autoSpaceDE w:val="0"/>
        <w:autoSpaceDN w:val="0"/>
        <w:adjustRightInd w:val="0"/>
        <w:spacing w:line="360" w:lineRule="auto"/>
        <w:rPr>
          <w:rFonts w:hint="eastAsia" w:ascii="宋体" w:hAnsi="宋体" w:eastAsia="宋体" w:cs="宋体"/>
          <w:color w:val="auto"/>
          <w:sz w:val="24"/>
          <w:lang w:val="zh-CN"/>
        </w:rPr>
      </w:pPr>
    </w:p>
    <w:p w14:paraId="2B89D49B">
      <w:pPr>
        <w:autoSpaceDE w:val="0"/>
        <w:autoSpaceDN w:val="0"/>
        <w:adjustRightInd w:val="0"/>
        <w:spacing w:line="360" w:lineRule="auto"/>
        <w:rPr>
          <w:rFonts w:hint="eastAsia" w:ascii="宋体" w:hAnsi="宋体" w:eastAsia="宋体" w:cs="宋体"/>
          <w:color w:val="auto"/>
          <w:sz w:val="24"/>
          <w:lang w:val="zh-CN"/>
        </w:rPr>
      </w:pPr>
    </w:p>
    <w:p w14:paraId="2B89D49C">
      <w:pPr>
        <w:autoSpaceDE w:val="0"/>
        <w:autoSpaceDN w:val="0"/>
        <w:adjustRightInd w:val="0"/>
        <w:spacing w:line="360" w:lineRule="auto"/>
        <w:rPr>
          <w:rFonts w:hint="eastAsia" w:ascii="宋体" w:hAnsi="宋体" w:eastAsia="宋体" w:cs="宋体"/>
          <w:color w:val="auto"/>
          <w:sz w:val="24"/>
          <w:lang w:val="zh-CN"/>
        </w:rPr>
      </w:pPr>
    </w:p>
    <w:p w14:paraId="2B89D49D">
      <w:pPr>
        <w:autoSpaceDE w:val="0"/>
        <w:autoSpaceDN w:val="0"/>
        <w:adjustRightInd w:val="0"/>
        <w:spacing w:line="360" w:lineRule="auto"/>
        <w:rPr>
          <w:rFonts w:hint="eastAsia" w:ascii="宋体" w:hAnsi="宋体" w:eastAsia="宋体" w:cs="宋体"/>
          <w:color w:val="auto"/>
          <w:sz w:val="24"/>
          <w:lang w:val="zh-CN"/>
        </w:rPr>
      </w:pPr>
    </w:p>
    <w:p w14:paraId="2B89D49E">
      <w:pPr>
        <w:pStyle w:val="16"/>
        <w:ind w:firstLine="340"/>
        <w:rPr>
          <w:rFonts w:hint="eastAsia" w:ascii="宋体" w:hAnsi="宋体" w:eastAsia="宋体" w:cs="宋体"/>
          <w:color w:val="auto"/>
          <w:lang w:val="zh-CN"/>
        </w:rPr>
      </w:pPr>
    </w:p>
    <w:p w14:paraId="2B89D49F">
      <w:pPr>
        <w:pStyle w:val="17"/>
        <w:ind w:firstLine="480"/>
        <w:rPr>
          <w:rFonts w:hint="eastAsia" w:ascii="宋体" w:hAnsi="宋体" w:eastAsia="宋体" w:cs="宋体"/>
          <w:color w:val="auto"/>
          <w:lang w:val="zh-CN"/>
        </w:rPr>
      </w:pPr>
    </w:p>
    <w:p w14:paraId="2B89D4A0">
      <w:pPr>
        <w:pStyle w:val="10"/>
        <w:ind w:left="5250"/>
        <w:rPr>
          <w:rFonts w:hint="eastAsia" w:ascii="宋体" w:hAnsi="宋体" w:eastAsia="宋体" w:cs="宋体"/>
          <w:color w:val="auto"/>
          <w:lang w:val="zh-CN"/>
        </w:rPr>
      </w:pPr>
    </w:p>
    <w:p w14:paraId="2B89D4A1">
      <w:pPr>
        <w:rPr>
          <w:rFonts w:hint="eastAsia" w:ascii="宋体" w:hAnsi="宋体" w:eastAsia="宋体" w:cs="宋体"/>
          <w:color w:val="auto"/>
          <w:lang w:val="zh-CN"/>
        </w:rPr>
      </w:pPr>
    </w:p>
    <w:p w14:paraId="2B89D4A2">
      <w:pPr>
        <w:pStyle w:val="7"/>
        <w:rPr>
          <w:rFonts w:hint="eastAsia" w:ascii="宋体" w:hAnsi="宋体" w:eastAsia="宋体" w:cs="宋体"/>
          <w:color w:val="auto"/>
          <w:lang w:val="zh-CN"/>
        </w:rPr>
      </w:pPr>
    </w:p>
    <w:p w14:paraId="2B89D4A3">
      <w:pPr>
        <w:pStyle w:val="7"/>
        <w:rPr>
          <w:rFonts w:hint="eastAsia" w:ascii="宋体" w:hAnsi="宋体" w:eastAsia="宋体" w:cs="宋体"/>
          <w:color w:val="auto"/>
          <w:lang w:val="zh-CN"/>
        </w:rPr>
      </w:pPr>
    </w:p>
    <w:p w14:paraId="2B89D4A4">
      <w:pPr>
        <w:pStyle w:val="17"/>
        <w:ind w:firstLine="480"/>
        <w:rPr>
          <w:rFonts w:hint="eastAsia" w:ascii="宋体" w:hAnsi="宋体" w:eastAsia="宋体" w:cs="宋体"/>
          <w:color w:val="auto"/>
          <w:lang w:val="zh-CN"/>
        </w:rPr>
      </w:pPr>
    </w:p>
    <w:p w14:paraId="2B89D4A5">
      <w:pPr>
        <w:pStyle w:val="17"/>
        <w:ind w:firstLine="480"/>
        <w:rPr>
          <w:rFonts w:hint="eastAsia" w:ascii="宋体" w:hAnsi="宋体" w:eastAsia="宋体" w:cs="宋体"/>
          <w:color w:val="auto"/>
          <w:lang w:val="zh-CN"/>
        </w:rPr>
      </w:pPr>
    </w:p>
    <w:p w14:paraId="2B89D4A6">
      <w:pPr>
        <w:rPr>
          <w:rFonts w:hint="eastAsia" w:ascii="宋体" w:hAnsi="宋体" w:eastAsia="宋体" w:cs="宋体"/>
          <w:color w:val="auto"/>
          <w:lang w:val="zh-CN"/>
        </w:rPr>
      </w:pPr>
    </w:p>
    <w:p w14:paraId="2B89D4A7">
      <w:pPr>
        <w:pStyle w:val="7"/>
        <w:rPr>
          <w:rFonts w:hint="eastAsia" w:ascii="宋体" w:hAnsi="宋体" w:eastAsia="宋体" w:cs="宋体"/>
          <w:color w:val="auto"/>
          <w:lang w:val="zh-CN"/>
        </w:rPr>
      </w:pPr>
    </w:p>
    <w:p w14:paraId="2B89D4A8">
      <w:pPr>
        <w:pStyle w:val="28"/>
        <w:rPr>
          <w:rFonts w:hint="eastAsia" w:ascii="宋体" w:hAnsi="宋体" w:eastAsia="宋体" w:cs="宋体"/>
          <w:color w:val="auto"/>
          <w:lang w:val="zh-CN"/>
        </w:rPr>
      </w:pPr>
    </w:p>
    <w:p w14:paraId="2B89D4A9">
      <w:pPr>
        <w:autoSpaceDE w:val="0"/>
        <w:autoSpaceDN w:val="0"/>
        <w:adjustRightIn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lang w:val="zh-CN"/>
        </w:rPr>
        <w:t>三、资格审查相关材料</w:t>
      </w:r>
    </w:p>
    <w:p w14:paraId="2B89D4AA">
      <w:pPr>
        <w:keepNext w:val="0"/>
        <w:keepLines w:val="0"/>
        <w:pageBreakBefore w:val="0"/>
        <w:widowControl w:val="0"/>
        <w:kinsoku/>
        <w:wordWrap/>
        <w:overflowPunct/>
        <w:topLinePunct w:val="0"/>
        <w:autoSpaceDE w:val="0"/>
        <w:autoSpaceDN w:val="0"/>
        <w:bidi w:val="0"/>
        <w:adjustRightInd w:val="0"/>
        <w:spacing w:line="460" w:lineRule="exact"/>
        <w:jc w:val="center"/>
        <w:textAlignment w:val="auto"/>
        <w:rPr>
          <w:rFonts w:hint="eastAsia" w:ascii="宋体" w:hAnsi="宋体" w:eastAsia="宋体" w:cs="宋体"/>
          <w:b/>
          <w:snapToGrid w:val="0"/>
          <w:color w:val="auto"/>
          <w:kern w:val="0"/>
          <w:sz w:val="24"/>
          <w:szCs w:val="24"/>
        </w:rPr>
      </w:pPr>
      <w:r>
        <w:rPr>
          <w:rFonts w:hint="eastAsia" w:ascii="宋体" w:hAnsi="宋体" w:eastAsia="宋体" w:cs="宋体"/>
          <w:b/>
          <w:snapToGrid w:val="0"/>
          <w:color w:val="auto"/>
          <w:kern w:val="0"/>
          <w:sz w:val="24"/>
          <w:szCs w:val="24"/>
        </w:rPr>
        <w:t>3.1投标函</w:t>
      </w:r>
    </w:p>
    <w:p w14:paraId="2B89D4AB">
      <w:pPr>
        <w:pStyle w:val="9"/>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rPr>
        <w:t>（采购人）</w:t>
      </w:r>
    </w:p>
    <w:p w14:paraId="2B89D4AC">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根据贵方</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（项目名称</w:t>
      </w:r>
      <w:r>
        <w:rPr>
          <w:rFonts w:hint="eastAsia" w:asciiTheme="minorEastAsia" w:hAnsiTheme="minorEastAsia" w:eastAsiaTheme="minorEastAsia" w:cstheme="minorEastAsia"/>
          <w:sz w:val="21"/>
          <w:szCs w:val="21"/>
          <w:u w:val="single"/>
        </w:rPr>
        <w:t>、</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采购的招标公告及投标邀请，</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（姓名和职务）</w:t>
      </w:r>
      <w:r>
        <w:rPr>
          <w:rFonts w:hint="eastAsia" w:ascii="宋体" w:hAnsi="宋体" w:eastAsia="宋体" w:cs="宋体"/>
          <w:color w:val="auto"/>
          <w:sz w:val="21"/>
          <w:szCs w:val="21"/>
        </w:rPr>
        <w:t>被正式授权并代表投标人</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（投标人名称、地址）</w:t>
      </w:r>
      <w:r>
        <w:rPr>
          <w:rFonts w:hint="eastAsia" w:ascii="宋体" w:hAnsi="宋体" w:eastAsia="宋体" w:cs="宋体"/>
          <w:color w:val="auto"/>
          <w:sz w:val="21"/>
          <w:szCs w:val="21"/>
        </w:rPr>
        <w:t>提交。</w:t>
      </w:r>
    </w:p>
    <w:p w14:paraId="2B89D4AD">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拟投入</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single"/>
        </w:rPr>
        <w:t>项目名称</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rPr>
        <w:t>的项目负责人姓名：</w:t>
      </w:r>
    </w:p>
    <w:p w14:paraId="2B89D4AE">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我方确认收到贵方提供的</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rPr>
        <w:t>（项目名称</w:t>
      </w:r>
      <w:r>
        <w:rPr>
          <w:rFonts w:hint="eastAsia" w:asciiTheme="minorEastAsia" w:hAnsiTheme="minorEastAsia" w:eastAsiaTheme="minorEastAsia" w:cstheme="minorEastAsia"/>
          <w:sz w:val="21"/>
          <w:szCs w:val="21"/>
          <w:u w:val="single"/>
        </w:rPr>
        <w:t>、</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招标文件的全部内容。</w:t>
      </w:r>
    </w:p>
    <w:p w14:paraId="2B89D4AF">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已完全理解并接受招标文件的各项规定和要求及资金支付规定，对招标文件的合理性、合法性不再有异议，并承诺在发生争议时不会以对《招标文件》存在误解、不明白的条款为由，对贵中心行使任何法律上的抗辩权。</w:t>
      </w:r>
    </w:p>
    <w:p w14:paraId="2B89D4B0">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我方已完全明白招标文件的所有条款要求，并</w:t>
      </w:r>
      <w:r>
        <w:rPr>
          <w:rFonts w:hint="eastAsia" w:ascii="宋体" w:hAnsi="宋体" w:cs="宋体"/>
          <w:color w:val="auto"/>
          <w:sz w:val="21"/>
          <w:szCs w:val="21"/>
          <w:lang w:val="en-US" w:eastAsia="zh-CN"/>
        </w:rPr>
        <w:t>声</w:t>
      </w:r>
      <w:r>
        <w:rPr>
          <w:rFonts w:hint="eastAsia" w:ascii="宋体" w:hAnsi="宋体" w:eastAsia="宋体" w:cs="宋体"/>
          <w:color w:val="auto"/>
          <w:sz w:val="21"/>
          <w:szCs w:val="21"/>
        </w:rPr>
        <w:t>明如下：</w:t>
      </w:r>
    </w:p>
    <w:p w14:paraId="2B89D4B1">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一、按招标文件提供的全部货物与相关服务详见《开标一览表》。</w:t>
      </w:r>
    </w:p>
    <w:p w14:paraId="2B89D4B2">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二、我方同意在本项目招标文件中规定的开标日起90天内遵守本投标文件中的承诺且在此期限期满之前均具有约束力。我方同意并遵守本招标文件“投标人须知”中第十四条第三款关于延长投标有效期的规定。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2B89D4B3">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三、我方明白并同意，在规定的开标日之后，投标有效期之内撤销投标的，则我方承担违背投标承诺的责任追究。</w:t>
      </w:r>
    </w:p>
    <w:p w14:paraId="2B89D4B4">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四、我方同意按照贵方可能提出的要求而提供与投标有关的任何</w:t>
      </w:r>
      <w:r>
        <w:rPr>
          <w:rFonts w:hint="eastAsia" w:ascii="宋体" w:hAnsi="宋体" w:eastAsia="宋体" w:cs="宋体"/>
          <w:color w:val="auto"/>
          <w:sz w:val="21"/>
          <w:szCs w:val="21"/>
          <w:lang w:eastAsia="zh-CN"/>
        </w:rPr>
        <w:t>其他数据</w:t>
      </w:r>
      <w:r>
        <w:rPr>
          <w:rFonts w:hint="eastAsia" w:ascii="宋体" w:hAnsi="宋体" w:eastAsia="宋体" w:cs="宋体"/>
          <w:color w:val="auto"/>
          <w:sz w:val="21"/>
          <w:szCs w:val="21"/>
        </w:rPr>
        <w:t>、信息或资料。</w:t>
      </w:r>
    </w:p>
    <w:p w14:paraId="2B89D4B5">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五、我方理解贵方不一定接受最低投标价或任何贵方可能收到的投标。</w:t>
      </w:r>
    </w:p>
    <w:p w14:paraId="2B89D4B6">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六、我方如果中标，将保证履行招标文件及其澄清、修改文件（如果有）中的全部责任和义务，按质、按量、按期完成《项目需求》及《合同书》中的全部任务。</w:t>
      </w:r>
    </w:p>
    <w:p w14:paraId="2B89D4B7">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七、我方在此保证所提交的所有文件和全部说明是真实的和正确的。</w:t>
      </w:r>
    </w:p>
    <w:p w14:paraId="2B89D4B8">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八、我方投标报价已包含应向知识产权所有权人支付的所有相关税费，并保证采购人在中国使用我方提供的</w:t>
      </w:r>
      <w:r>
        <w:rPr>
          <w:rFonts w:hint="eastAsia" w:ascii="宋体" w:hAnsi="宋体" w:cs="宋体"/>
          <w:color w:val="auto"/>
          <w:sz w:val="21"/>
          <w:szCs w:val="21"/>
          <w:lang w:val="en-US" w:eastAsia="zh-CN"/>
        </w:rPr>
        <w:t>服务</w:t>
      </w:r>
      <w:r>
        <w:rPr>
          <w:rFonts w:hint="eastAsia" w:ascii="宋体" w:hAnsi="宋体" w:eastAsia="宋体" w:cs="宋体"/>
          <w:color w:val="auto"/>
          <w:sz w:val="21"/>
          <w:szCs w:val="21"/>
        </w:rPr>
        <w:t xml:space="preserve">时，如有第三方提出侵犯其知识产权主张的，责任由我方承担。 </w:t>
      </w:r>
    </w:p>
    <w:p w14:paraId="2B89D4B9">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九、我方具备《中华人民共和国政府采购法》第二十二条规定的条件；承诺如下：</w:t>
      </w:r>
    </w:p>
    <w:p w14:paraId="2B89D4BA">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 具有独立承担民事责任能力的在中华人民共和国境内注册的法人或其他组织或自然人，有效的营业执照（或事业法人登记证或身份证等相关证明）。</w:t>
      </w:r>
    </w:p>
    <w:p w14:paraId="2B89D4BB">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 我方已依法缴纳了各项税费及社会保险费用，如有需要，可随时向采购人提供近一年内任意一个月的相关缴费证明，以便核查。</w:t>
      </w:r>
    </w:p>
    <w:p w14:paraId="2B89D4BC">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 我方已依法建立健全的财务会计制度，如有需要，可随时向采购人提供相关证明材料，以便核查。</w:t>
      </w:r>
    </w:p>
    <w:p w14:paraId="2B89D4BD">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 参加政府采购活动前三年内，在经营活动中没有重大违法记录。</w:t>
      </w:r>
    </w:p>
    <w:p w14:paraId="2B89D4BE">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 符合法律、行政法规规定的其他条件。</w:t>
      </w:r>
    </w:p>
    <w:p w14:paraId="2B89D4BF">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以上内容如有虚假或与事实不符的，评审委员会可将我方</w:t>
      </w:r>
      <w:r>
        <w:rPr>
          <w:rFonts w:hint="eastAsia" w:ascii="宋体" w:hAnsi="宋体" w:cs="宋体"/>
          <w:color w:val="auto"/>
          <w:sz w:val="21"/>
          <w:szCs w:val="21"/>
          <w:lang w:eastAsia="zh-CN"/>
        </w:rPr>
        <w:t>作</w:t>
      </w:r>
      <w:r>
        <w:rPr>
          <w:rFonts w:hint="eastAsia" w:ascii="宋体" w:hAnsi="宋体" w:eastAsia="宋体" w:cs="宋体"/>
          <w:color w:val="auto"/>
          <w:sz w:val="21"/>
          <w:szCs w:val="21"/>
        </w:rPr>
        <w:t>无效投标处理，我方愿意承担相应的法律责任。</w:t>
      </w:r>
    </w:p>
    <w:p w14:paraId="2B89D4C0">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十、我方具备履行合同所必需的设备和专业技术能力。</w:t>
      </w:r>
    </w:p>
    <w:p w14:paraId="2B89D4C1">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十一、我方对在本函及投标文件中所作的所有承诺承担法律责任。</w:t>
      </w:r>
    </w:p>
    <w:p w14:paraId="2B89D4C2">
      <w:pPr>
        <w:pStyle w:val="9"/>
        <w:keepNext w:val="0"/>
        <w:keepLines w:val="0"/>
        <w:pageBreakBefore w:val="0"/>
        <w:widowControl w:val="0"/>
        <w:kinsoku/>
        <w:wordWrap/>
        <w:overflowPunct/>
        <w:topLinePunct w:val="0"/>
        <w:bidi w:val="0"/>
        <w:adjustRightInd w:val="0"/>
        <w:snapToGrid w:val="0"/>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十二、若我方中标，愿意按豫招协〔2023〕002规定向代理机构支付招标代理服务费。</w:t>
      </w:r>
    </w:p>
    <w:p w14:paraId="2B89D4C3">
      <w:pPr>
        <w:pStyle w:val="9"/>
        <w:keepNext w:val="0"/>
        <w:keepLines w:val="0"/>
        <w:pageBreakBefore w:val="0"/>
        <w:widowControl w:val="0"/>
        <w:kinsoku/>
        <w:wordWrap/>
        <w:overflowPunct/>
        <w:topLinePunct w:val="0"/>
        <w:bidi w:val="0"/>
        <w:adjustRightInd w:val="0"/>
        <w:snapToGrid w:val="0"/>
        <w:spacing w:line="460" w:lineRule="exact"/>
        <w:ind w:left="5250"/>
        <w:textAlignment w:val="auto"/>
        <w:rPr>
          <w:rFonts w:hint="eastAsia" w:ascii="宋体" w:hAnsi="宋体" w:eastAsia="宋体" w:cs="宋体"/>
          <w:color w:val="auto"/>
          <w:sz w:val="21"/>
          <w:szCs w:val="21"/>
        </w:rPr>
      </w:pPr>
    </w:p>
    <w:p w14:paraId="2B89D4C4">
      <w:pPr>
        <w:pStyle w:val="9"/>
        <w:keepNext w:val="0"/>
        <w:keepLines w:val="0"/>
        <w:pageBreakBefore w:val="0"/>
        <w:widowControl w:val="0"/>
        <w:kinsoku/>
        <w:wordWrap/>
        <w:overflowPunct/>
        <w:topLinePunct w:val="0"/>
        <w:bidi w:val="0"/>
        <w:adjustRightInd w:val="0"/>
        <w:snapToGrid w:val="0"/>
        <w:spacing w:line="460" w:lineRule="exact"/>
        <w:ind w:left="5250"/>
        <w:textAlignment w:val="auto"/>
        <w:rPr>
          <w:rFonts w:hint="eastAsia" w:ascii="宋体" w:hAnsi="宋体" w:eastAsia="宋体" w:cs="宋体"/>
          <w:color w:val="auto"/>
          <w:sz w:val="21"/>
          <w:szCs w:val="21"/>
        </w:rPr>
      </w:pPr>
    </w:p>
    <w:p w14:paraId="2B89D4C5">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所有与</w:t>
      </w:r>
      <w:r>
        <w:rPr>
          <w:rFonts w:hint="eastAsia" w:ascii="宋体" w:hAnsi="宋体" w:eastAsia="宋体" w:cs="宋体"/>
          <w:color w:val="auto"/>
          <w:sz w:val="21"/>
          <w:szCs w:val="21"/>
          <w:lang w:eastAsia="zh-CN"/>
        </w:rPr>
        <w:t>本次</w:t>
      </w:r>
      <w:r>
        <w:rPr>
          <w:rFonts w:hint="eastAsia" w:ascii="宋体" w:hAnsi="宋体" w:eastAsia="宋体" w:cs="宋体"/>
          <w:color w:val="auto"/>
          <w:sz w:val="21"/>
          <w:szCs w:val="21"/>
        </w:rPr>
        <w:t>招标有关的一切正式往来请寄：</w:t>
      </w:r>
    </w:p>
    <w:p w14:paraId="2B89D4C6">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    址：  邮政编码：</w:t>
      </w:r>
    </w:p>
    <w:p w14:paraId="2B89D4C7">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电    话：  传    真：</w:t>
      </w:r>
    </w:p>
    <w:p w14:paraId="2B89D4C8">
      <w:pPr>
        <w:keepNext w:val="0"/>
        <w:keepLines w:val="0"/>
        <w:pageBreakBefore w:val="0"/>
        <w:widowControl w:val="0"/>
        <w:kinsoku/>
        <w:wordWrap/>
        <w:overflowPunct/>
        <w:topLinePunct w:val="0"/>
        <w:bidi w:val="0"/>
        <w:adjustRightInd w:val="0"/>
        <w:snapToGrid w:val="0"/>
        <w:spacing w:line="460" w:lineRule="exact"/>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投标人代表姓名：  职    务：</w:t>
      </w:r>
    </w:p>
    <w:p w14:paraId="37E9B2D0">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p>
    <w:p w14:paraId="17848A0C">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p>
    <w:p w14:paraId="2B89D4C9">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投标人法定代表人（或法定代表人授权代表）签字或盖章：</w:t>
      </w:r>
    </w:p>
    <w:p w14:paraId="2B89D4CC">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投标人名称（盖章）：</w:t>
      </w:r>
    </w:p>
    <w:p w14:paraId="03219C80">
      <w:pPr>
        <w:keepNext w:val="0"/>
        <w:keepLines w:val="0"/>
        <w:pageBreakBefore w:val="0"/>
        <w:widowControl w:val="0"/>
        <w:kinsoku/>
        <w:wordWrap/>
        <w:overflowPunct/>
        <w:topLinePunct w:val="0"/>
        <w:bidi w:val="0"/>
        <w:adjustRightInd w:val="0"/>
        <w:snapToGrid w:val="0"/>
        <w:spacing w:line="460" w:lineRule="exact"/>
        <w:jc w:val="righ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日</w:t>
      </w:r>
    </w:p>
    <w:p w14:paraId="77F2B36F">
      <w:pPr>
        <w:adjustRightInd w:val="0"/>
        <w:snapToGrid w:val="0"/>
        <w:spacing w:line="360" w:lineRule="auto"/>
        <w:rPr>
          <w:rFonts w:hint="eastAsia" w:ascii="宋体" w:hAnsi="宋体" w:eastAsia="宋体" w:cs="宋体"/>
          <w:color w:val="auto"/>
          <w:szCs w:val="21"/>
          <w:u w:val="single"/>
        </w:rPr>
      </w:pPr>
    </w:p>
    <w:p w14:paraId="2B89D4CE">
      <w:pPr>
        <w:spacing w:line="480" w:lineRule="exact"/>
        <w:jc w:val="center"/>
        <w:rPr>
          <w:rFonts w:hint="eastAsia" w:ascii="宋体" w:hAnsi="宋体" w:eastAsia="宋体" w:cs="宋体"/>
          <w:b/>
          <w:bCs/>
          <w:color w:val="auto"/>
          <w:sz w:val="24"/>
          <w:szCs w:val="24"/>
        </w:rPr>
      </w:pPr>
    </w:p>
    <w:p w14:paraId="2B89D4CF">
      <w:pPr>
        <w:pStyle w:val="17"/>
        <w:ind w:firstLine="480"/>
        <w:rPr>
          <w:rFonts w:hint="eastAsia" w:ascii="宋体" w:hAnsi="宋体" w:eastAsia="宋体" w:cs="宋体"/>
          <w:color w:val="auto"/>
        </w:rPr>
      </w:pPr>
    </w:p>
    <w:p w14:paraId="2B89D4D0">
      <w:pPr>
        <w:rPr>
          <w:rFonts w:hint="eastAsia" w:ascii="宋体" w:hAnsi="宋体" w:eastAsia="宋体" w:cs="宋体"/>
          <w:color w:val="auto"/>
        </w:rPr>
      </w:pPr>
    </w:p>
    <w:p w14:paraId="2B89D4D8">
      <w:pPr>
        <w:rPr>
          <w:rFonts w:hint="eastAsia" w:ascii="宋体" w:hAnsi="宋体" w:eastAsia="宋体" w:cs="宋体"/>
          <w:color w:val="auto"/>
        </w:rPr>
      </w:pPr>
    </w:p>
    <w:p w14:paraId="2B89D4D9">
      <w:pPr>
        <w:spacing w:line="480" w:lineRule="exact"/>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3.2法定代表人（单位负责人）资格证明书</w:t>
      </w:r>
    </w:p>
    <w:p w14:paraId="2B89D4DA">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单位名称：</w:t>
      </w:r>
    </w:p>
    <w:p w14:paraId="2B89D4DB">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地址：</w:t>
      </w:r>
    </w:p>
    <w:p w14:paraId="2B89D4DC">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姓名：       性别：     年龄：     职务：</w:t>
      </w:r>
    </w:p>
    <w:p w14:paraId="2B89D4DD">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本人系</w:t>
      </w:r>
      <w:r>
        <w:rPr>
          <w:rFonts w:hint="eastAsia" w:ascii="宋体" w:hAnsi="宋体" w:eastAsia="宋体" w:cs="宋体"/>
          <w:i w:val="0"/>
          <w:iCs/>
          <w:snapToGrid w:val="0"/>
          <w:color w:val="auto"/>
          <w:sz w:val="21"/>
          <w:szCs w:val="21"/>
          <w:u w:val="single"/>
        </w:rPr>
        <w:t>投标人名称</w:t>
      </w:r>
      <w:r>
        <w:rPr>
          <w:rFonts w:hint="eastAsia" w:ascii="宋体" w:hAnsi="宋体" w:eastAsia="宋体" w:cs="宋体"/>
          <w:color w:val="auto"/>
          <w:sz w:val="21"/>
          <w:szCs w:val="21"/>
        </w:rPr>
        <w:t>的法定代表人（单位负责人）。就参加贵方招标编号为</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的</w:t>
      </w:r>
      <w:r>
        <w:rPr>
          <w:rFonts w:hint="eastAsia" w:ascii="宋体" w:hAnsi="宋体" w:eastAsia="宋体" w:cs="宋体"/>
          <w:i w:val="0"/>
          <w:iCs/>
          <w:color w:val="auto"/>
          <w:sz w:val="21"/>
          <w:szCs w:val="21"/>
          <w:u w:val="single"/>
        </w:rPr>
        <w:t>项目名称</w:t>
      </w:r>
      <w:r>
        <w:rPr>
          <w:rFonts w:hint="eastAsia" w:ascii="宋体" w:hAnsi="宋体" w:eastAsia="宋体" w:cs="宋体"/>
          <w:i w:val="0"/>
          <w:iCs/>
          <w:color w:val="auto"/>
          <w:sz w:val="21"/>
          <w:szCs w:val="21"/>
        </w:rPr>
        <w:t>公</w:t>
      </w:r>
      <w:r>
        <w:rPr>
          <w:rFonts w:hint="eastAsia" w:ascii="宋体" w:hAnsi="宋体" w:eastAsia="宋体" w:cs="宋体"/>
          <w:color w:val="auto"/>
          <w:sz w:val="21"/>
          <w:szCs w:val="21"/>
        </w:rPr>
        <w:t>开招标项目的投标报价，签署上述项目的投标文件及合同的执行、完成、服务和保修，签署合同和处理与之有关的一切事务。</w:t>
      </w:r>
    </w:p>
    <w:p w14:paraId="2B89D4DE">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r>
        <w:rPr>
          <w:rFonts w:hint="eastAsia" w:ascii="宋体" w:hAnsi="宋体" w:eastAsia="宋体" w:cs="宋体"/>
          <w:color w:val="auto"/>
          <w:sz w:val="21"/>
          <w:szCs w:val="21"/>
        </w:rPr>
        <w:t>特此证明。</w:t>
      </w:r>
    </w:p>
    <w:p w14:paraId="2B89D4DF">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rPr>
        <w:t>法定代表人（单位负责人）联系电话（手机）：</w:t>
      </w:r>
    </w:p>
    <w:p w14:paraId="2B89D4E0">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p>
    <w:p w14:paraId="2B89D4E1">
      <w:pPr>
        <w:pStyle w:val="35"/>
        <w:keepNext w:val="0"/>
        <w:keepLines w:val="0"/>
        <w:pageBreakBefore w:val="0"/>
        <w:widowControl w:val="0"/>
        <w:kinsoku/>
        <w:wordWrap/>
        <w:overflowPunct/>
        <w:topLinePunct w:val="0"/>
        <w:bidi w:val="0"/>
        <w:spacing w:line="460" w:lineRule="exact"/>
        <w:ind w:firstLine="472" w:firstLineChars="225"/>
        <w:jc w:val="left"/>
        <w:rPr>
          <w:rFonts w:hint="eastAsia" w:ascii="宋体" w:hAnsi="宋体" w:eastAsia="宋体" w:cs="宋体"/>
          <w:color w:val="auto"/>
          <w:sz w:val="21"/>
          <w:szCs w:val="21"/>
        </w:rPr>
      </w:pPr>
    </w:p>
    <w:p w14:paraId="2B89D4E2">
      <w:pPr>
        <w:pStyle w:val="35"/>
        <w:keepNext w:val="0"/>
        <w:keepLines w:val="0"/>
        <w:pageBreakBefore w:val="0"/>
        <w:widowControl w:val="0"/>
        <w:kinsoku/>
        <w:wordWrap/>
        <w:overflowPunct/>
        <w:topLinePunct w:val="0"/>
        <w:bidi w:val="0"/>
        <w:spacing w:line="460" w:lineRule="exact"/>
        <w:ind w:left="-538" w:leftChars="-256" w:firstLine="539" w:firstLineChars="257"/>
        <w:jc w:val="center"/>
        <w:rPr>
          <w:rFonts w:hint="eastAsia" w:ascii="宋体" w:hAnsi="宋体" w:eastAsia="宋体" w:cs="宋体"/>
          <w:bCs/>
          <w:color w:val="auto"/>
          <w:sz w:val="21"/>
          <w:szCs w:val="21"/>
        </w:rPr>
      </w:pPr>
      <w:r>
        <w:rPr>
          <w:rFonts w:hint="eastAsia" w:ascii="宋体" w:hAnsi="宋体" w:eastAsia="宋体" w:cs="宋体"/>
          <w:bCs/>
          <w:color w:val="auto"/>
          <w:sz w:val="21"/>
          <w:szCs w:val="21"/>
        </w:rPr>
        <w:t>【此处请粘贴法定代表人（单位负责人）身份证复印件，需清晰反映身份证有效期限】</w:t>
      </w:r>
    </w:p>
    <w:p w14:paraId="2B89D4E3">
      <w:pPr>
        <w:pStyle w:val="35"/>
        <w:keepNext w:val="0"/>
        <w:keepLines w:val="0"/>
        <w:pageBreakBefore w:val="0"/>
        <w:widowControl w:val="0"/>
        <w:kinsoku/>
        <w:wordWrap/>
        <w:overflowPunct/>
        <w:topLinePunct w:val="0"/>
        <w:bidi w:val="0"/>
        <w:spacing w:line="460" w:lineRule="exact"/>
        <w:ind w:left="-538" w:leftChars="-256" w:firstLine="539" w:firstLineChars="257"/>
        <w:jc w:val="center"/>
        <w:rPr>
          <w:rFonts w:hint="eastAsia" w:ascii="宋体" w:hAnsi="宋体" w:eastAsia="宋体" w:cs="宋体"/>
          <w:bCs/>
          <w:color w:val="auto"/>
          <w:sz w:val="21"/>
          <w:szCs w:val="21"/>
        </w:rPr>
      </w:pPr>
    </w:p>
    <w:p w14:paraId="2B89D4E4">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2B89D4E5">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2B89D4E6">
      <w:pPr>
        <w:keepNext w:val="0"/>
        <w:keepLines w:val="0"/>
        <w:pageBreakBefore w:val="0"/>
        <w:widowControl w:val="0"/>
        <w:kinsoku/>
        <w:wordWrap/>
        <w:overflowPunct/>
        <w:topLinePunct w:val="0"/>
        <w:autoSpaceDE w:val="0"/>
        <w:autoSpaceDN w:val="0"/>
        <w:bidi w:val="0"/>
        <w:adjustRightInd w:val="0"/>
        <w:spacing w:line="460" w:lineRule="exact"/>
        <w:ind w:right="-11"/>
        <w:rPr>
          <w:rFonts w:hint="eastAsia" w:ascii="宋体" w:hAnsi="宋体" w:eastAsia="宋体" w:cs="宋体"/>
          <w:color w:val="auto"/>
          <w:szCs w:val="21"/>
          <w:lang w:val="zh-CN"/>
        </w:rPr>
      </w:pPr>
    </w:p>
    <w:p w14:paraId="2B89D4E7">
      <w:pPr>
        <w:keepNext w:val="0"/>
        <w:keepLines w:val="0"/>
        <w:pageBreakBefore w:val="0"/>
        <w:widowControl w:val="0"/>
        <w:kinsoku/>
        <w:wordWrap/>
        <w:overflowPunct/>
        <w:topLinePunct w:val="0"/>
        <w:bidi w:val="0"/>
        <w:adjustRightInd w:val="0"/>
        <w:snapToGrid w:val="0"/>
        <w:spacing w:line="460" w:lineRule="exact"/>
        <w:ind w:firstLine="3885" w:firstLineChars="1850"/>
        <w:rPr>
          <w:rFonts w:hint="eastAsia" w:ascii="宋体" w:hAnsi="宋体" w:eastAsia="宋体" w:cs="宋体"/>
          <w:color w:val="auto"/>
          <w:szCs w:val="21"/>
        </w:rPr>
      </w:pPr>
      <w:r>
        <w:rPr>
          <w:rFonts w:hint="eastAsia" w:ascii="宋体" w:hAnsi="宋体" w:eastAsia="宋体" w:cs="宋体"/>
          <w:color w:val="auto"/>
          <w:szCs w:val="21"/>
        </w:rPr>
        <w:t>投标人名称（并加盖公章）：</w:t>
      </w:r>
    </w:p>
    <w:p w14:paraId="2B89D4E8">
      <w:pPr>
        <w:pStyle w:val="36"/>
        <w:keepNext w:val="0"/>
        <w:keepLines w:val="0"/>
        <w:pageBreakBefore w:val="0"/>
        <w:widowControl w:val="0"/>
        <w:kinsoku/>
        <w:wordWrap/>
        <w:overflowPunct/>
        <w:topLinePunct w:val="0"/>
        <w:bidi w:val="0"/>
        <w:spacing w:line="460" w:lineRule="exact"/>
        <w:ind w:firstLine="3937" w:firstLineChars="1875"/>
        <w:rPr>
          <w:rFonts w:hint="eastAsia" w:ascii="宋体" w:hAnsi="宋体" w:eastAsia="宋体" w:cs="宋体"/>
          <w:color w:val="auto"/>
          <w:sz w:val="21"/>
          <w:szCs w:val="21"/>
        </w:rPr>
      </w:pPr>
      <w:r>
        <w:rPr>
          <w:rFonts w:hint="eastAsia" w:ascii="宋体" w:hAnsi="宋体" w:eastAsia="宋体" w:cs="宋体"/>
          <w:color w:val="auto"/>
          <w:sz w:val="21"/>
          <w:szCs w:val="21"/>
        </w:rPr>
        <w:t>签署日期：   年   月  日</w:t>
      </w:r>
    </w:p>
    <w:p w14:paraId="2B89D4E9">
      <w:pPr>
        <w:pStyle w:val="37"/>
        <w:keepNext w:val="0"/>
        <w:keepLines w:val="0"/>
        <w:pageBreakBefore w:val="0"/>
        <w:widowControl w:val="0"/>
        <w:kinsoku/>
        <w:wordWrap/>
        <w:overflowPunct/>
        <w:topLinePunct w:val="0"/>
        <w:bidi w:val="0"/>
        <w:spacing w:line="460" w:lineRule="exact"/>
        <w:rPr>
          <w:rFonts w:hint="eastAsia" w:ascii="宋体" w:hAnsi="宋体" w:eastAsia="宋体" w:cs="宋体"/>
          <w:color w:val="auto"/>
          <w:sz w:val="21"/>
          <w:szCs w:val="21"/>
        </w:rPr>
      </w:pPr>
    </w:p>
    <w:p w14:paraId="2B89D4EA">
      <w:pPr>
        <w:keepNext w:val="0"/>
        <w:keepLines w:val="0"/>
        <w:pageBreakBefore w:val="0"/>
        <w:widowControl w:val="0"/>
        <w:kinsoku/>
        <w:wordWrap/>
        <w:overflowPunct/>
        <w:topLinePunct w:val="0"/>
        <w:bidi w:val="0"/>
        <w:spacing w:line="460" w:lineRule="exact"/>
        <w:rPr>
          <w:rFonts w:hint="eastAsia" w:ascii="宋体" w:hAnsi="宋体" w:eastAsia="宋体" w:cs="宋体"/>
          <w:color w:val="auto"/>
          <w:szCs w:val="21"/>
        </w:rPr>
      </w:pPr>
    </w:p>
    <w:p w14:paraId="2B89D4EB">
      <w:pPr>
        <w:keepNext w:val="0"/>
        <w:keepLines w:val="0"/>
        <w:pageBreakBefore w:val="0"/>
        <w:widowControl w:val="0"/>
        <w:kinsoku/>
        <w:wordWrap/>
        <w:overflowPunct/>
        <w:topLinePunct w:val="0"/>
        <w:bidi w:val="0"/>
        <w:spacing w:line="460" w:lineRule="exact"/>
        <w:ind w:firstLine="420" w:firstLineChars="200"/>
        <w:rPr>
          <w:rFonts w:hint="eastAsia" w:ascii="宋体" w:hAnsi="宋体" w:eastAsia="宋体" w:cs="宋体"/>
          <w:bCs/>
          <w:color w:val="auto"/>
          <w:kern w:val="12"/>
          <w:szCs w:val="21"/>
        </w:rPr>
      </w:pPr>
      <w:r>
        <w:rPr>
          <w:rFonts w:hint="eastAsia" w:ascii="宋体" w:hAnsi="宋体" w:eastAsia="宋体" w:cs="宋体"/>
          <w:bCs/>
          <w:color w:val="auto"/>
          <w:kern w:val="12"/>
          <w:szCs w:val="21"/>
        </w:rPr>
        <w:t>说明：法定代表人（单位负责人）</w:t>
      </w:r>
      <w:r>
        <w:rPr>
          <w:rFonts w:hint="eastAsia" w:ascii="宋体" w:hAnsi="宋体" w:eastAsia="宋体" w:cs="宋体"/>
          <w:bCs/>
          <w:color w:val="auto"/>
          <w:kern w:val="12"/>
          <w:szCs w:val="21"/>
          <w:lang w:eastAsia="zh-CN"/>
        </w:rPr>
        <w:t>参加本次招标</w:t>
      </w:r>
      <w:r>
        <w:rPr>
          <w:rFonts w:hint="eastAsia" w:ascii="宋体" w:hAnsi="宋体" w:eastAsia="宋体" w:cs="宋体"/>
          <w:bCs/>
          <w:color w:val="auto"/>
          <w:kern w:val="12"/>
          <w:szCs w:val="21"/>
        </w:rPr>
        <w:t>项目投标的，仅需出具此证明书。</w:t>
      </w:r>
    </w:p>
    <w:p w14:paraId="2B89D4EC">
      <w:pPr>
        <w:pStyle w:val="16"/>
        <w:ind w:firstLine="0" w:firstLineChars="0"/>
        <w:rPr>
          <w:rFonts w:hint="eastAsia" w:ascii="宋体" w:hAnsi="宋体" w:eastAsia="宋体" w:cs="宋体"/>
          <w:color w:val="auto"/>
        </w:rPr>
      </w:pPr>
    </w:p>
    <w:p w14:paraId="2B89D4ED">
      <w:pPr>
        <w:rPr>
          <w:rFonts w:hint="eastAsia" w:ascii="宋体" w:hAnsi="宋体" w:eastAsia="宋体" w:cs="宋体"/>
          <w:color w:val="auto"/>
        </w:rPr>
      </w:pPr>
    </w:p>
    <w:p w14:paraId="2B89D4EE">
      <w:pPr>
        <w:rPr>
          <w:rFonts w:hint="eastAsia" w:ascii="宋体" w:hAnsi="宋体" w:eastAsia="宋体" w:cs="宋体"/>
          <w:color w:val="auto"/>
        </w:rPr>
      </w:pPr>
    </w:p>
    <w:p w14:paraId="2B89D4EF">
      <w:pPr>
        <w:rPr>
          <w:rFonts w:hint="eastAsia" w:ascii="宋体" w:hAnsi="宋体" w:eastAsia="宋体" w:cs="宋体"/>
          <w:color w:val="auto"/>
        </w:rPr>
      </w:pPr>
    </w:p>
    <w:p w14:paraId="2CF8B8F7">
      <w:pPr>
        <w:pStyle w:val="11"/>
        <w:rPr>
          <w:rFonts w:hint="eastAsia" w:ascii="宋体" w:hAnsi="宋体" w:eastAsia="宋体" w:cs="宋体"/>
          <w:color w:val="auto"/>
        </w:rPr>
      </w:pPr>
    </w:p>
    <w:p w14:paraId="56D036B7">
      <w:pPr>
        <w:rPr>
          <w:rFonts w:hint="eastAsia" w:ascii="宋体" w:hAnsi="宋体" w:eastAsia="宋体" w:cs="宋体"/>
          <w:color w:val="auto"/>
        </w:rPr>
      </w:pPr>
    </w:p>
    <w:p w14:paraId="27E6E2C9">
      <w:pPr>
        <w:pStyle w:val="11"/>
        <w:rPr>
          <w:rFonts w:hint="eastAsia" w:ascii="宋体" w:hAnsi="宋体" w:eastAsia="宋体" w:cs="宋体"/>
          <w:color w:val="auto"/>
        </w:rPr>
      </w:pPr>
    </w:p>
    <w:p w14:paraId="48320A40">
      <w:pPr>
        <w:rPr>
          <w:rFonts w:hint="eastAsia" w:ascii="宋体" w:hAnsi="宋体" w:eastAsia="宋体" w:cs="宋体"/>
          <w:color w:val="auto"/>
        </w:rPr>
      </w:pPr>
    </w:p>
    <w:p w14:paraId="24387591">
      <w:pPr>
        <w:pStyle w:val="11"/>
        <w:rPr>
          <w:rFonts w:hint="eastAsia" w:ascii="宋体" w:hAnsi="宋体" w:eastAsia="宋体" w:cs="宋体"/>
          <w:color w:val="auto"/>
        </w:rPr>
      </w:pPr>
    </w:p>
    <w:p w14:paraId="16002EDE">
      <w:pPr>
        <w:rPr>
          <w:rFonts w:hint="eastAsia" w:ascii="宋体" w:hAnsi="宋体" w:eastAsia="宋体" w:cs="宋体"/>
          <w:color w:val="auto"/>
        </w:rPr>
      </w:pPr>
    </w:p>
    <w:p w14:paraId="138EEA34">
      <w:pPr>
        <w:pStyle w:val="11"/>
        <w:rPr>
          <w:rFonts w:hint="eastAsia"/>
        </w:rPr>
      </w:pPr>
    </w:p>
    <w:p w14:paraId="660B6C9C">
      <w:pPr>
        <w:pStyle w:val="11"/>
        <w:rPr>
          <w:rFonts w:hint="eastAsia"/>
        </w:rPr>
      </w:pPr>
    </w:p>
    <w:p w14:paraId="2257B3A9">
      <w:pPr>
        <w:pStyle w:val="11"/>
        <w:rPr>
          <w:rFonts w:hint="eastAsia"/>
        </w:rPr>
      </w:pPr>
    </w:p>
    <w:p w14:paraId="7D8941AD">
      <w:pPr>
        <w:pStyle w:val="11"/>
        <w:rPr>
          <w:rFonts w:hint="eastAsia"/>
        </w:rPr>
      </w:pPr>
    </w:p>
    <w:p w14:paraId="2B89D4F0">
      <w:pPr>
        <w:rPr>
          <w:rFonts w:hint="eastAsia" w:ascii="宋体" w:hAnsi="宋体" w:eastAsia="宋体" w:cs="宋体"/>
          <w:color w:val="auto"/>
        </w:rPr>
      </w:pPr>
    </w:p>
    <w:p w14:paraId="2B89D4F1">
      <w:pPr>
        <w:spacing w:line="48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3.3法定代表人（单位负责人）授权书</w:t>
      </w:r>
    </w:p>
    <w:p w14:paraId="2B89D4F2">
      <w:pPr>
        <w:spacing w:line="480" w:lineRule="exact"/>
        <w:jc w:val="center"/>
        <w:rPr>
          <w:rFonts w:hint="eastAsia" w:ascii="宋体" w:hAnsi="宋体" w:eastAsia="宋体" w:cs="宋体"/>
          <w:b/>
          <w:bCs/>
          <w:color w:val="auto"/>
          <w:sz w:val="36"/>
          <w:szCs w:val="36"/>
        </w:rPr>
      </w:pPr>
    </w:p>
    <w:p w14:paraId="2B89D4F3">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本人</w:t>
      </w:r>
      <w:r>
        <w:rPr>
          <w:rFonts w:hint="eastAsia" w:ascii="宋体" w:hAnsi="宋体" w:eastAsia="宋体" w:cs="宋体"/>
          <w:color w:val="auto"/>
          <w:sz w:val="21"/>
          <w:szCs w:val="21"/>
          <w:u w:val="single"/>
        </w:rPr>
        <w:t xml:space="preserve">　 </w:t>
      </w:r>
      <w:r>
        <w:rPr>
          <w:rFonts w:hint="eastAsia" w:ascii="宋体" w:hAnsi="宋体" w:eastAsia="宋体" w:cs="宋体"/>
          <w:i/>
          <w:snapToGrid w:val="0"/>
          <w:color w:val="auto"/>
          <w:sz w:val="21"/>
          <w:szCs w:val="21"/>
          <w:u w:val="single"/>
        </w:rPr>
        <w:t>法人姓名</w:t>
      </w:r>
      <w:r>
        <w:rPr>
          <w:rFonts w:hint="eastAsia" w:ascii="宋体" w:hAnsi="宋体" w:eastAsia="宋体" w:cs="宋体"/>
          <w:color w:val="auto"/>
          <w:sz w:val="21"/>
          <w:szCs w:val="21"/>
        </w:rPr>
        <w:t>系</w:t>
      </w:r>
      <w:r>
        <w:rPr>
          <w:rFonts w:hint="eastAsia" w:ascii="宋体" w:hAnsi="宋体" w:eastAsia="宋体" w:cs="宋体"/>
          <w:color w:val="auto"/>
          <w:sz w:val="21"/>
          <w:szCs w:val="21"/>
          <w:u w:val="single"/>
        </w:rPr>
        <w:t>　</w:t>
      </w:r>
      <w:r>
        <w:rPr>
          <w:rFonts w:hint="eastAsia" w:ascii="宋体" w:hAnsi="宋体" w:eastAsia="宋体" w:cs="宋体"/>
          <w:i/>
          <w:snapToGrid w:val="0"/>
          <w:color w:val="auto"/>
          <w:sz w:val="21"/>
          <w:szCs w:val="21"/>
          <w:u w:val="single"/>
        </w:rPr>
        <w:t xml:space="preserve">投标人名称  </w:t>
      </w:r>
      <w:r>
        <w:rPr>
          <w:rFonts w:hint="eastAsia" w:ascii="宋体" w:hAnsi="宋体" w:eastAsia="宋体" w:cs="宋体"/>
          <w:color w:val="auto"/>
          <w:sz w:val="21"/>
          <w:szCs w:val="21"/>
        </w:rPr>
        <w:t>的法定代表人（单位负责人），现委托</w:t>
      </w:r>
      <w:r>
        <w:rPr>
          <w:rFonts w:hint="eastAsia" w:ascii="宋体" w:hAnsi="宋体" w:eastAsia="宋体" w:cs="宋体"/>
          <w:color w:val="auto"/>
          <w:sz w:val="21"/>
          <w:szCs w:val="21"/>
          <w:u w:val="single"/>
        </w:rPr>
        <w:t xml:space="preserve">　 </w:t>
      </w:r>
      <w:r>
        <w:rPr>
          <w:rFonts w:hint="eastAsia" w:ascii="宋体" w:hAnsi="宋体" w:eastAsia="宋体" w:cs="宋体"/>
          <w:i/>
          <w:snapToGrid w:val="0"/>
          <w:color w:val="auto"/>
          <w:sz w:val="21"/>
          <w:szCs w:val="21"/>
          <w:u w:val="single"/>
        </w:rPr>
        <w:t>姓名，职务</w:t>
      </w:r>
      <w:r>
        <w:rPr>
          <w:rFonts w:hint="eastAsia" w:ascii="宋体" w:hAnsi="宋体" w:eastAsia="宋体" w:cs="宋体"/>
          <w:color w:val="auto"/>
          <w:sz w:val="21"/>
          <w:szCs w:val="21"/>
        </w:rPr>
        <w:t>以我方的名义参加贵方</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rPr>
        <w:t>的</w:t>
      </w:r>
      <w:r>
        <w:rPr>
          <w:rFonts w:hint="eastAsia" w:ascii="宋体" w:hAnsi="宋体" w:eastAsia="宋体" w:cs="宋体"/>
          <w:i w:val="0"/>
          <w:iCs/>
          <w:color w:val="auto"/>
          <w:sz w:val="21"/>
          <w:szCs w:val="21"/>
          <w:u w:val="single"/>
        </w:rPr>
        <w:t xml:space="preserve">项目名称 </w:t>
      </w:r>
      <w:r>
        <w:rPr>
          <w:rFonts w:hint="eastAsia" w:ascii="宋体" w:hAnsi="宋体" w:eastAsia="宋体" w:cs="宋体"/>
          <w:i w:val="0"/>
          <w:iCs/>
          <w:color w:val="auto"/>
          <w:sz w:val="21"/>
          <w:szCs w:val="21"/>
        </w:rPr>
        <w:t>项</w:t>
      </w:r>
      <w:r>
        <w:rPr>
          <w:rFonts w:hint="eastAsia" w:ascii="宋体" w:hAnsi="宋体" w:eastAsia="宋体" w:cs="宋体"/>
          <w:color w:val="auto"/>
          <w:sz w:val="21"/>
          <w:szCs w:val="21"/>
        </w:rPr>
        <w:t>目的投标活动，并代表我方全权办理针对上述项目的投标、开标、投标文件澄清、签约等一切具体事务和签署相关文件。</w:t>
      </w:r>
    </w:p>
    <w:p w14:paraId="2B89D4F4">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我方对被授权人的签名事项负全部责任。</w:t>
      </w:r>
    </w:p>
    <w:p w14:paraId="2B89D4F5">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2B89D4F6">
      <w:pPr>
        <w:keepNext w:val="0"/>
        <w:keepLines w:val="0"/>
        <w:pageBreakBefore w:val="0"/>
        <w:widowControl w:val="0"/>
        <w:kinsoku/>
        <w:wordWrap/>
        <w:overflowPunct/>
        <w:topLinePunct w:val="0"/>
        <w:autoSpaceDE/>
        <w:autoSpaceDN/>
        <w:bidi w:val="0"/>
        <w:adjustRightInd w:val="0"/>
        <w:snapToGrid/>
        <w:spacing w:line="460" w:lineRule="exact"/>
        <w:ind w:firstLine="441" w:firstLineChars="21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被授权人无转委托权，特此委托。</w:t>
      </w:r>
    </w:p>
    <w:p w14:paraId="2B89D4F7">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投标人名称： </w:t>
      </w:r>
      <w:r>
        <w:rPr>
          <w:rFonts w:hint="eastAsia" w:ascii="宋体" w:hAnsi="宋体" w:eastAsia="宋体" w:cs="宋体"/>
          <w:color w:val="auto"/>
          <w:sz w:val="21"/>
          <w:szCs w:val="21"/>
          <w:u w:val="single"/>
        </w:rPr>
        <w:t xml:space="preserve">       （全称）       </w:t>
      </w:r>
      <w:r>
        <w:rPr>
          <w:rFonts w:hint="eastAsia" w:ascii="宋体" w:hAnsi="宋体" w:eastAsia="宋体" w:cs="宋体"/>
          <w:color w:val="auto"/>
          <w:sz w:val="21"/>
          <w:szCs w:val="21"/>
        </w:rPr>
        <w:t xml:space="preserve"> （加盖单位公章）</w:t>
      </w:r>
    </w:p>
    <w:p w14:paraId="2B89D4F8">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 （签名或加盖名章）</w:t>
      </w:r>
    </w:p>
    <w:p w14:paraId="2B89D4F9">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  （签名或加盖名章）</w:t>
      </w:r>
    </w:p>
    <w:p w14:paraId="2B89D4FA">
      <w:pPr>
        <w:keepNext w:val="0"/>
        <w:keepLines w:val="0"/>
        <w:pageBreakBefore w:val="0"/>
        <w:widowControl w:val="0"/>
        <w:kinsoku/>
        <w:wordWrap/>
        <w:overflowPunct/>
        <w:topLinePunct w:val="0"/>
        <w:autoSpaceDE/>
        <w:autoSpaceDN/>
        <w:bidi w:val="0"/>
        <w:snapToGrid/>
        <w:spacing w:line="460" w:lineRule="exact"/>
        <w:ind w:firstLine="420" w:firstLineChars="200"/>
        <w:textAlignment w:val="auto"/>
        <w:rPr>
          <w:rFonts w:hint="eastAsia" w:ascii="宋体" w:hAnsi="宋体" w:eastAsia="宋体" w:cs="宋体"/>
          <w:color w:val="auto"/>
          <w:sz w:val="21"/>
          <w:szCs w:val="21"/>
          <w:u w:val="single"/>
        </w:rPr>
      </w:pPr>
      <w:r>
        <w:rPr>
          <w:rFonts w:hint="eastAsia" w:ascii="宋体" w:hAnsi="宋体" w:eastAsia="宋体" w:cs="宋体"/>
          <w:color w:val="auto"/>
          <w:sz w:val="21"/>
          <w:szCs w:val="21"/>
        </w:rPr>
        <w:t>法定代表人（单位负责人）授权代表联系电话（手机）：</w:t>
      </w:r>
    </w:p>
    <w:tbl>
      <w:tblPr>
        <w:tblStyle w:val="18"/>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2"/>
        <w:gridCol w:w="7"/>
        <w:gridCol w:w="4466"/>
        <w:gridCol w:w="14"/>
      </w:tblGrid>
      <w:tr w14:paraId="2B89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348" w:hRule="atLeast"/>
        </w:trPr>
        <w:tc>
          <w:tcPr>
            <w:tcW w:w="4472" w:type="dxa"/>
            <w:vAlign w:val="center"/>
          </w:tcPr>
          <w:p w14:paraId="2B89D4FB">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法定代表人（单位负责人）身份证（反面）</w:t>
            </w:r>
          </w:p>
        </w:tc>
        <w:tc>
          <w:tcPr>
            <w:tcW w:w="4473" w:type="dxa"/>
            <w:gridSpan w:val="2"/>
            <w:vAlign w:val="center"/>
          </w:tcPr>
          <w:p w14:paraId="2B89D4FC">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法定代表人（单位负责人）身份证（正面）</w:t>
            </w:r>
          </w:p>
        </w:tc>
      </w:tr>
      <w:tr w14:paraId="2B89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5" w:hRule="atLeast"/>
        </w:trPr>
        <w:tc>
          <w:tcPr>
            <w:tcW w:w="4479" w:type="dxa"/>
            <w:gridSpan w:val="2"/>
            <w:vAlign w:val="center"/>
          </w:tcPr>
          <w:p w14:paraId="2B89D4FE">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法定代表人（单位负责人）授权代表身份证</w:t>
            </w:r>
          </w:p>
          <w:p w14:paraId="2B89D4FF">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（反面）</w:t>
            </w:r>
          </w:p>
        </w:tc>
        <w:tc>
          <w:tcPr>
            <w:tcW w:w="4480" w:type="dxa"/>
            <w:gridSpan w:val="2"/>
            <w:vAlign w:val="center"/>
          </w:tcPr>
          <w:p w14:paraId="2B89D500">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法定代表人（单位负责人）授权代表身份证</w:t>
            </w:r>
          </w:p>
          <w:p w14:paraId="2B89D501">
            <w:pPr>
              <w:keepNext w:val="0"/>
              <w:keepLines w:val="0"/>
              <w:pageBreakBefore w:val="0"/>
              <w:widowControl w:val="0"/>
              <w:kinsoku/>
              <w:wordWrap/>
              <w:overflowPunct/>
              <w:topLinePunct w:val="0"/>
              <w:autoSpaceDE/>
              <w:autoSpaceDN/>
              <w:bidi w:val="0"/>
              <w:snapToGrid/>
              <w:spacing w:line="460" w:lineRule="exact"/>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（正面）</w:t>
            </w:r>
          </w:p>
        </w:tc>
      </w:tr>
    </w:tbl>
    <w:p w14:paraId="2B89D503">
      <w:pPr>
        <w:widowControl/>
        <w:spacing w:before="100" w:beforeAutospacing="1" w:after="100" w:afterAutospacing="1" w:line="360" w:lineRule="auto"/>
        <w:jc w:val="center"/>
        <w:rPr>
          <w:rFonts w:hint="eastAsia" w:ascii="宋体" w:hAnsi="宋体" w:eastAsia="宋体" w:cs="宋体"/>
          <w:b/>
          <w:bCs/>
          <w:color w:val="auto"/>
          <w:sz w:val="24"/>
          <w:szCs w:val="24"/>
        </w:rPr>
      </w:pPr>
    </w:p>
    <w:p w14:paraId="2B89D504">
      <w:pPr>
        <w:widowControl/>
        <w:spacing w:before="100" w:beforeAutospacing="1" w:after="100" w:afterAutospacing="1" w:line="360" w:lineRule="auto"/>
        <w:jc w:val="center"/>
        <w:rPr>
          <w:rFonts w:hint="eastAsia" w:ascii="宋体" w:hAnsi="宋体" w:eastAsia="宋体" w:cs="宋体"/>
          <w:b/>
          <w:bCs/>
          <w:color w:val="auto"/>
          <w:sz w:val="24"/>
          <w:szCs w:val="24"/>
        </w:rPr>
      </w:pPr>
    </w:p>
    <w:p w14:paraId="161198CE">
      <w:pPr>
        <w:rPr>
          <w:rFonts w:hint="eastAsia"/>
        </w:rPr>
      </w:pPr>
    </w:p>
    <w:p w14:paraId="2B89D505">
      <w:pPr>
        <w:spacing w:line="480" w:lineRule="exact"/>
        <w:jc w:val="center"/>
        <w:rPr>
          <w:rFonts w:hint="eastAsia" w:ascii="宋体" w:hAnsi="宋体" w:eastAsia="宋体" w:cs="宋体"/>
          <w:color w:val="auto"/>
          <w:sz w:val="24"/>
          <w:szCs w:val="24"/>
        </w:rPr>
      </w:pPr>
      <w:r>
        <w:rPr>
          <w:rFonts w:hint="eastAsia" w:ascii="宋体" w:hAnsi="宋体" w:eastAsia="宋体" w:cs="宋体"/>
          <w:b/>
          <w:bCs/>
          <w:color w:val="auto"/>
          <w:sz w:val="24"/>
          <w:szCs w:val="24"/>
        </w:rPr>
        <w:t>3.4禹州市政府采购供应商信用承诺函</w:t>
      </w:r>
    </w:p>
    <w:p w14:paraId="2B89D506">
      <w:pPr>
        <w:adjustRightInd w:val="0"/>
        <w:spacing w:line="360" w:lineRule="auto"/>
        <w:ind w:firstLine="441" w:firstLineChars="210"/>
        <w:contextualSpacing/>
        <w:rPr>
          <w:rFonts w:hint="eastAsia" w:ascii="宋体" w:hAnsi="宋体" w:eastAsia="宋体" w:cs="宋体"/>
          <w:color w:val="auto"/>
          <w:szCs w:val="21"/>
        </w:rPr>
      </w:pPr>
    </w:p>
    <w:p w14:paraId="2B89D507">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致（采购人或采购代理机构）： </w:t>
      </w:r>
    </w:p>
    <w:p w14:paraId="2B89D508">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单位名称（自然人姓名）</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2B89D509">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统一社会信用代码（身份证号码）</w:t>
      </w:r>
      <w:r>
        <w:rPr>
          <w:rFonts w:hint="eastAsia" w:ascii="宋体" w:hAnsi="宋体" w:eastAsia="宋体" w:cs="宋体"/>
          <w:color w:val="auto"/>
          <w:sz w:val="21"/>
          <w:szCs w:val="21"/>
          <w:lang w:eastAsia="zh-CN"/>
        </w:rPr>
        <w:t>：</w:t>
      </w:r>
    </w:p>
    <w:p w14:paraId="2B89D50A">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法定代表人（负责人）</w:t>
      </w:r>
      <w:r>
        <w:rPr>
          <w:rFonts w:hint="eastAsia" w:ascii="宋体" w:hAnsi="宋体" w:eastAsia="宋体" w:cs="宋体"/>
          <w:color w:val="auto"/>
          <w:sz w:val="21"/>
          <w:szCs w:val="21"/>
          <w:lang w:eastAsia="zh-CN"/>
        </w:rPr>
        <w:t>：</w:t>
      </w:r>
    </w:p>
    <w:p w14:paraId="2B89D50B">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联系地址和电话：</w:t>
      </w:r>
    </w:p>
    <w:p w14:paraId="2B89D50C">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为维护公平、公正、公开的政府采购市场秩序，树立诚实守信的政府采购供应商形象，我单位（本人）自愿作出以下承诺： </w:t>
      </w:r>
    </w:p>
    <w:p w14:paraId="2B89D50D">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 </w:t>
      </w:r>
    </w:p>
    <w:p w14:paraId="2B89D50E">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（一）具有独立承担民事责任的能力； </w:t>
      </w:r>
    </w:p>
    <w:p w14:paraId="2B89D50F">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（二）具有良好的商业信誉和健全的财务会计制度； </w:t>
      </w:r>
    </w:p>
    <w:p w14:paraId="2B89D510">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（三）具有履行合同所必需的设备和专业技术能力； </w:t>
      </w:r>
    </w:p>
    <w:p w14:paraId="2B89D511">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（四）有依法缴纳税收和社会保障资金的良好记录； </w:t>
      </w:r>
    </w:p>
    <w:p w14:paraId="2B89D512">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（五）参加政府采购活动前三年内，在经营活动中没有重大违法记录； </w:t>
      </w:r>
    </w:p>
    <w:p w14:paraId="2B89D513">
      <w:pPr>
        <w:keepNext w:val="0"/>
        <w:keepLines w:val="0"/>
        <w:pageBreakBefore w:val="0"/>
        <w:kinsoku/>
        <w:wordWrap/>
        <w:overflowPunct/>
        <w:topLinePunct w:val="0"/>
        <w:autoSpaceDE/>
        <w:autoSpaceDN/>
        <w:bidi w:val="0"/>
        <w:adjustRightInd/>
        <w:snapToGrid/>
        <w:spacing w:line="460" w:lineRule="exact"/>
        <w:ind w:firstLine="420" w:firstLineChars="200"/>
        <w:contextualSpacing/>
        <w:jc w:val="left"/>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（六）未被列入经营异常名录或者严重违法失信名单、失信被执行人，重大税收违法失信主体、政府采购严重违法失信行为记录名单； </w:t>
      </w:r>
    </w:p>
    <w:p w14:paraId="2B89D514">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（七）未被相关监管部门作出行政处罚且尚在处罚有效期的； </w:t>
      </w:r>
    </w:p>
    <w:p w14:paraId="2B89D515">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（八）未曾作出虚假采购承诺； </w:t>
      </w:r>
    </w:p>
    <w:p w14:paraId="2B89D516">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（九）符合法律、行政法规规定的其他条件。 </w:t>
      </w:r>
    </w:p>
    <w:p w14:paraId="2B89D517">
      <w:pPr>
        <w:keepNext w:val="0"/>
        <w:keepLines w:val="0"/>
        <w:pageBreakBefore w:val="0"/>
        <w:kinsoku/>
        <w:wordWrap/>
        <w:overflowPunct/>
        <w:topLinePunct w:val="0"/>
        <w:autoSpaceDE/>
        <w:autoSpaceDN/>
        <w:bidi w:val="0"/>
        <w:adjustRightInd/>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二、我单位（本人）保证上述承诺事项的真实性。如有弄虚作假或其他违法违规行为，自愿按照规定将违背承诺行为作为失信行为记录到社会信用信息平台，并视同为“提供虚假材料谋取中标、成交”按照《中华人民共和国政府采购法》第七十</w:t>
      </w:r>
      <w:r>
        <w:rPr>
          <w:rFonts w:hint="eastAsia" w:ascii="宋体" w:hAnsi="宋体" w:eastAsia="宋体" w:cs="宋体"/>
          <w:color w:val="auto"/>
          <w:sz w:val="21"/>
          <w:szCs w:val="21"/>
          <w:lang w:eastAsia="zh-CN"/>
        </w:rPr>
        <w:t>七条、第</w:t>
      </w:r>
      <w:r>
        <w:rPr>
          <w:rFonts w:hint="eastAsia" w:ascii="宋体" w:hAnsi="宋体" w:eastAsia="宋体" w:cs="宋体"/>
          <w:color w:val="auto"/>
          <w:sz w:val="21"/>
          <w:szCs w:val="21"/>
        </w:rPr>
        <w:t xml:space="preserve">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2B89D518">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供应商（电子章）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2B89D519">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法定代表人、负责人、本人或授权代表（签字或电子印章）</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 xml:space="preserve"> </w:t>
      </w:r>
    </w:p>
    <w:p w14:paraId="2B89D51A">
      <w:pPr>
        <w:keepNext w:val="0"/>
        <w:keepLines w:val="0"/>
        <w:pageBreakBefore w:val="0"/>
        <w:kinsoku/>
        <w:wordWrap/>
        <w:overflowPunct/>
        <w:topLinePunct w:val="0"/>
        <w:autoSpaceDE/>
        <w:autoSpaceDN/>
        <w:bidi w:val="0"/>
        <w:adjustRightInd/>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 xml:space="preserve">日期：   年   月   日 </w:t>
      </w:r>
    </w:p>
    <w:p w14:paraId="2B89D51B">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注：</w:t>
      </w:r>
    </w:p>
    <w:p w14:paraId="2B89D51C">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 xml:space="preserve">1.投标人须在投标文件中按此模板提供承诺函，未提供视为未实质性响应招标文件要求，按无效投标处理。 </w:t>
      </w:r>
    </w:p>
    <w:p w14:paraId="2B89D51D">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rPr>
        <w:t>2.投标人的法定代表人或者授权代表的签字或盖章应真实、有效，如由授权代表签字或盖章的，应提供“法定代表人授权书”。</w:t>
      </w:r>
    </w:p>
    <w:p w14:paraId="2B89D51E">
      <w:pPr>
        <w:keepNext w:val="0"/>
        <w:keepLines w:val="0"/>
        <w:pageBreakBefore w:val="0"/>
        <w:kinsoku/>
        <w:wordWrap/>
        <w:overflowPunct/>
        <w:topLinePunct w:val="0"/>
        <w:autoSpaceDE/>
        <w:autoSpaceDN/>
        <w:bidi w:val="0"/>
        <w:adjustRightInd/>
        <w:snapToGrid/>
        <w:spacing w:line="460" w:lineRule="exact"/>
        <w:ind w:right="420" w:firstLine="4800" w:firstLineChars="2286"/>
        <w:textAlignment w:val="auto"/>
        <w:rPr>
          <w:rFonts w:hint="eastAsia" w:ascii="宋体" w:hAnsi="宋体" w:eastAsia="宋体" w:cs="宋体"/>
          <w:color w:val="auto"/>
          <w:sz w:val="21"/>
          <w:szCs w:val="21"/>
          <w:lang w:val="zh-CN"/>
        </w:rPr>
      </w:pPr>
    </w:p>
    <w:p w14:paraId="2B89D51F">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0">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1">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2">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3">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4">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5">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6">
      <w:pPr>
        <w:spacing w:before="156" w:beforeLines="50" w:after="156" w:afterLines="50" w:line="360" w:lineRule="auto"/>
        <w:ind w:right="420" w:firstLine="5486" w:firstLineChars="2286"/>
        <w:rPr>
          <w:rFonts w:hint="eastAsia" w:ascii="宋体" w:hAnsi="宋体" w:eastAsia="宋体" w:cs="宋体"/>
          <w:color w:val="auto"/>
          <w:sz w:val="24"/>
          <w:szCs w:val="24"/>
          <w:lang w:val="zh-CN"/>
        </w:rPr>
      </w:pPr>
    </w:p>
    <w:p w14:paraId="2B89D527">
      <w:pPr>
        <w:pStyle w:val="16"/>
        <w:ind w:firstLine="340"/>
        <w:rPr>
          <w:rFonts w:hint="eastAsia" w:ascii="宋体" w:hAnsi="宋体" w:eastAsia="宋体" w:cs="宋体"/>
          <w:color w:val="auto"/>
          <w:lang w:val="zh-CN"/>
        </w:rPr>
      </w:pPr>
    </w:p>
    <w:p w14:paraId="2B89D528">
      <w:pPr>
        <w:pStyle w:val="17"/>
        <w:ind w:firstLine="480"/>
        <w:rPr>
          <w:rFonts w:hint="eastAsia" w:ascii="宋体" w:hAnsi="宋体" w:eastAsia="宋体" w:cs="宋体"/>
          <w:color w:val="auto"/>
          <w:lang w:val="zh-CN"/>
        </w:rPr>
      </w:pPr>
    </w:p>
    <w:p w14:paraId="2B89D529">
      <w:pPr>
        <w:pStyle w:val="16"/>
        <w:ind w:firstLine="0" w:firstLineChars="0"/>
        <w:rPr>
          <w:rFonts w:hint="eastAsia" w:ascii="宋体" w:hAnsi="宋体" w:eastAsia="宋体" w:cs="宋体"/>
          <w:color w:val="auto"/>
          <w:lang w:val="zh-CN"/>
        </w:rPr>
      </w:pPr>
    </w:p>
    <w:p w14:paraId="2B89D52A">
      <w:pPr>
        <w:rPr>
          <w:rFonts w:hint="eastAsia" w:ascii="宋体" w:hAnsi="宋体" w:eastAsia="宋体" w:cs="宋体"/>
          <w:color w:val="auto"/>
          <w:lang w:val="zh-CN"/>
        </w:rPr>
      </w:pPr>
    </w:p>
    <w:p w14:paraId="2B89D52B">
      <w:pPr>
        <w:rPr>
          <w:rFonts w:hint="eastAsia" w:ascii="宋体" w:hAnsi="宋体" w:eastAsia="宋体" w:cs="宋体"/>
          <w:color w:val="auto"/>
          <w:lang w:val="zh-CN"/>
        </w:rPr>
      </w:pPr>
    </w:p>
    <w:p w14:paraId="2B89D52C">
      <w:pPr>
        <w:pStyle w:val="7"/>
        <w:rPr>
          <w:rFonts w:hint="eastAsia" w:ascii="宋体" w:hAnsi="宋体" w:eastAsia="宋体" w:cs="宋体"/>
          <w:color w:val="auto"/>
          <w:lang w:val="zh-CN"/>
        </w:rPr>
      </w:pPr>
    </w:p>
    <w:p w14:paraId="2B89D52D">
      <w:pPr>
        <w:pStyle w:val="26"/>
        <w:rPr>
          <w:rFonts w:hint="eastAsia" w:ascii="宋体" w:hAnsi="宋体" w:eastAsia="宋体" w:cs="宋体"/>
          <w:color w:val="auto"/>
          <w:lang w:val="zh-CN"/>
        </w:rPr>
      </w:pPr>
    </w:p>
    <w:p w14:paraId="2B89D52E">
      <w:pPr>
        <w:pStyle w:val="27"/>
        <w:rPr>
          <w:rFonts w:hint="eastAsia" w:ascii="宋体" w:hAnsi="宋体" w:eastAsia="宋体" w:cs="宋体"/>
          <w:color w:val="auto"/>
          <w:lang w:val="zh-CN"/>
        </w:rPr>
      </w:pPr>
    </w:p>
    <w:p w14:paraId="2B89D52F">
      <w:pPr>
        <w:rPr>
          <w:rFonts w:hint="eastAsia" w:ascii="宋体" w:hAnsi="宋体" w:eastAsia="宋体" w:cs="宋体"/>
          <w:color w:val="auto"/>
          <w:lang w:val="zh-CN"/>
        </w:rPr>
      </w:pPr>
    </w:p>
    <w:p w14:paraId="2B89D533">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3.5</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投标承诺函</w:t>
      </w:r>
    </w:p>
    <w:p w14:paraId="2B89D534">
      <w:pPr>
        <w:autoSpaceDE w:val="0"/>
        <w:autoSpaceDN w:val="0"/>
        <w:snapToGrid w:val="0"/>
        <w:spacing w:line="360" w:lineRule="auto"/>
        <w:jc w:val="center"/>
        <w:rPr>
          <w:rFonts w:hint="eastAsia" w:ascii="宋体" w:hAnsi="宋体" w:eastAsia="宋体" w:cs="宋体"/>
          <w:b/>
          <w:bCs/>
          <w:color w:val="auto"/>
          <w:sz w:val="24"/>
          <w:szCs w:val="24"/>
        </w:rPr>
      </w:pPr>
    </w:p>
    <w:p w14:paraId="2B89D535">
      <w:pPr>
        <w:keepNext w:val="0"/>
        <w:keepLines w:val="0"/>
        <w:pageBreakBefore w:val="0"/>
        <w:widowControl w:val="0"/>
        <w:kinsoku/>
        <w:wordWrap/>
        <w:overflowPunct/>
        <w:topLinePunct w:val="0"/>
        <w:bidi w:val="0"/>
        <w:snapToGrid/>
        <w:spacing w:line="460" w:lineRule="exact"/>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本企业郑重承诺：</w:t>
      </w:r>
    </w:p>
    <w:p w14:paraId="2B89D536">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经研究，我方自愿参与贵方</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月</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zh-CN"/>
        </w:rPr>
        <w:t>日（</w:t>
      </w:r>
      <w:r>
        <w:rPr>
          <w:rFonts w:hint="eastAsia" w:ascii="宋体" w:hAnsi="宋体" w:eastAsia="宋体" w:cs="宋体"/>
          <w:color w:val="auto"/>
          <w:sz w:val="21"/>
          <w:szCs w:val="21"/>
          <w:lang w:val="en-US" w:eastAsia="zh-CN"/>
        </w:rPr>
        <w:t>填写开标时间）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lang w:val="zh-CN"/>
        </w:rPr>
        <w:t>（</w:t>
      </w:r>
      <w:r>
        <w:rPr>
          <w:rFonts w:hint="eastAsia" w:ascii="宋体" w:hAnsi="宋体" w:eastAsia="宋体" w:cs="宋体"/>
          <w:color w:val="auto"/>
          <w:sz w:val="21"/>
          <w:szCs w:val="21"/>
          <w:u w:val="single"/>
        </w:rPr>
        <w:t>采购编号</w:t>
      </w:r>
      <w:r>
        <w:rPr>
          <w:rFonts w:hint="eastAsia" w:ascii="宋体" w:hAnsi="宋体" w:eastAsia="宋体" w:cs="宋体"/>
          <w:color w:val="auto"/>
          <w:sz w:val="21"/>
          <w:szCs w:val="21"/>
          <w:u w:val="single"/>
          <w:lang w:val="zh-CN"/>
        </w:rPr>
        <w:t>、项目名称）</w:t>
      </w:r>
      <w:r>
        <w:rPr>
          <w:rFonts w:hint="eastAsia" w:ascii="宋体" w:hAnsi="宋体" w:eastAsia="宋体" w:cs="宋体"/>
          <w:color w:val="auto"/>
          <w:sz w:val="21"/>
          <w:szCs w:val="21"/>
          <w:lang w:val="zh-CN"/>
        </w:rPr>
        <w:t>的投标，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2B89D537">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一、在投标有效期内撤销投标文件；</w:t>
      </w:r>
    </w:p>
    <w:p w14:paraId="2B89D538">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二、在投标文件中提供虚假材料；</w:t>
      </w:r>
    </w:p>
    <w:p w14:paraId="2B89D539">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三、除因不可抗力或招标文件认可的情形以外，中标后不与采购人签订合同；</w:t>
      </w:r>
    </w:p>
    <w:p w14:paraId="2B89D53A">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四、与采购人、其他投标人或者采购代理机构恶意串通；</w:t>
      </w:r>
    </w:p>
    <w:p w14:paraId="2B89D53B">
      <w:pPr>
        <w:keepNext w:val="0"/>
        <w:keepLines w:val="0"/>
        <w:pageBreakBefore w:val="0"/>
        <w:widowControl w:val="0"/>
        <w:kinsoku/>
        <w:wordWrap/>
        <w:overflowPunct/>
        <w:topLinePunct w:val="0"/>
        <w:bidi w:val="0"/>
        <w:snapToGrid/>
        <w:spacing w:line="460" w:lineRule="exact"/>
        <w:ind w:firstLine="420" w:firstLineChars="200"/>
        <w:contextualSpacing/>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五、法律法规及本招标文件规定的其他严重违法行为。</w:t>
      </w:r>
    </w:p>
    <w:p w14:paraId="2B89D53C">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color w:val="auto"/>
          <w:sz w:val="21"/>
          <w:szCs w:val="21"/>
          <w:u w:val="single"/>
        </w:rPr>
      </w:pPr>
    </w:p>
    <w:p w14:paraId="2B89D53D">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color w:val="auto"/>
          <w:sz w:val="21"/>
          <w:szCs w:val="21"/>
          <w:u w:val="single"/>
        </w:rPr>
      </w:pPr>
    </w:p>
    <w:p w14:paraId="2B89D53E">
      <w:pPr>
        <w:keepNext w:val="0"/>
        <w:keepLines w:val="0"/>
        <w:pageBreakBefore w:val="0"/>
        <w:widowControl w:val="0"/>
        <w:kinsoku/>
        <w:wordWrap/>
        <w:overflowPunct/>
        <w:topLinePunct w:val="0"/>
        <w:bidi w:val="0"/>
        <w:snapToGrid/>
        <w:spacing w:line="460" w:lineRule="exact"/>
        <w:ind w:firstLine="4357" w:firstLineChars="2075"/>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zh-CN"/>
        </w:rPr>
        <w:t>投标人名称（</w:t>
      </w:r>
      <w:r>
        <w:rPr>
          <w:rFonts w:hint="eastAsia" w:ascii="宋体" w:hAnsi="宋体" w:eastAsia="宋体" w:cs="宋体"/>
          <w:color w:val="auto"/>
          <w:sz w:val="21"/>
          <w:szCs w:val="21"/>
        </w:rPr>
        <w:t>并加盖公章</w:t>
      </w:r>
      <w:r>
        <w:rPr>
          <w:rFonts w:hint="eastAsia" w:ascii="宋体" w:hAnsi="宋体" w:eastAsia="宋体" w:cs="宋体"/>
          <w:color w:val="auto"/>
          <w:sz w:val="21"/>
          <w:szCs w:val="21"/>
          <w:lang w:val="zh-CN"/>
        </w:rPr>
        <w:t>）：</w:t>
      </w:r>
      <w:r>
        <w:rPr>
          <w:rFonts w:hint="eastAsia" w:ascii="宋体" w:hAnsi="宋体" w:eastAsia="宋体" w:cs="宋体"/>
          <w:color w:val="auto"/>
          <w:sz w:val="21"/>
          <w:szCs w:val="21"/>
        </w:rPr>
        <w:t>　　　　　　　　　</w:t>
      </w:r>
    </w:p>
    <w:p w14:paraId="2B89D53F">
      <w:pPr>
        <w:keepNext w:val="0"/>
        <w:keepLines w:val="0"/>
        <w:pageBreakBefore w:val="0"/>
        <w:widowControl w:val="0"/>
        <w:kinsoku/>
        <w:wordWrap/>
        <w:overflowPunct/>
        <w:topLinePunct w:val="0"/>
        <w:bidi w:val="0"/>
        <w:snapToGrid/>
        <w:spacing w:line="460" w:lineRule="exact"/>
        <w:ind w:firstLine="4357" w:firstLineChars="2075"/>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日期：      年    月    日</w:t>
      </w:r>
    </w:p>
    <w:p w14:paraId="2B89D540">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color w:val="auto"/>
          <w:sz w:val="21"/>
          <w:szCs w:val="21"/>
          <w:lang w:val="zh-CN"/>
        </w:rPr>
      </w:pPr>
    </w:p>
    <w:p w14:paraId="2B89D541">
      <w:pPr>
        <w:pStyle w:val="7"/>
        <w:rPr>
          <w:rFonts w:hint="eastAsia" w:ascii="宋体" w:hAnsi="宋体" w:eastAsia="宋体" w:cs="宋体"/>
          <w:color w:val="auto"/>
          <w:lang w:val="zh-CN"/>
        </w:rPr>
      </w:pPr>
    </w:p>
    <w:p w14:paraId="2B89D542">
      <w:pPr>
        <w:pStyle w:val="16"/>
        <w:ind w:firstLine="340"/>
        <w:rPr>
          <w:rFonts w:hint="eastAsia" w:ascii="宋体" w:hAnsi="宋体" w:eastAsia="宋体" w:cs="宋体"/>
          <w:color w:val="auto"/>
          <w:lang w:val="zh-CN"/>
        </w:rPr>
      </w:pPr>
    </w:p>
    <w:p w14:paraId="55109A31">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A90D41E">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18CDD55B">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78C7E094">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2603C36">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F2CD5C1">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3BB792E1">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9CDBA5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2B89D543">
      <w:pPr>
        <w:pStyle w:val="7"/>
        <w:rPr>
          <w:rFonts w:hint="eastAsia" w:ascii="宋体" w:hAnsi="宋体" w:eastAsia="宋体" w:cs="宋体"/>
          <w:color w:val="auto"/>
          <w:sz w:val="24"/>
          <w:lang w:val="zh-CN"/>
        </w:rPr>
      </w:pPr>
    </w:p>
    <w:p w14:paraId="1E8106C5">
      <w:pPr>
        <w:autoSpaceDE w:val="0"/>
        <w:autoSpaceDN w:val="0"/>
        <w:adjustRightInd w:val="0"/>
        <w:spacing w:line="360" w:lineRule="auto"/>
        <w:jc w:val="center"/>
        <w:outlineLvl w:val="0"/>
        <w:rPr>
          <w:rFonts w:ascii="宋体" w:hAnsi="宋体" w:eastAsia="宋体" w:cs="Times New Roman"/>
          <w:b/>
          <w:bCs/>
          <w:color w:val="auto"/>
          <w:sz w:val="24"/>
          <w:szCs w:val="24"/>
          <w:highlight w:val="none"/>
        </w:rPr>
      </w:pPr>
      <w:r>
        <w:rPr>
          <w:rFonts w:hint="eastAsia" w:ascii="宋体" w:hAnsi="宋体" w:eastAsia="宋体" w:cs="宋体"/>
          <w:b/>
          <w:bCs/>
          <w:color w:val="auto"/>
          <w:kern w:val="2"/>
          <w:sz w:val="24"/>
          <w:szCs w:val="24"/>
          <w:lang w:val="en-US" w:eastAsia="zh-CN" w:bidi="ar-SA"/>
        </w:rPr>
        <w:t xml:space="preserve">3.6 </w:t>
      </w:r>
      <w:r>
        <w:rPr>
          <w:rFonts w:ascii="宋体" w:hAnsi="宋体" w:eastAsia="宋体" w:cs="Times New Roman"/>
          <w:b/>
          <w:bCs/>
          <w:color w:val="auto"/>
          <w:sz w:val="24"/>
          <w:szCs w:val="24"/>
          <w:highlight w:val="none"/>
        </w:rPr>
        <w:t>中小企业声明函</w:t>
      </w:r>
    </w:p>
    <w:p w14:paraId="77E2FBA9">
      <w:pPr>
        <w:spacing w:line="360" w:lineRule="auto"/>
        <w:jc w:val="center"/>
        <w:rPr>
          <w:rFonts w:ascii="宋体" w:hAnsi="宋体" w:eastAsia="宋体" w:cs="Times New Roman"/>
          <w:b/>
          <w:bCs/>
          <w:color w:val="auto"/>
          <w:szCs w:val="21"/>
          <w:highlight w:val="none"/>
        </w:rPr>
      </w:pPr>
    </w:p>
    <w:p w14:paraId="07C028B6">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本公司郑重声明，根据《政府采购促进中小企业发展管理办法》（财库﹝2020﹞46 号）的规定，本公司参加</w:t>
      </w:r>
      <w:r>
        <w:rPr>
          <w:rFonts w:ascii="宋体" w:hAnsi="宋体" w:eastAsia="宋体" w:cs="Times New Roman"/>
          <w:i/>
          <w:color w:val="auto"/>
          <w:szCs w:val="21"/>
          <w:highlight w:val="none"/>
          <w:u w:val="single"/>
        </w:rPr>
        <w:t>（单位名称）</w:t>
      </w:r>
      <w:r>
        <w:rPr>
          <w:rFonts w:ascii="宋体" w:hAnsi="宋体" w:eastAsia="宋体" w:cs="Times New Roman"/>
          <w:color w:val="auto"/>
          <w:szCs w:val="21"/>
          <w:highlight w:val="none"/>
        </w:rPr>
        <w:t>的</w:t>
      </w:r>
      <w:r>
        <w:rPr>
          <w:rFonts w:ascii="宋体" w:hAnsi="宋体" w:eastAsia="宋体" w:cs="Times New Roman"/>
          <w:i/>
          <w:color w:val="auto"/>
          <w:szCs w:val="21"/>
          <w:highlight w:val="none"/>
          <w:u w:val="single"/>
        </w:rPr>
        <w:t>（项目名称）</w:t>
      </w:r>
      <w:r>
        <w:rPr>
          <w:rFonts w:ascii="宋体" w:hAnsi="宋体" w:eastAsia="宋体" w:cs="Times New Roman"/>
          <w:color w:val="auto"/>
          <w:szCs w:val="21"/>
          <w:highlight w:val="none"/>
        </w:rPr>
        <w:t>采购活动，提供的</w:t>
      </w:r>
      <w:r>
        <w:rPr>
          <w:rFonts w:hint="eastAsia" w:ascii="宋体" w:hAnsi="宋体" w:eastAsia="宋体" w:cs="Times New Roman"/>
          <w:color w:val="auto"/>
          <w:szCs w:val="21"/>
          <w:highlight w:val="none"/>
        </w:rPr>
        <w:t>服务</w:t>
      </w:r>
      <w:r>
        <w:rPr>
          <w:rFonts w:ascii="宋体" w:hAnsi="宋体" w:eastAsia="宋体" w:cs="Times New Roman"/>
          <w:color w:val="auto"/>
          <w:szCs w:val="21"/>
          <w:highlight w:val="none"/>
        </w:rPr>
        <w:t>全部由符合政策要求的中小企业</w:t>
      </w:r>
      <w:r>
        <w:rPr>
          <w:rFonts w:hint="eastAsia" w:ascii="宋体" w:hAnsi="宋体" w:eastAsia="宋体" w:cs="Times New Roman"/>
          <w:color w:val="auto"/>
          <w:szCs w:val="21"/>
          <w:highlight w:val="none"/>
        </w:rPr>
        <w:t>承接</w:t>
      </w:r>
      <w:r>
        <w:rPr>
          <w:rFonts w:ascii="宋体" w:hAnsi="宋体" w:eastAsia="宋体" w:cs="Times New Roman"/>
          <w:color w:val="auto"/>
          <w:szCs w:val="21"/>
          <w:highlight w:val="none"/>
        </w:rPr>
        <w:t>。</w:t>
      </w:r>
      <w:r>
        <w:rPr>
          <w:rFonts w:hint="eastAsia" w:ascii="宋体" w:hAnsi="宋体" w:eastAsia="宋体" w:cs="Times New Roman"/>
          <w:color w:val="auto"/>
          <w:szCs w:val="21"/>
          <w:highlight w:val="none"/>
        </w:rPr>
        <w:t>承接企业</w:t>
      </w:r>
      <w:r>
        <w:rPr>
          <w:rFonts w:ascii="宋体" w:hAnsi="宋体" w:eastAsia="宋体" w:cs="Times New Roman"/>
          <w:color w:val="auto"/>
          <w:szCs w:val="21"/>
          <w:highlight w:val="none"/>
        </w:rPr>
        <w:t>的具体情况如下：</w:t>
      </w:r>
    </w:p>
    <w:p w14:paraId="7C2F3A5D">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1. </w:t>
      </w:r>
      <w:r>
        <w:rPr>
          <w:rFonts w:ascii="宋体" w:hAnsi="宋体" w:eastAsia="宋体" w:cs="Times New Roman"/>
          <w:i/>
          <w:color w:val="auto"/>
          <w:szCs w:val="21"/>
          <w:highlight w:val="none"/>
          <w:u w:val="single"/>
        </w:rPr>
        <w:t>（标的名称）</w:t>
      </w:r>
      <w:r>
        <w:rPr>
          <w:rFonts w:ascii="宋体" w:hAnsi="宋体" w:eastAsia="宋体" w:cs="Times New Roman"/>
          <w:color w:val="auto"/>
          <w:szCs w:val="21"/>
          <w:highlight w:val="none"/>
        </w:rPr>
        <w:t>，属于</w:t>
      </w:r>
      <w:r>
        <w:rPr>
          <w:rFonts w:ascii="宋体" w:hAnsi="宋体" w:eastAsia="宋体" w:cs="Times New Roman"/>
          <w:i/>
          <w:color w:val="auto"/>
          <w:szCs w:val="21"/>
          <w:highlight w:val="none"/>
          <w:u w:val="single"/>
        </w:rPr>
        <w:t>（采购文件中明确的所属行业）</w:t>
      </w:r>
      <w:r>
        <w:rPr>
          <w:rFonts w:ascii="宋体" w:hAnsi="宋体" w:eastAsia="宋体" w:cs="Times New Roman"/>
          <w:color w:val="auto"/>
          <w:szCs w:val="21"/>
          <w:highlight w:val="none"/>
        </w:rPr>
        <w:t>行业；</w:t>
      </w:r>
      <w:r>
        <w:rPr>
          <w:rFonts w:hint="eastAsia" w:ascii="宋体" w:hAnsi="宋体" w:eastAsia="宋体" w:cs="Times New Roman"/>
          <w:color w:val="auto"/>
          <w:szCs w:val="21"/>
          <w:highlight w:val="none"/>
        </w:rPr>
        <w:t>承接企业</w:t>
      </w:r>
      <w:r>
        <w:rPr>
          <w:rFonts w:ascii="宋体" w:hAnsi="宋体" w:eastAsia="宋体" w:cs="Times New Roman"/>
          <w:color w:val="auto"/>
          <w:szCs w:val="21"/>
          <w:highlight w:val="none"/>
        </w:rPr>
        <w:t>为</w:t>
      </w:r>
      <w:r>
        <w:rPr>
          <w:rFonts w:ascii="宋体" w:hAnsi="宋体" w:eastAsia="宋体" w:cs="Times New Roman"/>
          <w:i/>
          <w:color w:val="auto"/>
          <w:szCs w:val="21"/>
          <w:highlight w:val="none"/>
          <w:u w:val="single"/>
        </w:rPr>
        <w:t>（企业名称）</w:t>
      </w:r>
      <w:r>
        <w:rPr>
          <w:rFonts w:ascii="宋体" w:hAnsi="宋体" w:eastAsia="宋体" w:cs="Times New Roman"/>
          <w:color w:val="auto"/>
          <w:szCs w:val="21"/>
          <w:highlight w:val="none"/>
        </w:rPr>
        <w:t>，从业人员</w:t>
      </w:r>
      <w:r>
        <w:rPr>
          <w:rFonts w:hint="eastAsia" w:ascii="宋体" w:hAnsi="宋体" w:eastAsia="宋体" w:cs="Times New Roman"/>
          <w:color w:val="auto"/>
          <w:szCs w:val="21"/>
          <w:highlight w:val="none"/>
          <w:u w:val="single"/>
          <w:lang w:val="en-US" w:eastAsia="zh-CN"/>
        </w:rPr>
        <w:t xml:space="preserve">  </w:t>
      </w:r>
      <w:r>
        <w:rPr>
          <w:rFonts w:ascii="宋体" w:hAnsi="宋体" w:eastAsia="宋体" w:cs="Times New Roman"/>
          <w:color w:val="auto"/>
          <w:szCs w:val="21"/>
          <w:highlight w:val="none"/>
        </w:rPr>
        <w:t>人，营业收入为</w:t>
      </w:r>
      <w:r>
        <w:rPr>
          <w:rFonts w:hint="eastAsia" w:ascii="宋体" w:hAnsi="宋体" w:eastAsia="宋体" w:cs="Times New Roman"/>
          <w:color w:val="auto"/>
          <w:szCs w:val="21"/>
          <w:highlight w:val="none"/>
          <w:u w:val="single"/>
          <w:lang w:val="en-US" w:eastAsia="zh-CN"/>
        </w:rPr>
        <w:t xml:space="preserve">     </w:t>
      </w:r>
      <w:r>
        <w:rPr>
          <w:rFonts w:ascii="宋体" w:hAnsi="宋体" w:eastAsia="宋体" w:cs="Times New Roman"/>
          <w:color w:val="auto"/>
          <w:szCs w:val="21"/>
          <w:highlight w:val="none"/>
        </w:rPr>
        <w:t>万元，资产总额为</w:t>
      </w:r>
      <w:r>
        <w:rPr>
          <w:rFonts w:hint="eastAsia" w:ascii="宋体" w:hAnsi="宋体" w:eastAsia="宋体" w:cs="Times New Roman"/>
          <w:color w:val="auto"/>
          <w:szCs w:val="21"/>
          <w:highlight w:val="none"/>
          <w:u w:val="single"/>
          <w:lang w:val="en-US" w:eastAsia="zh-CN"/>
        </w:rPr>
        <w:t xml:space="preserve">     </w:t>
      </w:r>
      <w:r>
        <w:rPr>
          <w:rFonts w:ascii="宋体" w:hAnsi="宋体" w:eastAsia="宋体" w:cs="Times New Roman"/>
          <w:color w:val="auto"/>
          <w:szCs w:val="21"/>
          <w:highlight w:val="none"/>
        </w:rPr>
        <w:t>万元，属于</w:t>
      </w:r>
      <w:r>
        <w:rPr>
          <w:rFonts w:ascii="宋体" w:hAnsi="宋体" w:eastAsia="宋体" w:cs="Times New Roman"/>
          <w:i/>
          <w:color w:val="auto"/>
          <w:szCs w:val="21"/>
          <w:highlight w:val="none"/>
          <w:u w:val="single"/>
        </w:rPr>
        <w:t>（中型企业、小型企业、微型企业）</w:t>
      </w:r>
      <w:r>
        <w:rPr>
          <w:rFonts w:ascii="宋体" w:hAnsi="宋体" w:eastAsia="宋体" w:cs="Times New Roman"/>
          <w:color w:val="auto"/>
          <w:szCs w:val="21"/>
          <w:highlight w:val="none"/>
        </w:rPr>
        <w:t>；</w:t>
      </w:r>
    </w:p>
    <w:p w14:paraId="3FD02E83">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 xml:space="preserve">…… </w:t>
      </w:r>
    </w:p>
    <w:p w14:paraId="49FE6494">
      <w:pPr>
        <w:spacing w:line="360" w:lineRule="auto"/>
        <w:ind w:firstLine="707" w:firstLineChars="337"/>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以上企业，不属于大企业的分支机构，不存在控股股东为大企业的情形，也不存在与大企业的负责人为同一人的情形。本企业对上述声明内容的真实性负责。如有虚假，将依法承担相应责任。</w:t>
      </w:r>
    </w:p>
    <w:p w14:paraId="1309FA7C">
      <w:pPr>
        <w:spacing w:line="480" w:lineRule="auto"/>
        <w:ind w:firstLine="5957" w:firstLineChars="2837"/>
        <w:jc w:val="left"/>
        <w:rPr>
          <w:color w:val="auto"/>
          <w:highlight w:val="none"/>
        </w:rPr>
      </w:pPr>
      <w:r>
        <w:rPr>
          <w:rFonts w:hint="eastAsia"/>
          <w:color w:val="auto"/>
          <w:highlight w:val="none"/>
        </w:rPr>
        <w:t>投标人</w:t>
      </w:r>
      <w:r>
        <w:rPr>
          <w:color w:val="auto"/>
          <w:highlight w:val="none"/>
        </w:rPr>
        <w:t>名称（盖章）：</w:t>
      </w:r>
    </w:p>
    <w:p w14:paraId="5B255D6C">
      <w:pPr>
        <w:spacing w:line="480" w:lineRule="auto"/>
        <w:ind w:firstLine="5617" w:firstLineChars="2675"/>
        <w:rPr>
          <w:rFonts w:cs="Arial" w:asciiTheme="minorEastAsia" w:hAnsiTheme="minorEastAsia"/>
          <w:color w:val="auto"/>
          <w:szCs w:val="21"/>
          <w:highlight w:val="none"/>
        </w:rPr>
      </w:pPr>
      <w:r>
        <w:rPr>
          <w:rFonts w:hint="eastAsia" w:cs="Arial" w:asciiTheme="minorEastAsia" w:hAnsiTheme="minorEastAsia"/>
          <w:color w:val="auto"/>
          <w:szCs w:val="21"/>
          <w:highlight w:val="none"/>
        </w:rPr>
        <w:t>日期：  年    月    日</w:t>
      </w:r>
    </w:p>
    <w:p w14:paraId="63ED850B">
      <w:pPr>
        <w:widowControl/>
        <w:spacing w:before="100" w:beforeAutospacing="1" w:after="100" w:afterAutospacing="1" w:line="360" w:lineRule="auto"/>
        <w:contextualSpacing/>
        <w:jc w:val="left"/>
        <w:rPr>
          <w:rFonts w:ascii="宋体" w:hAnsi="宋体"/>
          <w:color w:val="auto"/>
          <w:szCs w:val="21"/>
          <w:highlight w:val="none"/>
        </w:rPr>
      </w:pPr>
      <w:r>
        <w:rPr>
          <w:rFonts w:hint="eastAsia" w:ascii="宋体" w:hAnsi="宋体"/>
          <w:color w:val="auto"/>
          <w:szCs w:val="21"/>
          <w:highlight w:val="none"/>
        </w:rPr>
        <w:t>说明：</w:t>
      </w:r>
    </w:p>
    <w:p w14:paraId="747B06E2">
      <w:pPr>
        <w:widowControl/>
        <w:spacing w:before="100" w:beforeAutospacing="1" w:after="100" w:afterAutospacing="1" w:line="360" w:lineRule="auto"/>
        <w:contextualSpacing/>
        <w:jc w:val="left"/>
        <w:rPr>
          <w:rFonts w:ascii="宋体" w:hAnsi="宋体" w:cs="Arial"/>
          <w:color w:val="auto"/>
          <w:kern w:val="0"/>
          <w:szCs w:val="21"/>
          <w:highlight w:val="none"/>
        </w:rPr>
      </w:pPr>
      <w:r>
        <w:rPr>
          <w:rFonts w:hint="eastAsia" w:ascii="宋体" w:hAnsi="宋体" w:cs="Arial"/>
          <w:color w:val="auto"/>
          <w:kern w:val="0"/>
          <w:szCs w:val="21"/>
          <w:highlight w:val="none"/>
          <w:lang w:eastAsia="zh-CN"/>
        </w:rPr>
        <w:t>1.</w:t>
      </w:r>
      <w:r>
        <w:rPr>
          <w:color w:val="auto"/>
          <w:highlight w:val="none"/>
        </w:rPr>
        <w:t>从业人员、营业收入、资产总额填报上一年度数据，无上一年度数据的新成立企业可不填报。</w:t>
      </w:r>
    </w:p>
    <w:p w14:paraId="0FED4B4E">
      <w:pPr>
        <w:widowControl/>
        <w:spacing w:before="100" w:beforeAutospacing="1" w:after="100" w:afterAutospacing="1" w:line="360" w:lineRule="auto"/>
        <w:contextualSpacing/>
        <w:jc w:val="left"/>
        <w:rPr>
          <w:rFonts w:ascii="宋体" w:hAnsi="宋体" w:cs="Arial"/>
          <w:color w:val="auto"/>
          <w:kern w:val="0"/>
          <w:szCs w:val="21"/>
          <w:highlight w:val="none"/>
        </w:rPr>
      </w:pPr>
      <w:r>
        <w:rPr>
          <w:rFonts w:hint="eastAsia" w:ascii="宋体" w:hAnsi="宋体" w:cs="Arial"/>
          <w:color w:val="auto"/>
          <w:kern w:val="0"/>
          <w:szCs w:val="21"/>
          <w:highlight w:val="none"/>
          <w:lang w:eastAsia="zh-CN"/>
        </w:rPr>
        <w:t>2.</w:t>
      </w:r>
      <w:r>
        <w:rPr>
          <w:rFonts w:ascii="宋体" w:hAnsi="宋体" w:cs="Arial"/>
          <w:color w:val="auto"/>
          <w:kern w:val="0"/>
          <w:szCs w:val="21"/>
          <w:highlight w:val="none"/>
        </w:rPr>
        <w:t>中小企业参加政府采购活动，应当出具</w:t>
      </w:r>
      <w:r>
        <w:rPr>
          <w:color w:val="auto"/>
          <w:highlight w:val="none"/>
        </w:rPr>
        <w:t>《中小企业声明函》，否则不得享受相关中小企业扶持政</w:t>
      </w:r>
      <w:r>
        <w:rPr>
          <w:rFonts w:ascii="宋体" w:hAnsi="宋体" w:cs="Arial"/>
          <w:color w:val="auto"/>
          <w:kern w:val="0"/>
          <w:szCs w:val="21"/>
          <w:highlight w:val="none"/>
        </w:rPr>
        <w:t>策。</w:t>
      </w:r>
    </w:p>
    <w:p w14:paraId="7C4AB0A7">
      <w:pPr>
        <w:pStyle w:val="16"/>
        <w:ind w:firstLine="340"/>
        <w:rPr>
          <w:rFonts w:hint="eastAsia"/>
          <w:color w:val="auto"/>
          <w:highlight w:val="none"/>
        </w:rPr>
      </w:pPr>
    </w:p>
    <w:p w14:paraId="0FA4CF9F">
      <w:pPr>
        <w:rPr>
          <w:rFonts w:hint="eastAsia" w:ascii="宋体" w:hAnsi="宋体" w:eastAsia="宋体" w:cs="宋体"/>
          <w:color w:val="auto"/>
        </w:rPr>
      </w:pPr>
    </w:p>
    <w:p w14:paraId="66DD1A39">
      <w:pPr>
        <w:rPr>
          <w:rFonts w:hint="eastAsia" w:ascii="宋体" w:hAnsi="宋体" w:eastAsia="宋体" w:cs="宋体"/>
          <w:color w:val="auto"/>
        </w:rPr>
      </w:pPr>
    </w:p>
    <w:p w14:paraId="5E78DE7E">
      <w:pPr>
        <w:rPr>
          <w:rFonts w:hint="eastAsia" w:ascii="宋体" w:hAnsi="宋体" w:eastAsia="宋体" w:cs="宋体"/>
          <w:color w:val="auto"/>
        </w:rPr>
      </w:pPr>
    </w:p>
    <w:p w14:paraId="343587CF">
      <w:pPr>
        <w:ind w:firstLine="2715" w:firstLineChars="1127"/>
        <w:rPr>
          <w:rFonts w:hint="eastAsia" w:ascii="宋体" w:hAnsi="宋体" w:eastAsia="宋体" w:cs="宋体"/>
          <w:b/>
          <w:bCs/>
          <w:color w:val="auto"/>
          <w:sz w:val="24"/>
          <w:szCs w:val="24"/>
          <w:lang w:val="en-US" w:eastAsia="zh-CN"/>
        </w:rPr>
      </w:pPr>
    </w:p>
    <w:p w14:paraId="60D879DB">
      <w:pPr>
        <w:ind w:firstLine="2715" w:firstLineChars="1127"/>
        <w:rPr>
          <w:rFonts w:hint="eastAsia" w:ascii="宋体" w:hAnsi="宋体" w:eastAsia="宋体" w:cs="宋体"/>
          <w:b/>
          <w:bCs/>
          <w:color w:val="auto"/>
          <w:sz w:val="24"/>
          <w:szCs w:val="24"/>
          <w:lang w:val="en-US" w:eastAsia="zh-CN"/>
        </w:rPr>
      </w:pPr>
    </w:p>
    <w:p w14:paraId="02BD2D19">
      <w:pPr>
        <w:ind w:firstLine="2715" w:firstLineChars="1127"/>
        <w:rPr>
          <w:rFonts w:hint="eastAsia" w:ascii="宋体" w:hAnsi="宋体" w:eastAsia="宋体" w:cs="宋体"/>
          <w:b/>
          <w:bCs/>
          <w:color w:val="auto"/>
          <w:sz w:val="24"/>
          <w:szCs w:val="24"/>
          <w:lang w:val="en-US" w:eastAsia="zh-CN"/>
        </w:rPr>
      </w:pPr>
    </w:p>
    <w:p w14:paraId="25AC30A2">
      <w:pPr>
        <w:ind w:firstLine="2715" w:firstLineChars="1127"/>
        <w:rPr>
          <w:rFonts w:hint="eastAsia" w:ascii="宋体" w:hAnsi="宋体" w:eastAsia="宋体" w:cs="宋体"/>
          <w:b/>
          <w:bCs/>
          <w:color w:val="auto"/>
          <w:sz w:val="24"/>
          <w:szCs w:val="24"/>
          <w:lang w:val="en-US" w:eastAsia="zh-CN"/>
        </w:rPr>
      </w:pPr>
    </w:p>
    <w:p w14:paraId="63327958">
      <w:pPr>
        <w:ind w:firstLine="2715" w:firstLineChars="1127"/>
        <w:rPr>
          <w:rFonts w:hint="eastAsia" w:ascii="宋体" w:hAnsi="宋体" w:eastAsia="宋体" w:cs="宋体"/>
          <w:b/>
          <w:bCs/>
          <w:color w:val="auto"/>
          <w:sz w:val="24"/>
          <w:szCs w:val="24"/>
          <w:lang w:val="en-US" w:eastAsia="zh-CN"/>
        </w:rPr>
      </w:pPr>
    </w:p>
    <w:p w14:paraId="6B482F9F">
      <w:pPr>
        <w:ind w:firstLine="2715" w:firstLineChars="1127"/>
        <w:rPr>
          <w:rFonts w:hint="eastAsia" w:ascii="宋体" w:hAnsi="宋体" w:eastAsia="宋体" w:cs="宋体"/>
          <w:b/>
          <w:bCs/>
          <w:color w:val="auto"/>
          <w:sz w:val="24"/>
          <w:szCs w:val="24"/>
          <w:lang w:val="en-US" w:eastAsia="zh-CN"/>
        </w:rPr>
      </w:pPr>
    </w:p>
    <w:p w14:paraId="01F54043">
      <w:pPr>
        <w:ind w:firstLine="2715" w:firstLineChars="1127"/>
        <w:rPr>
          <w:rFonts w:hint="eastAsia" w:ascii="宋体" w:hAnsi="宋体" w:eastAsia="宋体" w:cs="宋体"/>
          <w:b/>
          <w:bCs/>
          <w:color w:val="auto"/>
          <w:sz w:val="24"/>
          <w:szCs w:val="24"/>
          <w:lang w:val="en-US" w:eastAsia="zh-CN"/>
        </w:rPr>
      </w:pPr>
    </w:p>
    <w:p w14:paraId="61109E76">
      <w:pPr>
        <w:ind w:firstLine="2715" w:firstLineChars="1127"/>
        <w:rPr>
          <w:rFonts w:hint="eastAsia" w:ascii="宋体" w:hAnsi="宋体" w:eastAsia="宋体" w:cs="宋体"/>
          <w:b/>
          <w:bCs/>
          <w:color w:val="auto"/>
          <w:sz w:val="24"/>
          <w:szCs w:val="24"/>
          <w:lang w:val="en-US" w:eastAsia="zh-CN"/>
        </w:rPr>
      </w:pPr>
    </w:p>
    <w:p w14:paraId="665C3800">
      <w:pPr>
        <w:ind w:firstLine="2715" w:firstLineChars="1127"/>
        <w:rPr>
          <w:rFonts w:hint="eastAsia" w:ascii="宋体" w:hAnsi="宋体" w:eastAsia="宋体" w:cs="宋体"/>
          <w:b/>
          <w:bCs/>
          <w:color w:val="auto"/>
          <w:sz w:val="24"/>
          <w:szCs w:val="24"/>
          <w:lang w:val="en-US" w:eastAsia="zh-CN"/>
        </w:rPr>
      </w:pPr>
    </w:p>
    <w:p w14:paraId="1CD221A8">
      <w:pPr>
        <w:ind w:firstLine="2715" w:firstLineChars="1127"/>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3.7 </w:t>
      </w:r>
      <w:r>
        <w:rPr>
          <w:rFonts w:hint="eastAsia" w:ascii="宋体" w:hAnsi="宋体" w:eastAsia="宋体" w:cs="宋体"/>
          <w:b/>
          <w:bCs/>
          <w:color w:val="auto"/>
          <w:sz w:val="24"/>
          <w:szCs w:val="24"/>
        </w:rPr>
        <w:t>残疾人福利性单位声明函</w:t>
      </w:r>
    </w:p>
    <w:p w14:paraId="744C4876">
      <w:pPr>
        <w:rPr>
          <w:rFonts w:hint="eastAsia" w:ascii="宋体" w:hAnsi="宋体" w:eastAsia="宋体" w:cs="宋体"/>
          <w:color w:val="auto"/>
          <w:szCs w:val="21"/>
        </w:rPr>
      </w:pPr>
    </w:p>
    <w:p w14:paraId="25B42A8B">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3A89366">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本单位对上述声明的真实性负责。如有虚假，将依法承担相应责任。</w:t>
      </w:r>
    </w:p>
    <w:p w14:paraId="09D5FD10">
      <w:pPr>
        <w:spacing w:line="360" w:lineRule="auto"/>
        <w:ind w:firstLine="420" w:firstLineChars="200"/>
        <w:rPr>
          <w:rFonts w:hint="eastAsia" w:ascii="宋体" w:hAnsi="宋体" w:eastAsia="宋体" w:cs="宋体"/>
          <w:color w:val="auto"/>
          <w:szCs w:val="21"/>
        </w:rPr>
      </w:pPr>
    </w:p>
    <w:p w14:paraId="04A2554F">
      <w:pPr>
        <w:spacing w:line="360" w:lineRule="auto"/>
        <w:ind w:firstLine="420" w:firstLineChars="200"/>
        <w:rPr>
          <w:rFonts w:hint="eastAsia" w:ascii="宋体" w:hAnsi="宋体" w:eastAsia="宋体" w:cs="宋体"/>
          <w:color w:val="auto"/>
          <w:szCs w:val="21"/>
        </w:rPr>
      </w:pPr>
    </w:p>
    <w:p w14:paraId="164C41D5">
      <w:pPr>
        <w:spacing w:line="360" w:lineRule="auto"/>
        <w:ind w:firstLine="420" w:firstLineChars="200"/>
        <w:rPr>
          <w:rFonts w:hint="eastAsia" w:ascii="宋体" w:hAnsi="宋体" w:eastAsia="宋体" w:cs="宋体"/>
          <w:color w:val="auto"/>
          <w:szCs w:val="21"/>
        </w:rPr>
      </w:pPr>
    </w:p>
    <w:p w14:paraId="6668781F">
      <w:pPr>
        <w:spacing w:line="360" w:lineRule="auto"/>
        <w:ind w:firstLine="420" w:firstLineChars="200"/>
        <w:jc w:val="right"/>
        <w:rPr>
          <w:rFonts w:hint="eastAsia" w:ascii="宋体" w:hAnsi="宋体" w:eastAsia="宋体" w:cs="宋体"/>
          <w:color w:val="auto"/>
          <w:szCs w:val="21"/>
        </w:rPr>
      </w:pPr>
      <w:r>
        <w:rPr>
          <w:rFonts w:hint="eastAsia" w:ascii="宋体" w:hAnsi="宋体" w:eastAsia="宋体" w:cs="宋体"/>
          <w:color w:val="auto"/>
          <w:szCs w:val="21"/>
        </w:rPr>
        <w:t>单位名称（盖章）：</w:t>
      </w:r>
    </w:p>
    <w:p w14:paraId="2DAEA893">
      <w:pPr>
        <w:spacing w:line="360" w:lineRule="auto"/>
        <w:ind w:firstLine="420" w:firstLineChars="200"/>
        <w:jc w:val="right"/>
        <w:rPr>
          <w:rFonts w:hint="eastAsia" w:ascii="宋体" w:hAnsi="宋体" w:eastAsia="宋体" w:cs="宋体"/>
          <w:color w:val="auto"/>
          <w:szCs w:val="21"/>
        </w:rPr>
      </w:pPr>
      <w:r>
        <w:rPr>
          <w:rFonts w:hint="eastAsia" w:ascii="宋体" w:hAnsi="宋体" w:eastAsia="宋体" w:cs="宋体"/>
          <w:color w:val="auto"/>
          <w:szCs w:val="21"/>
        </w:rPr>
        <w:t xml:space="preserve"> 日    期：      年    月    日</w:t>
      </w:r>
    </w:p>
    <w:p w14:paraId="12586A5C">
      <w:pPr>
        <w:pStyle w:val="7"/>
        <w:jc w:val="right"/>
        <w:rPr>
          <w:rFonts w:hint="eastAsia" w:ascii="宋体" w:hAnsi="宋体" w:eastAsia="宋体" w:cs="宋体"/>
          <w:color w:val="auto"/>
          <w:sz w:val="24"/>
          <w:lang w:val="zh-CN"/>
        </w:rPr>
      </w:pPr>
    </w:p>
    <w:p w14:paraId="7CFA823B">
      <w:pPr>
        <w:pStyle w:val="7"/>
        <w:jc w:val="right"/>
        <w:rPr>
          <w:rFonts w:hint="eastAsia" w:ascii="宋体" w:hAnsi="宋体" w:eastAsia="宋体" w:cs="宋体"/>
          <w:color w:val="auto"/>
          <w:sz w:val="24"/>
          <w:lang w:val="zh-CN"/>
        </w:rPr>
      </w:pPr>
    </w:p>
    <w:p w14:paraId="28CB0975">
      <w:pPr>
        <w:pStyle w:val="7"/>
        <w:jc w:val="right"/>
        <w:rPr>
          <w:rFonts w:hint="eastAsia" w:ascii="宋体" w:hAnsi="宋体" w:eastAsia="宋体" w:cs="宋体"/>
          <w:color w:val="auto"/>
          <w:sz w:val="24"/>
          <w:lang w:val="zh-CN"/>
        </w:rPr>
      </w:pPr>
    </w:p>
    <w:p w14:paraId="4C2FA292">
      <w:pPr>
        <w:pStyle w:val="7"/>
        <w:jc w:val="right"/>
        <w:rPr>
          <w:rFonts w:hint="eastAsia" w:ascii="宋体" w:hAnsi="宋体" w:eastAsia="宋体" w:cs="宋体"/>
          <w:color w:val="auto"/>
          <w:sz w:val="24"/>
          <w:lang w:val="zh-CN"/>
        </w:rPr>
      </w:pPr>
    </w:p>
    <w:p w14:paraId="51D6684C">
      <w:pPr>
        <w:pStyle w:val="7"/>
        <w:jc w:val="right"/>
        <w:rPr>
          <w:rFonts w:hint="eastAsia" w:ascii="宋体" w:hAnsi="宋体" w:eastAsia="宋体" w:cs="宋体"/>
          <w:color w:val="auto"/>
          <w:sz w:val="24"/>
          <w:lang w:val="zh-CN"/>
        </w:rPr>
      </w:pPr>
    </w:p>
    <w:p w14:paraId="2B89D544">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 xml:space="preserve">投标人提供与参加本项目投标的其他供应商之间，单位负责人不为同一人并且不存在直接控股、管理关系承诺函 </w:t>
      </w:r>
    </w:p>
    <w:p w14:paraId="2B89D545">
      <w:pPr>
        <w:pStyle w:val="15"/>
        <w:widowControl/>
        <w:spacing w:beforeAutospacing="1" w:afterAutospacing="1" w:line="27" w:lineRule="atLeast"/>
        <w:jc w:val="center"/>
        <w:rPr>
          <w:rFonts w:hint="eastAsia" w:ascii="宋体" w:hAnsi="宋体" w:eastAsia="宋体" w:cs="宋体"/>
          <w:color w:val="auto"/>
        </w:rPr>
      </w:pPr>
      <w:r>
        <w:rPr>
          <w:rFonts w:hint="eastAsia" w:ascii="宋体" w:hAnsi="宋体" w:eastAsia="宋体" w:cs="宋体"/>
          <w:color w:val="auto"/>
        </w:rPr>
        <w:t>（承诺函格式自拟）</w:t>
      </w:r>
    </w:p>
    <w:p w14:paraId="2B89D546">
      <w:pPr>
        <w:pStyle w:val="15"/>
        <w:widowControl/>
        <w:spacing w:beforeAutospacing="1" w:afterAutospacing="1"/>
        <w:rPr>
          <w:rFonts w:hint="eastAsia" w:ascii="宋体" w:hAnsi="宋体" w:eastAsia="宋体" w:cs="宋体"/>
          <w:color w:val="auto"/>
        </w:rPr>
      </w:pPr>
    </w:p>
    <w:p w14:paraId="2B89D547">
      <w:pPr>
        <w:pStyle w:val="15"/>
        <w:widowControl/>
        <w:spacing w:beforeAutospacing="1" w:afterAutospacing="1"/>
        <w:rPr>
          <w:rFonts w:hint="eastAsia" w:ascii="宋体" w:hAnsi="宋体" w:eastAsia="宋体" w:cs="宋体"/>
          <w:color w:val="auto"/>
        </w:rPr>
      </w:pPr>
    </w:p>
    <w:p w14:paraId="4FF702BA">
      <w:pPr>
        <w:pStyle w:val="15"/>
        <w:widowControl/>
        <w:spacing w:beforeAutospacing="1" w:afterAutospacing="1"/>
        <w:rPr>
          <w:rFonts w:hint="eastAsia" w:ascii="宋体" w:hAnsi="宋体" w:eastAsia="宋体" w:cs="宋体"/>
          <w:color w:val="auto"/>
        </w:rPr>
      </w:pPr>
    </w:p>
    <w:p w14:paraId="2F6300E4">
      <w:pPr>
        <w:pStyle w:val="15"/>
        <w:widowControl/>
        <w:spacing w:beforeAutospacing="1" w:afterAutospacing="1"/>
        <w:rPr>
          <w:rFonts w:hint="eastAsia" w:ascii="宋体" w:hAnsi="宋体" w:eastAsia="宋体" w:cs="宋体"/>
          <w:color w:val="auto"/>
        </w:rPr>
      </w:pPr>
    </w:p>
    <w:p w14:paraId="7003CCB0">
      <w:pPr>
        <w:pStyle w:val="15"/>
        <w:widowControl/>
        <w:spacing w:beforeAutospacing="1" w:afterAutospacing="1"/>
        <w:rPr>
          <w:rFonts w:hint="eastAsia" w:ascii="宋体" w:hAnsi="宋体" w:eastAsia="宋体" w:cs="宋体"/>
          <w:color w:val="auto"/>
        </w:rPr>
      </w:pPr>
    </w:p>
    <w:p w14:paraId="0AE2FCC9">
      <w:pPr>
        <w:pStyle w:val="15"/>
        <w:widowControl/>
        <w:spacing w:beforeAutospacing="1" w:afterAutospacing="1"/>
        <w:rPr>
          <w:rFonts w:hint="eastAsia" w:ascii="宋体" w:hAnsi="宋体" w:eastAsia="宋体" w:cs="宋体"/>
          <w:color w:val="auto"/>
        </w:rPr>
      </w:pPr>
    </w:p>
    <w:p w14:paraId="3BC14D00">
      <w:pPr>
        <w:pStyle w:val="15"/>
        <w:widowControl/>
        <w:spacing w:beforeAutospacing="1" w:afterAutospacing="1"/>
        <w:rPr>
          <w:rFonts w:hint="eastAsia" w:ascii="宋体" w:hAnsi="宋体" w:eastAsia="宋体" w:cs="宋体"/>
          <w:color w:val="auto"/>
        </w:rPr>
      </w:pPr>
    </w:p>
    <w:p w14:paraId="2B89D548">
      <w:pPr>
        <w:pStyle w:val="15"/>
        <w:widowControl/>
        <w:spacing w:beforeAutospacing="1" w:afterAutospacing="1"/>
        <w:rPr>
          <w:rFonts w:hint="eastAsia" w:ascii="宋体" w:hAnsi="宋体" w:eastAsia="宋体" w:cs="宋体"/>
          <w:color w:val="auto"/>
        </w:rPr>
      </w:pPr>
    </w:p>
    <w:p w14:paraId="2B89D549">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 xml:space="preserve">投标人提供未为本项目提供整体设计、规范编制或者项目管理、监理、检测等服务承诺函 </w:t>
      </w:r>
    </w:p>
    <w:p w14:paraId="2B89D54A">
      <w:pPr>
        <w:autoSpaceDE w:val="0"/>
        <w:autoSpaceDN w:val="0"/>
        <w:adjustRightInd w:val="0"/>
        <w:spacing w:line="360" w:lineRule="auto"/>
        <w:jc w:val="center"/>
        <w:outlineLvl w:val="0"/>
        <w:rPr>
          <w:rFonts w:hint="eastAsia" w:ascii="宋体" w:hAnsi="宋体" w:eastAsia="宋体" w:cs="宋体"/>
          <w:color w:val="auto"/>
        </w:rPr>
      </w:pPr>
      <w:r>
        <w:rPr>
          <w:rFonts w:hint="eastAsia" w:ascii="宋体" w:hAnsi="宋体" w:eastAsia="宋体" w:cs="宋体"/>
          <w:color w:val="auto"/>
          <w:sz w:val="24"/>
          <w:szCs w:val="24"/>
        </w:rPr>
        <w:t>（承诺函格式自拟）</w:t>
      </w:r>
    </w:p>
    <w:p w14:paraId="2B89D54B">
      <w:pPr>
        <w:pStyle w:val="7"/>
        <w:rPr>
          <w:rFonts w:hint="eastAsia" w:ascii="宋体" w:hAnsi="宋体" w:eastAsia="宋体" w:cs="宋体"/>
          <w:color w:val="auto"/>
          <w:sz w:val="24"/>
          <w:lang w:val="zh-CN"/>
        </w:rPr>
      </w:pPr>
    </w:p>
    <w:p w14:paraId="2B89D54C">
      <w:pPr>
        <w:pStyle w:val="7"/>
        <w:rPr>
          <w:rFonts w:hint="eastAsia" w:ascii="宋体" w:hAnsi="宋体" w:eastAsia="宋体" w:cs="宋体"/>
          <w:b/>
          <w:bCs/>
          <w:color w:val="auto"/>
          <w:kern w:val="2"/>
          <w:sz w:val="24"/>
          <w:szCs w:val="24"/>
          <w:lang w:val="zh-CN" w:eastAsia="zh-CN" w:bidi="ar-SA"/>
        </w:rPr>
      </w:pPr>
    </w:p>
    <w:p w14:paraId="2B89D568">
      <w:pPr>
        <w:pStyle w:val="7"/>
        <w:rPr>
          <w:rFonts w:hint="eastAsia" w:ascii="宋体" w:hAnsi="宋体" w:eastAsia="宋体" w:cs="宋体"/>
          <w:color w:val="auto"/>
          <w:sz w:val="24"/>
          <w:lang w:val="zh-CN"/>
        </w:rPr>
      </w:pPr>
    </w:p>
    <w:p w14:paraId="2B89D569">
      <w:pPr>
        <w:pStyle w:val="7"/>
        <w:rPr>
          <w:rFonts w:hint="eastAsia" w:ascii="宋体" w:hAnsi="宋体" w:eastAsia="宋体" w:cs="宋体"/>
          <w:color w:val="auto"/>
          <w:sz w:val="24"/>
          <w:lang w:val="zh-CN"/>
        </w:rPr>
      </w:pPr>
    </w:p>
    <w:p w14:paraId="2B89D56A">
      <w:pPr>
        <w:pStyle w:val="7"/>
        <w:rPr>
          <w:rFonts w:hint="eastAsia" w:ascii="宋体" w:hAnsi="宋体" w:eastAsia="宋体" w:cs="宋体"/>
          <w:color w:val="auto"/>
          <w:sz w:val="24"/>
          <w:lang w:val="zh-CN"/>
        </w:rPr>
      </w:pPr>
    </w:p>
    <w:p w14:paraId="2B89D56B">
      <w:pPr>
        <w:pStyle w:val="7"/>
        <w:rPr>
          <w:rFonts w:hint="eastAsia" w:ascii="宋体" w:hAnsi="宋体" w:eastAsia="宋体" w:cs="宋体"/>
          <w:color w:val="auto"/>
          <w:sz w:val="24"/>
          <w:lang w:val="zh-CN"/>
        </w:rPr>
      </w:pPr>
    </w:p>
    <w:p w14:paraId="2B89D56C">
      <w:pPr>
        <w:pStyle w:val="7"/>
        <w:rPr>
          <w:rFonts w:hint="eastAsia" w:ascii="宋体" w:hAnsi="宋体" w:eastAsia="宋体" w:cs="宋体"/>
          <w:color w:val="auto"/>
          <w:sz w:val="24"/>
          <w:lang w:val="zh-CN"/>
        </w:rPr>
      </w:pPr>
    </w:p>
    <w:p w14:paraId="2B89D56D">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10</w:t>
      </w:r>
      <w:r>
        <w:rPr>
          <w:rFonts w:hint="eastAsia" w:ascii="宋体" w:hAnsi="宋体" w:eastAsia="宋体" w:cs="宋体"/>
          <w:b/>
          <w:bCs/>
          <w:color w:val="auto"/>
          <w:sz w:val="24"/>
          <w:szCs w:val="24"/>
        </w:rPr>
        <w:t xml:space="preserve">其他资格证书或材料 </w:t>
      </w:r>
    </w:p>
    <w:p w14:paraId="2B89D56E">
      <w:pPr>
        <w:autoSpaceDE w:val="0"/>
        <w:autoSpaceDN w:val="0"/>
        <w:adjustRightInd w:val="0"/>
        <w:spacing w:line="360" w:lineRule="auto"/>
        <w:rPr>
          <w:rFonts w:hint="eastAsia" w:ascii="宋体" w:hAnsi="宋体" w:eastAsia="宋体" w:cs="宋体"/>
          <w:b/>
          <w:bCs/>
          <w:color w:val="auto"/>
          <w:sz w:val="28"/>
          <w:szCs w:val="28"/>
          <w:lang w:val="zh-CN"/>
        </w:rPr>
      </w:pPr>
    </w:p>
    <w:p w14:paraId="2B89D56F">
      <w:pPr>
        <w:pStyle w:val="7"/>
        <w:rPr>
          <w:rFonts w:hint="eastAsia" w:ascii="宋体" w:hAnsi="宋体" w:eastAsia="宋体" w:cs="宋体"/>
          <w:color w:val="auto"/>
          <w:lang w:val="zh-CN"/>
        </w:rPr>
      </w:pPr>
    </w:p>
    <w:p w14:paraId="2B89D570">
      <w:pPr>
        <w:pStyle w:val="7"/>
        <w:rPr>
          <w:rFonts w:hint="eastAsia" w:ascii="宋体" w:hAnsi="宋体" w:eastAsia="宋体" w:cs="宋体"/>
          <w:color w:val="auto"/>
          <w:lang w:val="zh-CN"/>
        </w:rPr>
      </w:pPr>
    </w:p>
    <w:p w14:paraId="2B89D571">
      <w:pPr>
        <w:pStyle w:val="7"/>
        <w:rPr>
          <w:rFonts w:hint="eastAsia" w:ascii="宋体" w:hAnsi="宋体" w:eastAsia="宋体" w:cs="宋体"/>
          <w:color w:val="auto"/>
          <w:lang w:val="zh-CN"/>
        </w:rPr>
      </w:pPr>
    </w:p>
    <w:p w14:paraId="2B89D577">
      <w:pPr>
        <w:pStyle w:val="7"/>
        <w:rPr>
          <w:rFonts w:hint="eastAsia" w:ascii="宋体" w:hAnsi="宋体" w:eastAsia="宋体" w:cs="宋体"/>
          <w:color w:val="auto"/>
          <w:lang w:val="zh-CN"/>
        </w:rPr>
      </w:pPr>
    </w:p>
    <w:p w14:paraId="2567C1CA">
      <w:pPr>
        <w:pStyle w:val="7"/>
        <w:rPr>
          <w:rFonts w:hint="eastAsia" w:ascii="宋体" w:hAnsi="宋体" w:eastAsia="宋体" w:cs="宋体"/>
          <w:color w:val="auto"/>
          <w:lang w:val="zh-CN"/>
        </w:rPr>
      </w:pPr>
    </w:p>
    <w:p w14:paraId="4C6734F3">
      <w:pPr>
        <w:pStyle w:val="7"/>
        <w:rPr>
          <w:rFonts w:hint="eastAsia" w:ascii="宋体" w:hAnsi="宋体" w:eastAsia="宋体" w:cs="宋体"/>
          <w:color w:val="auto"/>
          <w:lang w:val="zh-CN"/>
        </w:rPr>
      </w:pPr>
    </w:p>
    <w:p w14:paraId="38CCFA85">
      <w:pPr>
        <w:pStyle w:val="7"/>
        <w:rPr>
          <w:rFonts w:hint="eastAsia" w:ascii="宋体" w:hAnsi="宋体" w:eastAsia="宋体" w:cs="宋体"/>
          <w:color w:val="auto"/>
          <w:lang w:val="zh-CN"/>
        </w:rPr>
      </w:pPr>
    </w:p>
    <w:p w14:paraId="72460A6D">
      <w:pPr>
        <w:pStyle w:val="7"/>
        <w:rPr>
          <w:rFonts w:hint="eastAsia" w:ascii="宋体" w:hAnsi="宋体" w:eastAsia="宋体" w:cs="宋体"/>
          <w:color w:val="auto"/>
          <w:lang w:val="zh-CN"/>
        </w:rPr>
      </w:pPr>
    </w:p>
    <w:p w14:paraId="1EFE4658">
      <w:pPr>
        <w:pStyle w:val="7"/>
        <w:rPr>
          <w:rFonts w:hint="eastAsia" w:ascii="宋体" w:hAnsi="宋体" w:eastAsia="宋体" w:cs="宋体"/>
          <w:color w:val="auto"/>
          <w:lang w:val="zh-CN"/>
        </w:rPr>
      </w:pPr>
    </w:p>
    <w:p w14:paraId="154E10C5">
      <w:pPr>
        <w:pStyle w:val="7"/>
        <w:rPr>
          <w:rFonts w:hint="eastAsia" w:ascii="宋体" w:hAnsi="宋体" w:eastAsia="宋体" w:cs="宋体"/>
          <w:color w:val="auto"/>
          <w:lang w:val="zh-CN"/>
        </w:rPr>
      </w:pPr>
    </w:p>
    <w:p w14:paraId="1FCD41E4">
      <w:pPr>
        <w:pStyle w:val="7"/>
        <w:rPr>
          <w:rFonts w:hint="eastAsia" w:ascii="宋体" w:hAnsi="宋体" w:eastAsia="宋体" w:cs="宋体"/>
          <w:color w:val="auto"/>
          <w:lang w:val="zh-CN"/>
        </w:rPr>
      </w:pPr>
    </w:p>
    <w:p w14:paraId="186DF22E">
      <w:pPr>
        <w:pStyle w:val="7"/>
        <w:rPr>
          <w:rFonts w:hint="eastAsia" w:ascii="宋体" w:hAnsi="宋体" w:eastAsia="宋体" w:cs="宋体"/>
          <w:color w:val="auto"/>
          <w:lang w:val="zh-CN"/>
        </w:rPr>
      </w:pPr>
    </w:p>
    <w:p w14:paraId="0ED7E531">
      <w:pPr>
        <w:pStyle w:val="7"/>
        <w:rPr>
          <w:rFonts w:hint="eastAsia" w:ascii="宋体" w:hAnsi="宋体" w:eastAsia="宋体" w:cs="宋体"/>
          <w:color w:val="auto"/>
          <w:lang w:val="zh-CN"/>
        </w:rPr>
      </w:pPr>
    </w:p>
    <w:p w14:paraId="355FAE18">
      <w:pPr>
        <w:pStyle w:val="7"/>
        <w:rPr>
          <w:rFonts w:hint="eastAsia" w:ascii="宋体" w:hAnsi="宋体" w:eastAsia="宋体" w:cs="宋体"/>
          <w:color w:val="auto"/>
          <w:lang w:val="zh-CN"/>
        </w:rPr>
      </w:pPr>
    </w:p>
    <w:p w14:paraId="3D795C7C">
      <w:pPr>
        <w:pStyle w:val="7"/>
        <w:rPr>
          <w:rFonts w:hint="eastAsia" w:ascii="宋体" w:hAnsi="宋体" w:eastAsia="宋体" w:cs="宋体"/>
          <w:color w:val="auto"/>
          <w:lang w:val="zh-CN"/>
        </w:rPr>
      </w:pPr>
    </w:p>
    <w:p w14:paraId="785E585E">
      <w:pPr>
        <w:pStyle w:val="7"/>
        <w:rPr>
          <w:rFonts w:hint="eastAsia" w:ascii="宋体" w:hAnsi="宋体" w:eastAsia="宋体" w:cs="宋体"/>
          <w:color w:val="auto"/>
          <w:lang w:val="zh-CN"/>
        </w:rPr>
      </w:pPr>
    </w:p>
    <w:p w14:paraId="32483CCF">
      <w:pPr>
        <w:pStyle w:val="7"/>
        <w:rPr>
          <w:rFonts w:hint="eastAsia" w:ascii="宋体" w:hAnsi="宋体" w:eastAsia="宋体" w:cs="宋体"/>
          <w:color w:val="auto"/>
          <w:lang w:val="zh-CN"/>
        </w:rPr>
      </w:pPr>
    </w:p>
    <w:p w14:paraId="6E923EAE">
      <w:pPr>
        <w:pStyle w:val="7"/>
        <w:rPr>
          <w:rFonts w:hint="eastAsia" w:ascii="宋体" w:hAnsi="宋体" w:eastAsia="宋体" w:cs="宋体"/>
          <w:color w:val="auto"/>
          <w:lang w:val="zh-CN"/>
        </w:rPr>
      </w:pPr>
    </w:p>
    <w:p w14:paraId="2B89D578">
      <w:pPr>
        <w:autoSpaceDE w:val="0"/>
        <w:autoSpaceDN w:val="0"/>
        <w:adjustRightInd w:val="0"/>
        <w:spacing w:line="360" w:lineRule="auto"/>
        <w:jc w:val="center"/>
        <w:rPr>
          <w:rFonts w:hint="eastAsia" w:ascii="宋体" w:hAnsi="宋体" w:eastAsia="宋体" w:cs="宋体"/>
          <w:b/>
          <w:snapToGrid w:val="0"/>
          <w:color w:val="auto"/>
          <w:kern w:val="0"/>
          <w:sz w:val="28"/>
          <w:szCs w:val="28"/>
        </w:rPr>
      </w:pPr>
      <w:r>
        <w:rPr>
          <w:rFonts w:hint="eastAsia" w:ascii="宋体" w:hAnsi="宋体" w:eastAsia="宋体" w:cs="宋体"/>
          <w:b/>
          <w:bCs/>
          <w:color w:val="auto"/>
          <w:sz w:val="28"/>
          <w:szCs w:val="28"/>
          <w:lang w:val="zh-CN"/>
        </w:rPr>
        <w:t>四、符合性审查相关材料</w:t>
      </w:r>
    </w:p>
    <w:p w14:paraId="2C486404">
      <w:pPr>
        <w:spacing w:line="360" w:lineRule="auto"/>
        <w:ind w:firstLine="3614" w:firstLineChars="1500"/>
        <w:contextualSpacing/>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4.1分项报价表</w:t>
      </w:r>
    </w:p>
    <w:p w14:paraId="6E875523">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6573E0D8">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129B360">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5057E129">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3DD7193">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54992C55">
      <w:pPr>
        <w:pStyle w:val="7"/>
        <w:rPr>
          <w:rFonts w:hint="eastAsia" w:ascii="宋体" w:hAnsi="宋体" w:eastAsia="宋体" w:cs="宋体"/>
          <w:b/>
          <w:bCs/>
          <w:color w:val="auto"/>
          <w:sz w:val="24"/>
          <w:szCs w:val="24"/>
        </w:rPr>
      </w:pPr>
    </w:p>
    <w:p w14:paraId="15507392">
      <w:pPr>
        <w:pStyle w:val="7"/>
        <w:rPr>
          <w:rFonts w:hint="eastAsia" w:ascii="宋体" w:hAnsi="宋体" w:eastAsia="宋体" w:cs="宋体"/>
          <w:b/>
          <w:bCs/>
          <w:color w:val="auto"/>
          <w:sz w:val="24"/>
          <w:szCs w:val="24"/>
        </w:rPr>
      </w:pPr>
    </w:p>
    <w:p w14:paraId="405A29A4">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746C770D">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B89D5C7">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 xml:space="preserve"> 技术方案（实施方案）</w:t>
      </w:r>
    </w:p>
    <w:p w14:paraId="2B89D5C8">
      <w:pPr>
        <w:snapToGrid w:val="0"/>
        <w:spacing w:line="360" w:lineRule="auto"/>
        <w:jc w:val="center"/>
        <w:rPr>
          <w:rFonts w:hint="eastAsia" w:ascii="宋体" w:hAnsi="宋体" w:eastAsia="宋体" w:cs="宋体"/>
          <w:b/>
          <w:snapToGrid w:val="0"/>
          <w:color w:val="auto"/>
          <w:kern w:val="0"/>
          <w:sz w:val="36"/>
          <w:szCs w:val="36"/>
        </w:rPr>
      </w:pPr>
    </w:p>
    <w:p w14:paraId="2B89D5C9">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2B89D5CA">
      <w:pPr>
        <w:pStyle w:val="16"/>
        <w:ind w:firstLine="340"/>
        <w:rPr>
          <w:rFonts w:hint="eastAsia" w:ascii="宋体" w:hAnsi="宋体" w:eastAsia="宋体" w:cs="宋体"/>
          <w:color w:val="auto"/>
        </w:rPr>
      </w:pPr>
    </w:p>
    <w:p w14:paraId="2B89D5CB">
      <w:pPr>
        <w:pStyle w:val="17"/>
        <w:ind w:firstLine="480"/>
        <w:rPr>
          <w:rFonts w:hint="eastAsia" w:ascii="宋体" w:hAnsi="宋体" w:eastAsia="宋体" w:cs="宋体"/>
          <w:color w:val="auto"/>
        </w:rPr>
      </w:pPr>
    </w:p>
    <w:p w14:paraId="2B89D5CC">
      <w:pPr>
        <w:pStyle w:val="10"/>
        <w:ind w:left="5250"/>
        <w:rPr>
          <w:rFonts w:hint="eastAsia" w:ascii="宋体" w:hAnsi="宋体" w:eastAsia="宋体" w:cs="宋体"/>
          <w:color w:val="auto"/>
        </w:rPr>
      </w:pPr>
    </w:p>
    <w:p w14:paraId="2B89D5CD">
      <w:pPr>
        <w:rPr>
          <w:rFonts w:hint="eastAsia" w:ascii="宋体" w:hAnsi="宋体" w:eastAsia="宋体" w:cs="宋体"/>
          <w:color w:val="auto"/>
        </w:rPr>
      </w:pPr>
    </w:p>
    <w:p w14:paraId="2B89D5CE">
      <w:pPr>
        <w:rPr>
          <w:rFonts w:hint="eastAsia" w:ascii="宋体" w:hAnsi="宋体" w:eastAsia="宋体" w:cs="宋体"/>
          <w:color w:val="auto"/>
        </w:rPr>
      </w:pPr>
    </w:p>
    <w:p w14:paraId="1EDA0C3A">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45184F5E">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B89D5CF">
      <w:pPr>
        <w:autoSpaceDE w:val="0"/>
        <w:autoSpaceDN w:val="0"/>
        <w:adjustRightInd w:val="0"/>
        <w:spacing w:line="360" w:lineRule="auto"/>
        <w:jc w:val="center"/>
        <w:outlineLvl w:val="0"/>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rPr>
        <w:t>4.</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val="en-US" w:eastAsia="zh-CN"/>
        </w:rPr>
        <w:t>服务承诺</w:t>
      </w:r>
    </w:p>
    <w:p w14:paraId="2B89D5D0">
      <w:pPr>
        <w:autoSpaceDE w:val="0"/>
        <w:autoSpaceDN w:val="0"/>
        <w:adjustRightInd w:val="0"/>
        <w:spacing w:line="360" w:lineRule="auto"/>
        <w:jc w:val="center"/>
        <w:rPr>
          <w:rFonts w:hint="eastAsia" w:ascii="宋体" w:hAnsi="宋体" w:eastAsia="宋体" w:cs="宋体"/>
          <w:color w:val="auto"/>
          <w:szCs w:val="21"/>
          <w:lang w:val="zh-CN"/>
        </w:rPr>
      </w:pPr>
      <w:r>
        <w:rPr>
          <w:rFonts w:hint="eastAsia" w:ascii="宋体" w:hAnsi="宋体" w:eastAsia="宋体" w:cs="宋体"/>
          <w:color w:val="auto"/>
          <w:szCs w:val="21"/>
          <w:lang w:val="zh-CN"/>
        </w:rPr>
        <w:t>（投标人根据招标文件要求自行编制）</w:t>
      </w:r>
    </w:p>
    <w:p w14:paraId="2B89D5D1">
      <w:pPr>
        <w:pStyle w:val="7"/>
        <w:rPr>
          <w:rFonts w:hint="eastAsia" w:ascii="宋体" w:hAnsi="宋体" w:eastAsia="宋体" w:cs="宋体"/>
          <w:color w:val="auto"/>
          <w:kern w:val="0"/>
          <w:sz w:val="34"/>
          <w:szCs w:val="20"/>
          <w:lang w:val="zh-CN"/>
        </w:rPr>
      </w:pPr>
    </w:p>
    <w:p w14:paraId="2B89D5D2">
      <w:pPr>
        <w:rPr>
          <w:rFonts w:hint="eastAsia" w:ascii="宋体" w:hAnsi="宋体" w:eastAsia="宋体" w:cs="宋体"/>
          <w:color w:val="auto"/>
          <w:lang w:val="zh-CN"/>
        </w:rPr>
      </w:pPr>
    </w:p>
    <w:p w14:paraId="30662CAC">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14751D15">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697C0D8">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41BD360">
      <w:pPr>
        <w:autoSpaceDE w:val="0"/>
        <w:autoSpaceDN w:val="0"/>
        <w:adjustRightInd w:val="0"/>
        <w:spacing w:line="360" w:lineRule="auto"/>
        <w:jc w:val="both"/>
        <w:outlineLvl w:val="0"/>
        <w:rPr>
          <w:rFonts w:hint="eastAsia" w:ascii="宋体" w:hAnsi="宋体" w:eastAsia="宋体" w:cs="宋体"/>
          <w:b/>
          <w:bCs/>
          <w:color w:val="auto"/>
          <w:sz w:val="24"/>
          <w:szCs w:val="24"/>
        </w:rPr>
      </w:pPr>
    </w:p>
    <w:p w14:paraId="2B89D5D3">
      <w:pPr>
        <w:autoSpaceDE w:val="0"/>
        <w:autoSpaceDN w:val="0"/>
        <w:adjustRightInd w:val="0"/>
        <w:spacing w:line="360" w:lineRule="auto"/>
        <w:jc w:val="center"/>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4.</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 xml:space="preserve"> 业绩情况表</w:t>
      </w:r>
    </w:p>
    <w:p w14:paraId="2B89D5D4">
      <w:pPr>
        <w:autoSpaceDE w:val="0"/>
        <w:autoSpaceDN w:val="0"/>
        <w:adjustRightInd w:val="0"/>
        <w:spacing w:line="360" w:lineRule="auto"/>
        <w:jc w:val="center"/>
        <w:outlineLvl w:val="0"/>
        <w:rPr>
          <w:rFonts w:hint="eastAsia" w:ascii="宋体" w:hAnsi="宋体" w:eastAsia="宋体" w:cs="宋体"/>
          <w:b/>
          <w:bCs/>
          <w:color w:val="auto"/>
          <w:sz w:val="28"/>
          <w:szCs w:val="28"/>
        </w:rPr>
      </w:pPr>
    </w:p>
    <w:p w14:paraId="2B89D5D5">
      <w:pPr>
        <w:spacing w:before="50" w:after="156" w:afterLines="50" w:line="360" w:lineRule="auto"/>
        <w:contextualSpacing/>
        <w:jc w:val="left"/>
        <w:rPr>
          <w:rFonts w:hint="eastAsia" w:ascii="宋体" w:hAnsi="宋体" w:eastAsia="宋体" w:cs="宋体"/>
          <w:color w:val="auto"/>
          <w:szCs w:val="21"/>
        </w:rPr>
      </w:pPr>
      <w:r>
        <w:rPr>
          <w:rFonts w:hint="eastAsia" w:ascii="宋体" w:hAnsi="宋体" w:eastAsia="宋体" w:cs="宋体"/>
          <w:color w:val="auto"/>
          <w:szCs w:val="21"/>
          <w:lang w:eastAsia="zh-CN"/>
        </w:rPr>
        <w:t>采购编号</w:t>
      </w:r>
      <w:r>
        <w:rPr>
          <w:rFonts w:hint="eastAsia" w:ascii="宋体" w:hAnsi="宋体" w:eastAsia="宋体" w:cs="宋体"/>
          <w:color w:val="auto"/>
          <w:szCs w:val="21"/>
        </w:rPr>
        <w:t>：</w:t>
      </w:r>
    </w:p>
    <w:p w14:paraId="2B89D5D6">
      <w:pPr>
        <w:snapToGrid w:val="0"/>
        <w:spacing w:line="360" w:lineRule="auto"/>
        <w:rPr>
          <w:rFonts w:hint="eastAsia" w:ascii="宋体" w:hAnsi="宋体" w:eastAsia="宋体" w:cs="宋体"/>
          <w:b/>
          <w:snapToGrid w:val="0"/>
          <w:color w:val="auto"/>
          <w:kern w:val="0"/>
          <w:szCs w:val="21"/>
        </w:rPr>
      </w:pPr>
      <w:r>
        <w:rPr>
          <w:rFonts w:hint="eastAsia" w:ascii="宋体" w:hAnsi="宋体" w:eastAsia="宋体" w:cs="宋体"/>
          <w:color w:val="auto"/>
          <w:szCs w:val="21"/>
        </w:rPr>
        <w:t xml:space="preserve">项目名称：   </w:t>
      </w:r>
    </w:p>
    <w:tbl>
      <w:tblPr>
        <w:tblStyle w:val="18"/>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2B89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vAlign w:val="center"/>
          </w:tcPr>
          <w:p w14:paraId="2B89D5D7">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808" w:type="dxa"/>
            <w:vAlign w:val="center"/>
          </w:tcPr>
          <w:p w14:paraId="2B89D5D8">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客户单位名称</w:t>
            </w:r>
          </w:p>
        </w:tc>
        <w:tc>
          <w:tcPr>
            <w:tcW w:w="3579" w:type="dxa"/>
            <w:vAlign w:val="center"/>
          </w:tcPr>
          <w:p w14:paraId="2B89D5D9">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项目名称及主要内容</w:t>
            </w:r>
          </w:p>
        </w:tc>
        <w:tc>
          <w:tcPr>
            <w:tcW w:w="1440" w:type="dxa"/>
            <w:vAlign w:val="center"/>
          </w:tcPr>
          <w:p w14:paraId="2B89D5DA">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合同金额</w:t>
            </w:r>
          </w:p>
          <w:p w14:paraId="2B89D5DB">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（万元）</w:t>
            </w:r>
          </w:p>
        </w:tc>
        <w:tc>
          <w:tcPr>
            <w:tcW w:w="1706" w:type="dxa"/>
            <w:vAlign w:val="center"/>
          </w:tcPr>
          <w:p w14:paraId="2B89D5DC">
            <w:pPr>
              <w:pStyle w:val="5"/>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联系人及电话</w:t>
            </w:r>
          </w:p>
        </w:tc>
      </w:tr>
      <w:tr w14:paraId="2B89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DE">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808" w:type="dxa"/>
            <w:vAlign w:val="center"/>
          </w:tcPr>
          <w:p w14:paraId="2B89D5DF">
            <w:pPr>
              <w:pStyle w:val="5"/>
              <w:spacing w:line="360" w:lineRule="auto"/>
              <w:rPr>
                <w:rFonts w:hint="eastAsia" w:ascii="宋体" w:hAnsi="宋体" w:eastAsia="宋体" w:cs="宋体"/>
                <w:color w:val="auto"/>
                <w:sz w:val="21"/>
                <w:szCs w:val="21"/>
              </w:rPr>
            </w:pPr>
          </w:p>
        </w:tc>
        <w:tc>
          <w:tcPr>
            <w:tcW w:w="3579" w:type="dxa"/>
            <w:vAlign w:val="center"/>
          </w:tcPr>
          <w:p w14:paraId="2B89D5E0">
            <w:pPr>
              <w:pStyle w:val="5"/>
              <w:spacing w:line="360" w:lineRule="auto"/>
              <w:rPr>
                <w:rFonts w:hint="eastAsia" w:ascii="宋体" w:hAnsi="宋体" w:eastAsia="宋体" w:cs="宋体"/>
                <w:color w:val="auto"/>
                <w:sz w:val="21"/>
                <w:szCs w:val="21"/>
              </w:rPr>
            </w:pPr>
          </w:p>
        </w:tc>
        <w:tc>
          <w:tcPr>
            <w:tcW w:w="1440" w:type="dxa"/>
            <w:vAlign w:val="center"/>
          </w:tcPr>
          <w:p w14:paraId="2B89D5E1">
            <w:pPr>
              <w:pStyle w:val="5"/>
              <w:spacing w:line="360" w:lineRule="auto"/>
              <w:rPr>
                <w:rFonts w:hint="eastAsia" w:ascii="宋体" w:hAnsi="宋体" w:eastAsia="宋体" w:cs="宋体"/>
                <w:color w:val="auto"/>
                <w:sz w:val="21"/>
                <w:szCs w:val="21"/>
              </w:rPr>
            </w:pPr>
          </w:p>
        </w:tc>
        <w:tc>
          <w:tcPr>
            <w:tcW w:w="1706" w:type="dxa"/>
            <w:vAlign w:val="center"/>
          </w:tcPr>
          <w:p w14:paraId="2B89D5E2">
            <w:pPr>
              <w:pStyle w:val="5"/>
              <w:spacing w:line="360" w:lineRule="auto"/>
              <w:rPr>
                <w:rFonts w:hint="eastAsia" w:ascii="宋体" w:hAnsi="宋体" w:eastAsia="宋体" w:cs="宋体"/>
                <w:color w:val="auto"/>
                <w:sz w:val="21"/>
                <w:szCs w:val="21"/>
              </w:rPr>
            </w:pPr>
          </w:p>
        </w:tc>
      </w:tr>
      <w:tr w14:paraId="2B89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E4">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808" w:type="dxa"/>
            <w:vAlign w:val="center"/>
          </w:tcPr>
          <w:p w14:paraId="2B89D5E5">
            <w:pPr>
              <w:pStyle w:val="5"/>
              <w:spacing w:line="360" w:lineRule="auto"/>
              <w:rPr>
                <w:rFonts w:hint="eastAsia" w:ascii="宋体" w:hAnsi="宋体" w:eastAsia="宋体" w:cs="宋体"/>
                <w:color w:val="auto"/>
                <w:sz w:val="21"/>
                <w:szCs w:val="21"/>
              </w:rPr>
            </w:pPr>
          </w:p>
        </w:tc>
        <w:tc>
          <w:tcPr>
            <w:tcW w:w="3579" w:type="dxa"/>
            <w:vAlign w:val="center"/>
          </w:tcPr>
          <w:p w14:paraId="2B89D5E6">
            <w:pPr>
              <w:pStyle w:val="5"/>
              <w:spacing w:line="360" w:lineRule="auto"/>
              <w:rPr>
                <w:rFonts w:hint="eastAsia" w:ascii="宋体" w:hAnsi="宋体" w:eastAsia="宋体" w:cs="宋体"/>
                <w:color w:val="auto"/>
                <w:sz w:val="21"/>
                <w:szCs w:val="21"/>
              </w:rPr>
            </w:pPr>
          </w:p>
        </w:tc>
        <w:tc>
          <w:tcPr>
            <w:tcW w:w="1440" w:type="dxa"/>
            <w:vAlign w:val="center"/>
          </w:tcPr>
          <w:p w14:paraId="2B89D5E7">
            <w:pPr>
              <w:pStyle w:val="5"/>
              <w:spacing w:line="360" w:lineRule="auto"/>
              <w:rPr>
                <w:rFonts w:hint="eastAsia" w:ascii="宋体" w:hAnsi="宋体" w:eastAsia="宋体" w:cs="宋体"/>
                <w:color w:val="auto"/>
                <w:sz w:val="21"/>
                <w:szCs w:val="21"/>
              </w:rPr>
            </w:pPr>
          </w:p>
        </w:tc>
        <w:tc>
          <w:tcPr>
            <w:tcW w:w="1706" w:type="dxa"/>
            <w:vAlign w:val="center"/>
          </w:tcPr>
          <w:p w14:paraId="2B89D5E8">
            <w:pPr>
              <w:pStyle w:val="5"/>
              <w:spacing w:line="360" w:lineRule="auto"/>
              <w:rPr>
                <w:rFonts w:hint="eastAsia" w:ascii="宋体" w:hAnsi="宋体" w:eastAsia="宋体" w:cs="宋体"/>
                <w:color w:val="auto"/>
                <w:sz w:val="21"/>
                <w:szCs w:val="21"/>
              </w:rPr>
            </w:pPr>
          </w:p>
        </w:tc>
      </w:tr>
      <w:tr w14:paraId="2B89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EA">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808" w:type="dxa"/>
            <w:vAlign w:val="center"/>
          </w:tcPr>
          <w:p w14:paraId="2B89D5EB">
            <w:pPr>
              <w:pStyle w:val="5"/>
              <w:spacing w:line="360" w:lineRule="auto"/>
              <w:rPr>
                <w:rFonts w:hint="eastAsia" w:ascii="宋体" w:hAnsi="宋体" w:eastAsia="宋体" w:cs="宋体"/>
                <w:color w:val="auto"/>
                <w:sz w:val="21"/>
                <w:szCs w:val="21"/>
              </w:rPr>
            </w:pPr>
          </w:p>
        </w:tc>
        <w:tc>
          <w:tcPr>
            <w:tcW w:w="3579" w:type="dxa"/>
            <w:vAlign w:val="center"/>
          </w:tcPr>
          <w:p w14:paraId="2B89D5EC">
            <w:pPr>
              <w:pStyle w:val="5"/>
              <w:spacing w:line="360" w:lineRule="auto"/>
              <w:rPr>
                <w:rFonts w:hint="eastAsia" w:ascii="宋体" w:hAnsi="宋体" w:eastAsia="宋体" w:cs="宋体"/>
                <w:color w:val="auto"/>
                <w:sz w:val="21"/>
                <w:szCs w:val="21"/>
              </w:rPr>
            </w:pPr>
          </w:p>
        </w:tc>
        <w:tc>
          <w:tcPr>
            <w:tcW w:w="1440" w:type="dxa"/>
            <w:vAlign w:val="center"/>
          </w:tcPr>
          <w:p w14:paraId="2B89D5ED">
            <w:pPr>
              <w:pStyle w:val="5"/>
              <w:spacing w:line="360" w:lineRule="auto"/>
              <w:rPr>
                <w:rFonts w:hint="eastAsia" w:ascii="宋体" w:hAnsi="宋体" w:eastAsia="宋体" w:cs="宋体"/>
                <w:color w:val="auto"/>
                <w:sz w:val="21"/>
                <w:szCs w:val="21"/>
              </w:rPr>
            </w:pPr>
          </w:p>
        </w:tc>
        <w:tc>
          <w:tcPr>
            <w:tcW w:w="1706" w:type="dxa"/>
            <w:vAlign w:val="center"/>
          </w:tcPr>
          <w:p w14:paraId="2B89D5EE">
            <w:pPr>
              <w:pStyle w:val="5"/>
              <w:spacing w:line="360" w:lineRule="auto"/>
              <w:rPr>
                <w:rFonts w:hint="eastAsia" w:ascii="宋体" w:hAnsi="宋体" w:eastAsia="宋体" w:cs="宋体"/>
                <w:color w:val="auto"/>
                <w:sz w:val="21"/>
                <w:szCs w:val="21"/>
              </w:rPr>
            </w:pPr>
          </w:p>
        </w:tc>
      </w:tr>
      <w:tr w14:paraId="2B89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F0">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808" w:type="dxa"/>
            <w:vAlign w:val="center"/>
          </w:tcPr>
          <w:p w14:paraId="2B89D5F1">
            <w:pPr>
              <w:rPr>
                <w:rFonts w:hint="eastAsia" w:ascii="宋体" w:hAnsi="宋体" w:eastAsia="宋体" w:cs="宋体"/>
                <w:color w:val="auto"/>
                <w:szCs w:val="21"/>
              </w:rPr>
            </w:pPr>
          </w:p>
        </w:tc>
        <w:tc>
          <w:tcPr>
            <w:tcW w:w="3579" w:type="dxa"/>
            <w:vAlign w:val="center"/>
          </w:tcPr>
          <w:p w14:paraId="2B89D5F2">
            <w:pPr>
              <w:rPr>
                <w:rFonts w:hint="eastAsia" w:ascii="宋体" w:hAnsi="宋体" w:eastAsia="宋体" w:cs="宋体"/>
                <w:color w:val="auto"/>
                <w:szCs w:val="21"/>
              </w:rPr>
            </w:pPr>
          </w:p>
        </w:tc>
        <w:tc>
          <w:tcPr>
            <w:tcW w:w="1440" w:type="dxa"/>
            <w:vAlign w:val="center"/>
          </w:tcPr>
          <w:p w14:paraId="2B89D5F3">
            <w:pPr>
              <w:rPr>
                <w:rFonts w:hint="eastAsia" w:ascii="宋体" w:hAnsi="宋体" w:eastAsia="宋体" w:cs="宋体"/>
                <w:color w:val="auto"/>
                <w:szCs w:val="21"/>
              </w:rPr>
            </w:pPr>
          </w:p>
        </w:tc>
        <w:tc>
          <w:tcPr>
            <w:tcW w:w="1706" w:type="dxa"/>
            <w:vAlign w:val="center"/>
          </w:tcPr>
          <w:p w14:paraId="2B89D5F4">
            <w:pPr>
              <w:rPr>
                <w:rFonts w:hint="eastAsia" w:ascii="宋体" w:hAnsi="宋体" w:eastAsia="宋体" w:cs="宋体"/>
                <w:color w:val="auto"/>
                <w:szCs w:val="21"/>
              </w:rPr>
            </w:pPr>
          </w:p>
        </w:tc>
      </w:tr>
      <w:tr w14:paraId="2B89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B89D5F6">
            <w:pPr>
              <w:pStyle w:val="5"/>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808" w:type="dxa"/>
            <w:vAlign w:val="center"/>
          </w:tcPr>
          <w:p w14:paraId="2B89D5F7">
            <w:pPr>
              <w:rPr>
                <w:rFonts w:hint="eastAsia" w:ascii="宋体" w:hAnsi="宋体" w:eastAsia="宋体" w:cs="宋体"/>
                <w:color w:val="auto"/>
                <w:szCs w:val="21"/>
              </w:rPr>
            </w:pPr>
          </w:p>
        </w:tc>
        <w:tc>
          <w:tcPr>
            <w:tcW w:w="3579" w:type="dxa"/>
            <w:vAlign w:val="center"/>
          </w:tcPr>
          <w:p w14:paraId="2B89D5F8">
            <w:pPr>
              <w:rPr>
                <w:rFonts w:hint="eastAsia" w:ascii="宋体" w:hAnsi="宋体" w:eastAsia="宋体" w:cs="宋体"/>
                <w:color w:val="auto"/>
                <w:szCs w:val="21"/>
              </w:rPr>
            </w:pPr>
          </w:p>
        </w:tc>
        <w:tc>
          <w:tcPr>
            <w:tcW w:w="1440" w:type="dxa"/>
            <w:vAlign w:val="center"/>
          </w:tcPr>
          <w:p w14:paraId="2B89D5F9">
            <w:pPr>
              <w:rPr>
                <w:rFonts w:hint="eastAsia" w:ascii="宋体" w:hAnsi="宋体" w:eastAsia="宋体" w:cs="宋体"/>
                <w:color w:val="auto"/>
                <w:szCs w:val="21"/>
              </w:rPr>
            </w:pPr>
          </w:p>
        </w:tc>
        <w:tc>
          <w:tcPr>
            <w:tcW w:w="1706" w:type="dxa"/>
            <w:vAlign w:val="center"/>
          </w:tcPr>
          <w:p w14:paraId="2B89D5FA">
            <w:pPr>
              <w:rPr>
                <w:rFonts w:hint="eastAsia" w:ascii="宋体" w:hAnsi="宋体" w:eastAsia="宋体" w:cs="宋体"/>
                <w:color w:val="auto"/>
                <w:szCs w:val="21"/>
              </w:rPr>
            </w:pPr>
          </w:p>
        </w:tc>
      </w:tr>
    </w:tbl>
    <w:p w14:paraId="2B89D5FC">
      <w:pPr>
        <w:autoSpaceDE w:val="0"/>
        <w:autoSpaceDN w:val="0"/>
        <w:adjustRightInd w:val="0"/>
        <w:spacing w:line="480" w:lineRule="auto"/>
        <w:rPr>
          <w:rFonts w:hint="eastAsia" w:ascii="宋体" w:hAnsi="宋体" w:eastAsia="宋体" w:cs="宋体"/>
          <w:color w:val="auto"/>
          <w:szCs w:val="21"/>
          <w:lang w:val="zh-CN"/>
        </w:rPr>
      </w:pPr>
    </w:p>
    <w:p w14:paraId="2B89D5FD">
      <w:pPr>
        <w:autoSpaceDE w:val="0"/>
        <w:autoSpaceDN w:val="0"/>
        <w:adjustRightInd w:val="0"/>
        <w:spacing w:line="480" w:lineRule="auto"/>
        <w:rPr>
          <w:rFonts w:hint="eastAsia" w:ascii="宋体" w:hAnsi="宋体" w:eastAsia="宋体" w:cs="宋体"/>
          <w:color w:val="auto"/>
          <w:szCs w:val="21"/>
          <w:lang w:val="zh-CN"/>
        </w:rPr>
      </w:pPr>
      <w:r>
        <w:rPr>
          <w:rFonts w:hint="eastAsia" w:ascii="宋体" w:hAnsi="宋体" w:eastAsia="宋体" w:cs="宋体"/>
          <w:color w:val="auto"/>
          <w:szCs w:val="21"/>
          <w:lang w:val="zh-CN"/>
        </w:rPr>
        <w:t>投标人名称（</w:t>
      </w:r>
      <w:r>
        <w:rPr>
          <w:rFonts w:hint="eastAsia" w:ascii="宋体" w:hAnsi="宋体" w:eastAsia="宋体" w:cs="宋体"/>
          <w:color w:val="auto"/>
          <w:szCs w:val="21"/>
        </w:rPr>
        <w:t>并加盖公章</w:t>
      </w:r>
      <w:r>
        <w:rPr>
          <w:rFonts w:hint="eastAsia" w:ascii="宋体" w:hAnsi="宋体" w:eastAsia="宋体" w:cs="宋体"/>
          <w:color w:val="auto"/>
          <w:szCs w:val="21"/>
          <w:lang w:val="zh-CN"/>
        </w:rPr>
        <w:t>）：</w:t>
      </w:r>
    </w:p>
    <w:p w14:paraId="2B89D5FE">
      <w:pPr>
        <w:autoSpaceDE w:val="0"/>
        <w:autoSpaceDN w:val="0"/>
        <w:adjustRightInd w:val="0"/>
        <w:spacing w:line="360" w:lineRule="auto"/>
        <w:jc w:val="center"/>
        <w:outlineLvl w:val="0"/>
        <w:rPr>
          <w:rFonts w:hint="eastAsia" w:ascii="宋体" w:hAnsi="宋体" w:eastAsia="宋体" w:cs="宋体"/>
          <w:b/>
          <w:bCs/>
          <w:color w:val="auto"/>
          <w:sz w:val="24"/>
          <w:szCs w:val="24"/>
        </w:rPr>
      </w:pPr>
    </w:p>
    <w:p w14:paraId="23A43C27">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4ACF3FD3">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10D85B9B">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265E5C9C">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394378ED">
      <w:pPr>
        <w:autoSpaceDE w:val="0"/>
        <w:autoSpaceDN w:val="0"/>
        <w:adjustRightInd w:val="0"/>
        <w:spacing w:line="360" w:lineRule="auto"/>
        <w:jc w:val="center"/>
        <w:outlineLvl w:val="0"/>
        <w:rPr>
          <w:rFonts w:hint="eastAsia" w:ascii="宋体" w:hAnsi="宋体" w:eastAsia="宋体" w:cs="宋体"/>
          <w:b/>
          <w:bCs/>
          <w:color w:val="auto"/>
          <w:sz w:val="24"/>
          <w:szCs w:val="24"/>
          <w:highlight w:val="none"/>
          <w:lang w:val="en-US" w:eastAsia="zh-CN"/>
        </w:rPr>
      </w:pPr>
    </w:p>
    <w:p w14:paraId="43C1D41F">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08192767">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2B227E33">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5C9B5E62">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6107DDF1">
      <w:pPr>
        <w:pStyle w:val="7"/>
        <w:rPr>
          <w:rFonts w:hint="eastAsia" w:ascii="宋体" w:hAnsi="宋体" w:eastAsia="宋体" w:cs="宋体"/>
          <w:b/>
          <w:bCs/>
          <w:color w:val="auto"/>
          <w:kern w:val="2"/>
          <w:sz w:val="24"/>
          <w:szCs w:val="24"/>
          <w:lang w:val="en-US" w:eastAsia="zh-CN" w:bidi="ar-SA"/>
        </w:rPr>
      </w:pPr>
    </w:p>
    <w:p w14:paraId="30EFDBAB">
      <w:pPr>
        <w:pStyle w:val="7"/>
        <w:rPr>
          <w:rFonts w:hint="eastAsia" w:ascii="宋体" w:hAnsi="宋体" w:eastAsia="宋体" w:cs="宋体"/>
          <w:b/>
          <w:bCs/>
          <w:color w:val="auto"/>
          <w:kern w:val="2"/>
          <w:sz w:val="24"/>
          <w:szCs w:val="24"/>
          <w:lang w:val="en-US" w:eastAsia="zh-CN" w:bidi="ar-SA"/>
        </w:rPr>
      </w:pPr>
    </w:p>
    <w:p w14:paraId="772F59DA">
      <w:pPr>
        <w:autoSpaceDE w:val="0"/>
        <w:autoSpaceDN w:val="0"/>
        <w:adjustRightInd w:val="0"/>
        <w:spacing w:line="360" w:lineRule="auto"/>
        <w:jc w:val="center"/>
        <w:outlineLvl w:val="0"/>
        <w:rPr>
          <w:rFonts w:hint="eastAsia" w:ascii="宋体" w:hAnsi="宋体" w:eastAsia="宋体" w:cs="宋体"/>
          <w:b/>
          <w:bCs/>
          <w:color w:val="auto"/>
          <w:kern w:val="2"/>
          <w:sz w:val="24"/>
          <w:szCs w:val="24"/>
          <w:lang w:val="en-US" w:eastAsia="zh-CN" w:bidi="ar-SA"/>
        </w:rPr>
      </w:pPr>
    </w:p>
    <w:p w14:paraId="6EEC955A">
      <w:pPr>
        <w:autoSpaceDE w:val="0"/>
        <w:autoSpaceDN w:val="0"/>
        <w:spacing w:line="360" w:lineRule="auto"/>
        <w:jc w:val="right"/>
        <w:rPr>
          <w:rFonts w:hint="eastAsia" w:ascii="宋体" w:hAnsi="宋体" w:eastAsia="宋体" w:cs="宋体"/>
          <w:b/>
          <w:color w:val="auto"/>
          <w:sz w:val="21"/>
          <w:szCs w:val="21"/>
          <w:lang w:val="en-US" w:eastAsia="zh-CN"/>
        </w:rPr>
      </w:pPr>
    </w:p>
    <w:p w14:paraId="4AA555A2">
      <w:pPr>
        <w:pStyle w:val="14"/>
        <w:rPr>
          <w:rFonts w:hint="eastAsia"/>
          <w:lang w:val="zh-CN"/>
        </w:rPr>
      </w:pPr>
    </w:p>
    <w:p w14:paraId="2B89D600">
      <w:pPr>
        <w:autoSpaceDE w:val="0"/>
        <w:autoSpaceDN w:val="0"/>
        <w:adjustRightIn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lang w:val="zh-CN"/>
        </w:rPr>
        <w:t>五、其他资料（若有）</w:t>
      </w:r>
    </w:p>
    <w:p w14:paraId="2B89D601">
      <w:pPr>
        <w:rPr>
          <w:rFonts w:hint="eastAsia" w:ascii="宋体" w:hAnsi="宋体" w:eastAsia="宋体" w:cs="宋体"/>
          <w:color w:val="auto"/>
        </w:rPr>
      </w:pPr>
    </w:p>
    <w:p w14:paraId="2B89D602">
      <w:pPr>
        <w:rPr>
          <w:rFonts w:hint="eastAsia" w:ascii="宋体" w:hAnsi="宋体" w:eastAsia="宋体" w:cs="宋体"/>
          <w:color w:val="auto"/>
        </w:rPr>
      </w:pPr>
    </w:p>
    <w:p w14:paraId="2B89D603">
      <w:pPr>
        <w:rPr>
          <w:rFonts w:hint="eastAsia" w:ascii="宋体" w:hAnsi="宋体" w:eastAsia="宋体" w:cs="宋体"/>
          <w:color w:val="auto"/>
        </w:rPr>
      </w:pPr>
    </w:p>
    <w:p w14:paraId="2B89D604">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除招标文件另有规定外，投标人认为需要提交的其他证明材料或资料加盖投标人公章后应在此项下提交。</w:t>
      </w:r>
    </w:p>
    <w:p w14:paraId="2D6E386C">
      <w:pPr>
        <w:rPr>
          <w:rFonts w:hint="eastAsia" w:ascii="宋体" w:hAnsi="宋体" w:eastAsia="宋体" w:cs="宋体"/>
          <w:color w:val="auto"/>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0" w:usb3="00000000" w:csb0="00000001"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0BC8">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90B6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D490B66">
                    <w:pPr>
                      <w:pStyle w:val="11"/>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86026"/>
    <w:multiLevelType w:val="singleLevel"/>
    <w:tmpl w:val="A6886026"/>
    <w:lvl w:ilvl="0" w:tentative="0">
      <w:start w:val="1"/>
      <w:numFmt w:val="decimal"/>
      <w:suff w:val="nothing"/>
      <w:lvlText w:val="%1、"/>
      <w:lvlJc w:val="left"/>
    </w:lvl>
  </w:abstractNum>
  <w:abstractNum w:abstractNumId="1">
    <w:nsid w:val="D158DB43"/>
    <w:multiLevelType w:val="singleLevel"/>
    <w:tmpl w:val="D158DB43"/>
    <w:lvl w:ilvl="0" w:tentative="0">
      <w:start w:val="29"/>
      <w:numFmt w:val="decimal"/>
      <w:suff w:val="space"/>
      <w:lvlText w:val="%1."/>
      <w:lvlJc w:val="left"/>
    </w:lvl>
  </w:abstractNum>
  <w:abstractNum w:abstractNumId="2">
    <w:nsid w:val="D7EEB531"/>
    <w:multiLevelType w:val="singleLevel"/>
    <w:tmpl w:val="D7EEB531"/>
    <w:lvl w:ilvl="0" w:tentative="0">
      <w:start w:val="1"/>
      <w:numFmt w:val="decimal"/>
      <w:lvlText w:val="%1."/>
      <w:lvlJc w:val="left"/>
      <w:pPr>
        <w:tabs>
          <w:tab w:val="left" w:pos="312"/>
        </w:tabs>
      </w:pPr>
    </w:lvl>
  </w:abstractNum>
  <w:abstractNum w:abstractNumId="3">
    <w:nsid w:val="00000014"/>
    <w:multiLevelType w:val="multilevel"/>
    <w:tmpl w:val="00000014"/>
    <w:lvl w:ilvl="0" w:tentative="0">
      <w:start w:val="1"/>
      <w:numFmt w:val="decimal"/>
      <w:pStyle w:val="3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436E25C3"/>
    <w:multiLevelType w:val="multilevel"/>
    <w:tmpl w:val="436E25C3"/>
    <w:lvl w:ilvl="0" w:tentative="0">
      <w:start w:val="1"/>
      <w:numFmt w:val="japaneseCounting"/>
      <w:lvlText w:val="第%1条"/>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9F817E8"/>
    <w:multiLevelType w:val="singleLevel"/>
    <w:tmpl w:val="59F817E8"/>
    <w:lvl w:ilvl="0" w:tentative="0">
      <w:start w:val="1"/>
      <w:numFmt w:val="chineseCounting"/>
      <w:pStyle w:val="34"/>
      <w:suff w:val="nothing"/>
      <w:lvlText w:val="%1、"/>
      <w:lvlJc w:val="left"/>
    </w:lvl>
  </w:abstractNum>
  <w:abstractNum w:abstractNumId="6">
    <w:nsid w:val="5C3055E2"/>
    <w:multiLevelType w:val="multilevel"/>
    <w:tmpl w:val="5C3055E2"/>
    <w:lvl w:ilvl="0" w:tentative="0">
      <w:start w:val="34"/>
      <w:numFmt w:val="decimal"/>
      <w:lvlText w:val="%1."/>
      <w:lvlJc w:val="left"/>
      <w:pPr>
        <w:ind w:left="420" w:hanging="420"/>
      </w:pPr>
      <w:rPr>
        <w:rFonts w:hint="eastAsia"/>
      </w:rPr>
    </w:lvl>
    <w:lvl w:ilvl="1" w:tentative="0">
      <w:start w:val="1"/>
      <w:numFmt w:val="decimal"/>
      <w:lvlText w:val="34. %2 "/>
      <w:lvlJc w:val="left"/>
      <w:pPr>
        <w:ind w:left="964" w:hanging="544"/>
      </w:pPr>
      <w:rPr>
        <w:rFonts w:hint="eastAsia"/>
      </w:rPr>
    </w:lvl>
    <w:lvl w:ilvl="2" w:tentative="0">
      <w:start w:val="23"/>
      <w:numFmt w:val="decimal"/>
      <w:lvlText w:val="%3.4 "/>
      <w:lvlJc w:val="left"/>
      <w:pPr>
        <w:ind w:left="1560" w:hanging="720"/>
      </w:pPr>
      <w:rPr>
        <w:rFonts w:hint="eastAsia"/>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num w:numId="1">
    <w:abstractNumId w:val="3"/>
  </w:num>
  <w:num w:numId="2">
    <w:abstractNumId w:val="5"/>
  </w:num>
  <w:num w:numId="3">
    <w:abstractNumId w:val="2"/>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81320"/>
    <w:rsid w:val="000C51EB"/>
    <w:rsid w:val="0019234F"/>
    <w:rsid w:val="001C21A3"/>
    <w:rsid w:val="0032026C"/>
    <w:rsid w:val="004A355A"/>
    <w:rsid w:val="004E43BF"/>
    <w:rsid w:val="005F3245"/>
    <w:rsid w:val="00745F0B"/>
    <w:rsid w:val="00825002"/>
    <w:rsid w:val="008F2B6E"/>
    <w:rsid w:val="009107CC"/>
    <w:rsid w:val="00B76409"/>
    <w:rsid w:val="00C25AA7"/>
    <w:rsid w:val="00DF53CD"/>
    <w:rsid w:val="00EA6C67"/>
    <w:rsid w:val="00F315C8"/>
    <w:rsid w:val="00FF7F1A"/>
    <w:rsid w:val="01086C64"/>
    <w:rsid w:val="013E4434"/>
    <w:rsid w:val="01B129DA"/>
    <w:rsid w:val="01B63B53"/>
    <w:rsid w:val="01DA661C"/>
    <w:rsid w:val="01E824FA"/>
    <w:rsid w:val="03215DBB"/>
    <w:rsid w:val="037D56E7"/>
    <w:rsid w:val="03AE5E46"/>
    <w:rsid w:val="03D472D2"/>
    <w:rsid w:val="04CB1767"/>
    <w:rsid w:val="055E32F7"/>
    <w:rsid w:val="056853E9"/>
    <w:rsid w:val="05E7509A"/>
    <w:rsid w:val="060E6ACB"/>
    <w:rsid w:val="060F45F1"/>
    <w:rsid w:val="061C410F"/>
    <w:rsid w:val="06514C09"/>
    <w:rsid w:val="07394EAA"/>
    <w:rsid w:val="07C248D5"/>
    <w:rsid w:val="07D433FC"/>
    <w:rsid w:val="08A041B3"/>
    <w:rsid w:val="08CE42EF"/>
    <w:rsid w:val="096F084D"/>
    <w:rsid w:val="09C455B3"/>
    <w:rsid w:val="0A4F320E"/>
    <w:rsid w:val="0A5D3B7D"/>
    <w:rsid w:val="0AEE3ABD"/>
    <w:rsid w:val="0B185CF6"/>
    <w:rsid w:val="0B30303F"/>
    <w:rsid w:val="0B7E3D66"/>
    <w:rsid w:val="0BF16C73"/>
    <w:rsid w:val="0CBA0191"/>
    <w:rsid w:val="0CF46990"/>
    <w:rsid w:val="0CFA3905"/>
    <w:rsid w:val="0DFC36AD"/>
    <w:rsid w:val="0E140A6B"/>
    <w:rsid w:val="0EB36461"/>
    <w:rsid w:val="0ECA37AB"/>
    <w:rsid w:val="0EE259B5"/>
    <w:rsid w:val="0F106EEB"/>
    <w:rsid w:val="0F8A6A96"/>
    <w:rsid w:val="10702130"/>
    <w:rsid w:val="10797237"/>
    <w:rsid w:val="110F36F7"/>
    <w:rsid w:val="11390774"/>
    <w:rsid w:val="1155144A"/>
    <w:rsid w:val="11CE7BC3"/>
    <w:rsid w:val="121C27F8"/>
    <w:rsid w:val="12787CDD"/>
    <w:rsid w:val="12C0114D"/>
    <w:rsid w:val="133B07D3"/>
    <w:rsid w:val="13B85E6A"/>
    <w:rsid w:val="13D6674E"/>
    <w:rsid w:val="14AD5701"/>
    <w:rsid w:val="14C32369"/>
    <w:rsid w:val="153943AF"/>
    <w:rsid w:val="15477903"/>
    <w:rsid w:val="156F29B6"/>
    <w:rsid w:val="15920736"/>
    <w:rsid w:val="15DC65E3"/>
    <w:rsid w:val="17A4103D"/>
    <w:rsid w:val="17FA1D07"/>
    <w:rsid w:val="1881137E"/>
    <w:rsid w:val="190B19F9"/>
    <w:rsid w:val="196B3BC9"/>
    <w:rsid w:val="196C5B8A"/>
    <w:rsid w:val="19A5109C"/>
    <w:rsid w:val="1A0C2EC9"/>
    <w:rsid w:val="1A6D6F89"/>
    <w:rsid w:val="1B3C7454"/>
    <w:rsid w:val="1B886580"/>
    <w:rsid w:val="1B943177"/>
    <w:rsid w:val="1BAC6712"/>
    <w:rsid w:val="1BB11F7A"/>
    <w:rsid w:val="1BC03F6C"/>
    <w:rsid w:val="1C0C71B1"/>
    <w:rsid w:val="1CA850A2"/>
    <w:rsid w:val="1CAF3BAB"/>
    <w:rsid w:val="1CD06430"/>
    <w:rsid w:val="1D012A8E"/>
    <w:rsid w:val="1DCA2E80"/>
    <w:rsid w:val="1E7F6837"/>
    <w:rsid w:val="1EAB0F03"/>
    <w:rsid w:val="1ED146E2"/>
    <w:rsid w:val="1F122D30"/>
    <w:rsid w:val="1FD46E59"/>
    <w:rsid w:val="2027280B"/>
    <w:rsid w:val="20670E5A"/>
    <w:rsid w:val="20F562C0"/>
    <w:rsid w:val="20FC3C98"/>
    <w:rsid w:val="21051C71"/>
    <w:rsid w:val="212E7BC9"/>
    <w:rsid w:val="21423843"/>
    <w:rsid w:val="21590ACC"/>
    <w:rsid w:val="22577148"/>
    <w:rsid w:val="22AC524A"/>
    <w:rsid w:val="2308571D"/>
    <w:rsid w:val="23130E25"/>
    <w:rsid w:val="23152DEF"/>
    <w:rsid w:val="23627FFE"/>
    <w:rsid w:val="238241FC"/>
    <w:rsid w:val="23927375"/>
    <w:rsid w:val="243C1541"/>
    <w:rsid w:val="2460532C"/>
    <w:rsid w:val="25493224"/>
    <w:rsid w:val="255870C9"/>
    <w:rsid w:val="258D0968"/>
    <w:rsid w:val="26956DF8"/>
    <w:rsid w:val="269E7C09"/>
    <w:rsid w:val="270F5DA7"/>
    <w:rsid w:val="27C40A27"/>
    <w:rsid w:val="287E4F92"/>
    <w:rsid w:val="28AA5315"/>
    <w:rsid w:val="28B210E0"/>
    <w:rsid w:val="28D54528"/>
    <w:rsid w:val="295D54F0"/>
    <w:rsid w:val="298365D8"/>
    <w:rsid w:val="2A422128"/>
    <w:rsid w:val="2A4823D4"/>
    <w:rsid w:val="2A5E151F"/>
    <w:rsid w:val="2B095386"/>
    <w:rsid w:val="2B11461F"/>
    <w:rsid w:val="2B391645"/>
    <w:rsid w:val="2B65243A"/>
    <w:rsid w:val="2BC03B14"/>
    <w:rsid w:val="2BC76C50"/>
    <w:rsid w:val="2BF10209"/>
    <w:rsid w:val="2C2322E7"/>
    <w:rsid w:val="2C2C11A9"/>
    <w:rsid w:val="2C6B7F24"/>
    <w:rsid w:val="2C7D37B3"/>
    <w:rsid w:val="2CA1772C"/>
    <w:rsid w:val="2CA84CD4"/>
    <w:rsid w:val="2CBA0563"/>
    <w:rsid w:val="2D2F2CFF"/>
    <w:rsid w:val="2D5E5392"/>
    <w:rsid w:val="2D6A3D37"/>
    <w:rsid w:val="2EA94D33"/>
    <w:rsid w:val="2EB77450"/>
    <w:rsid w:val="2F1D42E7"/>
    <w:rsid w:val="2F5E5A76"/>
    <w:rsid w:val="2F9B2584"/>
    <w:rsid w:val="2FB83480"/>
    <w:rsid w:val="2FBE0EB7"/>
    <w:rsid w:val="2FCC0CD9"/>
    <w:rsid w:val="2FDE0A0C"/>
    <w:rsid w:val="30313232"/>
    <w:rsid w:val="30422D49"/>
    <w:rsid w:val="306F78B6"/>
    <w:rsid w:val="30AC4667"/>
    <w:rsid w:val="31140B8A"/>
    <w:rsid w:val="31300370"/>
    <w:rsid w:val="31466CA2"/>
    <w:rsid w:val="31886E82"/>
    <w:rsid w:val="31B639EF"/>
    <w:rsid w:val="32515A0D"/>
    <w:rsid w:val="32A877CC"/>
    <w:rsid w:val="32B31CDC"/>
    <w:rsid w:val="32C81234"/>
    <w:rsid w:val="33564B72"/>
    <w:rsid w:val="33835B53"/>
    <w:rsid w:val="33CB74FA"/>
    <w:rsid w:val="34270BD4"/>
    <w:rsid w:val="346911EC"/>
    <w:rsid w:val="34C208FD"/>
    <w:rsid w:val="35573916"/>
    <w:rsid w:val="35E54A6E"/>
    <w:rsid w:val="35E7171B"/>
    <w:rsid w:val="3630291D"/>
    <w:rsid w:val="363C282A"/>
    <w:rsid w:val="36751779"/>
    <w:rsid w:val="367E6AA5"/>
    <w:rsid w:val="36C413B9"/>
    <w:rsid w:val="380011F0"/>
    <w:rsid w:val="38675A43"/>
    <w:rsid w:val="386D0B7F"/>
    <w:rsid w:val="38AD16A4"/>
    <w:rsid w:val="38C25FE8"/>
    <w:rsid w:val="38E52E0C"/>
    <w:rsid w:val="39123A15"/>
    <w:rsid w:val="392C7780"/>
    <w:rsid w:val="3A63544E"/>
    <w:rsid w:val="3A687246"/>
    <w:rsid w:val="3A9659D3"/>
    <w:rsid w:val="3AB54D18"/>
    <w:rsid w:val="3AB72586"/>
    <w:rsid w:val="3ADC1BAC"/>
    <w:rsid w:val="3B5D497D"/>
    <w:rsid w:val="3C3A521C"/>
    <w:rsid w:val="3CE77152"/>
    <w:rsid w:val="3D0268A8"/>
    <w:rsid w:val="3D4A148F"/>
    <w:rsid w:val="3D97168C"/>
    <w:rsid w:val="3EBA4F14"/>
    <w:rsid w:val="3EC6723B"/>
    <w:rsid w:val="3EFD0EAF"/>
    <w:rsid w:val="3FDD2F01"/>
    <w:rsid w:val="40866C82"/>
    <w:rsid w:val="40B818BF"/>
    <w:rsid w:val="40B97948"/>
    <w:rsid w:val="418D1865"/>
    <w:rsid w:val="418D2A97"/>
    <w:rsid w:val="41B95720"/>
    <w:rsid w:val="41F23ACD"/>
    <w:rsid w:val="445B21D4"/>
    <w:rsid w:val="44B409FB"/>
    <w:rsid w:val="44CD5094"/>
    <w:rsid w:val="45262AFA"/>
    <w:rsid w:val="4550160D"/>
    <w:rsid w:val="45667082"/>
    <w:rsid w:val="456C0989"/>
    <w:rsid w:val="45B55E6D"/>
    <w:rsid w:val="46357180"/>
    <w:rsid w:val="4645313C"/>
    <w:rsid w:val="46827EEC"/>
    <w:rsid w:val="46AA2F9F"/>
    <w:rsid w:val="46CC3DB2"/>
    <w:rsid w:val="46D21877"/>
    <w:rsid w:val="46D71951"/>
    <w:rsid w:val="47581320"/>
    <w:rsid w:val="4778673B"/>
    <w:rsid w:val="47BC5C53"/>
    <w:rsid w:val="48193EC2"/>
    <w:rsid w:val="48806EA9"/>
    <w:rsid w:val="48822197"/>
    <w:rsid w:val="48E46C3C"/>
    <w:rsid w:val="49AE2DA6"/>
    <w:rsid w:val="49F66C36"/>
    <w:rsid w:val="4A413C1A"/>
    <w:rsid w:val="4B335C59"/>
    <w:rsid w:val="4B767B1E"/>
    <w:rsid w:val="4C0B44E0"/>
    <w:rsid w:val="4C285091"/>
    <w:rsid w:val="4C6D1FBB"/>
    <w:rsid w:val="4C725E10"/>
    <w:rsid w:val="4CA11C86"/>
    <w:rsid w:val="4CB10C20"/>
    <w:rsid w:val="4CCE6D0D"/>
    <w:rsid w:val="4D437238"/>
    <w:rsid w:val="4D4C3002"/>
    <w:rsid w:val="4EAE1256"/>
    <w:rsid w:val="4F161B19"/>
    <w:rsid w:val="50083210"/>
    <w:rsid w:val="50A867A1"/>
    <w:rsid w:val="50BF1FC8"/>
    <w:rsid w:val="50C7131D"/>
    <w:rsid w:val="514C6430"/>
    <w:rsid w:val="52A337B8"/>
    <w:rsid w:val="532C190B"/>
    <w:rsid w:val="53DB0C3B"/>
    <w:rsid w:val="53FC752F"/>
    <w:rsid w:val="541A3860"/>
    <w:rsid w:val="54994D7E"/>
    <w:rsid w:val="559B1E1A"/>
    <w:rsid w:val="55A90FF1"/>
    <w:rsid w:val="55DB3175"/>
    <w:rsid w:val="57016C0B"/>
    <w:rsid w:val="585A775C"/>
    <w:rsid w:val="58805459"/>
    <w:rsid w:val="588B44F8"/>
    <w:rsid w:val="58BF5411"/>
    <w:rsid w:val="5913587D"/>
    <w:rsid w:val="592B7F6F"/>
    <w:rsid w:val="596A6CE9"/>
    <w:rsid w:val="59F82547"/>
    <w:rsid w:val="5AC661A1"/>
    <w:rsid w:val="5AE247D8"/>
    <w:rsid w:val="5B417F1E"/>
    <w:rsid w:val="5B52640E"/>
    <w:rsid w:val="5C0C4088"/>
    <w:rsid w:val="5C27795C"/>
    <w:rsid w:val="5C5305C6"/>
    <w:rsid w:val="5C9A5B38"/>
    <w:rsid w:val="5CF05758"/>
    <w:rsid w:val="5D3B7BF9"/>
    <w:rsid w:val="5D812854"/>
    <w:rsid w:val="5E2A6A47"/>
    <w:rsid w:val="5E512226"/>
    <w:rsid w:val="5E6D1A25"/>
    <w:rsid w:val="5E766130"/>
    <w:rsid w:val="5F1F0576"/>
    <w:rsid w:val="5FFB2762"/>
    <w:rsid w:val="601B4AB2"/>
    <w:rsid w:val="60477D84"/>
    <w:rsid w:val="60996106"/>
    <w:rsid w:val="60BA121F"/>
    <w:rsid w:val="60E70C20"/>
    <w:rsid w:val="61263C84"/>
    <w:rsid w:val="6194746E"/>
    <w:rsid w:val="61A15272"/>
    <w:rsid w:val="61A426DB"/>
    <w:rsid w:val="61D03DA9"/>
    <w:rsid w:val="620F042E"/>
    <w:rsid w:val="621A068C"/>
    <w:rsid w:val="62816AEB"/>
    <w:rsid w:val="62FA229D"/>
    <w:rsid w:val="630809D1"/>
    <w:rsid w:val="6320666B"/>
    <w:rsid w:val="632D58C6"/>
    <w:rsid w:val="63550E6F"/>
    <w:rsid w:val="63554566"/>
    <w:rsid w:val="63EE6769"/>
    <w:rsid w:val="642342DE"/>
    <w:rsid w:val="642E1F2E"/>
    <w:rsid w:val="64964E36"/>
    <w:rsid w:val="65911CB5"/>
    <w:rsid w:val="65D032A8"/>
    <w:rsid w:val="65F77B57"/>
    <w:rsid w:val="660B715E"/>
    <w:rsid w:val="6614668C"/>
    <w:rsid w:val="662121FF"/>
    <w:rsid w:val="66A7157D"/>
    <w:rsid w:val="673A0F3D"/>
    <w:rsid w:val="6791267E"/>
    <w:rsid w:val="68131439"/>
    <w:rsid w:val="6830229F"/>
    <w:rsid w:val="68574D1B"/>
    <w:rsid w:val="685B3DB5"/>
    <w:rsid w:val="68FB5BB0"/>
    <w:rsid w:val="68FC61BF"/>
    <w:rsid w:val="692A657D"/>
    <w:rsid w:val="69A41DA4"/>
    <w:rsid w:val="69EA352F"/>
    <w:rsid w:val="6A6032F2"/>
    <w:rsid w:val="6AF705F9"/>
    <w:rsid w:val="6B8E4AB9"/>
    <w:rsid w:val="6BD04D39"/>
    <w:rsid w:val="6C511366"/>
    <w:rsid w:val="6C5E4739"/>
    <w:rsid w:val="6C6B6BA9"/>
    <w:rsid w:val="6CC51F64"/>
    <w:rsid w:val="6DB37557"/>
    <w:rsid w:val="6E0E3640"/>
    <w:rsid w:val="6E25722B"/>
    <w:rsid w:val="6E7206C2"/>
    <w:rsid w:val="6F321C00"/>
    <w:rsid w:val="6F83245B"/>
    <w:rsid w:val="6F863CF9"/>
    <w:rsid w:val="6F896044"/>
    <w:rsid w:val="6FBE6451"/>
    <w:rsid w:val="6FD131C7"/>
    <w:rsid w:val="70074E3A"/>
    <w:rsid w:val="70E21403"/>
    <w:rsid w:val="70F96386"/>
    <w:rsid w:val="71092E34"/>
    <w:rsid w:val="71A32E24"/>
    <w:rsid w:val="71C733BC"/>
    <w:rsid w:val="71F80EDE"/>
    <w:rsid w:val="72B648F6"/>
    <w:rsid w:val="731F693F"/>
    <w:rsid w:val="734712AB"/>
    <w:rsid w:val="736D3E45"/>
    <w:rsid w:val="73A051F4"/>
    <w:rsid w:val="73EF1E6D"/>
    <w:rsid w:val="750000AA"/>
    <w:rsid w:val="75395AE6"/>
    <w:rsid w:val="7582310C"/>
    <w:rsid w:val="75A75028"/>
    <w:rsid w:val="75C630A2"/>
    <w:rsid w:val="75C86E1A"/>
    <w:rsid w:val="769E5DCD"/>
    <w:rsid w:val="76EA1012"/>
    <w:rsid w:val="76F52AFE"/>
    <w:rsid w:val="77A66FA4"/>
    <w:rsid w:val="77DA4BE2"/>
    <w:rsid w:val="78474627"/>
    <w:rsid w:val="785C7CED"/>
    <w:rsid w:val="78A771BA"/>
    <w:rsid w:val="78FF0DA4"/>
    <w:rsid w:val="792F71B0"/>
    <w:rsid w:val="796400CB"/>
    <w:rsid w:val="7A2D5EF4"/>
    <w:rsid w:val="7A804167"/>
    <w:rsid w:val="7A951A42"/>
    <w:rsid w:val="7AD640E6"/>
    <w:rsid w:val="7B0B70B3"/>
    <w:rsid w:val="7B205002"/>
    <w:rsid w:val="7BC10DC0"/>
    <w:rsid w:val="7C42727D"/>
    <w:rsid w:val="7CA9211B"/>
    <w:rsid w:val="7CD85128"/>
    <w:rsid w:val="7D036989"/>
    <w:rsid w:val="7D3D235A"/>
    <w:rsid w:val="7D5316BF"/>
    <w:rsid w:val="7D8F2650"/>
    <w:rsid w:val="7D9C12B8"/>
    <w:rsid w:val="7DA77C5D"/>
    <w:rsid w:val="7E431733"/>
    <w:rsid w:val="7E486D4A"/>
    <w:rsid w:val="7E8813E9"/>
    <w:rsid w:val="7E885398"/>
    <w:rsid w:val="7E8B66C5"/>
    <w:rsid w:val="7F5259A6"/>
    <w:rsid w:val="7F5B485B"/>
    <w:rsid w:val="7F6C60FE"/>
    <w:rsid w:val="7F9F1C88"/>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autoSpaceDE w:val="0"/>
      <w:autoSpaceDN w:val="0"/>
      <w:jc w:val="center"/>
      <w:outlineLvl w:val="1"/>
    </w:pPr>
    <w:rPr>
      <w:rFonts w:ascii="宋体" w:hAnsi="宋体"/>
      <w:color w:val="000000"/>
      <w:kern w:val="0"/>
      <w:sz w:val="30"/>
      <w:szCs w:val="1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ind w:firstLine="425"/>
    </w:pPr>
    <w:rPr>
      <w:rFonts w:ascii="Times New Roman" w:hAnsi="Times New Roman" w:eastAsia="宋体" w:cs="Times New Roman"/>
      <w:szCs w:val="20"/>
    </w:rPr>
  </w:style>
  <w:style w:type="paragraph" w:customStyle="1" w:styleId="4">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5">
    <w:name w:val="caption"/>
    <w:basedOn w:val="1"/>
    <w:next w:val="1"/>
    <w:qFormat/>
    <w:uiPriority w:val="99"/>
    <w:rPr>
      <w:rFonts w:ascii="Arial" w:hAnsi="Arial" w:eastAsia="黑体" w:cs="Arial"/>
      <w:sz w:val="20"/>
      <w:szCs w:val="20"/>
    </w:rPr>
  </w:style>
  <w:style w:type="paragraph" w:styleId="6">
    <w:name w:val="annotation text"/>
    <w:basedOn w:val="1"/>
    <w:qFormat/>
    <w:uiPriority w:val="0"/>
    <w:pPr>
      <w:jc w:val="left"/>
    </w:pPr>
  </w:style>
  <w:style w:type="paragraph" w:styleId="7">
    <w:name w:val="Body Text"/>
    <w:basedOn w:val="1"/>
    <w:unhideWhenUsed/>
    <w:qFormat/>
    <w:uiPriority w:val="0"/>
    <w:pPr>
      <w:spacing w:after="120"/>
    </w:pPr>
  </w:style>
  <w:style w:type="paragraph" w:styleId="8">
    <w:name w:val="Body Text Indent"/>
    <w:basedOn w:val="1"/>
    <w:next w:val="3"/>
    <w:qFormat/>
    <w:uiPriority w:val="0"/>
    <w:pPr>
      <w:adjustRightInd w:val="0"/>
      <w:spacing w:after="120" w:line="360" w:lineRule="atLeast"/>
      <w:ind w:left="420" w:leftChars="200"/>
      <w:jc w:val="left"/>
      <w:textAlignment w:val="baseline"/>
    </w:pPr>
    <w:rPr>
      <w:kern w:val="0"/>
      <w:sz w:val="24"/>
      <w:szCs w:val="20"/>
    </w:rPr>
  </w:style>
  <w:style w:type="paragraph" w:styleId="9">
    <w:name w:val="Plain Text"/>
    <w:basedOn w:val="1"/>
    <w:qFormat/>
    <w:uiPriority w:val="99"/>
    <w:rPr>
      <w:rFonts w:eastAsia="宋体"/>
      <w:sz w:val="24"/>
    </w:rPr>
  </w:style>
  <w:style w:type="paragraph" w:styleId="10">
    <w:name w:val="Date"/>
    <w:basedOn w:val="1"/>
    <w:next w:val="1"/>
    <w:unhideWhenUsed/>
    <w:qFormat/>
    <w:uiPriority w:val="99"/>
    <w:pPr>
      <w:ind w:left="100" w:leftChars="2500"/>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Body Text 2"/>
    <w:basedOn w:val="1"/>
    <w:next w:val="7"/>
    <w:qFormat/>
    <w:uiPriority w:val="0"/>
    <w:pPr>
      <w:spacing w:after="120" w:line="480" w:lineRule="auto"/>
    </w:pPr>
  </w:style>
  <w:style w:type="paragraph" w:styleId="15">
    <w:name w:val="Normal (Web)"/>
    <w:basedOn w:val="1"/>
    <w:qFormat/>
    <w:uiPriority w:val="99"/>
    <w:rPr>
      <w:rFonts w:ascii="Calibri" w:hAnsi="Calibri" w:eastAsia="宋体" w:cs="Times New Roman"/>
      <w:sz w:val="24"/>
      <w:szCs w:val="24"/>
    </w:rPr>
  </w:style>
  <w:style w:type="paragraph" w:styleId="16">
    <w:name w:val="Body Text First Indent"/>
    <w:basedOn w:val="7"/>
    <w:next w:val="1"/>
    <w:qFormat/>
    <w:uiPriority w:val="0"/>
    <w:pPr>
      <w:ind w:firstLine="420" w:firstLineChars="100"/>
    </w:pPr>
    <w:rPr>
      <w:rFonts w:ascii="宋体" w:hAnsi="Times New Roman" w:eastAsia="宋体" w:cs="Times New Roman"/>
      <w:kern w:val="0"/>
      <w:sz w:val="34"/>
      <w:szCs w:val="20"/>
    </w:rPr>
  </w:style>
  <w:style w:type="paragraph" w:styleId="17">
    <w:name w:val="Body Text First Indent 2"/>
    <w:basedOn w:val="8"/>
    <w:next w:val="1"/>
    <w:qFormat/>
    <w:uiPriority w:val="99"/>
    <w:pPr>
      <w:tabs>
        <w:tab w:val="left" w:pos="945"/>
        <w:tab w:val="left" w:pos="1155"/>
      </w:tabs>
      <w:ind w:firstLine="420" w:firstLineChars="200"/>
    </w:p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FollowedHyperlink"/>
    <w:basedOn w:val="20"/>
    <w:qFormat/>
    <w:uiPriority w:val="0"/>
    <w:rPr>
      <w:color w:val="444444"/>
      <w:sz w:val="21"/>
      <w:szCs w:val="21"/>
      <w:u w:val="none"/>
    </w:rPr>
  </w:style>
  <w:style w:type="character" w:styleId="22">
    <w:name w:val="Hyperlink"/>
    <w:basedOn w:val="20"/>
    <w:unhideWhenUsed/>
    <w:qFormat/>
    <w:uiPriority w:val="0"/>
    <w:rPr>
      <w:color w:val="000000"/>
      <w:u w:val="none"/>
    </w:rPr>
  </w:style>
  <w:style w:type="paragraph" w:customStyle="1" w:styleId="23">
    <w:name w:val="列出段落1"/>
    <w:basedOn w:val="1"/>
    <w:qFormat/>
    <w:uiPriority w:val="34"/>
    <w:pPr>
      <w:ind w:firstLine="420" w:firstLineChars="200"/>
    </w:pPr>
  </w:style>
  <w:style w:type="paragraph" w:customStyle="1" w:styleId="24">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5">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26">
    <w:name w:val="style4"/>
    <w:basedOn w:val="1"/>
    <w:next w:val="27"/>
    <w:qFormat/>
    <w:uiPriority w:val="0"/>
    <w:pPr>
      <w:widowControl/>
      <w:spacing w:before="280" w:after="280"/>
    </w:pPr>
    <w:rPr>
      <w:rFonts w:ascii="宋体" w:hAnsi="Times New Roman" w:eastAsia="宋体" w:cs="Times New Roman"/>
      <w:sz w:val="18"/>
    </w:rPr>
  </w:style>
  <w:style w:type="paragraph" w:customStyle="1" w:styleId="27">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8">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9">
    <w:name w:val="列表段落3"/>
    <w:basedOn w:val="1"/>
    <w:qFormat/>
    <w:uiPriority w:val="99"/>
    <w:pPr>
      <w:ind w:firstLine="420" w:firstLineChars="200"/>
    </w:pPr>
  </w:style>
  <w:style w:type="paragraph" w:styleId="30">
    <w:name w:val="List Paragraph"/>
    <w:basedOn w:val="1"/>
    <w:unhideWhenUsed/>
    <w:qFormat/>
    <w:uiPriority w:val="34"/>
    <w:pPr>
      <w:ind w:firstLine="420" w:firstLineChars="200"/>
    </w:pPr>
  </w:style>
  <w:style w:type="paragraph" w:customStyle="1" w:styleId="31">
    <w:name w:val="样式1"/>
    <w:basedOn w:val="1"/>
    <w:qFormat/>
    <w:uiPriority w:val="0"/>
    <w:pPr>
      <w:numPr>
        <w:ilvl w:val="0"/>
        <w:numId w:val="1"/>
      </w:numPr>
      <w:adjustRightInd w:val="0"/>
      <w:textAlignment w:val="baseline"/>
    </w:pPr>
    <w:rPr>
      <w:rFonts w:ascii="宋体" w:hAnsi="宋体" w:eastAsia="宋体" w:cs="Times New Roman"/>
      <w:kern w:val="0"/>
      <w:szCs w:val="21"/>
    </w:rPr>
  </w:style>
  <w:style w:type="character" w:customStyle="1" w:styleId="32">
    <w:name w:val="NormalCharacter"/>
    <w:qFormat/>
    <w:uiPriority w:val="0"/>
  </w:style>
  <w:style w:type="paragraph" w:styleId="33">
    <w:name w:val="No Spacing"/>
    <w:qFormat/>
    <w:uiPriority w:val="1"/>
    <w:pPr>
      <w:widowControl w:val="0"/>
      <w:spacing w:line="360" w:lineRule="auto"/>
      <w:jc w:val="both"/>
    </w:pPr>
    <w:rPr>
      <w:rFonts w:ascii="宋体" w:eastAsia="宋体" w:hAnsiTheme="minorHAnsi" w:cstheme="minorBidi"/>
      <w:kern w:val="2"/>
      <w:sz w:val="24"/>
      <w:szCs w:val="22"/>
      <w:lang w:val="en-US" w:eastAsia="zh-CN" w:bidi="ar-SA"/>
    </w:rPr>
  </w:style>
  <w:style w:type="paragraph" w:customStyle="1" w:styleId="34">
    <w:name w:val="样式 样式 样式 样式 标题 2 + 宋体 五号 非加粗 黑色 + 段前: 6 磅 段后: 0 磅 行距: 单倍行距 + 段前:..."/>
    <w:basedOn w:val="1"/>
    <w:qFormat/>
    <w:uiPriority w:val="0"/>
    <w:pPr>
      <w:keepNext/>
      <w:keepLines/>
      <w:numPr>
        <w:ilvl w:val="0"/>
        <w:numId w:val="2"/>
      </w:numPr>
      <w:adjustRightInd w:val="0"/>
      <w:spacing w:before="240"/>
      <w:jc w:val="left"/>
      <w:textAlignment w:val="baseline"/>
      <w:outlineLvl w:val="1"/>
    </w:pPr>
    <w:rPr>
      <w:rFonts w:ascii="宋体" w:hAnsi="宋体" w:eastAsia="宋体" w:cs="宋体"/>
      <w:b/>
      <w:bCs/>
      <w:color w:val="000000"/>
      <w:kern w:val="0"/>
      <w:szCs w:val="20"/>
    </w:rPr>
  </w:style>
  <w:style w:type="paragraph" w:customStyle="1" w:styleId="35">
    <w:name w:val="正文文本缩进1"/>
    <w:basedOn w:val="1"/>
    <w:qFormat/>
    <w:uiPriority w:val="0"/>
    <w:pPr>
      <w:spacing w:line="360" w:lineRule="auto"/>
      <w:ind w:firstLine="480" w:firstLineChars="200"/>
    </w:pPr>
    <w:rPr>
      <w:rFonts w:ascii="宋体"/>
      <w:sz w:val="24"/>
    </w:rPr>
  </w:style>
  <w:style w:type="paragraph" w:customStyle="1" w:styleId="36">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37">
    <w:name w:val="日期1"/>
    <w:basedOn w:val="1"/>
    <w:next w:val="1"/>
    <w:qFormat/>
    <w:uiPriority w:val="0"/>
    <w:rPr>
      <w:sz w:val="24"/>
    </w:rPr>
  </w:style>
  <w:style w:type="paragraph" w:customStyle="1" w:styleId="38">
    <w:name w:val="Table Text"/>
    <w:basedOn w:val="1"/>
    <w:semiHidden/>
    <w:qFormat/>
    <w:uiPriority w:val="0"/>
    <w:rPr>
      <w:rFonts w:ascii="宋体" w:hAnsi="宋体" w:eastAsia="宋体" w:cs="宋体"/>
      <w:sz w:val="22"/>
      <w:szCs w:val="22"/>
      <w:lang w:val="en-US" w:eastAsia="en-US" w:bidi="ar-SA"/>
    </w:rPr>
  </w:style>
  <w:style w:type="table" w:customStyle="1" w:styleId="39">
    <w:name w:val="Table Normal"/>
    <w:semiHidden/>
    <w:unhideWhenUsed/>
    <w:qFormat/>
    <w:uiPriority w:val="0"/>
    <w:tblPr>
      <w:tblCellMar>
        <w:top w:w="0" w:type="dxa"/>
        <w:left w:w="0" w:type="dxa"/>
        <w:bottom w:w="0" w:type="dxa"/>
        <w:right w:w="0" w:type="dxa"/>
      </w:tblCellMar>
    </w:tblPr>
  </w:style>
  <w:style w:type="paragraph" w:customStyle="1" w:styleId="40">
    <w:name w:val="表格文字"/>
    <w:basedOn w:val="1"/>
    <w:next w:val="7"/>
    <w:qFormat/>
    <w:uiPriority w:val="0"/>
    <w:pPr>
      <w:widowControl/>
      <w:spacing w:line="300" w:lineRule="auto"/>
      <w:jc w:val="left"/>
    </w:pPr>
    <w:rPr>
      <w:rFonts w:ascii="宋体" w:hAnsi="宋体"/>
      <w:sz w:val="24"/>
      <w:szCs w:val="32"/>
    </w:rPr>
  </w:style>
  <w:style w:type="character" w:customStyle="1" w:styleId="41">
    <w:name w:val="hover18"/>
    <w:basedOn w:val="20"/>
    <w:qFormat/>
    <w:uiPriority w:val="0"/>
  </w:style>
  <w:style w:type="paragraph" w:customStyle="1" w:styleId="42">
    <w:name w:val="HtmlNormal"/>
    <w:basedOn w:val="1"/>
    <w:qFormat/>
    <w:uiPriority w:val="0"/>
    <w:rPr>
      <w:sz w:val="24"/>
      <w:szCs w:val="24"/>
    </w:rPr>
  </w:style>
  <w:style w:type="paragraph" w:customStyle="1" w:styleId="43">
    <w:name w:val="Body text|4"/>
    <w:basedOn w:val="1"/>
    <w:qFormat/>
    <w:uiPriority w:val="0"/>
    <w:pPr>
      <w:widowControl w:val="0"/>
      <w:shd w:val="clear" w:color="auto" w:fill="auto"/>
      <w:ind w:right="660"/>
      <w:jc w:val="right"/>
    </w:pPr>
    <w:rPr>
      <w:rFonts w:ascii="宋体" w:hAnsi="宋体" w:eastAsia="宋体" w:cs="宋体"/>
      <w:color w:val="434E5A"/>
      <w:sz w:val="26"/>
      <w:szCs w:val="26"/>
      <w:u w:val="none"/>
      <w:shd w:val="clear" w:color="auto" w:fill="auto"/>
      <w:lang w:val="zh-TW" w:eastAsia="zh-TW" w:bidi="zh-TW"/>
    </w:rPr>
  </w:style>
  <w:style w:type="paragraph" w:customStyle="1" w:styleId="44">
    <w:name w:val="Heading #2|1"/>
    <w:basedOn w:val="1"/>
    <w:qFormat/>
    <w:uiPriority w:val="0"/>
    <w:pPr>
      <w:widowControl w:val="0"/>
      <w:shd w:val="clear" w:color="auto" w:fill="auto"/>
      <w:spacing w:after="270" w:line="590" w:lineRule="exact"/>
      <w:jc w:val="center"/>
      <w:outlineLvl w:val="1"/>
    </w:pPr>
    <w:rPr>
      <w:rFonts w:ascii="宋体" w:hAnsi="宋体" w:eastAsia="宋体" w:cs="宋体"/>
      <w:color w:val="58646D"/>
      <w:sz w:val="42"/>
      <w:szCs w:val="42"/>
      <w:u w:val="none"/>
      <w:shd w:val="clear" w:color="auto" w:fill="auto"/>
      <w:lang w:val="zh-TW" w:eastAsia="zh-TW" w:bidi="zh-TW"/>
    </w:rPr>
  </w:style>
  <w:style w:type="paragraph" w:customStyle="1" w:styleId="45">
    <w:name w:val="Body text|1"/>
    <w:basedOn w:val="1"/>
    <w:qFormat/>
    <w:uiPriority w:val="0"/>
    <w:pPr>
      <w:widowControl w:val="0"/>
      <w:shd w:val="clear" w:color="auto" w:fill="auto"/>
      <w:spacing w:line="379" w:lineRule="auto"/>
      <w:ind w:firstLine="400"/>
    </w:pPr>
    <w:rPr>
      <w:rFonts w:ascii="宋体" w:hAnsi="宋体" w:eastAsia="宋体" w:cs="宋体"/>
      <w:color w:val="434E5A"/>
      <w:sz w:val="22"/>
      <w:szCs w:val="22"/>
      <w:u w:val="none"/>
      <w:shd w:val="clear" w:color="auto" w:fill="auto"/>
      <w:lang w:val="zh-TW" w:eastAsia="zh-TW" w:bidi="zh-TW"/>
    </w:rPr>
  </w:style>
  <w:style w:type="paragraph" w:customStyle="1" w:styleId="46">
    <w:name w:val="Header or footer|1"/>
    <w:basedOn w:val="1"/>
    <w:qFormat/>
    <w:uiPriority w:val="0"/>
    <w:pPr>
      <w:widowControl w:val="0"/>
      <w:shd w:val="clear" w:color="auto" w:fill="auto"/>
    </w:pPr>
    <w:rPr>
      <w:sz w:val="17"/>
      <w:szCs w:val="17"/>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43790362-4b90-47a7-bb50-583a677ecaac</errorID>
      <errorWord>（</errorWord>
      <group>L1_Punc</group>
      <groupName>标点问题</groupName>
      <ability>L2_Punc_CN</ability>
      <abilityName>标点符号问题</abilityName>
      <candidateList/>
      <explain>同一形式括号套用。</explain>
      <paraID>2B89CE85</paraID>
      <start>90</start>
      <end>91</end>
      <status>unmodified</status>
      <modifiedWord/>
      <trackRevisions>false</trackRevisions>
    </reviewItem>
    <reviewItem>
      <errorID>fa8f89b8-0772-4cc5-9676-a2c4d609e531</errorID>
      <errorWord>）</errorWord>
      <group>L1_Punc</group>
      <groupName>标点问题</groupName>
      <ability>L2_Punc_CN</ability>
      <abilityName>标点符号问题</abilityName>
      <candidateList/>
      <explain>同一形式括号套用。</explain>
      <paraID>2B89CE85</paraID>
      <start>98</start>
      <end>99</end>
      <status>unmodified</status>
      <modifiedWord/>
      <trackRevisions>false</trackRevisions>
    </reviewItem>
    <reviewItem>
      <errorID>d6b14322-37b7-4ca1-bffc-34ad56294db6</errorID>
      <errorWord>日至2026年</errorWord>
      <group>L1_Word</group>
      <groupName>字词问题</groupName>
      <ability>L2_Typo</ability>
      <abilityName>字词错误</abilityName>
      <candidateList>
        <item>日起至2026年</item>
      </candidateList>
      <explain/>
      <paraID>2B89CEB3</paraID>
      <start>14</start>
      <end>21</end>
      <status>unmodified</status>
      <modifiedWord/>
      <trackRevisions>false</trackRevisions>
    </reviewItem>
    <reviewItem>
      <errorID>b2e0ebac-e00b-45bc-9863-292ac0fcb230</errorID>
      <errorWord>上午00:00</errorWord>
      <group>L1_Knowledge</group>
      <groupName>知识性问题</groupName>
      <ability>L2_Time</ability>
      <abilityName>日期时间</abilityName>
      <candidateList/>
      <explain>时间与前缀不匹配，可能的时间前缀有“下午、晚上、凌晨、午夜”。</explain>
      <paraID>2B89CEB3</paraID>
      <start>30</start>
      <end>37</end>
      <status>unmodified</status>
      <modifiedWord/>
      <trackRevisions>false</trackRevisions>
    </reviewItem>
    <reviewItem>
      <errorID>ce293e22-1fa3-408e-a4b9-53f33951a880</errorID>
      <errorWord>.</errorWord>
      <group>L1_Format</group>
      <groupName>格式问题</groupName>
      <ability>L2_HalfPunc_CN</ability>
      <abilityName>全半角问题</abilityName>
      <candidateList>
        <item>。</item>
      </candidateList>
      <explain>文本全半角错误。</explain>
      <paraID>2B89CEB9</paraID>
      <start>81</start>
      <end>82</end>
      <status>unmodified</status>
      <modifiedWord/>
      <trackRevisions>false</trackRevisions>
    </reviewItem>
    <reviewItem>
      <errorID>6359ffaf-05b7-4e96-8471-49655f3eefb0</errorID>
      <errorWord>.</errorWord>
      <group>L1_Format</group>
      <groupName>格式问题</groupName>
      <ability>L2_HalfPunc_CN</ability>
      <abilityName>全半角问题</abilityName>
      <candidateList>
        <item>。</item>
      </candidateList>
      <explain>文本全半角错误。</explain>
      <paraID>4EF8F44C</paraID>
      <start>68</start>
      <end>69</end>
      <status>unmodified</status>
      <modifiedWord/>
      <trackRevisions>false</trackRevisions>
    </reviewItem>
    <reviewItem>
      <errorID>0d81debe-0c23-4205-8d38-2f8dd9ea5d74</errorID>
      <errorWord>.</errorWord>
      <group>L1_Format</group>
      <groupName>格式问题</groupName>
      <ability>L2_HalfPunc_CN</ability>
      <abilityName>全半角问题</abilityName>
      <candidateList>
        <item>。</item>
      </candidateList>
      <explain>文本全半角错误。</explain>
      <paraID>4EF8F44C</paraID>
      <start>75</start>
      <end>76</end>
      <status>unmodified</status>
      <modifiedWord/>
      <trackRevisions>false</trackRevisions>
    </reviewItem>
    <reviewItem>
      <errorID>7652ffda-de50-4bd0-9cba-6aab93a5e874</errorID>
      <errorWord>“.</errorWord>
      <group>L1_Punc</group>
      <groupName>标点问题</groupName>
      <ability>L2_Punc_CN</ability>
      <abilityName>标点符号问题</abilityName>
      <candidateList>
        <item>“</item>
      </candidateList>
      <explain/>
      <paraID>4EF8F44C</paraID>
      <start>91</start>
      <end>93</end>
      <status>unmodified</status>
      <modifiedWord/>
      <trackRevisions>false</trackRevisions>
    </reviewItem>
    <reviewItem>
      <errorID>62ba90fc-e241-4631-b572-5b41f99c2bb3</errorID>
      <errorWord>“.</errorWord>
      <group>L1_Punc</group>
      <groupName>标点问题</groupName>
      <ability>L2_Punc_CN</ability>
      <abilityName>标点符号问题</abilityName>
      <candidateList>
        <item>“</item>
      </candidateList>
      <explain/>
      <paraID>4EF8F44C</paraID>
      <start>126</start>
      <end>128</end>
      <status>unmodified</status>
      <modifiedWord/>
      <trackRevisions>false</trackRevisions>
    </reviewItem>
    <reviewItem>
      <errorID>5e543d5c-7bc8-48a4-aa34-08f2a91520e9</errorID>
      <errorWord>（</errorWord>
      <group>L1_Punc</group>
      <groupName>标点问题</groupName>
      <ability>L2_Punc_CN</ability>
      <abilityName>标点符号问题</abilityName>
      <candidateList/>
      <explain>同一形式括号套用。</explain>
      <paraID>2835356F</paraID>
      <start>117</start>
      <end>118</end>
      <status>unmodified</status>
      <modifiedWord/>
      <trackRevisions>false</trackRevisions>
    </reviewItem>
    <reviewItem>
      <errorID>4a031659-9615-4b42-b895-431ad9be1b4f</errorID>
      <errorWord>）</errorWord>
      <group>L1_Punc</group>
      <groupName>标点问题</groupName>
      <ability>L2_Punc_CN</ability>
      <abilityName>标点符号问题</abilityName>
      <candidateList/>
      <explain>同一形式括号套用。</explain>
      <paraID>2835356F</paraID>
      <start>122</start>
      <end>123</end>
      <status>unmodified</status>
      <modifiedWord/>
      <trackRevisions>false</trackRevisions>
    </reviewItem>
    <reviewItem>
      <errorID>caeb13ab-fa0e-4460-acff-bd45d68a8c1b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35FF0B84</paraID>
      <start>48</start>
      <end>49</end>
      <status>unmodified</status>
      <modifiedWord/>
      <trackRevisions>false</trackRevisions>
    </reviewItem>
    <reviewItem>
      <errorID>292ec89c-04a2-4222-aaf4-5aacc1da3547</errorID>
      <errorWord>.</errorWord>
      <group>L1_Format</group>
      <groupName>格式问题</groupName>
      <ability>L2_HalfPunc_CN</ability>
      <abilityName>全半角问题</abilityName>
      <candidateList>
        <item>。</item>
      </candidateList>
      <explain>文本全半角错误。</explain>
      <paraID>2B89D08C</paraID>
      <start>47</start>
      <end>48</end>
      <status>unmodified</status>
      <modifiedWord/>
      <trackRevisions>false</trackRevisions>
    </reviewItem>
    <reviewItem>
      <errorID>5c6a869c-5461-46b8-bcee-d76faac7af9b</errorID>
      <errorWord>“.</errorWord>
      <group>L1_Punc</group>
      <groupName>标点问题</groupName>
      <ability>L2_Punc_CN</ability>
      <abilityName>标点符号问题</abilityName>
      <candidateList>
        <item>“</item>
      </candidateList>
      <explain/>
      <paraID>2B89D095</paraID>
      <start>72</start>
      <end>74</end>
      <status>unmodified</status>
      <modifiedWord/>
      <trackRevisions>false</trackRevisions>
    </reviewItem>
    <reviewItem>
      <errorID>26178416-5e29-4216-ad61-0d957d932793</errorID>
      <errorWord>.</errorWord>
      <group>L1_Format</group>
      <groupName>格式问题</groupName>
      <ability>L2_HalfPunc_CN</ability>
      <abilityName>全半角问题</abilityName>
      <candidateList>
        <item>。</item>
      </candidateList>
      <explain>文本全半角错误。</explain>
      <paraID>2B89D097</paraID>
      <start>65</start>
      <end>66</end>
      <status>unmodified</status>
      <modifiedWord/>
      <trackRevisions>false</trackRevisions>
    </reviewItem>
    <reviewItem>
      <errorID>91f5df68-026d-4a17-a5c3-720ff72193c1</errorID>
      <errorWord>.</errorWord>
      <group>L1_Format</group>
      <groupName>格式问题</groupName>
      <ability>L2_HalfPunc_CN</ability>
      <abilityName>全半角问题</abilityName>
      <candidateList>
        <item>。</item>
      </candidateList>
      <explain>文本全半角错误。</explain>
      <paraID>2B89D097</paraID>
      <start>72</start>
      <end>73</end>
      <status>unmodified</status>
      <modifiedWord/>
      <trackRevisions>false</trackRevisions>
    </reviewItem>
    <reviewItem>
      <errorID>8003a082-92ab-454e-9065-835a5d4f6fff</errorID>
      <errorWord>“.</errorWord>
      <group>L1_Punc</group>
      <groupName>标点问题</groupName>
      <ability>L2_Punc_CN</ability>
      <abilityName>标点符号问题</abilityName>
      <candidateList>
        <item>“</item>
      </candidateList>
      <explain/>
      <paraID>2B89D097</paraID>
      <start>88</start>
      <end>90</end>
      <status>unmodified</status>
      <modifiedWord/>
      <trackRevisions>false</trackRevisions>
    </reviewItem>
    <reviewItem>
      <errorID>7628c05b-0db7-48aa-bef9-615bcee8a92b</errorID>
      <errorWord>“.</errorWord>
      <group>L1_Punc</group>
      <groupName>标点问题</groupName>
      <ability>L2_Punc_CN</ability>
      <abilityName>标点符号问题</abilityName>
      <candidateList>
        <item>“</item>
      </candidateList>
      <explain/>
      <paraID>2B89D09D</paraID>
      <start>49</start>
      <end>51</end>
      <status>unmodified</status>
      <modifiedWord/>
      <trackRevisions>false</trackRevisions>
    </reviewItem>
    <reviewItem>
      <errorID>f13ceff6-f3ed-42ed-b6c9-06535b64931b</errorID>
      <errorWord>.</errorWord>
      <group>L1_Format</group>
      <groupName>格式问题</groupName>
      <ability>L2_HalfPunc_CN</ability>
      <abilityName>全半角问题</abilityName>
      <candidateList>
        <item>。</item>
      </candidateList>
      <explain>文本全半角错误。</explain>
      <paraID>2BB4FBFB</paraID>
      <start>132</start>
      <end>133</end>
      <status>unmodified</status>
      <modifiedWord/>
      <trackRevisions>false</trackRevisions>
    </reviewItem>
    <reviewItem>
      <errorID>4a23ba7d-e5f5-4056-b0ba-f36e07729777</errorID>
      <errorWord>.</errorWord>
      <group>L1_Format</group>
      <groupName>格式问题</groupName>
      <ability>L2_HalfPunc_CN</ability>
      <abilityName>全半角问题</abilityName>
      <candidateList>
        <item>。</item>
      </candidateList>
      <explain>文本全半角错误。</explain>
      <paraID>2BB4FBFB</paraID>
      <start>139</start>
      <end>140</end>
      <status>unmodified</status>
      <modifiedWord/>
      <trackRevisions>false</trackRevisions>
    </reviewItem>
    <reviewItem>
      <errorID>9713e802-cbff-46cd-b22f-1e3e2f2d74dc</errorID>
      <errorWord>“.</errorWord>
      <group>L1_Punc</group>
      <groupName>标点问题</groupName>
      <ability>L2_Punc_CN</ability>
      <abilityName>标点符号问题</abilityName>
      <candidateList>
        <item>“</item>
      </candidateList>
      <explain/>
      <paraID>2BB4FBFB</paraID>
      <start>155</start>
      <end>157</end>
      <status>unmodified</status>
      <modifiedWord/>
      <trackRevisions>false</trackRevisions>
    </reviewItem>
    <reviewItem>
      <errorID>fe1ef3fd-fa10-45a2-9f35-dde689251da1</errorID>
      <errorWord>“.</errorWord>
      <group>L1_Punc</group>
      <groupName>标点问题</groupName>
      <ability>L2_Punc_CN</ability>
      <abilityName>标点符号问题</abilityName>
      <candidateList>
        <item>“</item>
      </candidateList>
      <explain/>
      <paraID>2BB4FBFB</paraID>
      <start>191</start>
      <end>193</end>
      <status>unmodified</status>
      <modifiedWord/>
      <trackRevisions>false</trackRevisions>
    </reviewItem>
    <reviewItem>
      <errorID>79b3edbd-cc20-47e1-94d7-c661f0f022f6</errorID>
      <errorWord>.</errorWord>
      <group>L1_Format</group>
      <groupName>格式问题</groupName>
      <ability>L2_HalfPunc_CN</ability>
      <abilityName>全半角问题</abilityName>
      <candidateList>
        <item>。</item>
      </candidateList>
      <explain>文本全半角错误。</explain>
      <paraID>344C682E</paraID>
      <start>55</start>
      <end>56</end>
      <status>unmodified</status>
      <modifiedWord/>
      <trackRevisions>false</trackRevisions>
    </reviewItem>
    <reviewItem>
      <errorID>219439b1-0c7f-4f0a-9419-ac79c4b7b402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5E718923</paraID>
      <start>40</start>
      <end>41</end>
      <status>unmodified</status>
      <modifiedWord/>
      <trackRevisions>false</trackRevisions>
    </reviewItem>
    <reviewItem>
      <errorID>12151d0a-2236-4580-a545-42d00537cc2a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48EBCE78</paraID>
      <start>40</start>
      <end>41</end>
      <status>unmodified</status>
      <modifiedWord/>
      <trackRevisions>false</trackRevisions>
    </reviewItem>
    <reviewItem>
      <errorID>ffa41e34-7c01-47d7-912b-a459710e414e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156EF4F7</paraID>
      <start>29</start>
      <end>30</end>
      <status>unmodified</status>
      <modifiedWord/>
      <trackRevisions>false</trackRevisions>
    </reviewItem>
    <reviewItem>
      <errorID>efb0b789-c6ed-4f6c-9124-d2369ea82cc4</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6151AA7E</paraID>
      <start>37</start>
      <end>41</end>
      <status>unmodified</status>
      <modifiedWord/>
      <trackRevisions>false</trackRevisions>
    </reviewItem>
    <reviewItem>
      <errorID>b1de9475-c705-4087-86ed-12412abf2aa6</errorID>
      <errorWord>详实</errorWord>
      <group>L1_Word</group>
      <groupName>字词问题</groupName>
      <ability>L2_Typo</ability>
      <abilityName>字词错误</abilityName>
      <candidateList>
        <item>翔实</item>
      </candidateList>
      <explain>存在发音相同字词的误用。</explain>
      <paraID>4BB83AF1</paraID>
      <start>75</start>
      <end>77</end>
      <status>unmodified</status>
      <modifiedWord/>
      <trackRevisions>false</trackRevisions>
    </reviewItem>
    <reviewItem>
      <errorID>c09311c7-5992-4ddb-b379-ca14caa69159</errorID>
      <errorWord>详实</errorWord>
      <group>L1_Word</group>
      <groupName>字词问题</groupName>
      <ability>L2_Typo</ability>
      <abilityName>字词错误</abilityName>
      <candidateList>
        <item>翔实</item>
      </candidateList>
      <explain>存在发音相同字词的误用。</explain>
      <paraID>46D67A50</paraID>
      <start>55</start>
      <end>57</end>
      <status>unmodified</status>
      <modifiedWord/>
      <trackRevisions>false</trackRevisions>
    </reviewItem>
    <reviewItem>
      <errorID>5e82b15b-522d-4bce-9aa9-463dc11b9642</errorID>
      <errorWord>详实</errorWord>
      <group>L1_Word</group>
      <groupName>字词问题</groupName>
      <ability>L2_Typo</ability>
      <abilityName>字词错误</abilityName>
      <candidateList>
        <item>翔实</item>
      </candidateList>
      <explain>存在发音相同字词的误用。</explain>
      <paraID>5D3D64C5</paraID>
      <start>60</start>
      <end>62</end>
      <status>unmodified</status>
      <modifiedWord/>
      <trackRevisions>false</trackRevisions>
    </reviewItem>
    <reviewItem>
      <errorID>b26eadfa-d135-45c8-af93-f39d7bc0f10b</errorID>
      <errorWord>详实</errorWord>
      <group>L1_Word</group>
      <groupName>字词问题</groupName>
      <ability>L2_Typo</ability>
      <abilityName>字词错误</abilityName>
      <candidateList>
        <item>翔实</item>
      </candidateList>
      <explain>存在发音相同字词的误用。</explain>
      <paraID>6BE4ACD9</paraID>
      <start>48</start>
      <end>50</end>
      <status>unmodified</status>
      <modifiedWord/>
      <trackRevisions>false</trackRevisions>
    </reviewItem>
    <reviewItem>
      <errorID>5802878b-1ef2-48e9-803a-4f5b24e38216</errorID>
      <errorWord>详实</errorWord>
      <group>L1_Word</group>
      <groupName>字词问题</groupName>
      <ability>L2_Typo</ability>
      <abilityName>字词错误</abilityName>
      <candidateList>
        <item>翔实</item>
      </candidateList>
      <explain>存在发音相同字词的误用。</explain>
      <paraID>41144626</paraID>
      <start>46</start>
      <end>48</end>
      <status>unmodified</status>
      <modifiedWord/>
      <trackRevisions>false</trackRevisions>
    </reviewItem>
    <reviewItem>
      <errorID>693e87b8-9d51-410d-ba24-fe9f45e3091f</errorID>
      <errorWord>详实</errorWord>
      <group>L1_Word</group>
      <groupName>字词问题</groupName>
      <ability>L2_Typo</ability>
      <abilityName>字词错误</abilityName>
      <candidateList>
        <item>翔实</item>
      </candidateList>
      <explain>存在发音相同字词的误用。</explain>
      <paraID>64FD4558</paraID>
      <start>46</start>
      <end>48</end>
      <status>unmodified</status>
      <modifiedWord/>
      <trackRevisions>false</trackRevisions>
    </reviewItem>
    <reviewItem>
      <errorID>8f74cfbf-cbbc-4234-96df-8cdb2102703b</errorID>
      <errorWord>详实</errorWord>
      <group>L1_Word</group>
      <groupName>字词问题</groupName>
      <ability>L2_Typo</ability>
      <abilityName>字词错误</abilityName>
      <candidateList>
        <item>翔实</item>
      </candidateList>
      <explain>存在发音相同字词的误用。</explain>
      <paraID>495938B7</paraID>
      <start>46</start>
      <end>48</end>
      <status>unmodified</status>
      <modifiedWord/>
      <trackRevisions>false</trackRevisions>
    </reviewItem>
    <reviewItem>
      <errorID>5a034327-573c-444b-80d3-af3e2e6ae1f2</errorID>
      <errorWord>详实</errorWord>
      <group>L1_Word</group>
      <groupName>字词问题</groupName>
      <ability>L2_Typo</ability>
      <abilityName>字词错误</abilityName>
      <candidateList>
        <item>翔实</item>
      </candidateList>
      <explain>存在发音相同字词的误用。</explain>
      <paraID>30BD50C0</paraID>
      <start>49</start>
      <end>51</end>
      <status>unmodified</status>
      <modifiedWord/>
      <trackRevisions>false</trackRevisions>
    </reviewItem>
    <reviewItem>
      <errorID>98e96e9d-d988-4737-ac39-8cc5d14e6258</errorID>
      <errorWord>详实</errorWord>
      <group>L1_Word</group>
      <groupName>字词问题</groupName>
      <ability>L2_Typo</ability>
      <abilityName>字词错误</abilityName>
      <candidateList>
        <item>翔实</item>
      </candidateList>
      <explain>存在发音相同字词的误用。</explain>
      <paraID>7AD84A04</paraID>
      <start>42</start>
      <end>44</end>
      <status>unmodified</status>
      <modifiedWord/>
      <trackRevisions>false</trackRevisions>
    </reviewItem>
    <reviewItem>
      <errorID>f98d0e17-0417-48d7-9542-995762c972b0</errorID>
      <errorWord>1-20%</errorWord>
      <group>L1_Knowledge</group>
      <groupName>知识性问题</groupName>
      <ability>L2_Knowledge</ability>
      <abilityName>其他知识</abilityName>
      <candidateList>
        <item>1%—20%</item>
      </candidateList>
      <explain>1. “1-20%”中的单位“%”仅出现在后一个数字上，容易引起歧义；根据《现代汉语标点符号数字用法规范手册》，数字表示范围两边需要使用统一的格式。2. 根据标点国标 4.13 中的规则，数字、时间或地域连接符应使用（视觉上更长的）“—”或“～”。</explain>
      <paraID> 4442D72</paraID>
      <start>19</start>
      <end>24</end>
      <status>unmodified</status>
      <modifiedWord/>
      <trackRevisions>false</trackRevisions>
    </reviewItem>
    <reviewItem>
      <errorID>0a84cd4d-5cbb-4dd1-97fc-25dbb7a760c8</errorID>
      <errorWord>1-6%</errorWord>
      <group>L1_Knowledge</group>
      <groupName>知识性问题</groupName>
      <ability>L2_Knowledge</ability>
      <abilityName>其他知识</abilityName>
      <candidateList>
        <item>1%—6%</item>
      </candidateList>
      <explain>1. “1-6%”中的单位“%”仅出现在后一个数字上，容易引起歧义；根据《现代汉语标点符号数字用法规范手册》，数字表示范围两边需要使用统一的格式。2. 根据标点国标 4.13 中的规则，数字、时间或地域连接符应使用（视觉上更长的）“—”或“～”。</explain>
      <paraID>72414B43</paraID>
      <start>11</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1dc353-9a36-44aa-bf17-808c67c393be}">
  <ds:schemaRefs/>
</ds:datastoreItem>
</file>

<file path=docProps/app.xml><?xml version="1.0" encoding="utf-8"?>
<Properties xmlns="http://schemas.openxmlformats.org/officeDocument/2006/extended-properties" xmlns:vt="http://schemas.openxmlformats.org/officeDocument/2006/docPropsVTypes">
  <Template>Normal.dotm</Template>
  <Pages>69</Pages>
  <Words>11599</Words>
  <Characters>12425</Characters>
  <Lines>342</Lines>
  <Paragraphs>96</Paragraphs>
  <TotalTime>17</TotalTime>
  <ScaleCrop>false</ScaleCrop>
  <LinksUpToDate>false</LinksUpToDate>
  <CharactersWithSpaces>12548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2025-09-05T14:08:00Z</dcterms:created>
  <dc:creator>孙钟</dc:creator>
  <cp:lastModifiedBy>Administrator</cp:lastModifiedBy>
  <cp:lastPrinted>2026-10-16T09:03:00Z</cp:lastPrinted>
  <dcterms:modified xsi:type="dcterms:W3CDTF">2026-10-19T08:12:51Z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9A9E39B68D6E44FD8E27AFB85DC6A493_13</vt:lpwstr>
  </property>
  <property fmtid="{D5CDD505-2E9C-101B-9397-08002B2CF9AE}" pid="4" name="KSOTemplateDocerSaveRecord">
    <vt:lpwstr>eyJoZGlkIjoiYzc3ZjE3ZmVjZjMyZjE2MzUwYzE2YWE4MTQ5OWRjYzYiLCJ1c2VySWQiOiIxNTUwNTcwODY2In0=</vt:lpwstr>
  </property>
</Properties>
</file>