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5"/>
        <w:tblpPr w:leftFromText="180" w:rightFromText="180" w:vertAnchor="text" w:horzAnchor="margin" w:tblpXSpec="center" w:tblpY="16"/>
        <w:tblW w:w="96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499"/>
        <w:gridCol w:w="2253"/>
        <w:gridCol w:w="1673"/>
        <w:gridCol w:w="1984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鉴定范围</w:t>
            </w:r>
          </w:p>
        </w:tc>
        <w:tc>
          <w:tcPr>
            <w:tcW w:w="4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收费项目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单项最高限价（元）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数量（约）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77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（一）法医病理鉴定</w:t>
            </w: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尸表检验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1000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top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77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2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尸体解剖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4000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top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77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3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组织病理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2940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top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4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因果关系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例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3150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top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77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（二）法医临床鉴定</w:t>
            </w:r>
          </w:p>
        </w:tc>
        <w:tc>
          <w:tcPr>
            <w:tcW w:w="499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5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人体损伤程度鉴定、人体伤残程度鉴定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840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top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7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（三）法医毒物鉴定</w:t>
            </w:r>
          </w:p>
        </w:tc>
        <w:tc>
          <w:tcPr>
            <w:tcW w:w="4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ascii="宋体" w:hAnsi="宋体"/>
                <w:bCs/>
                <w:color w:val="auto"/>
                <w:szCs w:val="21"/>
              </w:rPr>
              <w:t>6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酒精检测（乙醇检测）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205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17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/>
                <w:bCs/>
                <w:color w:val="auto"/>
                <w:szCs w:val="21"/>
              </w:rPr>
            </w:pPr>
            <w:r>
              <w:rPr>
                <w:rFonts w:ascii="宋体" w:hAnsi="宋体"/>
                <w:bCs/>
                <w:color w:val="auto"/>
                <w:szCs w:val="21"/>
              </w:rPr>
              <w:t>7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常规毒物分析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样本·目标物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</w:t>
            </w:r>
            <w:r>
              <w:rPr>
                <w:rFonts w:ascii="宋体"/>
                <w:color w:val="auto"/>
                <w:sz w:val="24"/>
                <w:szCs w:val="24"/>
              </w:rPr>
              <w:t>000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62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合计最高限价（元）</w:t>
            </w:r>
          </w:p>
        </w:tc>
        <w:tc>
          <w:tcPr>
            <w:tcW w:w="348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default" w:ascii="宋体" w:hAnsi="宋体"/>
                <w:color w:val="auto"/>
                <w:sz w:val="24"/>
                <w:szCs w:val="24"/>
                <w:lang w:val="en-US"/>
              </w:rPr>
              <w:t>3490350</w:t>
            </w:r>
          </w:p>
        </w:tc>
      </w:tr>
    </w:tbl>
    <w:p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74967"/>
    <w:rsid w:val="0000129B"/>
    <w:rsid w:val="001076E2"/>
    <w:rsid w:val="00212164"/>
    <w:rsid w:val="00245D53"/>
    <w:rsid w:val="003B4385"/>
    <w:rsid w:val="00452C3A"/>
    <w:rsid w:val="00522309"/>
    <w:rsid w:val="005A0186"/>
    <w:rsid w:val="00695B4A"/>
    <w:rsid w:val="00774967"/>
    <w:rsid w:val="00921479"/>
    <w:rsid w:val="0097725A"/>
    <w:rsid w:val="00B7412A"/>
    <w:rsid w:val="2B422B9D"/>
    <w:rsid w:val="FFFFD401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等线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kern w:val="0"/>
      <w:sz w:val="21"/>
      <w:szCs w:val="20"/>
      <w:u w:val="none" w:color="000000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  <w:textAlignment w:val="auto"/>
    </w:pPr>
    <w:rPr>
      <w:rFonts w:ascii="等线" w:hAnsi="等线" w:eastAsia="等线"/>
      <w:color w:val="auto"/>
      <w:kern w:val="2"/>
      <w:sz w:val="18"/>
      <w:szCs w:val="18"/>
    </w:rPr>
  </w:style>
  <w:style w:type="paragraph" w:styleId="3">
    <w:name w:val="header"/>
    <w:basedOn w:val="1"/>
    <w:link w:val="6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  <w:textAlignment w:val="auto"/>
    </w:pPr>
    <w:rPr>
      <w:rFonts w:ascii="等线" w:hAnsi="等线" w:eastAsia="等线"/>
      <w:color w:val="auto"/>
      <w:kern w:val="2"/>
      <w:sz w:val="18"/>
      <w:szCs w:val="18"/>
    </w:rPr>
  </w:style>
  <w:style w:type="character" w:customStyle="1" w:styleId="6">
    <w:name w:val="Header Char"/>
    <w:basedOn w:val="4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Footer Char"/>
    <w:basedOn w:val="4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36</Words>
  <Characters>208</Characters>
  <Lines>0</Lines>
  <Paragraphs>0</Paragraphs>
  <TotalTime>0</TotalTime>
  <ScaleCrop>false</ScaleCrop>
  <LinksUpToDate>false</LinksUpToDate>
  <CharactersWithSpaces>0</CharactersWithSpaces>
  <Application>WPS Office 个人版_9.1.0.4879_{F1E327BC-269C-435d-A152-05C5408002CA}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2023-10-08T18:14:00Z</dcterms:created>
  <dc:creator>微软用户</dc:creator>
  <cp:lastModifiedBy>Administrator</cp:lastModifiedBy>
  <dcterms:modified xsi:type="dcterms:W3CDTF">2023-11-09T01:24:34Z</dcterms:modified>
  <dc:title>鉴定范围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2052-9.1.0.4879</vt:lpwstr>
  </property>
</Properties>
</file>