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</w:t>
      </w: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工程概况</w:t>
      </w:r>
    </w:p>
    <w:p>
      <w:pPr>
        <w:rPr>
          <w:rFonts w:hint="eastAsia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jc w:val="left"/>
        <w:textAlignment w:val="baseline"/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</w:pP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本次采购项目为安阳市第二中学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图书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楼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1层书库、借阅大厅，2层原学生阅览室（档案室、团委活动室、办公室、值班室、台球活动室）、原教师阅览室（党员活动室、党委办公室），3层健身房、形体房，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以及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  <w:lang w:val="en-US" w:eastAsia="zh-CN"/>
        </w:rPr>
        <w:t>1#教学楼（401、402、403）教室，2#教学楼（401、403、405）教室，</w:t>
      </w:r>
      <w:r>
        <w:rPr>
          <w:rFonts w:hint="eastAsia" w:cs="Times New Roman" w:asciiTheme="minorEastAsia" w:hAnsiTheme="minorEastAsia" w:eastAsiaTheme="minorEastAsia"/>
          <w:color w:val="auto"/>
          <w:sz w:val="24"/>
          <w:szCs w:val="24"/>
        </w:rPr>
        <w:t>中央空调系统采购。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书楼一层书库、二层原学生教师阅览室、三层健身房形体房，每层均为45.9m*15m，面积约为680㎡。一层借阅大厅14.7m*5.9m，面积约为85㎡。其中一层书库、三层健身房形体房为敞开间，二层原学生教师阅览室分别用轻钢龙骨石膏板隔开有档案室、团委办公室、值班室、台球活动室、党委办公室等。二层、三层吊顶层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约为3.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一层书库吊顶层高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约3.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一层借阅大厅吊顶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层高约3.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室外机放置位置分别为：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楼放置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在图书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北侧中部地面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1#教学楼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放置楼的东北角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地面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2#教学楼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放置楼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（包含基础、机组到配电柜的电源线、安全防护栏）；室内机分布见图纸（以《招标文件》附件方式提供），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图书楼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室内机采用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四面出风嵌入机、智慧层流嵌入机或四面出风天井机，1#教学楼室内机采用低静压风管机，2#教学楼室内机采用壁挂式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室内机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，R410A冷媒连接管道和冷凝水管道在走廊内，用桥架敷设；机组要实现集中控制功能，对室内机可以集中控制整个系统的开关机、设定风速、设定温度、区域设定及控制、周定时功能等。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主电缆采购与铺设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西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配电室至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图书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楼主电缆铺设约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米，电缆型号规格为：YJV224*1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+1五芯凯装电缆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YJV224*1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0+1五芯凯装电缆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。1#教学楼为了线路维修方便安全，便于施工，需将现有1#楼东北侧原有空调电源线路拆除，改为由1#楼一层配电室出线，采用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五芯电缆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约35米，途径桥架铺设至空调主机配电箱并包含配电箱和相应开关及配件等。2#楼空调电缆采用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五芯电缆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约45米，从2#楼一层配电室出线至2#楼楼顶空调主机配电箱并包含配电箱和相应开关及配件等，恢复原有设施，配电室需增加160A空开1处及相关配件。（注：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本次所采购电缆型号规格为：YJV224*1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+1五芯凯装电缆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13米、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YJV224*1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0+1五芯凯装电缆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17米、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五芯电缆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35米、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YJV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+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五芯电缆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45米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符合国家标准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提供相应的资料、参数、合格证等）。电缆铺设施工包括：配电箱制作安装，电缆终端工料制作、打孔、穿管、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铺设、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恢复；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配电室引出电缆需要更换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空开（含材料）及相关配件，费用考虑到报价内。电缆铺设施工完成后，安装测试要达到国家电力测试标准。</w:t>
      </w: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、采购设备表</w:t>
      </w:r>
    </w:p>
    <w:tbl>
      <w:tblPr>
        <w:tblStyle w:val="5"/>
        <w:tblW w:w="842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5"/>
        <w:gridCol w:w="2216"/>
        <w:gridCol w:w="845"/>
        <w:gridCol w:w="845"/>
        <w:gridCol w:w="36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序号</w:t>
            </w: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设备名称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单位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数量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技术参数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全直流变频多联机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61.5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制冷输入功率≤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18.12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16.98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全直流变频多联机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26.0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28.6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制冷输入功率≤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全直流变频多联机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136.2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制冷输入功率≤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39.3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36.75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全直流变频多联机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140.4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156.5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制冷输入功率≤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38.06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37.30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全直流变频多联机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162.4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181.00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制冷输入功率≤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45.55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制热输入功率≤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44.16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66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四面出风嵌入机、智慧层流嵌入机或四面出风天井式室内机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7.1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39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37/34/28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四面出风嵌入机、智慧层流嵌入机或四面出风天井式室内机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8.0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9.0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42.5/35/30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四面出风嵌入机、智慧层流嵌入机或四面出风天井式室内机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1470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43/35/33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四面出风嵌入机、智慧层流嵌入机或四面出风天井式室内机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118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47.5/40/36.5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四面出风嵌入机、智慧层流嵌入机或四面出风天井式室内机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16.0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18.0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2100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46/40/37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低静压风管机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12.5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14.0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280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1930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44/40/35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低静压风管机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10.0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11.2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1550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43/39/35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numPr>
                <w:ilvl w:val="0"/>
                <w:numId w:val="2"/>
              </w:numPr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2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壁挂机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台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</w:t>
            </w:r>
          </w:p>
        </w:tc>
        <w:tc>
          <w:tcPr>
            <w:tcW w:w="3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制冷量≥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4.5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制热量≥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5.0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KW 额定功率≤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W 风量≥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630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m3/h 噪音值≤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val="en-US" w:eastAsia="zh-CN" w:bidi="ar"/>
              </w:rPr>
              <w:t>39/36/34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  <w:lang w:bidi="ar"/>
              </w:rPr>
              <w:t>dB(A)</w:t>
            </w:r>
          </w:p>
        </w:tc>
      </w:tr>
    </w:tbl>
    <w:p>
      <w:pPr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adjustRightInd w:val="0"/>
        <w:snapToGrid w:val="0"/>
        <w:spacing w:beforeLines="50" w:line="360" w:lineRule="auto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注：1、室内机和室外机技术参数为最低要求，不接受负偏离；主要材料及附件汇总数值为估算值，仅供参考，最终以《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文件》为准。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依据图纸（以《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文件》附件方式提供）和现场实际情况确定；当图纸与清单不符时以图纸为准，当图纸与现场勘察情况不符时以现场勘察为准；必须经采购人认可，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自行承担相应风险。</w:t>
      </w:r>
    </w:p>
    <w:p>
      <w:pPr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2、冷媒铜管推荐品牌：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飞轮、金阳、宏泰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，或与其价格相近且质量性能相等或优于的其他品牌产品。</w:t>
      </w:r>
    </w:p>
    <w:p>
      <w:pPr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3、冷媒R410A推荐品牌：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冰龙、霍尼韦尔、杜邦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，或与其价格相近且质量性能相等或优于的其他品牌产品。</w:t>
      </w:r>
    </w:p>
    <w:p>
      <w:pPr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4、铜管保温推荐品牌：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华美、阿乐斯、伯乐尔、凯门福乐斯、亚罗斯、杜肯福耐斯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，或与其价格相近且质量性能相等或优于的其他品牌产品。</w:t>
      </w:r>
    </w:p>
    <w:p>
      <w:pPr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5、控制线缆及主电缆推荐品牌：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河南金水、新乡前卫、郑州三厂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，或与其价格相近且质量性能相等或优于的其他品牌产品。</w:t>
      </w:r>
    </w:p>
    <w:p>
      <w:pPr>
        <w:adjustRightInd w:val="0"/>
        <w:snapToGrid w:val="0"/>
        <w:spacing w:beforeLines="50"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6、空调推荐品牌：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格力、海尔、美的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，或与其价格相近且质量性能相等或优于的其他国产品牌产品。</w:t>
      </w: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</w:pPr>
      <w:r>
        <w:rPr>
          <w:rFonts w:hint="eastAsia" w:cs="宋体"/>
          <w:color w:val="auto"/>
          <w:sz w:val="24"/>
          <w:szCs w:val="24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、技术规格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/>
        </w:rPr>
        <w:t>和要求</w:t>
      </w:r>
    </w:p>
    <w:p>
      <w:pPr>
        <w:rPr>
          <w:rFonts w:hint="eastAsia"/>
          <w:color w:val="auto"/>
        </w:rPr>
      </w:pP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1、总体要求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240" w:firstLineChars="100"/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1.1 空调系统形式：本工程空调系统采用全直流变频多联式空调系统，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 xml:space="preserve">( 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主机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出风方式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根据主机放置位置可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采用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侧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出风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或顶上出风，任意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模块应可自由组合使用。室内机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图书楼为四面出风嵌入机、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智慧层流嵌入机、四面出风天井机，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>1#楼为低静压风管机、2#楼为壁挂机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</w:rPr>
        <w:t>，否则按废标处理。)</w:t>
      </w:r>
      <w:r>
        <w:rPr>
          <w:rFonts w:hint="eastAsia" w:ascii="宋体" w:hAnsi="宋体" w:eastAsia="宋体" w:cs="宋体"/>
          <w:color w:val="auto"/>
          <w:spacing w:val="-8"/>
          <w:sz w:val="24"/>
          <w:szCs w:val="24"/>
          <w:highlight w:val="none"/>
          <w:lang w:val="en-US" w:eastAsia="zh-CN"/>
        </w:rPr>
        <w:t xml:space="preserve"> 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1.2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在完全满足本项目的整体空调使用要求，根据招标人提供的设计施工图纸对多联机组进行选型。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1.3 机组应确保运行安全可靠，操作和维修简便，维护费用低。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1.4 相关国家标准：空调设备制造和安装应符合《多联机空调系统工程技术规程 》JGJ174-2010；《多联式空调(热泵)机组》 GB/T 18837-2015；《民用建筑供暖通风与空气调节设计规范》GB50736-2012；《通风与空调工程施工及验收规范》GB50243-2016等。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240" w:firstLineChars="1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1.5 本次招标包括全部设备的安装、调试并验收合格，直至交付招标人使用，为“交钥匙”工程。</w:t>
      </w:r>
    </w:p>
    <w:p>
      <w:pPr>
        <w:adjustRightInd w:val="0"/>
        <w:snapToGrid w:val="0"/>
        <w:spacing w:line="360" w:lineRule="auto"/>
        <w:ind w:firstLine="600" w:firstLineChars="25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本技术规格及要求所使用的标准和规范如与最新标准发生矛盾时，按最新标准执行。</w:t>
      </w: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w w:val="99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2、多联机空调机组</w:t>
      </w:r>
      <w:r>
        <w:rPr>
          <w:rFonts w:hint="eastAsia" w:ascii="宋体" w:hAnsi="宋体" w:eastAsia="宋体" w:cs="宋体"/>
          <w:color w:val="auto"/>
          <w:w w:val="99"/>
          <w:sz w:val="24"/>
          <w:szCs w:val="24"/>
          <w:highlight w:val="none"/>
        </w:rPr>
        <w:t>技术要求</w:t>
      </w:r>
    </w:p>
    <w:p>
      <w:pPr>
        <w:rPr>
          <w:rFonts w:hint="eastAsia"/>
          <w:color w:val="auto"/>
        </w:rPr>
      </w:pP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2.1 基本要求 </w:t>
      </w:r>
    </w:p>
    <w:p>
      <w:pP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zh-CN" w:bidi="zh-CN"/>
        </w:rPr>
        <w:t>要求所有投标的空调机组都必须是全新的设备。</w:t>
      </w:r>
    </w:p>
    <w:p>
      <w:pPr>
        <w:pStyle w:val="3"/>
        <w:spacing w:line="306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 多联机室外机</w:t>
      </w:r>
    </w:p>
    <w:p>
      <w:pPr>
        <w:tabs>
          <w:tab w:val="left" w:pos="1499"/>
        </w:tabs>
        <w:autoSpaceDE w:val="0"/>
        <w:autoSpaceDN w:val="0"/>
        <w:spacing w:line="364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2.2.1 ▲多联机系统，采用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全直流变频多联机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、高效直流变频风扇电机，冷媒须采用对环境及臭氧无污染的环保冷媒R410A。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2.2.2 多联机设备应是节能型机组，满足国家一级能效标准，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所投多联式空调机组在综合能效比达到国标一级（APF≥4.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highlight w:val="none"/>
        </w:rPr>
        <w:t>（GB21454-2021））标准（标书中附加盖投标单位公章的中国能效标识网截图）。</w:t>
      </w:r>
    </w:p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为保证良好的散热效果，多联机设备室外机组的出风静压最高可达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Pa，以满足设置导流风罩或隔声罩等设施的需求。</w:t>
      </w:r>
    </w:p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产品符合节能环保要求，所投多联机室外机具备智能节电模式功能，并取得中国电器产品功能评价证书。</w:t>
      </w:r>
    </w:p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多联室外机风扇电机采用直流变速电机，风扇可根据系统运行压力变化无级变频调速，配合压缩机的无极变频，可减少发生故障，保障压缩机的稳定性、持续性和可靠性，室外机噪音低。</w:t>
      </w:r>
    </w:p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0" w:name="_Hlk85057217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室外机应具有一定的防腐蚀性能，满足轻度盐雾性气候条件。所投品牌多联机（钣金、换热器、电控箱体等）均具备防腐功能，防腐性能至少需满足JB/T9535-2013《户内户外防腐电工产品环境技术要求》中WF2级以上的抗盐雾要求。</w:t>
      </w:r>
    </w:p>
    <w:bookmarkEnd w:id="0"/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bookmarkStart w:id="1" w:name="_Hlk85058211"/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▲为保证本工程多联机的设计使用效果，多联机产品室内外机的设计配管最大总长不小于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560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米，单管长度不小于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150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米，室外机室内机最大落差可达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米。</w:t>
      </w:r>
    </w:p>
    <w:bookmarkEnd w:id="1"/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空调系统应具备单机控制、集中控制、云服务控制等多种控制功能，可满足多种形式控制需求。</w:t>
      </w:r>
    </w:p>
    <w:p>
      <w:pPr>
        <w:tabs>
          <w:tab w:val="left" w:pos="1739"/>
        </w:tabs>
        <w:autoSpaceDE w:val="0"/>
        <w:autoSpaceDN w:val="0"/>
        <w:spacing w:line="364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2.2.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▲室外机应具备智能四重后备运转的功能，确保系统正常运行，多联机组适用电压范围广，可达310V~460V，室外机具有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级过冷技术，过冷度可达36度。</w:t>
      </w:r>
    </w:p>
    <w:p>
      <w:pPr>
        <w:tabs>
          <w:tab w:val="left" w:pos="1739"/>
        </w:tabs>
        <w:autoSpaceDE w:val="0"/>
        <w:autoSpaceDN w:val="0"/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注：以上技术条款需逐条响应，并提供制造商公开发行产品彩色样册或第三方证明文件。</w:t>
      </w:r>
    </w:p>
    <w:p>
      <w:pPr>
        <w:pStyle w:val="3"/>
        <w:spacing w:line="360" w:lineRule="auto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、其他要求</w:t>
      </w:r>
    </w:p>
    <w:p>
      <w:pPr>
        <w:pStyle w:val="4"/>
        <w:spacing w:line="360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.1 本招标文件及所附设计图纸中，如果标注了一些设备的品牌、型号，这仅仅是设计单位在设计时的参考厂家的型号，不作为厂家专指。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应根据设备清单中列出的技术参数，按招标文件中要求选配自己的投标设备，而不受此影响。</w:t>
      </w:r>
    </w:p>
    <w:p>
      <w:pPr>
        <w:pStyle w:val="4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.2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应在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中提供下列技术参数： </w:t>
      </w:r>
    </w:p>
    <w:p>
      <w:pPr>
        <w:pStyle w:val="4"/>
        <w:spacing w:line="364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-10"/>
          <w:sz w:val="24"/>
          <w:szCs w:val="24"/>
          <w:highlight w:val="none"/>
        </w:rPr>
        <w:t xml:space="preserve">.2.1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机组的名称、品牌、型号规格、技术参数及性能[包括单台机组制冷量及额定功率（KW）和制热量及额定功率（KW）、外形尺寸（长×宽×高， m）、自重、运行重量、风量、噪声、产品样本、数量、单价、制造商全称等。 </w:t>
      </w:r>
    </w:p>
    <w:p>
      <w:pPr>
        <w:pStyle w:val="4"/>
        <w:spacing w:line="362" w:lineRule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.2.2所有辅材（如铜管、保温材料、冷凝水管）的品牌、型号规格、制造商全称及制造地点等。 </w:t>
      </w:r>
    </w:p>
    <w:p>
      <w:pPr>
        <w:pStyle w:val="3"/>
        <w:spacing w:line="305" w:lineRule="exact"/>
        <w:ind w:left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cs="宋体"/>
          <w:color w:val="auto"/>
          <w:sz w:val="24"/>
          <w:szCs w:val="24"/>
          <w:highlight w:val="none"/>
          <w:lang w:eastAsia="zh-CN"/>
        </w:rPr>
        <w:t>四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、售后服务要求</w:t>
      </w:r>
    </w:p>
    <w:p>
      <w:pPr>
        <w:pStyle w:val="4"/>
        <w:spacing w:line="364" w:lineRule="auto"/>
        <w:ind w:firstLine="480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>、应急服务：设备出现故障，应在接到买方通知后立即做出回应，并在 2 小时内派专业人员到达现场，及时采取有效措施恢复正常运行；</w:t>
      </w:r>
    </w:p>
    <w:p>
      <w:pPr>
        <w:pStyle w:val="4"/>
        <w:spacing w:line="362" w:lineRule="auto"/>
        <w:ind w:firstLine="476" w:firstLineChars="200"/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 xml:space="preserve">2、质保期：机组调试合格后 24 个月为免费质保期；质保期内出现非人为故障，厂家负责免费维修， 更换零部件。 </w:t>
      </w:r>
    </w:p>
    <w:p>
      <w:pPr>
        <w:pStyle w:val="4"/>
        <w:spacing w:line="362" w:lineRule="auto"/>
        <w:ind w:firstLine="480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highlight w:val="none"/>
          <w:u w:color="000000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pacing w:val="-1"/>
          <w:sz w:val="24"/>
          <w:szCs w:val="24"/>
          <w:highlight w:val="none"/>
        </w:rPr>
        <w:t xml:space="preserve">3、操作培训：制造商应免费对甲方的相关操作人员进行培训，使其熟练操作相关设备及常见故障判断。 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F49212"/>
    <w:multiLevelType w:val="singleLevel"/>
    <w:tmpl w:val="8AF4921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B10BD93"/>
    <w:multiLevelType w:val="singleLevel"/>
    <w:tmpl w:val="0B10BD93"/>
    <w:lvl w:ilvl="0" w:tentative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0Yzk3YjQyMDNiNGUxMDJjM2JjZWM5Yzc5NWJkZGMifQ=="/>
  </w:docVars>
  <w:rsids>
    <w:rsidRoot w:val="00000000"/>
    <w:rsid w:val="4A58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1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357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1"/>
      <w:u w:color="000000"/>
      <w:lang w:val="en-US" w:eastAsia="zh-CN" w:bidi="ar-SA"/>
    </w:rPr>
  </w:style>
  <w:style w:type="paragraph" w:styleId="3">
    <w:name w:val="heading 5"/>
    <w:basedOn w:val="1"/>
    <w:next w:val="1"/>
    <w:qFormat/>
    <w:uiPriority w:val="1"/>
    <w:pPr>
      <w:autoSpaceDE w:val="0"/>
      <w:autoSpaceDN w:val="0"/>
      <w:ind w:left="598"/>
      <w:jc w:val="left"/>
      <w:outlineLvl w:val="4"/>
    </w:pPr>
    <w:rPr>
      <w:rFonts w:ascii="宋体" w:hAnsi="宋体" w:eastAsia="宋体" w:cs="宋体"/>
      <w:b/>
      <w:bCs/>
      <w:kern w:val="0"/>
      <w:sz w:val="24"/>
      <w:szCs w:val="24"/>
      <w:lang w:val="zh-CN" w:bidi="zh-CN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4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2024-06-25T07:47:42Z</dcterms:created>
  <dc:creator>Administrator</dc:creator>
  <cp:lastModifiedBy>Administrator</cp:lastModifiedBy>
  <dcterms:modified xsi:type="dcterms:W3CDTF">2024-06-25T07:47:48Z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EA4D551AAF7D4E129416D6DDB8E279A5_12</vt:lpwstr>
  </property>
</Properties>
</file>