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80"/>
          <w:tab w:val="center" w:pos="4535"/>
        </w:tabs>
        <w:rPr>
          <w:rFonts w:ascii="宋体" w:hAnsi="宋体" w:cs="宋体"/>
          <w:b/>
          <w:color w:val="auto"/>
          <w:w w:val="90"/>
          <w:sz w:val="40"/>
          <w:szCs w:val="40"/>
          <w:highlight w:val="none"/>
        </w:rPr>
      </w:pPr>
      <w:bookmarkStart w:id="0" w:name="_Toc19013"/>
      <w:r>
        <w:rPr>
          <w:rFonts w:hint="eastAsia" w:ascii="宋体" w:hAnsi="宋体" w:cs="宋体"/>
          <w:b/>
          <w:color w:val="auto"/>
          <w:w w:val="90"/>
          <w:sz w:val="40"/>
          <w:szCs w:val="40"/>
          <w:highlight w:val="none"/>
        </w:rPr>
        <w:t xml:space="preserve"> </w:t>
      </w:r>
    </w:p>
    <w:p>
      <w:pPr>
        <w:pStyle w:val="9"/>
        <w:jc w:val="center"/>
        <w:rPr>
          <w:rFonts w:hint="eastAsia" w:eastAsia="宋体"/>
          <w:b/>
          <w:bCs/>
          <w:color w:val="auto"/>
          <w:sz w:val="36"/>
          <w:szCs w:val="36"/>
          <w:highlight w:val="none"/>
          <w:shd w:val="clear" w:color="auto" w:fill="FFFFFF"/>
          <w:lang w:val="en-US" w:eastAsia="zh-CN"/>
        </w:rPr>
      </w:pPr>
      <w:r>
        <w:rPr>
          <w:rFonts w:hint="eastAsia" w:eastAsia="宋体"/>
          <w:b/>
          <w:bCs/>
          <w:color w:val="auto"/>
          <w:sz w:val="36"/>
          <w:szCs w:val="36"/>
          <w:highlight w:val="none"/>
          <w:shd w:val="clear" w:color="auto" w:fill="FFFFFF"/>
          <w:lang w:val="en-US" w:eastAsia="zh-CN"/>
        </w:rPr>
        <w:t>长垣市南蒲街道办事处长垣市崇德小学建设景观及外网</w:t>
      </w:r>
    </w:p>
    <w:p>
      <w:pPr>
        <w:pStyle w:val="9"/>
        <w:jc w:val="center"/>
        <w:rPr>
          <w:rFonts w:ascii="宋体" w:hAnsi="宋体" w:cs="宋体"/>
          <w:color w:val="auto"/>
          <w:sz w:val="15"/>
          <w:szCs w:val="15"/>
          <w:highlight w:val="none"/>
          <w:lang w:eastAsia="zh-CN"/>
        </w:rPr>
      </w:pPr>
      <w:r>
        <w:rPr>
          <w:rFonts w:hint="eastAsia" w:eastAsia="宋体"/>
          <w:b/>
          <w:bCs/>
          <w:color w:val="auto"/>
          <w:sz w:val="36"/>
          <w:szCs w:val="36"/>
          <w:highlight w:val="none"/>
          <w:shd w:val="clear" w:color="auto" w:fill="FFFFFF"/>
          <w:lang w:val="en-US" w:eastAsia="zh-CN"/>
        </w:rPr>
        <w:t>工程项目</w:t>
      </w:r>
    </w:p>
    <w:p>
      <w:pPr>
        <w:rPr>
          <w:color w:val="auto"/>
          <w:highlight w:val="none"/>
        </w:rPr>
      </w:pPr>
    </w:p>
    <w:p>
      <w:pPr>
        <w:jc w:val="center"/>
        <w:rPr>
          <w:rFonts w:ascii="宋体" w:hAnsi="宋体" w:cs="宋体"/>
          <w:color w:val="auto"/>
          <w:sz w:val="15"/>
          <w:szCs w:val="15"/>
          <w:highlight w:val="none"/>
        </w:rPr>
      </w:pP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rPr>
        <w:t>施工招标文件</w:t>
      </w:r>
    </w:p>
    <w:p>
      <w:pPr>
        <w:spacing w:line="520" w:lineRule="exact"/>
        <w:jc w:val="center"/>
        <w:rPr>
          <w:rFonts w:hint="eastAsia" w:ascii="宋体" w:hAnsi="宋体" w:eastAsia="宋体" w:cs="宋体"/>
          <w:kern w:val="0"/>
          <w:sz w:val="24"/>
          <w:szCs w:val="24"/>
          <w:highlight w:val="none"/>
          <w:shd w:val="clear" w:color="auto" w:fill="FFFFFF"/>
        </w:rPr>
      </w:pPr>
      <w:r>
        <w:rPr>
          <w:rFonts w:hint="eastAsia" w:ascii="宋体" w:hAnsi="宋体" w:eastAsia="宋体" w:cs="宋体"/>
          <w:b/>
          <w:bCs/>
          <w:sz w:val="24"/>
          <w:szCs w:val="24"/>
          <w:highlight w:val="none"/>
        </w:rPr>
        <w:t>（采购项目编号：长财</w:t>
      </w:r>
      <w:r>
        <w:rPr>
          <w:rFonts w:hint="eastAsia" w:ascii="宋体" w:hAnsi="宋体" w:eastAsia="宋体" w:cs="宋体"/>
          <w:b/>
          <w:bCs/>
          <w:sz w:val="24"/>
          <w:szCs w:val="24"/>
          <w:highlight w:val="none"/>
          <w:lang w:val="en-US" w:eastAsia="zh-CN"/>
        </w:rPr>
        <w:t>招标</w:t>
      </w:r>
      <w:r>
        <w:rPr>
          <w:rFonts w:hint="eastAsia" w:ascii="宋体" w:hAnsi="宋体" w:eastAsia="宋体" w:cs="宋体"/>
          <w:b/>
          <w:bCs/>
          <w:sz w:val="24"/>
          <w:szCs w:val="24"/>
          <w:highlight w:val="none"/>
        </w:rPr>
        <w:t>采购</w:t>
      </w:r>
      <w:r>
        <w:rPr>
          <w:rFonts w:ascii="宋体" w:hAnsi="宋体" w:eastAsia="宋体" w:cs="宋体"/>
          <w:b/>
          <w:bCs/>
          <w:sz w:val="24"/>
          <w:szCs w:val="24"/>
          <w:highlight w:val="none"/>
        </w:rPr>
        <w:t>-2023-</w:t>
      </w:r>
      <w:r>
        <w:rPr>
          <w:rFonts w:hint="eastAsia" w:ascii="宋体" w:hAnsi="宋体" w:eastAsia="宋体" w:cs="宋体"/>
          <w:b/>
          <w:bCs/>
          <w:sz w:val="24"/>
          <w:szCs w:val="24"/>
          <w:highlight w:val="none"/>
          <w:lang w:val="en-US" w:eastAsia="zh-CN"/>
        </w:rPr>
        <w:t>115</w:t>
      </w:r>
      <w:r>
        <w:rPr>
          <w:rFonts w:hint="eastAsia" w:ascii="宋体" w:hAnsi="宋体" w:eastAsia="宋体" w:cs="宋体"/>
          <w:kern w:val="0"/>
          <w:sz w:val="24"/>
          <w:szCs w:val="24"/>
          <w:highlight w:val="none"/>
          <w:shd w:val="clear" w:color="auto" w:fill="FFFFFF"/>
        </w:rPr>
        <w:t>）</w:t>
      </w:r>
    </w:p>
    <w:p>
      <w:pPr>
        <w:spacing w:line="520" w:lineRule="exact"/>
        <w:jc w:val="center"/>
        <w:rPr>
          <w:rFonts w:ascii="宋体" w:hAnsi="宋体"/>
          <w:b/>
          <w:bCs/>
          <w:sz w:val="24"/>
          <w:szCs w:val="24"/>
          <w:highlight w:val="none"/>
        </w:rPr>
      </w:pPr>
      <w:r>
        <w:rPr>
          <w:rFonts w:hint="eastAsia" w:ascii="宋体" w:hAnsi="宋体" w:eastAsia="宋体" w:cs="宋体"/>
          <w:b/>
          <w:bCs/>
          <w:sz w:val="24"/>
          <w:szCs w:val="24"/>
          <w:highlight w:val="none"/>
        </w:rPr>
        <w:t>（项目交易编号：</w:t>
      </w:r>
      <w:r>
        <w:rPr>
          <w:rFonts w:hint="eastAsia" w:ascii="宋体" w:hAnsi="宋体" w:eastAsia="宋体" w:cs="宋体"/>
          <w:b/>
          <w:bCs/>
          <w:color w:val="000000" w:themeColor="text1"/>
          <w:sz w:val="24"/>
          <w:szCs w:val="24"/>
          <w:highlight w:val="none"/>
          <w14:textFill>
            <w14:solidFill>
              <w14:schemeClr w14:val="tx1"/>
            </w14:solidFill>
          </w14:textFill>
        </w:rPr>
        <w:t>长交</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建2023ZB081号</w:t>
      </w:r>
      <w:r>
        <w:rPr>
          <w:rFonts w:hint="eastAsia" w:ascii="宋体" w:hAnsi="宋体" w:eastAsia="宋体" w:cs="宋体"/>
          <w:b/>
          <w:bCs/>
          <w:sz w:val="24"/>
          <w:szCs w:val="24"/>
          <w:highlight w:val="none"/>
        </w:rPr>
        <w:t>）</w:t>
      </w:r>
    </w:p>
    <w:p>
      <w:pPr>
        <w:ind w:firstLine="1200" w:firstLineChars="400"/>
        <w:rPr>
          <w:rFonts w:ascii="宋体" w:hAnsi="宋体" w:cs="宋体"/>
          <w:color w:val="auto"/>
          <w:sz w:val="30"/>
          <w:highlight w:val="none"/>
          <w:u w:val="single"/>
        </w:rPr>
      </w:pPr>
    </w:p>
    <w:p>
      <w:pPr>
        <w:ind w:firstLine="1200" w:firstLineChars="400"/>
        <w:rPr>
          <w:rFonts w:ascii="宋体" w:hAnsi="宋体" w:cs="宋体"/>
          <w:color w:val="auto"/>
          <w:sz w:val="30"/>
          <w:highlight w:val="none"/>
          <w:u w:val="single"/>
        </w:rPr>
      </w:pPr>
    </w:p>
    <w:p>
      <w:pPr>
        <w:rPr>
          <w:rFonts w:ascii="宋体" w:hAnsi="宋体" w:cs="宋体"/>
          <w:color w:val="auto"/>
          <w:sz w:val="30"/>
          <w:highlight w:val="none"/>
          <w:u w:val="single"/>
        </w:rPr>
      </w:pPr>
    </w:p>
    <w:p>
      <w:pPr>
        <w:tabs>
          <w:tab w:val="left" w:pos="3255"/>
        </w:tabs>
        <w:spacing w:line="800" w:lineRule="exact"/>
        <w:ind w:firstLine="1920" w:firstLineChars="600"/>
        <w:rPr>
          <w:rFonts w:ascii="宋体" w:hAnsi="宋体" w:cs="宋体"/>
          <w:color w:val="auto"/>
          <w:sz w:val="32"/>
          <w:szCs w:val="32"/>
          <w:highlight w:val="none"/>
        </w:rPr>
      </w:pPr>
    </w:p>
    <w:p>
      <w:pPr>
        <w:tabs>
          <w:tab w:val="left" w:pos="3255"/>
        </w:tabs>
        <w:spacing w:line="800" w:lineRule="exact"/>
        <w:ind w:firstLine="1920" w:firstLineChars="600"/>
        <w:rPr>
          <w:rFonts w:ascii="宋体" w:hAnsi="宋体" w:cs="宋体"/>
          <w:color w:val="auto"/>
          <w:sz w:val="32"/>
          <w:szCs w:val="32"/>
          <w:highlight w:val="none"/>
        </w:rPr>
      </w:pPr>
    </w:p>
    <w:p>
      <w:pPr>
        <w:tabs>
          <w:tab w:val="left" w:pos="3255"/>
        </w:tabs>
        <w:spacing w:line="800" w:lineRule="exact"/>
        <w:ind w:firstLine="1920" w:firstLineChars="600"/>
        <w:rPr>
          <w:rFonts w:hint="default" w:ascii="宋体" w:hAnsi="宋体" w:cs="宋体" w:eastAsiaTheme="minorEastAsia"/>
          <w:color w:val="auto"/>
          <w:sz w:val="32"/>
          <w:szCs w:val="32"/>
          <w:highlight w:val="none"/>
          <w:lang w:val="en-US" w:eastAsia="zh-CN"/>
        </w:rPr>
      </w:pPr>
      <w:r>
        <w:rPr>
          <w:rFonts w:hint="eastAsia" w:ascii="宋体" w:hAnsi="宋体" w:cs="宋体"/>
          <w:color w:val="auto"/>
          <w:sz w:val="32"/>
          <w:szCs w:val="32"/>
          <w:highlight w:val="none"/>
        </w:rPr>
        <w:t>招标人：</w:t>
      </w:r>
      <w:r>
        <w:rPr>
          <w:rFonts w:hint="eastAsia" w:ascii="宋体" w:hAnsi="宋体" w:cs="宋体"/>
          <w:color w:val="auto"/>
          <w:sz w:val="32"/>
          <w:szCs w:val="32"/>
          <w:highlight w:val="none"/>
          <w:lang w:val="en-US" w:eastAsia="zh-CN"/>
        </w:rPr>
        <w:t>长垣市南蒲街道办事处</w:t>
      </w:r>
    </w:p>
    <w:p>
      <w:pPr>
        <w:tabs>
          <w:tab w:val="left" w:pos="3255"/>
        </w:tabs>
        <w:spacing w:line="800" w:lineRule="exact"/>
        <w:ind w:firstLine="1920" w:firstLineChars="600"/>
        <w:rPr>
          <w:rFonts w:hint="eastAsia" w:ascii="宋体" w:hAnsi="宋体" w:cs="宋体" w:eastAsiaTheme="minorEastAsia"/>
          <w:color w:val="auto"/>
          <w:kern w:val="0"/>
          <w:sz w:val="28"/>
          <w:szCs w:val="28"/>
          <w:highlight w:val="none"/>
          <w:lang w:eastAsia="zh-CN"/>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lang w:eastAsia="zh-CN"/>
        </w:rPr>
        <w:t>河南昌泰工程管理有限公司</w:t>
      </w:r>
    </w:p>
    <w:p>
      <w:pPr>
        <w:autoSpaceDE w:val="0"/>
        <w:autoSpaceDN w:val="0"/>
        <w:adjustRightInd w:val="0"/>
        <w:ind w:firstLine="3840" w:firstLineChars="1200"/>
        <w:jc w:val="left"/>
        <w:rPr>
          <w:rFonts w:ascii="宋体" w:hAnsi="宋体" w:cs="宋体"/>
          <w:color w:val="auto"/>
          <w:highlight w:val="none"/>
        </w:rPr>
      </w:pPr>
      <w:r>
        <w:rPr>
          <w:rFonts w:hint="eastAsia" w:ascii="宋体" w:hAnsi="宋体" w:cs="宋体"/>
          <w:color w:val="auto"/>
          <w:kern w:val="0"/>
          <w:sz w:val="32"/>
          <w:szCs w:val="32"/>
          <w:highlight w:val="none"/>
        </w:rPr>
        <w:t>二O二三年</w:t>
      </w:r>
      <w:r>
        <w:rPr>
          <w:rFonts w:hint="eastAsia" w:ascii="宋体" w:hAnsi="宋体" w:cs="宋体"/>
          <w:color w:val="auto"/>
          <w:kern w:val="0"/>
          <w:sz w:val="32"/>
          <w:szCs w:val="32"/>
          <w:highlight w:val="none"/>
          <w:lang w:val="en-US" w:eastAsia="zh-CN"/>
        </w:rPr>
        <w:t>十二</w:t>
      </w:r>
      <w:r>
        <w:rPr>
          <w:rFonts w:hint="eastAsia" w:ascii="宋体" w:hAnsi="宋体" w:cs="宋体"/>
          <w:color w:val="auto"/>
          <w:kern w:val="0"/>
          <w:sz w:val="32"/>
          <w:szCs w:val="32"/>
          <w:highlight w:val="none"/>
        </w:rPr>
        <w:t>月</w:t>
      </w:r>
    </w:p>
    <w:p>
      <w:pPr>
        <w:spacing w:line="440" w:lineRule="exact"/>
        <w:rPr>
          <w:rFonts w:ascii="宋体" w:hAnsi="宋体" w:cs="宋体"/>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361" w:right="1247" w:bottom="1361" w:left="1304" w:header="624" w:footer="992" w:gutter="0"/>
          <w:pgNumType w:fmt="decimal"/>
          <w:cols w:space="720" w:num="1"/>
          <w:titlePg/>
          <w:docGrid w:type="lines" w:linePitch="312" w:charSpace="0"/>
        </w:sectPr>
      </w:pPr>
    </w:p>
    <w:p>
      <w:pPr>
        <w:pStyle w:val="25"/>
        <w:pageBreakBefore/>
        <w:jc w:val="center"/>
        <w:rPr>
          <w:rFonts w:hAnsi="宋体"/>
          <w:b/>
          <w:color w:val="auto"/>
          <w:sz w:val="36"/>
          <w:szCs w:val="36"/>
          <w:highlight w:val="none"/>
        </w:rPr>
      </w:pPr>
      <w:r>
        <w:rPr>
          <w:rFonts w:hint="eastAsia" w:hAnsi="宋体"/>
          <w:b/>
          <w:color w:val="auto"/>
          <w:sz w:val="36"/>
          <w:szCs w:val="36"/>
          <w:highlight w:val="none"/>
        </w:rPr>
        <w:t>目   录</w:t>
      </w:r>
    </w:p>
    <w:p>
      <w:pPr>
        <w:pStyle w:val="13"/>
        <w:tabs>
          <w:tab w:val="right" w:leader="dot" w:pos="9746"/>
        </w:tabs>
        <w:spacing w:line="360" w:lineRule="auto"/>
        <w:rPr>
          <w:color w:val="auto"/>
          <w:sz w:val="28"/>
          <w:szCs w:val="28"/>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"1-1" \h \u </w:instrText>
      </w:r>
      <w:r>
        <w:rPr>
          <w:rFonts w:hint="eastAsia" w:ascii="宋体" w:hAnsi="宋体" w:eastAsia="宋体" w:cs="宋体"/>
          <w:color w:val="auto"/>
          <w:sz w:val="24"/>
          <w:highlight w:val="none"/>
        </w:rPr>
        <w:fldChar w:fldCharType="separate"/>
      </w:r>
      <w:r>
        <w:rPr>
          <w:color w:val="auto"/>
          <w:highlight w:val="none"/>
        </w:rPr>
        <w:fldChar w:fldCharType="begin"/>
      </w:r>
      <w:r>
        <w:rPr>
          <w:color w:val="auto"/>
          <w:highlight w:val="none"/>
        </w:rPr>
        <w:instrText xml:space="preserve"> HYPERLINK \l "_Toc12478" </w:instrText>
      </w:r>
      <w:r>
        <w:rPr>
          <w:color w:val="auto"/>
          <w:highlight w:val="none"/>
        </w:rPr>
        <w:fldChar w:fldCharType="separate"/>
      </w:r>
      <w:r>
        <w:rPr>
          <w:rFonts w:hint="eastAsia" w:ascii="宋体" w:hAnsi="宋体" w:cs="宋体"/>
          <w:color w:val="auto"/>
          <w:sz w:val="28"/>
          <w:szCs w:val="28"/>
          <w:highlight w:val="none"/>
        </w:rPr>
        <w:t>第一章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_Toc12478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"_Toc20694" </w:instrText>
      </w:r>
      <w:r>
        <w:rPr>
          <w:color w:val="auto"/>
          <w:highlight w:val="none"/>
        </w:rPr>
        <w:fldChar w:fldCharType="separate"/>
      </w:r>
      <w:r>
        <w:rPr>
          <w:rFonts w:hint="eastAsia" w:ascii="宋体" w:hAnsi="宋体" w:cs="宋体"/>
          <w:color w:val="auto"/>
          <w:sz w:val="28"/>
          <w:szCs w:val="28"/>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_Toc20694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"_Toc10468" </w:instrText>
      </w:r>
      <w:r>
        <w:rPr>
          <w:color w:val="auto"/>
          <w:highlight w:val="none"/>
        </w:rPr>
        <w:fldChar w:fldCharType="separate"/>
      </w:r>
      <w:r>
        <w:rPr>
          <w:rFonts w:hint="eastAsia" w:ascii="宋体" w:hAnsi="宋体" w:cs="宋体"/>
          <w:color w:val="auto"/>
          <w:sz w:val="28"/>
          <w:szCs w:val="28"/>
          <w:highlight w:val="none"/>
        </w:rPr>
        <w:t>投标人须知前附表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_Toc10468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"_Toc2988" </w:instrText>
      </w:r>
      <w:r>
        <w:rPr>
          <w:color w:val="auto"/>
          <w:highlight w:val="none"/>
        </w:rPr>
        <w:fldChar w:fldCharType="separate"/>
      </w:r>
      <w:r>
        <w:rPr>
          <w:rFonts w:hint="eastAsia" w:ascii="宋体" w:hAnsi="宋体" w:cs="宋体"/>
          <w:color w:val="auto"/>
          <w:sz w:val="28"/>
          <w:szCs w:val="28"/>
          <w:highlight w:val="none"/>
        </w:rPr>
        <w:t>第三章 评标办法（综合评估法）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_Toc2988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"_Toc9900" </w:instrText>
      </w:r>
      <w:r>
        <w:rPr>
          <w:color w:val="auto"/>
          <w:highlight w:val="none"/>
        </w:rPr>
        <w:fldChar w:fldCharType="separate"/>
      </w:r>
      <w:r>
        <w:rPr>
          <w:rFonts w:hint="eastAsia" w:ascii="黑体" w:eastAsia="黑体"/>
          <w:color w:val="auto"/>
          <w:sz w:val="28"/>
          <w:szCs w:val="28"/>
          <w:highlight w:val="none"/>
        </w:rPr>
        <w:t>第四章 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_Toc9900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"_Toc16153" </w:instrText>
      </w:r>
      <w:r>
        <w:rPr>
          <w:color w:val="auto"/>
          <w:highlight w:val="none"/>
        </w:rPr>
        <w:fldChar w:fldCharType="separate"/>
      </w:r>
      <w:r>
        <w:rPr>
          <w:rFonts w:hint="eastAsia" w:ascii="宋体" w:hAnsi="宋体" w:cs="宋体"/>
          <w:bCs/>
          <w:color w:val="auto"/>
          <w:sz w:val="28"/>
          <w:szCs w:val="28"/>
          <w:highlight w:val="none"/>
        </w:rPr>
        <w:t>第五章 工程量清单（另附）</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_Toc16153 </w:instrText>
      </w:r>
      <w:r>
        <w:rPr>
          <w:color w:val="auto"/>
          <w:sz w:val="28"/>
          <w:szCs w:val="28"/>
          <w:highlight w:val="none"/>
        </w:rPr>
        <w:fldChar w:fldCharType="separate"/>
      </w:r>
      <w:r>
        <w:rPr>
          <w:color w:val="auto"/>
          <w:sz w:val="28"/>
          <w:szCs w:val="28"/>
          <w:highlight w:val="none"/>
        </w:rPr>
        <w:t>59</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"_Toc24377" </w:instrText>
      </w:r>
      <w:r>
        <w:rPr>
          <w:color w:val="auto"/>
          <w:highlight w:val="none"/>
        </w:rPr>
        <w:fldChar w:fldCharType="separate"/>
      </w:r>
      <w:r>
        <w:rPr>
          <w:rFonts w:hint="eastAsia" w:ascii="宋体" w:hAnsi="宋体" w:cs="宋体"/>
          <w:color w:val="auto"/>
          <w:sz w:val="28"/>
          <w:szCs w:val="28"/>
          <w:highlight w:val="none"/>
        </w:rPr>
        <w:t>第六章 图 纸（另附）</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_Toc24377 </w:instrText>
      </w:r>
      <w:r>
        <w:rPr>
          <w:color w:val="auto"/>
          <w:sz w:val="28"/>
          <w:szCs w:val="28"/>
          <w:highlight w:val="none"/>
        </w:rPr>
        <w:fldChar w:fldCharType="separate"/>
      </w:r>
      <w:r>
        <w:rPr>
          <w:color w:val="auto"/>
          <w:sz w:val="28"/>
          <w:szCs w:val="28"/>
          <w:highlight w:val="none"/>
        </w:rPr>
        <w:t>60</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"_Toc4499" </w:instrText>
      </w:r>
      <w:r>
        <w:rPr>
          <w:color w:val="auto"/>
          <w:highlight w:val="none"/>
        </w:rPr>
        <w:fldChar w:fldCharType="separate"/>
      </w:r>
      <w:r>
        <w:rPr>
          <w:rFonts w:hint="eastAsia" w:ascii="宋体" w:hAnsi="宋体" w:cs="宋体"/>
          <w:color w:val="auto"/>
          <w:sz w:val="28"/>
          <w:szCs w:val="28"/>
          <w:highlight w:val="none"/>
        </w:rPr>
        <w:t>第七章 技术标准和要求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_Toc4499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"_Toc5509" </w:instrText>
      </w:r>
      <w:r>
        <w:rPr>
          <w:color w:val="auto"/>
          <w:highlight w:val="none"/>
        </w:rPr>
        <w:fldChar w:fldCharType="separate"/>
      </w:r>
      <w:r>
        <w:rPr>
          <w:rFonts w:hint="eastAsia" w:ascii="宋体" w:hAnsi="宋体" w:cs="宋体"/>
          <w:color w:val="auto"/>
          <w:sz w:val="28"/>
          <w:szCs w:val="28"/>
          <w:highlight w:val="none"/>
        </w:rPr>
        <w:t>第八章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_Toc5509 </w:instrText>
      </w:r>
      <w:r>
        <w:rPr>
          <w:color w:val="auto"/>
          <w:sz w:val="28"/>
          <w:szCs w:val="28"/>
          <w:highlight w:val="none"/>
        </w:rPr>
        <w:fldChar w:fldCharType="separate"/>
      </w:r>
      <w:r>
        <w:rPr>
          <w:color w:val="auto"/>
          <w:sz w:val="28"/>
          <w:szCs w:val="28"/>
          <w:highlight w:val="none"/>
        </w:rPr>
        <w:t>62</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"_Toc32546" </w:instrText>
      </w:r>
      <w:r>
        <w:rPr>
          <w:color w:val="auto"/>
          <w:highlight w:val="none"/>
        </w:rPr>
        <w:fldChar w:fldCharType="separate"/>
      </w:r>
      <w:r>
        <w:rPr>
          <w:rFonts w:hint="eastAsia" w:ascii="宋体" w:hAnsi="宋体" w:cs="宋体"/>
          <w:bCs/>
          <w:color w:val="auto"/>
          <w:sz w:val="28"/>
          <w:szCs w:val="28"/>
          <w:highlight w:val="none"/>
        </w:rPr>
        <w:t>一、投标函及投标报价一览表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_Toc32546 </w:instrText>
      </w:r>
      <w:r>
        <w:rPr>
          <w:color w:val="auto"/>
          <w:sz w:val="28"/>
          <w:szCs w:val="28"/>
          <w:highlight w:val="none"/>
        </w:rPr>
        <w:fldChar w:fldCharType="separate"/>
      </w:r>
      <w:r>
        <w:rPr>
          <w:color w:val="auto"/>
          <w:sz w:val="28"/>
          <w:szCs w:val="28"/>
          <w:highlight w:val="none"/>
        </w:rPr>
        <w:t>64</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"_Toc20128" </w:instrText>
      </w:r>
      <w:r>
        <w:rPr>
          <w:color w:val="auto"/>
          <w:highlight w:val="none"/>
        </w:rPr>
        <w:fldChar w:fldCharType="separate"/>
      </w:r>
      <w:r>
        <w:rPr>
          <w:rFonts w:hint="eastAsia" w:ascii="宋体" w:hAnsi="宋体" w:cs="宋体"/>
          <w:bCs/>
          <w:color w:val="auto"/>
          <w:sz w:val="28"/>
          <w:szCs w:val="28"/>
          <w:highlight w:val="none"/>
        </w:rPr>
        <w:t>二、法定代表人身份证明及授权委托书</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_Toc20128 </w:instrText>
      </w:r>
      <w:r>
        <w:rPr>
          <w:color w:val="auto"/>
          <w:sz w:val="28"/>
          <w:szCs w:val="28"/>
          <w:highlight w:val="none"/>
        </w:rPr>
        <w:fldChar w:fldCharType="separate"/>
      </w:r>
      <w:r>
        <w:rPr>
          <w:color w:val="auto"/>
          <w:sz w:val="28"/>
          <w:szCs w:val="28"/>
          <w:highlight w:val="none"/>
        </w:rPr>
        <w:t>65</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"_Toc13589" </w:instrText>
      </w:r>
      <w:r>
        <w:rPr>
          <w:color w:val="auto"/>
          <w:highlight w:val="none"/>
        </w:rPr>
        <w:fldChar w:fldCharType="separate"/>
      </w:r>
      <w:r>
        <w:rPr>
          <w:rFonts w:hint="eastAsia" w:ascii="宋体" w:hAnsi="宋体" w:cs="宋体"/>
          <w:bCs/>
          <w:color w:val="auto"/>
          <w:sz w:val="28"/>
          <w:szCs w:val="28"/>
          <w:highlight w:val="none"/>
        </w:rPr>
        <w:t>三、投标保证金</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_Toc13589 </w:instrText>
      </w:r>
      <w:r>
        <w:rPr>
          <w:color w:val="auto"/>
          <w:sz w:val="28"/>
          <w:szCs w:val="28"/>
          <w:highlight w:val="none"/>
        </w:rPr>
        <w:fldChar w:fldCharType="separate"/>
      </w:r>
      <w:r>
        <w:rPr>
          <w:color w:val="auto"/>
          <w:sz w:val="28"/>
          <w:szCs w:val="28"/>
          <w:highlight w:val="none"/>
        </w:rPr>
        <w:t>67</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"_Toc21786" </w:instrText>
      </w:r>
      <w:r>
        <w:rPr>
          <w:color w:val="auto"/>
          <w:highlight w:val="none"/>
        </w:rPr>
        <w:fldChar w:fldCharType="separate"/>
      </w:r>
      <w:r>
        <w:rPr>
          <w:rFonts w:hint="eastAsia" w:ascii="宋体" w:hAnsi="宋体" w:cs="宋体"/>
          <w:bCs/>
          <w:color w:val="auto"/>
          <w:sz w:val="28"/>
          <w:szCs w:val="28"/>
          <w:highlight w:val="none"/>
        </w:rPr>
        <w:t>四、已标价的工程量清单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_Toc21786 </w:instrText>
      </w:r>
      <w:r>
        <w:rPr>
          <w:color w:val="auto"/>
          <w:sz w:val="28"/>
          <w:szCs w:val="28"/>
          <w:highlight w:val="none"/>
        </w:rPr>
        <w:fldChar w:fldCharType="separate"/>
      </w:r>
      <w:r>
        <w:rPr>
          <w:color w:val="auto"/>
          <w:sz w:val="28"/>
          <w:szCs w:val="28"/>
          <w:highlight w:val="none"/>
        </w:rPr>
        <w:t>68</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"_Toc17488" </w:instrText>
      </w:r>
      <w:r>
        <w:rPr>
          <w:color w:val="auto"/>
          <w:highlight w:val="none"/>
        </w:rPr>
        <w:fldChar w:fldCharType="separate"/>
      </w:r>
      <w:r>
        <w:rPr>
          <w:rFonts w:hint="eastAsia" w:ascii="宋体" w:hAnsi="宋体" w:cs="宋体"/>
          <w:bCs/>
          <w:color w:val="auto"/>
          <w:sz w:val="28"/>
          <w:szCs w:val="28"/>
          <w:highlight w:val="none"/>
        </w:rPr>
        <w:t>五、项目管理机构</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_Toc17488 </w:instrText>
      </w:r>
      <w:r>
        <w:rPr>
          <w:color w:val="auto"/>
          <w:sz w:val="28"/>
          <w:szCs w:val="28"/>
          <w:highlight w:val="none"/>
        </w:rPr>
        <w:fldChar w:fldCharType="separate"/>
      </w:r>
      <w:r>
        <w:rPr>
          <w:color w:val="auto"/>
          <w:sz w:val="28"/>
          <w:szCs w:val="28"/>
          <w:highlight w:val="none"/>
        </w:rPr>
        <w:t>69</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"_Toc27789" </w:instrText>
      </w:r>
      <w:r>
        <w:rPr>
          <w:color w:val="auto"/>
          <w:highlight w:val="none"/>
        </w:rPr>
        <w:fldChar w:fldCharType="separate"/>
      </w:r>
      <w:r>
        <w:rPr>
          <w:rFonts w:hint="eastAsia" w:ascii="宋体" w:hAnsi="宋体" w:cs="宋体"/>
          <w:bCs/>
          <w:color w:val="auto"/>
          <w:sz w:val="28"/>
          <w:szCs w:val="28"/>
          <w:highlight w:val="none"/>
        </w:rPr>
        <w:t>六、资格审查资料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_Toc27789 </w:instrText>
      </w:r>
      <w:r>
        <w:rPr>
          <w:color w:val="auto"/>
          <w:sz w:val="28"/>
          <w:szCs w:val="28"/>
          <w:highlight w:val="none"/>
        </w:rPr>
        <w:fldChar w:fldCharType="separate"/>
      </w:r>
      <w:r>
        <w:rPr>
          <w:color w:val="auto"/>
          <w:sz w:val="28"/>
          <w:szCs w:val="28"/>
          <w:highlight w:val="none"/>
        </w:rPr>
        <w:t>72</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"_Toc10022" </w:instrText>
      </w:r>
      <w:r>
        <w:rPr>
          <w:color w:val="auto"/>
          <w:highlight w:val="none"/>
        </w:rPr>
        <w:fldChar w:fldCharType="separate"/>
      </w:r>
      <w:r>
        <w:rPr>
          <w:rFonts w:hint="eastAsia" w:ascii="宋体" w:hAnsi="宋体" w:cs="宋体"/>
          <w:bCs/>
          <w:color w:val="auto"/>
          <w:sz w:val="28"/>
          <w:szCs w:val="28"/>
          <w:highlight w:val="none"/>
        </w:rPr>
        <w:t>七、其他材料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_Toc10022 </w:instrText>
      </w:r>
      <w:r>
        <w:rPr>
          <w:color w:val="auto"/>
          <w:sz w:val="28"/>
          <w:szCs w:val="28"/>
          <w:highlight w:val="none"/>
        </w:rPr>
        <w:fldChar w:fldCharType="separate"/>
      </w:r>
      <w:r>
        <w:rPr>
          <w:color w:val="auto"/>
          <w:sz w:val="28"/>
          <w:szCs w:val="28"/>
          <w:highlight w:val="none"/>
        </w:rPr>
        <w:t>78</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"_Toc24223" </w:instrText>
      </w:r>
      <w:r>
        <w:rPr>
          <w:color w:val="auto"/>
          <w:highlight w:val="none"/>
        </w:rPr>
        <w:fldChar w:fldCharType="separate"/>
      </w:r>
      <w:r>
        <w:rPr>
          <w:rFonts w:hint="eastAsia" w:ascii="宋体" w:hAnsi="宋体" w:cs="宋体"/>
          <w:bCs/>
          <w:color w:val="auto"/>
          <w:sz w:val="28"/>
          <w:szCs w:val="28"/>
          <w:highlight w:val="none"/>
        </w:rPr>
        <w:t>八、施工组织设计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_Toc24223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"_Toc20007" </w:instrText>
      </w:r>
      <w:r>
        <w:rPr>
          <w:color w:val="auto"/>
          <w:highlight w:val="none"/>
        </w:rPr>
        <w:fldChar w:fldCharType="separate"/>
      </w:r>
      <w:r>
        <w:rPr>
          <w:rFonts w:hint="eastAsia" w:ascii="宋体" w:hAnsi="宋体" w:eastAsia="宋体" w:cs="宋体"/>
          <w:bCs/>
          <w:color w:val="auto"/>
          <w:sz w:val="28"/>
          <w:szCs w:val="28"/>
          <w:highlight w:val="none"/>
        </w:rPr>
        <w:t>九、落实的政府采购政策</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_Toc20007 </w:instrText>
      </w:r>
      <w:r>
        <w:rPr>
          <w:color w:val="auto"/>
          <w:sz w:val="28"/>
          <w:szCs w:val="28"/>
          <w:highlight w:val="none"/>
        </w:rPr>
        <w:fldChar w:fldCharType="separate"/>
      </w:r>
      <w:r>
        <w:rPr>
          <w:color w:val="auto"/>
          <w:sz w:val="28"/>
          <w:szCs w:val="28"/>
          <w:highlight w:val="none"/>
        </w:rPr>
        <w:t>86</w:t>
      </w:r>
      <w:r>
        <w:rPr>
          <w:color w:val="auto"/>
          <w:sz w:val="28"/>
          <w:szCs w:val="28"/>
          <w:highlight w:val="none"/>
        </w:rPr>
        <w:fldChar w:fldCharType="end"/>
      </w:r>
      <w:r>
        <w:rPr>
          <w:color w:val="auto"/>
          <w:sz w:val="28"/>
          <w:szCs w:val="28"/>
          <w:highlight w:val="none"/>
        </w:rPr>
        <w:fldChar w:fldCharType="end"/>
      </w:r>
    </w:p>
    <w:p>
      <w:pPr>
        <w:pStyle w:val="13"/>
        <w:tabs>
          <w:tab w:val="right" w:leader="dot" w:pos="9746"/>
        </w:tabs>
        <w:rPr>
          <w:color w:val="auto"/>
          <w:highlight w:val="none"/>
        </w:rPr>
      </w:pPr>
    </w:p>
    <w:p>
      <w:pPr>
        <w:pStyle w:val="13"/>
        <w:tabs>
          <w:tab w:val="right" w:leader="dot" w:pos="9746"/>
        </w:tabs>
        <w:rPr>
          <w:color w:val="auto"/>
          <w:sz w:val="30"/>
          <w:szCs w:val="30"/>
          <w:highlight w:val="none"/>
        </w:rPr>
      </w:pPr>
    </w:p>
    <w:p>
      <w:pPr>
        <w:spacing w:line="480" w:lineRule="auto"/>
        <w:rPr>
          <w:rFonts w:ascii="宋体" w:hAnsi="宋体" w:cs="宋体"/>
          <w:color w:val="auto"/>
          <w:highlight w:val="none"/>
        </w:rPr>
      </w:pPr>
      <w:r>
        <w:rPr>
          <w:rFonts w:hint="eastAsia" w:ascii="宋体" w:hAnsi="宋体" w:eastAsia="宋体" w:cs="宋体"/>
          <w:color w:val="auto"/>
          <w:highlight w:val="none"/>
        </w:rPr>
        <w:fldChar w:fldCharType="end"/>
      </w:r>
    </w:p>
    <w:p>
      <w:pPr>
        <w:spacing w:line="480" w:lineRule="auto"/>
        <w:jc w:val="center"/>
        <w:outlineLvl w:val="0"/>
        <w:rPr>
          <w:rFonts w:hint="eastAsia" w:ascii="宋体" w:hAnsi="宋体" w:cs="宋体"/>
          <w:b/>
          <w:color w:val="auto"/>
          <w:sz w:val="36"/>
          <w:szCs w:val="36"/>
          <w:highlight w:val="none"/>
        </w:rPr>
      </w:pPr>
      <w:bookmarkStart w:id="1" w:name="_Toc12478"/>
    </w:p>
    <w:p>
      <w:pPr>
        <w:spacing w:line="480" w:lineRule="auto"/>
        <w:jc w:val="center"/>
        <w:outlineLvl w:val="0"/>
        <w:rPr>
          <w:rFonts w:hint="eastAsia" w:ascii="宋体" w:hAnsi="宋体" w:cs="宋体"/>
          <w:b/>
          <w:color w:val="auto"/>
          <w:sz w:val="36"/>
          <w:szCs w:val="36"/>
          <w:highlight w:val="none"/>
        </w:rPr>
      </w:pPr>
    </w:p>
    <w:p>
      <w:pPr>
        <w:spacing w:line="480" w:lineRule="auto"/>
        <w:jc w:val="center"/>
        <w:outlineLvl w:val="0"/>
        <w:rPr>
          <w:rFonts w:ascii="宋体" w:hAnsi="宋体" w:cs="宋体"/>
          <w:b/>
          <w:color w:val="auto"/>
          <w:sz w:val="44"/>
          <w:szCs w:val="44"/>
          <w:highlight w:val="none"/>
        </w:rPr>
      </w:pPr>
      <w:r>
        <w:rPr>
          <w:rFonts w:hint="eastAsia" w:ascii="宋体" w:hAnsi="宋体" w:cs="宋体"/>
          <w:b/>
          <w:color w:val="auto"/>
          <w:sz w:val="36"/>
          <w:szCs w:val="36"/>
          <w:highlight w:val="none"/>
        </w:rPr>
        <w:t>第一章 招标公告</w:t>
      </w:r>
      <w:bookmarkEnd w:id="1"/>
    </w:p>
    <w:bookmarkEnd w:id="0"/>
    <w:p>
      <w:pPr>
        <w:keepNext w:val="0"/>
        <w:keepLines w:val="0"/>
        <w:pageBreakBefore w:val="0"/>
        <w:widowControl w:val="0"/>
        <w:kinsoku/>
        <w:wordWrap/>
        <w:overflowPunct/>
        <w:topLinePunct w:val="0"/>
        <w:autoSpaceDE/>
        <w:bidi w:val="0"/>
        <w:adjustRightInd/>
        <w:snapToGrid/>
        <w:spacing w:line="408" w:lineRule="auto"/>
        <w:ind w:firstLine="482" w:firstLineChars="200"/>
        <w:jc w:val="center"/>
        <w:textAlignment w:val="auto"/>
        <w:rPr>
          <w:rFonts w:hint="eastAsia" w:ascii="宋体" w:hAnsi="宋体" w:eastAsia="宋体" w:cs="宋体"/>
          <w:b/>
          <w:bCs/>
          <w:color w:val="auto"/>
          <w:sz w:val="24"/>
          <w:highlight w:val="none"/>
          <w:lang w:val="en-US" w:eastAsia="zh-CN"/>
        </w:rPr>
      </w:pPr>
      <w:bookmarkStart w:id="2" w:name="_Toc2005"/>
      <w:r>
        <w:rPr>
          <w:rFonts w:hint="eastAsia" w:ascii="宋体" w:hAnsi="宋体" w:eastAsia="宋体" w:cs="宋体"/>
          <w:b/>
          <w:bCs/>
          <w:color w:val="auto"/>
          <w:sz w:val="24"/>
          <w:highlight w:val="none"/>
          <w:lang w:val="en-US" w:eastAsia="zh-CN"/>
        </w:rPr>
        <w:t>长垣市南蒲街道办事处长垣市崇德小学建设景观及外网工程项目</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长垣市南蒲街道办事处长垣市崇德小学建设景观及外网工程项目</w:t>
      </w:r>
      <w:r>
        <w:rPr>
          <w:rFonts w:hint="eastAsia" w:ascii="宋体" w:hAnsi="宋体" w:eastAsia="宋体" w:cs="宋体"/>
          <w:color w:val="auto"/>
          <w:sz w:val="24"/>
          <w:highlight w:val="none"/>
        </w:rPr>
        <w:t>已经相关部门批准，现对该项目的施工进行公开招标，欢迎符合相应资格条件的投标人参加。</w:t>
      </w:r>
    </w:p>
    <w:p>
      <w:pPr>
        <w:keepNext w:val="0"/>
        <w:keepLines w:val="0"/>
        <w:pageBreakBefore w:val="0"/>
        <w:widowControl w:val="0"/>
        <w:kinsoku/>
        <w:wordWrap/>
        <w:overflowPunct/>
        <w:topLinePunct w:val="0"/>
        <w:autoSpaceDE/>
        <w:bidi w:val="0"/>
        <w:adjustRightInd/>
        <w:snapToGrid/>
        <w:spacing w:line="408"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一、招标人：</w:t>
      </w:r>
      <w:r>
        <w:rPr>
          <w:rFonts w:hint="eastAsia" w:eastAsia="宋体"/>
          <w:color w:val="auto"/>
          <w:sz w:val="24"/>
          <w:highlight w:val="none"/>
          <w:lang w:val="en-US" w:eastAsia="zh-CN"/>
        </w:rPr>
        <w:t>长垣市南蒲街道办事处</w:t>
      </w:r>
    </w:p>
    <w:p>
      <w:pPr>
        <w:keepNext w:val="0"/>
        <w:keepLines w:val="0"/>
        <w:pageBreakBefore w:val="0"/>
        <w:widowControl w:val="0"/>
        <w:tabs>
          <w:tab w:val="left" w:pos="9262"/>
        </w:tabs>
        <w:kinsoku/>
        <w:wordWrap/>
        <w:overflowPunct/>
        <w:topLinePunct w:val="0"/>
        <w:autoSpaceDE/>
        <w:bidi w:val="0"/>
        <w:adjustRightInd/>
        <w:snapToGrid/>
        <w:spacing w:line="408" w:lineRule="auto"/>
        <w:textAlignment w:val="auto"/>
        <w:rPr>
          <w:rFonts w:hint="eastAsia" w:eastAsia="宋体"/>
          <w:color w:val="auto"/>
          <w:sz w:val="24"/>
          <w:highlight w:val="none"/>
          <w:lang w:eastAsia="zh-CN"/>
        </w:rPr>
      </w:pPr>
      <w:r>
        <w:rPr>
          <w:rFonts w:hint="eastAsia" w:ascii="宋体" w:hAnsi="宋体" w:eastAsia="宋体" w:cs="宋体"/>
          <w:b/>
          <w:bCs/>
          <w:color w:val="auto"/>
          <w:sz w:val="24"/>
          <w:highlight w:val="none"/>
        </w:rPr>
        <w:t>二、项目名称：</w:t>
      </w:r>
      <w:r>
        <w:rPr>
          <w:rFonts w:hint="eastAsia" w:ascii="宋体" w:hAnsi="宋体" w:eastAsia="宋体" w:cs="宋体"/>
          <w:color w:val="auto"/>
          <w:sz w:val="24"/>
          <w:highlight w:val="none"/>
          <w:lang w:val="en-US" w:eastAsia="zh-CN"/>
        </w:rPr>
        <w:t>长垣市南蒲街道办事处长垣市崇德小学建设景观及外网工程项目</w:t>
      </w:r>
      <w:r>
        <w:rPr>
          <w:rFonts w:hint="eastAsia" w:ascii="宋体" w:hAnsi="宋体" w:eastAsia="宋体" w:cs="宋体"/>
          <w:color w:val="auto"/>
          <w:sz w:val="24"/>
          <w:highlight w:val="none"/>
          <w:lang w:val="en-US" w:eastAsia="zh-CN"/>
        </w:rPr>
        <w:tab/>
      </w:r>
    </w:p>
    <w:p>
      <w:pPr>
        <w:keepNext w:val="0"/>
        <w:keepLines w:val="0"/>
        <w:pageBreakBefore w:val="0"/>
        <w:widowControl w:val="0"/>
        <w:kinsoku/>
        <w:wordWrap/>
        <w:overflowPunct/>
        <w:topLinePunct w:val="0"/>
        <w:autoSpaceDE/>
        <w:bidi w:val="0"/>
        <w:adjustRightInd/>
        <w:snapToGrid/>
        <w:spacing w:line="408" w:lineRule="auto"/>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三、项目编号：</w:t>
      </w:r>
      <w:r>
        <w:rPr>
          <w:rFonts w:hint="eastAsia" w:ascii="宋体" w:hAnsi="宋体" w:eastAsia="宋体" w:cs="宋体"/>
          <w:color w:val="auto"/>
          <w:sz w:val="24"/>
          <w:highlight w:val="none"/>
        </w:rPr>
        <w:t>长交</w:t>
      </w:r>
      <w:r>
        <w:rPr>
          <w:rFonts w:hint="eastAsia" w:eastAsia="宋体"/>
          <w:color w:val="auto"/>
          <w:sz w:val="24"/>
          <w:highlight w:val="none"/>
          <w:lang w:eastAsia="zh-CN"/>
        </w:rPr>
        <w:t>建</w:t>
      </w:r>
      <w:r>
        <w:rPr>
          <w:rFonts w:hint="eastAsia" w:ascii="宋体" w:hAnsi="宋体" w:eastAsia="宋体" w:cs="宋体"/>
          <w:color w:val="auto"/>
          <w:sz w:val="24"/>
          <w:highlight w:val="none"/>
          <w:lang w:eastAsia="zh-CN"/>
        </w:rPr>
        <w:t>2023ZB</w:t>
      </w:r>
      <w:r>
        <w:rPr>
          <w:rFonts w:hint="eastAsia" w:ascii="宋体" w:hAnsi="宋体" w:eastAsia="宋体" w:cs="宋体"/>
          <w:color w:val="auto"/>
          <w:sz w:val="24"/>
          <w:highlight w:val="none"/>
          <w:lang w:val="en-US" w:eastAsia="zh-CN"/>
        </w:rPr>
        <w:t>081</w:t>
      </w:r>
      <w:r>
        <w:rPr>
          <w:rFonts w:hint="eastAsia" w:ascii="宋体" w:hAnsi="宋体" w:eastAsia="宋体" w:cs="宋体"/>
          <w:color w:val="auto"/>
          <w:sz w:val="24"/>
          <w:highlight w:val="none"/>
          <w:lang w:eastAsia="zh-CN"/>
        </w:rPr>
        <w:t>号</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rPr>
        <w:t>四、项目地点：</w:t>
      </w:r>
      <w:r>
        <w:rPr>
          <w:rFonts w:hint="eastAsia" w:ascii="宋体" w:hAnsi="宋体" w:eastAsia="宋体" w:cs="宋体"/>
          <w:color w:val="auto"/>
          <w:sz w:val="24"/>
          <w:highlight w:val="none"/>
        </w:rPr>
        <w:t>长垣市境内</w:t>
      </w:r>
    </w:p>
    <w:p>
      <w:pPr>
        <w:keepNext w:val="0"/>
        <w:keepLines w:val="0"/>
        <w:pageBreakBefore w:val="0"/>
        <w:widowControl w:val="0"/>
        <w:kinsoku/>
        <w:wordWrap/>
        <w:overflowPunct/>
        <w:topLinePunct w:val="0"/>
        <w:autoSpaceDE/>
        <w:bidi w:val="0"/>
        <w:adjustRightInd/>
        <w:snapToGrid/>
        <w:spacing w:line="408" w:lineRule="auto"/>
        <w:textAlignment w:val="auto"/>
        <w:rPr>
          <w:color w:val="auto"/>
          <w:highlight w:val="none"/>
        </w:rPr>
      </w:pPr>
      <w:r>
        <w:rPr>
          <w:rFonts w:hint="eastAsia" w:ascii="宋体" w:hAnsi="宋体" w:eastAsia="宋体" w:cs="宋体"/>
          <w:b/>
          <w:bCs/>
          <w:color w:val="auto"/>
          <w:sz w:val="24"/>
          <w:highlight w:val="none"/>
        </w:rPr>
        <w:t>五、项目内容：</w:t>
      </w:r>
      <w:r>
        <w:rPr>
          <w:rFonts w:hint="eastAsia" w:eastAsia="宋体"/>
          <w:color w:val="auto"/>
          <w:sz w:val="24"/>
          <w:highlight w:val="none"/>
          <w:lang w:val="en-US" w:eastAsia="zh-CN"/>
        </w:rPr>
        <w:t>长垣市南蒲街道办事处长垣市崇德小学建设景观及外网工程项目</w:t>
      </w:r>
      <w:r>
        <w:rPr>
          <w:rFonts w:hint="eastAsia" w:ascii="宋体" w:hAnsi="宋体" w:eastAsia="宋体" w:cs="宋体"/>
          <w:color w:val="auto"/>
          <w:sz w:val="24"/>
          <w:highlight w:val="none"/>
        </w:rPr>
        <w:t>（具体内容详见图纸及工程量清单）</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rPr>
        <w:t>六、招标范围：</w:t>
      </w:r>
      <w:r>
        <w:rPr>
          <w:rFonts w:hint="eastAsia" w:ascii="宋体" w:hAnsi="宋体" w:eastAsia="宋体" w:cs="宋体"/>
          <w:color w:val="auto"/>
          <w:sz w:val="24"/>
          <w:highlight w:val="none"/>
        </w:rPr>
        <w:t>图纸及工程量清单包含的全部内容</w:t>
      </w:r>
    </w:p>
    <w:p>
      <w:pPr>
        <w:keepNext w:val="0"/>
        <w:keepLines w:val="0"/>
        <w:pageBreakBefore w:val="0"/>
        <w:widowControl w:val="0"/>
        <w:kinsoku/>
        <w:wordWrap/>
        <w:overflowPunct/>
        <w:topLinePunct w:val="0"/>
        <w:autoSpaceDE/>
        <w:bidi w:val="0"/>
        <w:adjustRightInd/>
        <w:snapToGrid/>
        <w:spacing w:line="408" w:lineRule="auto"/>
        <w:jc w:val="both"/>
        <w:textAlignment w:val="auto"/>
        <w:rPr>
          <w:rFonts w:eastAsia="宋体"/>
          <w:b w:val="0"/>
          <w:bCs w:val="0"/>
          <w:color w:val="auto"/>
          <w:sz w:val="24"/>
          <w:highlight w:val="none"/>
        </w:rPr>
      </w:pPr>
      <w:r>
        <w:rPr>
          <w:rFonts w:hint="eastAsia" w:ascii="宋体" w:hAnsi="宋体" w:eastAsia="宋体" w:cs="宋体"/>
          <w:b/>
          <w:bCs/>
          <w:color w:val="auto"/>
          <w:sz w:val="24"/>
          <w:highlight w:val="none"/>
        </w:rPr>
        <w:t>七、招标规模：</w:t>
      </w:r>
      <w:r>
        <w:rPr>
          <w:rFonts w:hint="eastAsia" w:eastAsia="宋体"/>
          <w:color w:val="auto"/>
          <w:sz w:val="24"/>
          <w:highlight w:val="none"/>
          <w:lang w:val="en-US" w:eastAsia="zh-CN"/>
        </w:rPr>
        <w:t>长垣市南蒲街道办事处长垣市崇德小学建设景观及外网工程项目</w:t>
      </w:r>
      <w:r>
        <w:rPr>
          <w:rFonts w:hint="eastAsia" w:ascii="宋体" w:hAnsi="宋体" w:eastAsia="宋体"/>
          <w:color w:val="auto"/>
          <w:sz w:val="24"/>
          <w:highlight w:val="none"/>
        </w:rPr>
        <w:t>（具体内容详见图纸及工程量清单）</w:t>
      </w:r>
      <w:r>
        <w:rPr>
          <w:rFonts w:hint="eastAsia" w:ascii="宋体" w:hAnsi="宋体" w:eastAsia="宋体" w:cs="宋体"/>
          <w:b w:val="0"/>
          <w:bCs w:val="0"/>
          <w:i w:val="0"/>
          <w:iCs w:val="0"/>
          <w:color w:val="auto"/>
          <w:kern w:val="0"/>
          <w:sz w:val="24"/>
          <w:szCs w:val="24"/>
          <w:highlight w:val="none"/>
          <w:u w:val="none"/>
          <w:lang w:val="en-US" w:eastAsia="zh-CN" w:bidi="ar"/>
        </w:rPr>
        <w:t>。</w:t>
      </w:r>
    </w:p>
    <w:p>
      <w:pPr>
        <w:keepNext w:val="0"/>
        <w:keepLines w:val="0"/>
        <w:pageBreakBefore w:val="0"/>
        <w:widowControl w:val="0"/>
        <w:kinsoku/>
        <w:wordWrap/>
        <w:overflowPunct/>
        <w:topLinePunct w:val="0"/>
        <w:autoSpaceDE/>
        <w:bidi w:val="0"/>
        <w:adjustRightInd/>
        <w:snapToGrid/>
        <w:spacing w:line="408" w:lineRule="auto"/>
        <w:textAlignment w:val="auto"/>
        <w:rPr>
          <w:rFonts w:hint="eastAsia" w:ascii="宋体" w:hAnsi="宋体" w:eastAsia="宋体"/>
          <w:color w:val="auto"/>
          <w:sz w:val="24"/>
          <w:highlight w:val="none"/>
        </w:rPr>
      </w:pPr>
      <w:r>
        <w:rPr>
          <w:rFonts w:hint="eastAsia" w:ascii="宋体" w:hAnsi="宋体" w:eastAsia="宋体" w:cs="宋体"/>
          <w:b/>
          <w:bCs/>
          <w:color w:val="auto"/>
          <w:sz w:val="24"/>
          <w:highlight w:val="none"/>
        </w:rPr>
        <w:t>八、资金来源：</w:t>
      </w:r>
      <w:r>
        <w:rPr>
          <w:rFonts w:hint="eastAsia" w:ascii="宋体" w:hAnsi="宋体" w:eastAsia="宋体"/>
          <w:color w:val="auto"/>
          <w:sz w:val="24"/>
          <w:highlight w:val="none"/>
        </w:rPr>
        <w:t>自筹资金</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b/>
          <w:color w:val="auto"/>
          <w:sz w:val="24"/>
          <w:highlight w:val="none"/>
          <w:shd w:val="clear" w:color="auto" w:fill="FFFFFF"/>
        </w:rPr>
      </w:pPr>
      <w:r>
        <w:rPr>
          <w:rFonts w:hint="eastAsia" w:ascii="宋体" w:hAnsi="宋体" w:eastAsia="宋体" w:cs="宋体"/>
          <w:b/>
          <w:bCs/>
          <w:color w:val="auto"/>
          <w:sz w:val="24"/>
          <w:highlight w:val="none"/>
        </w:rPr>
        <w:t>九、</w:t>
      </w:r>
      <w:r>
        <w:rPr>
          <w:rFonts w:hint="eastAsia" w:ascii="宋体" w:hAnsi="宋体" w:eastAsia="宋体" w:cs="宋体"/>
          <w:b/>
          <w:color w:val="auto"/>
          <w:sz w:val="24"/>
          <w:highlight w:val="none"/>
          <w:shd w:val="clear" w:color="auto" w:fill="FFFFFF"/>
        </w:rPr>
        <w:t>落实的政府采购政策：</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1、本项目为非预留份额，根据《政府采购促进中小企业发展管理办法》（财库[2020]46号）第九条规定，支持中小微企业参与；</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2、根据《财政部、司法部关于政府采购支持监狱企业发展有关问题的通知》（财库[2014]68号），支持监狱企业参与；</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b/>
          <w:bCs/>
          <w:color w:val="auto"/>
          <w:sz w:val="24"/>
          <w:highlight w:val="none"/>
        </w:rPr>
      </w:pPr>
      <w:r>
        <w:rPr>
          <w:rFonts w:hint="eastAsia" w:ascii="宋体" w:hAnsi="宋体" w:eastAsia="宋体" w:cs="宋体"/>
          <w:color w:val="auto"/>
          <w:sz w:val="24"/>
          <w:highlight w:val="none"/>
          <w:shd w:val="clear" w:color="auto" w:fill="FFFFFF"/>
        </w:rPr>
        <w:t>3、根据财政部、民政部、中国残疾人联合会三部门发布《关于促进残疾人就业政府采购政策的通知》（财库[2017]141号），支持残疾人福利性单位企业参与；</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十、投标人资格要求：</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3、具有履行合同所必须的设备和专业技术能力；</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4、有依法缴纳税收和社会保障的良好记录；</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5、近五年，在经营活动中无重大违法记录；</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6、具有加载“统一社会信用代码”的营业执照；</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投标人须具有</w:t>
      </w:r>
      <w:r>
        <w:rPr>
          <w:rFonts w:hint="eastAsia" w:ascii="宋体" w:hAnsi="宋体" w:eastAsia="宋体" w:cs="宋体"/>
          <w:color w:val="auto"/>
          <w:sz w:val="24"/>
          <w:highlight w:val="none"/>
        </w:rPr>
        <w:t>市政</w:t>
      </w:r>
      <w:r>
        <w:rPr>
          <w:rFonts w:hint="eastAsia" w:ascii="宋体" w:hAnsi="宋体" w:eastAsia="宋体" w:cs="宋体"/>
          <w:color w:val="auto"/>
          <w:sz w:val="24"/>
          <w:highlight w:val="none"/>
          <w:lang w:val="en-US" w:eastAsia="zh-CN"/>
        </w:rPr>
        <w:t>公用</w:t>
      </w:r>
      <w:r>
        <w:rPr>
          <w:rFonts w:hint="eastAsia" w:ascii="宋体" w:hAnsi="宋体" w:eastAsia="宋体" w:cs="宋体"/>
          <w:color w:val="auto"/>
          <w:sz w:val="24"/>
          <w:highlight w:val="none"/>
        </w:rPr>
        <w:t>工程施工总承包叁级及以上资质；具有有效的安全生产许可证；拟派项目经理须具备市政</w:t>
      </w:r>
      <w:r>
        <w:rPr>
          <w:rFonts w:hint="eastAsia" w:ascii="宋体" w:hAnsi="宋体" w:eastAsia="宋体" w:cs="宋体"/>
          <w:color w:val="auto"/>
          <w:sz w:val="24"/>
          <w:highlight w:val="none"/>
          <w:lang w:val="en-US" w:eastAsia="zh-CN"/>
        </w:rPr>
        <w:t>公用</w:t>
      </w:r>
      <w:r>
        <w:rPr>
          <w:rFonts w:hint="eastAsia" w:ascii="宋体" w:hAnsi="宋体" w:eastAsia="宋体" w:cs="宋体"/>
          <w:color w:val="auto"/>
          <w:sz w:val="24"/>
          <w:highlight w:val="none"/>
        </w:rPr>
        <w:t>工程专业贰级及以上注册建造师证书且具有有效的安全生产考核合格证书；拟派项目经理不得在其他在建项目中担任项目经理；</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8、对于出借资质围标、串标的从业单位，一经查实，列入黑名单，并取消其该项目投标资格；</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shd w:val="clear" w:color="auto" w:fill="FFFFFF"/>
        </w:rPr>
        <w:t>根据《关于在政府采购活动中查询及使用信用记录有关问题的通知》（</w:t>
      </w:r>
      <w:r>
        <w:rPr>
          <w:rFonts w:hint="eastAsia" w:ascii="宋体" w:hAnsi="宋体" w:eastAsia="宋体" w:cs="宋体"/>
          <w:color w:val="auto"/>
          <w:sz w:val="24"/>
          <w:highlight w:val="none"/>
          <w:shd w:val="clear" w:color="auto" w:fill="FFFFFF"/>
          <w:lang w:eastAsia="zh-CN"/>
        </w:rPr>
        <w:t>财库[2016]125号</w:t>
      </w:r>
      <w:r>
        <w:rPr>
          <w:rFonts w:hint="eastAsia" w:ascii="宋体" w:hAnsi="宋体" w:eastAsia="宋体" w:cs="宋体"/>
          <w:color w:val="auto"/>
          <w:sz w:val="24"/>
          <w:highlight w:val="none"/>
          <w:shd w:val="clear" w:color="auto" w:fill="FFFFFF"/>
        </w:rPr>
        <w:t>）的规定，对列入失信被执行人、重大税收违法失信主体、政府采购严重违法失信行为记录名单的投标单位，拒绝参与本项目招标投标活动；【</w:t>
      </w:r>
      <w:r>
        <w:rPr>
          <w:rFonts w:hint="eastAsia" w:ascii="宋体" w:hAnsi="宋体" w:eastAsia="宋体" w:cs="宋体"/>
          <w:color w:val="auto"/>
          <w:sz w:val="24"/>
          <w:highlight w:val="none"/>
        </w:rPr>
        <w:t>查询渠道：“信用中国”网站（ www.creditchina.gov.cn）或“中国政府采购网”（ www.ccgp.gov.cn）或“中国执行信息公开网”网站（zxgk.court.gov.cn）】。附本公司在以上任意一个网站上的查询记录，查询日期应为公告发布之后。</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10、本次招标不接受联合体投标，不允许转包和分包；</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11、有拖欠农民工工资记录，并被建设行政主管部门通报的投标单位不允许参加本项目投标； </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12、本次招标采用资格后审。</w:t>
      </w:r>
    </w:p>
    <w:p>
      <w:pPr>
        <w:keepNext w:val="0"/>
        <w:keepLines w:val="0"/>
        <w:pageBreakBefore w:val="0"/>
        <w:widowControl w:val="0"/>
        <w:shd w:val="solid" w:color="FFFFFF" w:fill="auto"/>
        <w:kinsoku/>
        <w:wordWrap/>
        <w:overflowPunct/>
        <w:topLinePunct w:val="0"/>
        <w:autoSpaceDE/>
        <w:autoSpaceDN w:val="0"/>
        <w:bidi w:val="0"/>
        <w:adjustRightInd/>
        <w:snapToGrid/>
        <w:spacing w:line="408" w:lineRule="auto"/>
        <w:jc w:val="left"/>
        <w:textAlignment w:val="auto"/>
        <w:rPr>
          <w:rFonts w:ascii="宋体" w:hAnsi="宋体" w:eastAsia="宋体" w:cs="宋体"/>
          <w:color w:val="auto"/>
          <w:sz w:val="24"/>
          <w:highlight w:val="none"/>
          <w:shd w:val="clear" w:color="auto" w:fill="FFFFFF"/>
        </w:rPr>
      </w:pPr>
      <w:r>
        <w:rPr>
          <w:rFonts w:hint="eastAsia" w:ascii="宋体" w:hAnsi="宋体" w:eastAsia="宋体" w:cs="宋体"/>
          <w:b/>
          <w:bCs/>
          <w:color w:val="auto"/>
          <w:sz w:val="24"/>
          <w:highlight w:val="none"/>
        </w:rPr>
        <w:t>十一、</w:t>
      </w:r>
      <w:r>
        <w:rPr>
          <w:rFonts w:hint="eastAsia" w:ascii="宋体" w:hAnsi="宋体" w:eastAsia="宋体" w:cs="宋体"/>
          <w:b/>
          <w:color w:val="auto"/>
          <w:sz w:val="24"/>
          <w:highlight w:val="none"/>
          <w:shd w:val="clear" w:color="auto" w:fill="FFFFFF"/>
        </w:rPr>
        <w:t>招标文件的获取</w:t>
      </w:r>
      <w:r>
        <w:rPr>
          <w:rFonts w:hint="eastAsia" w:ascii="宋体" w:hAnsi="宋体" w:eastAsia="宋体" w:cs="宋体"/>
          <w:color w:val="auto"/>
          <w:sz w:val="24"/>
          <w:highlight w:val="none"/>
          <w:shd w:val="clear" w:color="auto" w:fill="FFFFFF"/>
        </w:rPr>
        <w:t>：</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1、企业诚信库注册及 CA 办理</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本项目只接受长垣市公共资源电子交易平台中已加入企业诚信库的企业业务，由于长垣市交易中心启用新版电子交易系统，已在旧版系统中注册的各交易主体应重新在新版交易系统中注册完善相关信息后绑定原 CA 证书，新注册的各交易主体直接在新版交易系统中注册完善相关信息并绑定 CA 证书（详见长垣市公共资源交易中心网站《关于启用新版电子交易系统的通知》，请各潜在投标人按长垣市公共资源交易中心网站规定及时办理， 未按长垣市交易中心规定办理相关手续导致无法参与投标的，投标人责任自负）。新版电子交易系统技术支持：17337179764/18137798463。</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2、招标文件获取方法：</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潜在投标人需通过</w:t>
      </w:r>
      <w:r>
        <w:rPr>
          <w:rFonts w:hint="eastAsia" w:ascii="宋体" w:hAnsi="宋体" w:eastAsia="宋体" w:cs="宋体"/>
          <w:color w:val="auto"/>
          <w:sz w:val="24"/>
          <w:highlight w:val="none"/>
        </w:rPr>
        <w:t>《全国公共资源交易平台（河南省·长垣市）》（网址：http://new.cyxggzy.cn/）</w:t>
      </w:r>
      <w:r>
        <w:rPr>
          <w:rFonts w:hint="eastAsia" w:ascii="宋体" w:hAnsi="宋体" w:eastAsia="宋体" w:cs="宋体"/>
          <w:color w:val="auto"/>
          <w:sz w:val="24"/>
          <w:highlight w:val="none"/>
          <w:lang w:val="zh-CN"/>
        </w:rPr>
        <w:t>登录交易系统进行招标文件下载。（详见</w:t>
      </w:r>
      <w:r>
        <w:rPr>
          <w:rFonts w:hint="eastAsia" w:ascii="宋体" w:hAnsi="宋体" w:eastAsia="宋体" w:cs="宋体"/>
          <w:color w:val="auto"/>
          <w:sz w:val="24"/>
          <w:highlight w:val="none"/>
        </w:rPr>
        <w:t>《全国公共资源交易平台（河南省·长垣市）》（网址：http://new.cyxggzy.cn/）资料</w:t>
      </w:r>
      <w:r>
        <w:rPr>
          <w:rFonts w:hint="eastAsia" w:ascii="宋体" w:hAnsi="宋体" w:eastAsia="宋体" w:cs="宋体"/>
          <w:color w:val="auto"/>
          <w:sz w:val="24"/>
          <w:highlight w:val="none"/>
          <w:lang w:val="zh-CN"/>
        </w:rPr>
        <w:t>下载专区《投标人操作手册》）。</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yellow"/>
          <w:lang w:val="zh-CN"/>
        </w:rPr>
      </w:pPr>
      <w:r>
        <w:rPr>
          <w:rFonts w:hint="eastAsia" w:ascii="宋体" w:hAnsi="宋体" w:eastAsia="宋体" w:cs="宋体"/>
          <w:color w:val="auto"/>
          <w:sz w:val="24"/>
          <w:highlight w:val="none"/>
          <w:lang w:val="zh-CN"/>
        </w:rPr>
        <w:t>3、招标文件获取时间：20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val="zh-CN"/>
        </w:rPr>
        <w:t xml:space="preserve">月 </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val="zh-CN"/>
        </w:rPr>
        <w:t>日 08 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lang w:val="zh-CN"/>
        </w:rPr>
        <w:t xml:space="preserve">分至 </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lang w:val="zh-CN"/>
        </w:rPr>
        <w:t xml:space="preserve"> 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lang w:val="zh-CN"/>
        </w:rPr>
        <w:t xml:space="preserve"> 日</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lang w:val="zh-CN"/>
        </w:rPr>
        <w:t xml:space="preserve">时 </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val="zh-CN"/>
        </w:rPr>
        <w:t xml:space="preserve"> 分。</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4、招标文件售价：0 元</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备注：本项目实行资格后审，营业执照、资质、业绩、人员、财务、证书等内容， 须在交易中心诚信库已登记的信息中选取。审查内容以投标截止时间 24 小时前（节假日顺延）填报上传企业诚信库信息为准，过期更改的诚信库信息不作为本项目评审依据， 诚信库上传信息必须内容齐全，真实有效，原件扫描件清晰可辨。否则，由此造成应得分而未得分或资格审查不合格等情况的，由投标企业承担责任。</w:t>
      </w:r>
    </w:p>
    <w:p>
      <w:pPr>
        <w:keepNext w:val="0"/>
        <w:keepLines w:val="0"/>
        <w:pageBreakBefore w:val="0"/>
        <w:widowControl w:val="0"/>
        <w:shd w:val="clear" w:color="000000" w:fill="FFFFFF"/>
        <w:kinsoku/>
        <w:wordWrap/>
        <w:overflowPunct/>
        <w:topLinePunct w:val="0"/>
        <w:autoSpaceDE/>
        <w:bidi w:val="0"/>
        <w:adjustRightInd/>
        <w:snapToGrid/>
        <w:spacing w:line="408" w:lineRule="auto"/>
        <w:jc w:val="left"/>
        <w:textAlignment w:val="auto"/>
        <w:rPr>
          <w:rFonts w:ascii="宋体" w:hAnsi="宋体" w:eastAsia="Times New Roman" w:cs="宋体"/>
          <w:color w:val="auto"/>
          <w:szCs w:val="32"/>
          <w:highlight w:val="none"/>
        </w:rPr>
      </w:pPr>
      <w:r>
        <w:rPr>
          <w:rFonts w:hint="eastAsia" w:ascii="宋体" w:hAnsi="宋体" w:eastAsia="宋体" w:cs="宋体"/>
          <w:b/>
          <w:color w:val="auto"/>
          <w:sz w:val="24"/>
          <w:highlight w:val="none"/>
          <w:shd w:val="clear" w:color="auto" w:fill="FFFFFF"/>
        </w:rPr>
        <w:t>十二</w:t>
      </w:r>
      <w:r>
        <w:rPr>
          <w:rFonts w:ascii="宋体" w:hAnsi="宋体" w:eastAsia="宋体" w:cs="宋体"/>
          <w:b/>
          <w:color w:val="auto"/>
          <w:sz w:val="24"/>
          <w:highlight w:val="none"/>
          <w:shd w:val="clear" w:color="auto" w:fill="FFFFFF"/>
        </w:rPr>
        <w:t>、投标截止时间、开标时间及地点</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1、该项目需要使用不见面开标，告知投标人无需前往现场来参与投标。而是各投标人根据手册要求，提前做好相关准备工作。</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val="zh-CN"/>
        </w:rPr>
        <w:t>操作手册(下载专区中自行下载)、不见面开标大厅地址（《全国公共资源交易平台（河南省·长垣市）》（网址：http://new.cyxggzy.cn/）进入网上开标大厅）</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2、该项目自行上传投标文件，无需寄送和递交加密投标文件电子版等。需要注意开标前登录不见面系统进行签到。</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3、因投标人无需现场参与开标，所有准备工作需要自行到位。(投标单位对不见面开标流程技术不熟悉可自行携带电脑到交易中心技术办公室外休息区操作)，开标过程中如遇到紧急事项，可在不</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见面开标大厅中进行提出异议或文字交流，严重问题找平台技术人员或拨打技术支持电话 17337179764/18137798463。</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4、不见面开标过程中，如投标人准备不到位，造成无法及时解密、网络问题等情况造成开标无法继续的，视为该投标人自动放弃投标（</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val="zh-CN"/>
        </w:rPr>
        <w:t xml:space="preserve"> 分钟内），将被退回投标文件。</w:t>
      </w:r>
    </w:p>
    <w:p>
      <w:pPr>
        <w:keepNext w:val="0"/>
        <w:keepLines w:val="0"/>
        <w:pageBreakBefore w:val="0"/>
        <w:widowControl w:val="0"/>
        <w:kinsoku/>
        <w:wordWrap/>
        <w:overflowPunct/>
        <w:topLinePunct w:val="0"/>
        <w:autoSpaceDE/>
        <w:bidi w:val="0"/>
        <w:adjustRightInd/>
        <w:snapToGrid/>
        <w:spacing w:line="408"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5、投标文件的递交及开标时间、地点：</w:t>
      </w:r>
    </w:p>
    <w:p>
      <w:pPr>
        <w:keepNext w:val="0"/>
        <w:keepLines w:val="0"/>
        <w:pageBreakBefore w:val="0"/>
        <w:widowControl w:val="0"/>
        <w:kinsoku/>
        <w:wordWrap/>
        <w:overflowPunct/>
        <w:topLinePunct w:val="0"/>
        <w:autoSpaceDE/>
        <w:bidi w:val="0"/>
        <w:adjustRightInd/>
        <w:snapToGrid/>
        <w:spacing w:line="408" w:lineRule="auto"/>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投标文件递交截止时间及开标时间：</w:t>
      </w:r>
      <w:r>
        <w:rPr>
          <w:rFonts w:hint="eastAsia" w:ascii="宋体" w:hAnsi="宋体" w:eastAsia="宋体" w:cs="宋体"/>
          <w:color w:val="auto"/>
          <w:sz w:val="24"/>
          <w:highlight w:val="none"/>
          <w:lang w:val="en-US" w:eastAsia="zh-CN"/>
        </w:rPr>
        <w:t>2024</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lang w:val="zh-CN"/>
        </w:rPr>
        <w:t xml:space="preserve">日 </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val="zh-CN"/>
        </w:rPr>
        <w:t xml:space="preserve"> 时 </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lang w:val="zh-CN"/>
        </w:rPr>
        <w:t xml:space="preserve"> 分；</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递交投标文件地点：《全国公共资源交易平台（河南省·长垣市）》（网址：http://new.cyxggzy.cn/）</w:t>
      </w:r>
    </w:p>
    <w:p>
      <w:pPr>
        <w:keepNext w:val="0"/>
        <w:keepLines w:val="0"/>
        <w:pageBreakBefore w:val="0"/>
        <w:widowControl w:val="0"/>
        <w:kinsoku/>
        <w:wordWrap/>
        <w:overflowPunct/>
        <w:topLinePunct w:val="0"/>
        <w:autoSpaceDE/>
        <w:bidi w:val="0"/>
        <w:adjustRightInd/>
        <w:snapToGrid/>
        <w:spacing w:line="408" w:lineRule="auto"/>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开标地点：长垣市公共资源交易中心开标室。</w:t>
      </w:r>
    </w:p>
    <w:p>
      <w:pPr>
        <w:keepNext w:val="0"/>
        <w:keepLines w:val="0"/>
        <w:pageBreakBefore w:val="0"/>
        <w:widowControl w:val="0"/>
        <w:kinsoku/>
        <w:wordWrap/>
        <w:overflowPunct/>
        <w:topLinePunct w:val="0"/>
        <w:autoSpaceDE/>
        <w:bidi w:val="0"/>
        <w:adjustRightInd/>
        <w:snapToGrid/>
        <w:spacing w:line="408"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十三、发布公告的媒体：</w:t>
      </w:r>
      <w:r>
        <w:rPr>
          <w:rFonts w:hint="eastAsia" w:ascii="宋体" w:hAnsi="宋体" w:eastAsia="宋体" w:cs="宋体"/>
          <w:color w:val="auto"/>
          <w:sz w:val="24"/>
          <w:highlight w:val="none"/>
        </w:rPr>
        <w:t xml:space="preserve"> 本次招标公告同时在《中国采购与招标网》、</w:t>
      </w:r>
      <w:r>
        <w:rPr>
          <w:rFonts w:hint="eastAsia" w:ascii="宋体" w:hAnsi="宋体" w:eastAsia="宋体" w:cs="宋体"/>
          <w:kern w:val="2"/>
          <w:sz w:val="24"/>
          <w:szCs w:val="24"/>
          <w:highlight w:val="none"/>
          <w:lang w:val="en-US" w:eastAsia="zh-CN" w:bidi="ar-SA"/>
        </w:rPr>
        <w:t>《河南省政府采购网》</w:t>
      </w:r>
      <w:r>
        <w:rPr>
          <w:rFonts w:hint="eastAsia" w:ascii="宋体" w:hAnsi="宋体" w:eastAsia="宋体" w:cs="宋体"/>
          <w:color w:val="auto"/>
          <w:sz w:val="24"/>
          <w:highlight w:val="none"/>
        </w:rPr>
        <w:t>、《河南省公共资源交易公共服务平台》、《全国公共资源交易平台（河南省</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长垣市）》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河南省电子招标投标公共服务平台》</w:t>
      </w:r>
      <w:r>
        <w:rPr>
          <w:rFonts w:hint="eastAsia" w:ascii="宋体" w:hAnsi="宋体" w:eastAsia="宋体" w:cs="宋体"/>
          <w:color w:val="auto"/>
          <w:sz w:val="24"/>
          <w:highlight w:val="none"/>
        </w:rPr>
        <w:t>网站上发布。</w:t>
      </w:r>
    </w:p>
    <w:p>
      <w:pPr>
        <w:spacing w:line="4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十四、联系人及联系方式：</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招标人：长垣市南蒲街道办事处</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地 址：长垣市南蒲街道办事处院内</w:t>
      </w:r>
    </w:p>
    <w:p>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联系人：</w:t>
      </w:r>
      <w:r>
        <w:rPr>
          <w:rFonts w:hint="eastAsia" w:ascii="宋体" w:hAnsi="宋体" w:eastAsia="宋体"/>
          <w:color w:val="auto"/>
          <w:sz w:val="24"/>
          <w:highlight w:val="none"/>
          <w:lang w:val="en-US" w:eastAsia="zh-CN"/>
        </w:rPr>
        <w:t>刘先生</w:t>
      </w:r>
    </w:p>
    <w:p>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联系电话：0373-8992065</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招标代理机构：河南昌泰工程管理有限公司</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地 址：郑州市金水区中州大道1188号置地广场2号楼13层59号</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联系人：梁自双</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联系电话：</w:t>
      </w:r>
      <w:r>
        <w:rPr>
          <w:rFonts w:hint="eastAsia" w:ascii="宋体" w:hAnsi="宋体" w:eastAsia="宋体"/>
          <w:color w:val="auto"/>
          <w:sz w:val="24"/>
          <w:highlight w:val="none"/>
          <w:lang w:val="en-US" w:eastAsia="zh-CN"/>
        </w:rPr>
        <w:t>15936556111</w:t>
      </w:r>
    </w:p>
    <w:p>
      <w:pPr>
        <w:spacing w:line="420" w:lineRule="exact"/>
        <w:rPr>
          <w:rFonts w:ascii="宋体" w:hAnsi="宋体" w:eastAsia="宋体" w:cs="宋体"/>
          <w:color w:val="auto"/>
          <w:sz w:val="24"/>
          <w:highlight w:val="none"/>
        </w:rPr>
      </w:pPr>
      <w:r>
        <w:rPr>
          <w:rFonts w:hint="eastAsia" w:ascii="宋体" w:hAnsi="宋体" w:eastAsia="宋体" w:cs="宋体"/>
          <w:b/>
          <w:bCs/>
          <w:color w:val="auto"/>
          <w:sz w:val="24"/>
          <w:highlight w:val="none"/>
        </w:rPr>
        <w:t>十五、监督单位及联系电话：</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长垣市住房和城乡建设局</w:t>
      </w:r>
      <w:r>
        <w:rPr>
          <w:rFonts w:hint="default" w:ascii="宋体" w:hAnsi="宋体" w:eastAsia="宋体"/>
          <w:color w:val="auto"/>
          <w:sz w:val="24"/>
          <w:highlight w:val="none"/>
        </w:rPr>
        <w:t>： 0373-8881353</w:t>
      </w:r>
    </w:p>
    <w:p>
      <w:pPr>
        <w:spacing w:line="420" w:lineRule="exact"/>
        <w:rPr>
          <w:rFonts w:ascii="宋体" w:hAnsi="宋体" w:eastAsia="宋体" w:cs="宋体"/>
          <w:color w:val="auto"/>
          <w:sz w:val="24"/>
          <w:highlight w:val="none"/>
        </w:rPr>
      </w:pPr>
    </w:p>
    <w:p>
      <w:pPr>
        <w:spacing w:line="420" w:lineRule="exact"/>
        <w:jc w:val="right"/>
        <w:rPr>
          <w:rFonts w:ascii="宋体" w:hAnsi="宋体" w:eastAsia="宋体" w:cs="宋体"/>
          <w:color w:val="auto"/>
          <w:sz w:val="24"/>
          <w:highlight w:val="none"/>
        </w:rPr>
      </w:pPr>
    </w:p>
    <w:p>
      <w:pPr>
        <w:spacing w:line="420" w:lineRule="exact"/>
        <w:jc w:val="right"/>
        <w:rPr>
          <w:rFonts w:ascii="宋体" w:hAnsi="宋体" w:eastAsia="宋体" w:cs="宋体"/>
          <w:color w:val="auto"/>
          <w:sz w:val="24"/>
          <w:highlight w:val="none"/>
        </w:rPr>
      </w:pPr>
    </w:p>
    <w:p>
      <w:pPr>
        <w:spacing w:line="420" w:lineRule="exact"/>
        <w:jc w:val="right"/>
        <w:rPr>
          <w:rFonts w:ascii="宋体" w:hAnsi="宋体" w:eastAsia="宋体" w:cs="宋体"/>
          <w:color w:val="auto"/>
          <w:sz w:val="24"/>
          <w:highlight w:val="none"/>
        </w:rPr>
      </w:pPr>
    </w:p>
    <w:p>
      <w:pPr>
        <w:spacing w:line="420" w:lineRule="exact"/>
        <w:jc w:val="right"/>
        <w:rPr>
          <w:rFonts w:hint="eastAsia" w:ascii="宋体" w:hAnsi="宋体" w:eastAsia="宋体"/>
          <w:color w:val="auto"/>
          <w:sz w:val="24"/>
          <w:highlight w:val="none"/>
        </w:rPr>
      </w:pPr>
      <w:r>
        <w:rPr>
          <w:rFonts w:hint="eastAsia" w:ascii="宋体" w:hAnsi="宋体" w:eastAsia="宋体"/>
          <w:color w:val="auto"/>
          <w:sz w:val="24"/>
          <w:highlight w:val="none"/>
        </w:rPr>
        <w:t>长垣市南蒲街道办事处</w:t>
      </w:r>
    </w:p>
    <w:p>
      <w:pPr>
        <w:spacing w:line="420" w:lineRule="exact"/>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河南昌泰工程管理有限公司</w:t>
      </w:r>
    </w:p>
    <w:p>
      <w:pPr>
        <w:spacing w:line="420" w:lineRule="exact"/>
        <w:ind w:firstLine="480" w:firstLineChars="20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lang w:eastAsia="zh-CN"/>
        </w:rPr>
        <w:t xml:space="preserve"> 年</w:t>
      </w:r>
      <w:r>
        <w:rPr>
          <w:rFonts w:hint="eastAsia" w:ascii="宋体" w:hAnsi="宋体" w:eastAsia="宋体" w:cs="宋体"/>
          <w:color w:val="auto"/>
          <w:sz w:val="24"/>
          <w:highlight w:val="none"/>
          <w:lang w:val="en-US" w:eastAsia="zh-CN"/>
        </w:rPr>
        <w:t xml:space="preserve"> 12</w:t>
      </w:r>
      <w:r>
        <w:rPr>
          <w:rFonts w:hint="eastAsia" w:ascii="宋体" w:hAnsi="宋体" w:eastAsia="宋体"/>
          <w:color w:val="auto"/>
          <w:sz w:val="24"/>
          <w:highlight w:val="none"/>
          <w:lang w:eastAsia="zh-CN"/>
        </w:rPr>
        <w:t xml:space="preserve">月 </w:t>
      </w:r>
      <w:r>
        <w:rPr>
          <w:rFonts w:hint="eastAsia" w:ascii="宋体" w:hAnsi="宋体" w:eastAsia="宋体"/>
          <w:color w:val="auto"/>
          <w:sz w:val="24"/>
          <w:highlight w:val="none"/>
          <w:lang w:val="en-US" w:eastAsia="zh-CN"/>
        </w:rPr>
        <w:t xml:space="preserve"> 22 </w:t>
      </w:r>
      <w:r>
        <w:rPr>
          <w:rFonts w:hint="eastAsia" w:ascii="宋体" w:hAnsi="宋体" w:eastAsia="宋体"/>
          <w:color w:val="auto"/>
          <w:sz w:val="24"/>
          <w:highlight w:val="none"/>
          <w:lang w:eastAsia="zh-CN"/>
        </w:rPr>
        <w:t xml:space="preserve"> 日</w:t>
      </w:r>
    </w:p>
    <w:p>
      <w:pPr>
        <w:spacing w:line="520" w:lineRule="exact"/>
        <w:jc w:val="both"/>
        <w:outlineLvl w:val="0"/>
        <w:rPr>
          <w:rFonts w:ascii="宋体" w:hAnsi="宋体" w:cs="宋体"/>
          <w:b/>
          <w:color w:val="auto"/>
          <w:sz w:val="36"/>
          <w:szCs w:val="36"/>
          <w:highlight w:val="none"/>
        </w:rPr>
      </w:pPr>
      <w:bookmarkStart w:id="3" w:name="_Toc20694"/>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center"/>
        <w:outlineLvl w:val="0"/>
        <w:rPr>
          <w:rFonts w:hint="eastAsia" w:ascii="宋体" w:hAnsi="宋体" w:cs="宋体"/>
          <w:b/>
          <w:color w:val="auto"/>
          <w:sz w:val="36"/>
          <w:szCs w:val="36"/>
          <w:highlight w:val="none"/>
        </w:rPr>
      </w:pPr>
    </w:p>
    <w:p>
      <w:pPr>
        <w:spacing w:line="520" w:lineRule="exact"/>
        <w:jc w:val="both"/>
        <w:outlineLvl w:val="0"/>
        <w:rPr>
          <w:rFonts w:hint="eastAsia" w:ascii="宋体" w:hAnsi="宋体" w:cs="宋体"/>
          <w:b/>
          <w:color w:val="auto"/>
          <w:sz w:val="36"/>
          <w:szCs w:val="36"/>
          <w:highlight w:val="none"/>
        </w:rPr>
      </w:pPr>
    </w:p>
    <w:p>
      <w:pPr>
        <w:spacing w:line="520" w:lineRule="exact"/>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第二章 投标人须知</w:t>
      </w:r>
      <w:bookmarkEnd w:id="2"/>
      <w:bookmarkEnd w:id="3"/>
    </w:p>
    <w:p>
      <w:pPr>
        <w:outlineLvl w:val="0"/>
        <w:rPr>
          <w:rFonts w:ascii="宋体" w:hAnsi="宋体" w:cs="宋体"/>
          <w:b/>
          <w:color w:val="auto"/>
          <w:sz w:val="28"/>
          <w:szCs w:val="28"/>
          <w:highlight w:val="none"/>
        </w:rPr>
      </w:pPr>
      <w:bookmarkStart w:id="4" w:name="_Toc22732"/>
      <w:bookmarkStart w:id="5" w:name="_Toc10468"/>
      <w:r>
        <w:rPr>
          <w:rFonts w:hint="eastAsia" w:ascii="宋体" w:hAnsi="宋体" w:cs="宋体"/>
          <w:b/>
          <w:color w:val="auto"/>
          <w:sz w:val="28"/>
          <w:szCs w:val="28"/>
          <w:highlight w:val="none"/>
        </w:rPr>
        <w:t>投标人须知前附表</w:t>
      </w:r>
      <w:bookmarkEnd w:id="4"/>
      <w:bookmarkEnd w:id="5"/>
    </w:p>
    <w:tbl>
      <w:tblPr>
        <w:tblStyle w:val="17"/>
        <w:tblW w:w="11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000"/>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条款名称</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招标人</w:t>
            </w:r>
          </w:p>
        </w:tc>
        <w:tc>
          <w:tcPr>
            <w:tcW w:w="7134" w:type="dxa"/>
          </w:tcPr>
          <w:p>
            <w:pPr>
              <w:spacing w:line="440" w:lineRule="exact"/>
              <w:rPr>
                <w:rFonts w:hint="default" w:eastAsia="宋体"/>
                <w:color w:val="auto"/>
                <w:sz w:val="24"/>
                <w:highlight w:val="none"/>
                <w:lang w:val="en-US" w:eastAsia="zh-CN"/>
              </w:rPr>
            </w:pPr>
            <w:r>
              <w:rPr>
                <w:rFonts w:hint="eastAsia" w:eastAsia="宋体"/>
                <w:color w:val="auto"/>
                <w:sz w:val="24"/>
                <w:highlight w:val="none"/>
                <w:lang w:eastAsia="zh-CN"/>
              </w:rPr>
              <w:t>名称：长垣市南蒲街道办事处</w:t>
            </w:r>
          </w:p>
          <w:p>
            <w:pPr>
              <w:spacing w:line="440" w:lineRule="exact"/>
              <w:rPr>
                <w:rFonts w:hint="eastAsia" w:eastAsia="宋体"/>
                <w:color w:val="auto"/>
                <w:sz w:val="24"/>
                <w:highlight w:val="none"/>
                <w:lang w:val="en-US" w:eastAsia="zh-CN"/>
              </w:rPr>
            </w:pPr>
            <w:r>
              <w:rPr>
                <w:rFonts w:hint="eastAsia" w:eastAsia="宋体"/>
                <w:color w:val="auto"/>
                <w:sz w:val="24"/>
                <w:highlight w:val="none"/>
                <w:lang w:eastAsia="zh-CN"/>
              </w:rPr>
              <w:t>联系人：</w:t>
            </w:r>
            <w:r>
              <w:rPr>
                <w:rFonts w:hint="eastAsia" w:eastAsia="宋体"/>
                <w:color w:val="auto"/>
                <w:sz w:val="24"/>
                <w:highlight w:val="none"/>
                <w:lang w:val="en-US" w:eastAsia="zh-CN"/>
              </w:rPr>
              <w:t>刘先生</w:t>
            </w:r>
          </w:p>
          <w:p>
            <w:pPr>
              <w:spacing w:line="440" w:lineRule="exact"/>
              <w:rPr>
                <w:rFonts w:hint="default" w:eastAsia="宋体"/>
                <w:color w:val="auto"/>
                <w:sz w:val="24"/>
                <w:highlight w:val="none"/>
                <w:lang w:val="en-US" w:eastAsia="zh-CN"/>
              </w:rPr>
            </w:pPr>
            <w:r>
              <w:rPr>
                <w:rFonts w:hint="eastAsia" w:eastAsia="宋体"/>
                <w:color w:val="auto"/>
                <w:sz w:val="24"/>
                <w:highlight w:val="none"/>
                <w:lang w:eastAsia="zh-CN"/>
              </w:rPr>
              <w:t>联系电话：0373-8992065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招标代理机构</w:t>
            </w:r>
          </w:p>
        </w:tc>
        <w:tc>
          <w:tcPr>
            <w:tcW w:w="7134" w:type="dxa"/>
            <w:vAlign w:val="center"/>
          </w:tcPr>
          <w:p>
            <w:pPr>
              <w:spacing w:line="440" w:lineRule="exact"/>
              <w:rPr>
                <w:rFonts w:hint="eastAsia" w:eastAsia="宋体"/>
                <w:color w:val="auto"/>
                <w:sz w:val="24"/>
                <w:highlight w:val="none"/>
                <w:lang w:eastAsia="zh-CN"/>
              </w:rPr>
            </w:pPr>
            <w:r>
              <w:rPr>
                <w:rFonts w:hint="eastAsia" w:eastAsia="宋体"/>
                <w:color w:val="auto"/>
                <w:sz w:val="24"/>
                <w:highlight w:val="none"/>
                <w:lang w:eastAsia="zh-CN"/>
              </w:rPr>
              <w:t>名称：河南昌泰工程管理有限公司</w:t>
            </w:r>
          </w:p>
          <w:p>
            <w:pPr>
              <w:spacing w:line="440" w:lineRule="exact"/>
              <w:rPr>
                <w:rFonts w:hint="eastAsia" w:eastAsia="宋体"/>
                <w:color w:val="auto"/>
                <w:sz w:val="24"/>
                <w:highlight w:val="none"/>
                <w:lang w:eastAsia="zh-CN"/>
              </w:rPr>
            </w:pPr>
            <w:r>
              <w:rPr>
                <w:rFonts w:hint="eastAsia" w:eastAsia="宋体"/>
                <w:color w:val="auto"/>
                <w:sz w:val="24"/>
                <w:highlight w:val="none"/>
                <w:lang w:eastAsia="zh-CN"/>
              </w:rPr>
              <w:t>联系人：梁自双</w:t>
            </w:r>
          </w:p>
          <w:p>
            <w:pPr>
              <w:spacing w:line="440" w:lineRule="exact"/>
              <w:rPr>
                <w:rFonts w:hint="eastAsia" w:eastAsia="宋体"/>
                <w:color w:val="auto"/>
                <w:sz w:val="24"/>
                <w:highlight w:val="none"/>
                <w:lang w:eastAsia="zh-CN"/>
              </w:rPr>
            </w:pPr>
            <w:r>
              <w:rPr>
                <w:rFonts w:hint="eastAsia" w:eastAsia="宋体"/>
                <w:color w:val="auto"/>
                <w:sz w:val="24"/>
                <w:highlight w:val="none"/>
                <w:lang w:eastAsia="zh-CN"/>
              </w:rPr>
              <w:t>联系电话：0373-8029998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1.1.4</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7134" w:type="dxa"/>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长垣市南蒲街道办事处长垣市崇德小学建设景观及外网工程项目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1.1.5</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建设地点</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长垣市境内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1.1.6</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现场条件和周边情况</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资金来源</w:t>
            </w:r>
          </w:p>
        </w:tc>
        <w:tc>
          <w:tcPr>
            <w:tcW w:w="7134" w:type="dxa"/>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资金落实情况</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1.3.1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招标范围</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图纸及工程量清单包含的全部内容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1.3.2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工期</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1.3.3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1.4.1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投标人资质</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符合第一章招标公告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1.4.2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是否接受联合体投标</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不接受</w:t>
            </w:r>
          </w:p>
          <w:p>
            <w:pPr>
              <w:spacing w:line="400" w:lineRule="exact"/>
              <w:rPr>
                <w:rFonts w:ascii="宋体" w:hAnsi="宋体" w:cs="宋体"/>
                <w:color w:val="auto"/>
                <w:sz w:val="24"/>
                <w:highlight w:val="none"/>
              </w:rPr>
            </w:pPr>
            <w:r>
              <w:rPr>
                <w:rFonts w:hint="eastAsia" w:ascii="宋体" w:hAnsi="宋体" w:cs="宋体"/>
                <w:color w:val="auto"/>
                <w:sz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1.9.1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踏勘现场</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不组织</w:t>
            </w:r>
          </w:p>
          <w:p>
            <w:pPr>
              <w:spacing w:line="400" w:lineRule="exact"/>
              <w:rPr>
                <w:rFonts w:ascii="宋体" w:hAnsi="宋体" w:cs="宋体"/>
                <w:color w:val="auto"/>
                <w:sz w:val="24"/>
                <w:highlight w:val="none"/>
              </w:rPr>
            </w:pPr>
            <w:r>
              <w:rPr>
                <w:rFonts w:hint="eastAsia" w:ascii="宋体" w:hAnsi="宋体" w:cs="宋体"/>
                <w:color w:val="auto"/>
                <w:sz w:val="24"/>
                <w:highlight w:val="none"/>
              </w:rPr>
              <w:t>□组织，踏勘时间：</w:t>
            </w:r>
          </w:p>
          <w:p>
            <w:pPr>
              <w:spacing w:line="400" w:lineRule="exact"/>
              <w:rPr>
                <w:rFonts w:ascii="宋体" w:hAnsi="宋体" w:cs="宋体"/>
                <w:color w:val="auto"/>
                <w:sz w:val="24"/>
                <w:highlight w:val="none"/>
              </w:rPr>
            </w:pPr>
            <w:r>
              <w:rPr>
                <w:rFonts w:hint="eastAsia" w:ascii="宋体" w:hAnsi="宋体" w:cs="宋体"/>
                <w:color w:val="auto"/>
                <w:sz w:val="24"/>
                <w:highlight w:val="none"/>
              </w:rPr>
              <w:t>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1.10.1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投标预备会</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不召开：</w:t>
            </w:r>
          </w:p>
          <w:p>
            <w:pPr>
              <w:spacing w:line="400" w:lineRule="exact"/>
              <w:rPr>
                <w:rFonts w:ascii="宋体" w:hAnsi="宋体" w:cs="宋体"/>
                <w:color w:val="auto"/>
                <w:sz w:val="24"/>
                <w:highlight w:val="none"/>
              </w:rPr>
            </w:pPr>
            <w:r>
              <w:rPr>
                <w:rFonts w:hint="eastAsia" w:ascii="宋体" w:hAnsi="宋体" w:cs="宋体"/>
                <w:color w:val="auto"/>
                <w:sz w:val="24"/>
                <w:highlight w:val="none"/>
              </w:rPr>
              <w:t>□召开，召开时间：</w:t>
            </w:r>
          </w:p>
          <w:p>
            <w:pPr>
              <w:spacing w:line="4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1.10.2</w:t>
            </w:r>
          </w:p>
        </w:tc>
        <w:tc>
          <w:tcPr>
            <w:tcW w:w="3000"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投标人对招标文件提出异议的截止时间</w:t>
            </w:r>
          </w:p>
        </w:tc>
        <w:tc>
          <w:tcPr>
            <w:tcW w:w="7134"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递交投标文件截止之日10日前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1.10.3</w:t>
            </w:r>
          </w:p>
        </w:tc>
        <w:tc>
          <w:tcPr>
            <w:tcW w:w="3000" w:type="dxa"/>
            <w:vAlign w:val="center"/>
          </w:tcPr>
          <w:p>
            <w:pPr>
              <w:spacing w:line="4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招标人答复异议的时间</w:t>
            </w:r>
          </w:p>
        </w:tc>
        <w:tc>
          <w:tcPr>
            <w:tcW w:w="7134"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收到异议之日起3日内答复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分包</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不允许</w:t>
            </w:r>
          </w:p>
          <w:p>
            <w:pPr>
              <w:spacing w:line="400" w:lineRule="exact"/>
              <w:rPr>
                <w:rFonts w:ascii="宋体" w:hAnsi="宋体" w:cs="宋体"/>
                <w:color w:val="auto"/>
                <w:sz w:val="24"/>
                <w:highlight w:val="none"/>
              </w:rPr>
            </w:pPr>
            <w:r>
              <w:rPr>
                <w:rFonts w:hint="eastAsia" w:ascii="宋体" w:hAnsi="宋体" w:cs="宋体"/>
                <w:color w:val="auto"/>
                <w:sz w:val="24"/>
                <w:highlight w:val="none"/>
              </w:rPr>
              <w:t>□允许，分包内容要求：</w:t>
            </w:r>
          </w:p>
          <w:p>
            <w:pPr>
              <w:spacing w:line="400" w:lineRule="exact"/>
              <w:rPr>
                <w:rFonts w:ascii="宋体" w:hAnsi="宋体" w:cs="宋体"/>
                <w:color w:val="auto"/>
                <w:sz w:val="24"/>
                <w:highlight w:val="none"/>
              </w:rPr>
            </w:pPr>
            <w:r>
              <w:rPr>
                <w:rFonts w:hint="eastAsia" w:ascii="宋体" w:hAnsi="宋体" w:cs="宋体"/>
                <w:color w:val="auto"/>
                <w:sz w:val="24"/>
                <w:highlight w:val="none"/>
              </w:rPr>
              <w:t>接受分包的第三人资格要求：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偏离</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不允许</w:t>
            </w:r>
          </w:p>
          <w:p>
            <w:pPr>
              <w:spacing w:line="400" w:lineRule="exact"/>
              <w:rPr>
                <w:rFonts w:ascii="宋体" w:hAnsi="宋体" w:cs="宋体"/>
                <w:color w:val="auto"/>
                <w:sz w:val="24"/>
                <w:highlight w:val="none"/>
              </w:rPr>
            </w:pPr>
            <w:r>
              <w:rPr>
                <w:rFonts w:hint="eastAsia" w:ascii="宋体" w:hAnsi="宋体" w:cs="宋体"/>
                <w:color w:val="auto"/>
                <w:sz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构成招标文件的其他材料</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招标文件的书面补充文件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2.2.1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投标人要求澄清招标文件的截止时间</w:t>
            </w:r>
          </w:p>
        </w:tc>
        <w:tc>
          <w:tcPr>
            <w:tcW w:w="7134"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递交投标文件截止之日15日前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2.2.2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投标截止时间</w:t>
            </w:r>
          </w:p>
        </w:tc>
        <w:tc>
          <w:tcPr>
            <w:tcW w:w="7134" w:type="dxa"/>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日上午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2.2.3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投标人确认收到招标文件</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澄清的时间</w:t>
            </w:r>
          </w:p>
        </w:tc>
        <w:tc>
          <w:tcPr>
            <w:tcW w:w="7134" w:type="dxa"/>
            <w:vAlign w:val="center"/>
          </w:tcPr>
          <w:p>
            <w:pPr>
              <w:spacing w:line="400" w:lineRule="exact"/>
              <w:rPr>
                <w:rFonts w:ascii="宋体" w:hAnsi="宋体" w:cs="宋体"/>
                <w:color w:val="auto"/>
                <w:sz w:val="24"/>
                <w:highlight w:val="none"/>
                <w:u w:val="single"/>
              </w:rPr>
            </w:pPr>
            <w:r>
              <w:rPr>
                <w:rFonts w:hint="eastAsia" w:ascii="宋体" w:hAnsi="宋体" w:cs="宋体"/>
                <w:color w:val="auto"/>
                <w:sz w:val="24"/>
                <w:highlight w:val="none"/>
              </w:rPr>
              <w:t>收到澄清后</w:t>
            </w:r>
            <w:r>
              <w:rPr>
                <w:rFonts w:hint="eastAsia" w:ascii="宋体" w:hAnsi="宋体" w:cs="宋体"/>
                <w:color w:val="auto"/>
                <w:sz w:val="24"/>
                <w:highlight w:val="none"/>
                <w:u w:val="single"/>
              </w:rPr>
              <w:t>2</w:t>
            </w:r>
            <w:r>
              <w:rPr>
                <w:rFonts w:hint="eastAsia" w:ascii="宋体" w:hAnsi="宋体" w:cs="宋体"/>
                <w:color w:val="auto"/>
                <w:sz w:val="24"/>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2.3.2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投标人确认收到招标文件</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修改的时间</w:t>
            </w:r>
          </w:p>
        </w:tc>
        <w:tc>
          <w:tcPr>
            <w:tcW w:w="7134"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收到修改后</w:t>
            </w:r>
            <w:r>
              <w:rPr>
                <w:rFonts w:hint="eastAsia" w:ascii="宋体" w:hAnsi="宋体" w:cs="宋体"/>
                <w:color w:val="auto"/>
                <w:sz w:val="24"/>
                <w:highlight w:val="none"/>
                <w:u w:val="single"/>
              </w:rPr>
              <w:t>2</w:t>
            </w:r>
            <w:r>
              <w:rPr>
                <w:rFonts w:hint="eastAsia" w:ascii="宋体" w:hAnsi="宋体" w:cs="宋体"/>
                <w:color w:val="auto"/>
                <w:sz w:val="24"/>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3.1.1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构成投标文件的其他材料</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评标过程中评标委员会要求投标人对所提交的投标文件中不明确内容进行书面澄清或说明，或者对细微偏差进行补正。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3.3.1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自递交投标文件截止之日起90日历天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3.4.1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7134" w:type="dxa"/>
          </w:tcPr>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投标保证金缴纳方式：</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一、以银行转账的方式交纳保证金，由投标人基本账户（注明项目名称及标段）一次性足额转入指定账户（以到账时间为准）。汇款金额不符、汇入账户错误及非银行基本存款账户或单位结算卡汇入的保证金视同交费失败。</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投标保证金缴纳相关信息:</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账户名：系统自动生成的保证金账户信息</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账 号：按照系统自动生成的保证金账户信息进行缴纳投标保证金缴纳时间：在投标截止时间之前到账</w:t>
            </w:r>
          </w:p>
          <w:p>
            <w:pPr>
              <w:spacing w:line="360" w:lineRule="auto"/>
              <w:rPr>
                <w:rFonts w:hint="eastAsia" w:ascii="宋体" w:hAnsi="宋体" w:eastAsia="宋体" w:cs="宋体"/>
                <w:color w:val="0000FF"/>
                <w:sz w:val="24"/>
                <w:highlight w:val="none"/>
                <w:lang w:val="zh-CN"/>
              </w:rPr>
            </w:pPr>
            <w:r>
              <w:rPr>
                <w:rFonts w:hint="eastAsia" w:ascii="宋体" w:hAnsi="宋体" w:eastAsia="宋体" w:cs="宋体"/>
                <w:color w:val="auto"/>
                <w:sz w:val="24"/>
                <w:highlight w:val="none"/>
                <w:lang w:val="zh-CN"/>
              </w:rPr>
              <w:t>投标保证金缴纳金额：</w:t>
            </w:r>
            <w:r>
              <w:rPr>
                <w:rFonts w:hint="eastAsia" w:ascii="宋体" w:hAnsi="宋体" w:eastAsia="宋体" w:cs="宋体"/>
                <w:color w:val="auto"/>
                <w:sz w:val="24"/>
                <w:highlight w:val="none"/>
                <w:lang w:val="en-US" w:eastAsia="zh-CN"/>
              </w:rPr>
              <w:t>50500</w:t>
            </w:r>
            <w:r>
              <w:rPr>
                <w:rFonts w:hint="eastAsia" w:ascii="宋体" w:hAnsi="宋体" w:eastAsia="宋体" w:cs="宋体"/>
                <w:color w:val="auto"/>
                <w:sz w:val="24"/>
                <w:highlight w:val="none"/>
                <w:lang w:val="zh-CN"/>
              </w:rPr>
              <w:t xml:space="preserve"> 元</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二、以保函形式交纳投标保证金，具体要求如下：</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①投标企业必须首先确认本企业诚信库内填写的基本账户相关信息真实准确；</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②企业可以在交易中心电子交易系统缴纳保证金页面下选择电子保函业务；</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③办理电子投标保函费用可自由选择方式转入；</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④投标截止时间前投标企业应按照以上要求在保函平台中申请并生成电子投标保函。否则视为未交纳投标保证金， 其投标文件将被拒绝，不能参加开标活动。</w:t>
            </w:r>
          </w:p>
          <w:p>
            <w:pPr>
              <w:spacing w:line="360"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注:1、本项目不提供投标保证金到账核准服务，因此投标人须认真核对账户名，开户银行等相关信息，确保保证金及时、准确到账。                                  2、投标保证金到账情况以开标时交易中心电子交易系统显示的银行数据为准；因跨地区、跨行转账以及银行周末不办公等因素请各投标人予以考虑提前办理。</w:t>
            </w:r>
          </w:p>
          <w:p>
            <w:pPr>
              <w:spacing w:line="360" w:lineRule="auto"/>
              <w:rPr>
                <w:rFonts w:ascii="宋体" w:hAnsi="宋体" w:cs="宋体"/>
                <w:color w:val="auto"/>
                <w:highlight w:val="none"/>
              </w:rPr>
            </w:pPr>
            <w:r>
              <w:rPr>
                <w:rFonts w:hint="eastAsia" w:ascii="宋体" w:hAnsi="宋体" w:eastAsia="宋体" w:cs="宋体"/>
                <w:color w:val="auto"/>
                <w:sz w:val="24"/>
                <w:highlight w:val="none"/>
                <w:lang w:val="zh-CN"/>
              </w:rPr>
              <w:t>3、将银行转账凭证或保函附于投标文件中。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3.5.2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近年财务状况的年份要求</w:t>
            </w:r>
          </w:p>
        </w:tc>
        <w:tc>
          <w:tcPr>
            <w:tcW w:w="7134" w:type="dxa"/>
          </w:tcPr>
          <w:p>
            <w:pPr>
              <w:pStyle w:val="25"/>
              <w:spacing w:line="360" w:lineRule="auto"/>
              <w:rPr>
                <w:rFonts w:hAnsi="宋体"/>
                <w:color w:val="auto"/>
                <w:highlight w:val="none"/>
              </w:rPr>
            </w:pPr>
            <w:r>
              <w:rPr>
                <w:rFonts w:hint="eastAsia" w:ascii="宋体" w:hAnsi="宋体" w:eastAsia="宋体" w:cs="宋体"/>
                <w:color w:val="auto"/>
                <w:kern w:val="2"/>
                <w:sz w:val="24"/>
                <w:szCs w:val="24"/>
                <w:highlight w:val="none"/>
                <w:lang w:val="zh-CN" w:eastAsia="zh-CN" w:bidi="ar-SA"/>
              </w:rPr>
              <w:t>202</w:t>
            </w:r>
            <w:r>
              <w:rPr>
                <w:rFonts w:hint="eastAsia" w:ascii="宋体" w:hAnsi="宋体" w:eastAsia="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zh-CN" w:eastAsia="zh-CN" w:bidi="ar-SA"/>
              </w:rPr>
              <w:t>年度</w:t>
            </w:r>
            <w:r>
              <w:rPr>
                <w:rFonts w:hint="eastAsia" w:ascii="宋体" w:hAnsi="宋体" w:eastAsia="宋体" w:cs="宋体"/>
                <w:color w:val="auto"/>
                <w:kern w:val="2"/>
                <w:sz w:val="24"/>
                <w:szCs w:val="24"/>
                <w:highlight w:val="none"/>
                <w:lang w:val="en-US" w:eastAsia="zh-CN" w:bidi="ar-SA"/>
              </w:rPr>
              <w:t>以来</w:t>
            </w:r>
            <w:r>
              <w:rPr>
                <w:rFonts w:hint="eastAsia" w:ascii="宋体" w:hAnsi="宋体" w:eastAsia="宋体" w:cs="宋体"/>
                <w:color w:val="auto"/>
                <w:kern w:val="2"/>
                <w:sz w:val="24"/>
                <w:szCs w:val="24"/>
                <w:highlight w:val="none"/>
                <w:lang w:val="zh-CN" w:eastAsia="zh-CN" w:bidi="ar-SA"/>
              </w:rPr>
              <w:t>的财务</w:t>
            </w:r>
            <w:r>
              <w:rPr>
                <w:rFonts w:hint="eastAsia" w:hAnsi="宋体" w:eastAsia="宋体"/>
                <w:color w:val="auto"/>
                <w:highlight w:val="none"/>
              </w:rPr>
              <w:t>审计报告（如为新注册公司，须提供公司注册年度以来的财务审计报告</w:t>
            </w:r>
            <w:r>
              <w:rPr>
                <w:rFonts w:hint="eastAsia" w:hAnsi="宋体"/>
                <w:bCs/>
                <w:color w:val="auto"/>
                <w:highlight w:val="none"/>
              </w:rPr>
              <w:t>或开户银行资信证明</w:t>
            </w:r>
            <w:r>
              <w:rPr>
                <w:rFonts w:hint="eastAsia" w:hAnsi="宋体" w:eastAsia="宋体"/>
                <w:color w:val="auto"/>
                <w:highlight w:val="none"/>
              </w:rPr>
              <w:t>）</w:t>
            </w:r>
            <w:r>
              <w:rPr>
                <w:rFonts w:hint="eastAsia" w:hAnsi="宋体" w:eastAsia="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3.5.3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近年完成的类似项目的</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年份要求</w:t>
            </w:r>
          </w:p>
        </w:tc>
        <w:tc>
          <w:tcPr>
            <w:tcW w:w="7134" w:type="dxa"/>
            <w:vAlign w:val="center"/>
          </w:tcPr>
          <w:p>
            <w:pPr>
              <w:spacing w:line="400" w:lineRule="exact"/>
              <w:rPr>
                <w:rFonts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2020</w:t>
            </w:r>
            <w:r>
              <w:rPr>
                <w:rFonts w:hint="eastAsia" w:ascii="宋体" w:hAnsi="宋体" w:eastAsia="宋体" w:cs="宋体"/>
                <w:color w:val="auto"/>
                <w:kern w:val="0"/>
                <w:sz w:val="24"/>
                <w:highlight w:val="none"/>
              </w:rPr>
              <w:t>年1月1日以来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3.5.5</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近年发生的诉讼及仲裁情况的年份要求</w:t>
            </w:r>
          </w:p>
        </w:tc>
        <w:tc>
          <w:tcPr>
            <w:tcW w:w="7134" w:type="dxa"/>
            <w:vAlign w:val="center"/>
          </w:tcPr>
          <w:p>
            <w:pPr>
              <w:spacing w:line="400" w:lineRule="exact"/>
              <w:rPr>
                <w:rFonts w:ascii="宋体" w:hAnsi="宋体" w:eastAsia="宋体" w:cs="宋体"/>
                <w:color w:val="auto"/>
                <w:sz w:val="24"/>
                <w:highlight w:val="none"/>
              </w:rPr>
            </w:pP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年1月1日以来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3.6</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是否允许递交备选投标方案</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不允许</w:t>
            </w:r>
          </w:p>
          <w:p>
            <w:pPr>
              <w:spacing w:line="400" w:lineRule="exact"/>
              <w:rPr>
                <w:rFonts w:ascii="宋体" w:hAnsi="宋体" w:cs="宋体"/>
                <w:color w:val="auto"/>
                <w:sz w:val="24"/>
                <w:highlight w:val="none"/>
              </w:rPr>
            </w:pPr>
            <w:r>
              <w:rPr>
                <w:rFonts w:hint="eastAsia" w:ascii="宋体" w:hAnsi="宋体" w:cs="宋体"/>
                <w:color w:val="auto"/>
                <w:sz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3.7.3</w:t>
            </w:r>
          </w:p>
        </w:tc>
        <w:tc>
          <w:tcPr>
            <w:tcW w:w="3000" w:type="dxa"/>
            <w:vAlign w:val="center"/>
          </w:tcPr>
          <w:p>
            <w:pPr>
              <w:spacing w:line="400" w:lineRule="exact"/>
              <w:jc w:val="center"/>
              <w:rPr>
                <w:rFonts w:ascii="宋体" w:hAnsi="宋体" w:cs="宋体"/>
                <w:color w:val="auto"/>
                <w:sz w:val="24"/>
                <w:highlight w:val="none"/>
              </w:rPr>
            </w:pPr>
            <w:r>
              <w:rPr>
                <w:rFonts w:ascii="宋体" w:hAnsi="宋体" w:cs="宋体"/>
                <w:color w:val="auto"/>
                <w:sz w:val="24"/>
                <w:highlight w:val="none"/>
              </w:rPr>
              <w:t>投标文件的签署盖章</w:t>
            </w:r>
          </w:p>
        </w:tc>
        <w:tc>
          <w:tcPr>
            <w:tcW w:w="7134" w:type="dxa"/>
          </w:tcPr>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要求签字的地方必须签字</w:t>
            </w:r>
          </w:p>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要求盖章的地方必须盖章</w:t>
            </w:r>
          </w:p>
          <w:p>
            <w:pPr>
              <w:spacing w:line="360" w:lineRule="auto"/>
              <w:rPr>
                <w:rFonts w:ascii="宋体" w:hAnsi="宋体" w:cs="宋体"/>
                <w:color w:val="auto"/>
                <w:highlight w:val="none"/>
              </w:rPr>
            </w:pPr>
            <w:r>
              <w:rPr>
                <w:rFonts w:hint="eastAsia" w:ascii="宋体" w:hAnsi="宋体" w:eastAsia="宋体" w:cs="宋体"/>
                <w:color w:val="auto"/>
                <w:sz w:val="24"/>
                <w:highlight w:val="none"/>
                <w:lang w:val="zh-CN"/>
              </w:rPr>
              <w:t>要求签字和盖章的地方必须签字和盖章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3.7.4</w:t>
            </w:r>
          </w:p>
        </w:tc>
        <w:tc>
          <w:tcPr>
            <w:tcW w:w="3000" w:type="dxa"/>
            <w:vAlign w:val="center"/>
          </w:tcPr>
          <w:p>
            <w:pPr>
              <w:jc w:val="center"/>
              <w:rPr>
                <w:rFonts w:ascii="宋体" w:hAnsi="宋体" w:cs="宋体"/>
                <w:color w:val="auto"/>
                <w:sz w:val="24"/>
                <w:highlight w:val="none"/>
              </w:rPr>
            </w:pPr>
            <w:r>
              <w:rPr>
                <w:rFonts w:ascii="宋体" w:hAnsi="宋体" w:cs="宋体"/>
                <w:color w:val="auto"/>
                <w:sz w:val="24"/>
                <w:highlight w:val="none"/>
              </w:rPr>
              <w:t>电子化采购模式</w:t>
            </w:r>
          </w:p>
        </w:tc>
        <w:tc>
          <w:tcPr>
            <w:tcW w:w="7134" w:type="dxa"/>
          </w:tcPr>
          <w:p>
            <w:pPr>
              <w:spacing w:line="360" w:lineRule="auto"/>
              <w:rPr>
                <w:rFonts w:ascii="宋体" w:hAnsi="宋体" w:cs="宋体"/>
                <w:color w:val="auto"/>
                <w:sz w:val="24"/>
                <w:highlight w:val="none"/>
              </w:rPr>
            </w:pPr>
            <w:r>
              <w:rPr>
                <w:rFonts w:hint="eastAsia" w:ascii="宋体" w:hAnsi="宋体" w:cs="宋体"/>
                <w:color w:val="auto"/>
                <w:kern w:val="0"/>
                <w:sz w:val="24"/>
                <w:szCs w:val="32"/>
                <w:highlight w:val="none"/>
              </w:rPr>
              <w:t>是。投标人资质、业绩、荣誉及相关人员证明材料等资料开标现场均无需提供原件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4.2.1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递交投标文件</w:t>
            </w:r>
          </w:p>
        </w:tc>
        <w:tc>
          <w:tcPr>
            <w:tcW w:w="7134" w:type="dxa"/>
          </w:tcPr>
          <w:p>
            <w:pPr>
              <w:autoSpaceDE w:val="0"/>
              <w:autoSpaceDN w:val="0"/>
              <w:spacing w:before="80" w:line="364" w:lineRule="auto"/>
              <w:ind w:left="108" w:right="-29"/>
              <w:jc w:val="left"/>
              <w:rPr>
                <w:color w:val="auto"/>
                <w:sz w:val="24"/>
                <w:highlight w:val="none"/>
              </w:rPr>
            </w:pPr>
            <w:r>
              <w:rPr>
                <w:color w:val="auto"/>
                <w:sz w:val="24"/>
                <w:highlight w:val="none"/>
              </w:rPr>
              <w:t>电子投标文件递交</w:t>
            </w:r>
          </w:p>
          <w:p>
            <w:pPr>
              <w:autoSpaceDE w:val="0"/>
              <w:autoSpaceDN w:val="0"/>
              <w:spacing w:before="80" w:line="364" w:lineRule="auto"/>
              <w:ind w:left="108" w:right="-29"/>
              <w:jc w:val="left"/>
              <w:rPr>
                <w:rFonts w:ascii="宋体" w:hAnsi="宋体" w:cs="宋体"/>
                <w:color w:val="auto"/>
                <w:sz w:val="24"/>
                <w:highlight w:val="none"/>
              </w:rPr>
            </w:pPr>
            <w:r>
              <w:rPr>
                <w:rFonts w:ascii="宋体" w:hAnsi="宋体" w:eastAsia="宋体" w:cs="宋体"/>
                <w:color w:val="auto"/>
                <w:kern w:val="0"/>
                <w:sz w:val="24"/>
                <w:szCs w:val="22"/>
                <w:highlight w:val="none"/>
                <w:lang w:val="zh-CN" w:bidi="zh-CN"/>
              </w:rPr>
              <w:t>投标人应在规定的投标截止时间前完成投标文件的递交。</w:t>
            </w:r>
            <w:r>
              <w:rPr>
                <w:rFonts w:ascii="宋体" w:hAnsi="宋体" w:eastAsia="宋体" w:cs="宋体"/>
                <w:color w:val="auto"/>
                <w:spacing w:val="-2"/>
                <w:kern w:val="0"/>
                <w:sz w:val="24"/>
                <w:szCs w:val="22"/>
                <w:highlight w:val="none"/>
                <w:lang w:val="zh-CN" w:bidi="zh-CN"/>
              </w:rPr>
              <w:t>电子投标文件</w:t>
            </w:r>
            <w:r>
              <w:rPr>
                <w:rFonts w:ascii="宋体" w:hAnsi="宋体" w:eastAsia="宋体" w:cs="宋体"/>
                <w:color w:val="auto"/>
                <w:kern w:val="0"/>
                <w:sz w:val="24"/>
                <w:szCs w:val="22"/>
                <w:highlight w:val="none"/>
                <w:lang w:val="zh-CN" w:bidi="zh-CN"/>
              </w:rPr>
              <w:t>（格式为:.tbdat），投标人上传时必须得到系统“上传成功”的确认回复，并认真检查电子投标文件</w:t>
            </w:r>
            <w:r>
              <w:rPr>
                <w:rFonts w:ascii="宋体" w:hAnsi="宋体" w:eastAsia="宋体" w:cs="宋体"/>
                <w:color w:val="auto"/>
                <w:spacing w:val="-4"/>
                <w:kern w:val="0"/>
                <w:sz w:val="24"/>
                <w:szCs w:val="22"/>
                <w:highlight w:val="none"/>
                <w:lang w:val="zh-CN" w:bidi="zh-CN"/>
              </w:rPr>
              <w:t xml:space="preserve">是否完整、正确。未在投标截止时间前完成上传或送达的， </w:t>
            </w:r>
            <w:r>
              <w:rPr>
                <w:rFonts w:ascii="宋体" w:hAnsi="宋体" w:eastAsia="宋体" w:cs="宋体"/>
                <w:color w:val="auto"/>
                <w:kern w:val="0"/>
                <w:sz w:val="24"/>
                <w:szCs w:val="22"/>
                <w:highlight w:val="none"/>
                <w:lang w:val="zh-CN" w:bidi="zh-CN"/>
              </w:rPr>
              <w:t>视为逾期送达。逾期上传的投标文件，招标人不予受理。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4.2.2</w:t>
            </w:r>
          </w:p>
        </w:tc>
        <w:tc>
          <w:tcPr>
            <w:tcW w:w="3000" w:type="dxa"/>
            <w:vAlign w:val="center"/>
          </w:tcPr>
          <w:p>
            <w:pPr>
              <w:spacing w:line="400" w:lineRule="exact"/>
              <w:rPr>
                <w:rFonts w:ascii="宋体" w:hAnsi="宋体" w:cs="宋体"/>
                <w:color w:val="auto"/>
                <w:sz w:val="24"/>
                <w:highlight w:val="none"/>
              </w:rPr>
            </w:pPr>
            <w:r>
              <w:rPr>
                <w:color w:val="auto"/>
                <w:sz w:val="24"/>
                <w:highlight w:val="none"/>
              </w:rPr>
              <w:t>投标文件加密要求</w:t>
            </w:r>
          </w:p>
        </w:tc>
        <w:tc>
          <w:tcPr>
            <w:tcW w:w="7134" w:type="dxa"/>
          </w:tcPr>
          <w:p>
            <w:pPr>
              <w:spacing w:line="400" w:lineRule="exact"/>
              <w:rPr>
                <w:rFonts w:ascii="宋体" w:hAnsi="宋体" w:cs="宋体"/>
                <w:color w:val="auto"/>
                <w:sz w:val="24"/>
                <w:highlight w:val="none"/>
              </w:rPr>
            </w:pPr>
            <w:r>
              <w:rPr>
                <w:rFonts w:hint="eastAsia" w:ascii="宋体" w:hAnsi="宋体" w:eastAsia="宋体" w:cs="宋体"/>
                <w:color w:val="auto"/>
                <w:sz w:val="24"/>
                <w:highlight w:val="none"/>
              </w:rPr>
              <w:t>通过《公共资源交易平台投标文件制作系统》生成为加密的.tbdat格式电子版投标文件，并在规定时间前上传。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4.2.3</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是否退还投标文件</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否</w:t>
            </w:r>
          </w:p>
          <w:p>
            <w:pPr>
              <w:spacing w:line="400" w:lineRule="exact"/>
              <w:rPr>
                <w:rFonts w:ascii="宋体" w:hAnsi="宋体" w:cs="宋体"/>
                <w:color w:val="auto"/>
                <w:sz w:val="24"/>
                <w:highlight w:val="none"/>
              </w:rPr>
            </w:pPr>
            <w:r>
              <w:rPr>
                <w:rFonts w:hint="eastAsia" w:ascii="宋体" w:hAnsi="宋体" w:cs="宋体"/>
                <w:color w:val="auto"/>
                <w:sz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开标时间和地点</w:t>
            </w:r>
          </w:p>
        </w:tc>
        <w:tc>
          <w:tcPr>
            <w:tcW w:w="7134" w:type="dxa"/>
          </w:tcPr>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开标时间：同投标截止时间</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开标地点：长垣市公共资源交易中心开标室</w:t>
            </w:r>
          </w:p>
          <w:p>
            <w:pPr>
              <w:pStyle w:val="24"/>
              <w:rPr>
                <w:color w:val="auto"/>
                <w:highlight w:val="none"/>
              </w:rPr>
            </w:pPr>
            <w:r>
              <w:rPr>
                <w:rFonts w:hint="eastAsia" w:ascii="宋体" w:hAnsi="宋体" w:cs="宋体"/>
                <w:color w:val="auto"/>
                <w:highlight w:val="none"/>
              </w:rPr>
              <w:t xml:space="preserve">电子版投标文件必须凭制作投标文件所用的 CA 密匙在开始解密后 </w:t>
            </w:r>
            <w:r>
              <w:rPr>
                <w:rFonts w:hint="eastAsia" w:ascii="宋体" w:hAnsi="宋体" w:cs="宋体"/>
                <w:color w:val="auto"/>
                <w:highlight w:val="none"/>
                <w:lang w:val="en-US" w:eastAsia="zh-CN"/>
              </w:rPr>
              <w:t>30</w:t>
            </w:r>
            <w:r>
              <w:rPr>
                <w:rFonts w:hint="eastAsia" w:ascii="宋体" w:hAnsi="宋体" w:cs="宋体"/>
                <w:color w:val="auto"/>
                <w:highlight w:val="none"/>
              </w:rPr>
              <w:t>分钟内完成解密。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开标程序</w:t>
            </w:r>
          </w:p>
        </w:tc>
        <w:tc>
          <w:tcPr>
            <w:tcW w:w="7134"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在线开标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6.1.1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评标委员会的组建</w:t>
            </w:r>
          </w:p>
        </w:tc>
        <w:tc>
          <w:tcPr>
            <w:tcW w:w="7134" w:type="dxa"/>
          </w:tcPr>
          <w:p>
            <w:pPr>
              <w:spacing w:line="400" w:lineRule="exact"/>
              <w:rPr>
                <w:rFonts w:ascii="宋体" w:hAnsi="宋体" w:cs="宋体"/>
                <w:color w:val="auto"/>
                <w:sz w:val="24"/>
                <w:highlight w:val="none"/>
              </w:rPr>
            </w:pPr>
            <w:r>
              <w:rPr>
                <w:rFonts w:hint="eastAsia" w:ascii="宋体" w:hAnsi="宋体" w:eastAsia="宋体" w:cs="宋体"/>
                <w:color w:val="auto"/>
                <w:sz w:val="24"/>
                <w:highlight w:val="none"/>
                <w:lang w:val="en-US" w:eastAsia="zh-CN"/>
              </w:rPr>
              <w:t>评标委员会构成：5人，其中招标人代表0人，专家 5人；评标专家确定方式：依从法组建的专家库中随机抽取；（评标委员会的组成人员中有注册造价工程师资格的评审专家2名）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是否授权评标委员会确定中标人</w:t>
            </w:r>
          </w:p>
        </w:tc>
        <w:tc>
          <w:tcPr>
            <w:tcW w:w="7134" w:type="dxa"/>
          </w:tcPr>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□是</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√否，推荐的中选人数：1-3人</w:t>
            </w:r>
          </w:p>
          <w:p>
            <w:pPr>
              <w:pStyle w:val="15"/>
              <w:ind w:firstLine="24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并经公示三日无异议由招标人确定排名第一的中标候选人为中标人并向其授予合同。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7.3.1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农民工</w:t>
            </w:r>
            <w:r>
              <w:rPr>
                <w:rFonts w:hint="eastAsia" w:ascii="宋体" w:hAnsi="宋体" w:cs="宋体"/>
                <w:color w:val="auto"/>
                <w:kern w:val="0"/>
                <w:sz w:val="24"/>
                <w:highlight w:val="none"/>
              </w:rPr>
              <w:t>工资</w:t>
            </w:r>
            <w:r>
              <w:rPr>
                <w:rFonts w:hint="eastAsia" w:ascii="宋体" w:hAnsi="宋体" w:cs="宋体"/>
                <w:color w:val="auto"/>
                <w:sz w:val="24"/>
                <w:highlight w:val="none"/>
              </w:rPr>
              <w:t>保障金</w:t>
            </w:r>
          </w:p>
        </w:tc>
        <w:tc>
          <w:tcPr>
            <w:tcW w:w="7134" w:type="dxa"/>
            <w:vAlign w:val="center"/>
          </w:tcPr>
          <w:p>
            <w:pPr>
              <w:rPr>
                <w:color w:val="auto"/>
                <w:highlight w:val="none"/>
              </w:rPr>
            </w:pPr>
            <w:r>
              <w:rPr>
                <w:rFonts w:hint="eastAsia"/>
                <w:color w:val="auto"/>
                <w:sz w:val="24"/>
                <w:szCs w:val="22"/>
                <w:highlight w:val="none"/>
              </w:rPr>
              <w:t>中标人领取中标通知书后，签订合同前向招标人交纳中标价的2%；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8.1</w:t>
            </w:r>
          </w:p>
        </w:tc>
        <w:tc>
          <w:tcPr>
            <w:tcW w:w="300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招标控制价</w:t>
            </w:r>
          </w:p>
        </w:tc>
        <w:tc>
          <w:tcPr>
            <w:tcW w:w="7134" w:type="dxa"/>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招标控制总价：</w:t>
            </w:r>
            <w:r>
              <w:rPr>
                <w:rFonts w:hint="eastAsia" w:ascii="宋体" w:hAnsi="宋体" w:eastAsia="宋体" w:cs="宋体"/>
                <w:color w:val="auto"/>
                <w:sz w:val="24"/>
                <w:highlight w:val="none"/>
                <w:lang w:val="en-US" w:eastAsia="zh-CN"/>
              </w:rPr>
              <w:t>10112559.23</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lang w:val="en-US" w:eastAsia="zh-CN"/>
              </w:rPr>
              <w:t>壹仟零壹拾壹万贰仟伍佰伍拾玖元贰角叁分</w:t>
            </w:r>
            <w:r>
              <w:rPr>
                <w:rFonts w:hint="eastAsia" w:ascii="宋体" w:hAnsi="宋体" w:eastAsia="宋体" w:cs="宋体"/>
                <w:color w:val="auto"/>
                <w:sz w:val="24"/>
                <w:highlight w:val="none"/>
              </w:rPr>
              <w:t>）</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w:t>
            </w:r>
            <w:r>
              <w:rPr>
                <w:rFonts w:hint="eastAsia" w:ascii="宋体" w:hAnsi="宋体" w:eastAsia="宋体" w:cs="宋体"/>
                <w:color w:val="auto"/>
                <w:sz w:val="24"/>
                <w:highlight w:val="none"/>
                <w:lang w:val="en-US" w:eastAsia="zh-CN"/>
              </w:rPr>
              <w:t>8890894.26</w:t>
            </w:r>
            <w:r>
              <w:rPr>
                <w:rFonts w:hint="eastAsia" w:ascii="宋体" w:hAnsi="宋体" w:eastAsia="宋体" w:cs="宋体"/>
                <w:color w:val="auto"/>
                <w:sz w:val="24"/>
                <w:highlight w:val="none"/>
              </w:rPr>
              <w:t>元【不含安全文明施工费、规费、税金、暂列金额与专业工程暂估价】</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分部分项工程费：</w:t>
            </w:r>
            <w:r>
              <w:rPr>
                <w:rFonts w:hint="eastAsia" w:ascii="宋体" w:hAnsi="宋体" w:eastAsia="宋体" w:cs="宋体"/>
                <w:color w:val="auto"/>
                <w:sz w:val="24"/>
                <w:highlight w:val="none"/>
                <w:lang w:val="en-US" w:eastAsia="zh-CN"/>
              </w:rPr>
              <w:t>8877982.32</w:t>
            </w:r>
            <w:r>
              <w:rPr>
                <w:rFonts w:hint="eastAsia" w:ascii="宋体" w:hAnsi="宋体" w:eastAsia="宋体" w:cs="宋体"/>
                <w:color w:val="auto"/>
                <w:sz w:val="24"/>
                <w:highlight w:val="none"/>
              </w:rPr>
              <w:t>元</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措施项目费：</w:t>
            </w:r>
            <w:r>
              <w:rPr>
                <w:rFonts w:hint="eastAsia" w:ascii="宋体" w:hAnsi="宋体" w:eastAsia="宋体" w:cs="宋体"/>
                <w:color w:val="auto"/>
                <w:sz w:val="24"/>
                <w:highlight w:val="none"/>
                <w:lang w:val="en-US" w:eastAsia="zh-CN"/>
              </w:rPr>
              <w:t>196109.25</w:t>
            </w:r>
            <w:r>
              <w:rPr>
                <w:rFonts w:hint="eastAsia" w:ascii="宋体" w:hAnsi="宋体" w:eastAsia="宋体" w:cs="宋体"/>
                <w:color w:val="auto"/>
                <w:sz w:val="24"/>
                <w:highlight w:val="none"/>
              </w:rPr>
              <w:t>元【其中安全文明施工费：</w:t>
            </w:r>
            <w:r>
              <w:rPr>
                <w:rFonts w:hint="eastAsia" w:ascii="宋体" w:hAnsi="宋体" w:eastAsia="宋体" w:cs="宋体"/>
                <w:color w:val="auto"/>
                <w:sz w:val="24"/>
                <w:highlight w:val="none"/>
                <w:lang w:val="en-US" w:eastAsia="zh-CN"/>
              </w:rPr>
              <w:t>183197.31</w:t>
            </w:r>
            <w:r>
              <w:rPr>
                <w:rFonts w:hint="eastAsia" w:ascii="宋体" w:hAnsi="宋体" w:eastAsia="宋体" w:cs="宋体"/>
                <w:color w:val="auto"/>
                <w:sz w:val="24"/>
                <w:highlight w:val="none"/>
              </w:rPr>
              <w:t>元】</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其他项目费（暂列金额与专业工程暂估价）：</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元</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规费：</w:t>
            </w:r>
            <w:r>
              <w:rPr>
                <w:rFonts w:hint="eastAsia" w:ascii="宋体" w:hAnsi="宋体" w:eastAsia="宋体" w:cs="宋体"/>
                <w:color w:val="auto"/>
                <w:sz w:val="24"/>
                <w:highlight w:val="none"/>
                <w:lang w:val="en-US" w:eastAsia="zh-CN"/>
              </w:rPr>
              <w:t>203485.7</w:t>
            </w:r>
            <w:r>
              <w:rPr>
                <w:rFonts w:hint="eastAsia" w:ascii="宋体" w:hAnsi="宋体" w:eastAsia="宋体" w:cs="宋体"/>
                <w:color w:val="auto"/>
                <w:sz w:val="24"/>
                <w:highlight w:val="none"/>
              </w:rPr>
              <w:t>元</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税金：</w:t>
            </w:r>
            <w:r>
              <w:rPr>
                <w:rFonts w:hint="eastAsia" w:ascii="宋体" w:hAnsi="宋体" w:eastAsia="宋体" w:cs="宋体"/>
                <w:color w:val="auto"/>
                <w:sz w:val="24"/>
                <w:highlight w:val="none"/>
                <w:lang w:val="en-US" w:eastAsia="zh-CN"/>
              </w:rPr>
              <w:t>834981.96</w:t>
            </w:r>
            <w:r>
              <w:rPr>
                <w:rFonts w:hint="eastAsia" w:ascii="宋体" w:hAnsi="宋体" w:eastAsia="宋体" w:cs="宋体"/>
                <w:color w:val="auto"/>
                <w:sz w:val="24"/>
                <w:highlight w:val="none"/>
              </w:rPr>
              <w:t>元</w:t>
            </w:r>
          </w:p>
          <w:p>
            <w:pPr>
              <w:spacing w:line="360" w:lineRule="auto"/>
              <w:jc w:val="left"/>
              <w:rPr>
                <w:rFonts w:ascii="宋体" w:hAnsi="宋体" w:eastAsia="宋体" w:cs="宋体"/>
                <w:color w:val="auto"/>
                <w:sz w:val="24"/>
                <w:highlight w:val="yellow"/>
              </w:rPr>
            </w:pPr>
            <w:r>
              <w:rPr>
                <w:rFonts w:hint="eastAsia" w:ascii="宋体" w:hAnsi="宋体" w:eastAsia="宋体" w:cs="宋体"/>
                <w:color w:val="auto"/>
                <w:sz w:val="24"/>
                <w:highlight w:val="none"/>
              </w:rPr>
              <w:t>投标人的投标总价不得超过招标控制总价</w:t>
            </w:r>
            <w:r>
              <w:rPr>
                <w:rFonts w:hint="eastAsia" w:ascii="宋体" w:hAnsi="宋体" w:eastAsia="宋体" w:cs="宋体"/>
                <w:color w:val="auto"/>
                <w:sz w:val="24"/>
                <w:szCs w:val="24"/>
                <w:highlight w:val="none"/>
              </w:rPr>
              <w:t>，投标报价不得超过招标控制价，否则按废标处理。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91" w:type="dxa"/>
            <w:vAlign w:val="center"/>
          </w:tcPr>
          <w:p>
            <w:pPr>
              <w:spacing w:line="400" w:lineRule="exact"/>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8.2</w:t>
            </w:r>
          </w:p>
        </w:tc>
        <w:tc>
          <w:tcPr>
            <w:tcW w:w="3000" w:type="dxa"/>
            <w:vAlign w:val="center"/>
          </w:tcPr>
          <w:p>
            <w:pPr>
              <w:keepNext w:val="0"/>
              <w:keepLines w:val="0"/>
              <w:widowControl/>
              <w:suppressLineNumbers w:val="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ab/>
            </w:r>
          </w:p>
          <w:p>
            <w:pPr>
              <w:keepNext w:val="0"/>
              <w:keepLines w:val="0"/>
              <w:widowControl/>
              <w:suppressLineNumbers w:val="0"/>
              <w:jc w:val="left"/>
              <w:rPr>
                <w:rFonts w:hint="eastAsia" w:ascii="宋体" w:hAnsi="宋体" w:cs="宋体"/>
                <w:color w:val="auto"/>
                <w:sz w:val="24"/>
                <w:highlight w:val="none"/>
                <w:lang w:eastAsia="zh-CN"/>
              </w:rPr>
            </w:pPr>
          </w:p>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不可竞争费</w:t>
            </w:r>
          </w:p>
          <w:p>
            <w:pPr>
              <w:tabs>
                <w:tab w:val="left" w:pos="889"/>
              </w:tabs>
              <w:spacing w:line="400" w:lineRule="exact"/>
              <w:jc w:val="left"/>
              <w:rPr>
                <w:rFonts w:hint="eastAsia" w:ascii="宋体" w:hAnsi="宋体" w:cs="宋体" w:eastAsiaTheme="minorEastAsia"/>
                <w:color w:val="auto"/>
                <w:sz w:val="24"/>
                <w:highlight w:val="none"/>
                <w:lang w:eastAsia="zh-CN"/>
              </w:rPr>
            </w:pPr>
          </w:p>
        </w:tc>
        <w:tc>
          <w:tcPr>
            <w:tcW w:w="7134" w:type="dxa"/>
            <w:vAlign w:val="center"/>
          </w:tcPr>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不可竞争费是指规费、安全文明施工费、暂列金额与专业工程暂 </w:t>
            </w:r>
          </w:p>
          <w:p>
            <w:pPr>
              <w:keepNext w:val="0"/>
              <w:keepLines w:val="0"/>
              <w:widowControl/>
              <w:suppressLineNumbers w:val="0"/>
              <w:jc w:val="left"/>
              <w:rPr>
                <w:rFonts w:hint="eastAsia" w:ascii="宋体" w:hAnsi="宋体" w:eastAsia="宋体" w:cs="宋体"/>
                <w:color w:val="auto"/>
                <w:sz w:val="24"/>
                <w:highlight w:val="none"/>
              </w:rPr>
            </w:pPr>
            <w:r>
              <w:rPr>
                <w:rFonts w:hint="eastAsia" w:ascii="宋体" w:hAnsi="宋体" w:eastAsia="宋体" w:cs="宋体"/>
                <w:b/>
                <w:bCs/>
                <w:color w:val="auto"/>
                <w:kern w:val="0"/>
                <w:sz w:val="24"/>
                <w:szCs w:val="24"/>
                <w:highlight w:val="none"/>
                <w:lang w:val="en-US" w:eastAsia="zh-CN" w:bidi="ar"/>
              </w:rPr>
              <w:t>估价、增值税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125" w:type="dxa"/>
            <w:gridSpan w:val="3"/>
            <w:vAlign w:val="center"/>
          </w:tcPr>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9.1</w:t>
            </w:r>
          </w:p>
        </w:tc>
        <w:tc>
          <w:tcPr>
            <w:tcW w:w="10134" w:type="dxa"/>
            <w:gridSpan w:val="2"/>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10.1</w:t>
            </w:r>
          </w:p>
        </w:tc>
        <w:tc>
          <w:tcPr>
            <w:tcW w:w="10134" w:type="dxa"/>
            <w:gridSpan w:val="2"/>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特别说明：</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1.投标人应当根据本招标文件及有关规定编制投标报价。</w:t>
            </w:r>
          </w:p>
          <w:p>
            <w:pPr>
              <w:rPr>
                <w:rFonts w:ascii="宋体" w:hAnsi="宋体" w:eastAsia="宋体" w:cs="宋体"/>
                <w:color w:val="auto"/>
                <w:sz w:val="24"/>
                <w:highlight w:val="none"/>
              </w:rPr>
            </w:pPr>
            <w:r>
              <w:rPr>
                <w:rFonts w:hint="eastAsia" w:ascii="宋体" w:hAnsi="宋体" w:eastAsia="宋体" w:cs="宋体"/>
                <w:color w:val="auto"/>
                <w:sz w:val="24"/>
                <w:highlight w:val="none"/>
              </w:rPr>
              <w:t>2、根据《国务院关于取消一批职业资格许可和认定事项的决定》(国发〔2016〕5号)、《住房城乡建设部办公厅关于贯彻落实国务院取消相关职业资格决定的通知》(建办人〔2016〕7号)，作如下说明：</w:t>
            </w:r>
          </w:p>
          <w:p>
            <w:pPr>
              <w:rPr>
                <w:rFonts w:ascii="宋体" w:hAnsi="宋体" w:eastAsia="宋体" w:cs="宋体"/>
                <w:color w:val="auto"/>
                <w:sz w:val="24"/>
                <w:highlight w:val="none"/>
              </w:rPr>
            </w:pPr>
            <w:r>
              <w:rPr>
                <w:rFonts w:hint="eastAsia" w:ascii="宋体" w:hAnsi="宋体" w:eastAsia="宋体" w:cs="宋体"/>
                <w:color w:val="auto"/>
                <w:sz w:val="24"/>
                <w:highlight w:val="none"/>
              </w:rPr>
              <w:t>（1）投标文件中投标人自行编制的已标价工程量清单无需造价员或注册造价工程师签字和盖专用章。</w:t>
            </w:r>
          </w:p>
          <w:p>
            <w:pPr>
              <w:rPr>
                <w:rFonts w:ascii="宋体" w:hAnsi="宋体" w:eastAsia="宋体" w:cs="宋体"/>
                <w:color w:val="auto"/>
                <w:sz w:val="24"/>
                <w:highlight w:val="none"/>
              </w:rPr>
            </w:pPr>
            <w:r>
              <w:rPr>
                <w:rFonts w:hint="eastAsia" w:ascii="宋体" w:hAnsi="宋体" w:eastAsia="宋体" w:cs="宋体"/>
                <w:color w:val="auto"/>
                <w:sz w:val="24"/>
                <w:highlight w:val="none"/>
              </w:rPr>
              <w:t>（2）投标文件中由工程造价咨询人受委托编制的已标价工程量清单必须由注册造价工程师签字并盖专用章。</w:t>
            </w:r>
          </w:p>
          <w:p>
            <w:pPr>
              <w:rPr>
                <w:rFonts w:ascii="宋体" w:hAnsi="宋体" w:cs="宋体"/>
                <w:color w:val="auto"/>
                <w:sz w:val="24"/>
                <w:highlight w:val="none"/>
              </w:rPr>
            </w:pPr>
            <w:r>
              <w:rPr>
                <w:rFonts w:hint="eastAsia" w:ascii="宋体" w:hAnsi="宋体" w:eastAsia="宋体" w:cs="宋体"/>
                <w:color w:val="auto"/>
                <w:sz w:val="24"/>
                <w:highlight w:val="none"/>
              </w:rPr>
              <w:t>3.招标代理服务费：中标单位按计价格(</w:t>
            </w:r>
            <w:r>
              <w:rPr>
                <w:rFonts w:hint="eastAsia" w:ascii="Times New Roman" w:hAnsi="Times New Roman"/>
                <w:color w:val="auto"/>
                <w:sz w:val="24"/>
                <w:highlight w:val="none"/>
              </w:rPr>
              <w:t>豫招协【2023】002号)</w:t>
            </w:r>
            <w:r>
              <w:rPr>
                <w:rFonts w:hint="eastAsia" w:ascii="宋体" w:hAnsi="宋体" w:eastAsia="宋体" w:cs="宋体"/>
                <w:color w:val="auto"/>
                <w:sz w:val="24"/>
                <w:highlight w:val="none"/>
              </w:rPr>
              <w:t>文规定缴纳招标代理服务费。</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4.招标控制价由招标人确定并随招标文件一起发放。</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5.根据招标法和住建部项目经理不得有在建工程的规定、项目经理是否有在建工程的核查工作贯穿项目始终。</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（1）、投标企业项目经理如果有在建工程的取消投标资格。</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（2）、投标企业中标后，项目经理被查出有在建工程的取消中标资格，依次顺延或重新招标。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10.2</w:t>
            </w:r>
          </w:p>
        </w:tc>
        <w:tc>
          <w:tcPr>
            <w:tcW w:w="10134" w:type="dxa"/>
            <w:gridSpan w:val="2"/>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投标人一旦参加本项目的投标，即被认为接受了本招标文件中所有条款。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10.3</w:t>
            </w:r>
          </w:p>
        </w:tc>
        <w:tc>
          <w:tcPr>
            <w:tcW w:w="10134" w:type="dxa"/>
            <w:gridSpan w:val="2"/>
            <w:vAlign w:val="center"/>
          </w:tcPr>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根据《中华人民共和国招标投标法实施条例》规定，异议、投诉按以下程序进行：</w:t>
            </w: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投标人对招标文件有异议的，应当在递交投标文件截止之日10日前向招标人或招标代理机构提出异议；</w:t>
            </w: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投标人对评标结果有异议的，应当在中标候选人公示期间向招标人或招标代理机构提出；</w:t>
            </w: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招标人或招标代理机构在收到投标人异议后三日内作出答复，并以书面形式答复异议投标人或其他利害关系人，但答复内容不涉及商业秘密。提出异议的投标人或其他利害关系人须提供相关证明材料，并对异议内容的真实性承担责任。</w:t>
            </w: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异议联系人及电话：梁</w:t>
            </w:r>
            <w:r>
              <w:rPr>
                <w:rFonts w:hint="eastAsia" w:ascii="宋体" w:hAnsi="宋体" w:cs="宋体"/>
                <w:b/>
                <w:bCs/>
                <w:color w:val="auto"/>
                <w:sz w:val="24"/>
                <w:highlight w:val="none"/>
                <w:lang w:val="en-US" w:eastAsia="zh-CN"/>
              </w:rPr>
              <w:t xml:space="preserve">先生 </w:t>
            </w:r>
            <w:r>
              <w:rPr>
                <w:rFonts w:hint="eastAsia" w:ascii="宋体" w:hAnsi="宋体" w:cs="宋体"/>
                <w:b/>
                <w:bCs/>
                <w:color w:val="auto"/>
                <w:sz w:val="24"/>
                <w:highlight w:val="none"/>
              </w:rPr>
              <w:t>0373-8029998</w:t>
            </w:r>
          </w:p>
          <w:p>
            <w:pPr>
              <w:spacing w:line="400" w:lineRule="exact"/>
              <w:rPr>
                <w:rFonts w:hint="eastAsia" w:ascii="宋体" w:hAnsi="宋体" w:cs="宋体"/>
                <w:b/>
                <w:bCs/>
                <w:color w:val="auto"/>
                <w:sz w:val="24"/>
                <w:highlight w:val="none"/>
              </w:rPr>
            </w:pP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投标人或者其他利害关系人对招标人或招标代理机构的异议答复不满意或在规定时间内未得到答复的，投标人或者其他利害关系人可以自知道或者应当知道之日起10日内向有关行政监督部门（</w:t>
            </w:r>
            <w:r>
              <w:rPr>
                <w:rFonts w:hint="eastAsia" w:ascii="宋体" w:hAnsi="宋体" w:cs="宋体"/>
                <w:b/>
                <w:bCs/>
                <w:color w:val="auto"/>
                <w:sz w:val="24"/>
                <w:highlight w:val="none"/>
                <w:lang w:eastAsia="zh-CN"/>
              </w:rPr>
              <w:t>长垣市住房和城乡建设局</w:t>
            </w:r>
            <w:r>
              <w:rPr>
                <w:rFonts w:hint="eastAsia" w:ascii="宋体" w:hAnsi="宋体" w:cs="宋体"/>
                <w:b/>
                <w:bCs/>
                <w:color w:val="auto"/>
                <w:sz w:val="24"/>
                <w:highlight w:val="none"/>
              </w:rPr>
              <w:t>）投诉。提出投诉前，应当先向招标人或招标代理机构提出异议。</w:t>
            </w:r>
          </w:p>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 xml:space="preserve">  投诉联系方式：</w:t>
            </w:r>
          </w:p>
          <w:tbl>
            <w:tblPr>
              <w:tblStyle w:val="17"/>
              <w:tblW w:w="4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183" w:type="dxa"/>
                </w:tcPr>
                <w:p>
                  <w:pPr>
                    <w:spacing w:line="400" w:lineRule="exact"/>
                    <w:rPr>
                      <w:rFonts w:hint="eastAsia" w:ascii="宋体" w:hAnsi="宋体" w:cs="宋体" w:eastAsiaTheme="minorEastAsia"/>
                      <w:b/>
                      <w:bCs/>
                      <w:color w:val="auto"/>
                      <w:sz w:val="24"/>
                      <w:highlight w:val="none"/>
                      <w:lang w:eastAsia="zh-CN"/>
                    </w:rPr>
                  </w:pPr>
                  <w:r>
                    <w:rPr>
                      <w:rFonts w:hint="eastAsia" w:ascii="宋体" w:hAnsi="宋体" w:cs="宋体"/>
                      <w:b/>
                      <w:bCs/>
                      <w:color w:val="auto"/>
                      <w:sz w:val="24"/>
                      <w:highlight w:val="none"/>
                      <w:lang w:eastAsia="zh-CN"/>
                    </w:rPr>
                    <w:t>长垣市住房和城乡建设局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183" w:type="dxa"/>
                </w:tcPr>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电话：0373-8881353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83" w:type="dxa"/>
                </w:tcPr>
                <w:p>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地址：长垣市建设大厦B座5016房间</w:t>
                  </w:r>
                </w:p>
              </w:tc>
            </w:tr>
          </w:tbl>
          <w:p>
            <w:pPr>
              <w:spacing w:line="400" w:lineRule="exact"/>
              <w:rPr>
                <w:rFonts w:hint="eastAsia" w:ascii="宋体" w:hAnsi="宋体"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10.4</w:t>
            </w:r>
          </w:p>
        </w:tc>
        <w:tc>
          <w:tcPr>
            <w:tcW w:w="10134" w:type="dxa"/>
            <w:gridSpan w:val="2"/>
            <w:vAlign w:val="center"/>
          </w:tcPr>
          <w:p>
            <w:pPr>
              <w:tabs>
                <w:tab w:val="left" w:pos="1080"/>
                <w:tab w:val="left" w:pos="1260"/>
                <w:tab w:val="left" w:pos="4320"/>
              </w:tabs>
              <w:spacing w:line="276" w:lineRule="auto"/>
              <w:ind w:firstLine="720" w:firstLineChars="200"/>
              <w:rPr>
                <w:rFonts w:ascii="宋体" w:hAnsi="宋体" w:cs="宋体"/>
                <w:color w:val="auto"/>
                <w:sz w:val="36"/>
                <w:szCs w:val="36"/>
                <w:highlight w:val="none"/>
              </w:rPr>
            </w:pPr>
            <w:r>
              <w:rPr>
                <w:rFonts w:hint="eastAsia" w:ascii="宋体" w:hAnsi="宋体" w:cs="宋体"/>
                <w:color w:val="auto"/>
                <w:sz w:val="36"/>
                <w:szCs w:val="36"/>
                <w:highlight w:val="none"/>
              </w:rPr>
              <w:t>河南省政府采购合同融资政策告知函</w:t>
            </w:r>
          </w:p>
          <w:p>
            <w:pPr>
              <w:tabs>
                <w:tab w:val="left" w:pos="1080"/>
                <w:tab w:val="left" w:pos="1260"/>
                <w:tab w:val="left" w:pos="4320"/>
              </w:tabs>
              <w:spacing w:line="276" w:lineRule="auto"/>
              <w:rPr>
                <w:rFonts w:ascii="宋体" w:hAnsi="宋体" w:cs="宋体"/>
                <w:color w:val="auto"/>
                <w:sz w:val="24"/>
                <w:highlight w:val="none"/>
              </w:rPr>
            </w:pPr>
            <w:r>
              <w:rPr>
                <w:rFonts w:hint="eastAsia" w:ascii="宋体" w:hAnsi="宋体" w:cs="宋体"/>
                <w:color w:val="auto"/>
                <w:sz w:val="24"/>
                <w:highlight w:val="none"/>
              </w:rPr>
              <w:t>各投标人：</w:t>
            </w:r>
          </w:p>
          <w:p>
            <w:pPr>
              <w:tabs>
                <w:tab w:val="left" w:pos="1080"/>
                <w:tab w:val="left" w:pos="1260"/>
                <w:tab w:val="left" w:pos="4320"/>
              </w:tabs>
              <w:spacing w:line="276" w:lineRule="auto"/>
              <w:rPr>
                <w:rFonts w:ascii="宋体" w:hAnsi="宋体" w:cs="宋体"/>
                <w:color w:val="auto"/>
                <w:sz w:val="24"/>
                <w:highlight w:val="none"/>
              </w:rPr>
            </w:pPr>
            <w:r>
              <w:rPr>
                <w:rFonts w:ascii="宋体" w:hAnsi="宋体" w:cs="宋体"/>
                <w:color w:val="auto"/>
                <w:sz w:val="24"/>
                <w:highlight w:val="none"/>
              </w:rPr>
              <w:t>欢迎贵公司参与河南省政府采购活动！</w:t>
            </w:r>
          </w:p>
          <w:p>
            <w:pPr>
              <w:tabs>
                <w:tab w:val="left" w:pos="1080"/>
                <w:tab w:val="left" w:pos="1260"/>
                <w:tab w:val="left" w:pos="4320"/>
              </w:tabs>
              <w:spacing w:line="276" w:lineRule="auto"/>
              <w:rPr>
                <w:rFonts w:ascii="宋体" w:hAnsi="宋体" w:cs="宋体"/>
                <w:color w:val="auto"/>
                <w:sz w:val="24"/>
                <w:highlight w:val="none"/>
              </w:rPr>
            </w:pPr>
            <w:r>
              <w:rPr>
                <w:rFonts w:ascii="宋体" w:hAnsi="宋体" w:cs="宋体"/>
                <w:color w:val="auto"/>
                <w:sz w:val="24"/>
                <w:highlight w:val="none"/>
              </w:rPr>
              <w:t>政府采购合同融资是河南省财政厅支持中小微企业发展，针对参与政府采购活动的</w:t>
            </w:r>
            <w:r>
              <w:rPr>
                <w:rFonts w:hint="eastAsia" w:ascii="宋体" w:hAnsi="宋体" w:cs="宋体"/>
                <w:color w:val="auto"/>
                <w:sz w:val="24"/>
                <w:highlight w:val="none"/>
              </w:rPr>
              <w:t>投标人</w:t>
            </w:r>
            <w:r>
              <w:rPr>
                <w:rFonts w:ascii="宋体" w:hAnsi="宋体" w:cs="宋体"/>
                <w:color w:val="auto"/>
                <w:sz w:val="24"/>
                <w:highlight w:val="none"/>
              </w:rPr>
              <w:t>融资难、融资贵问题推出的一项融资政策。贵公司若成为本次政府采购项目的中标成交</w:t>
            </w:r>
            <w:r>
              <w:rPr>
                <w:rFonts w:hint="eastAsia" w:ascii="宋体" w:hAnsi="宋体" w:cs="宋体"/>
                <w:color w:val="auto"/>
                <w:sz w:val="24"/>
                <w:highlight w:val="none"/>
              </w:rPr>
              <w:t>投标人</w:t>
            </w:r>
            <w:r>
              <w:rPr>
                <w:rFonts w:ascii="宋体" w:hAnsi="宋体" w:cs="宋体"/>
                <w:color w:val="auto"/>
                <w:sz w:val="24"/>
                <w:highlight w:val="none"/>
              </w:rPr>
              <w:t>，可持政府采购合同向金融机构申请贷款，无需抵押、担保，融资机构将根据《河南省政府采购合同融资工作实施方案》（豫财购〔2017〕10号），按照双方自愿的原则提供便捷、优惠的贷款服务。</w:t>
            </w:r>
          </w:p>
          <w:p>
            <w:pPr>
              <w:tabs>
                <w:tab w:val="left" w:pos="1080"/>
                <w:tab w:val="left" w:pos="1260"/>
                <w:tab w:val="left" w:pos="4320"/>
              </w:tabs>
              <w:spacing w:line="276" w:lineRule="auto"/>
              <w:rPr>
                <w:rFonts w:ascii="宋体" w:hAnsi="宋体" w:cs="宋体"/>
                <w:color w:val="auto"/>
                <w:sz w:val="24"/>
                <w:highlight w:val="none"/>
              </w:rPr>
            </w:pPr>
            <w:r>
              <w:rPr>
                <w:rFonts w:ascii="宋体" w:hAnsi="宋体" w:cs="宋体"/>
                <w:color w:val="auto"/>
                <w:sz w:val="24"/>
                <w:highlight w:val="none"/>
              </w:rPr>
              <w:t>贷款渠道和提供贷款的金融机构，可在河南省政府采购网“河南省政府采购合同融资平台”查询联系。</w:t>
            </w:r>
          </w:p>
          <w:p>
            <w:pPr>
              <w:spacing w:line="400" w:lineRule="exact"/>
              <w:rPr>
                <w:rFonts w:ascii="宋体" w:hAnsi="宋体" w:cs="宋体"/>
                <w:color w:val="auto"/>
                <w:sz w:val="24"/>
                <w:highlight w:val="none"/>
              </w:rPr>
            </w:pPr>
            <w:r>
              <w:rPr>
                <w:color w:val="auto"/>
                <w:highlight w:val="none"/>
              </w:rPr>
              <w:fldChar w:fldCharType="begin"/>
            </w:r>
            <w:r>
              <w:rPr>
                <w:color w:val="auto"/>
                <w:highlight w:val="none"/>
              </w:rPr>
              <w:instrText xml:space="preserve"> HYPERLINK "http://www.hngp.gov.cn/henan/content?infoId=1601449567470800&amp;channelCode=H6016" </w:instrText>
            </w:r>
            <w:r>
              <w:rPr>
                <w:color w:val="auto"/>
                <w:highlight w:val="none"/>
              </w:rPr>
              <w:fldChar w:fldCharType="separate"/>
            </w:r>
            <w:r>
              <w:rPr>
                <w:rFonts w:ascii="宋体" w:hAnsi="宋体" w:cs="宋体"/>
                <w:color w:val="auto"/>
                <w:sz w:val="24"/>
                <w:highlight w:val="none"/>
              </w:rPr>
              <w:t>政策解读：/henan/content?infoId=1601449567470800&amp;channelCode=H6016</w:t>
            </w:r>
            <w:r>
              <w:rPr>
                <w:rFonts w:ascii="宋体" w:hAnsi="宋体" w:cs="宋体"/>
                <w:color w:val="auto"/>
                <w:sz w:val="24"/>
                <w:highlight w:val="none"/>
              </w:rPr>
              <w:fldChar w:fldCharType="end"/>
            </w:r>
          </w:p>
        </w:tc>
      </w:tr>
    </w:tbl>
    <w:p>
      <w:pPr>
        <w:spacing w:line="480" w:lineRule="exact"/>
        <w:rPr>
          <w:rFonts w:ascii="宋体" w:hAnsi="宋体" w:cs="宋体"/>
          <w:b/>
          <w:color w:val="auto"/>
          <w:sz w:val="24"/>
          <w:highlight w:val="none"/>
        </w:rPr>
      </w:pPr>
      <w:bookmarkStart w:id="6" w:name="_Toc24161"/>
      <w:r>
        <w:rPr>
          <w:rFonts w:hint="eastAsia" w:ascii="宋体" w:hAnsi="宋体" w:cs="宋体"/>
          <w:b/>
          <w:color w:val="auto"/>
          <w:sz w:val="24"/>
          <w:highlight w:val="none"/>
        </w:rPr>
        <w:t>1.总则</w:t>
      </w:r>
      <w:bookmarkEnd w:id="6"/>
    </w:p>
    <w:p>
      <w:pPr>
        <w:spacing w:line="480" w:lineRule="exact"/>
        <w:ind w:firstLine="472" w:firstLineChars="196"/>
        <w:rPr>
          <w:rFonts w:ascii="宋体" w:hAnsi="宋体" w:cs="宋体"/>
          <w:b/>
          <w:color w:val="auto"/>
          <w:sz w:val="24"/>
          <w:highlight w:val="none"/>
        </w:rPr>
      </w:pPr>
      <w:bookmarkStart w:id="7" w:name="_Toc25566"/>
      <w:r>
        <w:rPr>
          <w:rFonts w:hint="eastAsia" w:ascii="宋体" w:hAnsi="宋体" w:cs="宋体"/>
          <w:b/>
          <w:color w:val="auto"/>
          <w:sz w:val="24"/>
          <w:highlight w:val="none"/>
        </w:rPr>
        <w:t>1.1 项目概况</w:t>
      </w:r>
      <w:bookmarkEnd w:id="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1.1.1根据《中华人民共和国招标投标法》、等有关法律、法规和规章的规定，本招标项目已具备招标条件，现对本工程施工进行招标。</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本招标项目招标人：见投标人须知前附表。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本工程招标代理机构：见投标人须知前附表。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本招标项目名称：见投标人须知前附表。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本工程建设地点：见投标人须知前附表。</w:t>
      </w:r>
    </w:p>
    <w:p>
      <w:pPr>
        <w:spacing w:line="480" w:lineRule="exact"/>
        <w:ind w:firstLine="482" w:firstLineChars="200"/>
        <w:outlineLvl w:val="3"/>
        <w:rPr>
          <w:rFonts w:ascii="宋体" w:hAnsi="宋体" w:cs="宋体"/>
          <w:b/>
          <w:color w:val="auto"/>
          <w:sz w:val="24"/>
          <w:highlight w:val="none"/>
        </w:rPr>
      </w:pPr>
      <w:bookmarkStart w:id="8" w:name="_Toc20902"/>
      <w:r>
        <w:rPr>
          <w:rFonts w:hint="eastAsia" w:ascii="宋体" w:hAnsi="宋体" w:cs="宋体"/>
          <w:b/>
          <w:color w:val="auto"/>
          <w:sz w:val="24"/>
          <w:highlight w:val="none"/>
        </w:rPr>
        <w:t>1.2资金来源和落实情况</w:t>
      </w:r>
      <w:bookmarkEnd w:id="8"/>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1.2.1本招标项目的资金来源：见投标人须知前附表。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1.2.2本招标项目的出资比例：见投标人须知前附表。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1.2.3本招标项目的资金落实情况：见投标人须知前附表。</w:t>
      </w:r>
    </w:p>
    <w:p>
      <w:pPr>
        <w:spacing w:line="480" w:lineRule="exact"/>
        <w:ind w:firstLine="482" w:firstLineChars="200"/>
        <w:outlineLvl w:val="3"/>
        <w:rPr>
          <w:rFonts w:ascii="宋体" w:hAnsi="宋体" w:cs="宋体"/>
          <w:b/>
          <w:color w:val="auto"/>
          <w:sz w:val="24"/>
          <w:highlight w:val="none"/>
        </w:rPr>
      </w:pPr>
      <w:bookmarkStart w:id="9" w:name="_Toc2757"/>
      <w:r>
        <w:rPr>
          <w:rFonts w:hint="eastAsia" w:ascii="宋体" w:hAnsi="宋体" w:cs="宋体"/>
          <w:b/>
          <w:color w:val="auto"/>
          <w:sz w:val="24"/>
          <w:highlight w:val="none"/>
        </w:rPr>
        <w:t>1.3招标范围、工期和质量要求</w:t>
      </w:r>
      <w:bookmarkEnd w:id="9"/>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1.3.1本次招标范围：见投标人须知前附表。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1.3.2本工程的工期：见投标人须知前附表。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1.3.3本工程的质量要求：见投标人须知前附表。</w:t>
      </w:r>
    </w:p>
    <w:p>
      <w:pPr>
        <w:spacing w:line="480" w:lineRule="exact"/>
        <w:ind w:firstLine="482" w:firstLineChars="200"/>
        <w:outlineLvl w:val="3"/>
        <w:rPr>
          <w:rFonts w:ascii="宋体" w:hAnsi="宋体" w:cs="宋体"/>
          <w:b/>
          <w:color w:val="auto"/>
          <w:sz w:val="24"/>
          <w:highlight w:val="none"/>
        </w:rPr>
      </w:pPr>
      <w:bookmarkStart w:id="10" w:name="_Toc8306"/>
      <w:r>
        <w:rPr>
          <w:rFonts w:hint="eastAsia" w:ascii="宋体" w:hAnsi="宋体" w:cs="宋体"/>
          <w:b/>
          <w:color w:val="auto"/>
          <w:sz w:val="24"/>
          <w:highlight w:val="none"/>
        </w:rPr>
        <w:t>1.4投标人资格要求</w:t>
      </w:r>
      <w:bookmarkEnd w:id="10"/>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 投标人应具备承担本工程施工的资质条件、能力、和信誉。</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（1）资质条件：见投标人须知前附表；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（2）财务要求：见投标人须知前附表；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（3）业绩要求：见投标人须知前附表；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（4）信誉要求：见投标人须知前附表；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（5）项目经理资格：见投标人须知前附表；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（6）其他要求：见投标人须知前附表。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投标人须知前附表规定接受联合体投标的，除应符合本章第1.4.1项和投标人须知前附表的要求外，还应遵守以下规定：</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（1）联合体各方应按招标文件提供的格式签订联合体协议书，明确联合体牵头人和各方权利义务；</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（2）由同一专业的单位组成的联合体，按照资质等级较低的单位确定资质等级；</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（3）联合体各方不得再以自己名义单独或参加其他联合体在同一标段中投标。</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 投标人不得存在下列情形之一：</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（1）为招标人不具有独立法人资格的附属机构（单位）；</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（2）为本项目前期准备提供设计或咨询服务的，但设计施工总承包的除外；</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（3）为本项目的监理人；</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（4）为本项目的代建人；</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（5）为本项目提供招标代理服务的；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（6）为本项目的监理人或代建人或招标代理机构同为一个法定代表人的；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（7）为本项目的监理人或代建人或招标代理机构相互控股或参股的；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（8）为本项目的监理人或代建人或招标代理机构相互任职或工作的；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（9）被责令停业的；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（10）被暂停或取消投标资格的；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（11）财产被接管或冻结的；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（12）在最近五年内有骗取中标或严重违约或重大工程质量问题的。</w:t>
      </w:r>
    </w:p>
    <w:p>
      <w:pPr>
        <w:tabs>
          <w:tab w:val="left" w:pos="7349"/>
        </w:tabs>
        <w:spacing w:line="480" w:lineRule="exact"/>
        <w:ind w:firstLine="482" w:firstLineChars="200"/>
        <w:outlineLvl w:val="3"/>
        <w:rPr>
          <w:rFonts w:ascii="宋体" w:hAnsi="宋体" w:cs="宋体"/>
          <w:b/>
          <w:color w:val="auto"/>
          <w:sz w:val="24"/>
          <w:highlight w:val="none"/>
        </w:rPr>
      </w:pPr>
      <w:bookmarkStart w:id="11" w:name="_Toc766"/>
      <w:r>
        <w:rPr>
          <w:rFonts w:hint="eastAsia" w:ascii="宋体" w:hAnsi="宋体" w:cs="宋体"/>
          <w:b/>
          <w:color w:val="auto"/>
          <w:sz w:val="24"/>
          <w:highlight w:val="none"/>
        </w:rPr>
        <w:t>1.5 费用承担</w:t>
      </w:r>
      <w:bookmarkEnd w:id="11"/>
      <w:r>
        <w:rPr>
          <w:rFonts w:hint="eastAsia" w:ascii="宋体" w:hAnsi="宋体" w:cs="宋体"/>
          <w:b/>
          <w:color w:val="auto"/>
          <w:sz w:val="24"/>
          <w:highlight w:val="none"/>
        </w:rPr>
        <w:tab/>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投标人准备和参加投标活动发生的费用自理。</w:t>
      </w:r>
    </w:p>
    <w:p>
      <w:pPr>
        <w:spacing w:line="480" w:lineRule="exact"/>
        <w:ind w:firstLine="482" w:firstLineChars="200"/>
        <w:outlineLvl w:val="3"/>
        <w:rPr>
          <w:rFonts w:ascii="宋体" w:hAnsi="宋体" w:cs="宋体"/>
          <w:b/>
          <w:color w:val="auto"/>
          <w:sz w:val="24"/>
          <w:highlight w:val="none"/>
        </w:rPr>
      </w:pPr>
      <w:bookmarkStart w:id="12" w:name="_Toc31892"/>
      <w:r>
        <w:rPr>
          <w:rFonts w:hint="eastAsia" w:ascii="宋体" w:hAnsi="宋体" w:cs="宋体"/>
          <w:b/>
          <w:color w:val="auto"/>
          <w:sz w:val="24"/>
          <w:highlight w:val="none"/>
        </w:rPr>
        <w:t>1.6保密</w:t>
      </w:r>
      <w:bookmarkEnd w:id="12"/>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参与招标投标活动的各方应对招标文件和投标文件中的商业和技术等秘密保密，违者应对由此造成的后果承担法律责任。</w:t>
      </w:r>
    </w:p>
    <w:p>
      <w:pPr>
        <w:spacing w:line="480" w:lineRule="exact"/>
        <w:ind w:firstLine="482" w:firstLineChars="200"/>
        <w:outlineLvl w:val="3"/>
        <w:rPr>
          <w:rFonts w:ascii="宋体" w:hAnsi="宋体" w:cs="宋体"/>
          <w:b/>
          <w:color w:val="auto"/>
          <w:sz w:val="24"/>
          <w:highlight w:val="none"/>
        </w:rPr>
      </w:pPr>
      <w:bookmarkStart w:id="13" w:name="_Toc18516"/>
      <w:r>
        <w:rPr>
          <w:rFonts w:hint="eastAsia" w:ascii="宋体" w:hAnsi="宋体" w:cs="宋体"/>
          <w:b/>
          <w:color w:val="auto"/>
          <w:sz w:val="24"/>
          <w:highlight w:val="none"/>
        </w:rPr>
        <w:t>1.7语言文字</w:t>
      </w:r>
      <w:bookmarkEnd w:id="13"/>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除专用术语外，与招标投标有关的语言均使用中文。必要时专用术语应附有中文注释。</w:t>
      </w:r>
    </w:p>
    <w:p>
      <w:pPr>
        <w:spacing w:line="480" w:lineRule="exact"/>
        <w:ind w:firstLine="482" w:firstLineChars="200"/>
        <w:outlineLvl w:val="3"/>
        <w:rPr>
          <w:rFonts w:ascii="宋体" w:hAnsi="宋体" w:cs="宋体"/>
          <w:b/>
          <w:color w:val="auto"/>
          <w:sz w:val="24"/>
          <w:highlight w:val="none"/>
        </w:rPr>
      </w:pPr>
      <w:bookmarkStart w:id="14" w:name="_Toc9976"/>
      <w:r>
        <w:rPr>
          <w:rFonts w:hint="eastAsia" w:ascii="宋体" w:hAnsi="宋体" w:cs="宋体"/>
          <w:b/>
          <w:color w:val="auto"/>
          <w:sz w:val="24"/>
          <w:highlight w:val="none"/>
        </w:rPr>
        <w:t>1.8计量单位</w:t>
      </w:r>
      <w:bookmarkEnd w:id="14"/>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pPr>
        <w:spacing w:line="480" w:lineRule="exact"/>
        <w:ind w:firstLine="482" w:firstLineChars="200"/>
        <w:outlineLvl w:val="3"/>
        <w:rPr>
          <w:rFonts w:ascii="宋体" w:hAnsi="宋体" w:cs="宋体"/>
          <w:b/>
          <w:color w:val="auto"/>
          <w:sz w:val="24"/>
          <w:highlight w:val="none"/>
        </w:rPr>
      </w:pPr>
      <w:bookmarkStart w:id="15" w:name="_Toc17169"/>
      <w:r>
        <w:rPr>
          <w:rFonts w:hint="eastAsia" w:ascii="宋体" w:hAnsi="宋体" w:cs="宋体"/>
          <w:b/>
          <w:color w:val="auto"/>
          <w:sz w:val="24"/>
          <w:highlight w:val="none"/>
        </w:rPr>
        <w:t>1.9踏勘现场</w:t>
      </w:r>
      <w:bookmarkEnd w:id="15"/>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1.9.1投标人须知前附表规定组织踏勘现场的，招标人按投标人须知前附表规定的时间、地点组织投标人踏勘项目现场。</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1.9.2投标人踏勘现场发生的费用自理。</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1.9.3除招标人的原因外，投标人自行负责在踏勘现场中所发生的人员伤亡和财产损失。</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1.9.4招标人在踏勘现场中介绍的工程场地和相关的周边环境情况，供投标人在编制投标文件时参考，招标人不对投标人据此作出的判断和决策负责。</w:t>
      </w:r>
    </w:p>
    <w:p>
      <w:pPr>
        <w:spacing w:line="480" w:lineRule="exact"/>
        <w:ind w:firstLine="482" w:firstLineChars="200"/>
        <w:outlineLvl w:val="3"/>
        <w:rPr>
          <w:rFonts w:ascii="宋体" w:hAnsi="宋体" w:cs="宋体"/>
          <w:b/>
          <w:color w:val="auto"/>
          <w:sz w:val="24"/>
          <w:highlight w:val="none"/>
        </w:rPr>
      </w:pPr>
      <w:bookmarkStart w:id="16" w:name="_Toc3495"/>
      <w:r>
        <w:rPr>
          <w:rFonts w:hint="eastAsia" w:ascii="宋体" w:hAnsi="宋体" w:cs="宋体"/>
          <w:b/>
          <w:color w:val="auto"/>
          <w:sz w:val="24"/>
          <w:highlight w:val="none"/>
        </w:rPr>
        <w:t>1.10投标预备会</w:t>
      </w:r>
      <w:bookmarkEnd w:id="16"/>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1.10.1投标人须知前附表规定召开投标预备会的，招标人按投标人须知前附表规定的时间和地点召开投标预备会，澄清投标人提出的问题。</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1.10.2投标人应在投标人须知前附表规定的时间前，以书面形式将提出的问题送达招标人，以便招标人在会议期间澄清。</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1.10.3投标预备会后，招标人在投标人须知前附表规定的时间内，将对投标人所提问题的澄清，以书面方式通知所有购买招标文件的投标人。该澄清内容为招标文件的组成部分。</w:t>
      </w:r>
    </w:p>
    <w:p>
      <w:pPr>
        <w:spacing w:line="480" w:lineRule="exact"/>
        <w:ind w:firstLine="482" w:firstLineChars="200"/>
        <w:outlineLvl w:val="3"/>
        <w:rPr>
          <w:rFonts w:ascii="宋体" w:hAnsi="宋体" w:cs="宋体"/>
          <w:b/>
          <w:color w:val="auto"/>
          <w:sz w:val="24"/>
          <w:highlight w:val="none"/>
        </w:rPr>
      </w:pPr>
      <w:bookmarkStart w:id="17" w:name="_Toc15476"/>
      <w:r>
        <w:rPr>
          <w:rFonts w:hint="eastAsia" w:ascii="宋体" w:hAnsi="宋体" w:cs="宋体"/>
          <w:b/>
          <w:color w:val="auto"/>
          <w:sz w:val="24"/>
          <w:highlight w:val="none"/>
        </w:rPr>
        <w:t>1.11分包</w:t>
      </w:r>
      <w:bookmarkEnd w:id="1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投标人拟在中标后将中标项目的部分非主体、非关键性工作进行分包的，应符合投标人须知前附表规定的分包内容、分包金额和接受分包的第三人资质要求等限制性条件。</w:t>
      </w:r>
    </w:p>
    <w:p>
      <w:pPr>
        <w:spacing w:line="480" w:lineRule="exact"/>
        <w:ind w:firstLine="482" w:firstLineChars="200"/>
        <w:outlineLvl w:val="3"/>
        <w:rPr>
          <w:rFonts w:ascii="宋体" w:hAnsi="宋体" w:cs="宋体"/>
          <w:b/>
          <w:color w:val="auto"/>
          <w:sz w:val="24"/>
          <w:highlight w:val="none"/>
        </w:rPr>
      </w:pPr>
      <w:bookmarkStart w:id="18" w:name="_Toc725"/>
      <w:r>
        <w:rPr>
          <w:rFonts w:hint="eastAsia" w:ascii="宋体" w:hAnsi="宋体" w:cs="宋体"/>
          <w:b/>
          <w:color w:val="auto"/>
          <w:sz w:val="24"/>
          <w:highlight w:val="none"/>
        </w:rPr>
        <w:t>1.12偏离</w:t>
      </w:r>
      <w:bookmarkEnd w:id="18"/>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投标人须知前附表允许投标文件偏离招标文件某些要求的，偏离应当符合招标文件规定的偏离范围和幅度。</w:t>
      </w:r>
    </w:p>
    <w:p>
      <w:pPr>
        <w:spacing w:line="480" w:lineRule="exact"/>
        <w:ind w:firstLine="482" w:firstLineChars="200"/>
        <w:outlineLvl w:val="2"/>
        <w:rPr>
          <w:rFonts w:ascii="宋体" w:hAnsi="宋体" w:cs="宋体"/>
          <w:b/>
          <w:color w:val="auto"/>
          <w:sz w:val="24"/>
          <w:highlight w:val="none"/>
        </w:rPr>
      </w:pPr>
      <w:bookmarkStart w:id="19" w:name="_Toc31749"/>
      <w:r>
        <w:rPr>
          <w:rFonts w:hint="eastAsia" w:ascii="宋体" w:hAnsi="宋体" w:cs="宋体"/>
          <w:b/>
          <w:color w:val="auto"/>
          <w:sz w:val="24"/>
          <w:highlight w:val="none"/>
        </w:rPr>
        <w:t>2.招标文件</w:t>
      </w:r>
      <w:bookmarkEnd w:id="19"/>
    </w:p>
    <w:p>
      <w:pPr>
        <w:spacing w:line="480" w:lineRule="exact"/>
        <w:ind w:firstLine="482" w:firstLineChars="200"/>
        <w:outlineLvl w:val="3"/>
        <w:rPr>
          <w:rFonts w:ascii="宋体" w:hAnsi="宋体" w:cs="宋体"/>
          <w:b/>
          <w:color w:val="auto"/>
          <w:sz w:val="24"/>
          <w:highlight w:val="none"/>
        </w:rPr>
      </w:pPr>
      <w:bookmarkStart w:id="20" w:name="_Toc7529"/>
      <w:r>
        <w:rPr>
          <w:rFonts w:hint="eastAsia" w:ascii="宋体" w:hAnsi="宋体" w:cs="宋体"/>
          <w:b/>
          <w:color w:val="auto"/>
          <w:sz w:val="24"/>
          <w:highlight w:val="none"/>
        </w:rPr>
        <w:t>2.1招标文件的组成</w:t>
      </w:r>
      <w:bookmarkEnd w:id="20"/>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本招标文件包括：</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（1）招标公告</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（2）投标人须知；</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（3）评标办法；</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（4）合同条款及格式；</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（5）工程量清单；</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（6）图纸；</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w:t>
      </w:r>
    </w:p>
    <w:p>
      <w:pPr>
        <w:spacing w:line="480" w:lineRule="exact"/>
        <w:ind w:firstLine="480" w:firstLineChars="200"/>
        <w:rPr>
          <w:color w:val="auto"/>
          <w:highlight w:val="none"/>
        </w:rPr>
      </w:pPr>
      <w:r>
        <w:rPr>
          <w:rFonts w:hint="eastAsia" w:ascii="宋体" w:hAnsi="宋体" w:cs="宋体"/>
          <w:color w:val="auto"/>
          <w:sz w:val="24"/>
          <w:highlight w:val="none"/>
        </w:rPr>
        <w:t>（8）投标文件格式；</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根据本章第 1.10款、第 2.2款和第2.3款对招标文件所作的澄清、修改，构成招标文件的组成部分。</w:t>
      </w:r>
    </w:p>
    <w:p>
      <w:pPr>
        <w:spacing w:line="480" w:lineRule="exact"/>
        <w:ind w:firstLine="482" w:firstLineChars="200"/>
        <w:outlineLvl w:val="3"/>
        <w:rPr>
          <w:rFonts w:ascii="宋体" w:hAnsi="宋体" w:cs="宋体"/>
          <w:b/>
          <w:color w:val="auto"/>
          <w:sz w:val="24"/>
          <w:highlight w:val="none"/>
        </w:rPr>
      </w:pPr>
      <w:bookmarkStart w:id="21" w:name="_Toc31887"/>
      <w:r>
        <w:rPr>
          <w:rFonts w:hint="eastAsia" w:ascii="宋体" w:hAnsi="宋体" w:cs="宋体"/>
          <w:b/>
          <w:color w:val="auto"/>
          <w:sz w:val="24"/>
          <w:highlight w:val="none"/>
        </w:rPr>
        <w:t>2.2 招标文件的澄清</w:t>
      </w:r>
      <w:bookmarkEnd w:id="21"/>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招标文件的澄清将在投标人须知前附表规定的投标截止时间15天前以书面形式发给所有购买招标文件的投标人，但不指明澄清问题的来源。如果澄清发出的时间距投标截止时间不足15天，相应延长投标截止时间。</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 投标人在收到澄清后，应在投标人须知前附表规定的时间内以书面形式通知招标人，确认已收到该澄清。</w:t>
      </w:r>
    </w:p>
    <w:p>
      <w:pPr>
        <w:spacing w:line="480" w:lineRule="exact"/>
        <w:ind w:firstLine="482" w:firstLineChars="200"/>
        <w:outlineLvl w:val="3"/>
        <w:rPr>
          <w:rFonts w:ascii="宋体" w:hAnsi="宋体" w:cs="宋体"/>
          <w:b/>
          <w:color w:val="auto"/>
          <w:sz w:val="24"/>
          <w:highlight w:val="none"/>
        </w:rPr>
      </w:pPr>
      <w:bookmarkStart w:id="22" w:name="_Toc5786"/>
      <w:r>
        <w:rPr>
          <w:rFonts w:hint="eastAsia" w:ascii="宋体" w:hAnsi="宋体" w:cs="宋体"/>
          <w:b/>
          <w:color w:val="auto"/>
          <w:sz w:val="24"/>
          <w:highlight w:val="none"/>
        </w:rPr>
        <w:t>2.3招标文件的修改</w:t>
      </w:r>
      <w:bookmarkEnd w:id="22"/>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2.3.1在投标截止时间15天前，招标人可以书面形式修改招标文件，并通知所有已购买招标文件的投标人。如果修改招标文件的时间距投标截止时间不足15天，相应延长投标截止时间。</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2.3.2投标人收到修改内容后，应在投标人须知前附表规定的时间内以书面形式通知招标人，确认已收到该修改。</w:t>
      </w:r>
    </w:p>
    <w:p>
      <w:pPr>
        <w:spacing w:line="480" w:lineRule="exact"/>
        <w:ind w:firstLine="482" w:firstLineChars="200"/>
        <w:outlineLvl w:val="2"/>
        <w:rPr>
          <w:rFonts w:ascii="宋体" w:hAnsi="宋体" w:cs="宋体"/>
          <w:b/>
          <w:color w:val="auto"/>
          <w:sz w:val="24"/>
          <w:highlight w:val="none"/>
        </w:rPr>
      </w:pPr>
      <w:bookmarkStart w:id="23" w:name="_Toc23992"/>
      <w:r>
        <w:rPr>
          <w:rFonts w:hint="eastAsia" w:ascii="宋体" w:hAnsi="宋体" w:cs="宋体"/>
          <w:b/>
          <w:color w:val="auto"/>
          <w:sz w:val="24"/>
          <w:highlight w:val="none"/>
        </w:rPr>
        <w:t>3.投标文件</w:t>
      </w:r>
      <w:bookmarkEnd w:id="23"/>
    </w:p>
    <w:p>
      <w:pPr>
        <w:spacing w:line="480" w:lineRule="exact"/>
        <w:ind w:firstLine="482" w:firstLineChars="200"/>
        <w:outlineLvl w:val="3"/>
        <w:rPr>
          <w:rFonts w:ascii="宋体" w:hAnsi="宋体" w:cs="宋体"/>
          <w:b/>
          <w:color w:val="auto"/>
          <w:sz w:val="24"/>
          <w:highlight w:val="none"/>
        </w:rPr>
      </w:pPr>
      <w:bookmarkStart w:id="24" w:name="_Toc21907"/>
      <w:r>
        <w:rPr>
          <w:rFonts w:hint="eastAsia" w:ascii="宋体" w:hAnsi="宋体" w:cs="宋体"/>
          <w:b/>
          <w:color w:val="auto"/>
          <w:sz w:val="24"/>
          <w:highlight w:val="none"/>
        </w:rPr>
        <w:t>3.1投标文件的组成</w:t>
      </w:r>
      <w:bookmarkEnd w:id="24"/>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（1）投标函及投标报价一览表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（2）法定代表人身份证明及授权委托书</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2-1  法定代表人身份证明</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2-2  授权委托书</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（3）投标保证金</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（4）已标价的工程量清单</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（5）项目管理机构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（6）资格审查资料</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（7）其他材料</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（8）施工组织设计</w:t>
      </w:r>
    </w:p>
    <w:p>
      <w:pPr>
        <w:pStyle w:val="2"/>
        <w:ind w:firstLine="480" w:firstLineChars="200"/>
        <w:rPr>
          <w:color w:val="auto"/>
          <w:highlight w:val="none"/>
        </w:rPr>
      </w:pPr>
      <w:r>
        <w:rPr>
          <w:rFonts w:hint="eastAsia" w:ascii="宋体" w:hAnsi="宋体" w:cs="宋体"/>
          <w:color w:val="auto"/>
          <w:highlight w:val="none"/>
        </w:rPr>
        <w:t>（9）</w:t>
      </w:r>
      <w:r>
        <w:rPr>
          <w:rFonts w:hint="eastAsia" w:ascii="宋体" w:hAnsi="宋体" w:eastAsia="宋体" w:cs="宋体"/>
          <w:color w:val="auto"/>
          <w:highlight w:val="none"/>
        </w:rPr>
        <w:t>落实的政府采购政策</w:t>
      </w:r>
    </w:p>
    <w:p>
      <w:pPr>
        <w:spacing w:line="480" w:lineRule="exact"/>
        <w:ind w:firstLine="482" w:firstLineChars="200"/>
        <w:outlineLvl w:val="3"/>
        <w:rPr>
          <w:rFonts w:ascii="宋体" w:hAnsi="宋体" w:cs="宋体"/>
          <w:b/>
          <w:color w:val="auto"/>
          <w:sz w:val="24"/>
          <w:highlight w:val="none"/>
        </w:rPr>
      </w:pPr>
      <w:bookmarkStart w:id="25" w:name="_Toc8084"/>
      <w:r>
        <w:rPr>
          <w:rFonts w:hint="eastAsia" w:ascii="宋体" w:hAnsi="宋体" w:cs="宋体"/>
          <w:b/>
          <w:color w:val="auto"/>
          <w:sz w:val="24"/>
          <w:highlight w:val="none"/>
        </w:rPr>
        <w:t>3.2 投标报价</w:t>
      </w:r>
      <w:bookmarkEnd w:id="25"/>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3.2.1 投标人应按招标文件的要求填写相应表格。</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3.2.2 投标人在投标截止时间前修改投标函中的投标总报价，应同时修改"工程量清单"中的相应报价。此修改须符合本章第4.3款的有关要求。</w:t>
      </w:r>
    </w:p>
    <w:p>
      <w:pPr>
        <w:spacing w:line="480" w:lineRule="exact"/>
        <w:ind w:firstLine="482" w:firstLineChars="200"/>
        <w:outlineLvl w:val="3"/>
        <w:rPr>
          <w:rFonts w:ascii="宋体" w:hAnsi="宋体" w:cs="宋体"/>
          <w:b/>
          <w:color w:val="auto"/>
          <w:sz w:val="24"/>
          <w:highlight w:val="none"/>
        </w:rPr>
      </w:pPr>
      <w:bookmarkStart w:id="26" w:name="_Toc8522"/>
      <w:r>
        <w:rPr>
          <w:rFonts w:hint="eastAsia" w:ascii="宋体" w:hAnsi="宋体" w:cs="宋体"/>
          <w:b/>
          <w:color w:val="auto"/>
          <w:sz w:val="24"/>
          <w:highlight w:val="none"/>
        </w:rPr>
        <w:t>3.3 投标有效期</w:t>
      </w:r>
      <w:bookmarkEnd w:id="26"/>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3.3.1在投标人须知前附表规定的投标有效期内，投标人不得要求撤销或修改其投标文件。</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80" w:lineRule="exact"/>
        <w:ind w:firstLine="482" w:firstLineChars="200"/>
        <w:outlineLvl w:val="3"/>
        <w:rPr>
          <w:rFonts w:ascii="宋体" w:hAnsi="宋体" w:cs="宋体"/>
          <w:b/>
          <w:color w:val="auto"/>
          <w:sz w:val="24"/>
          <w:highlight w:val="none"/>
        </w:rPr>
      </w:pPr>
      <w:bookmarkStart w:id="27" w:name="_Toc24492"/>
      <w:r>
        <w:rPr>
          <w:rFonts w:hint="eastAsia" w:ascii="宋体" w:hAnsi="宋体" w:cs="宋体"/>
          <w:b/>
          <w:color w:val="auto"/>
          <w:sz w:val="24"/>
          <w:highlight w:val="none"/>
        </w:rPr>
        <w:t>3.4投标保证金</w:t>
      </w:r>
      <w:bookmarkEnd w:id="2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3.4.2投标人不按本章第3.4.1 项要求提交投标保证金的，其投标文件作否决处理。</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3.4.3招标人与中标人签订合同后5个工作日内，向未中标的投标人和中标人退还投标保证金。</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3.4.4有下列情形之一的，投标保证金将不予退还：</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（1）投标人在规定的投标有效期内撤销或修改其投标文件；</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（2）中标人在收到中标通知书后，无正当理由拒签合同协议书或未按招标文件规定提交履约担保。</w:t>
      </w:r>
    </w:p>
    <w:p>
      <w:pPr>
        <w:spacing w:line="480" w:lineRule="exact"/>
        <w:ind w:firstLine="482" w:firstLineChars="200"/>
        <w:outlineLvl w:val="3"/>
        <w:rPr>
          <w:rFonts w:ascii="宋体" w:hAnsi="宋体" w:cs="宋体"/>
          <w:b/>
          <w:color w:val="auto"/>
          <w:sz w:val="24"/>
          <w:highlight w:val="none"/>
        </w:rPr>
      </w:pPr>
      <w:bookmarkStart w:id="28" w:name="_Toc29157"/>
      <w:r>
        <w:rPr>
          <w:rFonts w:hint="eastAsia" w:ascii="宋体" w:hAnsi="宋体" w:cs="宋体"/>
          <w:b/>
          <w:color w:val="auto"/>
          <w:sz w:val="24"/>
          <w:highlight w:val="none"/>
        </w:rPr>
        <w:t>3.5资格审查资料</w:t>
      </w:r>
      <w:bookmarkEnd w:id="28"/>
    </w:p>
    <w:p>
      <w:pPr>
        <w:spacing w:line="440" w:lineRule="exact"/>
        <w:ind w:firstLine="480" w:firstLineChars="200"/>
        <w:rPr>
          <w:rFonts w:ascii="宋体" w:hAnsi="宋体" w:cs="宋体"/>
          <w:b/>
          <w:color w:val="auto"/>
          <w:sz w:val="24"/>
          <w:highlight w:val="none"/>
        </w:rPr>
      </w:pPr>
      <w:bookmarkStart w:id="29" w:name="_Toc19273"/>
      <w:r>
        <w:rPr>
          <w:rFonts w:hint="eastAsia" w:ascii="宋体" w:hAnsi="宋体" w:cs="宋体"/>
          <w:color w:val="auto"/>
          <w:sz w:val="24"/>
          <w:highlight w:val="none"/>
        </w:rPr>
        <w:t>符合招标文件要求的内容</w:t>
      </w:r>
    </w:p>
    <w:p>
      <w:pPr>
        <w:spacing w:line="48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3.6备选投标方案</w:t>
      </w:r>
      <w:bookmarkEnd w:id="29"/>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80" w:lineRule="exact"/>
        <w:ind w:firstLine="482" w:firstLineChars="200"/>
        <w:outlineLvl w:val="2"/>
        <w:rPr>
          <w:rFonts w:ascii="宋体" w:hAnsi="宋体" w:cs="宋体"/>
          <w:b/>
          <w:color w:val="auto"/>
          <w:sz w:val="24"/>
          <w:highlight w:val="none"/>
        </w:rPr>
      </w:pPr>
      <w:bookmarkStart w:id="30" w:name="_Toc22786"/>
      <w:r>
        <w:rPr>
          <w:rFonts w:hint="eastAsia" w:ascii="宋体" w:hAnsi="宋体" w:cs="宋体"/>
          <w:b/>
          <w:color w:val="auto"/>
          <w:sz w:val="24"/>
          <w:highlight w:val="none"/>
        </w:rPr>
        <w:t>4.投标</w:t>
      </w:r>
      <w:bookmarkEnd w:id="30"/>
    </w:p>
    <w:p>
      <w:pPr>
        <w:spacing w:line="480" w:lineRule="exact"/>
        <w:ind w:firstLine="482" w:firstLineChars="200"/>
        <w:outlineLvl w:val="3"/>
        <w:rPr>
          <w:rFonts w:ascii="宋体" w:hAnsi="宋体" w:cs="宋体"/>
          <w:b/>
          <w:color w:val="auto"/>
          <w:sz w:val="24"/>
          <w:highlight w:val="none"/>
        </w:rPr>
      </w:pPr>
      <w:bookmarkStart w:id="31" w:name="_Toc18518"/>
      <w:r>
        <w:rPr>
          <w:rFonts w:hint="eastAsia" w:ascii="宋体" w:hAnsi="宋体" w:cs="宋体"/>
          <w:b/>
          <w:color w:val="auto"/>
          <w:sz w:val="24"/>
          <w:highlight w:val="none"/>
        </w:rPr>
        <w:t>4.1投标文件的密封和标记</w:t>
      </w:r>
      <w:bookmarkEnd w:id="31"/>
      <w:r>
        <w:rPr>
          <w:rFonts w:hint="eastAsia" w:ascii="宋体" w:hAnsi="宋体" w:cs="宋体"/>
          <w:b/>
          <w:color w:val="auto"/>
          <w:sz w:val="24"/>
          <w:highlight w:val="none"/>
        </w:rPr>
        <w:t>（无）</w:t>
      </w:r>
    </w:p>
    <w:p>
      <w:pPr>
        <w:spacing w:line="480" w:lineRule="exact"/>
        <w:ind w:firstLine="482" w:firstLineChars="200"/>
        <w:outlineLvl w:val="3"/>
        <w:rPr>
          <w:rFonts w:ascii="宋体" w:hAnsi="宋体" w:cs="宋体"/>
          <w:b/>
          <w:color w:val="auto"/>
          <w:sz w:val="24"/>
          <w:highlight w:val="none"/>
        </w:rPr>
      </w:pPr>
      <w:bookmarkStart w:id="32" w:name="_Toc11235"/>
      <w:r>
        <w:rPr>
          <w:rFonts w:hint="eastAsia" w:ascii="宋体" w:hAnsi="宋体" w:cs="宋体"/>
          <w:b/>
          <w:color w:val="auto"/>
          <w:sz w:val="24"/>
          <w:highlight w:val="none"/>
        </w:rPr>
        <w:t>4.2投标文件的递交</w:t>
      </w:r>
      <w:bookmarkEnd w:id="32"/>
    </w:p>
    <w:p>
      <w:pPr>
        <w:numPr>
          <w:ilvl w:val="2"/>
          <w:numId w:val="1"/>
        </w:numPr>
        <w:tabs>
          <w:tab w:val="left" w:pos="1627"/>
        </w:tabs>
        <w:autoSpaceDE w:val="0"/>
        <w:autoSpaceDN w:val="0"/>
        <w:spacing w:before="150"/>
        <w:ind w:left="1626" w:hanging="720"/>
        <w:rPr>
          <w:rFonts w:ascii="宋体" w:hAnsi="宋体" w:eastAsia="宋体" w:cs="宋体"/>
          <w:color w:val="auto"/>
          <w:sz w:val="24"/>
          <w:szCs w:val="22"/>
          <w:highlight w:val="none"/>
          <w:lang w:val="zh-CN" w:bidi="zh-CN"/>
        </w:rPr>
      </w:pPr>
      <w:bookmarkStart w:id="33" w:name="_Toc21670"/>
      <w:r>
        <w:rPr>
          <w:rFonts w:ascii="宋体" w:hAnsi="宋体" w:eastAsia="宋体" w:cs="宋体"/>
          <w:color w:val="auto"/>
          <w:sz w:val="24"/>
          <w:szCs w:val="22"/>
          <w:highlight w:val="none"/>
          <w:lang w:val="zh-CN" w:bidi="zh-CN"/>
        </w:rPr>
        <w:t>投标人应在投标人须知前附表规定的投标截止时间前递交投标文件。</w:t>
      </w:r>
    </w:p>
    <w:p>
      <w:pPr>
        <w:numPr>
          <w:ilvl w:val="2"/>
          <w:numId w:val="1"/>
        </w:numPr>
        <w:tabs>
          <w:tab w:val="left" w:pos="1627"/>
        </w:tabs>
        <w:autoSpaceDE w:val="0"/>
        <w:autoSpaceDN w:val="0"/>
        <w:spacing w:before="154"/>
        <w:ind w:left="1626" w:hanging="720"/>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投标人递交投标文件的地点：见投标人须知前附表。</w:t>
      </w:r>
    </w:p>
    <w:p>
      <w:pPr>
        <w:autoSpaceDE w:val="0"/>
        <w:autoSpaceDN w:val="0"/>
        <w:spacing w:before="153"/>
        <w:ind w:left="906"/>
        <w:jc w:val="left"/>
        <w:rPr>
          <w:rFonts w:ascii="宋体" w:hAnsi="宋体" w:eastAsia="宋体" w:cs="宋体"/>
          <w:color w:val="auto"/>
          <w:sz w:val="24"/>
          <w:highlight w:val="none"/>
          <w:lang w:val="zh-CN" w:bidi="zh-CN"/>
        </w:rPr>
      </w:pPr>
      <w:r>
        <w:rPr>
          <w:rFonts w:ascii="宋体" w:hAnsi="宋体" w:eastAsia="宋体" w:cs="宋体"/>
          <w:color w:val="auto"/>
          <w:sz w:val="24"/>
          <w:highlight w:val="none"/>
          <w:lang w:val="zh-CN" w:bidi="zh-CN"/>
        </w:rPr>
        <w:t>投标人通过下载招标文件的电子招标投标交易平台递交电子投标文件。</w:t>
      </w:r>
    </w:p>
    <w:p>
      <w:pPr>
        <w:numPr>
          <w:ilvl w:val="2"/>
          <w:numId w:val="1"/>
        </w:numPr>
        <w:tabs>
          <w:tab w:val="left" w:pos="1627"/>
        </w:tabs>
        <w:autoSpaceDE w:val="0"/>
        <w:autoSpaceDN w:val="0"/>
        <w:spacing w:before="151"/>
        <w:ind w:left="1626" w:hanging="720"/>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除投标人须知前附表另有规定外，投标人所递交的投标文件不予退还。</w:t>
      </w:r>
    </w:p>
    <w:p>
      <w:pPr>
        <w:numPr>
          <w:ilvl w:val="2"/>
          <w:numId w:val="1"/>
        </w:numPr>
        <w:tabs>
          <w:tab w:val="left" w:pos="1567"/>
        </w:tabs>
        <w:autoSpaceDE w:val="0"/>
        <w:autoSpaceDN w:val="0"/>
        <w:spacing w:before="153" w:line="360" w:lineRule="auto"/>
        <w:ind w:right="433" w:firstLine="480"/>
        <w:rPr>
          <w:rFonts w:ascii="宋体" w:hAnsi="宋体" w:eastAsia="宋体" w:cs="宋体"/>
          <w:color w:val="auto"/>
          <w:sz w:val="24"/>
          <w:szCs w:val="22"/>
          <w:highlight w:val="none"/>
          <w:lang w:val="zh-CN" w:bidi="zh-CN"/>
        </w:rPr>
      </w:pPr>
      <w:r>
        <w:rPr>
          <w:rFonts w:ascii="宋体" w:hAnsi="宋体" w:eastAsia="宋体" w:cs="宋体"/>
          <w:color w:val="auto"/>
          <w:spacing w:val="-4"/>
          <w:sz w:val="24"/>
          <w:szCs w:val="22"/>
          <w:highlight w:val="none"/>
          <w:lang w:val="zh-CN" w:bidi="zh-CN"/>
        </w:rPr>
        <w:t>投标人完成电子投标文件上传后，电子招标投标交易平台即时向投标人发出递</w:t>
      </w:r>
      <w:r>
        <w:rPr>
          <w:rFonts w:ascii="宋体" w:hAnsi="宋体" w:eastAsia="宋体" w:cs="宋体"/>
          <w:color w:val="auto"/>
          <w:sz w:val="24"/>
          <w:szCs w:val="22"/>
          <w:highlight w:val="none"/>
          <w:lang w:val="zh-CN" w:bidi="zh-CN"/>
        </w:rPr>
        <w:t>交回执通知。递交时间以递交回执通知载明的传输完成时间为准。</w:t>
      </w:r>
    </w:p>
    <w:p>
      <w:pPr>
        <w:numPr>
          <w:ilvl w:val="2"/>
          <w:numId w:val="1"/>
        </w:numPr>
        <w:tabs>
          <w:tab w:val="left" w:pos="1627"/>
        </w:tabs>
        <w:autoSpaceDE w:val="0"/>
        <w:autoSpaceDN w:val="0"/>
        <w:spacing w:line="304" w:lineRule="exact"/>
        <w:ind w:left="1626" w:hanging="720"/>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逾期上传的电子版投标文件，长垣市公共资源交易平台将予以拒收。</w:t>
      </w:r>
    </w:p>
    <w:p>
      <w:pPr>
        <w:numPr>
          <w:ilvl w:val="1"/>
          <w:numId w:val="2"/>
        </w:numPr>
        <w:tabs>
          <w:tab w:val="left" w:pos="1387"/>
        </w:tabs>
        <w:autoSpaceDE w:val="0"/>
        <w:autoSpaceDN w:val="0"/>
        <w:spacing w:before="154"/>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投标文件的修改与撤回</w:t>
      </w:r>
    </w:p>
    <w:p>
      <w:pPr>
        <w:numPr>
          <w:ilvl w:val="2"/>
          <w:numId w:val="2"/>
        </w:numPr>
        <w:tabs>
          <w:tab w:val="left" w:pos="1627"/>
        </w:tabs>
        <w:autoSpaceDE w:val="0"/>
        <w:autoSpaceDN w:val="0"/>
        <w:spacing w:before="153"/>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在规定的投标截止时间前，投标人可以修改或撤回已递交的投标文件。</w:t>
      </w:r>
    </w:p>
    <w:p>
      <w:pPr>
        <w:numPr>
          <w:ilvl w:val="2"/>
          <w:numId w:val="2"/>
        </w:numPr>
        <w:tabs>
          <w:tab w:val="left" w:pos="1627"/>
        </w:tabs>
        <w:autoSpaceDE w:val="0"/>
        <w:autoSpaceDN w:val="0"/>
        <w:spacing w:before="151" w:line="360" w:lineRule="auto"/>
        <w:ind w:left="426" w:right="433" w:firstLine="480"/>
        <w:rPr>
          <w:rFonts w:ascii="宋体" w:hAnsi="宋体" w:eastAsia="宋体" w:cs="宋体"/>
          <w:color w:val="auto"/>
          <w:sz w:val="24"/>
          <w:szCs w:val="22"/>
          <w:highlight w:val="none"/>
          <w:lang w:val="zh-CN" w:bidi="zh-CN"/>
        </w:rPr>
      </w:pPr>
      <w:r>
        <w:rPr>
          <w:rFonts w:ascii="宋体" w:hAnsi="宋体" w:eastAsia="宋体" w:cs="宋体"/>
          <w:color w:val="auto"/>
          <w:spacing w:val="-7"/>
          <w:sz w:val="24"/>
          <w:szCs w:val="22"/>
          <w:highlight w:val="none"/>
          <w:lang w:val="zh-CN" w:bidi="zh-CN"/>
        </w:rPr>
        <w:t>投标人修改或撤回已递交投标文件的，应及时上传重新生成的加密的电子版投</w:t>
      </w:r>
      <w:r>
        <w:rPr>
          <w:rFonts w:ascii="宋体" w:hAnsi="宋体" w:eastAsia="宋体" w:cs="宋体"/>
          <w:color w:val="auto"/>
          <w:sz w:val="24"/>
          <w:szCs w:val="22"/>
          <w:highlight w:val="none"/>
          <w:lang w:val="zh-CN" w:bidi="zh-CN"/>
        </w:rPr>
        <w:t>标文件。</w:t>
      </w:r>
    </w:p>
    <w:p>
      <w:pPr>
        <w:numPr>
          <w:ilvl w:val="1"/>
          <w:numId w:val="3"/>
        </w:numPr>
        <w:tabs>
          <w:tab w:val="left" w:pos="1387"/>
        </w:tabs>
        <w:autoSpaceDE w:val="0"/>
        <w:autoSpaceDN w:val="0"/>
        <w:spacing w:line="307" w:lineRule="exact"/>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投标文件的制作</w:t>
      </w:r>
    </w:p>
    <w:p>
      <w:pPr>
        <w:numPr>
          <w:ilvl w:val="2"/>
          <w:numId w:val="3"/>
        </w:numPr>
        <w:tabs>
          <w:tab w:val="left" w:pos="1627"/>
        </w:tabs>
        <w:autoSpaceDE w:val="0"/>
        <w:autoSpaceDN w:val="0"/>
        <w:spacing w:before="151"/>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投标人首先通过长垣市公共资源交易中心新系统注册并绑定 CA。</w:t>
      </w:r>
    </w:p>
    <w:p>
      <w:pPr>
        <w:numPr>
          <w:ilvl w:val="2"/>
          <w:numId w:val="3"/>
        </w:numPr>
        <w:tabs>
          <w:tab w:val="left" w:pos="1627"/>
        </w:tabs>
        <w:autoSpaceDE w:val="0"/>
        <w:autoSpaceDN w:val="0"/>
        <w:spacing w:before="153" w:line="360" w:lineRule="auto"/>
        <w:ind w:left="426" w:right="433" w:firstLine="480"/>
        <w:rPr>
          <w:rFonts w:ascii="宋体" w:hAnsi="宋体" w:eastAsia="宋体" w:cs="宋体"/>
          <w:color w:val="auto"/>
          <w:sz w:val="24"/>
          <w:szCs w:val="22"/>
          <w:highlight w:val="none"/>
          <w:lang w:val="zh-CN" w:bidi="zh-CN"/>
        </w:rPr>
      </w:pPr>
      <w:r>
        <w:rPr>
          <w:rFonts w:ascii="宋体" w:hAnsi="宋体" w:eastAsia="宋体" w:cs="宋体"/>
          <w:color w:val="auto"/>
          <w:spacing w:val="-11"/>
          <w:sz w:val="24"/>
          <w:szCs w:val="22"/>
          <w:highlight w:val="none"/>
          <w:lang w:val="zh-CN" w:bidi="zh-CN"/>
        </w:rPr>
        <w:t>投标人通过“长垣市公共资源交易平台”下载《公共资源交易平台投标文件制</w:t>
      </w:r>
      <w:r>
        <w:rPr>
          <w:rFonts w:ascii="宋体" w:hAnsi="宋体" w:eastAsia="宋体" w:cs="宋体"/>
          <w:color w:val="auto"/>
          <w:sz w:val="24"/>
          <w:szCs w:val="22"/>
          <w:highlight w:val="none"/>
          <w:lang w:val="zh-CN" w:bidi="zh-CN"/>
        </w:rPr>
        <w:t>作系统》。</w:t>
      </w:r>
    </w:p>
    <w:p>
      <w:pPr>
        <w:numPr>
          <w:ilvl w:val="2"/>
          <w:numId w:val="3"/>
        </w:numPr>
        <w:tabs>
          <w:tab w:val="left" w:pos="1627"/>
        </w:tabs>
        <w:autoSpaceDE w:val="0"/>
        <w:autoSpaceDN w:val="0"/>
        <w:spacing w:line="304" w:lineRule="exact"/>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投标人登陆并按提示自行下载每个项目（每个标段）的招标文件。</w:t>
      </w:r>
    </w:p>
    <w:p>
      <w:pPr>
        <w:numPr>
          <w:ilvl w:val="2"/>
          <w:numId w:val="3"/>
        </w:numPr>
        <w:tabs>
          <w:tab w:val="left" w:pos="1627"/>
        </w:tabs>
        <w:autoSpaceDE w:val="0"/>
        <w:autoSpaceDN w:val="0"/>
        <w:spacing w:before="153"/>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投标人须在投标文件递交截止时间前制作并加密、提交：</w:t>
      </w:r>
    </w:p>
    <w:p>
      <w:pPr>
        <w:autoSpaceDE w:val="0"/>
        <w:autoSpaceDN w:val="0"/>
        <w:spacing w:before="154" w:line="357" w:lineRule="auto"/>
        <w:ind w:left="426" w:right="437" w:firstLine="480"/>
        <w:jc w:val="left"/>
        <w:rPr>
          <w:rFonts w:ascii="宋体" w:hAnsi="宋体" w:eastAsia="宋体" w:cs="宋体"/>
          <w:color w:val="auto"/>
          <w:sz w:val="24"/>
          <w:highlight w:val="none"/>
          <w:lang w:val="zh-CN" w:bidi="zh-CN"/>
        </w:rPr>
      </w:pPr>
      <w:r>
        <w:rPr>
          <w:rFonts w:ascii="宋体" w:hAnsi="宋体" w:eastAsia="宋体" w:cs="宋体"/>
          <w:color w:val="auto"/>
          <w:sz w:val="24"/>
          <w:highlight w:val="none"/>
          <w:lang w:val="zh-CN" w:bidi="zh-CN"/>
        </w:rPr>
        <w:t>加密的电子版投标文件（*.tbdat 格式）,应在投标文件递交截止时间前通过“长垣市公共资源交易平台”上传；</w:t>
      </w:r>
    </w:p>
    <w:p>
      <w:pPr>
        <w:numPr>
          <w:ilvl w:val="2"/>
          <w:numId w:val="3"/>
        </w:numPr>
        <w:tabs>
          <w:tab w:val="left" w:pos="1627"/>
        </w:tabs>
        <w:autoSpaceDE w:val="0"/>
        <w:autoSpaceDN w:val="0"/>
        <w:spacing w:before="2" w:line="360" w:lineRule="auto"/>
        <w:ind w:left="426" w:right="436" w:firstLine="480"/>
        <w:rPr>
          <w:rFonts w:ascii="宋体" w:hAnsi="宋体" w:eastAsia="宋体" w:cs="宋体"/>
          <w:color w:val="auto"/>
          <w:sz w:val="24"/>
          <w:szCs w:val="22"/>
          <w:highlight w:val="none"/>
          <w:lang w:val="zh-CN" w:bidi="zh-CN"/>
        </w:rPr>
      </w:pPr>
      <w:r>
        <w:rPr>
          <w:rFonts w:ascii="宋体" w:hAnsi="宋体" w:eastAsia="宋体" w:cs="宋体"/>
          <w:color w:val="auto"/>
          <w:spacing w:val="-2"/>
          <w:sz w:val="24"/>
          <w:szCs w:val="22"/>
          <w:highlight w:val="none"/>
          <w:lang w:val="zh-CN" w:bidi="zh-CN"/>
        </w:rPr>
        <w:t>加密的电子版投标文件为“长垣市公共资源交易平台” 网站提供的《公共资</w:t>
      </w:r>
      <w:r>
        <w:rPr>
          <w:rFonts w:ascii="宋体" w:hAnsi="宋体" w:eastAsia="宋体" w:cs="宋体"/>
          <w:color w:val="auto"/>
          <w:sz w:val="24"/>
          <w:szCs w:val="22"/>
          <w:highlight w:val="none"/>
          <w:lang w:val="zh-CN" w:bidi="zh-CN"/>
        </w:rPr>
        <w:t>源交易平台投标文件制作系统》制作生成的加密版投标文件。</w:t>
      </w:r>
    </w:p>
    <w:p>
      <w:pPr>
        <w:numPr>
          <w:ilvl w:val="2"/>
          <w:numId w:val="3"/>
        </w:numPr>
        <w:tabs>
          <w:tab w:val="left" w:pos="1627"/>
        </w:tabs>
        <w:autoSpaceDE w:val="0"/>
        <w:autoSpaceDN w:val="0"/>
        <w:spacing w:line="360" w:lineRule="auto"/>
        <w:ind w:left="426" w:right="337" w:firstLine="480"/>
        <w:rPr>
          <w:rFonts w:ascii="宋体" w:hAnsi="宋体" w:eastAsia="宋体" w:cs="宋体"/>
          <w:color w:val="auto"/>
          <w:sz w:val="24"/>
          <w:szCs w:val="22"/>
          <w:highlight w:val="none"/>
          <w:lang w:val="zh-CN" w:bidi="zh-CN"/>
        </w:rPr>
      </w:pPr>
      <w:r>
        <w:rPr>
          <w:rFonts w:ascii="宋体" w:hAnsi="宋体" w:eastAsia="宋体" w:cs="宋体"/>
          <w:color w:val="auto"/>
          <w:spacing w:val="-6"/>
          <w:sz w:val="24"/>
          <w:szCs w:val="22"/>
          <w:highlight w:val="none"/>
          <w:lang w:val="zh-CN" w:bidi="zh-CN"/>
        </w:rPr>
        <w:t>投标人在制作电子版投标文件时，开标一览表中的内容应认真填写。所有投标</w:t>
      </w:r>
      <w:r>
        <w:rPr>
          <w:rFonts w:ascii="宋体" w:hAnsi="宋体" w:eastAsia="宋体" w:cs="宋体"/>
          <w:color w:val="auto"/>
          <w:spacing w:val="-7"/>
          <w:sz w:val="24"/>
          <w:szCs w:val="22"/>
          <w:highlight w:val="none"/>
          <w:lang w:val="zh-CN" w:bidi="zh-CN"/>
        </w:rPr>
        <w:t xml:space="preserve">文件内容编制完毕且标记为已完成后，须按照招标文件要求签电子公章及法定代表人章， 在签章过程中企业 </w:t>
      </w:r>
      <w:r>
        <w:rPr>
          <w:rFonts w:ascii="宋体" w:hAnsi="宋体" w:eastAsia="宋体" w:cs="宋体"/>
          <w:color w:val="auto"/>
          <w:sz w:val="24"/>
          <w:szCs w:val="22"/>
          <w:highlight w:val="none"/>
          <w:lang w:val="zh-CN" w:bidi="zh-CN"/>
        </w:rPr>
        <w:t>CA</w:t>
      </w:r>
      <w:r>
        <w:rPr>
          <w:rFonts w:ascii="宋体" w:hAnsi="宋体" w:eastAsia="宋体" w:cs="宋体"/>
          <w:color w:val="auto"/>
          <w:spacing w:val="-24"/>
          <w:sz w:val="24"/>
          <w:szCs w:val="22"/>
          <w:highlight w:val="none"/>
          <w:lang w:val="zh-CN" w:bidi="zh-CN"/>
        </w:rPr>
        <w:t xml:space="preserve"> 与法人 </w:t>
      </w:r>
      <w:r>
        <w:rPr>
          <w:rFonts w:ascii="宋体" w:hAnsi="宋体" w:eastAsia="宋体" w:cs="宋体"/>
          <w:color w:val="auto"/>
          <w:sz w:val="24"/>
          <w:szCs w:val="22"/>
          <w:highlight w:val="none"/>
          <w:lang w:val="zh-CN" w:bidi="zh-CN"/>
        </w:rPr>
        <w:t>CA</w:t>
      </w:r>
      <w:r>
        <w:rPr>
          <w:rFonts w:ascii="宋体" w:hAnsi="宋体" w:eastAsia="宋体" w:cs="宋体"/>
          <w:color w:val="auto"/>
          <w:spacing w:val="-11"/>
          <w:sz w:val="24"/>
          <w:szCs w:val="22"/>
          <w:highlight w:val="none"/>
          <w:lang w:val="zh-CN" w:bidi="zh-CN"/>
        </w:rPr>
        <w:t xml:space="preserve"> 不能同时插入电脑，签章完毕后须用企业 </w:t>
      </w:r>
      <w:r>
        <w:rPr>
          <w:rFonts w:ascii="宋体" w:hAnsi="宋体" w:eastAsia="宋体" w:cs="宋体"/>
          <w:color w:val="auto"/>
          <w:sz w:val="24"/>
          <w:szCs w:val="22"/>
          <w:highlight w:val="none"/>
          <w:lang w:val="zh-CN" w:bidi="zh-CN"/>
        </w:rPr>
        <w:t>CA</w:t>
      </w:r>
      <w:r>
        <w:rPr>
          <w:rFonts w:ascii="宋体" w:hAnsi="宋体" w:eastAsia="宋体" w:cs="宋体"/>
          <w:color w:val="auto"/>
          <w:spacing w:val="-10"/>
          <w:sz w:val="24"/>
          <w:szCs w:val="22"/>
          <w:highlight w:val="none"/>
          <w:lang w:val="zh-CN" w:bidi="zh-CN"/>
        </w:rPr>
        <w:t xml:space="preserve"> 进行加密， </w:t>
      </w:r>
      <w:r>
        <w:rPr>
          <w:rFonts w:ascii="宋体" w:hAnsi="宋体" w:eastAsia="宋体" w:cs="宋体"/>
          <w:color w:val="auto"/>
          <w:spacing w:val="-14"/>
          <w:sz w:val="24"/>
          <w:szCs w:val="22"/>
          <w:highlight w:val="none"/>
          <w:lang w:val="zh-CN" w:bidi="zh-CN"/>
        </w:rPr>
        <w:t xml:space="preserve">并妥善保存秘钥，以供开标现场 </w:t>
      </w:r>
      <w:r>
        <w:rPr>
          <w:rFonts w:ascii="宋体" w:hAnsi="宋体" w:eastAsia="宋体" w:cs="宋体"/>
          <w:color w:val="auto"/>
          <w:sz w:val="24"/>
          <w:szCs w:val="22"/>
          <w:highlight w:val="none"/>
          <w:lang w:val="zh-CN" w:bidi="zh-CN"/>
        </w:rPr>
        <w:t>CA</w:t>
      </w:r>
      <w:r>
        <w:rPr>
          <w:rFonts w:ascii="宋体" w:hAnsi="宋体" w:eastAsia="宋体" w:cs="宋体"/>
          <w:color w:val="auto"/>
          <w:spacing w:val="-8"/>
          <w:sz w:val="24"/>
          <w:szCs w:val="22"/>
          <w:highlight w:val="none"/>
          <w:lang w:val="zh-CN" w:bidi="zh-CN"/>
        </w:rPr>
        <w:t xml:space="preserve"> 不能正常解密的情况下使用。</w:t>
      </w:r>
    </w:p>
    <w:p>
      <w:pPr>
        <w:spacing w:line="480" w:lineRule="exact"/>
        <w:ind w:firstLine="464" w:firstLineChars="200"/>
        <w:outlineLvl w:val="2"/>
        <w:rPr>
          <w:rFonts w:ascii="宋体" w:hAnsi="宋体" w:cs="宋体"/>
          <w:color w:val="auto"/>
          <w:sz w:val="24"/>
          <w:highlight w:val="none"/>
        </w:rPr>
      </w:pPr>
      <w:r>
        <w:rPr>
          <w:rFonts w:ascii="宋体" w:hAnsi="宋体" w:eastAsia="宋体" w:cs="宋体"/>
          <w:color w:val="auto"/>
          <w:spacing w:val="-4"/>
          <w:sz w:val="24"/>
          <w:highlight w:val="none"/>
          <w:lang w:val="zh-CN" w:bidi="zh-CN"/>
        </w:rPr>
        <w:t>招标文件格式所要求包含的全部资料应全部制作在投标文件内，严格按照本项目招标</w:t>
      </w:r>
      <w:r>
        <w:rPr>
          <w:rFonts w:ascii="宋体" w:hAnsi="宋体" w:eastAsia="宋体" w:cs="宋体"/>
          <w:color w:val="auto"/>
          <w:spacing w:val="-6"/>
          <w:sz w:val="24"/>
          <w:highlight w:val="none"/>
          <w:lang w:val="zh-CN" w:bidi="zh-CN"/>
        </w:rPr>
        <w:t>文件所有格式如实填写</w:t>
      </w:r>
      <w:r>
        <w:rPr>
          <w:rFonts w:ascii="宋体" w:hAnsi="宋体" w:eastAsia="宋体" w:cs="宋体"/>
          <w:color w:val="auto"/>
          <w:sz w:val="24"/>
          <w:highlight w:val="none"/>
          <w:lang w:val="zh-CN" w:bidi="zh-CN"/>
        </w:rPr>
        <w:t>（不涉及的内容除外</w:t>
      </w:r>
      <w:r>
        <w:rPr>
          <w:rFonts w:ascii="宋体" w:hAnsi="宋体" w:eastAsia="宋体" w:cs="宋体"/>
          <w:color w:val="auto"/>
          <w:spacing w:val="-24"/>
          <w:sz w:val="24"/>
          <w:highlight w:val="none"/>
          <w:lang w:val="zh-CN" w:bidi="zh-CN"/>
        </w:rPr>
        <w:t>），</w:t>
      </w:r>
      <w:r>
        <w:rPr>
          <w:rFonts w:ascii="宋体" w:hAnsi="宋体" w:eastAsia="宋体" w:cs="宋体"/>
          <w:color w:val="auto"/>
          <w:spacing w:val="-3"/>
          <w:sz w:val="24"/>
          <w:highlight w:val="none"/>
          <w:lang w:val="zh-CN" w:bidi="zh-CN"/>
        </w:rPr>
        <w:t>不应存在漏项或缺项，否则将存在投标文</w:t>
      </w:r>
      <w:r>
        <w:rPr>
          <w:rFonts w:ascii="宋体" w:hAnsi="宋体" w:eastAsia="宋体" w:cs="宋体"/>
          <w:color w:val="auto"/>
          <w:spacing w:val="-17"/>
          <w:sz w:val="24"/>
          <w:highlight w:val="none"/>
          <w:lang w:val="zh-CN" w:bidi="zh-CN"/>
        </w:rPr>
        <w:t>件被拒绝的风险。开标一览表，须严格按照格式编辑，并作为电子开评标系统上传的依据。</w:t>
      </w:r>
    </w:p>
    <w:p>
      <w:pPr>
        <w:spacing w:line="480" w:lineRule="exact"/>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5.开标</w:t>
      </w:r>
      <w:bookmarkEnd w:id="33"/>
    </w:p>
    <w:p>
      <w:pPr>
        <w:spacing w:line="480" w:lineRule="exact"/>
        <w:ind w:firstLine="482" w:firstLineChars="200"/>
        <w:outlineLvl w:val="3"/>
        <w:rPr>
          <w:rFonts w:ascii="宋体" w:hAnsi="宋体" w:cs="宋体"/>
          <w:b/>
          <w:color w:val="auto"/>
          <w:sz w:val="24"/>
          <w:highlight w:val="none"/>
        </w:rPr>
      </w:pPr>
      <w:bookmarkStart w:id="34" w:name="_Toc7277"/>
      <w:r>
        <w:rPr>
          <w:rFonts w:hint="eastAsia" w:ascii="宋体" w:hAnsi="宋体" w:cs="宋体"/>
          <w:b/>
          <w:color w:val="auto"/>
          <w:sz w:val="24"/>
          <w:highlight w:val="none"/>
        </w:rPr>
        <w:t>5.1开标时间和地点</w:t>
      </w:r>
      <w:bookmarkEnd w:id="34"/>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招标人在本章第2.2.2项规定的投标截止时间（开标时间）和投标人须知前附表规定的地点公开开标。</w:t>
      </w:r>
    </w:p>
    <w:p>
      <w:pPr>
        <w:spacing w:line="480" w:lineRule="exact"/>
        <w:ind w:firstLine="482" w:firstLineChars="200"/>
        <w:outlineLvl w:val="3"/>
        <w:rPr>
          <w:rFonts w:ascii="宋体" w:hAnsi="宋体" w:cs="宋体"/>
          <w:b/>
          <w:color w:val="auto"/>
          <w:sz w:val="24"/>
          <w:highlight w:val="none"/>
        </w:rPr>
      </w:pPr>
      <w:bookmarkStart w:id="35" w:name="_Toc2516"/>
      <w:r>
        <w:rPr>
          <w:rFonts w:hint="eastAsia" w:ascii="宋体" w:hAnsi="宋体" w:cs="宋体"/>
          <w:b/>
          <w:color w:val="auto"/>
          <w:sz w:val="24"/>
          <w:highlight w:val="none"/>
        </w:rPr>
        <w:t>5.2开标程序</w:t>
      </w:r>
      <w:bookmarkEnd w:id="35"/>
    </w:p>
    <w:p>
      <w:pPr>
        <w:autoSpaceDE w:val="0"/>
        <w:autoSpaceDN w:val="0"/>
        <w:spacing w:before="174"/>
        <w:ind w:left="904"/>
        <w:jc w:val="left"/>
        <w:rPr>
          <w:rFonts w:ascii="宋体" w:hAnsi="宋体" w:eastAsia="宋体" w:cs="宋体"/>
          <w:color w:val="auto"/>
          <w:sz w:val="24"/>
          <w:highlight w:val="none"/>
          <w:lang w:val="zh-CN" w:bidi="zh-CN"/>
        </w:rPr>
      </w:pPr>
      <w:bookmarkStart w:id="36" w:name="_Toc24795"/>
      <w:r>
        <w:rPr>
          <w:rFonts w:ascii="宋体" w:hAnsi="宋体" w:eastAsia="宋体" w:cs="宋体"/>
          <w:color w:val="auto"/>
          <w:sz w:val="24"/>
          <w:highlight w:val="none"/>
          <w:lang w:val="zh-CN" w:bidi="zh-CN"/>
        </w:rPr>
        <w:t>网上开标。</w:t>
      </w:r>
    </w:p>
    <w:p>
      <w:pPr>
        <w:numPr>
          <w:ilvl w:val="1"/>
          <w:numId w:val="4"/>
        </w:numPr>
        <w:tabs>
          <w:tab w:val="left" w:pos="1503"/>
          <w:tab w:val="left" w:pos="1504"/>
        </w:tabs>
        <w:autoSpaceDE w:val="0"/>
        <w:autoSpaceDN w:val="0"/>
        <w:spacing w:before="160"/>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投标人不足3家的，不得开标。</w:t>
      </w:r>
    </w:p>
    <w:p>
      <w:pPr>
        <w:numPr>
          <w:ilvl w:val="1"/>
          <w:numId w:val="4"/>
        </w:numPr>
        <w:tabs>
          <w:tab w:val="left" w:pos="1446"/>
          <w:tab w:val="left" w:pos="1447"/>
        </w:tabs>
        <w:autoSpaceDE w:val="0"/>
        <w:autoSpaceDN w:val="0"/>
        <w:spacing w:before="161"/>
        <w:ind w:left="1446"/>
        <w:rPr>
          <w:rFonts w:ascii="宋体" w:hAnsi="宋体" w:eastAsia="宋体" w:cs="宋体"/>
          <w:color w:val="auto"/>
          <w:sz w:val="24"/>
          <w:szCs w:val="22"/>
          <w:highlight w:val="none"/>
          <w:lang w:val="zh-CN" w:bidi="zh-CN"/>
        </w:rPr>
      </w:pPr>
      <w:r>
        <w:rPr>
          <w:rFonts w:ascii="宋体" w:hAnsi="宋体" w:eastAsia="宋体" w:cs="宋体"/>
          <w:color w:val="auto"/>
          <w:sz w:val="24"/>
          <w:szCs w:val="22"/>
          <w:highlight w:val="none"/>
          <w:lang w:val="zh-CN" w:bidi="zh-CN"/>
        </w:rPr>
        <w:t>开标过程由招标代理机构负责记录，并随招标文件一并存档。</w:t>
      </w:r>
    </w:p>
    <w:p>
      <w:pPr>
        <w:spacing w:line="480" w:lineRule="exact"/>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6.评标</w:t>
      </w:r>
      <w:bookmarkEnd w:id="36"/>
    </w:p>
    <w:p>
      <w:pPr>
        <w:spacing w:line="480" w:lineRule="exact"/>
        <w:ind w:firstLine="482" w:firstLineChars="200"/>
        <w:outlineLvl w:val="3"/>
        <w:rPr>
          <w:rFonts w:ascii="宋体" w:hAnsi="宋体" w:cs="宋体"/>
          <w:b/>
          <w:color w:val="auto"/>
          <w:sz w:val="24"/>
          <w:highlight w:val="none"/>
        </w:rPr>
      </w:pPr>
      <w:bookmarkStart w:id="37" w:name="_Toc30151"/>
      <w:r>
        <w:rPr>
          <w:rFonts w:hint="eastAsia" w:ascii="宋体" w:hAnsi="宋体" w:cs="宋体"/>
          <w:b/>
          <w:color w:val="auto"/>
          <w:sz w:val="24"/>
          <w:highlight w:val="none"/>
        </w:rPr>
        <w:t>6.1评标委员会</w:t>
      </w:r>
      <w:bookmarkEnd w:id="3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6.1.1评标由招标人依法组建的评标委员会负责。评标委员会有关技术、经济等方面的专家组成。评标委员会成员人数以及技术、经济等方面专家的确定方式见投标人须知前附表。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6.1.2评标委员会成员有下列情形之一的，应当回避：</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（1）招标人或投标人的主要负责人的近亲属；</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（3）与投标人有经济利益关系，可能影响对投标公正评审的；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pPr>
        <w:spacing w:line="480" w:lineRule="exact"/>
        <w:ind w:firstLine="482" w:firstLineChars="200"/>
        <w:outlineLvl w:val="3"/>
        <w:rPr>
          <w:rFonts w:ascii="宋体" w:hAnsi="宋体" w:cs="宋体"/>
          <w:b/>
          <w:color w:val="auto"/>
          <w:sz w:val="24"/>
          <w:highlight w:val="none"/>
        </w:rPr>
      </w:pPr>
      <w:bookmarkStart w:id="38" w:name="_Toc16879"/>
      <w:r>
        <w:rPr>
          <w:rFonts w:hint="eastAsia" w:ascii="宋体" w:hAnsi="宋体" w:cs="宋体"/>
          <w:b/>
          <w:color w:val="auto"/>
          <w:sz w:val="24"/>
          <w:highlight w:val="none"/>
        </w:rPr>
        <w:t>6.2 评标原则</w:t>
      </w:r>
      <w:bookmarkEnd w:id="38"/>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评标活动遵循公平、公正、科学和择优的原则。</w:t>
      </w:r>
    </w:p>
    <w:p>
      <w:pPr>
        <w:spacing w:line="480" w:lineRule="exact"/>
        <w:ind w:firstLine="482" w:firstLineChars="200"/>
        <w:outlineLvl w:val="3"/>
        <w:rPr>
          <w:rFonts w:ascii="宋体" w:hAnsi="宋体" w:cs="宋体"/>
          <w:b/>
          <w:color w:val="auto"/>
          <w:sz w:val="24"/>
          <w:highlight w:val="none"/>
        </w:rPr>
      </w:pPr>
      <w:bookmarkStart w:id="39" w:name="_Toc29156"/>
      <w:r>
        <w:rPr>
          <w:rFonts w:hint="eastAsia" w:ascii="宋体" w:hAnsi="宋体" w:cs="宋体"/>
          <w:b/>
          <w:color w:val="auto"/>
          <w:sz w:val="24"/>
          <w:highlight w:val="none"/>
        </w:rPr>
        <w:t>6.3评标</w:t>
      </w:r>
      <w:bookmarkEnd w:id="39"/>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评标委员会按照第三章"评标办法"规定的方法、评审因素、标准和程序对投标文件进行评审。第三章"评标办法"没有规定的方法、评审因素和标准，不作为评标依据。</w:t>
      </w:r>
    </w:p>
    <w:p>
      <w:pPr>
        <w:spacing w:line="480" w:lineRule="exact"/>
        <w:ind w:firstLine="482" w:firstLineChars="200"/>
        <w:outlineLvl w:val="2"/>
        <w:rPr>
          <w:rFonts w:ascii="宋体" w:hAnsi="宋体" w:cs="宋体"/>
          <w:b/>
          <w:color w:val="auto"/>
          <w:sz w:val="24"/>
          <w:highlight w:val="none"/>
        </w:rPr>
      </w:pPr>
      <w:bookmarkStart w:id="40" w:name="_Toc17709"/>
      <w:r>
        <w:rPr>
          <w:rFonts w:hint="eastAsia" w:ascii="宋体" w:hAnsi="宋体" w:cs="宋体"/>
          <w:b/>
          <w:color w:val="auto"/>
          <w:sz w:val="24"/>
          <w:highlight w:val="none"/>
        </w:rPr>
        <w:t>7.合同授予</w:t>
      </w:r>
      <w:bookmarkEnd w:id="40"/>
    </w:p>
    <w:p>
      <w:pPr>
        <w:spacing w:line="480" w:lineRule="exact"/>
        <w:ind w:firstLine="482" w:firstLineChars="200"/>
        <w:outlineLvl w:val="3"/>
        <w:rPr>
          <w:rFonts w:ascii="宋体" w:hAnsi="宋体" w:cs="宋体"/>
          <w:b/>
          <w:color w:val="auto"/>
          <w:sz w:val="24"/>
          <w:highlight w:val="none"/>
        </w:rPr>
      </w:pPr>
      <w:bookmarkStart w:id="41" w:name="_Toc138"/>
      <w:r>
        <w:rPr>
          <w:rFonts w:hint="eastAsia" w:ascii="宋体" w:hAnsi="宋体" w:cs="宋体"/>
          <w:b/>
          <w:color w:val="auto"/>
          <w:sz w:val="24"/>
          <w:highlight w:val="none"/>
        </w:rPr>
        <w:t>7.1定标方式</w:t>
      </w:r>
      <w:bookmarkEnd w:id="41"/>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除投标人须知前附表规定评标委员会直接确定中标人外，招标人依据评标委员会推荐的中标候选人确定中标人，评标委员会推荐中标候选人的人数见投标人须知前附表。</w:t>
      </w:r>
    </w:p>
    <w:p>
      <w:pPr>
        <w:spacing w:line="480" w:lineRule="exact"/>
        <w:ind w:firstLine="482" w:firstLineChars="200"/>
        <w:outlineLvl w:val="3"/>
        <w:rPr>
          <w:rFonts w:ascii="宋体" w:hAnsi="宋体" w:cs="宋体"/>
          <w:b/>
          <w:color w:val="auto"/>
          <w:sz w:val="24"/>
          <w:highlight w:val="none"/>
        </w:rPr>
      </w:pPr>
      <w:bookmarkStart w:id="42" w:name="_Toc21178"/>
      <w:r>
        <w:rPr>
          <w:rFonts w:hint="eastAsia" w:ascii="宋体" w:hAnsi="宋体" w:cs="宋体"/>
          <w:b/>
          <w:color w:val="auto"/>
          <w:sz w:val="24"/>
          <w:highlight w:val="none"/>
        </w:rPr>
        <w:t>7.2中标通知</w:t>
      </w:r>
      <w:bookmarkEnd w:id="42"/>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在本章第3.3 款规定的投标有效期内，招标人以书面形式向中标人发出中标通知书，同时将中标结果通知未中标的投标人。</w:t>
      </w:r>
    </w:p>
    <w:p>
      <w:pPr>
        <w:spacing w:line="480" w:lineRule="exact"/>
        <w:ind w:firstLine="482" w:firstLineChars="200"/>
        <w:outlineLvl w:val="3"/>
        <w:rPr>
          <w:rFonts w:ascii="宋体" w:hAnsi="宋体" w:cs="宋体"/>
          <w:b/>
          <w:color w:val="auto"/>
          <w:sz w:val="24"/>
          <w:highlight w:val="none"/>
        </w:rPr>
      </w:pPr>
      <w:bookmarkStart w:id="43" w:name="_Toc9091"/>
      <w:r>
        <w:rPr>
          <w:rFonts w:hint="eastAsia" w:ascii="宋体" w:hAnsi="宋体" w:cs="宋体"/>
          <w:b/>
          <w:color w:val="auto"/>
          <w:sz w:val="24"/>
          <w:highlight w:val="none"/>
        </w:rPr>
        <w:t>7.3履约担保</w:t>
      </w:r>
      <w:bookmarkEnd w:id="43"/>
      <w:r>
        <w:rPr>
          <w:rFonts w:hint="eastAsia" w:ascii="宋体" w:hAnsi="宋体" w:cs="宋体"/>
          <w:b/>
          <w:color w:val="auto"/>
          <w:sz w:val="24"/>
          <w:highlight w:val="none"/>
        </w:rPr>
        <w:t>（无）</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7.3.1在签订合同前，中标人应按投标人须知前附表规定的金额、担保形式和招标文件第四章"合同条款及格式"规定的履约担保格式向发包人提交履约担保。</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7.3.2中标人不能按本章第7.3.1项要求提交履约担保的，视为放弃中标，其投标保证金不予退还，给招标人造成的损失超过投标保证金数额的，中标人还应当对超过部分予以赔偿。</w:t>
      </w:r>
    </w:p>
    <w:p>
      <w:pPr>
        <w:spacing w:line="480" w:lineRule="exact"/>
        <w:ind w:firstLine="482" w:firstLineChars="200"/>
        <w:outlineLvl w:val="3"/>
        <w:rPr>
          <w:rFonts w:ascii="宋体" w:hAnsi="宋体" w:cs="宋体"/>
          <w:b/>
          <w:color w:val="auto"/>
          <w:sz w:val="24"/>
          <w:highlight w:val="none"/>
        </w:rPr>
      </w:pPr>
      <w:bookmarkStart w:id="44" w:name="_Toc7818"/>
      <w:r>
        <w:rPr>
          <w:rFonts w:hint="eastAsia" w:ascii="宋体" w:hAnsi="宋体" w:cs="宋体"/>
          <w:b/>
          <w:color w:val="auto"/>
          <w:sz w:val="24"/>
          <w:highlight w:val="none"/>
        </w:rPr>
        <w:t>7.4签订合同</w:t>
      </w:r>
      <w:bookmarkEnd w:id="44"/>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7.4.2发出中标通知书后，招标人无正当理由拒签合同的，招标人向中标人退还投标保证金；给中标人造成损失的，还应当赔偿损失。</w:t>
      </w:r>
    </w:p>
    <w:p>
      <w:pPr>
        <w:spacing w:line="480" w:lineRule="exact"/>
        <w:ind w:firstLine="482" w:firstLineChars="200"/>
        <w:outlineLvl w:val="2"/>
        <w:rPr>
          <w:rFonts w:ascii="宋体" w:hAnsi="宋体" w:cs="宋体"/>
          <w:b/>
          <w:color w:val="auto"/>
          <w:sz w:val="24"/>
          <w:highlight w:val="none"/>
        </w:rPr>
      </w:pPr>
      <w:bookmarkStart w:id="45" w:name="_Toc23295"/>
      <w:r>
        <w:rPr>
          <w:rFonts w:hint="eastAsia" w:ascii="宋体" w:hAnsi="宋体" w:cs="宋体"/>
          <w:b/>
          <w:color w:val="auto"/>
          <w:sz w:val="24"/>
          <w:highlight w:val="none"/>
        </w:rPr>
        <w:t>8.重新招标和不再招标</w:t>
      </w:r>
      <w:bookmarkEnd w:id="45"/>
    </w:p>
    <w:p>
      <w:pPr>
        <w:spacing w:line="480" w:lineRule="exact"/>
        <w:ind w:firstLine="482" w:firstLineChars="200"/>
        <w:outlineLvl w:val="3"/>
        <w:rPr>
          <w:rFonts w:ascii="宋体" w:hAnsi="宋体" w:cs="宋体"/>
          <w:b/>
          <w:color w:val="auto"/>
          <w:sz w:val="24"/>
          <w:highlight w:val="none"/>
        </w:rPr>
      </w:pPr>
      <w:bookmarkStart w:id="46" w:name="_Toc31729"/>
      <w:r>
        <w:rPr>
          <w:rFonts w:hint="eastAsia" w:ascii="宋体" w:hAnsi="宋体" w:cs="宋体"/>
          <w:b/>
          <w:color w:val="auto"/>
          <w:sz w:val="24"/>
          <w:highlight w:val="none"/>
        </w:rPr>
        <w:t>8.1重新招标</w:t>
      </w:r>
      <w:bookmarkEnd w:id="46"/>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有下列情形之一的，招标人将重新招标：</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（1）投标截止时间止，投标人少于3个的；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（2）经评标委员会评审后否决所有投标的，</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（3）经评标委员会评审后有效投标人不足2个且不能形成有效竞争的。</w:t>
      </w:r>
    </w:p>
    <w:p>
      <w:pPr>
        <w:spacing w:line="480" w:lineRule="exact"/>
        <w:ind w:firstLine="482" w:firstLineChars="200"/>
        <w:outlineLvl w:val="3"/>
        <w:rPr>
          <w:rFonts w:ascii="宋体" w:hAnsi="宋体" w:cs="宋体"/>
          <w:b/>
          <w:color w:val="auto"/>
          <w:sz w:val="24"/>
          <w:highlight w:val="none"/>
        </w:rPr>
      </w:pPr>
      <w:bookmarkStart w:id="47" w:name="_Toc14685"/>
      <w:r>
        <w:rPr>
          <w:rFonts w:hint="eastAsia" w:ascii="宋体" w:hAnsi="宋体" w:cs="宋体"/>
          <w:b/>
          <w:color w:val="auto"/>
          <w:sz w:val="24"/>
          <w:highlight w:val="none"/>
        </w:rPr>
        <w:t>8.2不再招标</w:t>
      </w:r>
      <w:bookmarkEnd w:id="4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重新招标后投标人仍少于3个或者所有投标被否决的，属于必须审批或核准的工程建设项目，经原审批或核准部门批准后不再进行招标。</w:t>
      </w:r>
    </w:p>
    <w:p>
      <w:pPr>
        <w:spacing w:line="480" w:lineRule="exact"/>
        <w:ind w:firstLine="482" w:firstLineChars="200"/>
        <w:outlineLvl w:val="2"/>
        <w:rPr>
          <w:rFonts w:ascii="宋体" w:hAnsi="宋体" w:cs="宋体"/>
          <w:b/>
          <w:color w:val="auto"/>
          <w:sz w:val="24"/>
          <w:highlight w:val="none"/>
        </w:rPr>
      </w:pPr>
      <w:bookmarkStart w:id="48" w:name="_Toc30399"/>
      <w:r>
        <w:rPr>
          <w:rFonts w:hint="eastAsia" w:ascii="宋体" w:hAnsi="宋体" w:cs="宋体"/>
          <w:b/>
          <w:color w:val="auto"/>
          <w:sz w:val="24"/>
          <w:highlight w:val="none"/>
        </w:rPr>
        <w:t>9.纪律和监督</w:t>
      </w:r>
      <w:bookmarkEnd w:id="48"/>
    </w:p>
    <w:p>
      <w:pPr>
        <w:spacing w:line="480" w:lineRule="exact"/>
        <w:ind w:firstLine="482" w:firstLineChars="200"/>
        <w:outlineLvl w:val="3"/>
        <w:rPr>
          <w:rFonts w:ascii="宋体" w:hAnsi="宋体" w:cs="宋体"/>
          <w:b/>
          <w:color w:val="auto"/>
          <w:sz w:val="24"/>
          <w:highlight w:val="none"/>
        </w:rPr>
      </w:pPr>
      <w:bookmarkStart w:id="49" w:name="_Toc6740"/>
      <w:r>
        <w:rPr>
          <w:rFonts w:hint="eastAsia" w:ascii="宋体" w:hAnsi="宋体" w:cs="宋体"/>
          <w:b/>
          <w:color w:val="auto"/>
          <w:sz w:val="24"/>
          <w:highlight w:val="none"/>
        </w:rPr>
        <w:t>9.1对招标人的纪律要求</w:t>
      </w:r>
      <w:bookmarkEnd w:id="49"/>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招标人不得泄漏招标投标活动中应当保密的情况和资料，不得与投标人串通损害国家利益、社会公共利益或者他人合法权益。</w:t>
      </w:r>
    </w:p>
    <w:p>
      <w:pPr>
        <w:spacing w:line="480" w:lineRule="exact"/>
        <w:ind w:firstLine="482" w:firstLineChars="200"/>
        <w:outlineLvl w:val="3"/>
        <w:rPr>
          <w:rFonts w:ascii="宋体" w:hAnsi="宋体" w:cs="宋体"/>
          <w:b/>
          <w:color w:val="auto"/>
          <w:sz w:val="24"/>
          <w:highlight w:val="none"/>
        </w:rPr>
      </w:pPr>
      <w:bookmarkStart w:id="50" w:name="_Toc9817"/>
      <w:r>
        <w:rPr>
          <w:rFonts w:hint="eastAsia" w:ascii="宋体" w:hAnsi="宋体" w:cs="宋体"/>
          <w:b/>
          <w:color w:val="auto"/>
          <w:sz w:val="24"/>
          <w:highlight w:val="none"/>
        </w:rPr>
        <w:t>9.2对投标人的纪律要求</w:t>
      </w:r>
      <w:bookmarkEnd w:id="50"/>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80" w:lineRule="exact"/>
        <w:ind w:firstLine="482" w:firstLineChars="200"/>
        <w:outlineLvl w:val="3"/>
        <w:rPr>
          <w:rFonts w:ascii="宋体" w:hAnsi="宋体" w:cs="宋体"/>
          <w:b/>
          <w:color w:val="auto"/>
          <w:sz w:val="24"/>
          <w:highlight w:val="none"/>
        </w:rPr>
      </w:pPr>
      <w:bookmarkStart w:id="51" w:name="_Toc16432"/>
      <w:r>
        <w:rPr>
          <w:rFonts w:hint="eastAsia" w:ascii="宋体" w:hAnsi="宋体" w:cs="宋体"/>
          <w:b/>
          <w:color w:val="auto"/>
          <w:sz w:val="24"/>
          <w:highlight w:val="none"/>
        </w:rPr>
        <w:t>9.3对评标委员会成员的纪律要求</w:t>
      </w:r>
      <w:bookmarkEnd w:id="51"/>
    </w:p>
    <w:p>
      <w:pPr>
        <w:spacing w:line="48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480" w:lineRule="exact"/>
        <w:ind w:firstLine="482" w:firstLineChars="200"/>
        <w:outlineLvl w:val="3"/>
        <w:rPr>
          <w:rFonts w:ascii="宋体" w:hAnsi="宋体" w:cs="宋体"/>
          <w:b/>
          <w:color w:val="auto"/>
          <w:sz w:val="24"/>
          <w:highlight w:val="none"/>
        </w:rPr>
      </w:pPr>
      <w:bookmarkStart w:id="52" w:name="_Toc4710"/>
      <w:r>
        <w:rPr>
          <w:rFonts w:hint="eastAsia" w:ascii="宋体" w:hAnsi="宋体" w:cs="宋体"/>
          <w:b/>
          <w:color w:val="auto"/>
          <w:sz w:val="24"/>
          <w:highlight w:val="none"/>
        </w:rPr>
        <w:t>9.4对与评标活动有关的工作人员的纪律要求</w:t>
      </w:r>
      <w:bookmarkEnd w:id="52"/>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440" w:lineRule="exact"/>
        <w:ind w:firstLine="482" w:firstLineChars="200"/>
        <w:outlineLvl w:val="1"/>
        <w:rPr>
          <w:rFonts w:ascii="宋体" w:hAnsi="宋体" w:cs="宋体"/>
          <w:b/>
          <w:bCs/>
          <w:color w:val="auto"/>
          <w:sz w:val="24"/>
          <w:highlight w:val="none"/>
        </w:rPr>
      </w:pPr>
      <w:bookmarkStart w:id="53" w:name="_Toc14748"/>
      <w:r>
        <w:rPr>
          <w:rFonts w:hint="eastAsia" w:ascii="宋体" w:hAnsi="宋体" w:cs="宋体"/>
          <w:b/>
          <w:bCs/>
          <w:color w:val="auto"/>
          <w:sz w:val="24"/>
          <w:highlight w:val="none"/>
        </w:rPr>
        <w:t>9.5异议</w:t>
      </w:r>
      <w:bookmarkEnd w:id="53"/>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9.5.1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9.5.2投标人对开标有异议的，应当在开标现场提出，招标人应当当场作出答复，并制作记录。</w:t>
      </w:r>
    </w:p>
    <w:p>
      <w:pPr>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9.5.3投标人或者其他利害关系人对依法必须进行招标的项目的评标结果有异议的，应当在中标候选人公示期间提出，异议必须以书面形式提出，经法定代表人签字并加盖公章。</w:t>
      </w:r>
    </w:p>
    <w:p>
      <w:pPr>
        <w:spacing w:line="440" w:lineRule="exact"/>
        <w:ind w:firstLine="482" w:firstLineChars="200"/>
        <w:outlineLvl w:val="1"/>
        <w:rPr>
          <w:rFonts w:ascii="宋体" w:hAnsi="宋体" w:cs="宋体"/>
          <w:b/>
          <w:bCs/>
          <w:color w:val="auto"/>
          <w:sz w:val="24"/>
          <w:highlight w:val="none"/>
        </w:rPr>
      </w:pPr>
      <w:bookmarkStart w:id="54" w:name="_Toc13124"/>
      <w:bookmarkStart w:id="55" w:name="_Toc32259"/>
      <w:r>
        <w:rPr>
          <w:rFonts w:hint="eastAsia" w:ascii="宋体" w:hAnsi="宋体" w:cs="宋体"/>
          <w:b/>
          <w:bCs/>
          <w:color w:val="auto"/>
          <w:sz w:val="24"/>
          <w:highlight w:val="none"/>
        </w:rPr>
        <w:t>9.6投诉</w:t>
      </w:r>
      <w:bookmarkEnd w:id="54"/>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9.6.1投标人或者其他利害关系人认为招标投标活动不符合法律、行政法规规定的，可以自知道或者应当知道之日起10日内向有关行政监督部门投诉。投诉应当有明确的请求和必要的证明材料。</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9.6.2投诉人投诉时，应当提交投诉书。投诉书应当包括下列内容：</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（一）投诉人的名称、地址及有效联系方式；</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（二）被投诉人的名称、地址及有效联系方式；</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（三）投诉事项的基本事实；</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（四）相关请求及主张；</w:t>
      </w:r>
    </w:p>
    <w:p>
      <w:pPr>
        <w:spacing w:line="44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　　（五）有效线索和相关证明材料。</w:t>
      </w:r>
    </w:p>
    <w:bookmarkEnd w:id="55"/>
    <w:p>
      <w:pPr>
        <w:spacing w:line="480" w:lineRule="exact"/>
        <w:ind w:firstLine="480" w:firstLineChars="200"/>
        <w:outlineLvl w:val="2"/>
        <w:rPr>
          <w:rFonts w:ascii="宋体" w:hAnsi="宋体" w:cs="宋体"/>
          <w:color w:val="auto"/>
          <w:sz w:val="24"/>
          <w:highlight w:val="none"/>
        </w:rPr>
      </w:pPr>
    </w:p>
    <w:p>
      <w:pPr>
        <w:jc w:val="center"/>
        <w:outlineLvl w:val="0"/>
        <w:rPr>
          <w:rFonts w:ascii="宋体" w:hAnsi="宋体" w:cs="宋体"/>
          <w:b/>
          <w:color w:val="auto"/>
          <w:sz w:val="36"/>
          <w:szCs w:val="36"/>
          <w:highlight w:val="none"/>
        </w:rPr>
      </w:pPr>
      <w:r>
        <w:rPr>
          <w:rFonts w:hint="eastAsia" w:ascii="宋体" w:hAnsi="宋体" w:cs="宋体"/>
          <w:color w:val="auto"/>
          <w:sz w:val="28"/>
          <w:szCs w:val="28"/>
          <w:highlight w:val="none"/>
        </w:rPr>
        <w:br w:type="page"/>
      </w:r>
      <w:bookmarkStart w:id="56" w:name="_Toc12250"/>
      <w:r>
        <w:rPr>
          <w:rFonts w:hint="eastAsia" w:ascii="宋体" w:hAnsi="宋体" w:cs="宋体"/>
          <w:color w:val="auto"/>
          <w:sz w:val="28"/>
          <w:szCs w:val="28"/>
          <w:highlight w:val="none"/>
        </w:rPr>
        <w:t xml:space="preserve"> </w:t>
      </w:r>
      <w:bookmarkStart w:id="57" w:name="_Toc2988"/>
      <w:r>
        <w:rPr>
          <w:rFonts w:hint="eastAsia" w:ascii="宋体" w:hAnsi="宋体" w:cs="宋体"/>
          <w:b/>
          <w:color w:val="auto"/>
          <w:sz w:val="36"/>
          <w:szCs w:val="36"/>
          <w:highlight w:val="none"/>
        </w:rPr>
        <w:t>第三章 评标办法（综合评估法）</w:t>
      </w:r>
      <w:bookmarkEnd w:id="56"/>
      <w:bookmarkEnd w:id="57"/>
    </w:p>
    <w:p>
      <w:pPr>
        <w:rPr>
          <w:rFonts w:ascii="宋体" w:hAnsi="宋体" w:cs="宋体"/>
          <w:b/>
          <w:color w:val="auto"/>
          <w:sz w:val="28"/>
          <w:szCs w:val="28"/>
          <w:highlight w:val="none"/>
        </w:rPr>
      </w:pPr>
      <w:bookmarkStart w:id="58" w:name="_Toc21932"/>
      <w:r>
        <w:rPr>
          <w:rFonts w:hint="eastAsia" w:ascii="宋体" w:hAnsi="宋体" w:cs="宋体"/>
          <w:b/>
          <w:color w:val="auto"/>
          <w:sz w:val="28"/>
          <w:szCs w:val="28"/>
          <w:highlight w:val="none"/>
        </w:rPr>
        <w:t>评标办法前附表</w:t>
      </w:r>
      <w:bookmarkEnd w:id="58"/>
    </w:p>
    <w:tbl>
      <w:tblPr>
        <w:tblStyle w:val="17"/>
        <w:tblW w:w="96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708"/>
        <w:gridCol w:w="844"/>
        <w:gridCol w:w="1947"/>
        <w:gridCol w:w="128"/>
        <w:gridCol w:w="2933"/>
        <w:gridCol w:w="116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2791"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评审因素</w:t>
            </w:r>
          </w:p>
        </w:tc>
        <w:tc>
          <w:tcPr>
            <w:tcW w:w="5462" w:type="dxa"/>
            <w:gridSpan w:val="4"/>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2.1.1</w:t>
            </w:r>
          </w:p>
        </w:tc>
        <w:tc>
          <w:tcPr>
            <w:tcW w:w="708"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形式评审标准</w:t>
            </w: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投标人名称</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投标函签字盖章</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投标文件格式</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报价唯一</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2.1.2</w:t>
            </w:r>
          </w:p>
        </w:tc>
        <w:tc>
          <w:tcPr>
            <w:tcW w:w="708"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资格评审标准</w:t>
            </w: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营业执照</w:t>
            </w:r>
          </w:p>
        </w:tc>
        <w:tc>
          <w:tcPr>
            <w:tcW w:w="5462" w:type="dxa"/>
            <w:gridSpan w:val="4"/>
            <w:vAlign w:val="center"/>
          </w:tcPr>
          <w:p>
            <w:pPr>
              <w:pStyle w:val="14"/>
              <w:spacing w:beforeAutospacing="0" w:afterAutospacing="0" w:line="480" w:lineRule="auto"/>
              <w:rPr>
                <w:color w:val="auto"/>
                <w:highlight w:val="none"/>
              </w:rPr>
            </w:pPr>
            <w:r>
              <w:rPr>
                <w:color w:val="auto"/>
                <w:highlight w:val="none"/>
              </w:rPr>
              <w:t>具</w:t>
            </w:r>
            <w:r>
              <w:rPr>
                <w:rFonts w:hint="eastAsia"/>
                <w:color w:val="auto"/>
                <w:highlight w:val="none"/>
              </w:rPr>
              <w:t>有加载“统一社会信用代码”的营业执照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安全生产许可证</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资质等级</w:t>
            </w:r>
          </w:p>
        </w:tc>
        <w:tc>
          <w:tcPr>
            <w:tcW w:w="5462" w:type="dxa"/>
            <w:gridSpan w:val="4"/>
            <w:vAlign w:val="center"/>
          </w:tcPr>
          <w:p>
            <w:pPr>
              <w:rPr>
                <w:color w:val="auto"/>
                <w:highlight w:val="none"/>
              </w:rPr>
            </w:pPr>
            <w:r>
              <w:rPr>
                <w:rFonts w:hint="eastAsia" w:ascii="宋体" w:hAnsi="宋体" w:cs="宋体" w:eastAsiaTheme="minorEastAsia"/>
                <w:color w:val="auto"/>
                <w:kern w:val="0"/>
                <w:sz w:val="24"/>
                <w:szCs w:val="24"/>
                <w:highlight w:val="none"/>
                <w:lang w:val="en-US" w:eastAsia="zh-CN" w:bidi="ar-SA"/>
              </w:rPr>
              <w:t>投标人须具有市政公用工程施工总承包叁级及以上资质；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信用中国查询</w:t>
            </w:r>
          </w:p>
        </w:tc>
        <w:tc>
          <w:tcPr>
            <w:tcW w:w="5462" w:type="dxa"/>
            <w:gridSpan w:val="4"/>
            <w:vAlign w:val="center"/>
          </w:tcPr>
          <w:p>
            <w:pPr>
              <w:spacing w:line="390" w:lineRule="exact"/>
              <w:rPr>
                <w:rFonts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根据《关于在政府采购活动中查询及使用信用记录有关问题的通知》（</w:t>
            </w:r>
            <w:r>
              <w:rPr>
                <w:rFonts w:hint="eastAsia" w:ascii="宋体" w:hAnsi="宋体" w:eastAsia="宋体" w:cs="宋体"/>
                <w:color w:val="auto"/>
                <w:sz w:val="24"/>
                <w:highlight w:val="none"/>
                <w:shd w:val="clear" w:color="auto" w:fill="FFFFFF"/>
                <w:lang w:eastAsia="zh-CN"/>
              </w:rPr>
              <w:t>财库[2016]125号</w:t>
            </w:r>
            <w:r>
              <w:rPr>
                <w:rFonts w:hint="eastAsia" w:ascii="宋体" w:hAnsi="宋体" w:eastAsia="宋体" w:cs="宋体"/>
                <w:color w:val="auto"/>
                <w:sz w:val="24"/>
                <w:highlight w:val="none"/>
                <w:shd w:val="clear" w:color="auto" w:fill="FFFFFF"/>
              </w:rPr>
              <w:t>）的规定，对列入失信被执行人、重大税收违法失信主体、政府采购严重违法失信行为记录名单的投标单位，拒绝参与本项目招标投标活动；【</w:t>
            </w:r>
            <w:r>
              <w:rPr>
                <w:rFonts w:hint="eastAsia" w:ascii="宋体" w:hAnsi="宋体" w:eastAsia="宋体" w:cs="宋体"/>
                <w:color w:val="auto"/>
                <w:sz w:val="24"/>
                <w:highlight w:val="none"/>
              </w:rPr>
              <w:t>查询渠道：“信用中国”网站（ www.creditchina.gov.cn）或“中国政府采购网”（ www.ccgp.gov.cn）或“中国执行信息公开网”网站（zxgk.court.gov.cn）】。附本公司在以上任意一个网站上的查询记录，查询日期应为公告发布之后。</w:t>
            </w:r>
            <w:r>
              <w:rPr>
                <w:rFonts w:hint="eastAsia" w:ascii="宋体" w:hAnsi="宋体" w:eastAsia="宋体" w:cs="宋体"/>
                <w:color w:val="auto"/>
                <w:sz w:val="24"/>
                <w:highlight w:val="non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无拖欠农民工工资承诺函 </w:t>
            </w:r>
          </w:p>
        </w:tc>
        <w:tc>
          <w:tcPr>
            <w:tcW w:w="5462" w:type="dxa"/>
            <w:gridSpan w:val="4"/>
            <w:vAlign w:val="center"/>
          </w:tcPr>
          <w:p>
            <w:pPr>
              <w:spacing w:line="39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项目经理</w:t>
            </w:r>
          </w:p>
        </w:tc>
        <w:tc>
          <w:tcPr>
            <w:tcW w:w="5462" w:type="dxa"/>
            <w:gridSpan w:val="4"/>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shd w:val="clear" w:color="auto" w:fill="FFFFFF"/>
              </w:rPr>
              <w:t>拟派项目经理须具备市政</w:t>
            </w:r>
            <w:r>
              <w:rPr>
                <w:rFonts w:hint="eastAsia" w:ascii="宋体" w:hAnsi="宋体" w:cs="宋体"/>
                <w:color w:val="auto"/>
                <w:sz w:val="24"/>
                <w:highlight w:val="none"/>
                <w:shd w:val="clear" w:color="auto" w:fill="FFFFFF"/>
                <w:lang w:val="en-US" w:eastAsia="zh-CN"/>
              </w:rPr>
              <w:t>公用</w:t>
            </w:r>
            <w:r>
              <w:rPr>
                <w:rFonts w:hint="eastAsia" w:ascii="宋体" w:hAnsi="宋体" w:cs="宋体"/>
                <w:color w:val="auto"/>
                <w:sz w:val="24"/>
                <w:highlight w:val="none"/>
                <w:shd w:val="clear" w:color="auto" w:fill="FFFFFF"/>
              </w:rPr>
              <w:t>工程专业贰级及以上注册建造师证书且具有有效的安全生产考核合格证书</w:t>
            </w:r>
            <w:r>
              <w:rPr>
                <w:rFonts w:hint="eastAsia" w:ascii="宋体" w:hAnsi="宋体" w:eastAsia="宋体" w:cs="宋体"/>
                <w:color w:val="auto"/>
                <w:sz w:val="24"/>
                <w:highlight w:val="none"/>
              </w:rPr>
              <w:t>，拟派项目经理（注册建造师）不得在其他在建项目中担任项目经理；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791" w:type="dxa"/>
            <w:gridSpan w:val="2"/>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法定代表人或授权委托人</w:t>
            </w:r>
          </w:p>
        </w:tc>
        <w:tc>
          <w:tcPr>
            <w:tcW w:w="5462" w:type="dxa"/>
            <w:gridSpan w:val="4"/>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投标文件中提供</w:t>
            </w:r>
            <w:r>
              <w:rPr>
                <w:rFonts w:hint="eastAsia"/>
                <w:color w:val="auto"/>
                <w:kern w:val="0"/>
                <w:sz w:val="24"/>
                <w:szCs w:val="32"/>
                <w:highlight w:val="none"/>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8253" w:type="dxa"/>
            <w:gridSpan w:val="6"/>
            <w:vAlign w:val="center"/>
          </w:tcPr>
          <w:p>
            <w:pPr>
              <w:spacing w:line="390" w:lineRule="exact"/>
              <w:rPr>
                <w:rFonts w:ascii="宋体" w:hAnsi="宋体" w:cs="宋体"/>
                <w:b/>
                <w:color w:val="auto"/>
                <w:sz w:val="24"/>
                <w:highlight w:val="none"/>
              </w:rPr>
            </w:pPr>
            <w:r>
              <w:rPr>
                <w:rFonts w:hint="eastAsia" w:ascii="宋体" w:hAnsi="宋体" w:eastAsia="宋体" w:cs="宋体"/>
                <w:color w:val="auto"/>
                <w:sz w:val="24"/>
                <w:highlight w:val="none"/>
              </w:rPr>
              <w:t>注：2.1.2.各项中,电子投标文件中附电子扫描件（或图片），否则无效投标。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2.1.3</w:t>
            </w:r>
          </w:p>
        </w:tc>
        <w:tc>
          <w:tcPr>
            <w:tcW w:w="708" w:type="dxa"/>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响应性评审标准</w:t>
            </w: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投标内容</w:t>
            </w:r>
          </w:p>
        </w:tc>
        <w:tc>
          <w:tcPr>
            <w:tcW w:w="5334" w:type="dxa"/>
            <w:gridSpan w:val="3"/>
          </w:tcPr>
          <w:p>
            <w:pPr>
              <w:spacing w:line="390" w:lineRule="exact"/>
              <w:rPr>
                <w:rFonts w:ascii="宋体" w:hAnsi="宋体" w:cs="宋体"/>
                <w:color w:val="auto"/>
                <w:sz w:val="24"/>
                <w:highlight w:val="none"/>
              </w:rPr>
            </w:pPr>
            <w:r>
              <w:rPr>
                <w:rFonts w:hint="eastAsia" w:ascii="宋体" w:hAnsi="宋体" w:cs="宋体"/>
                <w:color w:val="auto"/>
                <w:sz w:val="24"/>
                <w:highlight w:val="none"/>
              </w:rPr>
              <w:t>图纸及工程量清单包含的全部内容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工期</w:t>
            </w:r>
          </w:p>
        </w:tc>
        <w:tc>
          <w:tcPr>
            <w:tcW w:w="5334" w:type="dxa"/>
            <w:gridSpan w:val="3"/>
            <w:vAlign w:val="center"/>
          </w:tcPr>
          <w:p>
            <w:pPr>
              <w:spacing w:line="390" w:lineRule="exact"/>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val="en-US" w:eastAsia="zh-CN"/>
              </w:rPr>
              <w:t>60</w:t>
            </w:r>
            <w:r>
              <w:rPr>
                <w:rFonts w:hint="eastAsia" w:ascii="宋体" w:hAnsi="宋体" w:cs="宋体"/>
                <w:color w:val="auto"/>
                <w:sz w:val="24"/>
                <w:highlight w:val="none"/>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工程质量</w:t>
            </w:r>
          </w:p>
        </w:tc>
        <w:tc>
          <w:tcPr>
            <w:tcW w:w="5334" w:type="dxa"/>
            <w:gridSpan w:val="3"/>
          </w:tcPr>
          <w:p>
            <w:pPr>
              <w:spacing w:line="390" w:lineRule="exact"/>
              <w:rPr>
                <w:rFonts w:ascii="宋体" w:hAnsi="宋体" w:cs="宋体"/>
                <w:color w:val="auto"/>
                <w:sz w:val="24"/>
                <w:highlight w:val="none"/>
              </w:rPr>
            </w:pPr>
            <w:r>
              <w:rPr>
                <w:rFonts w:hint="eastAsia" w:ascii="宋体" w:hAnsi="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投标有效期</w:t>
            </w:r>
          </w:p>
        </w:tc>
        <w:tc>
          <w:tcPr>
            <w:tcW w:w="5334" w:type="dxa"/>
            <w:gridSpan w:val="3"/>
          </w:tcPr>
          <w:p>
            <w:pPr>
              <w:spacing w:line="390" w:lineRule="exact"/>
              <w:rPr>
                <w:rFonts w:ascii="宋体" w:hAnsi="宋体" w:cs="宋体"/>
                <w:color w:val="auto"/>
                <w:sz w:val="24"/>
                <w:highlight w:val="none"/>
              </w:rPr>
            </w:pPr>
            <w:r>
              <w:rPr>
                <w:rFonts w:hint="eastAsia" w:ascii="宋体" w:hAnsi="宋体" w:cs="宋体"/>
                <w:color w:val="auto"/>
                <w:sz w:val="24"/>
                <w:highlight w:val="none"/>
              </w:rPr>
              <w:t>自递交投标文件截止之日起90日历天，并在投标函中承诺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投标保证金</w:t>
            </w:r>
          </w:p>
        </w:tc>
        <w:tc>
          <w:tcPr>
            <w:tcW w:w="5334"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 xml:space="preserve">符合招标文件规定要求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权利义务</w:t>
            </w:r>
          </w:p>
        </w:tc>
        <w:tc>
          <w:tcPr>
            <w:tcW w:w="5334" w:type="dxa"/>
            <w:gridSpan w:val="3"/>
          </w:tcPr>
          <w:p>
            <w:pPr>
              <w:spacing w:line="390" w:lineRule="exact"/>
              <w:rPr>
                <w:rFonts w:ascii="宋体" w:hAnsi="宋体" w:cs="宋体"/>
                <w:color w:val="auto"/>
                <w:sz w:val="24"/>
                <w:highlight w:val="none"/>
              </w:rPr>
            </w:pPr>
            <w:r>
              <w:rPr>
                <w:rFonts w:hint="eastAsia" w:ascii="宋体" w:hAnsi="宋体" w:cs="宋体"/>
                <w:color w:val="auto"/>
                <w:sz w:val="24"/>
                <w:highlight w:val="none"/>
              </w:rPr>
              <w:t>符合第四章“合同条款及格式”规定，并在投标函中承诺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jc w:val="left"/>
              <w:rPr>
                <w:rFonts w:ascii="宋体" w:hAnsi="宋体" w:cs="宋体"/>
                <w:color w:val="auto"/>
                <w:sz w:val="24"/>
                <w:highlight w:val="none"/>
              </w:rPr>
            </w:pPr>
            <w:r>
              <w:rPr>
                <w:rFonts w:hint="eastAsia" w:ascii="宋体" w:hAnsi="宋体" w:cs="宋体"/>
                <w:color w:val="auto"/>
                <w:sz w:val="24"/>
                <w:highlight w:val="none"/>
              </w:rPr>
              <w:t>已标价工程量清单</w:t>
            </w:r>
          </w:p>
        </w:tc>
        <w:tc>
          <w:tcPr>
            <w:tcW w:w="5334" w:type="dxa"/>
            <w:gridSpan w:val="3"/>
          </w:tcPr>
          <w:p>
            <w:pPr>
              <w:spacing w:line="390" w:lineRule="exact"/>
              <w:rPr>
                <w:rFonts w:ascii="宋体" w:hAnsi="宋体" w:eastAsia="宋体" w:cs="宋体"/>
                <w:color w:val="auto"/>
                <w:sz w:val="24"/>
                <w:highlight w:val="none"/>
              </w:rPr>
            </w:pPr>
            <w:r>
              <w:rPr>
                <w:rFonts w:hint="eastAsia" w:ascii="宋体" w:hAnsi="宋体" w:cs="宋体"/>
                <w:color w:val="auto"/>
                <w:sz w:val="24"/>
                <w:highlight w:val="none"/>
              </w:rPr>
              <w:t>商务标清标内容通过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continue"/>
            <w:vAlign w:val="center"/>
          </w:tcPr>
          <w:p>
            <w:pPr>
              <w:spacing w:line="390" w:lineRule="exact"/>
              <w:jc w:val="center"/>
              <w:rPr>
                <w:rFonts w:ascii="宋体" w:hAnsi="宋体" w:cs="宋体"/>
                <w:color w:val="auto"/>
                <w:sz w:val="24"/>
                <w:highlight w:val="none"/>
              </w:rPr>
            </w:pPr>
          </w:p>
        </w:tc>
        <w:tc>
          <w:tcPr>
            <w:tcW w:w="708" w:type="dxa"/>
            <w:vMerge w:val="continue"/>
            <w:vAlign w:val="center"/>
          </w:tcPr>
          <w:p>
            <w:pPr>
              <w:spacing w:line="390" w:lineRule="exact"/>
              <w:jc w:val="center"/>
              <w:rPr>
                <w:rFonts w:ascii="宋体" w:hAnsi="宋体" w:cs="宋体"/>
                <w:color w:val="auto"/>
                <w:sz w:val="24"/>
                <w:highlight w:val="none"/>
              </w:rPr>
            </w:pPr>
          </w:p>
        </w:tc>
        <w:tc>
          <w:tcPr>
            <w:tcW w:w="2919" w:type="dxa"/>
            <w:gridSpan w:val="3"/>
            <w:vAlign w:val="center"/>
          </w:tcPr>
          <w:p>
            <w:pPr>
              <w:spacing w:line="390" w:lineRule="exact"/>
              <w:jc w:val="left"/>
              <w:rPr>
                <w:rFonts w:ascii="宋体" w:hAnsi="宋体" w:cs="宋体"/>
                <w:color w:val="auto"/>
                <w:sz w:val="24"/>
                <w:highlight w:val="none"/>
              </w:rPr>
            </w:pPr>
            <w:r>
              <w:rPr>
                <w:rFonts w:hint="eastAsia" w:ascii="宋体" w:hAnsi="宋体" w:cs="宋体"/>
                <w:color w:val="auto"/>
                <w:sz w:val="24"/>
                <w:highlight w:val="none"/>
              </w:rPr>
              <w:t>技术标准和要求</w:t>
            </w:r>
          </w:p>
        </w:tc>
        <w:tc>
          <w:tcPr>
            <w:tcW w:w="5334" w:type="dxa"/>
            <w:gridSpan w:val="3"/>
          </w:tcPr>
          <w:p>
            <w:pPr>
              <w:spacing w:line="390" w:lineRule="exact"/>
              <w:rPr>
                <w:rFonts w:ascii="宋体" w:hAnsi="宋体" w:cs="宋体"/>
                <w:color w:val="auto"/>
                <w:sz w:val="24"/>
                <w:highlight w:val="none"/>
              </w:rPr>
            </w:pPr>
            <w:r>
              <w:rPr>
                <w:rFonts w:hint="eastAsia" w:ascii="宋体" w:hAnsi="宋体" w:cs="宋体"/>
                <w:color w:val="auto"/>
                <w:sz w:val="24"/>
                <w:highlight w:val="none"/>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2.2.1</w:t>
            </w:r>
          </w:p>
        </w:tc>
        <w:tc>
          <w:tcPr>
            <w:tcW w:w="2919" w:type="dxa"/>
            <w:gridSpan w:val="3"/>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分值构成</w:t>
            </w:r>
          </w:p>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(总分100分)</w:t>
            </w:r>
          </w:p>
        </w:tc>
        <w:tc>
          <w:tcPr>
            <w:tcW w:w="5334"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商务标：50分   </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技术标：25分</w:t>
            </w:r>
          </w:p>
          <w:p>
            <w:pPr>
              <w:spacing w:line="390" w:lineRule="exact"/>
              <w:rPr>
                <w:rFonts w:ascii="宋体" w:hAnsi="宋体" w:cs="宋体"/>
                <w:color w:val="auto"/>
                <w:sz w:val="24"/>
                <w:highlight w:val="none"/>
              </w:rPr>
            </w:pPr>
            <w:r>
              <w:rPr>
                <w:rFonts w:hint="eastAsia" w:ascii="宋体" w:hAnsi="宋体" w:cs="宋体"/>
                <w:color w:val="auto"/>
                <w:sz w:val="24"/>
                <w:highlight w:val="none"/>
              </w:rPr>
              <w:t>综合标：25分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2.2.2</w:t>
            </w:r>
          </w:p>
        </w:tc>
        <w:tc>
          <w:tcPr>
            <w:tcW w:w="2919" w:type="dxa"/>
            <w:gridSpan w:val="3"/>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评标基准价计算方法</w:t>
            </w:r>
          </w:p>
        </w:tc>
        <w:tc>
          <w:tcPr>
            <w:tcW w:w="5334"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评标基准价＝最高投标限价×K+投标报价×（1－K）。</w:t>
            </w:r>
          </w:p>
          <w:p>
            <w:pPr>
              <w:spacing w:line="360" w:lineRule="exact"/>
              <w:rPr>
                <w:rFonts w:ascii="宋体" w:hAnsi="宋体" w:cs="宋体"/>
                <w:color w:val="auto"/>
                <w:sz w:val="24"/>
                <w:highlight w:val="none"/>
              </w:rPr>
            </w:pPr>
            <w:r>
              <w:rPr>
                <w:rFonts w:hint="eastAsia" w:ascii="宋体" w:hAnsi="宋体" w:cs="宋体"/>
                <w:color w:val="auto"/>
                <w:sz w:val="24"/>
                <w:highlight w:val="none"/>
              </w:rPr>
              <w:t>其中：K为最高投标限价权重系数，取值范围为0.3、0.4、0.5，在开标现场随机抽取。投标报价为各投标人有效投标报价去掉一个最高和一个最低报价后的算术平均值。当有效投标少于5家时（不含5家），则以所有有效投标报价的算术平均值作为投标报价。上述最高投标限价、投标报价、有效投标报价在参与评标基准价计算时，均不含:规费、安全文明施工措施费、暂列金额与专业工程暂估价、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2.2.3</w:t>
            </w:r>
          </w:p>
        </w:tc>
        <w:tc>
          <w:tcPr>
            <w:tcW w:w="2919" w:type="dxa"/>
            <w:gridSpan w:val="3"/>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投标报价的偏差率计算公式</w:t>
            </w:r>
          </w:p>
        </w:tc>
        <w:tc>
          <w:tcPr>
            <w:tcW w:w="5334" w:type="dxa"/>
            <w:gridSpan w:val="3"/>
            <w:vAlign w:val="center"/>
          </w:tcPr>
          <w:p>
            <w:pPr>
              <w:spacing w:line="39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偏差率=100%×（投标报价-评标基准价）/评标基准价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color w:val="auto"/>
                <w:sz w:val="24"/>
                <w:highlight w:val="none"/>
              </w:rPr>
              <w:t>落实的政府采购政策</w:t>
            </w:r>
          </w:p>
        </w:tc>
        <w:tc>
          <w:tcPr>
            <w:tcW w:w="8253" w:type="dxa"/>
            <w:gridSpan w:val="6"/>
            <w:vAlign w:val="center"/>
          </w:tcPr>
          <w:p>
            <w:pPr>
              <w:spacing w:line="39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1、投标人为小微企业的，对所承担的工程的价格得分给予3%的上浮，用上浮后的价格得分参与后续评审。参加招标投标活动的中小企业，应当按照《政府采购促进中小企业发展管理办法》（财库﹝2020﹞46 号）的规定提供《中小企业声明函》，（中小企业规划型标准详见关于印发中小企业划型标准规定的通知，工信部联企业﹝2011﹞300 号），投标人为大型企业的不适用本款规定。</w:t>
            </w:r>
          </w:p>
          <w:p>
            <w:pPr>
              <w:pStyle w:val="15"/>
              <w:ind w:left="63"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投标人为联合体的，联合体各方均为中小企业的，联合体视同中小企业，其中，联合体各方均为小微企业的，联合体视同小微企业，否则不适用本款规定。</w:t>
            </w:r>
          </w:p>
          <w:p>
            <w:pPr>
              <w:pStyle w:val="15"/>
              <w:numPr>
                <w:ilvl w:val="0"/>
                <w:numId w:val="5"/>
              </w:numPr>
              <w:ind w:left="63"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根据财政部，司法部《关于政府采购支持监狱企业发展有关问题的通知》（财库﹝2014﹞68 号）规定，本项目在评审中对监狱企业作为投标人所承担的工程的价格得分给予3%的上浮。监狱企业参加招标投标活动时，应当提供由省级以上监狱管理局、戒毒所管理局（含新疆生产建设兵团）出具的属于监狱企业的证明文件。</w:t>
            </w:r>
          </w:p>
          <w:p>
            <w:pPr>
              <w:pStyle w:val="15"/>
              <w:numPr>
                <w:ilvl w:val="0"/>
                <w:numId w:val="5"/>
              </w:numPr>
              <w:ind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根据财政部、民政部、中国残疾人联合会三部门发布的《关于促进残疾人就业政府采购政策的通知》（财库﹝2017﹞141 号）规定，本项目在评审中对残疾人福利性单位承担的工程的价格得分给予3%的上浮。残疾人福利性单位参加招标投标活动时，应当提供《残疾人福利性单位声明函》。</w:t>
            </w:r>
          </w:p>
          <w:p>
            <w:pPr>
              <w:pStyle w:val="15"/>
              <w:numPr>
                <w:ilvl w:val="0"/>
                <w:numId w:val="5"/>
              </w:numPr>
              <w:ind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《关于促进残疾人就业政府采购政策的通知》（财库﹝2017﹞141 号）第三条：在政府采购活动中，残疾人福利性单位视同小型、微型企业，享受预留份额、评审中价格得分享受促进中小企业发展的政府采购政策。</w:t>
            </w:r>
          </w:p>
          <w:p>
            <w:pPr>
              <w:pStyle w:val="15"/>
              <w:ind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《关于政府采购支持监狱企业发展有关问题的通知》（财库﹝2014﹞68 号）第二条：在政府采购活动中，监狱企业视同小型、微型企业，享受预留份额、评审中得分享受政府采购促进中小企业发展的政府采购政策。</w:t>
            </w:r>
          </w:p>
          <w:p>
            <w:pPr>
              <w:pStyle w:val="15"/>
              <w:ind w:right="63"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同一投标人（包括联合体），小微企业、监狱企业、残疾人福利性单位承担工程的价格得分上浮只享受一次，不得重复享受。如本项目专门面向中小企业或小微企业采购的，评审中价格得分将均不予上浮</w:t>
            </w:r>
          </w:p>
          <w:p>
            <w:pPr>
              <w:spacing w:line="390" w:lineRule="exact"/>
              <w:jc w:val="left"/>
              <w:rPr>
                <w:rFonts w:ascii="宋体" w:hAnsi="宋体" w:cs="宋体"/>
                <w:color w:val="auto"/>
                <w:sz w:val="24"/>
                <w:highlight w:val="none"/>
              </w:rPr>
            </w:pPr>
            <w:r>
              <w:rPr>
                <w:rFonts w:hint="eastAsia" w:ascii="宋体" w:hAnsi="宋体" w:eastAsia="宋体" w:cs="宋体"/>
                <w:color w:val="auto"/>
                <w:sz w:val="24"/>
                <w:highlight w:val="none"/>
              </w:rPr>
              <w:t>评审报价得分=原报价得分*(1+3%)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348" w:type="dxa"/>
            <w:gridSpan w:val="2"/>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5852" w:type="dxa"/>
            <w:gridSpan w:val="4"/>
            <w:vAlign w:val="center"/>
          </w:tcPr>
          <w:p>
            <w:pPr>
              <w:jc w:val="center"/>
              <w:rPr>
                <w:rFonts w:ascii="宋体" w:hAnsi="宋体" w:cs="宋体"/>
                <w:color w:val="auto"/>
                <w:sz w:val="24"/>
                <w:highlight w:val="none"/>
              </w:rPr>
            </w:pPr>
            <w:r>
              <w:rPr>
                <w:rFonts w:hint="eastAsia" w:ascii="宋体" w:hAnsi="宋体" w:cs="宋体"/>
                <w:color w:val="auto"/>
                <w:sz w:val="24"/>
                <w:highlight w:val="none"/>
              </w:rPr>
              <w:t>评分因素</w:t>
            </w:r>
          </w:p>
        </w:tc>
        <w:tc>
          <w:tcPr>
            <w:tcW w:w="2401" w:type="dxa"/>
            <w:gridSpan w:val="2"/>
            <w:vAlign w:val="center"/>
          </w:tcPr>
          <w:p>
            <w:pPr>
              <w:jc w:val="center"/>
              <w:rPr>
                <w:rFonts w:ascii="宋体" w:hAnsi="宋体" w:cs="宋体"/>
                <w:color w:val="auto"/>
                <w:sz w:val="24"/>
                <w:highlight w:val="none"/>
              </w:rPr>
            </w:pPr>
            <w:r>
              <w:rPr>
                <w:rFonts w:hint="eastAsia" w:ascii="宋体" w:hAnsi="宋体" w:cs="宋体"/>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348" w:type="dxa"/>
            <w:gridSpan w:val="2"/>
            <w:vAlign w:val="center"/>
          </w:tcPr>
          <w:p>
            <w:pPr>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84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评分</w:t>
            </w:r>
          </w:p>
        </w:tc>
        <w:tc>
          <w:tcPr>
            <w:tcW w:w="194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内容</w:t>
            </w:r>
          </w:p>
        </w:tc>
        <w:tc>
          <w:tcPr>
            <w:tcW w:w="4222" w:type="dxa"/>
            <w:gridSpan w:val="3"/>
            <w:vAlign w:val="center"/>
          </w:tcPr>
          <w:p>
            <w:pPr>
              <w:rPr>
                <w:rFonts w:ascii="宋体" w:hAnsi="宋体" w:cs="宋体"/>
                <w:color w:val="auto"/>
                <w:sz w:val="24"/>
                <w:highlight w:val="none"/>
              </w:rPr>
            </w:pPr>
            <w:r>
              <w:rPr>
                <w:rFonts w:hint="eastAsia" w:ascii="宋体" w:hAnsi="宋体" w:cs="宋体"/>
                <w:color w:val="auto"/>
                <w:sz w:val="24"/>
                <w:highlight w:val="none"/>
              </w:rPr>
              <w:t>评审标准</w:t>
            </w:r>
          </w:p>
        </w:tc>
        <w:tc>
          <w:tcPr>
            <w:tcW w:w="12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348" w:type="dxa"/>
            <w:gridSpan w:val="2"/>
            <w:vMerge w:val="restart"/>
            <w:vAlign w:val="center"/>
          </w:tcPr>
          <w:p>
            <w:pPr>
              <w:spacing w:line="390" w:lineRule="exact"/>
              <w:jc w:val="center"/>
              <w:rPr>
                <w:rFonts w:ascii="宋体" w:hAnsi="宋体" w:cs="宋体"/>
                <w:color w:val="auto"/>
                <w:sz w:val="24"/>
                <w:highlight w:val="none"/>
              </w:rPr>
            </w:pPr>
          </w:p>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2.2.4</w:t>
            </w:r>
          </w:p>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44" w:type="dxa"/>
            <w:vMerge w:val="restart"/>
            <w:vAlign w:val="center"/>
          </w:tcPr>
          <w:p>
            <w:pPr>
              <w:spacing w:line="390" w:lineRule="exact"/>
              <w:jc w:val="center"/>
              <w:rPr>
                <w:rFonts w:ascii="宋体" w:hAnsi="宋体" w:cs="宋体"/>
                <w:color w:val="auto"/>
                <w:sz w:val="24"/>
                <w:highlight w:val="none"/>
              </w:rPr>
            </w:pPr>
          </w:p>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技术标（25分</w:t>
            </w: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内容完整性</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技术标的主要内容具有完整性，符合招标文件的要求。</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rFonts w:ascii="宋体" w:hAnsi="宋体" w:cs="宋体"/>
                <w:color w:val="auto"/>
                <w:sz w:val="24"/>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技术标不符合招标文件要求。</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主要施工方案与技术措施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施工方案（含工程特点、施工重点与难点及绿色施工）总体安排合理，运用先进、合理的施工工艺、施工机械；对施工难点有先进和合理的建议。</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2＜得分≤3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施工方案（含工程特点、施工重点与难点及绿色施工）总体安排合理，施工工艺、施工机械合理、可行；对施工难点有合理的建议。</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 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质量管理体系与措施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组织机构形式基本合理，指挥系统、质量监控系统、联络协调系统，具体措施可行。主体结构质量保证措施经济、安全、基本可行。主体结构、装饰装修符合工程建设强制性标准，不得偷工减料。</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安全管理体系与措施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文明施工、环境保护管理体系及施工现场扬尘治理措施  </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2＜得分≤3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工期保证措施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工期承诺满足招标文件要求，工期保证措施合理且有针对性，有具体的违约责任承诺。</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工期承诺满足招标文件要求，工期保证措施基本合理，有具体的违约责任承诺。</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拟投入资源配备计划</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1.机械：投入计划与进度计划呼应，采用先进机械设备且配置合理、先进，满足安全技术规范和施工进度需要；PC构件运输、安装设备满足施工要求；</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2.劳动力：投入计划与进度计划呼应，较好满足施工需要，调配投入计划合理、准确；</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3.主要物资计划：主要物资（含PC构件的供应需求）投入计划与进度计划呼应，较好满足施工需要，调配投入计划合理、准确。</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1.机械：投入计划与进度计划呼应，机械设备配置基本合理，满足安全技术规范和施工进度需要；</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2.劳动力：投入计划与进度计划呼应，基本满足施工需要，调配投入计划基本合理；</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3.主要物资计划：主要物资（含PC构件的供应需求）投入计划与进度计划呼应，基本满足施工需要，调配投入计划基本合理。</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0.5≤得分≤1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jc w:val="center"/>
              <w:rPr>
                <w:color w:val="auto"/>
                <w:highlight w:val="none"/>
              </w:rPr>
            </w:pPr>
          </w:p>
        </w:tc>
        <w:tc>
          <w:tcPr>
            <w:tcW w:w="844" w:type="dxa"/>
            <w:vMerge w:val="continue"/>
            <w:vAlign w:val="center"/>
          </w:tcPr>
          <w:p>
            <w:pPr>
              <w:jc w:val="center"/>
              <w:rPr>
                <w:color w:val="auto"/>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施工进度表与网络计划图</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关键线路清晰、准确、完整、计划编制合理、可行、满足招标文件对工期的要求。</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关键线路基本准确，计划编制基本可行。</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0.5≤得分≤1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jc w:val="center"/>
              <w:rPr>
                <w:rFonts w:ascii="宋体" w:hAnsi="宋体" w:cs="宋体"/>
                <w:color w:val="auto"/>
                <w:sz w:val="24"/>
                <w:highlight w:val="none"/>
              </w:rPr>
            </w:pPr>
          </w:p>
        </w:tc>
        <w:tc>
          <w:tcPr>
            <w:tcW w:w="844" w:type="dxa"/>
            <w:vMerge w:val="continue"/>
            <w:vAlign w:val="center"/>
          </w:tcPr>
          <w:p>
            <w:pPr>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施工总平面图布置</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总体布置有针对性、合理、能较好满足施工需要，符合安全、文明施工要求；材料堆放有序。</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总体布置基本合理、基本满足施工需要。</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jc w:val="center"/>
              <w:rPr>
                <w:rFonts w:ascii="宋体" w:hAnsi="宋体" w:cs="宋体"/>
                <w:color w:val="auto"/>
                <w:sz w:val="24"/>
                <w:highlight w:val="none"/>
              </w:rPr>
            </w:pPr>
          </w:p>
        </w:tc>
        <w:tc>
          <w:tcPr>
            <w:tcW w:w="844" w:type="dxa"/>
            <w:vMerge w:val="continue"/>
            <w:vAlign w:val="center"/>
          </w:tcPr>
          <w:p>
            <w:pPr>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技术创新的应用实施措施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（1）节能减排、（2）绿色施工、（3）工艺创新、（4）装配式建筑等技术创新的应用实施措施符合工程情况，具有针对性、可行性、经济适用性。</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（1）节能减排、（2）绿色施工、（3）工艺创新、（4）装配式建筑等技术创新的应用实施措施基本符合工程情况，具有针对性。</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48" w:type="dxa"/>
            <w:gridSpan w:val="2"/>
            <w:vMerge w:val="continue"/>
            <w:vAlign w:val="center"/>
          </w:tcPr>
          <w:p>
            <w:pPr>
              <w:jc w:val="center"/>
              <w:rPr>
                <w:rFonts w:ascii="宋体" w:hAnsi="宋体" w:cs="宋体"/>
                <w:color w:val="auto"/>
                <w:sz w:val="24"/>
                <w:highlight w:val="none"/>
              </w:rPr>
            </w:pPr>
          </w:p>
        </w:tc>
        <w:tc>
          <w:tcPr>
            <w:tcW w:w="844" w:type="dxa"/>
            <w:vMerge w:val="continue"/>
            <w:vAlign w:val="center"/>
          </w:tcPr>
          <w:p>
            <w:pPr>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采用新工艺、新技术、新设备、新材料、BIM等的程度</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采用新工艺、新技术、新设备、新材料、BIM等的程度满足设计要求，符合施工需要和相应技术标准等规定，经济适用。</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采用新工艺、新技术、新设备、新材料、BIM等的程度满足设计要求， 基本符合施工要求和相应技术标准等规定。</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施工现场实施信息化监控和数据处理</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施工现场实施信息化监控和数据处理系统布置合理，满足需要。</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48" w:type="dxa"/>
            <w:gridSpan w:val="2"/>
            <w:vMerge w:val="continue"/>
            <w:vAlign w:val="center"/>
          </w:tcPr>
          <w:p>
            <w:pPr>
              <w:spacing w:line="360" w:lineRule="exact"/>
              <w:jc w:val="left"/>
              <w:rPr>
                <w:color w:val="auto"/>
                <w:highlight w:val="none"/>
              </w:rPr>
            </w:pPr>
          </w:p>
        </w:tc>
        <w:tc>
          <w:tcPr>
            <w:tcW w:w="844" w:type="dxa"/>
            <w:vMerge w:val="continue"/>
            <w:vAlign w:val="center"/>
          </w:tcPr>
          <w:p>
            <w:pPr>
              <w:spacing w:line="360" w:lineRule="exact"/>
              <w:jc w:val="left"/>
              <w:rPr>
                <w:color w:val="auto"/>
                <w:highlight w:val="none"/>
              </w:rPr>
            </w:pPr>
          </w:p>
        </w:tc>
        <w:tc>
          <w:tcPr>
            <w:tcW w:w="1947" w:type="dxa"/>
            <w:vMerge w:val="continue"/>
            <w:vAlign w:val="center"/>
          </w:tcPr>
          <w:p>
            <w:pPr>
              <w:spacing w:line="360" w:lineRule="exact"/>
              <w:jc w:val="left"/>
              <w:rPr>
                <w:color w:val="auto"/>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施工现场实施信息化监控和数据处理系统布置基本符合需要。</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0.5＜得分≤1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风险管理措施</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风险防控管理措施齐全，风险预控符合规范要求，风险控制要点定位准确，各阶段风险控制及应急措施得力。</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1.5＜得分≤2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continue"/>
            <w:vAlign w:val="center"/>
          </w:tcPr>
          <w:p>
            <w:pPr>
              <w:spacing w:line="360" w:lineRule="exact"/>
              <w:jc w:val="left"/>
              <w:rPr>
                <w:rFonts w:ascii="宋体" w:hAnsi="宋体" w:cs="宋体"/>
                <w:color w:val="auto"/>
                <w:sz w:val="24"/>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风险防控管理措施基本齐全，风险预控符合规范要求，风险控制要点定位基本准确，有各阶段风险控制及应急措施。</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7409" w:type="dxa"/>
            <w:gridSpan w:val="5"/>
            <w:vAlign w:val="center"/>
          </w:tcPr>
          <w:p>
            <w:pPr>
              <w:rPr>
                <w:color w:val="auto"/>
                <w:highlight w:val="none"/>
              </w:rPr>
            </w:pPr>
            <w:r>
              <w:rPr>
                <w:rFonts w:hint="eastAsia" w:ascii="宋体" w:hAnsi="宋体" w:cs="宋体"/>
                <w:color w:val="auto"/>
                <w:sz w:val="24"/>
                <w:highlight w:val="none"/>
              </w:rPr>
              <w:t>以上项目若有缺项的，该项为0分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8" w:type="dxa"/>
            <w:gridSpan w:val="2"/>
            <w:vMerge w:val="restart"/>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2.2.4（2）</w:t>
            </w:r>
          </w:p>
        </w:tc>
        <w:tc>
          <w:tcPr>
            <w:tcW w:w="844" w:type="dxa"/>
            <w:vMerge w:val="restart"/>
            <w:vAlign w:val="center"/>
          </w:tcPr>
          <w:p>
            <w:pPr>
              <w:spacing w:line="390" w:lineRule="exact"/>
              <w:rPr>
                <w:rFonts w:ascii="宋体" w:hAnsi="宋体" w:cs="宋体"/>
                <w:color w:val="auto"/>
                <w:sz w:val="24"/>
                <w:highlight w:val="none"/>
              </w:rPr>
            </w:pPr>
            <w:r>
              <w:rPr>
                <w:rFonts w:hint="eastAsia" w:ascii="宋体" w:hAnsi="宋体" w:cs="宋体"/>
                <w:color w:val="auto"/>
                <w:sz w:val="24"/>
                <w:highlight w:val="none"/>
              </w:rPr>
              <w:t>商务标（50分）</w:t>
            </w: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投标报价评审</w:t>
            </w:r>
          </w:p>
        </w:tc>
        <w:tc>
          <w:tcPr>
            <w:tcW w:w="4222"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当投标报价与评标基准价相等时，得基本分20分。当投标报价低于评标基准价时，每低1%范围内在基本分20分的基础上加2分，最多加10分；当投标报价低于评标基准价5%以上（不含5%）时，每再低1%范围内在满分30分的基础上扣3分，扣完为止；当投标报价高于评标基准价时，每高1%范围内在基本分20分的基础上扣2分，扣完为止。</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分部分项工程项目清单单价评审</w:t>
            </w:r>
          </w:p>
        </w:tc>
        <w:tc>
          <w:tcPr>
            <w:tcW w:w="4222"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从最高投标限价中分部分项工程项目权重最大的前10-30项清单项目中抽取15项，在剩余的分部分项工程项目清单项目中抽取5项。</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综合单价基准值是以各有效投标报价中（当有效投标人5名及以上时，去掉1个最高、1个最低值）对应抽取清单项目综合单价的算术平均值。</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投标人报价在综合单价基准值95%–103%范围内（不含95%和103%）的，每项得0.5分；在综合单价基准值90%–95%范围内（含90%和95%）每项得0.25分。满分共计10分。超出该范围的不得分。</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措施项目费的评审（不含安全文明措施费）</w:t>
            </w:r>
          </w:p>
        </w:tc>
        <w:tc>
          <w:tcPr>
            <w:tcW w:w="4222"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措施项目费基准值是在最高投标限价中措施项目费用80%-110%范围之间的有效投标人所报措施项目费的算术平均值。投标所报措施费与措施项目基准值相等得基本分3分。当投标报价低于措施项目基准值时，每低1%在基本分3分的基础上加0.1分，最多加至5分为止；当高于措施项目基准值时，每高于1%时，在基本分3分的基础上扣0.2分，扣完为止。</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主要材料单价的评审</w:t>
            </w:r>
          </w:p>
        </w:tc>
        <w:tc>
          <w:tcPr>
            <w:tcW w:w="4222" w:type="dxa"/>
            <w:gridSpan w:val="3"/>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 从最高投标限价中材料总价权重最大的前10-20项材料中抽取6项，在剩余材料中抽取4项。</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主要材料单价基准值是以各有效投标报价中（当有效投标人5名及以上时，去掉1个最高、1个最低值）对应抽取材料单价的算术平均值。</w:t>
            </w:r>
          </w:p>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当投标人报价在材料单价基准值95%–103%范围内（不含95%和103%）每项得0.5分，在材料单价基准值90%–95%范围内（含90%和95%）每项得0.25分。超出该范围的不得分。材料单价与综合单价组成中价格不一致时该项为0分。</w:t>
            </w:r>
          </w:p>
        </w:tc>
        <w:tc>
          <w:tcPr>
            <w:tcW w:w="1240" w:type="dxa"/>
            <w:vAlign w:val="center"/>
          </w:tcPr>
          <w:p>
            <w:pPr>
              <w:spacing w:line="360" w:lineRule="exact"/>
              <w:jc w:val="left"/>
              <w:rPr>
                <w:rFonts w:ascii="宋体" w:hAnsi="宋体" w:cs="宋体"/>
                <w:color w:val="auto"/>
                <w:sz w:val="24"/>
                <w:highlight w:val="none"/>
              </w:rPr>
            </w:pPr>
            <w:r>
              <w:rPr>
                <w:rFonts w:hint="eastAsia" w:ascii="宋体" w:hAnsi="宋体" w:cs="宋体"/>
                <w:color w:val="auto"/>
                <w:sz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7409" w:type="dxa"/>
            <w:gridSpan w:val="5"/>
            <w:vAlign w:val="center"/>
          </w:tcPr>
          <w:p>
            <w:pPr>
              <w:spacing w:line="390" w:lineRule="exact"/>
              <w:jc w:val="center"/>
              <w:rPr>
                <w:rFonts w:ascii="宋体" w:hAnsi="宋体" w:cs="宋体"/>
                <w:color w:val="auto"/>
                <w:sz w:val="24"/>
                <w:highlight w:val="none"/>
              </w:rPr>
            </w:pPr>
            <w:r>
              <w:rPr>
                <w:rFonts w:hint="eastAsia" w:ascii="宋体" w:hAnsi="宋体" w:cs="宋体"/>
                <w:color w:val="auto"/>
                <w:sz w:val="24"/>
                <w:highlight w:val="none"/>
              </w:rPr>
              <w:t>针对上述分部分项工程项目清单单价评审、主要材料单价的评审款项中部分分部分项工程项目数量较少、施工工艺简单、主材种类较少而不能满足最低抽项要求的，应将所有分部分项工程项目或主要材料项目纳入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348" w:type="dxa"/>
            <w:gridSpan w:val="2"/>
            <w:vMerge w:val="restart"/>
            <w:vAlign w:val="center"/>
          </w:tcPr>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w:t>
            </w:r>
          </w:p>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(3)</w:t>
            </w:r>
          </w:p>
        </w:tc>
        <w:tc>
          <w:tcPr>
            <w:tcW w:w="844" w:type="dxa"/>
            <w:vMerge w:val="restart"/>
            <w:vAlign w:val="center"/>
          </w:tcPr>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综合标（25分）</w:t>
            </w: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企业业绩</w:t>
            </w:r>
          </w:p>
        </w:tc>
        <w:tc>
          <w:tcPr>
            <w:tcW w:w="4222" w:type="dxa"/>
            <w:gridSpan w:val="3"/>
            <w:vAlign w:val="center"/>
          </w:tcPr>
          <w:p>
            <w:pPr>
              <w:spacing w:line="360" w:lineRule="exact"/>
              <w:jc w:val="left"/>
              <w:rPr>
                <w:rFonts w:ascii="宋体" w:hAnsi="宋体" w:cs="宋体"/>
                <w:b/>
                <w:color w:val="auto"/>
                <w:szCs w:val="21"/>
                <w:highlight w:val="none"/>
              </w:rPr>
            </w:pPr>
            <w:r>
              <w:rPr>
                <w:rFonts w:hint="eastAsia" w:ascii="宋体" w:hAnsi="宋体" w:eastAsia="宋体" w:cs="宋体"/>
                <w:kern w:val="2"/>
                <w:sz w:val="24"/>
                <w:szCs w:val="24"/>
                <w:lang w:val="en-US" w:eastAsia="zh-CN" w:bidi="ar-SA"/>
              </w:rPr>
              <w:t>2020年1月1日以来企业具有类似工程业绩的（以合同签订日期为准）每提供一份得2分，最多得4分，没有不得分（投标文件中附合同扫描件）</w:t>
            </w:r>
          </w:p>
        </w:tc>
        <w:tc>
          <w:tcPr>
            <w:tcW w:w="1240" w:type="dxa"/>
            <w:vAlign w:val="center"/>
          </w:tcPr>
          <w:p>
            <w:pPr>
              <w:spacing w:line="360" w:lineRule="exact"/>
              <w:jc w:val="left"/>
              <w:rPr>
                <w:rFonts w:hint="eastAsia" w:ascii="宋体" w:hAnsi="宋体" w:cs="宋体" w:eastAsiaTheme="minorEastAsia"/>
                <w:color w:val="auto"/>
                <w:sz w:val="24"/>
                <w:highlight w:val="none"/>
                <w:lang w:val="en-US" w:eastAsia="zh-CN"/>
              </w:rPr>
            </w:pPr>
            <w:r>
              <w:rPr>
                <w:rFonts w:hint="eastAsia" w:ascii="宋体" w:hAnsi="宋体" w:eastAsia="宋体" w:cs="宋体"/>
                <w:kern w:val="2"/>
                <w:sz w:val="24"/>
                <w:szCs w:val="24"/>
                <w:lang w:val="en-US" w:eastAsia="zh-CN" w:bidi="ar-SA"/>
              </w:rPr>
              <w:t>0≤得分≤4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Align w:val="center"/>
          </w:tcPr>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项目经理</w:t>
            </w:r>
          </w:p>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业绩</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2020年1月1日以来企业拟派项目经理具有类似工程业绩的（以合同签订日期为准）每提供一份得0.5分，最多得2分（投标文件中附合同扫描件）</w:t>
            </w:r>
          </w:p>
        </w:tc>
        <w:tc>
          <w:tcPr>
            <w:tcW w:w="1240" w:type="dxa"/>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eastAsia="宋体" w:cs="宋体"/>
                <w:kern w:val="2"/>
                <w:sz w:val="24"/>
                <w:szCs w:val="24"/>
                <w:lang w:val="en-US" w:eastAsia="zh-CN" w:bidi="ar-SA"/>
              </w:rPr>
              <w:t>0≤得分≤2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jc w:val="center"/>
              <w:rPr>
                <w:rFonts w:ascii="宋体" w:hAnsi="宋体" w:cs="宋体"/>
                <w:color w:val="auto"/>
                <w:sz w:val="24"/>
                <w:highlight w:val="none"/>
              </w:rPr>
            </w:pPr>
          </w:p>
        </w:tc>
        <w:tc>
          <w:tcPr>
            <w:tcW w:w="844" w:type="dxa"/>
            <w:vMerge w:val="continue"/>
            <w:vAlign w:val="center"/>
          </w:tcPr>
          <w:p>
            <w:pPr>
              <w:spacing w:line="390" w:lineRule="exact"/>
              <w:jc w:val="center"/>
              <w:rPr>
                <w:rFonts w:ascii="宋体" w:hAnsi="宋体" w:cs="宋体"/>
                <w:color w:val="auto"/>
                <w:sz w:val="24"/>
                <w:highlight w:val="none"/>
              </w:rPr>
            </w:pPr>
          </w:p>
        </w:tc>
        <w:tc>
          <w:tcPr>
            <w:tcW w:w="1947" w:type="dxa"/>
            <w:vMerge w:val="restart"/>
            <w:vAlign w:val="center"/>
          </w:tcPr>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优惠承诺</w:t>
            </w:r>
          </w:p>
          <w:p>
            <w:pPr>
              <w:spacing w:line="360" w:lineRule="exact"/>
              <w:jc w:val="left"/>
              <w:rPr>
                <w:rFonts w:ascii="宋体" w:hAnsi="宋体" w:cs="宋体"/>
                <w:color w:val="auto"/>
                <w:sz w:val="24"/>
                <w:highlight w:val="none"/>
              </w:rPr>
            </w:pP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优惠承诺应是书面的符合工程实际情况，确保依法依规，优惠合理，详实可行。2＜得分≤7</w:t>
            </w:r>
          </w:p>
        </w:tc>
        <w:tc>
          <w:tcPr>
            <w:tcW w:w="1240" w:type="dxa"/>
            <w:vMerge w:val="restart"/>
            <w:vAlign w:val="center"/>
          </w:tcPr>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1≤得分≤7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rPr>
                <w:color w:val="auto"/>
                <w:highlight w:val="none"/>
              </w:rPr>
            </w:pPr>
          </w:p>
        </w:tc>
        <w:tc>
          <w:tcPr>
            <w:tcW w:w="844" w:type="dxa"/>
            <w:vMerge w:val="continue"/>
            <w:vAlign w:val="center"/>
          </w:tcPr>
          <w:p>
            <w:pPr>
              <w:spacing w:line="390" w:lineRule="exact"/>
              <w:rPr>
                <w:color w:val="auto"/>
                <w:highlight w:val="none"/>
              </w:rPr>
            </w:pPr>
          </w:p>
        </w:tc>
        <w:tc>
          <w:tcPr>
            <w:tcW w:w="1947" w:type="dxa"/>
            <w:vMerge w:val="continue"/>
            <w:vAlign w:val="center"/>
          </w:tcPr>
          <w:p>
            <w:pPr>
              <w:spacing w:line="360" w:lineRule="exact"/>
              <w:jc w:val="left"/>
              <w:rPr>
                <w:rFonts w:ascii="宋体" w:hAnsi="宋体" w:cs="宋体"/>
                <w:color w:val="auto"/>
                <w:sz w:val="24"/>
                <w:highlight w:val="none"/>
              </w:rPr>
            </w:pPr>
          </w:p>
        </w:tc>
        <w:tc>
          <w:tcPr>
            <w:tcW w:w="4222" w:type="dxa"/>
            <w:gridSpan w:val="3"/>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eastAsia="宋体" w:cs="宋体"/>
                <w:kern w:val="2"/>
                <w:sz w:val="24"/>
                <w:szCs w:val="24"/>
                <w:lang w:val="en-US" w:eastAsia="zh-CN" w:bidi="ar-SA"/>
              </w:rPr>
              <w:t>优惠承诺符合工程实际情况，确保依法依规，优惠基本合理，基本详实可行。1≤得分≤2</w:t>
            </w:r>
          </w:p>
        </w:tc>
        <w:tc>
          <w:tcPr>
            <w:tcW w:w="1240" w:type="dxa"/>
            <w:vMerge w:val="continue"/>
            <w:vAlign w:val="center"/>
          </w:tcPr>
          <w:p>
            <w:pPr>
              <w:spacing w:line="36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rPr>
                <w:rFonts w:ascii="宋体" w:hAnsi="宋体" w:cs="宋体"/>
                <w:color w:val="auto"/>
                <w:sz w:val="24"/>
                <w:highlight w:val="none"/>
              </w:rPr>
            </w:pPr>
          </w:p>
        </w:tc>
        <w:tc>
          <w:tcPr>
            <w:tcW w:w="844" w:type="dxa"/>
            <w:vMerge w:val="continue"/>
            <w:vAlign w:val="center"/>
          </w:tcPr>
          <w:p>
            <w:pPr>
              <w:spacing w:line="390" w:lineRule="exact"/>
              <w:rPr>
                <w:rFonts w:ascii="宋体" w:hAnsi="宋体" w:cs="宋体"/>
                <w:color w:val="auto"/>
                <w:sz w:val="24"/>
                <w:highlight w:val="none"/>
              </w:rPr>
            </w:pPr>
          </w:p>
        </w:tc>
        <w:tc>
          <w:tcPr>
            <w:tcW w:w="1947" w:type="dxa"/>
            <w:vMerge w:val="restart"/>
            <w:vAlign w:val="center"/>
          </w:tcPr>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履职尽责承诺</w:t>
            </w:r>
          </w:p>
        </w:tc>
        <w:tc>
          <w:tcPr>
            <w:tcW w:w="4222" w:type="dxa"/>
            <w:gridSpan w:val="3"/>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eastAsia="宋体" w:cs="宋体"/>
                <w:kern w:val="2"/>
                <w:sz w:val="24"/>
                <w:szCs w:val="24"/>
                <w:lang w:val="en-US" w:eastAsia="zh-CN" w:bidi="ar-SA"/>
              </w:rPr>
              <w:t>具有全面、详实、可行、合法有效的书面保证技术措施落实到位的承诺和落实不到位的处理承诺，其中包括各关键岗位人员(项目经理、技术负责人及相关技术人员、质量员、安全员、材料员、劳务员等)的在岗、更换等履职尽责承诺，提供承包商履约保证。 2＜得分≤7</w:t>
            </w:r>
          </w:p>
        </w:tc>
        <w:tc>
          <w:tcPr>
            <w:tcW w:w="1240" w:type="dxa"/>
            <w:vMerge w:val="restart"/>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eastAsia="宋体" w:cs="宋体"/>
                <w:kern w:val="2"/>
                <w:sz w:val="24"/>
                <w:szCs w:val="24"/>
                <w:lang w:val="en-US" w:eastAsia="zh-CN" w:bidi="ar-SA"/>
              </w:rPr>
              <w:t>1≤得分≤8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rPr>
                <w:rFonts w:ascii="宋体" w:hAnsi="宋体" w:cs="宋体"/>
                <w:color w:val="auto"/>
                <w:sz w:val="24"/>
                <w:highlight w:val="none"/>
              </w:rPr>
            </w:pPr>
          </w:p>
        </w:tc>
        <w:tc>
          <w:tcPr>
            <w:tcW w:w="844" w:type="dxa"/>
            <w:vMerge w:val="continue"/>
            <w:vAlign w:val="center"/>
          </w:tcPr>
          <w:p>
            <w:pPr>
              <w:spacing w:line="390" w:lineRule="exact"/>
              <w:rPr>
                <w:rFonts w:ascii="宋体" w:hAnsi="宋体" w:cs="宋体"/>
                <w:color w:val="auto"/>
                <w:sz w:val="24"/>
                <w:highlight w:val="none"/>
              </w:rPr>
            </w:pPr>
          </w:p>
        </w:tc>
        <w:tc>
          <w:tcPr>
            <w:tcW w:w="1947" w:type="dxa"/>
            <w:vMerge w:val="continue"/>
            <w:vAlign w:val="center"/>
          </w:tcPr>
          <w:p>
            <w:pPr>
              <w:spacing w:line="360" w:lineRule="exact"/>
              <w:jc w:val="left"/>
              <w:rPr>
                <w:rFonts w:ascii="宋体" w:hAnsi="宋体" w:cs="宋体"/>
                <w:color w:val="auto"/>
                <w:sz w:val="24"/>
                <w:highlight w:val="none"/>
              </w:rPr>
            </w:pPr>
          </w:p>
        </w:tc>
        <w:tc>
          <w:tcPr>
            <w:tcW w:w="4222" w:type="dxa"/>
            <w:gridSpan w:val="3"/>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eastAsia="宋体" w:cs="宋体"/>
                <w:kern w:val="2"/>
                <w:sz w:val="24"/>
                <w:szCs w:val="24"/>
                <w:lang w:val="en-US" w:eastAsia="zh-CN" w:bidi="ar-SA"/>
              </w:rPr>
              <w:t>具有可行、合法有效的书面保证技术措施落实到位的承诺和落实不到位的处理承诺，其中包括各关键岗位人员(项目经理、技术负责人及相关技术人员、质量员、安全员、材料员、劳务员等)的在岗、更换等履职尽责承诺，提供承包商履约保证。1≤得分≤2</w:t>
            </w:r>
          </w:p>
        </w:tc>
        <w:tc>
          <w:tcPr>
            <w:tcW w:w="1240" w:type="dxa"/>
            <w:vMerge w:val="continue"/>
            <w:vAlign w:val="center"/>
          </w:tcPr>
          <w:p>
            <w:pPr>
              <w:spacing w:line="36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rPr>
                <w:rFonts w:ascii="宋体" w:hAnsi="宋体" w:cs="宋体"/>
                <w:color w:val="auto"/>
                <w:sz w:val="24"/>
                <w:highlight w:val="none"/>
              </w:rPr>
            </w:pPr>
          </w:p>
        </w:tc>
        <w:tc>
          <w:tcPr>
            <w:tcW w:w="844" w:type="dxa"/>
            <w:vMerge w:val="continue"/>
            <w:vAlign w:val="center"/>
          </w:tcPr>
          <w:p>
            <w:pPr>
              <w:spacing w:line="390" w:lineRule="exact"/>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企业信用</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企业信用（含纳税诚信）无信用信息，得0分，能提供良好信用记录的得2分，具有不良信用记录的得-2分。</w:t>
            </w:r>
          </w:p>
        </w:tc>
        <w:tc>
          <w:tcPr>
            <w:tcW w:w="1240" w:type="dxa"/>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eastAsia="宋体" w:cs="宋体"/>
                <w:kern w:val="2"/>
                <w:sz w:val="24"/>
                <w:szCs w:val="24"/>
                <w:lang w:val="en-US" w:eastAsia="zh-CN" w:bidi="ar-SA"/>
              </w:rPr>
              <w:t>-2≤得分≤2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348" w:type="dxa"/>
            <w:gridSpan w:val="2"/>
            <w:vMerge w:val="continue"/>
            <w:vAlign w:val="center"/>
          </w:tcPr>
          <w:p>
            <w:pPr>
              <w:spacing w:line="390" w:lineRule="exact"/>
              <w:rPr>
                <w:rFonts w:ascii="宋体" w:hAnsi="宋体" w:cs="宋体"/>
                <w:color w:val="auto"/>
                <w:sz w:val="24"/>
                <w:highlight w:val="none"/>
              </w:rPr>
            </w:pPr>
          </w:p>
        </w:tc>
        <w:tc>
          <w:tcPr>
            <w:tcW w:w="844" w:type="dxa"/>
            <w:vMerge w:val="continue"/>
            <w:vAlign w:val="center"/>
          </w:tcPr>
          <w:p>
            <w:pPr>
              <w:spacing w:line="390" w:lineRule="exact"/>
              <w:rPr>
                <w:rFonts w:ascii="宋体" w:hAnsi="宋体" w:cs="宋体"/>
                <w:color w:val="auto"/>
                <w:sz w:val="24"/>
                <w:highlight w:val="none"/>
              </w:rPr>
            </w:pPr>
          </w:p>
        </w:tc>
        <w:tc>
          <w:tcPr>
            <w:tcW w:w="1947" w:type="dxa"/>
            <w:vAlign w:val="center"/>
          </w:tcPr>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项目经理信用</w:t>
            </w:r>
          </w:p>
        </w:tc>
        <w:tc>
          <w:tcPr>
            <w:tcW w:w="4222" w:type="dxa"/>
            <w:gridSpan w:val="3"/>
            <w:vAlign w:val="center"/>
          </w:tcPr>
          <w:p>
            <w:pPr>
              <w:spacing w:line="360" w:lineRule="exact"/>
              <w:jc w:val="left"/>
              <w:rPr>
                <w:rFonts w:ascii="宋体" w:hAnsi="宋体" w:cs="宋体"/>
                <w:color w:val="auto"/>
                <w:sz w:val="24"/>
                <w:highlight w:val="none"/>
              </w:rPr>
            </w:pPr>
            <w:r>
              <w:rPr>
                <w:rFonts w:hint="eastAsia" w:ascii="宋体" w:hAnsi="宋体" w:eastAsia="宋体" w:cs="宋体"/>
                <w:kern w:val="2"/>
                <w:sz w:val="24"/>
                <w:szCs w:val="24"/>
                <w:lang w:val="en-US" w:eastAsia="zh-CN" w:bidi="ar-SA"/>
              </w:rPr>
              <w:t>项目经理信用无信用信息，得0分，能提供良好信用记录的得2分，具有不良信用记录的得-2分。</w:t>
            </w:r>
          </w:p>
        </w:tc>
        <w:tc>
          <w:tcPr>
            <w:tcW w:w="1240" w:type="dxa"/>
            <w:vAlign w:val="center"/>
          </w:tcPr>
          <w:p>
            <w:pPr>
              <w:spacing w:line="360" w:lineRule="exact"/>
              <w:jc w:val="left"/>
              <w:rPr>
                <w:rFonts w:hint="eastAsia" w:ascii="宋体" w:hAnsi="宋体" w:cs="宋体" w:eastAsiaTheme="minorEastAsia"/>
                <w:color w:val="auto"/>
                <w:sz w:val="24"/>
                <w:highlight w:val="none"/>
                <w:lang w:eastAsia="zh-CN"/>
              </w:rPr>
            </w:pPr>
            <w:r>
              <w:rPr>
                <w:rFonts w:hint="eastAsia" w:ascii="宋体" w:hAnsi="宋体" w:eastAsia="宋体" w:cs="宋体"/>
                <w:kern w:val="2"/>
                <w:sz w:val="24"/>
                <w:szCs w:val="24"/>
                <w:lang w:val="en-US" w:eastAsia="zh-CN" w:bidi="ar-SA"/>
              </w:rPr>
              <w:t>-2≤得分≤2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601" w:type="dxa"/>
            <w:gridSpan w:val="8"/>
            <w:vAlign w:val="center"/>
          </w:tcPr>
          <w:p>
            <w:pPr>
              <w:pStyle w:val="14"/>
              <w:widowControl w:val="0"/>
              <w:spacing w:beforeAutospacing="0" w:afterAutospacing="0" w:line="390" w:lineRule="exact"/>
              <w:rPr>
                <w:color w:val="auto"/>
                <w:highlight w:val="none"/>
              </w:rPr>
            </w:pPr>
            <w:r>
              <w:rPr>
                <w:rFonts w:hint="eastAsia"/>
                <w:color w:val="auto"/>
                <w:highlight w:val="none"/>
              </w:rPr>
              <w:t>企业及项目经理良好信用信息采集项见附件3和附件4，不良信用信息采集见省级住房城乡建设主管部门以及信用中国、信用河南、国家企业信用信息公示系统和全国法院失信被执行人名单信息公布与查询平台等网站中公示的与建筑活动有关的信息</w:t>
            </w:r>
            <w:r>
              <w:rPr>
                <w:rFonts w:hint="eastAsia"/>
                <w:color w:val="auto"/>
                <w:kern w:val="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601" w:type="dxa"/>
            <w:gridSpan w:val="8"/>
            <w:vAlign w:val="center"/>
          </w:tcPr>
          <w:p>
            <w:pPr>
              <w:pStyle w:val="14"/>
              <w:widowControl w:val="0"/>
              <w:spacing w:beforeAutospacing="0" w:afterAutospacing="0" w:line="390" w:lineRule="exact"/>
              <w:rPr>
                <w:color w:val="auto"/>
                <w:kern w:val="2"/>
                <w:highlight w:val="none"/>
              </w:rPr>
            </w:pPr>
            <w:r>
              <w:rPr>
                <w:rFonts w:hint="eastAsia"/>
                <w:color w:val="auto"/>
                <w:kern w:val="2"/>
                <w:highlight w:val="none"/>
              </w:rPr>
              <w:t>投标人综合得分按下列公式计算：</w:t>
            </w:r>
          </w:p>
          <w:p>
            <w:pPr>
              <w:pStyle w:val="14"/>
              <w:widowControl w:val="0"/>
              <w:spacing w:beforeAutospacing="0" w:afterAutospacing="0" w:line="390" w:lineRule="exact"/>
              <w:rPr>
                <w:color w:val="auto"/>
                <w:highlight w:val="none"/>
              </w:rPr>
            </w:pPr>
            <w:r>
              <w:rPr>
                <w:rFonts w:hint="eastAsia"/>
                <w:color w:val="auto"/>
                <w:kern w:val="2"/>
                <w:highlight w:val="none"/>
              </w:rPr>
              <w:t>投标人综合得分＝技术标得分＋商务标得分＋综合标得分。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601" w:type="dxa"/>
            <w:gridSpan w:val="8"/>
            <w:vAlign w:val="center"/>
          </w:tcPr>
          <w:p>
            <w:pPr>
              <w:pStyle w:val="14"/>
              <w:widowControl w:val="0"/>
              <w:spacing w:beforeAutospacing="0" w:afterAutospacing="0" w:line="390" w:lineRule="exact"/>
              <w:jc w:val="both"/>
              <w:rPr>
                <w:color w:val="auto"/>
                <w:kern w:val="2"/>
                <w:highlight w:val="none"/>
              </w:rPr>
            </w:pPr>
            <w:r>
              <w:rPr>
                <w:rFonts w:hint="eastAsia"/>
                <w:color w:val="auto"/>
                <w:kern w:val="2"/>
                <w:highlight w:val="none"/>
              </w:rPr>
              <w:t xml:space="preserve">（1）投标文件的评审分初步评审和详细评审两个阶段。 </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初步评审是指评标委员会按招标文件要求对所有投标文件真实性、符合性、响应性和重大偏差逐一评审，经审查不符合招标文件要求的，不再进入详细评审阶段。 </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真实性是指投标文件中没有《中华人民共和国招标投标法实施条例》第39、40、41、42条所禁止的相互串通投标、以他人名义投标、弄虚作假的情形。</w:t>
            </w:r>
          </w:p>
          <w:p>
            <w:pPr>
              <w:pStyle w:val="14"/>
              <w:widowControl w:val="0"/>
              <w:numPr>
                <w:ilvl w:val="0"/>
                <w:numId w:val="6"/>
              </w:numPr>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 禁止投标人相互串通投标。</w:t>
            </w:r>
          </w:p>
          <w:p>
            <w:pPr>
              <w:pStyle w:val="14"/>
              <w:widowControl w:val="0"/>
              <w:spacing w:beforeAutospacing="0" w:afterAutospacing="0" w:line="390" w:lineRule="exact"/>
              <w:jc w:val="both"/>
              <w:rPr>
                <w:color w:val="auto"/>
                <w:kern w:val="2"/>
                <w:highlight w:val="none"/>
              </w:rPr>
            </w:pPr>
            <w:r>
              <w:rPr>
                <w:rFonts w:hint="eastAsia"/>
                <w:color w:val="auto"/>
                <w:kern w:val="2"/>
                <w:highlight w:val="none"/>
              </w:rPr>
              <w:t xml:space="preserve">     有下列情形之一的，属于投标人相互串通投标：</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（一）投标人之间协商投标报价等投标文件的实质性内容；</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（二）投标人之间约定中标人；</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（三）投标人之间约定部分投标人放弃投标或者中标；</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（四）属于同一集团、协会、商会等组织成员的投标人按照该组织要求协同投标；</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（五）投标人之间为谋取中标或者排斥特定投标人而采取的其他联合行动。</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第40条 有下列情形之一的，视为投标人相互串通投标：</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（一）不同投标人的投标文件由同一单位或者个人编制；</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  （二）不同投标人委托同一单位或者个人办理投标事宜；</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  （三）不同投标人的投标文件载明的项目管理成员为同一人；</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  （四）不同投标人的投标文件异常一致或者投标报价呈规律性差异；</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  （五）不同投标人的投标文件相互混装；</w:t>
            </w:r>
          </w:p>
          <w:p>
            <w:pPr>
              <w:tabs>
                <w:tab w:val="left" w:pos="1200"/>
              </w:tabs>
              <w:spacing w:line="390" w:lineRule="exact"/>
              <w:ind w:firstLine="352" w:firstLineChars="147"/>
              <w:jc w:val="left"/>
              <w:rPr>
                <w:rFonts w:ascii="宋体" w:hAnsi="宋体" w:cs="宋体"/>
                <w:color w:val="auto"/>
                <w:sz w:val="24"/>
                <w:highlight w:val="none"/>
              </w:rPr>
            </w:pPr>
            <w:r>
              <w:rPr>
                <w:rFonts w:hint="eastAsia" w:ascii="宋体" w:hAnsi="宋体" w:cs="宋体"/>
                <w:color w:val="auto"/>
                <w:sz w:val="24"/>
                <w:highlight w:val="none"/>
              </w:rPr>
              <w:t>  （六）不同投标人的投标保证金从同一单位的账户转出。</w:t>
            </w:r>
          </w:p>
          <w:p>
            <w:pPr>
              <w:pStyle w:val="14"/>
              <w:widowControl w:val="0"/>
              <w:spacing w:beforeAutospacing="0" w:afterAutospacing="0" w:line="390" w:lineRule="exact"/>
              <w:ind w:firstLine="480" w:firstLineChars="200"/>
              <w:rPr>
                <w:color w:val="auto"/>
                <w:kern w:val="2"/>
                <w:highlight w:val="none"/>
              </w:rPr>
            </w:pPr>
            <w:r>
              <w:rPr>
                <w:rFonts w:hint="eastAsia"/>
                <w:color w:val="auto"/>
                <w:kern w:val="2"/>
                <w:highlight w:val="none"/>
              </w:rPr>
              <w:t>第41条 禁止招标人与投标人串通投标：</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有下列情形之一的，属于招标人与投标人串通投标：</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招标人在开标前开启投标文件并将有关信息泄露给其他投标人；</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招标人直接或间接向投标人泄露标底、评标委员会成员等信息；</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招标人明示或者暗示投标人压低或者抬高投标报价；</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招标人授意投标人撤换、修改投标文件；</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招标人明示或者暗示投标人为特定投标人中标提供方便；</w:t>
            </w:r>
          </w:p>
          <w:p>
            <w:pPr>
              <w:pStyle w:val="14"/>
              <w:widowControl w:val="0"/>
              <w:numPr>
                <w:ilvl w:val="0"/>
                <w:numId w:val="7"/>
              </w:numPr>
              <w:spacing w:beforeAutospacing="0" w:afterAutospacing="0" w:line="390" w:lineRule="exact"/>
              <w:ind w:firstLine="480" w:firstLineChars="200"/>
              <w:jc w:val="both"/>
              <w:rPr>
                <w:color w:val="auto"/>
                <w:kern w:val="2"/>
                <w:highlight w:val="none"/>
              </w:rPr>
            </w:pPr>
            <w:r>
              <w:rPr>
                <w:rFonts w:hint="eastAsia"/>
                <w:color w:val="auto"/>
                <w:kern w:val="2"/>
                <w:highlight w:val="none"/>
              </w:rPr>
              <w:t>招标人与投标人为谋求特定中标而采取的其他串通行为。</w:t>
            </w:r>
          </w:p>
          <w:p>
            <w:pPr>
              <w:pStyle w:val="14"/>
              <w:widowControl w:val="0"/>
              <w:spacing w:beforeAutospacing="0" w:afterAutospacing="0" w:line="390" w:lineRule="exact"/>
              <w:jc w:val="both"/>
              <w:rPr>
                <w:color w:val="auto"/>
                <w:kern w:val="2"/>
                <w:highlight w:val="none"/>
              </w:rPr>
            </w:pPr>
            <w:r>
              <w:rPr>
                <w:rFonts w:hint="eastAsia"/>
                <w:color w:val="auto"/>
                <w:kern w:val="2"/>
                <w:highlight w:val="none"/>
              </w:rPr>
              <w:t xml:space="preserve">     第42条  使用通过受让或租借等方式获取的资格、资质证书投标的，属于招标投标法第三十三条规定的以他人名义投标。</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重大偏差是指投标文件存在标的物、价格、工期、质量、付款方式、承诺等不符合招标文件实质性要求的情况。</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详细评审是对初步评审合格投标文件的技术标、商务标、综合（信用）标按照招标文件中明确的评标办法以列表、随机抽取的方式进行分析、比较和评审。 </w:t>
            </w:r>
          </w:p>
          <w:p>
            <w:pPr>
              <w:spacing w:line="390" w:lineRule="exact"/>
              <w:rPr>
                <w:rFonts w:ascii="宋体" w:hAnsi="宋体" w:cs="宋体"/>
                <w:color w:val="auto"/>
                <w:sz w:val="24"/>
                <w:highlight w:val="none"/>
              </w:rPr>
            </w:pPr>
            <w:r>
              <w:rPr>
                <w:rFonts w:hint="eastAsia" w:ascii="宋体" w:hAnsi="宋体" w:cs="宋体"/>
                <w:color w:val="auto"/>
                <w:sz w:val="24"/>
                <w:highlight w:val="none"/>
              </w:rPr>
              <w:t xml:space="preserve">   初步评审和详细评审经审查后应写出评审意见。</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2、评标委员会在评标过程中，发生下列情况之一者，按废标处理。 </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（一）未按招标文件规定编制各项报价的； </w:t>
            </w:r>
          </w:p>
          <w:p>
            <w:pPr>
              <w:pStyle w:val="14"/>
              <w:widowControl w:val="0"/>
              <w:spacing w:beforeAutospacing="0" w:afterAutospacing="0" w:line="390" w:lineRule="exact"/>
              <w:ind w:firstLine="480" w:firstLineChars="200"/>
              <w:jc w:val="both"/>
              <w:rPr>
                <w:color w:val="auto"/>
                <w:kern w:val="2"/>
                <w:highlight w:val="none"/>
              </w:rPr>
            </w:pPr>
            <w:r>
              <w:rPr>
                <w:rFonts w:hint="eastAsia"/>
                <w:color w:val="auto"/>
                <w:kern w:val="2"/>
                <w:highlight w:val="none"/>
              </w:rPr>
              <w:t xml:space="preserve">（二）投标总报价与其组成部分、工程量清单项目合价与综合单价、综合单价与人材机用量相互矛盾，致使评标委员会无法正常评审判定的； </w:t>
            </w:r>
          </w:p>
          <w:p>
            <w:pPr>
              <w:pStyle w:val="14"/>
              <w:widowControl w:val="0"/>
              <w:spacing w:beforeAutospacing="0" w:afterAutospacing="0" w:line="390" w:lineRule="exact"/>
              <w:jc w:val="both"/>
              <w:rPr>
                <w:color w:val="auto"/>
                <w:kern w:val="2"/>
                <w:highlight w:val="none"/>
              </w:rPr>
            </w:pPr>
            <w:r>
              <w:rPr>
                <w:rFonts w:hint="eastAsia"/>
                <w:color w:val="auto"/>
                <w:kern w:val="2"/>
                <w:highlight w:val="none"/>
              </w:rPr>
              <w:t>（三）分部分项工程项目、措施项目报价中的项目编码、项目名称、项目特征、计量单位和工程量与招标文件的清单不一致的；</w:t>
            </w:r>
          </w:p>
          <w:p>
            <w:pPr>
              <w:pStyle w:val="14"/>
              <w:widowControl w:val="0"/>
              <w:spacing w:beforeAutospacing="0" w:afterAutospacing="0" w:line="390" w:lineRule="exact"/>
              <w:jc w:val="both"/>
              <w:rPr>
                <w:color w:val="auto"/>
                <w:kern w:val="2"/>
                <w:highlight w:val="none"/>
              </w:rPr>
            </w:pPr>
            <w:r>
              <w:rPr>
                <w:rFonts w:hint="eastAsia"/>
                <w:color w:val="auto"/>
                <w:kern w:val="2"/>
                <w:highlight w:val="none"/>
              </w:rPr>
              <w:t xml:space="preserve"> （四）未按照暂列金额或者暂估价编制投标报价的。</w:t>
            </w:r>
          </w:p>
          <w:p>
            <w:pPr>
              <w:pStyle w:val="14"/>
              <w:widowControl w:val="0"/>
              <w:spacing w:beforeAutospacing="0" w:afterAutospacing="0" w:line="390" w:lineRule="exact"/>
              <w:jc w:val="both"/>
              <w:rPr>
                <w:color w:val="auto"/>
                <w:kern w:val="2"/>
                <w:highlight w:val="none"/>
              </w:rPr>
            </w:pPr>
            <w:r>
              <w:rPr>
                <w:rFonts w:hint="eastAsia"/>
                <w:color w:val="auto"/>
                <w:kern w:val="2"/>
                <w:highlight w:val="none"/>
              </w:rPr>
              <w:t>（五）住房和城乡建设部《标准施工招标文件》规定的废标条件。</w:t>
            </w:r>
          </w:p>
        </w:tc>
      </w:tr>
    </w:tbl>
    <w:p>
      <w:pPr>
        <w:pStyle w:val="14"/>
        <w:widowControl w:val="0"/>
        <w:spacing w:beforeAutospacing="0" w:afterAutospacing="0" w:line="0" w:lineRule="atLeast"/>
        <w:rPr>
          <w:color w:val="auto"/>
          <w:kern w:val="2"/>
          <w:sz w:val="21"/>
          <w:highlight w:val="none"/>
        </w:rPr>
      </w:pPr>
    </w:p>
    <w:p>
      <w:pPr>
        <w:pStyle w:val="9"/>
        <w:rPr>
          <w:color w:val="auto"/>
          <w:highlight w:val="none"/>
          <w:lang w:eastAsia="zh-CN"/>
        </w:rPr>
      </w:pPr>
      <w:bookmarkStart w:id="59" w:name="_Toc3299"/>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hint="eastAsia" w:ascii="宋体" w:hAnsi="宋体" w:eastAsia="宋体" w:cs="宋体"/>
          <w:color w:val="auto"/>
          <w:sz w:val="24"/>
          <w:highlight w:val="none"/>
        </w:rPr>
      </w:pPr>
    </w:p>
    <w:p>
      <w:pPr>
        <w:jc w:val="left"/>
        <w:rPr>
          <w:rFonts w:ascii="宋体" w:hAnsi="宋体" w:eastAsia="宋体" w:cs="宋体"/>
          <w:color w:val="auto"/>
          <w:sz w:val="24"/>
          <w:highlight w:val="none"/>
        </w:rPr>
      </w:pPr>
      <w:r>
        <w:rPr>
          <w:rFonts w:hint="eastAsia" w:ascii="宋体" w:hAnsi="宋体" w:eastAsia="宋体" w:cs="宋体"/>
          <w:color w:val="auto"/>
          <w:sz w:val="24"/>
          <w:highlight w:val="none"/>
        </w:rPr>
        <w:t>附件：商务标清标内容</w:t>
      </w:r>
      <w:bookmarkEnd w:id="59"/>
    </w:p>
    <w:p>
      <w:pPr>
        <w:jc w:val="left"/>
        <w:rPr>
          <w:rFonts w:ascii="宋体" w:hAnsi="宋体" w:eastAsia="宋体" w:cs="宋体"/>
          <w:color w:val="auto"/>
          <w:sz w:val="24"/>
          <w:highlight w:val="none"/>
        </w:rPr>
      </w:pPr>
    </w:p>
    <w:p>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商务标清标内容</w:t>
      </w:r>
    </w:p>
    <w:p>
      <w:pPr>
        <w:rPr>
          <w:rFonts w:ascii="宋体" w:hAnsi="宋体" w:cs="宋体"/>
          <w:color w:val="auto"/>
          <w:sz w:val="24"/>
          <w:highlight w:val="none"/>
        </w:rPr>
      </w:pPr>
    </w:p>
    <w:tbl>
      <w:tblPr>
        <w:tblStyle w:val="1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551"/>
        <w:gridCol w:w="3554"/>
        <w:gridCol w:w="3704"/>
        <w:gridCol w:w="611"/>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60" w:type="dxa"/>
            <w:gridSpan w:val="2"/>
            <w:vMerge w:val="restart"/>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3554" w:type="dxa"/>
            <w:vMerge w:val="restart"/>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清标项目</w:t>
            </w:r>
          </w:p>
        </w:tc>
        <w:tc>
          <w:tcPr>
            <w:tcW w:w="3704" w:type="dxa"/>
            <w:vMerge w:val="restart"/>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清标内容</w:t>
            </w:r>
          </w:p>
        </w:tc>
        <w:tc>
          <w:tcPr>
            <w:tcW w:w="1222" w:type="dxa"/>
            <w:gridSpan w:val="2"/>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清标结果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60" w:type="dxa"/>
            <w:gridSpan w:val="2"/>
            <w:vMerge w:val="continue"/>
            <w:vAlign w:val="center"/>
          </w:tcPr>
          <w:p>
            <w:pPr>
              <w:jc w:val="center"/>
              <w:rPr>
                <w:rFonts w:ascii="宋体" w:hAnsi="宋体" w:cs="宋体"/>
                <w:bCs/>
                <w:color w:val="auto"/>
                <w:kern w:val="0"/>
                <w:szCs w:val="21"/>
                <w:highlight w:val="none"/>
              </w:rPr>
            </w:pPr>
          </w:p>
        </w:tc>
        <w:tc>
          <w:tcPr>
            <w:tcW w:w="3554" w:type="dxa"/>
            <w:vMerge w:val="continue"/>
            <w:vAlign w:val="center"/>
          </w:tcPr>
          <w:p>
            <w:pPr>
              <w:jc w:val="center"/>
              <w:rPr>
                <w:rFonts w:ascii="宋体" w:hAnsi="宋体" w:cs="宋体"/>
                <w:bCs/>
                <w:color w:val="auto"/>
                <w:kern w:val="0"/>
                <w:szCs w:val="21"/>
                <w:highlight w:val="none"/>
              </w:rPr>
            </w:pPr>
          </w:p>
        </w:tc>
        <w:tc>
          <w:tcPr>
            <w:tcW w:w="3704" w:type="dxa"/>
            <w:vMerge w:val="continue"/>
            <w:vAlign w:val="center"/>
          </w:tcPr>
          <w:p>
            <w:pPr>
              <w:jc w:val="center"/>
              <w:rPr>
                <w:rFonts w:ascii="宋体" w:hAnsi="宋体" w:cs="宋体"/>
                <w:bCs/>
                <w:color w:val="auto"/>
                <w:kern w:val="0"/>
                <w:szCs w:val="21"/>
                <w:highlight w:val="none"/>
              </w:rPr>
            </w:pPr>
          </w:p>
        </w:tc>
        <w:tc>
          <w:tcPr>
            <w:tcW w:w="611" w:type="dxa"/>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是</w:t>
            </w:r>
          </w:p>
        </w:tc>
        <w:tc>
          <w:tcPr>
            <w:tcW w:w="611" w:type="dxa"/>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项目总</w:t>
            </w:r>
            <w:r>
              <w:rPr>
                <w:rFonts w:hint="eastAsia" w:ascii="宋体" w:hAnsi="宋体" w:cs="宋体"/>
                <w:bCs/>
                <w:color w:val="auto"/>
                <w:kern w:val="0"/>
                <w:szCs w:val="21"/>
                <w:highlight w:val="none"/>
              </w:rPr>
              <w:t>报</w:t>
            </w:r>
            <w:r>
              <w:rPr>
                <w:rFonts w:hint="eastAsia" w:ascii="宋体" w:hAnsi="宋体" w:cs="宋体"/>
                <w:color w:val="auto"/>
                <w:kern w:val="0"/>
                <w:szCs w:val="21"/>
                <w:highlight w:val="none"/>
              </w:rPr>
              <w:t>价</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是否等于各单项工程造价之和</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单项工程费</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是否等于各单位工程造价之和</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单位工程费</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是否等于分部分项工程费+措施项目费+其它项目费+规费+税金之和</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分部分项工程费及单价措施费</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是否等于各分部分项清单费之和</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分部分项及单价措施项目编码</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不得</w:t>
            </w:r>
            <w:r>
              <w:rPr>
                <w:rFonts w:hint="eastAsia" w:ascii="宋体" w:hAnsi="宋体" w:cs="宋体"/>
                <w:color w:val="auto"/>
                <w:kern w:val="0"/>
                <w:szCs w:val="21"/>
                <w:highlight w:val="none"/>
              </w:rPr>
              <w:t>修改招标人清单</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分部分项及单价措施项目名称</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不得</w:t>
            </w:r>
            <w:r>
              <w:rPr>
                <w:rFonts w:hint="eastAsia" w:ascii="宋体" w:hAnsi="宋体" w:cs="宋体"/>
                <w:color w:val="auto"/>
                <w:kern w:val="0"/>
                <w:szCs w:val="21"/>
                <w:highlight w:val="none"/>
              </w:rPr>
              <w:t>修改招标人清单</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分部分项及单价措施项目特征</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不得</w:t>
            </w:r>
            <w:r>
              <w:rPr>
                <w:rFonts w:hint="eastAsia" w:ascii="宋体" w:hAnsi="宋体" w:cs="宋体"/>
                <w:color w:val="auto"/>
                <w:kern w:val="0"/>
                <w:szCs w:val="21"/>
                <w:highlight w:val="none"/>
              </w:rPr>
              <w:t>修改招标人清单</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分部分项及单价措施项目计量单位</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不得</w:t>
            </w:r>
            <w:r>
              <w:rPr>
                <w:rFonts w:hint="eastAsia" w:ascii="宋体" w:hAnsi="宋体" w:cs="宋体"/>
                <w:color w:val="auto"/>
                <w:kern w:val="0"/>
                <w:szCs w:val="21"/>
                <w:highlight w:val="none"/>
              </w:rPr>
              <w:t>修改招标人清单</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分部分项及单价措施项目工程数量</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不得</w:t>
            </w:r>
            <w:r>
              <w:rPr>
                <w:rFonts w:hint="eastAsia" w:ascii="宋体" w:hAnsi="宋体" w:cs="宋体"/>
                <w:color w:val="auto"/>
                <w:kern w:val="0"/>
                <w:szCs w:val="21"/>
                <w:highlight w:val="none"/>
              </w:rPr>
              <w:t>修改招标人清单</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3554" w:type="dxa"/>
            <w:vAlign w:val="center"/>
          </w:tcPr>
          <w:p>
            <w:pPr>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分部分项工程费及单价措施费清单单价</w:t>
            </w:r>
          </w:p>
        </w:tc>
        <w:tc>
          <w:tcPr>
            <w:tcW w:w="3704" w:type="dxa"/>
            <w:vAlign w:val="center"/>
          </w:tcPr>
          <w:p>
            <w:pPr>
              <w:jc w:val="center"/>
              <w:rPr>
                <w:rFonts w:ascii="宋体" w:hAnsi="宋体" w:cs="宋体"/>
                <w:color w:val="auto"/>
                <w:kern w:val="0"/>
                <w:szCs w:val="21"/>
                <w:highlight w:val="none"/>
              </w:rPr>
            </w:pPr>
            <w:r>
              <w:rPr>
                <w:rFonts w:hint="eastAsia" w:ascii="宋体" w:hAnsi="宋体" w:cs="宋体"/>
                <w:bCs/>
                <w:color w:val="auto"/>
                <w:kern w:val="0"/>
                <w:szCs w:val="21"/>
                <w:highlight w:val="none"/>
              </w:rPr>
              <w:t>综合单价</w:t>
            </w:r>
            <w:r>
              <w:rPr>
                <w:rFonts w:hint="eastAsia" w:ascii="宋体" w:hAnsi="宋体" w:cs="宋体"/>
                <w:color w:val="auto"/>
                <w:kern w:val="0"/>
                <w:szCs w:val="21"/>
                <w:highlight w:val="none"/>
              </w:rPr>
              <w:t>＝人工费+材料费+机械费+管理费+利润之和；</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材料单价</w:t>
            </w:r>
          </w:p>
        </w:tc>
        <w:tc>
          <w:tcPr>
            <w:tcW w:w="3704" w:type="dxa"/>
            <w:vAlign w:val="center"/>
          </w:tcPr>
          <w:p>
            <w:pPr>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材料表中的单价与组成清单单价中的单价</w:t>
            </w:r>
            <w:r>
              <w:rPr>
                <w:rFonts w:hint="eastAsia" w:ascii="宋体" w:hAnsi="宋体" w:cs="宋体"/>
                <w:bCs/>
                <w:color w:val="auto"/>
                <w:spacing w:val="-6"/>
                <w:kern w:val="0"/>
                <w:szCs w:val="21"/>
                <w:highlight w:val="none"/>
              </w:rPr>
              <w:t>必须</w:t>
            </w:r>
            <w:r>
              <w:rPr>
                <w:rFonts w:hint="eastAsia" w:ascii="宋体" w:hAnsi="宋体" w:cs="宋体"/>
                <w:color w:val="auto"/>
                <w:spacing w:val="-6"/>
                <w:kern w:val="0"/>
                <w:szCs w:val="21"/>
                <w:highlight w:val="none"/>
              </w:rPr>
              <w:t>一致</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09"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安全文明费</w:t>
            </w:r>
          </w:p>
        </w:tc>
        <w:tc>
          <w:tcPr>
            <w:tcW w:w="3704" w:type="dxa"/>
            <w:vAlign w:val="center"/>
          </w:tcPr>
          <w:p>
            <w:pPr>
              <w:jc w:val="center"/>
              <w:rPr>
                <w:rFonts w:ascii="宋体" w:hAnsi="宋体" w:eastAsia="宋体" w:cs="宋体"/>
                <w:color w:val="auto"/>
                <w:kern w:val="0"/>
                <w:szCs w:val="21"/>
                <w:highlight w:val="none"/>
              </w:rPr>
            </w:pPr>
            <w:r>
              <w:rPr>
                <w:rFonts w:hint="eastAsia" w:ascii="宋体" w:hAnsi="宋体" w:cs="宋体"/>
                <w:color w:val="auto"/>
                <w:kern w:val="0"/>
                <w:szCs w:val="21"/>
                <w:highlight w:val="none"/>
              </w:rPr>
              <w:t>根据河南省计价依据规定计算</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总价措施项目</w:t>
            </w:r>
          </w:p>
        </w:tc>
        <w:tc>
          <w:tcPr>
            <w:tcW w:w="3704" w:type="dxa"/>
            <w:vAlign w:val="center"/>
          </w:tcPr>
          <w:p>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根据招标文件要求自主报价</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9"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其它项目费</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必须等于各组成部分之和（暂列金额+专业暂估价+计日工费+总承包服务费）</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暂列金额</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必须与招标人价格一致</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专业暂估价</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必须与招标人价格一致</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计日工</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必须与招标人数量一致</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9" w:type="dxa"/>
            <w:vMerge w:val="continue"/>
            <w:vAlign w:val="center"/>
          </w:tcPr>
          <w:p>
            <w:pPr>
              <w:jc w:val="center"/>
              <w:rPr>
                <w:rFonts w:ascii="宋体" w:hAnsi="宋体" w:cs="宋体"/>
                <w:color w:val="auto"/>
                <w:kern w:val="0"/>
                <w:szCs w:val="21"/>
                <w:highlight w:val="none"/>
              </w:rPr>
            </w:pPr>
          </w:p>
        </w:tc>
        <w:tc>
          <w:tcPr>
            <w:tcW w:w="551"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c>
          <w:tcPr>
            <w:tcW w:w="355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总承包服务费</w:t>
            </w:r>
          </w:p>
        </w:tc>
        <w:tc>
          <w:tcPr>
            <w:tcW w:w="3704"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是否按</w:t>
            </w:r>
            <w:r>
              <w:rPr>
                <w:rFonts w:hint="eastAsia" w:ascii="宋体" w:hAnsi="宋体" w:cs="宋体"/>
                <w:bCs/>
                <w:color w:val="auto"/>
                <w:kern w:val="0"/>
                <w:szCs w:val="21"/>
                <w:highlight w:val="none"/>
              </w:rPr>
              <w:t>招标文件要求</w:t>
            </w:r>
            <w:r>
              <w:rPr>
                <w:rFonts w:hint="eastAsia" w:ascii="宋体" w:hAnsi="宋体" w:cs="宋体"/>
                <w:color w:val="auto"/>
                <w:kern w:val="0"/>
                <w:szCs w:val="21"/>
                <w:highlight w:val="none"/>
              </w:rPr>
              <w:t>计算</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09"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51" w:type="dxa"/>
            <w:vAlign w:val="center"/>
          </w:tcPr>
          <w:p>
            <w:pPr>
              <w:jc w:val="center"/>
              <w:rPr>
                <w:rFonts w:ascii="宋体" w:hAnsi="宋体" w:cs="宋体"/>
                <w:color w:val="auto"/>
                <w:kern w:val="0"/>
                <w:szCs w:val="21"/>
                <w:highlight w:val="none"/>
              </w:rPr>
            </w:pPr>
          </w:p>
        </w:tc>
        <w:tc>
          <w:tcPr>
            <w:tcW w:w="3554" w:type="dxa"/>
            <w:vAlign w:val="center"/>
          </w:tcPr>
          <w:p>
            <w:pPr>
              <w:spacing w:line="240" w:lineRule="exact"/>
              <w:jc w:val="center"/>
              <w:rPr>
                <w:rFonts w:ascii="宋体" w:hAnsi="宋体" w:eastAsia="宋体" w:cs="宋体"/>
                <w:color w:val="auto"/>
                <w:kern w:val="0"/>
                <w:szCs w:val="21"/>
                <w:highlight w:val="none"/>
              </w:rPr>
            </w:pPr>
            <w:r>
              <w:rPr>
                <w:color w:val="auto"/>
                <w:sz w:val="22"/>
                <w:highlight w:val="none"/>
              </w:rPr>
              <w:t>增值税</w:t>
            </w:r>
          </w:p>
        </w:tc>
        <w:tc>
          <w:tcPr>
            <w:tcW w:w="3704" w:type="dxa"/>
            <w:vAlign w:val="center"/>
          </w:tcPr>
          <w:p>
            <w:pPr>
              <w:spacing w:line="240" w:lineRule="exact"/>
              <w:jc w:val="center"/>
              <w:rPr>
                <w:rFonts w:ascii="宋体" w:hAnsi="宋体" w:cs="宋体"/>
                <w:color w:val="auto"/>
                <w:kern w:val="0"/>
                <w:szCs w:val="21"/>
                <w:highlight w:val="none"/>
              </w:rPr>
            </w:pPr>
            <w:r>
              <w:rPr>
                <w:color w:val="auto"/>
                <w:szCs w:val="21"/>
                <w:highlight w:val="none"/>
              </w:rPr>
              <w:t>根据河南省计价依据规定计算</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09"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51" w:type="dxa"/>
            <w:vAlign w:val="center"/>
          </w:tcPr>
          <w:p>
            <w:pPr>
              <w:jc w:val="center"/>
              <w:rPr>
                <w:rFonts w:ascii="宋体" w:hAnsi="宋体" w:cs="宋体"/>
                <w:color w:val="auto"/>
                <w:kern w:val="0"/>
                <w:szCs w:val="21"/>
                <w:highlight w:val="none"/>
              </w:rPr>
            </w:pPr>
          </w:p>
        </w:tc>
        <w:tc>
          <w:tcPr>
            <w:tcW w:w="3554" w:type="dxa"/>
            <w:vAlign w:val="center"/>
          </w:tcPr>
          <w:p>
            <w:pPr>
              <w:jc w:val="center"/>
              <w:rPr>
                <w:rFonts w:ascii="宋体" w:hAnsi="宋体" w:cs="宋体"/>
                <w:b/>
                <w:color w:val="auto"/>
                <w:kern w:val="0"/>
                <w:sz w:val="22"/>
                <w:szCs w:val="22"/>
                <w:highlight w:val="none"/>
              </w:rPr>
            </w:pPr>
            <w:r>
              <w:rPr>
                <w:rFonts w:hint="eastAsia" w:ascii="宋体" w:hAnsi="宋体" w:cs="宋体"/>
                <w:color w:val="auto"/>
                <w:kern w:val="0"/>
                <w:szCs w:val="21"/>
                <w:highlight w:val="none"/>
              </w:rPr>
              <w:t>规费</w:t>
            </w:r>
          </w:p>
        </w:tc>
        <w:tc>
          <w:tcPr>
            <w:tcW w:w="3704" w:type="dxa"/>
            <w:vAlign w:val="center"/>
          </w:tcPr>
          <w:p>
            <w:pPr>
              <w:jc w:val="center"/>
              <w:rPr>
                <w:rFonts w:ascii="宋体" w:hAnsi="宋体" w:cs="宋体"/>
                <w:b/>
                <w:color w:val="auto"/>
                <w:kern w:val="0"/>
                <w:sz w:val="22"/>
                <w:szCs w:val="22"/>
                <w:highlight w:val="none"/>
              </w:rPr>
            </w:pPr>
            <w:r>
              <w:rPr>
                <w:rFonts w:hint="eastAsia" w:ascii="宋体" w:hAnsi="宋体" w:cs="宋体"/>
                <w:color w:val="auto"/>
                <w:kern w:val="0"/>
                <w:szCs w:val="21"/>
                <w:highlight w:val="none"/>
              </w:rPr>
              <w:t>根据河南省计价依据规定计算</w:t>
            </w:r>
          </w:p>
        </w:tc>
        <w:tc>
          <w:tcPr>
            <w:tcW w:w="611" w:type="dxa"/>
            <w:vAlign w:val="center"/>
          </w:tcPr>
          <w:p>
            <w:pPr>
              <w:jc w:val="center"/>
              <w:rPr>
                <w:rFonts w:ascii="宋体" w:hAnsi="宋体" w:cs="宋体"/>
                <w:color w:val="auto"/>
                <w:kern w:val="0"/>
                <w:szCs w:val="21"/>
                <w:highlight w:val="none"/>
              </w:rPr>
            </w:pPr>
          </w:p>
        </w:tc>
        <w:tc>
          <w:tcPr>
            <w:tcW w:w="611" w:type="dxa"/>
            <w:vAlign w:val="center"/>
          </w:tcPr>
          <w:p>
            <w:pPr>
              <w:jc w:val="center"/>
              <w:rPr>
                <w:rFonts w:ascii="宋体" w:hAnsi="宋体" w:cs="宋体"/>
                <w:color w:val="auto"/>
                <w:kern w:val="0"/>
                <w:szCs w:val="21"/>
                <w:highlight w:val="none"/>
              </w:rPr>
            </w:pPr>
          </w:p>
        </w:tc>
      </w:tr>
    </w:tbl>
    <w:p>
      <w:pPr>
        <w:rPr>
          <w:rFonts w:ascii="宋体" w:hAnsi="宋体" w:cs="宋体"/>
          <w:color w:val="auto"/>
          <w:sz w:val="24"/>
          <w:highlight w:val="none"/>
        </w:rPr>
      </w:pPr>
      <w:r>
        <w:rPr>
          <w:rFonts w:hint="eastAsia" w:ascii="宋体" w:hAnsi="宋体" w:cs="宋体"/>
          <w:b/>
          <w:color w:val="auto"/>
          <w:sz w:val="24"/>
          <w:highlight w:val="none"/>
        </w:rPr>
        <w:t>注：以上清标内容个别项如有不满足的，请在投标文件中做特别说明，否则有一项不通过，评标委员会将按否决其投标处理。</w:t>
      </w:r>
    </w:p>
    <w:p>
      <w:pPr>
        <w:rPr>
          <w:color w:val="auto"/>
          <w:highlight w:val="none"/>
        </w:rPr>
      </w:pPr>
    </w:p>
    <w:p>
      <w:pPr>
        <w:pStyle w:val="14"/>
        <w:widowControl w:val="0"/>
        <w:spacing w:beforeAutospacing="0" w:afterAutospacing="0" w:line="0" w:lineRule="atLeast"/>
        <w:rPr>
          <w:color w:val="auto"/>
          <w:kern w:val="2"/>
          <w:sz w:val="21"/>
          <w:highlight w:val="none"/>
        </w:rPr>
      </w:pPr>
    </w:p>
    <w:p>
      <w:pPr>
        <w:spacing w:after="156" w:afterLines="50"/>
        <w:jc w:val="left"/>
        <w:rPr>
          <w:rFonts w:eastAsia="黑体"/>
          <w:color w:val="auto"/>
          <w:spacing w:val="-6"/>
          <w:kern w:val="0"/>
          <w:sz w:val="32"/>
          <w:szCs w:val="32"/>
          <w:highlight w:val="none"/>
        </w:rPr>
      </w:pPr>
      <w:r>
        <w:rPr>
          <w:rFonts w:hint="eastAsia" w:eastAsia="黑体"/>
          <w:color w:val="auto"/>
          <w:spacing w:val="-6"/>
          <w:kern w:val="0"/>
          <w:sz w:val="32"/>
          <w:szCs w:val="32"/>
          <w:highlight w:val="none"/>
        </w:rPr>
        <w:t>附件</w:t>
      </w:r>
      <w:r>
        <w:rPr>
          <w:rFonts w:eastAsia="黑体"/>
          <w:color w:val="auto"/>
          <w:spacing w:val="-6"/>
          <w:kern w:val="0"/>
          <w:sz w:val="32"/>
          <w:szCs w:val="32"/>
          <w:highlight w:val="none"/>
        </w:rPr>
        <w:t>3</w:t>
      </w:r>
    </w:p>
    <w:p>
      <w:pPr>
        <w:spacing w:after="156" w:afterLines="50" w:line="760" w:lineRule="exact"/>
        <w:jc w:val="center"/>
        <w:rPr>
          <w:rFonts w:eastAsia="方正小标宋简体"/>
          <w:color w:val="auto"/>
          <w:spacing w:val="-6"/>
          <w:kern w:val="0"/>
          <w:sz w:val="36"/>
          <w:szCs w:val="36"/>
          <w:highlight w:val="none"/>
        </w:rPr>
      </w:pPr>
      <w:r>
        <w:rPr>
          <w:rFonts w:hint="eastAsia" w:eastAsia="方正小标宋简体"/>
          <w:color w:val="auto"/>
          <w:spacing w:val="-6"/>
          <w:kern w:val="0"/>
          <w:sz w:val="36"/>
          <w:szCs w:val="36"/>
          <w:highlight w:val="none"/>
        </w:rPr>
        <w:t>投标企业良好信用信息采集项</w:t>
      </w:r>
    </w:p>
    <w:tbl>
      <w:tblPr>
        <w:tblStyle w:val="17"/>
        <w:tblW w:w="9035" w:type="dxa"/>
        <w:jc w:val="center"/>
        <w:tblLayout w:type="fixed"/>
        <w:tblCellMar>
          <w:top w:w="0" w:type="dxa"/>
          <w:left w:w="108" w:type="dxa"/>
          <w:bottom w:w="0" w:type="dxa"/>
          <w:right w:w="108" w:type="dxa"/>
        </w:tblCellMar>
      </w:tblPr>
      <w:tblGrid>
        <w:gridCol w:w="1841"/>
        <w:gridCol w:w="5186"/>
        <w:gridCol w:w="2008"/>
      </w:tblGrid>
      <w:tr>
        <w:tblPrEx>
          <w:tblCellMar>
            <w:top w:w="0" w:type="dxa"/>
            <w:left w:w="108" w:type="dxa"/>
            <w:bottom w:w="0" w:type="dxa"/>
            <w:right w:w="108" w:type="dxa"/>
          </w:tblCellMar>
        </w:tblPrEx>
        <w:trPr>
          <w:trHeight w:val="655"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b/>
                <w:bCs/>
                <w:color w:val="auto"/>
                <w:kern w:val="0"/>
                <w:szCs w:val="21"/>
                <w:highlight w:val="none"/>
              </w:rPr>
            </w:pPr>
            <w:r>
              <w:rPr>
                <w:rFonts w:hint="eastAsia"/>
                <w:b/>
                <w:bCs/>
                <w:color w:val="auto"/>
                <w:szCs w:val="21"/>
                <w:highlight w:val="none"/>
              </w:rPr>
              <w:t>信用</w:t>
            </w:r>
            <w:r>
              <w:rPr>
                <w:rFonts w:hint="eastAsia"/>
                <w:b/>
                <w:bCs/>
                <w:color w:val="auto"/>
                <w:kern w:val="0"/>
                <w:szCs w:val="21"/>
                <w:highlight w:val="none"/>
              </w:rPr>
              <w:t>类别</w:t>
            </w:r>
          </w:p>
        </w:tc>
        <w:tc>
          <w:tcPr>
            <w:tcW w:w="5186" w:type="dxa"/>
            <w:tcBorders>
              <w:top w:val="single" w:color="auto" w:sz="4" w:space="0"/>
              <w:left w:val="nil"/>
              <w:bottom w:val="single" w:color="auto" w:sz="4" w:space="0"/>
              <w:right w:val="single" w:color="auto" w:sz="4" w:space="0"/>
            </w:tcBorders>
            <w:vAlign w:val="center"/>
          </w:tcPr>
          <w:p>
            <w:pPr>
              <w:spacing w:line="240" w:lineRule="exact"/>
              <w:jc w:val="center"/>
              <w:rPr>
                <w:b/>
                <w:bCs/>
                <w:color w:val="auto"/>
                <w:kern w:val="0"/>
                <w:szCs w:val="21"/>
                <w:highlight w:val="none"/>
              </w:rPr>
            </w:pPr>
            <w:r>
              <w:rPr>
                <w:rFonts w:hint="eastAsia"/>
                <w:b/>
                <w:bCs/>
                <w:color w:val="auto"/>
                <w:kern w:val="0"/>
                <w:szCs w:val="21"/>
                <w:highlight w:val="none"/>
              </w:rPr>
              <w:t>良好</w:t>
            </w:r>
            <w:r>
              <w:rPr>
                <w:rFonts w:hint="eastAsia"/>
                <w:b/>
                <w:bCs/>
                <w:color w:val="auto"/>
                <w:szCs w:val="21"/>
                <w:highlight w:val="none"/>
              </w:rPr>
              <w:t>信用</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b/>
                <w:bCs/>
                <w:color w:val="auto"/>
                <w:kern w:val="0"/>
                <w:szCs w:val="21"/>
                <w:highlight w:val="none"/>
              </w:rPr>
            </w:pPr>
            <w:r>
              <w:rPr>
                <w:rFonts w:hint="eastAsia"/>
                <w:b/>
                <w:bCs/>
                <w:color w:val="auto"/>
                <w:kern w:val="0"/>
                <w:szCs w:val="21"/>
                <w:highlight w:val="none"/>
              </w:rPr>
              <w:t>周期</w:t>
            </w:r>
          </w:p>
        </w:tc>
      </w:tr>
      <w:tr>
        <w:tblPrEx>
          <w:tblCellMar>
            <w:top w:w="0" w:type="dxa"/>
            <w:left w:w="108" w:type="dxa"/>
            <w:bottom w:w="0" w:type="dxa"/>
            <w:right w:w="108" w:type="dxa"/>
          </w:tblCellMar>
        </w:tblPrEx>
        <w:trPr>
          <w:trHeight w:val="773" w:hRule="atLeast"/>
          <w:jc w:val="center"/>
        </w:trPr>
        <w:tc>
          <w:tcPr>
            <w:tcW w:w="1841" w:type="dxa"/>
            <w:vMerge w:val="restart"/>
            <w:tcBorders>
              <w:top w:val="nil"/>
              <w:left w:val="single" w:color="auto" w:sz="4" w:space="0"/>
              <w:bottom w:val="single" w:color="auto" w:sz="4" w:space="0"/>
              <w:right w:val="single" w:color="auto" w:sz="4" w:space="0"/>
            </w:tcBorders>
            <w:vAlign w:val="center"/>
          </w:tcPr>
          <w:p>
            <w:pPr>
              <w:spacing w:line="240" w:lineRule="exact"/>
              <w:jc w:val="center"/>
              <w:rPr>
                <w:color w:val="auto"/>
                <w:kern w:val="0"/>
                <w:szCs w:val="21"/>
                <w:highlight w:val="none"/>
              </w:rPr>
            </w:pPr>
            <w:r>
              <w:rPr>
                <w:rFonts w:hint="eastAsia"/>
                <w:color w:val="auto"/>
                <w:kern w:val="0"/>
                <w:szCs w:val="21"/>
                <w:highlight w:val="none"/>
              </w:rPr>
              <w:t>工程质量获奖</w:t>
            </w:r>
          </w:p>
        </w:tc>
        <w:tc>
          <w:tcPr>
            <w:tcW w:w="5186" w:type="dxa"/>
            <w:tcBorders>
              <w:top w:val="single" w:color="auto" w:sz="4" w:space="0"/>
              <w:left w:val="nil"/>
              <w:bottom w:val="single" w:color="auto" w:sz="4" w:space="0"/>
              <w:right w:val="single" w:color="auto" w:sz="4" w:space="0"/>
            </w:tcBorders>
            <w:vAlign w:val="center"/>
          </w:tcPr>
          <w:p>
            <w:pPr>
              <w:spacing w:line="260" w:lineRule="exact"/>
              <w:jc w:val="left"/>
              <w:rPr>
                <w:color w:val="auto"/>
                <w:kern w:val="0"/>
                <w:szCs w:val="21"/>
                <w:highlight w:val="none"/>
              </w:rPr>
            </w:pPr>
            <w:r>
              <w:rPr>
                <w:rFonts w:hint="eastAsia"/>
                <w:color w:val="auto"/>
                <w:kern w:val="0"/>
                <w:szCs w:val="21"/>
                <w:highlight w:val="none"/>
              </w:rPr>
              <w:t>中国建设工程鲁班奖（国家优质工程）、中国钢结构金奖、中国土木工程詹天佑奖</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769"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60" w:lineRule="exact"/>
              <w:jc w:val="left"/>
              <w:rPr>
                <w:color w:val="auto"/>
                <w:kern w:val="0"/>
                <w:szCs w:val="21"/>
                <w:highlight w:val="none"/>
              </w:rPr>
            </w:pPr>
            <w:r>
              <w:rPr>
                <w:rFonts w:hint="eastAsia"/>
                <w:color w:val="auto"/>
                <w:kern w:val="0"/>
                <w:szCs w:val="21"/>
                <w:highlight w:val="none"/>
              </w:rPr>
              <w:t>中国建筑工程装饰奖（公共建筑装饰、建筑幕墙、公共建筑装饰设计）</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561"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60" w:lineRule="exact"/>
              <w:jc w:val="left"/>
              <w:rPr>
                <w:color w:val="auto"/>
                <w:kern w:val="0"/>
                <w:szCs w:val="21"/>
                <w:highlight w:val="none"/>
              </w:rPr>
            </w:pPr>
            <w:r>
              <w:rPr>
                <w:rFonts w:hint="eastAsia"/>
                <w:color w:val="auto"/>
                <w:kern w:val="0"/>
                <w:szCs w:val="21"/>
                <w:highlight w:val="none"/>
              </w:rPr>
              <w:t>省长质量奖</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624"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60" w:lineRule="exact"/>
              <w:jc w:val="left"/>
              <w:rPr>
                <w:color w:val="auto"/>
                <w:kern w:val="0"/>
                <w:szCs w:val="21"/>
                <w:highlight w:val="none"/>
              </w:rPr>
            </w:pPr>
            <w:r>
              <w:rPr>
                <w:rFonts w:hint="eastAsia"/>
                <w:color w:val="auto"/>
                <w:kern w:val="0"/>
                <w:szCs w:val="21"/>
                <w:highlight w:val="none"/>
              </w:rPr>
              <w:t>省级建设主管部门颁发的工程质量奖</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561" w:hRule="atLeast"/>
          <w:jc w:val="center"/>
        </w:trPr>
        <w:tc>
          <w:tcPr>
            <w:tcW w:w="1841" w:type="dxa"/>
            <w:vMerge w:val="restart"/>
            <w:tcBorders>
              <w:top w:val="nil"/>
              <w:left w:val="single" w:color="auto" w:sz="4" w:space="0"/>
              <w:bottom w:val="single" w:color="auto" w:sz="4" w:space="0"/>
              <w:right w:val="single" w:color="auto" w:sz="4" w:space="0"/>
            </w:tcBorders>
            <w:vAlign w:val="center"/>
          </w:tcPr>
          <w:p>
            <w:pPr>
              <w:spacing w:line="240" w:lineRule="exact"/>
              <w:jc w:val="center"/>
              <w:rPr>
                <w:color w:val="auto"/>
                <w:kern w:val="0"/>
                <w:szCs w:val="21"/>
                <w:highlight w:val="none"/>
              </w:rPr>
            </w:pPr>
            <w:r>
              <w:rPr>
                <w:rFonts w:hint="eastAsia"/>
                <w:color w:val="auto"/>
                <w:kern w:val="0"/>
                <w:szCs w:val="21"/>
                <w:highlight w:val="none"/>
              </w:rPr>
              <w:t>一般性通报表彰</w:t>
            </w:r>
          </w:p>
        </w:tc>
        <w:tc>
          <w:tcPr>
            <w:tcW w:w="5186" w:type="dxa"/>
            <w:tcBorders>
              <w:top w:val="single" w:color="auto" w:sz="4" w:space="0"/>
              <w:left w:val="nil"/>
              <w:bottom w:val="single" w:color="auto" w:sz="4" w:space="0"/>
              <w:right w:val="single" w:color="auto" w:sz="4" w:space="0"/>
            </w:tcBorders>
            <w:vAlign w:val="center"/>
          </w:tcPr>
          <w:p>
            <w:pPr>
              <w:spacing w:line="260" w:lineRule="exact"/>
              <w:jc w:val="left"/>
              <w:rPr>
                <w:color w:val="auto"/>
                <w:kern w:val="0"/>
                <w:szCs w:val="21"/>
                <w:highlight w:val="none"/>
              </w:rPr>
            </w:pPr>
            <w:r>
              <w:rPr>
                <w:rFonts w:hint="eastAsia"/>
                <w:color w:val="auto"/>
                <w:kern w:val="0"/>
                <w:szCs w:val="21"/>
                <w:highlight w:val="none"/>
              </w:rPr>
              <w:t>住房城乡建设部、省人民政府的表彰</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561"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pStyle w:val="8"/>
              <w:rPr>
                <w:color w:val="auto"/>
                <w:kern w:val="0"/>
                <w:szCs w:val="21"/>
                <w:highlight w:val="none"/>
              </w:rPr>
            </w:pPr>
            <w:r>
              <w:rPr>
                <w:rFonts w:hint="eastAsia"/>
                <w:color w:val="auto"/>
                <w:kern w:val="0"/>
                <w:szCs w:val="21"/>
                <w:highlight w:val="none"/>
              </w:rPr>
              <w:t>县级以上人民政府或</w:t>
            </w:r>
            <w:r>
              <w:rPr>
                <w:rFonts w:hint="eastAsia"/>
                <w:color w:val="auto"/>
                <w:highlight w:val="none"/>
              </w:rPr>
              <w:t>住房城乡</w:t>
            </w:r>
            <w:r>
              <w:rPr>
                <w:rFonts w:hint="eastAsia"/>
                <w:color w:val="auto"/>
                <w:kern w:val="0"/>
                <w:szCs w:val="21"/>
                <w:highlight w:val="none"/>
              </w:rPr>
              <w:t>建设主管部门的表彰</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741" w:hRule="atLeast"/>
          <w:jc w:val="center"/>
        </w:trPr>
        <w:tc>
          <w:tcPr>
            <w:tcW w:w="1841" w:type="dxa"/>
            <w:vMerge w:val="restart"/>
            <w:tcBorders>
              <w:top w:val="nil"/>
              <w:left w:val="single" w:color="auto" w:sz="4" w:space="0"/>
              <w:bottom w:val="single" w:color="auto" w:sz="4" w:space="0"/>
              <w:right w:val="single" w:color="auto" w:sz="4" w:space="0"/>
            </w:tcBorders>
            <w:vAlign w:val="center"/>
          </w:tcPr>
          <w:p>
            <w:pPr>
              <w:spacing w:line="240" w:lineRule="exact"/>
              <w:jc w:val="center"/>
              <w:rPr>
                <w:color w:val="auto"/>
                <w:kern w:val="0"/>
                <w:szCs w:val="21"/>
                <w:highlight w:val="none"/>
              </w:rPr>
            </w:pPr>
            <w:r>
              <w:rPr>
                <w:rFonts w:hint="eastAsia"/>
                <w:color w:val="auto"/>
                <w:kern w:val="0"/>
                <w:szCs w:val="21"/>
                <w:highlight w:val="none"/>
              </w:rPr>
              <w:t>科技创新</w:t>
            </w:r>
          </w:p>
          <w:p>
            <w:pPr>
              <w:spacing w:line="240" w:lineRule="exact"/>
              <w:jc w:val="center"/>
              <w:rPr>
                <w:color w:val="auto"/>
                <w:kern w:val="0"/>
                <w:szCs w:val="21"/>
                <w:highlight w:val="none"/>
              </w:rPr>
            </w:pPr>
            <w:r>
              <w:rPr>
                <w:rFonts w:hint="eastAsia"/>
                <w:color w:val="auto"/>
                <w:kern w:val="0"/>
                <w:szCs w:val="21"/>
                <w:highlight w:val="none"/>
              </w:rPr>
              <w:t>（建筑类）</w:t>
            </w: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企业参与标准、定额、工法编制：（</w:t>
            </w:r>
            <w:r>
              <w:rPr>
                <w:color w:val="auto"/>
                <w:kern w:val="0"/>
                <w:szCs w:val="21"/>
                <w:highlight w:val="none"/>
              </w:rPr>
              <w:t>1</w:t>
            </w:r>
            <w:r>
              <w:rPr>
                <w:rFonts w:hint="eastAsia"/>
                <w:color w:val="auto"/>
                <w:kern w:val="0"/>
                <w:szCs w:val="21"/>
                <w:highlight w:val="none"/>
              </w:rPr>
              <w:t>）国家级；（</w:t>
            </w:r>
            <w:r>
              <w:rPr>
                <w:color w:val="auto"/>
                <w:kern w:val="0"/>
                <w:szCs w:val="21"/>
                <w:highlight w:val="none"/>
              </w:rPr>
              <w:t>2</w:t>
            </w:r>
            <w:r>
              <w:rPr>
                <w:rFonts w:hint="eastAsia"/>
                <w:color w:val="auto"/>
                <w:kern w:val="0"/>
                <w:szCs w:val="21"/>
                <w:highlight w:val="none"/>
              </w:rPr>
              <w:t>）省级。</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756"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科技示范工程：（</w:t>
            </w:r>
            <w:r>
              <w:rPr>
                <w:color w:val="auto"/>
                <w:kern w:val="0"/>
                <w:szCs w:val="21"/>
                <w:highlight w:val="none"/>
              </w:rPr>
              <w:t>1</w:t>
            </w:r>
            <w:r>
              <w:rPr>
                <w:rFonts w:hint="eastAsia"/>
                <w:color w:val="auto"/>
                <w:kern w:val="0"/>
                <w:szCs w:val="21"/>
                <w:highlight w:val="none"/>
              </w:rPr>
              <w:t>）住房城乡建设部；（</w:t>
            </w:r>
            <w:r>
              <w:rPr>
                <w:color w:val="auto"/>
                <w:kern w:val="0"/>
                <w:szCs w:val="21"/>
                <w:highlight w:val="none"/>
              </w:rPr>
              <w:t>2</w:t>
            </w:r>
            <w:r>
              <w:rPr>
                <w:rFonts w:hint="eastAsia"/>
                <w:color w:val="auto"/>
                <w:kern w:val="0"/>
                <w:szCs w:val="21"/>
                <w:highlight w:val="none"/>
              </w:rPr>
              <w:t>）省级。</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696"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企业专利：（</w:t>
            </w:r>
            <w:r>
              <w:rPr>
                <w:color w:val="auto"/>
                <w:kern w:val="0"/>
                <w:szCs w:val="21"/>
                <w:highlight w:val="none"/>
              </w:rPr>
              <w:t>1</w:t>
            </w:r>
            <w:r>
              <w:rPr>
                <w:rFonts w:hint="eastAsia"/>
                <w:color w:val="auto"/>
                <w:kern w:val="0"/>
                <w:szCs w:val="21"/>
                <w:highlight w:val="none"/>
              </w:rPr>
              <w:t>）发明专利；（</w:t>
            </w:r>
            <w:r>
              <w:rPr>
                <w:color w:val="auto"/>
                <w:kern w:val="0"/>
                <w:szCs w:val="21"/>
                <w:highlight w:val="none"/>
              </w:rPr>
              <w:t>2</w:t>
            </w:r>
            <w:r>
              <w:rPr>
                <w:rFonts w:hint="eastAsia"/>
                <w:color w:val="auto"/>
                <w:kern w:val="0"/>
                <w:szCs w:val="21"/>
                <w:highlight w:val="none"/>
              </w:rPr>
              <w:t>）实用新型专利。</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624"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企业科技开发或科技进步奖：（</w:t>
            </w:r>
            <w:r>
              <w:rPr>
                <w:color w:val="auto"/>
                <w:kern w:val="0"/>
                <w:szCs w:val="21"/>
                <w:highlight w:val="none"/>
              </w:rPr>
              <w:t>1</w:t>
            </w:r>
            <w:r>
              <w:rPr>
                <w:rFonts w:hint="eastAsia"/>
                <w:color w:val="auto"/>
                <w:kern w:val="0"/>
                <w:szCs w:val="21"/>
                <w:highlight w:val="none"/>
              </w:rPr>
              <w:t>）国家级；（</w:t>
            </w:r>
            <w:r>
              <w:rPr>
                <w:color w:val="auto"/>
                <w:kern w:val="0"/>
                <w:szCs w:val="21"/>
                <w:highlight w:val="none"/>
              </w:rPr>
              <w:t>2</w:t>
            </w:r>
            <w:r>
              <w:rPr>
                <w:rFonts w:hint="eastAsia"/>
                <w:color w:val="auto"/>
                <w:kern w:val="0"/>
                <w:szCs w:val="21"/>
                <w:highlight w:val="none"/>
              </w:rPr>
              <w:t>）省级科技成果或科技进步奖。</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681"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企业科技项目：（</w:t>
            </w:r>
            <w:r>
              <w:rPr>
                <w:color w:val="auto"/>
                <w:kern w:val="0"/>
                <w:szCs w:val="21"/>
                <w:highlight w:val="none"/>
              </w:rPr>
              <w:t>1</w:t>
            </w:r>
            <w:r>
              <w:rPr>
                <w:rFonts w:hint="eastAsia"/>
                <w:color w:val="auto"/>
                <w:kern w:val="0"/>
                <w:szCs w:val="21"/>
                <w:highlight w:val="none"/>
              </w:rPr>
              <w:t>）国家级；（</w:t>
            </w:r>
            <w:r>
              <w:rPr>
                <w:color w:val="auto"/>
                <w:kern w:val="0"/>
                <w:szCs w:val="21"/>
                <w:highlight w:val="none"/>
              </w:rPr>
              <w:t>2</w:t>
            </w:r>
            <w:r>
              <w:rPr>
                <w:rFonts w:hint="eastAsia"/>
                <w:color w:val="auto"/>
                <w:kern w:val="0"/>
                <w:szCs w:val="21"/>
                <w:highlight w:val="none"/>
              </w:rPr>
              <w:t>）省级。</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r>
        <w:tblPrEx>
          <w:tblCellMar>
            <w:top w:w="0" w:type="dxa"/>
            <w:left w:w="108" w:type="dxa"/>
            <w:bottom w:w="0" w:type="dxa"/>
            <w:right w:w="108" w:type="dxa"/>
          </w:tblCellMar>
        </w:tblPrEx>
        <w:trPr>
          <w:trHeight w:val="786" w:hRule="atLeast"/>
          <w:jc w:val="center"/>
        </w:trPr>
        <w:tc>
          <w:tcPr>
            <w:tcW w:w="1841" w:type="dxa"/>
            <w:vMerge w:val="continue"/>
            <w:tcBorders>
              <w:top w:val="nil"/>
              <w:left w:val="single" w:color="auto" w:sz="4" w:space="0"/>
              <w:bottom w:val="single" w:color="auto" w:sz="4" w:space="0"/>
              <w:right w:val="single" w:color="auto" w:sz="4" w:space="0"/>
            </w:tcBorders>
            <w:vAlign w:val="center"/>
          </w:tcPr>
          <w:p>
            <w:pPr>
              <w:jc w:val="left"/>
              <w:rPr>
                <w:color w:val="auto"/>
                <w:kern w:val="0"/>
                <w:szCs w:val="21"/>
                <w:highlight w:val="none"/>
              </w:rPr>
            </w:pP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科研平台或企业技术中心：（</w:t>
            </w:r>
            <w:r>
              <w:rPr>
                <w:color w:val="auto"/>
                <w:kern w:val="0"/>
                <w:szCs w:val="21"/>
                <w:highlight w:val="none"/>
              </w:rPr>
              <w:t>1</w:t>
            </w:r>
            <w:r>
              <w:rPr>
                <w:rFonts w:hint="eastAsia"/>
                <w:color w:val="auto"/>
                <w:kern w:val="0"/>
                <w:szCs w:val="21"/>
                <w:highlight w:val="none"/>
              </w:rPr>
              <w:t>）国家级；（</w:t>
            </w:r>
            <w:r>
              <w:rPr>
                <w:color w:val="auto"/>
                <w:kern w:val="0"/>
                <w:szCs w:val="21"/>
                <w:highlight w:val="none"/>
              </w:rPr>
              <w:t>2</w:t>
            </w:r>
            <w:r>
              <w:rPr>
                <w:rFonts w:hint="eastAsia"/>
                <w:color w:val="auto"/>
                <w:kern w:val="0"/>
                <w:szCs w:val="21"/>
                <w:highlight w:val="none"/>
              </w:rPr>
              <w:t>）省级。</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年</w:t>
            </w:r>
          </w:p>
        </w:tc>
      </w:tr>
      <w:tr>
        <w:tblPrEx>
          <w:tblCellMar>
            <w:top w:w="0" w:type="dxa"/>
            <w:left w:w="108" w:type="dxa"/>
            <w:bottom w:w="0" w:type="dxa"/>
            <w:right w:w="108" w:type="dxa"/>
          </w:tblCellMar>
        </w:tblPrEx>
        <w:trPr>
          <w:trHeight w:val="909"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kern w:val="0"/>
                <w:szCs w:val="21"/>
                <w:highlight w:val="none"/>
              </w:rPr>
            </w:pPr>
            <w:r>
              <w:rPr>
                <w:rFonts w:hint="eastAsia"/>
                <w:color w:val="auto"/>
                <w:kern w:val="0"/>
                <w:szCs w:val="21"/>
                <w:highlight w:val="none"/>
              </w:rPr>
              <w:t>安全文明工地</w:t>
            </w:r>
          </w:p>
        </w:tc>
        <w:tc>
          <w:tcPr>
            <w:tcW w:w="5186" w:type="dxa"/>
            <w:tcBorders>
              <w:top w:val="single" w:color="auto" w:sz="4" w:space="0"/>
              <w:left w:val="nil"/>
              <w:bottom w:val="single" w:color="auto" w:sz="4" w:space="0"/>
              <w:right w:val="single" w:color="auto" w:sz="4" w:space="0"/>
            </w:tcBorders>
            <w:vAlign w:val="center"/>
          </w:tcPr>
          <w:p>
            <w:pPr>
              <w:spacing w:line="240" w:lineRule="exact"/>
              <w:jc w:val="left"/>
              <w:rPr>
                <w:color w:val="auto"/>
                <w:kern w:val="0"/>
                <w:szCs w:val="21"/>
                <w:highlight w:val="none"/>
              </w:rPr>
            </w:pPr>
            <w:r>
              <w:rPr>
                <w:rFonts w:hint="eastAsia"/>
                <w:color w:val="auto"/>
                <w:kern w:val="0"/>
                <w:szCs w:val="21"/>
                <w:highlight w:val="none"/>
              </w:rPr>
              <w:t>（</w:t>
            </w:r>
            <w:r>
              <w:rPr>
                <w:color w:val="auto"/>
                <w:kern w:val="0"/>
                <w:szCs w:val="21"/>
                <w:highlight w:val="none"/>
              </w:rPr>
              <w:t>1</w:t>
            </w:r>
            <w:r>
              <w:rPr>
                <w:rFonts w:hint="eastAsia"/>
                <w:color w:val="auto"/>
                <w:kern w:val="0"/>
                <w:szCs w:val="21"/>
                <w:highlight w:val="none"/>
              </w:rPr>
              <w:t>）国家</w:t>
            </w:r>
            <w:r>
              <w:rPr>
                <w:color w:val="auto"/>
                <w:kern w:val="0"/>
                <w:szCs w:val="21"/>
                <w:highlight w:val="none"/>
              </w:rPr>
              <w:t>AAA</w:t>
            </w:r>
            <w:r>
              <w:rPr>
                <w:rFonts w:hint="eastAsia"/>
                <w:color w:val="auto"/>
                <w:kern w:val="0"/>
                <w:szCs w:val="21"/>
                <w:highlight w:val="none"/>
              </w:rPr>
              <w:t>级安全文明标准化工地；（</w:t>
            </w:r>
            <w:r>
              <w:rPr>
                <w:color w:val="auto"/>
                <w:kern w:val="0"/>
                <w:szCs w:val="21"/>
                <w:highlight w:val="none"/>
              </w:rPr>
              <w:t>2</w:t>
            </w:r>
            <w:r>
              <w:rPr>
                <w:rFonts w:hint="eastAsia"/>
                <w:color w:val="auto"/>
                <w:kern w:val="0"/>
                <w:szCs w:val="21"/>
                <w:highlight w:val="none"/>
              </w:rPr>
              <w:t>）省级安全文明工地；（</w:t>
            </w:r>
            <w:r>
              <w:rPr>
                <w:color w:val="auto"/>
                <w:kern w:val="0"/>
                <w:szCs w:val="21"/>
                <w:highlight w:val="none"/>
              </w:rPr>
              <w:t>3</w:t>
            </w:r>
            <w:r>
              <w:rPr>
                <w:rFonts w:hint="eastAsia"/>
                <w:color w:val="auto"/>
                <w:kern w:val="0"/>
                <w:szCs w:val="21"/>
                <w:highlight w:val="none"/>
              </w:rPr>
              <w:t>）市级安全文明工地</w:t>
            </w:r>
          </w:p>
        </w:tc>
        <w:tc>
          <w:tcPr>
            <w:tcW w:w="2008" w:type="dxa"/>
            <w:tcBorders>
              <w:top w:val="single" w:color="auto" w:sz="4" w:space="0"/>
              <w:left w:val="nil"/>
              <w:bottom w:val="single" w:color="auto" w:sz="4" w:space="0"/>
              <w:right w:val="single" w:color="auto" w:sz="4" w:space="0"/>
            </w:tcBorders>
            <w:vAlign w:val="center"/>
          </w:tcPr>
          <w:p>
            <w:pPr>
              <w:spacing w:line="240" w:lineRule="exact"/>
              <w:jc w:val="center"/>
              <w:rPr>
                <w:color w:val="auto"/>
                <w:kern w:val="0"/>
                <w:szCs w:val="21"/>
                <w:highlight w:val="none"/>
              </w:rPr>
            </w:pPr>
            <w:r>
              <w:rPr>
                <w:color w:val="auto"/>
                <w:kern w:val="0"/>
                <w:szCs w:val="21"/>
                <w:highlight w:val="none"/>
              </w:rPr>
              <w:t>3</w:t>
            </w:r>
            <w:r>
              <w:rPr>
                <w:rFonts w:hint="eastAsia"/>
                <w:color w:val="auto"/>
                <w:kern w:val="0"/>
                <w:szCs w:val="21"/>
                <w:highlight w:val="none"/>
              </w:rPr>
              <w:t>年</w:t>
            </w:r>
          </w:p>
        </w:tc>
      </w:tr>
    </w:tbl>
    <w:p>
      <w:pPr>
        <w:rPr>
          <w:rFonts w:ascii="宋体" w:hAnsi="宋体" w:cs="宋体"/>
          <w:color w:val="auto"/>
          <w:kern w:val="0"/>
          <w:sz w:val="24"/>
          <w:highlight w:val="none"/>
        </w:rPr>
      </w:pPr>
      <w:r>
        <w:rPr>
          <w:rFonts w:hint="eastAsia" w:ascii="宋体" w:hAnsi="宋体" w:cs="宋体"/>
          <w:color w:val="auto"/>
          <w:kern w:val="0"/>
          <w:sz w:val="24"/>
          <w:highlight w:val="none"/>
        </w:rPr>
        <w:t>注：1、</w:t>
      </w:r>
      <w:r>
        <w:rPr>
          <w:rFonts w:hint="eastAsia"/>
          <w:color w:val="auto"/>
          <w:sz w:val="24"/>
          <w:highlight w:val="none"/>
        </w:rPr>
        <w:t>企业信用含纳税诚信2、</w:t>
      </w:r>
      <w:r>
        <w:rPr>
          <w:rFonts w:hint="eastAsia" w:ascii="宋体" w:hAnsi="宋体" w:cs="宋体"/>
          <w:color w:val="auto"/>
          <w:kern w:val="0"/>
          <w:sz w:val="24"/>
          <w:highlight w:val="none"/>
        </w:rPr>
        <w:t>周期为3年的是指2020年至今。周期为1年的是指2022年至今。</w:t>
      </w:r>
    </w:p>
    <w:p>
      <w:pPr>
        <w:spacing w:line="480" w:lineRule="exact"/>
        <w:outlineLvl w:val="2"/>
        <w:rPr>
          <w:rFonts w:ascii="宋体" w:hAnsi="宋体" w:cs="宋体"/>
          <w:b/>
          <w:color w:val="auto"/>
          <w:sz w:val="24"/>
          <w:highlight w:val="none"/>
        </w:rPr>
      </w:pPr>
    </w:p>
    <w:p>
      <w:pPr>
        <w:rPr>
          <w:rFonts w:eastAsia="黑体"/>
          <w:color w:val="auto"/>
          <w:kern w:val="0"/>
          <w:sz w:val="32"/>
          <w:szCs w:val="32"/>
          <w:highlight w:val="none"/>
        </w:rPr>
      </w:pPr>
    </w:p>
    <w:p>
      <w:pPr>
        <w:rPr>
          <w:rFonts w:hint="eastAsia" w:eastAsia="黑体"/>
          <w:color w:val="auto"/>
          <w:kern w:val="0"/>
          <w:sz w:val="32"/>
          <w:szCs w:val="32"/>
          <w:highlight w:val="none"/>
        </w:rPr>
      </w:pPr>
    </w:p>
    <w:p>
      <w:pPr>
        <w:pStyle w:val="2"/>
        <w:rPr>
          <w:rFonts w:hint="eastAsia"/>
        </w:rPr>
      </w:pPr>
    </w:p>
    <w:p>
      <w:pPr>
        <w:rPr>
          <w:rFonts w:hint="eastAsia" w:eastAsia="黑体"/>
          <w:color w:val="auto"/>
          <w:kern w:val="0"/>
          <w:sz w:val="32"/>
          <w:szCs w:val="32"/>
          <w:highlight w:val="none"/>
        </w:rPr>
      </w:pPr>
    </w:p>
    <w:p>
      <w:pPr>
        <w:rPr>
          <w:rFonts w:eastAsia="黑体"/>
          <w:color w:val="auto"/>
          <w:kern w:val="0"/>
          <w:sz w:val="32"/>
          <w:szCs w:val="32"/>
          <w:highlight w:val="none"/>
        </w:rPr>
      </w:pPr>
      <w:r>
        <w:rPr>
          <w:rFonts w:hint="eastAsia" w:eastAsia="黑体"/>
          <w:color w:val="auto"/>
          <w:kern w:val="0"/>
          <w:sz w:val="32"/>
          <w:szCs w:val="32"/>
          <w:highlight w:val="none"/>
        </w:rPr>
        <w:t>附件</w:t>
      </w:r>
      <w:r>
        <w:rPr>
          <w:rFonts w:eastAsia="黑体"/>
          <w:color w:val="auto"/>
          <w:kern w:val="0"/>
          <w:sz w:val="32"/>
          <w:szCs w:val="32"/>
          <w:highlight w:val="none"/>
        </w:rPr>
        <w:t>4</w:t>
      </w:r>
    </w:p>
    <w:p>
      <w:pPr>
        <w:spacing w:line="760" w:lineRule="exact"/>
        <w:jc w:val="center"/>
        <w:rPr>
          <w:rFonts w:eastAsia="方正小标宋简体"/>
          <w:color w:val="auto"/>
          <w:kern w:val="0"/>
          <w:sz w:val="36"/>
          <w:szCs w:val="36"/>
          <w:highlight w:val="none"/>
        </w:rPr>
      </w:pPr>
      <w:r>
        <w:rPr>
          <w:rFonts w:hint="eastAsia" w:eastAsia="方正小标宋简体"/>
          <w:color w:val="auto"/>
          <w:kern w:val="0"/>
          <w:sz w:val="36"/>
          <w:szCs w:val="36"/>
          <w:highlight w:val="none"/>
        </w:rPr>
        <w:t>项目经理良好信用信息采集项</w:t>
      </w:r>
    </w:p>
    <w:tbl>
      <w:tblPr>
        <w:tblStyle w:val="17"/>
        <w:tblW w:w="8569" w:type="dxa"/>
        <w:jc w:val="center"/>
        <w:tblLayout w:type="fixed"/>
        <w:tblCellMar>
          <w:top w:w="0" w:type="dxa"/>
          <w:left w:w="108" w:type="dxa"/>
          <w:bottom w:w="0" w:type="dxa"/>
          <w:right w:w="108" w:type="dxa"/>
        </w:tblCellMar>
      </w:tblPr>
      <w:tblGrid>
        <w:gridCol w:w="1236"/>
        <w:gridCol w:w="5641"/>
        <w:gridCol w:w="1692"/>
      </w:tblGrid>
      <w:tr>
        <w:tblPrEx>
          <w:tblCellMar>
            <w:top w:w="0" w:type="dxa"/>
            <w:left w:w="108" w:type="dxa"/>
            <w:bottom w:w="0" w:type="dxa"/>
            <w:right w:w="108" w:type="dxa"/>
          </w:tblCellMar>
        </w:tblPrEx>
        <w:trPr>
          <w:trHeight w:val="658"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b/>
                <w:bCs/>
                <w:color w:val="auto"/>
                <w:szCs w:val="21"/>
                <w:highlight w:val="none"/>
              </w:rPr>
            </w:pPr>
            <w:r>
              <w:rPr>
                <w:rFonts w:hint="eastAsia"/>
                <w:b/>
                <w:bCs/>
                <w:color w:val="auto"/>
                <w:szCs w:val="21"/>
                <w:highlight w:val="none"/>
              </w:rPr>
              <w:t>信用类别</w:t>
            </w:r>
          </w:p>
        </w:tc>
        <w:tc>
          <w:tcPr>
            <w:tcW w:w="5641" w:type="dxa"/>
            <w:tcBorders>
              <w:top w:val="single" w:color="auto" w:sz="4" w:space="0"/>
              <w:left w:val="nil"/>
              <w:bottom w:val="single" w:color="auto" w:sz="4" w:space="0"/>
              <w:right w:val="single" w:color="auto" w:sz="4" w:space="0"/>
            </w:tcBorders>
            <w:vAlign w:val="center"/>
          </w:tcPr>
          <w:p>
            <w:pPr>
              <w:spacing w:line="240" w:lineRule="exact"/>
              <w:jc w:val="center"/>
              <w:rPr>
                <w:b/>
                <w:bCs/>
                <w:color w:val="auto"/>
                <w:szCs w:val="21"/>
                <w:highlight w:val="none"/>
              </w:rPr>
            </w:pPr>
            <w:r>
              <w:rPr>
                <w:rFonts w:hint="eastAsia"/>
                <w:b/>
                <w:bCs/>
                <w:color w:val="auto"/>
                <w:szCs w:val="21"/>
                <w:highlight w:val="none"/>
              </w:rPr>
              <w:t>良好信用</w:t>
            </w:r>
          </w:p>
        </w:tc>
        <w:tc>
          <w:tcPr>
            <w:tcW w:w="1692" w:type="dxa"/>
            <w:tcBorders>
              <w:top w:val="single" w:color="auto" w:sz="4" w:space="0"/>
              <w:left w:val="nil"/>
              <w:bottom w:val="single" w:color="auto" w:sz="4" w:space="0"/>
              <w:right w:val="single" w:color="auto" w:sz="4" w:space="0"/>
            </w:tcBorders>
            <w:vAlign w:val="center"/>
          </w:tcPr>
          <w:p>
            <w:pPr>
              <w:spacing w:line="240" w:lineRule="exact"/>
              <w:jc w:val="center"/>
              <w:rPr>
                <w:b/>
                <w:bCs/>
                <w:color w:val="auto"/>
                <w:szCs w:val="21"/>
                <w:highlight w:val="none"/>
              </w:rPr>
            </w:pPr>
            <w:r>
              <w:rPr>
                <w:rFonts w:hint="eastAsia"/>
                <w:b/>
                <w:bCs/>
                <w:color w:val="auto"/>
                <w:szCs w:val="21"/>
                <w:highlight w:val="none"/>
              </w:rPr>
              <w:t>周期</w:t>
            </w:r>
          </w:p>
        </w:tc>
      </w:tr>
      <w:tr>
        <w:tblPrEx>
          <w:tblCellMar>
            <w:top w:w="0" w:type="dxa"/>
            <w:left w:w="108" w:type="dxa"/>
            <w:bottom w:w="0" w:type="dxa"/>
            <w:right w:w="108" w:type="dxa"/>
          </w:tblCellMar>
        </w:tblPrEx>
        <w:trPr>
          <w:trHeight w:val="1537" w:hRule="atLeast"/>
          <w:jc w:val="center"/>
        </w:trPr>
        <w:tc>
          <w:tcPr>
            <w:tcW w:w="1236" w:type="dxa"/>
            <w:vMerge w:val="restart"/>
            <w:tcBorders>
              <w:top w:val="nil"/>
              <w:left w:val="single" w:color="000000" w:sz="4" w:space="0"/>
              <w:bottom w:val="single" w:color="000000" w:sz="4" w:space="0"/>
              <w:right w:val="single" w:color="auto" w:sz="4" w:space="0"/>
            </w:tcBorders>
            <w:vAlign w:val="center"/>
          </w:tcPr>
          <w:p>
            <w:pPr>
              <w:spacing w:line="240" w:lineRule="exact"/>
              <w:jc w:val="center"/>
              <w:rPr>
                <w:color w:val="auto"/>
                <w:szCs w:val="21"/>
                <w:highlight w:val="none"/>
              </w:rPr>
            </w:pPr>
            <w:r>
              <w:rPr>
                <w:rFonts w:hint="eastAsia"/>
                <w:color w:val="auto"/>
                <w:szCs w:val="21"/>
                <w:highlight w:val="none"/>
              </w:rPr>
              <w:t>奖励荣誉</w:t>
            </w:r>
          </w:p>
        </w:tc>
        <w:tc>
          <w:tcPr>
            <w:tcW w:w="5641" w:type="dxa"/>
            <w:tcBorders>
              <w:top w:val="single" w:color="000000" w:sz="4" w:space="0"/>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国家级奖项</w:t>
            </w:r>
            <w:r>
              <w:rPr>
                <w:color w:val="auto"/>
                <w:szCs w:val="21"/>
                <w:highlight w:val="none"/>
              </w:rPr>
              <w:t>/</w:t>
            </w:r>
            <w:r>
              <w:rPr>
                <w:rFonts w:hint="eastAsia"/>
                <w:color w:val="auto"/>
                <w:szCs w:val="21"/>
                <w:highlight w:val="none"/>
              </w:rPr>
              <w:t>荣誉（包括鲁班奖、詹天佑奖、梁思成奖、华夏建设科学技术奖、绿色建筑创新奖、全国建筑工程装饰奖、中国建筑工程</w:t>
            </w:r>
            <w:r>
              <w:rPr>
                <w:color w:val="auto"/>
                <w:szCs w:val="21"/>
                <w:highlight w:val="none"/>
              </w:rPr>
              <w:t>“</w:t>
            </w:r>
            <w:r>
              <w:rPr>
                <w:rFonts w:hint="eastAsia"/>
                <w:color w:val="auto"/>
                <w:szCs w:val="21"/>
                <w:highlight w:val="none"/>
              </w:rPr>
              <w:t>钢结构金奖</w:t>
            </w:r>
            <w:r>
              <w:rPr>
                <w:color w:val="auto"/>
                <w:szCs w:val="21"/>
                <w:highlight w:val="none"/>
              </w:rPr>
              <w:t>”</w:t>
            </w:r>
            <w:r>
              <w:rPr>
                <w:rFonts w:hint="eastAsia"/>
                <w:color w:val="auto"/>
                <w:szCs w:val="21"/>
                <w:highlight w:val="none"/>
              </w:rPr>
              <w:t>、工程项目管理优秀奖、工程总承包奖等）、国家</w:t>
            </w:r>
            <w:r>
              <w:rPr>
                <w:color w:val="auto"/>
                <w:szCs w:val="21"/>
                <w:highlight w:val="none"/>
              </w:rPr>
              <w:t>AAA</w:t>
            </w:r>
            <w:r>
              <w:rPr>
                <w:rFonts w:hint="eastAsia"/>
                <w:color w:val="auto"/>
                <w:szCs w:val="21"/>
                <w:highlight w:val="none"/>
              </w:rPr>
              <w:t>级安全文明工地奖。</w:t>
            </w:r>
          </w:p>
        </w:tc>
        <w:tc>
          <w:tcPr>
            <w:tcW w:w="1692" w:type="dxa"/>
            <w:tcBorders>
              <w:top w:val="single" w:color="000000" w:sz="4" w:space="0"/>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873" w:hRule="atLeast"/>
          <w:jc w:val="center"/>
        </w:trPr>
        <w:tc>
          <w:tcPr>
            <w:tcW w:w="1236" w:type="dxa"/>
            <w:vMerge w:val="continue"/>
            <w:tcBorders>
              <w:top w:val="nil"/>
              <w:left w:val="single" w:color="000000" w:sz="4" w:space="0"/>
              <w:bottom w:val="single" w:color="000000" w:sz="4" w:space="0"/>
              <w:right w:val="single" w:color="auto" w:sz="4" w:space="0"/>
            </w:tcBorders>
            <w:vAlign w:val="center"/>
          </w:tcPr>
          <w:p>
            <w:pPr>
              <w:jc w:val="left"/>
              <w:rPr>
                <w:color w:val="auto"/>
                <w:szCs w:val="21"/>
                <w:highlight w:val="none"/>
              </w:rPr>
            </w:pPr>
          </w:p>
        </w:tc>
        <w:tc>
          <w:tcPr>
            <w:tcW w:w="5641" w:type="dxa"/>
            <w:tcBorders>
              <w:top w:val="nil"/>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省部级奖项</w:t>
            </w:r>
            <w:r>
              <w:rPr>
                <w:color w:val="auto"/>
                <w:szCs w:val="21"/>
                <w:highlight w:val="none"/>
              </w:rPr>
              <w:t>/</w:t>
            </w:r>
            <w:r>
              <w:rPr>
                <w:rFonts w:hint="eastAsia"/>
                <w:color w:val="auto"/>
                <w:szCs w:val="21"/>
                <w:highlight w:val="none"/>
              </w:rPr>
              <w:t>荣誉（中州杯等）、省安全文明标准化工地奖。</w:t>
            </w:r>
          </w:p>
        </w:tc>
        <w:tc>
          <w:tcPr>
            <w:tcW w:w="1692" w:type="dxa"/>
            <w:tcBorders>
              <w:top w:val="nil"/>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873" w:hRule="atLeast"/>
          <w:jc w:val="center"/>
        </w:trPr>
        <w:tc>
          <w:tcPr>
            <w:tcW w:w="1236" w:type="dxa"/>
            <w:vMerge w:val="continue"/>
            <w:tcBorders>
              <w:top w:val="nil"/>
              <w:left w:val="single" w:color="000000" w:sz="4" w:space="0"/>
              <w:bottom w:val="single" w:color="000000" w:sz="4" w:space="0"/>
              <w:right w:val="single" w:color="auto" w:sz="4" w:space="0"/>
            </w:tcBorders>
            <w:vAlign w:val="center"/>
          </w:tcPr>
          <w:p>
            <w:pPr>
              <w:jc w:val="left"/>
              <w:rPr>
                <w:color w:val="auto"/>
                <w:szCs w:val="21"/>
                <w:highlight w:val="none"/>
              </w:rPr>
            </w:pPr>
          </w:p>
        </w:tc>
        <w:tc>
          <w:tcPr>
            <w:tcW w:w="5641" w:type="dxa"/>
            <w:tcBorders>
              <w:top w:val="nil"/>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市级奖项</w:t>
            </w:r>
            <w:r>
              <w:rPr>
                <w:color w:val="auto"/>
                <w:szCs w:val="21"/>
                <w:highlight w:val="none"/>
              </w:rPr>
              <w:t>/</w:t>
            </w:r>
            <w:r>
              <w:rPr>
                <w:rFonts w:hint="eastAsia"/>
                <w:color w:val="auto"/>
                <w:szCs w:val="21"/>
                <w:highlight w:val="none"/>
              </w:rPr>
              <w:t>荣誉（商鼎杯等）、安全文明标准化工地奖。</w:t>
            </w:r>
          </w:p>
        </w:tc>
        <w:tc>
          <w:tcPr>
            <w:tcW w:w="1692" w:type="dxa"/>
            <w:tcBorders>
              <w:top w:val="nil"/>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842" w:hRule="atLeast"/>
          <w:jc w:val="center"/>
        </w:trPr>
        <w:tc>
          <w:tcPr>
            <w:tcW w:w="1236" w:type="dxa"/>
            <w:vMerge w:val="restart"/>
            <w:tcBorders>
              <w:top w:val="nil"/>
              <w:left w:val="single" w:color="000000" w:sz="4" w:space="0"/>
              <w:bottom w:val="single" w:color="auto" w:sz="4" w:space="0"/>
              <w:right w:val="single" w:color="auto" w:sz="4" w:space="0"/>
            </w:tcBorders>
            <w:vAlign w:val="center"/>
          </w:tcPr>
          <w:p>
            <w:pPr>
              <w:spacing w:line="240" w:lineRule="exact"/>
              <w:jc w:val="center"/>
              <w:rPr>
                <w:color w:val="auto"/>
                <w:szCs w:val="21"/>
                <w:highlight w:val="none"/>
              </w:rPr>
            </w:pPr>
            <w:r>
              <w:rPr>
                <w:rFonts w:hint="eastAsia"/>
                <w:color w:val="auto"/>
                <w:szCs w:val="21"/>
                <w:highlight w:val="none"/>
              </w:rPr>
              <w:t>科技创新</w:t>
            </w:r>
          </w:p>
          <w:p>
            <w:pPr>
              <w:spacing w:line="240" w:lineRule="exact"/>
              <w:jc w:val="center"/>
              <w:rPr>
                <w:color w:val="auto"/>
                <w:szCs w:val="21"/>
                <w:highlight w:val="none"/>
              </w:rPr>
            </w:pPr>
            <w:r>
              <w:rPr>
                <w:rFonts w:hint="eastAsia"/>
                <w:color w:val="auto"/>
                <w:szCs w:val="21"/>
                <w:highlight w:val="none"/>
              </w:rPr>
              <w:t>（建筑类）</w:t>
            </w:r>
          </w:p>
        </w:tc>
        <w:tc>
          <w:tcPr>
            <w:tcW w:w="5641" w:type="dxa"/>
            <w:tcBorders>
              <w:top w:val="nil"/>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发明专利，包括发明型专利、实用新型专利</w:t>
            </w:r>
          </w:p>
        </w:tc>
        <w:tc>
          <w:tcPr>
            <w:tcW w:w="1692" w:type="dxa"/>
            <w:tcBorders>
              <w:top w:val="nil"/>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1047" w:hRule="atLeast"/>
          <w:jc w:val="center"/>
        </w:trPr>
        <w:tc>
          <w:tcPr>
            <w:tcW w:w="1236" w:type="dxa"/>
            <w:vMerge w:val="continue"/>
            <w:tcBorders>
              <w:top w:val="nil"/>
              <w:left w:val="single" w:color="000000" w:sz="4" w:space="0"/>
              <w:bottom w:val="single" w:color="auto" w:sz="4" w:space="0"/>
              <w:right w:val="single" w:color="auto" w:sz="4" w:space="0"/>
            </w:tcBorders>
            <w:vAlign w:val="center"/>
          </w:tcPr>
          <w:p>
            <w:pPr>
              <w:jc w:val="left"/>
              <w:rPr>
                <w:color w:val="auto"/>
                <w:szCs w:val="21"/>
                <w:highlight w:val="none"/>
              </w:rPr>
            </w:pPr>
          </w:p>
        </w:tc>
        <w:tc>
          <w:tcPr>
            <w:tcW w:w="5641" w:type="dxa"/>
            <w:tcBorders>
              <w:top w:val="nil"/>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参与工法编制，包括国家级和省部级。</w:t>
            </w:r>
          </w:p>
        </w:tc>
        <w:tc>
          <w:tcPr>
            <w:tcW w:w="1692" w:type="dxa"/>
            <w:tcBorders>
              <w:top w:val="nil"/>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1159" w:hRule="atLeast"/>
          <w:jc w:val="center"/>
        </w:trPr>
        <w:tc>
          <w:tcPr>
            <w:tcW w:w="1236" w:type="dxa"/>
            <w:vMerge w:val="continue"/>
            <w:tcBorders>
              <w:top w:val="nil"/>
              <w:left w:val="single" w:color="000000" w:sz="4" w:space="0"/>
              <w:bottom w:val="single" w:color="auto" w:sz="4" w:space="0"/>
              <w:right w:val="single" w:color="auto" w:sz="4" w:space="0"/>
            </w:tcBorders>
            <w:vAlign w:val="center"/>
          </w:tcPr>
          <w:p>
            <w:pPr>
              <w:jc w:val="left"/>
              <w:rPr>
                <w:color w:val="auto"/>
                <w:szCs w:val="21"/>
                <w:highlight w:val="none"/>
              </w:rPr>
            </w:pPr>
          </w:p>
        </w:tc>
        <w:tc>
          <w:tcPr>
            <w:tcW w:w="5641" w:type="dxa"/>
            <w:tcBorders>
              <w:top w:val="nil"/>
              <w:left w:val="nil"/>
              <w:bottom w:val="single" w:color="000000"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参与工程建设标准、定额制定，包括国家或行业标准、定额、地方（省级）标准、定额。</w:t>
            </w:r>
          </w:p>
        </w:tc>
        <w:tc>
          <w:tcPr>
            <w:tcW w:w="1692" w:type="dxa"/>
            <w:tcBorders>
              <w:top w:val="nil"/>
              <w:left w:val="nil"/>
              <w:bottom w:val="single" w:color="000000"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r>
        <w:tblPrEx>
          <w:tblCellMar>
            <w:top w:w="0" w:type="dxa"/>
            <w:left w:w="108" w:type="dxa"/>
            <w:bottom w:w="0" w:type="dxa"/>
            <w:right w:w="108" w:type="dxa"/>
          </w:tblCellMar>
        </w:tblPrEx>
        <w:trPr>
          <w:trHeight w:val="1352" w:hRule="atLeast"/>
          <w:jc w:val="center"/>
        </w:trPr>
        <w:tc>
          <w:tcPr>
            <w:tcW w:w="1236" w:type="dxa"/>
            <w:vMerge w:val="continue"/>
            <w:tcBorders>
              <w:top w:val="nil"/>
              <w:left w:val="single" w:color="000000" w:sz="4" w:space="0"/>
              <w:bottom w:val="single" w:color="auto" w:sz="4" w:space="0"/>
              <w:right w:val="single" w:color="auto" w:sz="4" w:space="0"/>
            </w:tcBorders>
            <w:vAlign w:val="center"/>
          </w:tcPr>
          <w:p>
            <w:pPr>
              <w:jc w:val="left"/>
              <w:rPr>
                <w:color w:val="auto"/>
                <w:szCs w:val="21"/>
                <w:highlight w:val="none"/>
              </w:rPr>
            </w:pPr>
          </w:p>
        </w:tc>
        <w:tc>
          <w:tcPr>
            <w:tcW w:w="5641" w:type="dxa"/>
            <w:tcBorders>
              <w:top w:val="single" w:color="000000" w:sz="4" w:space="0"/>
              <w:left w:val="nil"/>
              <w:bottom w:val="single" w:color="auto" w:sz="4" w:space="0"/>
              <w:right w:val="single" w:color="000000" w:sz="4" w:space="0"/>
            </w:tcBorders>
            <w:vAlign w:val="center"/>
          </w:tcPr>
          <w:p>
            <w:pPr>
              <w:spacing w:line="240" w:lineRule="exact"/>
              <w:rPr>
                <w:color w:val="auto"/>
                <w:szCs w:val="21"/>
                <w:highlight w:val="none"/>
              </w:rPr>
            </w:pPr>
            <w:r>
              <w:rPr>
                <w:rFonts w:hint="eastAsia"/>
                <w:color w:val="auto"/>
                <w:szCs w:val="21"/>
                <w:highlight w:val="none"/>
              </w:rPr>
              <w:t>个人获得科技进步奖，包括国家级科技进步奖一等奖、二等奖，省级科技进步奖一等奖、二等奖、厅级科技进步奖等。</w:t>
            </w:r>
          </w:p>
        </w:tc>
        <w:tc>
          <w:tcPr>
            <w:tcW w:w="1692" w:type="dxa"/>
            <w:tcBorders>
              <w:top w:val="single" w:color="000000" w:sz="4" w:space="0"/>
              <w:left w:val="nil"/>
              <w:bottom w:val="single" w:color="auto" w:sz="4" w:space="0"/>
              <w:right w:val="single" w:color="000000" w:sz="4" w:space="0"/>
            </w:tcBorders>
            <w:vAlign w:val="center"/>
          </w:tcPr>
          <w:p>
            <w:pPr>
              <w:spacing w:line="240" w:lineRule="exact"/>
              <w:jc w:val="center"/>
              <w:rPr>
                <w:color w:val="auto"/>
                <w:szCs w:val="21"/>
                <w:highlight w:val="none"/>
              </w:rPr>
            </w:pPr>
            <w:r>
              <w:rPr>
                <w:color w:val="auto"/>
                <w:szCs w:val="21"/>
                <w:highlight w:val="none"/>
              </w:rPr>
              <w:t>3</w:t>
            </w:r>
            <w:r>
              <w:rPr>
                <w:rFonts w:hint="eastAsia"/>
                <w:color w:val="auto"/>
                <w:szCs w:val="21"/>
                <w:highlight w:val="none"/>
              </w:rPr>
              <w:t>年</w:t>
            </w:r>
          </w:p>
        </w:tc>
      </w:tr>
    </w:tbl>
    <w:p>
      <w:pPr>
        <w:spacing w:line="480" w:lineRule="exact"/>
        <w:outlineLvl w:val="2"/>
        <w:rPr>
          <w:rFonts w:hint="eastAsia" w:ascii="宋体" w:hAnsi="宋体" w:cs="宋体"/>
          <w:b/>
          <w:color w:val="auto"/>
          <w:sz w:val="24"/>
          <w:highlight w:val="none"/>
        </w:rPr>
      </w:pPr>
      <w:r>
        <w:rPr>
          <w:rFonts w:hint="eastAsia" w:ascii="宋体" w:hAnsi="宋体" w:cs="宋体"/>
          <w:color w:val="auto"/>
          <w:kern w:val="0"/>
          <w:sz w:val="24"/>
          <w:highlight w:val="none"/>
        </w:rPr>
        <w:t>注：周期为3年的是指2020年至今。</w:t>
      </w:r>
    </w:p>
    <w:p>
      <w:pPr>
        <w:spacing w:line="480" w:lineRule="exact"/>
        <w:ind w:firstLine="482" w:firstLineChars="200"/>
        <w:outlineLvl w:val="2"/>
        <w:rPr>
          <w:rFonts w:ascii="宋体" w:hAnsi="宋体" w:cs="宋体"/>
          <w:color w:val="auto"/>
          <w:sz w:val="24"/>
          <w:highlight w:val="none"/>
        </w:rPr>
      </w:pPr>
      <w:r>
        <w:rPr>
          <w:rFonts w:hint="eastAsia" w:ascii="宋体" w:hAnsi="宋体" w:cs="宋体"/>
          <w:b/>
          <w:color w:val="auto"/>
          <w:sz w:val="24"/>
          <w:highlight w:val="none"/>
        </w:rPr>
        <w:t>1.评标方法</w:t>
      </w:r>
    </w:p>
    <w:p>
      <w:pPr>
        <w:spacing w:line="48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本次评标采用综合评分法。评标委员会对满足招标文件实质要求的投标文件，根据本章评分办法前附表标准进行打分，并按得分由高到低顺序推荐中标候选人，或根据招标人授权直接确定中标人，但投标报价低于其成本的除外。综合评分相等时，以投标报价低的优先，投标报价也相等的，由招标人自行确定。</w:t>
      </w:r>
    </w:p>
    <w:p>
      <w:pPr>
        <w:spacing w:line="480" w:lineRule="exact"/>
        <w:ind w:firstLine="463" w:firstLineChars="192"/>
        <w:outlineLvl w:val="2"/>
        <w:rPr>
          <w:rFonts w:ascii="宋体" w:hAnsi="宋体" w:cs="宋体"/>
          <w:b/>
          <w:color w:val="auto"/>
          <w:sz w:val="24"/>
          <w:highlight w:val="none"/>
        </w:rPr>
      </w:pPr>
      <w:bookmarkStart w:id="60" w:name="_Toc31415"/>
      <w:r>
        <w:rPr>
          <w:rFonts w:hint="eastAsia" w:ascii="宋体" w:hAnsi="宋体" w:cs="宋体"/>
          <w:b/>
          <w:color w:val="auto"/>
          <w:sz w:val="24"/>
          <w:highlight w:val="none"/>
        </w:rPr>
        <w:t>2.评审标准</w:t>
      </w:r>
      <w:bookmarkEnd w:id="60"/>
    </w:p>
    <w:p>
      <w:pPr>
        <w:spacing w:line="480" w:lineRule="exact"/>
        <w:ind w:firstLine="463" w:firstLineChars="192"/>
        <w:outlineLvl w:val="3"/>
        <w:rPr>
          <w:rFonts w:ascii="宋体" w:hAnsi="宋体" w:cs="宋体"/>
          <w:b/>
          <w:color w:val="auto"/>
          <w:sz w:val="24"/>
          <w:highlight w:val="none"/>
        </w:rPr>
      </w:pPr>
      <w:bookmarkStart w:id="61" w:name="_Toc26199"/>
      <w:r>
        <w:rPr>
          <w:rFonts w:hint="eastAsia" w:ascii="宋体" w:hAnsi="宋体" w:cs="宋体"/>
          <w:b/>
          <w:color w:val="auto"/>
          <w:sz w:val="24"/>
          <w:highlight w:val="none"/>
        </w:rPr>
        <w:t>2.1初步评审标准</w:t>
      </w:r>
      <w:bookmarkEnd w:id="61"/>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2.1.1形式评审标准：见评标办法前附表。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2.1.2 资格评审标准：见评标办法前附表。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2.1.3 响应性评审标准：见评标办法前附表。</w:t>
      </w:r>
    </w:p>
    <w:p>
      <w:pPr>
        <w:spacing w:line="480" w:lineRule="exact"/>
        <w:ind w:firstLine="463" w:firstLineChars="192"/>
        <w:outlineLvl w:val="3"/>
        <w:rPr>
          <w:rFonts w:ascii="宋体" w:hAnsi="宋体" w:cs="宋体"/>
          <w:b/>
          <w:color w:val="auto"/>
          <w:sz w:val="24"/>
          <w:highlight w:val="none"/>
        </w:rPr>
      </w:pPr>
      <w:bookmarkStart w:id="62" w:name="_Toc18532"/>
      <w:r>
        <w:rPr>
          <w:rFonts w:hint="eastAsia" w:ascii="宋体" w:hAnsi="宋体" w:cs="宋体"/>
          <w:b/>
          <w:color w:val="auto"/>
          <w:sz w:val="24"/>
          <w:highlight w:val="none"/>
        </w:rPr>
        <w:t>2.2分值构成与评分标准</w:t>
      </w:r>
      <w:bookmarkEnd w:id="62"/>
    </w:p>
    <w:p>
      <w:pPr>
        <w:spacing w:line="480" w:lineRule="exact"/>
        <w:ind w:firstLine="463" w:firstLineChars="192"/>
        <w:rPr>
          <w:rFonts w:ascii="宋体" w:hAnsi="宋体" w:cs="宋体"/>
          <w:b/>
          <w:color w:val="auto"/>
          <w:sz w:val="24"/>
          <w:highlight w:val="none"/>
        </w:rPr>
      </w:pPr>
      <w:r>
        <w:rPr>
          <w:rFonts w:hint="eastAsia" w:ascii="宋体" w:hAnsi="宋体" w:cs="宋体"/>
          <w:b/>
          <w:color w:val="auto"/>
          <w:sz w:val="24"/>
          <w:highlight w:val="none"/>
        </w:rPr>
        <w:t>2.2.1分值构成</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(1)技术标评审标准:见评标办法前附表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(2)商务标评审标准:见评标办法前附表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(3)综合标评分标准: 见评标办法前附表</w:t>
      </w:r>
    </w:p>
    <w:p>
      <w:pPr>
        <w:spacing w:line="480" w:lineRule="exact"/>
        <w:ind w:firstLine="463" w:firstLineChars="192"/>
        <w:rPr>
          <w:rFonts w:ascii="宋体" w:hAnsi="宋体" w:cs="宋体"/>
          <w:b/>
          <w:color w:val="auto"/>
          <w:sz w:val="24"/>
          <w:highlight w:val="none"/>
        </w:rPr>
      </w:pPr>
      <w:r>
        <w:rPr>
          <w:rFonts w:hint="eastAsia" w:ascii="宋体" w:hAnsi="宋体" w:cs="宋体"/>
          <w:b/>
          <w:color w:val="auto"/>
          <w:sz w:val="24"/>
          <w:highlight w:val="none"/>
        </w:rPr>
        <w:t>2.2.2评标基准价计算</w:t>
      </w:r>
    </w:p>
    <w:p>
      <w:pPr>
        <w:spacing w:line="480" w:lineRule="exact"/>
        <w:ind w:firstLine="460" w:firstLineChars="192"/>
        <w:rPr>
          <w:rFonts w:ascii="宋体" w:hAnsi="宋体" w:cs="宋体"/>
          <w:b/>
          <w:color w:val="auto"/>
          <w:sz w:val="24"/>
          <w:highlight w:val="none"/>
        </w:rPr>
      </w:pPr>
      <w:r>
        <w:rPr>
          <w:rFonts w:hint="eastAsia" w:ascii="宋体" w:hAnsi="宋体" w:cs="宋体"/>
          <w:color w:val="auto"/>
          <w:sz w:val="24"/>
          <w:highlight w:val="none"/>
        </w:rPr>
        <w:t>评标基准价方法:</w:t>
      </w:r>
      <w:r>
        <w:rPr>
          <w:rFonts w:hint="eastAsia" w:ascii="宋体" w:hAnsi="宋体" w:cs="宋体"/>
          <w:b/>
          <w:color w:val="auto"/>
          <w:sz w:val="24"/>
          <w:highlight w:val="none"/>
        </w:rPr>
        <w:t xml:space="preserve"> </w:t>
      </w:r>
      <w:r>
        <w:rPr>
          <w:rFonts w:hint="eastAsia" w:ascii="宋体" w:hAnsi="宋体" w:cs="宋体"/>
          <w:color w:val="auto"/>
          <w:sz w:val="24"/>
          <w:highlight w:val="none"/>
        </w:rPr>
        <w:t>见评标办法前附表</w:t>
      </w:r>
    </w:p>
    <w:p>
      <w:pPr>
        <w:spacing w:line="480" w:lineRule="exact"/>
        <w:ind w:firstLine="463" w:firstLineChars="192"/>
        <w:rPr>
          <w:rFonts w:ascii="宋体" w:hAnsi="宋体" w:cs="宋体"/>
          <w:b/>
          <w:color w:val="auto"/>
          <w:sz w:val="24"/>
          <w:highlight w:val="none"/>
        </w:rPr>
      </w:pPr>
      <w:bookmarkStart w:id="63" w:name="_Toc10025"/>
      <w:r>
        <w:rPr>
          <w:rFonts w:hint="eastAsia" w:ascii="宋体" w:hAnsi="宋体" w:cs="宋体"/>
          <w:b/>
          <w:color w:val="auto"/>
          <w:sz w:val="24"/>
          <w:highlight w:val="none"/>
        </w:rPr>
        <w:t>2.2.3评分标准</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(1)技术标评审标准:见评标办法前附表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(2)商务标评审标准:见评标办法前附表</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(3)综合标评分标准: 见评标办法前附表</w:t>
      </w:r>
    </w:p>
    <w:p>
      <w:pPr>
        <w:spacing w:line="480" w:lineRule="exact"/>
        <w:ind w:firstLine="463" w:firstLineChars="192"/>
        <w:outlineLvl w:val="2"/>
        <w:rPr>
          <w:rFonts w:ascii="宋体" w:hAnsi="宋体" w:cs="宋体"/>
          <w:b/>
          <w:color w:val="auto"/>
          <w:sz w:val="24"/>
          <w:highlight w:val="none"/>
        </w:rPr>
      </w:pPr>
      <w:r>
        <w:rPr>
          <w:rFonts w:hint="eastAsia" w:ascii="宋体" w:hAnsi="宋体" w:cs="宋体"/>
          <w:b/>
          <w:color w:val="auto"/>
          <w:sz w:val="24"/>
          <w:highlight w:val="none"/>
        </w:rPr>
        <w:t>3.评标程序</w:t>
      </w:r>
      <w:bookmarkEnd w:id="63"/>
    </w:p>
    <w:p>
      <w:pPr>
        <w:spacing w:line="480" w:lineRule="exact"/>
        <w:ind w:firstLine="463" w:firstLineChars="192"/>
        <w:outlineLvl w:val="3"/>
        <w:rPr>
          <w:rFonts w:ascii="宋体" w:hAnsi="宋体" w:cs="宋体"/>
          <w:b/>
          <w:color w:val="auto"/>
          <w:sz w:val="24"/>
          <w:highlight w:val="none"/>
        </w:rPr>
      </w:pPr>
      <w:bookmarkStart w:id="64" w:name="_Toc12039"/>
      <w:r>
        <w:rPr>
          <w:rFonts w:hint="eastAsia" w:ascii="宋体" w:hAnsi="宋体" w:cs="宋体"/>
          <w:b/>
          <w:color w:val="auto"/>
          <w:sz w:val="24"/>
          <w:highlight w:val="none"/>
        </w:rPr>
        <w:t>3.1初步评审</w:t>
      </w:r>
      <w:bookmarkEnd w:id="64"/>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3.1.1评标委员会依据本章第2.1款规定的标准对投标文件进行初步评审。有一项不符合评审标准的，其投标被否决。</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3.1.2投标人有以下情形之一的，其投标作否决处理：</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（1）第二章“投标人须知”第1.4.3项规定的任何一种情形的；</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（2）串通投标或弄虚作假或有其他违法行为的；</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（3）不按评标委员会要求澄清、说明或补正的；</w:t>
      </w:r>
    </w:p>
    <w:p>
      <w:pPr>
        <w:spacing w:line="480" w:lineRule="exact"/>
        <w:ind w:firstLine="460" w:firstLineChars="192"/>
        <w:rPr>
          <w:color w:val="auto"/>
          <w:sz w:val="24"/>
          <w:highlight w:val="none"/>
        </w:rPr>
      </w:pPr>
      <w:r>
        <w:rPr>
          <w:rFonts w:hint="eastAsia" w:asciiTheme="minorEastAsia" w:hAnsiTheme="minorEastAsia"/>
          <w:color w:val="auto"/>
          <w:sz w:val="24"/>
          <w:highlight w:val="none"/>
        </w:rPr>
        <w:t>（4）不同投标人电子投标文件记录的硬件特征码（网卡MAC地址、CPU序号、硬盘序列号）三个都一致时，视为‘不同投标人的投标文件由同一单位或者个人编制’或‘不同投标人委托同一单位或者个人办理投标事宜’，其投标无效。评标专家应严格按照招标文件要求查看“硬件特征码”相关信息并进行评审，在评标报告中显示“不同投标人电子投标文件制作硬件特征码”是否雷同的分析及判定结果。</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3.1.3投标报价有算术错误的，评标委员会按以下原则对投标报价进行修正，修正的价格经投标人书面确认后具有约束力。投标人不接受修正价格的，其投标作否决处理。</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（1）投标文件中的大写金额与小写金额不一致的，以大写金额为准；</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（2）总价金额与依据单价计算出的结果不一致的，以单价金额为准修正总价，但单价金额小数点有明显错误的除外。</w:t>
      </w:r>
    </w:p>
    <w:p>
      <w:pPr>
        <w:spacing w:line="480" w:lineRule="exact"/>
        <w:ind w:firstLine="463" w:firstLineChars="192"/>
        <w:outlineLvl w:val="3"/>
        <w:rPr>
          <w:rFonts w:ascii="宋体" w:hAnsi="宋体" w:cs="宋体"/>
          <w:b/>
          <w:color w:val="auto"/>
          <w:sz w:val="24"/>
          <w:highlight w:val="none"/>
        </w:rPr>
      </w:pPr>
      <w:bookmarkStart w:id="65" w:name="_Toc10620"/>
      <w:r>
        <w:rPr>
          <w:rFonts w:hint="eastAsia" w:ascii="宋体" w:hAnsi="宋体" w:cs="宋体"/>
          <w:b/>
          <w:color w:val="auto"/>
          <w:sz w:val="24"/>
          <w:highlight w:val="none"/>
        </w:rPr>
        <w:t>3.2详细评审</w:t>
      </w:r>
      <w:bookmarkEnd w:id="65"/>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详细评审是对初步评审合格投标文件的技术标、商务标、综合标按照本招标文件中明确的评标办法以列表、抽量的方式进行分析、比较和评审。</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3.2.1 评标委员会按本章第2.2款规定的评分因素和分值进行打分，并计算出综合评估得分。</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（1）按本章第2.2.4(1)目规定的评审因素和分值对技术标算出得分A；</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（2）按本章第2.2.4(2)目规定的评审因素和分值对商务标计算出得分B；</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（3）按本章第2.2.4(3)目规定的评审因素和分值对综合信用标计算出得分C；</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3.2.2评分分值计算保留小数点后两位，小数点后第三位“四舍五入”。</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3.2.3投标人得分=A+B+C。</w:t>
      </w:r>
    </w:p>
    <w:p>
      <w:pPr>
        <w:spacing w:line="480" w:lineRule="exact"/>
        <w:ind w:firstLine="460" w:firstLineChars="192"/>
        <w:rPr>
          <w:rFonts w:ascii="宋体" w:hAnsi="宋体" w:cs="宋体"/>
          <w:color w:val="auto"/>
          <w:sz w:val="24"/>
          <w:highlight w:val="none"/>
        </w:rPr>
      </w:pPr>
      <w:r>
        <w:rPr>
          <w:rFonts w:hint="eastAsia" w:ascii="宋体" w:hAnsi="宋体" w:cs="宋体"/>
          <w:color w:val="auto"/>
          <w:sz w:val="24"/>
          <w:highlight w:val="none"/>
        </w:rPr>
        <w:t>3.2.4评标委员会发现投标人的报价明显低于其他投标报价，或者在设有招标控制价时明显低于招标控制价，使得其投标报价可能低于其成本的，应当要求该投标人作出书面说明并提供相应的证明材料。投标人不能合理说明或者不能提供相应证明材料的，由评标委员会认定该投标人以低于成本报价竞标，其投标作被否决。</w:t>
      </w:r>
    </w:p>
    <w:p>
      <w:pPr>
        <w:spacing w:line="480" w:lineRule="exact"/>
        <w:ind w:firstLine="482" w:firstLineChars="200"/>
        <w:outlineLvl w:val="3"/>
        <w:rPr>
          <w:rFonts w:ascii="宋体" w:hAnsi="宋体" w:cs="宋体"/>
          <w:b/>
          <w:color w:val="auto"/>
          <w:sz w:val="24"/>
          <w:highlight w:val="none"/>
        </w:rPr>
      </w:pPr>
      <w:bookmarkStart w:id="66" w:name="_Toc6631"/>
      <w:r>
        <w:rPr>
          <w:rFonts w:hint="eastAsia" w:ascii="宋体" w:hAnsi="宋体" w:cs="宋体"/>
          <w:b/>
          <w:color w:val="auto"/>
          <w:sz w:val="24"/>
          <w:highlight w:val="none"/>
        </w:rPr>
        <w:t>3.3投标文件的澄清和补正</w:t>
      </w:r>
      <w:bookmarkEnd w:id="66"/>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3.3.1在评标过程中，评标委员会可以书面形式要求投标人对所提交的投标文件中不明确的内容进行书面澄清或说明，或者对细微偏差进行补正。评标委员会不接受投标人主动提出的澄清、说明或补正。</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3.3.2澄清、说明和补正不得改变投标文件的实质性内容（算术性错误修正的除外）。投标人的书面澄清、说明和补正属于投标文件的组成部分。</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3.3.3评标委员会对投标人提交的澄清、说明或补正有疑问的，可以要求投标人进一步澄清、说明或补正，直至满足评标委员会的要求。</w:t>
      </w:r>
    </w:p>
    <w:p>
      <w:pPr>
        <w:spacing w:line="480" w:lineRule="exact"/>
        <w:ind w:firstLine="482" w:firstLineChars="200"/>
        <w:outlineLvl w:val="3"/>
        <w:rPr>
          <w:rFonts w:ascii="宋体" w:hAnsi="宋体" w:cs="宋体"/>
          <w:b/>
          <w:color w:val="auto"/>
          <w:sz w:val="24"/>
          <w:highlight w:val="none"/>
        </w:rPr>
      </w:pPr>
      <w:bookmarkStart w:id="67" w:name="_Toc10104"/>
      <w:r>
        <w:rPr>
          <w:rFonts w:hint="eastAsia" w:ascii="宋体" w:hAnsi="宋体" w:cs="宋体"/>
          <w:b/>
          <w:color w:val="auto"/>
          <w:sz w:val="24"/>
          <w:highlight w:val="none"/>
        </w:rPr>
        <w:t>3.4 评标结果</w:t>
      </w:r>
      <w:bookmarkEnd w:id="67"/>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3.4.1除第二章"投标人须知"前附表授权直接确定中标人外，评标委员会按照得分由高到低的顺序推荐中标候选人。</w:t>
      </w:r>
    </w:p>
    <w:p>
      <w:pPr>
        <w:spacing w:line="460" w:lineRule="exact"/>
        <w:ind w:firstLine="480" w:firstLineChars="200"/>
        <w:rPr>
          <w:rFonts w:ascii="宋体" w:hAnsi="宋体" w:cs="仿宋_GB2312"/>
          <w:color w:val="auto"/>
          <w:sz w:val="24"/>
          <w:highlight w:val="none"/>
        </w:rPr>
      </w:pPr>
      <w:r>
        <w:rPr>
          <w:rFonts w:hint="eastAsia" w:ascii="宋体" w:hAnsi="宋体" w:cs="宋体"/>
          <w:color w:val="auto"/>
          <w:sz w:val="24"/>
          <w:highlight w:val="none"/>
        </w:rPr>
        <w:t>3.4.2 评标委员会完成评标后，应当向招标人提交书面评标报告。对不中标的候选人，招标人有权不作任何解释。</w:t>
      </w:r>
    </w:p>
    <w:p>
      <w:pPr>
        <w:spacing w:line="480" w:lineRule="exact"/>
        <w:jc w:val="center"/>
        <w:rPr>
          <w:rFonts w:ascii="宋体" w:hAnsi="宋体" w:cs="宋体"/>
          <w:color w:val="auto"/>
          <w:sz w:val="24"/>
          <w:highlight w:val="none"/>
        </w:rPr>
      </w:pPr>
    </w:p>
    <w:p>
      <w:pPr>
        <w:spacing w:line="600" w:lineRule="exact"/>
        <w:jc w:val="both"/>
        <w:outlineLvl w:val="0"/>
        <w:rPr>
          <w:rFonts w:ascii="黑体" w:eastAsia="黑体"/>
          <w:color w:val="auto"/>
          <w:sz w:val="40"/>
          <w:szCs w:val="40"/>
          <w:highlight w:val="none"/>
        </w:rPr>
      </w:pPr>
      <w:bookmarkStart w:id="68" w:name="_Toc9900"/>
      <w:bookmarkStart w:id="69" w:name="_Toc10171"/>
    </w:p>
    <w:p>
      <w:pPr>
        <w:spacing w:line="600" w:lineRule="exact"/>
        <w:jc w:val="center"/>
        <w:outlineLvl w:val="0"/>
        <w:rPr>
          <w:rFonts w:hint="eastAsia" w:ascii="黑体" w:eastAsia="黑体"/>
          <w:color w:val="auto"/>
          <w:sz w:val="40"/>
          <w:szCs w:val="40"/>
          <w:highlight w:val="none"/>
        </w:rPr>
      </w:pPr>
    </w:p>
    <w:p>
      <w:pPr>
        <w:spacing w:line="600" w:lineRule="exact"/>
        <w:jc w:val="both"/>
        <w:outlineLvl w:val="0"/>
        <w:rPr>
          <w:rFonts w:hint="eastAsia" w:ascii="黑体" w:eastAsia="黑体"/>
          <w:color w:val="auto"/>
          <w:sz w:val="40"/>
          <w:szCs w:val="40"/>
          <w:highlight w:val="none"/>
        </w:rPr>
      </w:pPr>
    </w:p>
    <w:p>
      <w:pPr>
        <w:spacing w:line="600" w:lineRule="exact"/>
        <w:jc w:val="center"/>
        <w:outlineLvl w:val="0"/>
        <w:rPr>
          <w:rFonts w:ascii="黑体" w:eastAsia="黑体"/>
          <w:color w:val="auto"/>
          <w:sz w:val="40"/>
          <w:szCs w:val="40"/>
          <w:highlight w:val="none"/>
        </w:rPr>
      </w:pPr>
      <w:r>
        <w:rPr>
          <w:rFonts w:hint="eastAsia" w:ascii="黑体" w:eastAsia="黑体"/>
          <w:color w:val="auto"/>
          <w:sz w:val="40"/>
          <w:szCs w:val="40"/>
          <w:highlight w:val="none"/>
        </w:rPr>
        <w:t>第四章 合同条款及格式</w:t>
      </w:r>
      <w:bookmarkEnd w:id="68"/>
      <w:bookmarkEnd w:id="69"/>
    </w:p>
    <w:p>
      <w:pPr>
        <w:spacing w:line="500" w:lineRule="exact"/>
        <w:jc w:val="right"/>
        <w:rPr>
          <w:rFonts w:ascii="宋体" w:hAnsi="宋体"/>
          <w:color w:val="auto"/>
          <w:sz w:val="32"/>
          <w:szCs w:val="32"/>
          <w:highlight w:val="none"/>
          <w:lang w:eastAsia="zh-CN"/>
        </w:rPr>
      </w:pPr>
      <w:bookmarkStart w:id="70" w:name="_bookmark4"/>
      <w:bookmarkEnd w:id="70"/>
      <w:r>
        <w:rPr>
          <w:rFonts w:hint="eastAsia" w:eastAsia="仿宋_GB2312"/>
          <w:color w:val="auto"/>
          <w:sz w:val="32"/>
          <w:szCs w:val="32"/>
          <w:highlight w:val="none"/>
          <w:lang w:eastAsia="zh-CN"/>
        </w:rPr>
        <w:t>（</w:t>
      </w:r>
      <w:r>
        <w:rPr>
          <w:rFonts w:eastAsia="仿宋_GB2312"/>
          <w:color w:val="auto"/>
          <w:sz w:val="32"/>
          <w:szCs w:val="32"/>
          <w:highlight w:val="none"/>
          <w:lang w:eastAsia="zh-CN"/>
        </w:rPr>
        <w:t>GF—201</w:t>
      </w:r>
      <w:r>
        <w:rPr>
          <w:rFonts w:ascii="仿宋_GB2312"/>
          <w:color w:val="auto"/>
          <w:sz w:val="32"/>
          <w:szCs w:val="32"/>
          <w:highlight w:val="none"/>
          <w:lang w:eastAsia="zh-CN"/>
        </w:rPr>
        <w:t>7</w:t>
      </w:r>
      <w:r>
        <w:rPr>
          <w:rFonts w:eastAsia="仿宋_GB2312"/>
          <w:color w:val="auto"/>
          <w:sz w:val="32"/>
          <w:szCs w:val="32"/>
          <w:highlight w:val="none"/>
          <w:lang w:eastAsia="zh-CN"/>
        </w:rPr>
        <w:t>—</w:t>
      </w:r>
      <w:r>
        <w:rPr>
          <w:rFonts w:ascii="仿宋_GB2312"/>
          <w:color w:val="auto"/>
          <w:sz w:val="32"/>
          <w:szCs w:val="32"/>
          <w:highlight w:val="none"/>
          <w:lang w:eastAsia="zh-CN"/>
        </w:rPr>
        <w:t>0201</w:t>
      </w:r>
      <w:r>
        <w:rPr>
          <w:rFonts w:hint="eastAsia" w:ascii="宋体" w:hAnsi="宋体"/>
          <w:color w:val="auto"/>
          <w:sz w:val="32"/>
          <w:szCs w:val="32"/>
          <w:highlight w:val="none"/>
          <w:lang w:eastAsia="zh-CN"/>
        </w:rPr>
        <w:t>）</w:t>
      </w:r>
    </w:p>
    <w:p>
      <w:pPr>
        <w:spacing w:line="500" w:lineRule="exact"/>
        <w:jc w:val="center"/>
        <w:rPr>
          <w:rFonts w:ascii="宋体" w:hAnsi="宋体"/>
          <w:b/>
          <w:bCs/>
          <w:color w:val="auto"/>
          <w:sz w:val="52"/>
          <w:szCs w:val="52"/>
          <w:highlight w:val="none"/>
          <w:lang w:eastAsia="zh-CN"/>
        </w:rPr>
      </w:pPr>
      <w:r>
        <w:rPr>
          <w:rFonts w:hint="eastAsia" w:ascii="宋体" w:hAnsi="宋体"/>
          <w:b/>
          <w:bCs/>
          <w:color w:val="auto"/>
          <w:sz w:val="52"/>
          <w:szCs w:val="52"/>
          <w:highlight w:val="none"/>
          <w:lang w:eastAsia="zh-CN"/>
        </w:rPr>
        <w:t>建设工程施工合同</w:t>
      </w:r>
    </w:p>
    <w:p>
      <w:pPr>
        <w:spacing w:line="500" w:lineRule="exact"/>
        <w:jc w:val="center"/>
        <w:rPr>
          <w:rFonts w:eastAsia="华文中宋"/>
          <w:b/>
          <w:bCs/>
          <w:color w:val="auto"/>
          <w:sz w:val="52"/>
          <w:szCs w:val="52"/>
          <w:highlight w:val="none"/>
          <w:lang w:eastAsia="zh-CN"/>
        </w:rPr>
      </w:pPr>
      <w:r>
        <w:rPr>
          <w:rFonts w:eastAsia="华文中宋"/>
          <w:b/>
          <w:bCs/>
          <w:color w:val="auto"/>
          <w:sz w:val="52"/>
          <w:szCs w:val="52"/>
          <w:highlight w:val="none"/>
          <w:lang w:eastAsia="zh-CN"/>
        </w:rPr>
        <w:t xml:space="preserve"> </w:t>
      </w:r>
    </w:p>
    <w:p>
      <w:pPr>
        <w:spacing w:line="500" w:lineRule="exact"/>
        <w:jc w:val="center"/>
        <w:rPr>
          <w:rFonts w:eastAsia="黑体"/>
          <w:b/>
          <w:bCs/>
          <w:color w:val="auto"/>
          <w:sz w:val="72"/>
          <w:szCs w:val="72"/>
          <w:highlight w:val="none"/>
          <w:lang w:eastAsia="zh-CN"/>
        </w:rPr>
      </w:pPr>
      <w:r>
        <w:rPr>
          <w:rFonts w:eastAsia="黑体"/>
          <w:b/>
          <w:bCs/>
          <w:color w:val="auto"/>
          <w:sz w:val="72"/>
          <w:szCs w:val="72"/>
          <w:highlight w:val="none"/>
          <w:lang w:eastAsia="zh-CN"/>
        </w:rPr>
        <w:t xml:space="preserve"> </w:t>
      </w:r>
    </w:p>
    <w:p>
      <w:pPr>
        <w:pStyle w:val="2"/>
        <w:spacing w:line="500" w:lineRule="exact"/>
        <w:rPr>
          <w:color w:val="auto"/>
          <w:highlight w:val="none"/>
          <w:lang w:eastAsia="zh-CN"/>
        </w:rPr>
      </w:pPr>
    </w:p>
    <w:p>
      <w:pPr>
        <w:spacing w:line="500" w:lineRule="exact"/>
        <w:rPr>
          <w:color w:val="auto"/>
          <w:highlight w:val="none"/>
          <w:lang w:eastAsia="zh-CN"/>
        </w:rPr>
      </w:pPr>
    </w:p>
    <w:p>
      <w:pPr>
        <w:pStyle w:val="2"/>
        <w:spacing w:line="500" w:lineRule="exact"/>
        <w:rPr>
          <w:rFonts w:eastAsiaTheme="minorEastAsia"/>
          <w:color w:val="auto"/>
          <w:highlight w:val="none"/>
          <w:lang w:eastAsia="zh-CN"/>
        </w:rPr>
      </w:pPr>
    </w:p>
    <w:p>
      <w:pPr>
        <w:rPr>
          <w:color w:val="auto"/>
          <w:highlight w:val="none"/>
          <w:lang w:eastAsia="zh-CN" w:bidi="ar-SA"/>
        </w:rPr>
      </w:pPr>
    </w:p>
    <w:p>
      <w:pPr>
        <w:spacing w:line="500" w:lineRule="exact"/>
        <w:rPr>
          <w:color w:val="auto"/>
          <w:highlight w:val="none"/>
          <w:lang w:eastAsia="zh-CN"/>
        </w:rPr>
      </w:pPr>
    </w:p>
    <w:p>
      <w:pPr>
        <w:pStyle w:val="2"/>
        <w:spacing w:line="500" w:lineRule="exact"/>
        <w:rPr>
          <w:color w:val="auto"/>
          <w:highlight w:val="none"/>
          <w:lang w:eastAsia="zh-CN"/>
        </w:rPr>
      </w:pPr>
    </w:p>
    <w:p>
      <w:pPr>
        <w:spacing w:line="500" w:lineRule="exact"/>
        <w:rPr>
          <w:color w:val="auto"/>
          <w:highlight w:val="none"/>
          <w:lang w:eastAsia="zh-CN"/>
        </w:rPr>
      </w:pPr>
    </w:p>
    <w:p>
      <w:pPr>
        <w:pStyle w:val="2"/>
        <w:spacing w:line="500" w:lineRule="exact"/>
        <w:rPr>
          <w:color w:val="auto"/>
          <w:highlight w:val="none"/>
          <w:lang w:eastAsia="zh-CN"/>
        </w:rPr>
      </w:pPr>
    </w:p>
    <w:p>
      <w:pPr>
        <w:spacing w:line="500" w:lineRule="exact"/>
        <w:jc w:val="center"/>
        <w:rPr>
          <w:rFonts w:eastAsia="楷体_GB2312"/>
          <w:b/>
          <w:bCs/>
          <w:color w:val="auto"/>
          <w:sz w:val="72"/>
          <w:szCs w:val="72"/>
          <w:highlight w:val="none"/>
          <w:lang w:eastAsia="zh-CN"/>
        </w:rPr>
      </w:pPr>
    </w:p>
    <w:p>
      <w:pPr>
        <w:pStyle w:val="2"/>
        <w:rPr>
          <w:color w:val="auto"/>
          <w:highlight w:val="none"/>
          <w:lang w:eastAsia="zh-CN"/>
        </w:rPr>
      </w:pPr>
    </w:p>
    <w:p>
      <w:pPr>
        <w:pStyle w:val="2"/>
        <w:spacing w:line="500" w:lineRule="exact"/>
        <w:rPr>
          <w:color w:val="auto"/>
          <w:highlight w:val="none"/>
          <w:lang w:eastAsia="zh-CN"/>
        </w:rPr>
      </w:pPr>
    </w:p>
    <w:p>
      <w:pPr>
        <w:spacing w:line="500" w:lineRule="exact"/>
        <w:rPr>
          <w:color w:val="auto"/>
          <w:highlight w:val="none"/>
          <w:lang w:eastAsia="zh-CN"/>
        </w:rPr>
      </w:pPr>
    </w:p>
    <w:p>
      <w:pPr>
        <w:pStyle w:val="2"/>
        <w:spacing w:line="500" w:lineRule="exact"/>
        <w:rPr>
          <w:color w:val="auto"/>
          <w:highlight w:val="none"/>
          <w:lang w:eastAsia="zh-CN"/>
        </w:rPr>
      </w:pPr>
    </w:p>
    <w:p>
      <w:pPr>
        <w:spacing w:line="500" w:lineRule="exact"/>
        <w:jc w:val="center"/>
        <w:rPr>
          <w:rFonts w:eastAsia="楷体_GB2312"/>
          <w:b/>
          <w:bCs/>
          <w:color w:val="auto"/>
          <w:sz w:val="72"/>
          <w:szCs w:val="72"/>
          <w:highlight w:val="none"/>
          <w:lang w:eastAsia="zh-CN"/>
        </w:rPr>
      </w:pPr>
      <w:r>
        <w:rPr>
          <w:rFonts w:eastAsia="楷体_GB2312"/>
          <w:b/>
          <w:bCs/>
          <w:color w:val="auto"/>
          <w:sz w:val="72"/>
          <w:szCs w:val="72"/>
          <w:highlight w:val="none"/>
          <w:lang w:eastAsia="zh-CN"/>
        </w:rPr>
        <w:t xml:space="preserve"> </w:t>
      </w:r>
    </w:p>
    <w:p>
      <w:pPr>
        <w:spacing w:line="500" w:lineRule="exact"/>
        <w:jc w:val="center"/>
        <w:rPr>
          <w:rFonts w:eastAsia="黑体"/>
          <w:b/>
          <w:bCs/>
          <w:color w:val="auto"/>
          <w:sz w:val="52"/>
          <w:szCs w:val="52"/>
          <w:highlight w:val="none"/>
          <w:lang w:eastAsia="zh-CN"/>
        </w:rPr>
      </w:pPr>
      <w:r>
        <w:rPr>
          <w:rFonts w:eastAsia="黑体"/>
          <w:b/>
          <w:bCs/>
          <w:color w:val="auto"/>
          <w:sz w:val="52"/>
          <w:szCs w:val="52"/>
          <w:highlight w:val="none"/>
          <w:lang w:eastAsia="zh-CN"/>
        </w:rPr>
        <w:t xml:space="preserve"> </w:t>
      </w:r>
    </w:p>
    <w:p>
      <w:pPr>
        <w:spacing w:line="500" w:lineRule="exact"/>
        <w:rPr>
          <w:b/>
          <w:bCs/>
          <w:color w:val="auto"/>
          <w:sz w:val="28"/>
          <w:szCs w:val="28"/>
          <w:highlight w:val="none"/>
          <w:lang w:eastAsia="zh-CN"/>
        </w:rPr>
      </w:pPr>
      <w:r>
        <w:rPr>
          <w:b/>
          <w:bCs/>
          <w:color w:val="auto"/>
          <w:sz w:val="28"/>
          <w:szCs w:val="28"/>
          <w:highlight w:val="none"/>
          <w:lang w:eastAsia="zh-CN"/>
        </w:rPr>
        <w:t xml:space="preserve"> </w:t>
      </w:r>
    </w:p>
    <w:p>
      <w:pPr>
        <w:spacing w:line="500" w:lineRule="exact"/>
        <w:ind w:right="2719" w:rightChars="1295"/>
        <w:jc w:val="center"/>
        <w:rPr>
          <w:rFonts w:ascii="宋体" w:hAnsi="宋体"/>
          <w:b/>
          <w:bCs/>
          <w:color w:val="auto"/>
          <w:sz w:val="32"/>
          <w:szCs w:val="32"/>
          <w:highlight w:val="none"/>
          <w:lang w:eastAsia="zh-CN"/>
        </w:rPr>
      </w:pPr>
      <w:r>
        <w:rPr>
          <w:rFonts w:hint="eastAsia" w:ascii="宋体" w:hAnsi="宋体" w:eastAsia="宋体"/>
          <w:b/>
          <w:bCs/>
          <w:color w:val="auto"/>
          <w:sz w:val="32"/>
          <w:szCs w:val="32"/>
          <w:highlight w:val="none"/>
          <w:lang w:eastAsia="zh-CN"/>
        </w:rPr>
        <w:t xml:space="preserve">          </w:t>
      </w:r>
      <w:r>
        <w:rPr>
          <w:rFonts w:hint="eastAsia" w:ascii="宋体" w:hAnsi="宋体" w:eastAsia="宋体"/>
          <w:b/>
          <w:bCs/>
          <w:color w:val="auto"/>
          <w:sz w:val="32"/>
          <w:szCs w:val="32"/>
          <w:highlight w:val="none"/>
          <w:lang w:val="en-US" w:eastAsia="zh-CN"/>
        </w:rPr>
        <w:t xml:space="preserve">      </w:t>
      </w:r>
      <w:r>
        <w:rPr>
          <w:rFonts w:hint="eastAsia" w:ascii="宋体" w:hAnsi="宋体"/>
          <w:b/>
          <w:bCs/>
          <w:color w:val="auto"/>
          <w:sz w:val="32"/>
          <w:szCs w:val="32"/>
          <w:highlight w:val="none"/>
          <w:lang w:eastAsia="zh-CN"/>
        </w:rPr>
        <w:t>住 房 城 乡 建 设 部</w:t>
      </w:r>
    </w:p>
    <w:p>
      <w:pPr>
        <w:spacing w:line="500" w:lineRule="exact"/>
        <w:ind w:right="2719" w:rightChars="1295"/>
        <w:jc w:val="center"/>
        <w:rPr>
          <w:rFonts w:hint="eastAsia" w:ascii="宋体" w:hAnsi="宋体" w:eastAsia="宋体"/>
          <w:b/>
          <w:bCs/>
          <w:color w:val="auto"/>
          <w:sz w:val="32"/>
          <w:szCs w:val="32"/>
          <w:highlight w:val="none"/>
          <w:lang w:eastAsia="zh-CN"/>
        </w:rPr>
      </w:pPr>
      <w:r>
        <w:rPr>
          <w:color w:val="auto"/>
          <w:highlight w:val="none"/>
        </w:rPr>
        <w:drawing>
          <wp:anchor distT="0" distB="0" distL="114300" distR="114300" simplePos="0" relativeHeight="251659264" behindDoc="0" locked="0" layoutInCell="1" allowOverlap="1">
            <wp:simplePos x="0" y="0"/>
            <wp:positionH relativeFrom="margin">
              <wp:posOffset>4571365</wp:posOffset>
            </wp:positionH>
            <wp:positionV relativeFrom="margin">
              <wp:posOffset>7788275</wp:posOffset>
            </wp:positionV>
            <wp:extent cx="733425" cy="466725"/>
            <wp:effectExtent l="0" t="0" r="9525"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a:stretch>
                      <a:fillRect/>
                    </a:stretch>
                  </pic:blipFill>
                  <pic:spPr>
                    <a:xfrm>
                      <a:off x="0" y="0"/>
                      <a:ext cx="733425" cy="466725"/>
                    </a:xfrm>
                    <a:prstGeom prst="rect">
                      <a:avLst/>
                    </a:prstGeom>
                    <a:noFill/>
                    <a:ln>
                      <a:noFill/>
                    </a:ln>
                  </pic:spPr>
                </pic:pic>
              </a:graphicData>
            </a:graphic>
          </wp:anchor>
        </w:drawing>
      </w:r>
      <w:r>
        <w:rPr>
          <w:rFonts w:hint="eastAsia" w:ascii="宋体" w:hAnsi="宋体" w:eastAsia="宋体"/>
          <w:b/>
          <w:bCs/>
          <w:color w:val="auto"/>
          <w:sz w:val="32"/>
          <w:szCs w:val="32"/>
          <w:highlight w:val="none"/>
          <w:lang w:eastAsia="zh-CN"/>
        </w:rPr>
        <w:t xml:space="preserve">        </w:t>
      </w:r>
    </w:p>
    <w:p>
      <w:pPr>
        <w:spacing w:line="500" w:lineRule="exact"/>
        <w:ind w:right="2719" w:rightChars="1295"/>
        <w:jc w:val="center"/>
        <w:rPr>
          <w:b/>
          <w:bCs/>
          <w:color w:val="auto"/>
          <w:sz w:val="32"/>
          <w:szCs w:val="32"/>
          <w:highlight w:val="none"/>
          <w:lang w:eastAsia="zh-CN"/>
        </w:rPr>
      </w:pPr>
      <w:r>
        <w:rPr>
          <w:rFonts w:hint="eastAsia" w:ascii="宋体" w:hAnsi="宋体" w:eastAsia="宋体"/>
          <w:b/>
          <w:bCs/>
          <w:color w:val="auto"/>
          <w:sz w:val="32"/>
          <w:szCs w:val="32"/>
          <w:highlight w:val="none"/>
          <w:lang w:eastAsia="zh-CN"/>
        </w:rPr>
        <w:t xml:space="preserve"> </w:t>
      </w:r>
      <w:r>
        <w:rPr>
          <w:rFonts w:hint="eastAsia" w:ascii="宋体" w:hAnsi="宋体" w:eastAsia="宋体"/>
          <w:b/>
          <w:bCs/>
          <w:color w:val="auto"/>
          <w:sz w:val="32"/>
          <w:szCs w:val="32"/>
          <w:highlight w:val="none"/>
          <w:lang w:val="en-US" w:eastAsia="zh-CN"/>
        </w:rPr>
        <w:t xml:space="preserve">        </w:t>
      </w:r>
      <w:r>
        <w:rPr>
          <w:rFonts w:hint="eastAsia" w:ascii="宋体" w:hAnsi="宋体" w:eastAsia="宋体"/>
          <w:b/>
          <w:bCs/>
          <w:color w:val="auto"/>
          <w:sz w:val="32"/>
          <w:szCs w:val="32"/>
          <w:highlight w:val="none"/>
          <w:lang w:eastAsia="zh-CN"/>
        </w:rPr>
        <w:t xml:space="preserve"> </w:t>
      </w:r>
      <w:r>
        <w:rPr>
          <w:rFonts w:hint="eastAsia" w:ascii="宋体" w:hAnsi="宋体" w:eastAsia="宋体"/>
          <w:b/>
          <w:bCs/>
          <w:color w:val="auto"/>
          <w:sz w:val="32"/>
          <w:szCs w:val="32"/>
          <w:highlight w:val="none"/>
          <w:lang w:val="en-US" w:eastAsia="zh-CN"/>
        </w:rPr>
        <w:t xml:space="preserve">         </w:t>
      </w:r>
      <w:r>
        <w:rPr>
          <w:rFonts w:hint="eastAsia" w:ascii="宋体" w:hAnsi="宋体"/>
          <w:b/>
          <w:bCs/>
          <w:color w:val="auto"/>
          <w:sz w:val="32"/>
          <w:szCs w:val="32"/>
          <w:highlight w:val="none"/>
          <w:lang w:eastAsia="zh-CN"/>
        </w:rPr>
        <w:t>国家工商行政管理总局</w:t>
      </w:r>
    </w:p>
    <w:p>
      <w:pPr>
        <w:spacing w:line="500" w:lineRule="exact"/>
        <w:ind w:firstLine="643" w:firstLineChars="200"/>
        <w:jc w:val="center"/>
        <w:rPr>
          <w:rFonts w:ascii="宋体" w:hAnsi="宋体"/>
          <w:b/>
          <w:bCs/>
          <w:color w:val="auto"/>
          <w:sz w:val="32"/>
          <w:szCs w:val="32"/>
          <w:highlight w:val="none"/>
          <w:lang w:eastAsia="zh-CN"/>
        </w:rPr>
      </w:pPr>
    </w:p>
    <w:p>
      <w:pPr>
        <w:pStyle w:val="9"/>
        <w:rPr>
          <w:rFonts w:ascii="宋体" w:hAnsi="宋体"/>
          <w:b/>
          <w:bCs/>
          <w:color w:val="auto"/>
          <w:sz w:val="32"/>
          <w:szCs w:val="32"/>
          <w:highlight w:val="none"/>
          <w:lang w:eastAsia="zh-CN"/>
        </w:rPr>
      </w:pPr>
    </w:p>
    <w:p>
      <w:pPr>
        <w:rPr>
          <w:color w:val="auto"/>
          <w:highlight w:val="none"/>
          <w:lang w:eastAsia="zh-CN"/>
        </w:rPr>
      </w:pPr>
    </w:p>
    <w:p>
      <w:pPr>
        <w:spacing w:line="500" w:lineRule="exact"/>
        <w:ind w:firstLine="643" w:firstLineChars="200"/>
        <w:jc w:val="center"/>
        <w:rPr>
          <w:rFonts w:hint="eastAsia" w:ascii="宋体" w:hAnsi="宋体"/>
          <w:b/>
          <w:bCs/>
          <w:color w:val="auto"/>
          <w:sz w:val="32"/>
          <w:szCs w:val="32"/>
          <w:highlight w:val="none"/>
          <w:lang w:eastAsia="zh-CN"/>
        </w:rPr>
      </w:pPr>
    </w:p>
    <w:p>
      <w:pPr>
        <w:spacing w:line="500" w:lineRule="exact"/>
        <w:ind w:firstLine="643" w:firstLineChars="200"/>
        <w:jc w:val="center"/>
        <w:rPr>
          <w:rFonts w:ascii="宋体" w:hAnsi="宋体"/>
          <w:color w:val="auto"/>
          <w:sz w:val="24"/>
          <w:szCs w:val="24"/>
          <w:highlight w:val="none"/>
          <w:lang w:eastAsia="zh-CN"/>
        </w:rPr>
      </w:pPr>
      <w:r>
        <w:rPr>
          <w:rFonts w:hint="eastAsia" w:ascii="宋体" w:hAnsi="宋体"/>
          <w:b/>
          <w:bCs/>
          <w:color w:val="auto"/>
          <w:sz w:val="32"/>
          <w:szCs w:val="32"/>
          <w:highlight w:val="none"/>
          <w:lang w:eastAsia="zh-CN"/>
        </w:rPr>
        <w:t>第一部分</w:t>
      </w:r>
      <w:r>
        <w:rPr>
          <w:rFonts w:hint="eastAsia" w:ascii="华文中宋" w:hAnsi="华文中宋"/>
          <w:b/>
          <w:bCs/>
          <w:color w:val="auto"/>
          <w:sz w:val="32"/>
          <w:szCs w:val="32"/>
          <w:highlight w:val="none"/>
          <w:lang w:eastAsia="zh-CN"/>
        </w:rPr>
        <w:t xml:space="preserve"> </w:t>
      </w:r>
      <w:r>
        <w:rPr>
          <w:rFonts w:hint="eastAsia" w:ascii="宋体" w:hAnsi="宋体"/>
          <w:b/>
          <w:bCs/>
          <w:color w:val="auto"/>
          <w:sz w:val="32"/>
          <w:szCs w:val="32"/>
          <w:highlight w:val="none"/>
          <w:lang w:eastAsia="zh-CN"/>
        </w:rPr>
        <w:t>合同协议书</w:t>
      </w:r>
    </w:p>
    <w:p>
      <w:pPr>
        <w:spacing w:line="500" w:lineRule="exact"/>
        <w:ind w:firstLine="482" w:firstLineChars="200"/>
        <w:rPr>
          <w:rFonts w:ascii="宋体" w:hAnsi="宋体"/>
          <w:b/>
          <w:bCs/>
          <w:color w:val="auto"/>
          <w:sz w:val="24"/>
          <w:szCs w:val="24"/>
          <w:highlight w:val="none"/>
          <w:u w:val="single"/>
          <w:lang w:eastAsia="zh-CN"/>
        </w:rPr>
      </w:pPr>
      <w:r>
        <w:rPr>
          <w:rFonts w:hint="eastAsia" w:ascii="宋体" w:hAnsi="宋体"/>
          <w:b/>
          <w:bCs/>
          <w:color w:val="auto"/>
          <w:sz w:val="24"/>
          <w:szCs w:val="24"/>
          <w:highlight w:val="none"/>
          <w:lang w:eastAsia="zh-CN"/>
        </w:rPr>
        <w:t>发包人（全称）：</w:t>
      </w:r>
      <w:r>
        <w:rPr>
          <w:rFonts w:hint="eastAsia" w:ascii="宋体" w:hAnsi="宋体"/>
          <w:b/>
          <w:bCs/>
          <w:color w:val="auto"/>
          <w:sz w:val="24"/>
          <w:szCs w:val="24"/>
          <w:highlight w:val="none"/>
          <w:u w:val="single"/>
          <w:lang w:eastAsia="zh-CN"/>
        </w:rPr>
        <w:t xml:space="preserve">                       </w:t>
      </w:r>
    </w:p>
    <w:p>
      <w:pPr>
        <w:spacing w:line="500" w:lineRule="exact"/>
        <w:ind w:firstLine="482" w:firstLineChars="200"/>
        <w:rPr>
          <w:rFonts w:ascii="宋体" w:hAnsi="宋体"/>
          <w:b/>
          <w:bCs/>
          <w:color w:val="auto"/>
          <w:sz w:val="24"/>
          <w:szCs w:val="24"/>
          <w:highlight w:val="none"/>
          <w:u w:val="single"/>
          <w:lang w:eastAsia="zh-CN"/>
        </w:rPr>
      </w:pPr>
      <w:r>
        <w:rPr>
          <w:rFonts w:hint="eastAsia" w:ascii="宋体" w:hAnsi="宋体"/>
          <w:b/>
          <w:bCs/>
          <w:color w:val="auto"/>
          <w:sz w:val="24"/>
          <w:szCs w:val="24"/>
          <w:highlight w:val="none"/>
          <w:lang w:eastAsia="zh-CN"/>
        </w:rPr>
        <w:t>承包人（全称）：</w:t>
      </w:r>
      <w:r>
        <w:rPr>
          <w:rFonts w:hint="eastAsia" w:ascii="宋体" w:hAnsi="宋体"/>
          <w:b/>
          <w:bCs/>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根据《中华人民共和国合同法》、《中华人民共和国建筑法》及有关法律规定，遵循平等、自愿、公平和诚实信用的原则，双方就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工程施工及有关事项协商一致，共同达成如下协议：</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一、工程概况</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1.工程名称：</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2.工程地点：</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3.工程立项批准文号：</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4.资金来源：</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5.工程内容：</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群体工程应附《承包人承揽工程项目一览表》（附件1）。</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6.工程承包范围：</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二、合同工期</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计划开工日期：     年   月    日。</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计划竣工日期：     年   月    日。</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工期总日历天数：  天。工期总日历天数与根据前述计划开竣工日期计算的工期天数不一致的，以工期总日历天数为准。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三、质量标准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工程质量符合</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标准。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四、签约合同价与合同价格形式</w:t>
      </w:r>
      <w:r>
        <w:rPr>
          <w:rFonts w:hint="eastAsia" w:ascii="宋体" w:hAnsi="宋体"/>
          <w:color w:val="auto"/>
          <w:sz w:val="24"/>
          <w:szCs w:val="24"/>
          <w:highlight w:val="none"/>
          <w:lang w:eastAsia="zh-CN"/>
        </w:rPr>
        <w:tab/>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1.签约合同价为：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其中：</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（1）安全文明施工费：</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（2）材料和工程设备暂估价金额：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（3）专业工程暂估价金额：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（4）暂列金额：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（5）规费：</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（6）税金：</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人民币（大写）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2.合同价格形式：</w:t>
      </w:r>
      <w:r>
        <w:rPr>
          <w:rFonts w:hint="eastAsia" w:ascii="宋体" w:hAnsi="宋体"/>
          <w:color w:val="auto"/>
          <w:sz w:val="24"/>
          <w:szCs w:val="24"/>
          <w:highlight w:val="none"/>
          <w:u w:val="single"/>
          <w:lang w:eastAsia="zh-CN"/>
        </w:rPr>
        <w:t xml:space="preserve">     固定单价合同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五、项目经理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承包人项目经理：</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六、合同文件构成</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本协议书与下列文件一起构成合同文件：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（1）中标通知书（如果有）；</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（2）投标函及其附录（如果有）；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（3）专用合同条款及其附件；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（4）通用合同条款；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（5）技术标准和要求；</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（6）图纸；</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（7）已标价工程量清单或预算书；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（8）其他合同文件。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在合同订立及履行过程中形成的与合同有关的文件均构成合同文件组成部分。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上述各项合同文件包括合同当事人就该项合同文件所作出的补充和修改，属于同一类内容的文件，应以最新签署的为准。专用合同条款及其附件须经合同当事人签字或盖章。</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七、承诺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1.发包人承诺按照法律规定履行项目审批手续、筹集工程建设资金并按照合同约定的期限和方式支付合同价款。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2.承包人承诺按照法律规定及合同约定组织完成工程施工，确保工程质量和安全，不进行转包及违法分包，并在缺陷责任期及保修期内承担相应的工程维修责任。</w:t>
      </w:r>
    </w:p>
    <w:p>
      <w:pPr>
        <w:spacing w:line="500" w:lineRule="exact"/>
        <w:ind w:firstLine="482" w:firstLineChars="200"/>
        <w:rPr>
          <w:rFonts w:ascii="宋体" w:hAnsi="宋体"/>
          <w:color w:val="auto"/>
          <w:sz w:val="24"/>
          <w:szCs w:val="24"/>
          <w:highlight w:val="none"/>
          <w:lang w:eastAsia="zh-CN"/>
        </w:rPr>
      </w:pPr>
      <w:r>
        <w:rPr>
          <w:rFonts w:hint="eastAsia" w:ascii="宋体" w:hAnsi="宋体"/>
          <w:b/>
          <w:bCs/>
          <w:color w:val="auto"/>
          <w:sz w:val="24"/>
          <w:szCs w:val="24"/>
          <w:highlight w:val="none"/>
          <w:lang w:eastAsia="zh-CN"/>
        </w:rPr>
        <w:t>八、词语含义</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本协议书中词语含义与第二部分通用合同条款中赋予的含义相同。</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九、签订时间</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本合同于</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年</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月</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日签订。</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十、签订地点</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本合同在</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签订。</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十一、补充协议</w:t>
      </w:r>
    </w:p>
    <w:p>
      <w:pPr>
        <w:spacing w:line="500" w:lineRule="exact"/>
        <w:ind w:firstLine="960" w:firstLineChars="400"/>
        <w:rPr>
          <w:rFonts w:ascii="宋体" w:hAnsi="宋体"/>
          <w:b/>
          <w:bCs/>
          <w:color w:val="auto"/>
          <w:sz w:val="24"/>
          <w:szCs w:val="24"/>
          <w:highlight w:val="none"/>
          <w:lang w:eastAsia="zh-CN"/>
        </w:rPr>
      </w:pPr>
      <w:r>
        <w:rPr>
          <w:rFonts w:hint="eastAsia" w:ascii="宋体" w:hAnsi="宋体"/>
          <w:color w:val="auto"/>
          <w:sz w:val="24"/>
          <w:szCs w:val="24"/>
          <w:highlight w:val="none"/>
          <w:lang w:eastAsia="zh-CN"/>
        </w:rPr>
        <w:t>合同双方当事人有另行约定签订的补充协议是合同的组成部分，与原合同有同等法律效力。</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十二、合同生效</w:t>
      </w:r>
    </w:p>
    <w:p>
      <w:pPr>
        <w:spacing w:line="500" w:lineRule="exact"/>
        <w:ind w:firstLine="480" w:firstLineChars="200"/>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rPr>
        <w:t>本合同自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生效。</w:t>
      </w:r>
      <w:r>
        <w:rPr>
          <w:rFonts w:hint="eastAsia" w:ascii="宋体" w:hAnsi="宋体"/>
          <w:color w:val="auto"/>
          <w:sz w:val="24"/>
          <w:szCs w:val="24"/>
          <w:highlight w:val="none"/>
          <w:lang w:val="en-US"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十三、合同份数</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本合同一式</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份，均具有同等法律效力，发包人执</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份，承包人执</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份。</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  (公章)             承包人：  (公章)</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法定代表人或其委托代理人：  法定代表人或其委托代理人：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（签字）                    （签字）</w:t>
      </w:r>
    </w:p>
    <w:p>
      <w:pPr>
        <w:spacing w:line="500" w:lineRule="exact"/>
        <w:ind w:firstLine="480" w:firstLineChars="200"/>
        <w:rPr>
          <w:rFonts w:ascii="宋体" w:hAnsi="宋体"/>
          <w:color w:val="auto"/>
          <w:sz w:val="24"/>
          <w:szCs w:val="24"/>
          <w:highlight w:val="none"/>
          <w:lang w:eastAsia="zh-CN"/>
        </w:rPr>
      </w:pPr>
    </w:p>
    <w:p>
      <w:pPr>
        <w:spacing w:line="48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统一社会信用代码：                 统一社会信用代码：     </w:t>
      </w:r>
      <w:r>
        <w:rPr>
          <w:rFonts w:hint="eastAsia" w:ascii="宋体" w:hAnsi="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地  址：                           地  址：</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  </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委托代理人：                       委托代理人：</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电  话：                           电  话：</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开户银行：                         开户银行：</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30"/>
          <w:szCs w:val="30"/>
          <w:highlight w:val="none"/>
          <w:lang w:eastAsia="zh-CN"/>
        </w:rPr>
      </w:pPr>
      <w:r>
        <w:rPr>
          <w:rFonts w:hint="eastAsia" w:ascii="宋体" w:hAnsi="宋体"/>
          <w:color w:val="auto"/>
          <w:sz w:val="24"/>
          <w:szCs w:val="24"/>
          <w:highlight w:val="none"/>
          <w:lang w:eastAsia="zh-CN"/>
        </w:rPr>
        <w:t>账  号：                           账  号：</w:t>
      </w:r>
      <w:r>
        <w:rPr>
          <w:rFonts w:hint="eastAsia" w:ascii="宋体" w:hAnsi="宋体"/>
          <w:color w:val="auto"/>
          <w:sz w:val="24"/>
          <w:szCs w:val="24"/>
          <w:highlight w:val="none"/>
          <w:u w:val="single"/>
          <w:lang w:eastAsia="zh-CN"/>
        </w:rPr>
        <w:t xml:space="preserve">                  </w:t>
      </w:r>
      <w:r>
        <w:rPr>
          <w:rFonts w:hint="eastAsia" w:ascii="宋体" w:hAnsi="宋体"/>
          <w:color w:val="auto"/>
          <w:sz w:val="30"/>
          <w:szCs w:val="30"/>
          <w:highlight w:val="none"/>
          <w:u w:val="single"/>
          <w:lang w:eastAsia="zh-CN"/>
        </w:rPr>
        <w:t xml:space="preserve"> </w:t>
      </w:r>
    </w:p>
    <w:p>
      <w:pPr>
        <w:spacing w:line="500" w:lineRule="exact"/>
        <w:ind w:firstLine="480" w:firstLineChars="200"/>
        <w:jc w:val="center"/>
        <w:rPr>
          <w:rFonts w:ascii="宋体" w:hAnsi="宋体" w:cs="宋体"/>
          <w:color w:val="auto"/>
          <w:sz w:val="24"/>
          <w:highlight w:val="none"/>
          <w:lang w:eastAsia="zh-CN"/>
        </w:rPr>
      </w:pPr>
      <w:r>
        <w:rPr>
          <w:rFonts w:hint="eastAsia" w:ascii="宋体" w:hAnsi="宋体"/>
          <w:color w:val="auto"/>
          <w:sz w:val="24"/>
          <w:szCs w:val="24"/>
          <w:highlight w:val="none"/>
          <w:lang w:eastAsia="zh-CN"/>
        </w:rPr>
        <w:br w:type="page"/>
      </w:r>
      <w:bookmarkStart w:id="71" w:name="_Toc351203494"/>
      <w:bookmarkEnd w:id="71"/>
      <w:bookmarkStart w:id="72" w:name="_Toc5287"/>
      <w:bookmarkEnd w:id="72"/>
      <w:r>
        <w:rPr>
          <w:rFonts w:hint="eastAsia" w:ascii="宋体" w:hAnsi="宋体"/>
          <w:b/>
          <w:bCs/>
          <w:color w:val="auto"/>
          <w:sz w:val="28"/>
          <w:szCs w:val="28"/>
          <w:highlight w:val="none"/>
          <w:lang w:eastAsia="zh-CN"/>
        </w:rPr>
        <w:t>第二部分 通用条款（GF-2017-0201）</w:t>
      </w: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hint="eastAsia" w:ascii="宋体" w:hAnsi="宋体"/>
          <w:b/>
          <w:bCs/>
          <w:color w:val="auto"/>
          <w:sz w:val="28"/>
          <w:szCs w:val="28"/>
          <w:highlight w:val="none"/>
          <w:lang w:eastAsia="zh-CN"/>
        </w:rPr>
      </w:pPr>
    </w:p>
    <w:p>
      <w:pPr>
        <w:spacing w:line="500" w:lineRule="exact"/>
        <w:ind w:firstLine="562" w:firstLineChars="200"/>
        <w:jc w:val="center"/>
        <w:rPr>
          <w:rFonts w:ascii="宋体" w:hAnsi="宋体"/>
          <w:b/>
          <w:bCs/>
          <w:color w:val="auto"/>
          <w:sz w:val="28"/>
          <w:szCs w:val="28"/>
          <w:highlight w:val="none"/>
          <w:lang w:eastAsia="zh-CN"/>
        </w:rPr>
      </w:pPr>
      <w:r>
        <w:rPr>
          <w:rFonts w:hint="eastAsia" w:ascii="宋体" w:hAnsi="宋体"/>
          <w:b/>
          <w:bCs/>
          <w:color w:val="auto"/>
          <w:sz w:val="28"/>
          <w:szCs w:val="28"/>
          <w:highlight w:val="none"/>
          <w:lang w:eastAsia="zh-CN"/>
        </w:rPr>
        <w:t>第三部分 专用合同条款</w:t>
      </w:r>
    </w:p>
    <w:p>
      <w:pPr>
        <w:spacing w:line="500" w:lineRule="exact"/>
        <w:ind w:firstLine="480" w:firstLineChars="200"/>
        <w:rPr>
          <w:rFonts w:ascii="宋体" w:hAnsi="宋体"/>
          <w:color w:val="auto"/>
          <w:sz w:val="24"/>
          <w:szCs w:val="24"/>
          <w:highlight w:val="none"/>
          <w:lang w:eastAsia="zh-CN"/>
        </w:rPr>
      </w:pPr>
      <w:bookmarkStart w:id="73" w:name="_Toc351203633"/>
      <w:bookmarkEnd w:id="73"/>
      <w:r>
        <w:rPr>
          <w:rFonts w:hint="eastAsia" w:ascii="宋体" w:hAnsi="宋体"/>
          <w:color w:val="auto"/>
          <w:sz w:val="24"/>
          <w:szCs w:val="24"/>
          <w:highlight w:val="none"/>
          <w:lang w:eastAsia="zh-CN"/>
        </w:rPr>
        <w:t>1</w:t>
      </w:r>
      <w:bookmarkStart w:id="74" w:name="_Toc296890984"/>
      <w:bookmarkEnd w:id="74"/>
      <w:bookmarkStart w:id="75" w:name="_Toc297048342"/>
      <w:bookmarkEnd w:id="75"/>
      <w:bookmarkStart w:id="76" w:name="_Toc296944495"/>
      <w:bookmarkEnd w:id="76"/>
      <w:bookmarkStart w:id="77" w:name="_Toc296346657"/>
      <w:bookmarkEnd w:id="77"/>
      <w:bookmarkStart w:id="78" w:name="_Toc296891196"/>
      <w:bookmarkEnd w:id="78"/>
      <w:bookmarkStart w:id="79" w:name="_Toc292559866"/>
      <w:bookmarkEnd w:id="79"/>
      <w:bookmarkStart w:id="80" w:name="_Toc296503156"/>
      <w:bookmarkEnd w:id="80"/>
      <w:bookmarkStart w:id="81" w:name="_Toc297120456"/>
      <w:bookmarkEnd w:id="81"/>
      <w:bookmarkStart w:id="82" w:name="_Toc292559361"/>
      <w:bookmarkEnd w:id="82"/>
      <w:bookmarkStart w:id="83" w:name="_Toc296347155"/>
      <w:r>
        <w:rPr>
          <w:rFonts w:hint="eastAsia" w:ascii="宋体" w:hAnsi="宋体"/>
          <w:color w:val="auto"/>
          <w:sz w:val="24"/>
          <w:szCs w:val="24"/>
          <w:highlight w:val="none"/>
          <w:lang w:eastAsia="zh-CN"/>
        </w:rPr>
        <w:t>. 一般约定</w:t>
      </w:r>
      <w:bookmarkEnd w:id="83"/>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 词语定义</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1.1.1合同</w:t>
      </w:r>
    </w:p>
    <w:p>
      <w:pPr>
        <w:spacing w:line="500" w:lineRule="exact"/>
        <w:ind w:left="1320" w:hanging="1320" w:hangingChars="55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1.1.1.10其他合同文件包括：</w:t>
      </w:r>
      <w:r>
        <w:rPr>
          <w:rFonts w:hint="eastAsia" w:ascii="宋体" w:hAnsi="宋体" w:cs="宋体"/>
          <w:color w:val="auto"/>
          <w:sz w:val="24"/>
          <w:highlight w:val="none"/>
          <w:u w:val="single"/>
          <w:lang w:eastAsia="zh-CN"/>
        </w:rPr>
        <w:t>设计变更、技术核定（洽商记录）单、双方工作联系函、监理会议纪要、工作指令等双方来往的书面格式文件。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1.1.2 合同当事人及其他相关方</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1.1.2.4监理人：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名    称：</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资质类别和等级：</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联系电话：</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电子信箱：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通信地址：</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1.1.2.5 设计人：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名    称：</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资质类别和等级：</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联系电话：</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电子信箱：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通信地址：</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1.1.3 工程和设备</w:t>
      </w:r>
    </w:p>
    <w:p>
      <w:pPr>
        <w:spacing w:line="500" w:lineRule="exact"/>
        <w:ind w:firstLine="480" w:firstLineChars="200"/>
        <w:jc w:val="both"/>
        <w:rPr>
          <w:rFonts w:ascii="宋体" w:hAnsi="宋体"/>
          <w:color w:val="auto"/>
          <w:sz w:val="24"/>
          <w:szCs w:val="24"/>
          <w:highlight w:val="none"/>
          <w:lang w:eastAsia="zh-CN"/>
        </w:rPr>
      </w:pPr>
      <w:r>
        <w:rPr>
          <w:rFonts w:hint="eastAsia" w:ascii="宋体" w:hAnsi="宋体"/>
          <w:color w:val="auto"/>
          <w:sz w:val="24"/>
          <w:szCs w:val="24"/>
          <w:highlight w:val="none"/>
          <w:lang w:eastAsia="zh-CN"/>
        </w:rPr>
        <w:t>1.1.3.7 作为施工现场组成部分的其他场所包括：</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1.1.3.9 永久占地包括：</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按照图纸设计确定</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1.1.3.10 临时占地包括：</w:t>
      </w:r>
      <w:r>
        <w:rPr>
          <w:rFonts w:hint="eastAsia" w:ascii="宋体" w:hAnsi="宋体" w:cs="宋体"/>
          <w:color w:val="auto"/>
          <w:sz w:val="24"/>
          <w:highlight w:val="none"/>
          <w:u w:val="single"/>
          <w:lang w:eastAsia="zh-CN"/>
        </w:rPr>
        <w:t xml:space="preserve">详见施工现场平面布置图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1.3法律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适用于合同的其他规范性文件：</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《中华人民共和国建筑法》、《中华人民共和国合同法》、《中华人民共和国招标投标法》、《建筑工程强制性标准条文》、《建筑工程质量保修办法》等国家、河南省现行的法规、条例和行政规范性文件等</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 标准和规范</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1.4.1适用于工程的标准规范包括：</w:t>
      </w:r>
      <w:r>
        <w:rPr>
          <w:rFonts w:hint="eastAsia" w:ascii="宋体" w:hAnsi="宋体" w:cs="宋体"/>
          <w:color w:val="auto"/>
          <w:sz w:val="24"/>
          <w:highlight w:val="none"/>
          <w:u w:val="single"/>
          <w:lang w:eastAsia="zh-CN"/>
        </w:rPr>
        <w:t>国家现行的施工及验收规范及质量检验评定标准等</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1.4.2 发包人提供国外标准、规范的名称：</w:t>
      </w:r>
      <w:r>
        <w:rPr>
          <w:rFonts w:hint="eastAsia" w:ascii="宋体" w:hAnsi="宋体"/>
          <w:color w:val="auto"/>
          <w:sz w:val="24"/>
          <w:szCs w:val="24"/>
          <w:highlight w:val="none"/>
          <w:u w:val="single"/>
          <w:lang w:eastAsia="zh-CN"/>
        </w:rPr>
        <w:t xml:space="preserve">    不提供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发包人提供国外标准、规范的份数：</w:t>
      </w:r>
      <w:r>
        <w:rPr>
          <w:rFonts w:hint="eastAsia" w:ascii="宋体" w:hAnsi="宋体"/>
          <w:color w:val="auto"/>
          <w:sz w:val="24"/>
          <w:szCs w:val="24"/>
          <w:highlight w:val="none"/>
          <w:u w:val="single"/>
          <w:lang w:eastAsia="zh-CN"/>
        </w:rPr>
        <w:t xml:space="preserve">  不提供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发包人提供国外标准、规范的名称：</w:t>
      </w:r>
      <w:r>
        <w:rPr>
          <w:rFonts w:hint="eastAsia" w:ascii="宋体" w:hAnsi="宋体"/>
          <w:color w:val="auto"/>
          <w:sz w:val="24"/>
          <w:szCs w:val="24"/>
          <w:highlight w:val="none"/>
          <w:u w:val="single"/>
          <w:lang w:eastAsia="zh-CN"/>
        </w:rPr>
        <w:t xml:space="preserve"> 不提供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1.4.3发包人对工程的技术标准和功能要求的特殊要求：</w:t>
      </w:r>
      <w:r>
        <w:rPr>
          <w:rFonts w:hint="eastAsia" w:ascii="宋体" w:hAnsi="宋体"/>
          <w:color w:val="auto"/>
          <w:sz w:val="24"/>
          <w:szCs w:val="24"/>
          <w:highlight w:val="none"/>
          <w:u w:val="single"/>
          <w:lang w:eastAsia="zh-CN"/>
        </w:rPr>
        <w:t xml:space="preserve">     无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 合同文件的优先顺序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合同文件组成及优先顺序为：</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(1)合同协议书；（2）中标通知书（如果有）；（3）投标函及其附录（如果有）；（4）专用合同条款及其附件；（5）通用合同条款；（6）技术标准和要求；（7）图纸；（8）已标价工程量清单或预算书；（9）其他合同文件</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 图纸和承包人文件</w:t>
      </w:r>
      <w:r>
        <w:rPr>
          <w:rFonts w:hint="eastAsia" w:ascii="宋体" w:hAnsi="宋体"/>
          <w:color w:val="auto"/>
          <w:sz w:val="24"/>
          <w:szCs w:val="24"/>
          <w:highlight w:val="none"/>
          <w:lang w:eastAsia="zh-CN"/>
        </w:rPr>
        <w:tab/>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1.6.1 图纸的提供</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发包人向承包人提供图纸的期限：</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合同签订后7天</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发包人向承包人提供图纸的数量：</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五套（不含竣工图）、电子版一套</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发包人向承包人提供图纸的内容：</w:t>
      </w:r>
      <w:r>
        <w:rPr>
          <w:rFonts w:hint="eastAsia" w:ascii="宋体" w:hAnsi="宋体"/>
          <w:color w:val="auto"/>
          <w:sz w:val="24"/>
          <w:szCs w:val="24"/>
          <w:highlight w:val="none"/>
          <w:u w:val="single"/>
          <w:lang w:eastAsia="zh-CN"/>
        </w:rPr>
        <w:t xml:space="preserve"> 与本合同标段工程相关的全套施工图纸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1.6.4 承包人文件</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需要由承包人提供的文件，包括：</w:t>
      </w:r>
      <w:r>
        <w:rPr>
          <w:rFonts w:hint="eastAsia" w:ascii="宋体" w:hAnsi="宋体" w:cs="宋体"/>
          <w:color w:val="auto"/>
          <w:sz w:val="24"/>
          <w:highlight w:val="none"/>
          <w:u w:val="single"/>
          <w:lang w:eastAsia="zh-CN"/>
        </w:rPr>
        <w:t>施工组织设计、总进度计划、工程量报表</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承包人提供的文件的期限为：</w:t>
      </w:r>
      <w:r>
        <w:rPr>
          <w:rFonts w:hint="eastAsia" w:ascii="宋体" w:hAnsi="宋体"/>
          <w:color w:val="auto"/>
          <w:sz w:val="24"/>
          <w:szCs w:val="24"/>
          <w:highlight w:val="none"/>
          <w:u w:val="single"/>
          <w:lang w:eastAsia="zh-CN"/>
        </w:rPr>
        <w:t xml:space="preserve"> 开工前7日内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承包人提供的文件的数量为：</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承包人提供的文件的形式为：</w:t>
      </w:r>
      <w:r>
        <w:rPr>
          <w:rFonts w:hint="eastAsia" w:ascii="宋体" w:hAnsi="宋体"/>
          <w:color w:val="auto"/>
          <w:sz w:val="24"/>
          <w:szCs w:val="24"/>
          <w:highlight w:val="none"/>
          <w:u w:val="single"/>
          <w:lang w:eastAsia="zh-CN"/>
        </w:rPr>
        <w:t xml:space="preserve"> 书面形式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发包人审批承包人文件的期限：</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收到文件后7日内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1.6.5 现场图纸准备</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关于现场图纸准备的约定：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准备一套图纸供甲方、监理检查、验收时使用</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1.7 联络</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1.7.1发包人和承包人应当在</w:t>
      </w:r>
      <w:r>
        <w:rPr>
          <w:rFonts w:hint="eastAsia" w:ascii="宋体" w:hAnsi="宋体"/>
          <w:color w:val="auto"/>
          <w:sz w:val="24"/>
          <w:szCs w:val="24"/>
          <w:highlight w:val="none"/>
          <w:u w:val="single"/>
          <w:lang w:eastAsia="zh-CN"/>
        </w:rPr>
        <w:t xml:space="preserve">  7  </w:t>
      </w:r>
      <w:r>
        <w:rPr>
          <w:rFonts w:hint="eastAsia" w:ascii="宋体" w:hAnsi="宋体"/>
          <w:color w:val="auto"/>
          <w:sz w:val="24"/>
          <w:szCs w:val="24"/>
          <w:highlight w:val="none"/>
          <w:lang w:eastAsia="zh-CN"/>
        </w:rPr>
        <w:t>天内将与合同有关的通知、批准、证明、证书、指示、指令、要求、请求、同意、意见、确定和决定等书面函件送达对方当事人。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1.7.2 发包人接收文件的地点：</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发包人指定的接收人为：</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承包人接收文件的地点：</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承包人指定的接收人为：</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监理人接收文件的地点：</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监理人指定的接收人为：</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1.10 交通运输</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bookmarkStart w:id="84" w:name="_Toc312677986"/>
      <w:bookmarkEnd w:id="84"/>
      <w:bookmarkStart w:id="85" w:name="_Toc318581155"/>
      <w:bookmarkEnd w:id="85"/>
      <w:bookmarkStart w:id="86" w:name="_Toc304295521"/>
      <w:bookmarkEnd w:id="86"/>
      <w:bookmarkStart w:id="87" w:name="_Toc300934943"/>
      <w:bookmarkEnd w:id="87"/>
      <w:bookmarkStart w:id="88" w:name="_Toc303539100"/>
      <w:r>
        <w:rPr>
          <w:rFonts w:hint="eastAsia" w:ascii="宋体" w:hAnsi="宋体"/>
          <w:color w:val="auto"/>
          <w:sz w:val="24"/>
          <w:szCs w:val="24"/>
          <w:highlight w:val="none"/>
          <w:lang w:eastAsia="zh-CN"/>
        </w:rPr>
        <w:t>.10.1 出入现场的权利</w:t>
      </w:r>
      <w:bookmarkEnd w:id="88"/>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关于出入现场的权利的约定：</w:t>
      </w:r>
      <w:r>
        <w:rPr>
          <w:rFonts w:hint="eastAsia" w:ascii="宋体" w:hAnsi="宋体" w:cs="宋体"/>
          <w:color w:val="auto"/>
          <w:sz w:val="24"/>
          <w:highlight w:val="none"/>
          <w:u w:val="single"/>
          <w:lang w:eastAsia="zh-CN"/>
        </w:rPr>
        <w:t>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bookmarkStart w:id="89" w:name="_Toc300934944"/>
      <w:bookmarkEnd w:id="89"/>
      <w:bookmarkStart w:id="90" w:name="_Toc318581156"/>
      <w:bookmarkEnd w:id="90"/>
      <w:bookmarkStart w:id="91" w:name="_Toc304295522"/>
      <w:bookmarkEnd w:id="91"/>
      <w:bookmarkStart w:id="92" w:name="_Toc312677987"/>
      <w:bookmarkEnd w:id="92"/>
      <w:bookmarkStart w:id="93" w:name="_Toc303539101"/>
      <w:r>
        <w:rPr>
          <w:rFonts w:hint="eastAsia" w:ascii="宋体" w:hAnsi="宋体"/>
          <w:color w:val="auto"/>
          <w:sz w:val="24"/>
          <w:szCs w:val="24"/>
          <w:highlight w:val="none"/>
          <w:lang w:eastAsia="zh-CN"/>
        </w:rPr>
        <w:t>.10.3 场内交通</w:t>
      </w:r>
      <w:bookmarkEnd w:id="93"/>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关于场外交通和场内交通的边界的约定：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关于发包人向承包人免费提供满足工程施工需要的场内道路和交通设施的约定：</w:t>
      </w:r>
      <w:r>
        <w:rPr>
          <w:rFonts w:hint="eastAsia" w:ascii="宋体" w:hAnsi="宋体"/>
          <w:color w:val="auto"/>
          <w:sz w:val="24"/>
          <w:szCs w:val="24"/>
          <w:highlight w:val="none"/>
          <w:u w:val="single"/>
          <w:lang w:eastAsia="zh-CN"/>
        </w:rPr>
        <w:t xml:space="preserve"> 执行通用条款 </w:t>
      </w:r>
      <w:bookmarkStart w:id="94" w:name="_Toc318581157"/>
      <w:bookmarkEnd w:id="94"/>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1.10.4超大件和超重件的运输</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运输超大件或超重件所需的道路和桥梁临时加固改造费用和其他有关费用由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承担。</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1.11 知识产权</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 w:val="24"/>
          <w:szCs w:val="24"/>
          <w:highlight w:val="none"/>
          <w:u w:val="single"/>
          <w:lang w:eastAsia="zh-CN"/>
        </w:rPr>
        <w:t xml:space="preserve">  发包人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关于发包人提供的上述文件的使用限制的要求：</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承包人可以为实现合同目的而复制、使用此类文件，但不能用于与合同无关的其他事项。未经发包人书面同意，承包人不得为了合同以外的目的而复制、使用上述文件或将之提供给任何第三方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1.11.2 关于承包人为实施工程所编制文件的著作权的归属：</w:t>
      </w:r>
      <w:r>
        <w:rPr>
          <w:rFonts w:hint="eastAsia" w:ascii="宋体" w:hAnsi="宋体" w:cs="宋体"/>
          <w:color w:val="auto"/>
          <w:sz w:val="24"/>
          <w:highlight w:val="none"/>
          <w:u w:val="single"/>
          <w:lang w:eastAsia="zh-CN"/>
        </w:rPr>
        <w:t>除署名权以外的著作权属于发包人</w:t>
      </w:r>
      <w:r>
        <w:rPr>
          <w:rFonts w:hint="eastAsia" w:ascii="宋体" w:hAnsi="宋体" w:cs="宋体"/>
          <w:color w:val="auto"/>
          <w:sz w:val="24"/>
          <w:highlight w:val="none"/>
          <w:lang w:eastAsia="zh-CN"/>
        </w:rPr>
        <w:t>。</w:t>
      </w:r>
    </w:p>
    <w:p>
      <w:pPr>
        <w:spacing w:line="500" w:lineRule="exact"/>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关于承包人提供的上述文件的使用限制的要求：</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承包人可因实施工程的运行、调试、维修、改造等目的而复制、使用此类文件，但不能用于与合同无关的其他事项。未经发包人书面同意，承包人不得为了合同以外的目的而复制、使用上述文件或将之提供给任何第三方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1.11.3 承包人在施工过程中所采用的专利、专有技术、技术秘密的使用费的承担方式：</w:t>
      </w:r>
      <w:r>
        <w:rPr>
          <w:rFonts w:hint="eastAsia" w:ascii="宋体" w:hAnsi="宋体"/>
          <w:color w:val="auto"/>
          <w:sz w:val="24"/>
          <w:szCs w:val="24"/>
          <w:highlight w:val="none"/>
          <w:u w:val="single"/>
          <w:lang w:eastAsia="zh-CN"/>
        </w:rPr>
        <w:t xml:space="preserve">         已包含在签约合同价中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1.13工程量清单错误的修正</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出现工程量清单错误时，是否调整合同价格：</w:t>
      </w:r>
      <w:r>
        <w:rPr>
          <w:rFonts w:hint="eastAsia" w:ascii="宋体" w:hAnsi="宋体"/>
          <w:color w:val="auto"/>
          <w:sz w:val="24"/>
          <w:szCs w:val="24"/>
          <w:highlight w:val="none"/>
          <w:u w:val="single"/>
          <w:lang w:eastAsia="zh-CN"/>
        </w:rPr>
        <w:t xml:space="preserve">是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 xml:space="preserve">允许调整合同价格的工程量偏差范围： </w:t>
      </w:r>
      <w:r>
        <w:rPr>
          <w:rFonts w:hint="eastAsia" w:ascii="宋体" w:hAnsi="宋体"/>
          <w:color w:val="auto"/>
          <w:sz w:val="24"/>
          <w:szCs w:val="24"/>
          <w:highlight w:val="none"/>
          <w:u w:val="single"/>
          <w:lang w:eastAsia="zh-CN"/>
        </w:rPr>
        <w:t xml:space="preserve">按实调整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95" w:name="_Toc351203634"/>
      <w:bookmarkEnd w:id="95"/>
      <w:r>
        <w:rPr>
          <w:rFonts w:hint="eastAsia" w:ascii="宋体" w:hAnsi="宋体"/>
          <w:color w:val="auto"/>
          <w:sz w:val="24"/>
          <w:szCs w:val="24"/>
          <w:highlight w:val="none"/>
          <w:lang w:eastAsia="zh-CN"/>
        </w:rPr>
        <w:t>2</w:t>
      </w:r>
      <w:bookmarkStart w:id="96" w:name="_Toc296891197"/>
      <w:bookmarkEnd w:id="96"/>
      <w:bookmarkStart w:id="97" w:name="_Toc292559867"/>
      <w:bookmarkEnd w:id="97"/>
      <w:bookmarkStart w:id="98" w:name="_Toc297120457"/>
      <w:bookmarkEnd w:id="98"/>
      <w:bookmarkStart w:id="99" w:name="_Toc292559362"/>
      <w:bookmarkEnd w:id="99"/>
      <w:bookmarkStart w:id="100" w:name="_Toc296944496"/>
      <w:bookmarkEnd w:id="100"/>
      <w:bookmarkStart w:id="101" w:name="_Toc296503157"/>
      <w:bookmarkEnd w:id="101"/>
      <w:bookmarkStart w:id="102" w:name="_Toc297048343"/>
      <w:bookmarkEnd w:id="102"/>
      <w:bookmarkStart w:id="103" w:name="_Toc296347156"/>
      <w:bookmarkEnd w:id="103"/>
      <w:bookmarkStart w:id="104" w:name="_Toc296890985"/>
      <w:bookmarkEnd w:id="104"/>
      <w:bookmarkStart w:id="105" w:name="_Toc296346658"/>
      <w:r>
        <w:rPr>
          <w:rFonts w:hint="eastAsia" w:ascii="宋体" w:hAnsi="宋体"/>
          <w:color w:val="auto"/>
          <w:sz w:val="24"/>
          <w:szCs w:val="24"/>
          <w:highlight w:val="none"/>
          <w:lang w:eastAsia="zh-CN"/>
        </w:rPr>
        <w:t>. 发包人</w:t>
      </w:r>
      <w:bookmarkEnd w:id="105"/>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2.2 发包人代表</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发包人代表：</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姓    名：</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身份证号：</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职    务：</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联系电话：</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电子信箱：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通信地址：</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left="210" w:leftChars="100" w:firstLine="240" w:firstLineChars="1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发包人对发包人代表的授权范围如下：</w:t>
      </w:r>
      <w:r>
        <w:rPr>
          <w:rFonts w:hint="eastAsia" w:ascii="宋体" w:hAnsi="宋体" w:cs="宋体"/>
          <w:color w:val="auto"/>
          <w:sz w:val="24"/>
          <w:highlight w:val="none"/>
          <w:u w:val="single"/>
          <w:lang w:eastAsia="zh-CN"/>
        </w:rPr>
        <w:t>1、施工监督；2、在监理人配合下工程价款洽商、索赔事项处理、现场签证手续办理；3、组织工程验收等</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2.4 施工现场、施工条件和基础资料的提供</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2.4.1 提供施工现场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关于发包人移交施工现场的期限要求：</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2.4.2 提供施工条件</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关于发包人应负责提供施工所需要的条件，包括：</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三通一平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2.5 资金来源证明及支付担保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发包人提供资金来源证明的期限要求：</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发包人是否提供支付担保：</w:t>
      </w:r>
      <w:r>
        <w:rPr>
          <w:rFonts w:hint="eastAsia" w:ascii="宋体" w:hAnsi="宋体"/>
          <w:color w:val="auto"/>
          <w:sz w:val="24"/>
          <w:szCs w:val="24"/>
          <w:highlight w:val="none"/>
          <w:u w:val="single"/>
          <w:lang w:eastAsia="zh-CN"/>
        </w:rPr>
        <w:t xml:space="preserve">     否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发包人提供支付担保的形式：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106" w:name="_Toc351203635"/>
      <w:bookmarkEnd w:id="106"/>
      <w:r>
        <w:rPr>
          <w:rFonts w:hint="eastAsia" w:ascii="宋体" w:hAnsi="宋体"/>
          <w:color w:val="auto"/>
          <w:sz w:val="24"/>
          <w:szCs w:val="24"/>
          <w:highlight w:val="none"/>
          <w:lang w:eastAsia="zh-CN"/>
        </w:rPr>
        <w:t>3</w:t>
      </w:r>
      <w:bookmarkStart w:id="107" w:name="_Toc296891198"/>
      <w:bookmarkEnd w:id="107"/>
      <w:bookmarkStart w:id="108" w:name="_Toc296503158"/>
      <w:bookmarkEnd w:id="108"/>
      <w:bookmarkStart w:id="109" w:name="_Toc296944497"/>
      <w:bookmarkEnd w:id="109"/>
      <w:bookmarkStart w:id="110" w:name="_Toc296347157"/>
      <w:bookmarkEnd w:id="110"/>
      <w:bookmarkStart w:id="111" w:name="_Toc292559868"/>
      <w:bookmarkEnd w:id="111"/>
      <w:bookmarkStart w:id="112" w:name="_Toc297120458"/>
      <w:bookmarkEnd w:id="112"/>
      <w:bookmarkStart w:id="113" w:name="_Toc297048344"/>
      <w:bookmarkEnd w:id="113"/>
      <w:bookmarkStart w:id="114" w:name="_Toc296890986"/>
      <w:bookmarkEnd w:id="114"/>
      <w:bookmarkStart w:id="115" w:name="_Toc296346659"/>
      <w:bookmarkEnd w:id="115"/>
      <w:bookmarkStart w:id="116" w:name="_Toc292559363"/>
      <w:r>
        <w:rPr>
          <w:rFonts w:hint="eastAsia" w:ascii="宋体" w:hAnsi="宋体"/>
          <w:color w:val="auto"/>
          <w:sz w:val="24"/>
          <w:szCs w:val="24"/>
          <w:highlight w:val="none"/>
          <w:lang w:eastAsia="zh-CN"/>
        </w:rPr>
        <w:t>. 承包人</w:t>
      </w:r>
      <w:bookmarkEnd w:id="116"/>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3.1 承包人的一般义务</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（9）承包人提交的竣工资料的内容：</w:t>
      </w:r>
      <w:r>
        <w:rPr>
          <w:rFonts w:hint="eastAsia" w:ascii="宋体" w:hAnsi="宋体" w:cs="宋体"/>
          <w:color w:val="auto"/>
          <w:sz w:val="24"/>
          <w:highlight w:val="none"/>
          <w:u w:val="single"/>
          <w:lang w:eastAsia="zh-CN"/>
        </w:rPr>
        <w:t xml:space="preserve"> 完整、真实的竣工验收资料、竣工图纸 、竣工结算资料</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承包人需要提交的竣工资料套数：</w:t>
      </w:r>
      <w:r>
        <w:rPr>
          <w:rFonts w:hint="eastAsia" w:ascii="宋体" w:hAnsi="宋体" w:cs="宋体"/>
          <w:color w:val="auto"/>
          <w:sz w:val="24"/>
          <w:highlight w:val="none"/>
          <w:u w:val="single"/>
          <w:lang w:eastAsia="zh-CN"/>
        </w:rPr>
        <w:t xml:space="preserve"> 四套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承包人提交的竣工资料的费用承担：</w:t>
      </w:r>
      <w:r>
        <w:rPr>
          <w:rFonts w:hint="eastAsia" w:ascii="宋体" w:hAnsi="宋体" w:cs="宋体"/>
          <w:color w:val="auto"/>
          <w:sz w:val="24"/>
          <w:highlight w:val="none"/>
          <w:u w:val="single"/>
          <w:lang w:eastAsia="zh-CN"/>
        </w:rPr>
        <w:t xml:space="preserve">  乙方承担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承包人提交的竣工资料移交时间：</w:t>
      </w:r>
      <w:r>
        <w:rPr>
          <w:rFonts w:hint="eastAsia" w:ascii="宋体" w:hAnsi="宋体" w:cs="宋体"/>
          <w:color w:val="auto"/>
          <w:sz w:val="24"/>
          <w:highlight w:val="none"/>
          <w:u w:val="single"/>
          <w:lang w:eastAsia="zh-CN"/>
        </w:rPr>
        <w:t xml:space="preserve">    工程竣工验收合格后30天内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承包人提交的竣工资料形式要求：</w:t>
      </w:r>
      <w:r>
        <w:rPr>
          <w:rFonts w:hint="eastAsia" w:ascii="宋体" w:hAnsi="宋体" w:cs="宋体"/>
          <w:color w:val="auto"/>
          <w:sz w:val="24"/>
          <w:highlight w:val="none"/>
          <w:u w:val="single"/>
          <w:lang w:eastAsia="zh-CN"/>
        </w:rPr>
        <w:t xml:space="preserve">    书面形式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（10）承包人应履行的其他义务：</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3.2 项目经理</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3.2.1 项目经理：</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姓    名：</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身份证号：</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建造师执业资格等级：</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建造师注册证书号：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建造师执业印章号：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安全生产考核合格证书号：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承包人对项目经理的授权范围如下：</w:t>
      </w:r>
      <w:r>
        <w:rPr>
          <w:rFonts w:hint="eastAsia" w:ascii="宋体" w:hAnsi="宋体"/>
          <w:color w:val="auto"/>
          <w:sz w:val="24"/>
          <w:szCs w:val="24"/>
          <w:highlight w:val="none"/>
          <w:u w:val="single"/>
          <w:lang w:eastAsia="zh-CN"/>
        </w:rPr>
        <w:t xml:space="preserve">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关于项目经理每月在施工现场的时间要求：</w:t>
      </w:r>
      <w:r>
        <w:rPr>
          <w:rFonts w:ascii="宋体" w:hAnsi="宋体"/>
          <w:color w:val="auto"/>
          <w:sz w:val="24"/>
          <w:szCs w:val="24"/>
          <w:highlight w:val="none"/>
          <w:u w:val="single"/>
          <w:lang w:eastAsia="zh-CN"/>
        </w:rPr>
        <w:t>每月在施工现场不少于 22 天 。</w:t>
      </w:r>
      <w:r>
        <w:rPr>
          <w:rFonts w:ascii="宋体" w:hAnsi="宋体"/>
          <w:color w:val="auto"/>
          <w:sz w:val="24"/>
          <w:szCs w:val="24"/>
          <w:highlight w:val="none"/>
          <w:lang w:eastAsia="zh-CN"/>
        </w:rPr>
        <w:t>承包人未提交劳动合同，以及没有为项目经理缴纳社会保险证明的违约责任：</w:t>
      </w:r>
      <w:r>
        <w:rPr>
          <w:rFonts w:ascii="宋体" w:hAnsi="宋体"/>
          <w:color w:val="auto"/>
          <w:sz w:val="24"/>
          <w:szCs w:val="24"/>
          <w:highlight w:val="none"/>
          <w:u w:val="single"/>
          <w:lang w:eastAsia="zh-CN"/>
        </w:rPr>
        <w:t>执行通用条款。</w:t>
      </w:r>
      <w:r>
        <w:rPr>
          <w:rFonts w:hint="eastAsia" w:ascii="宋体" w:hAnsi="宋体"/>
          <w:color w:val="auto"/>
          <w:sz w:val="24"/>
          <w:szCs w:val="24"/>
          <w:highlight w:val="none"/>
          <w:lang w:eastAsia="zh-CN"/>
        </w:rPr>
        <w:t>项目经理未经批准，擅自离开施工现场的违约责任：</w:t>
      </w:r>
      <w:r>
        <w:rPr>
          <w:rFonts w:ascii="宋体" w:hAnsi="宋体"/>
          <w:color w:val="auto"/>
          <w:sz w:val="24"/>
          <w:szCs w:val="24"/>
          <w:highlight w:val="none"/>
          <w:u w:val="single"/>
          <w:lang w:eastAsia="zh-CN"/>
        </w:rPr>
        <w:t>承包人向发包人支付违约金</w:t>
      </w:r>
      <w:r>
        <w:rPr>
          <w:rFonts w:hint="eastAsia" w:ascii="宋体" w:hAnsi="宋体"/>
          <w:color w:val="auto"/>
          <w:sz w:val="24"/>
          <w:szCs w:val="24"/>
          <w:highlight w:val="none"/>
          <w:u w:val="single"/>
          <w:lang w:eastAsia="zh-CN"/>
        </w:rPr>
        <w:t>5</w:t>
      </w:r>
      <w:r>
        <w:rPr>
          <w:rFonts w:ascii="宋体" w:hAnsi="宋体"/>
          <w:color w:val="auto"/>
          <w:sz w:val="24"/>
          <w:szCs w:val="24"/>
          <w:highlight w:val="none"/>
          <w:u w:val="single"/>
          <w:lang w:eastAsia="zh-CN"/>
        </w:rPr>
        <w:t>000 元/次，超过 3 次，承包人向发包人支付违约金</w:t>
      </w:r>
      <w:r>
        <w:rPr>
          <w:rFonts w:hint="eastAsia" w:ascii="宋体" w:hAnsi="宋体"/>
          <w:color w:val="auto"/>
          <w:sz w:val="24"/>
          <w:szCs w:val="24"/>
          <w:highlight w:val="none"/>
          <w:u w:val="single"/>
          <w:lang w:eastAsia="zh-CN"/>
        </w:rPr>
        <w:t>10</w:t>
      </w:r>
      <w:r>
        <w:rPr>
          <w:rFonts w:ascii="宋体" w:hAnsi="宋体"/>
          <w:color w:val="auto"/>
          <w:sz w:val="24"/>
          <w:szCs w:val="24"/>
          <w:highlight w:val="none"/>
          <w:u w:val="single"/>
          <w:lang w:eastAsia="zh-CN"/>
        </w:rPr>
        <w:t>000 元/次。</w:t>
      </w:r>
    </w:p>
    <w:p>
      <w:pPr>
        <w:spacing w:line="500" w:lineRule="exact"/>
        <w:ind w:left="479" w:leftChars="228"/>
        <w:rPr>
          <w:rFonts w:ascii="宋体" w:hAnsi="宋体"/>
          <w:color w:val="auto"/>
          <w:sz w:val="24"/>
          <w:szCs w:val="24"/>
          <w:highlight w:val="none"/>
          <w:lang w:eastAsia="zh-CN"/>
        </w:rPr>
      </w:pPr>
      <w:r>
        <w:rPr>
          <w:rFonts w:hint="eastAsia" w:ascii="宋体" w:hAnsi="宋体"/>
          <w:color w:val="auto"/>
          <w:sz w:val="24"/>
          <w:szCs w:val="24"/>
          <w:highlight w:val="none"/>
          <w:lang w:eastAsia="zh-CN"/>
        </w:rPr>
        <w:t>3.2.3 承包人擅自更换项目经理的违约责任：</w:t>
      </w:r>
      <w:r>
        <w:rPr>
          <w:rFonts w:hint="eastAsia" w:ascii="宋体" w:hAnsi="宋体"/>
          <w:color w:val="auto"/>
          <w:sz w:val="24"/>
          <w:szCs w:val="24"/>
          <w:highlight w:val="none"/>
          <w:u w:val="single"/>
          <w:lang w:eastAsia="zh-CN"/>
        </w:rPr>
        <w:t xml:space="preserve"> </w:t>
      </w:r>
      <w:r>
        <w:rPr>
          <w:rFonts w:ascii="宋体" w:hAnsi="宋体"/>
          <w:color w:val="auto"/>
          <w:sz w:val="24"/>
          <w:szCs w:val="24"/>
          <w:highlight w:val="none"/>
          <w:u w:val="single"/>
          <w:lang w:eastAsia="zh-CN"/>
        </w:rPr>
        <w:t>承包人向发包人支付违约金</w:t>
      </w:r>
      <w:r>
        <w:rPr>
          <w:rFonts w:hint="eastAsia" w:ascii="宋体" w:hAnsi="宋体"/>
          <w:color w:val="auto"/>
          <w:sz w:val="24"/>
          <w:szCs w:val="24"/>
          <w:highlight w:val="none"/>
          <w:u w:val="single"/>
          <w:lang w:eastAsia="zh-CN"/>
        </w:rPr>
        <w:t xml:space="preserve">合同额的5%。  </w:t>
      </w:r>
      <w:r>
        <w:rPr>
          <w:rFonts w:hint="eastAsia" w:ascii="宋体" w:hAnsi="宋体"/>
          <w:color w:val="auto"/>
          <w:sz w:val="24"/>
          <w:szCs w:val="24"/>
          <w:highlight w:val="none"/>
          <w:lang w:eastAsia="zh-CN"/>
        </w:rPr>
        <w:t xml:space="preserve">  </w:t>
      </w:r>
    </w:p>
    <w:p>
      <w:pPr>
        <w:spacing w:line="500" w:lineRule="exact"/>
        <w:ind w:left="479" w:leftChars="228"/>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3.2.4 承包人无正当理由拒绝更换项目经理的违约责任：</w:t>
      </w:r>
      <w:r>
        <w:rPr>
          <w:rFonts w:ascii="宋体" w:hAnsi="宋体"/>
          <w:color w:val="auto"/>
          <w:sz w:val="24"/>
          <w:szCs w:val="24"/>
          <w:highlight w:val="none"/>
          <w:u w:val="single"/>
          <w:lang w:eastAsia="zh-CN"/>
        </w:rPr>
        <w:t>承包人向发包人支付违约金10</w:t>
      </w:r>
      <w:r>
        <w:rPr>
          <w:rFonts w:hint="eastAsia" w:ascii="宋体" w:hAnsi="宋体"/>
          <w:color w:val="auto"/>
          <w:sz w:val="24"/>
          <w:szCs w:val="24"/>
          <w:highlight w:val="none"/>
          <w:u w:val="single"/>
          <w:lang w:eastAsia="zh-CN"/>
        </w:rPr>
        <w:t>0</w:t>
      </w:r>
      <w:r>
        <w:rPr>
          <w:rFonts w:ascii="宋体" w:hAnsi="宋体"/>
          <w:color w:val="auto"/>
          <w:sz w:val="24"/>
          <w:szCs w:val="24"/>
          <w:highlight w:val="none"/>
          <w:u w:val="single"/>
          <w:lang w:eastAsia="zh-CN"/>
        </w:rPr>
        <w:t>000 元/次</w:t>
      </w:r>
      <w:r>
        <w:rPr>
          <w:rFonts w:hint="eastAsia" w:ascii="宋体" w:hAnsi="宋体"/>
          <w:color w:val="auto"/>
          <w:sz w:val="24"/>
          <w:szCs w:val="24"/>
          <w:highlight w:val="none"/>
          <w:u w:val="singl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3.3 承包人人员</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3.3.1 承包人提交项目管理机构及施工现场管理人员安排报告的期限：</w:t>
      </w:r>
      <w:r>
        <w:rPr>
          <w:rFonts w:hint="eastAsia" w:ascii="宋体" w:hAnsi="宋体"/>
          <w:color w:val="auto"/>
          <w:sz w:val="24"/>
          <w:szCs w:val="24"/>
          <w:highlight w:val="none"/>
          <w:u w:val="single"/>
          <w:lang w:eastAsia="zh-CN"/>
        </w:rPr>
        <w:t xml:space="preserve">  进场一周后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3.3.2 承包人无正当理由拒绝撤换主要施工管理人员的违约责任：</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pStyle w:val="2"/>
        <w:widowControl/>
        <w:spacing w:line="500" w:lineRule="exact"/>
        <w:ind w:firstLine="480" w:firstLineChars="200"/>
        <w:rPr>
          <w:color w:val="auto"/>
          <w:highlight w:val="none"/>
          <w:u w:val="single"/>
          <w:lang w:eastAsia="zh-CN"/>
        </w:rPr>
      </w:pPr>
      <w:r>
        <w:rPr>
          <w:rFonts w:hint="eastAsia" w:ascii="宋体" w:hAnsi="宋体"/>
          <w:color w:val="auto"/>
          <w:highlight w:val="none"/>
          <w:lang w:eastAsia="zh-CN"/>
        </w:rPr>
        <w:t>3.3.3 承包人主要施工管理人员离开施工现场的批准要求：</w:t>
      </w:r>
      <w:r>
        <w:rPr>
          <w:rFonts w:hint="eastAsia" w:ascii="宋体" w:hAnsi="宋体"/>
          <w:color w:val="auto"/>
          <w:highlight w:val="none"/>
          <w:u w:val="single"/>
          <w:lang w:eastAsia="zh-CN"/>
        </w:rPr>
        <w:t xml:space="preserve">  主要施工管理人员离开施工现场需得到甲方批准  。</w:t>
      </w:r>
    </w:p>
    <w:p>
      <w:pPr>
        <w:pStyle w:val="2"/>
        <w:widowControl/>
        <w:spacing w:line="500" w:lineRule="exact"/>
        <w:ind w:firstLine="480" w:firstLineChars="200"/>
        <w:rPr>
          <w:color w:val="auto"/>
          <w:highlight w:val="none"/>
          <w:u w:val="single"/>
          <w:lang w:eastAsia="zh-CN"/>
        </w:rPr>
      </w:pPr>
      <w:r>
        <w:rPr>
          <w:rFonts w:hint="eastAsia" w:ascii="宋体" w:hAnsi="宋体"/>
          <w:color w:val="auto"/>
          <w:highlight w:val="none"/>
          <w:lang w:eastAsia="zh-CN"/>
        </w:rPr>
        <w:t>3.3.4承包人擅自更换主要施工管理人员的违约责任：</w:t>
      </w:r>
      <w:r>
        <w:rPr>
          <w:color w:val="auto"/>
          <w:highlight w:val="none"/>
          <w:u w:val="single" w:color="000000"/>
          <w:lang w:eastAsia="zh-CN"/>
        </w:rPr>
        <w:t>应提前</w:t>
      </w:r>
      <w:r>
        <w:rPr>
          <w:color w:val="auto"/>
          <w:spacing w:val="-54"/>
          <w:highlight w:val="none"/>
          <w:u w:val="single" w:color="000000"/>
          <w:lang w:eastAsia="zh-CN"/>
        </w:rPr>
        <w:t xml:space="preserve"> </w:t>
      </w:r>
      <w:r>
        <w:rPr>
          <w:color w:val="auto"/>
          <w:highlight w:val="none"/>
          <w:u w:val="single" w:color="000000"/>
          <w:lang w:eastAsia="zh-CN"/>
        </w:rPr>
        <w:t>24</w:t>
      </w:r>
      <w:r>
        <w:rPr>
          <w:color w:val="auto"/>
          <w:spacing w:val="-54"/>
          <w:highlight w:val="none"/>
          <w:u w:val="single" w:color="000000"/>
          <w:lang w:eastAsia="zh-CN"/>
        </w:rPr>
        <w:t xml:space="preserve"> </w:t>
      </w:r>
      <w:r>
        <w:rPr>
          <w:color w:val="auto"/>
          <w:highlight w:val="none"/>
          <w:u w:val="single" w:color="000000"/>
          <w:lang w:eastAsia="zh-CN"/>
        </w:rPr>
        <w:t xml:space="preserve">小时向发包人或监理人提出申请并在获得发包人或监理人批准后方可离开 </w:t>
      </w:r>
      <w:r>
        <w:rPr>
          <w:color w:val="auto"/>
          <w:highlight w:val="none"/>
          <w:lang w:eastAsia="zh-CN"/>
        </w:rPr>
        <w:t>。</w:t>
      </w:r>
      <w:r>
        <w:rPr>
          <w:rFonts w:hint="eastAsia" w:ascii="宋体" w:hAnsi="宋体"/>
          <w:color w:val="auto"/>
          <w:highlight w:val="none"/>
          <w:u w:val="single"/>
          <w:lang w:eastAsia="zh-CN"/>
        </w:rPr>
        <w:t xml:space="preserve"> </w:t>
      </w:r>
    </w:p>
    <w:p>
      <w:pPr>
        <w:pStyle w:val="2"/>
        <w:widowControl/>
        <w:spacing w:line="500" w:lineRule="exact"/>
        <w:rPr>
          <w:color w:val="auto"/>
          <w:highlight w:val="none"/>
          <w:u w:val="single" w:color="000000"/>
          <w:lang w:eastAsia="zh-CN"/>
        </w:rPr>
      </w:pPr>
      <w:r>
        <w:rPr>
          <w:rFonts w:hint="eastAsia" w:ascii="宋体" w:hAnsi="宋体"/>
          <w:color w:val="auto"/>
          <w:highlight w:val="none"/>
          <w:lang w:eastAsia="zh-CN"/>
        </w:rPr>
        <w:t>承包人主要施工管理人员擅自离开施工现场的违约责任：</w:t>
      </w:r>
      <w:r>
        <w:rPr>
          <w:color w:val="auto"/>
          <w:highlight w:val="none"/>
          <w:u w:val="single" w:color="000000"/>
          <w:lang w:eastAsia="zh-CN"/>
        </w:rPr>
        <w:t xml:space="preserve">①项目经理及技术负责人每月在施工现场不少于 22 天，每缺一天扣 </w:t>
      </w:r>
      <w:r>
        <w:rPr>
          <w:rFonts w:hint="eastAsia"/>
          <w:color w:val="auto"/>
          <w:highlight w:val="none"/>
          <w:u w:val="single" w:color="000000"/>
          <w:lang w:eastAsia="zh-CN"/>
        </w:rPr>
        <w:t>5</w:t>
      </w:r>
      <w:r>
        <w:rPr>
          <w:color w:val="auto"/>
          <w:highlight w:val="none"/>
          <w:u w:val="single" w:color="000000"/>
          <w:lang w:eastAsia="zh-CN"/>
        </w:rPr>
        <w:t xml:space="preserve">000 元；②所报项目部成员每发现脱岗一人次扣 </w:t>
      </w:r>
      <w:r>
        <w:rPr>
          <w:rFonts w:hint="eastAsia"/>
          <w:color w:val="auto"/>
          <w:highlight w:val="none"/>
          <w:u w:val="single" w:color="000000"/>
          <w:lang w:eastAsia="zh-CN"/>
        </w:rPr>
        <w:t>2</w:t>
      </w:r>
      <w:r>
        <w:rPr>
          <w:color w:val="auto"/>
          <w:highlight w:val="none"/>
          <w:u w:val="single" w:color="000000"/>
          <w:lang w:eastAsia="zh-CN"/>
        </w:rPr>
        <w:t>000 元。③施工方严格执行发包方相关规章制度。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w:t>
      </w:r>
      <w:bookmarkStart w:id="117" w:name="_Toc303539102"/>
      <w:bookmarkEnd w:id="117"/>
      <w:bookmarkStart w:id="118" w:name="_Toc296347158"/>
      <w:bookmarkEnd w:id="118"/>
      <w:bookmarkStart w:id="119" w:name="_Toc292559869"/>
      <w:bookmarkEnd w:id="119"/>
      <w:bookmarkStart w:id="120" w:name="_Toc297048345"/>
      <w:bookmarkEnd w:id="120"/>
      <w:bookmarkStart w:id="121" w:name="_Toc296346660"/>
      <w:bookmarkEnd w:id="121"/>
      <w:bookmarkStart w:id="122" w:name="_Toc296503159"/>
      <w:bookmarkEnd w:id="122"/>
      <w:bookmarkStart w:id="123" w:name="_Toc300934945"/>
      <w:bookmarkEnd w:id="123"/>
      <w:bookmarkStart w:id="124" w:name="_Toc297123492"/>
      <w:bookmarkEnd w:id="124"/>
      <w:bookmarkStart w:id="125" w:name="_Toc292559364"/>
      <w:bookmarkEnd w:id="125"/>
      <w:bookmarkStart w:id="126" w:name="_Toc296891199"/>
      <w:bookmarkEnd w:id="126"/>
      <w:bookmarkStart w:id="127" w:name="_Toc297216151"/>
      <w:bookmarkEnd w:id="127"/>
      <w:bookmarkStart w:id="128" w:name="_Toc296890987"/>
      <w:bookmarkEnd w:id="128"/>
      <w:bookmarkStart w:id="129" w:name="_Toc312677988"/>
      <w:bookmarkEnd w:id="129"/>
      <w:bookmarkStart w:id="130" w:name="_Toc304295523"/>
      <w:bookmarkEnd w:id="130"/>
      <w:bookmarkStart w:id="131" w:name="_Toc296944498"/>
      <w:bookmarkEnd w:id="131"/>
      <w:bookmarkStart w:id="132" w:name="_Toc297120459"/>
      <w:r>
        <w:rPr>
          <w:rFonts w:hint="eastAsia" w:ascii="宋体" w:hAnsi="宋体"/>
          <w:color w:val="auto"/>
          <w:sz w:val="24"/>
          <w:szCs w:val="24"/>
          <w:highlight w:val="none"/>
          <w:lang w:eastAsia="zh-CN"/>
        </w:rPr>
        <w:t>.5 分包</w:t>
      </w:r>
      <w:bookmarkEnd w:id="132"/>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w:t>
      </w:r>
      <w:bookmarkStart w:id="133" w:name="_Toc296891200"/>
      <w:bookmarkEnd w:id="133"/>
      <w:bookmarkStart w:id="134" w:name="_Toc304295524"/>
      <w:bookmarkEnd w:id="134"/>
      <w:bookmarkStart w:id="135" w:name="_Toc296346661"/>
      <w:bookmarkEnd w:id="135"/>
      <w:bookmarkStart w:id="136" w:name="_Toc303539103"/>
      <w:bookmarkEnd w:id="136"/>
      <w:bookmarkStart w:id="137" w:name="_Toc292559365"/>
      <w:bookmarkEnd w:id="137"/>
      <w:bookmarkStart w:id="138" w:name="_Toc297048346"/>
      <w:bookmarkEnd w:id="138"/>
      <w:bookmarkStart w:id="139" w:name="_Toc296944499"/>
      <w:bookmarkEnd w:id="139"/>
      <w:bookmarkStart w:id="140" w:name="_Toc297120460"/>
      <w:bookmarkEnd w:id="140"/>
      <w:bookmarkStart w:id="141" w:name="_Toc300934946"/>
      <w:bookmarkEnd w:id="141"/>
      <w:bookmarkStart w:id="142" w:name="_Toc296890988"/>
      <w:bookmarkEnd w:id="142"/>
      <w:bookmarkStart w:id="143" w:name="_Toc297123493"/>
      <w:bookmarkEnd w:id="143"/>
      <w:bookmarkStart w:id="144" w:name="_Toc312677989"/>
      <w:bookmarkEnd w:id="144"/>
      <w:bookmarkStart w:id="145" w:name="_Toc296503160"/>
      <w:bookmarkEnd w:id="145"/>
      <w:bookmarkStart w:id="146" w:name="_Toc297216152"/>
      <w:bookmarkEnd w:id="146"/>
      <w:bookmarkStart w:id="147" w:name="_Toc296347159"/>
      <w:bookmarkEnd w:id="147"/>
      <w:bookmarkStart w:id="148" w:name="_Toc292559870"/>
      <w:bookmarkEnd w:id="148"/>
      <w:bookmarkStart w:id="149" w:name="_Toc318581158"/>
      <w:r>
        <w:rPr>
          <w:rFonts w:hint="eastAsia" w:ascii="宋体" w:hAnsi="宋体"/>
          <w:color w:val="auto"/>
          <w:sz w:val="24"/>
          <w:szCs w:val="24"/>
          <w:highlight w:val="none"/>
          <w:lang w:eastAsia="zh-CN"/>
        </w:rPr>
        <w:t>.5.1 分包的一般约定</w:t>
      </w:r>
      <w:bookmarkEnd w:id="149"/>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禁止分包的工程包括：</w:t>
      </w:r>
      <w:r>
        <w:rPr>
          <w:rFonts w:hint="eastAsia" w:ascii="宋体" w:hAnsi="宋体"/>
          <w:color w:val="auto"/>
          <w:sz w:val="24"/>
          <w:szCs w:val="24"/>
          <w:highlight w:val="none"/>
          <w:u w:val="single"/>
          <w:lang w:eastAsia="zh-CN"/>
        </w:rPr>
        <w:t xml:space="preserve">主体结构、关键性工作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主体结构、关键性工作的范围：</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屋架、柱、墙等构成工程主体的部分及关键部位。</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w:t>
      </w:r>
      <w:bookmarkStart w:id="150" w:name="_Toc318581159"/>
      <w:bookmarkEnd w:id="150"/>
      <w:bookmarkStart w:id="151" w:name="_Toc312677990"/>
      <w:r>
        <w:rPr>
          <w:rFonts w:hint="eastAsia" w:ascii="宋体" w:hAnsi="宋体"/>
          <w:color w:val="auto"/>
          <w:sz w:val="24"/>
          <w:szCs w:val="24"/>
          <w:highlight w:val="none"/>
          <w:lang w:eastAsia="zh-CN"/>
        </w:rPr>
        <w:t>.5.2分包的确定</w:t>
      </w:r>
      <w:bookmarkEnd w:id="151"/>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允许分包的专业工程包括：</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其他关于分包的约定：</w:t>
      </w:r>
      <w:r>
        <w:rPr>
          <w:rFonts w:hint="eastAsia" w:ascii="宋体" w:hAnsi="宋体"/>
          <w:color w:val="auto"/>
          <w:sz w:val="24"/>
          <w:szCs w:val="24"/>
          <w:highlight w:val="none"/>
          <w:u w:val="single"/>
          <w:lang w:eastAsia="zh-CN"/>
        </w:rPr>
        <w:t xml:space="preserve"> 分包内容和分包商需经甲方同意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3.5.4 分包合同价款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关于分包合同价款支付的约定：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3.6 工程照管与成品、半成品保护</w:t>
      </w:r>
    </w:p>
    <w:p>
      <w:pPr>
        <w:pStyle w:val="2"/>
        <w:widowControl/>
        <w:spacing w:line="500" w:lineRule="exact"/>
        <w:rPr>
          <w:color w:val="auto"/>
          <w:highlight w:val="none"/>
          <w:lang w:eastAsia="zh-CN"/>
        </w:rPr>
      </w:pPr>
      <w:r>
        <w:rPr>
          <w:rFonts w:hint="eastAsia" w:ascii="宋体" w:hAnsi="宋体"/>
          <w:color w:val="auto"/>
          <w:highlight w:val="none"/>
          <w:lang w:eastAsia="zh-CN"/>
        </w:rPr>
        <w:t>承包人负责照管工程及工程相关的材料、工程设备的起始时间：</w:t>
      </w:r>
      <w:r>
        <w:rPr>
          <w:rFonts w:hint="eastAsia" w:ascii="宋体" w:hAnsi="宋体"/>
          <w:color w:val="auto"/>
          <w:highlight w:val="none"/>
          <w:u w:val="single"/>
          <w:lang w:eastAsia="zh-CN"/>
        </w:rPr>
        <w:t>自发包人向承包人移交施工现场之日起，承包人应负责照管工程及工程相关的材料、工程设备，直到颁发工程接收证书之日止</w:t>
      </w:r>
      <w:r>
        <w:rPr>
          <w:color w:val="auto"/>
          <w:highlight w:val="none"/>
          <w:u w:val="single"/>
          <w:lang w:eastAsia="zh-CN"/>
        </w:rPr>
        <w:t xml:space="preserve">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3.7 履约担保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承包人是否提供履约担保：</w:t>
      </w:r>
      <w:r>
        <w:rPr>
          <w:rFonts w:hint="eastAsia" w:ascii="宋体" w:hAnsi="宋体"/>
          <w:color w:val="auto"/>
          <w:sz w:val="24"/>
          <w:szCs w:val="24"/>
          <w:highlight w:val="none"/>
          <w:u w:val="single"/>
          <w:lang w:eastAsia="zh-CN"/>
        </w:rPr>
        <w:t xml:space="preserve">    否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承包人提供履约担保的形式、金额及期限的：</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3.8农民工资保证金：</w:t>
      </w:r>
      <w:r>
        <w:rPr>
          <w:rFonts w:hint="eastAsia" w:ascii="宋体" w:hAnsi="宋体"/>
          <w:color w:val="auto"/>
          <w:sz w:val="24"/>
          <w:szCs w:val="24"/>
          <w:highlight w:val="none"/>
          <w:u w:val="single"/>
          <w:lang w:eastAsia="zh-CN"/>
        </w:rPr>
        <w:t>按工程所在地职能部门要求执行</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152" w:name="_Toc351203636"/>
      <w:bookmarkEnd w:id="152"/>
      <w:r>
        <w:rPr>
          <w:rFonts w:hint="eastAsia" w:ascii="宋体" w:hAnsi="宋体"/>
          <w:color w:val="auto"/>
          <w:sz w:val="24"/>
          <w:szCs w:val="24"/>
          <w:highlight w:val="none"/>
          <w:lang w:eastAsia="zh-CN"/>
        </w:rPr>
        <w:t>4</w:t>
      </w:r>
      <w:bookmarkStart w:id="153" w:name="_Toc296944501"/>
      <w:bookmarkEnd w:id="153"/>
      <w:bookmarkStart w:id="154" w:name="_Toc296891202"/>
      <w:bookmarkEnd w:id="154"/>
      <w:bookmarkStart w:id="155" w:name="_Toc292559366"/>
      <w:bookmarkEnd w:id="155"/>
      <w:bookmarkStart w:id="156" w:name="_Toc296347161"/>
      <w:bookmarkEnd w:id="156"/>
      <w:bookmarkStart w:id="157" w:name="_Toc296346663"/>
      <w:bookmarkEnd w:id="157"/>
      <w:bookmarkStart w:id="158" w:name="_Toc292559871"/>
      <w:bookmarkEnd w:id="158"/>
      <w:bookmarkStart w:id="159" w:name="_Toc296890990"/>
      <w:bookmarkEnd w:id="159"/>
      <w:bookmarkStart w:id="160" w:name="_Toc297120462"/>
      <w:bookmarkEnd w:id="160"/>
      <w:bookmarkStart w:id="161" w:name="_Toc267251413"/>
      <w:bookmarkEnd w:id="161"/>
      <w:bookmarkStart w:id="162" w:name="_Toc297048348"/>
      <w:bookmarkEnd w:id="162"/>
      <w:bookmarkStart w:id="163" w:name="_Toc296503162"/>
      <w:r>
        <w:rPr>
          <w:rFonts w:hint="eastAsia" w:ascii="宋体" w:hAnsi="宋体"/>
          <w:color w:val="auto"/>
          <w:sz w:val="24"/>
          <w:szCs w:val="24"/>
          <w:highlight w:val="none"/>
          <w:lang w:eastAsia="zh-CN"/>
        </w:rPr>
        <w:t>. 监</w:t>
      </w:r>
      <w:bookmarkEnd w:id="163"/>
      <w:r>
        <w:rPr>
          <w:rFonts w:hint="eastAsia" w:ascii="宋体" w:hAnsi="宋体"/>
          <w:color w:val="auto"/>
          <w:sz w:val="24"/>
          <w:szCs w:val="24"/>
          <w:highlight w:val="none"/>
          <w:lang w:eastAsia="zh-CN"/>
        </w:rPr>
        <w:t xml:space="preserve">理人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4.1监理人的一般规定</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关于监理人的监理内容：</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关于监理人的监理权限：</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关于监理人在施工现场的办公场所、生活场所的提供和费用承担的约定：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由承包人提供，所发生的费用由发包人承担</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4.2 监理人员</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总监理工程师：</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姓    名：</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职    务：</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监理工程师执业资格证书号：</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联系电话：</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电子信箱：</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通信地址：</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关于监理人的其他约定：</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4.4 商定或确定</w:t>
      </w:r>
    </w:p>
    <w:p>
      <w:pPr>
        <w:spacing w:line="500" w:lineRule="exact"/>
        <w:ind w:firstLine="480" w:firstLineChars="200"/>
        <w:rPr>
          <w:rFonts w:ascii="宋体" w:hAnsi="宋体"/>
          <w:color w:val="auto"/>
          <w:sz w:val="24"/>
          <w:szCs w:val="24"/>
          <w:highlight w:val="none"/>
          <w:lang w:eastAsia="zh-CN"/>
        </w:rPr>
      </w:pPr>
      <w:bookmarkStart w:id="164" w:name="_Toc267251418"/>
      <w:bookmarkEnd w:id="164"/>
      <w:r>
        <w:rPr>
          <w:rFonts w:hint="eastAsia" w:ascii="宋体" w:hAnsi="宋体"/>
          <w:color w:val="auto"/>
          <w:sz w:val="24"/>
          <w:szCs w:val="24"/>
          <w:highlight w:val="none"/>
          <w:lang w:eastAsia="zh-CN"/>
        </w:rPr>
        <w:t>在发包人和承包人不能通过协商达成一致意见时，发包人授权监理人对以下事项进行确定：</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165" w:name="_Toc351203637"/>
      <w:bookmarkEnd w:id="165"/>
      <w:r>
        <w:rPr>
          <w:rFonts w:hint="eastAsia" w:ascii="宋体" w:hAnsi="宋体"/>
          <w:color w:val="auto"/>
          <w:sz w:val="24"/>
          <w:szCs w:val="24"/>
          <w:highlight w:val="none"/>
          <w:lang w:eastAsia="zh-CN"/>
        </w:rPr>
        <w:t>5</w:t>
      </w:r>
      <w:bookmarkStart w:id="166" w:name="_Toc297120463"/>
      <w:bookmarkEnd w:id="166"/>
      <w:bookmarkStart w:id="167" w:name="_Toc297048349"/>
      <w:bookmarkEnd w:id="167"/>
      <w:bookmarkStart w:id="168" w:name="_Toc296890991"/>
      <w:bookmarkEnd w:id="168"/>
      <w:bookmarkStart w:id="169" w:name="_Toc296944502"/>
      <w:bookmarkEnd w:id="169"/>
      <w:bookmarkStart w:id="170" w:name="_Toc296891203"/>
      <w:bookmarkEnd w:id="170"/>
      <w:bookmarkStart w:id="171" w:name="_Toc296503163"/>
      <w:bookmarkEnd w:id="171"/>
      <w:bookmarkStart w:id="172" w:name="_Toc296346664"/>
      <w:bookmarkEnd w:id="172"/>
      <w:bookmarkStart w:id="173" w:name="_Toc292559367"/>
      <w:bookmarkEnd w:id="173"/>
      <w:bookmarkStart w:id="174" w:name="_Toc292559872"/>
      <w:bookmarkEnd w:id="174"/>
      <w:bookmarkStart w:id="175" w:name="_Toc296347162"/>
      <w:r>
        <w:rPr>
          <w:rFonts w:hint="eastAsia" w:ascii="宋体" w:hAnsi="宋体"/>
          <w:color w:val="auto"/>
          <w:sz w:val="24"/>
          <w:szCs w:val="24"/>
          <w:highlight w:val="none"/>
          <w:lang w:eastAsia="zh-CN"/>
        </w:rPr>
        <w:t>. 工程质量</w:t>
      </w:r>
      <w:bookmarkEnd w:id="175"/>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5.1 质量要求</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5</w:t>
      </w:r>
      <w:bookmarkStart w:id="176" w:name="_Toc297216155"/>
      <w:bookmarkEnd w:id="176"/>
      <w:bookmarkStart w:id="177" w:name="_Toc303539106"/>
      <w:bookmarkEnd w:id="177"/>
      <w:bookmarkStart w:id="178" w:name="_Toc297123496"/>
      <w:bookmarkEnd w:id="178"/>
      <w:bookmarkStart w:id="179" w:name="_Toc312677997"/>
      <w:bookmarkEnd w:id="179"/>
      <w:bookmarkStart w:id="180" w:name="_Toc318581164"/>
      <w:bookmarkEnd w:id="180"/>
      <w:bookmarkStart w:id="181" w:name="_Toc300934949"/>
      <w:bookmarkEnd w:id="181"/>
      <w:bookmarkStart w:id="182" w:name="_Toc304295527"/>
      <w:r>
        <w:rPr>
          <w:rFonts w:hint="eastAsia" w:ascii="宋体" w:hAnsi="宋体"/>
          <w:color w:val="auto"/>
          <w:sz w:val="24"/>
          <w:szCs w:val="24"/>
          <w:highlight w:val="none"/>
          <w:lang w:eastAsia="zh-CN"/>
        </w:rPr>
        <w:t>.1.1 特殊质量标准和要求：</w:t>
      </w:r>
      <w:bookmarkEnd w:id="182"/>
      <w:r>
        <w:rPr>
          <w:rFonts w:hint="eastAsia" w:ascii="宋体" w:hAnsi="宋体"/>
          <w:color w:val="auto"/>
          <w:sz w:val="24"/>
          <w:szCs w:val="24"/>
          <w:highlight w:val="none"/>
          <w:u w:val="single"/>
          <w:lang w:eastAsia="zh-CN"/>
        </w:rPr>
        <w:t xml:space="preserve">  不低于国家规定的合格标准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关于工程奖项的约定：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5.3 隐蔽工程检查</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5.3.2承包人提前通知监理人隐蔽工程检查的期限的约定：</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监理人不能按时进行检查时，应提前</w:t>
      </w:r>
      <w:r>
        <w:rPr>
          <w:rFonts w:hint="eastAsia" w:ascii="宋体" w:hAnsi="宋体"/>
          <w:color w:val="auto"/>
          <w:sz w:val="24"/>
          <w:szCs w:val="24"/>
          <w:highlight w:val="none"/>
          <w:u w:val="single"/>
          <w:lang w:eastAsia="zh-CN"/>
        </w:rPr>
        <w:t xml:space="preserve">   24    </w:t>
      </w:r>
      <w:r>
        <w:rPr>
          <w:rFonts w:hint="eastAsia" w:ascii="宋体" w:hAnsi="宋体"/>
          <w:color w:val="auto"/>
          <w:sz w:val="24"/>
          <w:szCs w:val="24"/>
          <w:highlight w:val="none"/>
          <w:lang w:eastAsia="zh-CN"/>
        </w:rPr>
        <w:t>小时提交书面延期要求。</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关于延期最长不得超过：</w:t>
      </w:r>
      <w:r>
        <w:rPr>
          <w:rFonts w:hint="eastAsia" w:ascii="宋体" w:hAnsi="宋体"/>
          <w:color w:val="auto"/>
          <w:sz w:val="24"/>
          <w:szCs w:val="24"/>
          <w:highlight w:val="none"/>
          <w:u w:val="single"/>
          <w:lang w:eastAsia="zh-CN"/>
        </w:rPr>
        <w:t xml:space="preserve">   48      </w:t>
      </w:r>
      <w:r>
        <w:rPr>
          <w:rFonts w:hint="eastAsia" w:ascii="宋体" w:hAnsi="宋体"/>
          <w:color w:val="auto"/>
          <w:sz w:val="24"/>
          <w:szCs w:val="24"/>
          <w:highlight w:val="none"/>
          <w:lang w:eastAsia="zh-CN"/>
        </w:rPr>
        <w:t>小时。</w:t>
      </w:r>
    </w:p>
    <w:p>
      <w:pPr>
        <w:spacing w:line="500" w:lineRule="exact"/>
        <w:ind w:firstLine="480" w:firstLineChars="200"/>
        <w:rPr>
          <w:rFonts w:ascii="宋体" w:hAnsi="宋体"/>
          <w:color w:val="auto"/>
          <w:sz w:val="24"/>
          <w:szCs w:val="24"/>
          <w:highlight w:val="none"/>
          <w:lang w:eastAsia="zh-CN"/>
        </w:rPr>
      </w:pPr>
      <w:bookmarkStart w:id="183" w:name="_Toc351203638"/>
      <w:bookmarkEnd w:id="183"/>
      <w:r>
        <w:rPr>
          <w:rFonts w:hint="eastAsia" w:ascii="宋体" w:hAnsi="宋体"/>
          <w:color w:val="auto"/>
          <w:sz w:val="24"/>
          <w:szCs w:val="24"/>
          <w:highlight w:val="none"/>
          <w:lang w:eastAsia="zh-CN"/>
        </w:rPr>
        <w:t>6. 安全文明施工与环境保护</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6.1安全文明施工</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6.1.1 项目安全生产的达标目标及相应事项的约定：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 按照国家有关规定进行安全文明施工。要求在施工期间无事故发生，若有事故发生均由事故责任方承担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6.1.4 关于治安保卫的特别约定：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施工现场内的治安保卫工作由承包人承担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关于编制施工场地治安管理计划的约定：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6.1.5 文明施工</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合同当事人对文明施工的要求：</w:t>
      </w:r>
      <w:r>
        <w:rPr>
          <w:rFonts w:hint="eastAsia" w:ascii="宋体" w:hAnsi="宋体" w:cs="宋体"/>
          <w:color w:val="auto"/>
          <w:sz w:val="24"/>
          <w:highlight w:val="none"/>
          <w:u w:val="single"/>
          <w:lang w:eastAsia="zh-CN"/>
        </w:rPr>
        <w:t xml:space="preserve">按照国家有关规定进行安全文明施工。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6.1.6 关于安全文明施工费支付比例和支付期限的约定：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184" w:name="_Toc351203639"/>
      <w:bookmarkEnd w:id="184"/>
      <w:r>
        <w:rPr>
          <w:rFonts w:hint="eastAsia" w:ascii="宋体" w:hAnsi="宋体"/>
          <w:color w:val="auto"/>
          <w:sz w:val="24"/>
          <w:szCs w:val="24"/>
          <w:highlight w:val="none"/>
          <w:lang w:eastAsia="zh-CN"/>
        </w:rPr>
        <w:t>7. 工期和进度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7.1 施工组织设计</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7.1.1 合同当事人约定的施工组织设计应包括的其他内容：</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7.1.2 施工组织设计的提交和修改</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承包人提交详细施工组织设计的期限的约定：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发包人和监理人在收到详细的施工组织设计后确认或提出修改意见的期限：</w:t>
      </w:r>
      <w:r>
        <w:rPr>
          <w:rFonts w:hint="eastAsia" w:ascii="宋体" w:hAnsi="宋体"/>
          <w:color w:val="auto"/>
          <w:highlight w:val="none"/>
          <w:u w:val="single"/>
          <w:lang w:eastAsia="zh-CN"/>
        </w:rPr>
        <w:t>执行通用条款</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w:t>
      </w:r>
      <w:bookmarkStart w:id="185" w:name="_Toc297123514"/>
      <w:bookmarkEnd w:id="185"/>
      <w:bookmarkStart w:id="186" w:name="_Toc312677479"/>
      <w:bookmarkEnd w:id="186"/>
      <w:bookmarkStart w:id="187" w:name="_Toc312678005"/>
      <w:bookmarkEnd w:id="187"/>
      <w:bookmarkStart w:id="188" w:name="_Toc303539123"/>
      <w:bookmarkEnd w:id="188"/>
      <w:bookmarkStart w:id="189" w:name="_Toc304295541"/>
      <w:bookmarkEnd w:id="189"/>
      <w:bookmarkStart w:id="190" w:name="_Toc300934966"/>
      <w:bookmarkEnd w:id="190"/>
      <w:bookmarkStart w:id="191" w:name="_Toc297216173"/>
      <w:r>
        <w:rPr>
          <w:rFonts w:hint="eastAsia" w:ascii="宋体" w:hAnsi="宋体"/>
          <w:color w:val="auto"/>
          <w:sz w:val="24"/>
          <w:szCs w:val="24"/>
          <w:highlight w:val="none"/>
          <w:lang w:eastAsia="zh-CN"/>
        </w:rPr>
        <w:t>.2 施工进度计划</w:t>
      </w:r>
      <w:bookmarkEnd w:id="191"/>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7.2.2 施工进度计划的修订</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发包人和监理人在收到修订的施工进度计划后确认或提出修改意见的期限：</w:t>
      </w:r>
      <w:r>
        <w:rPr>
          <w:rFonts w:hint="eastAsia" w:ascii="宋体" w:hAnsi="宋体"/>
          <w:color w:val="auto"/>
          <w:highlight w:val="none"/>
          <w:u w:val="single"/>
          <w:lang w:eastAsia="zh-CN"/>
        </w:rPr>
        <w:t>执行通用条款</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7.3 开工</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7.3.1 开工准备</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关于承包人提交工程开工报审表的期限：</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关于发包人应完成的其他开工准备工作及期限：</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关于承包人应完成的其他开工准备工作及期限：</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7.3.2开工通知</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因发包人原因造成监理人未能在计划开工日期之日起</w:t>
      </w:r>
      <w:r>
        <w:rPr>
          <w:rFonts w:hint="eastAsia" w:ascii="宋体" w:hAnsi="宋体"/>
          <w:color w:val="auto"/>
          <w:sz w:val="24"/>
          <w:szCs w:val="24"/>
          <w:highlight w:val="none"/>
          <w:u w:val="single"/>
          <w:lang w:eastAsia="zh-CN"/>
        </w:rPr>
        <w:t xml:space="preserve"> 90 </w:t>
      </w:r>
      <w:r>
        <w:rPr>
          <w:rFonts w:hint="eastAsia" w:ascii="宋体" w:hAnsi="宋体"/>
          <w:color w:val="auto"/>
          <w:sz w:val="24"/>
          <w:szCs w:val="24"/>
          <w:highlight w:val="none"/>
          <w:lang w:eastAsia="zh-CN"/>
        </w:rPr>
        <w:t>天内发出开工通知的，承包人有权提出价格调整要求，或者解除合同。</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7.4 测量放线</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7.4.1发包人通过监理人向承包人提供测量基准点、基准线和水准点及其书面资料的期限：</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w:t>
      </w:r>
      <w:bookmarkStart w:id="192" w:name="_Toc297216175"/>
      <w:bookmarkEnd w:id="192"/>
      <w:bookmarkStart w:id="193" w:name="_Toc300934968"/>
      <w:bookmarkEnd w:id="193"/>
      <w:bookmarkStart w:id="194" w:name="_Toc297123516"/>
      <w:bookmarkEnd w:id="194"/>
      <w:bookmarkStart w:id="195" w:name="_Toc312678010"/>
      <w:bookmarkEnd w:id="195"/>
      <w:bookmarkStart w:id="196" w:name="_Toc312677484"/>
      <w:bookmarkEnd w:id="196"/>
      <w:bookmarkStart w:id="197" w:name="_Toc303539125"/>
      <w:bookmarkEnd w:id="197"/>
      <w:bookmarkStart w:id="198" w:name="_Toc304295546"/>
      <w:r>
        <w:rPr>
          <w:rFonts w:hint="eastAsia" w:ascii="宋体" w:hAnsi="宋体"/>
          <w:color w:val="auto"/>
          <w:sz w:val="24"/>
          <w:szCs w:val="24"/>
          <w:highlight w:val="none"/>
          <w:lang w:eastAsia="zh-CN"/>
        </w:rPr>
        <w:t>.5 工期延误</w:t>
      </w:r>
      <w:bookmarkEnd w:id="198"/>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7.5.1 因发包人原因导致工期延误</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（7）因发包人原因导致工期延误的其他情形：</w:t>
      </w:r>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因</w:t>
      </w:r>
      <w:bookmarkStart w:id="199" w:name="_Toc312677487"/>
      <w:bookmarkEnd w:id="199"/>
      <w:bookmarkStart w:id="200" w:name="_Toc312678013"/>
      <w:bookmarkEnd w:id="200"/>
      <w:bookmarkStart w:id="201" w:name="_Toc318581170"/>
      <w:r>
        <w:rPr>
          <w:rFonts w:hint="eastAsia" w:ascii="宋体" w:hAnsi="宋体"/>
          <w:color w:val="auto"/>
          <w:sz w:val="24"/>
          <w:szCs w:val="24"/>
          <w:highlight w:val="none"/>
          <w:lang w:eastAsia="zh-CN"/>
        </w:rPr>
        <w:t>承包人原因造成工期延误，逾期竣工违约金的计算方法为：</w:t>
      </w:r>
      <w:bookmarkEnd w:id="201"/>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每延误一天，按合同金额的千分之一计算违约金</w:t>
      </w:r>
      <w:r>
        <w:rPr>
          <w:rFonts w:hint="eastAsia" w:ascii="宋体" w:hAnsi="宋体"/>
          <w:color w:val="auto"/>
          <w:sz w:val="24"/>
          <w:szCs w:val="24"/>
          <w:highlight w:val="none"/>
          <w:u w:val="single"/>
          <w:lang w:eastAsia="zh-CN"/>
        </w:rPr>
        <w:t xml:space="preserve">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因承包人原因造成工期延误，逾</w:t>
      </w:r>
      <w:bookmarkStart w:id="202" w:name="_Toc312678014"/>
      <w:bookmarkEnd w:id="202"/>
      <w:bookmarkStart w:id="203" w:name="_Toc318581171"/>
      <w:r>
        <w:rPr>
          <w:rFonts w:hint="eastAsia" w:ascii="宋体" w:hAnsi="宋体"/>
          <w:color w:val="auto"/>
          <w:sz w:val="24"/>
          <w:szCs w:val="24"/>
          <w:highlight w:val="none"/>
          <w:lang w:eastAsia="zh-CN"/>
        </w:rPr>
        <w:t>期竣工违约金的上限：</w:t>
      </w:r>
      <w:bookmarkEnd w:id="203"/>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w:t>
      </w:r>
      <w:bookmarkStart w:id="204" w:name="_Toc297216178"/>
      <w:bookmarkEnd w:id="204"/>
      <w:bookmarkStart w:id="205" w:name="_Toc304295549"/>
      <w:bookmarkEnd w:id="205"/>
      <w:bookmarkStart w:id="206" w:name="_Toc300934971"/>
      <w:bookmarkEnd w:id="206"/>
      <w:bookmarkStart w:id="207" w:name="_Toc297123519"/>
      <w:bookmarkEnd w:id="207"/>
      <w:bookmarkStart w:id="208" w:name="_Toc312678015"/>
      <w:bookmarkEnd w:id="208"/>
      <w:bookmarkStart w:id="209" w:name="_Toc303539128"/>
      <w:r>
        <w:rPr>
          <w:rFonts w:hint="eastAsia" w:ascii="宋体" w:hAnsi="宋体"/>
          <w:color w:val="auto"/>
          <w:sz w:val="24"/>
          <w:szCs w:val="24"/>
          <w:highlight w:val="none"/>
          <w:lang w:eastAsia="zh-CN"/>
        </w:rPr>
        <w:t>.6 不</w:t>
      </w:r>
      <w:bookmarkEnd w:id="209"/>
      <w:r>
        <w:rPr>
          <w:rFonts w:hint="eastAsia" w:ascii="宋体" w:hAnsi="宋体"/>
          <w:color w:val="auto"/>
          <w:sz w:val="24"/>
          <w:szCs w:val="24"/>
          <w:highlight w:val="none"/>
          <w:lang w:eastAsia="zh-CN"/>
        </w:rPr>
        <w:t>利物质条件</w:t>
      </w:r>
    </w:p>
    <w:p>
      <w:pPr>
        <w:spacing w:line="500" w:lineRule="exact"/>
        <w:ind w:firstLine="480" w:firstLineChars="200"/>
        <w:rPr>
          <w:rFonts w:ascii="宋体" w:hAnsi="宋体"/>
          <w:color w:val="auto"/>
          <w:sz w:val="24"/>
          <w:szCs w:val="24"/>
          <w:highlight w:val="none"/>
          <w:u w:val="single"/>
          <w:lang w:eastAsia="zh-CN"/>
        </w:rPr>
      </w:pPr>
      <w:bookmarkStart w:id="210" w:name="_Toc300934972"/>
      <w:bookmarkEnd w:id="210"/>
      <w:bookmarkStart w:id="211" w:name="_Toc312678016"/>
      <w:bookmarkEnd w:id="211"/>
      <w:bookmarkStart w:id="212" w:name="_Toc303539129"/>
      <w:bookmarkEnd w:id="212"/>
      <w:bookmarkStart w:id="213" w:name="_Toc318581172"/>
      <w:bookmarkEnd w:id="213"/>
      <w:bookmarkStart w:id="214" w:name="_Toc297216179"/>
      <w:bookmarkEnd w:id="214"/>
      <w:bookmarkStart w:id="215" w:name="_Toc297123520"/>
      <w:bookmarkEnd w:id="215"/>
      <w:bookmarkStart w:id="216" w:name="_Toc304295550"/>
      <w:r>
        <w:rPr>
          <w:rFonts w:hint="eastAsia" w:ascii="宋体" w:hAnsi="宋体"/>
          <w:color w:val="auto"/>
          <w:sz w:val="24"/>
          <w:szCs w:val="24"/>
          <w:highlight w:val="none"/>
          <w:lang w:eastAsia="zh-CN"/>
        </w:rPr>
        <w:t>不利物质条件的其他情形和有关约定：</w:t>
      </w:r>
      <w:bookmarkEnd w:id="216"/>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w:t>
      </w:r>
      <w:bookmarkStart w:id="217" w:name="_Toc303539130"/>
      <w:bookmarkEnd w:id="217"/>
      <w:bookmarkStart w:id="218" w:name="_Toc297216180"/>
      <w:bookmarkEnd w:id="218"/>
      <w:bookmarkStart w:id="219" w:name="_Toc300934973"/>
      <w:bookmarkEnd w:id="219"/>
      <w:bookmarkStart w:id="220" w:name="_Toc297123521"/>
      <w:bookmarkEnd w:id="220"/>
      <w:bookmarkStart w:id="221" w:name="_Toc312678017"/>
      <w:bookmarkEnd w:id="221"/>
      <w:bookmarkStart w:id="222" w:name="_Toc304295551"/>
      <w:r>
        <w:rPr>
          <w:rFonts w:hint="eastAsia" w:ascii="宋体" w:hAnsi="宋体"/>
          <w:color w:val="auto"/>
          <w:sz w:val="24"/>
          <w:szCs w:val="24"/>
          <w:highlight w:val="none"/>
          <w:lang w:eastAsia="zh-CN"/>
        </w:rPr>
        <w:t>.7异常恶劣的气候条件</w:t>
      </w:r>
      <w:bookmarkEnd w:id="222"/>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发包人和承包人同意以下情形视为异常恶劣的气候条件：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执行通用条款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7.9 提前竣工的奖励</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7.9.2提前竣工的奖励：</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223" w:name="_Toc351203640"/>
      <w:bookmarkEnd w:id="223"/>
      <w:r>
        <w:rPr>
          <w:rFonts w:hint="eastAsia" w:ascii="宋体" w:hAnsi="宋体"/>
          <w:color w:val="auto"/>
          <w:sz w:val="24"/>
          <w:szCs w:val="24"/>
          <w:highlight w:val="none"/>
          <w:lang w:eastAsia="zh-CN"/>
        </w:rPr>
        <w:t>8. 材料与设备</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w:t>
      </w:r>
      <w:bookmarkStart w:id="224" w:name="_Toc312678019"/>
      <w:bookmarkEnd w:id="224"/>
      <w:bookmarkStart w:id="225" w:name="_Toc297048353"/>
      <w:bookmarkEnd w:id="225"/>
      <w:bookmarkStart w:id="226" w:name="_Toc296347166"/>
      <w:bookmarkEnd w:id="226"/>
      <w:bookmarkStart w:id="227" w:name="_Toc292559372"/>
      <w:bookmarkEnd w:id="227"/>
      <w:bookmarkStart w:id="228" w:name="_Toc297216186"/>
      <w:bookmarkEnd w:id="228"/>
      <w:bookmarkStart w:id="229" w:name="_Toc267251424"/>
      <w:bookmarkEnd w:id="229"/>
      <w:bookmarkStart w:id="230" w:name="_Toc300934979"/>
      <w:bookmarkEnd w:id="230"/>
      <w:bookmarkStart w:id="231" w:name="_Toc312677493"/>
      <w:bookmarkEnd w:id="231"/>
      <w:bookmarkStart w:id="232" w:name="_Toc280868655"/>
      <w:bookmarkEnd w:id="232"/>
      <w:bookmarkStart w:id="233" w:name="_Toc296503167"/>
      <w:bookmarkEnd w:id="233"/>
      <w:bookmarkStart w:id="234" w:name="_Toc280868654"/>
      <w:bookmarkEnd w:id="234"/>
      <w:bookmarkStart w:id="235" w:name="_Toc296891207"/>
      <w:bookmarkEnd w:id="235"/>
      <w:bookmarkStart w:id="236" w:name="_Toc297123527"/>
      <w:bookmarkEnd w:id="236"/>
      <w:bookmarkStart w:id="237" w:name="_Toc296346668"/>
      <w:bookmarkEnd w:id="237"/>
      <w:bookmarkStart w:id="238" w:name="_Toc303539136"/>
      <w:bookmarkEnd w:id="238"/>
      <w:bookmarkStart w:id="239" w:name="_Toc292559877"/>
      <w:bookmarkEnd w:id="239"/>
      <w:bookmarkStart w:id="240" w:name="_Toc297120467"/>
      <w:bookmarkEnd w:id="240"/>
      <w:bookmarkStart w:id="241" w:name="_Toc304295556"/>
      <w:bookmarkEnd w:id="241"/>
      <w:bookmarkStart w:id="242" w:name="_Toc296890995"/>
      <w:bookmarkEnd w:id="242"/>
      <w:bookmarkStart w:id="243" w:name="_Toc296944506"/>
      <w:bookmarkEnd w:id="243"/>
      <w:bookmarkStart w:id="244" w:name="_Toc280868656"/>
      <w:r>
        <w:rPr>
          <w:rFonts w:hint="eastAsia" w:ascii="宋体" w:hAnsi="宋体"/>
          <w:color w:val="auto"/>
          <w:sz w:val="24"/>
          <w:szCs w:val="24"/>
          <w:highlight w:val="none"/>
          <w:lang w:eastAsia="zh-CN"/>
        </w:rPr>
        <w:t>.4材料与工程设备的保管与使用</w:t>
      </w:r>
      <w:bookmarkEnd w:id="244"/>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w:t>
      </w:r>
      <w:bookmarkStart w:id="245" w:name="_Toc312677494"/>
      <w:bookmarkEnd w:id="245"/>
      <w:bookmarkStart w:id="246" w:name="_Toc297120468"/>
      <w:bookmarkEnd w:id="246"/>
      <w:bookmarkStart w:id="247" w:name="_Toc296347167"/>
      <w:bookmarkEnd w:id="247"/>
      <w:bookmarkStart w:id="248" w:name="_Toc296944507"/>
      <w:bookmarkEnd w:id="248"/>
      <w:bookmarkStart w:id="249" w:name="_Toc297216187"/>
      <w:bookmarkEnd w:id="249"/>
      <w:bookmarkStart w:id="250" w:name="_Toc300934980"/>
      <w:bookmarkEnd w:id="250"/>
      <w:bookmarkStart w:id="251" w:name="_Toc292559373"/>
      <w:bookmarkEnd w:id="251"/>
      <w:bookmarkStart w:id="252" w:name="_Toc318581173"/>
      <w:bookmarkEnd w:id="252"/>
      <w:bookmarkStart w:id="253" w:name="_Toc296346669"/>
      <w:bookmarkEnd w:id="253"/>
      <w:bookmarkStart w:id="254" w:name="_Toc296891208"/>
      <w:bookmarkEnd w:id="254"/>
      <w:bookmarkStart w:id="255" w:name="_Toc312678020"/>
      <w:bookmarkEnd w:id="255"/>
      <w:bookmarkStart w:id="256" w:name="_Toc296503168"/>
      <w:bookmarkEnd w:id="256"/>
      <w:bookmarkStart w:id="257" w:name="_Toc297123528"/>
      <w:bookmarkEnd w:id="257"/>
      <w:bookmarkStart w:id="258" w:name="_Toc296890996"/>
      <w:bookmarkEnd w:id="258"/>
      <w:bookmarkStart w:id="259" w:name="_Toc303539137"/>
      <w:bookmarkEnd w:id="259"/>
      <w:bookmarkStart w:id="260" w:name="_Toc297048354"/>
      <w:bookmarkEnd w:id="260"/>
      <w:bookmarkStart w:id="261" w:name="_Toc304295557"/>
      <w:bookmarkEnd w:id="261"/>
      <w:bookmarkStart w:id="262" w:name="_Toc292559878"/>
      <w:r>
        <w:rPr>
          <w:rFonts w:hint="eastAsia" w:ascii="宋体" w:hAnsi="宋体"/>
          <w:color w:val="auto"/>
          <w:sz w:val="24"/>
          <w:szCs w:val="24"/>
          <w:highlight w:val="none"/>
          <w:lang w:eastAsia="zh-CN"/>
        </w:rPr>
        <w:t>.4.1发包人供应的材料设备的保管费用的承担：</w:t>
      </w:r>
      <w:bookmarkEnd w:id="262"/>
      <w:r>
        <w:rPr>
          <w:rFonts w:hint="eastAsia" w:ascii="宋体" w:hAnsi="宋体"/>
          <w:color w:val="auto"/>
          <w:sz w:val="24"/>
          <w:szCs w:val="24"/>
          <w:highlight w:val="none"/>
          <w:u w:val="single"/>
          <w:lang w:eastAsia="zh-CN"/>
        </w:rPr>
        <w:t xml:space="preserve">    由甲方承担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8.6 样品</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8.6.1</w:t>
      </w:r>
      <w:r>
        <w:rPr>
          <w:rFonts w:hint="eastAsia" w:ascii="宋体" w:hAnsi="宋体"/>
          <w:color w:val="auto"/>
          <w:sz w:val="24"/>
          <w:szCs w:val="24"/>
          <w:highlight w:val="none"/>
          <w:lang w:eastAsia="zh-CN"/>
        </w:rPr>
        <w:tab/>
      </w:r>
      <w:r>
        <w:rPr>
          <w:rFonts w:hint="eastAsia" w:ascii="宋体" w:hAnsi="宋体"/>
          <w:color w:val="auto"/>
          <w:sz w:val="24"/>
          <w:szCs w:val="24"/>
          <w:highlight w:val="none"/>
          <w:lang w:eastAsia="zh-CN"/>
        </w:rPr>
        <w:t>样品的报送与封存</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需要承包人报送样品的材料或工程设备，样品的种类、名称、规格、数量要求：</w:t>
      </w:r>
      <w:r>
        <w:rPr>
          <w:rFonts w:hint="eastAsia" w:ascii="宋体" w:hAnsi="宋体"/>
          <w:color w:val="auto"/>
          <w:sz w:val="24"/>
          <w:szCs w:val="24"/>
          <w:highlight w:val="none"/>
          <w:u w:val="single"/>
          <w:lang w:eastAsia="zh-CN"/>
        </w:rPr>
        <w:t>执行通用条款 。</w:t>
      </w:r>
    </w:p>
    <w:p>
      <w:pPr>
        <w:spacing w:after="120" w:line="360" w:lineRule="auto"/>
        <w:ind w:firstLine="482" w:firstLineChars="200"/>
        <w:rPr>
          <w:rFonts w:ascii="宋体" w:hAnsi="宋体" w:cs="宋体"/>
          <w:b/>
          <w:color w:val="auto"/>
          <w:sz w:val="24"/>
          <w:highlight w:val="none"/>
          <w:lang w:eastAsia="zh-CN"/>
        </w:rPr>
      </w:pPr>
      <w:r>
        <w:rPr>
          <w:rFonts w:hint="eastAsia" w:ascii="宋体" w:hAnsi="宋体" w:cs="宋体"/>
          <w:b/>
          <w:color w:val="auto"/>
          <w:sz w:val="24"/>
          <w:highlight w:val="none"/>
          <w:lang w:eastAsia="zh-CN"/>
        </w:rPr>
        <w:t>8.7材料的其他规定</w:t>
      </w:r>
    </w:p>
    <w:p>
      <w:pPr>
        <w:autoSpaceDE w:val="0"/>
        <w:autoSpaceDN w:val="0"/>
        <w:adjustRightInd w:val="0"/>
        <w:spacing w:line="360" w:lineRule="auto"/>
        <w:ind w:firstLine="482" w:firstLineChars="200"/>
        <w:rPr>
          <w:rFonts w:ascii="宋体" w:hAnsi="宋体" w:cs="宋体"/>
          <w:b/>
          <w:color w:val="auto"/>
          <w:sz w:val="24"/>
          <w:highlight w:val="none"/>
          <w:lang w:eastAsia="zh-CN"/>
        </w:rPr>
      </w:pPr>
      <w:r>
        <w:rPr>
          <w:rFonts w:hint="eastAsia" w:ascii="宋体" w:hAnsi="宋体" w:cs="宋体"/>
          <w:b/>
          <w:color w:val="auto"/>
          <w:sz w:val="24"/>
          <w:highlight w:val="none"/>
          <w:lang w:eastAsia="zh-CN"/>
        </w:rPr>
        <w:t>8.7.1本工程涉及的大宗材料采购须经建设单位及监理单位认可方可使用，如有必要须按照建设单位要求提供样品。</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8.8 施工设备和临时设施</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8.8.1 承包人提供的施工设备和临时设施</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关于修建临时设施费用承担的约定：</w:t>
      </w:r>
      <w:r>
        <w:rPr>
          <w:rFonts w:hint="eastAsia" w:ascii="宋体" w:hAnsi="宋体"/>
          <w:color w:val="auto"/>
          <w:sz w:val="24"/>
          <w:szCs w:val="24"/>
          <w:highlight w:val="none"/>
          <w:u w:val="single"/>
          <w:lang w:eastAsia="zh-CN"/>
        </w:rPr>
        <w:t xml:space="preserve">    由乙方承担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263" w:name="_Toc351203641"/>
      <w:bookmarkEnd w:id="263"/>
      <w:r>
        <w:rPr>
          <w:rFonts w:hint="eastAsia" w:ascii="宋体" w:hAnsi="宋体"/>
          <w:color w:val="auto"/>
          <w:sz w:val="24"/>
          <w:szCs w:val="24"/>
          <w:highlight w:val="none"/>
          <w:lang w:eastAsia="zh-CN"/>
        </w:rPr>
        <w:t>9</w:t>
      </w:r>
      <w:bookmarkStart w:id="264" w:name="_Toc296944512"/>
      <w:bookmarkEnd w:id="264"/>
      <w:bookmarkStart w:id="265" w:name="_Toc297216192"/>
      <w:bookmarkEnd w:id="265"/>
      <w:bookmarkStart w:id="266" w:name="_Toc267251427"/>
      <w:bookmarkEnd w:id="266"/>
      <w:bookmarkStart w:id="267" w:name="_Toc292559883"/>
      <w:bookmarkEnd w:id="267"/>
      <w:bookmarkStart w:id="268" w:name="_Toc267251428"/>
      <w:bookmarkEnd w:id="268"/>
      <w:bookmarkStart w:id="269" w:name="_Toc312677495"/>
      <w:bookmarkEnd w:id="269"/>
      <w:bookmarkStart w:id="270" w:name="_Toc296347172"/>
      <w:bookmarkEnd w:id="270"/>
      <w:bookmarkStart w:id="271" w:name="_Toc304295559"/>
      <w:bookmarkEnd w:id="271"/>
      <w:bookmarkStart w:id="272" w:name="_Toc312678021"/>
      <w:bookmarkEnd w:id="272"/>
      <w:bookmarkStart w:id="273" w:name="_Toc297120473"/>
      <w:bookmarkEnd w:id="273"/>
      <w:bookmarkStart w:id="274" w:name="_Toc292559378"/>
      <w:bookmarkEnd w:id="274"/>
      <w:bookmarkStart w:id="275" w:name="_Toc297123533"/>
      <w:bookmarkEnd w:id="275"/>
      <w:bookmarkStart w:id="276" w:name="_Toc297048359"/>
      <w:bookmarkEnd w:id="276"/>
      <w:bookmarkStart w:id="277" w:name="_Toc300934982"/>
      <w:bookmarkEnd w:id="277"/>
      <w:bookmarkStart w:id="278" w:name="_Toc296503173"/>
      <w:bookmarkEnd w:id="278"/>
      <w:bookmarkStart w:id="279" w:name="_Toc303539139"/>
      <w:bookmarkEnd w:id="279"/>
      <w:bookmarkStart w:id="280" w:name="_Toc296891213"/>
      <w:bookmarkEnd w:id="280"/>
      <w:bookmarkStart w:id="281" w:name="_Toc296346674"/>
      <w:bookmarkEnd w:id="281"/>
      <w:bookmarkStart w:id="282" w:name="_Toc296891001"/>
      <w:r>
        <w:rPr>
          <w:rFonts w:hint="eastAsia" w:ascii="宋体" w:hAnsi="宋体"/>
          <w:color w:val="auto"/>
          <w:sz w:val="24"/>
          <w:szCs w:val="24"/>
          <w:highlight w:val="none"/>
          <w:lang w:eastAsia="zh-CN"/>
        </w:rPr>
        <w:t>. 试验与检验</w:t>
      </w:r>
      <w:bookmarkEnd w:id="282"/>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9</w:t>
      </w:r>
      <w:bookmarkStart w:id="283" w:name="_Toc303539140"/>
      <w:bookmarkEnd w:id="283"/>
      <w:bookmarkStart w:id="284" w:name="_Toc297216193"/>
      <w:bookmarkEnd w:id="284"/>
      <w:bookmarkStart w:id="285" w:name="_Toc304295560"/>
      <w:bookmarkEnd w:id="285"/>
      <w:bookmarkStart w:id="286" w:name="_Toc297123534"/>
      <w:bookmarkEnd w:id="286"/>
      <w:bookmarkStart w:id="287" w:name="_Toc312677496"/>
      <w:bookmarkEnd w:id="287"/>
      <w:bookmarkStart w:id="288" w:name="_Toc300934983"/>
      <w:bookmarkEnd w:id="288"/>
      <w:bookmarkStart w:id="289" w:name="_Toc312678022"/>
      <w:r>
        <w:rPr>
          <w:rFonts w:hint="eastAsia" w:ascii="宋体" w:hAnsi="宋体"/>
          <w:color w:val="auto"/>
          <w:sz w:val="24"/>
          <w:szCs w:val="24"/>
          <w:highlight w:val="none"/>
          <w:lang w:eastAsia="zh-CN"/>
        </w:rPr>
        <w:t>.1试验设备与试验人员</w:t>
      </w:r>
      <w:bookmarkEnd w:id="289"/>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9</w:t>
      </w:r>
      <w:bookmarkStart w:id="290" w:name="_Toc312677497"/>
      <w:bookmarkEnd w:id="290"/>
      <w:bookmarkStart w:id="291" w:name="_Toc297216194"/>
      <w:bookmarkEnd w:id="291"/>
      <w:bookmarkStart w:id="292" w:name="_Toc300934984"/>
      <w:bookmarkEnd w:id="292"/>
      <w:bookmarkStart w:id="293" w:name="_Toc304295561"/>
      <w:bookmarkEnd w:id="293"/>
      <w:bookmarkStart w:id="294" w:name="_Toc303539141"/>
      <w:bookmarkEnd w:id="294"/>
      <w:bookmarkStart w:id="295" w:name="_Toc312678023"/>
      <w:bookmarkEnd w:id="295"/>
      <w:bookmarkStart w:id="296" w:name="_Toc318581174"/>
      <w:bookmarkEnd w:id="296"/>
      <w:bookmarkStart w:id="297" w:name="_Toc297123535"/>
      <w:r>
        <w:rPr>
          <w:rFonts w:hint="eastAsia" w:ascii="宋体" w:hAnsi="宋体"/>
          <w:color w:val="auto"/>
          <w:sz w:val="24"/>
          <w:szCs w:val="24"/>
          <w:highlight w:val="none"/>
          <w:lang w:eastAsia="zh-CN"/>
        </w:rPr>
        <w:t>.1.2 试验设备</w:t>
      </w:r>
      <w:bookmarkEnd w:id="297"/>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施工现场需要配置的试验场所：</w:t>
      </w:r>
      <w:bookmarkStart w:id="298" w:name="_Toc312677498"/>
      <w:bookmarkEnd w:id="298"/>
      <w:bookmarkStart w:id="299" w:name="_Toc297123536"/>
      <w:bookmarkEnd w:id="299"/>
      <w:bookmarkStart w:id="300" w:name="_Toc304295562"/>
      <w:bookmarkEnd w:id="300"/>
      <w:bookmarkStart w:id="301" w:name="_Toc303539142"/>
      <w:bookmarkEnd w:id="301"/>
      <w:bookmarkStart w:id="302" w:name="_Toc312678024"/>
      <w:bookmarkEnd w:id="302"/>
      <w:bookmarkStart w:id="303" w:name="_Toc297216195"/>
      <w:bookmarkEnd w:id="303"/>
      <w:bookmarkStart w:id="304" w:name="_Toc300934985"/>
      <w:bookmarkEnd w:id="304"/>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施工现场需要配备的试验设备：</w:t>
      </w:r>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施工现场需要具备的其他试验条件：</w:t>
      </w:r>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9.4 现场工艺试验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现场工艺试验的有关约定：</w:t>
      </w:r>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bookmarkStart w:id="305" w:name="_Toc351203642"/>
      <w:bookmarkEnd w:id="305"/>
      <w:r>
        <w:rPr>
          <w:rFonts w:hint="eastAsia" w:ascii="宋体" w:hAnsi="宋体"/>
          <w:color w:val="auto"/>
          <w:sz w:val="24"/>
          <w:szCs w:val="24"/>
          <w:highlight w:val="none"/>
          <w:lang w:eastAsia="zh-CN"/>
        </w:rPr>
        <w:t>1</w:t>
      </w:r>
      <w:bookmarkStart w:id="306" w:name="_Toc296891021"/>
      <w:bookmarkEnd w:id="306"/>
      <w:bookmarkStart w:id="307" w:name="_Toc296503193"/>
      <w:bookmarkEnd w:id="307"/>
      <w:bookmarkStart w:id="308" w:name="_Toc297120493"/>
      <w:bookmarkEnd w:id="308"/>
      <w:bookmarkStart w:id="309" w:name="_Toc292559398"/>
      <w:bookmarkEnd w:id="309"/>
      <w:bookmarkStart w:id="310" w:name="_Toc296347192"/>
      <w:bookmarkEnd w:id="310"/>
      <w:bookmarkStart w:id="311" w:name="_Toc267251442"/>
      <w:bookmarkEnd w:id="311"/>
      <w:bookmarkStart w:id="312" w:name="_Toc296944532"/>
      <w:bookmarkEnd w:id="312"/>
      <w:bookmarkStart w:id="313" w:name="_Toc297216199"/>
      <w:bookmarkEnd w:id="313"/>
      <w:bookmarkStart w:id="314" w:name="_Toc267251440"/>
      <w:bookmarkEnd w:id="314"/>
      <w:bookmarkStart w:id="315" w:name="_Toc312678025"/>
      <w:bookmarkEnd w:id="315"/>
      <w:bookmarkStart w:id="316" w:name="_Toc300934989"/>
      <w:bookmarkEnd w:id="316"/>
      <w:bookmarkStart w:id="317" w:name="_Toc267251437"/>
      <w:bookmarkEnd w:id="317"/>
      <w:bookmarkStart w:id="318" w:name="_Toc296346694"/>
      <w:bookmarkEnd w:id="318"/>
      <w:bookmarkStart w:id="319" w:name="_Toc303539146"/>
      <w:bookmarkEnd w:id="319"/>
      <w:bookmarkStart w:id="320" w:name="_Toc297123540"/>
      <w:bookmarkEnd w:id="320"/>
      <w:bookmarkStart w:id="321" w:name="_Toc304295566"/>
      <w:bookmarkEnd w:id="321"/>
      <w:bookmarkStart w:id="322" w:name="_Toc267251441"/>
      <w:bookmarkEnd w:id="322"/>
      <w:bookmarkStart w:id="323" w:name="_Toc312677499"/>
      <w:bookmarkEnd w:id="323"/>
      <w:bookmarkStart w:id="324" w:name="_Toc292559903"/>
      <w:bookmarkEnd w:id="324"/>
      <w:bookmarkStart w:id="325" w:name="_Toc296891233"/>
      <w:bookmarkEnd w:id="325"/>
      <w:bookmarkStart w:id="326" w:name="_Toc297048379"/>
      <w:bookmarkEnd w:id="326"/>
      <w:bookmarkStart w:id="327" w:name="_Toc267251439"/>
      <w:bookmarkEnd w:id="327"/>
      <w:bookmarkStart w:id="328" w:name="_Toc267251433"/>
      <w:bookmarkEnd w:id="328"/>
      <w:bookmarkStart w:id="329" w:name="_Toc267251435"/>
      <w:r>
        <w:rPr>
          <w:rFonts w:hint="eastAsia" w:ascii="宋体" w:hAnsi="宋体"/>
          <w:color w:val="auto"/>
          <w:sz w:val="24"/>
          <w:szCs w:val="24"/>
          <w:highlight w:val="none"/>
          <w:lang w:eastAsia="zh-CN"/>
        </w:rPr>
        <w:t>0. 变更</w:t>
      </w:r>
      <w:bookmarkEnd w:id="329"/>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bookmarkStart w:id="330" w:name="_Toc292559904"/>
      <w:bookmarkEnd w:id="330"/>
      <w:bookmarkStart w:id="331" w:name="_Toc296347193"/>
      <w:bookmarkEnd w:id="331"/>
      <w:bookmarkStart w:id="332" w:name="_Toc303539147"/>
      <w:bookmarkEnd w:id="332"/>
      <w:bookmarkStart w:id="333" w:name="_Toc296346695"/>
      <w:bookmarkEnd w:id="333"/>
      <w:bookmarkStart w:id="334" w:name="_Toc292559399"/>
      <w:bookmarkEnd w:id="334"/>
      <w:bookmarkStart w:id="335" w:name="_Toc296891022"/>
      <w:bookmarkEnd w:id="335"/>
      <w:bookmarkStart w:id="336" w:name="_Toc300934990"/>
      <w:bookmarkEnd w:id="336"/>
      <w:bookmarkStart w:id="337" w:name="_Toc297120494"/>
      <w:bookmarkEnd w:id="337"/>
      <w:bookmarkStart w:id="338" w:name="_Toc312678026"/>
      <w:bookmarkEnd w:id="338"/>
      <w:bookmarkStart w:id="339" w:name="_Toc297123541"/>
      <w:bookmarkEnd w:id="339"/>
      <w:bookmarkStart w:id="340" w:name="_Toc312677500"/>
      <w:bookmarkEnd w:id="340"/>
      <w:bookmarkStart w:id="341" w:name="_Toc297216200"/>
      <w:bookmarkEnd w:id="341"/>
      <w:bookmarkStart w:id="342" w:name="_Toc296503194"/>
      <w:bookmarkEnd w:id="342"/>
      <w:bookmarkStart w:id="343" w:name="_Toc297048380"/>
      <w:bookmarkEnd w:id="343"/>
      <w:bookmarkStart w:id="344" w:name="_Toc296944533"/>
      <w:bookmarkEnd w:id="344"/>
      <w:bookmarkStart w:id="345" w:name="_Toc296891234"/>
      <w:bookmarkEnd w:id="345"/>
      <w:bookmarkStart w:id="346" w:name="_Toc304295567"/>
      <w:r>
        <w:rPr>
          <w:rFonts w:hint="eastAsia" w:ascii="宋体" w:hAnsi="宋体"/>
          <w:color w:val="auto"/>
          <w:sz w:val="24"/>
          <w:szCs w:val="24"/>
          <w:highlight w:val="none"/>
          <w:lang w:eastAsia="zh-CN"/>
        </w:rPr>
        <w:t>0.1变更的范围</w:t>
      </w:r>
      <w:bookmarkEnd w:id="346"/>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关于变更的范围的约定：</w:t>
      </w:r>
      <w:r>
        <w:rPr>
          <w:rFonts w:hint="eastAsia" w:ascii="宋体" w:hAnsi="宋体" w:cs="宋体"/>
          <w:color w:val="auto"/>
          <w:sz w:val="24"/>
          <w:highlight w:val="none"/>
          <w:u w:val="single"/>
          <w:lang w:eastAsia="zh-CN"/>
        </w:rPr>
        <w:t xml:space="preserve">1.发包人以书面形式提出的工程变更要求，作为变更依据，通知监理和承包人，变更需经签字、加盖公章后生效；2.承包人以书面形式提出的工程变更意见，经发包人、监理签署确认意见并加盖公章后生效；3.因设计不完善、失误而引起的设计变更、技术核定单，由设计单位签发设计变更单或技术核定单后生效。4、监理工程师指令错误造成的变更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10.4 变更估价</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10.4.1 变更估价原则</w:t>
      </w:r>
    </w:p>
    <w:p>
      <w:pPr>
        <w:spacing w:line="360" w:lineRule="auto"/>
        <w:rPr>
          <w:rFonts w:ascii="宋体" w:hAnsi="宋体" w:cs="宋体"/>
          <w:color w:val="auto"/>
          <w:sz w:val="24"/>
          <w:highlight w:val="none"/>
          <w:u w:val="single"/>
          <w:lang w:eastAsia="zh-CN"/>
        </w:rPr>
      </w:pPr>
      <w:r>
        <w:rPr>
          <w:rFonts w:hint="eastAsia" w:ascii="宋体" w:hAnsi="宋体"/>
          <w:color w:val="auto"/>
          <w:highlight w:val="none"/>
          <w:lang w:eastAsia="zh-CN"/>
        </w:rPr>
        <w:t xml:space="preserve">关于变更估价的约定: </w:t>
      </w:r>
      <w:r>
        <w:rPr>
          <w:rFonts w:hint="eastAsia" w:ascii="宋体" w:hAnsi="宋体" w:cs="宋体"/>
          <w:color w:val="auto"/>
          <w:sz w:val="24"/>
          <w:highlight w:val="none"/>
          <w:u w:val="single"/>
          <w:lang w:eastAsia="zh-CN"/>
        </w:rPr>
        <w:t>1.工程设计变更与发包人签证工程量及价格同时认定且据实结算。确定的变更及签证价款随当期工程进度款同期支付。</w:t>
      </w:r>
    </w:p>
    <w:p>
      <w:pPr>
        <w:spacing w:line="360" w:lineRule="auto"/>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u w:val="single"/>
          <w:lang w:eastAsia="zh-CN"/>
        </w:rPr>
        <w:t>2.施工中的设计变更、发包人做出的变更及工程洽商引起的分部、分项工程量增减，清单报价中已含的按清单报价据实调整；发包方清单漏项、错项及工程量清单中不含的变更及工程洽商按《河南省房屋建筑与装饰工程预算定额（2016版）》相应定额及相关规定执行（按中标价和招标控制价的降幅比例让利），以上两种情况都没有的根据市场行情，经双方协商确认后作为结算依据,据实结算。</w:t>
      </w:r>
    </w:p>
    <w:p>
      <w:pPr>
        <w:spacing w:line="360" w:lineRule="auto"/>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 xml:space="preserve">     </w:t>
      </w:r>
      <w:r>
        <w:rPr>
          <w:rFonts w:ascii="宋体" w:hAnsi="宋体" w:cs="宋体"/>
          <w:color w:val="auto"/>
          <w:sz w:val="24"/>
          <w:highlight w:val="none"/>
          <w:u w:val="single"/>
          <w:lang w:eastAsia="zh-CN"/>
        </w:rPr>
        <w:t>3.价格确定原则</w:t>
      </w:r>
    </w:p>
    <w:p>
      <w:pPr>
        <w:spacing w:line="360" w:lineRule="auto"/>
        <w:rPr>
          <w:rFonts w:ascii="宋体" w:hAnsi="宋体" w:cs="宋体"/>
          <w:color w:val="auto"/>
          <w:sz w:val="24"/>
          <w:highlight w:val="none"/>
          <w:u w:val="single"/>
          <w:lang w:eastAsia="zh-CN"/>
        </w:rPr>
      </w:pPr>
      <w:r>
        <w:rPr>
          <w:rFonts w:ascii="宋体" w:hAnsi="宋体" w:cs="宋体"/>
          <w:color w:val="auto"/>
          <w:sz w:val="24"/>
          <w:highlight w:val="none"/>
          <w:u w:val="single"/>
          <w:lang w:eastAsia="zh-CN"/>
        </w:rPr>
        <w:t>（1）已标价工程量清单中有适用于变更工程项目的，采用该项目的单价；</w:t>
      </w:r>
    </w:p>
    <w:p>
      <w:pPr>
        <w:spacing w:line="360" w:lineRule="auto"/>
        <w:rPr>
          <w:rFonts w:ascii="宋体" w:hAnsi="宋体" w:cs="宋体"/>
          <w:color w:val="auto"/>
          <w:sz w:val="24"/>
          <w:highlight w:val="none"/>
          <w:u w:val="single"/>
          <w:lang w:eastAsia="zh-CN"/>
        </w:rPr>
      </w:pPr>
      <w:r>
        <w:rPr>
          <w:rFonts w:ascii="宋体" w:hAnsi="宋体" w:cs="宋体"/>
          <w:color w:val="auto"/>
          <w:sz w:val="24"/>
          <w:highlight w:val="none"/>
          <w:u w:val="single"/>
          <w:lang w:eastAsia="zh-CN"/>
        </w:rPr>
        <w:t>（2）已标价工程量清单中没有适用、但有类似于变更工程项目的，可在合理范围内参照类似项目的单价；</w:t>
      </w:r>
    </w:p>
    <w:p>
      <w:pPr>
        <w:spacing w:line="360" w:lineRule="auto"/>
        <w:rPr>
          <w:rFonts w:ascii="宋体" w:hAnsi="宋体" w:cs="宋体"/>
          <w:color w:val="auto"/>
          <w:sz w:val="24"/>
          <w:highlight w:val="none"/>
          <w:u w:val="single"/>
          <w:lang w:eastAsia="zh-CN"/>
        </w:rPr>
      </w:pPr>
      <w:r>
        <w:rPr>
          <w:rFonts w:ascii="宋体" w:hAnsi="宋体" w:cs="宋体"/>
          <w:color w:val="auto"/>
          <w:sz w:val="24"/>
          <w:highlight w:val="none"/>
          <w:u w:val="single"/>
          <w:lang w:eastAsia="zh-CN"/>
        </w:rPr>
        <w:t>（3）已标价工程量清单中没有适用也没有类似于变更工程项目的，由承包人根据变更工程资料、计量规则和计价办法、工程造价管理机构发布的信息价格和承包人报价浮动率提出变更工程项目的单价，报发包人确认后调整。承包人报价浮动率可按下列公式计算：</w:t>
      </w:r>
    </w:p>
    <w:p>
      <w:pPr>
        <w:spacing w:line="360" w:lineRule="auto"/>
        <w:rPr>
          <w:rFonts w:ascii="宋体" w:hAnsi="宋体" w:cs="宋体"/>
          <w:color w:val="auto"/>
          <w:sz w:val="24"/>
          <w:highlight w:val="none"/>
          <w:u w:val="single"/>
          <w:lang w:eastAsia="zh-CN"/>
        </w:rPr>
      </w:pPr>
      <w:r>
        <w:rPr>
          <w:rFonts w:ascii="宋体" w:hAnsi="宋体" w:cs="宋体"/>
          <w:color w:val="auto"/>
          <w:sz w:val="24"/>
          <w:highlight w:val="none"/>
          <w:u w:val="single"/>
          <w:lang w:eastAsia="zh-CN"/>
        </w:rPr>
        <w:t>招标工程：承包人报价浮动率 L=（1—中标价/最高限价）×100%；</w:t>
      </w:r>
    </w:p>
    <w:p>
      <w:pPr>
        <w:spacing w:line="360" w:lineRule="auto"/>
        <w:rPr>
          <w:rFonts w:ascii="宋体" w:hAnsi="宋体" w:cs="宋体"/>
          <w:color w:val="auto"/>
          <w:sz w:val="24"/>
          <w:highlight w:val="none"/>
          <w:u w:val="single"/>
          <w:lang w:eastAsia="zh-CN"/>
        </w:rPr>
      </w:pPr>
      <w:r>
        <w:rPr>
          <w:rFonts w:ascii="宋体" w:hAnsi="宋体" w:cs="宋体"/>
          <w:color w:val="auto"/>
          <w:sz w:val="24"/>
          <w:highlight w:val="none"/>
          <w:u w:val="single"/>
          <w:lang w:eastAsia="zh-CN"/>
        </w:rPr>
        <w:t>4.由于自然及社会因素造成的不可抗力原因而影响施工的，调整工期，不调整合同价款。</w:t>
      </w:r>
    </w:p>
    <w:p>
      <w:pPr>
        <w:pStyle w:val="27"/>
        <w:spacing w:line="500" w:lineRule="exact"/>
        <w:ind w:left="0" w:right="0" w:firstLine="475" w:firstLineChars="198"/>
        <w:rPr>
          <w:rFonts w:ascii="宋体" w:hAnsi="宋体"/>
          <w:color w:val="auto"/>
          <w:highlight w:val="none"/>
          <w:lang w:eastAsia="zh-CN"/>
        </w:rPr>
      </w:pPr>
      <w:r>
        <w:rPr>
          <w:rFonts w:hint="eastAsia" w:ascii="宋体" w:hAnsi="宋体"/>
          <w:color w:val="auto"/>
          <w:highlight w:val="none"/>
          <w:lang w:eastAsia="zh-CN"/>
        </w:rPr>
        <w:t>1</w:t>
      </w:r>
      <w:bookmarkStart w:id="347" w:name="_Toc297048383"/>
      <w:bookmarkEnd w:id="347"/>
      <w:bookmarkStart w:id="348" w:name="_Toc297120497"/>
      <w:bookmarkEnd w:id="348"/>
      <w:bookmarkStart w:id="349" w:name="_Toc296891025"/>
      <w:bookmarkEnd w:id="349"/>
      <w:bookmarkStart w:id="350" w:name="_Toc300934993"/>
      <w:bookmarkEnd w:id="350"/>
      <w:bookmarkStart w:id="351" w:name="_Toc312677503"/>
      <w:bookmarkEnd w:id="351"/>
      <w:bookmarkStart w:id="352" w:name="_Toc296944536"/>
      <w:bookmarkEnd w:id="352"/>
      <w:bookmarkStart w:id="353" w:name="_Toc292559907"/>
      <w:bookmarkEnd w:id="353"/>
      <w:bookmarkStart w:id="354" w:name="_Toc297216203"/>
      <w:bookmarkEnd w:id="354"/>
      <w:bookmarkStart w:id="355" w:name="_Toc304295570"/>
      <w:bookmarkEnd w:id="355"/>
      <w:bookmarkStart w:id="356" w:name="_Toc296347196"/>
      <w:bookmarkEnd w:id="356"/>
      <w:bookmarkStart w:id="357" w:name="_Toc303539150"/>
      <w:bookmarkEnd w:id="357"/>
      <w:bookmarkStart w:id="358" w:name="_Toc296503197"/>
      <w:bookmarkEnd w:id="358"/>
      <w:bookmarkStart w:id="359" w:name="_Toc296346698"/>
      <w:bookmarkEnd w:id="359"/>
      <w:bookmarkStart w:id="360" w:name="_Toc312678029"/>
      <w:bookmarkEnd w:id="360"/>
      <w:bookmarkStart w:id="361" w:name="_Toc297123544"/>
      <w:bookmarkEnd w:id="361"/>
      <w:bookmarkStart w:id="362" w:name="_Toc292559402"/>
      <w:bookmarkEnd w:id="362"/>
      <w:bookmarkStart w:id="363" w:name="_Toc296891237"/>
      <w:bookmarkEnd w:id="363"/>
      <w:r>
        <w:rPr>
          <w:rFonts w:hint="eastAsia" w:ascii="宋体" w:hAnsi="宋体"/>
          <w:color w:val="auto"/>
          <w:highlight w:val="none"/>
          <w:lang w:eastAsia="zh-CN"/>
        </w:rPr>
        <w:t>0.5承</w:t>
      </w:r>
      <w:bookmarkStart w:id="364" w:name="_Toc297048389"/>
      <w:bookmarkEnd w:id="364"/>
      <w:bookmarkStart w:id="365" w:name="_Toc296944542"/>
      <w:bookmarkEnd w:id="365"/>
      <w:bookmarkStart w:id="366" w:name="_Toc296891031"/>
      <w:bookmarkEnd w:id="366"/>
      <w:bookmarkStart w:id="367" w:name="_Toc297123545"/>
      <w:bookmarkEnd w:id="367"/>
      <w:bookmarkStart w:id="368" w:name="_Toc297120503"/>
      <w:bookmarkEnd w:id="368"/>
      <w:bookmarkStart w:id="369" w:name="_Toc296891243"/>
      <w:bookmarkEnd w:id="369"/>
      <w:bookmarkStart w:id="370" w:name="_Toc292559913"/>
      <w:bookmarkEnd w:id="370"/>
      <w:bookmarkStart w:id="371" w:name="_Toc303539151"/>
      <w:bookmarkEnd w:id="371"/>
      <w:bookmarkStart w:id="372" w:name="_Toc296503203"/>
      <w:bookmarkEnd w:id="372"/>
      <w:bookmarkStart w:id="373" w:name="_Toc300934994"/>
      <w:bookmarkEnd w:id="373"/>
      <w:bookmarkStart w:id="374" w:name="_Toc296347202"/>
      <w:bookmarkEnd w:id="374"/>
      <w:bookmarkStart w:id="375" w:name="_Toc297216204"/>
      <w:bookmarkEnd w:id="375"/>
      <w:bookmarkStart w:id="376" w:name="_Toc296346704"/>
      <w:bookmarkEnd w:id="376"/>
      <w:bookmarkStart w:id="377" w:name="_Toc292559408"/>
      <w:bookmarkEnd w:id="377"/>
      <w:r>
        <w:rPr>
          <w:rFonts w:hint="eastAsia" w:ascii="宋体" w:hAnsi="宋体"/>
          <w:color w:val="auto"/>
          <w:highlight w:val="none"/>
          <w:lang w:eastAsia="zh-CN"/>
        </w:rPr>
        <w:t>包人的合理化建议</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监理人审查承包人合理化建议的期限：</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发包人审批承包人合理化建议的期限：</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w:t>
      </w:r>
      <w:bookmarkStart w:id="378" w:name="_Toc292559409"/>
      <w:bookmarkEnd w:id="378"/>
      <w:bookmarkStart w:id="379" w:name="_Toc296891032"/>
      <w:bookmarkEnd w:id="379"/>
      <w:bookmarkStart w:id="380" w:name="_Toc297048390"/>
      <w:bookmarkEnd w:id="380"/>
      <w:bookmarkStart w:id="381" w:name="_Toc296944543"/>
      <w:bookmarkEnd w:id="381"/>
      <w:bookmarkStart w:id="382" w:name="_Toc297120504"/>
      <w:bookmarkEnd w:id="382"/>
      <w:bookmarkStart w:id="383" w:name="_Toc296347203"/>
      <w:bookmarkEnd w:id="383"/>
      <w:bookmarkStart w:id="384" w:name="_Toc318581175"/>
      <w:bookmarkEnd w:id="384"/>
      <w:bookmarkStart w:id="385" w:name="_Toc296891244"/>
      <w:bookmarkEnd w:id="385"/>
      <w:bookmarkStart w:id="386" w:name="_Toc312678030"/>
      <w:bookmarkEnd w:id="386"/>
      <w:bookmarkStart w:id="387" w:name="_Toc312677504"/>
      <w:bookmarkEnd w:id="387"/>
      <w:bookmarkStart w:id="388" w:name="_Toc297216205"/>
      <w:bookmarkEnd w:id="388"/>
      <w:bookmarkStart w:id="389" w:name="_Toc297123546"/>
      <w:bookmarkEnd w:id="389"/>
      <w:bookmarkStart w:id="390" w:name="_Toc304295571"/>
      <w:bookmarkEnd w:id="390"/>
      <w:bookmarkStart w:id="391" w:name="_Toc296346705"/>
      <w:bookmarkEnd w:id="391"/>
      <w:bookmarkStart w:id="392" w:name="_Toc296503204"/>
      <w:bookmarkEnd w:id="392"/>
      <w:bookmarkStart w:id="393" w:name="_Toc303539152"/>
      <w:bookmarkEnd w:id="393"/>
      <w:bookmarkStart w:id="394" w:name="_Toc292559914"/>
      <w:bookmarkEnd w:id="394"/>
      <w:bookmarkStart w:id="395" w:name="_Toc300934995"/>
      <w:r>
        <w:rPr>
          <w:rFonts w:hint="eastAsia" w:ascii="宋体" w:hAnsi="宋体"/>
          <w:color w:val="auto"/>
          <w:sz w:val="24"/>
          <w:szCs w:val="24"/>
          <w:highlight w:val="none"/>
          <w:lang w:eastAsia="zh-CN"/>
        </w:rPr>
        <w:t>包人提出的合理化建议降低了合同价格或者提高了工程经济效益的奖励的方法和金额为</w:t>
      </w:r>
      <w:bookmarkEnd w:id="395"/>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bookmarkStart w:id="396" w:name="_Toc296891027"/>
      <w:bookmarkEnd w:id="396"/>
      <w:bookmarkStart w:id="397" w:name="_Toc312677507"/>
      <w:bookmarkEnd w:id="397"/>
      <w:bookmarkStart w:id="398" w:name="_Toc292559909"/>
      <w:bookmarkEnd w:id="398"/>
      <w:bookmarkStart w:id="399" w:name="_Toc292559404"/>
      <w:bookmarkEnd w:id="399"/>
      <w:bookmarkStart w:id="400" w:name="_Toc296503199"/>
      <w:bookmarkEnd w:id="400"/>
      <w:bookmarkStart w:id="401" w:name="_Toc304295574"/>
      <w:bookmarkEnd w:id="401"/>
      <w:bookmarkStart w:id="402" w:name="_Toc296346700"/>
      <w:bookmarkEnd w:id="402"/>
      <w:bookmarkStart w:id="403" w:name="_Toc297048385"/>
      <w:bookmarkEnd w:id="403"/>
      <w:bookmarkStart w:id="404" w:name="_Toc296944538"/>
      <w:bookmarkEnd w:id="404"/>
      <w:bookmarkStart w:id="405" w:name="_Toc297123548"/>
      <w:bookmarkEnd w:id="405"/>
      <w:bookmarkStart w:id="406" w:name="_Toc303539154"/>
      <w:bookmarkEnd w:id="406"/>
      <w:bookmarkStart w:id="407" w:name="_Toc297216207"/>
      <w:bookmarkEnd w:id="407"/>
      <w:bookmarkStart w:id="408" w:name="_Toc300934997"/>
      <w:bookmarkEnd w:id="408"/>
      <w:bookmarkStart w:id="409" w:name="_Toc296347198"/>
      <w:bookmarkEnd w:id="409"/>
      <w:bookmarkStart w:id="410" w:name="_Toc297120499"/>
      <w:bookmarkEnd w:id="410"/>
      <w:bookmarkStart w:id="411" w:name="_Toc296891239"/>
      <w:bookmarkEnd w:id="411"/>
      <w:bookmarkStart w:id="412" w:name="_Toc312678033"/>
      <w:r>
        <w:rPr>
          <w:rFonts w:hint="eastAsia" w:ascii="宋体" w:hAnsi="宋体"/>
          <w:color w:val="auto"/>
          <w:sz w:val="24"/>
          <w:szCs w:val="24"/>
          <w:highlight w:val="none"/>
          <w:lang w:eastAsia="zh-CN"/>
        </w:rPr>
        <w:t>0.7 暂估价</w:t>
      </w:r>
      <w:bookmarkEnd w:id="412"/>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暂</w:t>
      </w:r>
      <w:bookmarkStart w:id="413" w:name="_Toc312678034"/>
      <w:bookmarkEnd w:id="413"/>
      <w:bookmarkStart w:id="414" w:name="_Toc318581176"/>
      <w:bookmarkEnd w:id="414"/>
      <w:bookmarkStart w:id="415" w:name="_Toc312677508"/>
      <w:r>
        <w:rPr>
          <w:rFonts w:hint="eastAsia" w:ascii="宋体" w:hAnsi="宋体"/>
          <w:color w:val="auto"/>
          <w:sz w:val="24"/>
          <w:szCs w:val="24"/>
          <w:highlight w:val="none"/>
          <w:lang w:eastAsia="zh-CN"/>
        </w:rPr>
        <w:t>估价材料和工程设备的明细详见附件11：《</w:t>
      </w:r>
      <w:bookmarkEnd w:id="415"/>
      <w:r>
        <w:rPr>
          <w:rFonts w:hint="eastAsia" w:ascii="宋体" w:hAnsi="宋体"/>
          <w:color w:val="auto"/>
          <w:sz w:val="24"/>
          <w:szCs w:val="24"/>
          <w:highlight w:val="none"/>
          <w:lang w:eastAsia="zh-CN"/>
        </w:rPr>
        <w:t>暂估价一览表》。</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w:t>
      </w:r>
      <w:bookmarkStart w:id="416" w:name="_Toc312677509"/>
      <w:bookmarkEnd w:id="416"/>
      <w:bookmarkStart w:id="417" w:name="_Toc318581177"/>
      <w:bookmarkEnd w:id="417"/>
      <w:bookmarkStart w:id="418" w:name="_Toc312678035"/>
      <w:r>
        <w:rPr>
          <w:rFonts w:hint="eastAsia" w:ascii="宋体" w:hAnsi="宋体"/>
          <w:color w:val="auto"/>
          <w:sz w:val="24"/>
          <w:szCs w:val="24"/>
          <w:highlight w:val="none"/>
          <w:lang w:eastAsia="zh-CN"/>
        </w:rPr>
        <w:t>0.7.1 依法必须招标的暂估价项目</w:t>
      </w:r>
      <w:bookmarkEnd w:id="418"/>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对于依法必须招标的暂估价项目的确认和批准采取第</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种方式确定。</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10.7.2 不属于依法必须招标的暂估价项目</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对于不属于依法必须招标的暂估价项目的确认和批准采取第</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种方式确定。</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第3种方式：承包人直接实施的暂估价项目</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承包人直接实施的暂估价项目的约定：</w:t>
      </w:r>
      <w:r>
        <w:rPr>
          <w:rFonts w:hint="eastAsia" w:ascii="宋体" w:hAnsi="宋体"/>
          <w:color w:val="auto"/>
          <w:sz w:val="24"/>
          <w:szCs w:val="24"/>
          <w:highlight w:val="none"/>
          <w:u w:val="single"/>
          <w:lang w:eastAsia="zh-CN"/>
        </w:rPr>
        <w:t xml:space="preserve">    参照变更估价原则据实结算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10.8 暂列金额</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合同当事人关于暂列金额使用的约定：</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419" w:name="_Toc351203643"/>
      <w:bookmarkEnd w:id="419"/>
      <w:r>
        <w:rPr>
          <w:rFonts w:hint="eastAsia" w:ascii="宋体" w:hAnsi="宋体"/>
          <w:color w:val="auto"/>
          <w:sz w:val="24"/>
          <w:szCs w:val="24"/>
          <w:highlight w:val="none"/>
          <w:lang w:eastAsia="zh-CN"/>
        </w:rPr>
        <w:t>11. 价格调整</w:t>
      </w:r>
    </w:p>
    <w:p>
      <w:pPr>
        <w:spacing w:line="500" w:lineRule="exact"/>
        <w:ind w:firstLine="480" w:firstLineChars="200"/>
        <w:rPr>
          <w:rFonts w:ascii="宋体" w:hAnsi="宋体"/>
          <w:color w:val="auto"/>
          <w:sz w:val="24"/>
          <w:szCs w:val="24"/>
          <w:highlight w:val="none"/>
          <w:lang w:eastAsia="zh-CN"/>
        </w:rPr>
      </w:pPr>
      <w:bookmarkStart w:id="420" w:name="_Toc296891241"/>
      <w:bookmarkEnd w:id="420"/>
      <w:bookmarkStart w:id="421" w:name="_Toc297123550"/>
      <w:bookmarkEnd w:id="421"/>
      <w:bookmarkStart w:id="422" w:name="_Toc296346702"/>
      <w:bookmarkEnd w:id="422"/>
      <w:bookmarkStart w:id="423" w:name="_Toc292559911"/>
      <w:bookmarkEnd w:id="423"/>
      <w:bookmarkStart w:id="424" w:name="_Toc296944540"/>
      <w:bookmarkEnd w:id="424"/>
      <w:bookmarkStart w:id="425" w:name="_Toc296891029"/>
      <w:bookmarkEnd w:id="425"/>
      <w:bookmarkStart w:id="426" w:name="_Toc297048387"/>
      <w:bookmarkEnd w:id="426"/>
      <w:bookmarkStart w:id="427" w:name="_Toc297216209"/>
      <w:bookmarkEnd w:id="427"/>
      <w:bookmarkStart w:id="428" w:name="_Toc296347200"/>
      <w:bookmarkEnd w:id="428"/>
      <w:bookmarkStart w:id="429" w:name="_Toc300935000"/>
      <w:bookmarkEnd w:id="429"/>
      <w:bookmarkStart w:id="430" w:name="_Toc304295577"/>
      <w:bookmarkEnd w:id="430"/>
      <w:bookmarkStart w:id="431" w:name="_Toc312678039"/>
      <w:bookmarkEnd w:id="431"/>
      <w:bookmarkStart w:id="432" w:name="_Toc292559406"/>
      <w:bookmarkEnd w:id="432"/>
      <w:bookmarkStart w:id="433" w:name="_Toc297120501"/>
      <w:bookmarkEnd w:id="433"/>
      <w:bookmarkStart w:id="434" w:name="_Toc296503201"/>
      <w:bookmarkEnd w:id="434"/>
      <w:bookmarkStart w:id="435" w:name="_Toc303539157"/>
      <w:r>
        <w:rPr>
          <w:rFonts w:hint="eastAsia" w:ascii="宋体" w:hAnsi="宋体"/>
          <w:color w:val="auto"/>
          <w:sz w:val="24"/>
          <w:szCs w:val="24"/>
          <w:highlight w:val="none"/>
          <w:lang w:eastAsia="zh-CN"/>
        </w:rPr>
        <w:t>11.1 市场价格波动引起的调整</w:t>
      </w:r>
      <w:bookmarkEnd w:id="435"/>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市场价格波动是否调整合同价格的约定：</w:t>
      </w:r>
      <w:r>
        <w:rPr>
          <w:rFonts w:hint="eastAsia" w:ascii="宋体" w:hAnsi="宋体"/>
          <w:color w:val="auto"/>
          <w:sz w:val="24"/>
          <w:szCs w:val="24"/>
          <w:highlight w:val="none"/>
          <w:u w:val="single"/>
          <w:lang w:eastAsia="zh-CN"/>
        </w:rPr>
        <w:t xml:space="preserve">是，据实调整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人工费按照河南省人工费指导价据实调整。</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因市场价格波动调整合同价格，采用以下第</w:t>
      </w:r>
      <w:r>
        <w:rPr>
          <w:rFonts w:hint="eastAsia" w:ascii="宋体" w:hAnsi="宋体"/>
          <w:color w:val="auto"/>
          <w:sz w:val="24"/>
          <w:szCs w:val="24"/>
          <w:highlight w:val="none"/>
          <w:u w:val="single"/>
          <w:lang w:eastAsia="zh-CN"/>
        </w:rPr>
        <w:t xml:space="preserve">  2   </w:t>
      </w:r>
      <w:r>
        <w:rPr>
          <w:rFonts w:hint="eastAsia" w:ascii="宋体" w:hAnsi="宋体"/>
          <w:color w:val="auto"/>
          <w:sz w:val="24"/>
          <w:szCs w:val="24"/>
          <w:highlight w:val="none"/>
          <w:lang w:eastAsia="zh-CN"/>
        </w:rPr>
        <w:t>种方式对合同价格进行调整：</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第1种方式：采用价格指数进行价格调整。</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关于各可调因子、定值和变值权重，以及基本价格指数及其来源的约定：</w:t>
      </w:r>
      <w:r>
        <w:rPr>
          <w:color w:val="auto"/>
          <w:highlight w:val="none"/>
          <w:u w:val="single"/>
          <w:lang w:eastAsia="zh-CN"/>
        </w:rPr>
        <w:t xml:space="preserve">  </w:t>
      </w:r>
      <w:r>
        <w:rPr>
          <w:rFonts w:hint="eastAsia" w:ascii="宋体" w:hAnsi="宋体"/>
          <w:color w:val="auto"/>
          <w:sz w:val="24"/>
          <w:szCs w:val="24"/>
          <w:highlight w:val="none"/>
          <w:u w:val="single"/>
          <w:lang w:eastAsia="zh-CN"/>
        </w:rPr>
        <w:t>/</w:t>
      </w:r>
      <w:r>
        <w:rPr>
          <w:color w:val="auto"/>
          <w:highlight w:val="none"/>
          <w:u w:val="single"/>
          <w:lang w:eastAsia="zh-CN"/>
        </w:rPr>
        <w:t xml:space="preserve">   </w:t>
      </w:r>
      <w:r>
        <w:rPr>
          <w:rFonts w:hint="eastAsia" w:ascii="宋体" w:hAnsi="宋体"/>
          <w:color w:val="auto"/>
          <w:highlight w:val="none"/>
          <w:u w:val="singl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第2种方式：采用造价信息进行价格调整。</w:t>
      </w:r>
    </w:p>
    <w:p>
      <w:pPr>
        <w:spacing w:line="500" w:lineRule="exact"/>
        <w:rPr>
          <w:rFonts w:ascii="宋体" w:hAnsi="宋体"/>
          <w:color w:val="auto"/>
          <w:sz w:val="24"/>
          <w:szCs w:val="24"/>
          <w:highlight w:val="none"/>
          <w:lang w:eastAsia="zh-CN"/>
        </w:rPr>
      </w:pPr>
      <w:r>
        <w:rPr>
          <w:rFonts w:hint="eastAsia" w:ascii="宋体" w:hAnsi="宋体"/>
          <w:color w:val="auto"/>
          <w:sz w:val="24"/>
          <w:szCs w:val="24"/>
          <w:highlight w:val="none"/>
          <w:lang w:eastAsia="zh-CN"/>
        </w:rPr>
        <w:t>（2）关于基准价格的约定：</w:t>
      </w:r>
      <w:r>
        <w:rPr>
          <w:rFonts w:hint="eastAsia" w:ascii="宋体" w:hAnsi="宋体"/>
          <w:color w:val="auto"/>
          <w:sz w:val="24"/>
          <w:szCs w:val="24"/>
          <w:highlight w:val="none"/>
          <w:u w:val="single"/>
          <w:lang w:eastAsia="zh-CN"/>
        </w:rPr>
        <w:t>以招标控制价为基准，调整依据为：控制价中材料价格和施工期间平均信息价差价（信息价：指长垣市建设工程造价管理协会定期公布的信息价，信息价中没有的价格可参照周边地区信息价或经共同认质认价后确认）</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color w:val="auto"/>
          <w:sz w:val="24"/>
          <w:szCs w:val="24"/>
          <w:highlight w:val="none"/>
          <w:u w:val="single"/>
          <w:lang w:eastAsia="zh-CN"/>
        </w:rPr>
        <w:t xml:space="preserve">5 </w:t>
      </w:r>
      <w:r>
        <w:rPr>
          <w:rFonts w:hint="eastAsia" w:ascii="宋体" w:hAnsi="宋体"/>
          <w:color w:val="auto"/>
          <w:sz w:val="24"/>
          <w:szCs w:val="24"/>
          <w:highlight w:val="none"/>
          <w:lang w:eastAsia="zh-CN"/>
        </w:rPr>
        <w:t>%时，或材料单价跌幅以已标价工程量清单或预算书中载明材料单价为基础超过</w:t>
      </w:r>
      <w:r>
        <w:rPr>
          <w:rFonts w:hint="eastAsia" w:ascii="宋体" w:hAnsi="宋体"/>
          <w:color w:val="auto"/>
          <w:sz w:val="24"/>
          <w:szCs w:val="24"/>
          <w:highlight w:val="none"/>
          <w:u w:val="single"/>
          <w:lang w:eastAsia="zh-CN"/>
        </w:rPr>
        <w:t xml:space="preserve">5 </w:t>
      </w:r>
      <w:r>
        <w:rPr>
          <w:rFonts w:hint="eastAsia" w:ascii="宋体" w:hAnsi="宋体"/>
          <w:color w:val="auto"/>
          <w:sz w:val="24"/>
          <w:szCs w:val="24"/>
          <w:highlight w:val="none"/>
          <w:lang w:eastAsia="zh-CN"/>
        </w:rPr>
        <w:t>%时，其超过部分据实调整。</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②承包人在已标价工程量清单或预算书中载明的材料单价高于基准价格的：专用合同条款合同履行期间材料单价跌幅以基准价格为基础超过</w:t>
      </w:r>
      <w:r>
        <w:rPr>
          <w:rFonts w:hint="eastAsia" w:ascii="宋体" w:hAnsi="宋体"/>
          <w:color w:val="auto"/>
          <w:sz w:val="24"/>
          <w:szCs w:val="24"/>
          <w:highlight w:val="none"/>
          <w:u w:val="single"/>
          <w:lang w:eastAsia="zh-CN"/>
        </w:rPr>
        <w:t xml:space="preserve">5 </w:t>
      </w:r>
      <w:r>
        <w:rPr>
          <w:rFonts w:hint="eastAsia" w:ascii="宋体" w:hAnsi="宋体"/>
          <w:color w:val="auto"/>
          <w:sz w:val="24"/>
          <w:szCs w:val="24"/>
          <w:highlight w:val="none"/>
          <w:lang w:eastAsia="zh-CN"/>
        </w:rPr>
        <w:t>%时，材料单价涨幅以已标价工程量清单或预算书中载明材料单价为基础超过</w:t>
      </w:r>
      <w:r>
        <w:rPr>
          <w:rFonts w:hint="eastAsia" w:ascii="宋体" w:hAnsi="宋体"/>
          <w:color w:val="auto"/>
          <w:sz w:val="24"/>
          <w:szCs w:val="24"/>
          <w:highlight w:val="none"/>
          <w:u w:val="single"/>
          <w:lang w:eastAsia="zh-CN"/>
        </w:rPr>
        <w:t xml:space="preserve">5 </w:t>
      </w:r>
      <w:r>
        <w:rPr>
          <w:rFonts w:hint="eastAsia" w:ascii="宋体" w:hAnsi="宋体"/>
          <w:color w:val="auto"/>
          <w:sz w:val="24"/>
          <w:szCs w:val="24"/>
          <w:highlight w:val="none"/>
          <w:lang w:eastAsia="zh-CN"/>
        </w:rPr>
        <w:t>%时，其超过部分据实调整。</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③承包人在已标价工程量清单或预算书中载明的材料单价等于基准单价的：专用合同条款合同履行期间材料单价涨跌幅以基准单价为基础超过±</w:t>
      </w:r>
      <w:r>
        <w:rPr>
          <w:rFonts w:hint="eastAsia" w:ascii="宋体" w:hAnsi="宋体"/>
          <w:color w:val="auto"/>
          <w:sz w:val="24"/>
          <w:szCs w:val="24"/>
          <w:highlight w:val="none"/>
          <w:u w:val="single"/>
          <w:lang w:eastAsia="zh-CN"/>
        </w:rPr>
        <w:t xml:space="preserve">5 </w:t>
      </w:r>
      <w:r>
        <w:rPr>
          <w:rFonts w:hint="eastAsia" w:ascii="宋体" w:hAnsi="宋体"/>
          <w:color w:val="auto"/>
          <w:sz w:val="24"/>
          <w:szCs w:val="24"/>
          <w:highlight w:val="none"/>
          <w:lang w:eastAsia="zh-CN"/>
        </w:rPr>
        <w:t>%时，其超过部分据实调整。</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第3种方式：其他价格调整方式：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436" w:name="_Toc297216211"/>
      <w:bookmarkEnd w:id="436"/>
      <w:bookmarkStart w:id="437" w:name="_Toc296944544"/>
      <w:bookmarkEnd w:id="437"/>
      <w:bookmarkStart w:id="438" w:name="_Toc292559915"/>
      <w:bookmarkEnd w:id="438"/>
      <w:bookmarkStart w:id="439" w:name="_Toc297048391"/>
      <w:bookmarkEnd w:id="439"/>
      <w:bookmarkStart w:id="440" w:name="_Toc351203644"/>
      <w:bookmarkEnd w:id="440"/>
      <w:bookmarkStart w:id="441" w:name="_Toc303539159"/>
      <w:bookmarkEnd w:id="441"/>
      <w:bookmarkStart w:id="442" w:name="_Toc304295579"/>
      <w:bookmarkEnd w:id="442"/>
      <w:bookmarkStart w:id="443" w:name="_Toc297120505"/>
      <w:bookmarkEnd w:id="443"/>
      <w:bookmarkStart w:id="444" w:name="_Toc312678040"/>
      <w:bookmarkEnd w:id="444"/>
      <w:bookmarkStart w:id="445" w:name="_Toc292559410"/>
      <w:bookmarkEnd w:id="445"/>
      <w:bookmarkStart w:id="446" w:name="_Toc297123552"/>
      <w:bookmarkEnd w:id="446"/>
      <w:bookmarkStart w:id="447" w:name="_Toc300935002"/>
      <w:bookmarkEnd w:id="447"/>
      <w:bookmarkStart w:id="448" w:name="_Toc296503205"/>
      <w:bookmarkEnd w:id="448"/>
      <w:bookmarkStart w:id="449" w:name="_Toc296891245"/>
      <w:bookmarkEnd w:id="449"/>
      <w:bookmarkStart w:id="450" w:name="_Toc296347204"/>
      <w:bookmarkEnd w:id="450"/>
      <w:bookmarkStart w:id="451" w:name="_Toc296891033"/>
      <w:bookmarkEnd w:id="451"/>
      <w:bookmarkStart w:id="452" w:name="_Toc296346706"/>
      <w:r>
        <w:rPr>
          <w:rFonts w:hint="eastAsia" w:ascii="宋体" w:hAnsi="宋体"/>
          <w:color w:val="auto"/>
          <w:sz w:val="24"/>
          <w:szCs w:val="24"/>
          <w:highlight w:val="none"/>
          <w:lang w:eastAsia="zh-CN"/>
        </w:rPr>
        <w:t xml:space="preserve">12. </w:t>
      </w:r>
      <w:bookmarkEnd w:id="452"/>
      <w:r>
        <w:rPr>
          <w:rFonts w:hint="eastAsia" w:ascii="宋体" w:hAnsi="宋体"/>
          <w:color w:val="auto"/>
          <w:sz w:val="24"/>
          <w:szCs w:val="24"/>
          <w:highlight w:val="none"/>
          <w:lang w:eastAsia="zh-CN"/>
        </w:rPr>
        <w:t>合同价格、计量与支付</w:t>
      </w:r>
    </w:p>
    <w:p>
      <w:pPr>
        <w:spacing w:line="500" w:lineRule="exact"/>
        <w:ind w:firstLine="480" w:firstLineChars="200"/>
        <w:rPr>
          <w:rFonts w:ascii="宋体" w:hAnsi="宋体"/>
          <w:color w:val="auto"/>
          <w:sz w:val="24"/>
          <w:szCs w:val="24"/>
          <w:highlight w:val="none"/>
          <w:lang w:eastAsia="zh-CN"/>
        </w:rPr>
      </w:pPr>
      <w:bookmarkStart w:id="453" w:name="_Toc296891034"/>
      <w:bookmarkEnd w:id="453"/>
      <w:bookmarkStart w:id="454" w:name="_Toc312678041"/>
      <w:bookmarkEnd w:id="454"/>
      <w:bookmarkStart w:id="455" w:name="_Toc297120506"/>
      <w:bookmarkEnd w:id="455"/>
      <w:bookmarkStart w:id="456" w:name="_Toc297048392"/>
      <w:bookmarkEnd w:id="456"/>
      <w:bookmarkStart w:id="457" w:name="_Toc296346707"/>
      <w:bookmarkEnd w:id="457"/>
      <w:bookmarkStart w:id="458" w:name="_Toc297123553"/>
      <w:bookmarkEnd w:id="458"/>
      <w:bookmarkStart w:id="459" w:name="_Toc296503206"/>
      <w:bookmarkEnd w:id="459"/>
      <w:bookmarkStart w:id="460" w:name="_Toc296347205"/>
      <w:bookmarkEnd w:id="460"/>
      <w:bookmarkStart w:id="461" w:name="_Toc303539160"/>
      <w:bookmarkEnd w:id="461"/>
      <w:bookmarkStart w:id="462" w:name="_Toc292559411"/>
      <w:bookmarkEnd w:id="462"/>
      <w:bookmarkStart w:id="463" w:name="_Toc297216212"/>
      <w:bookmarkEnd w:id="463"/>
      <w:bookmarkStart w:id="464" w:name="_Toc296944545"/>
      <w:bookmarkEnd w:id="464"/>
      <w:bookmarkStart w:id="465" w:name="_Toc296891246"/>
      <w:bookmarkEnd w:id="465"/>
      <w:bookmarkStart w:id="466" w:name="_Toc300935003"/>
      <w:bookmarkEnd w:id="466"/>
      <w:bookmarkStart w:id="467" w:name="_Toc267251461"/>
      <w:bookmarkEnd w:id="467"/>
      <w:bookmarkStart w:id="468" w:name="_Toc304295580"/>
      <w:bookmarkEnd w:id="468"/>
      <w:bookmarkStart w:id="469" w:name="_Toc292559916"/>
      <w:r>
        <w:rPr>
          <w:rFonts w:hint="eastAsia" w:ascii="宋体" w:hAnsi="宋体"/>
          <w:color w:val="auto"/>
          <w:sz w:val="24"/>
          <w:szCs w:val="24"/>
          <w:highlight w:val="none"/>
          <w:lang w:eastAsia="zh-CN"/>
        </w:rPr>
        <w:t>12.1 合</w:t>
      </w:r>
      <w:bookmarkEnd w:id="469"/>
      <w:r>
        <w:rPr>
          <w:rFonts w:hint="eastAsia" w:ascii="宋体" w:hAnsi="宋体"/>
          <w:color w:val="auto"/>
          <w:sz w:val="24"/>
          <w:szCs w:val="24"/>
          <w:highlight w:val="none"/>
          <w:lang w:eastAsia="zh-CN"/>
        </w:rPr>
        <w:t>同价格形式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1、单价合同。</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综合单价包含的风险范围：</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风险费用的计算方法：</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风险范围以外合同价格的调整方法：</w:t>
      </w:r>
      <w:r>
        <w:rPr>
          <w:rFonts w:hint="eastAsia" w:ascii="宋体" w:hAnsi="宋体"/>
          <w:color w:val="auto"/>
          <w:sz w:val="24"/>
          <w:szCs w:val="24"/>
          <w:highlight w:val="none"/>
          <w:u w:val="single"/>
          <w:lang w:eastAsia="zh-CN"/>
        </w:rPr>
        <w:t xml:space="preserve"> 1</w:t>
      </w:r>
      <w:r>
        <w:rPr>
          <w:rFonts w:hint="eastAsia" w:ascii="宋体" w:hAnsi="宋体" w:cs="宋体"/>
          <w:color w:val="auto"/>
          <w:sz w:val="24"/>
          <w:highlight w:val="none"/>
          <w:u w:val="single"/>
          <w:lang w:eastAsia="zh-CN"/>
        </w:rPr>
        <w:t>、政策性调整；2、图纸会审纪要；3、发包人认可的设计变更（技术核定）和工程签证；4、发包方清单漏项、错项及实际工程量增减；5、乙方漏项的造价视为已含在其他清单项目中，不再增加</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2、总价合同。</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总价包含的风险范围：</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风险费用的计算方法：</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风险范围以外合同价格的调整方法：</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3、其他价格方式：</w:t>
      </w:r>
      <w:r>
        <w:rPr>
          <w:rFonts w:hint="eastAsia" w:ascii="宋体" w:hAnsi="宋体"/>
          <w:color w:val="auto"/>
          <w:sz w:val="24"/>
          <w:szCs w:val="24"/>
          <w:highlight w:val="none"/>
          <w:u w:val="single"/>
          <w:lang w:eastAsia="zh-CN"/>
        </w:rPr>
        <w:t xml:space="preserve">                  /            。</w:t>
      </w:r>
    </w:p>
    <w:p>
      <w:pPr>
        <w:spacing w:line="500" w:lineRule="exact"/>
        <w:ind w:firstLine="480" w:firstLineChars="200"/>
        <w:rPr>
          <w:rFonts w:ascii="宋体" w:hAnsi="宋体"/>
          <w:color w:val="auto"/>
          <w:sz w:val="24"/>
          <w:szCs w:val="24"/>
          <w:highlight w:val="none"/>
          <w:lang w:eastAsia="zh-CN"/>
        </w:rPr>
      </w:pPr>
      <w:bookmarkStart w:id="470" w:name="_Toc296346708"/>
      <w:bookmarkEnd w:id="470"/>
      <w:bookmarkStart w:id="471" w:name="_Toc304295581"/>
      <w:bookmarkEnd w:id="471"/>
      <w:bookmarkStart w:id="472" w:name="_Toc297120507"/>
      <w:bookmarkEnd w:id="472"/>
      <w:bookmarkStart w:id="473" w:name="_Toc296891035"/>
      <w:bookmarkEnd w:id="473"/>
      <w:bookmarkStart w:id="474" w:name="_Toc296503207"/>
      <w:bookmarkEnd w:id="474"/>
      <w:bookmarkStart w:id="475" w:name="_Toc296891247"/>
      <w:bookmarkEnd w:id="475"/>
      <w:bookmarkStart w:id="476" w:name="_Toc296944546"/>
      <w:bookmarkEnd w:id="476"/>
      <w:bookmarkStart w:id="477" w:name="_Toc312678042"/>
      <w:bookmarkEnd w:id="477"/>
      <w:bookmarkStart w:id="478" w:name="_Toc296347206"/>
      <w:bookmarkEnd w:id="478"/>
      <w:bookmarkStart w:id="479" w:name="_Toc292559917"/>
      <w:bookmarkEnd w:id="479"/>
      <w:bookmarkStart w:id="480" w:name="_Toc297123554"/>
      <w:bookmarkEnd w:id="480"/>
      <w:bookmarkStart w:id="481" w:name="_Toc292559412"/>
      <w:bookmarkEnd w:id="481"/>
      <w:bookmarkStart w:id="482" w:name="_Toc297048393"/>
      <w:bookmarkEnd w:id="482"/>
      <w:bookmarkStart w:id="483" w:name="_Toc297216213"/>
      <w:bookmarkEnd w:id="483"/>
      <w:bookmarkStart w:id="484" w:name="_Toc303539161"/>
      <w:bookmarkEnd w:id="484"/>
      <w:bookmarkStart w:id="485" w:name="_Toc300935004"/>
      <w:r>
        <w:rPr>
          <w:rFonts w:hint="eastAsia" w:ascii="宋体" w:hAnsi="宋体"/>
          <w:color w:val="auto"/>
          <w:sz w:val="24"/>
          <w:szCs w:val="24"/>
          <w:highlight w:val="none"/>
          <w:lang w:eastAsia="zh-CN"/>
        </w:rPr>
        <w:t>12.2 预付款</w:t>
      </w:r>
      <w:bookmarkEnd w:id="485"/>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12.2.1 预付款的支付</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预付款支付比例或金额：</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预付款支付期限：</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预付款扣回的方式：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12.2.2 预付款担保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承包人提交预付款担保的期限：</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预付款担保的形式为：</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 计量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12.3.1 计量原则</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工程量计算规则：</w:t>
      </w:r>
      <w:r>
        <w:rPr>
          <w:rFonts w:hint="eastAsia" w:ascii="宋体" w:hAnsi="宋体" w:cs="宋体"/>
          <w:color w:val="auto"/>
          <w:sz w:val="24"/>
          <w:highlight w:val="none"/>
          <w:u w:val="single"/>
          <w:lang w:eastAsia="zh-CN"/>
        </w:rPr>
        <w:t xml:space="preserve">工程量计算规则应以相关的国家标准、行业标准等为依据,按工程量清单计价规范工程量计算规则、图纸及变更指示等进行计量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12.3.2 计量周期</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关于计量周期的约定：</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12.3.3 单价合同的计量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关于单价合同计量的约定：</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12.3.4 总价合同的计量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关于总价合同计量的约定：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12.3.5总价合同采用支付分解表计量支付的，是否适用第12.3.4 项〔总价合同的计量〕约定进行计量：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12.3.6 其他价格形式合同的计量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其他价格形式的计量方式和程序：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12.4 付款周期</w:t>
      </w:r>
    </w:p>
    <w:p>
      <w:pPr>
        <w:spacing w:line="500" w:lineRule="exact"/>
        <w:ind w:firstLine="482" w:firstLineChars="200"/>
        <w:rPr>
          <w:rFonts w:ascii="宋体" w:hAnsi="宋体"/>
          <w:b/>
          <w:bCs/>
          <w:color w:val="auto"/>
          <w:sz w:val="24"/>
          <w:szCs w:val="24"/>
          <w:highlight w:val="none"/>
          <w:lang w:eastAsia="zh-CN"/>
        </w:rPr>
      </w:pPr>
      <w:bookmarkStart w:id="486" w:name="_Toc296346712"/>
      <w:bookmarkEnd w:id="486"/>
      <w:bookmarkStart w:id="487" w:name="_Toc297120511"/>
      <w:bookmarkEnd w:id="487"/>
      <w:bookmarkStart w:id="488" w:name="_Toc296891251"/>
      <w:bookmarkEnd w:id="488"/>
      <w:bookmarkStart w:id="489" w:name="_Toc296347210"/>
      <w:bookmarkEnd w:id="489"/>
      <w:bookmarkStart w:id="490" w:name="_Toc297123556"/>
      <w:bookmarkEnd w:id="490"/>
      <w:bookmarkStart w:id="491" w:name="_Toc292559416"/>
      <w:bookmarkEnd w:id="491"/>
      <w:bookmarkStart w:id="492" w:name="_Toc300935006"/>
      <w:bookmarkEnd w:id="492"/>
      <w:bookmarkStart w:id="493" w:name="_Toc303539163"/>
      <w:bookmarkEnd w:id="493"/>
      <w:bookmarkStart w:id="494" w:name="_Toc296503211"/>
      <w:bookmarkEnd w:id="494"/>
      <w:bookmarkStart w:id="495" w:name="_Toc292559921"/>
      <w:bookmarkEnd w:id="495"/>
      <w:bookmarkStart w:id="496" w:name="_Toc297048397"/>
      <w:bookmarkEnd w:id="496"/>
      <w:bookmarkStart w:id="497" w:name="_Toc296891039"/>
      <w:bookmarkEnd w:id="497"/>
      <w:bookmarkStart w:id="498" w:name="_Toc296944550"/>
      <w:bookmarkEnd w:id="498"/>
      <w:bookmarkStart w:id="499" w:name="_Toc297216215"/>
      <w:r>
        <w:rPr>
          <w:rFonts w:hint="eastAsia" w:ascii="宋体" w:hAnsi="宋体"/>
          <w:b/>
          <w:bCs/>
          <w:color w:val="auto"/>
          <w:sz w:val="24"/>
          <w:szCs w:val="24"/>
          <w:highlight w:val="none"/>
          <w:lang w:eastAsia="zh-CN"/>
        </w:rPr>
        <w:t>12.4.1 付款周期:</w:t>
      </w:r>
      <w:bookmarkEnd w:id="499"/>
    </w:p>
    <w:p>
      <w:pPr>
        <w:spacing w:line="500" w:lineRule="exact"/>
        <w:ind w:firstLine="480" w:firstLineChars="200"/>
        <w:rPr>
          <w:rFonts w:hint="eastAsia" w:ascii="宋体" w:hAnsi="宋体" w:eastAsia="宋体" w:cs="宋体"/>
          <w:b/>
          <w:bCs/>
          <w:color w:val="FF0000"/>
          <w:sz w:val="24"/>
          <w:szCs w:val="24"/>
          <w:highlight w:val="none"/>
          <w:u w:val="single"/>
          <w:lang w:eastAsia="zh-CN"/>
        </w:rPr>
      </w:pPr>
      <w:r>
        <w:rPr>
          <w:rFonts w:hint="eastAsia" w:ascii="宋体" w:hAnsi="宋体"/>
          <w:color w:val="auto"/>
          <w:sz w:val="24"/>
          <w:szCs w:val="24"/>
          <w:highlight w:val="none"/>
          <w:lang w:eastAsia="zh-CN"/>
        </w:rPr>
        <w:t>关于付款周期的约定：</w:t>
      </w:r>
      <w:r>
        <w:rPr>
          <w:rFonts w:hint="eastAsia" w:ascii="宋体" w:hAnsi="宋体" w:cs="宋体"/>
          <w:b/>
          <w:bCs/>
          <w:color w:val="auto"/>
          <w:sz w:val="24"/>
          <w:szCs w:val="21"/>
          <w:highlight w:val="none"/>
          <w:u w:val="single"/>
        </w:rPr>
        <w:t>竣工验收合格后</w:t>
      </w:r>
      <w:r>
        <w:rPr>
          <w:rFonts w:hint="eastAsia" w:ascii="宋体" w:hAnsi="宋体" w:cs="宋体"/>
          <w:b/>
          <w:bCs/>
          <w:color w:val="auto"/>
          <w:sz w:val="24"/>
          <w:highlight w:val="none"/>
          <w:u w:val="single"/>
        </w:rPr>
        <w:t>付至</w:t>
      </w:r>
      <w:r>
        <w:rPr>
          <w:rFonts w:hint="eastAsia" w:ascii="宋体" w:hAnsi="宋体" w:cs="宋体"/>
          <w:b/>
          <w:bCs/>
          <w:color w:val="auto"/>
          <w:sz w:val="24"/>
          <w:szCs w:val="21"/>
          <w:highlight w:val="none"/>
          <w:u w:val="single"/>
          <w:lang w:eastAsia="zh-CN"/>
        </w:rPr>
        <w:t>合同</w:t>
      </w:r>
      <w:r>
        <w:rPr>
          <w:rFonts w:hint="eastAsia" w:ascii="宋体" w:hAnsi="宋体" w:cs="宋体"/>
          <w:b/>
          <w:bCs/>
          <w:color w:val="auto"/>
          <w:sz w:val="24"/>
          <w:highlight w:val="none"/>
          <w:u w:val="single"/>
        </w:rPr>
        <w:t>金额的97%</w:t>
      </w:r>
      <w:r>
        <w:rPr>
          <w:rFonts w:hint="eastAsia" w:ascii="宋体" w:hAnsi="宋体" w:cs="宋体"/>
          <w:b/>
          <w:bCs/>
          <w:color w:val="auto"/>
          <w:sz w:val="24"/>
          <w:highlight w:val="none"/>
          <w:u w:val="single"/>
          <w:lang w:eastAsia="zh-CN"/>
        </w:rPr>
        <w:t>，</w:t>
      </w:r>
      <w:r>
        <w:rPr>
          <w:rFonts w:hint="eastAsia" w:ascii="宋体" w:hAnsi="宋体" w:eastAsia="宋体" w:cs="宋体"/>
          <w:b/>
          <w:bCs/>
          <w:color w:val="auto"/>
          <w:sz w:val="24"/>
          <w:szCs w:val="24"/>
          <w:highlight w:val="none"/>
          <w:u w:val="single"/>
        </w:rPr>
        <w:t>剩余3%一年</w:t>
      </w:r>
      <w:r>
        <w:rPr>
          <w:rFonts w:hint="eastAsia" w:ascii="宋体" w:hAnsi="宋体" w:eastAsia="宋体" w:cs="宋体"/>
          <w:b/>
          <w:bCs/>
          <w:color w:val="auto"/>
          <w:sz w:val="24"/>
          <w:szCs w:val="24"/>
          <w:highlight w:val="none"/>
          <w:u w:val="single"/>
          <w:lang w:val="en-US" w:eastAsia="zh-CN"/>
        </w:rPr>
        <w:t>后</w:t>
      </w:r>
      <w:r>
        <w:rPr>
          <w:rFonts w:hint="eastAsia" w:ascii="宋体" w:hAnsi="宋体" w:eastAsia="宋体" w:cs="宋体"/>
          <w:b/>
          <w:bCs/>
          <w:color w:val="auto"/>
          <w:sz w:val="24"/>
          <w:szCs w:val="24"/>
          <w:highlight w:val="none"/>
          <w:u w:val="single"/>
        </w:rPr>
        <w:t>无质量问题一次性无息付清</w:t>
      </w:r>
      <w:r>
        <w:rPr>
          <w:rFonts w:hint="eastAsia" w:ascii="宋体" w:hAnsi="宋体" w:eastAsia="宋体" w:cs="宋体"/>
          <w:b/>
          <w:bCs/>
          <w:color w:val="auto"/>
          <w:sz w:val="24"/>
          <w:szCs w:val="24"/>
          <w:highlight w:val="none"/>
          <w:u w:val="singl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2.4.2 进度付款申请单的编制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关于进度付款申请单编制的约定：</w:t>
      </w:r>
      <w:r>
        <w:rPr>
          <w:rFonts w:hint="eastAsia" w:ascii="宋体" w:hAnsi="宋体" w:cs="宋体"/>
          <w:color w:val="auto"/>
          <w:sz w:val="24"/>
          <w:highlight w:val="none"/>
          <w:u w:val="single"/>
          <w:lang w:eastAsia="zh-CN"/>
        </w:rPr>
        <w:t xml:space="preserve">每次付款时，须提供发票、工程进度验收表。验收表由甲方、监理方、施工方签字认可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12.4.3 进度付款申请单的提交</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（1）单价合同进度付款申请单提交的约定：</w:t>
      </w:r>
      <w:r>
        <w:rPr>
          <w:rFonts w:hint="eastAsia" w:ascii="宋体" w:hAnsi="宋体" w:cs="宋体"/>
          <w:color w:val="auto"/>
          <w:sz w:val="24"/>
          <w:highlight w:val="none"/>
          <w:u w:val="single"/>
          <w:lang w:eastAsia="zh-CN"/>
        </w:rPr>
        <w:t xml:space="preserve">包括工程变更、签证审核后随工程款支付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（2）总价合同进度付款申请单提交的约定：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（3）其他价格形式合同进度付款申请单提交的约定：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12.4.4 进度款审核和支付</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（1）监理人审查并报送发包人的期限：</w:t>
      </w:r>
      <w:r>
        <w:rPr>
          <w:rFonts w:hint="eastAsia" w:ascii="宋体" w:hAnsi="宋体"/>
          <w:color w:val="auto"/>
          <w:sz w:val="24"/>
          <w:szCs w:val="24"/>
          <w:highlight w:val="none"/>
          <w:u w:val="single"/>
          <w:lang w:eastAsia="zh-CN"/>
        </w:rPr>
        <w:t xml:space="preserve">    7日内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发包人完成审批并签发进度款支付证书的期限：</w:t>
      </w:r>
      <w:r>
        <w:rPr>
          <w:rFonts w:hint="eastAsia" w:ascii="宋体" w:hAnsi="宋体"/>
          <w:color w:val="auto"/>
          <w:sz w:val="24"/>
          <w:szCs w:val="24"/>
          <w:highlight w:val="none"/>
          <w:u w:val="single"/>
          <w:lang w:eastAsia="zh-CN"/>
        </w:rPr>
        <w:t xml:space="preserve">   7日内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（2）发包人支付进度款的期限：</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发包人逾期支付进度款的违约金的计算方式：</w:t>
      </w:r>
      <w:r>
        <w:rPr>
          <w:rFonts w:hint="eastAsia" w:ascii="宋体" w:hAnsi="宋体"/>
          <w:color w:val="auto"/>
          <w:sz w:val="24"/>
          <w:szCs w:val="24"/>
          <w:highlight w:val="none"/>
          <w:u w:val="single"/>
          <w:lang w:eastAsia="zh-CN"/>
        </w:rPr>
        <w:t xml:space="preserve">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12.4.6 支付分解表的编制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2、总价合同支付分解表的编制与审批：</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3、单价合同的总价项目支付分解表的编制与审批：</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500" w:name="_Toc296944558"/>
      <w:bookmarkEnd w:id="500"/>
      <w:bookmarkStart w:id="501" w:name="_Toc296891259"/>
      <w:bookmarkEnd w:id="501"/>
      <w:bookmarkStart w:id="502" w:name="_Toc297120519"/>
      <w:bookmarkEnd w:id="502"/>
      <w:bookmarkStart w:id="503" w:name="_Toc312678053"/>
      <w:bookmarkEnd w:id="503"/>
      <w:bookmarkStart w:id="504" w:name="_Toc351203645"/>
      <w:bookmarkEnd w:id="504"/>
      <w:bookmarkStart w:id="505" w:name="_Toc292559424"/>
      <w:bookmarkEnd w:id="505"/>
      <w:bookmarkStart w:id="506" w:name="_Toc303539172"/>
      <w:bookmarkEnd w:id="506"/>
      <w:bookmarkStart w:id="507" w:name="_Toc300935015"/>
      <w:bookmarkEnd w:id="507"/>
      <w:bookmarkStart w:id="508" w:name="_Toc304295593"/>
      <w:bookmarkEnd w:id="508"/>
      <w:bookmarkStart w:id="509" w:name="_Toc296347218"/>
      <w:bookmarkEnd w:id="509"/>
      <w:bookmarkStart w:id="510" w:name="_Toc297123564"/>
      <w:bookmarkEnd w:id="510"/>
      <w:bookmarkStart w:id="511" w:name="_Toc292559929"/>
      <w:bookmarkEnd w:id="511"/>
      <w:bookmarkStart w:id="512" w:name="_Toc296503219"/>
      <w:bookmarkEnd w:id="512"/>
      <w:bookmarkStart w:id="513" w:name="_Toc296346720"/>
      <w:bookmarkEnd w:id="513"/>
      <w:bookmarkStart w:id="514" w:name="_Toc296891047"/>
      <w:bookmarkEnd w:id="514"/>
      <w:bookmarkStart w:id="515" w:name="_Toc297048405"/>
      <w:bookmarkEnd w:id="515"/>
      <w:bookmarkStart w:id="516" w:name="_Toc297216223"/>
      <w:r>
        <w:rPr>
          <w:rFonts w:hint="eastAsia" w:ascii="宋体" w:hAnsi="宋体"/>
          <w:color w:val="auto"/>
          <w:sz w:val="24"/>
          <w:szCs w:val="24"/>
          <w:highlight w:val="none"/>
          <w:lang w:eastAsia="zh-CN"/>
        </w:rPr>
        <w:t>13. 验收和工程试车</w:t>
      </w:r>
      <w:bookmarkEnd w:id="516"/>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13.1 分部分项工程验收</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13.1.2监理人不能按时进行验收时，应提前</w:t>
      </w:r>
      <w:r>
        <w:rPr>
          <w:rFonts w:hint="eastAsia" w:ascii="宋体" w:hAnsi="宋体"/>
          <w:color w:val="auto"/>
          <w:sz w:val="24"/>
          <w:szCs w:val="24"/>
          <w:highlight w:val="none"/>
          <w:u w:val="single"/>
          <w:lang w:eastAsia="zh-CN"/>
        </w:rPr>
        <w:t xml:space="preserve">   24 </w:t>
      </w:r>
      <w:r>
        <w:rPr>
          <w:rFonts w:hint="eastAsia" w:ascii="宋体" w:hAnsi="宋体"/>
          <w:color w:val="auto"/>
          <w:sz w:val="24"/>
          <w:szCs w:val="24"/>
          <w:highlight w:val="none"/>
          <w:lang w:eastAsia="zh-CN"/>
        </w:rPr>
        <w:t>小时提交书面延期要求。</w:t>
      </w:r>
    </w:p>
    <w:p>
      <w:pPr>
        <w:spacing w:line="500" w:lineRule="exact"/>
        <w:ind w:firstLine="480" w:firstLineChars="200"/>
        <w:rPr>
          <w:rFonts w:ascii="宋体" w:hAnsi="宋体"/>
          <w:b/>
          <w:bCs/>
          <w:color w:val="auto"/>
          <w:sz w:val="24"/>
          <w:szCs w:val="24"/>
          <w:highlight w:val="none"/>
          <w:lang w:eastAsia="zh-CN"/>
        </w:rPr>
      </w:pPr>
      <w:r>
        <w:rPr>
          <w:rFonts w:hint="eastAsia" w:ascii="宋体" w:hAnsi="宋体"/>
          <w:color w:val="auto"/>
          <w:sz w:val="24"/>
          <w:szCs w:val="24"/>
          <w:highlight w:val="none"/>
          <w:lang w:eastAsia="zh-CN"/>
        </w:rPr>
        <w:t>关于延期最长不得超过：</w:t>
      </w:r>
      <w:r>
        <w:rPr>
          <w:rFonts w:hint="eastAsia" w:ascii="宋体" w:hAnsi="宋体"/>
          <w:color w:val="auto"/>
          <w:sz w:val="24"/>
          <w:szCs w:val="24"/>
          <w:highlight w:val="none"/>
          <w:u w:val="single"/>
          <w:lang w:eastAsia="zh-CN"/>
        </w:rPr>
        <w:t xml:space="preserve"> 48  </w:t>
      </w:r>
      <w:r>
        <w:rPr>
          <w:rFonts w:hint="eastAsia" w:ascii="宋体" w:hAnsi="宋体"/>
          <w:color w:val="auto"/>
          <w:sz w:val="24"/>
          <w:szCs w:val="24"/>
          <w:highlight w:val="none"/>
          <w:lang w:eastAsia="zh-CN"/>
        </w:rPr>
        <w:t>小时。</w:t>
      </w:r>
    </w:p>
    <w:p>
      <w:pPr>
        <w:spacing w:line="500" w:lineRule="exact"/>
        <w:ind w:firstLine="480" w:firstLineChars="200"/>
        <w:rPr>
          <w:rFonts w:ascii="宋体" w:hAnsi="宋体"/>
          <w:color w:val="auto"/>
          <w:sz w:val="24"/>
          <w:szCs w:val="24"/>
          <w:highlight w:val="none"/>
          <w:lang w:eastAsia="zh-CN"/>
        </w:rPr>
      </w:pPr>
      <w:bookmarkStart w:id="517" w:name="_Toc297216224"/>
      <w:bookmarkEnd w:id="517"/>
      <w:bookmarkStart w:id="518" w:name="_Toc267251474"/>
      <w:bookmarkEnd w:id="518"/>
      <w:bookmarkStart w:id="519" w:name="_Toc267251476"/>
      <w:bookmarkEnd w:id="519"/>
      <w:bookmarkStart w:id="520" w:name="_Toc296891263"/>
      <w:bookmarkEnd w:id="520"/>
      <w:bookmarkStart w:id="521" w:name="_Toc296891051"/>
      <w:bookmarkEnd w:id="521"/>
      <w:bookmarkStart w:id="522" w:name="_Toc297048409"/>
      <w:bookmarkEnd w:id="522"/>
      <w:bookmarkStart w:id="523" w:name="_Toc267251475"/>
      <w:bookmarkEnd w:id="523"/>
      <w:bookmarkStart w:id="524" w:name="_Toc300935016"/>
      <w:bookmarkEnd w:id="524"/>
      <w:bookmarkStart w:id="525" w:name="_Toc303539173"/>
      <w:bookmarkEnd w:id="525"/>
      <w:bookmarkStart w:id="526" w:name="_Toc297123565"/>
      <w:bookmarkEnd w:id="526"/>
      <w:bookmarkStart w:id="527" w:name="_Toc267251471"/>
      <w:bookmarkEnd w:id="527"/>
      <w:bookmarkStart w:id="528" w:name="_Toc312678056"/>
      <w:bookmarkEnd w:id="528"/>
      <w:bookmarkStart w:id="529" w:name="_Toc304295596"/>
      <w:bookmarkEnd w:id="529"/>
      <w:bookmarkStart w:id="530" w:name="_Toc267251472"/>
      <w:bookmarkEnd w:id="530"/>
      <w:bookmarkStart w:id="531" w:name="_Toc296347222"/>
      <w:bookmarkEnd w:id="531"/>
      <w:bookmarkStart w:id="532" w:name="_Toc267251473"/>
      <w:bookmarkEnd w:id="532"/>
      <w:bookmarkStart w:id="533" w:name="_Toc297120523"/>
      <w:bookmarkEnd w:id="533"/>
      <w:bookmarkStart w:id="534" w:name="_Toc296944562"/>
      <w:bookmarkEnd w:id="534"/>
      <w:bookmarkStart w:id="535" w:name="_Toc296503223"/>
      <w:bookmarkEnd w:id="535"/>
      <w:bookmarkStart w:id="536" w:name="_Toc292559933"/>
      <w:bookmarkEnd w:id="536"/>
      <w:bookmarkStart w:id="537" w:name="_Toc296346724"/>
      <w:bookmarkEnd w:id="537"/>
      <w:bookmarkStart w:id="538" w:name="_Toc292559428"/>
      <w:bookmarkEnd w:id="538"/>
      <w:bookmarkStart w:id="539" w:name="_Toc267251470"/>
      <w:r>
        <w:rPr>
          <w:rFonts w:hint="eastAsia" w:ascii="宋体" w:hAnsi="宋体"/>
          <w:color w:val="auto"/>
          <w:sz w:val="24"/>
          <w:szCs w:val="24"/>
          <w:highlight w:val="none"/>
          <w:lang w:eastAsia="zh-CN"/>
        </w:rPr>
        <w:t>13.2 竣工验收</w:t>
      </w:r>
      <w:bookmarkEnd w:id="539"/>
    </w:p>
    <w:p>
      <w:pPr>
        <w:spacing w:line="500" w:lineRule="exact"/>
        <w:ind w:firstLine="480" w:firstLineChars="200"/>
        <w:rPr>
          <w:rFonts w:ascii="宋体" w:hAnsi="宋体"/>
          <w:color w:val="auto"/>
          <w:sz w:val="24"/>
          <w:szCs w:val="24"/>
          <w:highlight w:val="none"/>
          <w:lang w:eastAsia="zh-CN"/>
        </w:rPr>
      </w:pPr>
      <w:bookmarkStart w:id="540" w:name="_Toc280868708"/>
      <w:bookmarkEnd w:id="540"/>
      <w:bookmarkStart w:id="541" w:name="_Toc280868704"/>
      <w:bookmarkEnd w:id="541"/>
      <w:bookmarkStart w:id="542" w:name="_Toc280868705"/>
      <w:bookmarkEnd w:id="542"/>
      <w:bookmarkStart w:id="543" w:name="_Toc280868707"/>
      <w:bookmarkEnd w:id="543"/>
      <w:bookmarkStart w:id="544" w:name="_Toc280868706"/>
      <w:bookmarkEnd w:id="544"/>
      <w:bookmarkStart w:id="545" w:name="_Toc280868709"/>
      <w:bookmarkEnd w:id="545"/>
      <w:r>
        <w:rPr>
          <w:rFonts w:hint="eastAsia" w:ascii="宋体" w:hAnsi="宋体"/>
          <w:color w:val="auto"/>
          <w:sz w:val="24"/>
          <w:szCs w:val="24"/>
          <w:highlight w:val="none"/>
          <w:lang w:eastAsia="zh-CN"/>
        </w:rPr>
        <w:t>13.2.2竣工验收程序</w:t>
      </w:r>
    </w:p>
    <w:p>
      <w:pPr>
        <w:spacing w:line="500" w:lineRule="exact"/>
        <w:rPr>
          <w:rFonts w:ascii="宋体" w:hAnsi="宋体" w:cs="宋体"/>
          <w:color w:val="auto"/>
          <w:sz w:val="24"/>
          <w:highlight w:val="none"/>
          <w:lang w:eastAsia="zh-CN"/>
        </w:rPr>
      </w:pPr>
      <w:r>
        <w:rPr>
          <w:rFonts w:hint="eastAsia" w:ascii="宋体" w:hAnsi="宋体"/>
          <w:color w:val="auto"/>
          <w:sz w:val="24"/>
          <w:szCs w:val="24"/>
          <w:highlight w:val="none"/>
          <w:lang w:eastAsia="zh-CN"/>
        </w:rPr>
        <w:t>关于竣工验收程序的约定：</w:t>
      </w:r>
      <w:r>
        <w:rPr>
          <w:rFonts w:hint="eastAsia" w:ascii="宋体" w:hAnsi="宋体" w:cs="宋体"/>
          <w:color w:val="auto"/>
          <w:sz w:val="24"/>
          <w:highlight w:val="none"/>
          <w:u w:val="single"/>
          <w:lang w:eastAsia="zh-CN"/>
        </w:rPr>
        <w:t xml:space="preserve">发包人应在收到承包人竣工报告后28个工作日内组织设计单位、监理单位、勘察单位进行验收。验收通过后14个工作日内签署工程验收合格有关证明，并确定提交竣工报告的时间为实际竣工日期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发包人不按照本项约定组织竣工验收、颁发工程接收证书的违约金的计算方法：</w:t>
      </w:r>
      <w:r>
        <w:rPr>
          <w:rFonts w:hint="eastAsia" w:ascii="宋体" w:hAnsi="宋体"/>
          <w:color w:val="auto"/>
          <w:sz w:val="24"/>
          <w:szCs w:val="24"/>
          <w:highlight w:val="none"/>
          <w:u w:val="single"/>
          <w:lang w:eastAsia="zh-CN"/>
        </w:rPr>
        <w:t>执行通用条款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13.2.5移交、接收全部与部分工程</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承包人向发包人移交工程的期限：</w:t>
      </w:r>
      <w:r>
        <w:rPr>
          <w:rFonts w:hint="eastAsia" w:ascii="宋体" w:hAnsi="宋体"/>
          <w:color w:val="auto"/>
          <w:sz w:val="24"/>
          <w:szCs w:val="24"/>
          <w:highlight w:val="none"/>
          <w:u w:val="single"/>
          <w:lang w:eastAsia="zh-CN"/>
        </w:rPr>
        <w:t>执行通用条款。</w:t>
      </w:r>
    </w:p>
    <w:p>
      <w:pPr>
        <w:pStyle w:val="2"/>
        <w:widowControl/>
        <w:spacing w:line="500" w:lineRule="exact"/>
        <w:rPr>
          <w:color w:val="auto"/>
          <w:highlight w:val="none"/>
          <w:lang w:eastAsia="zh-CN"/>
        </w:rPr>
      </w:pPr>
      <w:r>
        <w:rPr>
          <w:rFonts w:hint="eastAsia" w:ascii="宋体" w:hAnsi="宋体"/>
          <w:color w:val="auto"/>
          <w:highlight w:val="none"/>
          <w:lang w:eastAsia="zh-CN"/>
        </w:rPr>
        <w:t>发包人未按本合同约定接收全部或部分工程的，违约金的计算方法为：</w:t>
      </w:r>
      <w:r>
        <w:rPr>
          <w:rFonts w:hint="eastAsia" w:ascii="宋体" w:hAnsi="宋体"/>
          <w:color w:val="auto"/>
          <w:highlight w:val="none"/>
          <w:u w:val="single"/>
          <w:lang w:eastAsia="zh-CN"/>
        </w:rPr>
        <w:t>执行通用条款。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承包人未按时移交工程的，违约金的计算方法为：</w:t>
      </w:r>
      <w:r>
        <w:rPr>
          <w:rFonts w:hint="eastAsia" w:ascii="宋体" w:hAnsi="宋体"/>
          <w:color w:val="auto"/>
          <w:sz w:val="24"/>
          <w:szCs w:val="24"/>
          <w:highlight w:val="none"/>
          <w:u w:val="single"/>
          <w:lang w:eastAsia="zh-CN"/>
        </w:rPr>
        <w:t>执行通用条款。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13.3 工程试车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13.3.1 试车程序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工程试车内容：</w:t>
      </w:r>
      <w:r>
        <w:rPr>
          <w:rFonts w:hint="eastAsia" w:ascii="宋体" w:hAnsi="宋体"/>
          <w:color w:val="auto"/>
          <w:sz w:val="24"/>
          <w:szCs w:val="24"/>
          <w:highlight w:val="none"/>
          <w:u w:val="single"/>
          <w:lang w:eastAsia="zh-CN"/>
        </w:rPr>
        <w:t xml:space="preserve"> 执行通用条款。</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（1）单机无负荷试车费用由</w:t>
      </w:r>
      <w:r>
        <w:rPr>
          <w:rFonts w:hint="eastAsia" w:ascii="宋体" w:hAnsi="宋体"/>
          <w:color w:val="auto"/>
          <w:sz w:val="24"/>
          <w:szCs w:val="24"/>
          <w:highlight w:val="none"/>
          <w:u w:val="single"/>
          <w:lang w:eastAsia="zh-CN"/>
        </w:rPr>
        <w:t xml:space="preserve">     承包人      </w:t>
      </w:r>
      <w:r>
        <w:rPr>
          <w:rFonts w:hint="eastAsia" w:ascii="宋体" w:hAnsi="宋体"/>
          <w:color w:val="auto"/>
          <w:sz w:val="24"/>
          <w:szCs w:val="24"/>
          <w:highlight w:val="none"/>
          <w:lang w:eastAsia="zh-CN"/>
        </w:rPr>
        <w:t>承担；</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（2）无负荷联动试车费用由</w:t>
      </w:r>
      <w:r>
        <w:rPr>
          <w:rFonts w:hint="eastAsia" w:ascii="宋体" w:hAnsi="宋体"/>
          <w:color w:val="auto"/>
          <w:sz w:val="24"/>
          <w:szCs w:val="24"/>
          <w:highlight w:val="none"/>
          <w:u w:val="single"/>
          <w:lang w:eastAsia="zh-CN"/>
        </w:rPr>
        <w:t xml:space="preserve">  承包人   </w:t>
      </w:r>
      <w:r>
        <w:rPr>
          <w:rFonts w:hint="eastAsia" w:ascii="宋体" w:hAnsi="宋体"/>
          <w:color w:val="auto"/>
          <w:sz w:val="24"/>
          <w:szCs w:val="24"/>
          <w:highlight w:val="none"/>
          <w:lang w:eastAsia="zh-CN"/>
        </w:rPr>
        <w:t>承担。</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13.3.3 投料试车</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关于投料试车相关事项的约定：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13.6 竣工退场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13.6.1 竣工退场</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承包人完成竣工退场的期限：</w:t>
      </w:r>
      <w:r>
        <w:rPr>
          <w:rFonts w:hint="eastAsia" w:ascii="宋体" w:hAnsi="宋体"/>
          <w:color w:val="auto"/>
          <w:sz w:val="24"/>
          <w:szCs w:val="24"/>
          <w:highlight w:val="none"/>
          <w:u w:val="single"/>
          <w:lang w:eastAsia="zh-CN"/>
        </w:rPr>
        <w:t xml:space="preserve">    全部工程竣工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546" w:name="_Toc351203646"/>
      <w:bookmarkEnd w:id="546"/>
      <w:r>
        <w:rPr>
          <w:rFonts w:hint="eastAsia" w:ascii="宋体" w:hAnsi="宋体"/>
          <w:color w:val="auto"/>
          <w:sz w:val="24"/>
          <w:szCs w:val="24"/>
          <w:highlight w:val="none"/>
          <w:lang w:eastAsia="zh-CN"/>
        </w:rPr>
        <w:t>14. 竣工结算</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14.1 竣工结算申请</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承包人提交竣工结算申请单的期限：</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竣工结算申请单应包括的内容：</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（1）竣工结算合同价格；（2）发包人已支付承包人的款项；（3）应扣留的质量保证金。已缴纳履约保证金的或提供其他工程质量担保方式的除外；（4）发包人应支付承包人的合同价款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14.2 竣工结算审核</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发包人审批竣工付款申请单的期限：</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发包人完成竣工付款的期限：</w:t>
      </w:r>
      <w:r>
        <w:rPr>
          <w:rFonts w:hint="eastAsia" w:ascii="宋体" w:hAnsi="宋体" w:cs="宋体"/>
          <w:color w:val="auto"/>
          <w:sz w:val="24"/>
          <w:highlight w:val="none"/>
          <w:u w:val="single"/>
          <w:lang w:eastAsia="zh-CN"/>
        </w:rPr>
        <w:t xml:space="preserve">接到付款申请单后14个工作日内付款  </w:t>
      </w:r>
      <w:r>
        <w:rPr>
          <w:rFonts w:hint="eastAsia" w:ascii="宋体" w:hAnsi="宋体" w:cs="宋体"/>
          <w:color w:val="auto"/>
          <w:sz w:val="24"/>
          <w:highlight w:val="none"/>
          <w:lang w:eastAsia="zh-CN"/>
        </w:rPr>
        <w:t>。</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关于竣工付款证书异议部分复核的方式和程序：</w:t>
      </w:r>
      <w:r>
        <w:rPr>
          <w:rFonts w:hint="eastAsia" w:ascii="宋体" w:hAnsi="宋体" w:cs="宋体"/>
          <w:color w:val="auto"/>
          <w:sz w:val="24"/>
          <w:highlight w:val="none"/>
          <w:u w:val="single"/>
          <w:lang w:eastAsia="zh-CN"/>
        </w:rPr>
        <w:t xml:space="preserve">执行通用条款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14.4 最终结清</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14.4.1 最终结清申请单</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承包人提交最终结清申请单的份数：</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承包人提交最终结算申请单的期限：</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执行通用条款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14.4.2 最终结清证书和支付</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（1）发包人完成最终结清申请单的审批并颁发最终结清证书的期限：</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（2）发包人完成支付的期限：</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547" w:name="_Toc267251482"/>
      <w:bookmarkEnd w:id="547"/>
      <w:bookmarkStart w:id="548" w:name="_Toc267251496"/>
      <w:bookmarkEnd w:id="548"/>
      <w:bookmarkStart w:id="549" w:name="_Toc267251489"/>
      <w:bookmarkEnd w:id="549"/>
      <w:bookmarkStart w:id="550" w:name="_Toc267251492"/>
      <w:bookmarkEnd w:id="550"/>
      <w:bookmarkStart w:id="551" w:name="_Toc267251483"/>
      <w:bookmarkEnd w:id="551"/>
      <w:bookmarkStart w:id="552" w:name="_Toc267251504"/>
      <w:bookmarkEnd w:id="552"/>
      <w:bookmarkStart w:id="553" w:name="_Toc267251501"/>
      <w:bookmarkEnd w:id="553"/>
      <w:bookmarkStart w:id="554" w:name="_Toc267251494"/>
      <w:bookmarkEnd w:id="554"/>
      <w:bookmarkStart w:id="555" w:name="_Toc267251491"/>
      <w:bookmarkEnd w:id="555"/>
      <w:bookmarkStart w:id="556" w:name="_Toc267251488"/>
      <w:bookmarkEnd w:id="556"/>
      <w:bookmarkStart w:id="557" w:name="_Toc267251514"/>
      <w:bookmarkEnd w:id="557"/>
      <w:bookmarkStart w:id="558" w:name="_Toc267251506"/>
      <w:bookmarkEnd w:id="558"/>
      <w:bookmarkStart w:id="559" w:name="_Toc267251493"/>
      <w:bookmarkEnd w:id="559"/>
      <w:bookmarkStart w:id="560" w:name="_Toc267251495"/>
      <w:bookmarkEnd w:id="560"/>
      <w:bookmarkStart w:id="561" w:name="_Toc267251503"/>
      <w:bookmarkEnd w:id="561"/>
      <w:bookmarkStart w:id="562" w:name="_Toc267251509"/>
      <w:bookmarkEnd w:id="562"/>
      <w:bookmarkStart w:id="563" w:name="_Toc267251499"/>
      <w:bookmarkEnd w:id="563"/>
      <w:bookmarkStart w:id="564" w:name="_Toc267251508"/>
      <w:bookmarkEnd w:id="564"/>
      <w:bookmarkStart w:id="565" w:name="_Toc267251511"/>
      <w:bookmarkEnd w:id="565"/>
      <w:bookmarkStart w:id="566" w:name="_Toc267251507"/>
      <w:bookmarkEnd w:id="566"/>
      <w:bookmarkStart w:id="567" w:name="_Toc267251497"/>
      <w:bookmarkEnd w:id="567"/>
      <w:bookmarkStart w:id="568" w:name="_Toc267251498"/>
      <w:bookmarkEnd w:id="568"/>
      <w:bookmarkStart w:id="569" w:name="_Toc267251485"/>
      <w:bookmarkEnd w:id="569"/>
      <w:bookmarkStart w:id="570" w:name="_Toc267251510"/>
      <w:bookmarkEnd w:id="570"/>
      <w:bookmarkStart w:id="571" w:name="_Toc267251502"/>
      <w:bookmarkEnd w:id="571"/>
      <w:bookmarkStart w:id="572" w:name="_Toc267251486"/>
      <w:bookmarkEnd w:id="572"/>
      <w:bookmarkStart w:id="573" w:name="_Toc267251490"/>
      <w:bookmarkEnd w:id="573"/>
      <w:bookmarkStart w:id="574" w:name="_Toc267251484"/>
      <w:bookmarkEnd w:id="574"/>
      <w:bookmarkStart w:id="575" w:name="_Toc267251513"/>
      <w:bookmarkEnd w:id="575"/>
      <w:bookmarkStart w:id="576" w:name="_Toc351203647"/>
      <w:bookmarkEnd w:id="576"/>
      <w:bookmarkStart w:id="577" w:name="_Toc267251515"/>
      <w:r>
        <w:rPr>
          <w:rFonts w:hint="eastAsia" w:ascii="宋体" w:hAnsi="宋体"/>
          <w:color w:val="auto"/>
          <w:sz w:val="24"/>
          <w:szCs w:val="24"/>
          <w:highlight w:val="none"/>
          <w:lang w:eastAsia="zh-CN"/>
        </w:rPr>
        <w:t>15. 缺陷责任期与保修</w:t>
      </w:r>
      <w:bookmarkEnd w:id="577"/>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15.2缺陷责任期</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缺陷责任期的具体期限：</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 xml:space="preserve">12个月 </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15.3 质量保证金</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关于是否扣留质量保证金的约定：</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 xml:space="preserve">。在工程项目竣工前，承包人按专用合同条款第3.7条提供履约担保的，发包人不得同时预留工程质量保证金。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15.3.1 承包人提供质量保证金的方式</w:t>
      </w:r>
    </w:p>
    <w:p>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质量保证金采用以下第</w:t>
      </w:r>
      <w:r>
        <w:rPr>
          <w:rFonts w:hint="eastAsia" w:ascii="宋体" w:hAnsi="宋体" w:cs="宋体"/>
          <w:color w:val="auto"/>
          <w:sz w:val="24"/>
          <w:highlight w:val="none"/>
          <w:u w:val="single"/>
          <w:lang w:eastAsia="zh-CN"/>
        </w:rPr>
        <w:t xml:space="preserve">  （2）  </w:t>
      </w:r>
      <w:r>
        <w:rPr>
          <w:rFonts w:hint="eastAsia" w:ascii="宋体" w:hAnsi="宋体" w:cs="宋体"/>
          <w:color w:val="auto"/>
          <w:sz w:val="24"/>
          <w:highlight w:val="none"/>
          <w:lang w:eastAsia="zh-CN"/>
        </w:rPr>
        <w:t>种方式：</w:t>
      </w:r>
    </w:p>
    <w:p>
      <w:pPr>
        <w:autoSpaceDE w:val="0"/>
        <w:autoSpaceDN w:val="0"/>
        <w:adjustRightInd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（1）质量保证金保函，保证金额为：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3</w:t>
      </w:r>
      <w:r>
        <w:rPr>
          <w:rFonts w:hint="eastAsia" w:ascii="宋体" w:hAnsi="宋体" w:cs="宋体"/>
          <w:color w:val="auto"/>
          <w:sz w:val="24"/>
          <w:highlight w:val="none"/>
        </w:rPr>
        <w:t>%的工程款；</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（3）其他方式: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 xml:space="preserve">15.3.2 质量保证金的扣留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质量保证金的扣留采取以下第</w:t>
      </w:r>
      <w:r>
        <w:rPr>
          <w:rFonts w:hint="eastAsia" w:ascii="宋体" w:hAnsi="宋体"/>
          <w:color w:val="auto"/>
          <w:sz w:val="24"/>
          <w:szCs w:val="24"/>
          <w:highlight w:val="none"/>
          <w:u w:val="single"/>
          <w:lang w:eastAsia="zh-CN"/>
        </w:rPr>
        <w:t xml:space="preserve">   （2）   </w:t>
      </w:r>
      <w:r>
        <w:rPr>
          <w:rFonts w:hint="eastAsia" w:ascii="宋体" w:hAnsi="宋体"/>
          <w:color w:val="auto"/>
          <w:sz w:val="24"/>
          <w:szCs w:val="24"/>
          <w:highlight w:val="none"/>
          <w:lang w:eastAsia="zh-CN"/>
        </w:rPr>
        <w:t>种方式：</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（1）在支付工程进度款时逐次扣留，在此情形下，质量保证金的计算基数不包括预付款的支付、扣回以及价格调整的金额；</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（2）工程竣工结算时一次性扣留质量保证金；</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（3）其他扣留方式: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关于质量保证金的补充约定：</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15.4保修</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15.4.1 保修责任</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工程保修期为：</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按照《房屋建筑工程质量保修办法》执行</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15.4.3 修复通知</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承包人收到保修通知并到达工程现场的合理时间：</w:t>
      </w:r>
      <w:r>
        <w:rPr>
          <w:rFonts w:hint="eastAsia" w:ascii="宋体" w:hAnsi="宋体" w:cs="宋体"/>
          <w:color w:val="auto"/>
          <w:sz w:val="24"/>
          <w:highlight w:val="none"/>
          <w:u w:val="single"/>
          <w:lang w:eastAsia="zh-CN"/>
        </w:rPr>
        <w:t>1.属于保修范围和内容的项目，承包人应在接到修理通知之日后立即内派人修理，乙方不派人保修的，发包人可委托其他人修理，费用从质量保修金中扣除。2.发生紧急抢修事故，承包人接到事故通知后，应立即到达事故现场抢修，非承包人施工质量引起的事故，抢修费用由发包人承担</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578" w:name="_Toc280868717"/>
      <w:bookmarkEnd w:id="578"/>
      <w:bookmarkStart w:id="579" w:name="_Toc351203648"/>
      <w:bookmarkEnd w:id="579"/>
      <w:bookmarkStart w:id="580" w:name="_Toc280868718"/>
      <w:bookmarkEnd w:id="580"/>
      <w:r>
        <w:rPr>
          <w:rFonts w:hint="eastAsia" w:ascii="宋体" w:hAnsi="宋体"/>
          <w:color w:val="auto"/>
          <w:sz w:val="24"/>
          <w:szCs w:val="24"/>
          <w:highlight w:val="none"/>
          <w:lang w:eastAsia="zh-CN"/>
        </w:rPr>
        <w:t>16. 违约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16.1 发包人违约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16.1.1发包人违约的情形</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发包人违约的其他情形：</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16.1.2 发包人违约的责任</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发包人违约责任的承担方式和计算方法：</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（1）因发包人原因未能在计划开工日期前7天内下达开工通知的违约责任：</w:t>
      </w:r>
      <w:r>
        <w:rPr>
          <w:rFonts w:hint="eastAsia" w:ascii="宋体" w:hAnsi="宋体" w:cs="宋体"/>
          <w:color w:val="auto"/>
          <w:sz w:val="24"/>
          <w:highlight w:val="none"/>
          <w:u w:val="single"/>
          <w:lang w:eastAsia="zh-CN"/>
        </w:rPr>
        <w:t>执行通用条款</w:t>
      </w:r>
      <w:r>
        <w:rPr>
          <w:rFonts w:hint="eastAsia" w:ascii="宋体" w:hAnsi="宋体" w:cs="宋体"/>
          <w:color w:val="auto"/>
          <w:sz w:val="24"/>
          <w:highlight w:val="none"/>
          <w:lang w:eastAsia="zh-CN"/>
        </w:rPr>
        <w:t>。</w:t>
      </w:r>
    </w:p>
    <w:p>
      <w:pPr>
        <w:spacing w:line="500" w:lineRule="exact"/>
        <w:ind w:firstLine="480" w:firstLineChars="200"/>
        <w:rPr>
          <w:rFonts w:ascii="宋体" w:hAnsi="宋体" w:cs="宋体"/>
          <w:color w:val="auto"/>
          <w:sz w:val="24"/>
          <w:highlight w:val="none"/>
          <w:lang w:eastAsia="zh-CN"/>
        </w:rPr>
      </w:pPr>
      <w:r>
        <w:rPr>
          <w:rFonts w:hint="eastAsia" w:ascii="宋体" w:hAnsi="宋体"/>
          <w:color w:val="auto"/>
          <w:sz w:val="24"/>
          <w:szCs w:val="24"/>
          <w:highlight w:val="none"/>
          <w:lang w:eastAsia="zh-CN"/>
        </w:rPr>
        <w:t>（2）因发包人原因未能按合同约定支付合同价款的违约责任：</w:t>
      </w:r>
      <w:r>
        <w:rPr>
          <w:rFonts w:hint="eastAsia" w:ascii="宋体" w:hAnsi="宋体" w:cs="宋体"/>
          <w:color w:val="auto"/>
          <w:sz w:val="24"/>
          <w:highlight w:val="none"/>
          <w:u w:val="single"/>
          <w:lang w:eastAsia="zh-CN"/>
        </w:rPr>
        <w:t xml:space="preserve">执行12.4.4（2）条款  </w:t>
      </w:r>
      <w:r>
        <w:rPr>
          <w:rFonts w:hint="eastAsia" w:ascii="宋体" w:hAnsi="宋体" w:cs="宋体"/>
          <w:color w:val="auto"/>
          <w:sz w:val="24"/>
          <w:highlight w:val="none"/>
          <w:lang w:eastAsia="zh-CN"/>
        </w:rPr>
        <w:t>。</w:t>
      </w:r>
    </w:p>
    <w:p>
      <w:pPr>
        <w:spacing w:line="500" w:lineRule="exact"/>
        <w:ind w:firstLine="420" w:firstLineChars="175"/>
        <w:rPr>
          <w:rFonts w:ascii="宋体" w:hAnsi="宋体"/>
          <w:color w:val="auto"/>
          <w:sz w:val="24"/>
          <w:szCs w:val="24"/>
          <w:highlight w:val="none"/>
          <w:lang w:eastAsia="zh-CN"/>
        </w:rPr>
      </w:pPr>
      <w:r>
        <w:rPr>
          <w:rFonts w:hint="eastAsia" w:ascii="宋体" w:hAnsi="宋体"/>
          <w:color w:val="auto"/>
          <w:sz w:val="24"/>
          <w:szCs w:val="24"/>
          <w:highlight w:val="none"/>
          <w:lang w:eastAsia="zh-CN"/>
        </w:rPr>
        <w:t>（3）发包人违反第10.1款〔变更的范围〕第（2）项约定，自行实施被取消的工作或转由他人实施的违约责任：</w:t>
      </w:r>
      <w:r>
        <w:rPr>
          <w:rFonts w:hint="eastAsia" w:ascii="宋体" w:hAnsi="宋体" w:cs="宋体"/>
          <w:color w:val="auto"/>
          <w:sz w:val="24"/>
          <w:highlight w:val="none"/>
          <w:u w:val="single"/>
          <w:lang w:eastAsia="zh-CN"/>
        </w:rPr>
        <w:t xml:space="preserve">  执行通用条款</w:t>
      </w:r>
      <w:r>
        <w:rPr>
          <w:rFonts w:hint="eastAsia" w:ascii="宋体" w:hAnsi="宋体" w:cs="宋体"/>
          <w:color w:val="auto"/>
          <w:sz w:val="24"/>
          <w:highlight w:val="none"/>
          <w:lang w:eastAsia="zh-CN"/>
        </w:rPr>
        <w:t>。</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（4）发包人提供的材料、工程设备的规格、数量或质量不符合合同约定，或因发包人原因导致交货日期延误或交货地点变更等情况的违约责任：</w:t>
      </w:r>
      <w:r>
        <w:rPr>
          <w:rFonts w:hint="eastAsia" w:ascii="宋体" w:hAnsi="宋体"/>
          <w:color w:val="auto"/>
          <w:sz w:val="24"/>
          <w:szCs w:val="24"/>
          <w:highlight w:val="none"/>
          <w:u w:val="single"/>
          <w:lang w:eastAsia="zh-CN"/>
        </w:rPr>
        <w:t xml:space="preserve">    /  </w:t>
      </w:r>
      <w:r>
        <w:rPr>
          <w:rFonts w:hint="eastAsia" w:ascii="宋体" w:hAnsi="宋体"/>
          <w:color w:val="auto"/>
          <w:highlight w:val="none"/>
          <w:lang w:eastAsia="zh-CN"/>
        </w:rPr>
        <w:t>。</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（5）因发包人违反合同约定造成暂停施工的违约责任：</w:t>
      </w:r>
      <w:r>
        <w:rPr>
          <w:rFonts w:hint="eastAsia" w:ascii="宋体" w:hAnsi="宋体"/>
          <w:color w:val="auto"/>
          <w:sz w:val="24"/>
          <w:szCs w:val="24"/>
          <w:highlight w:val="none"/>
          <w:u w:val="single"/>
          <w:lang w:eastAsia="zh-CN"/>
        </w:rPr>
        <w:t xml:space="preserve"> 执行通用条款    </w:t>
      </w:r>
      <w:r>
        <w:rPr>
          <w:rFonts w:hint="eastAsia" w:ascii="宋体" w:hAnsi="宋体"/>
          <w:color w:val="auto"/>
          <w:highlight w:val="none"/>
          <w:lang w:eastAsia="zh-CN"/>
        </w:rPr>
        <w:t>。</w:t>
      </w:r>
    </w:p>
    <w:p>
      <w:pPr>
        <w:spacing w:line="500" w:lineRule="exact"/>
        <w:ind w:firstLine="480" w:firstLineChars="200"/>
        <w:rPr>
          <w:rFonts w:ascii="宋体" w:hAnsi="宋体"/>
          <w:color w:val="auto"/>
          <w:highlight w:val="none"/>
          <w:lang w:eastAsia="zh-CN"/>
        </w:rPr>
      </w:pPr>
      <w:r>
        <w:rPr>
          <w:rFonts w:hint="eastAsia" w:ascii="宋体" w:hAnsi="宋体"/>
          <w:color w:val="auto"/>
          <w:sz w:val="24"/>
          <w:szCs w:val="24"/>
          <w:highlight w:val="none"/>
          <w:lang w:eastAsia="zh-CN"/>
        </w:rPr>
        <w:t>（6）发包人无正当理由没有在约定期限内发出复工指示，导致承包人无法复工的违约责任：</w:t>
      </w:r>
      <w:r>
        <w:rPr>
          <w:rFonts w:hint="eastAsia" w:ascii="宋体" w:hAnsi="宋体"/>
          <w:color w:val="auto"/>
          <w:sz w:val="24"/>
          <w:szCs w:val="24"/>
          <w:highlight w:val="none"/>
          <w:u w:val="single"/>
          <w:lang w:eastAsia="zh-CN"/>
        </w:rPr>
        <w:t xml:space="preserve"> 执行通用条款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（7）其他：</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16.1.3 因发包人违约解除合同</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承包人按16.1.1项〔发包人违约的情形〕约定暂停施工满</w:t>
      </w:r>
      <w:r>
        <w:rPr>
          <w:rFonts w:hint="eastAsia" w:ascii="宋体" w:hAnsi="宋体"/>
          <w:color w:val="auto"/>
          <w:sz w:val="24"/>
          <w:szCs w:val="24"/>
          <w:highlight w:val="none"/>
          <w:u w:val="single"/>
          <w:lang w:eastAsia="zh-CN"/>
        </w:rPr>
        <w:t xml:space="preserve"> 30 </w:t>
      </w:r>
      <w:r>
        <w:rPr>
          <w:rFonts w:hint="eastAsia" w:ascii="宋体" w:hAnsi="宋体"/>
          <w:color w:val="auto"/>
          <w:sz w:val="24"/>
          <w:szCs w:val="24"/>
          <w:highlight w:val="none"/>
          <w:lang w:eastAsia="zh-CN"/>
        </w:rPr>
        <w:t>天后发包人仍不纠正其违约行为并致使合同目的不能实现的，承包人有权解除合同。</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16.2 承包人违约</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16.2.1 承包人违约的情形</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承包人违约的其他情形：</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16.2.2承包人违约的责任</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承包人违约责任的承担方式和计算方法：</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16.2.3 因承包人违约解除合同</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关于承包人违约解除合同的特别约定：</w:t>
      </w:r>
      <w:r>
        <w:rPr>
          <w:rFonts w:hint="eastAsia" w:ascii="宋体" w:hAnsi="宋体"/>
          <w:color w:val="auto"/>
          <w:sz w:val="24"/>
          <w:szCs w:val="24"/>
          <w:highlight w:val="none"/>
          <w:u w:val="single"/>
          <w:lang w:eastAsia="zh-CN"/>
        </w:rPr>
        <w:t xml:space="preserve">   执行通用条款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发包人继续使用承包人在施工现场的材料、设备、临时工程、承包人文件和由承包人或以其名义编制的其他文件的费用承担方式：</w:t>
      </w:r>
      <w:r>
        <w:rPr>
          <w:rFonts w:hint="eastAsia" w:ascii="宋体" w:hAnsi="宋体"/>
          <w:color w:val="auto"/>
          <w:sz w:val="24"/>
          <w:szCs w:val="24"/>
          <w:highlight w:val="none"/>
          <w:u w:val="single"/>
          <w:lang w:eastAsia="zh-CN"/>
        </w:rPr>
        <w:t xml:space="preserve">   双方协商确定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bookmarkStart w:id="581" w:name="_Toc351203649"/>
      <w:bookmarkEnd w:id="581"/>
      <w:r>
        <w:rPr>
          <w:rFonts w:hint="eastAsia" w:ascii="宋体" w:hAnsi="宋体"/>
          <w:color w:val="auto"/>
          <w:sz w:val="24"/>
          <w:szCs w:val="24"/>
          <w:highlight w:val="none"/>
          <w:lang w:eastAsia="zh-CN"/>
        </w:rPr>
        <w:t xml:space="preserve">17. 不可抗力 </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17.1 不可抗力的确认</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除通用合同条款约定的不可抗力事件之外，视为不可抗力的其他情形：</w:t>
      </w:r>
      <w:r>
        <w:rPr>
          <w:rFonts w:hint="eastAsia" w:ascii="宋体" w:hAnsi="宋体"/>
          <w:color w:val="auto"/>
          <w:sz w:val="24"/>
          <w:szCs w:val="24"/>
          <w:highlight w:val="none"/>
          <w:u w:val="single"/>
          <w:lang w:eastAsia="zh-CN"/>
        </w:rPr>
        <w:t xml:space="preserve">     /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17.4 因不可抗力解除合同</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合同解除后，发包人应在商定或确定发包人应支付款项后</w:t>
      </w:r>
      <w:r>
        <w:rPr>
          <w:rFonts w:hint="eastAsia" w:ascii="宋体" w:hAnsi="宋体"/>
          <w:color w:val="auto"/>
          <w:sz w:val="24"/>
          <w:szCs w:val="24"/>
          <w:highlight w:val="none"/>
          <w:u w:val="single"/>
          <w:lang w:eastAsia="zh-CN"/>
        </w:rPr>
        <w:t>28</w:t>
      </w:r>
      <w:r>
        <w:rPr>
          <w:rFonts w:hint="eastAsia" w:ascii="宋体" w:hAnsi="宋体"/>
          <w:color w:val="auto"/>
          <w:sz w:val="24"/>
          <w:szCs w:val="24"/>
          <w:highlight w:val="none"/>
          <w:lang w:eastAsia="zh-CN"/>
        </w:rPr>
        <w:t>天内完成款项的支付。</w:t>
      </w:r>
    </w:p>
    <w:p>
      <w:pPr>
        <w:spacing w:line="500" w:lineRule="exact"/>
        <w:ind w:firstLine="480" w:firstLineChars="200"/>
        <w:rPr>
          <w:rFonts w:ascii="宋体" w:hAnsi="宋体"/>
          <w:color w:val="auto"/>
          <w:sz w:val="24"/>
          <w:szCs w:val="24"/>
          <w:highlight w:val="none"/>
          <w:lang w:eastAsia="zh-CN"/>
        </w:rPr>
      </w:pPr>
      <w:bookmarkStart w:id="582" w:name="_Toc351203650"/>
      <w:bookmarkEnd w:id="582"/>
      <w:r>
        <w:rPr>
          <w:rFonts w:hint="eastAsia" w:ascii="宋体" w:hAnsi="宋体"/>
          <w:color w:val="auto"/>
          <w:sz w:val="24"/>
          <w:szCs w:val="24"/>
          <w:highlight w:val="none"/>
          <w:lang w:eastAsia="zh-CN"/>
        </w:rPr>
        <w:t>18. 保险</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18.1 工程保险</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关于工程保险的特别约定：</w:t>
      </w:r>
      <w:r>
        <w:rPr>
          <w:rFonts w:hint="eastAsia" w:ascii="宋体" w:hAnsi="宋体" w:cs="宋体"/>
          <w:color w:val="auto"/>
          <w:sz w:val="24"/>
          <w:highlight w:val="none"/>
          <w:u w:val="single"/>
          <w:lang w:eastAsia="zh-CN"/>
        </w:rPr>
        <w:t xml:space="preserve">工程保险、工伤保险均执行通用条款   </w:t>
      </w:r>
      <w:r>
        <w:rPr>
          <w:rFonts w:hint="eastAsia" w:ascii="宋体" w:hAnsi="宋体" w:cs="宋体"/>
          <w:color w:val="auto"/>
          <w:sz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18.3 其他保险</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关于其他保险的约定：</w:t>
      </w:r>
      <w:r>
        <w:rPr>
          <w:rFonts w:hint="eastAsia" w:ascii="宋体" w:hAnsi="宋体"/>
          <w:color w:val="auto"/>
          <w:sz w:val="24"/>
          <w:szCs w:val="24"/>
          <w:highlight w:val="none"/>
          <w:u w:val="single"/>
          <w:lang w:eastAsia="zh-CN"/>
        </w:rPr>
        <w:t xml:space="preserve"> </w:t>
      </w:r>
      <w:r>
        <w:rPr>
          <w:rFonts w:hint="eastAsia" w:ascii="宋体" w:hAnsi="宋体" w:cs="宋体"/>
          <w:color w:val="auto"/>
          <w:sz w:val="24"/>
          <w:highlight w:val="none"/>
          <w:u w:val="single"/>
          <w:lang w:eastAsia="zh-CN"/>
        </w:rPr>
        <w:t>执行通用条款</w:t>
      </w:r>
      <w:r>
        <w:rPr>
          <w:rFonts w:hint="eastAsia" w:ascii="宋体" w:hAnsi="宋体"/>
          <w:color w:val="auto"/>
          <w:sz w:val="24"/>
          <w:szCs w:val="24"/>
          <w:highlight w:val="none"/>
          <w:u w:val="single"/>
          <w:lang w:eastAsia="zh-CN"/>
        </w:rPr>
        <w:t xml:space="preserve">       。</w:t>
      </w:r>
    </w:p>
    <w:p>
      <w:pPr>
        <w:pStyle w:val="2"/>
        <w:widowControl/>
        <w:spacing w:line="500" w:lineRule="exact"/>
        <w:rPr>
          <w:color w:val="auto"/>
          <w:highlight w:val="none"/>
          <w:lang w:eastAsia="zh-CN"/>
        </w:rPr>
      </w:pPr>
      <w:r>
        <w:rPr>
          <w:rFonts w:hint="eastAsia" w:ascii="宋体" w:hAnsi="宋体"/>
          <w:color w:val="auto"/>
          <w:highlight w:val="none"/>
          <w:lang w:eastAsia="zh-CN"/>
        </w:rPr>
        <w:t>承包人是否应为其施工设备等办理财产保险：</w:t>
      </w:r>
      <w:r>
        <w:rPr>
          <w:rFonts w:hint="eastAsia" w:ascii="宋体" w:hAnsi="宋体"/>
          <w:color w:val="auto"/>
          <w:highlight w:val="none"/>
          <w:u w:val="single"/>
          <w:lang w:eastAsia="zh-CN"/>
        </w:rPr>
        <w:t xml:space="preserve">      /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18.7 通知义务</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关于变更保险合同时的通知义务的约定：</w:t>
      </w:r>
      <w:r>
        <w:rPr>
          <w:rFonts w:hint="eastAsia" w:ascii="宋体" w:hAnsi="宋体"/>
          <w:color w:val="auto"/>
          <w:sz w:val="24"/>
          <w:szCs w:val="24"/>
          <w:highlight w:val="none"/>
          <w:u w:val="single"/>
          <w:lang w:eastAsia="zh-CN"/>
        </w:rPr>
        <w:t xml:space="preserve">         /     </w:t>
      </w:r>
      <w:bookmarkStart w:id="583" w:name="_Toc351203651"/>
      <w:bookmarkEnd w:id="583"/>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20. 争议解决</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20.3 争议评审</w:t>
      </w:r>
    </w:p>
    <w:p>
      <w:pPr>
        <w:spacing w:line="500" w:lineRule="exact"/>
        <w:ind w:firstLine="480" w:firstLineChars="200"/>
        <w:rPr>
          <w:color w:val="auto"/>
          <w:highlight w:val="none"/>
          <w:lang w:eastAsia="zh-CN"/>
        </w:rPr>
      </w:pPr>
      <w:r>
        <w:rPr>
          <w:rFonts w:hint="eastAsia" w:ascii="宋体" w:hAnsi="宋体"/>
          <w:color w:val="auto"/>
          <w:sz w:val="24"/>
          <w:szCs w:val="24"/>
          <w:highlight w:val="none"/>
          <w:lang w:eastAsia="zh-CN"/>
        </w:rPr>
        <w:t>合同当事人是否同意将工程争议提交争议评审小组决定：</w:t>
      </w:r>
      <w:r>
        <w:rPr>
          <w:rFonts w:hint="eastAsia" w:ascii="宋体" w:hAnsi="宋体"/>
          <w:color w:val="auto"/>
          <w:sz w:val="24"/>
          <w:szCs w:val="24"/>
          <w:highlight w:val="none"/>
          <w:u w:val="single"/>
          <w:lang w:eastAsia="zh-CN"/>
        </w:rPr>
        <w:t xml:space="preserve">       / </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20.3.1 争议评审小组的确定</w:t>
      </w:r>
    </w:p>
    <w:p>
      <w:pPr>
        <w:spacing w:line="500" w:lineRule="exact"/>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lang w:eastAsia="zh-CN"/>
        </w:rPr>
        <w:t>争议评审小组成员的确定：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选定争议评审员的期限：</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争议评审小组成员的报酬承担方式：</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其他事项的约定：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20.3.2 争议评审小组的决定</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合同当事人关于本项的约定：</w:t>
      </w:r>
      <w:r>
        <w:rPr>
          <w:rFonts w:hint="eastAsia" w:ascii="宋体" w:hAnsi="宋体"/>
          <w:color w:val="auto"/>
          <w:sz w:val="24"/>
          <w:szCs w:val="24"/>
          <w:highlight w:val="none"/>
          <w:u w:val="single"/>
          <w:lang w:eastAsia="zh-CN"/>
        </w:rPr>
        <w:t xml:space="preserve">             /              </w:t>
      </w:r>
      <w:r>
        <w:rPr>
          <w:rFonts w:hint="eastAsia" w:ascii="宋体" w:hAnsi="宋体"/>
          <w:color w:val="auto"/>
          <w:sz w:val="24"/>
          <w:szCs w:val="24"/>
          <w:highlight w:val="none"/>
          <w:lang w:eastAsia="zh-CN"/>
        </w:rPr>
        <w:t>。</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20.4仲裁或诉讼</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因合同及合同有关事项发生的争议，按下列第</w:t>
      </w:r>
      <w:r>
        <w:rPr>
          <w:rFonts w:hint="eastAsia" w:ascii="宋体" w:hAnsi="宋体"/>
          <w:color w:val="auto"/>
          <w:sz w:val="24"/>
          <w:szCs w:val="24"/>
          <w:highlight w:val="none"/>
          <w:u w:val="single"/>
          <w:lang w:eastAsia="zh-CN"/>
        </w:rPr>
        <w:t xml:space="preserve">   2  </w:t>
      </w:r>
      <w:r>
        <w:rPr>
          <w:rFonts w:hint="eastAsia" w:ascii="宋体" w:hAnsi="宋体"/>
          <w:color w:val="auto"/>
          <w:sz w:val="24"/>
          <w:szCs w:val="24"/>
          <w:highlight w:val="none"/>
          <w:lang w:eastAsia="zh-CN"/>
        </w:rPr>
        <w:t>种方式解决：</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（1）向</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lang w:eastAsia="zh-CN"/>
        </w:rPr>
        <w:t>仲裁委员会申请仲裁；</w:t>
      </w:r>
    </w:p>
    <w:p>
      <w:pPr>
        <w:spacing w:line="50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（2）向</w:t>
      </w:r>
      <w:r>
        <w:rPr>
          <w:rFonts w:hint="eastAsia" w:ascii="宋体" w:hAnsi="宋体"/>
          <w:color w:val="auto"/>
          <w:sz w:val="24"/>
          <w:szCs w:val="24"/>
          <w:highlight w:val="none"/>
          <w:u w:val="single"/>
          <w:lang w:eastAsia="zh-CN"/>
        </w:rPr>
        <w:t xml:space="preserve">    长垣市    </w:t>
      </w:r>
      <w:r>
        <w:rPr>
          <w:rFonts w:hint="eastAsia" w:ascii="宋体" w:hAnsi="宋体"/>
          <w:color w:val="auto"/>
          <w:sz w:val="24"/>
          <w:szCs w:val="24"/>
          <w:highlight w:val="none"/>
          <w:lang w:eastAsia="zh-CN"/>
        </w:rPr>
        <w:t>人民法院起诉。</w:t>
      </w:r>
    </w:p>
    <w:p>
      <w:pPr>
        <w:overflowPunct w:val="0"/>
        <w:spacing w:line="600" w:lineRule="exact"/>
        <w:jc w:val="both"/>
        <w:outlineLvl w:val="2"/>
        <w:rPr>
          <w:color w:val="auto"/>
          <w:sz w:val="44"/>
          <w:szCs w:val="44"/>
          <w:highlight w:val="none"/>
        </w:rPr>
      </w:pPr>
    </w:p>
    <w:p>
      <w:pPr>
        <w:spacing w:line="480" w:lineRule="exact"/>
        <w:jc w:val="center"/>
        <w:outlineLvl w:val="0"/>
        <w:rPr>
          <w:rFonts w:ascii="宋体" w:hAnsi="宋体" w:cs="宋体"/>
          <w:b/>
          <w:bCs/>
          <w:color w:val="auto"/>
          <w:sz w:val="36"/>
          <w:szCs w:val="36"/>
          <w:highlight w:val="none"/>
        </w:rPr>
      </w:pPr>
      <w:bookmarkStart w:id="584" w:name="_Toc28979"/>
    </w:p>
    <w:p>
      <w:pPr>
        <w:pStyle w:val="9"/>
        <w:rPr>
          <w:rFonts w:ascii="宋体" w:hAnsi="宋体" w:cs="宋体"/>
          <w:b/>
          <w:bCs/>
          <w:color w:val="auto"/>
          <w:sz w:val="36"/>
          <w:szCs w:val="36"/>
          <w:highlight w:val="none"/>
        </w:rPr>
      </w:pPr>
    </w:p>
    <w:p>
      <w:pPr>
        <w:rPr>
          <w:rFonts w:ascii="宋体" w:hAnsi="宋体" w:cs="宋体"/>
          <w:b/>
          <w:bCs/>
          <w:color w:val="auto"/>
          <w:sz w:val="36"/>
          <w:szCs w:val="36"/>
          <w:highlight w:val="none"/>
        </w:rPr>
      </w:pPr>
    </w:p>
    <w:p>
      <w:pPr>
        <w:pStyle w:val="9"/>
        <w:rPr>
          <w:rFonts w:ascii="宋体" w:hAnsi="宋体" w:cs="宋体"/>
          <w:b/>
          <w:bCs/>
          <w:color w:val="auto"/>
          <w:sz w:val="36"/>
          <w:szCs w:val="36"/>
          <w:highlight w:val="none"/>
        </w:rPr>
      </w:pPr>
    </w:p>
    <w:p>
      <w:pPr>
        <w:rPr>
          <w:color w:val="auto"/>
          <w:highlight w:val="none"/>
        </w:rPr>
      </w:pPr>
    </w:p>
    <w:p>
      <w:pPr>
        <w:spacing w:line="480" w:lineRule="exact"/>
        <w:jc w:val="center"/>
        <w:outlineLvl w:val="0"/>
        <w:rPr>
          <w:rFonts w:ascii="宋体" w:hAnsi="宋体" w:cs="宋体"/>
          <w:b/>
          <w:bCs/>
          <w:color w:val="auto"/>
          <w:sz w:val="36"/>
          <w:szCs w:val="36"/>
          <w:highlight w:val="none"/>
        </w:rPr>
      </w:pPr>
    </w:p>
    <w:p>
      <w:pPr>
        <w:spacing w:line="480" w:lineRule="exact"/>
        <w:jc w:val="center"/>
        <w:outlineLvl w:val="0"/>
        <w:rPr>
          <w:rFonts w:ascii="宋体" w:hAnsi="宋体" w:cs="宋体"/>
          <w:b/>
          <w:bCs/>
          <w:color w:val="auto"/>
          <w:sz w:val="36"/>
          <w:szCs w:val="36"/>
          <w:highlight w:val="none"/>
        </w:rPr>
      </w:pPr>
    </w:p>
    <w:p>
      <w:pPr>
        <w:spacing w:line="480" w:lineRule="exact"/>
        <w:jc w:val="center"/>
        <w:outlineLvl w:val="0"/>
        <w:rPr>
          <w:rFonts w:ascii="宋体" w:hAnsi="宋体" w:cs="宋体"/>
          <w:b/>
          <w:bCs/>
          <w:color w:val="auto"/>
          <w:sz w:val="36"/>
          <w:szCs w:val="36"/>
          <w:highlight w:val="none"/>
        </w:rPr>
      </w:pPr>
    </w:p>
    <w:p>
      <w:pPr>
        <w:spacing w:line="480" w:lineRule="exact"/>
        <w:jc w:val="center"/>
        <w:outlineLvl w:val="0"/>
        <w:rPr>
          <w:rFonts w:ascii="宋体" w:hAnsi="宋体" w:cs="宋体"/>
          <w:b/>
          <w:bCs/>
          <w:color w:val="auto"/>
          <w:sz w:val="36"/>
          <w:szCs w:val="36"/>
          <w:highlight w:val="none"/>
        </w:rPr>
      </w:pPr>
    </w:p>
    <w:p>
      <w:pPr>
        <w:spacing w:line="480" w:lineRule="exact"/>
        <w:jc w:val="center"/>
        <w:outlineLvl w:val="0"/>
        <w:rPr>
          <w:rFonts w:ascii="宋体" w:hAnsi="宋体" w:cs="宋体"/>
          <w:b/>
          <w:bCs/>
          <w:color w:val="auto"/>
          <w:sz w:val="28"/>
          <w:szCs w:val="28"/>
          <w:highlight w:val="none"/>
        </w:rPr>
      </w:pPr>
      <w:bookmarkStart w:id="585" w:name="_Toc16153"/>
      <w:r>
        <w:rPr>
          <w:rFonts w:hint="eastAsia" w:ascii="宋体" w:hAnsi="宋体" w:cs="宋体"/>
          <w:b/>
          <w:bCs/>
          <w:color w:val="auto"/>
          <w:sz w:val="36"/>
          <w:szCs w:val="36"/>
          <w:highlight w:val="none"/>
        </w:rPr>
        <w:t>第五章 工程量清单</w:t>
      </w:r>
      <w:bookmarkEnd w:id="584"/>
      <w:r>
        <w:rPr>
          <w:rFonts w:hint="eastAsia" w:ascii="宋体" w:hAnsi="宋体" w:cs="宋体"/>
          <w:b/>
          <w:bCs/>
          <w:color w:val="auto"/>
          <w:sz w:val="36"/>
          <w:szCs w:val="36"/>
          <w:highlight w:val="none"/>
        </w:rPr>
        <w:t>（另附）</w:t>
      </w:r>
      <w:bookmarkEnd w:id="585"/>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outlineLvl w:val="0"/>
        <w:rPr>
          <w:rFonts w:ascii="宋体" w:hAnsi="宋体" w:cs="宋体"/>
          <w:b/>
          <w:color w:val="auto"/>
          <w:sz w:val="36"/>
          <w:szCs w:val="36"/>
          <w:highlight w:val="none"/>
        </w:rPr>
      </w:pPr>
      <w:bookmarkStart w:id="586" w:name="_Toc9831"/>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hint="eastAsia" w:ascii="宋体" w:hAnsi="宋体" w:cs="宋体"/>
          <w:b/>
          <w:color w:val="auto"/>
          <w:sz w:val="36"/>
          <w:szCs w:val="36"/>
          <w:highlight w:val="none"/>
        </w:rPr>
      </w:pPr>
      <w:bookmarkStart w:id="587" w:name="_Toc24377"/>
    </w:p>
    <w:p>
      <w:pPr>
        <w:spacing w:line="480" w:lineRule="exact"/>
        <w:jc w:val="center"/>
        <w:outlineLvl w:val="0"/>
        <w:rPr>
          <w:rFonts w:ascii="宋体" w:hAnsi="宋体" w:cs="宋体"/>
          <w:b/>
          <w:color w:val="auto"/>
          <w:sz w:val="28"/>
          <w:szCs w:val="28"/>
          <w:highlight w:val="none"/>
        </w:rPr>
      </w:pPr>
      <w:r>
        <w:rPr>
          <w:rFonts w:hint="eastAsia" w:ascii="宋体" w:hAnsi="宋体" w:cs="宋体"/>
          <w:b/>
          <w:color w:val="auto"/>
          <w:sz w:val="36"/>
          <w:szCs w:val="36"/>
          <w:highlight w:val="none"/>
        </w:rPr>
        <w:t>第六章 图 纸（另附）</w:t>
      </w:r>
      <w:bookmarkEnd w:id="586"/>
      <w:bookmarkEnd w:id="587"/>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jc w:val="center"/>
        <w:outlineLvl w:val="0"/>
        <w:rPr>
          <w:rFonts w:ascii="宋体" w:hAnsi="宋体" w:cs="宋体"/>
          <w:b/>
          <w:color w:val="auto"/>
          <w:sz w:val="36"/>
          <w:szCs w:val="36"/>
          <w:highlight w:val="none"/>
        </w:rPr>
      </w:pPr>
      <w:bookmarkStart w:id="588" w:name="_Toc24534"/>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ascii="宋体" w:hAnsi="宋体" w:cs="宋体"/>
          <w:b/>
          <w:color w:val="auto"/>
          <w:sz w:val="36"/>
          <w:szCs w:val="36"/>
          <w:highlight w:val="none"/>
        </w:rPr>
      </w:pPr>
    </w:p>
    <w:p>
      <w:pPr>
        <w:spacing w:line="480" w:lineRule="exact"/>
        <w:jc w:val="center"/>
        <w:outlineLvl w:val="0"/>
        <w:rPr>
          <w:rFonts w:hint="eastAsia" w:ascii="宋体" w:hAnsi="宋体" w:cs="宋体"/>
          <w:b/>
          <w:color w:val="auto"/>
          <w:sz w:val="36"/>
          <w:szCs w:val="36"/>
          <w:highlight w:val="none"/>
        </w:rPr>
      </w:pPr>
      <w:bookmarkStart w:id="589" w:name="_Toc4499"/>
    </w:p>
    <w:p>
      <w:pPr>
        <w:spacing w:line="480" w:lineRule="exact"/>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第七章 技术标准和要求</w:t>
      </w:r>
      <w:bookmarkEnd w:id="588"/>
      <w:bookmarkEnd w:id="589"/>
    </w:p>
    <w:p>
      <w:pPr>
        <w:spacing w:line="48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1.一般规定</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合同中约定的任何投标人应予遵照执行的国家规范、规程和标准都指他们各自的最新版本。如果在构成本工程规范和技术说明的任何内容与任何现行国家规范、规程和标准包括他们适用的修改之间出现相互矛盾之处或不一致的指示，投标人应按照其中要求最严格的标准执行。材料、施工工艺和本工程都应依照本工程规范和技术说明以及相关国家规范、规程和标准的最新版本；或把最新版本的要求当作对投标人工作的最起码要求，而执行更高的标准。</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未尽项均执行现行规范及标准,以上规范如有变化，以最新发布的为准。</w:t>
      </w:r>
    </w:p>
    <w:p>
      <w:pPr>
        <w:spacing w:line="48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2.现行有效的主要设计和施工验收规范索引</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【由投标人自行购买或收集】</w:t>
      </w:r>
    </w:p>
    <w:p>
      <w:pPr>
        <w:spacing w:line="48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3.其他详见图纸</w:t>
      </w: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rPr>
          <w:rFonts w:ascii="宋体" w:hAnsi="宋体" w:cs="宋体"/>
          <w:b/>
          <w:color w:val="auto"/>
          <w:sz w:val="24"/>
          <w:highlight w:val="none"/>
        </w:rPr>
      </w:pPr>
    </w:p>
    <w:p>
      <w:pPr>
        <w:spacing w:line="480" w:lineRule="exact"/>
        <w:jc w:val="center"/>
        <w:outlineLvl w:val="0"/>
        <w:rPr>
          <w:rFonts w:ascii="宋体" w:hAnsi="宋体" w:cs="宋体"/>
          <w:b/>
          <w:color w:val="auto"/>
          <w:sz w:val="36"/>
          <w:szCs w:val="36"/>
          <w:highlight w:val="none"/>
        </w:rPr>
      </w:pPr>
      <w:bookmarkStart w:id="590" w:name="_Toc20124"/>
    </w:p>
    <w:p>
      <w:pPr>
        <w:spacing w:line="480" w:lineRule="exact"/>
        <w:jc w:val="center"/>
        <w:outlineLvl w:val="0"/>
        <w:rPr>
          <w:rFonts w:hint="eastAsia" w:ascii="宋体" w:hAnsi="宋体" w:cs="宋体"/>
          <w:b/>
          <w:color w:val="auto"/>
          <w:sz w:val="36"/>
          <w:szCs w:val="36"/>
          <w:highlight w:val="none"/>
        </w:rPr>
      </w:pPr>
      <w:bookmarkStart w:id="591" w:name="_Toc5509"/>
    </w:p>
    <w:p>
      <w:pPr>
        <w:spacing w:line="480" w:lineRule="exact"/>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第八章 投标文件格式</w:t>
      </w:r>
      <w:bookmarkEnd w:id="590"/>
      <w:bookmarkEnd w:id="591"/>
    </w:p>
    <w:p>
      <w:pPr>
        <w:spacing w:line="480" w:lineRule="exact"/>
        <w:jc w:val="center"/>
        <w:rPr>
          <w:rFonts w:ascii="宋体" w:hAnsi="宋体" w:cs="宋体"/>
          <w:b/>
          <w:color w:val="auto"/>
          <w:sz w:val="24"/>
          <w:highlight w:val="none"/>
          <w:u w:val="single"/>
        </w:rPr>
      </w:pPr>
    </w:p>
    <w:p>
      <w:pPr>
        <w:jc w:val="center"/>
        <w:rPr>
          <w:rFonts w:hint="eastAsia" w:ascii="宋体" w:hAnsi="宋体" w:eastAsia="宋体" w:cs="宋体"/>
          <w:b/>
          <w:bCs/>
          <w:color w:val="auto"/>
          <w:sz w:val="36"/>
          <w:szCs w:val="36"/>
          <w:highlight w:val="none"/>
          <w:lang w:val="en-US" w:eastAsia="zh-CN"/>
        </w:rPr>
      </w:pPr>
    </w:p>
    <w:p>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长垣市南蒲街道办事处长垣市崇德小学建设景观及外网</w:t>
      </w:r>
    </w:p>
    <w:p>
      <w:pPr>
        <w:jc w:val="center"/>
        <w:rPr>
          <w:rFonts w:ascii="宋体" w:hAnsi="宋体" w:cs="宋体"/>
          <w:color w:val="auto"/>
          <w:sz w:val="36"/>
          <w:szCs w:val="36"/>
          <w:highlight w:val="none"/>
        </w:rPr>
      </w:pPr>
      <w:r>
        <w:rPr>
          <w:rFonts w:hint="eastAsia" w:ascii="宋体" w:hAnsi="宋体" w:eastAsia="宋体" w:cs="宋体"/>
          <w:b/>
          <w:bCs/>
          <w:color w:val="auto"/>
          <w:sz w:val="36"/>
          <w:szCs w:val="36"/>
          <w:highlight w:val="none"/>
          <w:lang w:val="en-US" w:eastAsia="zh-CN"/>
        </w:rPr>
        <w:t>工程项目</w:t>
      </w:r>
    </w:p>
    <w:p>
      <w:pPr>
        <w:jc w:val="center"/>
        <w:rPr>
          <w:rFonts w:ascii="宋体" w:hAnsi="宋体" w:cs="宋体"/>
          <w:color w:val="auto"/>
          <w:sz w:val="36"/>
          <w:szCs w:val="36"/>
          <w:highlight w:val="none"/>
        </w:rPr>
      </w:pPr>
    </w:p>
    <w:p>
      <w:pPr>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施工投标文件</w:t>
      </w: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(项目编号：)</w:t>
      </w: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（签字或盖章）</w:t>
      </w:r>
    </w:p>
    <w:p>
      <w:pP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480" w:lineRule="exact"/>
        <w:rPr>
          <w:rFonts w:ascii="宋体" w:hAnsi="宋体" w:cs="宋体"/>
          <w:b/>
          <w:color w:val="auto"/>
          <w:sz w:val="24"/>
          <w:highlight w:val="none"/>
          <w:u w:val="single"/>
        </w:rPr>
      </w:pPr>
    </w:p>
    <w:p>
      <w:pPr>
        <w:spacing w:line="480" w:lineRule="exact"/>
        <w:jc w:val="center"/>
        <w:rPr>
          <w:rFonts w:hint="eastAsia" w:ascii="宋体" w:hAnsi="宋体" w:cs="宋体"/>
          <w:b/>
          <w:color w:val="auto"/>
          <w:sz w:val="36"/>
          <w:szCs w:val="36"/>
          <w:highlight w:val="none"/>
        </w:rPr>
      </w:pPr>
    </w:p>
    <w:p>
      <w:pPr>
        <w:spacing w:line="480" w:lineRule="exact"/>
        <w:jc w:val="center"/>
        <w:rPr>
          <w:rFonts w:hint="eastAsia" w:ascii="宋体" w:hAnsi="宋体" w:cs="宋体"/>
          <w:b/>
          <w:color w:val="auto"/>
          <w:sz w:val="36"/>
          <w:szCs w:val="36"/>
          <w:highlight w:val="none"/>
        </w:rPr>
      </w:pPr>
    </w:p>
    <w:p>
      <w:pPr>
        <w:spacing w:line="480" w:lineRule="exact"/>
        <w:jc w:val="center"/>
        <w:rPr>
          <w:rFonts w:hint="eastAsia" w:ascii="宋体" w:hAnsi="宋体" w:cs="宋体"/>
          <w:b/>
          <w:color w:val="auto"/>
          <w:sz w:val="36"/>
          <w:szCs w:val="36"/>
          <w:highlight w:val="none"/>
        </w:rPr>
      </w:pPr>
    </w:p>
    <w:p>
      <w:pPr>
        <w:spacing w:line="480" w:lineRule="exact"/>
        <w:jc w:val="center"/>
        <w:rPr>
          <w:rFonts w:hint="eastAsia" w:ascii="宋体" w:hAnsi="宋体" w:cs="宋体"/>
          <w:b/>
          <w:color w:val="auto"/>
          <w:sz w:val="36"/>
          <w:szCs w:val="36"/>
          <w:highlight w:val="none"/>
        </w:rPr>
      </w:pPr>
    </w:p>
    <w:p>
      <w:pPr>
        <w:spacing w:line="480" w:lineRule="exact"/>
        <w:jc w:val="center"/>
        <w:rPr>
          <w:rFonts w:hint="eastAsia" w:ascii="宋体" w:hAnsi="宋体" w:cs="宋体"/>
          <w:b/>
          <w:color w:val="auto"/>
          <w:sz w:val="36"/>
          <w:szCs w:val="36"/>
          <w:highlight w:val="none"/>
        </w:rPr>
      </w:pPr>
    </w:p>
    <w:p>
      <w:pPr>
        <w:spacing w:line="480" w:lineRule="exact"/>
        <w:jc w:val="center"/>
        <w:rPr>
          <w:rFonts w:ascii="宋体" w:hAnsi="宋体" w:cs="宋体"/>
          <w:b/>
          <w:color w:val="auto"/>
          <w:sz w:val="28"/>
          <w:szCs w:val="28"/>
          <w:highlight w:val="none"/>
        </w:rPr>
      </w:pPr>
      <w:r>
        <w:rPr>
          <w:rFonts w:hint="eastAsia" w:ascii="宋体" w:hAnsi="宋体" w:cs="宋体"/>
          <w:b/>
          <w:color w:val="auto"/>
          <w:sz w:val="36"/>
          <w:szCs w:val="36"/>
          <w:highlight w:val="none"/>
        </w:rPr>
        <w:t>目   录</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一、投标函及投标报价一览表</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二、法定代表人身份证明及授权委托书</w:t>
      </w:r>
    </w:p>
    <w:p>
      <w:pPr>
        <w:spacing w:line="480" w:lineRule="auto"/>
        <w:ind w:firstLine="840" w:firstLineChars="350"/>
        <w:rPr>
          <w:rFonts w:ascii="宋体" w:hAnsi="宋体" w:cs="宋体"/>
          <w:color w:val="auto"/>
          <w:sz w:val="24"/>
          <w:highlight w:val="none"/>
        </w:rPr>
      </w:pPr>
      <w:r>
        <w:rPr>
          <w:rFonts w:hint="eastAsia" w:ascii="宋体" w:hAnsi="宋体" w:cs="宋体"/>
          <w:color w:val="auto"/>
          <w:sz w:val="24"/>
          <w:highlight w:val="none"/>
        </w:rPr>
        <w:t>2-1  法定代表人身份证明</w:t>
      </w:r>
    </w:p>
    <w:p>
      <w:pPr>
        <w:spacing w:line="480" w:lineRule="auto"/>
        <w:ind w:firstLine="840" w:firstLineChars="350"/>
        <w:rPr>
          <w:rFonts w:ascii="宋体" w:hAnsi="宋体" w:cs="宋体"/>
          <w:color w:val="auto"/>
          <w:sz w:val="24"/>
          <w:highlight w:val="none"/>
        </w:rPr>
      </w:pPr>
      <w:r>
        <w:rPr>
          <w:rFonts w:hint="eastAsia" w:ascii="宋体" w:hAnsi="宋体" w:cs="宋体"/>
          <w:color w:val="auto"/>
          <w:sz w:val="24"/>
          <w:highlight w:val="none"/>
        </w:rPr>
        <w:t>2-2  授权委托书</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三、投标保证金</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四、已标价的工程量清单</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五、项目管理机构</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六、资格审查资料</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七、其他材料</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八、施工组织设计</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九、落实的政府采购政策</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pStyle w:val="9"/>
        <w:rPr>
          <w:rFonts w:ascii="宋体" w:hAnsi="宋体" w:cs="宋体"/>
          <w:color w:val="auto"/>
          <w:sz w:val="24"/>
          <w:highlight w:val="none"/>
        </w:rPr>
      </w:pPr>
    </w:p>
    <w:p>
      <w:pPr>
        <w:pStyle w:val="9"/>
        <w:rPr>
          <w:rFonts w:ascii="宋体" w:hAnsi="宋体" w:cs="宋体"/>
          <w:color w:val="auto"/>
          <w:sz w:val="24"/>
          <w:highlight w:val="none"/>
        </w:rPr>
      </w:pPr>
    </w:p>
    <w:p>
      <w:pPr>
        <w:spacing w:line="480" w:lineRule="exact"/>
        <w:jc w:val="center"/>
        <w:outlineLvl w:val="0"/>
        <w:rPr>
          <w:rFonts w:ascii="宋体" w:hAnsi="宋体" w:cs="宋体"/>
          <w:b/>
          <w:bCs/>
          <w:color w:val="auto"/>
          <w:sz w:val="28"/>
          <w:szCs w:val="28"/>
          <w:highlight w:val="none"/>
        </w:rPr>
      </w:pPr>
      <w:bookmarkStart w:id="592" w:name="_Toc11066"/>
    </w:p>
    <w:p>
      <w:pPr>
        <w:spacing w:line="480" w:lineRule="exact"/>
        <w:jc w:val="center"/>
        <w:outlineLvl w:val="0"/>
        <w:rPr>
          <w:rFonts w:ascii="宋体" w:hAnsi="宋体" w:cs="宋体"/>
          <w:b/>
          <w:bCs/>
          <w:color w:val="auto"/>
          <w:sz w:val="28"/>
          <w:szCs w:val="28"/>
          <w:highlight w:val="none"/>
        </w:rPr>
      </w:pPr>
      <w:bookmarkStart w:id="593" w:name="_Toc32546"/>
      <w:r>
        <w:rPr>
          <w:rFonts w:hint="eastAsia" w:ascii="宋体" w:hAnsi="宋体" w:cs="宋体"/>
          <w:b/>
          <w:bCs/>
          <w:color w:val="auto"/>
          <w:sz w:val="28"/>
          <w:szCs w:val="28"/>
          <w:highlight w:val="none"/>
        </w:rPr>
        <w:t>一、投标函及投标报价一览表</w:t>
      </w:r>
      <w:bookmarkEnd w:id="592"/>
      <w:bookmarkEnd w:id="593"/>
    </w:p>
    <w:p>
      <w:pPr>
        <w:spacing w:line="480" w:lineRule="exact"/>
        <w:jc w:val="center"/>
        <w:outlineLvl w:val="3"/>
        <w:rPr>
          <w:color w:val="auto"/>
          <w:sz w:val="28"/>
          <w:szCs w:val="36"/>
          <w:highlight w:val="none"/>
        </w:rPr>
      </w:pPr>
      <w:bookmarkStart w:id="594" w:name="_Toc31443"/>
      <w:r>
        <w:rPr>
          <w:rFonts w:hint="eastAsia" w:ascii="宋体" w:hAnsi="宋体" w:cs="宋体"/>
          <w:b/>
          <w:color w:val="auto"/>
          <w:sz w:val="24"/>
          <w:highlight w:val="none"/>
        </w:rPr>
        <w:t>（一）投标函</w:t>
      </w:r>
      <w:bookmarkEnd w:id="594"/>
      <w:bookmarkStart w:id="595" w:name="_Toc15197"/>
    </w:p>
    <w:p>
      <w:pPr>
        <w:rPr>
          <w:color w:val="auto"/>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致：</w:t>
      </w:r>
      <w:bookmarkStart w:id="596" w:name="B001"/>
      <w:r>
        <w:rPr>
          <w:rFonts w:hint="eastAsia" w:ascii="宋体" w:hAnsi="宋体" w:eastAsia="宋体" w:cs="宋体"/>
          <w:color w:val="auto"/>
          <w:sz w:val="24"/>
          <w:highlight w:val="none"/>
          <w:u w:val="single"/>
          <w:lang w:bidi="ar"/>
        </w:rPr>
        <w:t xml:space="preserve">          </w:t>
      </w:r>
      <w:bookmarkEnd w:id="596"/>
      <w:r>
        <w:rPr>
          <w:rFonts w:hint="eastAsia" w:ascii="宋体" w:hAnsi="宋体" w:eastAsia="宋体" w:cs="宋体"/>
          <w:color w:val="auto"/>
          <w:sz w:val="24"/>
          <w:highlight w:val="none"/>
          <w:u w:val="single"/>
          <w:lang w:bidi="ar"/>
        </w:rPr>
        <w:t>（招标人名称）</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1、我方已仔细研究了项目招标文件的全部内容，愿按照招标文件中规定的条款和要求，完成本项目。投标总报价为</w:t>
      </w:r>
      <w:r>
        <w:rPr>
          <w:rFonts w:hint="eastAsia" w:ascii="宋体" w:hAnsi="宋体" w:eastAsia="宋体" w:cs="宋体"/>
          <w:color w:val="auto"/>
          <w:sz w:val="24"/>
          <w:highlight w:val="none"/>
          <w:u w:val="single"/>
          <w:lang w:bidi="ar"/>
        </w:rPr>
        <w:t xml:space="preserve">（大写）      </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u w:val="single"/>
          <w:lang w:bidi="ar"/>
        </w:rPr>
        <w:t>（¥</w:t>
      </w:r>
      <w:bookmarkStart w:id="597" w:name="A001"/>
      <w:r>
        <w:rPr>
          <w:rFonts w:hint="eastAsia" w:ascii="宋体" w:hAnsi="宋体" w:eastAsia="宋体" w:cs="宋体"/>
          <w:color w:val="auto"/>
          <w:sz w:val="24"/>
          <w:highlight w:val="none"/>
          <w:u w:val="single"/>
          <w:lang w:bidi="ar"/>
        </w:rPr>
        <w:t xml:space="preserve">      </w:t>
      </w:r>
      <w:bookmarkEnd w:id="597"/>
      <w:r>
        <w:rPr>
          <w:rFonts w:hint="eastAsia" w:ascii="宋体" w:hAnsi="宋体" w:eastAsia="宋体" w:cs="宋体"/>
          <w:color w:val="auto"/>
          <w:sz w:val="24"/>
          <w:highlight w:val="none"/>
          <w:u w:val="single"/>
          <w:lang w:bidi="ar"/>
        </w:rPr>
        <w:t>元）</w:t>
      </w:r>
      <w:r>
        <w:rPr>
          <w:rFonts w:hint="eastAsia" w:ascii="宋体" w:hAnsi="宋体" w:eastAsia="宋体" w:cs="宋体"/>
          <w:color w:val="auto"/>
          <w:sz w:val="24"/>
          <w:highlight w:val="none"/>
          <w:lang w:bidi="ar"/>
        </w:rPr>
        <w:t>，工期（交货期/监理周期/设计周期）为合同生效后</w:t>
      </w:r>
      <w:bookmarkStart w:id="598" w:name="B006"/>
      <w:r>
        <w:rPr>
          <w:rFonts w:hint="eastAsia" w:ascii="宋体" w:hAnsi="宋体" w:eastAsia="宋体" w:cs="宋体"/>
          <w:color w:val="auto"/>
          <w:sz w:val="24"/>
          <w:highlight w:val="none"/>
          <w:u w:val="single"/>
          <w:lang w:bidi="ar"/>
        </w:rPr>
        <w:t xml:space="preserve">      </w:t>
      </w:r>
      <w:bookmarkEnd w:id="598"/>
      <w:r>
        <w:rPr>
          <w:rFonts w:hint="eastAsia" w:ascii="宋体" w:hAnsi="宋体" w:eastAsia="宋体" w:cs="宋体"/>
          <w:color w:val="auto"/>
          <w:sz w:val="24"/>
          <w:highlight w:val="none"/>
          <w:lang w:bidi="ar"/>
        </w:rPr>
        <w:t>日历天，质量</w:t>
      </w:r>
      <w:bookmarkStart w:id="599" w:name="B007"/>
      <w:r>
        <w:rPr>
          <w:rFonts w:hint="eastAsia" w:ascii="宋体" w:hAnsi="宋体" w:eastAsia="宋体" w:cs="宋体"/>
          <w:color w:val="auto"/>
          <w:sz w:val="24"/>
          <w:highlight w:val="none"/>
          <w:u w:val="single"/>
          <w:lang w:bidi="ar"/>
        </w:rPr>
        <w:t xml:space="preserve">      </w:t>
      </w:r>
      <w:bookmarkEnd w:id="599"/>
      <w:r>
        <w:rPr>
          <w:rFonts w:hint="eastAsia" w:ascii="宋体" w:hAnsi="宋体" w:eastAsia="宋体" w:cs="宋体"/>
          <w:color w:val="auto"/>
          <w:sz w:val="24"/>
          <w:highlight w:val="none"/>
          <w:lang w:bidi="ar"/>
        </w:rPr>
        <w:t>，项目经理/负责人（项目总监）</w:t>
      </w:r>
      <w:bookmarkStart w:id="600" w:name="B010"/>
      <w:r>
        <w:rPr>
          <w:rFonts w:hint="eastAsia" w:ascii="宋体" w:hAnsi="宋体" w:eastAsia="宋体" w:cs="宋体"/>
          <w:color w:val="auto"/>
          <w:sz w:val="24"/>
          <w:highlight w:val="none"/>
          <w:u w:val="single"/>
          <w:lang w:bidi="ar"/>
        </w:rPr>
        <w:t xml:space="preserve">           </w:t>
      </w:r>
      <w:bookmarkEnd w:id="600"/>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2、我方承诺在投标有效期内不修改、撤销投标文件。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3、投标保证金已按招标文件规定提交，金额为人民币: </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（大写）（¥</w:t>
      </w:r>
      <w:bookmarkStart w:id="601" w:name="B009"/>
      <w:r>
        <w:rPr>
          <w:rFonts w:hint="eastAsia" w:ascii="宋体" w:hAnsi="宋体" w:eastAsia="宋体" w:cs="宋体"/>
          <w:color w:val="auto"/>
          <w:sz w:val="24"/>
          <w:highlight w:val="none"/>
          <w:u w:val="single"/>
          <w:lang w:bidi="ar"/>
        </w:rPr>
        <w:t xml:space="preserve">     </w:t>
      </w:r>
      <w:bookmarkEnd w:id="601"/>
      <w:r>
        <w:rPr>
          <w:rFonts w:hint="eastAsia" w:ascii="宋体" w:hAnsi="宋体" w:eastAsia="宋体" w:cs="宋体"/>
          <w:color w:val="auto"/>
          <w:sz w:val="24"/>
          <w:highlight w:val="none"/>
          <w:lang w:bidi="ar"/>
        </w:rPr>
        <w:t xml:space="preserve">元）。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4、如我方中标：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（1）我方承诺在收到中标通知书后，在中标通知书规定的期限内与你方签订合同。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（2）随同本投标函递交的投标函附录属于合同文件的组成部分。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（3）我方承诺按照招标文件规定向你方递交履约担保。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（4）我方承诺在合同约定的期限内完成本项目。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5、我方在此声明，所递交的投标文件及有关资料内容完整、真实和准确。 </w:t>
      </w:r>
    </w:p>
    <w:p>
      <w:pPr>
        <w:rPr>
          <w:rFonts w:ascii="宋体" w:hAnsi="宋体" w:eastAsia="宋体" w:cs="宋体"/>
          <w:color w:val="auto"/>
          <w:sz w:val="24"/>
          <w:highlight w:val="none"/>
        </w:rPr>
      </w:pPr>
    </w:p>
    <w:p>
      <w:pPr>
        <w:rPr>
          <w:rFonts w:ascii="宋体" w:hAnsi="宋体" w:eastAsia="宋体" w:cs="宋体"/>
          <w:color w:val="auto"/>
          <w:sz w:val="24"/>
          <w:highlight w:val="none"/>
          <w:u w:val="single"/>
        </w:rPr>
      </w:pPr>
      <w:r>
        <w:rPr>
          <w:rFonts w:hint="eastAsia" w:ascii="宋体" w:hAnsi="宋体" w:eastAsia="宋体" w:cs="宋体"/>
          <w:color w:val="auto"/>
          <w:sz w:val="24"/>
          <w:highlight w:val="none"/>
          <w:lang w:bidi="ar"/>
        </w:rPr>
        <w:t>6、我方同意本项目投标有效期为自投标文件递交截止之日起</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天。</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7（其他补充说明）</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投标人（单位名称及盖电子签章）：</w:t>
      </w:r>
      <w:bookmarkStart w:id="602" w:name="B012"/>
      <w:r>
        <w:rPr>
          <w:rFonts w:hint="eastAsia" w:ascii="宋体" w:hAnsi="宋体" w:eastAsia="宋体" w:cs="宋体"/>
          <w:color w:val="auto"/>
          <w:sz w:val="24"/>
          <w:highlight w:val="none"/>
          <w:u w:val="single"/>
          <w:lang w:bidi="ar"/>
        </w:rPr>
        <w:t xml:space="preserve">            </w:t>
      </w:r>
      <w:bookmarkEnd w:id="602"/>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法定代表人或委托代理人（姓名及电子签章）：</w:t>
      </w:r>
      <w:bookmarkStart w:id="603" w:name="B013"/>
      <w:r>
        <w:rPr>
          <w:rFonts w:hint="eastAsia" w:ascii="宋体" w:hAnsi="宋体" w:eastAsia="宋体" w:cs="宋体"/>
          <w:color w:val="auto"/>
          <w:sz w:val="24"/>
          <w:highlight w:val="none"/>
          <w:u w:val="single"/>
          <w:lang w:bidi="ar"/>
        </w:rPr>
        <w:t xml:space="preserve">            </w:t>
      </w:r>
      <w:bookmarkEnd w:id="603"/>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lang w:bidi="ar"/>
        </w:rPr>
        <w:t>日  期：</w:t>
      </w:r>
      <w:r>
        <w:rPr>
          <w:rFonts w:hint="eastAsia" w:ascii="宋体" w:hAnsi="宋体" w:eastAsia="宋体" w:cs="宋体"/>
          <w:color w:val="auto"/>
          <w:sz w:val="24"/>
          <w:highlight w:val="none"/>
          <w:u w:val="single"/>
          <w:lang w:bidi="ar"/>
        </w:rPr>
        <w:t xml:space="preserve">             </w:t>
      </w:r>
    </w:p>
    <w:p>
      <w:pPr>
        <w:tabs>
          <w:tab w:val="left" w:pos="1080"/>
        </w:tabs>
        <w:spacing w:line="480" w:lineRule="exact"/>
        <w:jc w:val="center"/>
        <w:outlineLvl w:val="3"/>
        <w:rPr>
          <w:rFonts w:ascii="宋体" w:hAnsi="宋体" w:cs="宋体"/>
          <w:b/>
          <w:color w:val="auto"/>
          <w:sz w:val="24"/>
          <w:highlight w:val="none"/>
        </w:rPr>
      </w:pPr>
    </w:p>
    <w:p>
      <w:pPr>
        <w:pStyle w:val="9"/>
        <w:rPr>
          <w:rFonts w:hint="eastAsia"/>
          <w:color w:val="auto"/>
          <w:highlight w:val="none"/>
        </w:rPr>
      </w:pPr>
    </w:p>
    <w:p>
      <w:pPr>
        <w:tabs>
          <w:tab w:val="left" w:pos="1080"/>
        </w:tabs>
        <w:spacing w:line="480" w:lineRule="exact"/>
        <w:jc w:val="center"/>
        <w:outlineLvl w:val="3"/>
        <w:rPr>
          <w:rFonts w:hint="eastAsia" w:ascii="宋体" w:hAnsi="宋体" w:cs="宋体"/>
          <w:b/>
          <w:color w:val="auto"/>
          <w:sz w:val="24"/>
          <w:highlight w:val="none"/>
        </w:rPr>
      </w:pPr>
    </w:p>
    <w:p>
      <w:pPr>
        <w:tabs>
          <w:tab w:val="left" w:pos="1080"/>
        </w:tabs>
        <w:spacing w:line="480" w:lineRule="exact"/>
        <w:jc w:val="center"/>
        <w:outlineLvl w:val="3"/>
        <w:rPr>
          <w:rFonts w:hint="eastAsia" w:ascii="宋体" w:hAnsi="宋体" w:cs="宋体"/>
          <w:b/>
          <w:color w:val="auto"/>
          <w:sz w:val="24"/>
          <w:highlight w:val="none"/>
        </w:rPr>
      </w:pPr>
    </w:p>
    <w:p>
      <w:pPr>
        <w:tabs>
          <w:tab w:val="left" w:pos="1080"/>
        </w:tabs>
        <w:spacing w:line="480" w:lineRule="exact"/>
        <w:jc w:val="center"/>
        <w:outlineLvl w:val="3"/>
        <w:rPr>
          <w:rFonts w:hint="eastAsia" w:ascii="宋体" w:hAnsi="宋体" w:cs="宋体"/>
          <w:color w:val="auto"/>
          <w:sz w:val="28"/>
          <w:highlight w:val="none"/>
        </w:rPr>
      </w:pPr>
      <w:r>
        <w:rPr>
          <w:rFonts w:hint="eastAsia" w:ascii="宋体" w:hAnsi="宋体" w:cs="宋体"/>
          <w:b/>
          <w:color w:val="auto"/>
          <w:sz w:val="24"/>
          <w:highlight w:val="none"/>
        </w:rPr>
        <w:t>（二）投标报价一览表</w:t>
      </w:r>
      <w:bookmarkEnd w:id="595"/>
    </w:p>
    <w:p>
      <w:pPr>
        <w:tabs>
          <w:tab w:val="left" w:pos="1080"/>
        </w:tabs>
        <w:spacing w:line="400" w:lineRule="exact"/>
        <w:ind w:firstLine="6440" w:firstLineChars="2300"/>
        <w:rPr>
          <w:rFonts w:hint="eastAsia" w:ascii="宋体" w:hAnsi="宋体" w:cs="宋体"/>
          <w:color w:val="auto"/>
          <w:sz w:val="28"/>
          <w:highlight w:val="none"/>
        </w:rPr>
      </w:pPr>
    </w:p>
    <w:p>
      <w:pPr>
        <w:tabs>
          <w:tab w:val="left" w:pos="1080"/>
        </w:tabs>
        <w:spacing w:line="400" w:lineRule="exact"/>
        <w:ind w:firstLine="6440" w:firstLineChars="2300"/>
        <w:rPr>
          <w:rFonts w:hint="eastAsia" w:ascii="宋体" w:hAnsi="宋体" w:cs="宋体"/>
          <w:color w:val="auto"/>
          <w:sz w:val="28"/>
          <w:highlight w:val="none"/>
        </w:rPr>
      </w:pPr>
    </w:p>
    <w:p>
      <w:pPr>
        <w:tabs>
          <w:tab w:val="left" w:pos="1080"/>
        </w:tabs>
        <w:spacing w:line="400" w:lineRule="exact"/>
        <w:ind w:firstLine="6440" w:firstLineChars="2300"/>
        <w:rPr>
          <w:rFonts w:ascii="宋体" w:hAnsi="宋体" w:cs="宋体"/>
          <w:color w:val="auto"/>
          <w:sz w:val="28"/>
          <w:highlight w:val="none"/>
        </w:rPr>
      </w:pPr>
      <w:r>
        <w:rPr>
          <w:rFonts w:hint="eastAsia" w:ascii="宋体" w:hAnsi="宋体" w:cs="宋体"/>
          <w:color w:val="auto"/>
          <w:sz w:val="28"/>
          <w:highlight w:val="none"/>
        </w:rPr>
        <w:t>金额单位：元人民币</w:t>
      </w:r>
    </w:p>
    <w:tbl>
      <w:tblPr>
        <w:tblStyle w:val="17"/>
        <w:tblpPr w:leftFromText="180" w:rightFromText="180" w:vertAnchor="text" w:horzAnchor="page" w:tblpX="1462" w:tblpY="438"/>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2161"/>
        <w:gridCol w:w="664"/>
        <w:gridCol w:w="1818"/>
        <w:gridCol w:w="1101"/>
        <w:gridCol w:w="567"/>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80"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460" w:type="dxa"/>
            <w:gridSpan w:val="5"/>
          </w:tcPr>
          <w:p>
            <w:pPr>
              <w:pStyle w:val="28"/>
              <w:spacing w:line="480" w:lineRule="exact"/>
              <w:jc w:val="left"/>
              <w:rPr>
                <w:rFonts w:ascii="宋体" w:hAnsi="宋体" w:cs="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80" w:type="dxa"/>
            <w:gridSpan w:val="2"/>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投标人</w:t>
            </w:r>
          </w:p>
        </w:tc>
        <w:tc>
          <w:tcPr>
            <w:tcW w:w="6460" w:type="dxa"/>
            <w:gridSpan w:val="5"/>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480" w:type="dxa"/>
            <w:gridSpan w:val="2"/>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投标范围</w:t>
            </w:r>
          </w:p>
        </w:tc>
        <w:tc>
          <w:tcPr>
            <w:tcW w:w="6460" w:type="dxa"/>
            <w:gridSpan w:val="5"/>
          </w:tcPr>
          <w:p>
            <w:pPr>
              <w:spacing w:line="480" w:lineRule="exact"/>
              <w:rPr>
                <w:rFonts w:ascii="宋体" w:hAnsi="宋体" w:cs="宋体"/>
                <w:color w:val="auto"/>
                <w:sz w:val="24"/>
                <w:highlight w:val="none"/>
              </w:rPr>
            </w:pPr>
            <w:r>
              <w:rPr>
                <w:rFonts w:hint="eastAsia" w:ascii="宋体" w:hAnsi="宋体" w:cs="宋体"/>
                <w:color w:val="auto"/>
                <w:sz w:val="24"/>
                <w:highlight w:val="none"/>
              </w:rPr>
              <w:t>图纸及工程量清单包含的全部内容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480" w:type="dxa"/>
            <w:gridSpan w:val="2"/>
            <w:vAlign w:val="center"/>
          </w:tcPr>
          <w:p>
            <w:pPr>
              <w:jc w:val="center"/>
              <w:rPr>
                <w:rFonts w:ascii="宋体" w:hAnsi="宋体" w:cs="宋体"/>
                <w:color w:val="auto"/>
                <w:sz w:val="24"/>
                <w:highlight w:val="none"/>
              </w:rPr>
            </w:pPr>
            <w:r>
              <w:rPr>
                <w:rFonts w:hint="eastAsia" w:ascii="宋体" w:hAnsi="宋体"/>
                <w:color w:val="auto"/>
                <w:szCs w:val="21"/>
                <w:highlight w:val="none"/>
              </w:rPr>
              <w:t>投标总价</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大写：</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19" w:type="dxa"/>
            <w:vMerge w:val="restart"/>
            <w:vAlign w:val="center"/>
          </w:tcPr>
          <w:p>
            <w:pPr>
              <w:jc w:val="center"/>
              <w:rPr>
                <w:rFonts w:ascii="宋体" w:hAnsi="宋体" w:cs="宋体"/>
                <w:color w:val="auto"/>
                <w:sz w:val="24"/>
                <w:highlight w:val="none"/>
              </w:rPr>
            </w:pPr>
            <w:r>
              <w:rPr>
                <w:rFonts w:hint="eastAsia" w:ascii="宋体" w:hAnsi="宋体"/>
                <w:color w:val="auto"/>
                <w:szCs w:val="21"/>
                <w:highlight w:val="none"/>
              </w:rPr>
              <w:t>其中</w:t>
            </w:r>
          </w:p>
        </w:tc>
        <w:tc>
          <w:tcPr>
            <w:tcW w:w="2161" w:type="dxa"/>
            <w:vAlign w:val="center"/>
          </w:tcPr>
          <w:p>
            <w:pPr>
              <w:jc w:val="center"/>
              <w:rPr>
                <w:color w:val="auto"/>
                <w:highlight w:val="none"/>
              </w:rPr>
            </w:pPr>
            <w:r>
              <w:rPr>
                <w:rFonts w:hint="eastAsia" w:ascii="宋体" w:hAnsi="宋体"/>
                <w:color w:val="auto"/>
                <w:szCs w:val="21"/>
                <w:highlight w:val="none"/>
              </w:rPr>
              <w:t>投标报价（不含安全文明施工措施费、</w:t>
            </w:r>
            <w:r>
              <w:rPr>
                <w:rFonts w:hint="eastAsia" w:ascii="宋体" w:hAnsi="宋体" w:cs="宋体"/>
                <w:color w:val="auto"/>
                <w:szCs w:val="21"/>
                <w:highlight w:val="none"/>
              </w:rPr>
              <w:t>暂列金额与专业工程暂估价</w:t>
            </w:r>
            <w:r>
              <w:rPr>
                <w:rFonts w:hint="eastAsia" w:ascii="宋体" w:hAnsi="宋体"/>
                <w:color w:val="auto"/>
                <w:szCs w:val="21"/>
                <w:highlight w:val="none"/>
              </w:rPr>
              <w:t>、规费、税金）</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大写：</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19" w:type="dxa"/>
            <w:vMerge w:val="continue"/>
            <w:vAlign w:val="center"/>
          </w:tcPr>
          <w:p>
            <w:pPr>
              <w:jc w:val="center"/>
              <w:rPr>
                <w:rFonts w:ascii="宋体" w:hAnsi="宋体" w:cs="宋体"/>
                <w:color w:val="auto"/>
                <w:sz w:val="24"/>
                <w:highlight w:val="none"/>
              </w:rPr>
            </w:pPr>
          </w:p>
        </w:tc>
        <w:tc>
          <w:tcPr>
            <w:tcW w:w="2161" w:type="dxa"/>
            <w:vAlign w:val="center"/>
          </w:tcPr>
          <w:p>
            <w:pPr>
              <w:jc w:val="center"/>
              <w:rPr>
                <w:color w:val="auto"/>
                <w:highlight w:val="none"/>
              </w:rPr>
            </w:pPr>
            <w:r>
              <w:rPr>
                <w:rFonts w:hint="eastAsia" w:ascii="宋体" w:hAnsi="宋体"/>
                <w:color w:val="auto"/>
                <w:szCs w:val="21"/>
                <w:highlight w:val="none"/>
              </w:rPr>
              <w:t>安全文明施工费</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 xml:space="preserve">大写：            </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9" w:type="dxa"/>
            <w:vMerge w:val="continue"/>
            <w:vAlign w:val="center"/>
          </w:tcPr>
          <w:p>
            <w:pPr>
              <w:jc w:val="center"/>
              <w:rPr>
                <w:rFonts w:ascii="宋体" w:hAnsi="宋体" w:cs="宋体"/>
                <w:color w:val="auto"/>
                <w:sz w:val="24"/>
                <w:highlight w:val="none"/>
              </w:rPr>
            </w:pPr>
          </w:p>
        </w:tc>
        <w:tc>
          <w:tcPr>
            <w:tcW w:w="2161" w:type="dxa"/>
            <w:vAlign w:val="center"/>
          </w:tcPr>
          <w:p>
            <w:pPr>
              <w:jc w:val="center"/>
              <w:rPr>
                <w:color w:val="auto"/>
                <w:highlight w:val="none"/>
              </w:rPr>
            </w:pPr>
            <w:r>
              <w:rPr>
                <w:rFonts w:hint="eastAsia" w:ascii="宋体" w:hAnsi="宋体"/>
                <w:color w:val="auto"/>
                <w:szCs w:val="21"/>
                <w:highlight w:val="none"/>
              </w:rPr>
              <w:t>规费</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 xml:space="preserve">大写：            </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9" w:type="dxa"/>
            <w:vMerge w:val="continue"/>
            <w:vAlign w:val="center"/>
          </w:tcPr>
          <w:p>
            <w:pPr>
              <w:jc w:val="center"/>
              <w:rPr>
                <w:rFonts w:ascii="宋体" w:hAnsi="宋体" w:cs="宋体"/>
                <w:color w:val="auto"/>
                <w:sz w:val="24"/>
                <w:highlight w:val="none"/>
              </w:rPr>
            </w:pPr>
          </w:p>
        </w:tc>
        <w:tc>
          <w:tcPr>
            <w:tcW w:w="2161" w:type="dxa"/>
            <w:vAlign w:val="center"/>
          </w:tcPr>
          <w:p>
            <w:pPr>
              <w:jc w:val="center"/>
              <w:rPr>
                <w:color w:val="auto"/>
                <w:highlight w:val="none"/>
              </w:rPr>
            </w:pPr>
            <w:r>
              <w:rPr>
                <w:rFonts w:hint="eastAsia" w:ascii="宋体" w:hAnsi="宋体"/>
                <w:color w:val="auto"/>
                <w:szCs w:val="21"/>
                <w:highlight w:val="none"/>
              </w:rPr>
              <w:t>税金</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 xml:space="preserve">大写：            </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480" w:type="dxa"/>
            <w:gridSpan w:val="2"/>
            <w:vAlign w:val="center"/>
          </w:tcPr>
          <w:p>
            <w:pPr>
              <w:ind w:firstLine="630" w:firstLineChars="300"/>
              <w:rPr>
                <w:rFonts w:ascii="宋体" w:hAnsi="宋体"/>
                <w:color w:val="auto"/>
                <w:szCs w:val="21"/>
                <w:highlight w:val="none"/>
              </w:rPr>
            </w:pPr>
            <w:r>
              <w:rPr>
                <w:rFonts w:hint="eastAsia" w:ascii="宋体" w:hAnsi="宋体"/>
                <w:color w:val="auto"/>
                <w:szCs w:val="21"/>
                <w:highlight w:val="none"/>
              </w:rPr>
              <w:t>措施项目费</w:t>
            </w:r>
          </w:p>
          <w:p>
            <w:pPr>
              <w:rPr>
                <w:rFonts w:ascii="宋体" w:hAnsi="宋体" w:cs="宋体"/>
                <w:color w:val="auto"/>
                <w:sz w:val="24"/>
                <w:highlight w:val="none"/>
              </w:rPr>
            </w:pPr>
            <w:r>
              <w:rPr>
                <w:rFonts w:hint="eastAsia" w:ascii="宋体" w:hAnsi="宋体"/>
                <w:color w:val="auto"/>
                <w:szCs w:val="21"/>
                <w:highlight w:val="none"/>
              </w:rPr>
              <w:t>（不含安全文明施工费）</w:t>
            </w:r>
          </w:p>
        </w:tc>
        <w:tc>
          <w:tcPr>
            <w:tcW w:w="3583" w:type="dxa"/>
            <w:gridSpan w:val="3"/>
            <w:vAlign w:val="center"/>
          </w:tcPr>
          <w:p>
            <w:pPr>
              <w:rPr>
                <w:rFonts w:ascii="宋体" w:hAnsi="宋体" w:cs="宋体"/>
                <w:color w:val="auto"/>
                <w:sz w:val="24"/>
                <w:highlight w:val="none"/>
              </w:rPr>
            </w:pPr>
            <w:r>
              <w:rPr>
                <w:rFonts w:hint="eastAsia" w:ascii="宋体" w:hAnsi="宋体"/>
                <w:color w:val="auto"/>
                <w:szCs w:val="21"/>
                <w:highlight w:val="none"/>
              </w:rPr>
              <w:t xml:space="preserve">大写：            </w:t>
            </w:r>
          </w:p>
        </w:tc>
        <w:tc>
          <w:tcPr>
            <w:tcW w:w="2877" w:type="dxa"/>
            <w:gridSpan w:val="2"/>
            <w:vAlign w:val="center"/>
          </w:tcPr>
          <w:p>
            <w:pPr>
              <w:jc w:val="left"/>
              <w:rPr>
                <w:rFonts w:ascii="宋体" w:hAnsi="宋体" w:cs="宋体"/>
                <w:color w:val="auto"/>
                <w:sz w:val="24"/>
                <w:highlight w:val="none"/>
              </w:rPr>
            </w:pPr>
            <w:r>
              <w:rPr>
                <w:rFonts w:hint="eastAsia" w:ascii="宋体"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80" w:type="dxa"/>
            <w:gridSpan w:val="2"/>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投标质量</w:t>
            </w:r>
          </w:p>
        </w:tc>
        <w:tc>
          <w:tcPr>
            <w:tcW w:w="6460" w:type="dxa"/>
            <w:gridSpan w:val="5"/>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480"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技术标准和要求</w:t>
            </w:r>
          </w:p>
        </w:tc>
        <w:tc>
          <w:tcPr>
            <w:tcW w:w="6460" w:type="dxa"/>
            <w:gridSpan w:val="5"/>
            <w:vAlign w:val="center"/>
          </w:tcPr>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完全响应招标文件要求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2480" w:type="dxa"/>
            <w:gridSpan w:val="2"/>
            <w:tcBorders>
              <w:bottom w:val="single" w:color="auto" w:sz="4" w:space="0"/>
            </w:tcBorders>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投标工期</w:t>
            </w:r>
          </w:p>
        </w:tc>
        <w:tc>
          <w:tcPr>
            <w:tcW w:w="6460" w:type="dxa"/>
            <w:gridSpan w:val="5"/>
            <w:tcBorders>
              <w:bottom w:val="single" w:color="auto" w:sz="4" w:space="0"/>
            </w:tcBorders>
          </w:tcPr>
          <w:p>
            <w:pPr>
              <w:spacing w:line="480" w:lineRule="exact"/>
              <w:ind w:firstLine="1440" w:firstLineChars="60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480"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64"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818" w:type="dxa"/>
            <w:vAlign w:val="center"/>
          </w:tcPr>
          <w:p>
            <w:pPr>
              <w:spacing w:line="480" w:lineRule="exact"/>
              <w:jc w:val="center"/>
              <w:rPr>
                <w:rFonts w:ascii="宋体" w:hAnsi="宋体" w:cs="宋体"/>
                <w:color w:val="auto"/>
                <w:sz w:val="24"/>
                <w:highlight w:val="none"/>
              </w:rPr>
            </w:pPr>
          </w:p>
        </w:tc>
        <w:tc>
          <w:tcPr>
            <w:tcW w:w="1668"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2310" w:type="dxa"/>
            <w:vAlign w:val="center"/>
          </w:tcPr>
          <w:p>
            <w:pPr>
              <w:spacing w:line="480" w:lineRule="exact"/>
              <w:jc w:val="center"/>
              <w:rPr>
                <w:rFonts w:ascii="宋体" w:hAnsi="宋体" w:cs="宋体"/>
                <w:color w:val="auto"/>
                <w:sz w:val="24"/>
                <w:highlight w:val="none"/>
              </w:rPr>
            </w:pPr>
          </w:p>
        </w:tc>
      </w:tr>
    </w:tbl>
    <w:p>
      <w:pPr>
        <w:spacing w:line="480" w:lineRule="exact"/>
        <w:rPr>
          <w:rFonts w:ascii="宋体" w:hAnsi="宋体" w:cs="宋体"/>
          <w:color w:val="auto"/>
          <w:sz w:val="24"/>
          <w:highlight w:val="none"/>
        </w:rPr>
      </w:pPr>
      <w:r>
        <w:rPr>
          <w:rFonts w:hint="eastAsia" w:ascii="宋体" w:hAnsi="宋体" w:cs="宋体"/>
          <w:color w:val="auto"/>
          <w:sz w:val="24"/>
          <w:highlight w:val="none"/>
        </w:rPr>
        <w:t xml:space="preserve">                                 </w:t>
      </w: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hint="eastAsia" w:ascii="宋体" w:hAnsi="宋体" w:cs="宋体"/>
          <w:color w:val="auto"/>
          <w:sz w:val="24"/>
          <w:highlight w:val="none"/>
        </w:rPr>
      </w:pPr>
    </w:p>
    <w:p>
      <w:pPr>
        <w:jc w:val="right"/>
        <w:rPr>
          <w:rFonts w:ascii="宋体" w:hAnsi="宋体" w:cs="宋体"/>
          <w:color w:val="auto"/>
          <w:sz w:val="24"/>
          <w:highlight w:val="none"/>
        </w:rPr>
      </w:pPr>
      <w:r>
        <w:rPr>
          <w:rFonts w:hint="eastAsia" w:ascii="宋体" w:hAnsi="宋体" w:cs="宋体"/>
          <w:color w:val="auto"/>
          <w:sz w:val="24"/>
          <w:highlight w:val="none"/>
        </w:rPr>
        <w:t xml:space="preserve">投标人名称：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jc w:val="right"/>
        <w:rPr>
          <w:rFonts w:ascii="宋体" w:hAnsi="宋体" w:cs="宋体"/>
          <w:color w:val="auto"/>
          <w:sz w:val="24"/>
          <w:highlight w:val="none"/>
        </w:rPr>
      </w:pP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jc w:val="right"/>
        <w:rPr>
          <w:rFonts w:ascii="宋体" w:hAnsi="宋体" w:cs="宋体"/>
          <w:b/>
          <w:bCs/>
          <w:color w:val="auto"/>
          <w:sz w:val="32"/>
          <w:szCs w:val="32"/>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80" w:lineRule="exact"/>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rPr>
          <w:rFonts w:ascii="宋体" w:hAnsi="宋体" w:cs="宋体"/>
          <w:b/>
          <w:bCs/>
          <w:color w:val="auto"/>
          <w:sz w:val="28"/>
          <w:szCs w:val="28"/>
          <w:highlight w:val="none"/>
        </w:rPr>
      </w:pPr>
      <w:bookmarkStart w:id="604" w:name="_Toc3252"/>
      <w:r>
        <w:rPr>
          <w:rFonts w:ascii="宋体" w:hAnsi="宋体" w:cs="宋体"/>
          <w:b/>
          <w:bCs/>
          <w:color w:val="auto"/>
          <w:sz w:val="28"/>
          <w:szCs w:val="28"/>
          <w:highlight w:val="none"/>
        </w:rPr>
        <w:br w:type="page"/>
      </w:r>
    </w:p>
    <w:p>
      <w:pPr>
        <w:pStyle w:val="9"/>
        <w:rPr>
          <w:color w:val="auto"/>
          <w:highlight w:val="none"/>
        </w:rPr>
      </w:pPr>
    </w:p>
    <w:p>
      <w:pPr>
        <w:spacing w:line="480" w:lineRule="exact"/>
        <w:jc w:val="center"/>
        <w:outlineLvl w:val="0"/>
        <w:rPr>
          <w:rFonts w:ascii="宋体" w:hAnsi="宋体" w:cs="宋体"/>
          <w:b/>
          <w:bCs/>
          <w:color w:val="auto"/>
          <w:sz w:val="28"/>
          <w:szCs w:val="28"/>
          <w:highlight w:val="none"/>
        </w:rPr>
      </w:pPr>
      <w:bookmarkStart w:id="605" w:name="_Toc20128"/>
      <w:r>
        <w:rPr>
          <w:rFonts w:hint="eastAsia" w:ascii="宋体" w:hAnsi="宋体" w:cs="宋体"/>
          <w:b/>
          <w:bCs/>
          <w:color w:val="auto"/>
          <w:sz w:val="28"/>
          <w:szCs w:val="28"/>
          <w:highlight w:val="none"/>
        </w:rPr>
        <w:t>二、法定代表人身份证明及授权委托书</w:t>
      </w:r>
      <w:bookmarkEnd w:id="604"/>
      <w:bookmarkEnd w:id="605"/>
    </w:p>
    <w:p>
      <w:pPr>
        <w:tabs>
          <w:tab w:val="left" w:pos="1080"/>
        </w:tabs>
        <w:spacing w:line="480" w:lineRule="exact"/>
        <w:jc w:val="center"/>
        <w:outlineLvl w:val="3"/>
        <w:rPr>
          <w:rFonts w:ascii="宋体" w:hAnsi="宋体" w:cs="宋体"/>
          <w:b/>
          <w:color w:val="auto"/>
          <w:sz w:val="24"/>
          <w:highlight w:val="none"/>
        </w:rPr>
      </w:pPr>
      <w:bookmarkStart w:id="606" w:name="_Toc15615"/>
      <w:r>
        <w:rPr>
          <w:rFonts w:hint="eastAsia" w:ascii="宋体" w:hAnsi="宋体" w:cs="宋体"/>
          <w:b/>
          <w:color w:val="auto"/>
          <w:sz w:val="24"/>
          <w:highlight w:val="none"/>
        </w:rPr>
        <w:t>2-1  法定代表人身份证明</w:t>
      </w:r>
      <w:bookmarkEnd w:id="606"/>
    </w:p>
    <w:p>
      <w:pPr>
        <w:spacing w:line="480" w:lineRule="exact"/>
        <w:rPr>
          <w:rFonts w:ascii="宋体" w:hAnsi="宋体" w:cs="宋体"/>
          <w:color w:val="auto"/>
          <w:sz w:val="24"/>
          <w:highlight w:val="none"/>
        </w:rPr>
      </w:pP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pPr>
        <w:spacing w:line="480" w:lineRule="exact"/>
        <w:ind w:firstLine="1080" w:firstLineChars="450"/>
        <w:rPr>
          <w:rFonts w:ascii="宋体" w:hAnsi="宋体" w:cs="宋体"/>
          <w:color w:val="auto"/>
          <w:sz w:val="24"/>
          <w:highlight w:val="none"/>
        </w:rPr>
      </w:pPr>
    </w:p>
    <w:p>
      <w:pPr>
        <w:spacing w:line="480" w:lineRule="exact"/>
        <w:ind w:firstLine="1080" w:firstLineChars="450"/>
        <w:rPr>
          <w:rFonts w:ascii="宋体" w:hAnsi="宋体" w:cs="宋体"/>
          <w:color w:val="auto"/>
          <w:sz w:val="24"/>
          <w:highlight w:val="none"/>
        </w:rPr>
      </w:pPr>
    </w:p>
    <w:p>
      <w:pPr>
        <w:spacing w:line="480" w:lineRule="exact"/>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wordWrap w:val="0"/>
        <w:spacing w:line="480" w:lineRule="exact"/>
        <w:ind w:firstLine="1080" w:firstLineChars="450"/>
        <w:jc w:val="right"/>
        <w:rPr>
          <w:rFonts w:ascii="宋体" w:hAnsi="宋体" w:cs="宋体"/>
          <w:color w:val="auto"/>
          <w:sz w:val="24"/>
          <w:highlight w:val="none"/>
        </w:rPr>
      </w:pPr>
    </w:p>
    <w:p>
      <w:pPr>
        <w:spacing w:line="480" w:lineRule="exact"/>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年      月      日</w:t>
      </w:r>
    </w:p>
    <w:p>
      <w:pPr>
        <w:spacing w:line="480" w:lineRule="exact"/>
        <w:rPr>
          <w:rFonts w:ascii="宋体" w:hAnsi="宋体" w:cs="宋体"/>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jc w:val="center"/>
        <w:rPr>
          <w:rFonts w:ascii="宋体" w:hAnsi="宋体" w:cs="宋体"/>
          <w:b/>
          <w:color w:val="auto"/>
          <w:sz w:val="24"/>
          <w:highlight w:val="none"/>
        </w:rPr>
      </w:pPr>
    </w:p>
    <w:p>
      <w:pPr>
        <w:tabs>
          <w:tab w:val="left" w:pos="1080"/>
        </w:tabs>
        <w:spacing w:line="480" w:lineRule="exact"/>
        <w:outlineLvl w:val="3"/>
        <w:rPr>
          <w:rFonts w:ascii="宋体" w:hAnsi="宋体" w:cs="宋体"/>
          <w:b/>
          <w:color w:val="auto"/>
          <w:sz w:val="28"/>
          <w:szCs w:val="28"/>
          <w:highlight w:val="none"/>
        </w:rPr>
      </w:pPr>
      <w:bookmarkStart w:id="607" w:name="_Toc26527"/>
    </w:p>
    <w:p>
      <w:pPr>
        <w:tabs>
          <w:tab w:val="left" w:pos="1080"/>
        </w:tabs>
        <w:spacing w:line="480" w:lineRule="exact"/>
        <w:jc w:val="center"/>
        <w:outlineLvl w:val="3"/>
        <w:rPr>
          <w:rFonts w:ascii="宋体" w:hAnsi="宋体" w:cs="宋体"/>
          <w:b/>
          <w:color w:val="auto"/>
          <w:sz w:val="28"/>
          <w:szCs w:val="28"/>
          <w:highlight w:val="none"/>
        </w:rPr>
      </w:pPr>
    </w:p>
    <w:p>
      <w:pPr>
        <w:tabs>
          <w:tab w:val="left" w:pos="1080"/>
        </w:tabs>
        <w:spacing w:line="480" w:lineRule="exact"/>
        <w:jc w:val="center"/>
        <w:outlineLvl w:val="3"/>
        <w:rPr>
          <w:rFonts w:ascii="宋体" w:hAnsi="宋体" w:cs="宋体"/>
          <w:b/>
          <w:color w:val="auto"/>
          <w:sz w:val="28"/>
          <w:szCs w:val="28"/>
          <w:highlight w:val="none"/>
        </w:rPr>
      </w:pPr>
    </w:p>
    <w:p>
      <w:pPr>
        <w:tabs>
          <w:tab w:val="left" w:pos="1080"/>
        </w:tabs>
        <w:spacing w:line="480" w:lineRule="exact"/>
        <w:jc w:val="center"/>
        <w:outlineLvl w:val="3"/>
        <w:rPr>
          <w:rFonts w:ascii="宋体" w:hAnsi="宋体" w:cs="宋体"/>
          <w:b/>
          <w:color w:val="auto"/>
          <w:sz w:val="28"/>
          <w:szCs w:val="28"/>
          <w:highlight w:val="none"/>
        </w:rPr>
      </w:pPr>
      <w:r>
        <w:rPr>
          <w:rFonts w:hint="eastAsia" w:ascii="宋体" w:hAnsi="宋体" w:cs="宋体"/>
          <w:b/>
          <w:color w:val="auto"/>
          <w:sz w:val="28"/>
          <w:szCs w:val="28"/>
          <w:highlight w:val="none"/>
        </w:rPr>
        <w:t>2-2   授权委托书</w:t>
      </w:r>
      <w:bookmarkEnd w:id="607"/>
    </w:p>
    <w:p>
      <w:pPr>
        <w:spacing w:line="480" w:lineRule="exact"/>
        <w:ind w:left="420" w:leftChars="200" w:firstLine="120" w:firstLineChars="50"/>
        <w:rPr>
          <w:rFonts w:ascii="宋体" w:hAnsi="宋体" w:cs="宋体"/>
          <w:color w:val="auto"/>
          <w:sz w:val="24"/>
          <w:highlight w:val="none"/>
        </w:rPr>
      </w:pPr>
    </w:p>
    <w:p>
      <w:pPr>
        <w:spacing w:line="48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 xml:space="preserve">    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（项目名称及标段）投标文件、签订合同和处理有关事宜，其法律后果由我方承担。</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代理人无转让委托权。</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附：法定代表人身份证复印件、委托代理人身份证复印件。</w:t>
      </w:r>
    </w:p>
    <w:p>
      <w:pPr>
        <w:spacing w:line="480" w:lineRule="exact"/>
        <w:ind w:firstLine="480" w:firstLineChars="200"/>
        <w:rPr>
          <w:rFonts w:ascii="宋体" w:hAnsi="宋体" w:cs="宋体"/>
          <w:color w:val="auto"/>
          <w:sz w:val="24"/>
          <w:highlight w:val="none"/>
        </w:rPr>
      </w:pPr>
    </w:p>
    <w:p>
      <w:pPr>
        <w:spacing w:line="480" w:lineRule="exact"/>
        <w:ind w:right="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wordWrap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                                     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exact"/>
        <w:ind w:right="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480" w:lineRule="exact"/>
        <w:ind w:right="560" w:firstLine="2760" w:firstLineChars="1150"/>
        <w:rPr>
          <w:rFonts w:ascii="宋体" w:hAnsi="宋体" w:cs="宋体"/>
          <w:color w:val="auto"/>
          <w:sz w:val="24"/>
          <w:highlight w:val="none"/>
          <w:u w:val="single"/>
        </w:rPr>
      </w:pPr>
      <w:r>
        <w:rPr>
          <w:rFonts w:hint="eastAsia" w:ascii="宋体" w:hAnsi="宋体" w:cs="宋体"/>
          <w:color w:val="auto"/>
          <w:sz w:val="24"/>
          <w:highlight w:val="none"/>
        </w:rPr>
        <w:t xml:space="preserve">  身份证号码：</w:t>
      </w:r>
      <w:r>
        <w:rPr>
          <w:rFonts w:hint="eastAsia" w:ascii="宋体" w:hAnsi="宋体" w:cs="宋体"/>
          <w:color w:val="auto"/>
          <w:sz w:val="24"/>
          <w:highlight w:val="none"/>
          <w:u w:val="single"/>
        </w:rPr>
        <w:t xml:space="preserve">                            </w:t>
      </w:r>
    </w:p>
    <w:p>
      <w:pPr>
        <w:spacing w:line="480" w:lineRule="exact"/>
        <w:ind w:firstLine="2760" w:firstLineChars="1150"/>
        <w:jc w:val="right"/>
        <w:rPr>
          <w:rFonts w:ascii="宋体" w:hAnsi="宋体" w:cs="宋体"/>
          <w:color w:val="auto"/>
          <w:sz w:val="24"/>
          <w:highlight w:val="none"/>
        </w:rPr>
      </w:pPr>
      <w:r>
        <w:rPr>
          <w:rFonts w:hint="eastAsia" w:ascii="宋体" w:hAnsi="宋体" w:cs="宋体"/>
          <w:color w:val="auto"/>
          <w:sz w:val="24"/>
          <w:highlight w:val="none"/>
        </w:rPr>
        <w:t>年     月     日</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jc w:val="center"/>
        <w:outlineLvl w:val="0"/>
        <w:rPr>
          <w:rFonts w:ascii="宋体" w:hAnsi="宋体" w:cs="宋体"/>
          <w:b/>
          <w:bCs/>
          <w:color w:val="auto"/>
          <w:sz w:val="28"/>
          <w:szCs w:val="28"/>
          <w:highlight w:val="none"/>
        </w:rPr>
      </w:pPr>
      <w:bookmarkStart w:id="608" w:name="_Toc31721"/>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bookmarkStart w:id="609" w:name="_Toc13589"/>
    </w:p>
    <w:p>
      <w:pPr>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三、投标保证金</w:t>
      </w:r>
      <w:bookmarkEnd w:id="608"/>
      <w:bookmarkEnd w:id="609"/>
    </w:p>
    <w:p>
      <w:pPr>
        <w:widowControl/>
        <w:spacing w:line="360" w:lineRule="auto"/>
        <w:jc w:val="center"/>
        <w:rPr>
          <w:color w:val="auto"/>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exact"/>
        <w:rPr>
          <w:rFonts w:ascii="宋体" w:hAnsi="宋体" w:cs="宋体"/>
          <w:color w:val="auto"/>
          <w:sz w:val="24"/>
          <w:highlight w:val="none"/>
        </w:rPr>
      </w:pPr>
    </w:p>
    <w:p>
      <w:pPr>
        <w:spacing w:line="480" w:lineRule="exact"/>
        <w:jc w:val="center"/>
        <w:outlineLvl w:val="0"/>
        <w:rPr>
          <w:rFonts w:ascii="宋体" w:hAnsi="宋体" w:cs="宋体"/>
          <w:b/>
          <w:bCs/>
          <w:color w:val="auto"/>
          <w:sz w:val="28"/>
          <w:szCs w:val="28"/>
          <w:highlight w:val="none"/>
        </w:rPr>
      </w:pPr>
      <w:bookmarkStart w:id="610" w:name="_Toc28285"/>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bookmarkStart w:id="611" w:name="_Toc21786"/>
    </w:p>
    <w:p>
      <w:pPr>
        <w:spacing w:line="480" w:lineRule="exact"/>
        <w:jc w:val="center"/>
        <w:outlineLvl w:val="0"/>
        <w:rPr>
          <w:rFonts w:hint="eastAsia"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四、已标价的工程量清单</w:t>
      </w:r>
      <w:bookmarkEnd w:id="610"/>
      <w:bookmarkEnd w:id="611"/>
    </w:p>
    <w:p>
      <w:pPr>
        <w:spacing w:line="480" w:lineRule="exact"/>
        <w:jc w:val="center"/>
        <w:rPr>
          <w:rFonts w:ascii="宋体" w:hAnsi="宋体" w:cs="宋体"/>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jc w:val="center"/>
        <w:outlineLvl w:val="0"/>
        <w:rPr>
          <w:rFonts w:ascii="宋体" w:hAnsi="宋体" w:cs="宋体"/>
          <w:b/>
          <w:bCs/>
          <w:color w:val="auto"/>
          <w:sz w:val="28"/>
          <w:szCs w:val="28"/>
          <w:highlight w:val="none"/>
        </w:rPr>
      </w:pPr>
      <w:bookmarkStart w:id="612" w:name="_Toc1180"/>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bookmarkStart w:id="613" w:name="_Toc17488"/>
    </w:p>
    <w:p>
      <w:pPr>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五、项目管理机构</w:t>
      </w:r>
      <w:bookmarkEnd w:id="613"/>
    </w:p>
    <w:p>
      <w:pPr>
        <w:spacing w:line="480" w:lineRule="exact"/>
        <w:outlineLvl w:val="3"/>
        <w:rPr>
          <w:rFonts w:ascii="宋体" w:hAnsi="宋体" w:cs="宋体"/>
          <w:b/>
          <w:color w:val="auto"/>
          <w:sz w:val="24"/>
          <w:highlight w:val="none"/>
        </w:rPr>
      </w:pPr>
      <w:bookmarkStart w:id="614" w:name="_Toc17433"/>
      <w:r>
        <w:rPr>
          <w:rFonts w:hint="eastAsia" w:ascii="宋体" w:hAnsi="宋体" w:cs="宋体"/>
          <w:b/>
          <w:color w:val="auto"/>
          <w:sz w:val="24"/>
          <w:highlight w:val="none"/>
        </w:rPr>
        <w:t>（一）项目管理机构组成表</w:t>
      </w:r>
      <w:bookmarkEnd w:id="614"/>
    </w:p>
    <w:tbl>
      <w:tblPr>
        <w:tblStyle w:val="17"/>
        <w:tblW w:w="8615"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1207"/>
        <w:gridCol w:w="1207"/>
        <w:gridCol w:w="1207"/>
        <w:gridCol w:w="120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947"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947"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4828" w:type="dxa"/>
            <w:gridSpan w:val="4"/>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执业或职业资格证明</w:t>
            </w:r>
          </w:p>
        </w:tc>
        <w:tc>
          <w:tcPr>
            <w:tcW w:w="947"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pacing w:line="480" w:lineRule="exact"/>
              <w:jc w:val="center"/>
              <w:rPr>
                <w:rFonts w:ascii="宋体" w:hAnsi="宋体" w:cs="宋体"/>
                <w:color w:val="auto"/>
                <w:sz w:val="24"/>
                <w:highlight w:val="none"/>
              </w:rPr>
            </w:pPr>
          </w:p>
        </w:tc>
        <w:tc>
          <w:tcPr>
            <w:tcW w:w="947" w:type="dxa"/>
            <w:vMerge w:val="continue"/>
            <w:vAlign w:val="center"/>
          </w:tcPr>
          <w:p>
            <w:pPr>
              <w:spacing w:line="480" w:lineRule="exact"/>
              <w:jc w:val="center"/>
              <w:rPr>
                <w:rFonts w:ascii="宋体" w:hAnsi="宋体" w:cs="宋体"/>
                <w:color w:val="auto"/>
                <w:sz w:val="24"/>
                <w:highlight w:val="none"/>
              </w:rPr>
            </w:pPr>
          </w:p>
        </w:tc>
        <w:tc>
          <w:tcPr>
            <w:tcW w:w="947" w:type="dxa"/>
            <w:vMerge w:val="continue"/>
            <w:vAlign w:val="center"/>
          </w:tcPr>
          <w:p>
            <w:pPr>
              <w:spacing w:line="480" w:lineRule="exact"/>
              <w:jc w:val="center"/>
              <w:rPr>
                <w:rFonts w:ascii="宋体" w:hAnsi="宋体" w:cs="宋体"/>
                <w:color w:val="auto"/>
                <w:sz w:val="24"/>
                <w:highlight w:val="none"/>
              </w:rPr>
            </w:pPr>
          </w:p>
        </w:tc>
        <w:tc>
          <w:tcPr>
            <w:tcW w:w="120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证书名称</w:t>
            </w:r>
          </w:p>
        </w:tc>
        <w:tc>
          <w:tcPr>
            <w:tcW w:w="120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120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证号</w:t>
            </w:r>
          </w:p>
        </w:tc>
        <w:tc>
          <w:tcPr>
            <w:tcW w:w="120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专业</w:t>
            </w:r>
          </w:p>
        </w:tc>
        <w:tc>
          <w:tcPr>
            <w:tcW w:w="947" w:type="dxa"/>
            <w:vMerge w:val="continue"/>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1207" w:type="dxa"/>
          </w:tcPr>
          <w:p>
            <w:pPr>
              <w:spacing w:line="480" w:lineRule="exact"/>
              <w:rPr>
                <w:rFonts w:ascii="宋体" w:hAnsi="宋体" w:cs="宋体"/>
                <w:color w:val="auto"/>
                <w:sz w:val="24"/>
                <w:highlight w:val="none"/>
              </w:rPr>
            </w:pPr>
          </w:p>
        </w:tc>
        <w:tc>
          <w:tcPr>
            <w:tcW w:w="947" w:type="dxa"/>
          </w:tcPr>
          <w:p>
            <w:pPr>
              <w:spacing w:line="480" w:lineRule="exact"/>
              <w:rPr>
                <w:rFonts w:ascii="宋体" w:hAnsi="宋体" w:cs="宋体"/>
                <w:color w:val="auto"/>
                <w:sz w:val="24"/>
                <w:highlight w:val="none"/>
              </w:rPr>
            </w:pPr>
          </w:p>
        </w:tc>
      </w:tr>
    </w:tbl>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outlineLvl w:val="3"/>
        <w:rPr>
          <w:rFonts w:ascii="宋体" w:hAnsi="宋体" w:cs="宋体"/>
          <w:b/>
          <w:color w:val="auto"/>
          <w:sz w:val="24"/>
          <w:highlight w:val="none"/>
        </w:rPr>
      </w:pPr>
      <w:bookmarkStart w:id="615" w:name="_Toc23999"/>
    </w:p>
    <w:p>
      <w:pPr>
        <w:spacing w:line="480" w:lineRule="exact"/>
        <w:outlineLvl w:val="3"/>
        <w:rPr>
          <w:rFonts w:ascii="宋体" w:hAnsi="宋体" w:cs="宋体"/>
          <w:b/>
          <w:color w:val="auto"/>
          <w:sz w:val="24"/>
          <w:highlight w:val="none"/>
        </w:rPr>
      </w:pPr>
    </w:p>
    <w:p>
      <w:pPr>
        <w:pStyle w:val="2"/>
        <w:rPr>
          <w:rFonts w:ascii="宋体" w:hAnsi="宋体" w:cs="宋体"/>
          <w:b/>
          <w:color w:val="auto"/>
          <w:sz w:val="24"/>
          <w:highlight w:val="none"/>
        </w:rPr>
      </w:pPr>
    </w:p>
    <w:p/>
    <w:p>
      <w:pPr>
        <w:spacing w:line="480" w:lineRule="exact"/>
        <w:outlineLvl w:val="3"/>
        <w:rPr>
          <w:rFonts w:ascii="宋体" w:hAnsi="宋体" w:cs="宋体"/>
          <w:b/>
          <w:color w:val="auto"/>
          <w:sz w:val="24"/>
          <w:highlight w:val="none"/>
        </w:rPr>
      </w:pPr>
      <w:r>
        <w:rPr>
          <w:rFonts w:hint="eastAsia" w:ascii="宋体" w:hAnsi="宋体" w:cs="宋体"/>
          <w:b/>
          <w:color w:val="auto"/>
          <w:sz w:val="24"/>
          <w:highlight w:val="none"/>
        </w:rPr>
        <w:t>（二）主要人员简历表</w:t>
      </w:r>
      <w:bookmarkEnd w:id="615"/>
    </w:p>
    <w:tbl>
      <w:tblPr>
        <w:tblStyle w:val="17"/>
        <w:tblW w:w="860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33"/>
        <w:gridCol w:w="1239"/>
        <w:gridCol w:w="194"/>
        <w:gridCol w:w="1433"/>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433" w:type="dxa"/>
            <w:vAlign w:val="center"/>
          </w:tcPr>
          <w:p>
            <w:pPr>
              <w:spacing w:line="480" w:lineRule="exact"/>
              <w:jc w:val="center"/>
              <w:rPr>
                <w:rFonts w:ascii="宋体" w:hAnsi="宋体" w:cs="宋体"/>
                <w:color w:val="auto"/>
                <w:sz w:val="24"/>
                <w:highlight w:val="none"/>
              </w:rPr>
            </w:pPr>
          </w:p>
        </w:tc>
        <w:tc>
          <w:tcPr>
            <w:tcW w:w="1239"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年龄</w:t>
            </w:r>
          </w:p>
        </w:tc>
        <w:tc>
          <w:tcPr>
            <w:tcW w:w="1627" w:type="dxa"/>
            <w:gridSpan w:val="2"/>
            <w:vAlign w:val="center"/>
          </w:tcPr>
          <w:p>
            <w:pPr>
              <w:spacing w:line="480" w:lineRule="exact"/>
              <w:jc w:val="center"/>
              <w:rPr>
                <w:rFonts w:ascii="宋体" w:hAnsi="宋体" w:cs="宋体"/>
                <w:color w:val="auto"/>
                <w:sz w:val="24"/>
                <w:highlight w:val="none"/>
              </w:rPr>
            </w:pPr>
          </w:p>
        </w:tc>
        <w:tc>
          <w:tcPr>
            <w:tcW w:w="1434"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学历</w:t>
            </w:r>
          </w:p>
        </w:tc>
        <w:tc>
          <w:tcPr>
            <w:tcW w:w="143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43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1433" w:type="dxa"/>
            <w:vAlign w:val="center"/>
          </w:tcPr>
          <w:p>
            <w:pPr>
              <w:spacing w:line="480" w:lineRule="exact"/>
              <w:jc w:val="center"/>
              <w:rPr>
                <w:rFonts w:ascii="宋体" w:hAnsi="宋体" w:cs="宋体"/>
                <w:color w:val="auto"/>
                <w:sz w:val="24"/>
                <w:highlight w:val="none"/>
              </w:rPr>
            </w:pPr>
          </w:p>
        </w:tc>
        <w:tc>
          <w:tcPr>
            <w:tcW w:w="1239"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1627" w:type="dxa"/>
            <w:gridSpan w:val="2"/>
            <w:vAlign w:val="center"/>
          </w:tcPr>
          <w:p>
            <w:pPr>
              <w:spacing w:line="480" w:lineRule="exact"/>
              <w:jc w:val="center"/>
              <w:rPr>
                <w:rFonts w:ascii="宋体" w:hAnsi="宋体" w:cs="宋体"/>
                <w:color w:val="auto"/>
                <w:sz w:val="24"/>
                <w:highlight w:val="none"/>
              </w:rPr>
            </w:pPr>
          </w:p>
        </w:tc>
        <w:tc>
          <w:tcPr>
            <w:tcW w:w="1434"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拟在本合同任职</w:t>
            </w:r>
          </w:p>
        </w:tc>
        <w:tc>
          <w:tcPr>
            <w:tcW w:w="143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毕业学校</w:t>
            </w:r>
          </w:p>
        </w:tc>
        <w:tc>
          <w:tcPr>
            <w:tcW w:w="7167" w:type="dxa"/>
            <w:gridSpan w:val="6"/>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00" w:type="dxa"/>
            <w:gridSpan w:val="7"/>
          </w:tcPr>
          <w:p>
            <w:pPr>
              <w:spacing w:line="480" w:lineRule="exact"/>
              <w:rPr>
                <w:rFonts w:ascii="宋体" w:hAnsi="宋体" w:cs="宋体"/>
                <w:color w:val="auto"/>
                <w:sz w:val="24"/>
                <w:highlight w:val="none"/>
              </w:rPr>
            </w:pPr>
            <w:r>
              <w:rPr>
                <w:rFonts w:hint="eastAsia" w:ascii="宋体" w:hAnsi="宋体" w:cs="宋体"/>
                <w:color w:val="auto"/>
                <w:sz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时间</w:t>
            </w:r>
          </w:p>
        </w:tc>
        <w:tc>
          <w:tcPr>
            <w:tcW w:w="2866" w:type="dxa"/>
            <w:gridSpan w:val="3"/>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参加过的类似项目</w:t>
            </w:r>
          </w:p>
        </w:tc>
        <w:tc>
          <w:tcPr>
            <w:tcW w:w="143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担任职务</w:t>
            </w:r>
          </w:p>
        </w:tc>
        <w:tc>
          <w:tcPr>
            <w:tcW w:w="2868"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33" w:type="dxa"/>
          </w:tcPr>
          <w:p>
            <w:pPr>
              <w:spacing w:line="480" w:lineRule="exact"/>
              <w:rPr>
                <w:rFonts w:ascii="宋体" w:hAnsi="宋体" w:cs="宋体"/>
                <w:color w:val="auto"/>
                <w:sz w:val="24"/>
                <w:highlight w:val="none"/>
              </w:rPr>
            </w:pPr>
          </w:p>
        </w:tc>
        <w:tc>
          <w:tcPr>
            <w:tcW w:w="2866" w:type="dxa"/>
            <w:gridSpan w:val="3"/>
          </w:tcPr>
          <w:p>
            <w:pPr>
              <w:spacing w:line="480" w:lineRule="exact"/>
              <w:rPr>
                <w:rFonts w:ascii="宋体" w:hAnsi="宋体" w:cs="宋体"/>
                <w:color w:val="auto"/>
                <w:sz w:val="24"/>
                <w:highlight w:val="none"/>
              </w:rPr>
            </w:pPr>
          </w:p>
        </w:tc>
        <w:tc>
          <w:tcPr>
            <w:tcW w:w="1433" w:type="dxa"/>
          </w:tcPr>
          <w:p>
            <w:pPr>
              <w:spacing w:line="480" w:lineRule="exact"/>
              <w:rPr>
                <w:rFonts w:ascii="宋体" w:hAnsi="宋体" w:cs="宋体"/>
                <w:color w:val="auto"/>
                <w:sz w:val="24"/>
                <w:highlight w:val="none"/>
              </w:rPr>
            </w:pPr>
          </w:p>
        </w:tc>
        <w:tc>
          <w:tcPr>
            <w:tcW w:w="2868" w:type="dxa"/>
            <w:gridSpan w:val="2"/>
          </w:tcPr>
          <w:p>
            <w:pPr>
              <w:spacing w:line="480" w:lineRule="exact"/>
              <w:rPr>
                <w:rFonts w:ascii="宋体" w:hAnsi="宋体" w:cs="宋体"/>
                <w:color w:val="auto"/>
                <w:sz w:val="24"/>
                <w:highlight w:val="none"/>
              </w:rPr>
            </w:pPr>
          </w:p>
        </w:tc>
      </w:tr>
    </w:tbl>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附2</w:t>
      </w:r>
    </w:p>
    <w:p>
      <w:pPr>
        <w:spacing w:line="480" w:lineRule="exact"/>
        <w:jc w:val="center"/>
        <w:outlineLvl w:val="3"/>
        <w:rPr>
          <w:rFonts w:ascii="宋体" w:hAnsi="宋体" w:cs="宋体"/>
          <w:b/>
          <w:bCs/>
          <w:color w:val="auto"/>
          <w:sz w:val="28"/>
          <w:szCs w:val="28"/>
          <w:highlight w:val="none"/>
        </w:rPr>
      </w:pPr>
      <w:bookmarkStart w:id="616" w:name="_Toc12135"/>
      <w:r>
        <w:rPr>
          <w:rFonts w:hint="eastAsia" w:ascii="宋体" w:hAnsi="宋体" w:cs="宋体"/>
          <w:b/>
          <w:bCs/>
          <w:color w:val="auto"/>
          <w:sz w:val="28"/>
          <w:szCs w:val="28"/>
          <w:highlight w:val="none"/>
        </w:rPr>
        <w:t>承诺书</w:t>
      </w:r>
      <w:bookmarkEnd w:id="616"/>
    </w:p>
    <w:p>
      <w:pPr>
        <w:spacing w:line="480" w:lineRule="exact"/>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 xml:space="preserve">    我方在此声明，我方拟派往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（项目名称）的项目经理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（项目经理姓名）现阶段没有担任任何在建工程项目的项目经理。</w:t>
      </w: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我方保证上述信息的真实和准确，并愿意承担因我方就此弄虚作假所引起的一切法律后果。</w:t>
      </w: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特此承诺</w:t>
      </w: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投标人名称：（盖单位章）</w:t>
      </w: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法定代表人或其授权委托人：（签字）</w:t>
      </w:r>
    </w:p>
    <w:p>
      <w:pPr>
        <w:spacing w:line="48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spacing w:line="480" w:lineRule="exact"/>
        <w:jc w:val="lef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jc w:val="center"/>
        <w:outlineLvl w:val="0"/>
        <w:rPr>
          <w:rFonts w:hint="eastAsia" w:ascii="宋体" w:hAnsi="宋体" w:cs="宋体"/>
          <w:b/>
          <w:bCs/>
          <w:color w:val="auto"/>
          <w:sz w:val="28"/>
          <w:szCs w:val="28"/>
          <w:highlight w:val="none"/>
        </w:rPr>
      </w:pPr>
      <w:bookmarkStart w:id="617" w:name="_Toc27789"/>
      <w:bookmarkStart w:id="618" w:name="_Toc10709"/>
    </w:p>
    <w:p>
      <w:pPr>
        <w:spacing w:line="480" w:lineRule="exact"/>
        <w:jc w:val="center"/>
        <w:outlineLvl w:val="0"/>
        <w:rPr>
          <w:rFonts w:hint="eastAsia"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六、资格审查资料</w:t>
      </w:r>
      <w:bookmarkEnd w:id="617"/>
      <w:bookmarkEnd w:id="618"/>
    </w:p>
    <w:p>
      <w:pPr>
        <w:spacing w:line="480" w:lineRule="exact"/>
        <w:outlineLvl w:val="3"/>
        <w:rPr>
          <w:rFonts w:ascii="宋体" w:hAnsi="宋体" w:cs="宋体"/>
          <w:b/>
          <w:color w:val="auto"/>
          <w:sz w:val="24"/>
          <w:highlight w:val="none"/>
        </w:rPr>
      </w:pPr>
      <w:bookmarkStart w:id="619" w:name="_Toc19147"/>
      <w:r>
        <w:rPr>
          <w:rFonts w:hint="eastAsia" w:ascii="宋体" w:hAnsi="宋体" w:cs="宋体"/>
          <w:b/>
          <w:color w:val="auto"/>
          <w:sz w:val="24"/>
          <w:highlight w:val="none"/>
        </w:rPr>
        <w:t>（一）投标人基本情况表</w:t>
      </w:r>
      <w:bookmarkEnd w:id="619"/>
    </w:p>
    <w:tbl>
      <w:tblPr>
        <w:tblStyle w:val="17"/>
        <w:tblW w:w="9125"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156"/>
        <w:gridCol w:w="1096"/>
        <w:gridCol w:w="1303"/>
        <w:gridCol w:w="686"/>
        <w:gridCol w:w="618"/>
        <w:gridCol w:w="1305"/>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投标人名称</w:t>
            </w:r>
          </w:p>
        </w:tc>
        <w:tc>
          <w:tcPr>
            <w:tcW w:w="7468" w:type="dxa"/>
            <w:gridSpan w:val="7"/>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555" w:type="dxa"/>
            <w:gridSpan w:val="3"/>
            <w:vAlign w:val="center"/>
          </w:tcPr>
          <w:p>
            <w:pPr>
              <w:spacing w:line="480" w:lineRule="exact"/>
              <w:jc w:val="center"/>
              <w:rPr>
                <w:rFonts w:ascii="宋体" w:hAnsi="宋体" w:cs="宋体"/>
                <w:color w:val="auto"/>
                <w:sz w:val="24"/>
                <w:highlight w:val="none"/>
              </w:rPr>
            </w:pPr>
          </w:p>
        </w:tc>
        <w:tc>
          <w:tcPr>
            <w:tcW w:w="1304"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609" w:type="dxa"/>
            <w:gridSpan w:val="2"/>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156"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99" w:type="dxa"/>
            <w:gridSpan w:val="2"/>
            <w:vAlign w:val="center"/>
          </w:tcPr>
          <w:p>
            <w:pPr>
              <w:spacing w:line="480" w:lineRule="exact"/>
              <w:jc w:val="center"/>
              <w:rPr>
                <w:rFonts w:ascii="宋体" w:hAnsi="宋体" w:cs="宋体"/>
                <w:color w:val="auto"/>
                <w:sz w:val="24"/>
                <w:highlight w:val="none"/>
              </w:rPr>
            </w:pPr>
          </w:p>
        </w:tc>
        <w:tc>
          <w:tcPr>
            <w:tcW w:w="1304"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2609" w:type="dxa"/>
            <w:gridSpan w:val="2"/>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57" w:type="dxa"/>
            <w:vMerge w:val="continue"/>
            <w:vAlign w:val="center"/>
          </w:tcPr>
          <w:p>
            <w:pPr>
              <w:spacing w:line="480" w:lineRule="exact"/>
              <w:jc w:val="center"/>
              <w:rPr>
                <w:rFonts w:ascii="宋体" w:hAnsi="宋体" w:cs="宋体"/>
                <w:color w:val="auto"/>
                <w:sz w:val="24"/>
                <w:highlight w:val="none"/>
              </w:rPr>
            </w:pPr>
          </w:p>
        </w:tc>
        <w:tc>
          <w:tcPr>
            <w:tcW w:w="1156"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传真</w:t>
            </w:r>
          </w:p>
        </w:tc>
        <w:tc>
          <w:tcPr>
            <w:tcW w:w="2399" w:type="dxa"/>
            <w:gridSpan w:val="2"/>
            <w:vAlign w:val="center"/>
          </w:tcPr>
          <w:p>
            <w:pPr>
              <w:spacing w:line="480" w:lineRule="exact"/>
              <w:jc w:val="center"/>
              <w:rPr>
                <w:rFonts w:ascii="宋体" w:hAnsi="宋体" w:cs="宋体"/>
                <w:color w:val="auto"/>
                <w:sz w:val="24"/>
                <w:highlight w:val="none"/>
              </w:rPr>
            </w:pPr>
          </w:p>
        </w:tc>
        <w:tc>
          <w:tcPr>
            <w:tcW w:w="1304"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网址</w:t>
            </w:r>
          </w:p>
        </w:tc>
        <w:tc>
          <w:tcPr>
            <w:tcW w:w="2609" w:type="dxa"/>
            <w:gridSpan w:val="2"/>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156"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096" w:type="dxa"/>
            <w:vAlign w:val="center"/>
          </w:tcPr>
          <w:p>
            <w:pPr>
              <w:spacing w:line="480" w:lineRule="exact"/>
              <w:jc w:val="center"/>
              <w:rPr>
                <w:rFonts w:ascii="宋体" w:hAnsi="宋体" w:cs="宋体"/>
                <w:color w:val="auto"/>
                <w:sz w:val="24"/>
                <w:highlight w:val="none"/>
              </w:rPr>
            </w:pPr>
          </w:p>
        </w:tc>
        <w:tc>
          <w:tcPr>
            <w:tcW w:w="130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304" w:type="dxa"/>
            <w:gridSpan w:val="2"/>
            <w:vAlign w:val="center"/>
          </w:tcPr>
          <w:p>
            <w:pPr>
              <w:spacing w:line="480" w:lineRule="exact"/>
              <w:jc w:val="center"/>
              <w:rPr>
                <w:rFonts w:ascii="宋体" w:hAnsi="宋体" w:cs="宋体"/>
                <w:color w:val="auto"/>
                <w:sz w:val="24"/>
                <w:highlight w:val="none"/>
              </w:rPr>
            </w:pPr>
          </w:p>
        </w:tc>
        <w:tc>
          <w:tcPr>
            <w:tcW w:w="1305"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156"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096" w:type="dxa"/>
            <w:vAlign w:val="center"/>
          </w:tcPr>
          <w:p>
            <w:pPr>
              <w:spacing w:line="480" w:lineRule="exact"/>
              <w:jc w:val="center"/>
              <w:rPr>
                <w:rFonts w:ascii="宋体" w:hAnsi="宋体" w:cs="宋体"/>
                <w:color w:val="auto"/>
                <w:sz w:val="24"/>
                <w:highlight w:val="none"/>
              </w:rPr>
            </w:pPr>
          </w:p>
        </w:tc>
        <w:tc>
          <w:tcPr>
            <w:tcW w:w="1303"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304" w:type="dxa"/>
            <w:gridSpan w:val="2"/>
            <w:vAlign w:val="center"/>
          </w:tcPr>
          <w:p>
            <w:pPr>
              <w:spacing w:line="480" w:lineRule="exact"/>
              <w:jc w:val="center"/>
              <w:rPr>
                <w:rFonts w:ascii="宋体" w:hAnsi="宋体" w:cs="宋体"/>
                <w:color w:val="auto"/>
                <w:sz w:val="24"/>
                <w:highlight w:val="none"/>
              </w:rPr>
            </w:pPr>
          </w:p>
        </w:tc>
        <w:tc>
          <w:tcPr>
            <w:tcW w:w="1305"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成立时间</w:t>
            </w:r>
          </w:p>
        </w:tc>
        <w:tc>
          <w:tcPr>
            <w:tcW w:w="2252" w:type="dxa"/>
            <w:gridSpan w:val="2"/>
            <w:vAlign w:val="center"/>
          </w:tcPr>
          <w:p>
            <w:pPr>
              <w:spacing w:line="480" w:lineRule="exact"/>
              <w:jc w:val="center"/>
              <w:rPr>
                <w:rFonts w:ascii="宋体" w:hAnsi="宋体" w:cs="宋体"/>
                <w:color w:val="auto"/>
                <w:sz w:val="24"/>
                <w:highlight w:val="none"/>
              </w:rPr>
            </w:pPr>
          </w:p>
        </w:tc>
        <w:tc>
          <w:tcPr>
            <w:tcW w:w="5216" w:type="dxa"/>
            <w:gridSpan w:val="5"/>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企业资质等级</w:t>
            </w:r>
          </w:p>
        </w:tc>
        <w:tc>
          <w:tcPr>
            <w:tcW w:w="3555" w:type="dxa"/>
            <w:gridSpan w:val="3"/>
            <w:vAlign w:val="center"/>
          </w:tcPr>
          <w:p>
            <w:pPr>
              <w:spacing w:line="480" w:lineRule="exact"/>
              <w:jc w:val="center"/>
              <w:rPr>
                <w:rFonts w:ascii="宋体" w:hAnsi="宋体" w:cs="宋体"/>
                <w:color w:val="auto"/>
                <w:sz w:val="24"/>
                <w:highlight w:val="none"/>
              </w:rPr>
            </w:pPr>
          </w:p>
        </w:tc>
        <w:tc>
          <w:tcPr>
            <w:tcW w:w="686" w:type="dxa"/>
            <w:vMerge w:val="restar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其中</w:t>
            </w:r>
          </w:p>
        </w:tc>
        <w:tc>
          <w:tcPr>
            <w:tcW w:w="1923"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营业执照号</w:t>
            </w:r>
          </w:p>
        </w:tc>
        <w:tc>
          <w:tcPr>
            <w:tcW w:w="3555" w:type="dxa"/>
            <w:gridSpan w:val="3"/>
            <w:vAlign w:val="center"/>
          </w:tcPr>
          <w:p>
            <w:pPr>
              <w:spacing w:line="480" w:lineRule="exact"/>
              <w:jc w:val="center"/>
              <w:rPr>
                <w:rFonts w:ascii="宋体" w:hAnsi="宋体" w:cs="宋体"/>
                <w:color w:val="auto"/>
                <w:sz w:val="24"/>
                <w:highlight w:val="none"/>
              </w:rPr>
            </w:pPr>
          </w:p>
        </w:tc>
        <w:tc>
          <w:tcPr>
            <w:tcW w:w="686" w:type="dxa"/>
            <w:vMerge w:val="continue"/>
            <w:vAlign w:val="center"/>
          </w:tcPr>
          <w:p>
            <w:pPr>
              <w:spacing w:line="480" w:lineRule="exact"/>
              <w:jc w:val="center"/>
              <w:rPr>
                <w:rFonts w:ascii="宋体" w:hAnsi="宋体" w:cs="宋体"/>
                <w:color w:val="auto"/>
                <w:sz w:val="24"/>
                <w:highlight w:val="none"/>
              </w:rPr>
            </w:pPr>
          </w:p>
        </w:tc>
        <w:tc>
          <w:tcPr>
            <w:tcW w:w="1923"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高级职称人员</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3555" w:type="dxa"/>
            <w:gridSpan w:val="3"/>
            <w:vAlign w:val="center"/>
          </w:tcPr>
          <w:p>
            <w:pPr>
              <w:spacing w:line="480" w:lineRule="exact"/>
              <w:jc w:val="center"/>
              <w:rPr>
                <w:rFonts w:ascii="宋体" w:hAnsi="宋体" w:cs="宋体"/>
                <w:color w:val="auto"/>
                <w:sz w:val="24"/>
                <w:highlight w:val="none"/>
              </w:rPr>
            </w:pPr>
          </w:p>
        </w:tc>
        <w:tc>
          <w:tcPr>
            <w:tcW w:w="686" w:type="dxa"/>
            <w:vMerge w:val="continue"/>
            <w:vAlign w:val="center"/>
          </w:tcPr>
          <w:p>
            <w:pPr>
              <w:spacing w:line="480" w:lineRule="exact"/>
              <w:jc w:val="center"/>
              <w:rPr>
                <w:rFonts w:ascii="宋体" w:hAnsi="宋体" w:cs="宋体"/>
                <w:color w:val="auto"/>
                <w:sz w:val="24"/>
                <w:highlight w:val="none"/>
              </w:rPr>
            </w:pPr>
          </w:p>
        </w:tc>
        <w:tc>
          <w:tcPr>
            <w:tcW w:w="1923"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中级职称人员</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3555" w:type="dxa"/>
            <w:gridSpan w:val="3"/>
            <w:vAlign w:val="center"/>
          </w:tcPr>
          <w:p>
            <w:pPr>
              <w:spacing w:line="480" w:lineRule="exact"/>
              <w:jc w:val="center"/>
              <w:rPr>
                <w:rFonts w:ascii="宋体" w:hAnsi="宋体" w:cs="宋体"/>
                <w:color w:val="auto"/>
                <w:sz w:val="24"/>
                <w:highlight w:val="none"/>
              </w:rPr>
            </w:pPr>
          </w:p>
        </w:tc>
        <w:tc>
          <w:tcPr>
            <w:tcW w:w="686" w:type="dxa"/>
            <w:vMerge w:val="continue"/>
            <w:vAlign w:val="center"/>
          </w:tcPr>
          <w:p>
            <w:pPr>
              <w:spacing w:line="480" w:lineRule="exact"/>
              <w:jc w:val="center"/>
              <w:rPr>
                <w:rFonts w:ascii="宋体" w:hAnsi="宋体" w:cs="宋体"/>
                <w:color w:val="auto"/>
                <w:sz w:val="24"/>
                <w:highlight w:val="none"/>
              </w:rPr>
            </w:pPr>
          </w:p>
        </w:tc>
        <w:tc>
          <w:tcPr>
            <w:tcW w:w="1923"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初级职称人员</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账号</w:t>
            </w:r>
          </w:p>
        </w:tc>
        <w:tc>
          <w:tcPr>
            <w:tcW w:w="3555" w:type="dxa"/>
            <w:gridSpan w:val="3"/>
            <w:vAlign w:val="center"/>
          </w:tcPr>
          <w:p>
            <w:pPr>
              <w:spacing w:line="480" w:lineRule="exact"/>
              <w:jc w:val="center"/>
              <w:rPr>
                <w:rFonts w:ascii="宋体" w:hAnsi="宋体" w:cs="宋体"/>
                <w:color w:val="auto"/>
                <w:sz w:val="24"/>
                <w:highlight w:val="none"/>
              </w:rPr>
            </w:pPr>
          </w:p>
        </w:tc>
        <w:tc>
          <w:tcPr>
            <w:tcW w:w="686" w:type="dxa"/>
            <w:vMerge w:val="continue"/>
            <w:vAlign w:val="center"/>
          </w:tcPr>
          <w:p>
            <w:pPr>
              <w:spacing w:line="480" w:lineRule="exact"/>
              <w:jc w:val="center"/>
              <w:rPr>
                <w:rFonts w:ascii="宋体" w:hAnsi="宋体" w:cs="宋体"/>
                <w:color w:val="auto"/>
                <w:sz w:val="24"/>
                <w:highlight w:val="none"/>
              </w:rPr>
            </w:pPr>
          </w:p>
        </w:tc>
        <w:tc>
          <w:tcPr>
            <w:tcW w:w="1923" w:type="dxa"/>
            <w:gridSpan w:val="2"/>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技工</w:t>
            </w:r>
          </w:p>
        </w:tc>
        <w:tc>
          <w:tcPr>
            <w:tcW w:w="1304" w:type="dxa"/>
            <w:vAlign w:val="center"/>
          </w:tcPr>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468" w:type="dxa"/>
            <w:gridSpan w:val="7"/>
            <w:vAlign w:val="center"/>
          </w:tcPr>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p>
            <w:pPr>
              <w:spacing w:line="48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657"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468" w:type="dxa"/>
            <w:gridSpan w:val="7"/>
            <w:vAlign w:val="center"/>
          </w:tcPr>
          <w:p>
            <w:pPr>
              <w:spacing w:line="480" w:lineRule="exact"/>
              <w:jc w:val="center"/>
              <w:rPr>
                <w:rFonts w:ascii="宋体" w:hAnsi="宋体" w:cs="宋体"/>
                <w:color w:val="auto"/>
                <w:sz w:val="24"/>
                <w:highlight w:val="none"/>
              </w:rPr>
            </w:pPr>
          </w:p>
        </w:tc>
      </w:tr>
    </w:tbl>
    <w:p>
      <w:pPr>
        <w:spacing w:line="480" w:lineRule="exact"/>
        <w:rPr>
          <w:rFonts w:ascii="宋体" w:hAnsi="宋体" w:cs="宋体"/>
          <w:color w:val="auto"/>
          <w:sz w:val="24"/>
          <w:highlight w:val="none"/>
        </w:rPr>
      </w:pPr>
    </w:p>
    <w:p>
      <w:pPr>
        <w:pStyle w:val="14"/>
        <w:spacing w:beforeAutospacing="0" w:afterAutospacing="0" w:line="480" w:lineRule="auto"/>
        <w:rPr>
          <w:b/>
          <w:color w:val="auto"/>
          <w:highlight w:val="none"/>
        </w:rPr>
      </w:pPr>
      <w:bookmarkStart w:id="620" w:name="_Toc23509"/>
    </w:p>
    <w:p>
      <w:pPr>
        <w:spacing w:line="360" w:lineRule="auto"/>
        <w:rPr>
          <w:b/>
          <w:bCs/>
          <w:color w:val="auto"/>
          <w:sz w:val="24"/>
          <w:highlight w:val="none"/>
        </w:rPr>
      </w:pPr>
      <w:r>
        <w:rPr>
          <w:rFonts w:hint="eastAsia"/>
          <w:b/>
          <w:bCs/>
          <w:color w:val="auto"/>
          <w:sz w:val="24"/>
          <w:highlight w:val="none"/>
        </w:rPr>
        <w:t>（二）企业资信证明材料（附投标人营业执照（副本）、资质证书（副本）、安全生产许可证等材料扫描件并盖单位章，）</w:t>
      </w:r>
      <w:bookmarkEnd w:id="620"/>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outlineLvl w:val="3"/>
        <w:rPr>
          <w:rFonts w:ascii="宋体" w:hAnsi="宋体" w:eastAsia="宋体" w:cs="宋体"/>
          <w:b/>
          <w:color w:val="auto"/>
          <w:sz w:val="24"/>
          <w:highlight w:val="none"/>
        </w:rPr>
      </w:pPr>
      <w:bookmarkStart w:id="621" w:name="_Toc7910"/>
    </w:p>
    <w:p>
      <w:pPr>
        <w:spacing w:line="480" w:lineRule="exact"/>
        <w:outlineLvl w:val="3"/>
        <w:rPr>
          <w:rFonts w:hint="eastAsia" w:ascii="宋体" w:hAnsi="宋体" w:eastAsia="宋体" w:cs="宋体"/>
          <w:b/>
          <w:color w:val="auto"/>
          <w:sz w:val="24"/>
          <w:highlight w:val="none"/>
        </w:rPr>
      </w:pPr>
    </w:p>
    <w:p>
      <w:pPr>
        <w:spacing w:line="480" w:lineRule="exact"/>
        <w:outlineLvl w:val="3"/>
        <w:rPr>
          <w:rFonts w:ascii="宋体" w:hAnsi="宋体" w:eastAsia="宋体" w:cs="宋体"/>
          <w:b/>
          <w:bCs/>
          <w:color w:val="auto"/>
          <w:sz w:val="24"/>
          <w:highlight w:val="none"/>
        </w:rPr>
      </w:pPr>
      <w:r>
        <w:rPr>
          <w:rFonts w:hint="eastAsia" w:ascii="宋体" w:hAnsi="宋体" w:eastAsia="宋体" w:cs="宋体"/>
          <w:b/>
          <w:color w:val="auto"/>
          <w:sz w:val="24"/>
          <w:highlight w:val="none"/>
        </w:rPr>
        <w:t>（三）</w:t>
      </w:r>
      <w:bookmarkEnd w:id="621"/>
      <w:r>
        <w:rPr>
          <w:rFonts w:hint="eastAsia" w:ascii="宋体" w:hAnsi="宋体" w:eastAsia="宋体" w:cs="宋体"/>
          <w:b/>
          <w:bCs/>
          <w:color w:val="auto"/>
          <w:sz w:val="24"/>
          <w:highlight w:val="none"/>
        </w:rPr>
        <w:t>202</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年度的财务审计报告（如为新注册公司，须提供公司注册年度以来的财务审计报告</w:t>
      </w:r>
      <w:r>
        <w:rPr>
          <w:rFonts w:hint="eastAsia" w:ascii="宋体" w:hAnsi="宋体" w:cs="宋体"/>
          <w:b/>
          <w:color w:val="auto"/>
          <w:sz w:val="24"/>
          <w:highlight w:val="none"/>
        </w:rPr>
        <w:t>或开户银行资信证明</w:t>
      </w:r>
      <w:r>
        <w:rPr>
          <w:rFonts w:hint="eastAsia" w:ascii="宋体" w:hAnsi="宋体" w:eastAsia="宋体" w:cs="宋体"/>
          <w:b/>
          <w:bCs/>
          <w:color w:val="auto"/>
          <w:sz w:val="24"/>
          <w:highlight w:val="none"/>
        </w:rPr>
        <w:t>）</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bookmarkStart w:id="651" w:name="_GoBack"/>
      <w:bookmarkEnd w:id="651"/>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outlineLvl w:val="3"/>
        <w:rPr>
          <w:rFonts w:ascii="宋体" w:hAnsi="宋体" w:cs="宋体"/>
          <w:b/>
          <w:color w:val="auto"/>
          <w:sz w:val="24"/>
          <w:highlight w:val="none"/>
        </w:rPr>
      </w:pPr>
      <w:bookmarkStart w:id="622" w:name="_Toc15708"/>
    </w:p>
    <w:p>
      <w:pPr>
        <w:spacing w:line="480" w:lineRule="exact"/>
        <w:outlineLvl w:val="3"/>
        <w:rPr>
          <w:rFonts w:ascii="宋体" w:hAnsi="宋体" w:cs="宋体"/>
          <w:b/>
          <w:color w:val="auto"/>
          <w:sz w:val="24"/>
          <w:highlight w:val="none"/>
        </w:rPr>
      </w:pPr>
    </w:p>
    <w:p>
      <w:pPr>
        <w:spacing w:line="480" w:lineRule="exact"/>
        <w:outlineLvl w:val="3"/>
        <w:rPr>
          <w:rFonts w:hint="eastAsia" w:ascii="宋体" w:hAnsi="宋体" w:cs="宋体"/>
          <w:b/>
          <w:color w:val="auto"/>
          <w:sz w:val="24"/>
          <w:highlight w:val="none"/>
        </w:rPr>
      </w:pPr>
    </w:p>
    <w:p>
      <w:pPr>
        <w:spacing w:line="480" w:lineRule="exact"/>
        <w:outlineLvl w:val="3"/>
        <w:rPr>
          <w:rFonts w:ascii="宋体" w:hAnsi="宋体" w:cs="宋体"/>
          <w:b/>
          <w:color w:val="auto"/>
          <w:sz w:val="24"/>
          <w:highlight w:val="none"/>
        </w:rPr>
      </w:pPr>
      <w:r>
        <w:rPr>
          <w:rFonts w:hint="eastAsia" w:ascii="宋体" w:hAnsi="宋体" w:cs="宋体"/>
          <w:b/>
          <w:color w:val="auto"/>
          <w:sz w:val="24"/>
          <w:highlight w:val="none"/>
        </w:rPr>
        <w:t>（四）近半年任意一个月的完税证明和社保证明（盖单位章）</w:t>
      </w: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80" w:lineRule="exact"/>
        <w:ind w:left="1" w:firstLine="352" w:firstLineChars="146"/>
        <w:rPr>
          <w:rFonts w:ascii="宋体" w:hAnsi="宋体" w:cs="宋体"/>
          <w:b/>
          <w:color w:val="auto"/>
          <w:sz w:val="24"/>
          <w:highlight w:val="none"/>
        </w:rPr>
      </w:pPr>
    </w:p>
    <w:p>
      <w:pPr>
        <w:spacing w:line="440" w:lineRule="exact"/>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440" w:lineRule="exact"/>
        <w:rPr>
          <w:rFonts w:hint="eastAsia" w:ascii="宋体" w:hAnsi="宋体" w:cs="宋体"/>
          <w:b/>
          <w:color w:val="auto"/>
          <w:sz w:val="24"/>
          <w:highlight w:val="none"/>
        </w:rPr>
      </w:pPr>
    </w:p>
    <w:p>
      <w:pPr>
        <w:spacing w:line="440" w:lineRule="exact"/>
        <w:rPr>
          <w:rFonts w:ascii="宋体" w:hAnsi="宋体" w:cs="宋体"/>
          <w:color w:val="auto"/>
          <w:sz w:val="24"/>
          <w:highlight w:val="none"/>
        </w:rPr>
      </w:pPr>
      <w:r>
        <w:rPr>
          <w:rFonts w:hint="eastAsia" w:ascii="宋体" w:hAnsi="宋体" w:cs="宋体"/>
          <w:b/>
          <w:color w:val="auto"/>
          <w:sz w:val="24"/>
          <w:highlight w:val="none"/>
        </w:rPr>
        <w:t>（五）</w:t>
      </w:r>
      <w:bookmarkEnd w:id="622"/>
      <w:r>
        <w:rPr>
          <w:rFonts w:hint="eastAsia" w:ascii="宋体" w:hAnsi="宋体" w:cs="宋体"/>
          <w:b/>
          <w:color w:val="auto"/>
          <w:sz w:val="24"/>
          <w:highlight w:val="none"/>
        </w:rPr>
        <w:t>类似业绩</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outlineLvl w:val="3"/>
        <w:rPr>
          <w:rFonts w:ascii="宋体" w:hAnsi="宋体" w:cs="宋体"/>
          <w:b/>
          <w:color w:val="auto"/>
          <w:sz w:val="24"/>
          <w:highlight w:val="none"/>
        </w:rPr>
      </w:pPr>
      <w:bookmarkStart w:id="623" w:name="_Toc15246"/>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ascii="宋体" w:hAnsi="宋体" w:cs="宋体"/>
          <w:b/>
          <w:color w:val="auto"/>
          <w:sz w:val="24"/>
          <w:highlight w:val="none"/>
        </w:rPr>
      </w:pPr>
    </w:p>
    <w:p>
      <w:pPr>
        <w:spacing w:line="480" w:lineRule="exact"/>
        <w:outlineLvl w:val="3"/>
        <w:rPr>
          <w:rFonts w:hint="eastAsia" w:ascii="宋体" w:hAnsi="宋体" w:cs="宋体"/>
          <w:b/>
          <w:color w:val="auto"/>
          <w:sz w:val="24"/>
          <w:highlight w:val="none"/>
        </w:rPr>
      </w:pPr>
    </w:p>
    <w:p>
      <w:pPr>
        <w:spacing w:line="480" w:lineRule="exact"/>
        <w:outlineLvl w:val="3"/>
        <w:rPr>
          <w:rFonts w:ascii="宋体" w:hAnsi="宋体" w:cs="宋体"/>
          <w:b/>
          <w:bCs/>
          <w:color w:val="auto"/>
          <w:sz w:val="24"/>
          <w:highlight w:val="none"/>
        </w:rPr>
      </w:pPr>
      <w:r>
        <w:rPr>
          <w:rFonts w:hint="eastAsia" w:ascii="宋体" w:hAnsi="宋体" w:cs="宋体"/>
          <w:b/>
          <w:color w:val="auto"/>
          <w:sz w:val="24"/>
          <w:highlight w:val="none"/>
        </w:rPr>
        <w:t>（六）</w:t>
      </w:r>
      <w:r>
        <w:rPr>
          <w:rFonts w:hint="eastAsia" w:ascii="宋体" w:hAnsi="宋体" w:eastAsia="宋体" w:cs="宋体"/>
          <w:b/>
          <w:bCs/>
          <w:color w:val="auto"/>
          <w:kern w:val="0"/>
          <w:sz w:val="24"/>
          <w:highlight w:val="none"/>
        </w:rPr>
        <w:t>202</w:t>
      </w:r>
      <w:r>
        <w:rPr>
          <w:rFonts w:hint="eastAsia" w:ascii="宋体" w:hAnsi="宋体" w:eastAsia="宋体" w:cs="宋体"/>
          <w:b/>
          <w:bCs/>
          <w:color w:val="auto"/>
          <w:kern w:val="0"/>
          <w:sz w:val="24"/>
          <w:highlight w:val="none"/>
          <w:lang w:val="en-US" w:eastAsia="zh-CN"/>
        </w:rPr>
        <w:t>0</w:t>
      </w:r>
      <w:r>
        <w:rPr>
          <w:rFonts w:hint="eastAsia" w:ascii="宋体" w:hAnsi="宋体" w:eastAsia="宋体" w:cs="宋体"/>
          <w:b/>
          <w:bCs/>
          <w:color w:val="auto"/>
          <w:kern w:val="0"/>
          <w:sz w:val="24"/>
          <w:highlight w:val="none"/>
        </w:rPr>
        <w:t>年1月1日以来</w:t>
      </w:r>
      <w:r>
        <w:rPr>
          <w:rFonts w:hint="eastAsia" w:ascii="宋体" w:hAnsi="宋体" w:cs="宋体"/>
          <w:b/>
          <w:bCs/>
          <w:color w:val="auto"/>
          <w:sz w:val="24"/>
          <w:highlight w:val="none"/>
        </w:rPr>
        <w:t>发生的诉讼及仲裁情况</w:t>
      </w:r>
      <w:bookmarkEnd w:id="623"/>
    </w:p>
    <w:p>
      <w:pPr>
        <w:spacing w:line="480" w:lineRule="exact"/>
        <w:rPr>
          <w:rFonts w:ascii="宋体" w:hAnsi="宋体" w:cs="宋体"/>
          <w:b/>
          <w:bCs/>
          <w:color w:val="auto"/>
          <w:sz w:val="24"/>
          <w:highlight w:val="none"/>
        </w:rPr>
      </w:pPr>
    </w:p>
    <w:p>
      <w:pPr>
        <w:spacing w:line="480" w:lineRule="exact"/>
        <w:ind w:firstLine="482" w:firstLineChars="200"/>
        <w:rPr>
          <w:rFonts w:ascii="宋体" w:hAnsi="宋体" w:cs="宋体"/>
          <w:b/>
          <w:bCs/>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ind w:firstLine="4080" w:firstLineChars="1700"/>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tabs>
          <w:tab w:val="left" w:pos="3165"/>
          <w:tab w:val="center" w:pos="4737"/>
        </w:tabs>
        <w:spacing w:line="480" w:lineRule="exact"/>
        <w:jc w:val="center"/>
        <w:rPr>
          <w:rFonts w:ascii="宋体" w:hAnsi="宋体" w:cs="宋体"/>
          <w:b/>
          <w:bCs/>
          <w:color w:val="auto"/>
          <w:sz w:val="28"/>
          <w:szCs w:val="28"/>
          <w:highlight w:val="none"/>
        </w:rPr>
      </w:pPr>
      <w:bookmarkStart w:id="624" w:name="_Toc17944"/>
    </w:p>
    <w:p>
      <w:pPr>
        <w:tabs>
          <w:tab w:val="left" w:pos="3165"/>
          <w:tab w:val="center" w:pos="4737"/>
        </w:tabs>
        <w:spacing w:line="480" w:lineRule="exact"/>
        <w:jc w:val="center"/>
        <w:rPr>
          <w:rFonts w:ascii="宋体" w:hAnsi="宋体" w:cs="宋体"/>
          <w:b/>
          <w:bCs/>
          <w:color w:val="auto"/>
          <w:sz w:val="28"/>
          <w:szCs w:val="28"/>
          <w:highlight w:val="none"/>
        </w:rPr>
      </w:pPr>
    </w:p>
    <w:p>
      <w:pPr>
        <w:tabs>
          <w:tab w:val="left" w:pos="3165"/>
          <w:tab w:val="center" w:pos="4737"/>
        </w:tabs>
        <w:spacing w:line="480" w:lineRule="exact"/>
        <w:jc w:val="center"/>
        <w:outlineLvl w:val="0"/>
        <w:rPr>
          <w:rFonts w:ascii="宋体" w:hAnsi="宋体" w:cs="宋体"/>
          <w:b/>
          <w:bCs/>
          <w:color w:val="auto"/>
          <w:sz w:val="28"/>
          <w:szCs w:val="28"/>
          <w:highlight w:val="none"/>
        </w:rPr>
      </w:pPr>
    </w:p>
    <w:p>
      <w:pPr>
        <w:tabs>
          <w:tab w:val="left" w:pos="3165"/>
          <w:tab w:val="center" w:pos="4737"/>
        </w:tabs>
        <w:spacing w:line="480" w:lineRule="exact"/>
        <w:jc w:val="center"/>
        <w:outlineLvl w:val="0"/>
        <w:rPr>
          <w:rFonts w:ascii="宋体" w:hAnsi="宋体" w:cs="宋体"/>
          <w:b/>
          <w:bCs/>
          <w:color w:val="auto"/>
          <w:sz w:val="28"/>
          <w:szCs w:val="28"/>
          <w:highlight w:val="none"/>
        </w:rPr>
      </w:pPr>
    </w:p>
    <w:p>
      <w:pPr>
        <w:tabs>
          <w:tab w:val="left" w:pos="3165"/>
          <w:tab w:val="center" w:pos="4737"/>
        </w:tabs>
        <w:spacing w:line="480" w:lineRule="exact"/>
        <w:jc w:val="center"/>
        <w:outlineLvl w:val="0"/>
        <w:rPr>
          <w:rFonts w:ascii="宋体" w:hAnsi="宋体" w:cs="宋体"/>
          <w:b/>
          <w:bCs/>
          <w:color w:val="auto"/>
          <w:sz w:val="28"/>
          <w:szCs w:val="28"/>
          <w:highlight w:val="none"/>
        </w:rPr>
      </w:pPr>
    </w:p>
    <w:p>
      <w:pPr>
        <w:tabs>
          <w:tab w:val="left" w:pos="3165"/>
          <w:tab w:val="center" w:pos="4737"/>
        </w:tabs>
        <w:spacing w:line="480" w:lineRule="exact"/>
        <w:jc w:val="center"/>
        <w:outlineLvl w:val="0"/>
        <w:rPr>
          <w:rFonts w:ascii="宋体" w:hAnsi="宋体" w:cs="宋体"/>
          <w:b/>
          <w:bCs/>
          <w:color w:val="auto"/>
          <w:sz w:val="28"/>
          <w:szCs w:val="28"/>
          <w:highlight w:val="none"/>
        </w:rPr>
      </w:pPr>
    </w:p>
    <w:p>
      <w:pPr>
        <w:tabs>
          <w:tab w:val="left" w:pos="3165"/>
          <w:tab w:val="center" w:pos="4737"/>
        </w:tabs>
        <w:spacing w:line="480" w:lineRule="exact"/>
        <w:jc w:val="center"/>
        <w:outlineLvl w:val="0"/>
        <w:rPr>
          <w:rFonts w:ascii="宋体" w:hAnsi="宋体" w:cs="宋体"/>
          <w:b/>
          <w:bCs/>
          <w:color w:val="auto"/>
          <w:sz w:val="28"/>
          <w:szCs w:val="28"/>
          <w:highlight w:val="none"/>
        </w:rPr>
      </w:pPr>
    </w:p>
    <w:p>
      <w:pPr>
        <w:tabs>
          <w:tab w:val="left" w:pos="3165"/>
          <w:tab w:val="center" w:pos="4737"/>
        </w:tabs>
        <w:spacing w:line="480" w:lineRule="exact"/>
        <w:jc w:val="center"/>
        <w:outlineLvl w:val="0"/>
        <w:rPr>
          <w:rFonts w:hint="eastAsia" w:ascii="宋体" w:hAnsi="宋体" w:cs="宋体"/>
          <w:b/>
          <w:bCs/>
          <w:color w:val="auto"/>
          <w:sz w:val="28"/>
          <w:szCs w:val="28"/>
          <w:highlight w:val="none"/>
        </w:rPr>
      </w:pPr>
      <w:bookmarkStart w:id="625" w:name="_Toc10022"/>
    </w:p>
    <w:p>
      <w:pPr>
        <w:tabs>
          <w:tab w:val="left" w:pos="3165"/>
          <w:tab w:val="center" w:pos="4737"/>
        </w:tabs>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七、其他材料</w:t>
      </w:r>
      <w:bookmarkEnd w:id="624"/>
      <w:bookmarkEnd w:id="625"/>
    </w:p>
    <w:p>
      <w:pPr>
        <w:pStyle w:val="26"/>
        <w:shd w:val="clear" w:color="auto" w:fill="FFFFFF"/>
        <w:wordWrap w:val="0"/>
        <w:snapToGrid w:val="0"/>
        <w:spacing w:beforeAutospacing="0" w:afterAutospacing="0" w:line="400" w:lineRule="exact"/>
        <w:ind w:firstLine="482" w:firstLineChars="200"/>
        <w:rPr>
          <w:color w:val="auto"/>
          <w:highlight w:val="none"/>
        </w:rPr>
      </w:pPr>
      <w:r>
        <w:rPr>
          <w:rFonts w:hint="eastAsia"/>
          <w:b/>
          <w:color w:val="auto"/>
          <w:highlight w:val="none"/>
        </w:rPr>
        <w:t>1、</w:t>
      </w:r>
      <w:r>
        <w:rPr>
          <w:rFonts w:hint="eastAsia" w:eastAsia="宋体"/>
          <w:b/>
          <w:bCs/>
          <w:color w:val="auto"/>
          <w:highlight w:val="none"/>
          <w:shd w:val="clear" w:color="auto" w:fill="FFFFFF"/>
        </w:rPr>
        <w:t>根据《关于在政府采购活动中查询及使用信用记录有关问题的通知》（</w:t>
      </w:r>
      <w:r>
        <w:rPr>
          <w:rFonts w:hint="eastAsia" w:eastAsia="宋体"/>
          <w:b/>
          <w:bCs/>
          <w:color w:val="auto"/>
          <w:highlight w:val="none"/>
          <w:shd w:val="clear" w:color="auto" w:fill="FFFFFF"/>
          <w:lang w:eastAsia="zh-CN"/>
        </w:rPr>
        <w:t>财库[2016]125号</w:t>
      </w:r>
      <w:r>
        <w:rPr>
          <w:rFonts w:hint="eastAsia" w:eastAsia="宋体"/>
          <w:b/>
          <w:bCs/>
          <w:color w:val="auto"/>
          <w:highlight w:val="none"/>
          <w:shd w:val="clear" w:color="auto" w:fill="FFFFFF"/>
        </w:rPr>
        <w:t>）的规定，对列入失信被执行人、重大税收违法失信主体、政府采购严重违法失信行为记录名单的投标单位，拒绝参与本项目招标投标活动；【</w:t>
      </w:r>
      <w:r>
        <w:rPr>
          <w:rFonts w:hint="eastAsia" w:eastAsia="宋体"/>
          <w:b/>
          <w:bCs/>
          <w:color w:val="auto"/>
          <w:highlight w:val="none"/>
        </w:rPr>
        <w:t>查询渠道：“信用中国”网站（ www.creditchina.gov.cn）或“中国政府采购网”（ www.ccgp.gov.cn）或“中国执行信息公开网”网站（zxgk.court.gov.cn）】。附本公司在以上任意一个网站上的查询记录，查询日期应为公告发布之后。</w:t>
      </w:r>
    </w:p>
    <w:p>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2、无拖欠农民工工资承诺函（投标人自行承诺，格式自拟）。</w:t>
      </w:r>
    </w:p>
    <w:p>
      <w:pPr>
        <w:pStyle w:val="26"/>
        <w:shd w:val="clear" w:color="auto" w:fill="FFFFFF"/>
        <w:wordWrap w:val="0"/>
        <w:snapToGrid w:val="0"/>
        <w:spacing w:beforeAutospacing="0" w:afterAutospacing="0" w:line="360" w:lineRule="auto"/>
        <w:ind w:firstLine="481"/>
        <w:rPr>
          <w:b/>
          <w:color w:val="auto"/>
          <w:highlight w:val="none"/>
        </w:rPr>
      </w:pPr>
      <w:r>
        <w:rPr>
          <w:rFonts w:hint="eastAsia"/>
          <w:b/>
          <w:color w:val="auto"/>
          <w:highlight w:val="none"/>
        </w:rPr>
        <w:t>3、服务承诺。</w:t>
      </w:r>
    </w:p>
    <w:p>
      <w:pPr>
        <w:spacing w:line="360" w:lineRule="auto"/>
        <w:ind w:firstLine="482" w:firstLineChars="200"/>
        <w:rPr>
          <w:rFonts w:ascii="宋体" w:hAnsi="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cs="宋体"/>
          <w:b/>
          <w:color w:val="auto"/>
          <w:kern w:val="0"/>
          <w:sz w:val="24"/>
          <w:highlight w:val="none"/>
        </w:rPr>
        <w:t>近五年，在经营活动中无重大违法记录的书面声明函</w:t>
      </w:r>
    </w:p>
    <w:p>
      <w:pPr>
        <w:spacing w:line="360" w:lineRule="auto"/>
        <w:ind w:firstLine="2160" w:firstLineChars="900"/>
        <w:jc w:val="left"/>
        <w:rPr>
          <w:rFonts w:ascii="宋体" w:hAnsi="宋体" w:cs="宋体"/>
          <w:color w:val="auto"/>
          <w:kern w:val="0"/>
          <w:sz w:val="24"/>
          <w:highlight w:val="none"/>
        </w:rPr>
      </w:pPr>
      <w:r>
        <w:rPr>
          <w:rFonts w:hint="eastAsia" w:ascii="宋体" w:hAnsi="宋体" w:cs="宋体"/>
          <w:color w:val="auto"/>
          <w:kern w:val="0"/>
          <w:sz w:val="24"/>
          <w:highlight w:val="none"/>
        </w:rPr>
        <w:t>近五年，在经营活动中无重大违法记录的书面声明</w:t>
      </w:r>
    </w:p>
    <w:p>
      <w:pPr>
        <w:spacing w:line="360" w:lineRule="auto"/>
        <w:ind w:firstLine="2160" w:firstLineChars="9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本人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（法定代表人）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（身份证号码）代表本公司</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（公司名称）在此郑重声明，在参加本次招标活动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名称及标段）近五年，在经营活动中无重大违法记录。本人愿为此声明的真实性负责，如有欺骗、隐瞒、谎报等行为，本人及参与评审人员愿意承担所有由此引起的法律后果，并接受有关部门依据有关法律法规给予的处罚。</w:t>
      </w:r>
    </w:p>
    <w:p>
      <w:pPr>
        <w:spacing w:line="360" w:lineRule="auto"/>
        <w:ind w:firstLine="2160" w:firstLineChars="9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特此声明！</w:t>
      </w:r>
    </w:p>
    <w:p>
      <w:pPr>
        <w:spacing w:line="360" w:lineRule="auto"/>
        <w:ind w:firstLine="480" w:firstLineChars="200"/>
        <w:jc w:val="center"/>
        <w:rPr>
          <w:rFonts w:ascii="宋体" w:hAnsi="宋体" w:cs="宋体"/>
          <w:color w:val="auto"/>
          <w:kern w:val="0"/>
          <w:sz w:val="24"/>
          <w:highlight w:val="none"/>
        </w:rPr>
      </w:pPr>
      <w:r>
        <w:rPr>
          <w:rFonts w:hint="eastAsia" w:ascii="宋体" w:hAnsi="宋体" w:cs="宋体"/>
          <w:color w:val="auto"/>
          <w:kern w:val="0"/>
          <w:sz w:val="24"/>
          <w:highlight w:val="none"/>
        </w:rPr>
        <w:t>单位名称（公章）：</w:t>
      </w:r>
    </w:p>
    <w:p>
      <w:pPr>
        <w:spacing w:line="360" w:lineRule="auto"/>
        <w:ind w:firstLine="480" w:firstLineChars="200"/>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法定代表人（签字或盖章）：</w:t>
      </w:r>
    </w:p>
    <w:p>
      <w:pPr>
        <w:spacing w:line="360" w:lineRule="auto"/>
        <w:ind w:firstLine="480" w:firstLineChars="200"/>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日期：</w:t>
      </w:r>
    </w:p>
    <w:p>
      <w:pPr>
        <w:spacing w:line="360" w:lineRule="auto"/>
        <w:ind w:firstLine="482" w:firstLineChars="200"/>
        <w:rPr>
          <w:rFonts w:ascii="宋体" w:hAnsi="宋体" w:cs="宋体"/>
          <w:b/>
          <w:color w:val="auto"/>
          <w:sz w:val="24"/>
          <w:highlight w:val="none"/>
        </w:rPr>
      </w:pP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5、投标人认为应提交的其他资料。</w:t>
      </w: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bookmarkStart w:id="626" w:name="_Toc24223"/>
    </w:p>
    <w:p>
      <w:pPr>
        <w:spacing w:line="480" w:lineRule="exact"/>
        <w:jc w:val="center"/>
        <w:outlineLvl w:val="0"/>
        <w:rPr>
          <w:rFonts w:hint="eastAsia" w:ascii="宋体" w:hAnsi="宋体" w:cs="宋体"/>
          <w:b/>
          <w:bCs/>
          <w:color w:val="auto"/>
          <w:sz w:val="28"/>
          <w:szCs w:val="28"/>
          <w:highlight w:val="none"/>
        </w:rPr>
      </w:pPr>
    </w:p>
    <w:p>
      <w:pPr>
        <w:spacing w:line="480" w:lineRule="exact"/>
        <w:jc w:val="center"/>
        <w:outlineLvl w:val="0"/>
        <w:rPr>
          <w:rFonts w:hint="eastAsia"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八、施工组织设计</w:t>
      </w:r>
      <w:bookmarkEnd w:id="626"/>
    </w:p>
    <w:p>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施工组织设计应包括但不限于下列内容：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一、主要施工方案与技术措施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二、质量管理体系与措施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三、安全管理体系与措施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四、文明施工、环境保护管理体系及施工现场扬尘治理措施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五、工期保证措施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六、拟投入资源配备计划</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七、施工进度网络图（或施工进度表）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八、施工总平面图布置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九、技术创新的应用实施措施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十、采用新工艺、新技术、新设备、新材料、BIM等的程度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十一、施工现场实施信息化监控和数据处理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十二、风险管理措施</w:t>
      </w:r>
    </w:p>
    <w:p>
      <w:pPr>
        <w:spacing w:line="480" w:lineRule="exact"/>
        <w:rPr>
          <w:rFonts w:ascii="宋体" w:hAnsi="宋体" w:cs="宋体"/>
          <w:color w:val="auto"/>
          <w:sz w:val="24"/>
          <w:highlight w:val="none"/>
        </w:rPr>
      </w:pP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2.施工组织设计除采用文字表述外可附下列图表，图表及格式要求附后。</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附表一 拟投入本标段的主要施工设备表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附表二 拟配备本标段的试验和检测仪器设备表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附表三 劳动力计划表</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附表四 计划开、竣工日期和施工进度网络图</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附表五 施工总平面图</w:t>
      </w: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spacing w:line="480" w:lineRule="exact"/>
        <w:rPr>
          <w:rFonts w:ascii="宋体" w:hAnsi="宋体" w:cs="宋体"/>
          <w:color w:val="auto"/>
          <w:sz w:val="24"/>
          <w:highlight w:val="none"/>
        </w:rPr>
      </w:pPr>
    </w:p>
    <w:p>
      <w:pPr>
        <w:tabs>
          <w:tab w:val="left" w:pos="1080"/>
        </w:tabs>
        <w:spacing w:line="400" w:lineRule="exact"/>
        <w:outlineLvl w:val="0"/>
        <w:rPr>
          <w:rFonts w:hint="eastAsia" w:ascii="宋体" w:hAnsi="宋体" w:cs="宋体"/>
          <w:b/>
          <w:color w:val="auto"/>
          <w:sz w:val="28"/>
          <w:szCs w:val="28"/>
          <w:highlight w:val="none"/>
        </w:rPr>
      </w:pPr>
      <w:bookmarkStart w:id="627" w:name="_Toc30946"/>
      <w:bookmarkStart w:id="628" w:name="_Toc16086"/>
      <w:bookmarkStart w:id="629" w:name="_Toc4098"/>
    </w:p>
    <w:p>
      <w:pPr>
        <w:tabs>
          <w:tab w:val="left" w:pos="1080"/>
        </w:tabs>
        <w:spacing w:line="400" w:lineRule="exact"/>
        <w:outlineLvl w:val="0"/>
        <w:rPr>
          <w:rFonts w:hint="eastAsia" w:ascii="宋体" w:hAnsi="宋体" w:cs="宋体"/>
          <w:b/>
          <w:color w:val="auto"/>
          <w:sz w:val="28"/>
          <w:szCs w:val="28"/>
          <w:highlight w:val="none"/>
        </w:rPr>
      </w:pPr>
    </w:p>
    <w:p>
      <w:pPr>
        <w:tabs>
          <w:tab w:val="left" w:pos="1080"/>
        </w:tabs>
        <w:spacing w:line="400" w:lineRule="exact"/>
        <w:outlineLvl w:val="0"/>
        <w:rPr>
          <w:rFonts w:ascii="宋体" w:hAnsi="宋体" w:cs="宋体"/>
          <w:b/>
          <w:color w:val="auto"/>
          <w:sz w:val="28"/>
          <w:szCs w:val="28"/>
          <w:highlight w:val="none"/>
        </w:rPr>
      </w:pPr>
      <w:r>
        <w:rPr>
          <w:rFonts w:hint="eastAsia" w:ascii="宋体" w:hAnsi="宋体" w:cs="宋体"/>
          <w:b/>
          <w:color w:val="auto"/>
          <w:sz w:val="28"/>
          <w:szCs w:val="28"/>
          <w:highlight w:val="none"/>
        </w:rPr>
        <w:t>附表一：拟投入本标段的主要施工设备表</w:t>
      </w:r>
      <w:bookmarkEnd w:id="627"/>
      <w:bookmarkEnd w:id="628"/>
      <w:bookmarkEnd w:id="629"/>
    </w:p>
    <w:tbl>
      <w:tblPr>
        <w:tblStyle w:val="17"/>
        <w:tblpPr w:leftFromText="180" w:rightFromText="180" w:vertAnchor="page" w:horzAnchor="page" w:tblpX="1575" w:tblpY="2074"/>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20"/>
        <w:gridCol w:w="920"/>
        <w:gridCol w:w="967"/>
        <w:gridCol w:w="868"/>
        <w:gridCol w:w="868"/>
        <w:gridCol w:w="1333"/>
        <w:gridCol w:w="868"/>
        <w:gridCol w:w="98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6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92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92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型号规格</w:t>
            </w:r>
          </w:p>
        </w:tc>
        <w:tc>
          <w:tcPr>
            <w:tcW w:w="96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6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国别产地</w:t>
            </w:r>
          </w:p>
        </w:tc>
        <w:tc>
          <w:tcPr>
            <w:tcW w:w="86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33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额定功率（KW）</w:t>
            </w:r>
          </w:p>
        </w:tc>
        <w:tc>
          <w:tcPr>
            <w:tcW w:w="86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生产能力</w:t>
            </w:r>
          </w:p>
        </w:tc>
        <w:tc>
          <w:tcPr>
            <w:tcW w:w="98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用于施工部位</w:t>
            </w:r>
          </w:p>
        </w:tc>
        <w:tc>
          <w:tcPr>
            <w:tcW w:w="75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63"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20" w:type="dxa"/>
            <w:vAlign w:val="center"/>
          </w:tcPr>
          <w:p>
            <w:pPr>
              <w:jc w:val="center"/>
              <w:rPr>
                <w:rFonts w:ascii="宋体" w:hAnsi="宋体" w:cs="宋体"/>
                <w:color w:val="auto"/>
                <w:sz w:val="28"/>
                <w:szCs w:val="28"/>
                <w:highlight w:val="none"/>
              </w:rPr>
            </w:pPr>
          </w:p>
        </w:tc>
        <w:tc>
          <w:tcPr>
            <w:tcW w:w="967"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1333" w:type="dxa"/>
            <w:vAlign w:val="center"/>
          </w:tcPr>
          <w:p>
            <w:pPr>
              <w:jc w:val="center"/>
              <w:rPr>
                <w:rFonts w:ascii="宋体" w:hAnsi="宋体" w:cs="宋体"/>
                <w:color w:val="auto"/>
                <w:sz w:val="28"/>
                <w:szCs w:val="28"/>
                <w:highlight w:val="none"/>
              </w:rPr>
            </w:pPr>
          </w:p>
        </w:tc>
        <w:tc>
          <w:tcPr>
            <w:tcW w:w="868" w:type="dxa"/>
            <w:vAlign w:val="center"/>
          </w:tcPr>
          <w:p>
            <w:pPr>
              <w:jc w:val="center"/>
              <w:rPr>
                <w:rFonts w:ascii="宋体" w:hAnsi="宋体" w:cs="宋体"/>
                <w:color w:val="auto"/>
                <w:sz w:val="28"/>
                <w:szCs w:val="28"/>
                <w:highlight w:val="none"/>
              </w:rPr>
            </w:pPr>
          </w:p>
        </w:tc>
        <w:tc>
          <w:tcPr>
            <w:tcW w:w="985" w:type="dxa"/>
            <w:vAlign w:val="center"/>
          </w:tcPr>
          <w:p>
            <w:pPr>
              <w:jc w:val="center"/>
              <w:rPr>
                <w:rFonts w:ascii="宋体" w:hAnsi="宋体" w:cs="宋体"/>
                <w:color w:val="auto"/>
                <w:sz w:val="28"/>
                <w:szCs w:val="28"/>
                <w:highlight w:val="none"/>
              </w:rPr>
            </w:pPr>
          </w:p>
        </w:tc>
        <w:tc>
          <w:tcPr>
            <w:tcW w:w="752" w:type="dxa"/>
            <w:vAlign w:val="center"/>
          </w:tcPr>
          <w:p>
            <w:pPr>
              <w:jc w:val="center"/>
              <w:rPr>
                <w:rFonts w:ascii="宋体" w:hAnsi="宋体" w:cs="宋体"/>
                <w:color w:val="auto"/>
                <w:sz w:val="28"/>
                <w:szCs w:val="28"/>
                <w:highlight w:val="none"/>
              </w:rPr>
            </w:pPr>
          </w:p>
        </w:tc>
      </w:tr>
    </w:tbl>
    <w:p>
      <w:pPr>
        <w:tabs>
          <w:tab w:val="left" w:pos="1080"/>
        </w:tabs>
        <w:spacing w:line="400" w:lineRule="exact"/>
        <w:rPr>
          <w:rFonts w:ascii="宋体" w:hAnsi="宋体" w:cs="宋体"/>
          <w:b/>
          <w:color w:val="auto"/>
          <w:sz w:val="28"/>
          <w:szCs w:val="28"/>
          <w:highlight w:val="none"/>
        </w:rPr>
      </w:pPr>
    </w:p>
    <w:p>
      <w:pPr>
        <w:ind w:firstLine="275" w:firstLineChars="98"/>
        <w:outlineLvl w:val="0"/>
        <w:rPr>
          <w:rFonts w:ascii="宋体" w:hAnsi="宋体" w:cs="宋体"/>
          <w:b/>
          <w:color w:val="auto"/>
          <w:sz w:val="28"/>
          <w:szCs w:val="28"/>
          <w:highlight w:val="none"/>
        </w:rPr>
      </w:pPr>
      <w:r>
        <w:rPr>
          <w:rFonts w:hint="eastAsia" w:ascii="宋体" w:hAnsi="宋体" w:cs="宋体"/>
          <w:b/>
          <w:color w:val="auto"/>
          <w:sz w:val="28"/>
          <w:szCs w:val="28"/>
          <w:highlight w:val="none"/>
        </w:rPr>
        <w:br w:type="page"/>
      </w:r>
      <w:bookmarkStart w:id="630" w:name="_Toc9677"/>
      <w:bookmarkStart w:id="631" w:name="_Toc5370"/>
      <w:bookmarkStart w:id="632" w:name="_Toc19563"/>
      <w:r>
        <w:rPr>
          <w:rFonts w:hint="eastAsia" w:ascii="宋体" w:hAnsi="宋体" w:cs="宋体"/>
          <w:b/>
          <w:color w:val="auto"/>
          <w:sz w:val="28"/>
          <w:szCs w:val="28"/>
          <w:highlight w:val="none"/>
        </w:rPr>
        <w:t>附表二：拟配备本标段的试验和检测仪器设备表</w:t>
      </w:r>
      <w:bookmarkEnd w:id="630"/>
      <w:bookmarkEnd w:id="631"/>
      <w:bookmarkEnd w:id="632"/>
    </w:p>
    <w:p>
      <w:pPr>
        <w:ind w:firstLine="275" w:firstLineChars="98"/>
        <w:rPr>
          <w:rFonts w:ascii="宋体" w:hAnsi="宋体" w:cs="宋体"/>
          <w:b/>
          <w:color w:val="auto"/>
          <w:sz w:val="28"/>
          <w:szCs w:val="28"/>
          <w:highlight w:val="none"/>
        </w:rPr>
      </w:pPr>
    </w:p>
    <w:p>
      <w:pPr>
        <w:ind w:firstLine="275" w:firstLineChars="98"/>
        <w:rPr>
          <w:rFonts w:ascii="宋体" w:hAnsi="宋体" w:cs="宋体"/>
          <w:b/>
          <w:color w:val="auto"/>
          <w:sz w:val="28"/>
          <w:szCs w:val="28"/>
          <w:highlight w:val="none"/>
        </w:rPr>
      </w:pPr>
    </w:p>
    <w:tbl>
      <w:tblPr>
        <w:tblStyle w:val="17"/>
        <w:tblpPr w:leftFromText="180" w:rightFromText="180" w:vertAnchor="page" w:horzAnchor="margin" w:tblpY="245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仪器设备</w:t>
            </w:r>
          </w:p>
          <w:p>
            <w:pPr>
              <w:jc w:val="center"/>
              <w:rPr>
                <w:rFonts w:ascii="宋体" w:hAnsi="宋体" w:cs="宋体"/>
                <w:color w:val="auto"/>
                <w:sz w:val="24"/>
                <w:highlight w:val="none"/>
              </w:rPr>
            </w:pPr>
            <w:r>
              <w:rPr>
                <w:rFonts w:hint="eastAsia" w:ascii="宋体" w:hAnsi="宋体" w:cs="宋体"/>
                <w:color w:val="auto"/>
                <w:sz w:val="24"/>
                <w:highlight w:val="none"/>
              </w:rPr>
              <w:t>名称</w:t>
            </w:r>
          </w:p>
        </w:tc>
        <w:tc>
          <w:tcPr>
            <w:tcW w:w="108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型号</w:t>
            </w:r>
          </w:p>
          <w:p>
            <w:pPr>
              <w:jc w:val="center"/>
              <w:rPr>
                <w:rFonts w:ascii="宋体" w:hAnsi="宋体" w:cs="宋体"/>
                <w:color w:val="auto"/>
                <w:sz w:val="24"/>
                <w:highlight w:val="none"/>
              </w:rPr>
            </w:pPr>
            <w:r>
              <w:rPr>
                <w:rFonts w:hint="eastAsia" w:ascii="宋体" w:hAnsi="宋体" w:cs="宋体"/>
                <w:color w:val="auto"/>
                <w:sz w:val="24"/>
                <w:highlight w:val="none"/>
              </w:rPr>
              <w:t>规格</w:t>
            </w:r>
          </w:p>
        </w:tc>
        <w:tc>
          <w:tcPr>
            <w:tcW w:w="72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77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国别产地</w:t>
            </w:r>
          </w:p>
        </w:tc>
        <w:tc>
          <w:tcPr>
            <w:tcW w:w="108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制造</w:t>
            </w:r>
          </w:p>
          <w:p>
            <w:pPr>
              <w:jc w:val="center"/>
              <w:rPr>
                <w:rFonts w:ascii="宋体" w:hAnsi="宋体" w:cs="宋体"/>
                <w:color w:val="auto"/>
                <w:sz w:val="24"/>
                <w:highlight w:val="none"/>
              </w:rPr>
            </w:pPr>
            <w:r>
              <w:rPr>
                <w:rFonts w:hint="eastAsia" w:ascii="宋体" w:hAnsi="宋体" w:cs="宋体"/>
                <w:color w:val="auto"/>
                <w:sz w:val="24"/>
                <w:highlight w:val="none"/>
              </w:rPr>
              <w:t>年份</w:t>
            </w:r>
          </w:p>
        </w:tc>
        <w:tc>
          <w:tcPr>
            <w:tcW w:w="108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已使用台时数</w:t>
            </w:r>
          </w:p>
        </w:tc>
        <w:tc>
          <w:tcPr>
            <w:tcW w:w="115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用途</w:t>
            </w:r>
          </w:p>
        </w:tc>
        <w:tc>
          <w:tcPr>
            <w:tcW w:w="90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vAlign w:val="center"/>
          </w:tcPr>
          <w:p>
            <w:pPr>
              <w:jc w:val="center"/>
              <w:rPr>
                <w:rFonts w:ascii="宋体" w:hAnsi="宋体" w:cs="宋体"/>
                <w:color w:val="auto"/>
                <w:sz w:val="24"/>
                <w:highlight w:val="none"/>
              </w:rPr>
            </w:pPr>
          </w:p>
        </w:tc>
        <w:tc>
          <w:tcPr>
            <w:tcW w:w="1440" w:type="dxa"/>
            <w:vAlign w:val="center"/>
          </w:tcPr>
          <w:p>
            <w:pPr>
              <w:jc w:val="center"/>
              <w:rPr>
                <w:rFonts w:ascii="宋体" w:hAnsi="宋体" w:cs="宋体"/>
                <w:color w:val="auto"/>
                <w:sz w:val="24"/>
                <w:highlight w:val="none"/>
              </w:rPr>
            </w:pPr>
          </w:p>
        </w:tc>
        <w:tc>
          <w:tcPr>
            <w:tcW w:w="1080" w:type="dxa"/>
            <w:vAlign w:val="center"/>
          </w:tcPr>
          <w:p>
            <w:pPr>
              <w:jc w:val="center"/>
              <w:rPr>
                <w:rFonts w:ascii="宋体" w:hAnsi="宋体" w:cs="宋体"/>
                <w:color w:val="auto"/>
                <w:sz w:val="24"/>
                <w:highlight w:val="none"/>
              </w:rPr>
            </w:pPr>
          </w:p>
        </w:tc>
        <w:tc>
          <w:tcPr>
            <w:tcW w:w="720" w:type="dxa"/>
            <w:vAlign w:val="center"/>
          </w:tcPr>
          <w:p>
            <w:pPr>
              <w:jc w:val="center"/>
              <w:rPr>
                <w:rFonts w:ascii="宋体" w:hAnsi="宋体" w:cs="宋体"/>
                <w:color w:val="auto"/>
                <w:sz w:val="24"/>
                <w:highlight w:val="none"/>
              </w:rPr>
            </w:pPr>
          </w:p>
        </w:tc>
        <w:tc>
          <w:tcPr>
            <w:tcW w:w="776" w:type="dxa"/>
            <w:vAlign w:val="center"/>
          </w:tcPr>
          <w:p>
            <w:pPr>
              <w:jc w:val="center"/>
              <w:rPr>
                <w:rFonts w:ascii="宋体" w:hAnsi="宋体" w:cs="宋体"/>
                <w:color w:val="auto"/>
                <w:sz w:val="24"/>
                <w:highlight w:val="none"/>
              </w:rPr>
            </w:pPr>
          </w:p>
        </w:tc>
        <w:tc>
          <w:tcPr>
            <w:tcW w:w="1080" w:type="dxa"/>
            <w:vAlign w:val="center"/>
          </w:tcPr>
          <w:p>
            <w:pPr>
              <w:jc w:val="center"/>
              <w:rPr>
                <w:rFonts w:ascii="宋体" w:hAnsi="宋体" w:cs="宋体"/>
                <w:color w:val="auto"/>
                <w:sz w:val="24"/>
                <w:highlight w:val="none"/>
              </w:rPr>
            </w:pPr>
          </w:p>
        </w:tc>
        <w:tc>
          <w:tcPr>
            <w:tcW w:w="1080" w:type="dxa"/>
            <w:vAlign w:val="center"/>
          </w:tcPr>
          <w:p>
            <w:pPr>
              <w:jc w:val="center"/>
              <w:rPr>
                <w:rFonts w:ascii="宋体" w:hAnsi="宋体" w:cs="宋体"/>
                <w:color w:val="auto"/>
                <w:sz w:val="24"/>
                <w:highlight w:val="none"/>
              </w:rPr>
            </w:pPr>
          </w:p>
        </w:tc>
        <w:tc>
          <w:tcPr>
            <w:tcW w:w="1156" w:type="dxa"/>
            <w:vAlign w:val="center"/>
          </w:tcPr>
          <w:p>
            <w:pPr>
              <w:jc w:val="center"/>
              <w:rPr>
                <w:rFonts w:ascii="宋体" w:hAnsi="宋体" w:cs="宋体"/>
                <w:color w:val="auto"/>
                <w:sz w:val="24"/>
                <w:highlight w:val="none"/>
              </w:rPr>
            </w:pPr>
          </w:p>
        </w:tc>
        <w:tc>
          <w:tcPr>
            <w:tcW w:w="900"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vAlign w:val="center"/>
          </w:tcPr>
          <w:p>
            <w:pPr>
              <w:jc w:val="center"/>
              <w:rPr>
                <w:rFonts w:ascii="宋体" w:hAnsi="宋体" w:cs="宋体"/>
                <w:color w:val="auto"/>
                <w:sz w:val="28"/>
                <w:szCs w:val="28"/>
                <w:highlight w:val="none"/>
              </w:rPr>
            </w:pPr>
          </w:p>
        </w:tc>
        <w:tc>
          <w:tcPr>
            <w:tcW w:w="144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720" w:type="dxa"/>
            <w:vAlign w:val="center"/>
          </w:tcPr>
          <w:p>
            <w:pPr>
              <w:jc w:val="center"/>
              <w:rPr>
                <w:rFonts w:ascii="宋体" w:hAnsi="宋体" w:cs="宋体"/>
                <w:color w:val="auto"/>
                <w:sz w:val="28"/>
                <w:szCs w:val="28"/>
                <w:highlight w:val="none"/>
              </w:rPr>
            </w:pPr>
          </w:p>
        </w:tc>
        <w:tc>
          <w:tcPr>
            <w:tcW w:w="776"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156" w:type="dxa"/>
            <w:vAlign w:val="center"/>
          </w:tcPr>
          <w:p>
            <w:pPr>
              <w:jc w:val="center"/>
              <w:rPr>
                <w:rFonts w:ascii="宋体" w:hAnsi="宋体" w:cs="宋体"/>
                <w:color w:val="auto"/>
                <w:sz w:val="28"/>
                <w:szCs w:val="28"/>
                <w:highlight w:val="none"/>
              </w:rPr>
            </w:pPr>
          </w:p>
        </w:tc>
        <w:tc>
          <w:tcPr>
            <w:tcW w:w="900"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pPr>
              <w:jc w:val="center"/>
              <w:rPr>
                <w:rFonts w:ascii="宋体" w:hAnsi="宋体" w:cs="宋体"/>
                <w:color w:val="auto"/>
                <w:sz w:val="28"/>
                <w:szCs w:val="28"/>
                <w:highlight w:val="none"/>
              </w:rPr>
            </w:pPr>
          </w:p>
        </w:tc>
        <w:tc>
          <w:tcPr>
            <w:tcW w:w="144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720" w:type="dxa"/>
            <w:vAlign w:val="center"/>
          </w:tcPr>
          <w:p>
            <w:pPr>
              <w:jc w:val="center"/>
              <w:rPr>
                <w:rFonts w:ascii="宋体" w:hAnsi="宋体" w:cs="宋体"/>
                <w:color w:val="auto"/>
                <w:sz w:val="28"/>
                <w:szCs w:val="28"/>
                <w:highlight w:val="none"/>
              </w:rPr>
            </w:pPr>
          </w:p>
        </w:tc>
        <w:tc>
          <w:tcPr>
            <w:tcW w:w="776"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156" w:type="dxa"/>
            <w:vAlign w:val="center"/>
          </w:tcPr>
          <w:p>
            <w:pPr>
              <w:jc w:val="center"/>
              <w:rPr>
                <w:rFonts w:ascii="宋体" w:hAnsi="宋体" w:cs="宋体"/>
                <w:color w:val="auto"/>
                <w:sz w:val="28"/>
                <w:szCs w:val="28"/>
                <w:highlight w:val="none"/>
              </w:rPr>
            </w:pPr>
          </w:p>
        </w:tc>
        <w:tc>
          <w:tcPr>
            <w:tcW w:w="900"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pPr>
              <w:jc w:val="center"/>
              <w:rPr>
                <w:rFonts w:ascii="宋体" w:hAnsi="宋体" w:cs="宋体"/>
                <w:color w:val="auto"/>
                <w:sz w:val="28"/>
                <w:szCs w:val="28"/>
                <w:highlight w:val="none"/>
              </w:rPr>
            </w:pPr>
          </w:p>
        </w:tc>
        <w:tc>
          <w:tcPr>
            <w:tcW w:w="144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720" w:type="dxa"/>
            <w:vAlign w:val="center"/>
          </w:tcPr>
          <w:p>
            <w:pPr>
              <w:jc w:val="center"/>
              <w:rPr>
                <w:rFonts w:ascii="宋体" w:hAnsi="宋体" w:cs="宋体"/>
                <w:color w:val="auto"/>
                <w:sz w:val="28"/>
                <w:szCs w:val="28"/>
                <w:highlight w:val="none"/>
              </w:rPr>
            </w:pPr>
          </w:p>
        </w:tc>
        <w:tc>
          <w:tcPr>
            <w:tcW w:w="776"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156" w:type="dxa"/>
            <w:vAlign w:val="center"/>
          </w:tcPr>
          <w:p>
            <w:pPr>
              <w:jc w:val="center"/>
              <w:rPr>
                <w:rFonts w:ascii="宋体" w:hAnsi="宋体" w:cs="宋体"/>
                <w:color w:val="auto"/>
                <w:sz w:val="28"/>
                <w:szCs w:val="28"/>
                <w:highlight w:val="none"/>
              </w:rPr>
            </w:pPr>
          </w:p>
        </w:tc>
        <w:tc>
          <w:tcPr>
            <w:tcW w:w="900" w:type="dxa"/>
            <w:vAlign w:val="center"/>
          </w:tcPr>
          <w:p>
            <w:pPr>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pPr>
              <w:jc w:val="center"/>
              <w:rPr>
                <w:rFonts w:ascii="宋体" w:hAnsi="宋体" w:cs="宋体"/>
                <w:color w:val="auto"/>
                <w:sz w:val="28"/>
                <w:szCs w:val="28"/>
                <w:highlight w:val="none"/>
              </w:rPr>
            </w:pPr>
          </w:p>
        </w:tc>
        <w:tc>
          <w:tcPr>
            <w:tcW w:w="144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720" w:type="dxa"/>
            <w:vAlign w:val="center"/>
          </w:tcPr>
          <w:p>
            <w:pPr>
              <w:jc w:val="center"/>
              <w:rPr>
                <w:rFonts w:ascii="宋体" w:hAnsi="宋体" w:cs="宋体"/>
                <w:color w:val="auto"/>
                <w:sz w:val="28"/>
                <w:szCs w:val="28"/>
                <w:highlight w:val="none"/>
              </w:rPr>
            </w:pPr>
          </w:p>
        </w:tc>
        <w:tc>
          <w:tcPr>
            <w:tcW w:w="776"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080" w:type="dxa"/>
            <w:vAlign w:val="center"/>
          </w:tcPr>
          <w:p>
            <w:pPr>
              <w:jc w:val="center"/>
              <w:rPr>
                <w:rFonts w:ascii="宋体" w:hAnsi="宋体" w:cs="宋体"/>
                <w:color w:val="auto"/>
                <w:sz w:val="28"/>
                <w:szCs w:val="28"/>
                <w:highlight w:val="none"/>
              </w:rPr>
            </w:pPr>
          </w:p>
        </w:tc>
        <w:tc>
          <w:tcPr>
            <w:tcW w:w="1156" w:type="dxa"/>
            <w:vAlign w:val="center"/>
          </w:tcPr>
          <w:p>
            <w:pPr>
              <w:jc w:val="center"/>
              <w:rPr>
                <w:rFonts w:ascii="宋体" w:hAnsi="宋体" w:cs="宋体"/>
                <w:color w:val="auto"/>
                <w:sz w:val="28"/>
                <w:szCs w:val="28"/>
                <w:highlight w:val="none"/>
              </w:rPr>
            </w:pPr>
          </w:p>
        </w:tc>
        <w:tc>
          <w:tcPr>
            <w:tcW w:w="900" w:type="dxa"/>
            <w:vAlign w:val="center"/>
          </w:tcPr>
          <w:p>
            <w:pPr>
              <w:jc w:val="center"/>
              <w:rPr>
                <w:rFonts w:ascii="宋体" w:hAnsi="宋体" w:cs="宋体"/>
                <w:color w:val="auto"/>
                <w:sz w:val="28"/>
                <w:szCs w:val="28"/>
                <w:highlight w:val="none"/>
              </w:rPr>
            </w:pPr>
          </w:p>
        </w:tc>
      </w:tr>
    </w:tbl>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附表三：劳动力计划表</w:t>
      </w:r>
    </w:p>
    <w:p>
      <w:pPr>
        <w:ind w:right="56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单位：人</w:t>
      </w:r>
    </w:p>
    <w:tbl>
      <w:tblPr>
        <w:tblStyle w:val="17"/>
        <w:tblW w:w="8522"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ascii="宋体" w:hAnsi="宋体" w:cs="宋体"/>
                <w:color w:val="auto"/>
                <w:sz w:val="28"/>
                <w:szCs w:val="28"/>
                <w:highlight w:val="none"/>
              </w:rPr>
            </w:pPr>
            <w:r>
              <w:rPr>
                <w:rFonts w:hint="eastAsia" w:ascii="宋体" w:hAnsi="宋体" w:cs="宋体"/>
                <w:color w:val="auto"/>
                <w:sz w:val="28"/>
                <w:szCs w:val="28"/>
                <w:highlight w:val="none"/>
              </w:rPr>
              <w:t>工种</w:t>
            </w:r>
          </w:p>
        </w:tc>
        <w:tc>
          <w:tcPr>
            <w:tcW w:w="7457" w:type="dxa"/>
            <w:gridSpan w:val="7"/>
            <w:vAlign w:val="center"/>
          </w:tcPr>
          <w:p>
            <w:pPr>
              <w:jc w:val="center"/>
              <w:rPr>
                <w:rFonts w:ascii="宋体" w:hAnsi="宋体" w:cs="宋体"/>
                <w:color w:val="auto"/>
                <w:sz w:val="28"/>
                <w:szCs w:val="28"/>
                <w:highlight w:val="none"/>
              </w:rPr>
            </w:pPr>
            <w:r>
              <w:rPr>
                <w:rFonts w:hint="eastAsia" w:ascii="宋体" w:hAnsi="宋体" w:cs="宋体"/>
                <w:color w:val="auto"/>
                <w:sz w:val="28"/>
                <w:szCs w:val="28"/>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5"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c>
          <w:tcPr>
            <w:tcW w:w="1066" w:type="dxa"/>
          </w:tcPr>
          <w:p>
            <w:pPr>
              <w:rPr>
                <w:rFonts w:ascii="宋体" w:hAnsi="宋体" w:cs="宋体"/>
                <w:color w:val="auto"/>
                <w:sz w:val="28"/>
                <w:szCs w:val="28"/>
                <w:highlight w:val="none"/>
              </w:rPr>
            </w:pPr>
          </w:p>
        </w:tc>
      </w:tr>
    </w:tbl>
    <w:p>
      <w:pPr>
        <w:rPr>
          <w:rFonts w:ascii="宋体" w:hAnsi="宋体" w:cs="宋体"/>
          <w:color w:val="auto"/>
          <w:sz w:val="28"/>
          <w:szCs w:val="28"/>
          <w:highlight w:val="none"/>
        </w:rPr>
      </w:pPr>
    </w:p>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附表四：计划开、竣工日期和施工进度网络图</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1.投标人应递交施工进度网络图或施工进度表，说明按招标文件要求的计划工期进行施工的各个关键日期。</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2.施工进度表可采用网络图（或横道图）表示。</w:t>
      </w:r>
    </w:p>
    <w:p>
      <w:pPr>
        <w:rPr>
          <w:rFonts w:ascii="宋体" w:hAnsi="宋体" w:cs="宋体"/>
          <w:b/>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sz w:val="28"/>
          <w:szCs w:val="28"/>
          <w:highlight w:val="none"/>
        </w:rPr>
        <w:t>附表五：施工总平面图</w:t>
      </w:r>
    </w:p>
    <w:p>
      <w:pPr>
        <w:ind w:firstLine="560" w:firstLineChars="200"/>
        <w:rPr>
          <w:color w:val="auto"/>
          <w:highlight w:val="none"/>
        </w:rPr>
      </w:pPr>
      <w:r>
        <w:rPr>
          <w:rFonts w:hint="eastAsia" w:ascii="宋体" w:hAnsi="宋体" w:cs="宋体"/>
          <w:color w:val="auto"/>
          <w:sz w:val="28"/>
          <w:szCs w:val="28"/>
          <w:highlight w:val="none"/>
        </w:rPr>
        <w:t>投标人应递交一份施工总平面图，绘出现场临时设施布置图表并附文字说明，说明临时设施、加工车间、现场办公、设备及仓储、供电、供水、卫生、生活、道路、消防等设施的情况和布置。</w:t>
      </w: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p>
      <w:pPr>
        <w:spacing w:line="480" w:lineRule="exact"/>
        <w:jc w:val="center"/>
        <w:outlineLvl w:val="0"/>
        <w:rPr>
          <w:rFonts w:ascii="宋体" w:hAnsi="宋体" w:cs="宋体"/>
          <w:b/>
          <w:bCs/>
          <w:color w:val="auto"/>
          <w:sz w:val="28"/>
          <w:szCs w:val="28"/>
          <w:highlight w:val="none"/>
        </w:rPr>
      </w:pPr>
    </w:p>
    <w:bookmarkEnd w:id="612"/>
    <w:p>
      <w:pPr>
        <w:spacing w:line="480" w:lineRule="exact"/>
        <w:rPr>
          <w:rFonts w:ascii="宋体" w:hAnsi="宋体" w:cs="宋体"/>
          <w:color w:val="auto"/>
          <w:sz w:val="24"/>
          <w:highlight w:val="none"/>
        </w:rPr>
      </w:pPr>
    </w:p>
    <w:p>
      <w:pPr>
        <w:rPr>
          <w:color w:val="auto"/>
          <w:highlight w:val="none"/>
        </w:rPr>
      </w:pPr>
    </w:p>
    <w:p>
      <w:pPr>
        <w:pStyle w:val="15"/>
        <w:ind w:firstLine="200"/>
        <w:rPr>
          <w:color w:val="auto"/>
          <w:highlight w:val="none"/>
          <w:lang w:eastAsia="zh-CN"/>
        </w:rPr>
      </w:pPr>
    </w:p>
    <w:p>
      <w:pPr>
        <w:pStyle w:val="16"/>
        <w:ind w:firstLine="480"/>
        <w:rPr>
          <w:color w:val="auto"/>
          <w:highlight w:val="none"/>
        </w:rPr>
      </w:pPr>
    </w:p>
    <w:p>
      <w:pPr>
        <w:pStyle w:val="16"/>
        <w:ind w:firstLine="480"/>
        <w:rPr>
          <w:color w:val="auto"/>
          <w:highlight w:val="none"/>
        </w:rPr>
      </w:pPr>
    </w:p>
    <w:p>
      <w:pPr>
        <w:pStyle w:val="16"/>
        <w:ind w:firstLine="480"/>
        <w:rPr>
          <w:color w:val="auto"/>
          <w:highlight w:val="none"/>
        </w:rPr>
      </w:pPr>
    </w:p>
    <w:p>
      <w:pPr>
        <w:widowControl/>
        <w:wordWrap w:val="0"/>
        <w:spacing w:line="480" w:lineRule="exact"/>
        <w:jc w:val="center"/>
        <w:outlineLvl w:val="0"/>
        <w:rPr>
          <w:rFonts w:hint="eastAsia" w:ascii="宋体" w:hAnsi="宋体" w:eastAsia="宋体" w:cs="宋体"/>
          <w:b/>
          <w:bCs/>
          <w:color w:val="auto"/>
          <w:sz w:val="32"/>
          <w:szCs w:val="32"/>
          <w:highlight w:val="none"/>
        </w:rPr>
      </w:pPr>
      <w:bookmarkStart w:id="633" w:name="_Toc25539_WPSOffice_Level1"/>
      <w:bookmarkStart w:id="634" w:name="_Toc8764"/>
      <w:bookmarkStart w:id="635" w:name="_Toc28573"/>
      <w:bookmarkStart w:id="636" w:name="_Toc5959"/>
      <w:bookmarkStart w:id="637" w:name="_Toc20007"/>
    </w:p>
    <w:p>
      <w:pPr>
        <w:widowControl/>
        <w:wordWrap w:val="0"/>
        <w:spacing w:line="480" w:lineRule="exact"/>
        <w:jc w:val="center"/>
        <w:outlineLvl w:val="0"/>
        <w:rPr>
          <w:rFonts w:ascii="宋体" w:hAnsi="宋体" w:eastAsia="宋体" w:cs="宋体"/>
          <w:color w:val="auto"/>
          <w:highlight w:val="none"/>
        </w:rPr>
      </w:pPr>
      <w:r>
        <w:rPr>
          <w:rFonts w:hint="eastAsia" w:ascii="宋体" w:hAnsi="宋体" w:eastAsia="宋体" w:cs="宋体"/>
          <w:b/>
          <w:bCs/>
          <w:color w:val="auto"/>
          <w:sz w:val="32"/>
          <w:szCs w:val="32"/>
          <w:highlight w:val="none"/>
        </w:rPr>
        <w:t>九、</w:t>
      </w:r>
      <w:bookmarkEnd w:id="633"/>
      <w:bookmarkEnd w:id="634"/>
      <w:bookmarkEnd w:id="635"/>
      <w:bookmarkEnd w:id="636"/>
      <w:r>
        <w:rPr>
          <w:rFonts w:hint="eastAsia" w:ascii="宋体" w:hAnsi="宋体" w:eastAsia="宋体" w:cs="宋体"/>
          <w:b/>
          <w:bCs/>
          <w:color w:val="auto"/>
          <w:sz w:val="32"/>
          <w:szCs w:val="32"/>
          <w:highlight w:val="none"/>
        </w:rPr>
        <w:t>落实的政府采购政策</w:t>
      </w:r>
      <w:bookmarkEnd w:id="637"/>
    </w:p>
    <w:p>
      <w:pPr>
        <w:autoSpaceDE w:val="0"/>
        <w:autoSpaceDN w:val="0"/>
        <w:adjustRightInd w:val="0"/>
        <w:spacing w:line="360" w:lineRule="auto"/>
        <w:ind w:firstLine="482" w:firstLineChars="200"/>
        <w:jc w:val="center"/>
        <w:outlineLvl w:val="0"/>
        <w:rPr>
          <w:rFonts w:ascii="宋体" w:hAnsi="宋体" w:eastAsia="宋体" w:cs="宋体"/>
          <w:b/>
          <w:bCs/>
          <w:color w:val="auto"/>
          <w:sz w:val="24"/>
          <w:highlight w:val="none"/>
        </w:rPr>
      </w:pPr>
      <w:bookmarkStart w:id="638" w:name="_Toc20483"/>
      <w:r>
        <w:rPr>
          <w:rFonts w:hint="eastAsia" w:ascii="宋体" w:hAnsi="宋体" w:eastAsia="宋体" w:cs="宋体"/>
          <w:b/>
          <w:bCs/>
          <w:color w:val="auto"/>
          <w:sz w:val="24"/>
          <w:highlight w:val="none"/>
        </w:rPr>
        <w:t>中小型微型(监狱、残疾人福利性单位）企业说明</w:t>
      </w:r>
      <w:bookmarkEnd w:id="638"/>
    </w:p>
    <w:p>
      <w:pPr>
        <w:pStyle w:val="14"/>
        <w:spacing w:line="440" w:lineRule="exact"/>
        <w:ind w:firstLine="482" w:firstLineChars="200"/>
        <w:rPr>
          <w:rFonts w:eastAsia="宋体"/>
          <w:b/>
          <w:bCs/>
          <w:color w:val="auto"/>
          <w:highlight w:val="none"/>
        </w:rPr>
      </w:pPr>
      <w:r>
        <w:rPr>
          <w:rFonts w:hint="eastAsia" w:eastAsia="宋体"/>
          <w:b/>
          <w:bCs/>
          <w:color w:val="auto"/>
          <w:highlight w:val="none"/>
        </w:rPr>
        <w:t>1、支持中小微企业发展</w:t>
      </w:r>
    </w:p>
    <w:p>
      <w:pPr>
        <w:numPr>
          <w:ilvl w:val="1"/>
          <w:numId w:val="8"/>
        </w:num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39" w:name="_Toc25019"/>
      <w:r>
        <w:rPr>
          <w:rFonts w:hint="eastAsia" w:ascii="宋体" w:hAnsi="宋体" w:eastAsia="宋体" w:cs="宋体"/>
          <w:color w:val="auto"/>
          <w:sz w:val="24"/>
          <w:highlight w:val="none"/>
        </w:rPr>
        <w:t>根据财政部工业和信息化部《政府采购促进中小企业发展管理办法》(财库〔2020) 46 号）规定，本项目在评审中对小微企业承担工程的价格给予3%的扣除。投标人须提供《中小微企业声明函》，否则不予认定。</w:t>
      </w:r>
      <w:bookmarkEnd w:id="639"/>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1.2根据《政府采购促进中小企业发展管理办法》</w:t>
      </w:r>
      <w:r>
        <w:rPr>
          <w:rFonts w:hint="eastAsia" w:ascii="宋体" w:hAnsi="宋体" w:eastAsia="宋体" w:cs="宋体"/>
          <w:b/>
          <w:bCs/>
          <w:color w:val="auto"/>
          <w:sz w:val="24"/>
          <w:highlight w:val="none"/>
        </w:rPr>
        <w:t>第十一条</w:t>
      </w:r>
      <w:r>
        <w:rPr>
          <w:rFonts w:hint="eastAsia" w:ascii="宋体" w:hAnsi="宋体" w:eastAsia="宋体" w:cs="宋体"/>
          <w:color w:val="auto"/>
          <w:sz w:val="24"/>
          <w:highlight w:val="none"/>
        </w:rPr>
        <w:t>中小企业参加政府采购活动，应当出具本办法规定的《中小企业声明函》，否则不得享受相关中小企业扶持政策。任何单位和个人不得要求投标人提供《中小企业声明函》之外的中小企业身份证明文件。</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 根据《政府采购促进中小企业发展管理办法》第十三条中标、成交投标人享受本办法规定的中小企业扶持政策的，采购人、采购代理机构应当随中标、成交结果公开中标、成交投标人的《中小企业声明函》。</w:t>
      </w:r>
    </w:p>
    <w:p>
      <w:p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40" w:name="_Toc18525"/>
      <w:r>
        <w:rPr>
          <w:rFonts w:hint="eastAsia" w:ascii="宋体" w:hAnsi="宋体" w:eastAsia="宋体" w:cs="宋体"/>
          <w:color w:val="auto"/>
          <w:sz w:val="24"/>
          <w:highlight w:val="none"/>
        </w:rPr>
        <w:t>适用招标投标法的政府采购工程建设项目，应当在公示中标候选人时公开中标候选人的《中小企业声明函》。</w:t>
      </w:r>
      <w:bookmarkEnd w:id="640"/>
    </w:p>
    <w:p>
      <w:p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41" w:name="_Toc23561"/>
      <w:r>
        <w:rPr>
          <w:rFonts w:hint="eastAsia" w:ascii="宋体" w:hAnsi="宋体" w:eastAsia="宋体" w:cs="宋体"/>
          <w:color w:val="auto"/>
          <w:sz w:val="24"/>
          <w:highlight w:val="none"/>
        </w:rPr>
        <w:t>投标人对所声明内容的真实性负责，代理机构有权将相关内容进行公示，因弄虚作假导致的后果追究相应责任。</w:t>
      </w:r>
      <w:bookmarkEnd w:id="641"/>
    </w:p>
    <w:p>
      <w:p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42" w:name="_Toc14717"/>
      <w:r>
        <w:rPr>
          <w:rFonts w:hint="eastAsia" w:ascii="宋体" w:hAnsi="宋体" w:eastAsia="宋体" w:cs="宋体"/>
          <w:color w:val="auto"/>
          <w:sz w:val="24"/>
          <w:highlight w:val="none"/>
        </w:rPr>
        <w:t>2、</w:t>
      </w:r>
      <w:r>
        <w:rPr>
          <w:rFonts w:hint="eastAsia" w:ascii="宋体" w:hAnsi="宋体" w:eastAsia="宋体" w:cs="宋体"/>
          <w:b/>
          <w:bCs/>
          <w:color w:val="auto"/>
          <w:sz w:val="24"/>
          <w:highlight w:val="none"/>
        </w:rPr>
        <w:t>支持监狱企业发展</w:t>
      </w:r>
      <w:bookmarkEnd w:id="642"/>
    </w:p>
    <w:p>
      <w:p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43" w:name="_Toc18981"/>
      <w:r>
        <w:rPr>
          <w:rFonts w:hint="eastAsia" w:ascii="宋体" w:hAnsi="宋体" w:eastAsia="宋体" w:cs="宋体"/>
          <w:color w:val="auto"/>
          <w:sz w:val="24"/>
          <w:highlight w:val="none"/>
        </w:rPr>
        <w:t>2.1 根据财政部、司法部发布的《关于政府采购支持监狱企业发展有关问题的通知》（财库〔2014) 68号）规定，本项目在评审中对监狱企业承担工程的价格给予3%的扣除。监狱企业作为投标人须提供由省级以上监狱管理局、戒毒管理局(含新疆生产建设兵团)出具的属于监狱企业的证明文件的扫描件，否则不予认定。</w:t>
      </w:r>
      <w:bookmarkEnd w:id="643"/>
    </w:p>
    <w:p>
      <w:pPr>
        <w:autoSpaceDE w:val="0"/>
        <w:autoSpaceDN w:val="0"/>
        <w:adjustRightInd w:val="0"/>
        <w:spacing w:line="360" w:lineRule="auto"/>
        <w:ind w:firstLine="480" w:firstLineChars="200"/>
        <w:jc w:val="left"/>
        <w:outlineLvl w:val="0"/>
        <w:rPr>
          <w:rFonts w:ascii="宋体" w:hAnsi="宋体" w:eastAsia="宋体" w:cs="宋体"/>
          <w:b/>
          <w:bCs/>
          <w:color w:val="auto"/>
          <w:sz w:val="24"/>
          <w:highlight w:val="none"/>
        </w:rPr>
      </w:pPr>
      <w:bookmarkStart w:id="644" w:name="_Toc1495"/>
      <w:r>
        <w:rPr>
          <w:rFonts w:hint="eastAsia" w:ascii="宋体" w:hAnsi="宋体" w:eastAsia="宋体" w:cs="宋体"/>
          <w:color w:val="auto"/>
          <w:sz w:val="24"/>
          <w:highlight w:val="none"/>
        </w:rPr>
        <w:t>3、</w:t>
      </w:r>
      <w:r>
        <w:rPr>
          <w:rFonts w:hint="eastAsia" w:ascii="宋体" w:hAnsi="宋体" w:eastAsia="宋体" w:cs="宋体"/>
          <w:b/>
          <w:bCs/>
          <w:color w:val="auto"/>
          <w:sz w:val="24"/>
          <w:highlight w:val="none"/>
        </w:rPr>
        <w:t>支持残疾人就业</w:t>
      </w:r>
      <w:bookmarkEnd w:id="644"/>
    </w:p>
    <w:p>
      <w:pPr>
        <w:autoSpaceDE w:val="0"/>
        <w:autoSpaceDN w:val="0"/>
        <w:adjustRightInd w:val="0"/>
        <w:spacing w:line="360" w:lineRule="auto"/>
        <w:ind w:firstLine="482" w:firstLineChars="200"/>
        <w:jc w:val="left"/>
        <w:outlineLvl w:val="0"/>
        <w:rPr>
          <w:rFonts w:ascii="宋体" w:hAnsi="宋体" w:eastAsia="宋体" w:cs="宋体"/>
          <w:color w:val="auto"/>
          <w:sz w:val="24"/>
          <w:highlight w:val="none"/>
        </w:rPr>
      </w:pPr>
      <w:bookmarkStart w:id="645" w:name="_Toc4022"/>
      <w:r>
        <w:rPr>
          <w:rFonts w:hint="eastAsia" w:ascii="宋体" w:hAnsi="宋体" w:eastAsia="宋体" w:cs="宋体"/>
          <w:b/>
          <w:bCs/>
          <w:color w:val="auto"/>
          <w:sz w:val="24"/>
          <w:highlight w:val="none"/>
        </w:rPr>
        <w:t xml:space="preserve">3.1 </w:t>
      </w:r>
      <w:r>
        <w:rPr>
          <w:rFonts w:hint="eastAsia" w:ascii="宋体" w:hAnsi="宋体" w:eastAsia="宋体" w:cs="宋体"/>
          <w:color w:val="auto"/>
          <w:sz w:val="24"/>
          <w:highlight w:val="none"/>
        </w:rPr>
        <w:t>根据财政部、民政部、中国残疾人联合会三部门发布的《关于促进残疾人就业政府采购政策的通知》（财库〔2017)141号）规定，本项目在评审中对残疾人福利性单位承担的工程的价格给予3%的扣除。残疾人福利性单位作为投标人须提供《残疾人福利性单位声明函》，否则不予认定。</w:t>
      </w:r>
      <w:bookmarkEnd w:id="645"/>
    </w:p>
    <w:p>
      <w:pPr>
        <w:pStyle w:val="14"/>
        <w:spacing w:line="360" w:lineRule="auto"/>
        <w:ind w:firstLine="480" w:firstLineChars="200"/>
        <w:textAlignment w:val="baseline"/>
        <w:rPr>
          <w:rFonts w:eastAsia="宋体"/>
          <w:color w:val="auto"/>
          <w:highlight w:val="none"/>
        </w:rPr>
      </w:pPr>
      <w:r>
        <w:rPr>
          <w:rFonts w:hint="eastAsia" w:eastAsia="宋体"/>
          <w:color w:val="auto"/>
          <w:highlight w:val="none"/>
          <w:shd w:val="clear" w:color="auto" w:fill="FFFFFF"/>
        </w:rPr>
        <w:t>3.2 根据</w:t>
      </w:r>
      <w:r>
        <w:rPr>
          <w:rFonts w:hint="eastAsia" w:eastAsia="宋体"/>
          <w:color w:val="auto"/>
          <w:highlight w:val="none"/>
        </w:rPr>
        <w:t>《关于促进残疾人就业政府采购政策的通知》（财库〔2017)141号）第二条：中标、成交投标人为残疾人福利性单位的，采购人或者其委托的采购代理机构应当随中标、成交结果同时公告其《残疾人福利性单位声明函》，接受社会监督。</w:t>
      </w:r>
    </w:p>
    <w:p>
      <w:pPr>
        <w:autoSpaceDE w:val="0"/>
        <w:autoSpaceDN w:val="0"/>
        <w:adjustRightInd w:val="0"/>
        <w:spacing w:line="360" w:lineRule="auto"/>
        <w:ind w:firstLine="480" w:firstLineChars="200"/>
        <w:jc w:val="left"/>
        <w:outlineLvl w:val="0"/>
        <w:rPr>
          <w:rFonts w:ascii="宋体" w:hAnsi="宋体" w:eastAsia="宋体" w:cs="宋体"/>
          <w:color w:val="auto"/>
          <w:sz w:val="24"/>
          <w:highlight w:val="none"/>
        </w:rPr>
      </w:pPr>
      <w:bookmarkStart w:id="646" w:name="_Toc26984"/>
      <w:r>
        <w:rPr>
          <w:rFonts w:hint="eastAsia" w:ascii="宋体" w:hAnsi="宋体" w:eastAsia="宋体" w:cs="宋体"/>
          <w:color w:val="auto"/>
          <w:sz w:val="24"/>
          <w:highlight w:val="none"/>
        </w:rPr>
        <w:t>投标人对所声明内容的真实性负责，代理机构有权将相关内容进行公示，因弄虚作假导致的后果按相关规定追究法律责任。</w:t>
      </w:r>
      <w:bookmarkEnd w:id="646"/>
    </w:p>
    <w:p>
      <w:pPr>
        <w:autoSpaceDE w:val="0"/>
        <w:autoSpaceDN w:val="0"/>
        <w:adjustRightInd w:val="0"/>
        <w:spacing w:line="360" w:lineRule="auto"/>
        <w:ind w:firstLine="480" w:firstLineChars="200"/>
        <w:jc w:val="left"/>
        <w:outlineLvl w:val="0"/>
        <w:rPr>
          <w:rFonts w:ascii="宋体" w:hAnsi="宋体" w:eastAsia="宋体" w:cs="宋体"/>
          <w:b/>
          <w:bCs/>
          <w:color w:val="auto"/>
          <w:sz w:val="24"/>
          <w:highlight w:val="none"/>
        </w:rPr>
      </w:pPr>
      <w:bookmarkStart w:id="647" w:name="_Toc11222"/>
      <w:r>
        <w:rPr>
          <w:rFonts w:hint="eastAsia" w:ascii="宋体" w:hAnsi="宋体" w:eastAsia="宋体" w:cs="宋体"/>
          <w:color w:val="auto"/>
          <w:sz w:val="24"/>
          <w:highlight w:val="none"/>
        </w:rPr>
        <w:t>4、相关证明资料附后。</w:t>
      </w:r>
      <w:bookmarkEnd w:id="647"/>
    </w:p>
    <w:p>
      <w:pPr>
        <w:autoSpaceDE w:val="0"/>
        <w:autoSpaceDN w:val="0"/>
        <w:adjustRightInd w:val="0"/>
        <w:spacing w:line="480" w:lineRule="exact"/>
        <w:outlineLvl w:val="0"/>
        <w:rPr>
          <w:rFonts w:ascii="宋体" w:hAnsi="宋体" w:eastAsia="宋体" w:cs="宋体"/>
          <w:b/>
          <w:bCs/>
          <w:color w:val="auto"/>
          <w:sz w:val="32"/>
          <w:szCs w:val="32"/>
          <w:highlight w:val="none"/>
        </w:rPr>
      </w:pPr>
      <w:r>
        <w:rPr>
          <w:rFonts w:hint="eastAsia" w:ascii="宋体" w:hAnsi="宋体" w:eastAsia="宋体" w:cs="宋体"/>
          <w:b/>
          <w:bCs/>
          <w:color w:val="auto"/>
          <w:sz w:val="24"/>
          <w:highlight w:val="none"/>
        </w:rPr>
        <w:br w:type="page"/>
      </w:r>
      <w:bookmarkStart w:id="648" w:name="_Toc5550"/>
      <w:r>
        <w:rPr>
          <w:rFonts w:hint="eastAsia" w:ascii="宋体" w:hAnsi="宋体" w:eastAsia="宋体" w:cs="宋体"/>
          <w:b/>
          <w:bCs/>
          <w:color w:val="auto"/>
          <w:sz w:val="24"/>
          <w:highlight w:val="none"/>
        </w:rPr>
        <w:t>1、中小企业声明函（工程）</w:t>
      </w:r>
      <w:bookmarkEnd w:id="648"/>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bookmarkStart w:id="649" w:name="_Toc9644"/>
      <w:r>
        <w:rPr>
          <w:rFonts w:hint="eastAsia" w:ascii="宋体" w:hAnsi="宋体" w:eastAsia="宋体" w:cs="宋体"/>
          <w:b/>
          <w:bCs/>
          <w:color w:val="auto"/>
          <w:sz w:val="32"/>
          <w:szCs w:val="32"/>
          <w:highlight w:val="none"/>
        </w:rPr>
        <w:t>中小企业声明函</w:t>
      </w:r>
      <w:bookmarkEnd w:id="649"/>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p>
    <w:p>
      <w:pPr>
        <w:widowControl/>
        <w:wordWrap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招标活动，工程的施工单位全部为符合政策要求的中小企业。具体情况如下:</w:t>
      </w:r>
    </w:p>
    <w:p>
      <w:pPr>
        <w:pStyle w:val="2"/>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建筑业</w:t>
      </w:r>
      <w:r>
        <w:rPr>
          <w:rFonts w:hint="eastAsia" w:ascii="宋体" w:hAnsi="宋体" w:eastAsia="宋体" w:cs="宋体"/>
          <w:color w:val="auto"/>
          <w:highlight w:val="none"/>
        </w:rPr>
        <w:t>（招标文件中明确的所属行业）；承建（承接）企业为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（企业名称），从业人员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(中型企业、小型企业、微型企业)；</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pPr>
        <w:pStyle w:val="2"/>
        <w:jc w:val="center"/>
        <w:rPr>
          <w:rFonts w:ascii="宋体" w:hAnsi="宋体" w:eastAsia="宋体" w:cs="宋体"/>
          <w:color w:val="auto"/>
          <w:highlight w:val="none"/>
        </w:rPr>
      </w:pPr>
    </w:p>
    <w:p>
      <w:pPr>
        <w:pStyle w:val="2"/>
        <w:jc w:val="center"/>
        <w:rPr>
          <w:rFonts w:ascii="宋体" w:hAnsi="宋体" w:eastAsia="宋体" w:cs="宋体"/>
          <w:color w:val="auto"/>
          <w:highlight w:val="none"/>
        </w:rPr>
      </w:pPr>
      <w:r>
        <w:rPr>
          <w:rFonts w:hint="eastAsia" w:ascii="宋体" w:hAnsi="宋体" w:eastAsia="宋体" w:cs="宋体"/>
          <w:color w:val="auto"/>
          <w:highlight w:val="none"/>
        </w:rPr>
        <w:t>企业名称(盖章):</w:t>
      </w:r>
    </w:p>
    <w:p>
      <w:pPr>
        <w:pStyle w:val="2"/>
        <w:ind w:firstLine="3840" w:firstLineChars="1600"/>
        <w:rPr>
          <w:rFonts w:ascii="宋体" w:hAnsi="宋体" w:eastAsia="宋体" w:cs="宋体"/>
          <w:color w:val="auto"/>
          <w:highlight w:val="none"/>
        </w:rPr>
      </w:pPr>
      <w:r>
        <w:rPr>
          <w:rFonts w:hint="eastAsia" w:ascii="宋体" w:hAnsi="宋体" w:eastAsia="宋体" w:cs="宋体"/>
          <w:color w:val="auto"/>
          <w:highlight w:val="none"/>
        </w:rPr>
        <w:t>日   期:</w:t>
      </w:r>
    </w:p>
    <w:p>
      <w:pPr>
        <w:widowControl/>
        <w:spacing w:line="36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注：</w:t>
      </w:r>
    </w:p>
    <w:p>
      <w:pPr>
        <w:widowControl/>
        <w:spacing w:line="360" w:lineRule="auto"/>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1、企业应认真学习相关文件，对划分标准应深入理解，遵照诚实信用原则，对提供的《中小企业声明函》的真实性按照《政府采购促进中小企业发展管理办法》第二十条承担相应责任。</w:t>
      </w:r>
    </w:p>
    <w:p>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《政府采购促进中小企业发展管理办法》第四条在政府采购活动中， 投标人提供的货物、工程或者服务符合下列情形的，享受本办法规定的中小企业扶持政策:</w:t>
      </w:r>
    </w:p>
    <w:p>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(二)在工程采购项目中，工程由中小企业承建，即工程施工单位为中小企业;</w:t>
      </w:r>
    </w:p>
    <w:p>
      <w:pPr>
        <w:widowControl/>
        <w:spacing w:line="360" w:lineRule="auto"/>
        <w:ind w:firstLine="480" w:firstLineChars="200"/>
        <w:jc w:val="left"/>
        <w:rPr>
          <w:rFonts w:ascii="宋体" w:hAnsi="宋体" w:eastAsia="宋体" w:cs="宋体"/>
          <w:bCs/>
          <w:color w:val="auto"/>
          <w:sz w:val="24"/>
          <w:highlight w:val="none"/>
          <w:lang w:val="zh-CN"/>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zh-CN"/>
        </w:rPr>
        <w:t>从业人员、营业收入。资产总额填报上一年度数据，无上一年度数据的新成立企业可不填报。</w:t>
      </w:r>
    </w:p>
    <w:p>
      <w:pPr>
        <w:widowControl/>
        <w:spacing w:line="360" w:lineRule="auto"/>
        <w:jc w:val="left"/>
        <w:rPr>
          <w:rFonts w:ascii="宋体" w:hAnsi="宋体" w:eastAsia="宋体" w:cs="宋体"/>
          <w:b/>
          <w:color w:val="auto"/>
          <w:sz w:val="24"/>
          <w:highlight w:val="none"/>
        </w:rPr>
      </w:pPr>
      <w:r>
        <w:rPr>
          <w:rFonts w:hint="eastAsia" w:ascii="宋体" w:hAnsi="宋体" w:eastAsia="宋体" w:cs="宋体"/>
          <w:bCs/>
          <w:color w:val="auto"/>
          <w:sz w:val="24"/>
          <w:highlight w:val="none"/>
        </w:rPr>
        <w:t>3、若不是则在内容中打上“/”，并按文件要求盖章。</w:t>
      </w:r>
    </w:p>
    <w:p>
      <w:pPr>
        <w:widowControl/>
        <w:wordWrap w:val="0"/>
        <w:spacing w:line="480" w:lineRule="exact"/>
        <w:jc w:val="left"/>
        <w:rPr>
          <w:color w:val="auto"/>
          <w:highlight w:val="none"/>
        </w:rPr>
      </w:pPr>
    </w:p>
    <w:p>
      <w:pPr>
        <w:widowControl/>
        <w:spacing w:line="360" w:lineRule="auto"/>
        <w:rPr>
          <w:rFonts w:ascii="宋体" w:hAnsi="宋体" w:eastAsia="宋体" w:cs="宋体"/>
          <w:b/>
          <w:bCs/>
          <w:color w:val="auto"/>
          <w:sz w:val="24"/>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bCs/>
          <w:color w:val="auto"/>
          <w:sz w:val="24"/>
          <w:highlight w:val="none"/>
        </w:rPr>
        <w:t>2、残疾人福利性单位声明函</w:t>
      </w:r>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bookmarkStart w:id="650" w:name="_Toc10832"/>
      <w:r>
        <w:rPr>
          <w:rFonts w:hint="eastAsia" w:ascii="宋体" w:hAnsi="宋体" w:eastAsia="宋体" w:cs="宋体"/>
          <w:b/>
          <w:bCs/>
          <w:color w:val="auto"/>
          <w:sz w:val="32"/>
          <w:szCs w:val="32"/>
          <w:highlight w:val="none"/>
        </w:rPr>
        <w:t>残疾人福利性单位声明函</w:t>
      </w:r>
      <w:bookmarkEnd w:id="650"/>
    </w:p>
    <w:p>
      <w:pPr>
        <w:autoSpaceDE w:val="0"/>
        <w:autoSpaceDN w:val="0"/>
        <w:adjustRightInd w:val="0"/>
        <w:spacing w:line="480" w:lineRule="exact"/>
        <w:jc w:val="center"/>
        <w:outlineLvl w:val="0"/>
        <w:rPr>
          <w:rFonts w:ascii="宋体" w:hAnsi="宋体" w:eastAsia="宋体" w:cs="宋体"/>
          <w:b/>
          <w:bCs/>
          <w:color w:val="auto"/>
          <w:sz w:val="32"/>
          <w:szCs w:val="32"/>
          <w:highlight w:val="none"/>
        </w:rPr>
      </w:pPr>
    </w:p>
    <w:p>
      <w:pPr>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附件一</w:t>
      </w:r>
    </w:p>
    <w:p>
      <w:pPr>
        <w:autoSpaceDE w:val="0"/>
        <w:autoSpaceDN w:val="0"/>
        <w:adjustRightInd w:val="0"/>
        <w:spacing w:line="50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pPr>
        <w:spacing w:line="360" w:lineRule="auto"/>
        <w:ind w:firstLine="504" w:firstLineChars="200"/>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单位的</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pPr>
        <w:spacing w:line="360" w:lineRule="auto"/>
        <w:ind w:firstLine="504" w:firstLineChars="200"/>
        <w:rPr>
          <w:rFonts w:ascii="宋体" w:hAnsi="宋体" w:eastAsia="宋体" w:cs="宋体"/>
          <w:color w:val="auto"/>
          <w:spacing w:val="6"/>
          <w:sz w:val="24"/>
          <w:highlight w:val="none"/>
        </w:rPr>
      </w:pPr>
    </w:p>
    <w:p>
      <w:pPr>
        <w:tabs>
          <w:tab w:val="left" w:pos="4860"/>
        </w:tabs>
        <w:spacing w:line="360" w:lineRule="auto"/>
        <w:ind w:right="1560" w:firstLine="504" w:firstLineChars="200"/>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投标人（盖章）：</w:t>
      </w:r>
    </w:p>
    <w:p>
      <w:pPr>
        <w:tabs>
          <w:tab w:val="left" w:pos="4860"/>
        </w:tabs>
        <w:spacing w:line="360" w:lineRule="auto"/>
        <w:ind w:right="1560" w:firstLine="504" w:firstLineChars="200"/>
        <w:jc w:val="center"/>
        <w:rPr>
          <w:rFonts w:ascii="宋体" w:hAnsi="宋体" w:eastAsia="宋体" w:cs="宋体"/>
          <w:b/>
          <w:color w:val="auto"/>
          <w:highlight w:val="none"/>
        </w:rPr>
      </w:pPr>
      <w:r>
        <w:rPr>
          <w:rFonts w:hint="eastAsia" w:ascii="宋体" w:hAnsi="宋体" w:eastAsia="宋体" w:cs="宋体"/>
          <w:color w:val="auto"/>
          <w:spacing w:val="6"/>
          <w:sz w:val="24"/>
          <w:highlight w:val="none"/>
        </w:rPr>
        <w:t>日  期：</w:t>
      </w:r>
    </w:p>
    <w:p>
      <w:pPr>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附件二</w:t>
      </w:r>
    </w:p>
    <w:p>
      <w:pPr>
        <w:pStyle w:val="15"/>
        <w:spacing w:line="52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本单位郑重声明，根据《财政部 民政部 中国残疾人联合会关于促进残疾人就业政府采购政策的通知》（财库〔2017〕141号）的规定，本单位不是残疾人福利性单位。</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500" w:lineRule="exact"/>
        <w:rPr>
          <w:rFonts w:ascii="宋体" w:hAnsi="宋体" w:eastAsia="宋体" w:cs="宋体"/>
          <w:b/>
          <w:color w:val="auto"/>
          <w:highlight w:val="none"/>
        </w:rPr>
      </w:pPr>
    </w:p>
    <w:p>
      <w:pPr>
        <w:spacing w:line="500" w:lineRule="exact"/>
        <w:jc w:val="center"/>
        <w:rPr>
          <w:rFonts w:ascii="宋体" w:hAnsi="宋体" w:eastAsia="宋体" w:cs="宋体"/>
          <w:b/>
          <w:color w:val="auto"/>
          <w:highlight w:val="none"/>
        </w:rPr>
      </w:pPr>
    </w:p>
    <w:p>
      <w:pPr>
        <w:spacing w:line="500" w:lineRule="exact"/>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投标人（盖章）：</w:t>
      </w:r>
    </w:p>
    <w:p>
      <w:pPr>
        <w:tabs>
          <w:tab w:val="left" w:pos="4860"/>
        </w:tabs>
        <w:spacing w:line="360" w:lineRule="auto"/>
        <w:ind w:right="1560" w:firstLine="504" w:firstLineChars="200"/>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日  期：</w:t>
      </w:r>
    </w:p>
    <w:p>
      <w:pPr>
        <w:widowControl/>
        <w:spacing w:line="500" w:lineRule="exact"/>
        <w:ind w:firstLine="361" w:firstLineChars="150"/>
        <w:jc w:val="left"/>
        <w:rPr>
          <w:rFonts w:ascii="宋体" w:hAnsi="宋体" w:eastAsia="宋体" w:cs="宋体"/>
          <w:b/>
          <w:color w:val="auto"/>
          <w:spacing w:val="6"/>
          <w:sz w:val="24"/>
          <w:highlight w:val="none"/>
        </w:rPr>
      </w:pPr>
      <w:r>
        <w:rPr>
          <w:rFonts w:hint="eastAsia" w:ascii="宋体" w:hAnsi="宋体" w:eastAsia="宋体" w:cs="宋体"/>
          <w:b/>
          <w:color w:val="auto"/>
          <w:sz w:val="24"/>
          <w:highlight w:val="none"/>
        </w:rPr>
        <w:t>注：投标人如是残疾人福利性单位，请使用附件一，如不是，请使用附件二！！！</w:t>
      </w:r>
    </w:p>
    <w:p>
      <w:pPr>
        <w:tabs>
          <w:tab w:val="left" w:pos="0"/>
        </w:tabs>
        <w:spacing w:line="460" w:lineRule="exact"/>
        <w:ind w:left="420" w:leftChars="200"/>
        <w:outlineLvl w:val="2"/>
        <w:rPr>
          <w:rFonts w:ascii="宋体" w:hAnsi="宋体" w:eastAsia="宋体" w:cs="宋体"/>
          <w:b/>
          <w:bCs/>
          <w:color w:val="auto"/>
          <w:sz w:val="28"/>
          <w:szCs w:val="28"/>
          <w:highlight w:val="none"/>
        </w:rPr>
      </w:pPr>
    </w:p>
    <w:p>
      <w:pPr>
        <w:tabs>
          <w:tab w:val="left" w:pos="0"/>
        </w:tabs>
        <w:spacing w:line="460" w:lineRule="exact"/>
        <w:ind w:left="420" w:leftChars="200"/>
        <w:outlineLvl w:val="2"/>
        <w:rPr>
          <w:rFonts w:ascii="宋体" w:hAnsi="宋体" w:eastAsia="宋体" w:cs="宋体"/>
          <w:b/>
          <w:bCs/>
          <w:color w:val="auto"/>
          <w:sz w:val="28"/>
          <w:szCs w:val="28"/>
          <w:highlight w:val="none"/>
        </w:rPr>
      </w:pPr>
    </w:p>
    <w:p>
      <w:pPr>
        <w:tabs>
          <w:tab w:val="left" w:pos="0"/>
        </w:tabs>
        <w:spacing w:line="460" w:lineRule="exact"/>
        <w:ind w:left="420" w:leftChars="200"/>
        <w:outlineLvl w:val="2"/>
        <w:rPr>
          <w:rFonts w:ascii="宋体" w:hAnsi="宋体" w:eastAsia="宋体" w:cs="宋体"/>
          <w:b/>
          <w:bCs/>
          <w:color w:val="auto"/>
          <w:sz w:val="28"/>
          <w:szCs w:val="28"/>
          <w:highlight w:val="none"/>
        </w:rPr>
      </w:pPr>
    </w:p>
    <w:p>
      <w:pPr>
        <w:tabs>
          <w:tab w:val="left" w:pos="0"/>
        </w:tabs>
        <w:spacing w:line="460" w:lineRule="exact"/>
        <w:ind w:left="420" w:leftChars="200"/>
        <w:outlineLvl w:val="2"/>
        <w:rPr>
          <w:rFonts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tabs>
          <w:tab w:val="left" w:pos="0"/>
        </w:tabs>
        <w:spacing w:line="460" w:lineRule="exact"/>
        <w:ind w:left="420" w:leftChars="200"/>
        <w:outlineLvl w:val="2"/>
        <w:rPr>
          <w:rFonts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3、监狱企业证明文件</w:t>
      </w:r>
    </w:p>
    <w:p>
      <w:pPr>
        <w:tabs>
          <w:tab w:val="left" w:pos="0"/>
        </w:tabs>
        <w:spacing w:line="460" w:lineRule="exact"/>
        <w:ind w:left="420" w:leftChars="200"/>
        <w:jc w:val="center"/>
        <w:outlineLvl w:val="2"/>
        <w:rPr>
          <w:rFonts w:ascii="宋体" w:hAnsi="宋体" w:eastAsia="宋体" w:cs="宋体"/>
          <w:b/>
          <w:bCs/>
          <w:color w:val="auto"/>
          <w:sz w:val="32"/>
          <w:szCs w:val="32"/>
          <w:highlight w:val="none"/>
        </w:rPr>
      </w:pPr>
    </w:p>
    <w:p>
      <w:pPr>
        <w:tabs>
          <w:tab w:val="left" w:pos="0"/>
        </w:tabs>
        <w:spacing w:line="460" w:lineRule="exact"/>
        <w:ind w:left="420" w:leftChars="200"/>
        <w:jc w:val="center"/>
        <w:outlineLvl w:val="2"/>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监狱企业证明文件</w:t>
      </w:r>
    </w:p>
    <w:p>
      <w:pPr>
        <w:rPr>
          <w:rFonts w:ascii="宋体" w:hAnsi="宋体" w:eastAsia="宋体" w:cs="宋体"/>
          <w:b/>
          <w:bCs/>
          <w:color w:val="auto"/>
          <w:sz w:val="28"/>
          <w:szCs w:val="28"/>
          <w:highlight w:val="none"/>
        </w:rPr>
      </w:pPr>
    </w:p>
    <w:p>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提供由省级以上监狱管理局、戒毒管理局(含新疆生产建设兵团)出具的属于监狱企业的证明文件 （如是非监狱企业请使用附件一）。</w:t>
      </w:r>
    </w:p>
    <w:p>
      <w:pPr>
        <w:pStyle w:val="15"/>
        <w:ind w:firstLine="241"/>
        <w:rPr>
          <w:rFonts w:ascii="宋体" w:hAnsi="宋体" w:eastAsia="宋体" w:cs="宋体"/>
          <w:b/>
          <w:bCs/>
          <w:color w:val="auto"/>
          <w:sz w:val="24"/>
          <w:highlight w:val="none"/>
          <w:lang w:eastAsia="zh-CN"/>
        </w:rPr>
      </w:pPr>
    </w:p>
    <w:p>
      <w:pPr>
        <w:pStyle w:val="15"/>
        <w:ind w:firstLine="0" w:firstLineChars="0"/>
        <w:rPr>
          <w:rFonts w:ascii="宋体" w:hAnsi="宋体" w:eastAsia="宋体" w:cs="宋体"/>
          <w:b/>
          <w:bCs/>
          <w:color w:val="auto"/>
          <w:sz w:val="24"/>
          <w:highlight w:val="none"/>
          <w:lang w:eastAsia="zh-CN"/>
        </w:rPr>
      </w:pPr>
    </w:p>
    <w:p>
      <w:pPr>
        <w:pStyle w:val="15"/>
        <w:ind w:firstLine="241"/>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附件一：</w:t>
      </w:r>
    </w:p>
    <w:p>
      <w:pPr>
        <w:pStyle w:val="15"/>
        <w:ind w:firstLine="241"/>
        <w:jc w:val="center"/>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非监狱企业声明函</w:t>
      </w:r>
    </w:p>
    <w:p>
      <w:pPr>
        <w:pStyle w:val="15"/>
        <w:spacing w:line="360" w:lineRule="auto"/>
        <w:ind w:firstLine="24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本单位郑重声明，根据《财政部 司法部 关于政府采购支持监狱企业发展有关问题的通知》（财库[2014]68号）的规定，本单位不是监狱企业。</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rPr>
          <w:rFonts w:ascii="宋体" w:hAnsi="宋体" w:eastAsia="宋体" w:cs="宋体"/>
          <w:b/>
          <w:bCs/>
          <w:color w:val="auto"/>
          <w:highlight w:val="none"/>
        </w:rPr>
      </w:pPr>
    </w:p>
    <w:p>
      <w:pPr>
        <w:spacing w:line="360" w:lineRule="auto"/>
        <w:jc w:val="center"/>
        <w:rPr>
          <w:rFonts w:ascii="宋体" w:hAnsi="宋体" w:eastAsia="宋体" w:cs="宋体"/>
          <w:b/>
          <w:bCs/>
          <w:color w:val="auto"/>
          <w:highlight w:val="none"/>
        </w:rPr>
      </w:pPr>
    </w:p>
    <w:p>
      <w:pPr>
        <w:spacing w:line="360" w:lineRule="auto"/>
        <w:jc w:val="center"/>
        <w:rPr>
          <w:rFonts w:ascii="宋体" w:hAnsi="宋体" w:eastAsia="宋体" w:cs="宋体"/>
          <w:b/>
          <w:bCs/>
          <w:color w:val="auto"/>
          <w:highlight w:val="none"/>
        </w:rPr>
      </w:pPr>
    </w:p>
    <w:p>
      <w:pPr>
        <w:spacing w:line="500" w:lineRule="exact"/>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投标人（盖章）：</w:t>
      </w:r>
    </w:p>
    <w:p>
      <w:pPr>
        <w:tabs>
          <w:tab w:val="left" w:pos="4860"/>
        </w:tabs>
        <w:spacing w:line="360" w:lineRule="auto"/>
        <w:ind w:right="1560" w:firstLine="504" w:firstLineChars="200"/>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pPr>
        <w:pStyle w:val="16"/>
        <w:ind w:firstLine="480"/>
        <w:rPr>
          <w:color w:val="auto"/>
          <w:highlight w:val="none"/>
        </w:rPr>
      </w:pPr>
    </w:p>
    <w:sectPr>
      <w:footerReference r:id="rId10" w:type="first"/>
      <w:footerReference r:id="rId9" w:type="default"/>
      <w:pgSz w:w="11906" w:h="16838"/>
      <w:pgMar w:top="720" w:right="720" w:bottom="720" w:left="720" w:header="624"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体">
    <w:altName w:val="仿宋"/>
    <w:panose1 w:val="00000000000000000000"/>
    <w:charset w:val="86"/>
    <w:family w:val="modern"/>
    <w:pitch w:val="default"/>
    <w:sig w:usb0="00000000" w:usb1="00000000" w:usb2="00000010"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6262"/>
        <w:tab w:val="left" w:pos="9082"/>
        <w:tab w:val="clear" w:pos="4153"/>
        <w:tab w:val="clear" w:pos="8306"/>
      </w:tabs>
      <w:rPr>
        <w:rFonts w:ascii="华文行楷" w:eastAsia="华文行楷"/>
        <w:sz w:val="21"/>
        <w:szCs w:val="21"/>
        <w:u w:val="thick"/>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jc w:val="center"/>
      <w:rPr>
        <w:rFonts w:ascii="华文行楷" w:eastAsia="华文行楷"/>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华文行楷" w:eastAsia="华文行楷"/>
        <w:sz w:val="21"/>
        <w:szCs w:val="21"/>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0"/>
      </w:pBdr>
      <w:tabs>
        <w:tab w:val="left" w:pos="6262"/>
        <w:tab w:val="left" w:pos="9082"/>
        <w:tab w:val="clear" w:pos="4153"/>
        <w:tab w:val="clear" w:pos="8306"/>
      </w:tabs>
      <w:rPr>
        <w:rFonts w:hint="default" w:ascii="华文行楷" w:eastAsia="华文行楷"/>
        <w:sz w:val="13"/>
        <w:szCs w:val="13"/>
        <w:u w:val="thick"/>
        <w:lang w:val="en-US"/>
      </w:rPr>
    </w:pPr>
    <w:r>
      <w:rPr>
        <w:sz w:val="21"/>
      </w:rPr>
      <mc:AlternateContent>
        <mc:Choice Requires="wps">
          <w:drawing>
            <wp:anchor distT="0" distB="0" distL="114300" distR="114300" simplePos="0" relativeHeight="251660288" behindDoc="0" locked="0" layoutInCell="1" allowOverlap="1">
              <wp:simplePos x="0" y="0"/>
              <wp:positionH relativeFrom="margin">
                <wp:posOffset>3290570</wp:posOffset>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left:259.1pt;margin-top:0pt;height:144pt;width:144pt;mso-position-horizontal-relative:margin;mso-wrap-style:none;z-index:251660288;mso-width-relative:page;mso-height-relative:page;" filled="f" stroked="f" coordsize="21600,21600" o:gfxdata="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liZctQAAAAIAQAADwAAAAAAAAABACAAAAAiAAAAZHJzL2Rvd25yZXYu&#10;eG1sUEsBAhQAFAAAAAgAh07iQHZG/Ys4AgAAbwQAAA4AAAAAAAAAAQAgAAAAIwEAAGRycy9lMm9E&#10;b2MueG1sUEsFBgAAAAAGAAYAWQEAAM0FA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r>
      <w:rPr>
        <w:rFonts w:hint="eastAsia" w:ascii="宋体" w:hAnsi="宋体" w:eastAsia="宋体" w:cs="宋体"/>
        <w:sz w:val="20"/>
        <w:szCs w:val="20"/>
        <w:lang w:eastAsia="zh-CN"/>
      </w:rPr>
      <w:t>河南昌泰工程管理有限公司</w:t>
    </w:r>
    <w:r>
      <w:rPr>
        <w:rFonts w:hint="eastAsia" w:ascii="宋体" w:hAnsi="宋体" w:eastAsia="宋体" w:cs="宋体"/>
        <w:sz w:val="20"/>
        <w:szCs w:val="20"/>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shd w:val="clear" w:color="auto" w:fill="FFFFFF"/>
      <w:wordWrap w:val="0"/>
      <w:snapToGrid w:val="0"/>
      <w:spacing w:beforeAutospacing="0" w:afterAutospacing="0" w:line="440" w:lineRule="exact"/>
      <w:rPr>
        <w:rFonts w:eastAsia="宋体"/>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22A7B"/>
    <w:multiLevelType w:val="multilevel"/>
    <w:tmpl w:val="93722A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388D847"/>
    <w:multiLevelType w:val="singleLevel"/>
    <w:tmpl w:val="9388D847"/>
    <w:lvl w:ilvl="0" w:tentative="0">
      <w:start w:val="2"/>
      <w:numFmt w:val="decimal"/>
      <w:suff w:val="nothing"/>
      <w:lvlText w:val="%1、"/>
      <w:lvlJc w:val="left"/>
    </w:lvl>
  </w:abstractNum>
  <w:abstractNum w:abstractNumId="2">
    <w:nsid w:val="9C8AC8EF"/>
    <w:multiLevelType w:val="multilevel"/>
    <w:tmpl w:val="9C8AC8EF"/>
    <w:lvl w:ilvl="0" w:tentative="0">
      <w:start w:val="4"/>
      <w:numFmt w:val="decimal"/>
      <w:lvlText w:val="%1"/>
      <w:lvlJc w:val="left"/>
      <w:pPr>
        <w:ind w:left="1386" w:hanging="480"/>
        <w:jc w:val="left"/>
      </w:pPr>
      <w:rPr>
        <w:rFonts w:hint="default"/>
        <w:lang w:val="zh-CN" w:eastAsia="zh-CN" w:bidi="zh-CN"/>
      </w:rPr>
    </w:lvl>
    <w:lvl w:ilvl="1" w:tentative="0">
      <w:start w:val="3"/>
      <w:numFmt w:val="decimal"/>
      <w:lvlText w:val="%1.%2"/>
      <w:lvlJc w:val="left"/>
      <w:pPr>
        <w:ind w:left="1386" w:hanging="4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626" w:hanging="72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510" w:hanging="720"/>
      </w:pPr>
      <w:rPr>
        <w:rFonts w:hint="default"/>
        <w:lang w:val="zh-CN" w:eastAsia="zh-CN" w:bidi="zh-CN"/>
      </w:rPr>
    </w:lvl>
    <w:lvl w:ilvl="4" w:tentative="0">
      <w:start w:val="0"/>
      <w:numFmt w:val="bullet"/>
      <w:lvlText w:val="•"/>
      <w:lvlJc w:val="left"/>
      <w:pPr>
        <w:ind w:left="4455" w:hanging="720"/>
      </w:pPr>
      <w:rPr>
        <w:rFonts w:hint="default"/>
        <w:lang w:val="zh-CN" w:eastAsia="zh-CN" w:bidi="zh-CN"/>
      </w:rPr>
    </w:lvl>
    <w:lvl w:ilvl="5" w:tentative="0">
      <w:start w:val="0"/>
      <w:numFmt w:val="bullet"/>
      <w:lvlText w:val="•"/>
      <w:lvlJc w:val="left"/>
      <w:pPr>
        <w:ind w:left="5400" w:hanging="720"/>
      </w:pPr>
      <w:rPr>
        <w:rFonts w:hint="default"/>
        <w:lang w:val="zh-CN" w:eastAsia="zh-CN" w:bidi="zh-CN"/>
      </w:rPr>
    </w:lvl>
    <w:lvl w:ilvl="6" w:tentative="0">
      <w:start w:val="0"/>
      <w:numFmt w:val="bullet"/>
      <w:lvlText w:val="•"/>
      <w:lvlJc w:val="left"/>
      <w:pPr>
        <w:ind w:left="6345" w:hanging="720"/>
      </w:pPr>
      <w:rPr>
        <w:rFonts w:hint="default"/>
        <w:lang w:val="zh-CN" w:eastAsia="zh-CN" w:bidi="zh-CN"/>
      </w:rPr>
    </w:lvl>
    <w:lvl w:ilvl="7" w:tentative="0">
      <w:start w:val="0"/>
      <w:numFmt w:val="bullet"/>
      <w:lvlText w:val="•"/>
      <w:lvlJc w:val="left"/>
      <w:pPr>
        <w:ind w:left="7290" w:hanging="720"/>
      </w:pPr>
      <w:rPr>
        <w:rFonts w:hint="default"/>
        <w:lang w:val="zh-CN" w:eastAsia="zh-CN" w:bidi="zh-CN"/>
      </w:rPr>
    </w:lvl>
    <w:lvl w:ilvl="8" w:tentative="0">
      <w:start w:val="0"/>
      <w:numFmt w:val="bullet"/>
      <w:lvlText w:val="•"/>
      <w:lvlJc w:val="left"/>
      <w:pPr>
        <w:ind w:left="8235" w:hanging="720"/>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1140" w:hanging="244"/>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328" w:hanging="423"/>
        <w:jc w:val="left"/>
      </w:pPr>
      <w:rPr>
        <w:rFonts w:hint="default"/>
        <w:b/>
        <w:bCs/>
        <w:spacing w:val="0"/>
        <w:w w:val="99"/>
        <w:lang w:val="zh-CN" w:eastAsia="zh-CN" w:bidi="zh-CN"/>
      </w:rPr>
    </w:lvl>
    <w:lvl w:ilvl="2" w:tentative="0">
      <w:start w:val="1"/>
      <w:numFmt w:val="decimal"/>
      <w:lvlText w:val="%1.%2.%3"/>
      <w:lvlJc w:val="left"/>
      <w:pPr>
        <w:ind w:left="426" w:hanging="423"/>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423"/>
      </w:pPr>
      <w:rPr>
        <w:rFonts w:hint="default"/>
        <w:lang w:val="zh-CN" w:eastAsia="zh-CN" w:bidi="zh-CN"/>
      </w:rPr>
    </w:lvl>
    <w:lvl w:ilvl="4" w:tentative="0">
      <w:start w:val="0"/>
      <w:numFmt w:val="bullet"/>
      <w:lvlText w:val="•"/>
      <w:lvlJc w:val="left"/>
      <w:pPr>
        <w:ind w:left="1560" w:hanging="423"/>
      </w:pPr>
      <w:rPr>
        <w:rFonts w:hint="default"/>
        <w:lang w:val="zh-CN" w:eastAsia="zh-CN" w:bidi="zh-CN"/>
      </w:rPr>
    </w:lvl>
    <w:lvl w:ilvl="5" w:tentative="0">
      <w:start w:val="0"/>
      <w:numFmt w:val="bullet"/>
      <w:lvlText w:val="•"/>
      <w:lvlJc w:val="left"/>
      <w:pPr>
        <w:ind w:left="1620" w:hanging="423"/>
      </w:pPr>
      <w:rPr>
        <w:rFonts w:hint="default"/>
        <w:lang w:val="zh-CN" w:eastAsia="zh-CN" w:bidi="zh-CN"/>
      </w:rPr>
    </w:lvl>
    <w:lvl w:ilvl="6" w:tentative="0">
      <w:start w:val="0"/>
      <w:numFmt w:val="bullet"/>
      <w:lvlText w:val="•"/>
      <w:lvlJc w:val="left"/>
      <w:pPr>
        <w:ind w:left="3321" w:hanging="423"/>
      </w:pPr>
      <w:rPr>
        <w:rFonts w:hint="default"/>
        <w:lang w:val="zh-CN" w:eastAsia="zh-CN" w:bidi="zh-CN"/>
      </w:rPr>
    </w:lvl>
    <w:lvl w:ilvl="7" w:tentative="0">
      <w:start w:val="0"/>
      <w:numFmt w:val="bullet"/>
      <w:lvlText w:val="•"/>
      <w:lvlJc w:val="left"/>
      <w:pPr>
        <w:ind w:left="5022" w:hanging="423"/>
      </w:pPr>
      <w:rPr>
        <w:rFonts w:hint="default"/>
        <w:lang w:val="zh-CN" w:eastAsia="zh-CN" w:bidi="zh-CN"/>
      </w:rPr>
    </w:lvl>
    <w:lvl w:ilvl="8" w:tentative="0">
      <w:start w:val="0"/>
      <w:numFmt w:val="bullet"/>
      <w:lvlText w:val="•"/>
      <w:lvlJc w:val="left"/>
      <w:pPr>
        <w:ind w:left="6723" w:hanging="423"/>
      </w:pPr>
      <w:rPr>
        <w:rFonts w:hint="default"/>
        <w:lang w:val="zh-CN" w:eastAsia="zh-CN" w:bidi="zh-CN"/>
      </w:rPr>
    </w:lvl>
  </w:abstractNum>
  <w:abstractNum w:abstractNumId="4">
    <w:nsid w:val="46A08BB8"/>
    <w:multiLevelType w:val="multilevel"/>
    <w:tmpl w:val="46A08BB8"/>
    <w:lvl w:ilvl="0" w:tentative="0">
      <w:start w:val="5"/>
      <w:numFmt w:val="decimal"/>
      <w:lvlText w:val="%1"/>
      <w:lvlJc w:val="left"/>
      <w:pPr>
        <w:ind w:left="1504" w:hanging="600"/>
        <w:jc w:val="left"/>
      </w:pPr>
      <w:rPr>
        <w:rFonts w:hint="default"/>
        <w:lang w:val="zh-CN" w:eastAsia="zh-CN" w:bidi="zh-CN"/>
      </w:rPr>
    </w:lvl>
    <w:lvl w:ilvl="1" w:tentative="0">
      <w:start w:val="1"/>
      <w:numFmt w:val="decimal"/>
      <w:lvlText w:val="%1.%2"/>
      <w:lvlJc w:val="left"/>
      <w:pPr>
        <w:ind w:left="1504"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225" w:hanging="600"/>
      </w:pPr>
      <w:rPr>
        <w:rFonts w:hint="default"/>
        <w:lang w:val="zh-CN" w:eastAsia="zh-CN" w:bidi="zh-CN"/>
      </w:rPr>
    </w:lvl>
    <w:lvl w:ilvl="3" w:tentative="0">
      <w:start w:val="0"/>
      <w:numFmt w:val="bullet"/>
      <w:lvlText w:val="•"/>
      <w:lvlJc w:val="left"/>
      <w:pPr>
        <w:ind w:left="4087" w:hanging="600"/>
      </w:pPr>
      <w:rPr>
        <w:rFonts w:hint="default"/>
        <w:lang w:val="zh-CN" w:eastAsia="zh-CN" w:bidi="zh-CN"/>
      </w:rPr>
    </w:lvl>
    <w:lvl w:ilvl="4" w:tentative="0">
      <w:start w:val="0"/>
      <w:numFmt w:val="bullet"/>
      <w:lvlText w:val="•"/>
      <w:lvlJc w:val="left"/>
      <w:pPr>
        <w:ind w:left="4950" w:hanging="600"/>
      </w:pPr>
      <w:rPr>
        <w:rFonts w:hint="default"/>
        <w:lang w:val="zh-CN" w:eastAsia="zh-CN" w:bidi="zh-CN"/>
      </w:rPr>
    </w:lvl>
    <w:lvl w:ilvl="5" w:tentative="0">
      <w:start w:val="0"/>
      <w:numFmt w:val="bullet"/>
      <w:lvlText w:val="•"/>
      <w:lvlJc w:val="left"/>
      <w:pPr>
        <w:ind w:left="5813" w:hanging="600"/>
      </w:pPr>
      <w:rPr>
        <w:rFonts w:hint="default"/>
        <w:lang w:val="zh-CN" w:eastAsia="zh-CN" w:bidi="zh-CN"/>
      </w:rPr>
    </w:lvl>
    <w:lvl w:ilvl="6" w:tentative="0">
      <w:start w:val="0"/>
      <w:numFmt w:val="bullet"/>
      <w:lvlText w:val="•"/>
      <w:lvlJc w:val="left"/>
      <w:pPr>
        <w:ind w:left="6675" w:hanging="600"/>
      </w:pPr>
      <w:rPr>
        <w:rFonts w:hint="default"/>
        <w:lang w:val="zh-CN" w:eastAsia="zh-CN" w:bidi="zh-CN"/>
      </w:rPr>
    </w:lvl>
    <w:lvl w:ilvl="7" w:tentative="0">
      <w:start w:val="0"/>
      <w:numFmt w:val="bullet"/>
      <w:lvlText w:val="•"/>
      <w:lvlJc w:val="left"/>
      <w:pPr>
        <w:ind w:left="7538" w:hanging="600"/>
      </w:pPr>
      <w:rPr>
        <w:rFonts w:hint="default"/>
        <w:lang w:val="zh-CN" w:eastAsia="zh-CN" w:bidi="zh-CN"/>
      </w:rPr>
    </w:lvl>
    <w:lvl w:ilvl="8" w:tentative="0">
      <w:start w:val="0"/>
      <w:numFmt w:val="bullet"/>
      <w:lvlText w:val="•"/>
      <w:lvlJc w:val="left"/>
      <w:pPr>
        <w:ind w:left="8400" w:hanging="600"/>
      </w:pPr>
      <w:rPr>
        <w:rFonts w:hint="default"/>
        <w:lang w:val="zh-CN" w:eastAsia="zh-CN" w:bidi="zh-CN"/>
      </w:rPr>
    </w:lvl>
  </w:abstractNum>
  <w:abstractNum w:abstractNumId="5">
    <w:nsid w:val="4C1BAE26"/>
    <w:multiLevelType w:val="multilevel"/>
    <w:tmpl w:val="4C1BAE26"/>
    <w:lvl w:ilvl="0" w:tentative="0">
      <w:start w:val="4"/>
      <w:numFmt w:val="decimal"/>
      <w:lvlText w:val="%1"/>
      <w:lvlJc w:val="left"/>
      <w:pPr>
        <w:ind w:left="1386" w:hanging="480"/>
        <w:jc w:val="left"/>
      </w:pPr>
      <w:rPr>
        <w:rFonts w:hint="default"/>
        <w:lang w:val="zh-CN" w:eastAsia="zh-CN" w:bidi="zh-CN"/>
      </w:rPr>
    </w:lvl>
    <w:lvl w:ilvl="1" w:tentative="0">
      <w:start w:val="4"/>
      <w:numFmt w:val="decimal"/>
      <w:lvlText w:val="%1.%2"/>
      <w:lvlJc w:val="left"/>
      <w:pPr>
        <w:ind w:left="1386" w:hanging="4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626" w:hanging="72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510" w:hanging="720"/>
      </w:pPr>
      <w:rPr>
        <w:rFonts w:hint="default"/>
        <w:lang w:val="zh-CN" w:eastAsia="zh-CN" w:bidi="zh-CN"/>
      </w:rPr>
    </w:lvl>
    <w:lvl w:ilvl="4" w:tentative="0">
      <w:start w:val="0"/>
      <w:numFmt w:val="bullet"/>
      <w:lvlText w:val="•"/>
      <w:lvlJc w:val="left"/>
      <w:pPr>
        <w:ind w:left="4455" w:hanging="720"/>
      </w:pPr>
      <w:rPr>
        <w:rFonts w:hint="default"/>
        <w:lang w:val="zh-CN" w:eastAsia="zh-CN" w:bidi="zh-CN"/>
      </w:rPr>
    </w:lvl>
    <w:lvl w:ilvl="5" w:tentative="0">
      <w:start w:val="0"/>
      <w:numFmt w:val="bullet"/>
      <w:lvlText w:val="•"/>
      <w:lvlJc w:val="left"/>
      <w:pPr>
        <w:ind w:left="5400" w:hanging="720"/>
      </w:pPr>
      <w:rPr>
        <w:rFonts w:hint="default"/>
        <w:lang w:val="zh-CN" w:eastAsia="zh-CN" w:bidi="zh-CN"/>
      </w:rPr>
    </w:lvl>
    <w:lvl w:ilvl="6" w:tentative="0">
      <w:start w:val="0"/>
      <w:numFmt w:val="bullet"/>
      <w:lvlText w:val="•"/>
      <w:lvlJc w:val="left"/>
      <w:pPr>
        <w:ind w:left="6345" w:hanging="720"/>
      </w:pPr>
      <w:rPr>
        <w:rFonts w:hint="default"/>
        <w:lang w:val="zh-CN" w:eastAsia="zh-CN" w:bidi="zh-CN"/>
      </w:rPr>
    </w:lvl>
    <w:lvl w:ilvl="7" w:tentative="0">
      <w:start w:val="0"/>
      <w:numFmt w:val="bullet"/>
      <w:lvlText w:val="•"/>
      <w:lvlJc w:val="left"/>
      <w:pPr>
        <w:ind w:left="7290" w:hanging="720"/>
      </w:pPr>
      <w:rPr>
        <w:rFonts w:hint="default"/>
        <w:lang w:val="zh-CN" w:eastAsia="zh-CN" w:bidi="zh-CN"/>
      </w:rPr>
    </w:lvl>
    <w:lvl w:ilvl="8" w:tentative="0">
      <w:start w:val="0"/>
      <w:numFmt w:val="bullet"/>
      <w:lvlText w:val="•"/>
      <w:lvlJc w:val="left"/>
      <w:pPr>
        <w:ind w:left="8235" w:hanging="720"/>
      </w:pPr>
      <w:rPr>
        <w:rFonts w:hint="default"/>
        <w:lang w:val="zh-CN" w:eastAsia="zh-CN" w:bidi="zh-CN"/>
      </w:rPr>
    </w:lvl>
  </w:abstractNum>
  <w:abstractNum w:abstractNumId="6">
    <w:nsid w:val="53435171"/>
    <w:multiLevelType w:val="singleLevel"/>
    <w:tmpl w:val="53435171"/>
    <w:lvl w:ilvl="0" w:tentative="0">
      <w:start w:val="39"/>
      <w:numFmt w:val="decimal"/>
      <w:suff w:val="space"/>
      <w:lvlText w:val="第%1条"/>
      <w:lvlJc w:val="left"/>
    </w:lvl>
  </w:abstractNum>
  <w:abstractNum w:abstractNumId="7">
    <w:nsid w:val="53435565"/>
    <w:multiLevelType w:val="singleLevel"/>
    <w:tmpl w:val="53435565"/>
    <w:lvl w:ilvl="0" w:tentative="0">
      <w:start w:val="1"/>
      <w:numFmt w:val="chineseCounting"/>
      <w:suff w:val="nothing"/>
      <w:lvlText w:val="（%1）"/>
      <w:lvlJc w:val="left"/>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Y2Q4MjY1ZjNiMWUwMzc1OGY2NjlhNTRmNzM4M2IifQ=="/>
    <w:docVar w:name="KSO_WPS_MARK_KEY" w:val="694af8ac-65eb-4ff1-97e2-36b9ff9d94bc"/>
  </w:docVars>
  <w:rsids>
    <w:rsidRoot w:val="7DBE02EF"/>
    <w:rsid w:val="00050676"/>
    <w:rsid w:val="00071420"/>
    <w:rsid w:val="00071B6D"/>
    <w:rsid w:val="000E74F5"/>
    <w:rsid w:val="001E7219"/>
    <w:rsid w:val="002004C6"/>
    <w:rsid w:val="0034721C"/>
    <w:rsid w:val="00490790"/>
    <w:rsid w:val="00571AAF"/>
    <w:rsid w:val="005B5A6D"/>
    <w:rsid w:val="005C2704"/>
    <w:rsid w:val="006C371B"/>
    <w:rsid w:val="00742F11"/>
    <w:rsid w:val="0076067D"/>
    <w:rsid w:val="00793352"/>
    <w:rsid w:val="007A3A68"/>
    <w:rsid w:val="007A41B7"/>
    <w:rsid w:val="00837B18"/>
    <w:rsid w:val="00904550"/>
    <w:rsid w:val="00924565"/>
    <w:rsid w:val="00A14F87"/>
    <w:rsid w:val="00A365CC"/>
    <w:rsid w:val="00A74A83"/>
    <w:rsid w:val="00B15AC7"/>
    <w:rsid w:val="00B83DB6"/>
    <w:rsid w:val="00BE1898"/>
    <w:rsid w:val="00F53E86"/>
    <w:rsid w:val="01100DE8"/>
    <w:rsid w:val="01EC42B5"/>
    <w:rsid w:val="025C7826"/>
    <w:rsid w:val="0292363A"/>
    <w:rsid w:val="02BC1ACD"/>
    <w:rsid w:val="02C04331"/>
    <w:rsid w:val="033C50E2"/>
    <w:rsid w:val="036071DD"/>
    <w:rsid w:val="039C59EA"/>
    <w:rsid w:val="03F021EA"/>
    <w:rsid w:val="041816B7"/>
    <w:rsid w:val="045B4708"/>
    <w:rsid w:val="04B378C0"/>
    <w:rsid w:val="04CC28DC"/>
    <w:rsid w:val="055311D3"/>
    <w:rsid w:val="055F5F4F"/>
    <w:rsid w:val="05C421C4"/>
    <w:rsid w:val="05C80CFF"/>
    <w:rsid w:val="05EA1796"/>
    <w:rsid w:val="05F872A7"/>
    <w:rsid w:val="062B0F24"/>
    <w:rsid w:val="067D6C5E"/>
    <w:rsid w:val="06AA1B94"/>
    <w:rsid w:val="06C90C44"/>
    <w:rsid w:val="07103583"/>
    <w:rsid w:val="071707CA"/>
    <w:rsid w:val="079C7DD8"/>
    <w:rsid w:val="07BF34C0"/>
    <w:rsid w:val="07C136C9"/>
    <w:rsid w:val="07F67816"/>
    <w:rsid w:val="07F95559"/>
    <w:rsid w:val="07FB4E2D"/>
    <w:rsid w:val="08162706"/>
    <w:rsid w:val="08192601"/>
    <w:rsid w:val="082E7F45"/>
    <w:rsid w:val="0860467D"/>
    <w:rsid w:val="0869448C"/>
    <w:rsid w:val="08EE3893"/>
    <w:rsid w:val="08F8136C"/>
    <w:rsid w:val="091D5B81"/>
    <w:rsid w:val="091E5277"/>
    <w:rsid w:val="09242600"/>
    <w:rsid w:val="09473E24"/>
    <w:rsid w:val="096575A6"/>
    <w:rsid w:val="0978425B"/>
    <w:rsid w:val="098909CD"/>
    <w:rsid w:val="09A17B1E"/>
    <w:rsid w:val="09CA2D09"/>
    <w:rsid w:val="09E10052"/>
    <w:rsid w:val="0A7315F2"/>
    <w:rsid w:val="0AA14AA6"/>
    <w:rsid w:val="0ABD0ABF"/>
    <w:rsid w:val="0AC017D1"/>
    <w:rsid w:val="0AC81602"/>
    <w:rsid w:val="0AD618FD"/>
    <w:rsid w:val="0B7C35E0"/>
    <w:rsid w:val="0BAB4DBC"/>
    <w:rsid w:val="0BB519C8"/>
    <w:rsid w:val="0BC63728"/>
    <w:rsid w:val="0BCE4DED"/>
    <w:rsid w:val="0BD40CEF"/>
    <w:rsid w:val="0C0D79FC"/>
    <w:rsid w:val="0C142961"/>
    <w:rsid w:val="0C784916"/>
    <w:rsid w:val="0C852E81"/>
    <w:rsid w:val="0C8B165A"/>
    <w:rsid w:val="0C8C3C7D"/>
    <w:rsid w:val="0C9B273A"/>
    <w:rsid w:val="0CA75583"/>
    <w:rsid w:val="0CC35F2A"/>
    <w:rsid w:val="0CDB5B22"/>
    <w:rsid w:val="0CEB4344"/>
    <w:rsid w:val="0CF94CB5"/>
    <w:rsid w:val="0D0844F7"/>
    <w:rsid w:val="0D362CCE"/>
    <w:rsid w:val="0D576FA9"/>
    <w:rsid w:val="0D6939B1"/>
    <w:rsid w:val="0D921D8F"/>
    <w:rsid w:val="0DDD202A"/>
    <w:rsid w:val="0DE8040D"/>
    <w:rsid w:val="0E511243"/>
    <w:rsid w:val="0EB4305D"/>
    <w:rsid w:val="0EF11A24"/>
    <w:rsid w:val="0EFE00D9"/>
    <w:rsid w:val="0F144A26"/>
    <w:rsid w:val="0F387860"/>
    <w:rsid w:val="0F490B74"/>
    <w:rsid w:val="0F515C7A"/>
    <w:rsid w:val="0FE13428"/>
    <w:rsid w:val="0FF4193C"/>
    <w:rsid w:val="102D2243"/>
    <w:rsid w:val="104568BA"/>
    <w:rsid w:val="10C110CC"/>
    <w:rsid w:val="10C36704"/>
    <w:rsid w:val="10F25C4D"/>
    <w:rsid w:val="112371A2"/>
    <w:rsid w:val="11365706"/>
    <w:rsid w:val="11503282"/>
    <w:rsid w:val="11561326"/>
    <w:rsid w:val="118C1171"/>
    <w:rsid w:val="11E07076"/>
    <w:rsid w:val="12404EB1"/>
    <w:rsid w:val="12834503"/>
    <w:rsid w:val="12D0582B"/>
    <w:rsid w:val="12D3096A"/>
    <w:rsid w:val="12DB7D35"/>
    <w:rsid w:val="12EF1782"/>
    <w:rsid w:val="13057008"/>
    <w:rsid w:val="13840F6B"/>
    <w:rsid w:val="13842C7B"/>
    <w:rsid w:val="138F127E"/>
    <w:rsid w:val="13D529D6"/>
    <w:rsid w:val="1475105F"/>
    <w:rsid w:val="149208C7"/>
    <w:rsid w:val="14AF3720"/>
    <w:rsid w:val="14F012E9"/>
    <w:rsid w:val="1502125F"/>
    <w:rsid w:val="151220C1"/>
    <w:rsid w:val="1534197E"/>
    <w:rsid w:val="15AF28F5"/>
    <w:rsid w:val="15C80959"/>
    <w:rsid w:val="162944FD"/>
    <w:rsid w:val="16421119"/>
    <w:rsid w:val="166444E5"/>
    <w:rsid w:val="166942E7"/>
    <w:rsid w:val="16704C38"/>
    <w:rsid w:val="16C87941"/>
    <w:rsid w:val="1700420E"/>
    <w:rsid w:val="17263A0E"/>
    <w:rsid w:val="172E6040"/>
    <w:rsid w:val="17C26046"/>
    <w:rsid w:val="18507732"/>
    <w:rsid w:val="185C5EED"/>
    <w:rsid w:val="185F722A"/>
    <w:rsid w:val="18787DD4"/>
    <w:rsid w:val="18893BFD"/>
    <w:rsid w:val="188E28D7"/>
    <w:rsid w:val="18E62A3E"/>
    <w:rsid w:val="19193365"/>
    <w:rsid w:val="194D7420"/>
    <w:rsid w:val="196C1295"/>
    <w:rsid w:val="19AD7BB1"/>
    <w:rsid w:val="1A0873A9"/>
    <w:rsid w:val="1A3678CD"/>
    <w:rsid w:val="1A6B7F5C"/>
    <w:rsid w:val="1A9907EF"/>
    <w:rsid w:val="1AD466F8"/>
    <w:rsid w:val="1B097298"/>
    <w:rsid w:val="1B751833"/>
    <w:rsid w:val="1BA7238B"/>
    <w:rsid w:val="1BB152AA"/>
    <w:rsid w:val="1BE85270"/>
    <w:rsid w:val="1BFF09E2"/>
    <w:rsid w:val="1C1E6EE4"/>
    <w:rsid w:val="1C521313"/>
    <w:rsid w:val="1CE123EB"/>
    <w:rsid w:val="1CE25778"/>
    <w:rsid w:val="1CEE3304"/>
    <w:rsid w:val="1D175E0D"/>
    <w:rsid w:val="1D380C17"/>
    <w:rsid w:val="1D6D2B16"/>
    <w:rsid w:val="1D97516A"/>
    <w:rsid w:val="1DC25AD0"/>
    <w:rsid w:val="1DC43100"/>
    <w:rsid w:val="1E0C711E"/>
    <w:rsid w:val="1E77791A"/>
    <w:rsid w:val="1E9D2342"/>
    <w:rsid w:val="1ECE49BD"/>
    <w:rsid w:val="1F2559D8"/>
    <w:rsid w:val="1F327CA1"/>
    <w:rsid w:val="1F7327A4"/>
    <w:rsid w:val="1FDC4786"/>
    <w:rsid w:val="2002248A"/>
    <w:rsid w:val="20077DB8"/>
    <w:rsid w:val="201654EF"/>
    <w:rsid w:val="20286583"/>
    <w:rsid w:val="205E01F7"/>
    <w:rsid w:val="206B0C67"/>
    <w:rsid w:val="20F76CF2"/>
    <w:rsid w:val="20FC3C98"/>
    <w:rsid w:val="210D6329"/>
    <w:rsid w:val="211033CE"/>
    <w:rsid w:val="21466CC1"/>
    <w:rsid w:val="214E1952"/>
    <w:rsid w:val="217533C4"/>
    <w:rsid w:val="218279EC"/>
    <w:rsid w:val="21E064B8"/>
    <w:rsid w:val="21EC520F"/>
    <w:rsid w:val="2230623C"/>
    <w:rsid w:val="225D2025"/>
    <w:rsid w:val="228E0CB4"/>
    <w:rsid w:val="22912E24"/>
    <w:rsid w:val="229D0C0C"/>
    <w:rsid w:val="23012994"/>
    <w:rsid w:val="232D2995"/>
    <w:rsid w:val="23425BAE"/>
    <w:rsid w:val="23622D0E"/>
    <w:rsid w:val="23752C5E"/>
    <w:rsid w:val="23777B23"/>
    <w:rsid w:val="23A32B0E"/>
    <w:rsid w:val="241918EC"/>
    <w:rsid w:val="24303EAF"/>
    <w:rsid w:val="24760AAE"/>
    <w:rsid w:val="24810429"/>
    <w:rsid w:val="248A3369"/>
    <w:rsid w:val="248F0455"/>
    <w:rsid w:val="24967F5F"/>
    <w:rsid w:val="24A204E6"/>
    <w:rsid w:val="250824DF"/>
    <w:rsid w:val="251B66B7"/>
    <w:rsid w:val="252D7AE7"/>
    <w:rsid w:val="2553110E"/>
    <w:rsid w:val="256119CD"/>
    <w:rsid w:val="25806B98"/>
    <w:rsid w:val="25902693"/>
    <w:rsid w:val="2596726F"/>
    <w:rsid w:val="25A74997"/>
    <w:rsid w:val="25BA7F75"/>
    <w:rsid w:val="25C32FD6"/>
    <w:rsid w:val="25D00F55"/>
    <w:rsid w:val="25DD5A80"/>
    <w:rsid w:val="25E66CC5"/>
    <w:rsid w:val="26185CDD"/>
    <w:rsid w:val="264B2CA8"/>
    <w:rsid w:val="265369F7"/>
    <w:rsid w:val="26580DEA"/>
    <w:rsid w:val="265922B6"/>
    <w:rsid w:val="26603D8F"/>
    <w:rsid w:val="26BA3041"/>
    <w:rsid w:val="26E93491"/>
    <w:rsid w:val="27171F59"/>
    <w:rsid w:val="272C3F84"/>
    <w:rsid w:val="27321A96"/>
    <w:rsid w:val="27361586"/>
    <w:rsid w:val="27CA0AB4"/>
    <w:rsid w:val="27FD02F5"/>
    <w:rsid w:val="28215F0F"/>
    <w:rsid w:val="28650375"/>
    <w:rsid w:val="28733F05"/>
    <w:rsid w:val="287D093C"/>
    <w:rsid w:val="288E081F"/>
    <w:rsid w:val="28EC0F23"/>
    <w:rsid w:val="293E4905"/>
    <w:rsid w:val="294A7992"/>
    <w:rsid w:val="29705401"/>
    <w:rsid w:val="297235D4"/>
    <w:rsid w:val="299A06F9"/>
    <w:rsid w:val="29A81686"/>
    <w:rsid w:val="29E40749"/>
    <w:rsid w:val="2A154EF2"/>
    <w:rsid w:val="2A565F60"/>
    <w:rsid w:val="2A7315A7"/>
    <w:rsid w:val="2A9745F6"/>
    <w:rsid w:val="2AA630D6"/>
    <w:rsid w:val="2AB81396"/>
    <w:rsid w:val="2B040B34"/>
    <w:rsid w:val="2B2C6C9D"/>
    <w:rsid w:val="2B3066D8"/>
    <w:rsid w:val="2B634913"/>
    <w:rsid w:val="2B9A600E"/>
    <w:rsid w:val="2BED13F2"/>
    <w:rsid w:val="2BFA5E7F"/>
    <w:rsid w:val="2C105C68"/>
    <w:rsid w:val="2C271DE5"/>
    <w:rsid w:val="2C324A12"/>
    <w:rsid w:val="2CD5539D"/>
    <w:rsid w:val="2CF55EFF"/>
    <w:rsid w:val="2D0861AE"/>
    <w:rsid w:val="2D235750"/>
    <w:rsid w:val="2D4C20AC"/>
    <w:rsid w:val="2D6719FC"/>
    <w:rsid w:val="2D6D0F25"/>
    <w:rsid w:val="2DA03343"/>
    <w:rsid w:val="2DA94F26"/>
    <w:rsid w:val="2DAD00C8"/>
    <w:rsid w:val="2DC31699"/>
    <w:rsid w:val="2DE05B3F"/>
    <w:rsid w:val="2E282AA4"/>
    <w:rsid w:val="2E7035CF"/>
    <w:rsid w:val="2E7E2C77"/>
    <w:rsid w:val="2E905A1F"/>
    <w:rsid w:val="2E917E6C"/>
    <w:rsid w:val="2F4E1A07"/>
    <w:rsid w:val="2F5547F7"/>
    <w:rsid w:val="2F596388"/>
    <w:rsid w:val="2FB974E2"/>
    <w:rsid w:val="2FC13329"/>
    <w:rsid w:val="2FE029D7"/>
    <w:rsid w:val="2FF3270A"/>
    <w:rsid w:val="30525D31"/>
    <w:rsid w:val="305B5AB3"/>
    <w:rsid w:val="305D574B"/>
    <w:rsid w:val="307B4DCC"/>
    <w:rsid w:val="309A700D"/>
    <w:rsid w:val="30B05F05"/>
    <w:rsid w:val="30E41D93"/>
    <w:rsid w:val="31255B24"/>
    <w:rsid w:val="31550351"/>
    <w:rsid w:val="318E37F1"/>
    <w:rsid w:val="31A04D03"/>
    <w:rsid w:val="31A25707"/>
    <w:rsid w:val="31C2421E"/>
    <w:rsid w:val="31FA2074"/>
    <w:rsid w:val="32163519"/>
    <w:rsid w:val="32397047"/>
    <w:rsid w:val="32523D98"/>
    <w:rsid w:val="327C73CA"/>
    <w:rsid w:val="327E0B21"/>
    <w:rsid w:val="32FF74A0"/>
    <w:rsid w:val="33014A35"/>
    <w:rsid w:val="3301513E"/>
    <w:rsid w:val="33174BA9"/>
    <w:rsid w:val="33552D94"/>
    <w:rsid w:val="33B2026B"/>
    <w:rsid w:val="33E32A95"/>
    <w:rsid w:val="33ED7470"/>
    <w:rsid w:val="34561BE4"/>
    <w:rsid w:val="347B6527"/>
    <w:rsid w:val="34AD225C"/>
    <w:rsid w:val="34B62C03"/>
    <w:rsid w:val="35071163"/>
    <w:rsid w:val="35390AB9"/>
    <w:rsid w:val="3540170E"/>
    <w:rsid w:val="35A24428"/>
    <w:rsid w:val="35DC6A5F"/>
    <w:rsid w:val="35DE14CB"/>
    <w:rsid w:val="35E349A1"/>
    <w:rsid w:val="35FB0EEB"/>
    <w:rsid w:val="362829E1"/>
    <w:rsid w:val="36684F18"/>
    <w:rsid w:val="367E599E"/>
    <w:rsid w:val="3692381A"/>
    <w:rsid w:val="369571CB"/>
    <w:rsid w:val="36E33796"/>
    <w:rsid w:val="37074CED"/>
    <w:rsid w:val="37130D0E"/>
    <w:rsid w:val="371B0626"/>
    <w:rsid w:val="37256731"/>
    <w:rsid w:val="376A58FF"/>
    <w:rsid w:val="37790CBE"/>
    <w:rsid w:val="387505E4"/>
    <w:rsid w:val="388D5D9F"/>
    <w:rsid w:val="38A42C8E"/>
    <w:rsid w:val="38BD700D"/>
    <w:rsid w:val="38C6337F"/>
    <w:rsid w:val="38F41F3D"/>
    <w:rsid w:val="38FE6ADF"/>
    <w:rsid w:val="393D1801"/>
    <w:rsid w:val="39665B55"/>
    <w:rsid w:val="397B31D9"/>
    <w:rsid w:val="3A092BE7"/>
    <w:rsid w:val="3A4060F1"/>
    <w:rsid w:val="3A43428E"/>
    <w:rsid w:val="3A4F678F"/>
    <w:rsid w:val="3A7C576C"/>
    <w:rsid w:val="3A802E82"/>
    <w:rsid w:val="3A99422D"/>
    <w:rsid w:val="3AE813FD"/>
    <w:rsid w:val="3AED28C2"/>
    <w:rsid w:val="3B004536"/>
    <w:rsid w:val="3B1023FE"/>
    <w:rsid w:val="3B121289"/>
    <w:rsid w:val="3B190943"/>
    <w:rsid w:val="3B196D9D"/>
    <w:rsid w:val="3B1B370D"/>
    <w:rsid w:val="3B34330A"/>
    <w:rsid w:val="3B3A5C30"/>
    <w:rsid w:val="3B67141C"/>
    <w:rsid w:val="3BAC7C11"/>
    <w:rsid w:val="3C796549"/>
    <w:rsid w:val="3C967CB0"/>
    <w:rsid w:val="3CA47BE9"/>
    <w:rsid w:val="3CA8219B"/>
    <w:rsid w:val="3CB25A2D"/>
    <w:rsid w:val="3CF35238"/>
    <w:rsid w:val="3D380279"/>
    <w:rsid w:val="3D456581"/>
    <w:rsid w:val="3DA83648"/>
    <w:rsid w:val="3DD4556E"/>
    <w:rsid w:val="3E174179"/>
    <w:rsid w:val="3E565DC2"/>
    <w:rsid w:val="3E725142"/>
    <w:rsid w:val="3E834C59"/>
    <w:rsid w:val="3E8B67D0"/>
    <w:rsid w:val="3EB03821"/>
    <w:rsid w:val="3F6B0F74"/>
    <w:rsid w:val="3FE31671"/>
    <w:rsid w:val="401211AE"/>
    <w:rsid w:val="402111E7"/>
    <w:rsid w:val="4029261B"/>
    <w:rsid w:val="40442B0E"/>
    <w:rsid w:val="404B4DB0"/>
    <w:rsid w:val="406C32FB"/>
    <w:rsid w:val="40775375"/>
    <w:rsid w:val="40827192"/>
    <w:rsid w:val="40896076"/>
    <w:rsid w:val="40905D53"/>
    <w:rsid w:val="40A264E2"/>
    <w:rsid w:val="40CC0489"/>
    <w:rsid w:val="41027964"/>
    <w:rsid w:val="41A14C5F"/>
    <w:rsid w:val="41B32DC8"/>
    <w:rsid w:val="41B45D18"/>
    <w:rsid w:val="42005EA5"/>
    <w:rsid w:val="424B18D4"/>
    <w:rsid w:val="42573468"/>
    <w:rsid w:val="42670360"/>
    <w:rsid w:val="427F54C9"/>
    <w:rsid w:val="42A4315F"/>
    <w:rsid w:val="42AB4271"/>
    <w:rsid w:val="430F7403"/>
    <w:rsid w:val="43267A49"/>
    <w:rsid w:val="43756570"/>
    <w:rsid w:val="43A67DCB"/>
    <w:rsid w:val="441943C2"/>
    <w:rsid w:val="441A5B0D"/>
    <w:rsid w:val="44885D72"/>
    <w:rsid w:val="4488746D"/>
    <w:rsid w:val="44AF6F72"/>
    <w:rsid w:val="44C74DED"/>
    <w:rsid w:val="44D9444A"/>
    <w:rsid w:val="44DC2F2C"/>
    <w:rsid w:val="44F55331"/>
    <w:rsid w:val="44F763A1"/>
    <w:rsid w:val="450B57A5"/>
    <w:rsid w:val="451F7AFF"/>
    <w:rsid w:val="453018B3"/>
    <w:rsid w:val="453605B2"/>
    <w:rsid w:val="456B2B58"/>
    <w:rsid w:val="456D7D53"/>
    <w:rsid w:val="459505E9"/>
    <w:rsid w:val="45953746"/>
    <w:rsid w:val="45A97D7E"/>
    <w:rsid w:val="45B23671"/>
    <w:rsid w:val="45F01AB5"/>
    <w:rsid w:val="46060C50"/>
    <w:rsid w:val="460A7CC6"/>
    <w:rsid w:val="46492C2C"/>
    <w:rsid w:val="464E1FF0"/>
    <w:rsid w:val="468C48C7"/>
    <w:rsid w:val="46C769A2"/>
    <w:rsid w:val="47031130"/>
    <w:rsid w:val="47050DE4"/>
    <w:rsid w:val="4740402F"/>
    <w:rsid w:val="477119DF"/>
    <w:rsid w:val="47E541E6"/>
    <w:rsid w:val="47F873A4"/>
    <w:rsid w:val="4800082A"/>
    <w:rsid w:val="483569C8"/>
    <w:rsid w:val="48480CC1"/>
    <w:rsid w:val="484B00DD"/>
    <w:rsid w:val="48A20415"/>
    <w:rsid w:val="48D254CE"/>
    <w:rsid w:val="48DF33D4"/>
    <w:rsid w:val="48F14EB5"/>
    <w:rsid w:val="490B1BC6"/>
    <w:rsid w:val="490F14E7"/>
    <w:rsid w:val="49141C44"/>
    <w:rsid w:val="493456FB"/>
    <w:rsid w:val="49602BA9"/>
    <w:rsid w:val="49EE62EB"/>
    <w:rsid w:val="4A266F9A"/>
    <w:rsid w:val="4A4E5DA1"/>
    <w:rsid w:val="4A4F4188"/>
    <w:rsid w:val="4A8274F6"/>
    <w:rsid w:val="4A984FC3"/>
    <w:rsid w:val="4ABD14F2"/>
    <w:rsid w:val="4AC139FE"/>
    <w:rsid w:val="4AC85099"/>
    <w:rsid w:val="4B01046F"/>
    <w:rsid w:val="4B0A5FF1"/>
    <w:rsid w:val="4B2047A0"/>
    <w:rsid w:val="4BD43A14"/>
    <w:rsid w:val="4BDE0D3A"/>
    <w:rsid w:val="4C084AEB"/>
    <w:rsid w:val="4C0B44E0"/>
    <w:rsid w:val="4C297BF1"/>
    <w:rsid w:val="4C445672"/>
    <w:rsid w:val="4C900053"/>
    <w:rsid w:val="4CCD54AE"/>
    <w:rsid w:val="4CE23492"/>
    <w:rsid w:val="4CE83CD9"/>
    <w:rsid w:val="4CFA46AE"/>
    <w:rsid w:val="4D695962"/>
    <w:rsid w:val="4D822267"/>
    <w:rsid w:val="4DCD54D3"/>
    <w:rsid w:val="4DD51249"/>
    <w:rsid w:val="4DE31174"/>
    <w:rsid w:val="4DF675AA"/>
    <w:rsid w:val="4E0E0D67"/>
    <w:rsid w:val="4E3855F0"/>
    <w:rsid w:val="4E3A4165"/>
    <w:rsid w:val="4E585FF5"/>
    <w:rsid w:val="4E5A4601"/>
    <w:rsid w:val="4E8E231F"/>
    <w:rsid w:val="4E952AF6"/>
    <w:rsid w:val="4E957E46"/>
    <w:rsid w:val="4EA544E6"/>
    <w:rsid w:val="4ED63528"/>
    <w:rsid w:val="4EFF2BCD"/>
    <w:rsid w:val="4F077CBD"/>
    <w:rsid w:val="4F563CC4"/>
    <w:rsid w:val="4F8F5B8D"/>
    <w:rsid w:val="4FEF3B24"/>
    <w:rsid w:val="50083700"/>
    <w:rsid w:val="504306EC"/>
    <w:rsid w:val="50566D61"/>
    <w:rsid w:val="50961DF0"/>
    <w:rsid w:val="50AB1D0D"/>
    <w:rsid w:val="510C522E"/>
    <w:rsid w:val="51584E05"/>
    <w:rsid w:val="515F3D92"/>
    <w:rsid w:val="5168516E"/>
    <w:rsid w:val="51984184"/>
    <w:rsid w:val="51A16A23"/>
    <w:rsid w:val="51C7179F"/>
    <w:rsid w:val="52650DED"/>
    <w:rsid w:val="52B82928"/>
    <w:rsid w:val="52C22C2C"/>
    <w:rsid w:val="530F6FAB"/>
    <w:rsid w:val="53486019"/>
    <w:rsid w:val="535350EA"/>
    <w:rsid w:val="53BD5507"/>
    <w:rsid w:val="53D77AC9"/>
    <w:rsid w:val="54063C1B"/>
    <w:rsid w:val="541008E5"/>
    <w:rsid w:val="54854A97"/>
    <w:rsid w:val="55192CC3"/>
    <w:rsid w:val="551C1E56"/>
    <w:rsid w:val="55432CEB"/>
    <w:rsid w:val="55461011"/>
    <w:rsid w:val="554E3DBB"/>
    <w:rsid w:val="55575E7C"/>
    <w:rsid w:val="55821E7F"/>
    <w:rsid w:val="559F10FA"/>
    <w:rsid w:val="55A958CA"/>
    <w:rsid w:val="55AE6607"/>
    <w:rsid w:val="55FE073A"/>
    <w:rsid w:val="569D2982"/>
    <w:rsid w:val="56E96B70"/>
    <w:rsid w:val="571902EA"/>
    <w:rsid w:val="57197A6E"/>
    <w:rsid w:val="57350CD3"/>
    <w:rsid w:val="57353634"/>
    <w:rsid w:val="584438C7"/>
    <w:rsid w:val="585A057E"/>
    <w:rsid w:val="588018FE"/>
    <w:rsid w:val="58D00F8B"/>
    <w:rsid w:val="59737C8E"/>
    <w:rsid w:val="59FC1279"/>
    <w:rsid w:val="5A255E9B"/>
    <w:rsid w:val="5A2A6479"/>
    <w:rsid w:val="5A9D23F4"/>
    <w:rsid w:val="5AA22AFF"/>
    <w:rsid w:val="5AB47A46"/>
    <w:rsid w:val="5ADC59C5"/>
    <w:rsid w:val="5B523ED9"/>
    <w:rsid w:val="5B727B49"/>
    <w:rsid w:val="5BC25FBF"/>
    <w:rsid w:val="5BD21805"/>
    <w:rsid w:val="5BF8093F"/>
    <w:rsid w:val="5C0351D3"/>
    <w:rsid w:val="5C07081F"/>
    <w:rsid w:val="5C384E7D"/>
    <w:rsid w:val="5C3945D0"/>
    <w:rsid w:val="5C891B7C"/>
    <w:rsid w:val="5CB736C0"/>
    <w:rsid w:val="5CC63292"/>
    <w:rsid w:val="5CE64D03"/>
    <w:rsid w:val="5D1721DC"/>
    <w:rsid w:val="5D4F6D91"/>
    <w:rsid w:val="5D565267"/>
    <w:rsid w:val="5D6A73BE"/>
    <w:rsid w:val="5D7334B7"/>
    <w:rsid w:val="5D8E1508"/>
    <w:rsid w:val="5DE77466"/>
    <w:rsid w:val="5DF015D2"/>
    <w:rsid w:val="5E0D49B1"/>
    <w:rsid w:val="5E11264C"/>
    <w:rsid w:val="5E2E61B9"/>
    <w:rsid w:val="5E337FF2"/>
    <w:rsid w:val="5E565A8E"/>
    <w:rsid w:val="5E5D4779"/>
    <w:rsid w:val="5EB824E3"/>
    <w:rsid w:val="5EBD6735"/>
    <w:rsid w:val="5F610B8F"/>
    <w:rsid w:val="5FA5727C"/>
    <w:rsid w:val="5FCE551F"/>
    <w:rsid w:val="5FFF76C8"/>
    <w:rsid w:val="6016499A"/>
    <w:rsid w:val="601762D2"/>
    <w:rsid w:val="60176D28"/>
    <w:rsid w:val="60275934"/>
    <w:rsid w:val="60753EE1"/>
    <w:rsid w:val="60A96349"/>
    <w:rsid w:val="61856DB5"/>
    <w:rsid w:val="61A66D2D"/>
    <w:rsid w:val="61C65BCF"/>
    <w:rsid w:val="61C67B81"/>
    <w:rsid w:val="61E46B8D"/>
    <w:rsid w:val="61F25FA7"/>
    <w:rsid w:val="62B31701"/>
    <w:rsid w:val="62BC49B0"/>
    <w:rsid w:val="62D578C9"/>
    <w:rsid w:val="62F10214"/>
    <w:rsid w:val="630A40D3"/>
    <w:rsid w:val="635C1D12"/>
    <w:rsid w:val="63696264"/>
    <w:rsid w:val="638C4662"/>
    <w:rsid w:val="63B130D0"/>
    <w:rsid w:val="64287ECD"/>
    <w:rsid w:val="643A5574"/>
    <w:rsid w:val="64507CED"/>
    <w:rsid w:val="645472F7"/>
    <w:rsid w:val="64AF5EF8"/>
    <w:rsid w:val="64D661B6"/>
    <w:rsid w:val="651636C0"/>
    <w:rsid w:val="653824DD"/>
    <w:rsid w:val="654F11A7"/>
    <w:rsid w:val="656C5B97"/>
    <w:rsid w:val="65906526"/>
    <w:rsid w:val="660D6302"/>
    <w:rsid w:val="66355A58"/>
    <w:rsid w:val="66C537D3"/>
    <w:rsid w:val="670F2C3E"/>
    <w:rsid w:val="67324275"/>
    <w:rsid w:val="673B536A"/>
    <w:rsid w:val="674E7C4A"/>
    <w:rsid w:val="67870D53"/>
    <w:rsid w:val="67A234BA"/>
    <w:rsid w:val="67AB4CEA"/>
    <w:rsid w:val="67BC1A6A"/>
    <w:rsid w:val="67D2059B"/>
    <w:rsid w:val="67EA6038"/>
    <w:rsid w:val="680743C3"/>
    <w:rsid w:val="68133C1B"/>
    <w:rsid w:val="682A2B40"/>
    <w:rsid w:val="683230C8"/>
    <w:rsid w:val="685A07F3"/>
    <w:rsid w:val="68760CF3"/>
    <w:rsid w:val="68B12CA9"/>
    <w:rsid w:val="68B943AD"/>
    <w:rsid w:val="68BB47EA"/>
    <w:rsid w:val="68BF103D"/>
    <w:rsid w:val="68C22687"/>
    <w:rsid w:val="68D91796"/>
    <w:rsid w:val="68EF2D5C"/>
    <w:rsid w:val="68F962B0"/>
    <w:rsid w:val="69807E63"/>
    <w:rsid w:val="699B72E5"/>
    <w:rsid w:val="6A0158B8"/>
    <w:rsid w:val="6A1B4D6B"/>
    <w:rsid w:val="6A327325"/>
    <w:rsid w:val="6A630C5F"/>
    <w:rsid w:val="6A8D1675"/>
    <w:rsid w:val="6ABC311D"/>
    <w:rsid w:val="6AFA62E4"/>
    <w:rsid w:val="6B0665CC"/>
    <w:rsid w:val="6B0F76A9"/>
    <w:rsid w:val="6B5D4C75"/>
    <w:rsid w:val="6B9D20EA"/>
    <w:rsid w:val="6C066D46"/>
    <w:rsid w:val="6C6539F3"/>
    <w:rsid w:val="6C7F3163"/>
    <w:rsid w:val="6CBB2258"/>
    <w:rsid w:val="6D0112BB"/>
    <w:rsid w:val="6D057D2E"/>
    <w:rsid w:val="6D1C4913"/>
    <w:rsid w:val="6D2F5E28"/>
    <w:rsid w:val="6D6110CF"/>
    <w:rsid w:val="6D75176E"/>
    <w:rsid w:val="6DD10C8D"/>
    <w:rsid w:val="6DF03768"/>
    <w:rsid w:val="6E0A4FEA"/>
    <w:rsid w:val="6E8211B8"/>
    <w:rsid w:val="6ED13480"/>
    <w:rsid w:val="6EE13152"/>
    <w:rsid w:val="6F1A7763"/>
    <w:rsid w:val="6F5E481D"/>
    <w:rsid w:val="6FB01083"/>
    <w:rsid w:val="6FB14822"/>
    <w:rsid w:val="6FC22F83"/>
    <w:rsid w:val="7001675D"/>
    <w:rsid w:val="7070290C"/>
    <w:rsid w:val="708C17E3"/>
    <w:rsid w:val="70D6680A"/>
    <w:rsid w:val="71192C03"/>
    <w:rsid w:val="7128150C"/>
    <w:rsid w:val="71767EDC"/>
    <w:rsid w:val="719C69DA"/>
    <w:rsid w:val="72264492"/>
    <w:rsid w:val="725F1BF2"/>
    <w:rsid w:val="72B03428"/>
    <w:rsid w:val="734F0FC9"/>
    <w:rsid w:val="735E7467"/>
    <w:rsid w:val="73891DD1"/>
    <w:rsid w:val="73B52984"/>
    <w:rsid w:val="73BA5B6A"/>
    <w:rsid w:val="73C61AA4"/>
    <w:rsid w:val="73D03795"/>
    <w:rsid w:val="73D45F9B"/>
    <w:rsid w:val="74015985"/>
    <w:rsid w:val="740636CF"/>
    <w:rsid w:val="743326A2"/>
    <w:rsid w:val="745443C6"/>
    <w:rsid w:val="748527D2"/>
    <w:rsid w:val="748B0567"/>
    <w:rsid w:val="74C02EB9"/>
    <w:rsid w:val="74F53239"/>
    <w:rsid w:val="75047492"/>
    <w:rsid w:val="756375AE"/>
    <w:rsid w:val="75901423"/>
    <w:rsid w:val="75C954B4"/>
    <w:rsid w:val="76277FE4"/>
    <w:rsid w:val="7638763C"/>
    <w:rsid w:val="76A609DA"/>
    <w:rsid w:val="76AC0DDB"/>
    <w:rsid w:val="76C358D4"/>
    <w:rsid w:val="76CD220E"/>
    <w:rsid w:val="770507C4"/>
    <w:rsid w:val="77241AC6"/>
    <w:rsid w:val="772671E6"/>
    <w:rsid w:val="77C85BE7"/>
    <w:rsid w:val="782F7144"/>
    <w:rsid w:val="785959B1"/>
    <w:rsid w:val="786C535D"/>
    <w:rsid w:val="788A0CF4"/>
    <w:rsid w:val="78C85AF2"/>
    <w:rsid w:val="78C86137"/>
    <w:rsid w:val="78DD0E2E"/>
    <w:rsid w:val="7923012E"/>
    <w:rsid w:val="795D1C5D"/>
    <w:rsid w:val="79767479"/>
    <w:rsid w:val="79DF55CC"/>
    <w:rsid w:val="7A4E3EF0"/>
    <w:rsid w:val="7AAF05A8"/>
    <w:rsid w:val="7AEC05BC"/>
    <w:rsid w:val="7B1C090F"/>
    <w:rsid w:val="7B2D4678"/>
    <w:rsid w:val="7B354863"/>
    <w:rsid w:val="7B7150AC"/>
    <w:rsid w:val="7BAD4D49"/>
    <w:rsid w:val="7BB51368"/>
    <w:rsid w:val="7BB90E88"/>
    <w:rsid w:val="7BFF3A95"/>
    <w:rsid w:val="7C004CAA"/>
    <w:rsid w:val="7C413482"/>
    <w:rsid w:val="7C6602C3"/>
    <w:rsid w:val="7C6F2FE1"/>
    <w:rsid w:val="7C710097"/>
    <w:rsid w:val="7C716685"/>
    <w:rsid w:val="7C7F2B69"/>
    <w:rsid w:val="7D0A19E9"/>
    <w:rsid w:val="7D34030E"/>
    <w:rsid w:val="7D3F758A"/>
    <w:rsid w:val="7DA61581"/>
    <w:rsid w:val="7DAA0DE4"/>
    <w:rsid w:val="7DBE02EF"/>
    <w:rsid w:val="7DC12ACC"/>
    <w:rsid w:val="7DCF6C07"/>
    <w:rsid w:val="7DDB2618"/>
    <w:rsid w:val="7E514244"/>
    <w:rsid w:val="7E83747C"/>
    <w:rsid w:val="7EC413C1"/>
    <w:rsid w:val="7F1E7D70"/>
    <w:rsid w:val="7F3B2DDE"/>
    <w:rsid w:val="7F480722"/>
    <w:rsid w:val="7FAC3308"/>
    <w:rsid w:val="7FAE1705"/>
    <w:rsid w:val="7FDE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tabs>
        <w:tab w:val="left" w:pos="3738"/>
      </w:tabs>
      <w:jc w:val="center"/>
      <w:outlineLvl w:val="1"/>
    </w:pPr>
    <w:rPr>
      <w:rFonts w:ascii="宋体" w:hAnsi="宋体" w:eastAsia="宋体"/>
      <w:b/>
    </w:rPr>
  </w:style>
  <w:style w:type="paragraph" w:styleId="5">
    <w:name w:val="heading 3"/>
    <w:basedOn w:val="1"/>
    <w:next w:val="1"/>
    <w:unhideWhenUsed/>
    <w:qFormat/>
    <w:uiPriority w:val="0"/>
    <w:pPr>
      <w:keepNext/>
      <w:keepLines/>
      <w:spacing w:line="413" w:lineRule="auto"/>
      <w:outlineLvl w:val="2"/>
    </w:pPr>
    <w:rPr>
      <w:rFonts w:eastAsia="宋体"/>
      <w:b/>
      <w:bCs/>
      <w:sz w:val="32"/>
      <w:szCs w:val="32"/>
    </w:rPr>
  </w:style>
  <w:style w:type="paragraph" w:styleId="6">
    <w:name w:val="heading 4"/>
    <w:basedOn w:val="1"/>
    <w:next w:val="1"/>
    <w:unhideWhenUsed/>
    <w:qFormat/>
    <w:uiPriority w:val="0"/>
    <w:pPr>
      <w:keepNext/>
      <w:keepLines/>
      <w:spacing w:line="372" w:lineRule="auto"/>
      <w:outlineLvl w:val="3"/>
    </w:pPr>
    <w:rPr>
      <w:rFonts w:ascii="Cambria" w:hAnsi="Cambria" w:eastAsia="宋体" w:cs="Times New Roman"/>
      <w:b/>
      <w:bCs/>
      <w:sz w:val="28"/>
      <w:szCs w:val="28"/>
    </w:rPr>
  </w:style>
  <w:style w:type="paragraph" w:styleId="7">
    <w:name w:val="heading 5"/>
    <w:basedOn w:val="1"/>
    <w:next w:val="1"/>
    <w:unhideWhenUsed/>
    <w:qFormat/>
    <w:uiPriority w:val="0"/>
    <w:pPr>
      <w:keepNext/>
      <w:keepLines/>
      <w:spacing w:line="372" w:lineRule="auto"/>
      <w:outlineLvl w:val="4"/>
    </w:pPr>
    <w:rPr>
      <w:rFonts w:ascii="Calibri" w:hAnsi="Calibri"/>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8">
    <w:name w:val="annotation text"/>
    <w:basedOn w:val="1"/>
    <w:qFormat/>
    <w:uiPriority w:val="99"/>
    <w:pPr>
      <w:jc w:val="left"/>
    </w:pPr>
  </w:style>
  <w:style w:type="paragraph" w:styleId="9">
    <w:name w:val="Body Text"/>
    <w:basedOn w:val="1"/>
    <w:qFormat/>
    <w:uiPriority w:val="0"/>
    <w:pPr>
      <w:widowControl/>
      <w:spacing w:after="160"/>
      <w:jc w:val="left"/>
    </w:pPr>
    <w:rPr>
      <w:rFonts w:ascii="仿宋体" w:eastAsia="仿宋体"/>
      <w:sz w:val="20"/>
      <w:lang w:eastAsia="en-US"/>
    </w:rPr>
  </w:style>
  <w:style w:type="paragraph" w:styleId="10">
    <w:name w:val="Body Text Indent"/>
    <w:basedOn w:val="1"/>
    <w:qFormat/>
    <w:uiPriority w:val="0"/>
    <w:pPr>
      <w:spacing w:line="500" w:lineRule="exact"/>
      <w:ind w:firstLine="480"/>
    </w:pPr>
    <w:rPr>
      <w:rFonts w:ascii="Times New Roman" w:hAnsi="Times New Roman"/>
      <w:sz w:val="24"/>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Normal (Web)"/>
    <w:basedOn w:val="1"/>
    <w:next w:val="1"/>
    <w:qFormat/>
    <w:uiPriority w:val="0"/>
    <w:pPr>
      <w:widowControl/>
      <w:spacing w:beforeAutospacing="1" w:afterAutospacing="1"/>
      <w:jc w:val="left"/>
    </w:pPr>
    <w:rPr>
      <w:rFonts w:ascii="宋体" w:hAnsi="宋体" w:cs="宋体"/>
      <w:kern w:val="0"/>
      <w:sz w:val="24"/>
    </w:rPr>
  </w:style>
  <w:style w:type="paragraph" w:styleId="15">
    <w:name w:val="Body Text First Indent"/>
    <w:basedOn w:val="9"/>
    <w:next w:val="16"/>
    <w:qFormat/>
    <w:uiPriority w:val="0"/>
    <w:pPr>
      <w:ind w:firstLine="420" w:firstLineChars="100"/>
    </w:pPr>
  </w:style>
  <w:style w:type="paragraph" w:styleId="16">
    <w:name w:val="Body Text First Indent 2"/>
    <w:basedOn w:val="10"/>
    <w:qFormat/>
    <w:uiPriority w:val="0"/>
    <w:pPr>
      <w:ind w:firstLine="420" w:firstLineChars="200"/>
    </w:pPr>
  </w:style>
  <w:style w:type="character" w:styleId="19">
    <w:name w:val="Strong"/>
    <w:basedOn w:val="18"/>
    <w:qFormat/>
    <w:uiPriority w:val="0"/>
    <w:rPr>
      <w:b/>
    </w:rPr>
  </w:style>
  <w:style w:type="character" w:styleId="20">
    <w:name w:val="page number"/>
    <w:basedOn w:val="18"/>
    <w:qFormat/>
    <w:uiPriority w:val="0"/>
    <w:rPr>
      <w:rFonts w:ascii="Arial" w:hAnsi="Arial" w:eastAsia="黑体"/>
      <w:kern w:val="2"/>
      <w:sz w:val="21"/>
      <w:szCs w:val="21"/>
      <w:lang w:val="en-US" w:eastAsia="zh-CN" w:bidi="ar-SA"/>
    </w:rPr>
  </w:style>
  <w:style w:type="character" w:styleId="21">
    <w:name w:val="FollowedHyperlink"/>
    <w:basedOn w:val="18"/>
    <w:qFormat/>
    <w:uiPriority w:val="0"/>
    <w:rPr>
      <w:color w:val="000000"/>
      <w:u w:val="none"/>
    </w:rPr>
  </w:style>
  <w:style w:type="character" w:styleId="22">
    <w:name w:val="Emphasis"/>
    <w:basedOn w:val="18"/>
    <w:qFormat/>
    <w:uiPriority w:val="0"/>
  </w:style>
  <w:style w:type="character" w:styleId="23">
    <w:name w:val="Hyperlink"/>
    <w:basedOn w:val="18"/>
    <w:qFormat/>
    <w:uiPriority w:val="0"/>
    <w:rPr>
      <w:color w:val="333333"/>
      <w:u w:val="none"/>
    </w:rPr>
  </w:style>
  <w:style w:type="paragraph" w:customStyle="1" w:styleId="24">
    <w:name w:val="无间隔1"/>
    <w:basedOn w:val="1"/>
    <w:qFormat/>
    <w:uiPriority w:val="1"/>
    <w:pPr>
      <w:spacing w:line="400" w:lineRule="exact"/>
    </w:pPr>
    <w:rPr>
      <w:rFonts w:eastAsia="宋体"/>
      <w:sz w:val="24"/>
    </w:rPr>
  </w:style>
  <w:style w:type="paragraph" w:customStyle="1" w:styleId="25">
    <w:name w:val="Default"/>
    <w:next w:val="1"/>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26">
    <w:name w:val="p15"/>
    <w:basedOn w:val="1"/>
    <w:next w:val="1"/>
    <w:qFormat/>
    <w:uiPriority w:val="0"/>
    <w:pPr>
      <w:widowControl/>
      <w:spacing w:beforeAutospacing="1" w:afterAutospacing="1"/>
      <w:jc w:val="left"/>
    </w:pPr>
    <w:rPr>
      <w:rFonts w:ascii="宋体" w:hAnsi="宋体" w:cs="宋体"/>
      <w:kern w:val="0"/>
      <w:sz w:val="24"/>
    </w:rPr>
  </w:style>
  <w:style w:type="paragraph" w:customStyle="1" w:styleId="27">
    <w:name w:val="Blockquote"/>
    <w:basedOn w:val="1"/>
    <w:qFormat/>
    <w:uiPriority w:val="0"/>
    <w:pPr>
      <w:autoSpaceDE w:val="0"/>
      <w:autoSpaceDN w:val="0"/>
      <w:adjustRightInd w:val="0"/>
      <w:ind w:left="360" w:right="360"/>
      <w:jc w:val="left"/>
    </w:pPr>
    <w:rPr>
      <w:kern w:val="0"/>
      <w:sz w:val="24"/>
      <w:szCs w:val="20"/>
    </w:rPr>
  </w:style>
  <w:style w:type="paragraph" w:customStyle="1" w:styleId="28">
    <w:name w:val="正文 New"/>
    <w:next w:val="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9">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character" w:customStyle="1" w:styleId="30">
    <w:name w:val="icon_ds"/>
    <w:basedOn w:val="18"/>
    <w:qFormat/>
    <w:uiPriority w:val="0"/>
  </w:style>
  <w:style w:type="character" w:customStyle="1" w:styleId="31">
    <w:name w:val="fr"/>
    <w:basedOn w:val="18"/>
    <w:qFormat/>
    <w:uiPriority w:val="0"/>
  </w:style>
  <w:style w:type="character" w:customStyle="1" w:styleId="32">
    <w:name w:val="first-child"/>
    <w:basedOn w:val="18"/>
    <w:qFormat/>
    <w:uiPriority w:val="0"/>
    <w:rPr>
      <w:color w:val="1F3149"/>
      <w:sz w:val="24"/>
      <w:szCs w:val="24"/>
    </w:rPr>
  </w:style>
  <w:style w:type="character" w:customStyle="1" w:styleId="33">
    <w:name w:val="first-child1"/>
    <w:basedOn w:val="18"/>
    <w:qFormat/>
    <w:uiPriority w:val="0"/>
    <w:rPr>
      <w:color w:val="1F3149"/>
      <w:sz w:val="24"/>
      <w:szCs w:val="24"/>
    </w:rPr>
  </w:style>
  <w:style w:type="character" w:customStyle="1" w:styleId="34">
    <w:name w:val="xiadan"/>
    <w:basedOn w:val="18"/>
    <w:qFormat/>
    <w:uiPriority w:val="0"/>
    <w:rPr>
      <w:shd w:val="clear" w:color="auto" w:fill="E4393C"/>
    </w:rPr>
  </w:style>
  <w:style w:type="character" w:customStyle="1" w:styleId="35">
    <w:name w:val="icon_gys"/>
    <w:basedOn w:val="18"/>
    <w:qFormat/>
    <w:uiPriority w:val="0"/>
    <w:rPr>
      <w:sz w:val="21"/>
      <w:szCs w:val="21"/>
    </w:rPr>
  </w:style>
  <w:style w:type="character" w:customStyle="1" w:styleId="36">
    <w:name w:val="blue"/>
    <w:basedOn w:val="18"/>
    <w:qFormat/>
    <w:uiPriority w:val="0"/>
    <w:rPr>
      <w:color w:val="004B92"/>
      <w:sz w:val="21"/>
      <w:szCs w:val="21"/>
    </w:rPr>
  </w:style>
  <w:style w:type="character" w:customStyle="1" w:styleId="37">
    <w:name w:val="hover16"/>
    <w:basedOn w:val="18"/>
    <w:qFormat/>
    <w:uiPriority w:val="0"/>
  </w:style>
  <w:style w:type="character" w:customStyle="1" w:styleId="38">
    <w:name w:val="red"/>
    <w:basedOn w:val="18"/>
    <w:qFormat/>
    <w:uiPriority w:val="0"/>
    <w:rPr>
      <w:color w:val="FF0000"/>
      <w:sz w:val="24"/>
      <w:szCs w:val="24"/>
    </w:rPr>
  </w:style>
  <w:style w:type="character" w:customStyle="1" w:styleId="39">
    <w:name w:val="red1"/>
    <w:basedOn w:val="18"/>
    <w:qFormat/>
    <w:uiPriority w:val="0"/>
    <w:rPr>
      <w:color w:val="FF0000"/>
      <w:sz w:val="19"/>
      <w:szCs w:val="19"/>
    </w:rPr>
  </w:style>
  <w:style w:type="character" w:customStyle="1" w:styleId="40">
    <w:name w:val="right"/>
    <w:basedOn w:val="18"/>
    <w:qFormat/>
    <w:uiPriority w:val="0"/>
    <w:rPr>
      <w:color w:val="999999"/>
    </w:rPr>
  </w:style>
  <w:style w:type="character" w:customStyle="1" w:styleId="41">
    <w:name w:val="right1"/>
    <w:basedOn w:val="18"/>
    <w:qFormat/>
    <w:uiPriority w:val="0"/>
    <w:rPr>
      <w:color w:val="999999"/>
      <w:sz w:val="19"/>
      <w:szCs w:val="19"/>
    </w:rPr>
  </w:style>
  <w:style w:type="character" w:customStyle="1" w:styleId="42">
    <w:name w:val="green"/>
    <w:basedOn w:val="18"/>
    <w:qFormat/>
    <w:uiPriority w:val="0"/>
    <w:rPr>
      <w:color w:val="58B200"/>
      <w:sz w:val="19"/>
      <w:szCs w:val="19"/>
    </w:rPr>
  </w:style>
  <w:style w:type="character" w:customStyle="1" w:styleId="43">
    <w:name w:val="gb-jt"/>
    <w:basedOn w:val="18"/>
    <w:qFormat/>
    <w:uiPriority w:val="0"/>
  </w:style>
  <w:style w:type="paragraph" w:customStyle="1" w:styleId="44">
    <w:name w:val="首行缩进"/>
    <w:basedOn w:val="1"/>
    <w:qFormat/>
    <w:uiPriority w:val="0"/>
    <w:pPr>
      <w:ind w:firstLine="480"/>
    </w:pPr>
    <w:rPr>
      <w:rFonts w:ascii="Times New Roman" w:hAnsi="Times New Roman" w:eastAsia="宋体" w:cs="Times New Roman"/>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36978</Words>
  <Characters>39402</Characters>
  <Lines>282</Lines>
  <Paragraphs>79</Paragraphs>
  <TotalTime>3</TotalTime>
  <ScaleCrop>false</ScaleCrop>
  <LinksUpToDate>false</LinksUpToDate>
  <CharactersWithSpaces>44489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2018-09-07T03:11:00Z</dcterms:created>
  <dc:creator>asus</dc:creator>
  <cp:lastModifiedBy>Double</cp:lastModifiedBy>
  <cp:lastPrinted>2023-07-31T07:08:00Z</cp:lastPrinted>
  <dcterms:modified xsi:type="dcterms:W3CDTF">2023-12-21T08:14:57Z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CF54E72491984A37A3B6392E4C51521D_13</vt:lpwstr>
  </property>
</Properties>
</file>