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93" w:type="dxa"/>
        <w:tblLayout w:type="autofit"/>
        <w:tblCellMar>
          <w:top w:w="0" w:type="dxa"/>
          <w:left w:w="108" w:type="dxa"/>
          <w:bottom w:w="0" w:type="dxa"/>
          <w:right w:w="108" w:type="dxa"/>
        </w:tblCellMar>
      </w:tblPr>
      <w:tblGrid>
        <w:gridCol w:w="484"/>
        <w:gridCol w:w="1226"/>
        <w:gridCol w:w="10990"/>
        <w:gridCol w:w="460"/>
        <w:gridCol w:w="460"/>
        <w:gridCol w:w="461"/>
      </w:tblGrid>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b/>
                <w:bCs/>
                <w:sz w:val="20"/>
                <w:szCs w:val="20"/>
              </w:rPr>
            </w:pPr>
            <w:r>
              <w:rPr>
                <w:rFonts w:hint="eastAsia" w:ascii="宋体" w:hAnsi="宋体" w:eastAsia="宋体" w:cs="宋体"/>
                <w:b/>
                <w:bCs/>
                <w:color w:val="000000"/>
                <w:kern w:val="0"/>
                <w:sz w:val="22"/>
                <w:szCs w:val="22"/>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20"/>
                <w:szCs w:val="20"/>
              </w:rPr>
            </w:pPr>
            <w:r>
              <w:rPr>
                <w:rFonts w:hint="eastAsia" w:ascii="宋体" w:hAnsi="宋体" w:eastAsia="宋体" w:cs="宋体"/>
                <w:b/>
                <w:bCs/>
                <w:sz w:val="20"/>
                <w:szCs w:val="20"/>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20"/>
                <w:szCs w:val="20"/>
              </w:rPr>
            </w:pPr>
            <w:r>
              <w:rPr>
                <w:rFonts w:hint="eastAsia" w:ascii="宋体" w:hAnsi="宋体" w:eastAsia="宋体" w:cs="宋体"/>
                <w:b/>
                <w:bCs/>
                <w:sz w:val="20"/>
                <w:szCs w:val="20"/>
              </w:rPr>
              <w:t>技术参数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20"/>
                <w:szCs w:val="20"/>
              </w:rPr>
            </w:pPr>
            <w:r>
              <w:rPr>
                <w:rFonts w:hint="eastAsia" w:ascii="宋体" w:hAnsi="宋体" w:eastAsia="宋体" w:cs="宋体"/>
                <w:b/>
                <w:bCs/>
                <w:sz w:val="20"/>
                <w:szCs w:val="20"/>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20"/>
                <w:szCs w:val="20"/>
              </w:rPr>
            </w:pPr>
            <w:r>
              <w:rPr>
                <w:rFonts w:hint="eastAsia" w:ascii="宋体" w:hAnsi="宋体" w:eastAsia="宋体" w:cs="宋体"/>
                <w:b/>
                <w:bCs/>
                <w:sz w:val="20"/>
                <w:szCs w:val="20"/>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eastAsia="宋体" w:cs="宋体"/>
                <w:b/>
                <w:bCs/>
                <w:sz w:val="20"/>
                <w:szCs w:val="20"/>
              </w:rPr>
            </w:pPr>
            <w:r>
              <w:rPr>
                <w:rFonts w:hint="eastAsia" w:ascii="宋体" w:hAnsi="宋体" w:eastAsia="宋体" w:cs="宋体"/>
                <w:b/>
                <w:bCs/>
                <w:sz w:val="20"/>
                <w:szCs w:val="20"/>
              </w:rPr>
              <w:t>备注</w:t>
            </w:r>
          </w:p>
        </w:tc>
      </w:tr>
      <w:tr>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实时荧光定量PCR仪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1．工作环境</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1.1 工作温度   15-31℃</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1.2 工作湿度   相对湿度20%~80%(无凝结水)</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1.3 工作电源   100–240 VAC±10%, 50/60HZ，850W Max</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2．功能：可用于靶标核酸相对定量、绝对定量、基因表达分析、基因突变检测、CNV分析，基因重排检测，GMO检测，微生物检测等多种研究领域。</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3．性能与技术要求</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3.1 六个检测通道，可实现5重PCR，可同时检测5个靶基因和专用FRET检测通道</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 有动态温度梯度功能：可同时运行8个不同的温度；梯度温控范围：30 -100℃；梯度温差范围：1 - 24℃；梯度温度孵育时间相同</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 适用于多种荧光方法，如Taqman水解探针，分子信标，SYBR Green，Evagreen染料等</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 试剂耗材完全开放，可使用0.2ml单管、8联管、96孔板等类型，同时兼容普通高管和低位管；无需ROX等参比荧光，兼容各厂家试剂</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3.5 显示：</w:t>
            </w:r>
            <w:r>
              <w:rPr>
                <w:rFonts w:hint="eastAsia" w:ascii="微软雅黑" w:hAnsi="微软雅黑" w:cs="微软雅黑"/>
                <w:sz w:val="20"/>
                <w:szCs w:val="20"/>
                <w:lang w:val="en-US" w:eastAsia="zh-CN"/>
              </w:rPr>
              <w:t>≥</w:t>
            </w:r>
            <w:r>
              <w:rPr>
                <w:rFonts w:ascii="微软雅黑" w:hAnsi="微软雅黑" w:cs="微软雅黑"/>
                <w:sz w:val="20"/>
                <w:szCs w:val="20"/>
              </w:rPr>
              <w:t>8.5英寸彩色触摸屏且角度可调（12-55°）</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3.6 样品容量：96x0.2ml，可使用标准规格96孔板（12x8）</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3.7 反应体系：1-50µl</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3.8 光源：六个带有滤光片的LED</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3.9 检测器：六个带有滤光片的光敏二极管</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3.10 最大升降温速度：</w:t>
            </w:r>
            <w:r>
              <w:rPr>
                <w:rFonts w:hint="eastAsia" w:ascii="微软雅黑" w:hAnsi="微软雅黑" w:cs="微软雅黑"/>
                <w:sz w:val="20"/>
                <w:szCs w:val="20"/>
                <w:lang w:val="en-US" w:eastAsia="zh-CN"/>
              </w:rPr>
              <w:t>≥</w:t>
            </w:r>
            <w:r>
              <w:rPr>
                <w:rFonts w:ascii="微软雅黑" w:hAnsi="微软雅黑" w:cs="微软雅黑"/>
                <w:sz w:val="20"/>
                <w:szCs w:val="20"/>
              </w:rPr>
              <w:t>5℃/秒</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3.11 温控范围：4 -100℃</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3.12 温度准确性：±0.2℃</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3.13 温度均一性：±0.3℃（达到设定温度后10s内）</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3.14 激发/发射波长范围：450-730nm</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3.15 灵敏度：能检测人类基因组中单拷贝基因</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3.16 动态范围：</w:t>
            </w:r>
            <w:r>
              <w:rPr>
                <w:rFonts w:hint="eastAsia" w:ascii="微软雅黑" w:hAnsi="微软雅黑" w:cs="微软雅黑"/>
                <w:sz w:val="20"/>
                <w:szCs w:val="20"/>
                <w:lang w:val="en-US" w:eastAsia="zh-CN"/>
              </w:rPr>
              <w:t>≥</w:t>
            </w:r>
            <w:r>
              <w:rPr>
                <w:rFonts w:ascii="微软雅黑" w:hAnsi="微软雅黑" w:cs="微软雅黑"/>
                <w:sz w:val="20"/>
                <w:szCs w:val="20"/>
              </w:rPr>
              <w:t>10个数量级</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3.17 根据大型条状LED仪器状态指示灯显示仪器运行状态</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3.18 可独立运行，真正离线操作，无需连接电脑即可实时监控PCR荧光扩增曲线</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3.19 通过云平台而无需将电脑与仪器进行连接即可提供远程设置、仪器运行监视和数据管理功能</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3.20 单机仪器无需外接存储设备即可存储1000次运行结果</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3.21 支持无线（WiFi）连接</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3.22 出厂已校正，无需开机校正，使用中或搬动后无需光程校正</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3.23 数据分析模式：标准曲线定量、熔解曲线、CT 或ΔΔCT 基因表达分析、多内参基因分析和扩增效率计算、t检验及方差分析功能、多个数据文件的基因表达分析、等位基因分析、终点分析、具有等位基因、熔解曲线分析功能；提供柱状图、箱线图、点状图、聚类图、散点图或火山图等多种图表来分析和呈现数据。</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3.24 数据导出：Excel, Word, 或 PowerPoint。用户报告包含运行设置，图形和表格数据结果，可直接打印或保存为PDF</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3.25 图片导出：以任意像素 600dpi分辨率导出图像，图片可保存为.bmp、.jpg 或 .png 等格式</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3.26 染色体结构研究：采用real-time PCR方法，通过比较核酸酶对基因组DNA降解作用效果，定量分析染色质结构的方法。真正证明了染色质结构与基因表达之间的高度相关性</w:t>
            </w:r>
          </w:p>
          <w:p>
            <w:pPr>
              <w:widowControl/>
              <w:spacing w:line="360" w:lineRule="exact"/>
              <w:textAlignment w:val="center"/>
              <w:rPr>
                <w:rFonts w:eastAsia="宋体"/>
              </w:rPr>
            </w:pPr>
            <w:r>
              <w:rPr>
                <w:rFonts w:ascii="微软雅黑" w:hAnsi="微软雅黑" w:cs="微软雅黑"/>
                <w:sz w:val="20"/>
                <w:szCs w:val="20"/>
              </w:rPr>
              <w:t>4. 设备质保售后服务要求：仪器安装调试完毕后厂家应用工程师人员现场培训，直到达到独立操作使用水平；仪器在安装、调试通过后质保期5年，质保期内，免费维修。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微软雅黑" w:hAnsi="微软雅黑" w:cs="微软雅黑"/>
                <w:sz w:val="20"/>
                <w:szCs w:val="20"/>
              </w:rPr>
            </w:pPr>
          </w:p>
        </w:tc>
      </w:tr>
      <w:tr>
        <w:tblPrEx>
          <w:tblCellMar>
            <w:top w:w="0" w:type="dxa"/>
            <w:left w:w="108" w:type="dxa"/>
            <w:bottom w:w="0" w:type="dxa"/>
            <w:right w:w="108" w:type="dxa"/>
          </w:tblCellMar>
        </w:tblPrEx>
        <w:trPr>
          <w:trHeight w:val="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多功能酶标仪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1、用途：主要用于蛋白组学、基因组学、药物筛选、环境检测、各种检验检疫领域，可以进行核酸蛋白定量检测、酶动力学检测、受体结合研究、分子相互作用检测等。</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2、技术参数</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 常规参数</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▲2.1.1 检测系统：至少包括四光栅和滤光片两个完全独立的检测系统</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▲2.1.2 检测手段：至少包括紫外-可见吸收光检测、荧光检测、化学发光检测、生物发光检测、时间分辨荧光检测、荧光偏振检测</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2.1.3 读板方法：至少包括终点法、动力学法、光谱扫描、孔域扫描四种方法</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2.1.4 适用的孔板类型：至少适用于6~384孔板和微量检测板</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▲2.1.5 温度控制范围：室温至≥45℃，且温控准确性≤ 0.5 °C@37°C，</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2.1.6 防凝集功能：可设置温度梯度起防凝集功能，提供软件截图证明。</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2.1.7 震荡功能：具有，且至少包括线性、轨道、双轨道震荡方式，震荡速度可调</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2.1.8震荡最长持续时间：≥168小时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▲2.1.9 不连续跳跃检测：可以，且可对任意孔随时检测</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2.1.10加盖检测：可以</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2.1.11 选配自动化：可以</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2.1.12 检测速度：96 孔：≤11 秒；384 孔：≤22 秒</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2.2紫外-可见吸收光检测性能</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2.2.1光源：高能量氙闪灯</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2.2.2波长选择：双光栅单色器，且一次可检测的波长≥6种</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2.2.3波长范围：至少为230-999 nm, 步进精度≤1nm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2.2.4测量范围：至少为0-4.0 OD</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▲2.2.5 OD分辨率： ≤ 0.0001 OD</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▲2.2.6光路径校正功能：具有，且无须标准曲线即可准确定量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2.2.7 检测器：光电二极管</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2.3荧光检测性能</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▲2.3.1高能氙灯数：≥2个，且光源强度可调，提供软件截图证明。</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2.3.2 四光栅光路顶/底部检测：具备，且一次可检测的波长≥6种</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2.3.3 深度阻挡滤光片/二向色镜顶部检测：具备，且可进行逐孔双波长切换检测</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2.3.4检测波长范围：至少为200-850 nm，四光栅步进精度≤1nm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2.3.5四光栅顶部检测灵敏度：≤2.5 pM 荧光素 ( 0.25 fmol/孔 384孔板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▲2.3.6滤光片顶部检测灵敏度: ≤0.25 pM 荧光素 ( 0.025 fmol/孔 384孔板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▲2.3.7四光栅底部检测灵敏度：≤4 pM 荧光素 ( 0.4 fmol/孔 384孔板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2.3.8荧光光谱扫描：可以，步进精度≤1nm，且能够绘制扫描曲线</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2.3.9荧光偏振检测灵敏度：≤1.2 mP @ 1 nM 荧光素</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2.3.10 时间分辨荧光检测灵敏度：≤Eu 40 fM  ( 4 amol/孔384孔板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2.3.11 PMT检测器数：≥2个</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2.4发光检测</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2.4.1检测波长范围：至少为300-700 nm，步进精度≤1nm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2.4.2动态范围：&gt; 6 个数量级，且具有动态扩展功能</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2.4.3积分时间：至少为0ms-100s，且可根据反应时间长短来调整数据采集时间</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▲2.4.4检测灵敏度：≤10 amol /孔（ATP闪光），≤100 amol /孔（辉光）</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2.4.5检测模式：至少包括闪光、辉光、发光扫描、BRET模式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2.5软件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▲2.5.1 中文或英文操作软件：至少配备一种</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2.5.2一键式数据EXCEL导出功能：具有</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2.5.3多种报告编辑导出模式可选：可选择导出内容、格式及导出位置，并可提前编辑报告模板进行数据套入</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 xml:space="preserve">2.5.4内置模板文件：具有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2.5.5自动绘制标准曲线：可以，且有多种曲线拟合方式可选</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2.5.6数据运算及编辑：可对原始数据进行多重运算，自动背景扣除，可根据需要设定参照值，并根据标准曲线自动运算样品浓度，可运算动力学反应速率，给出最大、最小及平均反应速率，并可进行EC50、3D扫描和Z-Prime等统计学分析。</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2.5.7逐孔操作模式：具有，且可针对单一检测孔进行程序编辑</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2.5.8多板检测模式：具有，且可独立编辑每孔布局，可共同调用标准曲线</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2.5.9数据截止及验证：可自定义数据截止值，并验证程序编辑数据编辑的有效性，软件自动给出截止值符号表格及验证结果</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2.5.10认证：21CFR Part II 认证；CE和TUV认证</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配置：</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主机（四光栅系统，包含吸收光、发光、荧光、时间分辨荧光检测功能） 1台</w:t>
            </w:r>
          </w:p>
          <w:p>
            <w:pPr>
              <w:widowControl/>
              <w:spacing w:line="360" w:lineRule="exact"/>
              <w:textAlignment w:val="center"/>
              <w:rPr>
                <w:rFonts w:ascii="微软雅黑" w:hAnsi="微软雅黑" w:cs="微软雅黑"/>
                <w:sz w:val="20"/>
                <w:szCs w:val="20"/>
                <w:highlight w:val="none"/>
              </w:rPr>
            </w:pPr>
            <w:r>
              <w:rPr>
                <w:rFonts w:hint="eastAsia" w:ascii="微软雅黑" w:hAnsi="微软雅黑" w:cs="微软雅黑"/>
                <w:sz w:val="20"/>
                <w:szCs w:val="20"/>
                <w:highlight w:val="none"/>
              </w:rPr>
              <w:t xml:space="preserve">数据采集软件       1套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highlight w:val="none"/>
              </w:rPr>
              <w:t>电脑               1台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倒置荧光显微镜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一、显微镜主机</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1.研究型倒置荧光显微镜，无限远校正光学系统，国际齐焦距离≤45mm。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2.一体化荧光主机，整机光路视场数≥25mm。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3.具有相差、明场和荧光等观察方式，可以扩展DIC、霍夫曼。</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4.目镜：具有两个10×宽视野目镜，屈光度可补偿调节，视野数≥25mm。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5.双目观察筒：倾角45度，瞳距调节55-75mm，视场数≥25mm。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6.物镜转盘：不少于六孔。</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7.可以直接升级霍夫曼观察方式，无需配置霍夫曼专用物镜，一套物镜可以实现相差、霍夫曼、荧光多种观察方式。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8.高性能物镜：</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 xml:space="preserve">8.1  5x 平场消色差相差物镜,数值孔径≥0.12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8.2  10x平场消色差相差物镜，数值孔径≥0.25</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8.3  20x长工作距离平场半复消色差相差物镜，数值孔径≥0.4，可矫正0~2mm器皿厚度；</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8.4  40x长工作距离平场半复消色差相差物镜，数值孔径≥0.6，可矫正0~2mm器皿厚度；</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9.透射照明：长寿命冷光源LED照明，功率≥10W, 寿命 ≥ 40000小时。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10. Z轴粗、微同轴调焦机构，调焦行程≥12mm，具有载物台限位功能。</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11.左侧光出口100/0分光，成像视野数≥19mm。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12. 载物台： XY行程83mm x 127mm，配有万能通用样本夹。</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13.长工作距离聚光镜， 5孔转盘式，数值孔径≥0.5，工作距离≥40mm。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14.荧光光源：金属卤素灯连续波谱白光光源，单个灯泡寿命≥2000小时，光纤传导。</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15.荧光光源支持光强五级调节，分别为100%、55%、30%、17%、10%。</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16.转盘式12种视场光阑循环转换，有效避免不观察的荧光标本区域被漂白，6个顺序大小的矩形光阑，更适合相机成像；6个顺序大小的圆形光阑，更适合眼睛观察。</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17. 光陷阱消杂光荧光激发块，具有零像素漂移技术，有效避免不同波长的激发光产生的细胞结构位移。</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18. 三色荧光滤块：</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UV单色滤块（DAPI）EX350/50 DC400 EM460/50；</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蓝色滤块（FITC）EX480/40 DC505 EM527/30；</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绿色滤块（RHOD）EX546/10 DC560 EM585/40。</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19.荧光滤色块转盘，不少于6孔安装位，磁力固定，支持左右双向更换。</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二、显微镜同品牌彩色成像装置</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 有效像素：≥620万。</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 CMOS芯片大小（对角线）：≥8.92毫米。</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 像元大小：≥2.4 μm x 2.4 μm。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4 全画幅帧速率：≥32 fps。</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5 满井容量：≥14000 e-。</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6 动态范围：不低于72dB。</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7机械接口：应是C型接口。</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三、软件：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1采集图像：支持多种型号专业摄像头，支持TWAIN接口，界面直观，操作容易，使用户更加容易的集中精力关注生物试验过程。</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2对图像中的直线显示线上灰度强度变化，从而反映图像中的变化特性。</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3在图像上添加注释、箭头等功能，可以方便的表示图像中的重点关注部位。</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4调节亮度、对比度、伽玛值以及灰度显示范围，并可以单独调节RGB各通道的亮度，方便地对图像添加伪彩色、改变色彩模式以及色阶位数等功能，可以改变图像分辨率、旋转图像等各种操作，支持反转、低通、高通、锐化等滤镜，使图像关注点和各荧光通道获得最佳的显示效果。</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5对单荧光通道图片做色彩合成，方便显示多染标本的图像。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6合成透射光和荧光通道图像，显示荧光在细胞上的定位图像。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7输入硬件信息即可实现添加标尺功能，从而显示图像的放大比例关系。</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8可以做离线白平衡、视场平整度以及背景校正等处理，便于后期图像处理。</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9可以对多幅视野相邻的图像做大图拼接，轻松获取高分辨率大视野图像。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10可以测量直线长度、曲线长度、矩形面积、圆面积、周长、角度等多个参数，并把测量结果输出到EXCEL，并于后期分析处理。</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 需配备品牌台式电脑： 酷睿i5处理器，16G内存，200G固态+1T机械硬盘，27英寸高清显示器，64位WIN系统。</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四、仪器培训、质保期和维修服务</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1.完全负责人员培训工作，达到独立操作使用水平；仪器在安装、调试通过后质保期1年，质保期内，免费维修（不收配件和服务费）。</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 厂家具有400售后服务电话，并可提供电话号码。</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 厂家售后服务通过ISO认证，并可提供证书编号和复印件。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4.显微镜，成像装置，软件均同一品牌，同一厂家，一体化设计，无缝连接，统一售后。</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2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高速冷冻离心机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1.主要参数：</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1.1最高转速15000rpm，最大离心力：20627×g</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1.2最大容量：36×1.5/2.0mL</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1.3可选合金、PC等多种材质转子、可高温灭菌</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1.4可选配经第三方认证的生物安全转头，能有效的避免气溶胶的外溢</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1.5多种转头、适配器可供选择，分离样本范围为0.2ml-80ml</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1.6温控范围 ：-10－40°C</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1.7时间控制：10s-99min59s ，连续离心、瞬时离心</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1.8加/减速率：2/2加减档      最大加速时间：11秒，最小减速时间：13秒</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1.9程序：10个程序存储功能，方便保存及调用常用的程序</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1.10电机类型：免维护无碳刷变频电机</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1.11质量保证：一年的保修期，制造厂家终身服务</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1.12转子经第三方测试机构 CAMR, Porton Down, UK 或 USARMIID, Ft. Detrick, MD, U.S.A. 认证达到防生物污染要求</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1.13备有PCR排管转头可供选择，且PCR排管转头的最高转速可达到15,000 rpm</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1.14.要求提供原厂售后维修服务，需提供证明文件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1.15噪音：</w:t>
            </w:r>
            <w:r>
              <w:rPr>
                <w:rFonts w:hint="eastAsia" w:ascii="微软雅黑" w:hAnsi="微软雅黑" w:cs="微软雅黑"/>
                <w:sz w:val="20"/>
                <w:szCs w:val="20"/>
                <w:lang w:val="en-US" w:eastAsia="zh-CN"/>
              </w:rPr>
              <w:t>≤</w:t>
            </w:r>
            <w:r>
              <w:rPr>
                <w:rFonts w:hint="eastAsia" w:ascii="微软雅黑" w:hAnsi="微软雅黑" w:cs="微软雅黑"/>
                <w:sz w:val="20"/>
                <w:szCs w:val="20"/>
              </w:rPr>
              <w:t>58dB</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1.16电源要求：220V/50-60Hz</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2、主要功能：</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2.1用户可以直接输入转速、相对离心力，可在离心过程中改变参数值</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2.2面板控制：包含系统键、程序键和数字显示屏。</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2.3速度显示：rpm/rcf可相互转换，且有独立按键，便于操作</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2.4快速运行功能：按下 QUICK RUN键可短期运行：</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2.5冷冻功能：最高转速时转子温度可保持4°C；带预冷功能，只需按下 PRECOOL键便可加载预冷程序。</w:t>
            </w:r>
          </w:p>
          <w:p>
            <w:pPr>
              <w:widowControl/>
              <w:spacing w:line="360" w:lineRule="exact"/>
              <w:textAlignment w:val="center"/>
            </w:pPr>
            <w:r>
              <w:rPr>
                <w:rFonts w:ascii="宋体" w:hAnsi="宋体" w:eastAsia="宋体" w:cs="宋体"/>
                <w:szCs w:val="21"/>
              </w:rPr>
              <w:t>▲</w:t>
            </w:r>
            <w:r>
              <w:rPr>
                <w:rFonts w:hint="eastAsia" w:ascii="微软雅黑" w:hAnsi="微软雅黑" w:cs="微软雅黑"/>
                <w:sz w:val="20"/>
                <w:szCs w:val="20"/>
              </w:rPr>
              <w:t>2.6安全性能：转子自动识别功能；自动失衡识别；带生物安全转头，提高生物安全性高。</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3．配置：</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3.1主机一台；</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3.2  24×1.5/2.0mL定角转头一个,定角转头K因子≤190；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超微量分光光度计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 设备用途：</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1.1蛋白质、核酸样品浓度测量</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1.2细菌细胞密度测量</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1.3化合物的定量和定性分析</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1.4 动力学分析</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1.5 全波长和固定波长扫描</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 工作条件：</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2.1电源：90-250 V, 50/60 Hz</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2.2 环境温度：15-35℃</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2.3 环境湿度：&lt;85%</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 技术指标</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3.1 可进行微量样品和常量样品的吸光度、浓度、纯度测量，配有微量样品台和比色皿池</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3.2 微量样品台：</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3.2.1 最小样品量: 0.3μl</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 xml:space="preserve">3.2.2 光度范围:0.02–330 A </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3.2.3 检测下限：dsDNA：1ng/μl，BSA：0.03mg/ml</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 常规比色皿池：</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3.3.1 样品量：5μl-3ml(根据比色皿规格而定）</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3.3.2 光度范围：0-2.6A</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3.3.3 检测范围：dsDNA:0.1-130ng/μl，BSA：0.003-3.7mg/ml</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3.3.4 比色皿池带电动防尘滑盖</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3.3.5 比色皿池具有温度控制功能，温度范围：37℃±0.5℃</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 光学规格：</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3.4.1 波长扫描范围:200–900nm。</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3.4.2 光程数量≤2个， 0.67mm和0.07mm双固定光程电磁弹射切换，终身无需校正，光程切换器所有部分均不暴露在空气中</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3.4.3开机无需预热，测量时间：2.5-4秒内可完成200nm-900nm全波长测量</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3.4.4 波长重复性:± 0.2nm</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3.4.5 波长精度:± 0.75nm</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3.4.6 带宽:优于 1.5nm</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3.4.7 杂散光:&lt; 0.5%(于240 nm 用 NaI) 和&lt; 1%(于280nm用Acetone)</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3.4.8吸光度重复性:&lt;0.002 A（0-0.3A，280nm），CV＜1%（0.3-1.7A，280nm）</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3.4.9 吸光度准确性: &lt;1.75%读数（0.7A，280nm）</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3.4.10光学检测系统:不低于4096像素CMOS阵列检测器</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3.4.11光源:脉冲氙灯 ,闪烁不低于109次，提供10年质保（需制造商提供售后承诺）</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 系统性能</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 xml:space="preserve">3.5.1开机时自动检测系统状态。 </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3.5.2 测光方式：Abs、T%、浓度，全波长扫描，比率，多波长扫描，动力学、△ABS x因子/分钟。</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3.5.3 内置式方法：核酸、荧光染料，基因芯片 蛋白质（可自建标准曲线）和细胞OD600</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3.5.4操作系统：基于Linux的NPOS系统（非安卓系统），</w:t>
            </w:r>
            <w:r>
              <w:rPr>
                <w:rFonts w:hint="eastAsia" w:ascii="微软雅黑" w:hAnsi="微软雅黑" w:cs="微软雅黑"/>
                <w:sz w:val="20"/>
                <w:szCs w:val="20"/>
                <w:lang w:val="en-US" w:eastAsia="zh-CN"/>
              </w:rPr>
              <w:t>不小于</w:t>
            </w:r>
            <w:r>
              <w:rPr>
                <w:rFonts w:ascii="微软雅黑" w:hAnsi="微软雅黑" w:cs="微软雅黑"/>
                <w:sz w:val="20"/>
                <w:szCs w:val="20"/>
              </w:rPr>
              <w:t>7寸彩色平板电脑，不低于2.4 GHz处理器。</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3.5.5 仪器可与智能手机、平板电脑、笔记本电脑、台式电脑进行无线和有线连接，控制仪器并进行测量样品操作，兼容安卓、Windows或苹果系统。</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3.5.6 数据和方法存储：自带平板电脑，内置</w:t>
            </w:r>
            <w:r>
              <w:rPr>
                <w:rFonts w:hint="eastAsia" w:ascii="微软雅黑" w:hAnsi="微软雅黑" w:cs="微软雅黑"/>
                <w:sz w:val="20"/>
                <w:szCs w:val="20"/>
                <w:lang w:val="en-US" w:eastAsia="zh-CN"/>
              </w:rPr>
              <w:t>不低于</w:t>
            </w:r>
            <w:r>
              <w:rPr>
                <w:rFonts w:ascii="微软雅黑" w:hAnsi="微软雅黑" w:cs="微软雅黑"/>
                <w:sz w:val="20"/>
                <w:szCs w:val="20"/>
              </w:rPr>
              <w:t>32GB存储空间，可直接存储测量结果数据与自定义方法。</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3.5.7数据输出端口：具有WLAN、HDMI、Ethernet和3个USB接口，可实现与鼠标、键盘、台式电脑、网线等多种设备连接使用。数据输出格式IDS、EXCEL或PDF，可选择单独或同时输出多种格式</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3.5.8 显示器规格：</w:t>
            </w:r>
            <w:r>
              <w:rPr>
                <w:rFonts w:hint="eastAsia" w:ascii="微软雅黑" w:hAnsi="微软雅黑" w:cs="微软雅黑"/>
                <w:sz w:val="20"/>
                <w:szCs w:val="20"/>
                <w:lang w:val="en-US" w:eastAsia="zh-CN"/>
              </w:rPr>
              <w:t>不低于</w:t>
            </w:r>
            <w:r>
              <w:rPr>
                <w:rFonts w:ascii="微软雅黑" w:hAnsi="微软雅黑" w:cs="微软雅黑"/>
                <w:sz w:val="20"/>
                <w:szCs w:val="20"/>
              </w:rPr>
              <w:t>1024×600 像素，兼容橡胶手套的触摸屏。</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3.5.9采用样品压缩法原理，检测过程中无需形成样品液柱，封闭式检测环境，样品不暴露在空气中，无样品挥发影响</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3.5.10可识别的污染物数量≥8种，包括但不限于：Tris、苯酚、EDTA、Trizol、硫氰酸胍、RIPA、NDSB、纸屑。可进行气泡和样品台污染的识别。</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3.5.11自带低速涡旋混匀器，在测量前混匀样品，保证重复性和准确性。</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w:t>
            </w:r>
            <w:r>
              <w:rPr>
                <w:rFonts w:ascii="微软雅黑" w:hAnsi="微软雅黑" w:eastAsia="宋体" w:cs="微软雅黑"/>
                <w:sz w:val="20"/>
                <w:szCs w:val="20"/>
              </w:rPr>
              <w:t>.5.12 带有自动检测功能，放下样品盖可自动检测样品，无需点击测量按钮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蛋白电泳转印系统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 xml:space="preserve">一、电泳仪电源 </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1.输出范围：完全可调；电压10-300V，增量为1V；4-400mA，增量为1mA；功率75w（最大）；</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2.输出类型：可自动切换的恒定电压或恒定电流；</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3.终端输出：输出插孔4对并联，可同时对四个同类型的电泳槽进行电泳；</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4.定时器：1-999分钟，完全可调；</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5.带有暂停/继续功能；有断电后自动恢复功能；</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6.显示屏：三位光电二极管；</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7.操作条件：温度0-40℃，湿度0-95%，工作电源100-240V；</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8.安全规范：EN-6010，CE；</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9.安全特性：无负荷检测，负荷突变检测，超负荷/短路检测，过电压保护；</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二、小型垂直电泳槽</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1.配置：电泳槽，玻璃板，灌胶系统，上样引导装置，电泳梳；</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2.同一槽内可同时进行4块SDS-PAGE凝胶的电泳实验；</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3.胶面积：8.3 x 7.3 cm；短玻璃板：10.1 x 7.3 cm；长玻璃板：10.1 x 8.2 cm；</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4.玻璃板：封边垫条永久性地固定在长玻板上，保证玻板精确对齐，防止漏胶</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5.灌胶系统：平行排列的设计能同时看到正在灌制的两块凝胶，弹簧杠杆设计使得软橡胶衬垫产生良好的密封性</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6.上样引导装置：防止泳道的遗漏上样或重复上样</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7.电泳梳：特殊的塑料电泳梳不会抑制凝胶聚合反应，制胶过程中，内置的脊可避免在灌胶过程时的空气接触，保证均一的凝胶聚合</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8.模块化：可换置转印（western blot）等模块</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 xml:space="preserve">三、小型转印槽 </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1.配置：转印槽，转印夹，海绵垫，冷却芯</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2.参数设置灵活，可以200V电压转移，仅需1个小时，也可以30V过夜转移。</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3.在低压下也能获得高效、稳定的转移。</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4.具有超冷却芯和水循环装置，可用于酶(4℃)或高强度转移，即使进行24小时的转移也不存在缓冲液消耗的问题。</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5.阴极用涂有铂的钛作成，阳极采用不锈钢，能比其它电极产生更高强度的电场。</w:t>
            </w:r>
          </w:p>
          <w:p>
            <w:pPr>
              <w:widowControl/>
              <w:spacing w:line="360" w:lineRule="exact"/>
              <w:textAlignment w:val="center"/>
            </w:pPr>
            <w:r>
              <w:rPr>
                <w:rFonts w:ascii="微软雅黑" w:hAnsi="微软雅黑" w:cs="微软雅黑"/>
                <w:sz w:val="20"/>
                <w:szCs w:val="20"/>
              </w:rPr>
              <w:t>6.整体大小：16x12x18 cm；最大胶尺寸：7.5x10 cm；缓冲液体积：450 ml；胶容量：2块小胶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梯度PCR仪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宋体" w:hAnsi="宋体" w:eastAsia="宋体" w:cs="宋体"/>
                <w:szCs w:val="21"/>
              </w:rPr>
            </w:pPr>
            <w:r>
              <w:rPr>
                <w:rFonts w:hint="eastAsia" w:ascii="宋体" w:hAnsi="宋体" w:eastAsia="宋体" w:cs="宋体"/>
                <w:szCs w:val="21"/>
              </w:rPr>
              <w:t>1、精准的温度控制：采用先进智能的RAC电子温控技术，实现优异的温度准确性和均一性，模块实际温度与设定温度相比，没有温度过冲或下冲的现象，PCR反应稳定性好</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2、高效的热模块：表面具有高品质合金涂层的铝合金样品槽，耐腐蚀，利于高效的热传递 最大升温速率4 ℃/s，平均升温速率</w:t>
            </w:r>
            <w:r>
              <w:rPr>
                <w:rFonts w:hint="eastAsia" w:ascii="宋体" w:hAnsi="宋体" w:eastAsia="宋体" w:cs="宋体"/>
                <w:szCs w:val="21"/>
                <w:lang w:val="en-US" w:eastAsia="zh-CN"/>
              </w:rPr>
              <w:t>≥</w:t>
            </w:r>
            <w:r>
              <w:rPr>
                <w:rFonts w:hint="eastAsia" w:ascii="宋体" w:hAnsi="宋体" w:eastAsia="宋体" w:cs="宋体"/>
                <w:szCs w:val="21"/>
              </w:rPr>
              <w:t>3.8 ℃/s。 实验结束后，可进行长期4℃孵育保存。</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 xml:space="preserve">▲3、温度均一性：±0.2 ℃ </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▲4、温度准确性：±0.1℃</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▲5、温度梯度功能：可设12列不同温度，能进行线性温度梯度和随机温度梯度两种设置方式</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6、可提供表格式和图形式两种不同的程序编辑界面，满足不同用户的使用习惯</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7、具有断电自动重启功能</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▲8、具有用户特异性的程序快速启动功能，自动显示该用户最近使用过的程序</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9、仪器自检功能：系统可进行自动的检测诊断，自动记录仪器使用过程中的状态，提供各种运行和故障信息</w:t>
            </w:r>
          </w:p>
          <w:p>
            <w:pPr>
              <w:widowControl/>
              <w:spacing w:line="360" w:lineRule="exact"/>
              <w:textAlignment w:val="center"/>
              <w:rPr>
                <w:rFonts w:ascii="宋体" w:hAnsi="宋体" w:eastAsia="宋体" w:cs="宋体"/>
                <w:szCs w:val="21"/>
              </w:rPr>
            </w:pPr>
            <w:r>
              <w:rPr>
                <w:rFonts w:ascii="宋体" w:hAnsi="宋体" w:eastAsia="宋体" w:cs="宋体"/>
                <w:szCs w:val="21"/>
              </w:rPr>
              <w:t>▲</w:t>
            </w:r>
            <w:r>
              <w:rPr>
                <w:rFonts w:hint="eastAsia" w:ascii="宋体" w:hAnsi="宋体" w:eastAsia="宋体" w:cs="宋体"/>
                <w:szCs w:val="21"/>
              </w:rPr>
              <w:t>10、深凹设计的高性能智能热盖（HPSL），采用先进的压力离合装置，具有过紧保护功能，提供持续稳定的压力，防蒸发效果好</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▲11、热盖温度范围：30-110 ℃</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12、开放的系统：96孔的样品通量，适用于标准的96孔板、8联管或0.2ml PCR单管</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▲13、超静音，仪器运行时几乎无噪音，最大噪音不超过45dB，给用户提供安静舒适的实验环境</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▲14、合理的散热设计，底部进风、后部排风，仪器两侧可以近距离摆放其他设备，节省实验室空间</w:t>
            </w:r>
          </w:p>
          <w:p>
            <w:pPr>
              <w:widowControl/>
              <w:spacing w:line="360" w:lineRule="exact"/>
              <w:textAlignment w:val="center"/>
              <w:rPr>
                <w:rFonts w:ascii="宋体" w:hAnsi="宋体" w:eastAsia="宋体" w:cs="宋体"/>
                <w:szCs w:val="21"/>
              </w:rPr>
            </w:pPr>
            <w:r>
              <w:rPr>
                <w:rFonts w:hint="eastAsia" w:ascii="宋体" w:hAnsi="宋体" w:eastAsia="宋体" w:cs="宋体"/>
                <w:szCs w:val="21"/>
              </w:rPr>
              <w:t>15、舒适：</w:t>
            </w:r>
            <w:r>
              <w:rPr>
                <w:rFonts w:hint="eastAsia" w:ascii="宋体" w:hAnsi="宋体" w:eastAsia="宋体" w:cs="宋体"/>
                <w:szCs w:val="21"/>
                <w:lang w:val="en-US" w:eastAsia="zh-CN"/>
              </w:rPr>
              <w:t>≥</w:t>
            </w:r>
            <w:r>
              <w:rPr>
                <w:rFonts w:hint="eastAsia" w:ascii="宋体" w:hAnsi="宋体" w:eastAsia="宋体" w:cs="宋体"/>
                <w:szCs w:val="21"/>
              </w:rPr>
              <w:t>7英寸彩色触摸屏，反应灵敏，可戴手套操作</w:t>
            </w:r>
          </w:p>
          <w:p>
            <w:pPr>
              <w:widowControl/>
              <w:spacing w:line="360" w:lineRule="exact"/>
              <w:textAlignment w:val="center"/>
              <w:rPr>
                <w:rFonts w:ascii="微软雅黑" w:hAnsi="微软雅黑" w:eastAsia="宋体" w:cs="微软雅黑"/>
                <w:sz w:val="20"/>
                <w:szCs w:val="20"/>
              </w:rPr>
            </w:pPr>
            <w:r>
              <w:rPr>
                <w:rFonts w:hint="eastAsia" w:ascii="宋体" w:hAnsi="宋体" w:eastAsia="宋体" w:cs="宋体"/>
                <w:szCs w:val="21"/>
              </w:rPr>
              <w:t>16、具有USB接口和网络接口，可进行程序储存、复制、软件升级等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分子</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highlight w:val="none"/>
              </w:rPr>
              <w:t>电动助吸器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1、适用于所有0.1-200ml 玻璃或塑料移液管</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2、双色电池充电电量指示灯</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3、具有重力模式和马达模式，适合各种不同的实验应用</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4、4小时</w:t>
            </w:r>
            <w:r>
              <w:rPr>
                <w:rFonts w:hint="eastAsia" w:ascii="微软雅黑" w:hAnsi="微软雅黑" w:cs="微软雅黑"/>
                <w:sz w:val="20"/>
                <w:szCs w:val="20"/>
                <w:lang w:val="en-US" w:eastAsia="zh-CN"/>
              </w:rPr>
              <w:t>内</w:t>
            </w:r>
            <w:r>
              <w:rPr>
                <w:rFonts w:ascii="微软雅黑" w:hAnsi="微软雅黑" w:cs="微软雅黑"/>
                <w:sz w:val="20"/>
                <w:szCs w:val="20"/>
              </w:rPr>
              <w:t>即可充满电，并且可以边插电边工作</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5、无需任何额外支架即可实现插着移液管在台面上放置</w:t>
            </w:r>
          </w:p>
          <w:p>
            <w:pPr>
              <w:widowControl/>
              <w:spacing w:line="360" w:lineRule="exact"/>
              <w:textAlignment w:val="center"/>
              <w:rPr>
                <w:rFonts w:ascii="微软雅黑" w:hAnsi="微软雅黑" w:cs="微软雅黑"/>
                <w:sz w:val="20"/>
                <w:szCs w:val="20"/>
              </w:rPr>
            </w:pPr>
            <w:r>
              <w:rPr>
                <w:rFonts w:ascii="微软雅黑" w:hAnsi="微软雅黑" w:cs="微软雅黑"/>
                <w:sz w:val="20"/>
                <w:szCs w:val="20"/>
              </w:rPr>
              <w:t>6、一次充电可以连续使用</w:t>
            </w:r>
            <w:r>
              <w:rPr>
                <w:rFonts w:hint="eastAsia" w:ascii="微软雅黑" w:hAnsi="微软雅黑" w:cs="微软雅黑"/>
                <w:sz w:val="20"/>
                <w:szCs w:val="20"/>
                <w:lang w:val="en-US" w:eastAsia="zh-CN"/>
              </w:rPr>
              <w:t>不低于</w:t>
            </w:r>
            <w:r>
              <w:rPr>
                <w:rFonts w:ascii="微软雅黑" w:hAnsi="微软雅黑" w:cs="微软雅黑"/>
                <w:sz w:val="20"/>
                <w:szCs w:val="20"/>
              </w:rPr>
              <w:t>8小时（10ml 移液管），最快速度下能实现3秒内吸满25ml 的移液管</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7、使用0.2um 疏水滤膜和单向止回阀，有效防止污染，且避免液体倒吸进机身</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8、按键和调速盘两种调速方式，实现无极调速</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9、带智能充电电子设备的电池，智能充电技术，避免了电池记忆效应</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ascii="微软雅黑" w:hAnsi="微软雅黑" w:cs="微软雅黑"/>
                <w:sz w:val="20"/>
                <w:szCs w:val="20"/>
              </w:rPr>
              <w:t>10、整机符合CE-IVD，并伴生提供制造商针对使用单位的授权书以及制造商售后服务承诺书，为了保证后续使用以及维护，要求培训形式包含上门培训、视频培训，要求培训人员具有品牌授权，且每年提供一次免费上门维护保养</w:t>
            </w:r>
          </w:p>
          <w:p>
            <w:pPr>
              <w:widowControl/>
              <w:spacing w:line="360" w:lineRule="exact"/>
              <w:textAlignment w:val="center"/>
            </w:pPr>
            <w:r>
              <w:rPr>
                <w:rFonts w:hint="eastAsia" w:ascii="微软雅黑" w:hAnsi="微软雅黑" w:cs="微软雅黑"/>
                <w:sz w:val="20"/>
                <w:szCs w:val="20"/>
              </w:rPr>
              <w:t>11、</w:t>
            </w:r>
            <w:r>
              <w:rPr>
                <w:rFonts w:hint="eastAsia" w:ascii="微软雅黑" w:hAnsi="微软雅黑" w:cs="微软雅黑"/>
                <w:sz w:val="20"/>
                <w:szCs w:val="20"/>
                <w:lang w:val="en-US" w:eastAsia="zh-CN"/>
              </w:rPr>
              <w:t>多色</w:t>
            </w:r>
            <w:r>
              <w:rPr>
                <w:rFonts w:ascii="微软雅黑" w:hAnsi="微软雅黑" w:cs="微软雅黑"/>
                <w:sz w:val="20"/>
                <w:szCs w:val="20"/>
              </w:rPr>
              <w:t>可选，包装内提供壁挂架，有效节省实验台空间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ascii="微软雅黑" w:hAnsi="微软雅黑" w:cs="微软雅黑"/>
                <w:sz w:val="20"/>
                <w:szCs w:val="20"/>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微软雅黑" w:hAnsi="微软雅黑" w:cs="微软雅黑"/>
                <w:sz w:val="20"/>
                <w:szCs w:val="20"/>
              </w:rPr>
            </w:pP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eastAsia="微软雅黑"/>
                <w:lang w:eastAsia="zh-CN"/>
              </w:rPr>
            </w:pPr>
            <w:r>
              <w:rPr>
                <w:rFonts w:hint="eastAsia" w:ascii="宋体" w:hAnsi="宋体" w:eastAsia="宋体" w:cs="宋体"/>
                <w:color w:val="000000"/>
                <w:kern w:val="0"/>
                <w:sz w:val="22"/>
                <w:szCs w:val="22"/>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highlight w:val="none"/>
              </w:rPr>
              <w:t>荧光定量PCR仪（384模块）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1、光学系统：六通道的配置，也可灵活配置成1-6通道中的任意一种通道数</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2、滤光片组：有12 种激发/检测滤光片组可供自由组合，包括滤光片错配的FRET检测组合和专用于蛋白熔解曲线分析的滤光片组</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3、光源：采用蓝色、绿色、红色、白色（RGBW）四个高强度长寿命LED固态光源，确保在整个光谱检测范围内都有很强的光强，提高检测灵敏度，而且不发热，使用寿命长，终身免维护</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4、检测器：高灵敏度的通道式光电倍增管，有效降低背景噪音信号，检测灵敏度高</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5、检测方式：高性能的16道光纤扫描系统，16孔同时检测，检测快速，而且收集信号准确，无需ROX校正，但也可选择使用内参校正</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6、检测灵敏度：能检测到单拷贝DNA模板，能清晰区分1000拷贝和2000拷贝的质粒DNA</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7、检测线性范围：10个数量级</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8、检测样品量：384个样品，可使用标准的384孔PCR板</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9、样品反应体系：推荐最适反应体积2-30µl</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 xml:space="preserve">10、升温速率：≥4 ℃/s </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11、温度均一性：±0.15 ℃</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 xml:space="preserve">12、温度准确性：±0.1 ℃ </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13、线性温度梯度：独特的24列线性温度梯度功能，能帮助用户快速找到最精准的退火温度</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14、热模块： Peltier加热控温，热传导性好，耐腐蚀抗氧化</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15、检测速度：完成六通道384孔扫描只需6s</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热盖：最高温度可达110℃，自动调节接触压力和高度，最大可达30kg/板</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16、仪器是专为定量PCR仪的一体化设计，不是从普通PCR仪上升级而来</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17、控制系统：通过电脑软件控制</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 xml:space="preserve">18、软件功能：具有绝对定量、双标准曲线法相对定量、双Delta Ct法相对定量（结合扩增效率分析）、熔解曲线、等位基因分型/SNP分析、终点法分析、扩增效率计算等分析方法 </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19、具有中文界面</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20、软件免费提供，可以无限制安装在多台电脑上，无需付费购买使用权限，终身可免费升级</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21、软件可以提供符合MIQE标准的实验报告，实现实验报告信息化管理和溯源</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22、静音技术：运行时最大的工作噪音不超过45 dB</w:t>
            </w:r>
          </w:p>
          <w:p>
            <w:pPr>
              <w:widowControl/>
              <w:spacing w:line="360" w:lineRule="exact"/>
              <w:textAlignment w:val="center"/>
            </w:pPr>
            <w:r>
              <w:rPr>
                <w:rFonts w:hint="eastAsia" w:ascii="微软雅黑" w:hAnsi="微软雅黑" w:cs="微软雅黑"/>
                <w:sz w:val="20"/>
                <w:szCs w:val="20"/>
              </w:rPr>
              <w:t>23、电脑连接：USB，可与LIMS系统连接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p>
        </w:tc>
      </w:tr>
      <w:tr>
        <w:tblPrEx>
          <w:tblCellMar>
            <w:top w:w="0" w:type="dxa"/>
            <w:left w:w="108" w:type="dxa"/>
            <w:bottom w:w="0" w:type="dxa"/>
            <w:right w:w="108" w:type="dxa"/>
          </w:tblCellMar>
        </w:tblPrEx>
        <w:trPr>
          <w:trHeight w:val="2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eastAsia="微软雅黑"/>
                <w:lang w:val="en-US" w:eastAsia="zh-CN"/>
              </w:rPr>
            </w:pPr>
            <w:r>
              <w:rPr>
                <w:rFonts w:hint="eastAsia" w:ascii="宋体" w:hAnsi="宋体" w:eastAsia="宋体" w:cs="宋体"/>
                <w:color w:val="000000"/>
                <w:kern w:val="0"/>
                <w:sz w:val="22"/>
                <w:szCs w:val="22"/>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highlight w:val="none"/>
              </w:rPr>
              <w:t>真空吸液系统</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1、真空吸液系统，用以吸取和处理生物类液体，为处理生物和生物危害物质提供一流的舒适且安全的工作条件。</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2、配有非接触传感器，用以自动监测收集瓶内的液面水平，防止溢流。</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关闭泵后，通过消毒管路即可将消毒液吸入手柄和管路，因此可满足所需的安全规定。</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3、配4升PP瓶子，也可选配 2升带防爆覆膜的硼硅酸盐玻璃瓶用于处理如氯化物等强性消毒液，有很好的耐化学腐蚀性</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 xml:space="preserve">4、采用PP材质或覆膜硼硅酸盐玻璃的收集瓶，均可完全高温高压灭菌，且标配0.2微米无菌过滤器 </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5、人体工程学及功能性设计的手柄，带穿过式吸液软管，可持续吸液，并全套高压灭菌</w:t>
            </w:r>
            <w:r>
              <w:rPr>
                <w:rFonts w:hint="eastAsia" w:ascii="微软雅黑" w:hAnsi="微软雅黑" w:cs="微软雅黑"/>
                <w:sz w:val="20"/>
                <w:szCs w:val="20"/>
              </w:rPr>
              <w:tab/>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6、自锁快速连接件，最大程度上降低了转移危险废物的风险和污染工作环境的风险。可方便且安全地更换收集瓶，如处理生物危害物时适用于专业的工作，非常适合于需要的安全规范</w:t>
            </w:r>
            <w:r>
              <w:rPr>
                <w:rFonts w:hint="eastAsia" w:ascii="微软雅黑" w:hAnsi="微软雅黑" w:cs="微软雅黑"/>
                <w:sz w:val="20"/>
                <w:szCs w:val="20"/>
              </w:rPr>
              <w:tab/>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7、0.2微米疏水性防护过滤器，很好地防护使环境免受污染，额外的防过吸保护，可20次高压灭菌</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8、真空控制器：Touchpanel</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9、泵头数/级数：1/1</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10、50/60 Hz下的最大抽速(真空泵) ：0.7 / 0.85 m3/h</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11、50/60 Hz下的最大抽速(真空泵) ：0.4 / 0.5 cfm</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12、极限真空（绝压）：150 / 112  mbar/torr</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13、控制范围：150 - 850 mbar (可调整的)</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14、收集瓶：4l Polypropylene</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15、最大出气口压力（绝压）：1 bar</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16、进气口接口：手柄</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17、出气口接口：DN 8 mm 软管喷嘴接头 / 消音器</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18、额定电机功率：0.04kW</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19、50/60 Hz下的额定转速：1500/1800 min-1</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20、防护等级：IP 40</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21、尺寸（长x宽x高）：408 x 194 x 500 mm 重量7kg</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22、噪音水平在50赫兹，典型值：45 dBA</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p>
        </w:tc>
      </w:tr>
      <w:tr>
        <w:tblPrEx>
          <w:tblCellMar>
            <w:top w:w="0" w:type="dxa"/>
            <w:left w:w="108" w:type="dxa"/>
            <w:bottom w:w="0" w:type="dxa"/>
            <w:right w:w="108" w:type="dxa"/>
          </w:tblCellMar>
        </w:tblPrEx>
        <w:trPr>
          <w:trHeight w:val="7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eastAsia="微软雅黑"/>
                <w:lang w:val="en-US" w:eastAsia="zh-CN"/>
              </w:rPr>
            </w:pPr>
            <w:r>
              <w:rPr>
                <w:rFonts w:hint="eastAsia" w:ascii="宋体" w:hAnsi="宋体" w:eastAsia="宋体" w:cs="宋体"/>
                <w:color w:val="000000"/>
                <w:kern w:val="0"/>
                <w:sz w:val="22"/>
                <w:szCs w:val="22"/>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bookmarkStart w:id="0" w:name="_GoBack"/>
            <w:r>
              <w:rPr>
                <w:rFonts w:hint="eastAsia" w:ascii="微软雅黑" w:hAnsi="微软雅黑" w:cs="微软雅黑"/>
                <w:sz w:val="20"/>
                <w:szCs w:val="20"/>
                <w:highlight w:val="none"/>
              </w:rPr>
              <w:t>全自动电子分液器</w:t>
            </w:r>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1、使用彩色触摸显示屏，可以轻松地在各功能之间来回滑动切换，并且工作步骤相关的所有重要信息始终一览无余</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2、无需手动更换吸头，轻轻点按显示屏便自动弹出吸头，吸头量程包括0.1ml/0.5ml/1ml/1.25ml/2.5ml/5ml/10ml/12.5ml/25ml/50ml，10量程可选，轻松覆盖生命科学以及理化实验需求</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3、具有数字吸头自动识别功能，连续分液器可自动识别BRAND PD-吸头II的体积，其节省了时间，并降低了错误风险。</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4、为了实现尽可能最大的灵活性，除了能自动识别BRAND  PD-吸头II，兼容其他制造商的吸头，例如：Encode™-吸头、Repet-吸头、Combitips®、Combitips® plus, Combitips® advanced。</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5、可感应式充电既简单又高效的充电方式，将主机置于充电座中，可以进行感应式充电</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6、拥有自建方法库功能，常用方法进行存储，使用时可直接调用，方便快捷准确</w:t>
            </w:r>
          </w:p>
          <w:p>
            <w:pPr>
              <w:widowControl/>
              <w:spacing w:line="360" w:lineRule="exact"/>
              <w:textAlignment w:val="center"/>
              <w:rPr>
                <w:rFonts w:ascii="微软雅黑" w:hAnsi="微软雅黑" w:cs="微软雅黑"/>
                <w:sz w:val="20"/>
                <w:szCs w:val="20"/>
              </w:rPr>
            </w:pPr>
            <w:r>
              <w:rPr>
                <w:rFonts w:hint="eastAsia" w:ascii="微软雅黑" w:hAnsi="微软雅黑" w:cs="微软雅黑"/>
                <w:sz w:val="20"/>
                <w:szCs w:val="20"/>
              </w:rPr>
              <w:t>7、通过直观的菜单导航进行触屏操作，操作语言包括中文、德语、英语、西班牙语、法语</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8、HandyStep® touch S系列具有连续分液功能、自动分液功能和移液功能、同时具有序列分液功能、连续吸液功能和滴定功能</w:t>
            </w:r>
          </w:p>
          <w:p>
            <w:pPr>
              <w:widowControl/>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9、为了保证后续使用以及维护，提供制造商针对使用单位的制造商售后服务承诺书，要求培训形式包含上门培训、视频培训，要求培训人员具有品牌授权，且每年提供一次免费上门维护保养，制造商拥有出具CNAS校准报告的能力并出具证明文件</w:t>
            </w:r>
          </w:p>
          <w:p>
            <w:pPr>
              <w:spacing w:line="360" w:lineRule="exact"/>
              <w:textAlignment w:val="center"/>
              <w:rPr>
                <w:rFonts w:ascii="微软雅黑" w:hAnsi="微软雅黑" w:cs="微软雅黑"/>
                <w:sz w:val="20"/>
                <w:szCs w:val="20"/>
              </w:rPr>
            </w:pPr>
            <w:r>
              <w:rPr>
                <w:rFonts w:ascii="宋体" w:hAnsi="宋体" w:eastAsia="宋体" w:cs="宋体"/>
                <w:szCs w:val="21"/>
              </w:rPr>
              <w:t>▲</w:t>
            </w:r>
            <w:r>
              <w:rPr>
                <w:rFonts w:hint="eastAsia" w:ascii="微软雅黑" w:hAnsi="微软雅黑" w:cs="微软雅黑"/>
                <w:sz w:val="20"/>
                <w:szCs w:val="20"/>
              </w:rPr>
              <w:t>10、从 1.0 μl 至 50 ml 的可变体积调节，通过直观的菜单导航进行触屏操作</w:t>
            </w:r>
          </w:p>
          <w:p>
            <w:pPr>
              <w:widowControl/>
              <w:spacing w:line="360" w:lineRule="exact"/>
              <w:textAlignment w:val="center"/>
            </w:pPr>
            <w:r>
              <w:rPr>
                <w:rFonts w:hint="eastAsia" w:ascii="微软雅黑" w:hAnsi="微软雅黑" w:cs="微软雅黑"/>
                <w:sz w:val="20"/>
                <w:szCs w:val="20"/>
              </w:rPr>
              <w:t>11、整机光滑表面没有边缘和凹槽，除去操作键和电源键，无其他按键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r>
              <w:rPr>
                <w:rFonts w:hint="eastAsia" w:ascii="微软雅黑" w:hAnsi="微软雅黑" w:cs="微软雅黑"/>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微软雅黑" w:hAnsi="微软雅黑" w:cs="微软雅黑"/>
                <w:sz w:val="20"/>
                <w:szCs w:val="20"/>
              </w:rPr>
            </w:pPr>
          </w:p>
        </w:tc>
      </w:tr>
    </w:tbl>
    <w:p/>
    <w:sectPr>
      <w:pgSz w:w="16838" w:h="11906" w:orient="landscape"/>
      <w:pgMar w:top="1800" w:right="1440" w:bottom="1800" w:left="1440"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210"/>
  <w:drawingGridVerticalSpacing w:val="194"/>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2"/>
  </w:compat>
  <w:docVars>
    <w:docVar w:name="commondata" w:val="eyJoZGlkIjoiMTYwZGVhY2QzOTM4Y2NjNmQ1Njk2YzljYjFjZWEwYWIifQ=="/>
    <w:docVar w:name="KSO_WPS_MARK_KEY" w:val="bc181873-69a5-497d-a02c-75593ea8e43f"/>
    <w:docVar w:name="KY_MEDREF_DOCUID" w:val="{DF6AFC57-28FB-4D78-A007-225C0A05A047}"/>
    <w:docVar w:name="KY_MEDREF_VERSION" w:val="3"/>
  </w:docVars>
  <w:rsids>
    <w:rsidRoot w:val="1AA24D9F"/>
    <w:rsid w:val="001537E1"/>
    <w:rsid w:val="00177EEB"/>
    <w:rsid w:val="003226B9"/>
    <w:rsid w:val="007703B4"/>
    <w:rsid w:val="00A360BA"/>
    <w:rsid w:val="00B13F72"/>
    <w:rsid w:val="00B24BF5"/>
    <w:rsid w:val="00B56D9F"/>
    <w:rsid w:val="00D23AFF"/>
    <w:rsid w:val="00E271DC"/>
    <w:rsid w:val="01CB597B"/>
    <w:rsid w:val="03866A51"/>
    <w:rsid w:val="07011CC2"/>
    <w:rsid w:val="07644792"/>
    <w:rsid w:val="09284798"/>
    <w:rsid w:val="0F2B6FD9"/>
    <w:rsid w:val="0FC91CB4"/>
    <w:rsid w:val="11302C34"/>
    <w:rsid w:val="15353F92"/>
    <w:rsid w:val="159F099B"/>
    <w:rsid w:val="16180B35"/>
    <w:rsid w:val="1768776D"/>
    <w:rsid w:val="183C240D"/>
    <w:rsid w:val="1AA24D9F"/>
    <w:rsid w:val="20651585"/>
    <w:rsid w:val="22350C23"/>
    <w:rsid w:val="2477530F"/>
    <w:rsid w:val="28DA2E89"/>
    <w:rsid w:val="2A4254F9"/>
    <w:rsid w:val="2A9951C0"/>
    <w:rsid w:val="2D1F32F4"/>
    <w:rsid w:val="2E625356"/>
    <w:rsid w:val="323B4D81"/>
    <w:rsid w:val="34B70380"/>
    <w:rsid w:val="3AE174A3"/>
    <w:rsid w:val="3AFA0DF0"/>
    <w:rsid w:val="41656898"/>
    <w:rsid w:val="417137CD"/>
    <w:rsid w:val="427F607F"/>
    <w:rsid w:val="432B535A"/>
    <w:rsid w:val="43446334"/>
    <w:rsid w:val="44A84E71"/>
    <w:rsid w:val="45B30C92"/>
    <w:rsid w:val="477DCE1E"/>
    <w:rsid w:val="493A5E87"/>
    <w:rsid w:val="4A6873F9"/>
    <w:rsid w:val="4C573506"/>
    <w:rsid w:val="50760AC1"/>
    <w:rsid w:val="5287028E"/>
    <w:rsid w:val="532D0594"/>
    <w:rsid w:val="5348401B"/>
    <w:rsid w:val="54D17F64"/>
    <w:rsid w:val="573E1E21"/>
    <w:rsid w:val="5954396A"/>
    <w:rsid w:val="5967369D"/>
    <w:rsid w:val="5B487E91"/>
    <w:rsid w:val="5C4606A3"/>
    <w:rsid w:val="5CC61F05"/>
    <w:rsid w:val="5CF9550F"/>
    <w:rsid w:val="5DA402F0"/>
    <w:rsid w:val="5E0B4BE0"/>
    <w:rsid w:val="5EFEBDE8"/>
    <w:rsid w:val="5FE6111F"/>
    <w:rsid w:val="62326812"/>
    <w:rsid w:val="62456545"/>
    <w:rsid w:val="68CA2609"/>
    <w:rsid w:val="68CC1AED"/>
    <w:rsid w:val="69BB0F42"/>
    <w:rsid w:val="6A637494"/>
    <w:rsid w:val="6AEB168F"/>
    <w:rsid w:val="6BCF62E6"/>
    <w:rsid w:val="6CD3A16D"/>
    <w:rsid w:val="6D535020"/>
    <w:rsid w:val="6E5F49A6"/>
    <w:rsid w:val="6EE3336E"/>
    <w:rsid w:val="6FFF37D2"/>
    <w:rsid w:val="70DE2EF1"/>
    <w:rsid w:val="74614C24"/>
    <w:rsid w:val="77BD47C9"/>
    <w:rsid w:val="78674F1D"/>
    <w:rsid w:val="7BEB1AB4"/>
    <w:rsid w:val="7C5F4108"/>
    <w:rsid w:val="7E025E91"/>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outlineLvl w:val="0"/>
    </w:pPr>
    <w:rPr>
      <w:b/>
      <w:kern w:val="44"/>
      <w:sz w:val="36"/>
    </w:rPr>
  </w:style>
  <w:style w:type="paragraph" w:styleId="4">
    <w:name w:val="heading 2"/>
    <w:basedOn w:val="1"/>
    <w:next w:val="1"/>
    <w:unhideWhenUsed/>
    <w:qFormat/>
    <w:uiPriority w:val="0"/>
    <w:pPr>
      <w:keepNext/>
      <w:keepLines/>
      <w:outlineLvl w:val="1"/>
    </w:pPr>
    <w:rPr>
      <w:b/>
      <w:sz w:val="32"/>
    </w:rPr>
  </w:style>
  <w:style w:type="paragraph" w:styleId="5">
    <w:name w:val="heading 3"/>
    <w:basedOn w:val="1"/>
    <w:next w:val="1"/>
    <w:unhideWhenUsed/>
    <w:qFormat/>
    <w:uiPriority w:val="0"/>
    <w:pPr>
      <w:keepNext/>
      <w:keepLines/>
      <w:outlineLvl w:val="2"/>
    </w:pPr>
    <w:rPr>
      <w:b/>
      <w:sz w:val="30"/>
    </w:rPr>
  </w:style>
  <w:style w:type="paragraph" w:styleId="6">
    <w:name w:val="heading 4"/>
    <w:basedOn w:val="1"/>
    <w:next w:val="1"/>
    <w:unhideWhenUsed/>
    <w:qFormat/>
    <w:uiPriority w:val="0"/>
    <w:pPr>
      <w:keepNext/>
      <w:keepLines/>
      <w:outlineLvl w:val="3"/>
    </w:pPr>
    <w:rPr>
      <w:b/>
      <w:sz w:val="28"/>
    </w:rPr>
  </w:style>
  <w:style w:type="paragraph" w:styleId="7">
    <w:name w:val="heading 5"/>
    <w:basedOn w:val="1"/>
    <w:next w:val="1"/>
    <w:unhideWhenUsed/>
    <w:qFormat/>
    <w:uiPriority w:val="0"/>
    <w:pPr>
      <w:keepNext/>
      <w:keepLines/>
      <w:outlineLvl w:val="4"/>
    </w:pPr>
    <w:rPr>
      <w:b/>
      <w:sz w:val="28"/>
    </w:rPr>
  </w:style>
  <w:style w:type="paragraph" w:styleId="8">
    <w:name w:val="heading 6"/>
    <w:basedOn w:val="1"/>
    <w:next w:val="1"/>
    <w:unhideWhenUsed/>
    <w:qFormat/>
    <w:uiPriority w:val="0"/>
    <w:pPr>
      <w:keepNext/>
      <w:keepLines/>
      <w:outlineLvl w:val="5"/>
    </w:pPr>
    <w:rPr>
      <w:b/>
      <w:sz w:val="24"/>
    </w:rPr>
  </w:style>
  <w:style w:type="paragraph" w:styleId="9">
    <w:name w:val="heading 7"/>
    <w:basedOn w:val="1"/>
    <w:next w:val="1"/>
    <w:unhideWhenUsed/>
    <w:qFormat/>
    <w:uiPriority w:val="0"/>
    <w:pPr>
      <w:keepNext/>
      <w:keepLines/>
      <w:outlineLvl w:val="6"/>
    </w:pPr>
    <w:rPr>
      <w:b/>
      <w:sz w:val="24"/>
    </w:rPr>
  </w:style>
  <w:style w:type="paragraph" w:styleId="10">
    <w:name w:val="heading 8"/>
    <w:basedOn w:val="1"/>
    <w:next w:val="1"/>
    <w:unhideWhenUsed/>
    <w:qFormat/>
    <w:uiPriority w:val="0"/>
    <w:pPr>
      <w:keepNext/>
      <w:keepLines/>
      <w:outlineLvl w:val="7"/>
    </w:pPr>
    <w:rPr>
      <w:sz w:val="24"/>
    </w:rPr>
  </w:style>
  <w:style w:type="paragraph" w:styleId="11">
    <w:name w:val="heading 9"/>
    <w:basedOn w:val="1"/>
    <w:next w:val="1"/>
    <w:unhideWhenUsed/>
    <w:qFormat/>
    <w:uiPriority w:val="0"/>
    <w:pPr>
      <w:keepNext/>
      <w:keepLines/>
      <w:outlineLvl w:val="8"/>
    </w:p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nhideWhenUsed/>
    <w:qFormat/>
    <w:uiPriority w:val="99"/>
    <w:pPr>
      <w:spacing w:after="120"/>
    </w:pPr>
  </w:style>
  <w:style w:type="paragraph" w:styleId="12">
    <w:name w:val="footer"/>
    <w:basedOn w:val="1"/>
    <w:link w:val="19"/>
    <w:qFormat/>
    <w:uiPriority w:val="0"/>
    <w:pPr>
      <w:tabs>
        <w:tab w:val="center" w:pos="4153"/>
        <w:tab w:val="right" w:pos="8306"/>
      </w:tabs>
      <w:snapToGrid w:val="0"/>
      <w:jc w:val="left"/>
    </w:pPr>
    <w:rPr>
      <w:sz w:val="18"/>
      <w:szCs w:val="18"/>
    </w:rPr>
  </w:style>
  <w:style w:type="paragraph" w:styleId="13">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页眉 字符"/>
    <w:basedOn w:val="17"/>
    <w:link w:val="13"/>
    <w:qFormat/>
    <w:uiPriority w:val="0"/>
    <w:rPr>
      <w:rFonts w:ascii="Arial" w:hAnsi="Arial" w:eastAsia="微软雅黑"/>
      <w:kern w:val="2"/>
      <w:sz w:val="18"/>
      <w:szCs w:val="18"/>
    </w:rPr>
  </w:style>
  <w:style w:type="character" w:customStyle="1" w:styleId="19">
    <w:name w:val="页脚 字符"/>
    <w:basedOn w:val="17"/>
    <w:link w:val="12"/>
    <w:qFormat/>
    <w:uiPriority w:val="0"/>
    <w:rPr>
      <w:rFonts w:ascii="Arial" w:hAnsi="Arial" w:eastAsia="微软雅黑"/>
      <w:kern w:val="2"/>
      <w:sz w:val="18"/>
      <w:szCs w:val="18"/>
    </w:rPr>
  </w:style>
  <w:style w:type="character" w:customStyle="1" w:styleId="20">
    <w:name w:val="正文文本 字符"/>
    <w:basedOn w:val="17"/>
    <w:link w:val="2"/>
    <w:qFormat/>
    <w:uiPriority w:val="99"/>
    <w:rPr>
      <w:rFonts w:ascii="Arial" w:hAnsi="Arial" w:eastAsia="微软雅黑"/>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8999</Words>
  <Characters>11052</Characters>
  <Lines>135</Lines>
  <Paragraphs>38</Paragraphs>
  <TotalTime>24</TotalTime>
  <ScaleCrop>false</ScaleCrop>
  <LinksUpToDate>false</LinksUpToDate>
  <CharactersWithSpaces>11464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HanLi</dc:creator>
  <cp:lastModifiedBy>夏天</cp:lastModifiedBy>
  <dcterms:modified xsi:type="dcterms:W3CDTF">2024-01-21T10:06:54Z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3E5691E843664B54B009FDDC9A054EE4_12</vt:lpwstr>
  </property>
</Properties>
</file>