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/>
          <w:color w:val="auto"/>
        </w:rPr>
      </w:pPr>
      <w:r>
        <w:rPr>
          <w:rFonts w:hint="eastAsia"/>
          <w:color w:val="auto"/>
        </w:rPr>
        <w:t>采购需求及要求</w:t>
      </w: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一、采购清单</w:t>
      </w:r>
    </w:p>
    <w:p>
      <w:pPr>
        <w:rPr>
          <w:rFonts w:hint="eastAsia" w:ascii="宋体" w:hAnsi="宋体" w:eastAsia="宋体" w:cs="宋体"/>
          <w:color w:val="auto"/>
          <w:sz w:val="24"/>
          <w:szCs w:val="24"/>
        </w:rPr>
      </w:pPr>
    </w:p>
    <w:tbl>
      <w:tblPr>
        <w:tblStyle w:val="8"/>
        <w:tblW w:w="432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3598"/>
        <w:gridCol w:w="1289"/>
        <w:gridCol w:w="1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5" w:type="pct"/>
            <w:vAlign w:val="center"/>
          </w:tcPr>
          <w:p>
            <w:pPr>
              <w:pStyle w:val="3"/>
              <w:spacing w:line="500" w:lineRule="exact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437" w:type="pct"/>
            <w:vAlign w:val="center"/>
          </w:tcPr>
          <w:p>
            <w:pPr>
              <w:pStyle w:val="3"/>
              <w:spacing w:line="500" w:lineRule="exact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4"/>
                <w:szCs w:val="24"/>
              </w:rPr>
              <w:t>标的名称</w:t>
            </w:r>
          </w:p>
        </w:tc>
        <w:tc>
          <w:tcPr>
            <w:tcW w:w="874" w:type="pct"/>
            <w:vAlign w:val="center"/>
          </w:tcPr>
          <w:p>
            <w:pPr>
              <w:pStyle w:val="3"/>
              <w:spacing w:line="500" w:lineRule="exact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882" w:type="pct"/>
            <w:vAlign w:val="center"/>
          </w:tcPr>
          <w:p>
            <w:pPr>
              <w:pStyle w:val="3"/>
              <w:spacing w:line="500" w:lineRule="exact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4"/>
                <w:szCs w:val="24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5" w:type="pct"/>
            <w:vAlign w:val="center"/>
          </w:tcPr>
          <w:p>
            <w:pPr>
              <w:pStyle w:val="3"/>
              <w:spacing w:line="500" w:lineRule="exact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2437" w:type="pct"/>
            <w:vAlign w:val="center"/>
          </w:tcPr>
          <w:p>
            <w:pPr>
              <w:pStyle w:val="3"/>
              <w:spacing w:line="500" w:lineRule="exact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大震震源与构造探查数据服务系统采购</w:t>
            </w:r>
          </w:p>
        </w:tc>
        <w:tc>
          <w:tcPr>
            <w:tcW w:w="874" w:type="pct"/>
            <w:vAlign w:val="center"/>
          </w:tcPr>
          <w:p>
            <w:pPr>
              <w:pStyle w:val="3"/>
              <w:spacing w:line="500" w:lineRule="exact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4"/>
                <w:szCs w:val="24"/>
              </w:rPr>
              <w:t>套</w:t>
            </w:r>
          </w:p>
        </w:tc>
        <w:tc>
          <w:tcPr>
            <w:tcW w:w="882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1</w:t>
            </w:r>
          </w:p>
        </w:tc>
      </w:tr>
    </w:tbl>
    <w:p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color w:val="auto"/>
          <w:sz w:val="28"/>
          <w:szCs w:val="28"/>
          <w:highlight w:val="yellow"/>
        </w:rPr>
      </w:pPr>
    </w:p>
    <w:p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yellow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二、配置清单</w:t>
      </w:r>
    </w:p>
    <w:tbl>
      <w:tblPr>
        <w:tblStyle w:val="8"/>
        <w:tblW w:w="4436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579"/>
        <w:gridCol w:w="51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pct"/>
            <w:vAlign w:val="center"/>
          </w:tcPr>
          <w:p>
            <w:pPr>
              <w:pStyle w:val="6"/>
              <w:tabs>
                <w:tab w:val="left" w:pos="606"/>
              </w:tabs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序号</w:t>
            </w:r>
          </w:p>
        </w:tc>
        <w:tc>
          <w:tcPr>
            <w:tcW w:w="1044" w:type="pct"/>
            <w:vAlign w:val="center"/>
          </w:tcPr>
          <w:p>
            <w:pPr>
              <w:pStyle w:val="6"/>
              <w:tabs>
                <w:tab w:val="left" w:pos="606"/>
              </w:tabs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标的名称</w:t>
            </w:r>
          </w:p>
        </w:tc>
        <w:tc>
          <w:tcPr>
            <w:tcW w:w="3424" w:type="pct"/>
            <w:vAlign w:val="center"/>
          </w:tcPr>
          <w:p>
            <w:pPr>
              <w:pStyle w:val="6"/>
              <w:tabs>
                <w:tab w:val="left" w:pos="606"/>
              </w:tabs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配置清单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pct"/>
            <w:vAlign w:val="center"/>
          </w:tcPr>
          <w:p>
            <w:pPr>
              <w:pStyle w:val="3"/>
              <w:spacing w:line="500" w:lineRule="exact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044" w:type="pct"/>
            <w:vAlign w:val="center"/>
          </w:tcPr>
          <w:p>
            <w:pPr>
              <w:pStyle w:val="3"/>
              <w:spacing w:line="500" w:lineRule="exact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大震震源与构造探查数据服务系统采购</w:t>
            </w:r>
          </w:p>
        </w:tc>
        <w:tc>
          <w:tcPr>
            <w:tcW w:w="3424" w:type="pct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4"/>
                <w:szCs w:val="24"/>
              </w:rPr>
              <w:t>见技术参数要求</w:t>
            </w:r>
          </w:p>
        </w:tc>
      </w:tr>
    </w:tbl>
    <w:p>
      <w:pPr>
        <w:pStyle w:val="6"/>
        <w:ind w:left="600" w:firstLine="0" w:firstLineChars="0"/>
        <w:rPr>
          <w:rFonts w:hint="eastAsia" w:ascii="宋体" w:hAnsi="宋体" w:eastAsia="宋体" w:cs="宋体"/>
          <w:color w:val="auto"/>
        </w:rPr>
      </w:pPr>
    </w:p>
    <w:p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三、技术参数及要求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1600"/>
        <w:gridCol w:w="6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897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序号</w:t>
            </w:r>
          </w:p>
        </w:tc>
        <w:tc>
          <w:tcPr>
            <w:tcW w:w="1600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名称</w:t>
            </w:r>
          </w:p>
        </w:tc>
        <w:tc>
          <w:tcPr>
            <w:tcW w:w="6504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技术参数及要求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1</w:t>
            </w:r>
          </w:p>
        </w:tc>
        <w:tc>
          <w:tcPr>
            <w:tcW w:w="1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大震震源与构造探查数据服务系统采购</w:t>
            </w:r>
          </w:p>
        </w:tc>
        <w:tc>
          <w:tcPr>
            <w:tcW w:w="65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bookmarkStart w:id="0" w:name="_Hlk162162705"/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一、主要工作内容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1.编制《软件需求规格说明书》、《软件详细设计文档》（含数据库设计），并通过甲方组织的专家评审。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2.完成数据服务系统建设，包含数据库设计、数据汇聚、数据管理、数据服务、应用支撑。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1）数据库设计:包含主数据库和元数据库，主数据库以最简洁高效方式存储探测数据信息，包括原始探测数据文件，文件唯一数据编码、原始存储文件名称、采集起止时间、设备名称、文件路径等，主数据存储文件具有唯一性。元数据围绕主数据库能够描述数据生产、管理、使用整个全生命周期状态，以及间接相关的信息，元数据和主数据充分关联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（2）数据汇聚： 实现宽频带、短周期密集台阵、深/浅层反射勘探、地震宽角反射/折射、活动断层野外地质调查钻探、电磁等不同类型项目探测数据和项目生产过程中属性数据上传入库，包括批量数据上传和在线数据上传等功能；实现野外数据的采集存储至数据系统缓存区域，实现与对接其他业务系统数据的抽取功能，实现多种关系型/非关系型数据库的实时在线采集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3）数据管理：实现对元数据库和主数据库编辑功能，实现审批流程各环节的编辑更改，实现主题库快速生成与发布。实现数据目录管理、数据格式转换管理、原始数据检测管理，实现成果的生成与发布，内网共享数据对外开放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4）数据服务：提供基于内外网的多种服务，实现探测数据的展示功能，包括目录树展示，地图形式展示，数据的详情展示；实现多种形式的数据查询；实现数据申请及数据共享，具备数据申请审批、数据打包下载、数据接口申请调用、原有软件与新建数据服务系统适配；实现主题库展示，根据主题库设置，展示主题内容，并提供主题库内部检索；实现成果展示，内网共享数据对外开放展示；实现数据格式转换功能；检测原始数据准确性功能；提供互联网门户；实现与系统内单位信息平台对接功能；实现数据总览统计展示，提供领导驾驶舱、大屏及数据管理员统管数据展示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3.完成已有数据入库（1项）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完成现有约102TB的数据入库,主要包括宽频带、短周期密集台阵，深/浅层反射勘探，地震宽角反射/折射、活动断层野外地质调查钻探、电磁等类型；项目数据分为探测数据和实施过程中产生的相关文件，其中探测数据主要有miniseed、sac、reftek、segy、segd、seg2、pds等格式，实施过程所产生的各类文件包含计划书、施工方案、图件、报告、成果等，文件类型有pdf、word、excel、jpg、dwg等，数据按标准入库后，既可实现数据服务的查询和数据共享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4.编制相应规章制度（1项）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编制相应的数据管理标准规范制度，包括《数据归集制度》、《数据描述规范》、《数据目录标准》、《数据接口规范》、《数据服务规范》等，满足现有数据汇聚、管理和共享工作需求，具备操作性。</w:t>
            </w:r>
          </w:p>
          <w:bookmarkEnd w:id="0"/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 xml:space="preserve">（1）数据归集制度：数据归档的数据内容、归档时间、归档规范、数据质量等文档； 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（2）数据描述规范：元数据提供规范格式文档；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（3）数据目录标准：提供数据分类分级规则；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（4）数据接口规范：数据接口访问，提出接口方式、访问方法等说明文档；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（5）数据服务规范：数据内部安全共享提供服务范围、服务方式等说明文档。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二．主要技术要求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1.总体技术要求（5项）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服务性能：服务平均响应时间&lt;3秒，支持并发数&gt;100，地图服务页面加载速度&lt;3秒，数据系统满足数据内网高速上传。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系统结构：基于B/S结构，适配常用浏览器包括Edge、Firefox、Chrome、Safari、奇安信、360。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环境要求：</w:t>
            </w:r>
            <w:bookmarkStart w:id="1" w:name="_Hlk162194333"/>
            <w:bookmarkStart w:id="2" w:name="_Hlk162037714"/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满足符合财政部、工业和信息化部数据库采购标准《数据库政府采购需求标准（2023年版）》，支持中国信息安全测评中心《安全可靠测评公告》（2023年第1号）的中央处理器（CPU）、操作系统，选用中国信息安全测评中心《安全可靠测评公告》（2023年第1号）中的数据库。</w:t>
            </w:r>
            <w:bookmarkEnd w:id="1"/>
            <w:bookmarkEnd w:id="2"/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支持 Windows、 Linux 等主流服务器操作系统。系统支持虚拟化部署方式。满足高并发、高弹性等大规模用户访问、检索的需求。 数据库服务器采用一主一备结构。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 xml:space="preserve">安全要求：具备https安全协议证书；双因素口令认证，口令长度应至少8位以上且包含大小写字母、数字、特殊字符等；工程报告、图件等可供下载的文件提供可见水印或隐形水印；所申请数据应复制一份推送到缓存库，实现调用数据与基础数据隔离。系统具有数据库备份功能。系统采集的个人数据、密码，共享地址等重要或敏感信息进行（sha256）加密存储。安全等级满足网络安全等级保护2.0二级标准要求。 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总体功能要求：具备对文档（包括pdf、word、txt、excel等）、图片（包括jpg、png、dwg、eps等）、音视频（包括wav、mp4等）在线预览，及对现有地震探测数据文件（包括miniseed、sac、reftek、segy、segd等）在线预览；提供数据预录入缓存隔离功能，所有导入数据必须经项目数据上传申请流程，审核完成后才能同步到主数据库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2.数据库设计（2项）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</w:rPr>
              <w:t>主数据设计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：满足现有约102TB探测数据存储的主数据库，能够支持现有不同的探测数据类型存储，宽频带、短周期密集台阵、深/浅层反射勘探，地震宽角反射/折射、活动断层野外地质调查钻探、电磁等。要求主数据库存储内容有原始探测数据文件（二进制流），探测数据文件编码、原始存储文件名称、采集起止时间、设备名称、原始文件路径等，主数据存储文件具有唯一性，能够保留探测数据采集时状态包括文件路径/文件夹/文件名信息，并能够完全还原。每个数据文件具有唯一数据编码，且自动提取生成，能够描述文件的项目信息、站点信息、数据类型信息等，数据编码应科学高效，能够快速查询定位到文件进行数据文件浏览调用下载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</w:rPr>
              <w:t>元数据设计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：元数据围绕主数据进行描述并充分关联，要求能够描述数据生产、数据管理、数据使用整个全生命周期状态所有属性要素，以及和主数据间接相关的属性要素。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1）数据生产阶段：包括项目管理、野外工作等涉及到的数据描述，项目管理包括开始阶段会议通知，项目合同，任务书，设计书，野外工作方案，施工方案，项目概述信息；野外工作包括采集数据过程信息，观测点位信息，测线信息等；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（2）数据管理阶段：数据描述变更，数据库属性值新增变更删除，数据流程审批；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（3）数据使用阶段：数据查询、数据统计、数据申请、日志信息等；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（4）其他和主数据间接相关要素，包括仪器信息、震源信息、项目评价验收情况、项目成果信息（包括成果，结题报告，工作图片）、已发生地震信息等。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3.数据汇聚（4项）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（1）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</w:rPr>
              <w:t>批量项目数据上传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：根据对已有不同类型探测数据的分析，实现现有类型项目物探数据的上传入库，包括科学台阵/密集台阵，深/浅层反射勘探，地震宽角反射/折射、活动断层野外地质调查等项目产生的探测数据，并实现项目生产过程中属性数据批量上传。要求在不同项目类型探测数据中自动提取部分相关属性数据，能够对应到相关数据库：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宽频带仪器：支持从上传文件路径/文件名/探测数据中提取以下信息：时间日期（年月日）设备名称，时分秒毫秒/采样数,经纬度/高程，采样率，采样开始时间，采样结束时间。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短周期仪器：支持从上传文件路径/文件名/探测数据中提取以下信息：记录开始时间，测点号，仪器号，所在省份，卫星数，经纬度/高程，记录长度（分钟），记录结束时间。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（2）项目数据上传：单个项目完整数据，包括主数据与相关属性数据。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3）数据实时上传：支持对密集台阵等项目探测设备基于互联网通信实时数据流传输，实现原始数据的实时采集并存储到数据系统缓存区域；对接Jopens等系统，实现从流服务器等介质获取存储实时探测数据到数据系统缓存区域；对采集情况可进行可视化空间管理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（4）其他系统连接：对接业绩成果库等其他业务系统满足获取业务系统数据的需求，支持多种关系型/非关系型数据库以及多种文件源。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4.数据管理（7项）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1）数据管理：提供对元数据库和主数据库编辑功能，实现数据信息内容、目录信息、标签信息的查询、添加、更新、删除功能，并对主数据与元数据进行标签添加；提供数据检索管理，实现关键字、数据类型、时空等多维度数据检索方式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2）审批流程设计：提供审批流程各环节的编辑更改，包括审批角色设置、审批内容更改、审批权限限制、审批流程更改、新建审批流程等，至少预置用户数据申请流程、项目信息内容更改申请流程、项目数据上传申请流程、数据外部开放与成果发布流程，数据接口申请流程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 xml:space="preserve">（3）数据主题库维护：提供主题库快速生成与发布，包括主题搜索设置、主题库模板编辑和信息发布。   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（4）数据目录管理，提供专业、部门、安全等多维度属性数据目录实现分类分级，数据集管理，以及数据服务资源管理，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5）数据格式转换，提供原始数据到如miniSEED、SAC等常用标准数据格式转换，实现转换任务配置和运行监控管理，支持定时、周期性任务；建立数据格式转换协议库，对开发完成的协议入库管理，协议库支持入库、更新、删除等。支持协议中的转换算法服务注册到系统以供调用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(6)数据质量检测，提供原始数据头段信息检测，提供数据检测任务配置与运行监控管理。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（7）数据外部开放与成果展示：提供成果生成与发布，包括成果模板编辑和信息发布，可发布到互联网门户。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5.数据服务（11项）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1）实现内外网目录展示：提供归档数据的目录树分类展示，包括项目名称，项目分类，采集起始时间，采集数据结束时间，省份，项目负责人等信息，页面具备条件检索功能，每条目录具备数据详情展示跳转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（2）内外网地图展示：在地图上展现已有探测数据成果，包括点、线、面的形式，具备数据详情展示跳转功能支持地图区域框选查询。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（3）实现数据详情展示，提供展示项目数据资源的详细信息。包括主数据与元数据预览，包括项目名称、项目简介等详细信息，且根据不同用户级别展示相应内容。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（4）数据共享接口功能，提供内外网数据下载、接口调用功能：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主数据下载：必须通过用户数据申请流程，完成数据申请，数据接口共享页面显示相应的下载地址及密码。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元数据下载：需选择相关项目的元数据文件类型，包括方案、报告、成果等内容进行提交，数据接口共享页面显示相应的下载地址。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数据接口调用：建立标准化的数据接口服务，通过数据接口提供服务，实现数据本地调用与远程调用，用户通过数据接口服务申请流程完成申请，数据接口共享页面显示接口地址和访问方法。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bookmarkStart w:id="3" w:name="_Hlk162194552"/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软件适配：实现包括但不限于GeoEast等软件与新建数据服务系统适配。</w:t>
            </w:r>
            <w:bookmarkEnd w:id="3"/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（5）实现内外网主题库展示功能，根据主题库设置，展示主题内容，提供主题库内部检索。至少预置部门业务主题、地震事件数据展示主题。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6）实现数据总览统计展示功能，提供领导驾驶舱、大屏展示、数据管理员统管数据展示，分为集成数据资源运营分析、数据服务运营分析、系统服务运行监控等，包括分业务类型的共享数据量统计，总共享人数统计，数据共享量统计，项目数据总个数统计等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（7）实现成果展示与数据发布功能，根据成果模板设置，展示成果内容，提供成果检索。提供对于内网可公开共享数据发布到互联网门户功能。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（8）数据工具集，用户进入功能界面，选择格式转换等功能处理。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（9）数据质量检测，用户进入功能界面，选择数据检测功能进行处理。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（10）互联网门户，建设互联网端数据服务门户网站，提供网站首页的数据更新动态、热点数据、轮播图等面向互联网的网站板块；提供账号登录和注册入口等用户服务，</w:t>
            </w:r>
            <w:bookmarkStart w:id="4" w:name="_Hlk162194640"/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实现身份认证管理，</w:t>
            </w:r>
            <w:bookmarkEnd w:id="4"/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用户可在个人中心进行信息维护，数据服务申请等；提供互动功能保证门户活跃度所开发的运营相关功能；网站运营管理后台，提供互联网门户网站各板块内容的日常维护。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（11）业务对接，提供向系统内单位信息平台对接、数据目录汇交等功能。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6.应用支撑（9项）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 xml:space="preserve">    主要提供用户管理、角色管理、权限设置、日志管理、系统数据备份、系统监控功能、地图支撑功能、统一流程引擎功能、业务接口总线功能。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（1）用户管理：包括用户注册、用户认证、密码修改、用户删除、用户角色定义等。面向互联网门户与内网门户的用户管理，包括内外网用户、个人用户与机构用户的统一管理等。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（2）角色管理：包括用户的角色定义、角色新增、删除、更新等；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（3）权限管理：包括数据服务权限、系统功能权限等；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（4）日志管理：包括系统操作日志、数据操作日志；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（5）系统数据备份功能：包括系统数据库自动备份、数据库手动备份、数据库恢复、数据库备份下载；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（6）系统监控功能，包括系统负载、内存占用、缓存空间占用、任务执行、用户数量、连接数、数据容量等数据实时在线查看与预警。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（7）地图支撑：采用WebGIS技术构建地图服务体系，提供统一的底图服务、标准化的数据分析处理工具、智能化的图层发布管理的能力。通过地图进行展现、查询、标注，能够更加直观的提供服务。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（8）统一流程引擎，采用统一流程技术框架进行管理支撑。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（9）业务接口总线，对数据管理调用服务进行统一服务总线进行管理和支撑。</w:t>
            </w:r>
          </w:p>
        </w:tc>
      </w:tr>
    </w:tbl>
    <w:p>
      <w:pPr>
        <w:spacing w:after="120"/>
        <w:rPr>
          <w:rFonts w:hint="eastAsia" w:ascii="宋体" w:hAnsi="宋体" w:eastAsia="宋体" w:cs="宋体"/>
          <w:b/>
          <w:color w:val="auto"/>
          <w:sz w:val="28"/>
          <w:szCs w:val="28"/>
        </w:rPr>
      </w:pPr>
    </w:p>
    <w:p>
      <w:pPr>
        <w:spacing w:after="120"/>
        <w:rPr>
          <w:rFonts w:hint="eastAsia" w:ascii="宋体" w:hAnsi="宋体" w:eastAsia="宋体" w:cs="宋体"/>
          <w:b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四、售后服务及培训要求</w:t>
      </w:r>
    </w:p>
    <w:tbl>
      <w:tblPr>
        <w:tblStyle w:val="8"/>
        <w:tblW w:w="489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2597"/>
        <w:gridCol w:w="4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3" w:type="pct"/>
            <w:vAlign w:val="center"/>
          </w:tcPr>
          <w:p>
            <w:pPr>
              <w:pStyle w:val="3"/>
              <w:spacing w:after="0" w:line="360" w:lineRule="auto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558" w:type="pct"/>
            <w:vAlign w:val="center"/>
          </w:tcPr>
          <w:p>
            <w:pPr>
              <w:pStyle w:val="3"/>
              <w:spacing w:after="0" w:line="360" w:lineRule="auto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4"/>
                <w:szCs w:val="24"/>
              </w:rPr>
              <w:t>标的名称</w:t>
            </w:r>
          </w:p>
        </w:tc>
        <w:tc>
          <w:tcPr>
            <w:tcW w:w="2728" w:type="pct"/>
            <w:vAlign w:val="center"/>
          </w:tcPr>
          <w:p>
            <w:pPr>
              <w:pStyle w:val="3"/>
              <w:spacing w:after="0" w:line="360" w:lineRule="auto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4"/>
                <w:szCs w:val="24"/>
              </w:rPr>
              <w:t>售后服务和培训要求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3" w:type="pct"/>
            <w:vAlign w:val="center"/>
          </w:tcPr>
          <w:p>
            <w:pPr>
              <w:pStyle w:val="3"/>
              <w:spacing w:after="0" w:line="360" w:lineRule="auto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558" w:type="pct"/>
            <w:vAlign w:val="center"/>
          </w:tcPr>
          <w:p>
            <w:pPr>
              <w:pStyle w:val="3"/>
              <w:spacing w:after="0" w:line="360" w:lineRule="auto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大震震源与构造探查数据服务系统采购</w:t>
            </w:r>
          </w:p>
        </w:tc>
        <w:tc>
          <w:tcPr>
            <w:tcW w:w="2728" w:type="pct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snapToGrid w:val="0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kern w:val="0"/>
              </w:rPr>
              <w:t>售后服务：</w:t>
            </w:r>
          </w:p>
          <w:p>
            <w:pPr>
              <w:pStyle w:val="7"/>
              <w:spacing w:line="360" w:lineRule="auto"/>
              <w:ind w:left="0"/>
              <w:rPr>
                <w:rFonts w:hint="eastAsia" w:ascii="宋体" w:hAnsi="宋体" w:eastAsia="宋体" w:cs="宋体"/>
                <w:bCs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kern w:val="0"/>
                <w:szCs w:val="21"/>
              </w:rPr>
              <w:t>1.竣工日期为本项目整体验收通过的日期。自竣工之日起，项目保修期正式开始，终身保修。</w:t>
            </w:r>
          </w:p>
          <w:p>
            <w:pPr>
              <w:spacing w:line="360" w:lineRule="auto"/>
              <w:ind w:firstLine="420" w:firstLineChars="200"/>
              <w:rPr>
                <w:rFonts w:hint="eastAsia" w:ascii="宋体" w:hAnsi="宋体" w:eastAsia="宋体" w:cs="宋体"/>
                <w:bCs/>
                <w:snapToGrid w:val="0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kern w:val="0"/>
              </w:rPr>
              <w:t>2.</w:t>
            </w:r>
            <w:bookmarkStart w:id="5" w:name="_Hlk162194837"/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kern w:val="0"/>
              </w:rPr>
              <w:t>乙方在保修期间5年内免费提供系统及数据库运维服务。</w:t>
            </w:r>
            <w:bookmarkEnd w:id="5"/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kern w:val="0"/>
              </w:rPr>
              <w:t>包括但不限于软件故障的排查解决、系统升级、</w:t>
            </w:r>
            <w:r>
              <w:rPr>
                <w:rFonts w:hint="eastAsia" w:ascii="宋体" w:hAnsi="宋体" w:eastAsia="宋体" w:cs="宋体"/>
                <w:color w:val="auto"/>
              </w:rPr>
              <w:t>用户指定的非商业软件的改造（能够实现访问本系统数据库）、</w:t>
            </w: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kern w:val="0"/>
              </w:rPr>
              <w:t>专题制作、数据入库、栏目位置调整、系统备案、增加其他安全设备的协助、设备扩容的协助等。</w:t>
            </w:r>
          </w:p>
          <w:p>
            <w:pPr>
              <w:spacing w:line="360" w:lineRule="auto"/>
              <w:ind w:firstLine="420" w:firstLineChars="200"/>
              <w:rPr>
                <w:rFonts w:hint="eastAsia" w:ascii="宋体" w:hAnsi="宋体" w:eastAsia="宋体" w:cs="宋体"/>
                <w:bCs/>
                <w:snapToGrid w:val="0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kern w:val="0"/>
              </w:rPr>
              <w:t>3.自系统投入正式运行和在保修期内，系统出现故障时，乙方实现 7*8 小时服务响应，乙方维护工程师应在接到报障后1小时内作出响应，8小时内提出有效措施加以解决。若需要现场服务，乙方应在24小时内派出专业维护人员去现场进行技术支持。由此产生的一切费用均由乙方承担。</w:t>
            </w:r>
          </w:p>
          <w:p>
            <w:pPr>
              <w:pStyle w:val="6"/>
              <w:spacing w:after="0" w:line="360" w:lineRule="auto"/>
              <w:ind w:firstLine="210"/>
              <w:rPr>
                <w:rFonts w:hint="eastAsia" w:ascii="宋体" w:hAnsi="宋体" w:eastAsia="宋体" w:cs="宋体"/>
                <w:bCs/>
                <w:snapToGrid w:val="0"/>
                <w:color w:val="auto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</w:rPr>
              <w:t>4.中标单位必须提出保修期内的维护内容和范围（产品、技术、模块等）。</w:t>
            </w:r>
          </w:p>
          <w:p>
            <w:pPr>
              <w:pStyle w:val="7"/>
              <w:spacing w:line="360" w:lineRule="auto"/>
              <w:ind w:left="0" w:firstLine="0" w:firstLineChars="0"/>
              <w:rPr>
                <w:rFonts w:hint="eastAsia" w:ascii="宋体" w:hAnsi="宋体" w:eastAsia="宋体" w:cs="宋体"/>
                <w:b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auto"/>
                <w:kern w:val="0"/>
                <w:szCs w:val="21"/>
              </w:rPr>
              <w:t>培训：</w:t>
            </w:r>
          </w:p>
          <w:p>
            <w:pPr>
              <w:spacing w:line="360" w:lineRule="auto"/>
              <w:ind w:firstLine="420" w:firstLineChars="200"/>
              <w:rPr>
                <w:rFonts w:hint="eastAsia" w:ascii="宋体" w:hAnsi="宋体" w:eastAsia="宋体" w:cs="宋体"/>
                <w:bCs/>
                <w:snapToGrid w:val="0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kern w:val="0"/>
              </w:rPr>
              <w:t>1.乙方提供详细的系统培训，培训内容应包括一般用户培训、系统管理/运维人员培训等。</w:t>
            </w:r>
          </w:p>
          <w:p>
            <w:pPr>
              <w:pStyle w:val="7"/>
              <w:spacing w:line="360" w:lineRule="auto"/>
              <w:ind w:left="0"/>
              <w:rPr>
                <w:rFonts w:hint="eastAsia" w:ascii="宋体" w:hAnsi="宋体" w:eastAsia="宋体" w:cs="宋体"/>
                <w:bCs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kern w:val="0"/>
                <w:szCs w:val="21"/>
              </w:rPr>
              <w:t>2.一般用户能够熟练操作使用；系统管理/维护人员能够全面了解系统各类功能，熟练使用系统的各项管理功能，掌握系统部署、配置流程、简单故障诊断和处理等。</w:t>
            </w:r>
          </w:p>
          <w:p>
            <w:pPr>
              <w:pStyle w:val="7"/>
              <w:spacing w:line="360" w:lineRule="auto"/>
              <w:ind w:left="0"/>
              <w:rPr>
                <w:rFonts w:hint="eastAsia" w:ascii="宋体" w:hAnsi="宋体" w:eastAsia="宋体" w:cs="宋体"/>
                <w:bCs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kern w:val="0"/>
                <w:szCs w:val="21"/>
              </w:rPr>
              <w:t>3.乙方应提供相应的完整文档，包括但不限于《系统管理手册》《用户使用手册》等。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kern w:val="0"/>
              </w:rPr>
              <w:t>4.乙方应按照不同用户制作不同的培训课件，包括但不限于PPT、视频等形式。</w:t>
            </w:r>
          </w:p>
        </w:tc>
      </w:tr>
    </w:tbl>
    <w:p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5N2M5N2I5NGZmMGMzZTk0MjlmZjkyNGY3OGE0MDkifQ=="/>
  </w:docVars>
  <w:rsids>
    <w:rsidRoot w:val="4DE10DD0"/>
    <w:rsid w:val="4DE1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ascii="Times New Roman" w:hAnsi="Times New Roman" w:eastAsia="宋体"/>
      <w:b/>
      <w:bCs/>
      <w:kern w:val="44"/>
      <w:sz w:val="36"/>
      <w:szCs w:val="44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99"/>
    <w:pPr>
      <w:spacing w:after="120"/>
    </w:pPr>
    <w:rPr>
      <w:kern w:val="0"/>
    </w:rPr>
  </w:style>
  <w:style w:type="paragraph" w:styleId="4">
    <w:name w:val="Body Text Indent"/>
    <w:basedOn w:val="1"/>
    <w:next w:val="5"/>
    <w:qFormat/>
    <w:uiPriority w:val="0"/>
    <w:pPr>
      <w:ind w:firstLine="600" w:firstLineChars="200"/>
    </w:pPr>
    <w:rPr>
      <w:rFonts w:eastAsia="楷体_GB2312"/>
      <w:sz w:val="30"/>
      <w:szCs w:val="24"/>
    </w:rPr>
  </w:style>
  <w:style w:type="paragraph" w:styleId="5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6">
    <w:name w:val="Body Text First Indent"/>
    <w:basedOn w:val="3"/>
    <w:next w:val="7"/>
    <w:qFormat/>
    <w:uiPriority w:val="0"/>
    <w:pPr>
      <w:widowControl w:val="0"/>
      <w:spacing w:after="120"/>
      <w:ind w:firstLine="420" w:firstLineChars="10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7">
    <w:name w:val="Body Text First Indent 2"/>
    <w:basedOn w:val="4"/>
    <w:next w:val="1"/>
    <w:qFormat/>
    <w:uiPriority w:val="99"/>
    <w:pPr>
      <w:ind w:left="200" w:firstLine="42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2024-05-14T04:17:00Z</dcterms:created>
  <dc:creator>Administrator</dc:creator>
  <cp:lastModifiedBy>Administrator</cp:lastModifiedBy>
  <dcterms:modified xsi:type="dcterms:W3CDTF">2024-05-14T04:17:24Z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2248CCFBB3D24BB3AB5B6E6C9D1C3792_11</vt:lpwstr>
  </property>
</Properties>
</file>