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napToGrid/>
        <w:spacing w:line="360" w:lineRule="auto"/>
        <w:ind w:left="0" w:leftChars="0"/>
        <w:jc w:val="center"/>
        <w:textAlignment w:val="auto"/>
        <w:rPr>
          <w:rFonts w:hint="eastAsia" w:eastAsia="宋体"/>
          <w:b/>
          <w:bCs/>
          <w:iCs/>
          <w:color w:val="auto"/>
          <w:sz w:val="28"/>
          <w:szCs w:val="28"/>
          <w:highlight w:val="none"/>
          <w:lang w:eastAsia="zh-CN" w:bidi="en-US"/>
        </w:rPr>
      </w:pPr>
      <w:r>
        <w:rPr>
          <w:rFonts w:hint="eastAsia"/>
          <w:b/>
          <w:bCs/>
          <w:iCs/>
          <w:color w:val="auto"/>
          <w:sz w:val="28"/>
          <w:szCs w:val="28"/>
          <w:highlight w:val="none"/>
          <w:lang w:bidi="en-US"/>
        </w:rPr>
        <w:t>洛阳师范学院部分楼宇屋面漏水维修项目</w:t>
      </w:r>
    </w:p>
    <w:p>
      <w:pPr>
        <w:pageBreakBefore w:val="0"/>
        <w:widowControl/>
        <w:kinsoku/>
        <w:wordWrap/>
        <w:overflowPunct/>
        <w:topLinePunct w:val="0"/>
        <w:autoSpaceDE/>
        <w:autoSpaceDN/>
        <w:bidi w:val="0"/>
        <w:snapToGrid/>
        <w:spacing w:line="360" w:lineRule="auto"/>
        <w:ind w:left="0" w:leftChars="0"/>
        <w:jc w:val="center"/>
        <w:textAlignment w:val="auto"/>
        <w:rPr>
          <w:b/>
          <w:bCs/>
          <w:iCs/>
          <w:color w:val="auto"/>
          <w:sz w:val="28"/>
          <w:szCs w:val="28"/>
          <w:highlight w:val="none"/>
          <w:lang w:bidi="en-US"/>
        </w:rPr>
      </w:pPr>
      <w:r>
        <w:rPr>
          <w:rFonts w:hint="eastAsia"/>
          <w:b/>
          <w:bCs/>
          <w:iCs/>
          <w:color w:val="auto"/>
          <w:sz w:val="28"/>
          <w:szCs w:val="28"/>
          <w:highlight w:val="none"/>
          <w:lang w:bidi="en-US"/>
        </w:rPr>
        <w:t>竞争性磋商公告</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项目概况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洛阳师范学院部分楼宇屋面漏水维修项目采购的潜在供应商应在《河南省公共资源交易中心》（http://www.hnggzy.com/）按要求获取采购文件，并于2024年0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日09时00分（北京时间）前提交响应文件。</w:t>
      </w:r>
    </w:p>
    <w:p>
      <w:pPr>
        <w:pageBreakBefore w:val="0"/>
        <w:numPr>
          <w:ilvl w:val="0"/>
          <w:numId w:val="1"/>
        </w:numPr>
        <w:kinsoku/>
        <w:wordWrap/>
        <w:overflowPunct/>
        <w:topLinePunct w:val="0"/>
        <w:autoSpaceDE/>
        <w:autoSpaceDN/>
        <w:bidi w:val="0"/>
        <w:adjustRightInd w:val="0"/>
        <w:snapToGrid/>
        <w:spacing w:line="360" w:lineRule="auto"/>
        <w:ind w:left="0" w:leftChars="0"/>
        <w:textAlignment w:val="auto"/>
        <w:rPr>
          <w:b/>
          <w:bCs/>
          <w:color w:val="auto"/>
          <w:szCs w:val="21"/>
          <w:highlight w:val="none"/>
        </w:rPr>
      </w:pPr>
      <w:r>
        <w:rPr>
          <w:rFonts w:hint="eastAsia"/>
          <w:b/>
          <w:bCs/>
          <w:color w:val="auto"/>
          <w:szCs w:val="21"/>
          <w:highlight w:val="none"/>
        </w:rPr>
        <w:t>项目概况与磋商范围：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采购</w:t>
      </w:r>
      <w:r>
        <w:rPr>
          <w:rFonts w:hint="eastAsia" w:ascii="宋体" w:hAnsi="宋体"/>
          <w:color w:val="auto"/>
          <w:szCs w:val="21"/>
          <w:highlight w:val="none"/>
        </w:rPr>
        <w:t>编号：豫财磋商采购-2024-404</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2.项目名称：</w:t>
      </w:r>
      <w:r>
        <w:rPr>
          <w:rFonts w:hint="eastAsia" w:ascii="宋体" w:hAnsi="宋体"/>
          <w:color w:val="auto"/>
          <w:szCs w:val="21"/>
          <w:highlight w:val="none"/>
          <w:lang w:val="en-US" w:eastAsia="zh-CN"/>
        </w:rPr>
        <w:t>洛阳师范学院部分楼宇屋面漏水维修项目；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3.采购方式：竞争性磋商</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1680" w:leftChars="200" w:hanging="1260" w:hangingChars="6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4.采购预算</w:t>
      </w:r>
      <w:r>
        <w:rPr>
          <w:rFonts w:hint="eastAsia" w:ascii="宋体" w:hAnsi="宋体"/>
          <w:color w:val="auto"/>
          <w:szCs w:val="21"/>
          <w:highlight w:val="none"/>
        </w:rPr>
        <w:t>：3663000.00元</w:t>
      </w:r>
      <w:r>
        <w:rPr>
          <w:rFonts w:hint="eastAsia" w:ascii="宋体" w:hAnsi="宋体"/>
          <w:color w:val="auto"/>
          <w:szCs w:val="21"/>
          <w:highlight w:val="none"/>
          <w:lang w:eastAsia="zh-CN"/>
        </w:rPr>
        <w:t>；</w:t>
      </w:r>
      <w:r>
        <w:rPr>
          <w:rFonts w:hint="eastAsia" w:ascii="宋体" w:hAnsi="宋体"/>
          <w:color w:val="auto"/>
          <w:szCs w:val="21"/>
          <w:highlight w:val="none"/>
        </w:rPr>
        <w:t>最高限价：3533234.75元</w:t>
      </w:r>
      <w:r>
        <w:rPr>
          <w:rFonts w:hint="eastAsia" w:ascii="宋体" w:hAnsi="宋体"/>
          <w:color w:val="auto"/>
          <w:szCs w:val="21"/>
          <w:highlight w:val="none"/>
          <w:lang w:eastAsia="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3264"/>
        <w:gridCol w:w="166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65"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包号</w:t>
            </w:r>
          </w:p>
        </w:tc>
        <w:tc>
          <w:tcPr>
            <w:tcW w:w="3264"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包名称</w:t>
            </w:r>
          </w:p>
        </w:tc>
        <w:tc>
          <w:tcPr>
            <w:tcW w:w="1665"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包预算（元）</w:t>
            </w:r>
          </w:p>
        </w:tc>
        <w:tc>
          <w:tcPr>
            <w:tcW w:w="2027"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57"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665"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豫政采(2)20240628-1</w:t>
            </w:r>
          </w:p>
        </w:tc>
        <w:tc>
          <w:tcPr>
            <w:tcW w:w="3264"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color w:val="auto"/>
                <w:szCs w:val="21"/>
                <w:highlight w:val="none"/>
              </w:rPr>
            </w:pPr>
            <w:r>
              <w:rPr>
                <w:rFonts w:hint="eastAsia" w:ascii="宋体" w:hAnsi="宋体"/>
                <w:color w:val="auto"/>
                <w:szCs w:val="21"/>
                <w:highlight w:val="none"/>
                <w:lang w:val="en-US" w:eastAsia="zh-CN"/>
              </w:rPr>
              <w:t>洛阳师范学院部分楼宇屋面漏水维修项目</w:t>
            </w:r>
          </w:p>
        </w:tc>
        <w:tc>
          <w:tcPr>
            <w:tcW w:w="1665"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color w:val="auto"/>
                <w:szCs w:val="21"/>
                <w:highlight w:val="none"/>
              </w:rPr>
            </w:pPr>
            <w:r>
              <w:rPr>
                <w:rFonts w:hint="eastAsia" w:ascii="宋体" w:hAnsi="宋体"/>
                <w:color w:val="auto"/>
                <w:szCs w:val="21"/>
                <w:highlight w:val="none"/>
              </w:rPr>
              <w:t>3663000.00</w:t>
            </w:r>
          </w:p>
        </w:tc>
        <w:tc>
          <w:tcPr>
            <w:tcW w:w="2027" w:type="dxa"/>
            <w:vAlign w:val="center"/>
          </w:tcPr>
          <w:p>
            <w:pPr>
              <w:pageBreakBefore w:val="0"/>
              <w:kinsoku/>
              <w:wordWrap/>
              <w:overflowPunct/>
              <w:topLinePunct w:val="0"/>
              <w:autoSpaceDE/>
              <w:autoSpaceDN/>
              <w:bidi w:val="0"/>
              <w:snapToGrid/>
              <w:spacing w:line="360" w:lineRule="auto"/>
              <w:ind w:left="0" w:leftChars="0"/>
              <w:jc w:val="center"/>
              <w:textAlignment w:val="auto"/>
              <w:rPr>
                <w:rFonts w:ascii="宋体" w:hAnsi="宋体" w:cs="宋体"/>
                <w:color w:val="auto"/>
                <w:szCs w:val="21"/>
                <w:highlight w:val="none"/>
              </w:rPr>
            </w:pPr>
            <w:r>
              <w:rPr>
                <w:rFonts w:hint="eastAsia" w:ascii="宋体" w:hAnsi="宋体" w:cs="宋体"/>
                <w:color w:val="auto"/>
                <w:szCs w:val="21"/>
                <w:highlight w:val="none"/>
              </w:rPr>
              <w:t>3533234.75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5.采购需求（包括但不限于标的的名称、数量、简要技术需求或服务要求等）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5.1项目概况：</w:t>
      </w:r>
      <w:r>
        <w:rPr>
          <w:rFonts w:hint="eastAsia" w:ascii="宋体" w:hAnsi="宋体"/>
          <w:color w:val="auto"/>
          <w:szCs w:val="21"/>
          <w:highlight w:val="none"/>
          <w:lang w:val="en-US" w:eastAsia="zh-CN"/>
        </w:rPr>
        <w:t>洛阳师范学院部分楼宇屋面漏水维修项目</w:t>
      </w:r>
      <w:r>
        <w:rPr>
          <w:rFonts w:hint="eastAsia" w:ascii="宋体" w:hAnsi="宋体"/>
          <w:color w:val="auto"/>
          <w:szCs w:val="21"/>
          <w:highlight w:val="none"/>
        </w:rPr>
        <w:t>位于</w:t>
      </w:r>
      <w:r>
        <w:rPr>
          <w:rFonts w:hint="eastAsia" w:ascii="宋体" w:hAnsi="宋体"/>
          <w:color w:val="auto"/>
          <w:szCs w:val="21"/>
          <w:highlight w:val="none"/>
          <w:lang w:val="en-US" w:eastAsia="zh-CN"/>
        </w:rPr>
        <w:t>洛阳师范学院院内</w:t>
      </w:r>
      <w:r>
        <w:rPr>
          <w:rFonts w:hint="eastAsia" w:ascii="宋体" w:hAnsi="宋体"/>
          <w:color w:val="auto"/>
          <w:szCs w:val="21"/>
          <w:highlight w:val="none"/>
        </w:rPr>
        <w:t>，内容包含：</w:t>
      </w:r>
      <w:r>
        <w:rPr>
          <w:rFonts w:hint="eastAsia" w:ascii="宋体" w:hAnsi="宋体"/>
          <w:color w:val="auto"/>
          <w:szCs w:val="21"/>
          <w:highlight w:val="none"/>
          <w:lang w:val="en-US" w:eastAsia="zh-CN"/>
        </w:rPr>
        <w:t>楼宇屋面漏水维修等内容</w:t>
      </w:r>
      <w:r>
        <w:rPr>
          <w:rFonts w:hint="eastAsia" w:ascii="宋体" w:hAnsi="宋体"/>
          <w:color w:val="auto"/>
          <w:szCs w:val="21"/>
          <w:highlight w:val="none"/>
        </w:rPr>
        <w:t>。（详见施工图纸及工程量清单）</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5.2项目地点：</w:t>
      </w:r>
      <w:r>
        <w:rPr>
          <w:rFonts w:hint="eastAsia" w:ascii="宋体" w:hAnsi="宋体"/>
          <w:color w:val="auto"/>
          <w:szCs w:val="21"/>
          <w:highlight w:val="none"/>
          <w:lang w:val="en-US" w:eastAsia="zh-CN"/>
        </w:rPr>
        <w:t>洛阳师范学院院内</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5.3</w:t>
      </w:r>
      <w:r>
        <w:rPr>
          <w:rFonts w:hint="eastAsia" w:ascii="宋体" w:hAnsi="宋体"/>
          <w:color w:val="auto"/>
          <w:szCs w:val="21"/>
          <w:highlight w:val="none"/>
          <w:lang w:val="en-US" w:eastAsia="zh-CN"/>
        </w:rPr>
        <w:t>采购</w:t>
      </w:r>
      <w:r>
        <w:rPr>
          <w:rFonts w:hint="eastAsia" w:ascii="宋体" w:hAnsi="宋体"/>
          <w:color w:val="auto"/>
          <w:szCs w:val="21"/>
          <w:highlight w:val="none"/>
        </w:rPr>
        <w:t>范围：磋商文件、工程量清单、图纸及补充文件（如有）等范围内所有内容</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5.4质量标准：工程质量达到合格，符合国</w:t>
      </w:r>
      <w:bookmarkStart w:id="0" w:name="_GoBack"/>
      <w:bookmarkEnd w:id="0"/>
      <w:r>
        <w:rPr>
          <w:rFonts w:hint="eastAsia" w:ascii="宋体" w:hAnsi="宋体"/>
          <w:color w:val="auto"/>
          <w:szCs w:val="21"/>
          <w:highlight w:val="none"/>
        </w:rPr>
        <w:t>家现行规范和技术标准要求</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5</w:t>
      </w:r>
      <w:r>
        <w:rPr>
          <w:rFonts w:hint="eastAsia" w:ascii="宋体" w:hAnsi="宋体"/>
          <w:color w:val="auto"/>
          <w:szCs w:val="21"/>
          <w:highlight w:val="none"/>
        </w:rPr>
        <w:t>标段划分：本项目分为1个标段</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6.合同履行期限：</w:t>
      </w:r>
      <w:r>
        <w:rPr>
          <w:rFonts w:hint="eastAsia" w:ascii="宋体" w:hAnsi="宋体"/>
          <w:color w:val="auto"/>
          <w:szCs w:val="21"/>
          <w:highlight w:val="none"/>
          <w:lang w:val="en-US" w:eastAsia="zh-CN"/>
        </w:rPr>
        <w:t>45</w:t>
      </w:r>
      <w:r>
        <w:rPr>
          <w:rFonts w:hint="eastAsia" w:ascii="宋体" w:hAnsi="宋体"/>
          <w:color w:val="auto"/>
          <w:szCs w:val="21"/>
          <w:highlight w:val="none"/>
        </w:rPr>
        <w:t>日历天</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rPr>
        <w:t>7.本项目是否接受联合体投标：否</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8.是否接受进口产品：否</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hint="eastAsia" w:ascii="宋体" w:hAnsi="宋体"/>
          <w:color w:val="auto"/>
          <w:szCs w:val="21"/>
          <w:highlight w:val="none"/>
        </w:rPr>
        <w:t>是否只面对中小型企业采购：</w:t>
      </w:r>
      <w:r>
        <w:rPr>
          <w:rFonts w:hint="eastAsia" w:ascii="宋体" w:hAnsi="宋体"/>
          <w:color w:val="auto"/>
          <w:szCs w:val="21"/>
          <w:highlight w:val="none"/>
          <w:lang w:eastAsia="zh-CN"/>
        </w:rPr>
        <w:t>是。</w:t>
      </w:r>
    </w:p>
    <w:p>
      <w:pPr>
        <w:pageBreakBefore w:val="0"/>
        <w:kinsoku/>
        <w:wordWrap/>
        <w:overflowPunct/>
        <w:topLinePunct w:val="0"/>
        <w:autoSpaceDE/>
        <w:autoSpaceDN/>
        <w:bidi w:val="0"/>
        <w:adjustRightInd w:val="0"/>
        <w:snapToGrid/>
        <w:spacing w:line="360" w:lineRule="auto"/>
        <w:ind w:left="0" w:leftChars="0"/>
        <w:textAlignment w:val="auto"/>
        <w:rPr>
          <w:b/>
          <w:bCs/>
          <w:color w:val="auto"/>
          <w:szCs w:val="21"/>
          <w:highlight w:val="none"/>
        </w:rPr>
      </w:pPr>
      <w:r>
        <w:rPr>
          <w:rFonts w:hint="eastAsia"/>
          <w:b/>
          <w:bCs/>
          <w:color w:val="auto"/>
          <w:szCs w:val="21"/>
          <w:highlight w:val="none"/>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1.符合《中华人民共和国政府采购法》第二十二条规定的条件：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2.落实政府采购政策满足的资格要求：</w:t>
      </w:r>
      <w:r>
        <w:rPr>
          <w:rFonts w:hint="eastAsia" w:ascii="宋体" w:hAnsi="宋体" w:eastAsia="宋体" w:cs="宋体"/>
          <w:color w:val="auto"/>
          <w:sz w:val="21"/>
          <w:szCs w:val="21"/>
          <w:highlight w:val="none"/>
          <w:lang w:val="en-US" w:eastAsia="zh-CN"/>
        </w:rPr>
        <w:t>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3.1资质要求：供应商须具有</w:t>
      </w:r>
      <w:r>
        <w:rPr>
          <w:rFonts w:hint="eastAsia" w:ascii="宋体" w:hAnsi="宋体"/>
          <w:color w:val="auto"/>
          <w:szCs w:val="21"/>
          <w:highlight w:val="none"/>
          <w:lang w:val="en-US" w:eastAsia="zh-CN"/>
        </w:rPr>
        <w:t>建设行政主管部门颁发的建筑工程施工</w:t>
      </w:r>
      <w:r>
        <w:rPr>
          <w:rFonts w:hint="eastAsia" w:ascii="宋体" w:hAnsi="宋体"/>
          <w:color w:val="auto"/>
          <w:szCs w:val="21"/>
          <w:highlight w:val="none"/>
        </w:rPr>
        <w:t>总承包三级及以上资质或防水防腐保温工程专业承包贰级及以上资质，且具备有效的安全生产许可证,并在人员、设备、资金等方面具有相应的施工能力；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2</w:t>
      </w:r>
      <w:r>
        <w:rPr>
          <w:rFonts w:hint="eastAsia" w:ascii="宋体" w:hAnsi="宋体"/>
          <w:color w:val="auto"/>
          <w:szCs w:val="21"/>
          <w:highlight w:val="none"/>
        </w:rPr>
        <w:t>拟派项目经理具有</w:t>
      </w:r>
      <w:r>
        <w:rPr>
          <w:rFonts w:hint="eastAsia"/>
          <w:highlight w:val="none"/>
          <w:lang w:val="en-US" w:eastAsia="zh-CN"/>
        </w:rPr>
        <w:t>建筑工程专业二级</w:t>
      </w:r>
      <w:r>
        <w:rPr>
          <w:rFonts w:hint="eastAsia" w:ascii="宋体" w:hAnsi="宋体"/>
          <w:color w:val="auto"/>
          <w:szCs w:val="21"/>
          <w:highlight w:val="none"/>
        </w:rPr>
        <w:t>及以上注册建造师资格（不含临时），并具备有效的安全生产考核合格证，且为本企业正式员工，且未担任其他在建工程项目的项目经理；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3</w:t>
      </w:r>
      <w:r>
        <w:rPr>
          <w:rFonts w:hint="eastAsia" w:ascii="宋体" w:hAnsi="宋体"/>
          <w:color w:val="auto"/>
          <w:szCs w:val="21"/>
          <w:highlight w:val="none"/>
        </w:rPr>
        <w:t>信誉要求：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根据《关于在政府采购活动中查询及使用信用记录有关问题的通知》(财库[2016]125号)和（豫采购【2016】15号）《河南省财政厅关于在政府采购活动中查询及使用信用记录有关问题的通知的通知》的规定，采购代理机构将在开标后通过“信用中国”网站的“失信被执行人（此项查询以信用中国网站自动连接至中国执行信息公开网的查询结果为准）”和“重大税收违法案件当事人名单”，“中国政府采购网”查询“政府采购严重违法失信行为记录名单（指政府采购行政处罚有效期内）”、“信用河南”网站的“失信被执行人”、“国家企业信用信息公示系统”的“严重违法失信企业名单”等渠道在资格审查环节查询供应商信用记录，被列入失信被执行人、重大税收违法案件当事人名单、政府采购严重违法失信行为记录名单及不符合《中华人民共和国政府采购法》第二十二条规定的供应商，将被拒绝参与本项目政府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业、吊销许可证或执照、较大数额罚款等行政处罚。采购代理机构将在上述信用官网上对重大违法记录所指的行政处罚进行查询。】信用信息查询记录和证据将同磋商文件等资料一同归档保存；在规定的查询时间（响应文件提交截止时间后至资格审查结束之前进行查询）之后，网站信息发生的任何变更均不再作为评审依据。供应商自行提供的与网站信息不一致的其他证明材料亦不作为资格审查的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4.供应商单位负责人为同一人或者存在直接控股、管理关系的不同单位，不得同时参与该项目；需提供“国家企业信用信息公示系统”中公示的公司信息、股东（或投资人）信息（或提供单位负责人与其他供应商不为同一人或者存在控股、管理关系的承诺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5.本次采购不允许联合投标。</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宋体" w:hAnsi="宋体"/>
          <w:b/>
          <w:bCs/>
          <w:color w:val="auto"/>
          <w:szCs w:val="21"/>
          <w:highlight w:val="none"/>
        </w:rPr>
      </w:pPr>
      <w:r>
        <w:rPr>
          <w:rFonts w:hint="eastAsia" w:ascii="宋体" w:hAnsi="宋体"/>
          <w:b/>
          <w:bCs/>
          <w:color w:val="auto"/>
          <w:szCs w:val="21"/>
          <w:highlight w:val="none"/>
        </w:rPr>
        <w:t xml:space="preserve">三、获取采购文件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1.时间：</w:t>
      </w:r>
      <w:r>
        <w:rPr>
          <w:rFonts w:hint="eastAsia" w:ascii="宋体" w:hAnsi="宋体" w:eastAsia="宋体" w:cs="宋体"/>
          <w:szCs w:val="21"/>
          <w:highlight w:val="none"/>
          <w:lang w:val="en-US" w:eastAsia="zh-CN"/>
        </w:rPr>
        <w:t>2024年</w:t>
      </w:r>
      <w:r>
        <w:rPr>
          <w:rFonts w:hint="eastAsia" w:ascii="宋体" w:hAnsi="宋体" w:cs="宋体"/>
          <w:szCs w:val="21"/>
          <w:highlight w:val="none"/>
          <w:lang w:val="en-US" w:eastAsia="zh-CN"/>
        </w:rPr>
        <w:t>05</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31</w:t>
      </w:r>
      <w:r>
        <w:rPr>
          <w:rFonts w:hint="eastAsia" w:ascii="宋体" w:hAnsi="宋体" w:eastAsia="宋体" w:cs="宋体"/>
          <w:szCs w:val="21"/>
          <w:highlight w:val="none"/>
          <w:lang w:val="en-US" w:eastAsia="zh-CN"/>
        </w:rPr>
        <w:t>日至2024年</w:t>
      </w:r>
      <w:r>
        <w:rPr>
          <w:rFonts w:hint="eastAsia" w:ascii="宋体" w:hAnsi="宋体" w:cs="宋体"/>
          <w:szCs w:val="21"/>
          <w:highlight w:val="none"/>
          <w:lang w:val="en-US" w:eastAsia="zh-CN"/>
        </w:rPr>
        <w:t>06</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06</w:t>
      </w:r>
      <w:r>
        <w:rPr>
          <w:rFonts w:hint="eastAsia" w:ascii="宋体" w:hAnsi="宋体" w:eastAsia="宋体" w:cs="宋体"/>
          <w:szCs w:val="21"/>
          <w:highlight w:val="none"/>
          <w:lang w:val="en-US" w:eastAsia="zh-CN"/>
        </w:rPr>
        <w:t>日，每</w:t>
      </w:r>
      <w:r>
        <w:rPr>
          <w:rFonts w:hint="eastAsia" w:ascii="宋体" w:hAnsi="宋体" w:eastAsia="宋体" w:cs="宋体"/>
          <w:szCs w:val="21"/>
          <w:highlight w:val="none"/>
          <w:lang w:val="en-US" w:eastAsia="zh-CN"/>
        </w:rPr>
        <w:t>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2.地点：河南省公共资源交易中心（http://www.hnggzy.com/）；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3.登录“河南省公共资源交易中心(http://www.hnggzy.com/)”门户网站，凭领取的企业身份认证锁（CA密钥）免费下载文件。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4.售价：0元。</w:t>
      </w:r>
    </w:p>
    <w:p>
      <w:pPr>
        <w:pageBreakBefore w:val="0"/>
        <w:kinsoku/>
        <w:wordWrap/>
        <w:overflowPunct/>
        <w:topLinePunct w:val="0"/>
        <w:autoSpaceDE/>
        <w:autoSpaceDN/>
        <w:bidi w:val="0"/>
        <w:snapToGrid/>
        <w:spacing w:line="360" w:lineRule="auto"/>
        <w:ind w:left="0" w:leftChars="0"/>
        <w:textAlignment w:val="auto"/>
        <w:rPr>
          <w:rFonts w:ascii="宋体" w:hAnsi="宋体"/>
          <w:b/>
          <w:bCs/>
          <w:color w:val="auto"/>
          <w:szCs w:val="21"/>
          <w:highlight w:val="none"/>
        </w:rPr>
      </w:pPr>
      <w:r>
        <w:rPr>
          <w:rFonts w:hint="eastAsia" w:ascii="宋体" w:hAnsi="宋体"/>
          <w:b/>
          <w:bCs/>
          <w:color w:val="auto"/>
          <w:szCs w:val="21"/>
          <w:highlight w:val="none"/>
        </w:rPr>
        <w:t xml:space="preserve">四、响应文件提交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1.时间：</w:t>
      </w:r>
      <w:r>
        <w:rPr>
          <w:rFonts w:hint="eastAsia" w:ascii="宋体" w:hAnsi="宋体" w:eastAsia="宋体" w:cs="宋体"/>
          <w:szCs w:val="21"/>
          <w:highlight w:val="none"/>
          <w:lang w:val="en-US" w:eastAsia="zh-CN"/>
        </w:rPr>
        <w:t>2024年</w:t>
      </w:r>
      <w:r>
        <w:rPr>
          <w:rFonts w:hint="eastAsia" w:ascii="宋体" w:hAnsi="宋体" w:cs="宋体"/>
          <w:szCs w:val="21"/>
          <w:highlight w:val="none"/>
          <w:lang w:val="en-US" w:eastAsia="zh-CN"/>
        </w:rPr>
        <w:t>06</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12</w:t>
      </w:r>
      <w:r>
        <w:rPr>
          <w:rFonts w:hint="eastAsia" w:ascii="宋体" w:hAnsi="宋体" w:eastAsia="宋体" w:cs="宋体"/>
          <w:szCs w:val="21"/>
          <w:highlight w:val="none"/>
          <w:lang w:val="en-US" w:eastAsia="zh-CN"/>
        </w:rPr>
        <w:t>日09时00分（北京时间）；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2.地点：</w:t>
      </w:r>
      <w:r>
        <w:rPr>
          <w:rFonts w:hint="eastAsia" w:ascii="宋体" w:hAnsi="宋体" w:eastAsia="宋体" w:cs="宋体"/>
          <w:szCs w:val="21"/>
          <w:highlight w:val="none"/>
          <w:lang w:val="zh-CN" w:eastAsia="zh-CN"/>
        </w:rPr>
        <w:t>河南省公共资源交易中心交易系统平台。各供应商应在响应文件提交截止时间前，通过河南省公共资源交易中心交易系统上传加密的电子响应文件。请各供应商在上传前务必认真检查上传电子响应文件是否完整、正确，加密电子响应文件逾期上传，采购人不予受理</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snapToGrid/>
        <w:spacing w:line="360" w:lineRule="auto"/>
        <w:ind w:left="0" w:leftChars="0"/>
        <w:textAlignment w:val="auto"/>
        <w:rPr>
          <w:rFonts w:ascii="宋体" w:hAnsi="宋体"/>
          <w:b/>
          <w:bCs/>
          <w:color w:val="auto"/>
          <w:szCs w:val="21"/>
          <w:highlight w:val="none"/>
        </w:rPr>
      </w:pPr>
      <w:r>
        <w:rPr>
          <w:rFonts w:hint="eastAsia" w:ascii="宋体" w:hAnsi="宋体"/>
          <w:b/>
          <w:bCs/>
          <w:color w:val="auto"/>
          <w:szCs w:val="21"/>
          <w:highlight w:val="none"/>
        </w:rPr>
        <w:t xml:space="preserve">五、响应文件开启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zh-CN"/>
        </w:rPr>
        <w:t>1.时间：</w:t>
      </w:r>
      <w:r>
        <w:rPr>
          <w:rFonts w:hint="eastAsia" w:ascii="宋体" w:hAnsi="宋体" w:eastAsia="宋体" w:cs="宋体"/>
          <w:szCs w:val="21"/>
          <w:highlight w:val="none"/>
          <w:lang w:val="en-US" w:eastAsia="zh-CN"/>
        </w:rPr>
        <w:t>2024年</w:t>
      </w:r>
      <w:r>
        <w:rPr>
          <w:rFonts w:hint="eastAsia" w:ascii="宋体" w:hAnsi="宋体" w:cs="宋体"/>
          <w:szCs w:val="21"/>
          <w:highlight w:val="none"/>
          <w:lang w:val="en-US" w:eastAsia="zh-CN"/>
        </w:rPr>
        <w:t>06</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12</w:t>
      </w:r>
      <w:r>
        <w:rPr>
          <w:rFonts w:hint="eastAsia" w:ascii="宋体" w:hAnsi="宋体" w:eastAsia="宋体" w:cs="宋体"/>
          <w:szCs w:val="21"/>
          <w:highlight w:val="none"/>
          <w:lang w:val="en-US" w:eastAsia="zh-CN"/>
        </w:rPr>
        <w:t>日09时00分（北京时间）；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2.地点：河南省公共资源交易中心远程开标室</w:t>
      </w:r>
      <w:r>
        <w:rPr>
          <w:rFonts w:hint="eastAsia" w:ascii="宋体" w:hAnsi="宋体" w:eastAsia="宋体" w:cs="宋体"/>
          <w:szCs w:val="21"/>
          <w:highlight w:val="none"/>
          <w:lang w:val="zh-CN" w:eastAsia="zh-CN"/>
        </w:rPr>
        <w:t>(</w:t>
      </w:r>
      <w:r>
        <w:rPr>
          <w:rFonts w:hint="eastAsia" w:ascii="宋体" w:hAnsi="宋体" w:cs="宋体"/>
          <w:szCs w:val="21"/>
          <w:highlight w:val="none"/>
          <w:lang w:val="zh-CN" w:eastAsia="zh-CN"/>
        </w:rPr>
        <w:t>五</w:t>
      </w: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3</w:t>
      </w:r>
      <w:r>
        <w:rPr>
          <w:rFonts w:hint="eastAsia" w:ascii="宋体" w:hAnsi="宋体" w:eastAsia="宋体" w:cs="宋体"/>
          <w:szCs w:val="21"/>
          <w:highlight w:val="none"/>
          <w:lang w:val="zh-CN" w:eastAsia="zh-CN"/>
        </w:rPr>
        <w:t>（郑州市经二路12号（经二路与纬四路向南50米路西））。本项目采用“远程不见面”开启方式，供应商无需到现场，供应商应当在响应文件提交截止时间前，供应商凭CA数字证书，进入河南省公共资源交易中心系统平台，按提示在规定时间内进行文件解密、答疑澄清、磋商报价等。（详细流程见河南省公共资源交易中心网站-公共服务-办事指南-河南省公共资源交易平台不见面服务系统使用指南）。</w:t>
      </w:r>
    </w:p>
    <w:p>
      <w:pPr>
        <w:pageBreakBefore w:val="0"/>
        <w:kinsoku/>
        <w:wordWrap/>
        <w:overflowPunct/>
        <w:topLinePunct w:val="0"/>
        <w:autoSpaceDE/>
        <w:autoSpaceDN/>
        <w:bidi w:val="0"/>
        <w:snapToGrid/>
        <w:spacing w:line="360" w:lineRule="auto"/>
        <w:ind w:left="0" w:leftChars="0"/>
        <w:textAlignment w:val="auto"/>
        <w:rPr>
          <w:rFonts w:ascii="宋体" w:hAnsi="宋体"/>
          <w:b/>
          <w:bCs/>
          <w:color w:val="auto"/>
          <w:szCs w:val="21"/>
          <w:highlight w:val="none"/>
        </w:rPr>
      </w:pPr>
      <w:r>
        <w:rPr>
          <w:rFonts w:hint="eastAsia" w:ascii="宋体" w:hAnsi="宋体"/>
          <w:b/>
          <w:bCs/>
          <w:color w:val="auto"/>
          <w:szCs w:val="21"/>
          <w:highlight w:val="none"/>
        </w:rPr>
        <w:t xml:space="preserve">六、发布公告的媒介及招标公告期限 </w:t>
      </w:r>
    </w:p>
    <w:p>
      <w:pPr>
        <w:pageBreakBefore w:val="0"/>
        <w:kinsoku/>
        <w:wordWrap/>
        <w:overflowPunct/>
        <w:topLinePunct w:val="0"/>
        <w:autoSpaceDE/>
        <w:autoSpaceDN/>
        <w:bidi w:val="0"/>
        <w:snapToGrid/>
        <w:spacing w:line="360" w:lineRule="auto"/>
        <w:ind w:left="0" w:leftChars="0" w:firstLine="420" w:firstLineChars="200"/>
        <w:textAlignment w:val="auto"/>
        <w:rPr>
          <w:rFonts w:ascii="宋体" w:hAnsi="宋体"/>
          <w:color w:val="auto"/>
          <w:szCs w:val="21"/>
          <w:highlight w:val="none"/>
          <w:lang w:val="zh-CN"/>
        </w:rPr>
      </w:pPr>
      <w:r>
        <w:rPr>
          <w:rFonts w:hint="eastAsia" w:ascii="宋体" w:hAnsi="宋体"/>
          <w:color w:val="auto"/>
          <w:szCs w:val="21"/>
          <w:highlight w:val="none"/>
          <w:lang w:val="zh-CN"/>
        </w:rPr>
        <w:t>本次招标公告在《河南省政府采购网》、《河南省公共资源交易中心网》、《洛阳师范学院国有资产管理处（招标与采购办公室）网站》上发布，</w:t>
      </w:r>
      <w:r>
        <w:rPr>
          <w:rFonts w:hint="eastAsia" w:ascii="宋体" w:hAnsi="宋体"/>
          <w:color w:val="auto"/>
          <w:szCs w:val="21"/>
          <w:highlight w:val="none"/>
          <w:lang w:val="zh-CN" w:eastAsia="zh-CN"/>
        </w:rPr>
        <w:t>磋商公告期限为三个工作日。</w:t>
      </w:r>
    </w:p>
    <w:p>
      <w:pPr>
        <w:pageBreakBefore w:val="0"/>
        <w:kinsoku/>
        <w:wordWrap/>
        <w:overflowPunct/>
        <w:topLinePunct w:val="0"/>
        <w:autoSpaceDE/>
        <w:autoSpaceDN/>
        <w:bidi w:val="0"/>
        <w:snapToGrid/>
        <w:spacing w:line="360" w:lineRule="auto"/>
        <w:ind w:left="0" w:leftChars="0"/>
        <w:textAlignment w:val="auto"/>
        <w:rPr>
          <w:rFonts w:ascii="宋体" w:hAnsi="宋体"/>
          <w:b/>
          <w:bCs/>
          <w:color w:val="auto"/>
          <w:szCs w:val="21"/>
          <w:highlight w:val="none"/>
        </w:rPr>
      </w:pPr>
      <w:r>
        <w:rPr>
          <w:rFonts w:hint="eastAsia" w:ascii="宋体" w:hAnsi="宋体"/>
          <w:b/>
          <w:bCs/>
          <w:color w:val="auto"/>
          <w:szCs w:val="21"/>
          <w:highlight w:val="none"/>
        </w:rPr>
        <w:t xml:space="preserve">七、其他补充事宜 </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本项目需要落实的政府采购政策：《政府采购促进中小企业发展暂行办法》、《关于政府采购支持监狱企业发展有关问题的通知》、《关于促进残疾人就业政府采购政策的通知》、《河南省政府采购合同融资政策告知函》等。</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2.规定的截止时间前，供应商在河南省公共资源交易中心网系统内进行网上上传响应文件。</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供应商无需到现场，到开启时间，供应商凭CA秘钥进入河南省公共资源交易中心系统平台，按提示进行响应文件的解密（详细流程见河南省公共资源交易中心网站-公共服务-办事指南-河南省公共资源交易平台不见面服务系统使用指南）。</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lang w:val="en-US" w:eastAsia="zh-CN"/>
        </w:rPr>
        <w:t>4.采购代理服务费的收取：采购代理服务费由成交供应商支付，采购代理服务费参照河南省招标投标协会《河南省招标代理服务收费指导意见》（豫招协【2023】002号）文件规定的收费标准收取</w:t>
      </w:r>
      <w:r>
        <w:rPr>
          <w:rFonts w:hint="eastAsia" w:ascii="宋体" w:hAnsi="宋体" w:eastAsia="宋体" w:cs="Times New Roman"/>
          <w:color w:val="auto"/>
          <w:szCs w:val="21"/>
          <w:highlight w:val="none"/>
          <w:lang w:val="zh-CN" w:eastAsia="zh-CN"/>
        </w:rPr>
        <w:t>。</w:t>
      </w:r>
    </w:p>
    <w:p>
      <w:pPr>
        <w:pageBreakBefore w:val="0"/>
        <w:kinsoku/>
        <w:wordWrap/>
        <w:overflowPunct/>
        <w:topLinePunct w:val="0"/>
        <w:autoSpaceDE/>
        <w:autoSpaceDN/>
        <w:bidi w:val="0"/>
        <w:snapToGrid/>
        <w:spacing w:line="360" w:lineRule="auto"/>
        <w:ind w:left="0" w:leftChars="0"/>
        <w:textAlignment w:val="auto"/>
        <w:rPr>
          <w:rFonts w:ascii="宋体" w:hAnsi="宋体"/>
          <w:b/>
          <w:bCs/>
          <w:color w:val="auto"/>
          <w:szCs w:val="21"/>
          <w:highlight w:val="none"/>
        </w:rPr>
      </w:pPr>
      <w:r>
        <w:rPr>
          <w:rFonts w:hint="eastAsia" w:ascii="宋体" w:hAnsi="宋体"/>
          <w:b/>
          <w:bCs/>
          <w:color w:val="auto"/>
          <w:szCs w:val="21"/>
          <w:highlight w:val="none"/>
        </w:rPr>
        <w:t xml:space="preserve">八、凡对本次招标提出询问，请按照以下方式联系 </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1.采购人：洛阳师范学院</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地  址：伊滨区吉庆路6号</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联 系 人：王昭阳 </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联系电话：0379-68618249</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2.采购代理机构：智博国际工程咨询有限公司</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地  址：郑州市西三环与北三环交叉口国家大学科技园（东区）18号楼D座2层</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联系人：刘勇琪、黄天鹏、刘莎、徐远中、吴金华</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电  话：0371-68638111</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3.项目联系方式</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项目联系人：刘勇琪、黄天鹏、刘莎</w:t>
      </w:r>
    </w:p>
    <w:p>
      <w:pPr>
        <w:pageBreakBefore w:val="0"/>
        <w:kinsoku/>
        <w:wordWrap/>
        <w:overflowPunct/>
        <w:topLinePunct w:val="0"/>
        <w:autoSpaceDE/>
        <w:autoSpaceDN/>
        <w:bidi w:val="0"/>
        <w:snapToGrid/>
        <w:spacing w:line="360" w:lineRule="auto"/>
        <w:ind w:left="0" w:leftChars="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联系方式：0371-68638111</w:t>
      </w:r>
    </w:p>
    <w:p>
      <w:pPr>
        <w:pageBreakBefore w:val="0"/>
        <w:kinsoku/>
        <w:wordWrap/>
        <w:overflowPunct/>
        <w:topLinePunct w:val="0"/>
        <w:autoSpaceDE/>
        <w:autoSpaceDN/>
        <w:bidi w:val="0"/>
        <w:snapToGrid/>
        <w:spacing w:line="360" w:lineRule="auto"/>
        <w:ind w:left="0" w:leftChars="0"/>
        <w:textAlignment w:val="auto"/>
        <w:rPr>
          <w:color w:val="auto"/>
          <w:highlight w:val="none"/>
        </w:rPr>
      </w:pPr>
    </w:p>
    <w:p>
      <w:pPr>
        <w:pageBreakBefore w:val="0"/>
        <w:kinsoku/>
        <w:wordWrap/>
        <w:overflowPunct/>
        <w:topLinePunct w:val="0"/>
        <w:autoSpaceDE/>
        <w:autoSpaceDN/>
        <w:bidi w:val="0"/>
        <w:snapToGrid/>
        <w:spacing w:line="360" w:lineRule="auto"/>
        <w:ind w:left="0" w:leftChars="0" w:firstLine="210" w:firstLineChars="100"/>
        <w:jc w:val="right"/>
        <w:textAlignment w:val="auto"/>
        <w:rPr>
          <w:rFonts w:ascii="宋体" w:hAnsi="宋体" w:cs="宋体"/>
          <w:color w:val="auto"/>
          <w:szCs w:val="21"/>
          <w:highlight w:val="none"/>
        </w:rPr>
      </w:pPr>
    </w:p>
    <w:p>
      <w:pPr>
        <w:pageBreakBefore w:val="0"/>
        <w:kinsoku/>
        <w:wordWrap/>
        <w:overflowPunct/>
        <w:topLinePunct w:val="0"/>
        <w:autoSpaceDE/>
        <w:autoSpaceDN/>
        <w:bidi w:val="0"/>
        <w:snapToGrid/>
        <w:spacing w:line="360" w:lineRule="auto"/>
        <w:ind w:left="0" w:leftChars="0" w:firstLine="210" w:firstLineChars="100"/>
        <w:jc w:val="right"/>
        <w:textAlignment w:val="auto"/>
        <w:rPr>
          <w:rFonts w:ascii="宋体" w:hAnsi="宋体" w:cs="宋体"/>
          <w:color w:val="auto"/>
          <w:szCs w:val="21"/>
          <w:highlight w:val="none"/>
        </w:rPr>
      </w:pPr>
      <w:r>
        <w:rPr>
          <w:rFonts w:hint="eastAsia" w:ascii="宋体" w:hAnsi="宋体" w:cs="宋体"/>
          <w:color w:val="auto"/>
          <w:szCs w:val="21"/>
          <w:highlight w:val="none"/>
        </w:rPr>
        <w:t>发布人：智博国际工程咨询有限公司</w:t>
      </w:r>
    </w:p>
    <w:p>
      <w:pPr>
        <w:pageBreakBefore w:val="0"/>
        <w:kinsoku/>
        <w:wordWrap/>
        <w:overflowPunct/>
        <w:topLinePunct w:val="0"/>
        <w:autoSpaceDE/>
        <w:autoSpaceDN/>
        <w:bidi w:val="0"/>
        <w:snapToGrid/>
        <w:spacing w:line="360" w:lineRule="auto"/>
        <w:ind w:left="0" w:leftChars="0" w:firstLine="210" w:firstLineChars="100"/>
        <w:jc w:val="right"/>
        <w:textAlignment w:val="auto"/>
        <w:rPr>
          <w:rFonts w:ascii="宋体" w:hAnsi="宋体" w:cs="宋体"/>
          <w:color w:val="auto"/>
          <w:szCs w:val="21"/>
          <w:highlight w:val="none"/>
        </w:rPr>
      </w:pPr>
      <w:r>
        <w:rPr>
          <w:rFonts w:hint="eastAsia" w:ascii="宋体" w:hAnsi="宋体" w:cs="宋体"/>
          <w:color w:val="auto"/>
          <w:szCs w:val="21"/>
          <w:highlight w:val="none"/>
        </w:rPr>
        <w:t>日  期：202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2I0ODJlNTM3NGIxOTJmNTMwNDBjZTE2MTFlZDIifQ=="/>
  </w:docVars>
  <w:rsids>
    <w:rsidRoot w:val="1B680125"/>
    <w:rsid w:val="19BF7295"/>
    <w:rsid w:val="1B680125"/>
    <w:rsid w:val="428761B5"/>
    <w:rsid w:val="74C2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2024-05-30T02:44:00Z</dcterms:created>
  <dc:creator>NTKO</dc:creator>
  <cp:lastModifiedBy>NTKO</cp:lastModifiedBy>
  <dcterms:modified xsi:type="dcterms:W3CDTF">2024-05-30T02:51:28Z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12EE9D18C37F4B7C8F417DB07D7D4440_11</vt:lpwstr>
  </property>
</Properties>
</file>