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cente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河南大学第一附属医院双能X射线骨密度仪项目</w:t>
      </w:r>
    </w:p>
    <w:p>
      <w:pPr>
        <w:snapToGrid w:val="0"/>
        <w:spacing w:line="360" w:lineRule="auto"/>
        <w:jc w:val="center"/>
        <w:rPr>
          <w:rFonts w:hint="eastAsia" w:ascii="宋体" w:hAnsi="宋体" w:cs="宋体"/>
          <w:b/>
          <w:bCs/>
          <w:sz w:val="24"/>
          <w:szCs w:val="24"/>
          <w:highlight w:val="none"/>
        </w:rPr>
      </w:pPr>
      <w:r>
        <w:rPr>
          <w:rFonts w:hint="eastAsia" w:ascii="宋体" w:hAnsi="宋体" w:cs="宋体"/>
          <w:b/>
          <w:bCs/>
          <w:sz w:val="24"/>
          <w:szCs w:val="24"/>
          <w:highlight w:val="none"/>
        </w:rPr>
        <w:t>公开招标公告</w:t>
      </w:r>
    </w:p>
    <w:p>
      <w:pPr>
        <w:spacing w:line="360" w:lineRule="auto"/>
        <w:rPr>
          <w:rFonts w:ascii="宋体" w:hAnsi="宋体" w:cs="宋体"/>
          <w:szCs w:val="21"/>
          <w:highlight w:val="none"/>
        </w:rPr>
      </w:pPr>
      <w:r>
        <w:rPr>
          <w:rFonts w:hint="eastAsia" w:ascii="宋体" w:hAnsi="宋体" w:cs="宋体"/>
          <w:szCs w:val="21"/>
          <w:highlight w:val="none"/>
        </w:rPr>
        <w:t>项目概况</w:t>
      </w:r>
    </w:p>
    <w:p>
      <w:pPr>
        <w:spacing w:line="360" w:lineRule="auto"/>
        <w:ind w:firstLine="420" w:firstLineChars="200"/>
        <w:rPr>
          <w:rFonts w:ascii="宋体" w:hAnsi="宋体" w:cs="宋体"/>
          <w:szCs w:val="21"/>
          <w:highlight w:val="none"/>
        </w:rPr>
      </w:pPr>
      <w:r>
        <w:rPr>
          <w:rFonts w:hint="eastAsia" w:ascii="宋体" w:hAnsi="宋体" w:cs="宋体"/>
          <w:szCs w:val="21"/>
          <w:highlight w:val="none"/>
          <w:lang w:val="en-US" w:eastAsia="zh-CN"/>
        </w:rPr>
        <w:t>河南大学第一附属医院双能X射线骨密度仪项目</w:t>
      </w:r>
      <w:r>
        <w:rPr>
          <w:rFonts w:hint="eastAsia" w:ascii="宋体" w:hAnsi="宋体" w:cs="宋体"/>
          <w:szCs w:val="21"/>
          <w:highlight w:val="none"/>
        </w:rPr>
        <w:t>的潜在供应商应《河南省公共资源交易中心》</w:t>
      </w:r>
      <w:r>
        <w:rPr>
          <w:rFonts w:hint="eastAsia" w:ascii="宋体" w:hAnsi="宋体" w:cs="宋体"/>
          <w:szCs w:val="21"/>
          <w:highlight w:val="none"/>
          <w:lang w:val="en-US" w:eastAsia="zh-CN"/>
        </w:rPr>
        <w:t>（http：//http://www.hnggzy.com/）</w:t>
      </w:r>
      <w:r>
        <w:rPr>
          <w:rFonts w:hint="eastAsia" w:ascii="宋体" w:hAnsi="宋体" w:cs="宋体"/>
          <w:szCs w:val="21"/>
          <w:highlight w:val="none"/>
        </w:rPr>
        <w:t>按要求获取采购文件，并于202</w:t>
      </w:r>
      <w:r>
        <w:rPr>
          <w:rFonts w:hint="eastAsia" w:ascii="宋体" w:hAnsi="宋体" w:cs="宋体"/>
          <w:szCs w:val="21"/>
          <w:highlight w:val="none"/>
          <w:lang w:val="en-US" w:eastAsia="zh-CN"/>
        </w:rPr>
        <w:t>4</w:t>
      </w:r>
      <w:r>
        <w:rPr>
          <w:rFonts w:hint="eastAsia" w:ascii="宋体" w:hAnsi="宋体" w:cs="宋体"/>
          <w:szCs w:val="21"/>
          <w:highlight w:val="none"/>
        </w:rPr>
        <w:t>年</w:t>
      </w:r>
      <w:r>
        <w:rPr>
          <w:rFonts w:hint="eastAsia" w:ascii="宋体" w:hAnsi="宋体" w:cs="宋体"/>
          <w:szCs w:val="21"/>
          <w:highlight w:val="none"/>
          <w:lang w:val="en-US" w:eastAsia="zh-CN"/>
        </w:rPr>
        <w:t>07</w:t>
      </w:r>
      <w:r>
        <w:rPr>
          <w:rFonts w:hint="eastAsia" w:ascii="宋体" w:hAnsi="宋体" w:cs="宋体"/>
          <w:szCs w:val="21"/>
          <w:highlight w:val="none"/>
        </w:rPr>
        <w:t>月</w:t>
      </w:r>
      <w:r>
        <w:rPr>
          <w:rFonts w:hint="eastAsia" w:ascii="宋体" w:hAnsi="宋体" w:cs="宋体"/>
          <w:szCs w:val="21"/>
          <w:highlight w:val="none"/>
          <w:lang w:val="en-US" w:eastAsia="zh-CN"/>
        </w:rPr>
        <w:t>21</w:t>
      </w:r>
      <w:r>
        <w:rPr>
          <w:rFonts w:hint="eastAsia" w:ascii="宋体" w:hAnsi="宋体" w:cs="宋体"/>
          <w:szCs w:val="21"/>
          <w:highlight w:val="none"/>
        </w:rPr>
        <w:t>日09时00分（北京时间）前递交投标文件。</w:t>
      </w:r>
    </w:p>
    <w:p>
      <w:pPr>
        <w:spacing w:line="360" w:lineRule="auto"/>
        <w:rPr>
          <w:rFonts w:hint="eastAsia" w:ascii="宋体" w:hAnsi="宋体" w:cs="宋体"/>
          <w:b/>
          <w:bCs/>
          <w:szCs w:val="21"/>
          <w:highlight w:val="none"/>
        </w:rPr>
      </w:pPr>
      <w:r>
        <w:rPr>
          <w:rFonts w:hint="eastAsia" w:ascii="宋体" w:hAnsi="宋体" w:cs="宋体"/>
          <w:b/>
          <w:bCs/>
          <w:szCs w:val="21"/>
          <w:highlight w:val="none"/>
        </w:rPr>
        <w:t>一、项目基本情况</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1、采购编号：</w:t>
      </w:r>
      <w:r>
        <w:rPr>
          <w:rFonts w:hint="eastAsia" w:ascii="宋体" w:hAnsi="宋体" w:cs="宋体"/>
          <w:szCs w:val="21"/>
          <w:highlight w:val="none"/>
          <w:lang w:val="en-US" w:eastAsia="zh-CN"/>
        </w:rPr>
        <w:t>豫财招标采购-2024-693；</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2、项目名称：</w:t>
      </w:r>
      <w:r>
        <w:rPr>
          <w:rFonts w:hint="eastAsia" w:ascii="宋体" w:hAnsi="宋体" w:cs="宋体"/>
          <w:szCs w:val="21"/>
          <w:highlight w:val="none"/>
          <w:lang w:val="en-US" w:eastAsia="zh-CN"/>
        </w:rPr>
        <w:t>河南大学第一附属医院双能X射线骨密度仪项目</w:t>
      </w:r>
      <w:r>
        <w:rPr>
          <w:rFonts w:hint="eastAsia" w:ascii="宋体" w:hAnsi="宋体" w:cs="宋体"/>
          <w:szCs w:val="21"/>
          <w:highlight w:val="none"/>
        </w:rPr>
        <w:t>；</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3、采购方式：公开招标；</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w:t>
      </w:r>
      <w:r>
        <w:rPr>
          <w:rFonts w:hint="eastAsia" w:ascii="宋体" w:hAnsi="宋体"/>
          <w:szCs w:val="21"/>
          <w:highlight w:val="none"/>
        </w:rPr>
        <w:t>预算金额：</w:t>
      </w:r>
      <w:r>
        <w:rPr>
          <w:rFonts w:hint="eastAsia" w:ascii="宋体" w:hAnsi="宋体"/>
          <w:szCs w:val="21"/>
          <w:highlight w:val="none"/>
          <w:lang w:val="en-US" w:eastAsia="zh-CN"/>
        </w:rPr>
        <w:t>19</w:t>
      </w:r>
      <w:r>
        <w:rPr>
          <w:rFonts w:hint="eastAsia" w:ascii="宋体" w:hAnsi="宋体"/>
          <w:szCs w:val="21"/>
          <w:highlight w:val="none"/>
        </w:rPr>
        <w:t>00000.00元；最高限价：</w:t>
      </w:r>
      <w:r>
        <w:rPr>
          <w:rFonts w:hint="eastAsia" w:ascii="宋体" w:hAnsi="宋体"/>
          <w:szCs w:val="21"/>
          <w:highlight w:val="none"/>
          <w:lang w:val="en-US" w:eastAsia="zh-CN"/>
        </w:rPr>
        <w:t>19</w:t>
      </w:r>
      <w:r>
        <w:rPr>
          <w:rFonts w:hint="eastAsia" w:ascii="宋体" w:hAnsi="宋体"/>
          <w:szCs w:val="21"/>
          <w:highlight w:val="none"/>
        </w:rPr>
        <w:t>00000.00元；</w:t>
      </w:r>
    </w:p>
    <w:tbl>
      <w:tblPr>
        <w:tblStyle w:val="2"/>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81"/>
        <w:gridCol w:w="3974"/>
        <w:gridCol w:w="1625"/>
        <w:gridCol w:w="1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33" w:type="dxa"/>
            <w:noWrap w:val="0"/>
            <w:vAlign w:val="center"/>
          </w:tcPr>
          <w:p>
            <w:pPr>
              <w:spacing w:line="360" w:lineRule="auto"/>
              <w:jc w:val="center"/>
              <w:rPr>
                <w:rFonts w:hint="eastAsia" w:ascii="宋体" w:hAnsi="宋体" w:cs="宋体"/>
                <w:b/>
                <w:bCs/>
                <w:szCs w:val="21"/>
                <w:highlight w:val="none"/>
                <w:lang w:val="zh-CN"/>
              </w:rPr>
            </w:pPr>
            <w:r>
              <w:rPr>
                <w:rFonts w:hint="eastAsia" w:ascii="宋体" w:hAnsi="宋体" w:cs="宋体"/>
                <w:b/>
                <w:bCs/>
                <w:szCs w:val="21"/>
                <w:highlight w:val="none"/>
                <w:lang w:val="zh-CN"/>
              </w:rPr>
              <w:t>序号</w:t>
            </w:r>
          </w:p>
        </w:tc>
        <w:tc>
          <w:tcPr>
            <w:tcW w:w="1581" w:type="dxa"/>
            <w:noWrap w:val="0"/>
            <w:vAlign w:val="center"/>
          </w:tcPr>
          <w:p>
            <w:pPr>
              <w:spacing w:line="360" w:lineRule="auto"/>
              <w:jc w:val="center"/>
              <w:rPr>
                <w:rFonts w:hint="eastAsia" w:ascii="宋体" w:hAnsi="宋体" w:cs="宋体"/>
                <w:b/>
                <w:bCs/>
                <w:szCs w:val="21"/>
                <w:highlight w:val="none"/>
                <w:lang w:val="zh-CN"/>
              </w:rPr>
            </w:pPr>
            <w:r>
              <w:rPr>
                <w:rFonts w:hint="eastAsia" w:ascii="宋体" w:hAnsi="宋体" w:cs="宋体"/>
                <w:b/>
                <w:bCs/>
                <w:szCs w:val="21"/>
                <w:highlight w:val="none"/>
              </w:rPr>
              <w:t>包号</w:t>
            </w:r>
          </w:p>
        </w:tc>
        <w:tc>
          <w:tcPr>
            <w:tcW w:w="3974" w:type="dxa"/>
            <w:noWrap w:val="0"/>
            <w:vAlign w:val="center"/>
          </w:tcPr>
          <w:p>
            <w:pPr>
              <w:spacing w:line="360" w:lineRule="auto"/>
              <w:jc w:val="center"/>
              <w:rPr>
                <w:rFonts w:hint="eastAsia" w:ascii="宋体" w:hAnsi="宋体" w:cs="宋体"/>
                <w:b/>
                <w:bCs/>
                <w:szCs w:val="21"/>
                <w:highlight w:val="none"/>
                <w:lang w:val="zh-CN"/>
              </w:rPr>
            </w:pPr>
            <w:r>
              <w:rPr>
                <w:rFonts w:hint="eastAsia" w:ascii="宋体" w:hAnsi="宋体" w:cs="宋体"/>
                <w:b/>
                <w:bCs/>
                <w:szCs w:val="21"/>
                <w:highlight w:val="none"/>
                <w:lang w:val="zh-CN"/>
              </w:rPr>
              <w:t>包名称</w:t>
            </w:r>
          </w:p>
        </w:tc>
        <w:tc>
          <w:tcPr>
            <w:tcW w:w="1625" w:type="dxa"/>
            <w:noWrap w:val="0"/>
            <w:vAlign w:val="center"/>
          </w:tcPr>
          <w:p>
            <w:pPr>
              <w:spacing w:line="360" w:lineRule="auto"/>
              <w:jc w:val="center"/>
              <w:rPr>
                <w:rFonts w:hint="eastAsia" w:ascii="宋体" w:hAnsi="宋体" w:cs="宋体"/>
                <w:b/>
                <w:bCs/>
                <w:szCs w:val="21"/>
                <w:highlight w:val="none"/>
                <w:lang w:val="zh-CN"/>
              </w:rPr>
            </w:pPr>
            <w:r>
              <w:rPr>
                <w:rFonts w:hint="eastAsia" w:ascii="宋体" w:hAnsi="宋体" w:cs="宋体"/>
                <w:b/>
                <w:bCs/>
                <w:szCs w:val="21"/>
                <w:highlight w:val="none"/>
                <w:lang w:val="zh-CN"/>
              </w:rPr>
              <w:t>包预算（元）</w:t>
            </w:r>
          </w:p>
        </w:tc>
        <w:tc>
          <w:tcPr>
            <w:tcW w:w="1779" w:type="dxa"/>
            <w:noWrap w:val="0"/>
            <w:vAlign w:val="center"/>
          </w:tcPr>
          <w:p>
            <w:pPr>
              <w:spacing w:line="360" w:lineRule="auto"/>
              <w:jc w:val="center"/>
              <w:rPr>
                <w:rFonts w:hint="eastAsia" w:ascii="宋体" w:hAnsi="宋体" w:cs="宋体"/>
                <w:b/>
                <w:bCs/>
                <w:szCs w:val="21"/>
                <w:highlight w:val="none"/>
                <w:lang w:val="zh-CN"/>
              </w:rPr>
            </w:pPr>
            <w:r>
              <w:rPr>
                <w:rFonts w:hint="eastAsia" w:ascii="宋体" w:hAnsi="宋体" w:cs="宋体"/>
                <w:b/>
                <w:bCs/>
                <w:szCs w:val="21"/>
                <w:highlight w:val="none"/>
                <w:lang w:val="zh-CN"/>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3" w:type="dxa"/>
            <w:noWrap w:val="0"/>
            <w:vAlign w:val="center"/>
          </w:tcPr>
          <w:p>
            <w:pPr>
              <w:spacing w:line="360" w:lineRule="auto"/>
              <w:jc w:val="center"/>
              <w:rPr>
                <w:rFonts w:hint="eastAsia" w:ascii="宋体" w:hAnsi="宋体" w:cs="宋体"/>
                <w:szCs w:val="21"/>
                <w:highlight w:val="none"/>
              </w:rPr>
            </w:pPr>
            <w:r>
              <w:rPr>
                <w:rFonts w:hint="eastAsia" w:ascii="宋体" w:hAnsi="宋体" w:cs="宋体"/>
                <w:szCs w:val="21"/>
                <w:highlight w:val="none"/>
              </w:rPr>
              <w:t>1</w:t>
            </w:r>
          </w:p>
        </w:tc>
        <w:tc>
          <w:tcPr>
            <w:tcW w:w="1581" w:type="dxa"/>
            <w:noWrap w:val="0"/>
            <w:vAlign w:val="center"/>
          </w:tcPr>
          <w:p>
            <w:pPr>
              <w:spacing w:line="360" w:lineRule="auto"/>
              <w:jc w:val="center"/>
              <w:rPr>
                <w:rFonts w:ascii="宋体" w:hAnsi="宋体" w:cs="宋体"/>
                <w:szCs w:val="21"/>
                <w:highlight w:val="none"/>
              </w:rPr>
            </w:pPr>
            <w:r>
              <w:rPr>
                <w:rFonts w:hint="eastAsia" w:ascii="宋体" w:hAnsi="宋体" w:cs="宋体"/>
                <w:szCs w:val="21"/>
                <w:highlight w:val="none"/>
                <w:lang w:val="en-US" w:eastAsia="zh-CN"/>
              </w:rPr>
              <w:t>豫财招标采购-2024-693</w:t>
            </w:r>
          </w:p>
        </w:tc>
        <w:tc>
          <w:tcPr>
            <w:tcW w:w="3974" w:type="dxa"/>
            <w:noWrap w:val="0"/>
            <w:vAlign w:val="center"/>
          </w:tcPr>
          <w:p>
            <w:pPr>
              <w:spacing w:line="360" w:lineRule="auto"/>
              <w:jc w:val="center"/>
              <w:rPr>
                <w:rFonts w:hint="eastAsia" w:ascii="宋体" w:hAnsi="宋体" w:cs="宋体"/>
                <w:szCs w:val="21"/>
                <w:highlight w:val="none"/>
              </w:rPr>
            </w:pPr>
            <w:r>
              <w:rPr>
                <w:rFonts w:hint="eastAsia" w:ascii="宋体" w:hAnsi="宋体" w:cs="宋体"/>
                <w:szCs w:val="21"/>
                <w:highlight w:val="none"/>
                <w:lang w:val="en-US" w:eastAsia="zh-CN"/>
              </w:rPr>
              <w:t>河南大学第一附属医院双能X射线骨密度仪项目</w:t>
            </w:r>
          </w:p>
        </w:tc>
        <w:tc>
          <w:tcPr>
            <w:tcW w:w="1625" w:type="dxa"/>
            <w:noWrap w:val="0"/>
            <w:vAlign w:val="center"/>
          </w:tcPr>
          <w:p>
            <w:pPr>
              <w:spacing w:line="360" w:lineRule="auto"/>
              <w:jc w:val="center"/>
              <w:rPr>
                <w:rFonts w:ascii="宋体" w:hAnsi="宋体" w:cs="宋体"/>
                <w:szCs w:val="21"/>
                <w:highlight w:val="none"/>
              </w:rPr>
            </w:pPr>
            <w:r>
              <w:rPr>
                <w:rFonts w:hint="eastAsia" w:ascii="宋体" w:hAnsi="宋体"/>
                <w:szCs w:val="21"/>
                <w:highlight w:val="none"/>
                <w:lang w:val="en-US" w:eastAsia="zh-CN"/>
              </w:rPr>
              <w:t>19</w:t>
            </w:r>
            <w:r>
              <w:rPr>
                <w:rFonts w:hint="eastAsia" w:ascii="宋体" w:hAnsi="宋体"/>
                <w:szCs w:val="21"/>
                <w:highlight w:val="none"/>
              </w:rPr>
              <w:t>00000.00</w:t>
            </w:r>
          </w:p>
        </w:tc>
        <w:tc>
          <w:tcPr>
            <w:tcW w:w="1779" w:type="dxa"/>
            <w:noWrap w:val="0"/>
            <w:vAlign w:val="center"/>
          </w:tcPr>
          <w:p>
            <w:pPr>
              <w:spacing w:line="360" w:lineRule="auto"/>
              <w:jc w:val="center"/>
              <w:rPr>
                <w:rFonts w:hint="eastAsia" w:ascii="宋体" w:hAnsi="宋体" w:cs="宋体"/>
                <w:szCs w:val="21"/>
                <w:highlight w:val="none"/>
              </w:rPr>
            </w:pPr>
            <w:r>
              <w:rPr>
                <w:rFonts w:hint="eastAsia" w:ascii="宋体" w:hAnsi="宋体"/>
                <w:szCs w:val="21"/>
                <w:highlight w:val="none"/>
                <w:lang w:val="en-US" w:eastAsia="zh-CN"/>
              </w:rPr>
              <w:t>19</w:t>
            </w:r>
            <w:r>
              <w:rPr>
                <w:rFonts w:hint="eastAsia" w:ascii="宋体" w:hAnsi="宋体"/>
                <w:szCs w:val="21"/>
                <w:highlight w:val="none"/>
              </w:rPr>
              <w:t>00000.00</w:t>
            </w:r>
          </w:p>
        </w:tc>
      </w:tr>
    </w:tbl>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5、采购需求（包括但不限于标的的名称、数量、简要技术需求或服务要求等）</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(1)采购范围：</w:t>
      </w:r>
      <w:r>
        <w:rPr>
          <w:rFonts w:hint="eastAsia" w:ascii="宋体" w:hAnsi="宋体" w:cs="宋体"/>
          <w:szCs w:val="21"/>
          <w:highlight w:val="none"/>
          <w:lang w:val="en-US" w:eastAsia="zh-CN"/>
        </w:rPr>
        <w:t>河南大学第一附属医院购置双能X射线骨密度仪项目</w:t>
      </w:r>
      <w:r>
        <w:rPr>
          <w:rFonts w:hint="eastAsia" w:ascii="宋体" w:hAnsi="宋体" w:cs="宋体"/>
          <w:szCs w:val="21"/>
          <w:highlight w:val="none"/>
        </w:rPr>
        <w:t>等。符合采购文件第五章“技术标准及要求”全部内容；</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(2)合同履行期限：合同签订后60日历天内供货、调整完毕；</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(3)交货地点：采购人指定地点；</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(4)质量标准：合格，符合国家及行业相关标准及要求，并满足采购人的相关要求；</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(5)质保期：</w:t>
      </w:r>
      <w:r>
        <w:rPr>
          <w:rFonts w:hint="eastAsia" w:ascii="宋体" w:hAnsi="宋体" w:cs="宋体"/>
          <w:szCs w:val="21"/>
          <w:highlight w:val="none"/>
          <w:lang w:val="en-US" w:eastAsia="zh-CN"/>
        </w:rPr>
        <w:t>2</w:t>
      </w:r>
      <w:r>
        <w:rPr>
          <w:rFonts w:hint="eastAsia" w:ascii="宋体" w:hAnsi="宋体" w:cs="宋体"/>
          <w:szCs w:val="21"/>
          <w:highlight w:val="none"/>
        </w:rPr>
        <w:t>年；</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6.本项目是否接受联合体投标：否；</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7.是否接受进口产品：是；</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8.是否只面对中小型企业采购：否。</w:t>
      </w:r>
    </w:p>
    <w:p>
      <w:pPr>
        <w:spacing w:line="360" w:lineRule="auto"/>
        <w:rPr>
          <w:rFonts w:hint="eastAsia" w:ascii="宋体" w:hAnsi="宋体" w:cs="宋体"/>
          <w:b/>
          <w:bCs/>
          <w:szCs w:val="21"/>
          <w:highlight w:val="none"/>
        </w:rPr>
      </w:pPr>
      <w:r>
        <w:rPr>
          <w:rFonts w:hint="eastAsia" w:ascii="宋体" w:hAnsi="宋体" w:cs="宋体"/>
          <w:b/>
          <w:bCs/>
          <w:szCs w:val="21"/>
          <w:highlight w:val="none"/>
        </w:rPr>
        <w:t>二、申请人资格要求</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eastAsia="zh-CN"/>
        </w:rPr>
        <w:t>.</w:t>
      </w:r>
      <w:r>
        <w:rPr>
          <w:rFonts w:hint="eastAsia" w:ascii="宋体" w:hAnsi="宋体" w:cs="宋体"/>
          <w:szCs w:val="21"/>
          <w:highlight w:val="none"/>
        </w:rPr>
        <w:t>满足《中华人民共和国政府采购法》第二十二条规定；</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w:t>
      </w:r>
      <w:r>
        <w:rPr>
          <w:rFonts w:hint="eastAsia" w:ascii="宋体" w:hAnsi="宋体" w:cs="宋体"/>
          <w:szCs w:val="21"/>
          <w:highlight w:val="none"/>
          <w:lang w:eastAsia="zh-CN"/>
        </w:rPr>
        <w:t>.</w:t>
      </w:r>
      <w:r>
        <w:rPr>
          <w:rFonts w:hint="eastAsia" w:ascii="宋体" w:hAnsi="宋体" w:cs="宋体"/>
          <w:szCs w:val="21"/>
          <w:highlight w:val="none"/>
        </w:rPr>
        <w:t>落实政府采购政策满足的资格要求：/；</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w:t>
      </w:r>
      <w:r>
        <w:rPr>
          <w:rFonts w:hint="eastAsia" w:ascii="宋体" w:hAnsi="宋体" w:cs="宋体"/>
          <w:szCs w:val="21"/>
          <w:highlight w:val="none"/>
          <w:lang w:eastAsia="zh-CN"/>
        </w:rPr>
        <w:t>.</w:t>
      </w:r>
      <w:r>
        <w:rPr>
          <w:rFonts w:hint="eastAsia" w:ascii="宋体" w:hAnsi="宋体" w:cs="宋体"/>
          <w:szCs w:val="21"/>
          <w:highlight w:val="none"/>
        </w:rPr>
        <w:t>本项目的特定资格要求：</w:t>
      </w:r>
    </w:p>
    <w:p>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3.1生产企业须具有医疗器械生产企业许可证；代理商（经销商）须具有医疗器械经营企业许可证或医疗器械经营备案凭证（非医疗器械可不提供）；</w:t>
      </w:r>
    </w:p>
    <w:p>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3.2投标产品须取得医疗器械注册证、登记表（非医疗器械可不提供；根据《医疗器械注册管理办法》（国家食品药品监督管理总局令第4号）之规定，按执行日期之后发证的可不提供登记表）；</w:t>
      </w:r>
    </w:p>
    <w:p>
      <w:pPr>
        <w:spacing w:line="360" w:lineRule="auto"/>
        <w:ind w:firstLine="420" w:firstLineChars="200"/>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3.3供应商所投产品如为进口产品，须出具制造厂商或国内大陆地区总代出具的制造厂商授权书，且提供其国外设备制造商或其代理商须在国内设有满足售后服务要求的服务网点和技术支持体系的承诺函或相关证明材料；</w:t>
      </w:r>
    </w:p>
    <w:p>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根据《关于在政府采购活动中查询及使用信用记录有关问题的通知》(财库[2016]125号)和（豫采购【2016】15号）《河南省财政厅关于在政府采购活动中查询及使用信用记录有关问题的通知的通知》的规定，采购代理机构将在开标后通过“信用中国”网站的“失信被执行人（此项查询以信用中国网站自动连接至中国执行信息公开网的查询结果为准）”和“重大税收违法案件当事人名单”，“中国政府采购网”查询“政府采购严重违法失信行为记录名单（指政府采购行政处罚有效期内）”、“信用河南”网站的“失信被执行人”、“国家企业信用信息公示系统”的“严重违法失信企业名单”等渠道在资格审查环节查询供应商信用记录，被列入失信被执行人、重大税收违法案件当事人名单、政府采购严重违法失信行为记录名单及不符合《中华人民共和国政府采购法》第二十二条规定的供应商，将被拒绝参与本项目政府采购活动；</w:t>
      </w:r>
    </w:p>
    <w:p>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注：依据《政府采购法》第二十二条第一款第五项和《政府采购法实施条例》第十九条规定，参与政府采购活动的供应商在参加政府采购活动前三年内，在经营活动中不得出现重大违法记录。重大违法记录是指供应商因违法经营受到刑事处罚或者责令停业、吊销许可证或执照、较大数额罚款等行政处罚。采购代理机构将在上述信用官网上对重大违法记录所指的行政处罚进行查询。】信用信息查询记录和证据将同磋商文件等资料一同归档保存；在规定的查询时间（响应文件提交截止时间后至资格审查结束之前进行查询）之后，网站信息发生的任何变更均不再作为评审依据。供应商自行提供的与网站信息不一致的其他证明材料亦不作为资格审查的依据。</w:t>
      </w:r>
    </w:p>
    <w:p>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5.供应商单位负责人为同一人或者存在直接控股、管理关系的不同单位，不得同时参与该项目；需提供“国家企业信用信息公示系统”中公示的公司信息、股东（或投资人）信息（或提供单位负责人与其他供应商不为同一人或者存在控股、管理关系的承诺书）。</w:t>
      </w:r>
    </w:p>
    <w:p>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6.本次采购不允许联合投标。</w:t>
      </w:r>
    </w:p>
    <w:p>
      <w:pPr>
        <w:spacing w:line="360" w:lineRule="auto"/>
        <w:rPr>
          <w:rFonts w:hint="eastAsia" w:ascii="宋体" w:hAnsi="宋体" w:cs="宋体"/>
          <w:b/>
          <w:bCs/>
          <w:szCs w:val="21"/>
          <w:highlight w:val="none"/>
        </w:rPr>
      </w:pPr>
      <w:r>
        <w:rPr>
          <w:rFonts w:hint="eastAsia" w:ascii="宋体" w:hAnsi="宋体" w:cs="宋体"/>
          <w:b/>
          <w:bCs/>
          <w:szCs w:val="21"/>
          <w:highlight w:val="none"/>
        </w:rPr>
        <w:t>三、获取采购文件</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1.时间：202</w:t>
      </w:r>
      <w:r>
        <w:rPr>
          <w:rFonts w:hint="eastAsia" w:ascii="宋体" w:hAnsi="宋体" w:cs="宋体"/>
          <w:szCs w:val="21"/>
          <w:highlight w:val="none"/>
          <w:lang w:val="en-US" w:eastAsia="zh-CN"/>
        </w:rPr>
        <w:t>4</w:t>
      </w:r>
      <w:r>
        <w:rPr>
          <w:rFonts w:hint="eastAsia" w:ascii="宋体" w:hAnsi="宋体" w:cs="宋体"/>
          <w:szCs w:val="21"/>
          <w:highlight w:val="none"/>
        </w:rPr>
        <w:t>年</w:t>
      </w:r>
      <w:r>
        <w:rPr>
          <w:rFonts w:hint="eastAsia" w:ascii="宋体" w:hAnsi="宋体" w:cs="宋体"/>
          <w:szCs w:val="21"/>
          <w:highlight w:val="none"/>
          <w:lang w:val="en-US" w:eastAsia="zh-CN"/>
        </w:rPr>
        <w:t>07</w:t>
      </w:r>
      <w:r>
        <w:rPr>
          <w:rFonts w:hint="eastAsia" w:ascii="宋体" w:hAnsi="宋体" w:cs="宋体"/>
          <w:szCs w:val="21"/>
          <w:highlight w:val="none"/>
        </w:rPr>
        <w:t>月</w:t>
      </w:r>
      <w:r>
        <w:rPr>
          <w:rFonts w:hint="eastAsia" w:ascii="宋体" w:hAnsi="宋体" w:cs="宋体"/>
          <w:szCs w:val="21"/>
          <w:highlight w:val="none"/>
          <w:lang w:val="en-US" w:eastAsia="zh-CN"/>
        </w:rPr>
        <w:t>09</w:t>
      </w:r>
      <w:r>
        <w:rPr>
          <w:rFonts w:hint="eastAsia" w:ascii="宋体" w:hAnsi="宋体" w:cs="宋体"/>
          <w:szCs w:val="21"/>
          <w:highlight w:val="none"/>
        </w:rPr>
        <w:t>日至202</w:t>
      </w:r>
      <w:r>
        <w:rPr>
          <w:rFonts w:hint="eastAsia" w:ascii="宋体" w:hAnsi="宋体" w:cs="宋体"/>
          <w:szCs w:val="21"/>
          <w:highlight w:val="none"/>
          <w:lang w:val="en-US" w:eastAsia="zh-CN"/>
        </w:rPr>
        <w:t>4</w:t>
      </w:r>
      <w:r>
        <w:rPr>
          <w:rFonts w:hint="eastAsia" w:ascii="宋体" w:hAnsi="宋体" w:cs="宋体"/>
          <w:szCs w:val="21"/>
          <w:highlight w:val="none"/>
        </w:rPr>
        <w:t>年</w:t>
      </w:r>
      <w:r>
        <w:rPr>
          <w:rFonts w:hint="eastAsia" w:ascii="宋体" w:hAnsi="宋体" w:cs="宋体"/>
          <w:szCs w:val="21"/>
          <w:highlight w:val="none"/>
          <w:lang w:val="en-US" w:eastAsia="zh-CN"/>
        </w:rPr>
        <w:t>07</w:t>
      </w:r>
      <w:r>
        <w:rPr>
          <w:rFonts w:hint="eastAsia" w:ascii="宋体" w:hAnsi="宋体" w:cs="宋体"/>
          <w:szCs w:val="21"/>
          <w:highlight w:val="none"/>
        </w:rPr>
        <w:t>月</w:t>
      </w:r>
      <w:r>
        <w:rPr>
          <w:rFonts w:hint="eastAsia" w:ascii="宋体" w:hAnsi="宋体" w:cs="宋体"/>
          <w:szCs w:val="21"/>
          <w:highlight w:val="none"/>
          <w:lang w:val="en-US" w:eastAsia="zh-CN"/>
        </w:rPr>
        <w:t>15</w:t>
      </w:r>
      <w:r>
        <w:rPr>
          <w:rFonts w:hint="eastAsia" w:ascii="宋体" w:hAnsi="宋体" w:cs="宋体"/>
          <w:szCs w:val="21"/>
          <w:highlight w:val="none"/>
        </w:rPr>
        <w:t>日, 每天上午00:00至12:00，下午12:00至23:59（北京时间，法定节假日除外）；</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2.地点：</w:t>
      </w:r>
      <w:r>
        <w:rPr>
          <w:rFonts w:hint="eastAsia" w:ascii="宋体" w:hAnsi="宋体" w:eastAsia="宋体" w:cs="宋体"/>
          <w:b w:val="0"/>
          <w:bCs w:val="0"/>
          <w:color w:val="auto"/>
          <w:sz w:val="21"/>
          <w:szCs w:val="21"/>
          <w:highlight w:val="none"/>
        </w:rPr>
        <w:t>河南省公共资源交易中心（</w:t>
      </w:r>
      <w:r>
        <w:rPr>
          <w:rFonts w:hint="eastAsia" w:ascii="宋体" w:hAnsi="宋体" w:eastAsia="宋体" w:cs="宋体"/>
          <w:b w:val="0"/>
          <w:bCs w:val="0"/>
          <w:color w:val="auto"/>
          <w:sz w:val="21"/>
          <w:szCs w:val="21"/>
          <w:highlight w:val="none"/>
          <w:lang w:eastAsia="zh-CN"/>
        </w:rPr>
        <w:t>http://www.hnggzy.com/</w:t>
      </w:r>
      <w:r>
        <w:rPr>
          <w:rFonts w:hint="eastAsia" w:ascii="宋体" w:hAnsi="宋体" w:eastAsia="宋体" w:cs="宋体"/>
          <w:b w:val="0"/>
          <w:bCs w:val="0"/>
          <w:color w:val="auto"/>
          <w:sz w:val="21"/>
          <w:szCs w:val="21"/>
          <w:highlight w:val="none"/>
        </w:rPr>
        <w:t>）</w:t>
      </w:r>
      <w:r>
        <w:rPr>
          <w:rFonts w:hint="eastAsia" w:ascii="宋体" w:hAnsi="宋体" w:cs="宋体"/>
          <w:szCs w:val="21"/>
          <w:highlight w:val="none"/>
        </w:rPr>
        <w:t>；</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3.方式：</w:t>
      </w:r>
      <w:r>
        <w:rPr>
          <w:rFonts w:hint="eastAsia" w:ascii="宋体" w:hAnsi="宋体" w:eastAsia="宋体" w:cs="宋体"/>
          <w:b w:val="0"/>
          <w:bCs w:val="0"/>
          <w:color w:val="auto"/>
          <w:sz w:val="21"/>
          <w:szCs w:val="21"/>
          <w:highlight w:val="none"/>
        </w:rPr>
        <w:t>登录“河南省公共资源交易中心(</w:t>
      </w:r>
      <w:r>
        <w:rPr>
          <w:rFonts w:hint="eastAsia" w:ascii="宋体" w:hAnsi="宋体" w:eastAsia="宋体" w:cs="宋体"/>
          <w:b w:val="0"/>
          <w:bCs w:val="0"/>
          <w:color w:val="auto"/>
          <w:sz w:val="21"/>
          <w:szCs w:val="21"/>
          <w:highlight w:val="none"/>
          <w:lang w:eastAsia="zh-CN"/>
        </w:rPr>
        <w:t>http://www.hnggzy.com/</w:t>
      </w:r>
      <w:r>
        <w:rPr>
          <w:rFonts w:hint="eastAsia" w:ascii="宋体" w:hAnsi="宋体" w:eastAsia="宋体" w:cs="宋体"/>
          <w:b w:val="0"/>
          <w:bCs w:val="0"/>
          <w:color w:val="auto"/>
          <w:sz w:val="21"/>
          <w:szCs w:val="21"/>
          <w:highlight w:val="none"/>
        </w:rPr>
        <w:t>)”门户网站，凭领取的企业身份认证锁（CA密钥）免费下载文件。市场主体需要完成信息登记及CA数字证书办理，才能通过省公共资源交易平台参与交易活动，具体办理事宜请查阅河南省公共资源交易中心网站“办事指南”专区的《河南省公共资源交易平台市场主体信息库登记指南（工程建设、政府采购）》</w:t>
      </w:r>
      <w:r>
        <w:rPr>
          <w:rFonts w:hint="eastAsia" w:ascii="宋体" w:hAnsi="宋体" w:cs="宋体"/>
          <w:szCs w:val="21"/>
          <w:highlight w:val="none"/>
        </w:rPr>
        <w:t>；</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4.售价：0元。</w:t>
      </w:r>
    </w:p>
    <w:p>
      <w:pPr>
        <w:spacing w:line="360" w:lineRule="auto"/>
        <w:rPr>
          <w:rFonts w:hint="eastAsia" w:ascii="宋体" w:hAnsi="宋体" w:cs="宋体"/>
          <w:b/>
          <w:bCs/>
          <w:szCs w:val="21"/>
          <w:highlight w:val="none"/>
        </w:rPr>
      </w:pPr>
      <w:r>
        <w:rPr>
          <w:rFonts w:hint="eastAsia" w:ascii="宋体" w:hAnsi="宋体" w:cs="宋体"/>
          <w:b/>
          <w:bCs/>
          <w:szCs w:val="21"/>
          <w:highlight w:val="none"/>
        </w:rPr>
        <w:t>四、投标截止时间及地点</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1.时间：202</w:t>
      </w:r>
      <w:r>
        <w:rPr>
          <w:rFonts w:hint="eastAsia" w:ascii="宋体" w:hAnsi="宋体" w:cs="宋体"/>
          <w:szCs w:val="21"/>
          <w:highlight w:val="none"/>
          <w:lang w:val="en-US" w:eastAsia="zh-CN"/>
        </w:rPr>
        <w:t>4</w:t>
      </w:r>
      <w:r>
        <w:rPr>
          <w:rFonts w:hint="eastAsia" w:ascii="宋体" w:hAnsi="宋体" w:cs="宋体"/>
          <w:szCs w:val="21"/>
          <w:highlight w:val="none"/>
        </w:rPr>
        <w:t>年</w:t>
      </w:r>
      <w:r>
        <w:rPr>
          <w:rFonts w:hint="eastAsia" w:ascii="宋体" w:hAnsi="宋体" w:cs="宋体"/>
          <w:szCs w:val="21"/>
          <w:highlight w:val="none"/>
          <w:lang w:val="en-US" w:eastAsia="zh-CN"/>
        </w:rPr>
        <w:t>07</w:t>
      </w:r>
      <w:r>
        <w:rPr>
          <w:rFonts w:hint="eastAsia" w:ascii="宋体" w:hAnsi="宋体" w:cs="宋体"/>
          <w:szCs w:val="21"/>
          <w:highlight w:val="none"/>
        </w:rPr>
        <w:t>月</w:t>
      </w:r>
      <w:r>
        <w:rPr>
          <w:rFonts w:hint="eastAsia" w:ascii="宋体" w:hAnsi="宋体" w:cs="宋体"/>
          <w:szCs w:val="21"/>
          <w:highlight w:val="none"/>
          <w:lang w:val="en-US" w:eastAsia="zh-CN"/>
        </w:rPr>
        <w:t>31</w:t>
      </w:r>
      <w:r>
        <w:rPr>
          <w:rFonts w:hint="eastAsia" w:ascii="宋体" w:hAnsi="宋体" w:cs="宋体"/>
          <w:szCs w:val="21"/>
          <w:highlight w:val="none"/>
        </w:rPr>
        <w:t>日09</w:t>
      </w:r>
      <w:r>
        <w:rPr>
          <w:rFonts w:hint="eastAsia" w:ascii="宋体" w:hAnsi="宋体" w:cs="宋体"/>
          <w:szCs w:val="21"/>
          <w:highlight w:val="none"/>
          <w:lang w:eastAsia="zh-CN"/>
        </w:rPr>
        <w:t>：</w:t>
      </w:r>
      <w:r>
        <w:rPr>
          <w:rFonts w:hint="eastAsia" w:ascii="宋体" w:hAnsi="宋体" w:cs="宋体"/>
          <w:szCs w:val="21"/>
          <w:highlight w:val="none"/>
        </w:rPr>
        <w:t>00（北京时间）。</w:t>
      </w:r>
    </w:p>
    <w:p>
      <w:pPr>
        <w:spacing w:line="360" w:lineRule="auto"/>
        <w:ind w:firstLine="420" w:firstLineChars="200"/>
        <w:rPr>
          <w:rFonts w:hint="eastAsia" w:ascii="宋体" w:hAnsi="宋体" w:cs="宋体"/>
          <w:szCs w:val="21"/>
          <w:highlight w:val="none"/>
          <w:lang w:val="zh-CN"/>
        </w:rPr>
      </w:pPr>
      <w:r>
        <w:rPr>
          <w:rFonts w:hint="eastAsia" w:ascii="宋体" w:hAnsi="宋体" w:cs="宋体"/>
          <w:szCs w:val="21"/>
          <w:highlight w:val="none"/>
        </w:rPr>
        <w:t>2.地点：</w:t>
      </w:r>
      <w:r>
        <w:rPr>
          <w:rFonts w:hint="eastAsia" w:ascii="宋体" w:hAnsi="宋体" w:cs="宋体"/>
          <w:szCs w:val="21"/>
          <w:highlight w:val="none"/>
          <w:lang w:val="zh-CN" w:eastAsia="zh-CN"/>
        </w:rPr>
        <w:t>河南省公共资源交易中心交易系统平台。各供应商应在响应文件提交截止时间前，通过河南省公共资源交易中心交易系统上传加密的电子响应文件。请各供应商在上传前务必认真检查上传电子响应文件是否完整、正确，加密电子响应文件逾期上传，采购人不予受理</w:t>
      </w:r>
      <w:r>
        <w:rPr>
          <w:rFonts w:hint="eastAsia" w:ascii="宋体" w:hAnsi="宋体" w:cs="宋体"/>
          <w:szCs w:val="21"/>
          <w:highlight w:val="none"/>
          <w:lang w:val="zh-CN"/>
        </w:rPr>
        <w:t>。</w:t>
      </w:r>
    </w:p>
    <w:p>
      <w:pPr>
        <w:spacing w:line="360" w:lineRule="auto"/>
        <w:rPr>
          <w:rFonts w:hint="eastAsia" w:ascii="宋体" w:hAnsi="宋体" w:cs="宋体"/>
          <w:b/>
          <w:bCs/>
          <w:szCs w:val="21"/>
          <w:highlight w:val="none"/>
        </w:rPr>
      </w:pPr>
      <w:r>
        <w:rPr>
          <w:rFonts w:hint="eastAsia" w:ascii="宋体" w:hAnsi="宋体" w:cs="宋体"/>
          <w:b/>
          <w:bCs/>
          <w:szCs w:val="21"/>
          <w:highlight w:val="none"/>
        </w:rPr>
        <w:t>五、开标时间及地点</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1.时间：202</w:t>
      </w:r>
      <w:r>
        <w:rPr>
          <w:rFonts w:hint="eastAsia" w:ascii="宋体" w:hAnsi="宋体" w:cs="宋体"/>
          <w:szCs w:val="21"/>
          <w:highlight w:val="none"/>
          <w:lang w:val="en-US" w:eastAsia="zh-CN"/>
        </w:rPr>
        <w:t>4</w:t>
      </w:r>
      <w:r>
        <w:rPr>
          <w:rFonts w:hint="eastAsia" w:ascii="宋体" w:hAnsi="宋体" w:cs="宋体"/>
          <w:szCs w:val="21"/>
          <w:highlight w:val="none"/>
        </w:rPr>
        <w:t>年</w:t>
      </w:r>
      <w:r>
        <w:rPr>
          <w:rFonts w:hint="eastAsia" w:ascii="宋体" w:hAnsi="宋体" w:cs="宋体"/>
          <w:szCs w:val="21"/>
          <w:highlight w:val="none"/>
          <w:lang w:val="en-US" w:eastAsia="zh-CN"/>
        </w:rPr>
        <w:t>07</w:t>
      </w:r>
      <w:r>
        <w:rPr>
          <w:rFonts w:hint="eastAsia" w:ascii="宋体" w:hAnsi="宋体" w:cs="宋体"/>
          <w:szCs w:val="21"/>
          <w:highlight w:val="none"/>
        </w:rPr>
        <w:t>月</w:t>
      </w:r>
      <w:r>
        <w:rPr>
          <w:rFonts w:hint="eastAsia" w:ascii="宋体" w:hAnsi="宋体" w:cs="宋体"/>
          <w:szCs w:val="21"/>
          <w:highlight w:val="none"/>
          <w:lang w:val="en-US" w:eastAsia="zh-CN"/>
        </w:rPr>
        <w:t>31</w:t>
      </w:r>
      <w:r>
        <w:rPr>
          <w:rFonts w:hint="eastAsia" w:ascii="宋体" w:hAnsi="宋体" w:cs="宋体"/>
          <w:szCs w:val="21"/>
          <w:highlight w:val="none"/>
        </w:rPr>
        <w:t>日09</w:t>
      </w:r>
      <w:r>
        <w:rPr>
          <w:rFonts w:hint="eastAsia" w:ascii="宋体" w:hAnsi="宋体" w:cs="宋体"/>
          <w:szCs w:val="21"/>
          <w:highlight w:val="none"/>
          <w:lang w:eastAsia="zh-CN"/>
        </w:rPr>
        <w:t>：</w:t>
      </w:r>
      <w:r>
        <w:rPr>
          <w:rFonts w:hint="eastAsia" w:ascii="宋体" w:hAnsi="宋体" w:cs="宋体"/>
          <w:szCs w:val="21"/>
          <w:highlight w:val="none"/>
        </w:rPr>
        <w:t>00（北京时间）。</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2.地点：</w:t>
      </w:r>
      <w:r>
        <w:rPr>
          <w:rFonts w:hint="eastAsia" w:ascii="宋体" w:hAnsi="宋体" w:cs="宋体"/>
          <w:szCs w:val="21"/>
          <w:highlight w:val="none"/>
          <w:lang w:val="zh-CN" w:eastAsia="zh-CN"/>
        </w:rPr>
        <w:t>河南省公共资源交易中心远程开标室(</w:t>
      </w:r>
      <w:r>
        <w:rPr>
          <w:rFonts w:hint="eastAsia" w:ascii="宋体" w:hAnsi="宋体" w:cs="宋体"/>
          <w:szCs w:val="21"/>
          <w:highlight w:val="none"/>
          <w:lang w:val="en-US" w:eastAsia="zh-CN"/>
        </w:rPr>
        <w:t>一</w:t>
      </w:r>
      <w:r>
        <w:rPr>
          <w:rFonts w:hint="eastAsia" w:ascii="宋体" w:hAnsi="宋体" w:cs="宋体"/>
          <w:szCs w:val="21"/>
          <w:highlight w:val="none"/>
          <w:lang w:val="zh-CN" w:eastAsia="zh-CN"/>
        </w:rPr>
        <w:t>)-</w:t>
      </w:r>
      <w:r>
        <w:rPr>
          <w:rFonts w:hint="eastAsia" w:ascii="宋体" w:hAnsi="宋体" w:cs="宋体"/>
          <w:szCs w:val="21"/>
          <w:highlight w:val="none"/>
          <w:lang w:val="en-US" w:eastAsia="zh-CN"/>
        </w:rPr>
        <w:t>2</w:t>
      </w:r>
      <w:r>
        <w:rPr>
          <w:rFonts w:hint="eastAsia" w:ascii="宋体" w:hAnsi="宋体" w:cs="宋体"/>
          <w:szCs w:val="21"/>
          <w:highlight w:val="none"/>
          <w:lang w:val="zh-CN" w:eastAsia="zh-CN"/>
        </w:rPr>
        <w:t>（郑州市经二路12号（经二路与纬四路向南50米路西））。本项目采用“远程不见面”开启方式，供应商无需到现场，供应商应当在响应文件提交截止时间前，供应商凭CA数字证书，进入河南省公共资源交易中心系统平台，按提示在规定时间内进行文件解密、答疑澄清、磋商报价等。（详细流程见河南省公共资源交易中心网站-公共服务-办事指南-河南省公共资源交易平台不见面服务系统使用指南）</w:t>
      </w:r>
      <w:r>
        <w:rPr>
          <w:rFonts w:hint="eastAsia" w:ascii="宋体" w:hAnsi="宋体" w:cs="宋体"/>
          <w:szCs w:val="21"/>
          <w:highlight w:val="none"/>
        </w:rPr>
        <w:t>。</w:t>
      </w:r>
    </w:p>
    <w:p>
      <w:pPr>
        <w:spacing w:line="360" w:lineRule="auto"/>
        <w:rPr>
          <w:rFonts w:hint="eastAsia" w:ascii="宋体" w:hAnsi="宋体" w:cs="宋体"/>
          <w:b/>
          <w:bCs/>
          <w:szCs w:val="21"/>
          <w:highlight w:val="none"/>
        </w:rPr>
      </w:pPr>
      <w:r>
        <w:rPr>
          <w:rFonts w:hint="eastAsia" w:ascii="宋体" w:hAnsi="宋体" w:cs="宋体"/>
          <w:b/>
          <w:bCs/>
          <w:szCs w:val="21"/>
          <w:highlight w:val="none"/>
        </w:rPr>
        <w:t>六、发布公告的媒介及招标公告期限</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本次招标公告在《河南省政府采购网》、</w:t>
      </w:r>
      <w:r>
        <w:rPr>
          <w:rFonts w:hint="eastAsia" w:ascii="宋体" w:hAnsi="宋体" w:cs="宋体"/>
          <w:szCs w:val="21"/>
          <w:highlight w:val="none"/>
          <w:lang w:val="zh-CN"/>
        </w:rPr>
        <w:t>《河南省公共资源交易中心网》</w:t>
      </w:r>
      <w:r>
        <w:rPr>
          <w:rFonts w:hint="eastAsia" w:cs="宋体"/>
          <w:szCs w:val="21"/>
          <w:highlight w:val="none"/>
          <w:lang w:val="zh-CN"/>
        </w:rPr>
        <w:t>、《河南大学第一附属医院》</w:t>
      </w:r>
      <w:r>
        <w:rPr>
          <w:rFonts w:hint="eastAsia" w:ascii="宋体" w:hAnsi="宋体" w:cs="宋体"/>
          <w:szCs w:val="21"/>
          <w:highlight w:val="none"/>
        </w:rPr>
        <w:t>上发布。</w:t>
      </w:r>
    </w:p>
    <w:p>
      <w:pPr>
        <w:spacing w:line="360" w:lineRule="auto"/>
        <w:rPr>
          <w:rFonts w:hint="eastAsia" w:ascii="宋体" w:hAnsi="宋体" w:cs="宋体"/>
          <w:b/>
          <w:bCs/>
          <w:szCs w:val="21"/>
          <w:highlight w:val="none"/>
        </w:rPr>
      </w:pPr>
      <w:r>
        <w:rPr>
          <w:rFonts w:hint="eastAsia" w:ascii="宋体" w:hAnsi="宋体" w:cs="宋体"/>
          <w:b/>
          <w:bCs/>
          <w:szCs w:val="21"/>
          <w:highlight w:val="none"/>
        </w:rPr>
        <w:t>七、其他补充事宜</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本项目需要落实的政府采购政策：《政府采购促进中小企业发展暂行办法》、《关于政府采购支持监狱企业发展有关问题的通知》、《关于促进残疾人就业政府采购政策的通知》、《河南省政府采购合同融资政策告知函》等。</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2.规定的截止时间前，供应商在河南省公共资源交易中心网系统内进行网上上传响应文件。</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3.供应商无需到现场，到开启时间，供应商凭CA</w:t>
      </w:r>
      <w:r>
        <w:rPr>
          <w:rFonts w:hint="eastAsia" w:ascii="宋体" w:hAnsi="宋体" w:eastAsia="宋体" w:cs="宋体"/>
          <w:szCs w:val="21"/>
          <w:highlight w:val="none"/>
          <w:lang w:eastAsia="zh-CN"/>
        </w:rPr>
        <w:t>密钥</w:t>
      </w:r>
      <w:r>
        <w:rPr>
          <w:rFonts w:hint="eastAsia" w:ascii="宋体" w:hAnsi="宋体" w:eastAsia="宋体" w:cs="宋体"/>
          <w:szCs w:val="21"/>
          <w:highlight w:val="none"/>
        </w:rPr>
        <w:t>进入河南省公共资源交易中心系统平台，按提示进行响应文件的解密（详细流程见河南省公共资源交易中心网站-公共服务-办事指南-河南省公共资源交易平台不见面服务系统使用指南）。</w:t>
      </w:r>
    </w:p>
    <w:p>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4.采购代理服务费的收取：采购代理服务费由中标人支付，代理服务费参考计算价格（2002）1980号文及国发改办价格（2003）857号规定计取</w:t>
      </w:r>
      <w:r>
        <w:rPr>
          <w:rFonts w:hint="eastAsia" w:ascii="宋体" w:hAnsi="宋体" w:eastAsia="宋体" w:cs="宋体"/>
          <w:szCs w:val="21"/>
          <w:highlight w:val="none"/>
          <w:lang w:eastAsia="zh-CN"/>
        </w:rPr>
        <w:t>。</w:t>
      </w:r>
    </w:p>
    <w:p>
      <w:pPr>
        <w:spacing w:line="360" w:lineRule="auto"/>
        <w:rPr>
          <w:rFonts w:hint="eastAsia" w:ascii="宋体" w:hAnsi="宋体" w:cs="宋体"/>
          <w:b/>
          <w:bCs/>
          <w:szCs w:val="21"/>
          <w:highlight w:val="none"/>
        </w:rPr>
      </w:pPr>
      <w:r>
        <w:rPr>
          <w:rFonts w:hint="eastAsia" w:ascii="宋体" w:hAnsi="宋体" w:cs="宋体"/>
          <w:b/>
          <w:bCs/>
          <w:szCs w:val="21"/>
          <w:highlight w:val="none"/>
        </w:rPr>
        <w:t>八、凡对本次招标提出询问，请按照以下方式联系</w:t>
      </w:r>
    </w:p>
    <w:p>
      <w:pPr>
        <w:spacing w:line="360" w:lineRule="auto"/>
        <w:ind w:firstLine="420" w:firstLineChars="200"/>
        <w:rPr>
          <w:rFonts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1.采购人：河南大学第一附属医院</w:t>
      </w:r>
    </w:p>
    <w:p>
      <w:pPr>
        <w:spacing w:line="360" w:lineRule="auto"/>
        <w:ind w:firstLine="420" w:firstLineChars="200"/>
        <w:rPr>
          <w:rFonts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地    址：开封市西门大街357号</w:t>
      </w:r>
    </w:p>
    <w:p>
      <w:pPr>
        <w:spacing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联 系 人：蔡广宇</w:t>
      </w:r>
    </w:p>
    <w:p>
      <w:pPr>
        <w:spacing w:line="360" w:lineRule="auto"/>
        <w:ind w:firstLine="420" w:firstLineChars="200"/>
        <w:rPr>
          <w:rFonts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联系电话：</w:t>
      </w:r>
      <w:r>
        <w:rPr>
          <w:rFonts w:hint="eastAsia" w:ascii="宋体" w:hAnsi="宋体" w:eastAsia="宋体" w:cs="宋体"/>
          <w:sz w:val="21"/>
          <w:szCs w:val="21"/>
          <w:highlight w:val="none"/>
          <w:lang w:val="zh-CN" w:eastAsia="zh-CN"/>
        </w:rPr>
        <w:t>0371-22736897</w:t>
      </w:r>
    </w:p>
    <w:p>
      <w:pPr>
        <w:spacing w:line="360" w:lineRule="auto"/>
        <w:ind w:firstLine="420" w:firstLineChars="200"/>
        <w:rPr>
          <w:rFonts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2.代理机构：智博国际工程咨询有限公司</w:t>
      </w:r>
    </w:p>
    <w:p>
      <w:pPr>
        <w:spacing w:line="360" w:lineRule="auto"/>
        <w:ind w:firstLine="420" w:firstLineChars="200"/>
        <w:rPr>
          <w:rFonts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地    址：郑州市西三环与北三环交叉口大学科技园（东区）18号楼D座2层</w:t>
      </w:r>
    </w:p>
    <w:p>
      <w:pPr>
        <w:spacing w:line="360" w:lineRule="auto"/>
        <w:ind w:left="399" w:leftChars="19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联 系 人：刘勇琪</w:t>
      </w:r>
    </w:p>
    <w:p>
      <w:pPr>
        <w:spacing w:line="360" w:lineRule="auto"/>
        <w:ind w:left="399" w:leftChars="190"/>
        <w:rPr>
          <w:rFonts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 xml:space="preserve">电    话：0371-68638111  </w:t>
      </w:r>
    </w:p>
    <w:p>
      <w:pPr>
        <w:spacing w:line="360" w:lineRule="auto"/>
        <w:ind w:firstLine="420" w:firstLineChars="200"/>
        <w:rPr>
          <w:rFonts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3.项目联系方式：</w:t>
      </w:r>
    </w:p>
    <w:p>
      <w:pPr>
        <w:spacing w:line="360" w:lineRule="auto"/>
        <w:ind w:firstLine="420" w:firstLineChars="200"/>
        <w:rPr>
          <w:rFonts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项目联系人：刘勇琪</w:t>
      </w:r>
    </w:p>
    <w:p>
      <w:pPr>
        <w:spacing w:line="360" w:lineRule="auto"/>
        <w:ind w:firstLine="420" w:firstLineChars="200"/>
        <w:rPr>
          <w:rFonts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联系方式：0371-68638111</w:t>
      </w:r>
    </w:p>
    <w:p>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xM2I0ODJlNTM3NGIxOTJmNTMwNDBjZTE2MTFlZDIifQ=="/>
  </w:docVars>
  <w:rsids>
    <w:rsidRoot w:val="10097C23"/>
    <w:rsid w:val="10097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2024-07-08T02:09:00Z</dcterms:created>
  <dc:creator>NTKO</dc:creator>
  <cp:lastModifiedBy>NTKO</cp:lastModifiedBy>
  <dcterms:modified xsi:type="dcterms:W3CDTF">2024-07-08T02:09:49Z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C7398415B70B492888F60A54BB188780_11</vt:lpwstr>
  </property>
</Properties>
</file>