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90C58">
      <w:pPr>
        <w:widowControl/>
        <w:tabs>
          <w:tab w:val="left" w:pos="3261"/>
        </w:tabs>
        <w:jc w:val="center"/>
        <w:outlineLvl w:val="0"/>
        <w:rPr>
          <w:rFonts w:ascii="宋体" w:hAnsi="宋体" w:eastAsia="宋体" w:cs="Times New Roman"/>
          <w:b/>
          <w:bCs/>
          <w:snapToGrid w:val="0"/>
          <w:color w:val="auto"/>
          <w:kern w:val="0"/>
          <w:sz w:val="44"/>
          <w:szCs w:val="20"/>
          <w:highlight w:val="none"/>
          <w:lang w:val="en-US" w:eastAsia="zh-CN" w:bidi="en-US"/>
        </w:rPr>
      </w:pPr>
      <w:r>
        <w:rPr>
          <w:rFonts w:hint="eastAsia" w:ascii="宋体" w:hAnsi="宋体" w:eastAsia="宋体" w:cs="Times New Roman"/>
          <w:b/>
          <w:bCs/>
          <w:snapToGrid w:val="0"/>
          <w:color w:val="auto"/>
          <w:kern w:val="0"/>
          <w:sz w:val="44"/>
          <w:szCs w:val="20"/>
          <w:highlight w:val="none"/>
          <w:lang w:val="en-US" w:eastAsia="zh-CN" w:bidi="en-US"/>
        </w:rPr>
        <w:t>第三章  采购需求</w:t>
      </w:r>
      <w:bookmarkStart w:id="11" w:name="_GoBack"/>
      <w:bookmarkEnd w:id="11"/>
    </w:p>
    <w:p w14:paraId="3A359A1E">
      <w:pPr>
        <w:keepNext/>
        <w:keepLines/>
        <w:widowControl w:val="0"/>
        <w:jc w:val="both"/>
        <w:outlineLvl w:val="2"/>
        <w:rPr>
          <w:rFonts w:ascii="宋体" w:hAnsi="宋体" w:eastAsia="宋体" w:cs="Times New Roman"/>
          <w:b/>
          <w:bCs/>
          <w:snapToGrid w:val="0"/>
          <w:color w:val="auto"/>
          <w:kern w:val="0"/>
          <w:sz w:val="30"/>
          <w:szCs w:val="20"/>
          <w:highlight w:val="none"/>
          <w:lang w:val="zh-CN" w:eastAsia="zh-CN" w:bidi="ar-SA"/>
        </w:rPr>
      </w:pPr>
      <w:bookmarkStart w:id="0" w:name="_Toc76478964"/>
      <w:bookmarkStart w:id="1" w:name="_Toc81386231"/>
      <w:bookmarkStart w:id="2" w:name="_Toc81385999"/>
      <w:bookmarkStart w:id="3" w:name="_Toc76478886"/>
      <w:bookmarkStart w:id="4" w:name="_Toc76478809"/>
      <w:r>
        <w:rPr>
          <w:rFonts w:hint="eastAsia" w:ascii="宋体" w:hAnsi="宋体" w:eastAsia="宋体" w:cs="Times New Roman"/>
          <w:b/>
          <w:bCs/>
          <w:snapToGrid w:val="0"/>
          <w:color w:val="auto"/>
          <w:kern w:val="0"/>
          <w:sz w:val="30"/>
          <w:szCs w:val="20"/>
          <w:highlight w:val="none"/>
          <w:lang w:val="zh-CN" w:eastAsia="zh-CN" w:bidi="ar-SA"/>
        </w:rPr>
        <w:t>一、项目概况</w:t>
      </w:r>
      <w:bookmarkEnd w:id="0"/>
      <w:bookmarkEnd w:id="1"/>
      <w:bookmarkEnd w:id="2"/>
      <w:bookmarkEnd w:id="3"/>
      <w:bookmarkEnd w:id="4"/>
    </w:p>
    <w:p w14:paraId="0480322E">
      <w:pPr>
        <w:widowControl/>
        <w:ind w:firstLine="482"/>
        <w:jc w:val="both"/>
        <w:rPr>
          <w:rFonts w:ascii="宋体" w:hAnsi="宋体" w:eastAsia="宋体" w:cs="Times New Roman"/>
          <w:snapToGrid w:val="0"/>
          <w:color w:val="auto"/>
          <w:spacing w:val="14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snapToGrid w:val="0"/>
          <w:color w:val="auto"/>
          <w:spacing w:val="14"/>
          <w:kern w:val="0"/>
          <w:sz w:val="21"/>
          <w:szCs w:val="21"/>
          <w:highlight w:val="none"/>
          <w:lang w:val="en-US" w:eastAsia="zh-CN" w:bidi="ar-SA"/>
        </w:rPr>
        <w:t>1</w:t>
      </w:r>
      <w:r>
        <w:rPr>
          <w:rFonts w:ascii="宋体" w:hAnsi="宋体" w:eastAsia="宋体" w:cs="Times New Roman"/>
          <w:snapToGrid w:val="0"/>
          <w:color w:val="auto"/>
          <w:spacing w:val="14"/>
          <w:kern w:val="0"/>
          <w:sz w:val="21"/>
          <w:szCs w:val="21"/>
          <w:highlight w:val="none"/>
          <w:lang w:val="en-US" w:eastAsia="zh-CN" w:bidi="ar-SA"/>
        </w:rPr>
        <w:t>.</w:t>
      </w:r>
      <w:r>
        <w:rPr>
          <w:rFonts w:hint="eastAsia" w:ascii="宋体" w:hAnsi="宋体" w:eastAsia="宋体" w:cs="Times New Roman"/>
          <w:snapToGrid w:val="0"/>
          <w:color w:val="auto"/>
          <w:spacing w:val="14"/>
          <w:kern w:val="0"/>
          <w:sz w:val="21"/>
          <w:szCs w:val="21"/>
          <w:highlight w:val="none"/>
          <w:lang w:val="en-US" w:eastAsia="zh-CN" w:bidi="ar-SA"/>
        </w:rPr>
        <w:t>本次招标项目为</w:t>
      </w:r>
      <w:r>
        <w:rPr>
          <w:rFonts w:hint="eastAsia" w:ascii="宋体" w:hAnsi="宋体" w:eastAsia="宋体" w:cs="Times New Roman"/>
          <w:snapToGrid w:val="0"/>
          <w:color w:val="auto"/>
          <w:spacing w:val="14"/>
          <w:kern w:val="0"/>
          <w:sz w:val="21"/>
          <w:szCs w:val="21"/>
          <w:highlight w:val="none"/>
          <w:u w:val="single"/>
          <w:lang w:val="en-US" w:eastAsia="zh-CN" w:bidi="ar-SA"/>
        </w:rPr>
        <w:t>河南经贸职业学院信息安全区域共享实训基地项目</w:t>
      </w:r>
      <w:r>
        <w:rPr>
          <w:rFonts w:hint="eastAsia" w:ascii="宋体" w:hAnsi="宋体" w:eastAsia="宋体" w:cs="Times New Roman"/>
          <w:snapToGrid w:val="0"/>
          <w:color w:val="auto"/>
          <w:spacing w:val="14"/>
          <w:kern w:val="0"/>
          <w:sz w:val="21"/>
          <w:szCs w:val="21"/>
          <w:highlight w:val="none"/>
          <w:lang w:val="en-US" w:eastAsia="zh-CN" w:bidi="ar-SA"/>
        </w:rPr>
        <w:t>，共</w:t>
      </w:r>
      <w:r>
        <w:rPr>
          <w:rFonts w:hint="eastAsia" w:ascii="宋体" w:hAnsi="宋体" w:eastAsia="宋体" w:cs="Times New Roman"/>
          <w:snapToGrid w:val="0"/>
          <w:color w:val="auto"/>
          <w:spacing w:val="14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1</w:t>
      </w:r>
      <w:r>
        <w:rPr>
          <w:rFonts w:ascii="宋体" w:hAnsi="宋体" w:eastAsia="宋体" w:cs="Times New Roman"/>
          <w:snapToGrid w:val="0"/>
          <w:color w:val="auto"/>
          <w:spacing w:val="14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Times New Roman"/>
          <w:snapToGrid w:val="0"/>
          <w:color w:val="auto"/>
          <w:spacing w:val="14"/>
          <w:kern w:val="0"/>
          <w:sz w:val="21"/>
          <w:szCs w:val="21"/>
          <w:highlight w:val="none"/>
          <w:lang w:val="en-US" w:eastAsia="zh-CN" w:bidi="ar-SA"/>
        </w:rPr>
        <w:t>个标段（分包）。</w:t>
      </w:r>
      <w:bookmarkStart w:id="5" w:name="_Toc238530903"/>
    </w:p>
    <w:p w14:paraId="3CC3925C">
      <w:pPr>
        <w:widowControl/>
        <w:ind w:firstLine="482"/>
        <w:jc w:val="both"/>
        <w:rPr>
          <w:rFonts w:ascii="宋体" w:hAnsi="宋体" w:eastAsia="宋体" w:cs="Times New Roman"/>
          <w:snapToGrid w:val="0"/>
          <w:color w:val="auto"/>
          <w:kern w:val="0"/>
          <w:sz w:val="21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snapToGrid w:val="0"/>
          <w:color w:val="auto"/>
          <w:kern w:val="0"/>
          <w:sz w:val="21"/>
          <w:szCs w:val="20"/>
          <w:highlight w:val="none"/>
          <w:lang w:val="en-US" w:eastAsia="zh-CN" w:bidi="ar-SA"/>
        </w:rPr>
        <w:t>2</w:t>
      </w:r>
      <w:r>
        <w:rPr>
          <w:rFonts w:ascii="宋体" w:hAnsi="宋体" w:eastAsia="宋体" w:cs="Times New Roman"/>
          <w:snapToGrid w:val="0"/>
          <w:color w:val="auto"/>
          <w:kern w:val="0"/>
          <w:sz w:val="21"/>
          <w:szCs w:val="20"/>
          <w:highlight w:val="none"/>
          <w:lang w:val="en-US" w:eastAsia="zh-CN" w:bidi="ar-SA"/>
        </w:rPr>
        <w:t>.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1"/>
          <w:szCs w:val="20"/>
          <w:highlight w:val="none"/>
          <w:lang w:val="en-US" w:eastAsia="zh-CN" w:bidi="ar-SA"/>
        </w:rPr>
        <w:t>本次采购标的（货物）对应的中小企业划分标准所属行业为：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1"/>
          <w:szCs w:val="20"/>
          <w:highlight w:val="none"/>
          <w:u w:val="single"/>
          <w:lang w:val="en-US" w:eastAsia="zh-CN" w:bidi="ar-SA"/>
        </w:rPr>
        <w:t>工业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1"/>
          <w:szCs w:val="20"/>
          <w:highlight w:val="none"/>
          <w:lang w:val="en-US" w:eastAsia="zh-CN" w:bidi="ar-SA"/>
        </w:rPr>
        <w:t>。</w:t>
      </w:r>
    </w:p>
    <w:p w14:paraId="5F0D7122">
      <w:pPr>
        <w:keepNext/>
        <w:keepLines/>
        <w:widowControl w:val="0"/>
        <w:jc w:val="both"/>
        <w:outlineLvl w:val="2"/>
        <w:rPr>
          <w:rFonts w:ascii="Times New Roman" w:hAnsi="Times New Roman" w:eastAsia="仿宋" w:cs="Times New Roman"/>
          <w:b/>
          <w:bCs/>
          <w:color w:val="auto"/>
          <w:kern w:val="0"/>
          <w:sz w:val="30"/>
          <w:szCs w:val="20"/>
          <w:highlight w:val="none"/>
          <w:lang w:val="en-US" w:eastAsia="zh-CN" w:bidi="ar-SA"/>
        </w:rPr>
      </w:pPr>
      <w:bookmarkStart w:id="6" w:name="_Toc81386000"/>
      <w:bookmarkStart w:id="7" w:name="_Toc81386232"/>
      <w:bookmarkStart w:id="8" w:name="_Toc76478965"/>
      <w:bookmarkStart w:id="9" w:name="_Toc76478887"/>
      <w:bookmarkStart w:id="10" w:name="_Toc76478810"/>
      <w:r>
        <w:rPr>
          <w:rFonts w:hint="eastAsia" w:ascii="宋体" w:hAnsi="宋体" w:eastAsia="宋体" w:cs="Times New Roman"/>
          <w:b/>
          <w:bCs/>
          <w:snapToGrid w:val="0"/>
          <w:color w:val="auto"/>
          <w:kern w:val="0"/>
          <w:sz w:val="30"/>
          <w:szCs w:val="20"/>
          <w:highlight w:val="none"/>
          <w:lang w:val="zh-CN" w:eastAsia="zh-CN" w:bidi="ar-SA"/>
        </w:rPr>
        <w:t>二、招标货物清单及</w:t>
      </w:r>
      <w:bookmarkEnd w:id="6"/>
      <w:bookmarkEnd w:id="7"/>
      <w:bookmarkEnd w:id="8"/>
      <w:bookmarkEnd w:id="9"/>
      <w:bookmarkEnd w:id="10"/>
      <w:r>
        <w:rPr>
          <w:rFonts w:hint="eastAsia" w:ascii="宋体" w:hAnsi="宋体" w:eastAsia="宋体" w:cs="Times New Roman"/>
          <w:b/>
          <w:bCs/>
          <w:snapToGrid w:val="0"/>
          <w:color w:val="auto"/>
          <w:kern w:val="0"/>
          <w:sz w:val="30"/>
          <w:szCs w:val="20"/>
          <w:highlight w:val="none"/>
          <w:lang w:val="zh-CN" w:eastAsia="zh-CN" w:bidi="ar-SA"/>
        </w:rPr>
        <w:t>技术参数/服务要求</w:t>
      </w:r>
    </w:p>
    <w:bookmarkEnd w:id="5"/>
    <w:tbl>
      <w:tblPr>
        <w:tblStyle w:val="8"/>
        <w:tblW w:w="10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230"/>
        <w:gridCol w:w="6879"/>
        <w:gridCol w:w="763"/>
        <w:gridCol w:w="758"/>
      </w:tblGrid>
      <w:tr w14:paraId="44F34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7FA2D95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序号</w:t>
            </w:r>
          </w:p>
        </w:tc>
        <w:tc>
          <w:tcPr>
            <w:tcW w:w="1230" w:type="dxa"/>
            <w:noWrap w:val="0"/>
            <w:vAlign w:val="center"/>
          </w:tcPr>
          <w:p w14:paraId="2C94CA0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名称</w:t>
            </w:r>
          </w:p>
        </w:tc>
        <w:tc>
          <w:tcPr>
            <w:tcW w:w="6879" w:type="dxa"/>
            <w:noWrap w:val="0"/>
            <w:vAlign w:val="center"/>
          </w:tcPr>
          <w:p w14:paraId="5D762F3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技术参数</w:t>
            </w:r>
          </w:p>
        </w:tc>
        <w:tc>
          <w:tcPr>
            <w:tcW w:w="763" w:type="dxa"/>
            <w:noWrap w:val="0"/>
            <w:vAlign w:val="center"/>
          </w:tcPr>
          <w:p w14:paraId="5964C25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数量</w:t>
            </w:r>
          </w:p>
        </w:tc>
        <w:tc>
          <w:tcPr>
            <w:tcW w:w="758" w:type="dxa"/>
            <w:noWrap w:val="0"/>
            <w:vAlign w:val="center"/>
          </w:tcPr>
          <w:p w14:paraId="13EAD05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单位</w:t>
            </w:r>
          </w:p>
        </w:tc>
      </w:tr>
      <w:tr w14:paraId="5580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744E5C6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230" w:type="dxa"/>
            <w:noWrap w:val="0"/>
            <w:vAlign w:val="center"/>
          </w:tcPr>
          <w:p w14:paraId="662C780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WEB应用防火墙</w:t>
            </w:r>
          </w:p>
        </w:tc>
        <w:tc>
          <w:tcPr>
            <w:tcW w:w="6879" w:type="dxa"/>
            <w:noWrap w:val="0"/>
            <w:vAlign w:val="center"/>
          </w:tcPr>
          <w:p w14:paraId="5970B6D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1.网络吞吐量为800Mbps，应用层处理能力为300Mbps，网络并发连接数40万，HTTP并发为12万，HTTP新建连接数大于3500/s。</w:t>
            </w:r>
          </w:p>
          <w:p w14:paraId="388017E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2.标准1U机箱，1TB硬盘，单电源，标准配置千兆6个10/100/1000M自适应电口，2个千兆SFP插槽，2组bypass，1个Console口，2个USB口，Web安全保护8个站点，2个网页防篡改客户端。</w:t>
            </w:r>
          </w:p>
          <w:p w14:paraId="0779255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3.包含三年WAF软件特征库服务，三年硬件维修服务。</w:t>
            </w:r>
          </w:p>
          <w:p w14:paraId="4938E15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4.支持路由、旁路、透明桥、流量牵引、链路聚合、Trunk等网络环境部署，支持透明代理、反向代理、负载均衡等模式。</w:t>
            </w:r>
          </w:p>
          <w:p w14:paraId="1CFAB95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5.支持协议合规检测过滤以及SQL注入、XSS、命令注入、XPATH注入、XML注入、SSI注入、JOSN注入、LDAP注入、暴力破解等常见WEB攻击行为检测拦截。</w:t>
            </w:r>
          </w:p>
          <w:p w14:paraId="16538A2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6.支持爬虫、黑链、内网代理以及盗链的防护，文件上传下载（包括但不限于、MIME文件类型、文件真实类型等）有效识别和防护。</w:t>
            </w:r>
          </w:p>
          <w:p w14:paraId="15B068B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7.支持敏感信息检测防护，检测类型包括但不限于中间件信息、数据库信息、敏感文件、代码错误信息、隐私信息等检测和防护。</w:t>
            </w:r>
          </w:p>
          <w:p w14:paraId="718CD33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8.支持人机识别、弱密码检测、会话安全、CGI安全、跨站请求伪造以及业务流程控制的WEB业务加固防护。</w:t>
            </w:r>
          </w:p>
          <w:p w14:paraId="4D2E3E0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9.支持强大的云端威胁情报数据在设备防御策略中使用，包括但不限于基于僵尸网络、恶意IP、扫描侦探、Webshell、漏洞利用、暴力破解、恶意代码等情报类型。</w:t>
            </w:r>
          </w:p>
          <w:p w14:paraId="0AA28C6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10.支持虚拟补丁防护，支持对网站发起的攻击次数、危害级别等维度进行算法分析与识别进行智能封禁，具有自定义攻击者封禁时间。（提供功能截图）</w:t>
            </w:r>
          </w:p>
          <w:p w14:paraId="470033A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11.支持自动识别资产系统类型和开放端口的资产探测机制，支持自定义每天、每周、每月自动化探测。</w:t>
            </w:r>
          </w:p>
          <w:p w14:paraId="6093F56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12.支持URL外联检测，具有自定义能力，针对特定外联URL进行监控或阻断。</w:t>
            </w:r>
          </w:p>
          <w:p w14:paraId="0442B7E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13.支持设定最少学习样本数，学习时间段等信息，当样本数大于设定的阈值数，可直接进入防护状态。</w:t>
            </w:r>
          </w:p>
          <w:p w14:paraId="2EEDCBB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14.支持包括但不限于恶意活动、漏洞后门、扫描渗透、信息泄露、可疑请求、木马、蠕虫病毒、僵尸网络、工具利用等防御模板，可设置防护级别和执行动作等操作。</w:t>
            </w:r>
          </w:p>
          <w:p w14:paraId="3856B40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15.支持windows、linux的32位与64位操作系统的网页防篡改功能，并提供相应的客户端下载功能。</w:t>
            </w:r>
          </w:p>
          <w:p w14:paraId="02BAA9D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16.支持实时态势监测攻击态势地图，包括但不限于对源地域、目标资产、安全防护攻击类型、攻击趋势、HTTP并发请求及实时事件统计。（提供功能截图）</w:t>
            </w:r>
          </w:p>
          <w:p w14:paraId="6F87870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17.使用语境关联分析技术，可深度对WEB访问行为进行威胁识别与防护。（提供功能截图）</w:t>
            </w:r>
          </w:p>
          <w:p w14:paraId="72472B4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18.支持对源IP、目的IP，源地域，攻击类型，级别，处理动作，协议类型，客户端设备类型，客户端操作系统，客户端浏览器类型进行综合统计分析，并通过饼图、曲线图及柱图等对分析结果进行图形化统计。</w:t>
            </w:r>
          </w:p>
          <w:p w14:paraId="25E4121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19.支持三权管理；支持界面诊断工具，包括但不限于在线抓包、ping、traceroute等运维工具；支持特征库在线和离线升级方式。</w:t>
            </w:r>
          </w:p>
          <w:p w14:paraId="4DE3A8F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20.设备功能要求支持通过学校现有实训平台统一管理，功能与实训平台内置的安全课程一致，支持与实训平台结合做虚实结合实验。</w:t>
            </w:r>
          </w:p>
          <w:p w14:paraId="4DE4001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21.要求能够提供“WEB应用防火墙”厂商正式出版的相关“WEB应用防火墙”纸质教材，提供相关ISBN书号证明和购买链接地址。</w:t>
            </w:r>
          </w:p>
        </w:tc>
        <w:tc>
          <w:tcPr>
            <w:tcW w:w="763" w:type="dxa"/>
            <w:noWrap w:val="0"/>
            <w:vAlign w:val="center"/>
          </w:tcPr>
          <w:p w14:paraId="24FFAAA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7B099D2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4747A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418C139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230" w:type="dxa"/>
            <w:noWrap w:val="0"/>
            <w:vAlign w:val="center"/>
          </w:tcPr>
          <w:p w14:paraId="0B0ACA5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漏洞扫描</w:t>
            </w:r>
          </w:p>
        </w:tc>
        <w:tc>
          <w:tcPr>
            <w:tcW w:w="6879" w:type="dxa"/>
            <w:noWrap w:val="0"/>
            <w:vAlign w:val="center"/>
          </w:tcPr>
          <w:p w14:paraId="3CFE0E4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1.标准1U机架式，1T硬盘，标准配置6个10/100/1000M自适应电口，2个扩展插槽,2个USB口，1个Console口，单电源。包含三年漏洞特征库升级，三年硬件维修服务。</w:t>
            </w:r>
          </w:p>
          <w:p w14:paraId="6272E8A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2.Web扫描域名无限制，Web扫描任务并发数为5个域名。 系统扫描IP地址无限制，支持扫描A类、B类、C类地址，系统扫描支持50个IP地址并行扫描。</w:t>
            </w:r>
          </w:p>
          <w:p w14:paraId="6B10321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3.能够提供系统扫描、WEB扫描、数据库扫描、基线配置核查、弱口令扫描五大功能模块。</w:t>
            </w:r>
          </w:p>
          <w:p w14:paraId="24A7FFD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4.支持同时下发系统扫描、Web扫描、弱口令扫描任务，无需单独下发扫描任务，扫描目标可以是IP、域名、URL的任一格式。（提供功能截图）</w:t>
            </w:r>
          </w:p>
          <w:p w14:paraId="1952BA7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5.支持检测的漏洞数大于60000条以上，涵盖漏洞标准包含CVE、CVSS、CNVD、CNNVD、CNCVE、Bugtraq6种，CVSS覆盖CVSS2和CVSS3版本。（提供功能截图）</w:t>
            </w:r>
          </w:p>
          <w:p w14:paraId="0170671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6.支持扫描物联网设备，支持扫描Brickcom、大华、索尼、TP-LINK、宇视、AXIS、佳能、海康威视等国内外厂商的摄像头，支持扫描佳能、惠普等网络打印。（提供功能截图）</w:t>
            </w:r>
          </w:p>
          <w:p w14:paraId="11075BC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7.支持针对工控专用设备包括PLC、SCADA、DCS、工控专用网络设备的漏洞扫描。</w:t>
            </w:r>
          </w:p>
          <w:p w14:paraId="3819F56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8.支持Web漏洞扫描，检测基于OWASP Top10标准定义扫描规则。</w:t>
            </w:r>
          </w:p>
          <w:p w14:paraId="1E346F1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9.支持自动探测指定网段中的Web站点，并可一键转为Web资产或一键下发Web扫描任务。</w:t>
            </w:r>
          </w:p>
          <w:p w14:paraId="77B5D17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10.支持以树形结构展示网站目录结构，并在网站目录上关联显示相应漏洞，便于直观确定漏洞位置。</w:t>
            </w:r>
          </w:p>
          <w:p w14:paraId="2AD4193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11.支持通过TELNET、SSH、SMB、RDP、WinRM协议进行安全配置核查。</w:t>
            </w:r>
          </w:p>
          <w:p w14:paraId="2D17026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12.支持缺省内置标准基线核查模板，包括：等保三级检测要求、工信部配置规范、中国电信安全配置规范、中国移动安全配置规范。</w:t>
            </w:r>
          </w:p>
          <w:p w14:paraId="7DF4DE5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13.支持资产历史扫描结果变化趋势展示，并可对比任意两次扫描结果，查看新增漏洞和减少漏洞。</w:t>
            </w:r>
          </w:p>
          <w:p w14:paraId="5B3EBDC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14.支持离线导出报表或扫描任务结束后自动发送报表到指定邮箱，报表包含5种常见格式：Excel、Word、HTML、PDF、XML。</w:t>
            </w:r>
          </w:p>
          <w:p w14:paraId="5F68196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15.设备功能要求支持通过学校现有实训平台统一管理，功能与实训平台内置的安全课程一致，支持与实训平台结合做虚实结合实验。</w:t>
            </w:r>
          </w:p>
          <w:p w14:paraId="69DE87F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16.要求能够提供“漏洞扫描”厂商正式出版的相关“漏洞扫描”纸质教材，提供相关ISBN书号证明和购买链接地址。</w:t>
            </w:r>
          </w:p>
        </w:tc>
        <w:tc>
          <w:tcPr>
            <w:tcW w:w="763" w:type="dxa"/>
            <w:noWrap w:val="0"/>
            <w:vAlign w:val="center"/>
          </w:tcPr>
          <w:p w14:paraId="5768532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477FCBF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0EC09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5BE6FE4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230" w:type="dxa"/>
            <w:noWrap w:val="0"/>
            <w:vAlign w:val="center"/>
          </w:tcPr>
          <w:p w14:paraId="3FDB2DE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入侵防御</w:t>
            </w:r>
          </w:p>
        </w:tc>
        <w:tc>
          <w:tcPr>
            <w:tcW w:w="6879" w:type="dxa"/>
            <w:noWrap w:val="0"/>
            <w:vAlign w:val="center"/>
          </w:tcPr>
          <w:p w14:paraId="27BE339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1.600M吞吐，1U机箱，单电源；6个10/100/1000M自适应电口，一个扩展槽；内置2路电口Bypass。含三年硬件维修、三年IPS、APP、AV特征库升级服务。</w:t>
            </w:r>
          </w:p>
          <w:p w14:paraId="65137CD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2.提供多种部署模式，支持路由、透明接入、虚拟网线等部署方案的工作模式。</w:t>
            </w:r>
          </w:p>
          <w:p w14:paraId="14B329B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3.具备应用识别特征库，提供P2P下载、网络电视、即时通讯、股票软件、流媒体、网络电话、手机应用等多种应用识别类型，特征库数量不少于3000。（提供功能截图）</w:t>
            </w:r>
          </w:p>
          <w:p w14:paraId="60E2BEF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4.具备自定义访问控制功能，针对源及目的MAC、报文头部信息（SYN标志、分片标志、TTL、DSCP、Precedence、TOS）、内网域地址、外网域地址、长连接超时时间等细粒度的访问控制功能。</w:t>
            </w:r>
          </w:p>
          <w:p w14:paraId="69BAE46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具备一体化安全策略模板功能，通过单条策略既可完成多项策略设置，可以配置源目的地址、国家地区、源目的域、源目的MAC、时间对象、用户、虚拟身份、服务对象、URL分类等对象，同时可在同一策略下，调用入侵防护、一体化防病毒、文件控制、URL过滤、数据过滤防护、威胁情报、口令检测、挂马防护、僵尸网络等应用安全策略进行安全防护。</w:t>
            </w:r>
          </w:p>
          <w:p w14:paraId="3A01372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6.具备双病毒引擎功能，提供本地病毒引擎与云端第三方病毒引擎功能，支持16类500余万种病毒特征库。 （提供功能截图）</w:t>
            </w:r>
          </w:p>
          <w:p w14:paraId="1B32E9E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7.具备病毒多种扫描模式，支持快速扫描和16层深度压缩文件的扫描模式，提供HTTP、FTP、IMAP、POP3、SMTP协议的病毒扫描功能。</w:t>
            </w:r>
          </w:p>
          <w:p w14:paraId="138AAA4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8.提供入侵防御特征库，特征数超过10000条；并提供基于正则表达式匹配方式的自定义特征策略功能；</w:t>
            </w:r>
          </w:p>
          <w:p w14:paraId="7A9BBE7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9.具备云端威胁情报功能，提供僵尸网络、钓鱼网站、恶意网站等10大类的威胁情报并把相关数据运用到产品防御策略中。</w:t>
            </w:r>
          </w:p>
          <w:p w14:paraId="6112C07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10.具备检测防逃逸技术，提供缓冲区溢出、SQL注入、扫描刺探、间谍软件、拒绝服务、病毒、木马后门、漏洞攻击、潜在风险的入侵防御特征库。</w:t>
            </w:r>
          </w:p>
          <w:p w14:paraId="01FDE43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11.具备事件取证分析功能，通过获取接口的报文文件保存在设备中留存为证据，取证文件支持导出功能。</w:t>
            </w:r>
          </w:p>
          <w:p w14:paraId="40BBC86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12.具备配置文件功能，提供配置文件的导入、导出功能，并可以指定下次启动的配置文件。</w:t>
            </w:r>
          </w:p>
          <w:p w14:paraId="444E058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13.具备移动终端管理功能，无需安装APP和第三方插件，通过手机浏览器即可管理设备，并可查看设备CPU、内存、硬盘使用情况。（提供功能截图）</w:t>
            </w:r>
          </w:p>
          <w:p w14:paraId="725F546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14.具备移动终端对设备的一键黑白名单功能，当突发应急事件时，提供一键黑名单应急处置功能。</w:t>
            </w:r>
          </w:p>
          <w:p w14:paraId="49485AD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15.设备功能要求支持通过学校现有实训平台统一管理，功能与实训平台内置的安全课程一致，支持与实训平台结合做虚实结合实验。</w:t>
            </w:r>
          </w:p>
          <w:p w14:paraId="0D86BEE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16.要求能够提供“入侵防御”厂商正式出版的相关“入侵防御”纸质教材，提供相关ISBN书号证明和购买链接地址。</w:t>
            </w:r>
          </w:p>
        </w:tc>
        <w:tc>
          <w:tcPr>
            <w:tcW w:w="763" w:type="dxa"/>
            <w:noWrap w:val="0"/>
            <w:vAlign w:val="center"/>
          </w:tcPr>
          <w:p w14:paraId="1FE1172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769B0F1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3D49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79FE3A6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230" w:type="dxa"/>
            <w:noWrap w:val="0"/>
            <w:vAlign w:val="center"/>
          </w:tcPr>
          <w:p w14:paraId="60322BC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日志审计</w:t>
            </w:r>
          </w:p>
        </w:tc>
        <w:tc>
          <w:tcPr>
            <w:tcW w:w="6879" w:type="dxa"/>
            <w:noWrap w:val="0"/>
            <w:vAlign w:val="center"/>
          </w:tcPr>
          <w:p w14:paraId="024AC38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日志审计系统，系统主机(单电源，包含LAS系统软件)。性能：事件采集10000EPS，事件处理最高3000EPS。硬件规格：标准1U机箱，6个千兆电口，2个扩展插槽（可选2万兆光、4千兆电、4千兆光），1个Console接口，单电源，4T硬盘。包含25授权节点，包含三年标准维保。</w:t>
            </w:r>
          </w:p>
          <w:p w14:paraId="67F0699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2.采用B/S模式，无需安装客户端，使用WEB浏览器访问管理中心，浏览器端无需安装Java运行环境。支持chrome浏览。</w:t>
            </w:r>
          </w:p>
          <w:p w14:paraId="08F615A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3.能够对组织的信息系统中的各种IT资源：网络设备、安全设备、安全系统、主机操作系统、虚拟化、云计算、数据库、中间件以及各种应用系统的日志、事件、告警等安全信息进行全面的审计。</w:t>
            </w:r>
          </w:p>
          <w:p w14:paraId="514FE70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4.支持通过Syslog、Syslog-NG、SNMP Trap、Netflow V5、JDBC、Agent代理、WMI、(S)FTP、NetBIOS、文件\文件夹读取、Kafka等多种方式完成各种日志的收集功能，支持多行日志采集合并为一行。</w:t>
            </w:r>
          </w:p>
          <w:p w14:paraId="6229D02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5.支持对资产IP地址（含内网IP）的地理信息进行管理，设置单IP及IP段行政区及经纬度，支持地图显示。（提供功能截图）</w:t>
            </w:r>
          </w:p>
          <w:p w14:paraId="025233A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6.支持对资产日志进行过滤，设置允许接收和拒绝接收日志，并可以对资产设置一定时间范围内未收到事件后进行主动告警。</w:t>
            </w:r>
          </w:p>
          <w:p w14:paraId="474C8A1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7.系统提供页面可视化编辑归一化策略，对页面查看的日志编辑归一化策略，所见即所得，也支持通过归一化文件的导入来支持归一化,不需修改系统程序。</w:t>
            </w:r>
          </w:p>
          <w:p w14:paraId="125484B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8.内置不少于130个日志解析字段，属性字段可扩展，支持自行创建字段，可设定字段长度、选择字段操作符集，选择映射函数等。内置及新增的所有字段均可参与查询、关联分析和报表统计。（提供功能截图）</w:t>
            </w:r>
          </w:p>
          <w:p w14:paraId="3A7075C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9.针对匹配的多条范化策略，系统支持用户手工设置策略匹配优先级，保证最佳范化策略匹配。</w:t>
            </w:r>
          </w:p>
          <w:p w14:paraId="11C3730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10.支持对日志中的源和目的IP地址进行自动补全，补全IP地址的资产、国家、区域和城市等信息。</w:t>
            </w:r>
          </w:p>
          <w:p w14:paraId="6D7559D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11.系统提供即席查询功能，支持归一化字段及关键字搜索，从海量事件原始信息中获取与关键字匹配或部分匹配的所有事件。</w:t>
            </w:r>
          </w:p>
          <w:p w14:paraId="54041DB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12.可以以图形化的方式展示日志属性之间的聚合关系，并支持手动选择日志属性，显示多维事件分析图；属性可增加或减少，且支持图片大小调整。</w:t>
            </w:r>
          </w:p>
          <w:p w14:paraId="57F75BE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13.能够在世界地图上实时定位事件源/目的IP地址（内网IP）的地理位置。（提供功能截图）</w:t>
            </w:r>
          </w:p>
          <w:p w14:paraId="751C619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14.仪表板支持自定义创建框架，用户可以在框架内添加不同的仪表板组件（数值、折线、面积、柱图、饼图、环状图、地图、组件、URL、文本、图片、列表等），支持组件位置自由摆放，组件大小自由拖曳等。</w:t>
            </w:r>
          </w:p>
          <w:p w14:paraId="19D3652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15.支持仪表板导入导出，支持仪表板共享、复制，可将仪表板共享给其他用户。</w:t>
            </w:r>
          </w:p>
          <w:p w14:paraId="6813636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16.关联规则支持规则嵌套和引用，通过多规则联合，可精确识别复杂安全事件和场景；</w:t>
            </w:r>
          </w:p>
          <w:p w14:paraId="2916C5A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17.通过关联规则将关注的日志信息保存入活动列表中，并将活动列表中的内容应用到关联规则中。活动列表可根据分析需要创建，可赋予活动列表寿命。</w:t>
            </w:r>
          </w:p>
          <w:p w14:paraId="0009E1E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18.支持对关联规则进行监控，了解该规则命中历史情况。</w:t>
            </w:r>
          </w:p>
          <w:p w14:paraId="720D62A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19.支持分布式关联分析引擎，可以弹性扩展分析能力，最大可达10万EPS以上</w:t>
            </w:r>
          </w:p>
          <w:p w14:paraId="4FC1003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20.设备功能要求支持通过学校现有实训平台统一管理，功能与实训平台内置的安全课程一致，支持与实训平台结合做虚实结合实验。</w:t>
            </w:r>
          </w:p>
          <w:p w14:paraId="723B011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21.要求能够提供“日志审计”厂商正式出版的相关“日志审计”纸质教材，提供相关ISBN书号证明和购买链接地址。</w:t>
            </w:r>
          </w:p>
        </w:tc>
        <w:tc>
          <w:tcPr>
            <w:tcW w:w="763" w:type="dxa"/>
            <w:noWrap w:val="0"/>
            <w:vAlign w:val="center"/>
          </w:tcPr>
          <w:p w14:paraId="54C72A0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7984428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5469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3C3C563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230" w:type="dxa"/>
            <w:noWrap w:val="0"/>
            <w:vAlign w:val="center"/>
          </w:tcPr>
          <w:p w14:paraId="0A27FB3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SDN交换机</w:t>
            </w:r>
          </w:p>
        </w:tc>
        <w:tc>
          <w:tcPr>
            <w:tcW w:w="6879" w:type="dxa"/>
            <w:noWrap w:val="0"/>
            <w:vAlign w:val="center"/>
          </w:tcPr>
          <w:p w14:paraId="2048093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48口千兆三层SDN交换机。标准1RU的盒式参考设计 ，高达880Gbps吞吐量，整机超低功耗；支持OpenFlow 1.3.x/1.4.x版本，支持多达3.5K * 流表 ，支持L2到L4完整匹配域，支持基于单条流表项的多种行为；支持二层GRE/NvGRE/VXLAN隧道；支持MPLS L2 VPN/MPLS，支持QinQ；Meter表项最大支持1000 * meter ID；支持Group(all/select/indirect/fast failover)；支持队列；支持Bond。</w:t>
            </w:r>
          </w:p>
        </w:tc>
        <w:tc>
          <w:tcPr>
            <w:tcW w:w="763" w:type="dxa"/>
            <w:noWrap w:val="0"/>
            <w:vAlign w:val="center"/>
          </w:tcPr>
          <w:p w14:paraId="45381C6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758" w:type="dxa"/>
            <w:noWrap w:val="0"/>
            <w:vAlign w:val="center"/>
          </w:tcPr>
          <w:p w14:paraId="73A0D7D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6BB35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4EF5AD0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1230" w:type="dxa"/>
            <w:noWrap w:val="0"/>
            <w:vAlign w:val="center"/>
          </w:tcPr>
          <w:p w14:paraId="2769FCC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串口服务器</w:t>
            </w:r>
          </w:p>
        </w:tc>
        <w:tc>
          <w:tcPr>
            <w:tcW w:w="6879" w:type="dxa"/>
            <w:noWrap w:val="0"/>
            <w:vAlign w:val="center"/>
          </w:tcPr>
          <w:p w14:paraId="60F555B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1U机架式，16个RJ45串行通信口，1个Console口, 1个10/100M以太网口。</w:t>
            </w:r>
          </w:p>
        </w:tc>
        <w:tc>
          <w:tcPr>
            <w:tcW w:w="763" w:type="dxa"/>
            <w:noWrap w:val="0"/>
            <w:vAlign w:val="center"/>
          </w:tcPr>
          <w:p w14:paraId="724AA3B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758" w:type="dxa"/>
            <w:noWrap w:val="0"/>
            <w:vAlign w:val="center"/>
          </w:tcPr>
          <w:p w14:paraId="38534EB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04294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683A0E1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1230" w:type="dxa"/>
            <w:noWrap w:val="0"/>
            <w:vAlign w:val="center"/>
          </w:tcPr>
          <w:p w14:paraId="0D2135F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二层接入交换机</w:t>
            </w:r>
          </w:p>
        </w:tc>
        <w:tc>
          <w:tcPr>
            <w:tcW w:w="6879" w:type="dxa"/>
            <w:noWrap w:val="0"/>
            <w:vAlign w:val="center"/>
          </w:tcPr>
          <w:p w14:paraId="4C4D9D6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千兆以太网交换机，24个千兆以太网电口+4个千兆SFP光口；交换容量≥250Gbps；包转发率≥90Mpps；无风扇静音机箱，节能降噪。</w:t>
            </w:r>
          </w:p>
        </w:tc>
        <w:tc>
          <w:tcPr>
            <w:tcW w:w="763" w:type="dxa"/>
            <w:noWrap w:val="0"/>
            <w:vAlign w:val="center"/>
          </w:tcPr>
          <w:p w14:paraId="3B565BC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58" w:type="dxa"/>
            <w:noWrap w:val="0"/>
            <w:vAlign w:val="center"/>
          </w:tcPr>
          <w:p w14:paraId="4271D79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351BB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7124833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1230" w:type="dxa"/>
            <w:noWrap w:val="0"/>
            <w:vAlign w:val="center"/>
          </w:tcPr>
          <w:p w14:paraId="5FF8813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无线AP</w:t>
            </w:r>
          </w:p>
        </w:tc>
        <w:tc>
          <w:tcPr>
            <w:tcW w:w="6879" w:type="dxa"/>
            <w:noWrap w:val="0"/>
            <w:vAlign w:val="center"/>
          </w:tcPr>
          <w:p w14:paraId="1EDECD9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802.11ax双路双频通用级放装型无线接入点；支持锐捷极简以太光方案；支持1个1Gbps以太网电口以及1个2.5Gbps SFP光口；整机最大支持4条空间流，整机最高接入速率2.976Gbps，可支持802.11a/b/g/n/ac和802.11ax工作，胖/瘦模式切换、802.3af供电和本地供电。</w:t>
            </w:r>
          </w:p>
        </w:tc>
        <w:tc>
          <w:tcPr>
            <w:tcW w:w="763" w:type="dxa"/>
            <w:noWrap w:val="0"/>
            <w:vAlign w:val="center"/>
          </w:tcPr>
          <w:p w14:paraId="7A3ABF6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758" w:type="dxa"/>
            <w:noWrap w:val="0"/>
            <w:vAlign w:val="center"/>
          </w:tcPr>
          <w:p w14:paraId="42A71F5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6AA96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127881C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230" w:type="dxa"/>
            <w:noWrap w:val="0"/>
            <w:vAlign w:val="center"/>
          </w:tcPr>
          <w:p w14:paraId="115CC9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WEB应用防火墙课程资源包</w:t>
            </w:r>
          </w:p>
        </w:tc>
        <w:tc>
          <w:tcPr>
            <w:tcW w:w="6879" w:type="dxa"/>
            <w:noWrap w:val="0"/>
            <w:vAlign w:val="center"/>
          </w:tcPr>
          <w:p w14:paraId="0140425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通过本课程能够学习WAF产品的部署运维。 </w:t>
            </w:r>
          </w:p>
          <w:p w14:paraId="53E2A7B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1.课程资源包部署在实训系统内，WEB应用防火墙（WAF）课程资源包，包含课程大纲、教学ppt、实验指导书、实训实验等丰富的教学及实操资源，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并包括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Web应用防火墙基本配置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等版块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  <w:p w14:paraId="290ECF4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2.Web应用防火墙基本配置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eb应用防火墙登录管理实验、Web应用防火墙多网段登录管理实验、Web应用防火墙管理员设置实验、Web应用防火墙系统管理实验、Web应用防火墙备份恢复实验、Web应用防火墙攻击告警实验、Web应用防火墙基础对象配置实验、Web应用防火墙服务器管理实验。</w:t>
            </w:r>
          </w:p>
          <w:p w14:paraId="48A7C4D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3.Web应用防火墙安全防护应用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eb应用防火墙HTTP协议校验实验、Web应用防火墙HTTP访问控制实验、Web应用防火墙爬虫防护实验、Web应用防火墙盗链防护实验、Web应用防火墙CSRF防护实验、Web应用防火墙特征防护实验、Web应用防火墙扫描防护实验、Web应用防火墙文件上传检测实验、Web应用防火墙文件下载检测实验、Web应用防火墙敏感信息检测实验、Web应用防火墙慢速DoS攻击防护实验、Web应用防火墙主机网页防篡改防护服务器配置实验、Web应用防火墙网页防篡改实验。</w:t>
            </w:r>
          </w:p>
          <w:p w14:paraId="5E931CA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4.Web应用防火墙日志管理与分析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Web应用防火墙日志备份及恢复实验、Web应用防火墙审计日志管理实验。</w:t>
            </w:r>
          </w:p>
          <w:p w14:paraId="1DB30E3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5.Web应用防火墙技术及应用课程设计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资源要求：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Web应用防火墙综合实验。</w:t>
            </w:r>
          </w:p>
          <w:p w14:paraId="6C48158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 以硬件WAF设备为教学基准，主要介绍WAF的基本知识、结构、配置方法。</w:t>
            </w:r>
          </w:p>
        </w:tc>
        <w:tc>
          <w:tcPr>
            <w:tcW w:w="763" w:type="dxa"/>
            <w:noWrap w:val="0"/>
            <w:vAlign w:val="center"/>
          </w:tcPr>
          <w:p w14:paraId="3366E3D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34D6DDA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73C0E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09EADC7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1230" w:type="dxa"/>
            <w:noWrap w:val="0"/>
            <w:vAlign w:val="center"/>
          </w:tcPr>
          <w:p w14:paraId="030BB74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漏洞扫描课程资源包</w:t>
            </w:r>
          </w:p>
        </w:tc>
        <w:tc>
          <w:tcPr>
            <w:tcW w:w="6879" w:type="dxa"/>
            <w:noWrap w:val="0"/>
            <w:vAlign w:val="center"/>
          </w:tcPr>
          <w:p w14:paraId="3FC078C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通过本课程能够学习漏洞扫描产品的部署运维。</w:t>
            </w:r>
          </w:p>
          <w:p w14:paraId="11A2FDD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 课程资源包部署在实训系统内，漏洞扫描课程资源包包含课程大纲、教学ppt、实验指导书、实训实验等丰富的教学及实操资源，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包括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漏洞扫描系统基本管理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等板块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  <w:p w14:paraId="0001DD0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2.漏洞扫描系统基本管理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漏洞扫描账号管理实验、漏洞扫描远程管理实验、漏洞扫描系统管理实验。</w:t>
            </w:r>
          </w:p>
          <w:p w14:paraId="40DADAB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3.漏洞扫描系统应用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：漏洞扫描诊断工具实验、系统漏洞扫描实验、Web漏洞扫描实验、数据库漏洞扫描实验、基于协议的口令破解实验、基于数据库的口令猜解实验、基于操作系统的口令猜解实验。</w:t>
            </w:r>
          </w:p>
          <w:p w14:paraId="3181FF5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4.漏洞扫描系统高级应用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：漏洞扫描资产管理实验、漏洞扫描结果分析实验、漏洞扫描结果对比分析实验、漏洞扫描系统备份恢复实验、漏洞扫描结果备份实验、漏洞扫描升级实验、漏洞扫描系统审计日志实验。</w:t>
            </w:r>
          </w:p>
          <w:p w14:paraId="13CF630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5.漏洞扫描与防护课程设计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：漏洞扫描综合实验。</w:t>
            </w:r>
          </w:p>
          <w:p w14:paraId="225B622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6.以漏洞扫描设备为教学基准，主要介绍漏洞扫描的基本知识、结构、配置方法。</w:t>
            </w:r>
          </w:p>
        </w:tc>
        <w:tc>
          <w:tcPr>
            <w:tcW w:w="763" w:type="dxa"/>
            <w:noWrap w:val="0"/>
            <w:vAlign w:val="center"/>
          </w:tcPr>
          <w:p w14:paraId="456C719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55393CF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3C25C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5BFD20D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1230" w:type="dxa"/>
            <w:noWrap w:val="0"/>
            <w:vAlign w:val="center"/>
          </w:tcPr>
          <w:p w14:paraId="73D1925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入侵防御课程资源包</w:t>
            </w:r>
          </w:p>
        </w:tc>
        <w:tc>
          <w:tcPr>
            <w:tcW w:w="6879" w:type="dxa"/>
            <w:noWrap w:val="0"/>
            <w:vAlign w:val="center"/>
          </w:tcPr>
          <w:p w14:paraId="72062C7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通过本课程能够学习IPS产品的部署运维。</w:t>
            </w:r>
          </w:p>
          <w:p w14:paraId="149314E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 课程资源包部署在实训系统内，入侵防御（IPS）课程资源包包含课程大纲、教学ppt、实验指导书、实训实验等丰富的教学及实操资源，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包括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入侵防御系统基本配置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等板块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。 </w:t>
            </w:r>
          </w:p>
          <w:p w14:paraId="2677D0D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2.入侵防御系统基本配置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：入侵防御系统基本设置实验、入侵防御系统维护升级实验、入侵防御系统网络接口配置实验、入侵防御系统配置文件实验。</w:t>
            </w:r>
          </w:p>
          <w:p w14:paraId="47CA641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3.入侵防御系统功能配置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：入侵防御系统基于时间管理的应用组管理实验、入侵防御系统敏感数据管控实验、入侵防御系统URL管控实验、入侵防御系统安全防御管控实验、入侵防御系统邮件管控实验、入侵防御系统DDoS防护实验。</w:t>
            </w:r>
          </w:p>
          <w:p w14:paraId="1DB62BC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4.入侵防御系统功能部署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：入侵防御系统配置向导实验。</w:t>
            </w:r>
          </w:p>
          <w:p w14:paraId="7ED0685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5.入侵防御系统数据分析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：入侵防御系统业务分析实验、入侵防御系统流量监控实验、入侵防御系统事件监控实验、入侵防御系统会话监控实验、入侵防御系统报表管理实验、入侵防御系统事件取证实验。</w:t>
            </w:r>
          </w:p>
          <w:p w14:paraId="0A73479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6.入侵检测与入侵防御课程设计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：入侵防御系统串行部署实验。</w:t>
            </w:r>
          </w:p>
          <w:p w14:paraId="0C279C0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 以硬件IPS设备为教学基准，主要介绍IPS的基本知识、结构、配置方法。</w:t>
            </w:r>
          </w:p>
        </w:tc>
        <w:tc>
          <w:tcPr>
            <w:tcW w:w="763" w:type="dxa"/>
            <w:noWrap w:val="0"/>
            <w:vAlign w:val="center"/>
          </w:tcPr>
          <w:p w14:paraId="6041217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6EE3E94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套</w:t>
            </w:r>
          </w:p>
        </w:tc>
      </w:tr>
      <w:tr w14:paraId="0924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59B4647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1230" w:type="dxa"/>
            <w:noWrap w:val="0"/>
            <w:vAlign w:val="center"/>
          </w:tcPr>
          <w:p w14:paraId="3368172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日志审计课程资源包</w:t>
            </w:r>
          </w:p>
        </w:tc>
        <w:tc>
          <w:tcPr>
            <w:tcW w:w="6879" w:type="dxa"/>
            <w:noWrap w:val="0"/>
            <w:vAlign w:val="center"/>
          </w:tcPr>
          <w:p w14:paraId="315B0E7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通过本课程能够掌握日志审计产品的部署运维。</w:t>
            </w:r>
          </w:p>
          <w:p w14:paraId="0E77361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 课程资源包部署在实训系统内，日志审计课程资源包包含课程大纲、讲义、教学ppt、实验指导书、试题库、实训实验等丰富的教学及实操资源，以硬件日志审计设备为教学基准，主要介绍日志审计的基本知识、结构、配置方法。</w:t>
            </w:r>
          </w:p>
          <w:p w14:paraId="4FFFB0E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2.日志的基本配置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：日志审计与分析系统登录管理实验、日志审计与分析系统用户与权限管理实验、日志审计与分析系统登录限制实验。</w:t>
            </w:r>
          </w:p>
          <w:p w14:paraId="463D15E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3.日志采集配置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：日志审计与分析系统首页场景演示实验、日志审计与分析系统采集与转发参数设置实验、日志审计与分析系统事件归档设置实验、日志审计与分析系统设备监控查看实验。</w:t>
            </w:r>
          </w:p>
          <w:p w14:paraId="4759092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4.资产日志管理与设置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：日志审计与分析系统资产录入实验、日志审计与分析系统资产批量导人导出与属性设置实验。</w:t>
            </w:r>
          </w:p>
          <w:p w14:paraId="1D1FBAE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5.系统日志采集配置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日志审计与分析系统网络设备日志采集实验、日志审计与分析系统应用系统日志采集实验、日志审计与分析系统安全设备日志采集实验、日志审计与分析系统数据库日志采集实验、日志审计与分析系统操作系统日志采集实验、日志审计与分析系统日志解析文件实验。</w:t>
            </w:r>
          </w:p>
          <w:p w14:paraId="2D14044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6.日志存储与分析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日志审计与分析系统实时监视实验、日志审计与分析系统实时分析实验、日志审计与分析系统趋势分析实验、日志审计与分析系统事件查询实验、日志审计与分析系统告警设置及查询实验、日志审计与分析系统过滤器实验、日志审计与分析系统关联分析告警实验。</w:t>
            </w:r>
          </w:p>
          <w:p w14:paraId="1ACDD5A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7.查询与报表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：日志审计与分析系统预定义报表实验、日志审计与分析系统网络安全设备日志查询分析实验、日志审计与分析系统主机安全日志查询分析实验。</w:t>
            </w:r>
          </w:p>
          <w:p w14:paraId="70B1083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8.日志审计与分析课程设计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日志审计与分析系统综合实验。</w:t>
            </w:r>
          </w:p>
          <w:p w14:paraId="21FFA95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 日志审计课程资源可导入实训平台教学使用，并配套已正式出版的日志审计纸质教材，提供出版号或出版证明。</w:t>
            </w:r>
          </w:p>
        </w:tc>
        <w:tc>
          <w:tcPr>
            <w:tcW w:w="763" w:type="dxa"/>
            <w:noWrap w:val="0"/>
            <w:vAlign w:val="center"/>
          </w:tcPr>
          <w:p w14:paraId="0399827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7D69FE6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22E87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7CD6521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</w:t>
            </w:r>
          </w:p>
        </w:tc>
        <w:tc>
          <w:tcPr>
            <w:tcW w:w="1230" w:type="dxa"/>
            <w:noWrap w:val="0"/>
            <w:vAlign w:val="center"/>
          </w:tcPr>
          <w:p w14:paraId="504023B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防火墙课程资源包</w:t>
            </w:r>
          </w:p>
        </w:tc>
        <w:tc>
          <w:tcPr>
            <w:tcW w:w="6879" w:type="dxa"/>
            <w:noWrap w:val="0"/>
            <w:vAlign w:val="center"/>
          </w:tcPr>
          <w:p w14:paraId="6C78458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通过本课程能够学习智慧防火墙部署运维。</w:t>
            </w:r>
          </w:p>
          <w:p w14:paraId="429406B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 课程资源包部署在实训系统内，智慧防火墙课程资源包包含课程大纲、教学ppt、实验指导书、实训实验等丰富的教学及实操资源，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包括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防火墙基本配置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等板块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  <w:p w14:paraId="7B3BB5F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2.防火墙基本配置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：防火墙登录管理实验、防火墙管理员配置实验、防火墙基本管理实验、防火墙DHCP设置实验、防火墙DHCP中继设置实验、防火墙ARP设置实验、防火墙IP-MAC绑定实验、防火墙DNS设置实验。</w:t>
            </w:r>
          </w:p>
          <w:p w14:paraId="5A11AE0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3.防火墙网络管理应用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：防火墙安全域设置实验、防火墙攻击防护管理实验、防火墙地址管理实验、防火墙源NAT实验、防火墙目的NAT实验、防火墙地址黑名单实验、防火墙域名黑白名单实验、防火墙会话管理实验。</w:t>
            </w:r>
          </w:p>
          <w:p w14:paraId="3D5253E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4.防火墙应用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防火墙网关单出口实验、防火墙桥接口配置实验、防火墙网关多出口部署实验、防火墙安全策略管理实验、防火墙OSPF路由实验、防火墙QoS实验、防火墙预设关键字管理实验、防火墙URL分类管理实验、防火墙URL过滤实验、防火墙文件过滤实验、防火墙邮件过滤实验、防火墙行为管控实验、防火墙服务管理实验、防火墙基于时间的应用管理实验、防火墙反病毒配置实验、防火墙漏洞防护配置实验。</w:t>
            </w:r>
          </w:p>
          <w:p w14:paraId="6E2E179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5.防火墙高级应用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防火墙CA中心配置实验、防火墙证书管理实验、防火墙安全认证实验、防火墙虚拟防火墙创建管理实验、防火墙配置文件管理实验、防火墙资产管理设置实验、防火墙日志管理实验、防火墙统计数据管理实验、防火墙报表管理实验。</w:t>
            </w:r>
          </w:p>
          <w:p w14:paraId="5B2A160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6.防火墙技术及应用课程设计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：防火墙课程设计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实验项目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  <w:p w14:paraId="2484D25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7.以硬件防火墙设备为教学基准。</w:t>
            </w:r>
          </w:p>
        </w:tc>
        <w:tc>
          <w:tcPr>
            <w:tcW w:w="763" w:type="dxa"/>
            <w:noWrap w:val="0"/>
            <w:vAlign w:val="center"/>
          </w:tcPr>
          <w:p w14:paraId="5769814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57BBEE5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4F92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4AC08B6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</w:t>
            </w:r>
          </w:p>
        </w:tc>
        <w:tc>
          <w:tcPr>
            <w:tcW w:w="1230" w:type="dxa"/>
            <w:noWrap w:val="0"/>
            <w:vAlign w:val="center"/>
          </w:tcPr>
          <w:p w14:paraId="3124575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上网行为管理课程资源包</w:t>
            </w:r>
          </w:p>
        </w:tc>
        <w:tc>
          <w:tcPr>
            <w:tcW w:w="6879" w:type="dxa"/>
            <w:noWrap w:val="0"/>
            <w:vAlign w:val="center"/>
          </w:tcPr>
          <w:p w14:paraId="77DEB08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通过本课程能够学习上网行为管理产品的部署运维。</w:t>
            </w:r>
          </w:p>
          <w:p w14:paraId="5E47596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 课程资源包部署在实训系统内，上网行为管理课程资源包，包含课程大纲、教学ppt、实验指导书、实训实验等丰富的教学及实操资源，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包括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安装部署行为安全管理产品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等板块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  <w:p w14:paraId="7734DD8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2.安装部署行为安全管理产品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：上网行为管理系统登录管理实验、上网行为管理系统网桥模式配置实验、上网行为管理系统网关模式配置实验。</w:t>
            </w:r>
          </w:p>
          <w:p w14:paraId="0055ED1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3.用户管理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上网行为管理系统用户IP/MAC绑定实验、上网行为管理系统Web安全认证实验、上网行为管理系统用户认证管理实验、上网行为管理系统第三方认证实验、上网行为管理系统AD透明识别实验、上网行为管理系统数据库透明识别实验。</w:t>
            </w:r>
          </w:p>
          <w:p w14:paraId="53CF859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4.行为安全管理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上网行为管理系统IP黑白名单配置实验、上网行为管理系统http网站审计与管控实验、上网行为管理系统https网站审计与管控实验、上网行为管理系统网站分类审计与管控实验、上网行为管理系统论坛发帖审计与管控实验、上网行为管理系统搜索关键字审计与管控实验、上网行为管理系统WebMail审计与管控实验、上网行为管理系统文件传输审计与管控实验、上网行为管理系统应用审计与管控实验、上网行为管理系统应用白名单管控实验、上网行为管理系统自定义协议管控实验、上网行为管理系统客户端推送实验、上网行为管理系统基于客户端的细化行为管控实验、上网行为管理系统基于客户端的微信聊天内容审计实验、上网行为管理系统病毒防护配置实验、上网行为管理系统恶意URL防护配置实验、上网行为管理系统基于威胁情报的失陷主机管控实验、上网行为管理系统用户违规告警配置实验。</w:t>
            </w:r>
          </w:p>
          <w:p w14:paraId="7826355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5.流量管理策略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：上网行为管理系统基于通道的流量管控实验、上网行为管理系统每用户应用流速管控实验、上网行为管理系统每用户上网时长管控实验、上网行为管理系统每用户流量管控实验。</w:t>
            </w:r>
          </w:p>
          <w:p w14:paraId="69C7081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6.行为安全管理设备系统维护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板块资源要求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：使用SNMP协议监控上网行为管理系统实验、上网行为管理系统权限管理配置实验。</w:t>
            </w:r>
          </w:p>
          <w:p w14:paraId="5A523DD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7.行为安全管理技术与应用综合实验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上网行为管理系统综合实验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  <w:p w14:paraId="40751BE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8.以上网行为管理设备为教学基准。此课程需要设备连接公网情况下进行。</w:t>
            </w:r>
          </w:p>
        </w:tc>
        <w:tc>
          <w:tcPr>
            <w:tcW w:w="763" w:type="dxa"/>
            <w:noWrap w:val="0"/>
            <w:vAlign w:val="center"/>
          </w:tcPr>
          <w:p w14:paraId="29479FB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271205A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1D0C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493D4D2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1230" w:type="dxa"/>
            <w:noWrap w:val="0"/>
            <w:vAlign w:val="center"/>
          </w:tcPr>
          <w:p w14:paraId="0A1D9FB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实训一体机C</w:t>
            </w:r>
          </w:p>
        </w:tc>
        <w:tc>
          <w:tcPr>
            <w:tcW w:w="6879" w:type="dxa"/>
            <w:noWrap w:val="0"/>
            <w:vAlign w:val="center"/>
          </w:tcPr>
          <w:p w14:paraId="2746562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1.设备规格：标准2U机架式设备，配套滑动导轨。</w:t>
            </w:r>
          </w:p>
          <w:p w14:paraId="7C136BD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2.硬件性能：CPU：2颗intel(R) Xeon(R) Gold 5318Y CPU@2.10GHZ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以上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; CPU个数:2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及以上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; 每个CPU核数:24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及以上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;内存：320GB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及以上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；硬盘：≥2*240GB SSD系统盘，≥2*960GB SSD缓存盘，≥2*8T数据盘；网络接口：≥6千兆电口+2万兆光口；电源：白金；系统：定制OS；光纤线≥2，万兆多模光模块≥4。</w:t>
            </w:r>
          </w:p>
          <w:p w14:paraId="31E3E2F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3.要求出厂预装同品牌的实训云资源模块，包含服务器虚拟化、存储虚拟化、网络虚拟化、云计算管理平台模块，不允许提供裸机设备。</w:t>
            </w:r>
          </w:p>
        </w:tc>
        <w:tc>
          <w:tcPr>
            <w:tcW w:w="763" w:type="dxa"/>
            <w:noWrap w:val="0"/>
            <w:vAlign w:val="center"/>
          </w:tcPr>
          <w:p w14:paraId="4709670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2DE6CA7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台</w:t>
            </w:r>
          </w:p>
        </w:tc>
      </w:tr>
      <w:tr w14:paraId="0AE3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2C920A4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</w:t>
            </w:r>
          </w:p>
        </w:tc>
        <w:tc>
          <w:tcPr>
            <w:tcW w:w="1230" w:type="dxa"/>
            <w:noWrap w:val="0"/>
            <w:vAlign w:val="center"/>
          </w:tcPr>
          <w:p w14:paraId="76A80F7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云资源建设模块</w:t>
            </w:r>
          </w:p>
        </w:tc>
        <w:tc>
          <w:tcPr>
            <w:tcW w:w="6879" w:type="dxa"/>
            <w:noWrap w:val="0"/>
            <w:vAlign w:val="center"/>
          </w:tcPr>
          <w:p w14:paraId="0AF4A51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云计算管理模块：含虚拟资源池统一管理，虚拟机备份与恢复，应用监控，数据库服务，工单审批，多租户管理，自服务页面等云功能，具备多租户、配额管理、自服务页面、弹性IP等能力，可实现用户多级管理、资源统一监控。</w:t>
            </w:r>
          </w:p>
          <w:p w14:paraId="3545165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服务器虚拟化模块：通过虚拟化技术将物理服务器虚拟化为一个逻辑计算资源池。开通后具备对虚拟机全生命周期管理的能力，可对虚拟机进行开关机、模板部署、克隆、导入导出等操作；具备HA、动态资源调度、蓝屏重启等机制保证业务高可靠；具备对虚拟机资源监控、告警等功能。</w:t>
            </w:r>
          </w:p>
          <w:p w14:paraId="1802F16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3.网络虚拟化模块：利用统一的管理平台对虚拟网络设备进行管理和配置。开通后实现”所画即所得“的网络部署，具备全局流量可视化、网络连通性检测等功能。</w:t>
            </w:r>
          </w:p>
          <w:p w14:paraId="7233320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存储虚拟化模块：通过将硬盘资源池化提高资源利用率，利用智能条带化、分层、热点数据预测等技术提高存储性能。开通后支持创建虚拟存储卷，灵活配置存储策略（多副本、QoS等）；具备磁盘故障重建、硬盘亚健康检测等功能。</w:t>
            </w:r>
          </w:p>
          <w:p w14:paraId="73963B3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5.为保障平台和课程实训资源的兼容性，要求本平台和项目化靶场资源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包（包括“渗透测试项目实践”、“等级保护2.0测评加固项目实践”、“流量分析项目实践”、“行业HVV项目实践”、“系统加固服务项目实践”、“信息系统安全应急演练项目实践”、“网站代码加固项目实践”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为同一品牌。</w:t>
            </w:r>
          </w:p>
        </w:tc>
        <w:tc>
          <w:tcPr>
            <w:tcW w:w="763" w:type="dxa"/>
            <w:noWrap w:val="0"/>
            <w:vAlign w:val="center"/>
          </w:tcPr>
          <w:p w14:paraId="68B904A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58" w:type="dxa"/>
            <w:noWrap w:val="0"/>
            <w:vAlign w:val="center"/>
          </w:tcPr>
          <w:p w14:paraId="7EA0C45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套</w:t>
            </w:r>
          </w:p>
        </w:tc>
      </w:tr>
      <w:tr w14:paraId="0BEB9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2A2897E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</w:t>
            </w:r>
          </w:p>
        </w:tc>
        <w:tc>
          <w:tcPr>
            <w:tcW w:w="1230" w:type="dxa"/>
            <w:noWrap w:val="0"/>
            <w:vAlign w:val="center"/>
          </w:tcPr>
          <w:p w14:paraId="217C2F3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靶场编辑模块</w:t>
            </w:r>
          </w:p>
        </w:tc>
        <w:tc>
          <w:tcPr>
            <w:tcW w:w="6879" w:type="dxa"/>
            <w:noWrap w:val="0"/>
            <w:vAlign w:val="center"/>
          </w:tcPr>
          <w:p w14:paraId="215C408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1.实训指南：支持实训资源全景展示，包括总实验数量、已完成数量、未开始数量、进行中数量，支持按实训阶段动态展示具体实验任务，实验任务展示名称、难度、报告状态、时长、实验时间、评分等信息。</w:t>
            </w:r>
          </w:p>
          <w:p w14:paraId="4611511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2.实验手册：支持实验手册markdown形式展示，手册信息包括实验目的、实验环境、实验原理、实验步骤、实验总结等环节。</w:t>
            </w:r>
          </w:p>
          <w:p w14:paraId="3F4B78E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3.实验报告：支持实验报告编辑，支持使用markdown进行实验操作记录，形成实验报告，支持多次保存草稿操作，一旦提交报告将无法再操作。</w:t>
            </w:r>
          </w:p>
          <w:p w14:paraId="184BC62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4.实验拓扑：支持实验仿真网络拓扑展示，启动实验成功后，支持拓扑终端靶标操作，遇到实验问题，支持实验举手操作，老师可在线协助，实验到期，支持实验延时操作。</w:t>
            </w:r>
          </w:p>
          <w:p w14:paraId="136659D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5.终端控制台：支持终端控制台操作，可同时支持至少2个终端操作（操作机、靶机），支持B/S或SSH方式登录访问虚拟机终端，进行虚拟机相关操作，支持终端开启、重启等操作。</w:t>
            </w:r>
          </w:p>
          <w:p w14:paraId="05E4F5F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班级管理：支持班级管理，以班级为维度，进行项目实训管理，可根据教学安排，创建不同专业下班级，并分配班主任及老师，班主任及老师可通过教学管理进行班级实训管理。支持教学任务计划管理，以周为单位进行教学任务下发；支持学习进度管理，支持自主学习和统一学习两种形式，可根据学习进度打开或关闭学习挡板，调整教学节奏。</w:t>
            </w:r>
          </w:p>
          <w:p w14:paraId="2AC35E6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7.老师管理：支持项目老师管理，支持创建、查看、修改不同技术方向的老师，支持为老师分配定制专业课程，以便老师备课。</w:t>
            </w:r>
          </w:p>
          <w:p w14:paraId="6E84A62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8.学员管理：支持参训学员管理，将学员添加到实训班级，支持创建、查看、修改、审核学员功能，支持学员信息批量导入功能，支持学员信息筛选查询功能。</w:t>
            </w:r>
          </w:p>
          <w:p w14:paraId="4A9265D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9.公告管理：支持实训公告管理，面向老师或学员发布通知公告，支持即时发布和暂存发布功能。</w:t>
            </w:r>
          </w:p>
          <w:p w14:paraId="134D42B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10.实验手册：支持实验手册管理，可根据实验模板编写markdown实验手册，支持上传markdown压缩包导入操作，支持配置手册开启或隐藏，支持配置实验报告开启或隐藏。</w:t>
            </w:r>
          </w:p>
          <w:p w14:paraId="15DF9ED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11.拓扑编辑：支持拓扑编辑管理，支持场景拓扑自主编排，提供靶标模板库，提供拓扑工具箱，支持拖拽、连线、缩放等操作，支持靶标编辑操作，支持拓扑测试、生成镜像等操作。 </w:t>
            </w:r>
          </w:p>
          <w:p w14:paraId="3782D9E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12.靶场实例：支持靶场实例管理，记录平台实验场景实例，支持实例详情查看，支持运行中实验在线协助及结束操作，支持筛选查询操作。</w:t>
            </w:r>
          </w:p>
          <w:p w14:paraId="533D47B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靶标模板：支持靶标模板管理，支持靶标字典5种类型16种靶标，包括场景靶标（访问者、实训平台）、终端靶标（笔记本、台式机、服务器、手机、摄像头）、路由靶标（交换机、路由器、无线AP、应用负载）、网络靶标（公有网络、私有网络）、网络安全产品靶标（防火墙、上网行为管理、SSL VPN），根据终端靶标应用场景，支持共享靶标和专用靶标，专用靶标支持镜像、操作系统、CPU、内存、存储、网卡、账号、允许登录、IP显示、弹性IP等信息配置。</w:t>
            </w:r>
          </w:p>
          <w:p w14:paraId="062314D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14.主机管理：支持主机管理，支持主机创建、控制台、关机、重启、删除、创建快照、恢复快照操作，支持生成自定义镜像，支持批量启动和批量删除操作，可应用于备课、测试等场景。</w:t>
            </w:r>
          </w:p>
          <w:p w14:paraId="60B10AB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15.镜像模板：支持镜像模板管理，支持查看镜像ID、名称、操作系统、格式、大小、状态、创建时间等信息，支持镜像公开或推荐设置，支持筛选查询、删除功能。</w:t>
            </w:r>
          </w:p>
          <w:p w14:paraId="33521FA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16.靶场演练：支持靶场演练管理，支持实验预热、实验演练两种模式，演练模式支持预定时间启动大规模实验，预热模式在演练模式基础上，支持实验实例自动分配，可应用大规模实训、攻防、考试组织场景。</w:t>
            </w:r>
          </w:p>
          <w:p w14:paraId="6223BA6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17.为保障平台和教学的一致性，要求靶场编辑系统与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本项目中的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渗透测试项目实践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”、“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等级保护2.0测评加固项目实践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”、“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流量分析项目实践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”、“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行业HVV项目实践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”、“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系统加固服务项目实践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”、“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信息系统安全应急演练项目实践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”、“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网站代码加固项目实践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项目化靶场资源包为同一厂家生产，保障兼容性。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（提供功能截图）</w:t>
            </w:r>
          </w:p>
        </w:tc>
        <w:tc>
          <w:tcPr>
            <w:tcW w:w="763" w:type="dxa"/>
            <w:noWrap w:val="0"/>
            <w:vAlign w:val="center"/>
          </w:tcPr>
          <w:p w14:paraId="270D33D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4B7C0DA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套</w:t>
            </w:r>
          </w:p>
        </w:tc>
      </w:tr>
      <w:tr w14:paraId="3278C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2D392AB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</w:t>
            </w:r>
          </w:p>
        </w:tc>
        <w:tc>
          <w:tcPr>
            <w:tcW w:w="1230" w:type="dxa"/>
            <w:noWrap w:val="0"/>
            <w:vAlign w:val="center"/>
          </w:tcPr>
          <w:p w14:paraId="08DDDAF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渗透测试项目实践</w:t>
            </w:r>
          </w:p>
        </w:tc>
        <w:tc>
          <w:tcPr>
            <w:tcW w:w="6879" w:type="dxa"/>
            <w:noWrap w:val="0"/>
            <w:vAlign w:val="center"/>
          </w:tcPr>
          <w:p w14:paraId="13C174D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1.提供企业级渗透测试项目，项目任务是对目标服务器上运行的操作系统、Web应用进行黑盒渗透测试，尽可能多地发现和记录安全漏洞，为下一步进行系统安全加固提供支持。</w:t>
            </w:r>
          </w:p>
          <w:p w14:paraId="028CD4B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课程资源提供教师指导版和学生操作版两个版本，课时数量不低于64课时，包含视频98个，讲义68个，实验60个，习题42个；实验项目阶段分成：项目准备基础阶段、项目实践阶段，其中项目实践阶段综合实验涉及≥2台云主机，≥1台交换机。</w:t>
            </w:r>
          </w:p>
          <w:p w14:paraId="4AC1646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3.课程内容至少包括：Kali Linux基础、渗透测试目标环境构、Nmap使用、Burpsuite、Metasploit、Firefox浏览器渗透测试插件、SET、密码攻击工具、漏洞扫描工具、Webshell管理工具、信息收集总览、DNS介绍、子域名收集、C段扫描、Web目录扫描、指纹识别、GoogleHacking、网络空间搜索引擎、情报分析、社工库和多维度信息收集 、CobaltStrike配置、office钓鱼、钓鱼网站克隆和钓鱼邮件等课程内容。</w:t>
            </w:r>
          </w:p>
        </w:tc>
        <w:tc>
          <w:tcPr>
            <w:tcW w:w="763" w:type="dxa"/>
            <w:noWrap w:val="0"/>
            <w:vAlign w:val="center"/>
          </w:tcPr>
          <w:p w14:paraId="360F249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1D58801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34AD9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57080DF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</w:t>
            </w:r>
          </w:p>
        </w:tc>
        <w:tc>
          <w:tcPr>
            <w:tcW w:w="1230" w:type="dxa"/>
            <w:noWrap w:val="0"/>
            <w:vAlign w:val="center"/>
          </w:tcPr>
          <w:p w14:paraId="7D5A8C2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等级保护2.0测评加固项目实践</w:t>
            </w:r>
          </w:p>
        </w:tc>
        <w:tc>
          <w:tcPr>
            <w:tcW w:w="6879" w:type="dxa"/>
            <w:noWrap w:val="0"/>
            <w:vAlign w:val="center"/>
          </w:tcPr>
          <w:p w14:paraId="6C0FAFA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1.提供企业级等级保护2.0测评加固项目，项目任务是按照《GB/T28448-2019 信息安全技术 网络安全等级保护测评要求》和《GB/T28449-2018 信息安全技术 网络安全等级保护测评过程指南》规定和要求，完成测评作业指导书的编写，对该服务器操作系统的合规性单项测评等工作。</w:t>
            </w:r>
          </w:p>
          <w:p w14:paraId="3D2B6ED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课程资源提供教师指导版和学生操作版两个版本，课时数量不低于40课时，包含视频14个，讲义64个，实验6个，习题14个；项目阶段分成：项目准备基础阶段、项目实践阶段，其中项目目实践阶段综合实验涉及≥1台云主机，≥1台交换机。</w:t>
            </w:r>
          </w:p>
          <w:p w14:paraId="0252317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课程内容至少包含：等级保护概述、等级保护政策和标准、等级保护工作环节和过程、等级保护2.0、等级保护定级指南、等级保护定级指南、网络安全等级保护测评实施、等级保护测评、测评技术、交换机设备测评、路由器设备测评、防火墙设备测评、Linux系统测评、Windows系统测评、MYSQL数据库测评、等级保护安全技术设计、网络安全等级保护建设整改、等级保护体系建设方案案例、交换机设备安全加固、防火墙设备安全加固、路由器设备安全加固、Linux系统安全加固、Windows系统安全加固、Mysql数据库安全加固、等级保护2.0标准变化总概、物理环境和通信网络、区域边界和计算环境、管理中心和管理制度、管理机构和管理人员、安全建设管理、安全运维管理、等级保护高风险项加固方案。</w:t>
            </w:r>
          </w:p>
        </w:tc>
        <w:tc>
          <w:tcPr>
            <w:tcW w:w="763" w:type="dxa"/>
            <w:noWrap w:val="0"/>
            <w:vAlign w:val="center"/>
          </w:tcPr>
          <w:p w14:paraId="35C9F20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78E36DB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套</w:t>
            </w:r>
          </w:p>
        </w:tc>
      </w:tr>
      <w:tr w14:paraId="5825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312FB04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230" w:type="dxa"/>
            <w:noWrap w:val="0"/>
            <w:vAlign w:val="center"/>
          </w:tcPr>
          <w:p w14:paraId="2871D24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流量分析项目实践</w:t>
            </w:r>
          </w:p>
        </w:tc>
        <w:tc>
          <w:tcPr>
            <w:tcW w:w="6879" w:type="dxa"/>
            <w:noWrap w:val="0"/>
            <w:vAlign w:val="center"/>
          </w:tcPr>
          <w:p w14:paraId="6296823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提供企业级流量分析项目，项目任务是针对集团web服务中的一台服务器，采用“白盒”方式采集攻击数据，通过模拟攻击流量向web服务器发起攻击，同时模拟防护方结合常见的wireshark工具和zeek开源工具，完成对攻击数据的识别和提取，从多视角、多维度评估web服务的安全性。</w:t>
            </w:r>
          </w:p>
          <w:p w14:paraId="4BECAEB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课程资源提供教师指导版和学生操作版两个版本，课时数量不低于48课时，包含视频42个，讲义96个，实验10个，习题14个；项目阶段分成：项目准备基础阶段、项目实践阶段，其中项目目实践阶段综合实验涉及≥4台云主机，≥1台交换机。</w:t>
            </w:r>
          </w:p>
          <w:p w14:paraId="13285B8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课程内容至少包含：计算机网络的产生与发展、计算机网络的概念和分类、计算机网络的硬件和软件、计算机网络体系结构、网络传输介质、局域网概述、以太网的物理层和MAC子层、wireshark抓包工具、交换式以太网、虚拟局域网、交换机工作原理、ARP协议与RARP协议、网络层协议基础1、网络层协议基础2、路由原理、常见动态路由协议、数据传输过程总概、传输层概述、传输层协议、远程访问协议、电子邮件协议、域名解析协议、FTP协议、DHCP协议、网络协议安全概述、信息收集技术、网络嗅探与注入、链路层协议攻击与防御、网络层协议攻击与防御、传输层协议攻击与防御、应用层协议攻击与防御、Wireshark基础、过滤器、数据统计、辅助功能、ARP协议、IP协议、TCP协议、UDP协议、DNS协议、HTTP协议、HTTPS协议、Zeek介绍与安装、Zeek基本使用、Zeek脚本编写等内容。</w:t>
            </w:r>
          </w:p>
        </w:tc>
        <w:tc>
          <w:tcPr>
            <w:tcW w:w="763" w:type="dxa"/>
            <w:noWrap w:val="0"/>
            <w:vAlign w:val="center"/>
          </w:tcPr>
          <w:p w14:paraId="67632CB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50E84E2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套</w:t>
            </w:r>
          </w:p>
        </w:tc>
      </w:tr>
      <w:tr w14:paraId="633C8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5F2248C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</w:t>
            </w:r>
          </w:p>
        </w:tc>
        <w:tc>
          <w:tcPr>
            <w:tcW w:w="1230" w:type="dxa"/>
            <w:noWrap w:val="0"/>
            <w:vAlign w:val="center"/>
          </w:tcPr>
          <w:p w14:paraId="31EF2A4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行业HVV项目实践</w:t>
            </w:r>
          </w:p>
        </w:tc>
        <w:tc>
          <w:tcPr>
            <w:tcW w:w="6879" w:type="dxa"/>
            <w:noWrap w:val="0"/>
            <w:vAlign w:val="center"/>
          </w:tcPr>
          <w:p w14:paraId="1516418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提供企业级行业HVV项目，项目任务是对目标网站进行黑盒渗透测试，利用任何攻击的方法和工具，尽可能多的发现和挖掘目标网站存在的Web漏洞，包含但不限于SQL注入、XSS、文件上传等Web漏洞，为下一步为公司的服务器进行加固并升级，防止外部攻击破坏。</w:t>
            </w:r>
          </w:p>
          <w:p w14:paraId="43C4952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课程资源提供教师指导版和学生操作版两个版本，课时数量不低于80课时，包含视频68个，讲义64个，实验106个，习题70个；项目阶段分成：项目准备基础阶段、项目实践阶段，其中项目目实践阶段综合实验涉及≥2台云主机，≥1台交换机。</w:t>
            </w:r>
          </w:p>
          <w:p w14:paraId="4DBDE78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课程内容至少包含：数据库基础、SQL注入漏洞利用、SQL报错注入、QL盲注、HTTP文件头注入、SQLMAP基础、SQLMAP进阶、SQL注入的WAF绕过、MySQL注入提权、SQL注入防御、会话管理、Session攻击、Cookie安全、HTTP协议安全、Cookie攻击、XSS Worm、XSS攻击防御、XSS相关工具使用、XSS跨站脚本、文件上传漏洞概述、文件上传检测与绕过、web容器及IIS、Apache文件解析漏洞、Nginx文件解析漏洞、Tomcat任意文件上传、上传漏洞防御、逻辑漏洞概述、验证机制问题、会话管理问题、权限控制问题、业务逻辑问题、Web安全分析等课程内容。</w:t>
            </w:r>
          </w:p>
        </w:tc>
        <w:tc>
          <w:tcPr>
            <w:tcW w:w="763" w:type="dxa"/>
            <w:noWrap w:val="0"/>
            <w:vAlign w:val="center"/>
          </w:tcPr>
          <w:p w14:paraId="0F87166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42D5079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084DC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2E527A5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</w:t>
            </w:r>
          </w:p>
        </w:tc>
        <w:tc>
          <w:tcPr>
            <w:tcW w:w="1230" w:type="dxa"/>
            <w:noWrap w:val="0"/>
            <w:vAlign w:val="center"/>
          </w:tcPr>
          <w:p w14:paraId="0DD2951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系统加固服务项目实践</w:t>
            </w:r>
          </w:p>
        </w:tc>
        <w:tc>
          <w:tcPr>
            <w:tcW w:w="6879" w:type="dxa"/>
            <w:noWrap w:val="0"/>
            <w:vAlign w:val="center"/>
          </w:tcPr>
          <w:p w14:paraId="5822C7A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1.提供企业级系统加固服务项目，项目任务是解决企业在安全合规建设（如等级保护建设、ISO 27001信息安全管理体系建立）过程中各种安全配置管理的问题，协助企业实现安全配置的集中采集、风险分析和处理的工作。</w:t>
            </w:r>
          </w:p>
          <w:p w14:paraId="22D9C6C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课程资源提供教师指导版和学生操作版两个版本，课时数量不低于32课时，包含视频22个，讲义34个，实验24个，习题18个；项目阶段分成：项目准备基础阶段、项目实践阶段，其中项目目实践阶段综合实验涉及≥2台云主机，≥1台交换机。</w:t>
            </w:r>
          </w:p>
          <w:p w14:paraId="17AD58A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课程内容至少包含：审计思路、审计工具、动态调试环境搭建、代码审计思路SQL注入漏洞、反射型XSS、储存型XSS、文件包含、任意文件写入、EcShop_2.7-SQL注入漏洞、ThinkPHP5.0.x-远程代码执行漏洞、Metinfo_6.2.0-SQL注入漏洞、Metinfo_6.2.0-文件上传漏洞、文件包含_骑士CMS、ThinkPHP5、代码执行、任意文件删除、变量覆盖、SQL注入漏洞-74cms3.0、任意命令执行漏洞利用-YCCms3.3、文件包含漏洞利用-PHPMyadmin4.8.1、后台任意文件写入漏洞利用-74cms3.0、任意文件删除漏洞利用-74cms3.0、远程代码执行漏洞利用-Thinkphp5、任意命令执行漏洞-Ecshop、变量覆盖漏洞利用-PHPCMS、反射型XSS漏洞利用-74cms3.4、文件包含漏洞-74cms6.0.48、反序列化POP链分析-Thinkphp5.0.24、本地PHPDebug调试环境搭建、组合漏洞利用SQL注入-Metinfo6.2.0、组合漏洞利用文件上传-Metinfo6.2.0。</w:t>
            </w:r>
          </w:p>
        </w:tc>
        <w:tc>
          <w:tcPr>
            <w:tcW w:w="763" w:type="dxa"/>
            <w:noWrap w:val="0"/>
            <w:vAlign w:val="center"/>
          </w:tcPr>
          <w:p w14:paraId="5076D0E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5BB084A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105A7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024AB69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</w:t>
            </w:r>
          </w:p>
        </w:tc>
        <w:tc>
          <w:tcPr>
            <w:tcW w:w="1230" w:type="dxa"/>
            <w:noWrap w:val="0"/>
            <w:vAlign w:val="center"/>
          </w:tcPr>
          <w:p w14:paraId="45FF503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信息系统安全应急演练项目实践</w:t>
            </w:r>
          </w:p>
        </w:tc>
        <w:tc>
          <w:tcPr>
            <w:tcW w:w="6879" w:type="dxa"/>
            <w:noWrap w:val="0"/>
            <w:vAlign w:val="center"/>
          </w:tcPr>
          <w:p w14:paraId="26EC9FB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1.提供企业级应急演练项目，项目任务是作为应急预案的参与成员，对门诊系统的一台服务器（windows操作系统）进行安全排查和分析，确定是否存在被攻击痕迹、安全隐患。</w:t>
            </w:r>
          </w:p>
          <w:p w14:paraId="7AFC563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课程资源提供教师指导版和学生操作版两个版本，课时数量不低于24课时，包含视频18个，讲义24个，实验12个，习题12个；项目阶段分成：项目准备基础阶段、项目实践阶段，其中项目目实践阶段综合实验涉及≥3台云主机，≥1台交换机（需提供产品功能截图，并加盖投标人公章）；</w:t>
            </w:r>
          </w:p>
          <w:p w14:paraId="423862C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课程内容至少包含：基线管理概述、windows安全配置、linux安全配置、apache安全配置、mariadb安全配置、mongodb安全配置、日志概述、日志来源与介绍、Syslog原理、Iptables日志、Apache日志、DNS日志、日志生态、FTP日志、日志案例分析、ELK架构与原理等课程内容。</w:t>
            </w:r>
          </w:p>
        </w:tc>
        <w:tc>
          <w:tcPr>
            <w:tcW w:w="763" w:type="dxa"/>
            <w:noWrap w:val="0"/>
            <w:vAlign w:val="center"/>
          </w:tcPr>
          <w:p w14:paraId="7EE95DE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529C6BF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42EEB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39137BF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</w:t>
            </w:r>
          </w:p>
        </w:tc>
        <w:tc>
          <w:tcPr>
            <w:tcW w:w="1230" w:type="dxa"/>
            <w:noWrap w:val="0"/>
            <w:vAlign w:val="center"/>
          </w:tcPr>
          <w:p w14:paraId="6ABB911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网站代码加固项目实践</w:t>
            </w:r>
          </w:p>
        </w:tc>
        <w:tc>
          <w:tcPr>
            <w:tcW w:w="6879" w:type="dxa"/>
            <w:noWrap w:val="0"/>
            <w:vAlign w:val="center"/>
          </w:tcPr>
          <w:p w14:paraId="3A8DB69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提供企业级网站代码加固项目，项目任务是对目标网站的服务端PHP代码进行安全审计，寻找并修复各类Web安全漏洞（包括但不限于SQL注入漏洞、PHP伪协议漏洞、命令执行漏洞、文件上传漏洞、变量覆盖漏洞、反序列化漏洞等）。</w:t>
            </w:r>
          </w:p>
          <w:p w14:paraId="5A988D1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课程资源提供教师指导版和学生操作版两个版本，课时数量不低于32课时，包含视频10个，讲义28个，实验28个，习题36个；项目阶段分成：项目准备基础阶段、项目实践阶段，其中项目目实践阶段综合实验涉及≥2台云主机，≥1台交换机。</w:t>
            </w:r>
          </w:p>
          <w:p w14:paraId="03290BB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课程内容至少包含：代码审计思路、SQL注入漏洞、SQL注入漏洞、反射型XSS、储存型XSS、文件包含、任意文件写入、EcShop_2.7-SQL注入漏洞、ThinkPHP5.0.x-远程代码执行漏洞、Metinfo_6.2.0-SQL注入漏洞、Metinfo_6.2.0-文件上传漏洞、文件包含_骑士CMS、ThinkPHP5代码审计流程与工具、审计工具、动态调试环境搭建、代码执行、任意文件删除PHP代码审计、SQL注入漏洞-74cms3.0、存储型XSS漏洞利用-74cms3.0、任意命令执行漏洞利用-YCCms3.3、文件包含漏洞利用-PHPMyadmin4.8.1、后台任意文件写入漏洞利用-74cms3.0、任意文件删除漏洞利用-74cms3.0、远程代码执行漏洞利用-Thinkphp5、任意命令执行漏洞-Ecshop、变量覆盖漏洞利用-PHPCM、反射型XSS漏洞利用-74cms3.4、文件包含漏洞-74cms6.0.48、反序列化POP链分析-Thinkphp5.0.24、本地PHPDebug调试环境搭建、组合漏洞利用SQL注入-Metinfo6.2.0、组合漏洞利用文件上传-Metinfo6.2.0等课程内容。</w:t>
            </w:r>
          </w:p>
        </w:tc>
        <w:tc>
          <w:tcPr>
            <w:tcW w:w="763" w:type="dxa"/>
            <w:noWrap w:val="0"/>
            <w:vAlign w:val="center"/>
          </w:tcPr>
          <w:p w14:paraId="4947DE5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7ABEBE70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套</w:t>
            </w:r>
          </w:p>
        </w:tc>
      </w:tr>
      <w:tr w14:paraId="3EDCB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64B7C7F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1230" w:type="dxa"/>
            <w:noWrap w:val="0"/>
            <w:vAlign w:val="center"/>
          </w:tcPr>
          <w:p w14:paraId="5B166B9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服务器</w:t>
            </w:r>
          </w:p>
        </w:tc>
        <w:tc>
          <w:tcPr>
            <w:tcW w:w="6879" w:type="dxa"/>
            <w:noWrap w:val="0"/>
            <w:vAlign w:val="center"/>
          </w:tcPr>
          <w:p w14:paraId="1DA0C75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1.外形：2U双路机架式服务器。</w:t>
            </w:r>
          </w:p>
          <w:p w14:paraId="097416E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2.CPU：≥2颗，单颗主频≥2.4 GHz，单颗核心数≥16C；</w:t>
            </w:r>
          </w:p>
          <w:p w14:paraId="3C69739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3.内存：≥128GB。</w:t>
            </w:r>
          </w:p>
          <w:p w14:paraId="7D01067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4.存储：系统盘≥2块480G企业级SSD，数据盘≥3块960G企业级SSD。</w:t>
            </w:r>
          </w:p>
          <w:p w14:paraId="1C691D03">
            <w:pPr>
              <w:widowControl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5.配置1GB缓存8口/SAS 12Gb，半高支持RAID 0,1,5,6,10,50,60,JBOD，支持多组RAID。</w:t>
            </w:r>
          </w:p>
          <w:p w14:paraId="29EDB84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6.网卡：配置2个千兆以太网口，支持IPMI2.0，对外提供1个100/1000Mbps RJ45管理网口，支持iKVM 远程管理。</w:t>
            </w:r>
          </w:p>
          <w:p w14:paraId="7C0795A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7.配件：滑动上架导轨。</w:t>
            </w:r>
          </w:p>
          <w:p w14:paraId="2812DE7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8.电源：≥800W（1+1）冗余电源。</w:t>
            </w:r>
          </w:p>
        </w:tc>
        <w:tc>
          <w:tcPr>
            <w:tcW w:w="763" w:type="dxa"/>
            <w:noWrap w:val="0"/>
            <w:vAlign w:val="center"/>
          </w:tcPr>
          <w:p w14:paraId="4803EB7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58" w:type="dxa"/>
            <w:noWrap w:val="0"/>
            <w:vAlign w:val="center"/>
          </w:tcPr>
          <w:p w14:paraId="6A0A06F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</w:tr>
      <w:tr w14:paraId="03299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79B7615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230" w:type="dxa"/>
            <w:noWrap w:val="0"/>
            <w:vAlign w:val="center"/>
          </w:tcPr>
          <w:p w14:paraId="75A8E27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信息安全应急响应实训平台</w:t>
            </w:r>
          </w:p>
        </w:tc>
        <w:tc>
          <w:tcPr>
            <w:tcW w:w="6879" w:type="dxa"/>
            <w:noWrap w:val="0"/>
            <w:vAlign w:val="center"/>
          </w:tcPr>
          <w:p w14:paraId="40226252">
            <w:pP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、靶场管理平台系统</w:t>
            </w:r>
          </w:p>
          <w:p w14:paraId="3E004B3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1.采用B/S架构，支持虚拟化管理，支持集群管理，可以在主设备后台直接查看所有设备的硬件使用情况和虚拟机数量。</w:t>
            </w:r>
          </w:p>
          <w:p w14:paraId="4665552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2.具备数据流量与业务数据流量隔离，增强安全性。</w:t>
            </w:r>
          </w:p>
          <w:p w14:paraId="1EB4442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3.用户支持修改密码等功能。</w:t>
            </w:r>
          </w:p>
          <w:p w14:paraId="5D0BA90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4.后台首页支持查看服务器软件版本、软件型号、CPU信息、授权状态等信息。</w:t>
            </w:r>
          </w:p>
          <w:p w14:paraId="7A3CF9D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后台首页支持查看实训总数、活跃实训数、用户总数、登录用户数、休眠虚拟机、运行虚拟机、节点CPU最高占用率，节点内存最高占用率，各节点CPU使用率、内存使用率、数据资源使用率、系统资源使用率、数据端口使用率、管理端口使用率等信息。</w:t>
            </w:r>
          </w:p>
          <w:p w14:paraId="29E4A1B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6.后台可以进行管理用户管理、组织管理、战队信息、队伍分组等功能，支持用户属性：考场、座位号、准考证号、身份证号、手机、邮箱、城市、学校等，用户支持是否允许登录。</w:t>
            </w:r>
          </w:p>
          <w:p w14:paraId="0B14FBF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7.后台资源管理，可进行磁盘镜像、光盘镜像、内部资源外部资源、资源类型管理。</w:t>
            </w:r>
          </w:p>
          <w:p w14:paraId="12F0588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8.后台场景管理，可进行虚拟场地、场景模板、场景实例管理。</w:t>
            </w:r>
          </w:p>
          <w:p w14:paraId="3181F0A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9.后台场景模板支持添加云，支持一键删除场景内所有元素，支持导出拓扑图片，支持保存与修改拓扑。</w:t>
            </w:r>
          </w:p>
          <w:p w14:paraId="44055B4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10.后台实训任务，可进行理论答题、应急响应任务等任务管理。</w:t>
            </w:r>
          </w:p>
          <w:p w14:paraId="613E961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11.后台实训管理，可进行试卷管理、场次管理、数据导入，支持部署向导。</w:t>
            </w:r>
          </w:p>
          <w:p w14:paraId="42CC00D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12.后台试卷管理，支持从题库选择任务，支持题目排序，支持任务编辑与删除。</w:t>
            </w:r>
          </w:p>
          <w:p w14:paraId="7DDF626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13.后台场次管理，支持设置虚拟场地、试卷、开始时间、结束时间、参赛战队等内容，参赛队伍座位表支持用户顺序就坐、随机就坐、清除就坐功能。</w:t>
            </w:r>
          </w:p>
          <w:p w14:paraId="2D77527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14.后台数据导入，支持导入用户、参赛队伍、实训任务、试卷、场景、磁盘、光盘等内容。</w:t>
            </w:r>
          </w:p>
          <w:p w14:paraId="5B496D8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15.后台可根据虚机状态管理虚拟机，支持预期状态、实际状态，状态包含运行、关机，操作包括虚机的开机、关机、连接等。</w:t>
            </w:r>
          </w:p>
          <w:p w14:paraId="3594D07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16.后台场次管理支持成绩排行记录，包括时间、序号、战队、得分等。</w:t>
            </w:r>
          </w:p>
          <w:p w14:paraId="46C3E90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17.后台场次管理支持重启记录，包括时间、战队、用户、虚拟机名称、状态等。</w:t>
            </w:r>
          </w:p>
          <w:p w14:paraId="20D9661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18.后台系统管理，可进行系统设置、集群管理、登录日志、操作日志管理。</w:t>
            </w:r>
          </w:p>
          <w:p w14:paraId="5D67044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19.后台集群管理，可进行节点信息查看，包括节点名称、节点ip等信息。</w:t>
            </w:r>
          </w:p>
          <w:p w14:paraId="0718A07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20.后台登录日志可进行导出，支持查看用户登录时间、登录ip、用户名等信息。</w:t>
            </w:r>
          </w:p>
          <w:p w14:paraId="761D804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21.后台态势管理，支持自定义态势导入。</w:t>
            </w:r>
          </w:p>
          <w:p w14:paraId="7FBCA6D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22.用户登录可进行靶场场次选择，可进行实训附件下载，可根据实训状态选择进入实训。</w:t>
            </w:r>
          </w:p>
          <w:p w14:paraId="66D6962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23.靶场所有实训模式支持全自动评分，根据得分可进行自动排名，支持一二三血功能。</w:t>
            </w:r>
          </w:p>
          <w:p w14:paraId="6812922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24.虚拟机支持UEFI启动。</w:t>
            </w:r>
          </w:p>
          <w:p w14:paraId="33B2E1A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25.管理口支持UPnP协议，平台支持自动发现节点，可通过平台序列号添加集群节点。</w:t>
            </w:r>
          </w:p>
          <w:p w14:paraId="7F6DFDA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26.支持集群管理，支持IP地址、序列号添加集群，自动发现技术发现同系列平台。</w:t>
            </w:r>
          </w:p>
          <w:p w14:paraId="53EF3C4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27.同时支持多种虚拟机操作系统模板windows/linux，不限于img、qcow2格式虚拟镜像文件。</w:t>
            </w:r>
          </w:p>
          <w:p w14:paraId="4370BFA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28.支持根据战队进行网络规划，不同的战队属于不同的虚拟网络，属于不同的VLAN。攻击机、靶机IP地址自动获取，客户端全程无需手工配置地址，VLAN与IP可根据比赛要求自行设定。</w:t>
            </w:r>
          </w:p>
          <w:p w14:paraId="636BB3BB">
            <w:pP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、理论答题系统</w:t>
            </w:r>
          </w:p>
          <w:p w14:paraId="2126CFA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1.理论答题系统支持导入试卷，支持添加生成试卷，支持试卷预览。</w:t>
            </w:r>
          </w:p>
          <w:p w14:paraId="2AAFB2C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2.理论答题支持题目导航、支持单题提交，支持查看实训倒计时。</w:t>
            </w:r>
          </w:p>
          <w:p w14:paraId="0A7E1D4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3.理论答题支持战队内数据同步，队员1提交后，队员2、3则无需再次进行提交，可实时查看队友提交数据。</w:t>
            </w:r>
          </w:p>
          <w:p w14:paraId="100BC00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4.理论答题支持赛中得分隐藏。</w:t>
            </w:r>
          </w:p>
          <w:p w14:paraId="6FE1AD5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5.理论答题系统支持自动评分，支持单选、多选、判断题型的自动评分，并支持一键导出成绩。</w:t>
            </w:r>
          </w:p>
          <w:p w14:paraId="6ADE6C1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6.理论答题可同时部署并行≥2场，且支持分配相同战队组、不同战队组进行不同场次的实训。</w:t>
            </w:r>
          </w:p>
          <w:p w14:paraId="6731180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7.理论答题支持同时进行多场不同类型实训。</w:t>
            </w:r>
          </w:p>
          <w:p w14:paraId="47F0E26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8.理论答题可进行答题成绩查看，包括战队成绩、成绩详单、答题记录等。</w:t>
            </w:r>
          </w:p>
          <w:p w14:paraId="72CA45A9">
            <w:pP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、应急响应任务系统</w:t>
            </w:r>
          </w:p>
          <w:p w14:paraId="242B784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1.后台拓扑设置管理支持设置多层网络结构，不得少于3层独立网络，满足内网渗透环境需求。</w:t>
            </w:r>
          </w:p>
          <w:p w14:paraId="5DACF5E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2.可设置试题中心，应急响应任务支持从题库选择任务，支持题目前后排序，支持选择攻击机拓扑、靶机拓扑，支持管理用户端靶机是否显示。</w:t>
            </w:r>
          </w:p>
          <w:p w14:paraId="75D9DAF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3.应急响应任务系统可进行试卷预览，支持对试卷任务进行管理。</w:t>
            </w:r>
          </w:p>
          <w:p w14:paraId="7EBDEC8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4.应急响应任务支持实训中心管理，首页可进行应急响应任务实训过滤、选择不同时间的应急响应任务实训进行态势观战。</w:t>
            </w:r>
          </w:p>
          <w:p w14:paraId="411BE0F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5.应急响应任务可同时部署并行≥2场，且支持分配相同战队组、不同战队组进行不同场次的实训。</w:t>
            </w:r>
          </w:p>
          <w:p w14:paraId="7E33789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6.应急响应任务支持同时进行多场不同类型实训。</w:t>
            </w:r>
          </w:p>
          <w:p w14:paraId="193D96D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7.应急响应任务系统可进行实训答题成绩查看，包括战队成绩、成绩详单、答题记录与附件，支持一键导出成绩，支持附件下载。</w:t>
            </w:r>
          </w:p>
          <w:p w14:paraId="7DF1671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8.应急响应任务系统支持一键部署实训、支持一键启动靶场环境、支持一键关闭靶场环境。</w:t>
            </w:r>
          </w:p>
          <w:p w14:paraId="7F64B43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9.应急响应任务系统后台可设置监控中心，监控中心支持查看正在运行的虚机、攻击机信息与靶机信息。</w:t>
            </w:r>
          </w:p>
          <w:p w14:paraId="0324782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10.应急响应任务系统支持启动、关闭单个战队的攻击机、靶机。</w:t>
            </w:r>
          </w:p>
          <w:p w14:paraId="7DDEB0B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11.应急响应任务支持题目导航，重复提交flag信息、通过本地攻击机直连场景，支持查看flag提交信息，支持提交附件。</w:t>
            </w:r>
          </w:p>
          <w:p w14:paraId="3C12B07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12.应急响应任务系统下，战队内部系统数据实时同步，队内队员1提交的数据与flag信息，队员2、3则可实时查看提交结果并覆盖提交。</w:t>
            </w:r>
          </w:p>
          <w:p w14:paraId="2E5FF56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13.应急响应任务系统下，支持战队自主控制启动、关闭攻击机、靶机。</w:t>
            </w:r>
          </w:p>
          <w:p w14:paraId="707696D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应急响应任务：提供应急响应环境（Linux服务器应急响应、Windows服务器应急响应、数据库服务器应急响应、Web服务器应急响应，共计不少于12个）,操作系统取证-内存取证环境（Windows7内存取证分析、Windows10内存取证分析、Linux内存取证分析，共计不少于12个），操作系统取证-磁盘取证环境（隐写术、编码解码、数据恢复、信息搜集、压缩包分析，共计不少于12个），网络数据包分析环境（网站流量分析、FTP流量分析、数据库流量分析，共计不少于12个），应用程序安全-恶意程序分析环境（ELF文件逆向分析、Windows程序逆向分析、固件逆向分析，共计不少于12个），应用程序安全-代码审计环境（PHP代码审计、C/C++代码审计、Python代码审计、Java代码审计，共计不少于12个），累计不少于72个环境。</w:t>
            </w:r>
          </w:p>
          <w:p w14:paraId="606FA46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应急响应任务书：提供应急响应环境配套解题思路、解题操作视频（Linux服务器应急响应、Windows服务器应急响应、数据库服务器应急响应、Web服务器应急响应，共计不少于12个）,操作系统取证-内存取证环境配套解题思路、解题操作视频（Windows7内存取证分析、Windows10内存取证分析、Linux内存取证分析，共计不少于12个），操作系统取证-磁盘取证环境配套解题思路、解题操作视频（隐写术、编码解码、数据恢复、信息搜集、压缩包分析，共计不少于12个），网络数据包分析环境配套解题思路、解题操作视频（网站流量分析、FTP流量分析、数据库流量分析，共计不少于12个），应用程序安全-恶意程序分析环境配套解题思路、解题操作视频（ELF文件逆向分析、Windows程序逆向分析、固件逆向分析，共计不少于12个），应用程序安全-代码审计环境配套解题思路、解题操作视频（PHP代码审计、C/C++代码审计、Python代码审计、Java代码审计，共计不少于12个），累计不少于72个环境。</w:t>
            </w:r>
          </w:p>
        </w:tc>
        <w:tc>
          <w:tcPr>
            <w:tcW w:w="763" w:type="dxa"/>
            <w:noWrap w:val="0"/>
            <w:vAlign w:val="center"/>
          </w:tcPr>
          <w:p w14:paraId="53C2937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771D9FC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7AD1E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750EAB70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230" w:type="dxa"/>
            <w:noWrap w:val="0"/>
            <w:vAlign w:val="center"/>
          </w:tcPr>
          <w:p w14:paraId="31E65D8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信息安全渗透攻防云实训平台</w:t>
            </w:r>
          </w:p>
        </w:tc>
        <w:tc>
          <w:tcPr>
            <w:tcW w:w="6879" w:type="dxa"/>
            <w:noWrap w:val="0"/>
            <w:vAlign w:val="center"/>
          </w:tcPr>
          <w:p w14:paraId="4F9B1441">
            <w:pP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、靶场管理平台系统</w:t>
            </w:r>
          </w:p>
          <w:p w14:paraId="293C011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1.采用B/S架构，支持虚拟化管理，支持集群管理，可以在主设备后台直接查看所有设备的硬件使用情况和虚拟机数量。</w:t>
            </w:r>
          </w:p>
          <w:p w14:paraId="2D38A01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2.具备数据流量与业务数据流量隔离，增强安全性。</w:t>
            </w:r>
          </w:p>
          <w:p w14:paraId="405DF14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3.用户支持修改密码等功能。</w:t>
            </w:r>
          </w:p>
          <w:p w14:paraId="01E5E52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4.后台首页支持查看服务器软件版本、软件型号、CPU信息、授权状态等信息。</w:t>
            </w:r>
          </w:p>
          <w:p w14:paraId="7E3DDBF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后台首页支持查看实训总数、活跃实训数、用户总数、登录用户数、休眠虚拟机、运行虚拟机、节点CPU最高占用率，节点内存最高占用率，各节点CPU使用率、内存使用率、数据资源使用率、系统资源使用率、数据端口使用率、管理端口使用率等信息。</w:t>
            </w:r>
          </w:p>
          <w:p w14:paraId="2A0A44F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6.后台可以进行管理用户管理、组织管理、战队信息、队伍分组等功能，支持用户属性：考场、座位号、准考证号、身份证号、手机、邮箱、城市、学校等，用户支持是否允许登录。</w:t>
            </w:r>
          </w:p>
          <w:p w14:paraId="4931965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7.后台资源管理，可进行磁盘镜像、光盘镜像、内部资源外部资源、资源类型管理。</w:t>
            </w:r>
          </w:p>
          <w:p w14:paraId="44259B8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8.后台场景管理，可进行虚拟场地、场景模板、场景实例管理。</w:t>
            </w:r>
          </w:p>
          <w:p w14:paraId="05D48D4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9.后台场景模板支持添加云，支持一键删除场景内所有元素，支持导出拓扑图片，支持保存与修改拓扑。</w:t>
            </w:r>
          </w:p>
          <w:p w14:paraId="14A687D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10.后台实训任务，可进行理论答题、应急响应任务等任务管理。</w:t>
            </w:r>
          </w:p>
          <w:p w14:paraId="40A5A08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11.后台实训管理，可进行试卷管理、场次管理、数据导入，支持部署向导。</w:t>
            </w:r>
          </w:p>
          <w:p w14:paraId="56592A3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12.后台试卷管理，支持从题库选择任务，支持题目排序，支持任务编辑与删除。</w:t>
            </w:r>
          </w:p>
          <w:p w14:paraId="6F93AD5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13.后台场次管理，支持设置虚拟场地、试卷、开始时间、结束时间、参赛战队等内容，参赛队伍座位表支持用户顺序就坐、随机就坐、清除就坐功能。</w:t>
            </w:r>
          </w:p>
          <w:p w14:paraId="65DED68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14.后台数据导入，支持导入用户、参赛队伍、实训任务、试卷、场景、磁盘、光盘等内容。</w:t>
            </w:r>
          </w:p>
          <w:p w14:paraId="71DCD67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15.后台可根据虚机状态管理虚拟机，支持预期状态、实际状态，状态包含运行、关机，操作包括虚机的开机、关机、连接等。</w:t>
            </w:r>
          </w:p>
          <w:p w14:paraId="165FFA2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16.后台场次管理支持成绩排行记录，包括时间、序号、战队、得分等。</w:t>
            </w:r>
          </w:p>
          <w:p w14:paraId="416B7BE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17.后台场次管理支持重启记录，包括时间、战队、用户、虚拟机名称、状态等。</w:t>
            </w:r>
          </w:p>
          <w:p w14:paraId="68DC2B5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18.后台系统管理，可进行系统设置、集群管理、登录日志、操作日志管理。</w:t>
            </w:r>
          </w:p>
          <w:p w14:paraId="512CAE7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19.后台集群管理，可进行节点信息查看，包括节点名称、节点ip等信息。</w:t>
            </w:r>
          </w:p>
          <w:p w14:paraId="2DA42DB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20.后台登录日志可进行导出，支持查看用户登录时间、登录ip、用户名等信息。</w:t>
            </w:r>
          </w:p>
          <w:p w14:paraId="06FE6DB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21.后台态势管理，支持自定义态势导入。</w:t>
            </w:r>
          </w:p>
          <w:p w14:paraId="104C7EB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22.用户登录可进行靶场场次选择，可进行实训附件下载，可根据实训状态选择进入实训。</w:t>
            </w:r>
          </w:p>
          <w:p w14:paraId="245F8C5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23.靶场所有实训模式支持全自动评分，根据得分可进行自动排名，支持一二三血功能。</w:t>
            </w:r>
          </w:p>
          <w:p w14:paraId="2534055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24.虚拟机支持UEFI启动。</w:t>
            </w:r>
          </w:p>
          <w:p w14:paraId="2C6AA19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25.管理口支持UPnP协议，平台支持自动发现节点，可通过平台序列号添加集群节点。</w:t>
            </w:r>
          </w:p>
          <w:p w14:paraId="44E1A7E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26.支持集群管理，支持IP地址、序列号添加集群，自动发现技术发现同系列平台。</w:t>
            </w:r>
          </w:p>
          <w:p w14:paraId="2E63D49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27.同时支持多种虚拟机操作系统模板windows/linux，不限于img、qcow2格式虚拟镜像文件。</w:t>
            </w:r>
          </w:p>
          <w:p w14:paraId="1A191F4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28.支持根据战队进行网络规划，不同的战队属于不同的虚拟网络，属于不同的VLAN。攻击机、靶机IP地址自动获取，客户端全程无需手工配置地址，VLAN与IP可根据比赛要求自行设定。</w:t>
            </w:r>
          </w:p>
          <w:p w14:paraId="549F3A8B">
            <w:pP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、理论答题系统</w:t>
            </w:r>
          </w:p>
          <w:p w14:paraId="0F9730D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1.理论答题系统支持导入试卷，支持添加生成试卷，支持试卷预览。</w:t>
            </w:r>
          </w:p>
          <w:p w14:paraId="405FAA0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2.理论答题支持题目导航、支持单题提交，支持查看实训倒计时。</w:t>
            </w:r>
          </w:p>
          <w:p w14:paraId="10E7952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3.理论答题支持战队内数据同步，队员1提交后，队员2、3则无需再次进行提交，可实时查看队友提交数据。</w:t>
            </w:r>
          </w:p>
          <w:p w14:paraId="539408D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4.理论答题支持赛中得分隐藏。</w:t>
            </w:r>
          </w:p>
          <w:p w14:paraId="55C789D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5.理论答题系统支持自动评分，支持单选、多选、判断题型的自动评分，并支持一键导出成绩。</w:t>
            </w:r>
          </w:p>
          <w:p w14:paraId="5706E64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6.理论答题可同时部署并行≥2场，且支持分配相同战队组、不同战队组进行不同场次的实训。</w:t>
            </w:r>
          </w:p>
          <w:p w14:paraId="2862A58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7.理论答题支持同时进行多场不同类型实训。</w:t>
            </w:r>
          </w:p>
          <w:p w14:paraId="3F95197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8.理论答题可进行答题成绩查看，包括战队成绩、成绩详单、答题记录等。</w:t>
            </w:r>
          </w:p>
          <w:p w14:paraId="5A350563">
            <w:pP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、信息安全渗透攻防系统</w:t>
            </w:r>
          </w:p>
          <w:p w14:paraId="6636B1E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1.后台拓扑设置管理支持设置多层网络结构，不得少于3层独立网络，满足内网渗透环境需求。</w:t>
            </w:r>
          </w:p>
          <w:p w14:paraId="1ACB226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2.可设置试题中心，渗透攻防任务支持从题库选择任务，支持题目前后排序，支持选择攻击机拓扑、靶机拓扑，支持管理用户端靶机是否显示。</w:t>
            </w:r>
          </w:p>
          <w:p w14:paraId="40B8C2A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3.渗透攻防任务系统可进行试卷预览，支持对试卷任务进行管理。</w:t>
            </w:r>
          </w:p>
          <w:p w14:paraId="4243633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4.渗透攻防任务支持实训中心管理，首页可进行渗透攻防任务实训过滤、选择不同时间的渗透攻防任务实训进行态势观战。</w:t>
            </w:r>
          </w:p>
          <w:p w14:paraId="40DAAB8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5.渗透攻防任务可同时部署并行≥2场，且支持分配相同战队组、不同战队组进行不同场次的实训。</w:t>
            </w:r>
          </w:p>
          <w:p w14:paraId="22222E6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6.渗透攻防任务支持同时进行多场不同类型实训。</w:t>
            </w:r>
          </w:p>
          <w:p w14:paraId="59A9B3E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7.渗透攻防任务系统可进行实训答题成绩查看，包括战队成绩、成绩详单、答题记录与附件，支持一键导出成绩，支持附件下载。</w:t>
            </w:r>
          </w:p>
          <w:p w14:paraId="56C00CA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8.渗透攻防任务系统支持一键部署实训、支持一键启动靶场环境、支持一键关闭靶场环境。</w:t>
            </w:r>
          </w:p>
          <w:p w14:paraId="4F28080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9.渗透攻防任务系统后台可设置监控中心，监控中心支持查看正在运行的虚机、攻击机信息与靶机信息。</w:t>
            </w:r>
          </w:p>
          <w:p w14:paraId="15FCED2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10.渗透攻防任务系统支持启动、关闭单个战队的攻击机、靶机。</w:t>
            </w:r>
          </w:p>
          <w:p w14:paraId="524E657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11.渗透攻防任务支持题目导航，重复提交flag信息、通过本地攻击机直连场景，支持查看flag提交信息，支持提交附件。</w:t>
            </w:r>
          </w:p>
          <w:p w14:paraId="1BC1E31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12.渗透攻防任务系统下，战队内部系统数据实时同步，队内队员1提交的数据与flag信息，队员2、3则可实时查看提交结果并覆盖提交。</w:t>
            </w:r>
          </w:p>
          <w:p w14:paraId="3209D3F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13.渗透攻防任务系统下，支持战队自主控制启动、关闭攻击机、靶机</w:t>
            </w:r>
          </w:p>
          <w:p w14:paraId="03FB59E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渗透攻防环境任务：提供渗透测试环境（SQL注入漏洞利用、远程代码执行漏洞利用、任意文件上传漏洞利用、暴力破解漏洞利用、越权访问漏洞利用共计不少于10个）,安全杂项实训环境（图片隐写分析、流量包分析、音频隐写分析、压缩包分析、数据恢复共计不少于10个）；密码学实训环境（古典密码学、近现代密码学共计不少于10个）；逆向工程实训环境（算法逆向分析、代码混淆逆向分析、迷宫逆向分析、虚拟机逆向分析共计不少于10个）；二进制安全（格式化字符串漏洞利用、栈溢出漏洞利用、堆溢出漏洞利用共计不少于10个）共计不少于50个。</w:t>
            </w:r>
          </w:p>
          <w:p w14:paraId="170BE50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渗透攻防任务书：提供渗透测试配套解题思路、解题操作视频（SQL注入漏洞利用、远程代码执行漏洞利用、任意文件上传漏洞利用、暴力破解漏洞利用、越权访问漏洞利用共计不少于10个）,安全杂项配套解题思路、解题操作视频（图片隐写分析、流量包分析、音频隐写分析、压缩包分析、数据恢复共计不少于10个）；密码学配套解题思路、解题操作视频（古典密码学、近现代密码学共计不少于10个）；逆向工程配套解题思路、解题操作视频（算法逆向分析、代码混淆逆向分析、迷宫逆向分析、虚拟机逆向分析共计不少于10个）；二进制安全配套解题思路、解题操作视频（格式化字符串漏洞利用、栈溢出漏洞利用、堆溢出漏洞利用共计不少于10个）共计不少于50个。</w:t>
            </w:r>
          </w:p>
        </w:tc>
        <w:tc>
          <w:tcPr>
            <w:tcW w:w="763" w:type="dxa"/>
            <w:noWrap w:val="0"/>
            <w:vAlign w:val="center"/>
          </w:tcPr>
          <w:p w14:paraId="1139F70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256C5C6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5795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246AF5A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1230" w:type="dxa"/>
            <w:noWrap w:val="0"/>
            <w:vAlign w:val="center"/>
          </w:tcPr>
          <w:p w14:paraId="06495D5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信息安全竞赛平台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服务器</w:t>
            </w:r>
          </w:p>
        </w:tc>
        <w:tc>
          <w:tcPr>
            <w:tcW w:w="6879" w:type="dxa"/>
            <w:noWrap w:val="0"/>
            <w:vAlign w:val="center"/>
          </w:tcPr>
          <w:p w14:paraId="62324F0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1.外形：2U双路机架式服务器。</w:t>
            </w:r>
          </w:p>
          <w:p w14:paraId="3A18880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2.主板芯片：Intel C621A。</w:t>
            </w:r>
          </w:p>
          <w:p w14:paraId="797EC24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3.CPU：≥2颗Intel至强第三代可扩展处理器，单颗核心数≥12C，主频≥2.1GHz。</w:t>
            </w:r>
          </w:p>
          <w:p w14:paraId="24AE05D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4.内存：256 GB DDR4 内存。</w:t>
            </w:r>
          </w:p>
          <w:p w14:paraId="6A8C6B0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5.存储：配置8块600GB 10000转 2.5英寸企业级SAS硬盘。</w:t>
            </w:r>
          </w:p>
          <w:p w14:paraId="5DB8D31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6.配置1GB缓存8口/SAS 12Gb，半高支持RAID 0,1,5,6,10,50,60,JBOD，支持多组RAID。</w:t>
            </w:r>
          </w:p>
          <w:p w14:paraId="55AE3A8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7.可以支持配置服务器监控软件PPM，支持能耗的实时监测与分析，支持三种模式的能耗控制策略。</w:t>
            </w:r>
          </w:p>
          <w:p w14:paraId="387F99C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8.网卡：配置4个千兆以太网口，支持IPMI2.0，对外提供1个100/1000Mbps RJ45管理网口，支持iKVM远程管理。</w:t>
            </w:r>
          </w:p>
          <w:p w14:paraId="4F5E3A9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9.配件：滑动上架导轨。</w:t>
            </w:r>
          </w:p>
          <w:p w14:paraId="4868551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10.电源：≥550W 1+1冗余双电源。</w:t>
            </w:r>
          </w:p>
        </w:tc>
        <w:tc>
          <w:tcPr>
            <w:tcW w:w="763" w:type="dxa"/>
            <w:noWrap w:val="0"/>
            <w:vAlign w:val="center"/>
          </w:tcPr>
          <w:p w14:paraId="6749AF6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2DC48B0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</w:tr>
      <w:tr w14:paraId="5E004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2F94FA3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230" w:type="dxa"/>
            <w:noWrap w:val="0"/>
            <w:vAlign w:val="center"/>
          </w:tcPr>
          <w:p w14:paraId="21EBECE0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信息安全竞赛平台</w:t>
            </w:r>
          </w:p>
        </w:tc>
        <w:tc>
          <w:tcPr>
            <w:tcW w:w="6879" w:type="dxa"/>
            <w:noWrap w:val="0"/>
            <w:vAlign w:val="center"/>
          </w:tcPr>
          <w:p w14:paraId="25E2AD9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1.2U机架式设备，2颗12核CPU，共256G内存；8块600GB SAS 硬盘，8通道高性能SAS RAID卡（1G缓存），支持不少于12个千兆电口，双电源。</w:t>
            </w:r>
          </w:p>
          <w:p w14:paraId="27CC73E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2.平台系统采用B/S架构，支持集群，内置竞赛管理、训练管理、题目管理、工具管理、账号管理、队伍管理、系统管理等模块。</w:t>
            </w:r>
          </w:p>
          <w:p w14:paraId="5982270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平台支持系统展示功能，可针对系统的题目数量、虚拟机数量、竞赛数量、虚拟机启动数量进行展示；同时针对CPU使用率、内存使用率、硬盘使用率进行图表化展示；同时可对占用资源进行批量及针对性释放；支持审计日志统计，可对用户增、删、改、查等操作进行统计，更全面了解用户情况。</w:t>
            </w:r>
          </w:p>
          <w:p w14:paraId="61B796E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平台可支持用户管理功能，提供账号管理、队伍管理、角色权限管理；管理员可对账户、队伍进行批量操作，包括导入、导出、新增、删除和禁用等；支持对姓名、分类、队伍名称、队伍LOGO等信息进行设置；用户密码支持自主设定、系统生成，并可进行导出；平台自带超级管理员、竞赛选手角色，其他角色可根据需求进行自主创建。</w:t>
            </w:r>
          </w:p>
          <w:p w14:paraId="7991E29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平台可支持多场竞赛同时管理，支持对竞赛新建、编辑、搜索、环境部署、竞赛管理、竞赛结果等流程进行操作；支持理论赛、解题赛、攻防赛多种竞赛模式，并可根据需求进行组合；支持个人赛、团体赛参赛方式。</w:t>
            </w:r>
          </w:p>
          <w:p w14:paraId="3D41F52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平台可支持竞赛信息、竞赛规则、竞赛人员、竞赛题目、计分规则等流程管理；攻防赛支持轮次时间、选手还原次数设置；支持多协作管理员关联，管理员之间可分工协作，提高竞赛协作效率；支持题目批量下发及回收；理论赛支持固定选题、随机选题、团队内分配多种下发方式。</w:t>
            </w:r>
          </w:p>
          <w:p w14:paraId="32FEDF2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平台支持多样化计分规则，理论赛支持总分、平均分、最高分、最低分计分方式；解题赛基础分支持固定分值、动态分值计分方式，附加分支持固定分值、系数分值、动态分值计分方式，对一血、二血、三血...N血进行设置；攻防赛支持初始分值设置，key有效时间设置，固定分值、零和分值计分方式，服务不可用支持手动扣分、自动扣分；支持各竞赛模式计分占比设置。</w:t>
            </w:r>
          </w:p>
          <w:p w14:paraId="6A52CF0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平台支持多样化计分规则，理论赛支持总分、平均分、最高分、最低分计分方式；解题赛基础分支持固定分值、动态分值计分方式，附加分支持固定分值、系数分值、动态分值计分方式，对一血、二血、三血...N血进行设置；攻防赛支持初始分值设置，key有效时间设置，固定分值、零和分值计分方式，服务不可用支持手动扣分、自动扣分；支持各竞赛模式计分占比设置。</w:t>
            </w:r>
          </w:p>
          <w:p w14:paraId="47141FC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平台可支持竞赛控制、题目控制、环境管理、环境检测、公告管理、答题详情等流程管理；支持开始、暂停、重置竞赛控制；支持准备模式、全通模式、解题模式、加固模式、攻防模式网络控制；支持终端IP段验证；支持竞赛时间、理论赛时间、解题赛时间、攻防赛时间设置，根据各竞赛时间开放相对应题目。</w:t>
            </w:r>
          </w:p>
          <w:p w14:paraId="5EF1D9C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10.平台支持竞赛中环境管理，记录队伍启动、关闭、还原次数；支持题目的查看、启动关闭、还原；攻防赛支持环境检测，记录服务异常次数及异常来源，并支持对服务不可用队伍进行处罚。</w:t>
            </w:r>
          </w:p>
          <w:p w14:paraId="644F7EE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11.平台支持公告管理，支持定向及不定向发布公告；支持一般、中等、重要多级别公告管理；支持重要公告弹窗提醒；支持公告发布及取消。</w:t>
            </w:r>
          </w:p>
          <w:p w14:paraId="2E9E4E1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12.平台支持竞赛中题目答题详情、队伍答题详情的管理；支持具体分值、正确率、提交次数、答题进度、提交人次、被攻击次数、提交时间等数据展示。</w:t>
            </w:r>
          </w:p>
          <w:p w14:paraId="7290742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13.平台支持实时排行榜展示，分值可设置由高到低或者由低到高展示；支持得失分统计，并支持得失分原因统计。</w:t>
            </w:r>
          </w:p>
          <w:p w14:paraId="0A39782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平台支持竞赛结果管理，统计个人榜单、团队榜单、过程数据；支持各榜单结果导出，各竞赛阶段成绩分开统计，统计最终排行、原始成绩、得分详情，攻防赛攻击、被攻击详情，解题赛各分类得分情况等数据。</w:t>
            </w:r>
          </w:p>
          <w:p w14:paraId="4A2E75D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平台支持题库管理，管理员根据实际需求新建、编辑、搜索、删除、导入、公开题目；支持理论赛题目、解题赛题目、攻防赛题目管理；支持docker，可在线启动、关闭、查看；攻防赛题目支持检测点设置，根据需求可使用http、tcp检测协议从服务端口、期望输出、URL等方面设置检测点；支持竞赛、训练题库统一化管理，题目可一键公开到训练中心。</w:t>
            </w:r>
          </w:p>
          <w:p w14:paraId="737FACC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16.平台支持动态flag，可根据需求使用curl、脚本执行方式进行设置；支持用户端Writeup上传，管理端Writeup查看、导出；解题赛题目支持多附件上传，选择随机附件随机flag，平台随机下发附件，来实现动态附件flag。</w:t>
            </w:r>
          </w:p>
          <w:p w14:paraId="69D9E4F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.平台支持解题赛、攻防赛实时3D可视化动态展示，展示数据主要有答题动态、攻击路径、排行榜、得分趋势等；整体以写实风格为主，大场景游戏画质，给人带来震撼的视觉感受；布局上适用不同队伍、不同题目分布，适配多种分辨率。</w:t>
            </w:r>
          </w:p>
          <w:p w14:paraId="2C4B36F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18.平台支持工具管理，可对工具进行上传、编辑、下载、删除、搜索等操作；后台上传工具会同步到用户端工具库，用户根据需求下载所需要的工具。</w:t>
            </w:r>
          </w:p>
          <w:p w14:paraId="5F2EF73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19.平台支持训练管理，统计训练总人数、训练通过率、训练题目数量、错题率等数据信息。</w:t>
            </w:r>
          </w:p>
          <w:p w14:paraId="3EB9F18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20.平台支持用户日常自主刷题训练，并提供配套解题思路，帮助用户有效训练。</w:t>
            </w:r>
          </w:p>
        </w:tc>
        <w:tc>
          <w:tcPr>
            <w:tcW w:w="763" w:type="dxa"/>
            <w:noWrap w:val="0"/>
            <w:vAlign w:val="center"/>
          </w:tcPr>
          <w:p w14:paraId="4186BB2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2457D5F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套</w:t>
            </w:r>
          </w:p>
        </w:tc>
      </w:tr>
      <w:tr w14:paraId="2DF08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7DA21C2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1230" w:type="dxa"/>
            <w:noWrap w:val="0"/>
            <w:vAlign w:val="center"/>
          </w:tcPr>
          <w:p w14:paraId="44E30C3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高性能移动工作站</w:t>
            </w:r>
          </w:p>
        </w:tc>
        <w:tc>
          <w:tcPr>
            <w:tcW w:w="6879" w:type="dxa"/>
            <w:noWrap w:val="0"/>
            <w:vAlign w:val="center"/>
          </w:tcPr>
          <w:p w14:paraId="2B3A2BB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1.处理器：≥Intel Core i7；</w:t>
            </w:r>
          </w:p>
          <w:p w14:paraId="6A8D29A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2.内存：≥64GB；</w:t>
            </w:r>
          </w:p>
          <w:p w14:paraId="4AFCDD1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3.固态硬盘：2TB SSD；</w:t>
            </w:r>
          </w:p>
          <w:p w14:paraId="6051176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4.独立显卡：≥GeForce RTX 4080；</w:t>
            </w:r>
          </w:p>
          <w:p w14:paraId="56D5E89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5.显示器：≥17.3英寸；</w:t>
            </w:r>
          </w:p>
          <w:p w14:paraId="107EF60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6.显示比例：16：10；</w:t>
            </w:r>
          </w:p>
          <w:p w14:paraId="28D1A74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7.屏幕分辨率：≥2560*1600；</w:t>
            </w:r>
          </w:p>
          <w:p w14:paraId="391FEBD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8.显示模式：双显三模切换。</w:t>
            </w:r>
          </w:p>
        </w:tc>
        <w:tc>
          <w:tcPr>
            <w:tcW w:w="763" w:type="dxa"/>
            <w:noWrap w:val="0"/>
            <w:vAlign w:val="center"/>
          </w:tcPr>
          <w:p w14:paraId="7F8BB87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58" w:type="dxa"/>
            <w:noWrap w:val="0"/>
            <w:vAlign w:val="center"/>
          </w:tcPr>
          <w:p w14:paraId="1DDE91C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4CB7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1BA51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31</w:t>
            </w:r>
          </w:p>
        </w:tc>
        <w:tc>
          <w:tcPr>
            <w:tcW w:w="1230" w:type="dxa"/>
            <w:noWrap w:val="0"/>
            <w:vAlign w:val="center"/>
          </w:tcPr>
          <w:p w14:paraId="4D2A6D7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三层交换机</w:t>
            </w:r>
          </w:p>
        </w:tc>
        <w:tc>
          <w:tcPr>
            <w:tcW w:w="6879" w:type="dxa"/>
            <w:noWrap w:val="0"/>
            <w:vAlign w:val="center"/>
          </w:tcPr>
          <w:p w14:paraId="14F69EF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1.交换容量≥590G bps，包转发率≥270Mpps。</w:t>
            </w:r>
          </w:p>
          <w:p w14:paraId="2E84887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2.千兆电口≥24，10G SFP+≥4。</w:t>
            </w:r>
          </w:p>
          <w:p w14:paraId="52A5B39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3.USB接口≥1，可外接存储，方便系统升级、配置、日志保存等。</w:t>
            </w:r>
          </w:p>
          <w:p w14:paraId="379A084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4.支持10/100/1000M带外管理口≥1，Console接口≥1。</w:t>
            </w:r>
          </w:p>
          <w:p w14:paraId="35D9593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5.支持802.3ad，支持802.1Q，支持STP、RSTP、MSTP协议，支持端口镜像、远程端口镜像等。</w:t>
            </w:r>
          </w:p>
          <w:p w14:paraId="4A909E9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6.支持IPv4/IPv6静态路由，支持RIP/RIPng、OSPF/ OSPFv3、BGP/BGP4+。</w:t>
            </w:r>
          </w:p>
          <w:p w14:paraId="7FB8465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7.支持以太网OAM。</w:t>
            </w:r>
          </w:p>
          <w:p w14:paraId="53D5407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8.支持IP ACL、MAC ACL、IP-MAC ACL，支持基于源/目的IP地址、源/目的MAC地址、IP协议类型、TCP/UDP端口号、时间范围对数据进行过滤。</w:t>
            </w:r>
          </w:p>
          <w:p w14:paraId="01EC674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9.支持专业的IPv4/IPv6 ACL，提供丰富的安全以及业务策略。</w:t>
            </w:r>
          </w:p>
          <w:p w14:paraId="4424334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10.支持基于VRRP、RIP、OSPF、BGP、静态路由的BFD，加快网络收敛速度，减小故障影响。</w:t>
            </w:r>
          </w:p>
          <w:p w14:paraId="0C68B2F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11.支持ARP安全功能，可以防止ARP欺骗、防止ARP扫描。</w:t>
            </w:r>
          </w:p>
          <w:p w14:paraId="5F9B0D5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12.支持CPU安全防护等技术，保障设备在攻击环境下正常转发数据。</w:t>
            </w:r>
          </w:p>
          <w:p w14:paraId="1D10AFF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13.支持ISATAP、IPv4 over IPv6、6to4隧道、手工配置隧道等IPv6功能。</w:t>
            </w:r>
          </w:p>
          <w:p w14:paraId="5530366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14.内置 DHCPv4及DHCPv6 Server，可对客户端分配地址，节省地址分配服务器的投资。</w:t>
            </w:r>
          </w:p>
          <w:p w14:paraId="47CA3C5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15.支持DHCP Client、Relay、Snooping、Option82、Option43/60、Option37/38等功能。</w:t>
            </w:r>
          </w:p>
          <w:p w14:paraId="5A0776A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16.支持SNMP、RMON、SSH、Telnet、Web等管理方式，支持802.1agOAM/CFM。</w:t>
            </w:r>
          </w:p>
        </w:tc>
        <w:tc>
          <w:tcPr>
            <w:tcW w:w="763" w:type="dxa"/>
            <w:noWrap w:val="0"/>
            <w:vAlign w:val="center"/>
          </w:tcPr>
          <w:p w14:paraId="16E6961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274FBBE0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1CDB8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523C4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1230" w:type="dxa"/>
            <w:noWrap w:val="0"/>
            <w:vAlign w:val="center"/>
          </w:tcPr>
          <w:p w14:paraId="7F623E2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下一代防火墙</w:t>
            </w:r>
          </w:p>
        </w:tc>
        <w:tc>
          <w:tcPr>
            <w:tcW w:w="6879" w:type="dxa"/>
            <w:noWrap w:val="0"/>
            <w:vAlign w:val="center"/>
          </w:tcPr>
          <w:p w14:paraId="02E86AC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1.采用多核网络处理器，非X86架构，保障设备高性能、高可靠性。</w:t>
            </w:r>
          </w:p>
          <w:p w14:paraId="3D155B7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2.提供≥6个GE电口，所有端口为路由接口。</w:t>
            </w:r>
          </w:p>
          <w:p w14:paraId="196709B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3.USB接口 ≥1个，用于外接移动硬盘存储日志，系统升级。</w:t>
            </w:r>
          </w:p>
          <w:p w14:paraId="39B619E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4.吞吐量：≥2Gbps，每秒新建会话数：≥20，000。</w:t>
            </w:r>
          </w:p>
          <w:p w14:paraId="7394E96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5.支持IPv6/v4双栈。</w:t>
            </w:r>
          </w:p>
          <w:p w14:paraId="7EAC664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6.支持802.1Q trunk封装、端口镜像、STP/RSTP等功能。</w:t>
            </w:r>
          </w:p>
          <w:p w14:paraId="0439590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7.支持将任意接口数据完全镜像到设备自身的其余接口，用于抓包分析。</w:t>
            </w:r>
          </w:p>
          <w:p w14:paraId="2565FEB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8.支持透明、路由、混合等工作模式。</w:t>
            </w:r>
          </w:p>
          <w:p w14:paraId="3524572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9.可以实现基于源/目的IP地址，服务，协议，端口，用户，组和时间的访问控制。</w:t>
            </w:r>
          </w:p>
          <w:p w14:paraId="52FD77F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10.支持应用引流,引导相应的应用到指定路径。</w:t>
            </w:r>
          </w:p>
          <w:p w14:paraId="4043EE4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11.可精确识别应用类型，包括加密的P2P下载软件等。</w:t>
            </w:r>
          </w:p>
          <w:p w14:paraId="34D3BA0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12.可对识别的应用进行多维可视化显示，并能够进行风险分析，帮助管理员掌握各个网络应用的详细信息及潜在网络风险，从而可以制定针对性的应用管控策略。</w:t>
            </w:r>
          </w:p>
          <w:p w14:paraId="73D68CD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13.可以根据应用的特征、类别、所用技术、风险等级等进行应用筛选，帮助管理员精确选择所需应用，提高管控效率及管控效果。</w:t>
            </w:r>
          </w:p>
          <w:p w14:paraId="3DA15DC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14.支持SQL注入、XSS、CC攻击等检查和防护,实现WEB Sever防护。</w:t>
            </w:r>
          </w:p>
          <w:p w14:paraId="6EC6325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15.支持对防火墙策略命中次数的统计功能；</w:t>
            </w:r>
          </w:p>
          <w:p w14:paraId="7849870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16.支持在线病毒防护，采用并行流扫描引擎，文件接收传送的同时进行病毒扫描，减少延迟；</w:t>
            </w:r>
          </w:p>
          <w:p w14:paraId="3E5645E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17.支持对主流DoS和DDos攻击的防护；</w:t>
            </w:r>
          </w:p>
        </w:tc>
        <w:tc>
          <w:tcPr>
            <w:tcW w:w="763" w:type="dxa"/>
            <w:noWrap w:val="0"/>
            <w:vAlign w:val="center"/>
          </w:tcPr>
          <w:p w14:paraId="4EB2CC4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12CD641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10AE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65E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1230" w:type="dxa"/>
            <w:noWrap w:val="0"/>
            <w:vAlign w:val="center"/>
          </w:tcPr>
          <w:p w14:paraId="70F10B2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WEB应用防火墙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879" w:type="dxa"/>
            <w:noWrap w:val="0"/>
            <w:vAlign w:val="center"/>
          </w:tcPr>
          <w:p w14:paraId="79FE0FA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1.≥4个千兆电口，≥1个扩展插槽，存储≥1T硬盘。</w:t>
            </w:r>
          </w:p>
          <w:p w14:paraId="0DDB4A4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2.支持透明流模式、透明代理模式、反向代理模式、路由牵引模式、镜像检测模式等部署模式。</w:t>
            </w:r>
          </w:p>
          <w:p w14:paraId="1063396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3.支持IPv4、IPv6双栈防护。</w:t>
            </w:r>
          </w:p>
          <w:p w14:paraId="4A3C897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4.支持通过BGP方式对流量进行牵引，并在清洗攻击后回注，回注过程支持设置SNAT策略。</w:t>
            </w:r>
          </w:p>
          <w:p w14:paraId="5FE8ECA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5.支持静态路由和策略路由管理。</w:t>
            </w:r>
          </w:p>
          <w:p w14:paraId="507814F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6.提供DNS服务器功能，支持服务器泛域名和普通域名服务。</w:t>
            </w:r>
          </w:p>
          <w:p w14:paraId="270CB33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7.支持地址转换策略，包括DNAT/SNAT。</w:t>
            </w:r>
          </w:p>
          <w:p w14:paraId="4105F19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8.支持静态及动态黑白名单策略，包括IP及URL黑白名单。</w:t>
            </w:r>
          </w:p>
          <w:p w14:paraId="704B0B8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9.支持HTTP协议校验，可根据实际网络状况自定义协议参数合规标准，过滤非法数据。</w:t>
            </w:r>
          </w:p>
          <w:p w14:paraId="04CE7F4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10.支持HTTP访问控制，可根据实际网络状况自定义请求方法等参数的访问控制规则，过滤非法请求。</w:t>
            </w:r>
          </w:p>
          <w:p w14:paraId="53988C2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11.支持HTTPS防护，支持上传证书及密钥。</w:t>
            </w:r>
          </w:p>
          <w:p w14:paraId="28FA38C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12.应能识别和阻断注入攻击、跨站脚本(XSS)攻击、盗链攻击、跨站请求伪造、敏感信息泄露等。</w:t>
            </w:r>
          </w:p>
          <w:p w14:paraId="176D91E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13.支持防扫描陷阱、爬虫防护、文件上传/下载过滤、非法关键字检测等。</w:t>
            </w:r>
          </w:p>
          <w:p w14:paraId="42EC8F1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14.支持弱密码保护、cookie加固及加密、页面访问顺序规则防护等。</w:t>
            </w:r>
          </w:p>
          <w:p w14:paraId="4706A43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15.提供多种威胁处理方式：返回错误码、重定向、日志监控、封禁等。</w:t>
            </w:r>
          </w:p>
          <w:p w14:paraId="1B34A94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16.支持虚拟补丁功能，支持导入appscan等第三方扫描器的扫描结果生成WAF的规则，对此类网站漏洞直接防护。</w:t>
            </w:r>
          </w:p>
          <w:p w14:paraId="6CB1063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17.支持网站自学习建模，可通过学习URL、host等信息展示网站结构树形图，并支持对URL的访问量和响应健康度进行图形化统计。</w:t>
            </w:r>
          </w:p>
          <w:p w14:paraId="3753210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18.支持通过自学习的URL参数的长度、类型、范围及请求方法等数据特点创建黑白名单模型，如果参数违反模型则判断为非法流量，直接执行阻断或封禁动作。</w:t>
            </w:r>
          </w:p>
          <w:p w14:paraId="44CD74A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19.支持自定义防护模板，提供通用、增强、专家的初始防护策略模板。</w:t>
            </w:r>
          </w:p>
          <w:p w14:paraId="6114A26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20.支持通过移动终端管理，实现网站快速应急处置。</w:t>
            </w:r>
          </w:p>
          <w:p w14:paraId="575C447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21.支持网站批量离线、网站批量恢复、网站一键断网、网站一键恢复操作。</w:t>
            </w:r>
          </w:p>
          <w:p w14:paraId="0F9F970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22.采用内核级防篡改保护，能及时阻止并报告攻击事件。</w:t>
            </w:r>
          </w:p>
          <w:p w14:paraId="43689B5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23.同时支持Windows、Linux、IBMUnix操作系统的的网页防篡改。</w:t>
            </w:r>
          </w:p>
          <w:p w14:paraId="761DAC6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24.支持对所有安装防篡改客户端的服务器进行集中管理。</w:t>
            </w:r>
          </w:p>
          <w:p w14:paraId="0E29BDC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25.具备独立的审计日志、流量日志、攻击日志、网页防篡改日志、DDoS防护日志及威胁情报日志模块，且支持按不同日志分类进行syslog外发，至少支持字符串和json两种数据格式。</w:t>
            </w:r>
          </w:p>
          <w:p w14:paraId="1626CD8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26.要求攻击日志具备详细的攻击和原始报文摘要。</w:t>
            </w:r>
          </w:p>
          <w:p w14:paraId="3D10E4A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27.要求攻击日志具备一键关联白名单排除策略。</w:t>
            </w:r>
          </w:p>
          <w:p w14:paraId="2E71593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28.支持日志可视化，可对访问日志、攻击日志及安全情报等日志进行二次分析，并通过饼图、曲线图及柱图等对分析结果进行图形化统计。</w:t>
            </w:r>
          </w:p>
          <w:p w14:paraId="537D3BA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29.支持攻击态势大屏实时展示，可通过产品自带的实时态势监测模块进行攻击态势地图展示，包含对源地址、源地域、目标服务器、攻击类型、攻击趋势、流量趋势及实时事件的动画统计。</w:t>
            </w:r>
          </w:p>
          <w:p w14:paraId="2B26E95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30.系统须能够对遭受攻击按照攻击次数、防护的网站、遭受攻击的网页、攻击类型、攻击时间（或者发现攻击的时间）等进行统计并排名。</w:t>
            </w:r>
          </w:p>
          <w:p w14:paraId="7D208BD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31.支持以Word、PDF、HTML等通用格式导出报表。</w:t>
            </w:r>
          </w:p>
          <w:p w14:paraId="37234BF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32.支持SNMP V1 V2 V3，支持SNMP trap。</w:t>
            </w:r>
          </w:p>
          <w:p w14:paraId="266C5FB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33.支持HTTPS、SSH、Console、WebShell多种管理方式。</w:t>
            </w:r>
          </w:p>
          <w:p w14:paraId="38D3576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34.支持硬件bypass功能。</w:t>
            </w:r>
          </w:p>
        </w:tc>
        <w:tc>
          <w:tcPr>
            <w:tcW w:w="763" w:type="dxa"/>
            <w:noWrap w:val="0"/>
            <w:vAlign w:val="center"/>
          </w:tcPr>
          <w:p w14:paraId="3E7BDEC0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73914C1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497BB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0FBD0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34</w:t>
            </w:r>
          </w:p>
        </w:tc>
        <w:tc>
          <w:tcPr>
            <w:tcW w:w="1230" w:type="dxa"/>
            <w:noWrap w:val="0"/>
            <w:vAlign w:val="center"/>
          </w:tcPr>
          <w:p w14:paraId="61537DF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网络日志系统</w:t>
            </w:r>
          </w:p>
        </w:tc>
        <w:tc>
          <w:tcPr>
            <w:tcW w:w="6879" w:type="dxa"/>
            <w:noWrap w:val="0"/>
            <w:vAlign w:val="center"/>
          </w:tcPr>
          <w:p w14:paraId="6149698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1.≥6个千兆电口，≥1个扩展插槽，存储≥1T硬盘。</w:t>
            </w:r>
          </w:p>
          <w:p w14:paraId="148BF06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2.支持旁路部署、桥接模式部署。</w:t>
            </w:r>
          </w:p>
          <w:p w14:paraId="4F8E85A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3.支持WEB管理、SSH管理、Console管理。</w:t>
            </w:r>
          </w:p>
          <w:p w14:paraId="5EF41C2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4.支持管理权限分立，系统默认有超级管理员、审计管理员、只读管理员，可根据需要灵活定制管理员角色。</w:t>
            </w:r>
          </w:p>
          <w:p w14:paraId="50B9DD7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5.支持密码强度、口令尝试死锁、账户激活等安全管理功能。</w:t>
            </w:r>
          </w:p>
          <w:p w14:paraId="2B0FFF0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6.可指定部分IP来网管设备，以限制非法管理员访问设备。</w:t>
            </w:r>
          </w:p>
          <w:p w14:paraId="66678C0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7.支持IPv4、IPv6静态路由功能。</w:t>
            </w:r>
          </w:p>
          <w:p w14:paraId="335D0CF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8.支持物理接口添加子接口功能，支持聚合接口。</w:t>
            </w:r>
          </w:p>
          <w:p w14:paraId="18B6991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9.支持实时查看在线用户的访问网站、搜索引擎、邮件收发、账号登录等上网行为记录。</w:t>
            </w:r>
          </w:p>
          <w:p w14:paraId="0FE4498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10.实时查看当前在用户的详细信息。</w:t>
            </w:r>
          </w:p>
          <w:p w14:paraId="163DEDB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11.支持将各服务分类统计，实时查看服务组流量监控图。</w:t>
            </w:r>
          </w:p>
          <w:p w14:paraId="4DC8898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12.支持查看当前活跃服务的最新速率、最近一小时流量、最近一小时平均速率、每个服务对应有哪些用户在使用，及每个用户的使用情况。</w:t>
            </w:r>
          </w:p>
          <w:p w14:paraId="1850A4D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13.支持基于终端类型，优先级、线路，应用，URL，文件类型，IP，用户组，时间段的流控。</w:t>
            </w:r>
          </w:p>
          <w:p w14:paraId="05885BA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14.支持基于物理接口、用户、用户组、服务、线路、网站访问量、上网时长、网站类型等统计分析。</w:t>
            </w:r>
          </w:p>
          <w:p w14:paraId="551A171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15.支持DoS攻击、IPS、WEB应用防护、病毒查杀、网页URL、会话以及告警等日志。</w:t>
            </w:r>
          </w:p>
          <w:p w14:paraId="1850539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16.支持用户访问的网页标题、网页快照、URL、引擎搜索关键词、邮件收发、IM聊天内容、论坛微博、账号登录、外发文件、外发post、数据库操作、Telnet行为的记录审计。</w:t>
            </w:r>
          </w:p>
          <w:p w14:paraId="0CEE734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17.支持按磁盘百分比、按保留天数、系统硬盘最大化等三种方式进行数据存储。</w:t>
            </w:r>
          </w:p>
        </w:tc>
        <w:tc>
          <w:tcPr>
            <w:tcW w:w="763" w:type="dxa"/>
            <w:noWrap w:val="0"/>
            <w:vAlign w:val="center"/>
          </w:tcPr>
          <w:p w14:paraId="5FD84F1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748BB9E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1FAA7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76A46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1230" w:type="dxa"/>
            <w:noWrap w:val="0"/>
            <w:vAlign w:val="center"/>
          </w:tcPr>
          <w:p w14:paraId="6F99C3E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无线控制器</w:t>
            </w:r>
          </w:p>
        </w:tc>
        <w:tc>
          <w:tcPr>
            <w:tcW w:w="6879" w:type="dxa"/>
            <w:noWrap w:val="0"/>
            <w:vAlign w:val="center"/>
          </w:tcPr>
          <w:p w14:paraId="5C7BA69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1.独立硬件形态。</w:t>
            </w:r>
          </w:p>
          <w:p w14:paraId="3F3B0CB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2.最大管理AP数≥72，本次配备AP管理许可≥8。</w:t>
            </w:r>
          </w:p>
          <w:p w14:paraId="48DD93A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3.支持N+1、N+N及1+1备份冗余机制；支持AC集群部署。</w:t>
            </w:r>
          </w:p>
          <w:p w14:paraId="748E96F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4.交换能力≥360Gbps；包转发速率≥130Mpps。</w:t>
            </w:r>
          </w:p>
          <w:p w14:paraId="162461E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5.固化支持千兆电口≥24个，万兆SFP+端口≥4个。</w:t>
            </w:r>
          </w:p>
          <w:p w14:paraId="6FC5046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6.支持静态路由、RIPv1/v2、OSPF、BGP、VRRP、IGMP v1/v2/v3。</w:t>
            </w:r>
          </w:p>
          <w:p w14:paraId="20A0C27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7.支持CLI、中文web配置页面。</w:t>
            </w:r>
          </w:p>
          <w:p w14:paraId="6D7FFB0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8.支持基于ASIC硬件的IPv6转发方式，支持IPV4/V6双栈、6to4隧道、IPv4 over IPv6 隧道。</w:t>
            </w:r>
          </w:p>
          <w:p w14:paraId="53F3F52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9.支持Portal认证、MAC认证、802.1X认证；支持外部AD、Radius和LDAP认证；支持无感知认证功能。</w:t>
            </w:r>
          </w:p>
          <w:p w14:paraId="3D16C2E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10.AP向AC注册支持AP mac地址认证，支持AP口令密码认证，支持AP、AC双向数字证书的认证 。</w:t>
            </w:r>
          </w:p>
          <w:p w14:paraId="2C6C8EC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11.支持基于SSID和Radio的无线服务定时开启和关闭控制。</w:t>
            </w:r>
          </w:p>
          <w:p w14:paraId="4FF01D9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12.支持对Free Resource免认证即可访问的功能。</w:t>
            </w:r>
          </w:p>
          <w:p w14:paraId="7E001F6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13.实配频谱导航功能，能够自动引导双频无线终端工作在5GHz频段上。</w:t>
            </w:r>
          </w:p>
          <w:p w14:paraId="2A4EBC3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14.实配可进行AP远程抓包功能，并可通过主流第三方的数据包分析工具分析无线数据。</w:t>
            </w:r>
          </w:p>
          <w:p w14:paraId="361C5A6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15.支持对非法AP和假冒AP的检测；支持对客户端的各种管理报文洪泛攻击检测。</w:t>
            </w:r>
          </w:p>
          <w:p w14:paraId="05CC9EC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16.支持AP逃生功能，AP-AC链接断开后AP可继续工作不影响用户使用。</w:t>
            </w:r>
          </w:p>
        </w:tc>
        <w:tc>
          <w:tcPr>
            <w:tcW w:w="763" w:type="dxa"/>
            <w:noWrap w:val="0"/>
            <w:vAlign w:val="center"/>
          </w:tcPr>
          <w:p w14:paraId="69A2AC2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3D82145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54864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41AD9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36</w:t>
            </w:r>
          </w:p>
        </w:tc>
        <w:tc>
          <w:tcPr>
            <w:tcW w:w="1230" w:type="dxa"/>
            <w:noWrap w:val="0"/>
            <w:vAlign w:val="center"/>
          </w:tcPr>
          <w:p w14:paraId="5D8F653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无线AP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879" w:type="dxa"/>
            <w:noWrap w:val="0"/>
            <w:vAlign w:val="center"/>
          </w:tcPr>
          <w:p w14:paraId="16A6B29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1.要求产品形态为室内双频放装式AP，发射功率≥20dBm。</w:t>
            </w:r>
          </w:p>
          <w:p w14:paraId="60D5074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2.可同时工作在802.11a/n/ac、802.11b/g/n模式。</w:t>
            </w:r>
          </w:p>
          <w:p w14:paraId="2263947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3.支持802.11ac wave2的MU-MIMO技术。</w:t>
            </w:r>
          </w:p>
          <w:p w14:paraId="11E5D7A7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4.2.4G射频支持3*3 MIMO，2.4G射频最大速率450Mbps</w:t>
            </w:r>
          </w:p>
          <w:p w14:paraId="6DDA4BA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5.5G射频支持2*2 MIMO，5G射频最大速率867Mbps。</w:t>
            </w:r>
          </w:p>
          <w:p w14:paraId="480C650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6.支持10/100/1000BASE-T 端口≥1个。</w:t>
            </w:r>
          </w:p>
          <w:p w14:paraId="6053ECE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7.提供USB接口，便于扩展蓝牙、物联网、外置存储等应用。</w:t>
            </w:r>
          </w:p>
          <w:p w14:paraId="628439B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8.内置天线设计，支持壁挂、放装、吸顶等安装方式。</w:t>
            </w:r>
          </w:p>
          <w:p w14:paraId="4A1BFEC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9.支持标准PoE（802.3af）供电，并支持本地适配器供电。</w:t>
            </w:r>
          </w:p>
          <w:p w14:paraId="6E7D50A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10.支持SSID数≥32。</w:t>
            </w:r>
          </w:p>
          <w:p w14:paraId="7976AAC3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11.支持FIT/FAT模式可切换。</w:t>
            </w:r>
          </w:p>
          <w:p w14:paraId="5B0B683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12.支持AP逃生功能，AP-AC链接断开后AP可继续工作不影响用户使用。</w:t>
            </w:r>
          </w:p>
          <w:p w14:paraId="3658116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13.AP向AC注册支持AP mac地址认证，支持AP口令密码认证，支持AP、AC双向数字证书的认证 。</w:t>
            </w:r>
          </w:p>
          <w:p w14:paraId="3D959B6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14.支持基于SSID和Radio的无线服务定时开启和关闭控制。</w:t>
            </w:r>
          </w:p>
          <w:p w14:paraId="6BE7209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15.支持wifi定位功能和wifi探针功能。</w:t>
            </w:r>
          </w:p>
          <w:p w14:paraId="3188FAC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16.支持频谱导航功能，能够自动引导双频无线终端工作在5GHz频段上。</w:t>
            </w:r>
          </w:p>
          <w:p w14:paraId="5238075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17.含1个PoE模块。</w:t>
            </w:r>
          </w:p>
        </w:tc>
        <w:tc>
          <w:tcPr>
            <w:tcW w:w="763" w:type="dxa"/>
            <w:noWrap w:val="0"/>
            <w:vAlign w:val="center"/>
          </w:tcPr>
          <w:p w14:paraId="4A02EC9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69FBD67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</w:tr>
      <w:tr w14:paraId="3D917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noWrap w:val="0"/>
            <w:vAlign w:val="center"/>
          </w:tcPr>
          <w:p w14:paraId="40310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1230" w:type="dxa"/>
            <w:noWrap w:val="0"/>
            <w:vAlign w:val="center"/>
          </w:tcPr>
          <w:p w14:paraId="35F322C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堡垒服务器</w:t>
            </w:r>
          </w:p>
        </w:tc>
        <w:tc>
          <w:tcPr>
            <w:tcW w:w="6879" w:type="dxa"/>
            <w:noWrap w:val="0"/>
            <w:vAlign w:val="center"/>
          </w:tcPr>
          <w:p w14:paraId="2D8BE6E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.采用B/S架构，采用全中文管理界面；提供基于Web方式的用户登录、访问、实操、管理等功能。</w:t>
            </w:r>
          </w:p>
          <w:p w14:paraId="1E78FE7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.支持学员、教员、管理员三种角色类型；支持对学员进行分班级、组织管理；对学员的账号信息可进行批量管理。</w:t>
            </w:r>
          </w:p>
          <w:p w14:paraId="43E04E1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.具备学员和教员的私有空间管理，学员私有空间里保存所有上过的课程、提交的实验报告、实验中产生的过程资科等；教员私有空间里包含创建的所有课程、定制的网络场景，每次课程学员提交的实验报告等。</w:t>
            </w:r>
          </w:p>
          <w:p w14:paraId="1F78AA2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.提供学生实验报告集中管理功能，支持查看提交的实验报告以及相应状态、成绩及评语等。</w:t>
            </w:r>
          </w:p>
          <w:p w14:paraId="0145520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.可实时显示当前在线人数、平台总计用户数、学员人数、教员人数、管理员人数、虚拟化资源操作次数，班级数量及平台开启虚拟化资源数量。</w:t>
            </w:r>
          </w:p>
          <w:p w14:paraId="43AA437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.可直观展示平台当前的课程总数、实验数量、题库数量、镜像总数及容器镜像等资源统计数据。</w:t>
            </w:r>
          </w:p>
          <w:p w14:paraId="0F17A32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.支持以仪表盘的方式展现系统资源，展现资源包括内存，CPU，硬盘等。</w:t>
            </w:r>
          </w:p>
          <w:p w14:paraId="18DBD90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.支持通过B/S新建虚拟化资源模板、删除虚拟化资源模板；支持基础镜像、增量镜像的设置；支持导入虚拟化资源模板，可选择镜像重复处理操作；支持导入光盘镜像文件，可选择镜像重复处理操作。</w:t>
            </w:r>
          </w:p>
          <w:p w14:paraId="3FC81DF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支持查看节点运行虚拟机情况，支持查看、关闭、启动、销毁虚拟机功能，可查看信息包含虚拟机节点地址、关联镜像和实验、用户名、端口、MAC地址等；提供远程协助功能，管理员用户可以远程打开、操作学员虚拟机。</w:t>
            </w:r>
          </w:p>
          <w:p w14:paraId="79B78CB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.单台设备至少支持10个独立的虚拟系统的加载，支持10个学员并发使用。</w:t>
            </w:r>
          </w:p>
          <w:p w14:paraId="1729BA7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.平台应基于libvirt虚拟化管理架构，对平台的kvm虚拟化进行统一管理，以满足学校科研需求。</w:t>
            </w:r>
          </w:p>
          <w:p w14:paraId="161A1BB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平台课程应支持设置三级及以上目录，方便选课；每一门课程包含实验、学习指导、课程标准、考核标准等内容；每个实验包含指导书、课程资料等内容；指导包含实验目的、实验原理、实验内容、实验环境描述、实验步骤。</w:t>
            </w:r>
          </w:p>
          <w:p w14:paraId="65F03A84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.支持提供实验讨论功能，确保实验操作过程中教员及管理员可以对学员进行远程解答。</w:t>
            </w:r>
          </w:p>
          <w:p w14:paraId="096154F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.虚拟机操作界面应支持暂停、停止、延时功能，支持截屏、录屏、全屏功能，支持虚拟机与宿主机之间的文件传输。</w:t>
            </w:r>
          </w:p>
          <w:p w14:paraId="3315D49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.虚拟化模式支持学习模式和实践模式，学习模式下虚拟化资源运行在内存中，停止即清除，系统自动回收虚拟资源。</w:t>
            </w:r>
          </w:p>
          <w:p w14:paraId="3FA1572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.课程支持必修课和选修课，管理员可自由对课程内容进行设计；支持按班级、用户、课程进行授权。</w:t>
            </w:r>
          </w:p>
          <w:p w14:paraId="4B2F058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.课程管理支持课程体系的分类设置与管理；支持查看平台所有课程；支持对课程名称、上级分类、课程图片、课程介绍、课程标准、考核标准、教学评价与设计等内容进行编辑、设置。</w:t>
            </w:r>
          </w:p>
          <w:p w14:paraId="5D3E574B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.可查看平台所有实验，包含实验名称、课程编号、讲师、课程管理员、学习人数；支持对实验的知识点、课件等进行编辑；支持实验数据导出，虚拟镜像数据导出。</w:t>
            </w:r>
          </w:p>
          <w:p w14:paraId="12EAAAA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.可以新建实验，设计实验名称、实验编号、课程封面、管理员、学分、学时、课程分类、权限、讲师等内容。</w:t>
            </w:r>
          </w:p>
          <w:p w14:paraId="313458D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.支持查看平台所有用户、课程、实验的调度信息；支持学员对课程进行评价和反馈，后台可对反馈进行查看和管理。</w:t>
            </w:r>
          </w:p>
          <w:p w14:paraId="1F3D04FF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.支持对学员实验报告的查看、批改、评阅等操作，提供截屏管理、录屏管理功能，支持对截屏、录屏信息进行查看、删除等操作。</w:t>
            </w:r>
          </w:p>
          <w:p w14:paraId="45AFA3D9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.操作系统方面实验课程，至少包含24个Linux操作系统实验课程，包含7个iptables实验课程。</w:t>
            </w:r>
          </w:p>
          <w:p w14:paraId="5445D178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.数据库方面实验课程，至少包含17个MySQL数据库基础实验课程，19个SQLServer数据库基础实验课程。</w:t>
            </w:r>
          </w:p>
          <w:p w14:paraId="1E69187D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.编程语言方面实验课程，至少包含30个Python3编程基础实验课程， 25个C语言基础实验课程。</w:t>
            </w:r>
          </w:p>
          <w:p w14:paraId="0903CD6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.木马病毒与分析方面实验课程，至少包含14个恶意代码分析实验课程，20个病毒分析与防护实验课程。</w:t>
            </w:r>
          </w:p>
          <w:p w14:paraId="5EDBD575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.工具使用方面实验课程，课程至少要涵盖目标主机扫描、Kali渗透、wireshark工具使用、Nmap工具使用、sqlmap工具使用、漏洞扫描与利用等方面，课时设计不少于60个。</w:t>
            </w:r>
          </w:p>
          <w:p w14:paraId="4D01276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.密码学方面实验课程，课程至少要涵盖密码学，应用密码学等内容，课时设计不少于30个。</w:t>
            </w:r>
          </w:p>
          <w:p w14:paraId="228910F2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.安全配置与加固方面实验课程，课程至少要涵盖系统安全配置与加固课程，数据库安全配置与加固课程，入侵检测技术课程等内容，课时设计不少于27个。</w:t>
            </w:r>
          </w:p>
          <w:p w14:paraId="23570D6A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.WEB安全方面实验课程，课程至少涵盖SQL注入漏洞、命令执行漏洞、文件包含漏洞、OWASP Web漏洞、文件上传漏洞、XSS跨站脚本攻击、网站综合漏洞渗透、逻辑漏洞等内容，课时设计不少于70个。</w:t>
            </w:r>
          </w:p>
          <w:p w14:paraId="2E137D36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.内网渗透方面实验课程，课程至少涵盖Meterpreter使用、综合渗透、隧道代理等内容，课时设计不少于25个。</w:t>
            </w:r>
          </w:p>
          <w:p w14:paraId="387F8F0E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.代码审计方面实验课程，课程至少涵盖PHP代码审计，课时设计不少于10个。</w:t>
            </w:r>
          </w:p>
          <w:p w14:paraId="39207A01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.平台配置：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采用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多核平台，内存≥64G，千兆电口≥2个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SSD盘≥2TB。</w:t>
            </w:r>
          </w:p>
        </w:tc>
        <w:tc>
          <w:tcPr>
            <w:tcW w:w="763" w:type="dxa"/>
            <w:noWrap w:val="0"/>
            <w:vAlign w:val="center"/>
          </w:tcPr>
          <w:p w14:paraId="12F4AB6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6D7ACCA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</w:tr>
    </w:tbl>
    <w:p w14:paraId="0C4164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iYzQ2ZDY4NWM4M2FjYTIyZGE3OTEwZTUzYzgxN2IifQ=="/>
  </w:docVars>
  <w:rsids>
    <w:rsidRoot w:val="5CDC680C"/>
    <w:rsid w:val="1AB73573"/>
    <w:rsid w:val="270818CC"/>
    <w:rsid w:val="5CDC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5">
    <w:name w:val="heading 3"/>
    <w:basedOn w:val="1"/>
    <w:next w:val="1"/>
    <w:qFormat/>
    <w:uiPriority w:val="0"/>
    <w:pPr>
      <w:keepNext/>
      <w:keepLines/>
      <w:outlineLvl w:val="2"/>
    </w:pPr>
    <w:rPr>
      <w:rFonts w:ascii="Times New Roman" w:hAnsi="Times New Roman" w:eastAsia="仿宋" w:cs="Times New Roman"/>
      <w:b/>
      <w:bCs/>
      <w:kern w:val="0"/>
      <w:sz w:val="30"/>
      <w:szCs w:val="20"/>
      <w:lang w:val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jc w:val="center"/>
      <w:outlineLvl w:val="0"/>
    </w:pPr>
    <w:rPr>
      <w:rFonts w:ascii="楷体_GB2312" w:eastAsia="仿宋_GB2312"/>
      <w:sz w:val="3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6">
    <w:name w:val="Title"/>
    <w:basedOn w:val="1"/>
    <w:next w:val="1"/>
    <w:qFormat/>
    <w:uiPriority w:val="0"/>
    <w:pPr>
      <w:widowControl/>
      <w:jc w:val="center"/>
      <w:outlineLvl w:val="0"/>
    </w:pPr>
    <w:rPr>
      <w:rFonts w:ascii="Cambria" w:hAnsi="Cambria" w:eastAsia="微软雅黑"/>
      <w:b/>
      <w:bCs/>
      <w:kern w:val="28"/>
      <w:sz w:val="44"/>
      <w:szCs w:val="20"/>
      <w:lang w:eastAsia="en-US" w:bidi="en-US"/>
    </w:rPr>
  </w:style>
  <w:style w:type="table" w:styleId="8">
    <w:name w:val="Table Grid"/>
    <w:basedOn w:val="7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0">
    <w:name w:val="*正文"/>
    <w:basedOn w:val="1"/>
    <w:next w:val="1"/>
    <w:qFormat/>
    <w:uiPriority w:val="0"/>
    <w:pPr>
      <w:widowControl/>
      <w:ind w:firstLine="482"/>
    </w:pPr>
    <w:rPr>
      <w:rFonts w:ascii="微软雅黑" w:hAnsi="微软雅黑" w:eastAsia="微软雅黑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2024-07-17T09:31:00Z</dcterms:created>
  <dc:creator>河南省通力建设工程咨询有限公司:闫信强</dc:creator>
  <cp:lastModifiedBy>河南省通力建设工程咨询有限公司:闫信强</cp:lastModifiedBy>
  <dcterms:modified xsi:type="dcterms:W3CDTF">2024-07-17T09:32:10Z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FFD0DEE74F314D45872675FBF2A48BF4_11</vt:lpwstr>
  </property>
</Properties>
</file>