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403114">
      <w:pPr>
        <w:spacing w:line="360" w:lineRule="auto"/>
        <w:rPr>
          <w:rFonts w:ascii="宋体" w:hAnsi="宋体" w:eastAsia="宋体" w:cs="宋体"/>
          <w:color w:val="000000" w:themeColor="text1"/>
          <w:sz w:val="24"/>
          <w:szCs w:val="24"/>
          <w14:textFill>
            <w14:solidFill>
              <w14:schemeClr w14:val="tx1"/>
            </w14:solidFill>
          </w14:textFill>
        </w:rPr>
      </w:pPr>
      <w:r>
        <w:rPr>
          <w:rFonts w:hint="eastAsia" w:ascii="黑体" w:hAnsi="黑体" w:eastAsia="黑体"/>
          <w:b/>
          <w:color w:val="000000" w:themeColor="text1"/>
          <w:sz w:val="52"/>
          <w:szCs w:val="52"/>
          <w14:textFill>
            <w14:solidFill>
              <w14:schemeClr w14:val="tx1"/>
            </w14:solidFill>
          </w14:textFill>
        </w:rPr>
        <w:drawing>
          <wp:anchor distT="0" distB="0" distL="114300" distR="114300" simplePos="0" relativeHeight="251659264" behindDoc="0" locked="0" layoutInCell="1" allowOverlap="1">
            <wp:simplePos x="0" y="0"/>
            <wp:positionH relativeFrom="column">
              <wp:posOffset>-856615</wp:posOffset>
            </wp:positionH>
            <wp:positionV relativeFrom="paragraph">
              <wp:posOffset>-640715</wp:posOffset>
            </wp:positionV>
            <wp:extent cx="7075805" cy="10007600"/>
            <wp:effectExtent l="0" t="0" r="10795" b="12700"/>
            <wp:wrapSquare wrapText="bothSides"/>
            <wp:docPr id="6" name="图片 6" descr="B包-豫财招标采购-2024-1543-B签字盖章完整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包-豫财招标采购-2024-1543-B签字盖章完整版_00"/>
                    <pic:cNvPicPr>
                      <a:picLocks noChangeAspect="1"/>
                    </pic:cNvPicPr>
                  </pic:nvPicPr>
                  <pic:blipFill>
                    <a:blip r:embed="rId5"/>
                    <a:stretch>
                      <a:fillRect/>
                    </a:stretch>
                  </pic:blipFill>
                  <pic:spPr>
                    <a:xfrm>
                      <a:off x="0" y="0"/>
                      <a:ext cx="7075805" cy="10007600"/>
                    </a:xfrm>
                    <a:prstGeom prst="rect">
                      <a:avLst/>
                    </a:prstGeom>
                  </pic:spPr>
                </pic:pic>
              </a:graphicData>
            </a:graphic>
          </wp:anchor>
        </w:drawing>
      </w:r>
    </w:p>
    <w:tbl>
      <w:tblPr>
        <w:tblStyle w:val="8"/>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6419"/>
        <w:gridCol w:w="1131"/>
      </w:tblGrid>
      <w:tr w14:paraId="5239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092" w:type="dxa"/>
            <w:tcBorders>
              <w:top w:val="single" w:color="auto" w:sz="4" w:space="0"/>
              <w:left w:val="single" w:color="auto" w:sz="4" w:space="0"/>
              <w:bottom w:val="single" w:color="auto" w:sz="4" w:space="0"/>
              <w:right w:val="single" w:color="auto" w:sz="4" w:space="0"/>
            </w:tcBorders>
            <w:vAlign w:val="center"/>
          </w:tcPr>
          <w:p w14:paraId="75A1909D">
            <w:pPr>
              <w:spacing w:line="360" w:lineRule="auto"/>
              <w:rPr>
                <w:rFonts w:ascii="宋体" w:hAnsi="宋体" w:eastAsia="宋体"/>
                <w:color w:val="000000" w:themeColor="text1"/>
                <w:szCs w:val="21"/>
                <w14:textFill>
                  <w14:solidFill>
                    <w14:schemeClr w14:val="tx1"/>
                  </w14:solidFill>
                </w14:textFill>
              </w:rPr>
            </w:pPr>
            <w:r>
              <w:rPr>
                <w:rFonts w:hint="eastAsia" w:ascii="Tahoma" w:hAnsi="Tahoma" w:eastAsia="宋体" w:cs="Tahoma"/>
                <w:b/>
                <w:color w:val="000000" w:themeColor="text1"/>
                <w:sz w:val="24"/>
                <w:szCs w:val="24"/>
                <w14:textFill>
                  <w14:solidFill>
                    <w14:schemeClr w14:val="tx1"/>
                  </w14:solidFill>
                </w14:textFill>
              </w:rPr>
              <w:t xml:space="preserve"> </w:t>
            </w:r>
            <w:r>
              <w:rPr>
                <w:rFonts w:hint="eastAsia" w:ascii="宋体" w:hAnsi="宋体" w:eastAsia="宋体"/>
                <w:color w:val="000000" w:themeColor="text1"/>
                <w:szCs w:val="21"/>
                <w14:textFill>
                  <w14:solidFill>
                    <w14:schemeClr w14:val="tx1"/>
                  </w14:solidFill>
                </w14:textFill>
              </w:rPr>
              <w:t>备注</w:t>
            </w:r>
          </w:p>
        </w:tc>
        <w:tc>
          <w:tcPr>
            <w:tcW w:w="6419" w:type="dxa"/>
            <w:tcBorders>
              <w:top w:val="single" w:color="auto" w:sz="4" w:space="0"/>
              <w:left w:val="single" w:color="auto" w:sz="4" w:space="0"/>
              <w:bottom w:val="single" w:color="auto" w:sz="4" w:space="0"/>
              <w:right w:val="single" w:color="auto" w:sz="4" w:space="0"/>
            </w:tcBorders>
            <w:vAlign w:val="center"/>
          </w:tcPr>
          <w:p w14:paraId="5235CA59">
            <w:pPr>
              <w:jc w:val="center"/>
              <w:rPr>
                <w:rFonts w:ascii="宋体" w:hAnsi="宋体" w:eastAsia="宋体"/>
                <w:color w:val="000000" w:themeColor="text1"/>
                <w:szCs w:val="21"/>
                <w14:textFill>
                  <w14:solidFill>
                    <w14:schemeClr w14:val="tx1"/>
                  </w14:solidFill>
                </w14:textFill>
              </w:rPr>
            </w:pPr>
          </w:p>
        </w:tc>
        <w:tc>
          <w:tcPr>
            <w:tcW w:w="1131" w:type="dxa"/>
            <w:tcBorders>
              <w:top w:val="single" w:color="auto" w:sz="4" w:space="0"/>
              <w:left w:val="single" w:color="auto" w:sz="4" w:space="0"/>
              <w:bottom w:val="single" w:color="auto" w:sz="4" w:space="0"/>
              <w:right w:val="single" w:color="auto" w:sz="4" w:space="0"/>
            </w:tcBorders>
          </w:tcPr>
          <w:p w14:paraId="74A0A726">
            <w:pPr>
              <w:jc w:val="center"/>
              <w:rPr>
                <w:rFonts w:ascii="宋体" w:hAnsi="宋体" w:eastAsia="宋体"/>
                <w:b/>
                <w:bCs/>
                <w:color w:val="000000" w:themeColor="text1"/>
                <w:szCs w:val="21"/>
                <w14:textFill>
                  <w14:solidFill>
                    <w14:schemeClr w14:val="tx1"/>
                  </w14:solidFill>
                </w14:textFill>
              </w:rPr>
            </w:pPr>
          </w:p>
        </w:tc>
      </w:tr>
    </w:tbl>
    <w:p w14:paraId="7BA99EF4">
      <w:pPr>
        <w:spacing w:line="360" w:lineRule="auto"/>
        <w:rPr>
          <w:rFonts w:ascii="Tahoma" w:hAnsi="Tahoma" w:eastAsia="宋体" w:cs="Tahoma"/>
          <w:b/>
          <w:color w:val="000000" w:themeColor="text1"/>
          <w:sz w:val="24"/>
          <w:szCs w:val="24"/>
          <w14:textFill>
            <w14:solidFill>
              <w14:schemeClr w14:val="tx1"/>
            </w14:solidFill>
          </w14:textFill>
        </w:rPr>
      </w:pPr>
      <w:r>
        <w:rPr>
          <w:rFonts w:hint="eastAsia" w:ascii="Tahoma" w:hAnsi="Tahoma" w:eastAsia="宋体" w:cs="Tahoma"/>
          <w:b/>
          <w:color w:val="000000" w:themeColor="text1"/>
          <w:sz w:val="24"/>
          <w:szCs w:val="24"/>
          <w14:textFill>
            <w14:solidFill>
              <w14:schemeClr w14:val="tx1"/>
            </w14:solidFill>
          </w14:textFill>
        </w:rPr>
        <w:t>（2）</w:t>
      </w:r>
      <w:r>
        <w:rPr>
          <w:rFonts w:hint="eastAsia" w:ascii="宋体" w:hAnsi="宋体" w:eastAsia="宋体" w:cs="Tahoma"/>
          <w:b/>
          <w:color w:val="000000" w:themeColor="text1"/>
          <w:sz w:val="24"/>
          <w:szCs w:val="24"/>
          <w14:textFill>
            <w14:solidFill>
              <w14:schemeClr w14:val="tx1"/>
            </w14:solidFill>
          </w14:textFill>
        </w:rPr>
        <w:t>清单</w:t>
      </w:r>
      <w:r>
        <w:rPr>
          <w:rFonts w:hint="eastAsia" w:ascii="Tahoma" w:hAnsi="Tahoma" w:eastAsia="宋体" w:cs="Tahoma"/>
          <w:b/>
          <w:color w:val="000000" w:themeColor="text1"/>
          <w:sz w:val="24"/>
          <w:szCs w:val="24"/>
          <w14:textFill>
            <w14:solidFill>
              <w14:schemeClr w14:val="tx1"/>
            </w14:solidFill>
          </w14:textFill>
        </w:rPr>
        <w:t>2</w:t>
      </w:r>
      <w:r>
        <w:rPr>
          <w:rFonts w:hint="eastAsia" w:ascii="宋体" w:hAnsi="宋体" w:eastAsia="宋体" w:cs="Tahoma"/>
          <w:b/>
          <w:color w:val="000000" w:themeColor="text1"/>
          <w:sz w:val="24"/>
          <w:szCs w:val="24"/>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非</w:t>
      </w:r>
      <w:r>
        <w:rPr>
          <w:rFonts w:ascii="宋体" w:hAnsi="宋体" w:eastAsia="宋体" w:cs="Tahoma"/>
          <w:b/>
          <w:color w:val="000000" w:themeColor="text1"/>
          <w:sz w:val="24"/>
          <w:szCs w:val="24"/>
          <w14:textFill>
            <w14:solidFill>
              <w14:schemeClr w14:val="tx1"/>
            </w14:solidFill>
          </w14:textFill>
        </w:rPr>
        <w:t>免税</w:t>
      </w:r>
      <w:r>
        <w:rPr>
          <w:rFonts w:hint="eastAsia" w:ascii="宋体" w:hAnsi="宋体" w:eastAsia="宋体" w:cs="Tahoma"/>
          <w:b/>
          <w:color w:val="000000" w:themeColor="text1"/>
          <w:sz w:val="24"/>
          <w:szCs w:val="24"/>
          <w14:textFill>
            <w14:solidFill>
              <w14:schemeClr w14:val="tx1"/>
            </w14:solidFill>
          </w14:textFill>
        </w:rPr>
        <w:t>货物</w:t>
      </w:r>
      <w:r>
        <w:rPr>
          <w:rFonts w:hint="eastAsia" w:ascii="Tahoma" w:hAnsi="Tahoma" w:eastAsia="宋体" w:cs="Tahoma"/>
          <w:b/>
          <w:color w:val="000000" w:themeColor="text1"/>
          <w:sz w:val="24"/>
          <w:szCs w:val="24"/>
          <w14:textFill>
            <w14:solidFill>
              <w14:schemeClr w14:val="tx1"/>
            </w14:solidFill>
          </w14:textFill>
        </w:rPr>
        <w:t xml:space="preserve">                                       单位：元</w:t>
      </w:r>
    </w:p>
    <w:tbl>
      <w:tblPr>
        <w:tblStyle w:val="8"/>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187"/>
        <w:gridCol w:w="1425"/>
        <w:gridCol w:w="1360"/>
        <w:gridCol w:w="653"/>
        <w:gridCol w:w="450"/>
        <w:gridCol w:w="425"/>
        <w:gridCol w:w="1162"/>
        <w:gridCol w:w="1238"/>
        <w:gridCol w:w="1214"/>
      </w:tblGrid>
      <w:tr w14:paraId="2F1A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3543EEFA">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序号</w:t>
            </w:r>
          </w:p>
        </w:tc>
        <w:tc>
          <w:tcPr>
            <w:tcW w:w="1187" w:type="dxa"/>
            <w:tcBorders>
              <w:top w:val="single" w:color="auto" w:sz="4" w:space="0"/>
              <w:left w:val="single" w:color="auto" w:sz="4" w:space="0"/>
              <w:bottom w:val="single" w:color="auto" w:sz="4" w:space="0"/>
              <w:right w:val="single" w:color="auto" w:sz="4" w:space="0"/>
            </w:tcBorders>
            <w:vAlign w:val="center"/>
          </w:tcPr>
          <w:p w14:paraId="0A33BBE0">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货物名称</w:t>
            </w:r>
          </w:p>
        </w:tc>
        <w:tc>
          <w:tcPr>
            <w:tcW w:w="1425" w:type="dxa"/>
            <w:tcBorders>
              <w:top w:val="single" w:color="auto" w:sz="4" w:space="0"/>
              <w:left w:val="single" w:color="auto" w:sz="4" w:space="0"/>
              <w:bottom w:val="single" w:color="auto" w:sz="4" w:space="0"/>
              <w:right w:val="single" w:color="auto" w:sz="4" w:space="0"/>
            </w:tcBorders>
            <w:vAlign w:val="center"/>
          </w:tcPr>
          <w:p w14:paraId="7DBB25B0">
            <w:pPr>
              <w:widowControl/>
              <w:jc w:val="center"/>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品牌/制造商</w:t>
            </w:r>
          </w:p>
        </w:tc>
        <w:tc>
          <w:tcPr>
            <w:tcW w:w="1360" w:type="dxa"/>
            <w:tcBorders>
              <w:top w:val="single" w:color="auto" w:sz="4" w:space="0"/>
              <w:left w:val="single" w:color="auto" w:sz="4" w:space="0"/>
              <w:bottom w:val="single" w:color="auto" w:sz="4" w:space="0"/>
              <w:right w:val="single" w:color="auto" w:sz="4" w:space="0"/>
            </w:tcBorders>
            <w:vAlign w:val="center"/>
          </w:tcPr>
          <w:p w14:paraId="0FA1BC50">
            <w:pPr>
              <w:widowControl/>
              <w:jc w:val="center"/>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型号规格</w:t>
            </w:r>
          </w:p>
        </w:tc>
        <w:tc>
          <w:tcPr>
            <w:tcW w:w="653" w:type="dxa"/>
            <w:tcBorders>
              <w:top w:val="single" w:color="auto" w:sz="4" w:space="0"/>
              <w:left w:val="single" w:color="auto" w:sz="4" w:space="0"/>
              <w:bottom w:val="single" w:color="auto" w:sz="4" w:space="0"/>
              <w:right w:val="single" w:color="auto" w:sz="4" w:space="0"/>
            </w:tcBorders>
            <w:vAlign w:val="center"/>
          </w:tcPr>
          <w:p w14:paraId="4AC207C7">
            <w:pPr>
              <w:widowControl/>
              <w:jc w:val="center"/>
              <w:rPr>
                <w:rFonts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原产地</w:t>
            </w:r>
          </w:p>
        </w:tc>
        <w:tc>
          <w:tcPr>
            <w:tcW w:w="450" w:type="dxa"/>
            <w:tcBorders>
              <w:top w:val="single" w:color="auto" w:sz="4" w:space="0"/>
              <w:left w:val="single" w:color="auto" w:sz="4" w:space="0"/>
              <w:bottom w:val="single" w:color="auto" w:sz="4" w:space="0"/>
              <w:right w:val="single" w:color="auto" w:sz="4" w:space="0"/>
            </w:tcBorders>
            <w:vAlign w:val="center"/>
          </w:tcPr>
          <w:p w14:paraId="10B13869">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单</w:t>
            </w:r>
          </w:p>
          <w:p w14:paraId="79CDC2D2">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位</w:t>
            </w:r>
          </w:p>
        </w:tc>
        <w:tc>
          <w:tcPr>
            <w:tcW w:w="425" w:type="dxa"/>
            <w:tcBorders>
              <w:top w:val="single" w:color="auto" w:sz="4" w:space="0"/>
              <w:left w:val="single" w:color="auto" w:sz="4" w:space="0"/>
              <w:bottom w:val="single" w:color="auto" w:sz="4" w:space="0"/>
              <w:right w:val="single" w:color="auto" w:sz="4" w:space="0"/>
            </w:tcBorders>
            <w:vAlign w:val="center"/>
          </w:tcPr>
          <w:p w14:paraId="65B7F8B5">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数</w:t>
            </w:r>
          </w:p>
          <w:p w14:paraId="5DCD32DC">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量</w:t>
            </w:r>
          </w:p>
        </w:tc>
        <w:tc>
          <w:tcPr>
            <w:tcW w:w="1162" w:type="dxa"/>
            <w:tcBorders>
              <w:top w:val="single" w:color="auto" w:sz="4" w:space="0"/>
              <w:left w:val="single" w:color="auto" w:sz="4" w:space="0"/>
              <w:bottom w:val="single" w:color="auto" w:sz="4" w:space="0"/>
              <w:right w:val="single" w:color="auto" w:sz="4" w:space="0"/>
            </w:tcBorders>
            <w:vAlign w:val="center"/>
          </w:tcPr>
          <w:p w14:paraId="24250C79">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单价</w:t>
            </w:r>
          </w:p>
          <w:p w14:paraId="3C5C3CAC">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（RMB）</w:t>
            </w:r>
          </w:p>
        </w:tc>
        <w:tc>
          <w:tcPr>
            <w:tcW w:w="1238" w:type="dxa"/>
            <w:tcBorders>
              <w:top w:val="single" w:color="auto" w:sz="4" w:space="0"/>
              <w:left w:val="single" w:color="auto" w:sz="4" w:space="0"/>
              <w:bottom w:val="single" w:color="auto" w:sz="4" w:space="0"/>
              <w:right w:val="single" w:color="auto" w:sz="4" w:space="0"/>
            </w:tcBorders>
            <w:vAlign w:val="center"/>
          </w:tcPr>
          <w:p w14:paraId="39906D99">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小计</w:t>
            </w:r>
          </w:p>
          <w:p w14:paraId="74C95B9F">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（RMB）</w:t>
            </w:r>
          </w:p>
        </w:tc>
        <w:tc>
          <w:tcPr>
            <w:tcW w:w="1214" w:type="dxa"/>
            <w:tcBorders>
              <w:top w:val="single" w:color="auto" w:sz="4" w:space="0"/>
              <w:left w:val="single" w:color="auto" w:sz="4" w:space="0"/>
              <w:bottom w:val="single" w:color="auto" w:sz="4" w:space="0"/>
              <w:right w:val="single" w:color="auto" w:sz="4" w:space="0"/>
            </w:tcBorders>
            <w:vAlign w:val="center"/>
          </w:tcPr>
          <w:p w14:paraId="6BCCE92E">
            <w:pPr>
              <w:spacing w:line="440" w:lineRule="exact"/>
              <w:jc w:val="center"/>
              <w:rPr>
                <w:rFonts w:ascii="宋体" w:hAnsi="宋体" w:eastAsia="宋体"/>
                <w:color w:val="000000" w:themeColor="text1"/>
                <w:szCs w:val="21"/>
                <w14:textFill>
                  <w14:solidFill>
                    <w14:schemeClr w14:val="tx1"/>
                  </w14:solidFill>
                </w14:textFill>
              </w:rPr>
            </w:pPr>
            <w:r>
              <w:rPr>
                <w:rFonts w:hint="eastAsia" w:ascii="宋体" w:hAnsi="宋体" w:eastAsia="宋体"/>
                <w:bCs/>
                <w:color w:val="000000" w:themeColor="text1"/>
                <w:szCs w:val="21"/>
                <w14:textFill>
                  <w14:solidFill>
                    <w14:schemeClr w14:val="tx1"/>
                  </w14:solidFill>
                </w14:textFill>
              </w:rPr>
              <w:t>交货时间</w:t>
            </w:r>
          </w:p>
        </w:tc>
      </w:tr>
      <w:tr w14:paraId="3AFB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2766308D">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166156E9">
            <w:pPr>
              <w:pStyle w:val="12"/>
              <w:widowControl/>
              <w:kinsoku w:val="0"/>
              <w:autoSpaceDE w:val="0"/>
              <w:autoSpaceDN w:val="0"/>
              <w:adjustRightInd w:val="0"/>
              <w:snapToGrid w:val="0"/>
              <w:jc w:val="center"/>
              <w:textAlignment w:val="baseline"/>
              <w:rPr>
                <w:sz w:val="21"/>
                <w:szCs w:val="21"/>
                <w:lang w:eastAsia="zh-CN"/>
              </w:rPr>
            </w:pPr>
            <w:r>
              <w:rPr>
                <w:rFonts w:hint="eastAsia"/>
                <w:sz w:val="21"/>
                <w:szCs w:val="21"/>
                <w:lang w:eastAsia="zh-CN"/>
              </w:rPr>
              <w:t>液相色谱仪（1）</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F4FD946">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岛津/岛津仪器（苏州）有限公司</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254F27DA">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LC2050</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8B88C5E">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中国</w:t>
            </w:r>
          </w:p>
        </w:tc>
        <w:tc>
          <w:tcPr>
            <w:tcW w:w="450" w:type="dxa"/>
            <w:tcBorders>
              <w:top w:val="single" w:color="auto" w:sz="4" w:space="0"/>
              <w:left w:val="single" w:color="auto" w:sz="4" w:space="0"/>
              <w:bottom w:val="single" w:color="auto" w:sz="4" w:space="0"/>
              <w:right w:val="single" w:color="auto" w:sz="4" w:space="0"/>
            </w:tcBorders>
            <w:shd w:val="clear" w:color="auto" w:fill="auto"/>
            <w:vAlign w:val="center"/>
          </w:tcPr>
          <w:p w14:paraId="0AEDD881">
            <w:pPr>
              <w:widowControl/>
              <w:jc w:val="center"/>
              <w:textAlignment w:val="center"/>
              <w:rPr>
                <w:rFonts w:ascii="宋体" w:hAnsi="宋体" w:eastAsia="宋体" w:cs="宋体"/>
                <w:color w:val="000000"/>
                <w:szCs w:val="21"/>
              </w:rPr>
            </w:pPr>
            <w:r>
              <w:rPr>
                <w:rFonts w:hint="eastAsia" w:ascii="宋体" w:hAnsi="宋体" w:eastAsia="宋体" w:cs="宋体"/>
                <w:color w:val="000000"/>
                <w:szCs w:val="21"/>
              </w:rPr>
              <w:t>套</w:t>
            </w:r>
          </w:p>
        </w:tc>
        <w:tc>
          <w:tcPr>
            <w:tcW w:w="425" w:type="dxa"/>
            <w:tcBorders>
              <w:top w:val="single" w:color="auto" w:sz="4" w:space="0"/>
              <w:left w:val="single" w:color="auto" w:sz="4" w:space="0"/>
              <w:bottom w:val="single" w:color="auto" w:sz="4" w:space="0"/>
              <w:right w:val="single" w:color="auto" w:sz="4" w:space="0"/>
            </w:tcBorders>
            <w:vAlign w:val="center"/>
          </w:tcPr>
          <w:p w14:paraId="619784FC">
            <w:pPr>
              <w:jc w:val="center"/>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1</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14:paraId="0CD59343">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430000.00</w:t>
            </w:r>
          </w:p>
        </w:tc>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14:paraId="787F3167">
            <w:pPr>
              <w:widowControl/>
              <w:spacing w:line="360" w:lineRule="auto"/>
              <w:jc w:val="center"/>
              <w:rPr>
                <w:rFonts w:ascii="宋体" w:hAnsi="宋体" w:eastAsia="宋体" w:cs="宋体"/>
                <w:color w:val="000000"/>
                <w:kern w:val="0"/>
                <w:szCs w:val="21"/>
                <w:lang w:val="de-DE"/>
              </w:rPr>
            </w:pPr>
            <w:r>
              <w:rPr>
                <w:rFonts w:hint="eastAsia" w:ascii="宋体" w:hAnsi="宋体" w:eastAsia="宋体" w:cs="宋体"/>
                <w:color w:val="000000"/>
                <w:kern w:val="0"/>
                <w:szCs w:val="21"/>
              </w:rPr>
              <w:t>430000.00</w:t>
            </w:r>
          </w:p>
        </w:tc>
        <w:tc>
          <w:tcPr>
            <w:tcW w:w="1214" w:type="dxa"/>
            <w:tcBorders>
              <w:top w:val="single" w:color="auto" w:sz="4" w:space="0"/>
              <w:left w:val="single" w:color="auto" w:sz="4" w:space="0"/>
              <w:bottom w:val="single" w:color="auto" w:sz="4" w:space="0"/>
              <w:right w:val="single" w:color="auto" w:sz="4" w:space="0"/>
            </w:tcBorders>
            <w:vAlign w:val="center"/>
          </w:tcPr>
          <w:p w14:paraId="429721DF">
            <w:pPr>
              <w:spacing w:line="440" w:lineRule="exact"/>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签订合同后45天内</w:t>
            </w:r>
          </w:p>
        </w:tc>
      </w:tr>
      <w:tr w14:paraId="6FFD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53C99D7D">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78AB9E19">
            <w:pPr>
              <w:pStyle w:val="12"/>
              <w:widowControl/>
              <w:kinsoku w:val="0"/>
              <w:autoSpaceDE w:val="0"/>
              <w:autoSpaceDN w:val="0"/>
              <w:adjustRightInd w:val="0"/>
              <w:snapToGrid w:val="0"/>
              <w:jc w:val="center"/>
              <w:textAlignment w:val="baseline"/>
              <w:rPr>
                <w:sz w:val="21"/>
                <w:szCs w:val="21"/>
                <w:lang w:eastAsia="zh-CN"/>
              </w:rPr>
            </w:pPr>
            <w:r>
              <w:rPr>
                <w:rFonts w:hint="eastAsia"/>
                <w:sz w:val="21"/>
                <w:szCs w:val="21"/>
                <w:lang w:eastAsia="zh-CN"/>
              </w:rPr>
              <w:t>液相色谱仪（2）</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6ADD0F2E">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安捷伦/安捷伦科技（中国）有限公司</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3D9C3958">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1260 Infinity III</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D50B285">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中国</w:t>
            </w:r>
          </w:p>
        </w:tc>
        <w:tc>
          <w:tcPr>
            <w:tcW w:w="450" w:type="dxa"/>
            <w:tcBorders>
              <w:top w:val="single" w:color="auto" w:sz="4" w:space="0"/>
              <w:left w:val="single" w:color="auto" w:sz="4" w:space="0"/>
              <w:bottom w:val="single" w:color="auto" w:sz="4" w:space="0"/>
              <w:right w:val="single" w:color="auto" w:sz="4" w:space="0"/>
            </w:tcBorders>
            <w:shd w:val="clear" w:color="auto" w:fill="auto"/>
            <w:vAlign w:val="center"/>
          </w:tcPr>
          <w:p w14:paraId="0BDD7216">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szCs w:val="21"/>
              </w:rPr>
              <w:t>套</w:t>
            </w:r>
          </w:p>
        </w:tc>
        <w:tc>
          <w:tcPr>
            <w:tcW w:w="425" w:type="dxa"/>
            <w:tcBorders>
              <w:top w:val="single" w:color="auto" w:sz="4" w:space="0"/>
              <w:left w:val="single" w:color="auto" w:sz="4" w:space="0"/>
              <w:bottom w:val="single" w:color="auto" w:sz="4" w:space="0"/>
              <w:right w:val="single" w:color="auto" w:sz="4" w:space="0"/>
            </w:tcBorders>
            <w:vAlign w:val="center"/>
          </w:tcPr>
          <w:p w14:paraId="496E5A55">
            <w:pPr>
              <w:jc w:val="center"/>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1</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14:paraId="298C4C64">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470000.00</w:t>
            </w:r>
          </w:p>
        </w:tc>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14:paraId="065B662F">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470000.00</w:t>
            </w:r>
          </w:p>
        </w:tc>
        <w:tc>
          <w:tcPr>
            <w:tcW w:w="1214" w:type="dxa"/>
            <w:tcBorders>
              <w:top w:val="single" w:color="auto" w:sz="4" w:space="0"/>
              <w:left w:val="single" w:color="auto" w:sz="4" w:space="0"/>
              <w:bottom w:val="single" w:color="auto" w:sz="4" w:space="0"/>
              <w:right w:val="single" w:color="auto" w:sz="4" w:space="0"/>
            </w:tcBorders>
            <w:vAlign w:val="center"/>
          </w:tcPr>
          <w:p w14:paraId="7B6BC1FB">
            <w:pPr>
              <w:spacing w:line="440" w:lineRule="exact"/>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签订合同后45天内</w:t>
            </w:r>
          </w:p>
        </w:tc>
      </w:tr>
      <w:tr w14:paraId="3C7D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74E6EE12">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14:paraId="5A4815B5">
            <w:pPr>
              <w:pStyle w:val="12"/>
              <w:widowControl/>
              <w:kinsoku w:val="0"/>
              <w:autoSpaceDE w:val="0"/>
              <w:autoSpaceDN w:val="0"/>
              <w:adjustRightInd w:val="0"/>
              <w:snapToGrid w:val="0"/>
              <w:jc w:val="center"/>
              <w:textAlignment w:val="baseline"/>
              <w:rPr>
                <w:sz w:val="21"/>
                <w:szCs w:val="21"/>
                <w:lang w:eastAsia="zh-CN"/>
              </w:rPr>
            </w:pPr>
            <w:r>
              <w:rPr>
                <w:rFonts w:hint="eastAsia"/>
                <w:sz w:val="21"/>
                <w:szCs w:val="21"/>
                <w:lang w:eastAsia="zh-CN"/>
              </w:rPr>
              <w:t>液相色谱仪（3）</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1A75B39F">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沃特世/沃特世科技（上海）有限公司</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30789FB2">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ACQUITY UPLC H-Class Plus</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E934DB4">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中国</w:t>
            </w:r>
          </w:p>
        </w:tc>
        <w:tc>
          <w:tcPr>
            <w:tcW w:w="450" w:type="dxa"/>
            <w:tcBorders>
              <w:top w:val="single" w:color="auto" w:sz="4" w:space="0"/>
              <w:left w:val="single" w:color="auto" w:sz="4" w:space="0"/>
              <w:bottom w:val="single" w:color="auto" w:sz="4" w:space="0"/>
              <w:right w:val="single" w:color="auto" w:sz="4" w:space="0"/>
            </w:tcBorders>
            <w:shd w:val="clear" w:color="auto" w:fill="auto"/>
            <w:vAlign w:val="center"/>
          </w:tcPr>
          <w:p w14:paraId="1418A44C">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szCs w:val="21"/>
              </w:rPr>
              <w:t>套</w:t>
            </w:r>
          </w:p>
        </w:tc>
        <w:tc>
          <w:tcPr>
            <w:tcW w:w="425" w:type="dxa"/>
            <w:tcBorders>
              <w:top w:val="single" w:color="auto" w:sz="4" w:space="0"/>
              <w:left w:val="single" w:color="auto" w:sz="4" w:space="0"/>
              <w:bottom w:val="single" w:color="auto" w:sz="4" w:space="0"/>
              <w:right w:val="single" w:color="auto" w:sz="4" w:space="0"/>
            </w:tcBorders>
            <w:vAlign w:val="center"/>
          </w:tcPr>
          <w:p w14:paraId="1063AA0A">
            <w:pPr>
              <w:jc w:val="center"/>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1</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14:paraId="5A7EFE79">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680000.00</w:t>
            </w:r>
          </w:p>
        </w:tc>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14:paraId="54F554AD">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680000.00</w:t>
            </w:r>
          </w:p>
        </w:tc>
        <w:tc>
          <w:tcPr>
            <w:tcW w:w="1214" w:type="dxa"/>
            <w:tcBorders>
              <w:top w:val="single" w:color="auto" w:sz="4" w:space="0"/>
              <w:left w:val="single" w:color="auto" w:sz="4" w:space="0"/>
              <w:bottom w:val="single" w:color="auto" w:sz="4" w:space="0"/>
              <w:right w:val="single" w:color="auto" w:sz="4" w:space="0"/>
            </w:tcBorders>
            <w:vAlign w:val="center"/>
          </w:tcPr>
          <w:p w14:paraId="62BE6030">
            <w:pPr>
              <w:spacing w:line="440" w:lineRule="exact"/>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签订合同后45天内</w:t>
            </w:r>
          </w:p>
        </w:tc>
      </w:tr>
      <w:tr w14:paraId="6FDC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9642" w:type="dxa"/>
            <w:gridSpan w:val="10"/>
            <w:tcBorders>
              <w:top w:val="single" w:color="auto" w:sz="4" w:space="0"/>
              <w:left w:val="single" w:color="auto" w:sz="4" w:space="0"/>
              <w:bottom w:val="single" w:color="auto" w:sz="4" w:space="0"/>
              <w:right w:val="single" w:color="auto" w:sz="4" w:space="0"/>
            </w:tcBorders>
            <w:vAlign w:val="center"/>
          </w:tcPr>
          <w:p w14:paraId="24A1D7AF">
            <w:pPr>
              <w:spacing w:line="440" w:lineRule="exact"/>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备件、专用工具、耗材等</w:t>
            </w:r>
          </w:p>
        </w:tc>
      </w:tr>
      <w:tr w14:paraId="25C7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6A0D8B49">
            <w:pPr>
              <w:jc w:val="center"/>
              <w:rPr>
                <w:rFonts w:ascii="宋体" w:hAnsi="宋体" w:eastAsia="宋体"/>
                <w:color w:val="000000" w:themeColor="text1"/>
                <w:szCs w:val="21"/>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vAlign w:val="center"/>
          </w:tcPr>
          <w:p w14:paraId="24A55C3E">
            <w:pPr>
              <w:jc w:val="center"/>
              <w:rPr>
                <w:rFonts w:ascii="宋体" w:hAnsi="宋体" w:eastAsia="宋体"/>
                <w:color w:val="000000" w:themeColor="text1"/>
                <w:szCs w:val="21"/>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14:paraId="76D07F80">
            <w:pPr>
              <w:widowControl/>
              <w:jc w:val="center"/>
              <w:rPr>
                <w:rFonts w:ascii="宋体" w:hAnsi="宋体" w:eastAsia="宋体"/>
                <w:bCs/>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37B84E8E">
            <w:pPr>
              <w:widowControl/>
              <w:jc w:val="center"/>
              <w:rPr>
                <w:rFonts w:ascii="宋体" w:hAnsi="宋体" w:eastAsia="宋体"/>
                <w:bCs/>
                <w:color w:val="000000" w:themeColor="text1"/>
                <w:szCs w:val="21"/>
                <w14:textFill>
                  <w14:solidFill>
                    <w14:schemeClr w14:val="tx1"/>
                  </w14:solidFill>
                </w14:textFill>
              </w:rPr>
            </w:pPr>
          </w:p>
        </w:tc>
        <w:tc>
          <w:tcPr>
            <w:tcW w:w="653" w:type="dxa"/>
            <w:tcBorders>
              <w:top w:val="single" w:color="auto" w:sz="4" w:space="0"/>
              <w:left w:val="single" w:color="auto" w:sz="4" w:space="0"/>
              <w:bottom w:val="single" w:color="auto" w:sz="4" w:space="0"/>
              <w:right w:val="single" w:color="auto" w:sz="4" w:space="0"/>
            </w:tcBorders>
            <w:vAlign w:val="center"/>
          </w:tcPr>
          <w:p w14:paraId="34AA7D92">
            <w:pPr>
              <w:widowControl/>
              <w:jc w:val="center"/>
              <w:rPr>
                <w:rFonts w:ascii="宋体" w:hAnsi="宋体" w:eastAsia="宋体"/>
                <w:bCs/>
                <w:color w:val="000000" w:themeColor="text1"/>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14:paraId="0BA017AB">
            <w:pPr>
              <w:jc w:val="center"/>
              <w:rPr>
                <w:rFonts w:ascii="宋体" w:hAnsi="宋体" w:eastAsia="宋体"/>
                <w:color w:val="000000" w:themeColor="text1"/>
                <w:szCs w:val="21"/>
                <w14:textFill>
                  <w14:solidFill>
                    <w14:schemeClr w14:val="tx1"/>
                  </w14:solidFill>
                </w14:textFill>
              </w:rPr>
            </w:pPr>
          </w:p>
        </w:tc>
        <w:tc>
          <w:tcPr>
            <w:tcW w:w="425" w:type="dxa"/>
            <w:tcBorders>
              <w:top w:val="single" w:color="auto" w:sz="4" w:space="0"/>
              <w:left w:val="single" w:color="auto" w:sz="4" w:space="0"/>
              <w:bottom w:val="single" w:color="auto" w:sz="4" w:space="0"/>
              <w:right w:val="single" w:color="auto" w:sz="4" w:space="0"/>
            </w:tcBorders>
            <w:vAlign w:val="center"/>
          </w:tcPr>
          <w:p w14:paraId="17B8B57E">
            <w:pPr>
              <w:jc w:val="center"/>
              <w:rPr>
                <w:rFonts w:ascii="宋体" w:hAnsi="宋体" w:eastAsia="宋体"/>
                <w:color w:val="000000" w:themeColor="text1"/>
                <w:szCs w:val="21"/>
                <w14:textFill>
                  <w14:solidFill>
                    <w14:schemeClr w14:val="tx1"/>
                  </w14:solidFill>
                </w14:textFill>
              </w:rPr>
            </w:pPr>
          </w:p>
        </w:tc>
        <w:tc>
          <w:tcPr>
            <w:tcW w:w="1162" w:type="dxa"/>
            <w:tcBorders>
              <w:top w:val="single" w:color="auto" w:sz="4" w:space="0"/>
              <w:left w:val="single" w:color="auto" w:sz="4" w:space="0"/>
              <w:bottom w:val="single" w:color="auto" w:sz="4" w:space="0"/>
              <w:right w:val="single" w:color="auto" w:sz="4" w:space="0"/>
            </w:tcBorders>
          </w:tcPr>
          <w:p w14:paraId="2417695C">
            <w:pPr>
              <w:rPr>
                <w:rFonts w:ascii="宋体" w:hAnsi="宋体" w:eastAsia="宋体"/>
                <w:bCs/>
                <w:color w:val="000000" w:themeColor="text1"/>
                <w:szCs w:val="21"/>
                <w14:textFill>
                  <w14:solidFill>
                    <w14:schemeClr w14:val="tx1"/>
                  </w14:solidFill>
                </w14:textFill>
              </w:rPr>
            </w:pPr>
          </w:p>
        </w:tc>
        <w:tc>
          <w:tcPr>
            <w:tcW w:w="1238" w:type="dxa"/>
            <w:tcBorders>
              <w:top w:val="single" w:color="auto" w:sz="4" w:space="0"/>
              <w:left w:val="single" w:color="auto" w:sz="4" w:space="0"/>
              <w:bottom w:val="single" w:color="auto" w:sz="4" w:space="0"/>
              <w:right w:val="single" w:color="auto" w:sz="4" w:space="0"/>
            </w:tcBorders>
          </w:tcPr>
          <w:p w14:paraId="3131A5F2">
            <w:pPr>
              <w:rPr>
                <w:rFonts w:ascii="宋体" w:hAnsi="宋体" w:eastAsia="宋体"/>
                <w:bCs/>
                <w:color w:val="000000" w:themeColor="text1"/>
                <w:szCs w:val="21"/>
                <w14:textFill>
                  <w14:solidFill>
                    <w14:schemeClr w14:val="tx1"/>
                  </w14:solidFill>
                </w14:textFill>
              </w:rPr>
            </w:pPr>
          </w:p>
        </w:tc>
        <w:tc>
          <w:tcPr>
            <w:tcW w:w="1214" w:type="dxa"/>
            <w:tcBorders>
              <w:top w:val="single" w:color="auto" w:sz="4" w:space="0"/>
              <w:left w:val="single" w:color="auto" w:sz="4" w:space="0"/>
              <w:bottom w:val="single" w:color="auto" w:sz="4" w:space="0"/>
              <w:right w:val="single" w:color="auto" w:sz="4" w:space="0"/>
            </w:tcBorders>
          </w:tcPr>
          <w:p w14:paraId="58B7FF3E">
            <w:pPr>
              <w:rPr>
                <w:rFonts w:ascii="Times New Roman" w:hAnsi="Times New Roman"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签订合同后**天内</w:t>
            </w:r>
          </w:p>
        </w:tc>
      </w:tr>
      <w:tr w14:paraId="64CE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7D4C000A">
            <w:pPr>
              <w:jc w:val="center"/>
              <w:rPr>
                <w:rFonts w:ascii="宋体" w:hAnsi="宋体" w:eastAsia="宋体"/>
                <w:color w:val="000000" w:themeColor="text1"/>
                <w:szCs w:val="21"/>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vAlign w:val="center"/>
          </w:tcPr>
          <w:p w14:paraId="67AA7365">
            <w:pPr>
              <w:jc w:val="center"/>
              <w:rPr>
                <w:rFonts w:ascii="宋体" w:hAnsi="宋体" w:eastAsia="宋体"/>
                <w:color w:val="000000" w:themeColor="text1"/>
                <w:szCs w:val="21"/>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14:paraId="1119DBF6">
            <w:pPr>
              <w:widowControl/>
              <w:jc w:val="center"/>
              <w:rPr>
                <w:rFonts w:ascii="宋体" w:hAnsi="宋体" w:eastAsia="宋体"/>
                <w:bCs/>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28181FEB">
            <w:pPr>
              <w:widowControl/>
              <w:jc w:val="center"/>
              <w:rPr>
                <w:rFonts w:ascii="宋体" w:hAnsi="宋体" w:eastAsia="宋体"/>
                <w:bCs/>
                <w:color w:val="000000" w:themeColor="text1"/>
                <w:szCs w:val="21"/>
                <w14:textFill>
                  <w14:solidFill>
                    <w14:schemeClr w14:val="tx1"/>
                  </w14:solidFill>
                </w14:textFill>
              </w:rPr>
            </w:pPr>
          </w:p>
        </w:tc>
        <w:tc>
          <w:tcPr>
            <w:tcW w:w="653" w:type="dxa"/>
            <w:tcBorders>
              <w:top w:val="single" w:color="auto" w:sz="4" w:space="0"/>
              <w:left w:val="single" w:color="auto" w:sz="4" w:space="0"/>
              <w:bottom w:val="single" w:color="auto" w:sz="4" w:space="0"/>
              <w:right w:val="single" w:color="auto" w:sz="4" w:space="0"/>
            </w:tcBorders>
            <w:vAlign w:val="center"/>
          </w:tcPr>
          <w:p w14:paraId="408D5303">
            <w:pPr>
              <w:widowControl/>
              <w:jc w:val="center"/>
              <w:rPr>
                <w:rFonts w:ascii="宋体" w:hAnsi="宋体" w:eastAsia="宋体"/>
                <w:bCs/>
                <w:color w:val="000000" w:themeColor="text1"/>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14:paraId="08B66F5D">
            <w:pPr>
              <w:jc w:val="center"/>
              <w:rPr>
                <w:rFonts w:ascii="宋体" w:hAnsi="宋体" w:eastAsia="宋体"/>
                <w:color w:val="000000" w:themeColor="text1"/>
                <w:szCs w:val="21"/>
                <w14:textFill>
                  <w14:solidFill>
                    <w14:schemeClr w14:val="tx1"/>
                  </w14:solidFill>
                </w14:textFill>
              </w:rPr>
            </w:pPr>
          </w:p>
        </w:tc>
        <w:tc>
          <w:tcPr>
            <w:tcW w:w="425" w:type="dxa"/>
            <w:tcBorders>
              <w:top w:val="single" w:color="auto" w:sz="4" w:space="0"/>
              <w:left w:val="single" w:color="auto" w:sz="4" w:space="0"/>
              <w:bottom w:val="single" w:color="auto" w:sz="4" w:space="0"/>
              <w:right w:val="single" w:color="auto" w:sz="4" w:space="0"/>
            </w:tcBorders>
            <w:vAlign w:val="center"/>
          </w:tcPr>
          <w:p w14:paraId="59DAEB05">
            <w:pPr>
              <w:jc w:val="center"/>
              <w:rPr>
                <w:rFonts w:ascii="宋体" w:hAnsi="宋体" w:eastAsia="宋体"/>
                <w:color w:val="000000" w:themeColor="text1"/>
                <w:szCs w:val="21"/>
                <w14:textFill>
                  <w14:solidFill>
                    <w14:schemeClr w14:val="tx1"/>
                  </w14:solidFill>
                </w14:textFill>
              </w:rPr>
            </w:pPr>
          </w:p>
        </w:tc>
        <w:tc>
          <w:tcPr>
            <w:tcW w:w="1162" w:type="dxa"/>
            <w:tcBorders>
              <w:top w:val="single" w:color="auto" w:sz="4" w:space="0"/>
              <w:left w:val="single" w:color="auto" w:sz="4" w:space="0"/>
              <w:bottom w:val="single" w:color="auto" w:sz="4" w:space="0"/>
              <w:right w:val="single" w:color="auto" w:sz="4" w:space="0"/>
            </w:tcBorders>
          </w:tcPr>
          <w:p w14:paraId="3E770D69">
            <w:pPr>
              <w:rPr>
                <w:rFonts w:ascii="宋体" w:hAnsi="宋体" w:eastAsia="宋体"/>
                <w:bCs/>
                <w:color w:val="000000" w:themeColor="text1"/>
                <w:szCs w:val="21"/>
                <w14:textFill>
                  <w14:solidFill>
                    <w14:schemeClr w14:val="tx1"/>
                  </w14:solidFill>
                </w14:textFill>
              </w:rPr>
            </w:pPr>
          </w:p>
        </w:tc>
        <w:tc>
          <w:tcPr>
            <w:tcW w:w="1238" w:type="dxa"/>
            <w:tcBorders>
              <w:top w:val="single" w:color="auto" w:sz="4" w:space="0"/>
              <w:left w:val="single" w:color="auto" w:sz="4" w:space="0"/>
              <w:bottom w:val="single" w:color="auto" w:sz="4" w:space="0"/>
              <w:right w:val="single" w:color="auto" w:sz="4" w:space="0"/>
            </w:tcBorders>
          </w:tcPr>
          <w:p w14:paraId="784A52E0">
            <w:pPr>
              <w:rPr>
                <w:rFonts w:ascii="宋体" w:hAnsi="宋体" w:eastAsia="宋体"/>
                <w:bCs/>
                <w:color w:val="000000" w:themeColor="text1"/>
                <w:szCs w:val="21"/>
                <w14:textFill>
                  <w14:solidFill>
                    <w14:schemeClr w14:val="tx1"/>
                  </w14:solidFill>
                </w14:textFill>
              </w:rPr>
            </w:pPr>
          </w:p>
        </w:tc>
        <w:tc>
          <w:tcPr>
            <w:tcW w:w="1214" w:type="dxa"/>
            <w:tcBorders>
              <w:top w:val="single" w:color="auto" w:sz="4" w:space="0"/>
              <w:left w:val="single" w:color="auto" w:sz="4" w:space="0"/>
              <w:bottom w:val="single" w:color="auto" w:sz="4" w:space="0"/>
              <w:right w:val="single" w:color="auto" w:sz="4" w:space="0"/>
            </w:tcBorders>
          </w:tcPr>
          <w:p w14:paraId="565A647E">
            <w:pPr>
              <w:rPr>
                <w:rFonts w:ascii="Times New Roman" w:hAnsi="Times New Roman"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签订合同后**天内</w:t>
            </w:r>
          </w:p>
        </w:tc>
      </w:tr>
      <w:tr w14:paraId="31A6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715" w:type="dxa"/>
            <w:gridSpan w:val="2"/>
            <w:tcBorders>
              <w:top w:val="single" w:color="auto" w:sz="4" w:space="0"/>
              <w:left w:val="single" w:color="auto" w:sz="4" w:space="0"/>
              <w:bottom w:val="single" w:color="auto" w:sz="4" w:space="0"/>
              <w:right w:val="single" w:color="auto" w:sz="4" w:space="0"/>
            </w:tcBorders>
            <w:vAlign w:val="center"/>
          </w:tcPr>
          <w:p w14:paraId="528FB0CE">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合计</w:t>
            </w:r>
          </w:p>
        </w:tc>
        <w:tc>
          <w:tcPr>
            <w:tcW w:w="6713" w:type="dxa"/>
            <w:gridSpan w:val="7"/>
            <w:tcBorders>
              <w:top w:val="single" w:color="auto" w:sz="4" w:space="0"/>
              <w:left w:val="single" w:color="auto" w:sz="4" w:space="0"/>
              <w:bottom w:val="single" w:color="auto" w:sz="4" w:space="0"/>
              <w:right w:val="single" w:color="auto" w:sz="4" w:space="0"/>
            </w:tcBorders>
            <w:vAlign w:val="center"/>
          </w:tcPr>
          <w:p w14:paraId="6D7EC166">
            <w:pPr>
              <w:jc w:val="center"/>
              <w:rPr>
                <w:rFonts w:ascii="宋体" w:hAnsi="宋体" w:eastAsia="宋体"/>
                <w:bCs/>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人民币大写：壹佰伍拾捌万元整（￥：1580000.00元）</w:t>
            </w:r>
          </w:p>
        </w:tc>
        <w:tc>
          <w:tcPr>
            <w:tcW w:w="1214" w:type="dxa"/>
            <w:tcBorders>
              <w:top w:val="single" w:color="auto" w:sz="4" w:space="0"/>
              <w:left w:val="single" w:color="auto" w:sz="4" w:space="0"/>
              <w:bottom w:val="single" w:color="auto" w:sz="4" w:space="0"/>
              <w:right w:val="single" w:color="auto" w:sz="4" w:space="0"/>
            </w:tcBorders>
          </w:tcPr>
          <w:p w14:paraId="32CE5BD8">
            <w:pPr>
              <w:jc w:val="center"/>
              <w:rPr>
                <w:rFonts w:ascii="宋体" w:hAnsi="宋体" w:eastAsia="宋体"/>
                <w:b/>
                <w:bCs/>
                <w:color w:val="000000" w:themeColor="text1"/>
                <w:szCs w:val="21"/>
                <w14:textFill>
                  <w14:solidFill>
                    <w14:schemeClr w14:val="tx1"/>
                  </w14:solidFill>
                </w14:textFill>
              </w:rPr>
            </w:pPr>
          </w:p>
        </w:tc>
      </w:tr>
      <w:tr w14:paraId="6CDE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715" w:type="dxa"/>
            <w:gridSpan w:val="2"/>
            <w:tcBorders>
              <w:top w:val="single" w:color="auto" w:sz="4" w:space="0"/>
              <w:left w:val="single" w:color="auto" w:sz="4" w:space="0"/>
              <w:bottom w:val="single" w:color="auto" w:sz="4" w:space="0"/>
              <w:right w:val="single" w:color="auto" w:sz="4" w:space="0"/>
            </w:tcBorders>
            <w:vAlign w:val="center"/>
          </w:tcPr>
          <w:p w14:paraId="506411E4">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备注</w:t>
            </w:r>
          </w:p>
        </w:tc>
        <w:tc>
          <w:tcPr>
            <w:tcW w:w="6713" w:type="dxa"/>
            <w:gridSpan w:val="7"/>
            <w:tcBorders>
              <w:top w:val="single" w:color="auto" w:sz="4" w:space="0"/>
              <w:left w:val="single" w:color="auto" w:sz="4" w:space="0"/>
              <w:bottom w:val="single" w:color="auto" w:sz="4" w:space="0"/>
              <w:right w:val="single" w:color="auto" w:sz="4" w:space="0"/>
            </w:tcBorders>
            <w:vAlign w:val="center"/>
          </w:tcPr>
          <w:p w14:paraId="2A0F3EB5">
            <w:pPr>
              <w:jc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无</w:t>
            </w:r>
          </w:p>
        </w:tc>
        <w:tc>
          <w:tcPr>
            <w:tcW w:w="1214" w:type="dxa"/>
            <w:tcBorders>
              <w:top w:val="single" w:color="auto" w:sz="4" w:space="0"/>
              <w:left w:val="single" w:color="auto" w:sz="4" w:space="0"/>
              <w:bottom w:val="single" w:color="auto" w:sz="4" w:space="0"/>
              <w:right w:val="single" w:color="auto" w:sz="4" w:space="0"/>
            </w:tcBorders>
          </w:tcPr>
          <w:p w14:paraId="25E5684B">
            <w:pPr>
              <w:jc w:val="center"/>
              <w:rPr>
                <w:rFonts w:ascii="宋体" w:hAnsi="宋体" w:eastAsia="宋体"/>
                <w:b/>
                <w:bCs/>
                <w:color w:val="000000" w:themeColor="text1"/>
                <w:szCs w:val="21"/>
                <w14:textFill>
                  <w14:solidFill>
                    <w14:schemeClr w14:val="tx1"/>
                  </w14:solidFill>
                </w14:textFill>
              </w:rPr>
            </w:pPr>
          </w:p>
        </w:tc>
      </w:tr>
    </w:tbl>
    <w:p w14:paraId="39164F39">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本合同（</w:t>
      </w:r>
      <w:r>
        <w:rPr>
          <w:rFonts w:hint="eastAsia" w:ascii="宋体" w:hAnsi="宋体" w:eastAsia="宋体" w:cs="Tahoma"/>
          <w:color w:val="000000" w:themeColor="text1"/>
          <w:sz w:val="24"/>
          <w:szCs w:val="24"/>
          <w14:textFill>
            <w14:solidFill>
              <w14:schemeClr w14:val="tx1"/>
            </w14:solidFill>
          </w14:textFill>
        </w:rPr>
        <w:t>清单</w:t>
      </w:r>
      <w:r>
        <w:rPr>
          <w:rFonts w:hint="eastAsia" w:ascii="Tahoma" w:hAnsi="Tahoma" w:eastAsia="宋体" w:cs="Tahoma"/>
          <w:color w:val="000000" w:themeColor="text1"/>
          <w:sz w:val="24"/>
          <w:szCs w:val="24"/>
          <w14:textFill>
            <w14:solidFill>
              <w14:schemeClr w14:val="tx1"/>
            </w14:solidFill>
          </w14:textFill>
        </w:rPr>
        <w:t>1+</w:t>
      </w:r>
      <w:r>
        <w:rPr>
          <w:rFonts w:hint="eastAsia" w:ascii="宋体" w:hAnsi="宋体" w:eastAsia="宋体" w:cs="Tahoma"/>
          <w:color w:val="000000" w:themeColor="text1"/>
          <w:sz w:val="24"/>
          <w:szCs w:val="24"/>
          <w14:textFill>
            <w14:solidFill>
              <w14:schemeClr w14:val="tx1"/>
            </w14:solidFill>
          </w14:textFill>
        </w:rPr>
        <w:t>清单</w:t>
      </w:r>
      <w:r>
        <w:rPr>
          <w:rFonts w:hint="eastAsia" w:ascii="Tahoma" w:hAnsi="Tahoma" w:eastAsia="宋体" w:cs="Tahoma"/>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）总金额人民币大写：</w:t>
      </w:r>
      <w:r>
        <w:rPr>
          <w:rFonts w:hint="eastAsia" w:ascii="宋体" w:hAnsi="宋体" w:eastAsia="宋体" w:cs="宋体"/>
          <w:b/>
          <w:color w:val="000000" w:themeColor="text1"/>
          <w:sz w:val="24"/>
          <w:szCs w:val="24"/>
          <w:u w:val="single"/>
          <w14:textFill>
            <w14:solidFill>
              <w14:schemeClr w14:val="tx1"/>
            </w14:solidFill>
          </w14:textFill>
        </w:rPr>
        <w:t>壹佰伍拾捌万元整</w:t>
      </w:r>
      <w:r>
        <w:rPr>
          <w:rFonts w:hint="eastAsia" w:ascii="宋体" w:hAnsi="宋体" w:eastAsia="宋体" w:cs="宋体"/>
          <w:color w:val="000000" w:themeColor="text1"/>
          <w:sz w:val="24"/>
          <w:szCs w:val="24"/>
          <w14:textFill>
            <w14:solidFill>
              <w14:schemeClr w14:val="tx1"/>
            </w14:solidFill>
          </w14:textFill>
        </w:rPr>
        <w:t>（RMB：</w:t>
      </w:r>
      <w:r>
        <w:rPr>
          <w:rFonts w:hint="eastAsia" w:ascii="宋体" w:hAnsi="宋体" w:eastAsia="宋体" w:cs="宋体"/>
          <w:b/>
          <w:color w:val="000000" w:themeColor="text1"/>
          <w:sz w:val="24"/>
          <w:szCs w:val="24"/>
          <w:u w:val="single"/>
          <w14:textFill>
            <w14:solidFill>
              <w14:schemeClr w14:val="tx1"/>
            </w14:solidFill>
          </w14:textFill>
        </w:rPr>
        <w:t>1580000.00元</w:t>
      </w:r>
      <w:r>
        <w:rPr>
          <w:rFonts w:hint="eastAsia" w:ascii="宋体" w:hAnsi="宋体" w:eastAsia="宋体" w:cs="宋体"/>
          <w:color w:val="000000" w:themeColor="text1"/>
          <w:sz w:val="24"/>
          <w:szCs w:val="24"/>
          <w14:textFill>
            <w14:solidFill>
              <w14:schemeClr w14:val="tx1"/>
            </w14:solidFill>
          </w14:textFill>
        </w:rPr>
        <w:t>）。</w:t>
      </w:r>
    </w:p>
    <w:p w14:paraId="27EA0AA9">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58A7BDC6">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 乙方负责办理合同所涉及的进口货物海关免税手续，甲方协助乙方办理进口免税相关事项，提供与其享受免关税待遇相关的证明文件资料，费用已包括在合同总金额内。</w:t>
      </w:r>
    </w:p>
    <w:p w14:paraId="3628409A">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 本合同执行期间合同总金额不变。甲方无须另向乙方支付本合同规定之外的其他任何费用。</w:t>
      </w:r>
    </w:p>
    <w:p w14:paraId="41432E75">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 乙方所供货物若与合同要求不相符时，甲方有权拒收，并拒付该部分货物的货款。</w:t>
      </w:r>
    </w:p>
    <w:p w14:paraId="495A2887">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 履约保证金：</w:t>
      </w:r>
    </w:p>
    <w:p w14:paraId="22D19DB5">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5E9BFA59">
      <w:pPr>
        <w:spacing w:line="360" w:lineRule="auto"/>
        <w:ind w:left="479" w:leftChars="228"/>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交纳方式：中标人在领取中标通知书后签订合同前将履约保证金汇（存）入采购方指定银行帐户：</w:t>
      </w:r>
    </w:p>
    <w:p w14:paraId="20E0211E">
      <w:pPr>
        <w:spacing w:line="324"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开户名称：河南中医</w:t>
      </w:r>
      <w:r>
        <w:rPr>
          <w:rFonts w:hint="eastAsia" w:ascii="宋体" w:hAnsi="宋体" w:eastAsia="宋体"/>
          <w:color w:val="000000" w:themeColor="text1"/>
          <w:sz w:val="24"/>
          <w:szCs w:val="24"/>
          <w14:textFill>
            <w14:solidFill>
              <w14:schemeClr w14:val="tx1"/>
            </w14:solidFill>
          </w14:textFill>
        </w:rPr>
        <w:t>药大学</w:t>
      </w:r>
    </w:p>
    <w:p w14:paraId="51634E3E">
      <w:pPr>
        <w:spacing w:line="324"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账</w:t>
      </w:r>
      <w:r>
        <w:rPr>
          <w:rFonts w:ascii="Times New Roman" w:hAnsi="Times New Roman" w:eastAsia="宋体"/>
          <w:color w:val="000000" w:themeColor="text1"/>
          <w:sz w:val="24"/>
          <w:szCs w:val="24"/>
          <w14:textFill>
            <w14:solidFill>
              <w14:schemeClr w14:val="tx1"/>
            </w14:solidFill>
          </w14:textFill>
        </w:rPr>
        <w:t xml:space="preserve">  号：1702020609200014257</w:t>
      </w:r>
    </w:p>
    <w:p w14:paraId="69BD9243">
      <w:pPr>
        <w:spacing w:line="324"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开户行：工商银行花园路支行</w:t>
      </w:r>
      <w:r>
        <w:rPr>
          <w:rFonts w:hint="eastAsia" w:ascii="宋体" w:hAnsi="宋体" w:eastAsia="宋体"/>
          <w:color w:val="000000" w:themeColor="text1"/>
          <w:sz w:val="24"/>
          <w:szCs w:val="24"/>
          <w14:textFill>
            <w14:solidFill>
              <w14:schemeClr w14:val="tx1"/>
            </w14:solidFill>
          </w14:textFill>
        </w:rPr>
        <w:t>（请注明中标通知书中的合同编号）</w:t>
      </w:r>
    </w:p>
    <w:p w14:paraId="28A10A34">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二、货物质量标准</w:t>
      </w:r>
    </w:p>
    <w:p w14:paraId="45113C04">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41383819">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乙方提供的货物必须为全新的、未使用过的原厂原包装产品（含零部件、配件、随机工具、技术文件等），且进货渠道合法。</w:t>
      </w:r>
    </w:p>
    <w:p w14:paraId="24CCFE56">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乙方提供的货物必须包装外观完好、无破损，货物洁净完好、无划痕、无凹陷、无退色、无锈迹。</w:t>
      </w:r>
    </w:p>
    <w:p w14:paraId="6745E841">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 乙方提供的货物不符合合同规定的质量要求的，甲方有权拒绝接受该货物，乙方应更换被拒绝的货物，并达到合同规定的质量要求，所造成的损失由乙方承担。必要时甲方有权解除合同。</w:t>
      </w:r>
    </w:p>
    <w:p w14:paraId="7FEBFC99">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 因货物的质量问题发生争议，由河南省商检部门进行质量鉴定。货物符合质量标准的，鉴定费由甲方承担；货物不符合质量标准的，鉴定费由乙方承担。</w:t>
      </w:r>
    </w:p>
    <w:p w14:paraId="1B466482">
      <w:pPr>
        <w:spacing w:line="360" w:lineRule="auto"/>
        <w:ind w:firstLine="482" w:firstLineChars="200"/>
        <w:rPr>
          <w:rFonts w:ascii="宋体" w:hAnsi="Courier New"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三、货物包装、交货</w:t>
      </w:r>
    </w:p>
    <w:p w14:paraId="768A8A7E">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包装</w:t>
      </w:r>
    </w:p>
    <w:p w14:paraId="3BEFF79D">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⑴ 合同货物的包装必须与运输方式相适应，应有良好的防湿、防锈、防潮、防雨、防腐及防碰撞的措施。凡由于不适当的包装而造成货物在运输过程中有任何损坏、丢失等由乙方负责。</w:t>
      </w:r>
    </w:p>
    <w:p w14:paraId="7FFB14FA">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⑵ 包装应足以承受整个过程中的运输、转运、装卸、储存等，充分考虑到运输途中的各种情况（如暴露于恶劣气候等），以及露天存放的需要。</w:t>
      </w:r>
    </w:p>
    <w:p w14:paraId="5E60BDF1">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 交货</w:t>
      </w:r>
    </w:p>
    <w:p w14:paraId="4063C1F5">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⑴ 乙方交货时间：合同生效后国产货物</w:t>
      </w:r>
      <w:r>
        <w:rPr>
          <w:rFonts w:ascii="Times New Roman" w:hAnsi="Times New Roman" w:eastAsia="宋体"/>
          <w:color w:val="000000" w:themeColor="text1"/>
          <w:sz w:val="24"/>
          <w:szCs w:val="24"/>
          <w14:textFill>
            <w14:solidFill>
              <w14:schemeClr w14:val="tx1"/>
            </w14:solidFill>
          </w14:textFill>
        </w:rPr>
        <w:t>45</w:t>
      </w:r>
      <w:r>
        <w:rPr>
          <w:rFonts w:hint="eastAsia" w:ascii="宋体" w:hAnsi="宋体" w:eastAsia="宋体"/>
          <w:color w:val="000000" w:themeColor="text1"/>
          <w:sz w:val="24"/>
          <w:szCs w:val="24"/>
          <w14:textFill>
            <w14:solidFill>
              <w14:schemeClr w14:val="tx1"/>
            </w14:solidFill>
          </w14:textFill>
        </w:rPr>
        <w:t>日、进口货物</w:t>
      </w:r>
      <w:r>
        <w:rPr>
          <w:rFonts w:hint="eastAsia" w:ascii="Times New Roman" w:hAnsi="Times New Roman" w:eastAsia="宋体"/>
          <w:color w:val="000000" w:themeColor="text1"/>
          <w:sz w:val="24"/>
          <w:szCs w:val="24"/>
          <w14:textFill>
            <w14:solidFill>
              <w14:schemeClr w14:val="tx1"/>
            </w14:solidFill>
          </w14:textFill>
        </w:rPr>
        <w:t>90</w:t>
      </w:r>
      <w:r>
        <w:rPr>
          <w:rFonts w:hint="eastAsia" w:ascii="宋体" w:hAnsi="宋体" w:eastAsia="宋体"/>
          <w:color w:val="000000" w:themeColor="text1"/>
          <w:sz w:val="24"/>
          <w:szCs w:val="24"/>
          <w14:textFill>
            <w14:solidFill>
              <w14:schemeClr w14:val="tx1"/>
            </w14:solidFill>
          </w14:textFill>
        </w:rPr>
        <w:t>日内全部交货。交货完毕后及时提交货物验收申请</w:t>
      </w:r>
      <w:r>
        <w:rPr>
          <w:rFonts w:hint="eastAsia" w:ascii="宋体" w:hAnsi="宋体" w:eastAsia="宋体" w:cs="宋体"/>
          <w:color w:val="000000" w:themeColor="text1"/>
          <w:sz w:val="24"/>
          <w:szCs w:val="24"/>
          <w14:textFill>
            <w14:solidFill>
              <w14:schemeClr w14:val="tx1"/>
            </w14:solidFill>
          </w14:textFill>
        </w:rPr>
        <w:t>（货物经验收合格的，交货日期以甲方收到乙方验收申请函日期为准；验收不合格的，交货日期以实际验收合格日期为准）。</w:t>
      </w:r>
      <w:r>
        <w:rPr>
          <w:rFonts w:hint="eastAsia" w:ascii="宋体" w:hAnsi="宋体" w:eastAsia="宋体"/>
          <w:color w:val="000000" w:themeColor="text1"/>
          <w:sz w:val="24"/>
          <w:szCs w:val="24"/>
          <w14:textFill>
            <w14:solidFill>
              <w14:schemeClr w14:val="tx1"/>
            </w14:solidFill>
          </w14:textFill>
        </w:rPr>
        <w:t>即</w:t>
      </w:r>
      <w:r>
        <w:rPr>
          <w:rFonts w:ascii="宋体" w:hAnsi="宋体" w:eastAsia="宋体"/>
          <w:color w:val="000000" w:themeColor="text1"/>
          <w:sz w:val="24"/>
          <w:szCs w:val="24"/>
          <w:highlight w:val="none"/>
          <w14:textFill>
            <w14:solidFill>
              <w14:schemeClr w14:val="tx1"/>
            </w14:solidFill>
          </w14:textFill>
        </w:rPr>
        <w:t>在</w:t>
      </w:r>
      <w:r>
        <w:rPr>
          <w:rFonts w:hint="eastAsia" w:ascii="宋体" w:hAnsi="宋体" w:eastAsia="宋体"/>
          <w:color w:val="000000" w:themeColor="text1"/>
          <w:sz w:val="24"/>
          <w:szCs w:val="24"/>
          <w:highlight w:val="none"/>
          <w:u w:val="single"/>
          <w:lang w:val="en-US" w:eastAsia="zh-CN"/>
          <w14:textFill>
            <w14:solidFill>
              <w14:schemeClr w14:val="tx1"/>
            </w14:solidFill>
          </w14:textFill>
        </w:rPr>
        <w:t xml:space="preserve"> </w:t>
      </w:r>
      <w:r>
        <w:rPr>
          <w:rFonts w:hint="eastAsia" w:ascii="Times New Roman" w:hAnsi="Times New Roman" w:eastAsia="宋体"/>
          <w:b/>
          <w:color w:val="000000" w:themeColor="text1"/>
          <w:sz w:val="24"/>
          <w:szCs w:val="24"/>
          <w:highlight w:val="none"/>
          <w:u w:val="single"/>
          <w:lang w:val="en-US" w:eastAsia="zh-CN"/>
          <w14:textFill>
            <w14:solidFill>
              <w14:schemeClr w14:val="tx1"/>
            </w14:solidFill>
          </w14:textFill>
        </w:rPr>
        <w:t>2025</w:t>
      </w:r>
      <w:r>
        <w:rPr>
          <w:rFonts w:ascii="宋体" w:hAnsi="宋体" w:eastAsia="宋体"/>
          <w:color w:val="000000" w:themeColor="text1"/>
          <w:sz w:val="24"/>
          <w:szCs w:val="24"/>
          <w:highlight w:val="none"/>
          <w14:textFill>
            <w14:solidFill>
              <w14:schemeClr w14:val="tx1"/>
            </w14:solidFill>
          </w14:textFill>
        </w:rPr>
        <w:t>年</w:t>
      </w:r>
      <w:r>
        <w:rPr>
          <w:rFonts w:hint="eastAsia" w:ascii="宋体" w:hAnsi="宋体" w:eastAsia="宋体"/>
          <w:color w:val="000000" w:themeColor="text1"/>
          <w:sz w:val="24"/>
          <w:szCs w:val="24"/>
          <w:highlight w:val="none"/>
          <w:u w:val="single"/>
          <w:lang w:val="en-US" w:eastAsia="zh-CN"/>
          <w14:textFill>
            <w14:solidFill>
              <w14:schemeClr w14:val="tx1"/>
            </w14:solidFill>
          </w14:textFill>
        </w:rPr>
        <w:t xml:space="preserve"> </w:t>
      </w:r>
      <w:r>
        <w:rPr>
          <w:rFonts w:hint="eastAsia" w:ascii="Times New Roman" w:hAnsi="Times New Roman" w:eastAsia="宋体"/>
          <w:b/>
          <w:color w:val="000000" w:themeColor="text1"/>
          <w:sz w:val="24"/>
          <w:szCs w:val="24"/>
          <w:highlight w:val="none"/>
          <w:u w:val="single"/>
          <w:lang w:val="en-US" w:eastAsia="zh-CN"/>
          <w14:textFill>
            <w14:solidFill>
              <w14:schemeClr w14:val="tx1"/>
            </w14:solidFill>
          </w14:textFill>
        </w:rPr>
        <w:t>5</w:t>
      </w:r>
      <w:r>
        <w:rPr>
          <w:rFonts w:ascii="宋体" w:hAnsi="宋体" w:eastAsia="宋体"/>
          <w:color w:val="000000" w:themeColor="text1"/>
          <w:sz w:val="24"/>
          <w:szCs w:val="24"/>
          <w:highlight w:val="none"/>
          <w14:textFill>
            <w14:solidFill>
              <w14:schemeClr w14:val="tx1"/>
            </w14:solidFill>
          </w14:textFill>
        </w:rPr>
        <w:t>月</w:t>
      </w:r>
      <w:r>
        <w:rPr>
          <w:rFonts w:hint="eastAsia" w:ascii="宋体" w:hAnsi="宋体" w:eastAsia="宋体"/>
          <w:color w:val="000000" w:themeColor="text1"/>
          <w:sz w:val="24"/>
          <w:szCs w:val="24"/>
          <w:highlight w:val="none"/>
          <w:u w:val="single"/>
          <w:lang w:val="en-US" w:eastAsia="zh-CN"/>
          <w14:textFill>
            <w14:solidFill>
              <w14:schemeClr w14:val="tx1"/>
            </w14:solidFill>
          </w14:textFill>
        </w:rPr>
        <w:t xml:space="preserve"> </w:t>
      </w:r>
      <w:r>
        <w:rPr>
          <w:rFonts w:hint="eastAsia" w:ascii="Times New Roman" w:hAnsi="Times New Roman" w:eastAsia="宋体"/>
          <w:b/>
          <w:color w:val="000000" w:themeColor="text1"/>
          <w:sz w:val="24"/>
          <w:szCs w:val="24"/>
          <w:highlight w:val="none"/>
          <w:u w:val="single"/>
          <w:lang w:val="en-US" w:eastAsia="zh-CN"/>
          <w14:textFill>
            <w14:solidFill>
              <w14:schemeClr w14:val="tx1"/>
            </w14:solidFill>
          </w14:textFill>
        </w:rPr>
        <w:t>3</w:t>
      </w:r>
      <w:r>
        <w:rPr>
          <w:rFonts w:ascii="宋体" w:hAnsi="宋体" w:eastAsia="宋体"/>
          <w:color w:val="000000" w:themeColor="text1"/>
          <w:sz w:val="24"/>
          <w:szCs w:val="24"/>
          <w:highlight w:val="none"/>
          <w14:textFill>
            <w14:solidFill>
              <w14:schemeClr w14:val="tx1"/>
            </w14:solidFill>
          </w14:textFill>
        </w:rPr>
        <w:t>日前</w:t>
      </w:r>
      <w:r>
        <w:rPr>
          <w:rFonts w:ascii="宋体" w:hAnsi="宋体" w:eastAsia="宋体"/>
          <w:color w:val="000000" w:themeColor="text1"/>
          <w:sz w:val="24"/>
          <w:szCs w:val="24"/>
          <w14:textFill>
            <w14:solidFill>
              <w14:schemeClr w14:val="tx1"/>
            </w14:solidFill>
          </w14:textFill>
        </w:rPr>
        <w:t>完成全部</w:t>
      </w:r>
      <w:r>
        <w:rPr>
          <w:rFonts w:hint="eastAsia" w:ascii="宋体" w:hAnsi="宋体" w:eastAsia="宋体"/>
          <w:color w:val="000000" w:themeColor="text1"/>
          <w:sz w:val="24"/>
          <w:szCs w:val="24"/>
          <w14:textFill>
            <w14:solidFill>
              <w14:schemeClr w14:val="tx1"/>
            </w14:solidFill>
          </w14:textFill>
        </w:rPr>
        <w:t>仪器设备的</w:t>
      </w:r>
      <w:r>
        <w:rPr>
          <w:rFonts w:ascii="宋体" w:hAnsi="宋体" w:eastAsia="宋体"/>
          <w:color w:val="000000" w:themeColor="text1"/>
          <w:sz w:val="24"/>
          <w:szCs w:val="24"/>
          <w14:textFill>
            <w14:solidFill>
              <w14:schemeClr w14:val="tx1"/>
            </w14:solidFill>
          </w14:textFill>
        </w:rPr>
        <w:t>安装调试</w:t>
      </w:r>
      <w:r>
        <w:rPr>
          <w:rFonts w:hint="eastAsia" w:ascii="宋体" w:hAnsi="宋体" w:eastAsia="宋体"/>
          <w:color w:val="000000" w:themeColor="text1"/>
          <w:sz w:val="24"/>
          <w:szCs w:val="24"/>
          <w14:textFill>
            <w14:solidFill>
              <w14:schemeClr w14:val="tx1"/>
            </w14:solidFill>
          </w14:textFill>
        </w:rPr>
        <w:t>，并</w:t>
      </w:r>
      <w:r>
        <w:rPr>
          <w:rFonts w:ascii="宋体" w:hAnsi="宋体" w:eastAsia="宋体"/>
          <w:color w:val="000000" w:themeColor="text1"/>
          <w:sz w:val="24"/>
          <w:szCs w:val="24"/>
          <w14:textFill>
            <w14:solidFill>
              <w14:schemeClr w14:val="tx1"/>
            </w14:solidFill>
          </w14:textFill>
        </w:rPr>
        <w:t>交付使用</w:t>
      </w:r>
      <w:r>
        <w:rPr>
          <w:rFonts w:ascii="Times New Roman" w:hAnsi="Times New Roman"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如由于采购人的原因造成合同延迟签订或验收的，时间顺延</w:t>
      </w:r>
      <w:r>
        <w:rPr>
          <w:rFonts w:ascii="Times New Roman" w:hAnsi="Times New Roman"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乙方逾期交付物品，则每迟交一周货物应向甲方支付货款总额</w:t>
      </w:r>
      <w:r>
        <w:rPr>
          <w:rFonts w:hint="eastAsia" w:ascii="Times New Roman" w:hAnsi="Times New Roman" w:eastAsia="宋体"/>
          <w:color w:val="000000" w:themeColor="text1"/>
          <w:sz w:val="24"/>
          <w:szCs w:val="24"/>
          <w14:textFill>
            <w14:solidFill>
              <w14:schemeClr w14:val="tx1"/>
            </w14:solidFill>
          </w14:textFill>
        </w:rPr>
        <w:t>5%</w:t>
      </w:r>
      <w:r>
        <w:rPr>
          <w:rFonts w:hint="eastAsia" w:ascii="宋体" w:hAnsi="宋体" w:eastAsia="宋体"/>
          <w:color w:val="000000" w:themeColor="text1"/>
          <w:sz w:val="24"/>
          <w:szCs w:val="24"/>
          <w14:textFill>
            <w14:solidFill>
              <w14:schemeClr w14:val="tx1"/>
            </w14:solidFill>
          </w14:textFill>
        </w:rPr>
        <w:t>违约金，不足一周按一周计算。</w:t>
      </w:r>
    </w:p>
    <w:p w14:paraId="4E14B410">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⑵ 根据所购货物情况，甲方确定是否在发货前对所供货物进行检查，以保证所发货物与合同一致。所需费用由乙方承担。</w:t>
      </w:r>
    </w:p>
    <w:p w14:paraId="0B4C9E69">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⑶ 乙方交货地点：河南中医药大学指定地点。</w:t>
      </w:r>
    </w:p>
    <w:p w14:paraId="1565D865">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⑷ 合同货物抵达甲方后，由甲乙双方一同清点货物数量，开箱检验表面状况，核对规格型号。并负责解决开箱检验清点发现的问题和赔偿。</w:t>
      </w:r>
    </w:p>
    <w:p w14:paraId="7F2B61A5">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⑸ 乙方应将合同货物的产品序列号、用户手册、技术资料（包括详细装箱单、质量证书、设备说明书、使用手册和其它相关技术资料）及配件、随机工具等一并交付给甲方。</w:t>
      </w:r>
    </w:p>
    <w:p w14:paraId="3E4DF7AB">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⑹ 专用工具及备品、备件应分别包装，并在包装箱外加以注明其用处。</w:t>
      </w:r>
    </w:p>
    <w:p w14:paraId="5023375B">
      <w:pPr>
        <w:spacing w:line="360" w:lineRule="auto"/>
        <w:ind w:firstLine="482" w:firstLineChars="200"/>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四、合同货物的安装、调试</w:t>
      </w:r>
    </w:p>
    <w:p w14:paraId="720F8EE6">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乙方负责合同项下货物的安装调试至能够正常开机使用，且与合同要求的各项技术指标一致，符合各项安全标准，一切费用由乙方负责。</w:t>
      </w:r>
    </w:p>
    <w:p w14:paraId="59E9FC86">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 乙方安装时须对各安装场地内的其它设备、设施有良好保护措施。</w:t>
      </w:r>
    </w:p>
    <w:p w14:paraId="00897AF9">
      <w:pPr>
        <w:spacing w:line="360" w:lineRule="auto"/>
        <w:ind w:firstLine="482" w:firstLineChars="200"/>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五、安全责任</w:t>
      </w:r>
    </w:p>
    <w:p w14:paraId="353F5137">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乙方在安装、调试合同货物过程中要严格执行国家有关人身安全及防火安全的规定，做好各项防护措施，防止各类事故的发生，若造成人身伤害及货物损坏事故等，则由乙方负全部责任。</w:t>
      </w:r>
    </w:p>
    <w:p w14:paraId="591B6BA5">
      <w:pPr>
        <w:spacing w:line="360" w:lineRule="auto"/>
        <w:ind w:firstLine="482" w:firstLineChars="200"/>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六、货物的验收</w:t>
      </w:r>
    </w:p>
    <w:p w14:paraId="0BFD74EB">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 xml:space="preserve">1.  </w:t>
      </w:r>
      <w:r>
        <w:rPr>
          <w:rFonts w:hint="eastAsia" w:ascii="宋体" w:hAnsi="宋体" w:eastAsia="宋体"/>
          <w:color w:val="000000" w:themeColor="text1"/>
          <w:sz w:val="24"/>
          <w:szCs w:val="24"/>
          <w14:textFill>
            <w14:solidFill>
              <w14:schemeClr w14:val="tx1"/>
            </w14:solidFill>
          </w14:textFill>
        </w:rPr>
        <w:t>在甲方验收前，乙方应提交合同货物验收报告、每台仪器设备制造厂商出具的明细装箱单、每台仪器设备制造厂商出具的出厂质量证书、每台仪器设备制造厂商出具的使用说明书。</w:t>
      </w:r>
    </w:p>
    <w:p w14:paraId="157B209C">
      <w:pPr>
        <w:spacing w:line="360" w:lineRule="auto"/>
        <w:ind w:right="-82" w:rightChars="-39" w:firstLine="480" w:firstLineChars="200"/>
        <w:rPr>
          <w:rFonts w:ascii="宋体" w:hAnsi="宋体"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 xml:space="preserve"> 乙方应在甲方验收前，向甲方提供按本合同的技术规格、技术规范要求进行的测试报告和验收报告，验收以招投标文件、合同技术规格、产品相应的技术说明为标准。</w:t>
      </w:r>
    </w:p>
    <w:p w14:paraId="2F9EADDB">
      <w:pPr>
        <w:spacing w:line="360" w:lineRule="auto"/>
        <w:ind w:right="-82" w:rightChars="-39"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 合同货物（系统）交货（完工）并完成操作培训、粘贴条码，且正常运行后，甲方使用单位组织验收。验收应在甲乙双方共同参加下进行。</w:t>
      </w:r>
    </w:p>
    <w:p w14:paraId="75807256">
      <w:pPr>
        <w:spacing w:line="360" w:lineRule="auto"/>
        <w:ind w:right="-82" w:rightChars="-39"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5BAF4DE5">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 如果合同货物运输和安装调试过程中因事故造成货物短缺、损坏，乙方应及时安排换装，以保证合同货物安装调试的成功完成。换货的相关费用由乙方承担。</w:t>
      </w:r>
    </w:p>
    <w:p w14:paraId="6F4C1F62">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 国内产品或合资厂的产品必须具备出厂合格证。</w:t>
      </w:r>
    </w:p>
    <w:p w14:paraId="565CE098">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 进口产品必须具备省级（或相当于省级）商检部门的检验证明，进口免税设备需要同时准备免税证明、报关单、外贸合同。</w:t>
      </w:r>
    </w:p>
    <w:p w14:paraId="442119EF">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 乙方保证合同项下提供的货物不侵犯任何第三方的专利、商标或版权。否则，乙方须承担对第三方的专利或版权的侵权责任并承担因此而发生的所有费用。</w:t>
      </w:r>
    </w:p>
    <w:p w14:paraId="44ECC32F">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 合同货物验收未能通过的，乙方负责及时整改。若整改后仍未能合格的，甲方依法追究其经济及法律责任。</w:t>
      </w:r>
    </w:p>
    <w:p w14:paraId="4A08C85A">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 验收合格后双方共同签署验收报告，验收合格日期以最后的签字日为准。</w:t>
      </w:r>
    </w:p>
    <w:p w14:paraId="4DFAFC36">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七、培训</w:t>
      </w:r>
    </w:p>
    <w:p w14:paraId="30AA8374">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1881B8D5">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八、 付款方式</w:t>
      </w:r>
    </w:p>
    <w:p w14:paraId="439C85FE">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中标的货物安装调试，正常运行后，采购方组织有关人员及使用单位联合验收，验收合格后采购方支付合同价的总额。</w:t>
      </w:r>
    </w:p>
    <w:p w14:paraId="66CD271B">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申请付款时必须提交以下文件和资料：1、资金支付申请书；2、由甲方签字的验收报告；3、教学、科研设备需开具增值税专用发票，其他货物、服务需开具增值税普通发票。</w:t>
      </w:r>
    </w:p>
    <w:p w14:paraId="67621BBC">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具体步骤：乙方填写《资金支付申请书》、开具抬头为甲方的发票，并送交甲方；甲方填写《验收报告》，乙方凭《资金支付申请书》和《验收报告》由甲方支付货款。</w:t>
      </w:r>
    </w:p>
    <w:p w14:paraId="39CEEED6">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九、质保期限</w:t>
      </w:r>
    </w:p>
    <w:p w14:paraId="52AD6507">
      <w:pPr>
        <w:spacing w:line="360" w:lineRule="auto"/>
        <w:ind w:firstLine="480"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本合同货物仪器设备整机</w:t>
      </w:r>
      <w:r>
        <w:rPr>
          <w:rFonts w:hint="eastAsia" w:ascii="宋体" w:hAnsi="宋体" w:eastAsia="宋体" w:cs="宋体"/>
          <w:bCs/>
          <w:color w:val="000000" w:themeColor="text1"/>
          <w:sz w:val="24"/>
          <w:szCs w:val="24"/>
          <w14:textFill>
            <w14:solidFill>
              <w14:schemeClr w14:val="tx1"/>
            </w14:solidFill>
          </w14:textFill>
        </w:rPr>
        <w:t>免费质保期</w:t>
      </w:r>
      <w:r>
        <w:rPr>
          <w:rFonts w:hint="eastAsia" w:ascii="宋体" w:hAnsi="宋体" w:eastAsia="宋体" w:cs="宋体"/>
          <w:b/>
          <w:bCs/>
          <w:color w:val="000000" w:themeColor="text1"/>
          <w:sz w:val="24"/>
          <w:szCs w:val="24"/>
          <w14:textFill>
            <w14:solidFill>
              <w14:schemeClr w14:val="tx1"/>
            </w14:solidFill>
          </w14:textFill>
        </w:rPr>
        <w:t>二</w:t>
      </w:r>
      <w:r>
        <w:rPr>
          <w:rFonts w:hint="eastAsia" w:ascii="宋体" w:hAnsi="宋体" w:eastAsia="宋体" w:cs="宋体"/>
          <w:bCs/>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14:textFill>
            <w14:solidFill>
              <w14:schemeClr w14:val="tx1"/>
            </w14:solidFill>
          </w14:textFill>
        </w:rPr>
        <w:t>。质保期自甲乙双方在设备验收报告签字之日起计算。</w:t>
      </w:r>
    </w:p>
    <w:p w14:paraId="61099CDA">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十、售后服务</w:t>
      </w:r>
      <w:r>
        <w:rPr>
          <w:rFonts w:hint="eastAsia" w:ascii="宋体" w:hAnsi="宋体" w:eastAsia="宋体" w:cs="宋体"/>
          <w:b/>
          <w:color w:val="000000" w:themeColor="text1"/>
          <w:sz w:val="24"/>
          <w:szCs w:val="24"/>
          <w14:textFill>
            <w14:solidFill>
              <w14:schemeClr w14:val="tx1"/>
            </w14:solidFill>
          </w14:textFill>
        </w:rPr>
        <w:tab/>
      </w:r>
    </w:p>
    <w:p w14:paraId="48D332D5">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乙方须指派专人负责与甲方联系售后服务事宜（联系人：</w:t>
      </w:r>
      <w:r>
        <w:rPr>
          <w:rFonts w:hint="eastAsia" w:ascii="宋体" w:hAnsi="宋体" w:eastAsia="宋体" w:cs="宋体"/>
          <w:b/>
          <w:color w:val="000000" w:themeColor="text1"/>
          <w:sz w:val="24"/>
          <w:szCs w:val="24"/>
          <w14:textFill>
            <w14:solidFill>
              <w14:schemeClr w14:val="tx1"/>
            </w14:solidFill>
          </w14:textFill>
        </w:rPr>
        <w:t>于永攀</w:t>
      </w:r>
      <w:r>
        <w:rPr>
          <w:rFonts w:hint="eastAsia" w:ascii="宋体" w:hAnsi="宋体" w:eastAsia="宋体" w:cs="宋体"/>
          <w:color w:val="000000" w:themeColor="text1"/>
          <w:sz w:val="24"/>
          <w:szCs w:val="24"/>
          <w14:textFill>
            <w14:solidFill>
              <w14:schemeClr w14:val="tx1"/>
            </w14:solidFill>
          </w14:textFill>
        </w:rPr>
        <w:t>，电话：</w:t>
      </w:r>
      <w:r>
        <w:rPr>
          <w:rFonts w:hint="eastAsia" w:ascii="宋体" w:hAnsi="宋体" w:eastAsia="宋体" w:cs="宋体"/>
          <w:b/>
          <w:color w:val="000000" w:themeColor="text1"/>
          <w:sz w:val="24"/>
          <w:szCs w:val="24"/>
          <w14:textFill>
            <w14:solidFill>
              <w14:schemeClr w14:val="tx1"/>
            </w14:solidFill>
          </w14:textFill>
        </w:rPr>
        <w:t>13526687825</w:t>
      </w:r>
      <w:r>
        <w:rPr>
          <w:rFonts w:hint="eastAsia" w:ascii="宋体" w:hAnsi="宋体" w:eastAsia="宋体" w:cs="宋体"/>
          <w:color w:val="000000" w:themeColor="text1"/>
          <w:sz w:val="24"/>
          <w:szCs w:val="24"/>
          <w14:textFill>
            <w14:solidFill>
              <w14:schemeClr w14:val="tx1"/>
            </w14:solidFill>
          </w14:textFill>
        </w:rPr>
        <w:t xml:space="preserve">）。 </w:t>
      </w:r>
    </w:p>
    <w:p w14:paraId="6951F4D6">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质保期内，乙方负责对其提供的货物上门进行硬件维修、软件维护和升级等免费服务，甲方不再支付任何费用，但人为因素或自然灾害造成的损坏除外。</w:t>
      </w:r>
    </w:p>
    <w:p w14:paraId="082A9F52">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质保期内，乙方在接到甲方系统故障或问题告知后，8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662EBDA4">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2A2E26E7">
      <w:pPr>
        <w:spacing w:line="360" w:lineRule="auto"/>
        <w:ind w:firstLine="482" w:firstLineChars="200"/>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十一、索赔</w:t>
      </w:r>
    </w:p>
    <w:p w14:paraId="47973C17">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甲方如对乙方所提供的货物有异议，甲方有权根据有关检验结果向乙方提出索赔。</w:t>
      </w:r>
    </w:p>
    <w:p w14:paraId="0FE925D6">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 在合同执行期间，如果乙方对甲方提出的索赔和差异负有责任，乙方应按照甲方同意的下列一种或多种方式解决索赔事宜：</w:t>
      </w:r>
    </w:p>
    <w:p w14:paraId="7E5D304C">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⑴ 乙方同意退货，并按合同规定的同种货币将货款退还给甲方，并承担由此发生的一切损失和费用。</w:t>
      </w:r>
    </w:p>
    <w:p w14:paraId="5812BE3B">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⑵ 根据货物低劣程度、损坏程度以及甲方所遭受损失的数额甲乙双方商定降低货物的价格。</w:t>
      </w:r>
    </w:p>
    <w:p w14:paraId="6218C98E">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⑶ 用符合规格、质量和性能要求的新零件、部件或货物来更换有缺陷的部分或修补缺陷的部分，乙方应承担一切费用和风险并负有甲方所发生的一切直接费用。同时，延长质量保证期。</w:t>
      </w:r>
    </w:p>
    <w:p w14:paraId="6BF92A8B">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 如果在甲方发出索赔通知后</w:t>
      </w:r>
      <w:r>
        <w:rPr>
          <w:rFonts w:hint="eastAsia" w:ascii="宋体" w:hAnsi="宋体" w:eastAsia="宋体"/>
          <w:color w:val="000000" w:themeColor="text1"/>
          <w:sz w:val="24"/>
          <w:szCs w:val="24"/>
          <w:shd w:val="clear" w:color="auto" w:fill="FFFFFF"/>
          <w14:textFill>
            <w14:solidFill>
              <w14:schemeClr w14:val="tx1"/>
            </w14:solidFill>
          </w14:textFill>
        </w:rPr>
        <w:t>30</w:t>
      </w:r>
      <w:r>
        <w:rPr>
          <w:rFonts w:hint="eastAsia" w:ascii="宋体" w:hAnsi="宋体" w:eastAsia="宋体"/>
          <w:color w:val="000000" w:themeColor="text1"/>
          <w:sz w:val="24"/>
          <w:szCs w:val="24"/>
          <w14:textFill>
            <w14:solidFill>
              <w14:schemeClr w14:val="tx1"/>
            </w14:solidFill>
          </w14:textFill>
        </w:rPr>
        <w:t>天内，乙方未作答复，上述索赔应视为已被乙方接受。甲方将从合同款项中扣回索赔金额。如果这些金额不足以补偿索赔金额，甲方有权向乙方提出不足部分的补偿。</w:t>
      </w:r>
    </w:p>
    <w:p w14:paraId="50E20E28">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十二、违约责任</w:t>
      </w:r>
    </w:p>
    <w:p w14:paraId="0B45F185">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乙方未能交付货物，则向甲方支付合同总额20%的违约金</w:t>
      </w:r>
      <w:r>
        <w:rPr>
          <w:rFonts w:hint="eastAsia" w:ascii="宋体" w:hAnsi="宋体" w:eastAsia="宋体"/>
          <w:color w:val="000000" w:themeColor="text1"/>
          <w:sz w:val="24"/>
          <w:szCs w:val="24"/>
          <w14:textFill>
            <w14:solidFill>
              <w14:schemeClr w14:val="tx1"/>
            </w14:solidFill>
          </w14:textFill>
        </w:rPr>
        <w:t>，同时履约保证金不予退还。</w:t>
      </w:r>
    </w:p>
    <w:p w14:paraId="154F3EC1">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 乙方交付的货物与投标文件或合同不相符的，甲方有权拒收，乙方向甲方支付合同总额30%的违约金，同时履约保证金不予退还。</w:t>
      </w:r>
    </w:p>
    <w:p w14:paraId="1C2737E0">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甲方无正当理由拒收货物，拒付货款的，则向乙方支付合同总额10%的违约金。</w:t>
      </w:r>
    </w:p>
    <w:p w14:paraId="279743F9">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711778C0">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 甲方逾期付款，则每延迟一周付款甲方应向乙方支付货款总额0.5%违约金，违约金总额不超过合同总价的5%（不可抗力除外）。</w:t>
      </w:r>
    </w:p>
    <w:p w14:paraId="2C806107">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54170602">
      <w:pPr>
        <w:spacing w:line="580" w:lineRule="exact"/>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7.若乙方提出换货，则按第十二条第2款执行。</w:t>
      </w:r>
    </w:p>
    <w:p w14:paraId="124E6AF9">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十三、争端的解决</w:t>
      </w:r>
    </w:p>
    <w:p w14:paraId="656A89AD">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1.凡与本合同有关而引起的一切争执和分歧，甲乙双方通过友好协商解决或提交河南省政府采购管理部门调解，如协商或调解不成，任何一方可以向郑州仲裁委员会申请仲裁裁决。</w:t>
      </w:r>
    </w:p>
    <w:p w14:paraId="4330AD08">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2.在进行仲裁期间，除提交仲裁机构的事项外，合同其他部分应继续履行。</w:t>
      </w:r>
    </w:p>
    <w:p w14:paraId="3D6AD70F">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十四、</w:t>
      </w:r>
      <w:r>
        <w:rPr>
          <w:rFonts w:hint="eastAsia" w:ascii="宋体" w:hAnsi="宋体" w:eastAsia="宋体" w:cs="宋体"/>
          <w:b/>
          <w:bCs/>
          <w:color w:val="000000" w:themeColor="text1"/>
          <w:sz w:val="24"/>
          <w:szCs w:val="24"/>
          <w14:textFill>
            <w14:solidFill>
              <w14:schemeClr w14:val="tx1"/>
            </w14:solidFill>
          </w14:textFill>
        </w:rPr>
        <w:t>合同组成</w:t>
      </w:r>
    </w:p>
    <w:p w14:paraId="46C93B68">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本项目</w:t>
      </w:r>
      <w:r>
        <w:rPr>
          <w:rFonts w:hint="eastAsia" w:ascii="宋体" w:hAnsi="宋体" w:eastAsia="宋体" w:cs="宋体"/>
          <w:color w:val="000000" w:themeColor="text1"/>
          <w:sz w:val="24"/>
          <w:szCs w:val="24"/>
          <w14:textFill>
            <w14:solidFill>
              <w14:schemeClr w14:val="tx1"/>
            </w14:solidFill>
          </w14:textFill>
        </w:rPr>
        <w:t>招标文件、投标文件及下列附件等均为本合同的有效组成部分，与本合同具有同样法律效力。</w:t>
      </w:r>
    </w:p>
    <w:p w14:paraId="30F8E045">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中标通知书（附件1）；</w:t>
      </w:r>
    </w:p>
    <w:p w14:paraId="56C08896">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2. </w:t>
      </w:r>
      <w:r>
        <w:rPr>
          <w:rFonts w:hint="eastAsia" w:ascii="宋体" w:hAnsi="宋体" w:eastAsia="宋体" w:cs="宋体"/>
          <w:bCs/>
          <w:color w:val="000000" w:themeColor="text1"/>
          <w:sz w:val="24"/>
          <w:szCs w:val="24"/>
          <w14:textFill>
            <w14:solidFill>
              <w14:schemeClr w14:val="tx1"/>
            </w14:solidFill>
          </w14:textFill>
        </w:rPr>
        <w:t>中标货物分项报价一览表</w:t>
      </w:r>
      <w:r>
        <w:rPr>
          <w:rFonts w:hint="eastAsia" w:ascii="宋体" w:hAnsi="宋体" w:eastAsia="宋体" w:cs="宋体"/>
          <w:color w:val="000000" w:themeColor="text1"/>
          <w:sz w:val="24"/>
          <w:szCs w:val="24"/>
          <w14:textFill>
            <w14:solidFill>
              <w14:schemeClr w14:val="tx1"/>
            </w14:solidFill>
          </w14:textFill>
        </w:rPr>
        <w:t>（附件2）；</w:t>
      </w:r>
    </w:p>
    <w:p w14:paraId="3344D44F">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 中标货物制造商</w:t>
      </w:r>
      <w:r>
        <w:rPr>
          <w:rFonts w:hint="eastAsia" w:ascii="宋体" w:hAnsi="宋体" w:eastAsia="宋体" w:cs="宋体"/>
          <w:bCs/>
          <w:color w:val="000000" w:themeColor="text1"/>
          <w:sz w:val="24"/>
          <w:szCs w:val="24"/>
          <w14:textFill>
            <w14:solidFill>
              <w14:schemeClr w14:val="tx1"/>
            </w14:solidFill>
          </w14:textFill>
        </w:rPr>
        <w:t>配置清单</w:t>
      </w:r>
      <w:r>
        <w:rPr>
          <w:rFonts w:hint="eastAsia" w:ascii="宋体" w:hAnsi="宋体" w:eastAsia="宋体" w:cs="宋体"/>
          <w:color w:val="000000" w:themeColor="text1"/>
          <w:sz w:val="24"/>
          <w:szCs w:val="24"/>
          <w14:textFill>
            <w14:solidFill>
              <w14:schemeClr w14:val="tx1"/>
            </w14:solidFill>
          </w14:textFill>
        </w:rPr>
        <w:t>（附件3）；</w:t>
      </w:r>
    </w:p>
    <w:p w14:paraId="7291B12A">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4. 中标货物技术参数及配置表（附件4）； </w:t>
      </w:r>
    </w:p>
    <w:p w14:paraId="5A46899F">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 供货商质量保障及服务表（附件5）；</w:t>
      </w:r>
    </w:p>
    <w:p w14:paraId="5F1A9238">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 中</w:t>
      </w:r>
      <w:r>
        <w:rPr>
          <w:rFonts w:ascii="宋体" w:hAnsi="宋体" w:eastAsia="宋体"/>
          <w:color w:val="000000" w:themeColor="text1"/>
          <w:sz w:val="24"/>
          <w:szCs w:val="24"/>
          <w14:textFill>
            <w14:solidFill>
              <w14:schemeClr w14:val="tx1"/>
            </w14:solidFill>
          </w14:textFill>
        </w:rPr>
        <w:t>标</w:t>
      </w:r>
      <w:r>
        <w:rPr>
          <w:rFonts w:hint="eastAsia" w:ascii="宋体" w:hAnsi="宋体" w:eastAsia="宋体"/>
          <w:color w:val="000000" w:themeColor="text1"/>
          <w:sz w:val="24"/>
          <w:szCs w:val="24"/>
          <w14:textFill>
            <w14:solidFill>
              <w14:schemeClr w14:val="tx1"/>
            </w14:solidFill>
          </w14:textFill>
        </w:rPr>
        <w:t>货物安装培训计划表（附件6）</w:t>
      </w:r>
    </w:p>
    <w:p w14:paraId="1968590B">
      <w:pPr>
        <w:spacing w:line="360" w:lineRule="auto"/>
        <w:ind w:firstLine="480" w:firstLineChars="200"/>
        <w:rPr>
          <w:rFonts w:ascii="宋体" w:hAnsi="Courier New"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 中标货物制造商售后服务承诺（附件</w:t>
      </w:r>
      <w:r>
        <w:rPr>
          <w:rFonts w:hint="eastAsia" w:ascii="宋体" w:hAnsi="Courier New" w:eastAsia="宋体" w:cs="宋体"/>
          <w:color w:val="000000" w:themeColor="text1"/>
          <w:sz w:val="24"/>
          <w:szCs w:val="24"/>
          <w14:textFill>
            <w14:solidFill>
              <w14:schemeClr w14:val="tx1"/>
            </w14:solidFill>
          </w14:textFill>
        </w:rPr>
        <w:t>7）</w:t>
      </w:r>
    </w:p>
    <w:p w14:paraId="532CC7A6">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77F3FE2C">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十五、合同解除和终止</w:t>
      </w:r>
    </w:p>
    <w:p w14:paraId="666ADA23">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甲乙双方各自完成合同规定的责任和义务，合同自然终止。</w:t>
      </w:r>
    </w:p>
    <w:p w14:paraId="2C3F702B">
      <w:pPr>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 如果一方严重违反合同，并在收到对方违约通知书后在</w:t>
      </w:r>
      <w:r>
        <w:rPr>
          <w:rFonts w:hint="eastAsia" w:ascii="宋体" w:hAnsi="宋体" w:eastAsia="宋体"/>
          <w:color w:val="000000" w:themeColor="text1"/>
          <w:sz w:val="24"/>
          <w:szCs w:val="24"/>
          <w:shd w:val="clear" w:color="auto" w:fill="FFFFFF"/>
          <w14:textFill>
            <w14:solidFill>
              <w14:schemeClr w14:val="tx1"/>
            </w14:solidFill>
          </w14:textFill>
        </w:rPr>
        <w:t>30</w:t>
      </w:r>
      <w:r>
        <w:rPr>
          <w:rFonts w:hint="eastAsia" w:ascii="宋体" w:hAnsi="宋体" w:eastAsia="宋体"/>
          <w:color w:val="000000" w:themeColor="text1"/>
          <w:sz w:val="24"/>
          <w:szCs w:val="24"/>
          <w14:textFill>
            <w14:solidFill>
              <w14:schemeClr w14:val="tx1"/>
            </w14:solidFill>
          </w14:textFill>
        </w:rPr>
        <w:t>天内或在指定期限内仍未能改正违约的，另一方可立即终止本合同。</w:t>
      </w:r>
    </w:p>
    <w:p w14:paraId="18BEFA57">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十六、其它</w:t>
      </w:r>
    </w:p>
    <w:p w14:paraId="7196917A">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本合同乙方不得将本合同全部或部分分包给他人。乙方在任何情况下都不得全部或部分转让其应履行的合同义务。</w:t>
      </w:r>
    </w:p>
    <w:p w14:paraId="3857E62A">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合同若有变更须经甲乙双方签字确认。</w:t>
      </w:r>
    </w:p>
    <w:p w14:paraId="7CA11C6F">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themeColor="text1"/>
          <w:sz w:val="24"/>
          <w:szCs w:val="24"/>
          <w14:textFill>
            <w14:solidFill>
              <w14:schemeClr w14:val="tx1"/>
            </w14:solidFill>
          </w14:textFill>
        </w:rPr>
        <w:t>3．在执行本合同的过程中，所有经双方签署确认的文件（包括会议纪要、</w:t>
      </w:r>
    </w:p>
    <w:p w14:paraId="3C0A9F4D">
      <w:pPr>
        <w:spacing w:line="360" w:lineRule="auto"/>
        <w:rPr>
          <w:rFonts w:hint="eastAsia" w:ascii="宋体" w:hAnsi="宋体" w:eastAsia="宋体" w:cs="宋体"/>
          <w:color w:val="000000" w:themeColor="text1"/>
          <w:sz w:val="24"/>
          <w:szCs w:val="24"/>
          <w:lang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themeColor="text1"/>
          <w:sz w:val="24"/>
          <w:szCs w:val="24"/>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-933450</wp:posOffset>
            </wp:positionH>
            <wp:positionV relativeFrom="paragraph">
              <wp:posOffset>-617220</wp:posOffset>
            </wp:positionV>
            <wp:extent cx="7205980" cy="10190480"/>
            <wp:effectExtent l="0" t="0" r="13970" b="1270"/>
            <wp:wrapSquare wrapText="bothSides"/>
            <wp:docPr id="7" name="图片 7" descr="B包-豫财招标采购-2024-1543-B签字盖章完整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包-豫财招标采购-2024-1543-B签字盖章完整版_08"/>
                    <pic:cNvPicPr>
                      <a:picLocks noChangeAspect="1"/>
                    </pic:cNvPicPr>
                  </pic:nvPicPr>
                  <pic:blipFill>
                    <a:blip r:embed="rId6"/>
                    <a:stretch>
                      <a:fillRect/>
                    </a:stretch>
                  </pic:blipFill>
                  <pic:spPr>
                    <a:xfrm>
                      <a:off x="0" y="0"/>
                      <a:ext cx="7205980" cy="10190480"/>
                    </a:xfrm>
                    <a:prstGeom prst="rect">
                      <a:avLst/>
                    </a:prstGeom>
                  </pic:spPr>
                </pic:pic>
              </a:graphicData>
            </a:graphic>
          </wp:anchor>
        </w:drawing>
      </w:r>
    </w:p>
    <w:p w14:paraId="4F9BC51C">
      <w:pPr>
        <w:spacing w:line="360" w:lineRule="auto"/>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附件</w:t>
      </w:r>
      <w:r>
        <w:rPr>
          <w:rFonts w:hint="eastAsia" w:ascii="Times New Roman" w:hAnsi="Times New Roman" w:eastAsia="宋体"/>
          <w:b/>
          <w:color w:val="000000" w:themeColor="text1"/>
          <w:sz w:val="24"/>
          <w:szCs w:val="24"/>
          <w14:textFill>
            <w14:solidFill>
              <w14:schemeClr w14:val="tx1"/>
            </w14:solidFill>
          </w14:textFill>
        </w:rPr>
        <w:t>1</w:t>
      </w:r>
      <w:r>
        <w:rPr>
          <w:rFonts w:hint="eastAsia" w:ascii="宋体" w:hAnsi="宋体" w:eastAsia="宋体"/>
          <w:b/>
          <w:color w:val="000000" w:themeColor="text1"/>
          <w:sz w:val="24"/>
          <w:szCs w:val="24"/>
          <w14:textFill>
            <w14:solidFill>
              <w14:schemeClr w14:val="tx1"/>
            </w14:solidFill>
          </w14:textFill>
        </w:rPr>
        <w:t>：</w:t>
      </w:r>
    </w:p>
    <w:p w14:paraId="25E5A003">
      <w:pPr>
        <w:spacing w:line="360" w:lineRule="auto"/>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中标通知书（扫描）</w:t>
      </w:r>
    </w:p>
    <w:p w14:paraId="75384896">
      <w:r>
        <w:drawing>
          <wp:inline distT="0" distB="0" distL="114300" distR="114300">
            <wp:extent cx="5271135" cy="7453630"/>
            <wp:effectExtent l="0" t="0" r="5715" b="13970"/>
            <wp:docPr id="5" name="图片 5" descr="中标通知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标通知书_00"/>
                    <pic:cNvPicPr>
                      <a:picLocks noChangeAspect="1"/>
                    </pic:cNvPicPr>
                  </pic:nvPicPr>
                  <pic:blipFill>
                    <a:blip r:embed="rId7"/>
                    <a:stretch>
                      <a:fillRect/>
                    </a:stretch>
                  </pic:blipFill>
                  <pic:spPr>
                    <a:xfrm>
                      <a:off x="0" y="0"/>
                      <a:ext cx="5271135" cy="7453630"/>
                    </a:xfrm>
                    <a:prstGeom prst="rect">
                      <a:avLst/>
                    </a:prstGeom>
                  </pic:spPr>
                </pic:pic>
              </a:graphicData>
            </a:graphic>
          </wp:inline>
        </w:drawing>
      </w:r>
      <w:r>
        <w:br w:type="page"/>
      </w:r>
    </w:p>
    <w:p w14:paraId="0B4596DC">
      <w:pPr>
        <w:sectPr>
          <w:pgSz w:w="11906" w:h="16838"/>
          <w:pgMar w:top="1440" w:right="1800" w:bottom="1440" w:left="1800" w:header="851" w:footer="992" w:gutter="0"/>
          <w:cols w:space="425" w:num="1"/>
          <w:docGrid w:type="lines" w:linePitch="312" w:charSpace="0"/>
        </w:sectPr>
      </w:pPr>
    </w:p>
    <w:p w14:paraId="3B043F90">
      <w:pPr>
        <w:rPr>
          <w:rFonts w:ascii="宋体" w:hAnsi="宋体" w:eastAsia="宋体"/>
          <w:b/>
          <w:color w:val="000000" w:themeColor="text1"/>
          <w:kern w:val="0"/>
          <w:sz w:val="24"/>
          <w:szCs w:val="24"/>
          <w14:textFill>
            <w14:solidFill>
              <w14:schemeClr w14:val="tx1"/>
            </w14:solidFill>
          </w14:textFill>
        </w:rPr>
      </w:pPr>
      <w:r>
        <w:rPr>
          <w:rFonts w:hint="eastAsia" w:ascii="宋体" w:hAnsi="宋体" w:eastAsia="宋体"/>
          <w:b/>
          <w:color w:val="000000" w:themeColor="text1"/>
          <w:sz w:val="24"/>
          <w:szCs w:val="24"/>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1066165</wp:posOffset>
            </wp:positionH>
            <wp:positionV relativeFrom="paragraph">
              <wp:posOffset>-1953895</wp:posOffset>
            </wp:positionV>
            <wp:extent cx="7033260" cy="9946640"/>
            <wp:effectExtent l="0" t="0" r="16510" b="15240"/>
            <wp:wrapSquare wrapText="bothSides"/>
            <wp:docPr id="8" name="图片 8" descr="B包-豫财招标采购-2024-1543-B签字盖章完整版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包-豫财招标采购-2024-1543-B签字盖章完整版_10"/>
                    <pic:cNvPicPr>
                      <a:picLocks noChangeAspect="1"/>
                    </pic:cNvPicPr>
                  </pic:nvPicPr>
                  <pic:blipFill>
                    <a:blip r:embed="rId8"/>
                    <a:stretch>
                      <a:fillRect/>
                    </a:stretch>
                  </pic:blipFill>
                  <pic:spPr>
                    <a:xfrm rot="5400000">
                      <a:off x="0" y="0"/>
                      <a:ext cx="7033260" cy="9946640"/>
                    </a:xfrm>
                    <a:prstGeom prst="rect">
                      <a:avLst/>
                    </a:prstGeom>
                  </pic:spPr>
                </pic:pic>
              </a:graphicData>
            </a:graphic>
          </wp:anchor>
        </w:drawing>
      </w:r>
      <w:r>
        <w:rPr>
          <w:rFonts w:hint="eastAsia" w:ascii="宋体" w:hAnsi="宋体" w:eastAsia="宋体"/>
          <w:b/>
          <w:color w:val="000000" w:themeColor="text1"/>
          <w:sz w:val="24"/>
          <w:szCs w:val="24"/>
          <w14:textFill>
            <w14:solidFill>
              <w14:schemeClr w14:val="tx1"/>
            </w14:solidFill>
          </w14:textFill>
        </w:rPr>
        <w:t xml:space="preserve"> </w:t>
      </w:r>
      <w:r>
        <w:rPr>
          <w:rFonts w:hint="eastAsia" w:ascii="宋体" w:hAnsi="宋体" w:eastAsia="宋体"/>
          <w:b/>
          <w:color w:val="000000" w:themeColor="text1"/>
          <w:kern w:val="0"/>
          <w:sz w:val="24"/>
          <w:szCs w:val="24"/>
          <w14:textFill>
            <w14:solidFill>
              <w14:schemeClr w14:val="tx1"/>
            </w14:solidFill>
          </w14:textFill>
        </w:rPr>
        <w:br w:type="page"/>
      </w:r>
    </w:p>
    <w:p w14:paraId="2D07477D">
      <w:pPr>
        <w:rPr>
          <w:rFonts w:ascii="宋体" w:hAnsi="宋体" w:eastAsia="宋体"/>
          <w:b/>
          <w:color w:val="000000" w:themeColor="text1"/>
          <w:kern w:val="0"/>
          <w:sz w:val="24"/>
          <w:szCs w:val="24"/>
          <w14:textFill>
            <w14:solidFill>
              <w14:schemeClr w14:val="tx1"/>
            </w14:solidFill>
          </w14:textFill>
        </w:rPr>
        <w:sectPr>
          <w:pgSz w:w="16838" w:h="11906" w:orient="landscape"/>
          <w:pgMar w:top="1134" w:right="794" w:bottom="1134" w:left="1077" w:header="851" w:footer="992" w:gutter="0"/>
          <w:cols w:space="720" w:num="1"/>
          <w:docGrid w:type="lines" w:linePitch="312" w:charSpace="0"/>
        </w:sectPr>
      </w:pPr>
    </w:p>
    <w:p w14:paraId="537179AF">
      <w:pPr>
        <w:rPr>
          <w:rFonts w:ascii="宋体" w:hAnsi="宋体" w:eastAsia="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-504190</wp:posOffset>
            </wp:positionH>
            <wp:positionV relativeFrom="paragraph">
              <wp:posOffset>-234315</wp:posOffset>
            </wp:positionV>
            <wp:extent cx="7132955" cy="10087610"/>
            <wp:effectExtent l="0" t="0" r="10795" b="8890"/>
            <wp:wrapSquare wrapText="bothSides"/>
            <wp:docPr id="9" name="图片 9" descr="B包-豫财招标采购-2024-1543-B签字盖章完整版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包-豫财招标采购-2024-1543-B签字盖章完整版_11"/>
                    <pic:cNvPicPr>
                      <a:picLocks noChangeAspect="1"/>
                    </pic:cNvPicPr>
                  </pic:nvPicPr>
                  <pic:blipFill>
                    <a:blip r:embed="rId9"/>
                    <a:stretch>
                      <a:fillRect/>
                    </a:stretch>
                  </pic:blipFill>
                  <pic:spPr>
                    <a:xfrm>
                      <a:off x="0" y="0"/>
                      <a:ext cx="7132955" cy="10087610"/>
                    </a:xfrm>
                    <a:prstGeom prst="rect">
                      <a:avLst/>
                    </a:prstGeom>
                  </pic:spPr>
                </pic:pic>
              </a:graphicData>
            </a:graphic>
          </wp:anchor>
        </w:drawing>
      </w:r>
      <w:r>
        <w:rPr>
          <w:rFonts w:hint="eastAsia" w:ascii="宋体" w:hAnsi="宋体" w:eastAsia="宋体"/>
          <w:b/>
          <w:color w:val="000000" w:themeColor="text1"/>
          <w:sz w:val="24"/>
          <w:szCs w:val="24"/>
          <w14:textFill>
            <w14:solidFill>
              <w14:schemeClr w14:val="tx1"/>
            </w14:solidFill>
          </w14:textFill>
        </w:rPr>
        <w:t xml:space="preserve"> </w:t>
      </w:r>
    </w:p>
    <w:p w14:paraId="5E486EBA">
      <w:pPr>
        <w:rPr>
          <w:rFonts w:hint="eastAsia" w:ascii="宋体" w:hAnsi="宋体" w:eastAsia="宋体" w:cs="宋体"/>
          <w:b/>
          <w:color w:val="000000" w:themeColor="text1"/>
          <w:sz w:val="24"/>
          <w:szCs w:val="24"/>
          <w:lang w:eastAsia="zh-CN"/>
          <w14:textFill>
            <w14:solidFill>
              <w14:schemeClr w14:val="tx1"/>
            </w14:solidFill>
          </w14:textFill>
        </w:rPr>
        <w:sectPr>
          <w:pgSz w:w="11906" w:h="16838"/>
          <w:pgMar w:top="794" w:right="1134" w:bottom="1077" w:left="1134" w:header="851" w:footer="992" w:gutter="0"/>
          <w:cols w:space="0" w:num="1"/>
          <w:docGrid w:type="lines" w:linePitch="318" w:charSpace="0"/>
        </w:sectPr>
      </w:pPr>
    </w:p>
    <w:p w14:paraId="16BFC45B">
      <w:pPr>
        <w:rPr>
          <w:rFonts w:hint="eastAsia"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31" name="图片 31" descr="B包-豫财招标采购-2024-1543-B签字盖章完整版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包-豫财招标采购-2024-1543-B签字盖章完整版_12"/>
                    <pic:cNvPicPr>
                      <a:picLocks noChangeAspect="1"/>
                    </pic:cNvPicPr>
                  </pic:nvPicPr>
                  <pic:blipFill>
                    <a:blip r:embed="rId10"/>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30" name="图片 30" descr="B包-豫财招标采购-2024-1543-B签字盖章完整版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包-豫财招标采购-2024-1543-B签字盖章完整版_13"/>
                    <pic:cNvPicPr>
                      <a:picLocks noChangeAspect="1"/>
                    </pic:cNvPicPr>
                  </pic:nvPicPr>
                  <pic:blipFill>
                    <a:blip r:embed="rId11"/>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29" name="图片 29" descr="B包-豫财招标采购-2024-1543-B签字盖章完整版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包-豫财招标采购-2024-1543-B签字盖章完整版_14"/>
                    <pic:cNvPicPr>
                      <a:picLocks noChangeAspect="1"/>
                    </pic:cNvPicPr>
                  </pic:nvPicPr>
                  <pic:blipFill>
                    <a:blip r:embed="rId12"/>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28" name="图片 28" descr="B包-豫财招标采购-2024-1543-B签字盖章完整版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包-豫财招标采购-2024-1543-B签字盖章完整版_15"/>
                    <pic:cNvPicPr>
                      <a:picLocks noChangeAspect="1"/>
                    </pic:cNvPicPr>
                  </pic:nvPicPr>
                  <pic:blipFill>
                    <a:blip r:embed="rId13"/>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27" name="图片 27" descr="B包-豫财招标采购-2024-1543-B签字盖章完整版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包-豫财招标采购-2024-1543-B签字盖章完整版_16"/>
                    <pic:cNvPicPr>
                      <a:picLocks noChangeAspect="1"/>
                    </pic:cNvPicPr>
                  </pic:nvPicPr>
                  <pic:blipFill>
                    <a:blip r:embed="rId14"/>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26" name="图片 26" descr="B包-豫财招标采购-2024-1543-B签字盖章完整版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包-豫财招标采购-2024-1543-B签字盖章完整版_17"/>
                    <pic:cNvPicPr>
                      <a:picLocks noChangeAspect="1"/>
                    </pic:cNvPicPr>
                  </pic:nvPicPr>
                  <pic:blipFill>
                    <a:blip r:embed="rId15"/>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25" name="图片 25" descr="B包-豫财招标采购-2024-1543-B签字盖章完整版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包-豫财招标采购-2024-1543-B签字盖章完整版_18"/>
                    <pic:cNvPicPr>
                      <a:picLocks noChangeAspect="1"/>
                    </pic:cNvPicPr>
                  </pic:nvPicPr>
                  <pic:blipFill>
                    <a:blip r:embed="rId16"/>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24" name="图片 24" descr="B包-豫财招标采购-2024-1543-B签字盖章完整版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包-豫财招标采购-2024-1543-B签字盖章完整版_19"/>
                    <pic:cNvPicPr>
                      <a:picLocks noChangeAspect="1"/>
                    </pic:cNvPicPr>
                  </pic:nvPicPr>
                  <pic:blipFill>
                    <a:blip r:embed="rId17"/>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23" name="图片 23" descr="B包-豫财招标采购-2024-1543-B签字盖章完整版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包-豫财招标采购-2024-1543-B签字盖章完整版_20"/>
                    <pic:cNvPicPr>
                      <a:picLocks noChangeAspect="1"/>
                    </pic:cNvPicPr>
                  </pic:nvPicPr>
                  <pic:blipFill>
                    <a:blip r:embed="rId18"/>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22" name="图片 22" descr="B包-豫财招标采购-2024-1543-B签字盖章完整版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包-豫财招标采购-2024-1543-B签字盖章完整版_21"/>
                    <pic:cNvPicPr>
                      <a:picLocks noChangeAspect="1"/>
                    </pic:cNvPicPr>
                  </pic:nvPicPr>
                  <pic:blipFill>
                    <a:blip r:embed="rId19"/>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drawing>
          <wp:inline distT="0" distB="0" distL="114300" distR="114300">
            <wp:extent cx="6480175" cy="9164320"/>
            <wp:effectExtent l="0" t="0" r="17780" b="15875"/>
            <wp:docPr id="21" name="图片 21" descr="B包-豫财招标采购-2024-1543-B签字盖章完整版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包-豫财招标采购-2024-1543-B签字盖章完整版_22"/>
                    <pic:cNvPicPr>
                      <a:picLocks noChangeAspect="1"/>
                    </pic:cNvPicPr>
                  </pic:nvPicPr>
                  <pic:blipFill>
                    <a:blip r:embed="rId20"/>
                    <a:stretch>
                      <a:fillRect/>
                    </a:stretch>
                  </pic:blipFill>
                  <pic:spPr>
                    <a:xfrm rot="5400000">
                      <a:off x="0" y="0"/>
                      <a:ext cx="6480175" cy="9164320"/>
                    </a:xfrm>
                    <a:prstGeom prst="rect">
                      <a:avLst/>
                    </a:prstGeom>
                  </pic:spPr>
                </pic:pic>
              </a:graphicData>
            </a:graphic>
          </wp:inline>
        </w:drawing>
      </w:r>
      <w:r>
        <w:rPr>
          <w:rFonts w:hint="eastAsia" w:ascii="宋体" w:hAnsi="宋体" w:eastAsia="宋体"/>
          <w:b/>
          <w:color w:val="000000" w:themeColor="text1"/>
          <w:sz w:val="24"/>
          <w:szCs w:val="24"/>
          <w14:textFill>
            <w14:solidFill>
              <w14:schemeClr w14:val="tx1"/>
            </w14:solidFill>
          </w14:textFill>
        </w:rPr>
        <w:br w:type="page"/>
      </w:r>
    </w:p>
    <w:p w14:paraId="719AE5B1">
      <w:pPr>
        <w:spacing w:line="360" w:lineRule="auto"/>
        <w:rPr>
          <w:rFonts w:ascii="宋体" w:hAnsi="宋体" w:eastAsia="宋体"/>
          <w:b/>
          <w:color w:val="000000" w:themeColor="text1"/>
          <w:sz w:val="24"/>
          <w:szCs w:val="24"/>
          <w14:textFill>
            <w14:solidFill>
              <w14:schemeClr w14:val="tx1"/>
            </w14:solidFill>
          </w14:textFill>
        </w:rPr>
        <w:sectPr>
          <w:pgSz w:w="16838" w:h="11906" w:orient="landscape"/>
          <w:pgMar w:top="1134" w:right="794" w:bottom="1134" w:left="1077" w:header="851" w:footer="992" w:gutter="0"/>
          <w:paperSrc/>
          <w:cols w:space="0" w:num="1"/>
          <w:rtlGutter w:val="0"/>
          <w:docGrid w:type="lines" w:linePitch="321" w:charSpace="0"/>
        </w:sectPr>
      </w:pPr>
      <w:bookmarkStart w:id="3" w:name="_GoBack"/>
      <w:bookmarkEnd w:id="3"/>
    </w:p>
    <w:p w14:paraId="63E9697D">
      <w:pPr>
        <w:spacing w:line="360" w:lineRule="auto"/>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-333375</wp:posOffset>
            </wp:positionH>
            <wp:positionV relativeFrom="paragraph">
              <wp:posOffset>-199390</wp:posOffset>
            </wp:positionV>
            <wp:extent cx="6969760" cy="9857105"/>
            <wp:effectExtent l="0" t="0" r="2540" b="10795"/>
            <wp:wrapSquare wrapText="bothSides"/>
            <wp:docPr id="32" name="图片 32" descr="B包-豫财招标采购-2024-1543-B签字盖章完整版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包-豫财招标采购-2024-1543-B签字盖章完整版_23"/>
                    <pic:cNvPicPr>
                      <a:picLocks noChangeAspect="1"/>
                    </pic:cNvPicPr>
                  </pic:nvPicPr>
                  <pic:blipFill>
                    <a:blip r:embed="rId21"/>
                    <a:stretch>
                      <a:fillRect/>
                    </a:stretch>
                  </pic:blipFill>
                  <pic:spPr>
                    <a:xfrm>
                      <a:off x="0" y="0"/>
                      <a:ext cx="6969760" cy="9857105"/>
                    </a:xfrm>
                    <a:prstGeom prst="rect">
                      <a:avLst/>
                    </a:prstGeom>
                  </pic:spPr>
                </pic:pic>
              </a:graphicData>
            </a:graphic>
          </wp:anchor>
        </w:drawing>
      </w:r>
    </w:p>
    <w:p w14:paraId="32022401">
      <w:pPr>
        <w:spacing w:line="360" w:lineRule="auto"/>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-295275</wp:posOffset>
            </wp:positionH>
            <wp:positionV relativeFrom="paragraph">
              <wp:posOffset>-104140</wp:posOffset>
            </wp:positionV>
            <wp:extent cx="6841490" cy="9676130"/>
            <wp:effectExtent l="0" t="0" r="16510" b="1270"/>
            <wp:wrapSquare wrapText="bothSides"/>
            <wp:docPr id="33" name="图片 33" descr="B包-豫财招标采购-2024-1543-B签字盖章完整版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包-豫财招标采购-2024-1543-B签字盖章完整版_24"/>
                    <pic:cNvPicPr>
                      <a:picLocks noChangeAspect="1"/>
                    </pic:cNvPicPr>
                  </pic:nvPicPr>
                  <pic:blipFill>
                    <a:blip r:embed="rId22"/>
                    <a:stretch>
                      <a:fillRect/>
                    </a:stretch>
                  </pic:blipFill>
                  <pic:spPr>
                    <a:xfrm>
                      <a:off x="0" y="0"/>
                      <a:ext cx="6841490" cy="9676130"/>
                    </a:xfrm>
                    <a:prstGeom prst="rect">
                      <a:avLst/>
                    </a:prstGeom>
                  </pic:spPr>
                </pic:pic>
              </a:graphicData>
            </a:graphic>
          </wp:anchor>
        </w:drawing>
      </w:r>
      <w:r>
        <w:rPr>
          <w:rFonts w:ascii="宋体" w:hAnsi="宋体" w:eastAsia="宋体"/>
          <w:b/>
          <w:color w:val="000000" w:themeColor="text1"/>
          <w:szCs w:val="21"/>
          <w14:textFill>
            <w14:solidFill>
              <w14:schemeClr w14:val="tx1"/>
            </w14:solidFill>
          </w14:textFill>
        </w:rPr>
        <w:br w:type="page"/>
      </w:r>
    </w:p>
    <w:p w14:paraId="6E83EC07">
      <w:pPr>
        <w:spacing w:line="360" w:lineRule="auto"/>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 xml:space="preserve"> 附件7：  </w:t>
      </w:r>
      <w:r>
        <w:rPr>
          <w:rFonts w:hint="eastAsia" w:ascii="宋体" w:hAnsi="宋体" w:eastAsia="宋体"/>
          <w:b/>
          <w:color w:val="000000" w:themeColor="text1"/>
          <w:sz w:val="28"/>
          <w:szCs w:val="28"/>
          <w14:textFill>
            <w14:solidFill>
              <w14:schemeClr w14:val="tx1"/>
            </w14:solidFill>
          </w14:textFill>
        </w:rPr>
        <w:t xml:space="preserve">            制造商售后其它服务承诺</w:t>
      </w:r>
    </w:p>
    <w:p w14:paraId="5602CBBE">
      <w:pPr>
        <w:pStyle w:val="5"/>
      </w:pPr>
      <w:bookmarkStart w:id="0" w:name="_Toc7899"/>
      <w:r>
        <w:rPr>
          <w:rFonts w:hint="eastAsia" w:ascii="宋体" w:hAnsi="宋体" w:eastAsia="宋体"/>
          <w:color w:val="000000" w:themeColor="text1"/>
          <w:sz w:val="24"/>
          <w:szCs w:val="24"/>
          <w:lang w:val="en-US" w:eastAsia="zh-CN"/>
          <w14:textFill>
            <w14:solidFill>
              <w14:schemeClr w14:val="tx1"/>
            </w14:solidFill>
          </w14:textFill>
        </w:rPr>
        <w:t>1、</w:t>
      </w:r>
      <w:r>
        <w:rPr>
          <w:rFonts w:hint="eastAsia"/>
        </w:rPr>
        <w:t>岛津LC2050液相色谱仪</w:t>
      </w:r>
      <w:bookmarkEnd w:id="0"/>
    </w:p>
    <w:p w14:paraId="444F2AE3">
      <w:pP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107" name="图片 107" descr="岛津-售后服务方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岛津-售后服务方案_00"/>
                    <pic:cNvPicPr>
                      <a:picLocks noChangeAspect="1"/>
                    </pic:cNvPicPr>
                  </pic:nvPicPr>
                  <pic:blipFill>
                    <a:blip r:embed="rId23">
                      <a:lum contrast="6000"/>
                    </a:blip>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109" name="图片 109" descr="岛津-售后服务方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岛津-售后服务方案_01"/>
                    <pic:cNvPicPr>
                      <a:picLocks noChangeAspect="1"/>
                    </pic:cNvPicPr>
                  </pic:nvPicPr>
                  <pic:blipFill>
                    <a:blip r:embed="rId24">
                      <a:lum contrast="6000"/>
                    </a:blip>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111" name="图片 111" descr="岛津-售后服务方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岛津-售后服务方案_02"/>
                    <pic:cNvPicPr>
                      <a:picLocks noChangeAspect="1"/>
                    </pic:cNvPicPr>
                  </pic:nvPicPr>
                  <pic:blipFill>
                    <a:blip r:embed="rId25">
                      <a:lum contrast="6000"/>
                    </a:blip>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201" name="图片 201" descr="岛津-售后服务方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岛津-售后服务方案_03"/>
                    <pic:cNvPicPr>
                      <a:picLocks noChangeAspect="1"/>
                    </pic:cNvPicPr>
                  </pic:nvPicPr>
                  <pic:blipFill>
                    <a:blip r:embed="rId26"/>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112" name="图片 112" descr="岛津-售后服务方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岛津-售后服务方案_04"/>
                    <pic:cNvPicPr>
                      <a:picLocks noChangeAspect="1"/>
                    </pic:cNvPicPr>
                  </pic:nvPicPr>
                  <pic:blipFill>
                    <a:blip r:embed="rId27">
                      <a:lum contrast="6000"/>
                    </a:blip>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113" name="图片 113" descr="岛津-售后服务方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岛津-售后服务方案_05"/>
                    <pic:cNvPicPr>
                      <a:picLocks noChangeAspect="1"/>
                    </pic:cNvPicPr>
                  </pic:nvPicPr>
                  <pic:blipFill>
                    <a:blip r:embed="rId28">
                      <a:lum contrast="6000"/>
                    </a:blip>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169" name="图片 169" descr="岛津-售后服务方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岛津-售后服务方案_06"/>
                    <pic:cNvPicPr>
                      <a:picLocks noChangeAspect="1"/>
                    </pic:cNvPicPr>
                  </pic:nvPicPr>
                  <pic:blipFill>
                    <a:blip r:embed="rId29">
                      <a:lum contrast="6000"/>
                    </a:blip>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239" name="图片 239" descr="岛津-售后服务方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岛津-售后服务方案_07"/>
                    <pic:cNvPicPr>
                      <a:picLocks noChangeAspect="1"/>
                    </pic:cNvPicPr>
                  </pic:nvPicPr>
                  <pic:blipFill>
                    <a:blip r:embed="rId30">
                      <a:lum contrast="6000"/>
                    </a:blip>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238" name="图片 238" descr="岛津-售后服务方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岛津-售后服务方案_08"/>
                    <pic:cNvPicPr>
                      <a:picLocks noChangeAspect="1"/>
                    </pic:cNvPicPr>
                  </pic:nvPicPr>
                  <pic:blipFill>
                    <a:blip r:embed="rId31">
                      <a:lum contrast="6000"/>
                    </a:blip>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br w:type="page"/>
      </w:r>
    </w:p>
    <w:p w14:paraId="2C2D31C4">
      <w:pPr>
        <w:pStyle w:val="5"/>
      </w:pPr>
      <w:bookmarkStart w:id="1" w:name="_Toc32442"/>
      <w:r>
        <w:rPr>
          <w:rFonts w:hint="eastAsia"/>
          <w:lang w:val="en-US" w:eastAsia="zh-CN"/>
        </w:rPr>
        <w:t>2、</w:t>
      </w:r>
      <w:r>
        <w:rPr>
          <w:rFonts w:hint="eastAsia"/>
        </w:rPr>
        <w:t>安捷伦1260 Infinity III液相色谱仪</w:t>
      </w:r>
      <w:bookmarkEnd w:id="1"/>
    </w:p>
    <w:p w14:paraId="5CDAE3E0">
      <w:pP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210" name="图片 210" descr="万赛科技授权资料 (2)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万赛科技授权资料 (2)_42"/>
                    <pic:cNvPicPr>
                      <a:picLocks noChangeAspect="1"/>
                    </pic:cNvPicPr>
                  </pic:nvPicPr>
                  <pic:blipFill>
                    <a:blip r:embed="rId32"/>
                    <a:stretch>
                      <a:fillRect/>
                    </a:stretch>
                  </pic:blipFill>
                  <pic:spPr>
                    <a:xfrm>
                      <a:off x="0" y="0"/>
                      <a:ext cx="5263515" cy="7442835"/>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3515" cy="7442835"/>
            <wp:effectExtent l="0" t="0" r="13335" b="5715"/>
            <wp:docPr id="208" name="图片 208" descr="万赛科技授权资料 (2)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万赛科技授权资料 (2)_43"/>
                    <pic:cNvPicPr>
                      <a:picLocks noChangeAspect="1"/>
                    </pic:cNvPicPr>
                  </pic:nvPicPr>
                  <pic:blipFill>
                    <a:blip r:embed="rId33"/>
                    <a:stretch>
                      <a:fillRect/>
                    </a:stretch>
                  </pic:blipFill>
                  <pic:spPr>
                    <a:xfrm>
                      <a:off x="0" y="0"/>
                      <a:ext cx="5263515" cy="7442835"/>
                    </a:xfrm>
                    <a:prstGeom prst="rect">
                      <a:avLst/>
                    </a:prstGeom>
                  </pic:spPr>
                </pic:pic>
              </a:graphicData>
            </a:graphic>
          </wp:inline>
        </w:drawing>
      </w:r>
    </w:p>
    <w:p w14:paraId="5464E0A4">
      <w:pPr>
        <w:rPr>
          <w:rFonts w:asciiTheme="minorEastAsia" w:hAnsiTheme="minorEastAsia" w:cstheme="minorEastAsia"/>
          <w:color w:val="000000" w:themeColor="text1"/>
          <w:sz w:val="24"/>
          <w:szCs w:val="24"/>
          <w14:textFill>
            <w14:solidFill>
              <w14:schemeClr w14:val="tx1"/>
            </w14:solidFill>
          </w14:textFill>
        </w:rPr>
      </w:pPr>
    </w:p>
    <w:p w14:paraId="3D0ACC5E">
      <w:pP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br w:type="page"/>
      </w:r>
    </w:p>
    <w:p w14:paraId="624F155A">
      <w:pPr>
        <w:pStyle w:val="5"/>
      </w:pPr>
      <w:bookmarkStart w:id="2" w:name="_Toc5843"/>
      <w:r>
        <w:rPr>
          <w:rFonts w:hint="eastAsia"/>
          <w:lang w:val="en-US" w:eastAsia="zh-CN"/>
        </w:rPr>
        <w:t>3、</w:t>
      </w:r>
      <w:r>
        <w:rPr>
          <w:rFonts w:hint="eastAsia"/>
        </w:rPr>
        <w:t>沃特世ACQUITY UPLC H-Class Plus液相色谱仪</w:t>
      </w:r>
      <w:bookmarkEnd w:id="2"/>
    </w:p>
    <w:p w14:paraId="7946AB8B">
      <w:pPr>
        <w:spacing w:line="360" w:lineRule="auto"/>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9865" cy="6819900"/>
            <wp:effectExtent l="0" t="0" r="6985" b="0"/>
            <wp:docPr id="146" name="图片 146" descr="Waters售后服务书(1)_2025011710583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Waters售后服务书(1)_20250117105834_00"/>
                    <pic:cNvPicPr>
                      <a:picLocks noChangeAspect="1"/>
                    </pic:cNvPicPr>
                  </pic:nvPicPr>
                  <pic:blipFill>
                    <a:blip r:embed="rId34"/>
                    <a:stretch>
                      <a:fillRect/>
                    </a:stretch>
                  </pic:blipFill>
                  <pic:spPr>
                    <a:xfrm>
                      <a:off x="0" y="0"/>
                      <a:ext cx="5269865" cy="6819900"/>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9865" cy="6819900"/>
            <wp:effectExtent l="0" t="0" r="6985" b="0"/>
            <wp:docPr id="145" name="图片 145" descr="Waters售后服务书(1)_2025011710583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Waters售后服务书(1)_20250117105834_01"/>
                    <pic:cNvPicPr>
                      <a:picLocks noChangeAspect="1"/>
                    </pic:cNvPicPr>
                  </pic:nvPicPr>
                  <pic:blipFill>
                    <a:blip r:embed="rId35"/>
                    <a:stretch>
                      <a:fillRect/>
                    </a:stretch>
                  </pic:blipFill>
                  <pic:spPr>
                    <a:xfrm>
                      <a:off x="0" y="0"/>
                      <a:ext cx="5269865" cy="6819900"/>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9865" cy="6819900"/>
            <wp:effectExtent l="0" t="0" r="6985" b="0"/>
            <wp:docPr id="144" name="图片 144" descr="Waters售后服务书(1)_2025011710583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Waters售后服务书(1)_20250117105834_02"/>
                    <pic:cNvPicPr>
                      <a:picLocks noChangeAspect="1"/>
                    </pic:cNvPicPr>
                  </pic:nvPicPr>
                  <pic:blipFill>
                    <a:blip r:embed="rId36"/>
                    <a:stretch>
                      <a:fillRect/>
                    </a:stretch>
                  </pic:blipFill>
                  <pic:spPr>
                    <a:xfrm>
                      <a:off x="0" y="0"/>
                      <a:ext cx="5269865" cy="6819900"/>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9865" cy="6819900"/>
            <wp:effectExtent l="0" t="0" r="6985" b="0"/>
            <wp:docPr id="143" name="图片 143" descr="Waters售后服务书(1)_2025011710583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Waters售后服务书(1)_20250117105834_03"/>
                    <pic:cNvPicPr>
                      <a:picLocks noChangeAspect="1"/>
                    </pic:cNvPicPr>
                  </pic:nvPicPr>
                  <pic:blipFill>
                    <a:blip r:embed="rId37"/>
                    <a:stretch>
                      <a:fillRect/>
                    </a:stretch>
                  </pic:blipFill>
                  <pic:spPr>
                    <a:xfrm>
                      <a:off x="0" y="0"/>
                      <a:ext cx="5269865" cy="6819900"/>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9865" cy="6819900"/>
            <wp:effectExtent l="0" t="0" r="6985" b="0"/>
            <wp:docPr id="142" name="图片 142" descr="Waters售后服务书(1)_2025011710583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Waters售后服务书(1)_20250117105834_04"/>
                    <pic:cNvPicPr>
                      <a:picLocks noChangeAspect="1"/>
                    </pic:cNvPicPr>
                  </pic:nvPicPr>
                  <pic:blipFill>
                    <a:blip r:embed="rId38"/>
                    <a:stretch>
                      <a:fillRect/>
                    </a:stretch>
                  </pic:blipFill>
                  <pic:spPr>
                    <a:xfrm>
                      <a:off x="0" y="0"/>
                      <a:ext cx="5269865" cy="6819900"/>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9865" cy="6819900"/>
            <wp:effectExtent l="0" t="0" r="6985" b="0"/>
            <wp:docPr id="141" name="图片 141" descr="Waters售后服务书(1)_2025011710583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Waters售后服务书(1)_20250117105834_05"/>
                    <pic:cNvPicPr>
                      <a:picLocks noChangeAspect="1"/>
                    </pic:cNvPicPr>
                  </pic:nvPicPr>
                  <pic:blipFill>
                    <a:blip r:embed="rId39"/>
                    <a:stretch>
                      <a:fillRect/>
                    </a:stretch>
                  </pic:blipFill>
                  <pic:spPr>
                    <a:xfrm>
                      <a:off x="0" y="0"/>
                      <a:ext cx="5269865" cy="6819900"/>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9865" cy="6819900"/>
            <wp:effectExtent l="0" t="0" r="6985" b="0"/>
            <wp:docPr id="140" name="图片 140" descr="Waters售后服务书(1)_2025011710583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Waters售后服务书(1)_20250117105834_06"/>
                    <pic:cNvPicPr>
                      <a:picLocks noChangeAspect="1"/>
                    </pic:cNvPicPr>
                  </pic:nvPicPr>
                  <pic:blipFill>
                    <a:blip r:embed="rId40"/>
                    <a:stretch>
                      <a:fillRect/>
                    </a:stretch>
                  </pic:blipFill>
                  <pic:spPr>
                    <a:xfrm>
                      <a:off x="0" y="0"/>
                      <a:ext cx="5269865" cy="6819900"/>
                    </a:xfrm>
                    <a:prstGeom prst="rect">
                      <a:avLst/>
                    </a:prstGeom>
                  </pic:spPr>
                </pic:pic>
              </a:graphicData>
            </a:graphic>
          </wp:inline>
        </w:drawing>
      </w:r>
      <w:r>
        <w:rPr>
          <w:rFonts w:hint="eastAsia" w:asciiTheme="minorEastAsia" w:hAnsiTheme="minorEastAsia" w:cstheme="minorEastAsia"/>
          <w:color w:val="000000" w:themeColor="text1"/>
          <w:sz w:val="24"/>
          <w:szCs w:val="24"/>
          <w14:textFill>
            <w14:solidFill>
              <w14:schemeClr w14:val="tx1"/>
            </w14:solidFill>
          </w14:textFill>
        </w:rPr>
        <w:drawing>
          <wp:inline distT="0" distB="0" distL="114300" distR="114300">
            <wp:extent cx="5269865" cy="6819900"/>
            <wp:effectExtent l="0" t="0" r="6985" b="0"/>
            <wp:docPr id="139" name="图片 139" descr="Waters售后服务书(1)_2025011710583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Waters售后服务书(1)_20250117105834_07"/>
                    <pic:cNvPicPr>
                      <a:picLocks noChangeAspect="1"/>
                    </pic:cNvPicPr>
                  </pic:nvPicPr>
                  <pic:blipFill>
                    <a:blip r:embed="rId41"/>
                    <a:stretch>
                      <a:fillRect/>
                    </a:stretch>
                  </pic:blipFill>
                  <pic:spPr>
                    <a:xfrm>
                      <a:off x="0" y="0"/>
                      <a:ext cx="5269865" cy="6819900"/>
                    </a:xfrm>
                    <a:prstGeom prst="rect">
                      <a:avLst/>
                    </a:prstGeom>
                  </pic:spPr>
                </pic:pic>
              </a:graphicData>
            </a:graphic>
          </wp:inline>
        </w:drawing>
      </w:r>
    </w:p>
    <w:p w14:paraId="0731C4A1">
      <w:pPr>
        <w:rPr>
          <w:rFonts w:hint="eastAsia"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br w:type="page"/>
      </w:r>
    </w:p>
    <w:p w14:paraId="76CA1E94">
      <w:pPr>
        <w:spacing w:line="360" w:lineRule="auto"/>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-352425</wp:posOffset>
            </wp:positionH>
            <wp:positionV relativeFrom="paragraph">
              <wp:posOffset>-161290</wp:posOffset>
            </wp:positionV>
            <wp:extent cx="6889115" cy="9743440"/>
            <wp:effectExtent l="0" t="0" r="6985" b="10160"/>
            <wp:wrapSquare wrapText="bothSides"/>
            <wp:docPr id="34" name="图片 34" descr="B包-豫财招标采购-2024-1543-B签字盖章完整版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包-豫财招标采购-2024-1543-B签字盖章完整版_44"/>
                    <pic:cNvPicPr>
                      <a:picLocks noChangeAspect="1"/>
                    </pic:cNvPicPr>
                  </pic:nvPicPr>
                  <pic:blipFill>
                    <a:blip r:embed="rId42"/>
                    <a:stretch>
                      <a:fillRect/>
                    </a:stretch>
                  </pic:blipFill>
                  <pic:spPr>
                    <a:xfrm>
                      <a:off x="0" y="0"/>
                      <a:ext cx="6889115" cy="9743440"/>
                    </a:xfrm>
                    <a:prstGeom prst="rect">
                      <a:avLst/>
                    </a:prstGeom>
                  </pic:spPr>
                </pic:pic>
              </a:graphicData>
            </a:graphic>
          </wp:anchor>
        </w:drawing>
      </w:r>
    </w:p>
    <w:sectPr>
      <w:pgSz w:w="11906" w:h="16838"/>
      <w:pgMar w:top="794" w:right="1134" w:bottom="1077" w:left="1134" w:header="851" w:footer="992" w:gutter="0"/>
      <w:paperSrc/>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A6A0">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4E2CB">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8E4E2CB">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5367F64"/>
    <w:rsid w:val="0030270C"/>
    <w:rsid w:val="004C3CE2"/>
    <w:rsid w:val="00626DDC"/>
    <w:rsid w:val="00C35070"/>
    <w:rsid w:val="00FC3963"/>
    <w:rsid w:val="024912E2"/>
    <w:rsid w:val="02CD31BD"/>
    <w:rsid w:val="050F4A96"/>
    <w:rsid w:val="07FD57CB"/>
    <w:rsid w:val="0B5F64B0"/>
    <w:rsid w:val="0F1F345E"/>
    <w:rsid w:val="19574DA2"/>
    <w:rsid w:val="232835BD"/>
    <w:rsid w:val="246103A6"/>
    <w:rsid w:val="35367F64"/>
    <w:rsid w:val="36E87ECA"/>
    <w:rsid w:val="370E4CE1"/>
    <w:rsid w:val="3F324611"/>
    <w:rsid w:val="41E62213"/>
    <w:rsid w:val="455A10E4"/>
    <w:rsid w:val="489E7C02"/>
    <w:rsid w:val="49CF3AFC"/>
    <w:rsid w:val="4B21445E"/>
    <w:rsid w:val="6117008D"/>
    <w:rsid w:val="614D2996"/>
    <w:rsid w:val="677514F6"/>
    <w:rsid w:val="762D52CC"/>
    <w:rsid w:val="7D5C493C"/>
    <w:rsid w:val="7FE41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0"/>
    <w:pPr>
      <w:keepNext/>
      <w:keepLines/>
      <w:spacing w:line="360" w:lineRule="auto"/>
      <w:jc w:val="center"/>
      <w:outlineLvl w:val="0"/>
    </w:pPr>
    <w:rPr>
      <w:rFonts w:ascii="Times New Roman" w:hAnsi="Times New Roman" w:eastAsia="宋体" w:cs="Times New Roman"/>
      <w:b/>
      <w:kern w:val="44"/>
      <w:sz w:val="44"/>
      <w:szCs w:val="21"/>
    </w:rPr>
  </w:style>
  <w:style w:type="paragraph" w:styleId="3">
    <w:name w:val="heading 2"/>
    <w:basedOn w:val="1"/>
    <w:next w:val="1"/>
    <w:semiHidden/>
    <w:unhideWhenUsed/>
    <w:qFormat/>
    <w:uiPriority w:val="0"/>
    <w:pPr>
      <w:keepNext/>
      <w:keepLines/>
      <w:spacing w:line="360" w:lineRule="auto"/>
      <w:jc w:val="center"/>
      <w:outlineLvl w:val="1"/>
    </w:pPr>
    <w:rPr>
      <w:rFonts w:ascii="Arial" w:hAnsi="Arial" w:eastAsia="宋体" w:cs="Times New Roman"/>
      <w:b/>
      <w:bCs/>
      <w:sz w:val="32"/>
      <w:szCs w:val="32"/>
    </w:rPr>
  </w:style>
  <w:style w:type="paragraph" w:styleId="4">
    <w:name w:val="heading 3"/>
    <w:basedOn w:val="1"/>
    <w:next w:val="1"/>
    <w:semiHidden/>
    <w:unhideWhenUsed/>
    <w:qFormat/>
    <w:uiPriority w:val="0"/>
    <w:pPr>
      <w:keepNext/>
      <w:keepLines/>
      <w:spacing w:line="360" w:lineRule="auto"/>
      <w:jc w:val="left"/>
      <w:outlineLvl w:val="2"/>
    </w:pPr>
    <w:rPr>
      <w:rFonts w:eastAsia="宋体" w:cs="Times New Roman"/>
      <w:b/>
      <w:bCs/>
      <w:sz w:val="28"/>
      <w:szCs w:val="32"/>
    </w:rPr>
  </w:style>
  <w:style w:type="paragraph" w:styleId="5">
    <w:name w:val="heading 4"/>
    <w:basedOn w:val="1"/>
    <w:next w:val="1"/>
    <w:semiHidden/>
    <w:unhideWhenUsed/>
    <w:qFormat/>
    <w:uiPriority w:val="0"/>
    <w:pPr>
      <w:keepNext/>
      <w:keepLines/>
      <w:spacing w:line="360" w:lineRule="auto"/>
      <w:jc w:val="left"/>
      <w:outlineLvl w:val="3"/>
    </w:pPr>
    <w:rPr>
      <w:rFonts w:asciiTheme="majorHAnsi" w:hAnsiTheme="majorHAnsi" w:eastAsiaTheme="majorEastAsia" w:cstheme="majorBidi"/>
      <w:b/>
      <w:bCs/>
      <w:sz w:val="28"/>
      <w:szCs w:val="2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标题 1 字符"/>
    <w:link w:val="2"/>
    <w:qFormat/>
    <w:uiPriority w:val="0"/>
    <w:rPr>
      <w:rFonts w:ascii="Times New Roman" w:hAnsi="Times New Roman" w:eastAsia="宋体" w:cs="Times New Roman"/>
      <w:b/>
      <w:kern w:val="44"/>
      <w:sz w:val="44"/>
      <w:szCs w:val="21"/>
    </w:rPr>
  </w:style>
  <w:style w:type="paragraph" w:customStyle="1" w:styleId="12">
    <w:name w:val="Table Text"/>
    <w:basedOn w:val="1"/>
    <w:autoRedefine/>
    <w:semiHidden/>
    <w:qFormat/>
    <w:uiPriority w:val="0"/>
    <w:rPr>
      <w:rFonts w:ascii="宋体" w:hAnsi="宋体" w:eastAsia="宋体" w:cs="宋体"/>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4825</Words>
  <Characters>5081</Characters>
  <Lines>107</Lines>
  <Paragraphs>30</Paragraphs>
  <TotalTime>9</TotalTime>
  <ScaleCrop>false</ScaleCrop>
  <LinksUpToDate>false</LinksUpToDate>
  <CharactersWithSpaces>5219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2025-03-18T02:02:00Z</dcterms:created>
  <dc:creator>薇薇</dc:creator>
  <cp:lastModifiedBy>薇薇</cp:lastModifiedBy>
  <cp:lastPrinted>2025-03-20T08:26:00Z</cp:lastPrinted>
  <dcterms:modified xsi:type="dcterms:W3CDTF">2025-04-01T07:03:30Z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49730C5E989B47FD88FA7588C25E385D_13</vt:lpwstr>
  </property>
  <property fmtid="{D5CDD505-2E9C-101B-9397-08002B2CF9AE}" pid="4" name="KSOTemplateDocerSaveRecord">
    <vt:lpwstr>eyJoZGlkIjoiNTFjZjE1NWY3ZWI3MzdjN2NmZTIyYWJhZWNmYWQwZGUiLCJ1c2VySWQiOiI0MzQwMzEwNDQifQ==</vt:lpwstr>
  </property>
</Properties>
</file>