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rPr>
          <w:rFonts w:asciiTheme="minorEastAsia" w:hAnsiTheme="minorEastAsia" w:eastAsiaTheme="minorEastAsia" w:cstheme="minorEastAsia"/>
          <w:highlight w:val="none"/>
        </w:rPr>
      </w:pPr>
      <w:bookmarkStart w:id="0" w:name="_Toc281574833"/>
    </w:p>
    <w:p>
      <w:pPr>
        <w:snapToGrid w:val="0"/>
        <w:spacing w:line="360" w:lineRule="auto"/>
        <w:jc w:val="center"/>
        <w:rPr>
          <w:rFonts w:hint="eastAsia" w:asciiTheme="minorEastAsia" w:hAnsiTheme="minorEastAsia" w:eastAsiaTheme="minorEastAsia" w:cstheme="minorEastAsia"/>
          <w:b/>
          <w:sz w:val="84"/>
          <w:szCs w:val="84"/>
          <w:highlight w:val="none"/>
          <w:lang w:eastAsia="zh-CN"/>
        </w:rPr>
      </w:pPr>
      <w:r>
        <w:rPr>
          <w:rFonts w:hint="eastAsia" w:asciiTheme="minorEastAsia" w:hAnsiTheme="minorEastAsia" w:eastAsiaTheme="minorEastAsia" w:cstheme="minorEastAsia"/>
          <w:b/>
          <w:sz w:val="48"/>
          <w:szCs w:val="48"/>
          <w:highlight w:val="none"/>
          <w:lang w:eastAsia="zh-CN"/>
        </w:rPr>
        <w:t>博爱县职业中等专业学校虚拟仿真实训基地建设采购项目</w:t>
      </w:r>
    </w:p>
    <w:p>
      <w:pPr>
        <w:snapToGrid w:val="0"/>
        <w:spacing w:line="360" w:lineRule="auto"/>
        <w:jc w:val="center"/>
        <w:rPr>
          <w:rFonts w:asciiTheme="minorEastAsia" w:hAnsiTheme="minorEastAsia" w:eastAsiaTheme="minorEastAsia" w:cstheme="minorEastAsia"/>
          <w:b/>
          <w:sz w:val="84"/>
          <w:szCs w:val="84"/>
          <w:highlight w:val="none"/>
        </w:rPr>
      </w:pPr>
      <w:r>
        <w:rPr>
          <w:rFonts w:hint="eastAsia" w:asciiTheme="minorEastAsia" w:hAnsiTheme="minorEastAsia" w:eastAsiaTheme="minorEastAsia" w:cstheme="minorEastAsia"/>
          <w:b/>
          <w:sz w:val="84"/>
          <w:szCs w:val="84"/>
          <w:highlight w:val="none"/>
        </w:rPr>
        <w:t>招标文件</w:t>
      </w:r>
    </w:p>
    <w:p>
      <w:pPr>
        <w:snapToGrid w:val="0"/>
        <w:spacing w:line="360" w:lineRule="auto"/>
        <w:ind w:firstLine="2313" w:firstLineChars="800"/>
        <w:rPr>
          <w:rFonts w:asciiTheme="minorEastAsia" w:hAnsiTheme="minorEastAsia" w:eastAsiaTheme="minorEastAsia" w:cstheme="minorEastAsia"/>
          <w:b/>
          <w:spacing w:val="-6"/>
          <w:sz w:val="30"/>
          <w:szCs w:val="30"/>
          <w:highlight w:val="none"/>
        </w:rPr>
      </w:pPr>
      <w:r>
        <w:rPr>
          <w:rFonts w:hint="eastAsia" w:asciiTheme="minorEastAsia" w:hAnsiTheme="minorEastAsia" w:eastAsiaTheme="minorEastAsia" w:cstheme="minorEastAsia"/>
          <w:b/>
          <w:spacing w:val="-6"/>
          <w:sz w:val="30"/>
          <w:szCs w:val="30"/>
          <w:highlight w:val="none"/>
        </w:rPr>
        <w:t>采购编号：博政采购〔2024〕</w:t>
      </w:r>
      <w:r>
        <w:rPr>
          <w:rFonts w:hint="eastAsia" w:asciiTheme="minorEastAsia" w:hAnsiTheme="minorEastAsia" w:eastAsiaTheme="minorEastAsia" w:cstheme="minorEastAsia"/>
          <w:b/>
          <w:spacing w:val="-6"/>
          <w:sz w:val="30"/>
          <w:szCs w:val="30"/>
          <w:highlight w:val="none"/>
          <w:lang w:val="en-US" w:eastAsia="zh-CN"/>
        </w:rPr>
        <w:t>13</w:t>
      </w:r>
      <w:r>
        <w:rPr>
          <w:rFonts w:hint="eastAsia" w:asciiTheme="minorEastAsia" w:hAnsiTheme="minorEastAsia" w:eastAsiaTheme="minorEastAsia" w:cstheme="minorEastAsia"/>
          <w:b/>
          <w:spacing w:val="-6"/>
          <w:sz w:val="30"/>
          <w:szCs w:val="30"/>
          <w:highlight w:val="none"/>
        </w:rPr>
        <w:t>号</w:t>
      </w:r>
    </w:p>
    <w:p>
      <w:pPr>
        <w:snapToGrid w:val="0"/>
        <w:spacing w:line="360" w:lineRule="auto"/>
        <w:ind w:firstLine="2157" w:firstLineChars="746"/>
        <w:rPr>
          <w:rFonts w:asciiTheme="minorEastAsia" w:hAnsiTheme="minorEastAsia" w:eastAsiaTheme="minorEastAsia" w:cstheme="minorEastAsia"/>
          <w:b/>
          <w:spacing w:val="-6"/>
          <w:sz w:val="30"/>
          <w:szCs w:val="30"/>
          <w:highlight w:val="none"/>
        </w:rPr>
      </w:pPr>
    </w:p>
    <w:p>
      <w:pPr>
        <w:snapToGrid w:val="0"/>
        <w:spacing w:line="360" w:lineRule="auto"/>
        <w:jc w:val="center"/>
        <w:rPr>
          <w:rFonts w:asciiTheme="minorEastAsia" w:hAnsiTheme="minorEastAsia" w:eastAsiaTheme="minorEastAsia" w:cstheme="minorEastAsia"/>
          <w:b/>
          <w:spacing w:val="-6"/>
          <w:sz w:val="32"/>
          <w:szCs w:val="32"/>
          <w:highlight w:val="none"/>
        </w:rPr>
      </w:pPr>
      <w:r>
        <w:rPr>
          <w:rFonts w:hint="eastAsia" w:asciiTheme="minorEastAsia" w:hAnsiTheme="minorEastAsia" w:eastAsiaTheme="minorEastAsia" w:cstheme="minorEastAsia"/>
          <w:b/>
          <w:spacing w:val="-6"/>
          <w:sz w:val="32"/>
          <w:szCs w:val="32"/>
          <w:highlight w:val="none"/>
        </w:rPr>
        <w:drawing>
          <wp:inline distT="0" distB="0" distL="114300" distR="114300">
            <wp:extent cx="2049780" cy="2448560"/>
            <wp:effectExtent l="0" t="0" r="7620" b="2540"/>
            <wp:docPr id="1" name="图片 1" descr="1696750019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96750019570"/>
                    <pic:cNvPicPr>
                      <a:picLocks noChangeAspect="1"/>
                    </pic:cNvPicPr>
                  </pic:nvPicPr>
                  <pic:blipFill>
                    <a:blip r:embed="rId8"/>
                    <a:stretch>
                      <a:fillRect/>
                    </a:stretch>
                  </pic:blipFill>
                  <pic:spPr>
                    <a:xfrm>
                      <a:off x="0" y="0"/>
                      <a:ext cx="2049780" cy="2448560"/>
                    </a:xfrm>
                    <a:prstGeom prst="rect">
                      <a:avLst/>
                    </a:prstGeom>
                  </pic:spPr>
                </pic:pic>
              </a:graphicData>
            </a:graphic>
          </wp:inline>
        </w:drawing>
      </w:r>
    </w:p>
    <w:p>
      <w:pPr>
        <w:snapToGrid w:val="0"/>
        <w:spacing w:line="360" w:lineRule="auto"/>
        <w:rPr>
          <w:rFonts w:asciiTheme="minorEastAsia" w:hAnsiTheme="minorEastAsia" w:eastAsiaTheme="minorEastAsia" w:cstheme="minorEastAsia"/>
          <w:b/>
          <w:bCs/>
          <w:sz w:val="32"/>
          <w:szCs w:val="32"/>
          <w:highlight w:val="none"/>
        </w:rPr>
      </w:pPr>
    </w:p>
    <w:p>
      <w:pPr>
        <w:pStyle w:val="19"/>
        <w:ind w:firstLine="643"/>
        <w:rPr>
          <w:rFonts w:asciiTheme="minorEastAsia" w:hAnsiTheme="minorEastAsia" w:eastAsiaTheme="minorEastAsia" w:cstheme="minorEastAsia"/>
          <w:b/>
          <w:bCs/>
          <w:sz w:val="32"/>
          <w:szCs w:val="32"/>
          <w:highlight w:val="none"/>
        </w:rPr>
      </w:pPr>
    </w:p>
    <w:p>
      <w:pPr>
        <w:rPr>
          <w:highlight w:val="none"/>
        </w:rPr>
      </w:pPr>
    </w:p>
    <w:p>
      <w:pPr>
        <w:snapToGrid w:val="0"/>
        <w:spacing w:line="360" w:lineRule="auto"/>
        <w:ind w:firstLine="643" w:firstLineChars="200"/>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采 购 人：博爱县职业中等专业学校</w:t>
      </w:r>
    </w:p>
    <w:p>
      <w:pPr>
        <w:snapToGrid w:val="0"/>
        <w:spacing w:line="360" w:lineRule="auto"/>
        <w:ind w:firstLine="643" w:firstLineChars="200"/>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代理机构：河南四方建设管理有限公司</w:t>
      </w:r>
    </w:p>
    <w:p>
      <w:pPr>
        <w:snapToGrid w:val="0"/>
        <w:spacing w:line="360" w:lineRule="auto"/>
        <w:ind w:firstLine="643" w:firstLineChars="200"/>
        <w:rPr>
          <w:rFonts w:asciiTheme="minorEastAsia" w:hAnsiTheme="minorEastAsia" w:eastAsiaTheme="minorEastAsia" w:cstheme="minorEastAsia"/>
          <w:b/>
          <w:bCs/>
          <w:sz w:val="32"/>
          <w:szCs w:val="32"/>
          <w:highlight w:val="none"/>
        </w:rPr>
        <w:sectPr>
          <w:footerReference r:id="rId4" w:type="first"/>
          <w:footerReference r:id="rId3" w:type="default"/>
          <w:pgSz w:w="11907" w:h="16840"/>
          <w:pgMar w:top="1417" w:right="1474" w:bottom="1417" w:left="1474" w:header="567" w:footer="998" w:gutter="0"/>
          <w:pgNumType w:fmt="numberInDash" w:start="1"/>
          <w:cols w:space="720" w:num="1"/>
          <w:docGrid w:type="lines" w:linePitch="380" w:charSpace="0"/>
        </w:sectPr>
      </w:pPr>
      <w:r>
        <w:rPr>
          <w:rFonts w:hint="eastAsia" w:asciiTheme="minorEastAsia" w:hAnsiTheme="minorEastAsia" w:eastAsiaTheme="minorEastAsia" w:cstheme="minorEastAsia"/>
          <w:b/>
          <w:bCs/>
          <w:sz w:val="32"/>
          <w:szCs w:val="32"/>
          <w:highlight w:val="none"/>
        </w:rPr>
        <w:t>日    期：二〇二四年</w:t>
      </w:r>
      <w:r>
        <w:rPr>
          <w:rFonts w:hint="eastAsia" w:asciiTheme="minorEastAsia" w:hAnsiTheme="minorEastAsia" w:eastAsiaTheme="minorEastAsia" w:cstheme="minorEastAsia"/>
          <w:b/>
          <w:bCs/>
          <w:sz w:val="32"/>
          <w:szCs w:val="32"/>
          <w:highlight w:val="none"/>
          <w:lang w:val="en-US" w:eastAsia="zh-CN"/>
        </w:rPr>
        <w:t>二</w:t>
      </w:r>
      <w:r>
        <w:rPr>
          <w:rFonts w:hint="eastAsia" w:asciiTheme="minorEastAsia" w:hAnsiTheme="minorEastAsia" w:eastAsiaTheme="minorEastAsia" w:cstheme="minorEastAsia"/>
          <w:b/>
          <w:bCs/>
          <w:sz w:val="32"/>
          <w:szCs w:val="32"/>
          <w:highlight w:val="none"/>
        </w:rPr>
        <w:t>月</w:t>
      </w:r>
    </w:p>
    <w:p>
      <w:pPr>
        <w:jc w:val="center"/>
        <w:rPr>
          <w:rFonts w:asciiTheme="minorEastAsia" w:hAnsiTheme="minorEastAsia" w:eastAsiaTheme="minorEastAsia" w:cstheme="minorEastAsia"/>
          <w:b/>
          <w:bCs/>
          <w:sz w:val="32"/>
          <w:szCs w:val="32"/>
          <w:highlight w:val="none"/>
        </w:rPr>
      </w:pPr>
    </w:p>
    <w:p>
      <w:pPr>
        <w:jc w:val="center"/>
        <w:outlineLvl w:val="0"/>
        <w:rPr>
          <w:rFonts w:asciiTheme="minorEastAsia" w:hAnsiTheme="minorEastAsia" w:eastAsiaTheme="minorEastAsia" w:cstheme="minorEastAsia"/>
          <w:b/>
          <w:bCs/>
          <w:sz w:val="44"/>
          <w:szCs w:val="44"/>
          <w:highlight w:val="none"/>
        </w:rPr>
      </w:pPr>
      <w:bookmarkStart w:id="1" w:name="_Toc25319"/>
      <w:r>
        <w:rPr>
          <w:rFonts w:hint="eastAsia" w:asciiTheme="minorEastAsia" w:hAnsiTheme="minorEastAsia" w:eastAsiaTheme="minorEastAsia" w:cstheme="minorEastAsia"/>
          <w:b/>
          <w:bCs/>
          <w:sz w:val="44"/>
          <w:szCs w:val="44"/>
          <w:highlight w:val="none"/>
        </w:rPr>
        <w:t>目     录</w:t>
      </w:r>
      <w:bookmarkEnd w:id="1"/>
    </w:p>
    <w:sdt>
      <w:sdtPr>
        <w:rPr>
          <w:rFonts w:ascii="宋体" w:hAnsi="宋体" w:eastAsia="Calibri Light"/>
          <w:b/>
          <w:sz w:val="32"/>
          <w:szCs w:val="32"/>
          <w:highlight w:val="none"/>
        </w:rPr>
        <w:id w:val="147475469"/>
        <w15:color w:val="DBDBDB"/>
        <w:docPartObj>
          <w:docPartGallery w:val="Table of Contents"/>
          <w:docPartUnique/>
        </w:docPartObj>
      </w:sdtPr>
      <w:sdtEndPr>
        <w:rPr>
          <w:rFonts w:asciiTheme="minorEastAsia" w:hAnsiTheme="minorEastAsia" w:eastAsiaTheme="minorEastAsia" w:cstheme="minorEastAsia"/>
          <w:b/>
          <w:bCs/>
          <w:sz w:val="32"/>
          <w:szCs w:val="32"/>
          <w:highlight w:val="none"/>
        </w:rPr>
      </w:sdtEndPr>
      <w:sdtContent>
        <w:p>
          <w:pPr>
            <w:jc w:val="center"/>
            <w:rPr>
              <w:highlight w:val="none"/>
            </w:rPr>
          </w:pPr>
        </w:p>
        <w:p>
          <w:pPr>
            <w:pStyle w:val="24"/>
            <w:tabs>
              <w:tab w:val="right" w:leader="dot" w:pos="9880"/>
            </w:tabs>
            <w:rPr>
              <w:highlight w:val="none"/>
            </w:rPr>
          </w:pPr>
          <w:r>
            <w:rPr>
              <w:rFonts w:asciiTheme="minorEastAsia" w:hAnsiTheme="minorEastAsia" w:eastAsiaTheme="minorEastAsia" w:cstheme="minorEastAsia"/>
              <w:bCs/>
              <w:highlight w:val="none"/>
            </w:rPr>
            <w:fldChar w:fldCharType="begin"/>
          </w:r>
          <w:r>
            <w:rPr>
              <w:rFonts w:asciiTheme="minorEastAsia" w:hAnsiTheme="minorEastAsia" w:eastAsiaTheme="minorEastAsia" w:cstheme="minorEastAsia"/>
              <w:bCs/>
              <w:highlight w:val="none"/>
            </w:rPr>
            <w:instrText xml:space="preserve">TOC \o "1-1" \h \u </w:instrText>
          </w:r>
          <w:r>
            <w:rPr>
              <w:rFonts w:asciiTheme="minorEastAsia" w:hAnsiTheme="minorEastAsia" w:eastAsiaTheme="minorEastAsia" w:cstheme="minorEastAsia"/>
              <w:bCs/>
              <w:highlight w:val="none"/>
            </w:rPr>
            <w:fldChar w:fldCharType="separate"/>
          </w:r>
          <w:r>
            <w:rPr>
              <w:highlight w:val="none"/>
            </w:rPr>
            <w:fldChar w:fldCharType="begin"/>
          </w:r>
          <w:r>
            <w:rPr>
              <w:highlight w:val="none"/>
            </w:rPr>
            <w:instrText xml:space="preserve"> HYPERLINK \l "_Toc25319" </w:instrText>
          </w:r>
          <w:r>
            <w:rPr>
              <w:highlight w:val="none"/>
            </w:rPr>
            <w:fldChar w:fldCharType="separate"/>
          </w:r>
          <w:r>
            <w:rPr>
              <w:rFonts w:hint="eastAsia" w:asciiTheme="minorEastAsia" w:hAnsiTheme="minorEastAsia" w:eastAsiaTheme="minorEastAsia" w:cstheme="minorEastAsia"/>
              <w:bCs/>
              <w:szCs w:val="44"/>
              <w:highlight w:val="none"/>
            </w:rPr>
            <w:t>目     录</w:t>
          </w:r>
          <w:r>
            <w:rPr>
              <w:highlight w:val="none"/>
            </w:rPr>
            <w:tab/>
          </w:r>
          <w:r>
            <w:rPr>
              <w:highlight w:val="none"/>
            </w:rPr>
            <w:fldChar w:fldCharType="begin"/>
          </w:r>
          <w:r>
            <w:rPr>
              <w:highlight w:val="none"/>
            </w:rPr>
            <w:instrText xml:space="preserve"> PAGEREF _Toc25319 \h </w:instrText>
          </w:r>
          <w:r>
            <w:rPr>
              <w:highlight w:val="none"/>
            </w:rPr>
            <w:fldChar w:fldCharType="separate"/>
          </w:r>
          <w:r>
            <w:rPr>
              <w:highlight w:val="none"/>
            </w:rPr>
            <w:t>- 2 -</w:t>
          </w:r>
          <w:r>
            <w:rPr>
              <w:highlight w:val="none"/>
            </w:rPr>
            <w:fldChar w:fldCharType="end"/>
          </w:r>
          <w:r>
            <w:rPr>
              <w:highlight w:val="none"/>
            </w:rPr>
            <w:fldChar w:fldCharType="end"/>
          </w:r>
        </w:p>
        <w:p>
          <w:pPr>
            <w:pStyle w:val="24"/>
            <w:tabs>
              <w:tab w:val="right" w:leader="dot" w:pos="9880"/>
            </w:tabs>
            <w:rPr>
              <w:highlight w:val="none"/>
            </w:rPr>
          </w:pPr>
          <w:r>
            <w:rPr>
              <w:highlight w:val="none"/>
            </w:rPr>
            <w:fldChar w:fldCharType="begin"/>
          </w:r>
          <w:r>
            <w:rPr>
              <w:highlight w:val="none"/>
            </w:rPr>
            <w:instrText xml:space="preserve"> HYPERLINK \l "_Toc2173" </w:instrText>
          </w:r>
          <w:r>
            <w:rPr>
              <w:highlight w:val="none"/>
            </w:rPr>
            <w:fldChar w:fldCharType="separate"/>
          </w:r>
          <w:r>
            <w:rPr>
              <w:rFonts w:hint="eastAsia"/>
              <w:highlight w:val="none"/>
            </w:rPr>
            <w:t>重要事项提示</w:t>
          </w:r>
          <w:r>
            <w:rPr>
              <w:highlight w:val="none"/>
            </w:rPr>
            <w:tab/>
          </w:r>
          <w:r>
            <w:rPr>
              <w:highlight w:val="none"/>
            </w:rPr>
            <w:fldChar w:fldCharType="begin"/>
          </w:r>
          <w:r>
            <w:rPr>
              <w:highlight w:val="none"/>
            </w:rPr>
            <w:instrText xml:space="preserve"> PAGEREF _Toc2173 \h </w:instrText>
          </w:r>
          <w:r>
            <w:rPr>
              <w:highlight w:val="none"/>
            </w:rPr>
            <w:fldChar w:fldCharType="separate"/>
          </w:r>
          <w:r>
            <w:rPr>
              <w:highlight w:val="none"/>
            </w:rPr>
            <w:t>- 3 -</w:t>
          </w:r>
          <w:r>
            <w:rPr>
              <w:highlight w:val="none"/>
            </w:rPr>
            <w:fldChar w:fldCharType="end"/>
          </w:r>
          <w:r>
            <w:rPr>
              <w:highlight w:val="none"/>
            </w:rPr>
            <w:fldChar w:fldCharType="end"/>
          </w:r>
        </w:p>
        <w:p>
          <w:pPr>
            <w:pStyle w:val="24"/>
            <w:tabs>
              <w:tab w:val="right" w:leader="dot" w:pos="9880"/>
            </w:tabs>
            <w:rPr>
              <w:highlight w:val="none"/>
            </w:rPr>
          </w:pPr>
          <w:r>
            <w:rPr>
              <w:highlight w:val="none"/>
            </w:rPr>
            <w:fldChar w:fldCharType="begin"/>
          </w:r>
          <w:r>
            <w:rPr>
              <w:highlight w:val="none"/>
            </w:rPr>
            <w:instrText xml:space="preserve"> HYPERLINK \l "_Toc24751" </w:instrText>
          </w:r>
          <w:r>
            <w:rPr>
              <w:highlight w:val="none"/>
            </w:rPr>
            <w:fldChar w:fldCharType="separate"/>
          </w:r>
          <w:r>
            <w:rPr>
              <w:rFonts w:hint="eastAsia"/>
              <w:highlight w:val="none"/>
            </w:rPr>
            <w:t xml:space="preserve">第一章 </w:t>
          </w:r>
          <w:r>
            <w:rPr>
              <w:rFonts w:hint="eastAsia" w:asciiTheme="minorEastAsia" w:hAnsiTheme="minorEastAsia" w:eastAsiaTheme="minorEastAsia" w:cstheme="minorEastAsia"/>
              <w:bCs/>
              <w:highlight w:val="none"/>
            </w:rPr>
            <w:t>招标公告</w:t>
          </w:r>
          <w:r>
            <w:rPr>
              <w:highlight w:val="none"/>
            </w:rPr>
            <w:tab/>
          </w:r>
          <w:r>
            <w:rPr>
              <w:highlight w:val="none"/>
            </w:rPr>
            <w:fldChar w:fldCharType="begin"/>
          </w:r>
          <w:r>
            <w:rPr>
              <w:highlight w:val="none"/>
            </w:rPr>
            <w:instrText xml:space="preserve"> PAGEREF _Toc24751 \h </w:instrText>
          </w:r>
          <w:r>
            <w:rPr>
              <w:highlight w:val="none"/>
            </w:rPr>
            <w:fldChar w:fldCharType="separate"/>
          </w:r>
          <w:r>
            <w:rPr>
              <w:highlight w:val="none"/>
            </w:rPr>
            <w:t>- 5 -</w:t>
          </w:r>
          <w:r>
            <w:rPr>
              <w:highlight w:val="none"/>
            </w:rPr>
            <w:fldChar w:fldCharType="end"/>
          </w:r>
          <w:r>
            <w:rPr>
              <w:highlight w:val="none"/>
            </w:rPr>
            <w:fldChar w:fldCharType="end"/>
          </w:r>
        </w:p>
        <w:p>
          <w:pPr>
            <w:pStyle w:val="24"/>
            <w:tabs>
              <w:tab w:val="right" w:leader="dot" w:pos="9880"/>
            </w:tabs>
            <w:rPr>
              <w:highlight w:val="none"/>
            </w:rPr>
          </w:pPr>
          <w:r>
            <w:rPr>
              <w:highlight w:val="none"/>
            </w:rPr>
            <w:fldChar w:fldCharType="begin"/>
          </w:r>
          <w:r>
            <w:rPr>
              <w:highlight w:val="none"/>
            </w:rPr>
            <w:instrText xml:space="preserve"> HYPERLINK \l "_Toc27816" </w:instrText>
          </w:r>
          <w:r>
            <w:rPr>
              <w:highlight w:val="none"/>
            </w:rPr>
            <w:fldChar w:fldCharType="separate"/>
          </w:r>
          <w:r>
            <w:rPr>
              <w:rFonts w:hint="eastAsia" w:asciiTheme="minorEastAsia" w:hAnsiTheme="minorEastAsia" w:eastAsiaTheme="minorEastAsia" w:cstheme="minorEastAsia"/>
              <w:szCs w:val="32"/>
              <w:highlight w:val="none"/>
            </w:rPr>
            <w:t>第二章  供应商须知</w:t>
          </w:r>
          <w:r>
            <w:rPr>
              <w:highlight w:val="none"/>
            </w:rPr>
            <w:tab/>
          </w:r>
          <w:r>
            <w:rPr>
              <w:highlight w:val="none"/>
            </w:rPr>
            <w:fldChar w:fldCharType="begin"/>
          </w:r>
          <w:r>
            <w:rPr>
              <w:highlight w:val="none"/>
            </w:rPr>
            <w:instrText xml:space="preserve"> PAGEREF _Toc27816 \h </w:instrText>
          </w:r>
          <w:r>
            <w:rPr>
              <w:highlight w:val="none"/>
            </w:rPr>
            <w:fldChar w:fldCharType="separate"/>
          </w:r>
          <w:r>
            <w:rPr>
              <w:highlight w:val="none"/>
            </w:rPr>
            <w:t>- 8 -</w:t>
          </w:r>
          <w:r>
            <w:rPr>
              <w:highlight w:val="none"/>
            </w:rPr>
            <w:fldChar w:fldCharType="end"/>
          </w:r>
          <w:r>
            <w:rPr>
              <w:highlight w:val="none"/>
            </w:rPr>
            <w:fldChar w:fldCharType="end"/>
          </w:r>
        </w:p>
        <w:p>
          <w:pPr>
            <w:pStyle w:val="24"/>
            <w:tabs>
              <w:tab w:val="right" w:leader="dot" w:pos="9880"/>
            </w:tabs>
            <w:rPr>
              <w:highlight w:val="none"/>
            </w:rPr>
          </w:pPr>
          <w:r>
            <w:rPr>
              <w:highlight w:val="none"/>
            </w:rPr>
            <w:fldChar w:fldCharType="begin"/>
          </w:r>
          <w:r>
            <w:rPr>
              <w:highlight w:val="none"/>
            </w:rPr>
            <w:instrText xml:space="preserve"> HYPERLINK \l "_Toc31932" </w:instrText>
          </w:r>
          <w:r>
            <w:rPr>
              <w:highlight w:val="none"/>
            </w:rPr>
            <w:fldChar w:fldCharType="separate"/>
          </w:r>
          <w:r>
            <w:rPr>
              <w:rFonts w:hint="eastAsia" w:asciiTheme="minorEastAsia" w:hAnsiTheme="minorEastAsia" w:eastAsiaTheme="minorEastAsia" w:cstheme="minorEastAsia"/>
              <w:szCs w:val="30"/>
              <w:highlight w:val="none"/>
            </w:rPr>
            <w:t>供应商须知前附表</w:t>
          </w:r>
          <w:r>
            <w:rPr>
              <w:highlight w:val="none"/>
            </w:rPr>
            <w:tab/>
          </w:r>
          <w:r>
            <w:rPr>
              <w:highlight w:val="none"/>
            </w:rPr>
            <w:fldChar w:fldCharType="begin"/>
          </w:r>
          <w:r>
            <w:rPr>
              <w:highlight w:val="none"/>
            </w:rPr>
            <w:instrText xml:space="preserve"> PAGEREF _Toc31932 \h </w:instrText>
          </w:r>
          <w:r>
            <w:rPr>
              <w:highlight w:val="none"/>
            </w:rPr>
            <w:fldChar w:fldCharType="separate"/>
          </w:r>
          <w:r>
            <w:rPr>
              <w:highlight w:val="none"/>
            </w:rPr>
            <w:t>- 8 -</w:t>
          </w:r>
          <w:r>
            <w:rPr>
              <w:highlight w:val="none"/>
            </w:rPr>
            <w:fldChar w:fldCharType="end"/>
          </w:r>
          <w:r>
            <w:rPr>
              <w:highlight w:val="none"/>
            </w:rPr>
            <w:fldChar w:fldCharType="end"/>
          </w:r>
        </w:p>
        <w:p>
          <w:pPr>
            <w:pStyle w:val="24"/>
            <w:tabs>
              <w:tab w:val="right" w:leader="dot" w:pos="9880"/>
            </w:tabs>
            <w:rPr>
              <w:highlight w:val="none"/>
            </w:rPr>
          </w:pPr>
          <w:r>
            <w:rPr>
              <w:highlight w:val="none"/>
            </w:rPr>
            <w:fldChar w:fldCharType="begin"/>
          </w:r>
          <w:r>
            <w:rPr>
              <w:highlight w:val="none"/>
            </w:rPr>
            <w:instrText xml:space="preserve"> HYPERLINK \l "_Toc7029" </w:instrText>
          </w:r>
          <w:r>
            <w:rPr>
              <w:highlight w:val="none"/>
            </w:rPr>
            <w:fldChar w:fldCharType="separate"/>
          </w:r>
          <w:r>
            <w:rPr>
              <w:rFonts w:hint="eastAsia" w:asciiTheme="minorEastAsia" w:hAnsiTheme="minorEastAsia" w:eastAsiaTheme="minorEastAsia" w:cstheme="minorEastAsia"/>
              <w:szCs w:val="24"/>
              <w:highlight w:val="none"/>
            </w:rPr>
            <w:t>1. 总则</w:t>
          </w:r>
          <w:r>
            <w:rPr>
              <w:highlight w:val="none"/>
            </w:rPr>
            <w:tab/>
          </w:r>
          <w:r>
            <w:rPr>
              <w:highlight w:val="none"/>
            </w:rPr>
            <w:fldChar w:fldCharType="begin"/>
          </w:r>
          <w:r>
            <w:rPr>
              <w:highlight w:val="none"/>
            </w:rPr>
            <w:instrText xml:space="preserve"> PAGEREF _Toc7029 \h </w:instrText>
          </w:r>
          <w:r>
            <w:rPr>
              <w:highlight w:val="none"/>
            </w:rPr>
            <w:fldChar w:fldCharType="separate"/>
          </w:r>
          <w:r>
            <w:rPr>
              <w:highlight w:val="none"/>
            </w:rPr>
            <w:t>- 12 -</w:t>
          </w:r>
          <w:r>
            <w:rPr>
              <w:highlight w:val="none"/>
            </w:rPr>
            <w:fldChar w:fldCharType="end"/>
          </w:r>
          <w:r>
            <w:rPr>
              <w:highlight w:val="none"/>
            </w:rPr>
            <w:fldChar w:fldCharType="end"/>
          </w:r>
        </w:p>
        <w:p>
          <w:pPr>
            <w:pStyle w:val="24"/>
            <w:tabs>
              <w:tab w:val="right" w:leader="dot" w:pos="9880"/>
            </w:tabs>
            <w:rPr>
              <w:highlight w:val="none"/>
            </w:rPr>
          </w:pPr>
          <w:r>
            <w:rPr>
              <w:highlight w:val="none"/>
            </w:rPr>
            <w:fldChar w:fldCharType="begin"/>
          </w:r>
          <w:r>
            <w:rPr>
              <w:highlight w:val="none"/>
            </w:rPr>
            <w:instrText xml:space="preserve"> HYPERLINK \l "_Toc20888" </w:instrText>
          </w:r>
          <w:r>
            <w:rPr>
              <w:highlight w:val="none"/>
            </w:rPr>
            <w:fldChar w:fldCharType="separate"/>
          </w:r>
          <w:r>
            <w:rPr>
              <w:rFonts w:hint="eastAsia" w:asciiTheme="minorEastAsia" w:hAnsiTheme="minorEastAsia" w:eastAsiaTheme="minorEastAsia" w:cstheme="minorEastAsia"/>
              <w:szCs w:val="24"/>
              <w:highlight w:val="none"/>
            </w:rPr>
            <w:t>2. 招标文件</w:t>
          </w:r>
          <w:r>
            <w:rPr>
              <w:highlight w:val="none"/>
            </w:rPr>
            <w:tab/>
          </w:r>
          <w:r>
            <w:rPr>
              <w:highlight w:val="none"/>
            </w:rPr>
            <w:fldChar w:fldCharType="begin"/>
          </w:r>
          <w:r>
            <w:rPr>
              <w:highlight w:val="none"/>
            </w:rPr>
            <w:instrText xml:space="preserve"> PAGEREF _Toc20888 \h </w:instrText>
          </w:r>
          <w:r>
            <w:rPr>
              <w:highlight w:val="none"/>
            </w:rPr>
            <w:fldChar w:fldCharType="separate"/>
          </w:r>
          <w:r>
            <w:rPr>
              <w:highlight w:val="none"/>
            </w:rPr>
            <w:t>- 13 -</w:t>
          </w:r>
          <w:r>
            <w:rPr>
              <w:highlight w:val="none"/>
            </w:rPr>
            <w:fldChar w:fldCharType="end"/>
          </w:r>
          <w:r>
            <w:rPr>
              <w:highlight w:val="none"/>
            </w:rPr>
            <w:fldChar w:fldCharType="end"/>
          </w:r>
        </w:p>
        <w:p>
          <w:pPr>
            <w:pStyle w:val="24"/>
            <w:tabs>
              <w:tab w:val="right" w:leader="dot" w:pos="9880"/>
            </w:tabs>
            <w:rPr>
              <w:highlight w:val="none"/>
            </w:rPr>
          </w:pPr>
          <w:r>
            <w:rPr>
              <w:highlight w:val="none"/>
            </w:rPr>
            <w:fldChar w:fldCharType="begin"/>
          </w:r>
          <w:r>
            <w:rPr>
              <w:highlight w:val="none"/>
            </w:rPr>
            <w:instrText xml:space="preserve"> HYPERLINK \l "_Toc15031" </w:instrText>
          </w:r>
          <w:r>
            <w:rPr>
              <w:highlight w:val="none"/>
            </w:rPr>
            <w:fldChar w:fldCharType="separate"/>
          </w:r>
          <w:r>
            <w:rPr>
              <w:rFonts w:hint="eastAsia" w:asciiTheme="minorEastAsia" w:hAnsiTheme="minorEastAsia" w:eastAsiaTheme="minorEastAsia" w:cstheme="minorEastAsia"/>
              <w:szCs w:val="24"/>
              <w:highlight w:val="none"/>
            </w:rPr>
            <w:t>3. 投标文件</w:t>
          </w:r>
          <w:r>
            <w:rPr>
              <w:highlight w:val="none"/>
            </w:rPr>
            <w:tab/>
          </w:r>
          <w:r>
            <w:rPr>
              <w:highlight w:val="none"/>
            </w:rPr>
            <w:fldChar w:fldCharType="begin"/>
          </w:r>
          <w:r>
            <w:rPr>
              <w:highlight w:val="none"/>
            </w:rPr>
            <w:instrText xml:space="preserve"> PAGEREF _Toc15031 \h </w:instrText>
          </w:r>
          <w:r>
            <w:rPr>
              <w:highlight w:val="none"/>
            </w:rPr>
            <w:fldChar w:fldCharType="separate"/>
          </w:r>
          <w:r>
            <w:rPr>
              <w:highlight w:val="none"/>
            </w:rPr>
            <w:t>- 14 -</w:t>
          </w:r>
          <w:r>
            <w:rPr>
              <w:highlight w:val="none"/>
            </w:rPr>
            <w:fldChar w:fldCharType="end"/>
          </w:r>
          <w:r>
            <w:rPr>
              <w:highlight w:val="none"/>
            </w:rPr>
            <w:fldChar w:fldCharType="end"/>
          </w:r>
        </w:p>
        <w:p>
          <w:pPr>
            <w:pStyle w:val="24"/>
            <w:tabs>
              <w:tab w:val="right" w:leader="dot" w:pos="9880"/>
            </w:tabs>
            <w:rPr>
              <w:highlight w:val="none"/>
            </w:rPr>
          </w:pPr>
          <w:r>
            <w:rPr>
              <w:highlight w:val="none"/>
            </w:rPr>
            <w:fldChar w:fldCharType="begin"/>
          </w:r>
          <w:r>
            <w:rPr>
              <w:highlight w:val="none"/>
            </w:rPr>
            <w:instrText xml:space="preserve"> HYPERLINK \l "_Toc21879" </w:instrText>
          </w:r>
          <w:r>
            <w:rPr>
              <w:highlight w:val="none"/>
            </w:rPr>
            <w:fldChar w:fldCharType="separate"/>
          </w:r>
          <w:r>
            <w:rPr>
              <w:rFonts w:hint="eastAsia" w:asciiTheme="minorEastAsia" w:hAnsiTheme="minorEastAsia" w:eastAsiaTheme="minorEastAsia" w:cstheme="minorEastAsia"/>
              <w:szCs w:val="24"/>
              <w:highlight w:val="none"/>
            </w:rPr>
            <w:t>4. 投标</w:t>
          </w:r>
          <w:r>
            <w:rPr>
              <w:highlight w:val="none"/>
            </w:rPr>
            <w:tab/>
          </w:r>
          <w:r>
            <w:rPr>
              <w:highlight w:val="none"/>
            </w:rPr>
            <w:fldChar w:fldCharType="begin"/>
          </w:r>
          <w:r>
            <w:rPr>
              <w:highlight w:val="none"/>
            </w:rPr>
            <w:instrText xml:space="preserve"> PAGEREF _Toc21879 \h </w:instrText>
          </w:r>
          <w:r>
            <w:rPr>
              <w:highlight w:val="none"/>
            </w:rPr>
            <w:fldChar w:fldCharType="separate"/>
          </w:r>
          <w:r>
            <w:rPr>
              <w:highlight w:val="none"/>
            </w:rPr>
            <w:t>- 16 -</w:t>
          </w:r>
          <w:r>
            <w:rPr>
              <w:highlight w:val="none"/>
            </w:rPr>
            <w:fldChar w:fldCharType="end"/>
          </w:r>
          <w:r>
            <w:rPr>
              <w:highlight w:val="none"/>
            </w:rPr>
            <w:fldChar w:fldCharType="end"/>
          </w:r>
        </w:p>
        <w:p>
          <w:pPr>
            <w:pStyle w:val="24"/>
            <w:tabs>
              <w:tab w:val="right" w:leader="dot" w:pos="9880"/>
            </w:tabs>
            <w:rPr>
              <w:highlight w:val="none"/>
            </w:rPr>
          </w:pPr>
          <w:r>
            <w:rPr>
              <w:highlight w:val="none"/>
            </w:rPr>
            <w:fldChar w:fldCharType="begin"/>
          </w:r>
          <w:r>
            <w:rPr>
              <w:highlight w:val="none"/>
            </w:rPr>
            <w:instrText xml:space="preserve"> HYPERLINK \l "_Toc22737" </w:instrText>
          </w:r>
          <w:r>
            <w:rPr>
              <w:highlight w:val="none"/>
            </w:rPr>
            <w:fldChar w:fldCharType="separate"/>
          </w:r>
          <w:r>
            <w:rPr>
              <w:rFonts w:hint="eastAsia" w:asciiTheme="minorEastAsia" w:hAnsiTheme="minorEastAsia" w:eastAsiaTheme="minorEastAsia" w:cstheme="minorEastAsia"/>
              <w:szCs w:val="24"/>
              <w:highlight w:val="none"/>
            </w:rPr>
            <w:t>5. 开标</w:t>
          </w:r>
          <w:r>
            <w:rPr>
              <w:highlight w:val="none"/>
            </w:rPr>
            <w:tab/>
          </w:r>
          <w:r>
            <w:rPr>
              <w:highlight w:val="none"/>
            </w:rPr>
            <w:fldChar w:fldCharType="begin"/>
          </w:r>
          <w:r>
            <w:rPr>
              <w:highlight w:val="none"/>
            </w:rPr>
            <w:instrText xml:space="preserve"> PAGEREF _Toc22737 \h </w:instrText>
          </w:r>
          <w:r>
            <w:rPr>
              <w:highlight w:val="none"/>
            </w:rPr>
            <w:fldChar w:fldCharType="separate"/>
          </w:r>
          <w:r>
            <w:rPr>
              <w:highlight w:val="none"/>
            </w:rPr>
            <w:t>- 16 -</w:t>
          </w:r>
          <w:r>
            <w:rPr>
              <w:highlight w:val="none"/>
            </w:rPr>
            <w:fldChar w:fldCharType="end"/>
          </w:r>
          <w:r>
            <w:rPr>
              <w:highlight w:val="none"/>
            </w:rPr>
            <w:fldChar w:fldCharType="end"/>
          </w:r>
        </w:p>
        <w:p>
          <w:pPr>
            <w:pStyle w:val="24"/>
            <w:tabs>
              <w:tab w:val="right" w:leader="dot" w:pos="9880"/>
            </w:tabs>
            <w:rPr>
              <w:highlight w:val="none"/>
            </w:rPr>
          </w:pPr>
          <w:r>
            <w:rPr>
              <w:highlight w:val="none"/>
            </w:rPr>
            <w:fldChar w:fldCharType="begin"/>
          </w:r>
          <w:r>
            <w:rPr>
              <w:highlight w:val="none"/>
            </w:rPr>
            <w:instrText xml:space="preserve"> HYPERLINK \l "_Toc4643" </w:instrText>
          </w:r>
          <w:r>
            <w:rPr>
              <w:highlight w:val="none"/>
            </w:rPr>
            <w:fldChar w:fldCharType="separate"/>
          </w:r>
          <w:r>
            <w:rPr>
              <w:rFonts w:hint="eastAsia" w:asciiTheme="minorEastAsia" w:hAnsiTheme="minorEastAsia" w:eastAsiaTheme="minorEastAsia" w:cstheme="minorEastAsia"/>
              <w:szCs w:val="24"/>
              <w:highlight w:val="none"/>
            </w:rPr>
            <w:t>6. 评标</w:t>
          </w:r>
          <w:r>
            <w:rPr>
              <w:highlight w:val="none"/>
            </w:rPr>
            <w:tab/>
          </w:r>
          <w:r>
            <w:rPr>
              <w:highlight w:val="none"/>
            </w:rPr>
            <w:fldChar w:fldCharType="begin"/>
          </w:r>
          <w:r>
            <w:rPr>
              <w:highlight w:val="none"/>
            </w:rPr>
            <w:instrText xml:space="preserve"> PAGEREF _Toc4643 \h </w:instrText>
          </w:r>
          <w:r>
            <w:rPr>
              <w:highlight w:val="none"/>
            </w:rPr>
            <w:fldChar w:fldCharType="separate"/>
          </w:r>
          <w:r>
            <w:rPr>
              <w:highlight w:val="none"/>
            </w:rPr>
            <w:t>- 17 -</w:t>
          </w:r>
          <w:r>
            <w:rPr>
              <w:highlight w:val="none"/>
            </w:rPr>
            <w:fldChar w:fldCharType="end"/>
          </w:r>
          <w:r>
            <w:rPr>
              <w:highlight w:val="none"/>
            </w:rPr>
            <w:fldChar w:fldCharType="end"/>
          </w:r>
        </w:p>
        <w:p>
          <w:pPr>
            <w:pStyle w:val="24"/>
            <w:tabs>
              <w:tab w:val="right" w:leader="dot" w:pos="9880"/>
            </w:tabs>
            <w:rPr>
              <w:highlight w:val="none"/>
            </w:rPr>
          </w:pPr>
          <w:r>
            <w:rPr>
              <w:highlight w:val="none"/>
            </w:rPr>
            <w:fldChar w:fldCharType="begin"/>
          </w:r>
          <w:r>
            <w:rPr>
              <w:highlight w:val="none"/>
            </w:rPr>
            <w:instrText xml:space="preserve"> HYPERLINK \l "_Toc8566" </w:instrText>
          </w:r>
          <w:r>
            <w:rPr>
              <w:highlight w:val="none"/>
            </w:rPr>
            <w:fldChar w:fldCharType="separate"/>
          </w:r>
          <w:r>
            <w:rPr>
              <w:rFonts w:hint="eastAsia" w:asciiTheme="minorEastAsia" w:hAnsiTheme="minorEastAsia" w:eastAsiaTheme="minorEastAsia" w:cstheme="minorEastAsia"/>
              <w:szCs w:val="24"/>
              <w:highlight w:val="none"/>
            </w:rPr>
            <w:t>7. 合同授予</w:t>
          </w:r>
          <w:r>
            <w:rPr>
              <w:highlight w:val="none"/>
            </w:rPr>
            <w:tab/>
          </w:r>
          <w:r>
            <w:rPr>
              <w:highlight w:val="none"/>
            </w:rPr>
            <w:fldChar w:fldCharType="begin"/>
          </w:r>
          <w:r>
            <w:rPr>
              <w:highlight w:val="none"/>
            </w:rPr>
            <w:instrText xml:space="preserve"> PAGEREF _Toc8566 \h </w:instrText>
          </w:r>
          <w:r>
            <w:rPr>
              <w:highlight w:val="none"/>
            </w:rPr>
            <w:fldChar w:fldCharType="separate"/>
          </w:r>
          <w:r>
            <w:rPr>
              <w:highlight w:val="none"/>
            </w:rPr>
            <w:t>- 19 -</w:t>
          </w:r>
          <w:r>
            <w:rPr>
              <w:highlight w:val="none"/>
            </w:rPr>
            <w:fldChar w:fldCharType="end"/>
          </w:r>
          <w:r>
            <w:rPr>
              <w:highlight w:val="none"/>
            </w:rPr>
            <w:fldChar w:fldCharType="end"/>
          </w:r>
        </w:p>
        <w:p>
          <w:pPr>
            <w:pStyle w:val="24"/>
            <w:tabs>
              <w:tab w:val="right" w:leader="dot" w:pos="9880"/>
            </w:tabs>
            <w:rPr>
              <w:highlight w:val="none"/>
            </w:rPr>
          </w:pPr>
          <w:r>
            <w:rPr>
              <w:highlight w:val="none"/>
            </w:rPr>
            <w:fldChar w:fldCharType="begin"/>
          </w:r>
          <w:r>
            <w:rPr>
              <w:highlight w:val="none"/>
            </w:rPr>
            <w:instrText xml:space="preserve"> HYPERLINK \l "_Toc29014" </w:instrText>
          </w:r>
          <w:r>
            <w:rPr>
              <w:highlight w:val="none"/>
            </w:rPr>
            <w:fldChar w:fldCharType="separate"/>
          </w:r>
          <w:r>
            <w:rPr>
              <w:rFonts w:hint="eastAsia" w:asciiTheme="minorEastAsia" w:hAnsiTheme="minorEastAsia" w:eastAsiaTheme="minorEastAsia" w:cstheme="minorEastAsia"/>
              <w:szCs w:val="24"/>
              <w:highlight w:val="none"/>
            </w:rPr>
            <w:t>8. 重新招标</w:t>
          </w:r>
          <w:r>
            <w:rPr>
              <w:highlight w:val="none"/>
            </w:rPr>
            <w:tab/>
          </w:r>
          <w:r>
            <w:rPr>
              <w:highlight w:val="none"/>
            </w:rPr>
            <w:fldChar w:fldCharType="begin"/>
          </w:r>
          <w:r>
            <w:rPr>
              <w:highlight w:val="none"/>
            </w:rPr>
            <w:instrText xml:space="preserve"> PAGEREF _Toc29014 \h </w:instrText>
          </w:r>
          <w:r>
            <w:rPr>
              <w:highlight w:val="none"/>
            </w:rPr>
            <w:fldChar w:fldCharType="separate"/>
          </w:r>
          <w:r>
            <w:rPr>
              <w:highlight w:val="none"/>
            </w:rPr>
            <w:t>- 19 -</w:t>
          </w:r>
          <w:r>
            <w:rPr>
              <w:highlight w:val="none"/>
            </w:rPr>
            <w:fldChar w:fldCharType="end"/>
          </w:r>
          <w:r>
            <w:rPr>
              <w:highlight w:val="none"/>
            </w:rPr>
            <w:fldChar w:fldCharType="end"/>
          </w:r>
        </w:p>
        <w:p>
          <w:pPr>
            <w:pStyle w:val="24"/>
            <w:tabs>
              <w:tab w:val="right" w:leader="dot" w:pos="9880"/>
            </w:tabs>
            <w:rPr>
              <w:highlight w:val="none"/>
            </w:rPr>
          </w:pPr>
          <w:r>
            <w:rPr>
              <w:highlight w:val="none"/>
            </w:rPr>
            <w:fldChar w:fldCharType="begin"/>
          </w:r>
          <w:r>
            <w:rPr>
              <w:highlight w:val="none"/>
            </w:rPr>
            <w:instrText xml:space="preserve"> HYPERLINK \l "_Toc14622" </w:instrText>
          </w:r>
          <w:r>
            <w:rPr>
              <w:highlight w:val="none"/>
            </w:rPr>
            <w:fldChar w:fldCharType="separate"/>
          </w:r>
          <w:r>
            <w:rPr>
              <w:rFonts w:hint="eastAsia" w:asciiTheme="minorEastAsia" w:hAnsiTheme="minorEastAsia" w:eastAsiaTheme="minorEastAsia" w:cstheme="minorEastAsia"/>
              <w:szCs w:val="24"/>
              <w:highlight w:val="none"/>
            </w:rPr>
            <w:t>9. 纪律和监督</w:t>
          </w:r>
          <w:r>
            <w:rPr>
              <w:highlight w:val="none"/>
            </w:rPr>
            <w:tab/>
          </w:r>
          <w:r>
            <w:rPr>
              <w:highlight w:val="none"/>
            </w:rPr>
            <w:fldChar w:fldCharType="begin"/>
          </w:r>
          <w:r>
            <w:rPr>
              <w:highlight w:val="none"/>
            </w:rPr>
            <w:instrText xml:space="preserve"> PAGEREF _Toc14622 \h </w:instrText>
          </w:r>
          <w:r>
            <w:rPr>
              <w:highlight w:val="none"/>
            </w:rPr>
            <w:fldChar w:fldCharType="separate"/>
          </w:r>
          <w:r>
            <w:rPr>
              <w:highlight w:val="none"/>
            </w:rPr>
            <w:t>- 19 -</w:t>
          </w:r>
          <w:r>
            <w:rPr>
              <w:highlight w:val="none"/>
            </w:rPr>
            <w:fldChar w:fldCharType="end"/>
          </w:r>
          <w:r>
            <w:rPr>
              <w:highlight w:val="none"/>
            </w:rPr>
            <w:fldChar w:fldCharType="end"/>
          </w:r>
        </w:p>
        <w:p>
          <w:pPr>
            <w:pStyle w:val="24"/>
            <w:tabs>
              <w:tab w:val="right" w:leader="dot" w:pos="9880"/>
            </w:tabs>
            <w:rPr>
              <w:highlight w:val="none"/>
            </w:rPr>
          </w:pPr>
          <w:r>
            <w:rPr>
              <w:highlight w:val="none"/>
            </w:rPr>
            <w:fldChar w:fldCharType="begin"/>
          </w:r>
          <w:r>
            <w:rPr>
              <w:highlight w:val="none"/>
            </w:rPr>
            <w:instrText xml:space="preserve"> HYPERLINK \l "_Toc26812" </w:instrText>
          </w:r>
          <w:r>
            <w:rPr>
              <w:highlight w:val="none"/>
            </w:rPr>
            <w:fldChar w:fldCharType="separate"/>
          </w:r>
          <w:r>
            <w:rPr>
              <w:rFonts w:hint="eastAsia" w:asciiTheme="minorEastAsia" w:hAnsiTheme="minorEastAsia" w:eastAsiaTheme="minorEastAsia" w:cstheme="minorEastAsia"/>
              <w:szCs w:val="24"/>
              <w:highlight w:val="none"/>
            </w:rPr>
            <w:t>10. 需要补充的其他内容</w:t>
          </w:r>
          <w:r>
            <w:rPr>
              <w:highlight w:val="none"/>
            </w:rPr>
            <w:tab/>
          </w:r>
          <w:r>
            <w:rPr>
              <w:highlight w:val="none"/>
            </w:rPr>
            <w:fldChar w:fldCharType="begin"/>
          </w:r>
          <w:r>
            <w:rPr>
              <w:highlight w:val="none"/>
            </w:rPr>
            <w:instrText xml:space="preserve"> PAGEREF _Toc26812 \h </w:instrText>
          </w:r>
          <w:r>
            <w:rPr>
              <w:highlight w:val="none"/>
            </w:rPr>
            <w:fldChar w:fldCharType="separate"/>
          </w:r>
          <w:r>
            <w:rPr>
              <w:highlight w:val="none"/>
            </w:rPr>
            <w:t>- 20 -</w:t>
          </w:r>
          <w:r>
            <w:rPr>
              <w:highlight w:val="none"/>
            </w:rPr>
            <w:fldChar w:fldCharType="end"/>
          </w:r>
          <w:r>
            <w:rPr>
              <w:highlight w:val="none"/>
            </w:rPr>
            <w:fldChar w:fldCharType="end"/>
          </w:r>
        </w:p>
        <w:p>
          <w:pPr>
            <w:pStyle w:val="24"/>
            <w:tabs>
              <w:tab w:val="right" w:leader="dot" w:pos="9880"/>
            </w:tabs>
            <w:rPr>
              <w:highlight w:val="none"/>
            </w:rPr>
          </w:pPr>
          <w:r>
            <w:rPr>
              <w:highlight w:val="none"/>
            </w:rPr>
            <w:fldChar w:fldCharType="begin"/>
          </w:r>
          <w:r>
            <w:rPr>
              <w:highlight w:val="none"/>
            </w:rPr>
            <w:instrText xml:space="preserve"> HYPERLINK \l "_Toc32119" </w:instrText>
          </w:r>
          <w:r>
            <w:rPr>
              <w:highlight w:val="none"/>
            </w:rPr>
            <w:fldChar w:fldCharType="separate"/>
          </w:r>
          <w:r>
            <w:rPr>
              <w:rFonts w:asciiTheme="minorEastAsia" w:hAnsiTheme="minorEastAsia" w:eastAsiaTheme="minorEastAsia" w:cstheme="minorEastAsia"/>
              <w:szCs w:val="36"/>
              <w:highlight w:val="none"/>
            </w:rPr>
            <w:t xml:space="preserve">第三章 </w:t>
          </w:r>
          <w:r>
            <w:rPr>
              <w:rFonts w:hint="eastAsia" w:asciiTheme="minorEastAsia" w:hAnsiTheme="minorEastAsia" w:eastAsiaTheme="minorEastAsia" w:cstheme="minorEastAsia"/>
              <w:szCs w:val="36"/>
              <w:highlight w:val="none"/>
            </w:rPr>
            <w:t>评标办法（综合评分法）</w:t>
          </w:r>
          <w:r>
            <w:rPr>
              <w:highlight w:val="none"/>
            </w:rPr>
            <w:tab/>
          </w:r>
          <w:r>
            <w:rPr>
              <w:highlight w:val="none"/>
            </w:rPr>
            <w:fldChar w:fldCharType="begin"/>
          </w:r>
          <w:r>
            <w:rPr>
              <w:highlight w:val="none"/>
            </w:rPr>
            <w:instrText xml:space="preserve"> PAGEREF _Toc32119 \h </w:instrText>
          </w:r>
          <w:r>
            <w:rPr>
              <w:highlight w:val="none"/>
            </w:rPr>
            <w:fldChar w:fldCharType="separate"/>
          </w:r>
          <w:r>
            <w:rPr>
              <w:highlight w:val="none"/>
            </w:rPr>
            <w:t>- 21 -</w:t>
          </w:r>
          <w:r>
            <w:rPr>
              <w:highlight w:val="none"/>
            </w:rPr>
            <w:fldChar w:fldCharType="end"/>
          </w:r>
          <w:r>
            <w:rPr>
              <w:highlight w:val="none"/>
            </w:rPr>
            <w:fldChar w:fldCharType="end"/>
          </w:r>
        </w:p>
        <w:p>
          <w:pPr>
            <w:pStyle w:val="24"/>
            <w:tabs>
              <w:tab w:val="right" w:leader="dot" w:pos="9880"/>
            </w:tabs>
            <w:rPr>
              <w:highlight w:val="none"/>
            </w:rPr>
          </w:pPr>
          <w:r>
            <w:rPr>
              <w:highlight w:val="none"/>
            </w:rPr>
            <w:fldChar w:fldCharType="begin"/>
          </w:r>
          <w:r>
            <w:rPr>
              <w:highlight w:val="none"/>
            </w:rPr>
            <w:instrText xml:space="preserve"> HYPERLINK \l "_Toc27443" </w:instrText>
          </w:r>
          <w:r>
            <w:rPr>
              <w:highlight w:val="none"/>
            </w:rPr>
            <w:fldChar w:fldCharType="separate"/>
          </w:r>
          <w:r>
            <w:rPr>
              <w:rFonts w:asciiTheme="minorEastAsia" w:hAnsiTheme="minorEastAsia" w:eastAsiaTheme="minorEastAsia" w:cstheme="minorEastAsia"/>
              <w:szCs w:val="36"/>
              <w:highlight w:val="none"/>
            </w:rPr>
            <w:t xml:space="preserve">第四章 </w:t>
          </w:r>
          <w:r>
            <w:rPr>
              <w:rFonts w:hint="eastAsia" w:asciiTheme="minorEastAsia" w:hAnsiTheme="minorEastAsia" w:eastAsiaTheme="minorEastAsia" w:cstheme="minorEastAsia"/>
              <w:szCs w:val="36"/>
              <w:highlight w:val="none"/>
            </w:rPr>
            <w:t>合同条款及格式</w:t>
          </w:r>
          <w:r>
            <w:rPr>
              <w:highlight w:val="none"/>
            </w:rPr>
            <w:tab/>
          </w:r>
          <w:r>
            <w:rPr>
              <w:highlight w:val="none"/>
            </w:rPr>
            <w:fldChar w:fldCharType="begin"/>
          </w:r>
          <w:r>
            <w:rPr>
              <w:highlight w:val="none"/>
            </w:rPr>
            <w:instrText xml:space="preserve"> PAGEREF _Toc27443 \h </w:instrText>
          </w:r>
          <w:r>
            <w:rPr>
              <w:highlight w:val="none"/>
            </w:rPr>
            <w:fldChar w:fldCharType="separate"/>
          </w:r>
          <w:r>
            <w:rPr>
              <w:highlight w:val="none"/>
            </w:rPr>
            <w:t>- 27 -</w:t>
          </w:r>
          <w:r>
            <w:rPr>
              <w:highlight w:val="none"/>
            </w:rPr>
            <w:fldChar w:fldCharType="end"/>
          </w:r>
          <w:r>
            <w:rPr>
              <w:highlight w:val="none"/>
            </w:rPr>
            <w:fldChar w:fldCharType="end"/>
          </w:r>
        </w:p>
        <w:p>
          <w:pPr>
            <w:pStyle w:val="24"/>
            <w:tabs>
              <w:tab w:val="right" w:leader="dot" w:pos="9880"/>
            </w:tabs>
            <w:rPr>
              <w:highlight w:val="none"/>
            </w:rPr>
          </w:pPr>
          <w:r>
            <w:rPr>
              <w:highlight w:val="none"/>
            </w:rPr>
            <w:fldChar w:fldCharType="begin"/>
          </w:r>
          <w:r>
            <w:rPr>
              <w:highlight w:val="none"/>
            </w:rPr>
            <w:instrText xml:space="preserve"> HYPERLINK \l "_Toc6692" </w:instrText>
          </w:r>
          <w:r>
            <w:rPr>
              <w:highlight w:val="none"/>
            </w:rPr>
            <w:fldChar w:fldCharType="separate"/>
          </w:r>
          <w:r>
            <w:rPr>
              <w:bCs/>
              <w:szCs w:val="32"/>
              <w:highlight w:val="none"/>
            </w:rPr>
            <w:t xml:space="preserve">第五章 </w:t>
          </w:r>
          <w:r>
            <w:rPr>
              <w:rFonts w:hint="eastAsia"/>
              <w:bCs/>
              <w:szCs w:val="32"/>
              <w:highlight w:val="none"/>
            </w:rPr>
            <w:t>采购内容及技术要求</w:t>
          </w:r>
          <w:r>
            <w:rPr>
              <w:highlight w:val="none"/>
            </w:rPr>
            <w:tab/>
          </w:r>
          <w:r>
            <w:rPr>
              <w:highlight w:val="none"/>
            </w:rPr>
            <w:fldChar w:fldCharType="begin"/>
          </w:r>
          <w:r>
            <w:rPr>
              <w:highlight w:val="none"/>
            </w:rPr>
            <w:instrText xml:space="preserve"> PAGEREF _Toc6692 \h </w:instrText>
          </w:r>
          <w:r>
            <w:rPr>
              <w:highlight w:val="none"/>
            </w:rPr>
            <w:fldChar w:fldCharType="separate"/>
          </w:r>
          <w:r>
            <w:rPr>
              <w:highlight w:val="none"/>
            </w:rPr>
            <w:t>- 29 -</w:t>
          </w:r>
          <w:r>
            <w:rPr>
              <w:highlight w:val="none"/>
            </w:rPr>
            <w:fldChar w:fldCharType="end"/>
          </w:r>
          <w:r>
            <w:rPr>
              <w:highlight w:val="none"/>
            </w:rPr>
            <w:fldChar w:fldCharType="end"/>
          </w:r>
        </w:p>
        <w:p>
          <w:pPr>
            <w:pStyle w:val="24"/>
            <w:tabs>
              <w:tab w:val="right" w:leader="dot" w:pos="9880"/>
            </w:tabs>
            <w:rPr>
              <w:highlight w:val="none"/>
            </w:rPr>
          </w:pPr>
          <w:r>
            <w:rPr>
              <w:highlight w:val="none"/>
            </w:rPr>
            <w:fldChar w:fldCharType="begin"/>
          </w:r>
          <w:r>
            <w:rPr>
              <w:highlight w:val="none"/>
            </w:rPr>
            <w:instrText xml:space="preserve"> HYPERLINK \l "_Toc28947" </w:instrText>
          </w:r>
          <w:r>
            <w:rPr>
              <w:highlight w:val="none"/>
            </w:rPr>
            <w:fldChar w:fldCharType="separate"/>
          </w:r>
          <w:r>
            <w:rPr>
              <w:rFonts w:hint="eastAsia"/>
              <w:szCs w:val="32"/>
              <w:highlight w:val="none"/>
            </w:rPr>
            <w:t>第六章 质疑与投诉</w:t>
          </w:r>
          <w:r>
            <w:rPr>
              <w:highlight w:val="none"/>
            </w:rPr>
            <w:tab/>
          </w:r>
          <w:r>
            <w:rPr>
              <w:highlight w:val="none"/>
            </w:rPr>
            <w:fldChar w:fldCharType="begin"/>
          </w:r>
          <w:r>
            <w:rPr>
              <w:highlight w:val="none"/>
            </w:rPr>
            <w:instrText xml:space="preserve"> PAGEREF _Toc28947 \h </w:instrText>
          </w:r>
          <w:r>
            <w:rPr>
              <w:highlight w:val="none"/>
            </w:rPr>
            <w:fldChar w:fldCharType="separate"/>
          </w:r>
          <w:r>
            <w:rPr>
              <w:highlight w:val="none"/>
            </w:rPr>
            <w:t>- 45 -</w:t>
          </w:r>
          <w:r>
            <w:rPr>
              <w:highlight w:val="none"/>
            </w:rPr>
            <w:fldChar w:fldCharType="end"/>
          </w:r>
          <w:r>
            <w:rPr>
              <w:highlight w:val="none"/>
            </w:rPr>
            <w:fldChar w:fldCharType="end"/>
          </w:r>
        </w:p>
        <w:p>
          <w:pPr>
            <w:pStyle w:val="24"/>
            <w:tabs>
              <w:tab w:val="right" w:leader="dot" w:pos="9880"/>
            </w:tabs>
            <w:rPr>
              <w:highlight w:val="none"/>
            </w:rPr>
          </w:pPr>
          <w:r>
            <w:rPr>
              <w:highlight w:val="none"/>
            </w:rPr>
            <w:fldChar w:fldCharType="begin"/>
          </w:r>
          <w:r>
            <w:rPr>
              <w:highlight w:val="none"/>
            </w:rPr>
            <w:instrText xml:space="preserve"> HYPERLINK \l "_Toc7285" </w:instrText>
          </w:r>
          <w:r>
            <w:rPr>
              <w:highlight w:val="none"/>
            </w:rPr>
            <w:fldChar w:fldCharType="separate"/>
          </w:r>
          <w:r>
            <w:rPr>
              <w:rFonts w:asciiTheme="majorEastAsia" w:hAnsiTheme="majorEastAsia" w:eastAsiaTheme="majorEastAsia" w:cstheme="majorEastAsia"/>
              <w:bCs/>
              <w:szCs w:val="32"/>
              <w:highlight w:val="none"/>
            </w:rPr>
            <w:t>第七章 履约验收</w:t>
          </w:r>
          <w:r>
            <w:rPr>
              <w:highlight w:val="none"/>
            </w:rPr>
            <w:tab/>
          </w:r>
          <w:r>
            <w:rPr>
              <w:highlight w:val="none"/>
            </w:rPr>
            <w:fldChar w:fldCharType="begin"/>
          </w:r>
          <w:r>
            <w:rPr>
              <w:highlight w:val="none"/>
            </w:rPr>
            <w:instrText xml:space="preserve"> PAGEREF _Toc7285 \h </w:instrText>
          </w:r>
          <w:r>
            <w:rPr>
              <w:highlight w:val="none"/>
            </w:rPr>
            <w:fldChar w:fldCharType="separate"/>
          </w:r>
          <w:r>
            <w:rPr>
              <w:highlight w:val="none"/>
            </w:rPr>
            <w:t>- 47 -</w:t>
          </w:r>
          <w:r>
            <w:rPr>
              <w:highlight w:val="none"/>
            </w:rPr>
            <w:fldChar w:fldCharType="end"/>
          </w:r>
          <w:r>
            <w:rPr>
              <w:highlight w:val="none"/>
            </w:rPr>
            <w:fldChar w:fldCharType="end"/>
          </w:r>
        </w:p>
        <w:p>
          <w:pPr>
            <w:pStyle w:val="24"/>
            <w:tabs>
              <w:tab w:val="right" w:leader="dot" w:pos="9880"/>
            </w:tabs>
            <w:rPr>
              <w:highlight w:val="none"/>
            </w:rPr>
          </w:pPr>
          <w:r>
            <w:rPr>
              <w:highlight w:val="none"/>
            </w:rPr>
            <w:fldChar w:fldCharType="begin"/>
          </w:r>
          <w:r>
            <w:rPr>
              <w:highlight w:val="none"/>
            </w:rPr>
            <w:instrText xml:space="preserve"> HYPERLINK \l "_Toc14191" </w:instrText>
          </w:r>
          <w:r>
            <w:rPr>
              <w:highlight w:val="none"/>
            </w:rPr>
            <w:fldChar w:fldCharType="separate"/>
          </w:r>
          <w:r>
            <w:rPr>
              <w:rFonts w:hint="eastAsia" w:asciiTheme="minorEastAsia" w:hAnsiTheme="minorEastAsia" w:eastAsiaTheme="minorEastAsia" w:cstheme="minorEastAsia"/>
              <w:szCs w:val="36"/>
              <w:highlight w:val="none"/>
            </w:rPr>
            <w:t>第八章  投标文件格式</w:t>
          </w:r>
          <w:r>
            <w:rPr>
              <w:highlight w:val="none"/>
            </w:rPr>
            <w:tab/>
          </w:r>
          <w:r>
            <w:rPr>
              <w:highlight w:val="none"/>
            </w:rPr>
            <w:fldChar w:fldCharType="begin"/>
          </w:r>
          <w:r>
            <w:rPr>
              <w:highlight w:val="none"/>
            </w:rPr>
            <w:instrText xml:space="preserve"> PAGEREF _Toc14191 \h </w:instrText>
          </w:r>
          <w:r>
            <w:rPr>
              <w:highlight w:val="none"/>
            </w:rPr>
            <w:fldChar w:fldCharType="separate"/>
          </w:r>
          <w:r>
            <w:rPr>
              <w:highlight w:val="none"/>
            </w:rPr>
            <w:t>- 48 -</w:t>
          </w:r>
          <w:r>
            <w:rPr>
              <w:highlight w:val="none"/>
            </w:rPr>
            <w:fldChar w:fldCharType="end"/>
          </w:r>
          <w:r>
            <w:rPr>
              <w:highlight w:val="none"/>
            </w:rPr>
            <w:fldChar w:fldCharType="end"/>
          </w:r>
        </w:p>
        <w:p>
          <w:pPr>
            <w:pStyle w:val="24"/>
            <w:tabs>
              <w:tab w:val="right" w:leader="dot" w:pos="9880"/>
            </w:tabs>
            <w:rPr>
              <w:highlight w:val="none"/>
            </w:rPr>
          </w:pPr>
          <w:r>
            <w:rPr>
              <w:highlight w:val="none"/>
            </w:rPr>
            <w:fldChar w:fldCharType="begin"/>
          </w:r>
          <w:r>
            <w:rPr>
              <w:highlight w:val="none"/>
            </w:rPr>
            <w:instrText xml:space="preserve"> HYPERLINK \l "_Toc7574" </w:instrText>
          </w:r>
          <w:r>
            <w:rPr>
              <w:highlight w:val="none"/>
            </w:rPr>
            <w:fldChar w:fldCharType="separate"/>
          </w:r>
          <w:r>
            <w:rPr>
              <w:rFonts w:hint="eastAsia" w:ascii="宋体" w:hAnsi="宋体" w:cs="宋体"/>
              <w:szCs w:val="36"/>
              <w:highlight w:val="none"/>
            </w:rPr>
            <w:t>河南省政府采购合同融资政策告知函</w:t>
          </w:r>
          <w:r>
            <w:rPr>
              <w:highlight w:val="none"/>
            </w:rPr>
            <w:tab/>
          </w:r>
          <w:r>
            <w:rPr>
              <w:highlight w:val="none"/>
            </w:rPr>
            <w:fldChar w:fldCharType="begin"/>
          </w:r>
          <w:r>
            <w:rPr>
              <w:highlight w:val="none"/>
            </w:rPr>
            <w:instrText xml:space="preserve"> PAGEREF _Toc7574 \h </w:instrText>
          </w:r>
          <w:r>
            <w:rPr>
              <w:highlight w:val="none"/>
            </w:rPr>
            <w:fldChar w:fldCharType="separate"/>
          </w:r>
          <w:r>
            <w:rPr>
              <w:highlight w:val="none"/>
            </w:rPr>
            <w:t>- 64 -</w:t>
          </w:r>
          <w:r>
            <w:rPr>
              <w:highlight w:val="none"/>
            </w:rPr>
            <w:fldChar w:fldCharType="end"/>
          </w:r>
          <w:r>
            <w:rPr>
              <w:highlight w:val="none"/>
            </w:rPr>
            <w:fldChar w:fldCharType="end"/>
          </w:r>
        </w:p>
        <w:p>
          <w:pPr>
            <w:pStyle w:val="24"/>
            <w:tabs>
              <w:tab w:val="right" w:leader="dot" w:pos="9880"/>
            </w:tabs>
            <w:rPr>
              <w:highlight w:val="none"/>
            </w:rPr>
          </w:pPr>
          <w:r>
            <w:rPr>
              <w:highlight w:val="none"/>
            </w:rPr>
            <w:fldChar w:fldCharType="begin"/>
          </w:r>
          <w:r>
            <w:rPr>
              <w:highlight w:val="none"/>
            </w:rPr>
            <w:instrText xml:space="preserve"> HYPERLINK \l "_Toc30161" </w:instrText>
          </w:r>
          <w:r>
            <w:rPr>
              <w:highlight w:val="none"/>
            </w:rPr>
            <w:fldChar w:fldCharType="separate"/>
          </w:r>
          <w:r>
            <w:rPr>
              <w:rFonts w:hint="eastAsia" w:ascii="宋体" w:hAnsi="宋体"/>
              <w:szCs w:val="32"/>
              <w:highlight w:val="none"/>
            </w:rPr>
            <w:t>焦作市政府采购合同融资合作企业</w:t>
          </w:r>
          <w:r>
            <w:rPr>
              <w:highlight w:val="none"/>
            </w:rPr>
            <w:tab/>
          </w:r>
          <w:r>
            <w:rPr>
              <w:highlight w:val="none"/>
            </w:rPr>
            <w:fldChar w:fldCharType="begin"/>
          </w:r>
          <w:r>
            <w:rPr>
              <w:highlight w:val="none"/>
            </w:rPr>
            <w:instrText xml:space="preserve"> PAGEREF _Toc30161 \h </w:instrText>
          </w:r>
          <w:r>
            <w:rPr>
              <w:highlight w:val="none"/>
            </w:rPr>
            <w:fldChar w:fldCharType="separate"/>
          </w:r>
          <w:r>
            <w:rPr>
              <w:highlight w:val="none"/>
            </w:rPr>
            <w:t>- 64 -</w:t>
          </w:r>
          <w:r>
            <w:rPr>
              <w:highlight w:val="none"/>
            </w:rPr>
            <w:fldChar w:fldCharType="end"/>
          </w:r>
          <w:r>
            <w:rPr>
              <w:highlight w:val="none"/>
            </w:rPr>
            <w:fldChar w:fldCharType="end"/>
          </w:r>
        </w:p>
        <w:p>
          <w:pPr>
            <w:pStyle w:val="17"/>
            <w:spacing w:line="360" w:lineRule="auto"/>
            <w:ind w:right="-63" w:rightChars="-30"/>
            <w:outlineLvl w:val="9"/>
            <w:rPr>
              <w:rFonts w:asciiTheme="minorEastAsia" w:hAnsiTheme="minorEastAsia" w:eastAsiaTheme="minorEastAsia" w:cstheme="minorEastAsia"/>
              <w:bCs/>
              <w:highlight w:val="none"/>
            </w:rPr>
          </w:pPr>
          <w:r>
            <w:rPr>
              <w:rFonts w:asciiTheme="minorEastAsia" w:hAnsiTheme="minorEastAsia" w:eastAsiaTheme="minorEastAsia" w:cstheme="minorEastAsia"/>
              <w:bCs/>
              <w:highlight w:val="none"/>
            </w:rPr>
            <w:fldChar w:fldCharType="end"/>
          </w:r>
        </w:p>
      </w:sdtContent>
    </w:sdt>
    <w:p>
      <w:pPr>
        <w:pStyle w:val="17"/>
        <w:spacing w:line="360" w:lineRule="auto"/>
        <w:ind w:right="-63" w:rightChars="-30"/>
        <w:outlineLvl w:val="9"/>
        <w:rPr>
          <w:rFonts w:asciiTheme="minorEastAsia" w:hAnsiTheme="minorEastAsia" w:eastAsiaTheme="minorEastAsia" w:cstheme="minorEastAsia"/>
          <w:bCs/>
          <w:highlight w:val="none"/>
        </w:rPr>
      </w:pPr>
    </w:p>
    <w:p>
      <w:pPr>
        <w:pStyle w:val="17"/>
        <w:spacing w:line="360" w:lineRule="auto"/>
        <w:ind w:right="-63" w:rightChars="-30"/>
        <w:outlineLvl w:val="9"/>
        <w:rPr>
          <w:rFonts w:asciiTheme="minorEastAsia" w:hAnsiTheme="minorEastAsia" w:eastAsiaTheme="minorEastAsia" w:cstheme="minorEastAsia"/>
          <w:bCs/>
          <w:highlight w:val="none"/>
        </w:rPr>
      </w:pPr>
    </w:p>
    <w:p>
      <w:pPr>
        <w:pStyle w:val="2"/>
        <w:rPr>
          <w:rFonts w:ascii="宋体" w:hAnsi="宋体" w:cs="宋体"/>
          <w:highlight w:val="none"/>
        </w:rPr>
      </w:pPr>
      <w:bookmarkStart w:id="2" w:name="_Toc2173"/>
      <w:bookmarkStart w:id="3" w:name="_Toc27735"/>
      <w:r>
        <w:rPr>
          <w:rFonts w:hint="eastAsia"/>
          <w:highlight w:val="none"/>
        </w:rPr>
        <w:t>重要事项提示</w:t>
      </w:r>
      <w:bookmarkEnd w:id="2"/>
      <w:bookmarkEnd w:id="3"/>
    </w:p>
    <w:p>
      <w:pPr>
        <w:spacing w:line="360" w:lineRule="auto"/>
        <w:rPr>
          <w:rFonts w:ascii="宋体" w:hAnsi="宋体" w:cs="宋体"/>
          <w:sz w:val="24"/>
          <w:highlight w:val="none"/>
        </w:rPr>
      </w:pPr>
    </w:p>
    <w:p>
      <w:pPr>
        <w:spacing w:line="360" w:lineRule="auto"/>
        <w:rPr>
          <w:rFonts w:ascii="宋体" w:hAnsi="宋体" w:cs="宋体"/>
          <w:sz w:val="24"/>
          <w:highlight w:val="none"/>
        </w:rPr>
      </w:pPr>
      <w:r>
        <w:rPr>
          <w:rFonts w:hint="eastAsia" w:ascii="宋体" w:hAnsi="宋体" w:cs="宋体"/>
          <w:sz w:val="24"/>
          <w:highlight w:val="none"/>
        </w:rPr>
        <w:t>各潜在供应商：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以下环节是此采购文件中需要重点关注的环节，对以下内容的忽视，可能是影响贵公司中标的重要因素。请在编制相应文件参与政府采购时高度重视。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1、采购文件应通过焦作市公共资源交易中心网站会员系统进行网上下载；未使用</w:t>
      </w:r>
      <w:r>
        <w:rPr>
          <w:rFonts w:hint="eastAsia" w:ascii="宋体" w:hAnsi="宋体"/>
          <w:bCs/>
          <w:kern w:val="0"/>
          <w:sz w:val="24"/>
          <w:highlight w:val="none"/>
        </w:rPr>
        <w:t>企业 CA 密匙</w:t>
      </w:r>
      <w:r>
        <w:rPr>
          <w:rFonts w:hint="eastAsia" w:ascii="宋体" w:hAnsi="宋体" w:cs="宋体"/>
          <w:sz w:val="24"/>
          <w:highlight w:val="none"/>
        </w:rPr>
        <w:t>登录焦作市公共资源交易中心网站会员系统进行网上下载文件的，投标视为无效；</w:t>
      </w:r>
    </w:p>
    <w:p>
      <w:pPr>
        <w:pStyle w:val="16"/>
        <w:spacing w:before="0" w:beforeAutospacing="0" w:after="0" w:afterAutospacing="0" w:line="360" w:lineRule="auto"/>
        <w:ind w:firstLine="480" w:firstLineChars="200"/>
        <w:jc w:val="both"/>
        <w:rPr>
          <w:highlight w:val="none"/>
        </w:rPr>
      </w:pPr>
      <w:r>
        <w:rPr>
          <w:rFonts w:hint="eastAsia"/>
          <w:highlight w:val="none"/>
        </w:rPr>
        <w:t>2、本项目采用“远程不见面”的开标方式，潜在供应商可提前在焦作市交易中心官网首页---下载中心--下载《焦作市电子招投标系统操作手册》和《焦作市公共资源交易平台不见面开标操作手册》、《投标文件制作工作工具》等，查看操作说明，按要求进行投标文件制作和上传等。为避免网络拥堵等不可控因素影响投标文件的上传，请提前上传投标文件，按要求解密投标文件。因文件未及时上传导致投标失败的责任由供应商自行承担，具体要求详见招标文件。 平台统一技术服务电话：400-998-0000，服务 QQ：4008503300，服务时间：周一至周日 8：00-17：30。</w:t>
      </w:r>
    </w:p>
    <w:p>
      <w:pPr>
        <w:pStyle w:val="16"/>
        <w:spacing w:before="0" w:beforeAutospacing="0" w:after="0" w:afterAutospacing="0" w:line="360" w:lineRule="auto"/>
        <w:ind w:firstLine="480" w:firstLineChars="200"/>
        <w:jc w:val="both"/>
        <w:rPr>
          <w:highlight w:val="none"/>
        </w:rPr>
      </w:pPr>
      <w:r>
        <w:rPr>
          <w:rFonts w:hint="eastAsia"/>
          <w:highlight w:val="none"/>
        </w:rPr>
        <w:t>供应商无需到现场参加开标会议，无需到达现场提交原件资料。供应商应当准时参加开标活动并进行文件解密、答疑澄清等。加密电子投标文件须在焦作市公共资源交易中心电子交易平台中加密上传，上传时必须得到电脑“上传成功”的确认回复后方为上传成功。在规定时间内投标文件未解密的供应商，视为放弃投标。</w:t>
      </w:r>
    </w:p>
    <w:p>
      <w:pPr>
        <w:pStyle w:val="16"/>
        <w:numPr>
          <w:ilvl w:val="0"/>
          <w:numId w:val="1"/>
        </w:numPr>
        <w:spacing w:before="0" w:beforeAutospacing="0" w:after="0" w:afterAutospacing="0" w:line="360" w:lineRule="auto"/>
        <w:ind w:firstLine="480" w:firstLineChars="200"/>
        <w:jc w:val="both"/>
        <w:rPr>
          <w:highlight w:val="none"/>
        </w:rPr>
      </w:pPr>
      <w:r>
        <w:rPr>
          <w:rFonts w:hint="eastAsia"/>
          <w:highlight w:val="none"/>
        </w:rPr>
        <w:t>有下列情形之一的，将作为自动放弃、无效投标或废标处理：</w:t>
      </w:r>
    </w:p>
    <w:p>
      <w:pPr>
        <w:pStyle w:val="16"/>
        <w:numPr>
          <w:ilvl w:val="0"/>
          <w:numId w:val="2"/>
        </w:numPr>
        <w:spacing w:before="0" w:beforeAutospacing="0" w:after="0" w:afterAutospacing="0" w:line="360" w:lineRule="auto"/>
        <w:ind w:left="-60" w:firstLine="480"/>
        <w:jc w:val="both"/>
        <w:rPr>
          <w:rFonts w:cs="Times New Roman"/>
          <w:highlight w:val="none"/>
        </w:rPr>
      </w:pPr>
      <w:r>
        <w:rPr>
          <w:rFonts w:hint="eastAsia" w:cs="Times New Roman"/>
          <w:highlight w:val="none"/>
        </w:rPr>
        <w:t>在投标文件中对同一采购项目有两个或多个报价，且未声明哪一个有效的；</w:t>
      </w:r>
    </w:p>
    <w:p>
      <w:pPr>
        <w:pStyle w:val="16"/>
        <w:numPr>
          <w:ilvl w:val="0"/>
          <w:numId w:val="2"/>
        </w:numPr>
        <w:spacing w:before="0" w:beforeAutospacing="0" w:after="0" w:afterAutospacing="0" w:line="360" w:lineRule="auto"/>
        <w:ind w:left="-60" w:firstLine="480"/>
        <w:jc w:val="both"/>
        <w:rPr>
          <w:rFonts w:cs="Times New Roman"/>
          <w:highlight w:val="none"/>
        </w:rPr>
      </w:pPr>
      <w:r>
        <w:rPr>
          <w:rFonts w:hint="eastAsia" w:cs="Times New Roman"/>
          <w:highlight w:val="none"/>
        </w:rPr>
        <w:t>投标文件的关键内容（采购报价、</w:t>
      </w:r>
      <w:r>
        <w:rPr>
          <w:rFonts w:hint="eastAsia"/>
          <w:highlight w:val="none"/>
        </w:rPr>
        <w:t>供货及安装期</w:t>
      </w:r>
      <w:r>
        <w:rPr>
          <w:rFonts w:hint="eastAsia" w:cs="Times New Roman"/>
          <w:highlight w:val="none"/>
        </w:rPr>
        <w:t>、质量标准、品牌、型号等）未填写或填写字迹模糊无法辨认的；</w:t>
      </w:r>
    </w:p>
    <w:p>
      <w:pPr>
        <w:pStyle w:val="16"/>
        <w:numPr>
          <w:ilvl w:val="0"/>
          <w:numId w:val="2"/>
        </w:numPr>
        <w:spacing w:before="0" w:beforeAutospacing="0" w:after="0" w:afterAutospacing="0" w:line="360" w:lineRule="auto"/>
        <w:ind w:left="-60" w:firstLine="480"/>
        <w:jc w:val="both"/>
        <w:rPr>
          <w:rFonts w:cs="Times New Roman"/>
          <w:highlight w:val="none"/>
        </w:rPr>
      </w:pPr>
      <w:r>
        <w:rPr>
          <w:rFonts w:hint="eastAsia" w:cs="Times New Roman"/>
          <w:highlight w:val="none"/>
        </w:rPr>
        <w:t>采购报价超出控制价的；</w:t>
      </w:r>
    </w:p>
    <w:p>
      <w:pPr>
        <w:pStyle w:val="16"/>
        <w:numPr>
          <w:ilvl w:val="0"/>
          <w:numId w:val="2"/>
        </w:numPr>
        <w:spacing w:before="0" w:beforeAutospacing="0" w:after="0" w:afterAutospacing="0" w:line="360" w:lineRule="auto"/>
        <w:ind w:left="-60" w:firstLine="480"/>
        <w:jc w:val="both"/>
        <w:rPr>
          <w:rFonts w:cs="Times New Roman"/>
          <w:highlight w:val="none"/>
        </w:rPr>
      </w:pPr>
      <w:r>
        <w:rPr>
          <w:rFonts w:hint="eastAsia" w:cs="Times New Roman"/>
          <w:highlight w:val="none"/>
        </w:rPr>
        <w:t>投标文件中附有采购人不能接受的条件的；</w:t>
      </w:r>
    </w:p>
    <w:p>
      <w:pPr>
        <w:pStyle w:val="16"/>
        <w:numPr>
          <w:ilvl w:val="0"/>
          <w:numId w:val="2"/>
        </w:numPr>
        <w:spacing w:before="0" w:beforeAutospacing="0" w:after="0" w:afterAutospacing="0" w:line="360" w:lineRule="auto"/>
        <w:ind w:left="-60" w:firstLine="480"/>
        <w:jc w:val="both"/>
        <w:rPr>
          <w:highlight w:val="none"/>
        </w:rPr>
      </w:pPr>
      <w:r>
        <w:rPr>
          <w:rFonts w:hint="eastAsia" w:cs="Times New Roman"/>
          <w:highlight w:val="none"/>
        </w:rPr>
        <w:t>投标文件有明显不符合采购文件其它要求和有关法律法规的；</w:t>
      </w:r>
    </w:p>
    <w:p>
      <w:pPr>
        <w:pStyle w:val="16"/>
        <w:numPr>
          <w:ilvl w:val="0"/>
          <w:numId w:val="2"/>
        </w:numPr>
        <w:spacing w:before="0" w:beforeAutospacing="0" w:after="0" w:afterAutospacing="0" w:line="360" w:lineRule="auto"/>
        <w:ind w:left="-60" w:firstLine="480"/>
        <w:jc w:val="both"/>
        <w:rPr>
          <w:highlight w:val="none"/>
        </w:rPr>
      </w:pPr>
      <w:r>
        <w:rPr>
          <w:rFonts w:hint="eastAsia" w:cs="Times New Roman"/>
          <w:highlight w:val="none"/>
        </w:rPr>
        <w:t>如因两个或两个以上供应商使用同一台计算或同一个IP上传投标文件，被不见面开标系统提示为“投标文件制作机器码一致”的，则视其投标无效。若经查实有《政府采购法实施条例》第七十四条情形，监管部门将依法做出处理；</w:t>
      </w:r>
    </w:p>
    <w:p>
      <w:pPr>
        <w:pStyle w:val="16"/>
        <w:numPr>
          <w:ilvl w:val="0"/>
          <w:numId w:val="2"/>
        </w:numPr>
        <w:spacing w:before="0" w:beforeAutospacing="0" w:after="0" w:afterAutospacing="0" w:line="360" w:lineRule="auto"/>
        <w:ind w:left="-60" w:firstLine="480"/>
        <w:jc w:val="both"/>
        <w:rPr>
          <w:highlight w:val="none"/>
        </w:rPr>
      </w:pPr>
      <w:r>
        <w:rPr>
          <w:rFonts w:hint="eastAsia"/>
          <w:highlight w:val="none"/>
        </w:rPr>
        <w:t>在评标过程中，评标委员会发现投标单位的报价明显低于其它采购报价，使得其采购报价可能低于其个别成本的，应当要求该供应商作出书面说明并提供相关证明材料。供应商不能合理说明或者不能提供相关证明材料的，由评标委员会认定该供应商以低于成本报价竞标的。</w:t>
      </w:r>
    </w:p>
    <w:p>
      <w:pPr>
        <w:rPr>
          <w:rFonts w:ascii="宋体" w:hAnsi="宋体" w:cs="宋体"/>
          <w:sz w:val="32"/>
          <w:szCs w:val="32"/>
          <w:highlight w:val="none"/>
        </w:rPr>
      </w:pPr>
    </w:p>
    <w:p>
      <w:pPr>
        <w:rPr>
          <w:rFonts w:ascii="宋体" w:hAnsi="宋体" w:cs="宋体"/>
          <w:sz w:val="32"/>
          <w:szCs w:val="32"/>
          <w:highlight w:val="none"/>
        </w:rPr>
      </w:pPr>
    </w:p>
    <w:p>
      <w:pPr>
        <w:rPr>
          <w:rFonts w:ascii="宋体" w:hAnsi="宋体" w:cs="宋体"/>
          <w:b/>
          <w:bCs/>
          <w:sz w:val="32"/>
          <w:szCs w:val="32"/>
          <w:highlight w:val="none"/>
        </w:rPr>
      </w:pPr>
    </w:p>
    <w:p>
      <w:pPr>
        <w:jc w:val="center"/>
        <w:rPr>
          <w:rFonts w:asciiTheme="minorEastAsia" w:hAnsiTheme="minorEastAsia" w:eastAsiaTheme="minorEastAsia" w:cstheme="minorEastAsia"/>
          <w:b/>
          <w:bCs/>
          <w:sz w:val="32"/>
          <w:szCs w:val="32"/>
          <w:highlight w:val="none"/>
        </w:rPr>
      </w:pPr>
    </w:p>
    <w:p>
      <w:pPr>
        <w:pStyle w:val="17"/>
        <w:spacing w:line="360" w:lineRule="auto"/>
        <w:ind w:right="-63" w:rightChars="-30"/>
        <w:jc w:val="both"/>
        <w:outlineLvl w:val="9"/>
        <w:rPr>
          <w:rFonts w:asciiTheme="minorEastAsia" w:hAnsiTheme="minorEastAsia" w:eastAsiaTheme="minorEastAsia" w:cstheme="minorEastAsia"/>
          <w:bCs/>
          <w:highlight w:val="none"/>
        </w:rPr>
      </w:pPr>
    </w:p>
    <w:p>
      <w:pPr>
        <w:rPr>
          <w:rFonts w:asciiTheme="minorEastAsia" w:hAnsiTheme="minorEastAsia" w:eastAsiaTheme="minorEastAsia" w:cstheme="minorEastAsia"/>
          <w:bCs/>
          <w:highlight w:val="none"/>
        </w:rPr>
      </w:pPr>
    </w:p>
    <w:p>
      <w:pPr>
        <w:pStyle w:val="7"/>
        <w:rPr>
          <w:rFonts w:asciiTheme="minorEastAsia" w:hAnsiTheme="minorEastAsia" w:eastAsiaTheme="minorEastAsia" w:cstheme="minorEastAsia"/>
          <w:bCs/>
          <w:highlight w:val="none"/>
        </w:rPr>
      </w:pPr>
    </w:p>
    <w:p>
      <w:pPr>
        <w:pStyle w:val="15"/>
        <w:rPr>
          <w:rFonts w:asciiTheme="minorEastAsia" w:hAnsiTheme="minorEastAsia" w:eastAsiaTheme="minorEastAsia" w:cstheme="minorEastAsia"/>
          <w:bCs/>
          <w:highlight w:val="none"/>
        </w:rPr>
      </w:pPr>
    </w:p>
    <w:p>
      <w:pPr>
        <w:pStyle w:val="7"/>
        <w:rPr>
          <w:rFonts w:asciiTheme="minorEastAsia" w:hAnsiTheme="minorEastAsia" w:eastAsiaTheme="minorEastAsia" w:cstheme="minorEastAsia"/>
          <w:bCs/>
          <w:highlight w:val="none"/>
        </w:rPr>
      </w:pPr>
    </w:p>
    <w:p>
      <w:pPr>
        <w:pStyle w:val="7"/>
        <w:rPr>
          <w:highlight w:val="none"/>
        </w:rPr>
      </w:pPr>
    </w:p>
    <w:p>
      <w:pPr>
        <w:pStyle w:val="15"/>
        <w:rPr>
          <w:highlight w:val="none"/>
        </w:rPr>
      </w:pPr>
    </w:p>
    <w:p>
      <w:pPr>
        <w:pStyle w:val="15"/>
        <w:rPr>
          <w:highlight w:val="none"/>
        </w:rPr>
      </w:pPr>
    </w:p>
    <w:p>
      <w:pPr>
        <w:pStyle w:val="7"/>
        <w:rPr>
          <w:highlight w:val="none"/>
        </w:rPr>
      </w:pPr>
    </w:p>
    <w:p>
      <w:pPr>
        <w:pStyle w:val="8"/>
        <w:rPr>
          <w:rFonts w:hint="default"/>
          <w:color w:val="auto"/>
          <w:highlight w:val="none"/>
        </w:rPr>
      </w:pPr>
    </w:p>
    <w:p>
      <w:pPr>
        <w:pStyle w:val="17"/>
        <w:numPr>
          <w:ilvl w:val="0"/>
          <w:numId w:val="3"/>
        </w:numPr>
        <w:spacing w:line="360" w:lineRule="auto"/>
        <w:ind w:right="-63" w:rightChars="-30"/>
        <w:rPr>
          <w:highlight w:val="none"/>
        </w:rPr>
      </w:pPr>
      <w:r>
        <w:rPr>
          <w:rFonts w:hint="eastAsia" w:asciiTheme="minorEastAsia" w:hAnsiTheme="minorEastAsia" w:eastAsiaTheme="minorEastAsia" w:cstheme="minorEastAsia"/>
          <w:bCs/>
          <w:highlight w:val="none"/>
        </w:rPr>
        <w:t xml:space="preserve">  </w:t>
      </w:r>
      <w:bookmarkStart w:id="4" w:name="_Toc23622"/>
      <w:bookmarkStart w:id="5" w:name="_Toc24751"/>
      <w:r>
        <w:rPr>
          <w:rFonts w:hint="eastAsia" w:asciiTheme="minorEastAsia" w:hAnsiTheme="minorEastAsia" w:eastAsiaTheme="minorEastAsia" w:cstheme="minorEastAsia"/>
          <w:bCs/>
          <w:highlight w:val="none"/>
        </w:rPr>
        <w:t>招标公告</w:t>
      </w:r>
      <w:bookmarkEnd w:id="4"/>
      <w:bookmarkEnd w:id="5"/>
    </w:p>
    <w:p>
      <w:pPr>
        <w:jc w:val="center"/>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highlight w:val="none"/>
          <w:lang w:eastAsia="zh-CN"/>
        </w:rPr>
        <w:t>博爱县职业中等专业学校虚拟仿真实训基地建设采购项目</w:t>
      </w:r>
    </w:p>
    <w:p>
      <w:pPr>
        <w:jc w:val="center"/>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招标公告（不见面开标）</w:t>
      </w:r>
    </w:p>
    <w:tbl>
      <w:tblPr>
        <w:tblStyle w:val="20"/>
        <w:tblW w:w="9620" w:type="dxa"/>
        <w:tblInd w:w="3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9" w:hRule="atLeast"/>
        </w:trPr>
        <w:tc>
          <w:tcPr>
            <w:tcW w:w="9620" w:type="dxa"/>
          </w:tcPr>
          <w:p>
            <w:pPr>
              <w:pStyle w:val="19"/>
              <w:spacing w:line="440" w:lineRule="exact"/>
              <w:ind w:firstLine="480"/>
              <w:rPr>
                <w:rFonts w:ascii="宋体" w:hAnsi="宋体" w:cs="宋体"/>
                <w:sz w:val="24"/>
                <w:highlight w:val="none"/>
              </w:rPr>
            </w:pPr>
            <w:r>
              <w:rPr>
                <w:rFonts w:hint="eastAsia" w:ascii="宋体" w:hAnsi="宋体" w:cs="宋体"/>
                <w:sz w:val="24"/>
                <w:highlight w:val="none"/>
              </w:rPr>
              <w:t>项目概况：</w:t>
            </w:r>
            <w:r>
              <w:rPr>
                <w:rFonts w:hint="eastAsia" w:ascii="宋体" w:hAnsi="宋体" w:cs="宋体"/>
                <w:sz w:val="24"/>
                <w:highlight w:val="none"/>
                <w:lang w:eastAsia="zh-CN"/>
              </w:rPr>
              <w:t>博爱县职业中等专业学校虚拟仿真实训基地建设采购项目</w:t>
            </w:r>
            <w:r>
              <w:rPr>
                <w:rFonts w:hint="eastAsia" w:ascii="宋体" w:hAnsi="宋体" w:cs="宋体"/>
                <w:sz w:val="24"/>
                <w:highlight w:val="none"/>
              </w:rPr>
              <w:t>的潜在供应商应在焦作市公共资源交易中心网站获取采购文件，并于</w:t>
            </w:r>
            <w:r>
              <w:rPr>
                <w:rFonts w:hint="eastAsia" w:ascii="宋体" w:hAnsi="宋体" w:cs="宋体"/>
                <w:kern w:val="0"/>
                <w:sz w:val="24"/>
                <w:highlight w:val="none"/>
                <w:u w:val="single"/>
              </w:rPr>
              <w:t>2024年</w:t>
            </w:r>
            <w:r>
              <w:rPr>
                <w:rFonts w:hint="eastAsia" w:ascii="宋体" w:hAnsi="宋体" w:cs="宋体"/>
                <w:kern w:val="0"/>
                <w:sz w:val="24"/>
                <w:highlight w:val="none"/>
                <w:u w:val="single"/>
                <w:lang w:val="en-US" w:eastAsia="zh-CN"/>
              </w:rPr>
              <w:t>2</w:t>
            </w:r>
            <w:r>
              <w:rPr>
                <w:rFonts w:hint="eastAsia" w:ascii="宋体" w:hAnsi="宋体" w:cs="宋体"/>
                <w:kern w:val="0"/>
                <w:sz w:val="24"/>
                <w:highlight w:val="none"/>
                <w:u w:val="single"/>
              </w:rPr>
              <w:t>月</w:t>
            </w:r>
            <w:r>
              <w:rPr>
                <w:rFonts w:hint="eastAsia" w:ascii="宋体" w:hAnsi="宋体" w:cs="宋体"/>
                <w:kern w:val="0"/>
                <w:sz w:val="24"/>
                <w:highlight w:val="none"/>
                <w:u w:val="single"/>
                <w:lang w:val="en-US" w:eastAsia="zh-CN"/>
              </w:rPr>
              <w:t>29</w:t>
            </w:r>
            <w:r>
              <w:rPr>
                <w:rFonts w:hint="eastAsia" w:ascii="宋体" w:hAnsi="宋体" w:cs="宋体"/>
                <w:kern w:val="0"/>
                <w:sz w:val="24"/>
                <w:highlight w:val="none"/>
                <w:u w:val="single"/>
              </w:rPr>
              <w:t>日上午9点00分</w:t>
            </w:r>
            <w:r>
              <w:rPr>
                <w:rFonts w:hint="eastAsia" w:ascii="宋体" w:hAnsi="宋体" w:cs="宋体"/>
                <w:sz w:val="24"/>
                <w:highlight w:val="none"/>
                <w:u w:val="single"/>
              </w:rPr>
              <w:t>（北京时间）</w:t>
            </w:r>
            <w:r>
              <w:rPr>
                <w:rFonts w:hint="eastAsia" w:ascii="宋体" w:hAnsi="宋体" w:cs="宋体"/>
                <w:sz w:val="24"/>
                <w:highlight w:val="none"/>
              </w:rPr>
              <w:t>前提交投标文件。</w:t>
            </w:r>
          </w:p>
        </w:tc>
      </w:tr>
    </w:tbl>
    <w:p>
      <w:pPr>
        <w:pStyle w:val="25"/>
        <w:spacing w:line="440" w:lineRule="exact"/>
        <w:ind w:left="0" w:firstLine="0"/>
        <w:rPr>
          <w:b/>
          <w:bCs/>
          <w:sz w:val="24"/>
          <w:highlight w:val="none"/>
          <w:lang w:eastAsia="zh-CN"/>
        </w:rPr>
      </w:pPr>
      <w:r>
        <w:rPr>
          <w:rFonts w:hint="eastAsia"/>
          <w:b/>
          <w:bCs/>
          <w:sz w:val="24"/>
          <w:highlight w:val="none"/>
          <w:lang w:eastAsia="zh-CN"/>
        </w:rPr>
        <w:t>一、项目基本情况</w:t>
      </w:r>
    </w:p>
    <w:p>
      <w:pPr>
        <w:widowControl/>
        <w:spacing w:line="440" w:lineRule="exact"/>
        <w:ind w:firstLine="480" w:firstLineChars="200"/>
        <w:jc w:val="left"/>
        <w:rPr>
          <w:rFonts w:hint="eastAsia" w:ascii="宋体" w:hAnsi="宋体" w:cs="宋体"/>
          <w:sz w:val="24"/>
          <w:highlight w:val="none"/>
          <w:shd w:val="clear" w:color="auto" w:fill="FFFFFF"/>
          <w:lang w:val="en-US" w:eastAsia="zh-CN"/>
        </w:rPr>
      </w:pPr>
      <w:r>
        <w:rPr>
          <w:rFonts w:hint="eastAsia" w:ascii="宋体" w:hAnsi="宋体" w:cs="宋体"/>
          <w:sz w:val="24"/>
          <w:highlight w:val="none"/>
          <w:shd w:val="clear" w:color="auto" w:fill="FFFFFF"/>
        </w:rPr>
        <w:t>1</w:t>
      </w:r>
      <w:r>
        <w:rPr>
          <w:rFonts w:hint="eastAsia" w:ascii="宋体" w:hAnsi="宋体" w:cs="宋体"/>
          <w:sz w:val="24"/>
          <w:highlight w:val="none"/>
          <w:shd w:val="clear" w:color="auto" w:fill="FFFFFF"/>
          <w:lang w:eastAsia="zh-CN"/>
        </w:rPr>
        <w:t>.</w:t>
      </w:r>
      <w:r>
        <w:rPr>
          <w:rFonts w:hint="eastAsia" w:ascii="宋体" w:hAnsi="宋体" w:cs="宋体"/>
          <w:sz w:val="24"/>
          <w:highlight w:val="none"/>
          <w:shd w:val="clear" w:color="auto" w:fill="FFFFFF"/>
        </w:rPr>
        <w:t>项目编号：</w:t>
      </w:r>
      <w:r>
        <w:rPr>
          <w:rFonts w:hint="eastAsia" w:ascii="宋体" w:hAnsi="宋体" w:cs="宋体"/>
          <w:sz w:val="24"/>
          <w:highlight w:val="none"/>
          <w:shd w:val="clear" w:color="auto" w:fill="FFFFFF"/>
          <w:lang w:val="en-US" w:eastAsia="zh-CN"/>
        </w:rPr>
        <w:t>博政采购〔2024〕13号</w:t>
      </w:r>
    </w:p>
    <w:p>
      <w:pPr>
        <w:widowControl/>
        <w:spacing w:line="440" w:lineRule="exact"/>
        <w:ind w:firstLine="480" w:firstLineChars="200"/>
        <w:jc w:val="left"/>
        <w:rPr>
          <w:rFonts w:hint="eastAsia" w:ascii="宋体" w:hAnsi="宋体" w:cs="宋体"/>
          <w:sz w:val="24"/>
          <w:highlight w:val="none"/>
          <w:shd w:val="clear" w:color="auto" w:fill="FFFFFF"/>
          <w:lang w:eastAsia="zh-CN"/>
        </w:rPr>
      </w:pPr>
      <w:r>
        <w:rPr>
          <w:rFonts w:hint="eastAsia" w:ascii="宋体" w:hAnsi="宋体" w:cs="宋体"/>
          <w:sz w:val="24"/>
          <w:highlight w:val="none"/>
          <w:shd w:val="clear" w:color="auto" w:fill="FFFFFF"/>
          <w:lang w:val="en-US" w:eastAsia="zh-CN"/>
        </w:rPr>
        <w:t>2.</w:t>
      </w:r>
      <w:r>
        <w:rPr>
          <w:rFonts w:hint="eastAsia" w:ascii="宋体" w:hAnsi="宋体" w:cs="宋体"/>
          <w:sz w:val="24"/>
          <w:highlight w:val="none"/>
          <w:shd w:val="clear" w:color="auto" w:fill="FFFFFF"/>
        </w:rPr>
        <w:t>项目名称：</w:t>
      </w:r>
      <w:r>
        <w:rPr>
          <w:rFonts w:hint="eastAsia" w:ascii="宋体" w:hAnsi="宋体" w:cs="宋体"/>
          <w:sz w:val="24"/>
          <w:highlight w:val="none"/>
          <w:shd w:val="clear" w:color="auto" w:fill="FFFFFF"/>
          <w:lang w:eastAsia="zh-CN"/>
        </w:rPr>
        <w:t>博爱县职业中等专业学校虚拟仿真实训基地建设采购项目</w:t>
      </w:r>
    </w:p>
    <w:p>
      <w:pPr>
        <w:widowControl/>
        <w:spacing w:line="440" w:lineRule="exact"/>
        <w:ind w:firstLine="480" w:firstLineChars="200"/>
        <w:jc w:val="left"/>
        <w:rPr>
          <w:rFonts w:hint="eastAsia" w:ascii="宋体" w:hAnsi="宋体" w:cs="宋体"/>
          <w:sz w:val="24"/>
          <w:highlight w:val="none"/>
          <w:shd w:val="clear" w:color="auto" w:fill="FFFFFF"/>
        </w:rPr>
      </w:pPr>
      <w:r>
        <w:rPr>
          <w:rFonts w:hint="eastAsia" w:ascii="宋体" w:hAnsi="宋体" w:cs="宋体"/>
          <w:sz w:val="24"/>
          <w:highlight w:val="none"/>
          <w:shd w:val="clear" w:color="auto" w:fill="FFFFFF"/>
          <w:lang w:val="en-US" w:eastAsia="zh-CN"/>
        </w:rPr>
        <w:t>3.</w:t>
      </w:r>
      <w:r>
        <w:rPr>
          <w:rFonts w:hint="eastAsia" w:ascii="宋体" w:hAnsi="宋体" w:cs="宋体"/>
          <w:sz w:val="24"/>
          <w:highlight w:val="none"/>
          <w:shd w:val="clear" w:color="auto" w:fill="FFFFFF"/>
        </w:rPr>
        <w:t>采购方式：公开招标</w:t>
      </w:r>
    </w:p>
    <w:p>
      <w:pPr>
        <w:widowControl/>
        <w:spacing w:line="440" w:lineRule="exact"/>
        <w:ind w:firstLine="480" w:firstLineChars="200"/>
        <w:jc w:val="left"/>
        <w:rPr>
          <w:rFonts w:hint="eastAsia" w:ascii="宋体" w:hAnsi="宋体" w:cs="宋体"/>
          <w:sz w:val="24"/>
          <w:highlight w:val="none"/>
          <w:shd w:val="clear" w:color="auto" w:fill="FFFFFF"/>
        </w:rPr>
      </w:pPr>
      <w:r>
        <w:rPr>
          <w:rFonts w:hint="eastAsia" w:ascii="宋体" w:hAnsi="宋体" w:cs="宋体"/>
          <w:sz w:val="24"/>
          <w:highlight w:val="none"/>
          <w:shd w:val="clear" w:color="auto" w:fill="FFFFFF"/>
          <w:lang w:val="en-US" w:eastAsia="zh-CN"/>
        </w:rPr>
        <w:t>4.</w:t>
      </w:r>
      <w:r>
        <w:rPr>
          <w:rFonts w:hint="eastAsia" w:ascii="宋体" w:hAnsi="宋体" w:cs="宋体"/>
          <w:sz w:val="24"/>
          <w:highlight w:val="none"/>
          <w:shd w:val="clear" w:color="auto" w:fill="FFFFFF"/>
        </w:rPr>
        <w:t>预算金额：</w:t>
      </w:r>
      <w:r>
        <w:rPr>
          <w:rFonts w:hint="eastAsia" w:ascii="宋体" w:hAnsi="宋体" w:cs="宋体"/>
          <w:sz w:val="24"/>
          <w:highlight w:val="none"/>
          <w:shd w:val="clear" w:color="auto" w:fill="FFFFFF"/>
          <w:lang w:eastAsia="zh-CN"/>
        </w:rPr>
        <w:t>2198580</w:t>
      </w:r>
      <w:r>
        <w:rPr>
          <w:rFonts w:hint="eastAsia" w:ascii="宋体" w:hAnsi="宋体" w:cs="宋体"/>
          <w:sz w:val="24"/>
          <w:highlight w:val="none"/>
          <w:shd w:val="clear" w:color="auto" w:fill="FFFFFF"/>
        </w:rPr>
        <w:t>元</w:t>
      </w:r>
    </w:p>
    <w:p>
      <w:pPr>
        <w:widowControl/>
        <w:spacing w:line="440" w:lineRule="exact"/>
        <w:ind w:firstLine="720" w:firstLineChars="300"/>
        <w:jc w:val="left"/>
        <w:rPr>
          <w:rFonts w:hint="eastAsia" w:ascii="宋体" w:hAnsi="宋体" w:cs="宋体"/>
          <w:sz w:val="24"/>
          <w:highlight w:val="none"/>
          <w:shd w:val="clear" w:color="auto" w:fill="FFFFFF"/>
        </w:rPr>
      </w:pPr>
      <w:r>
        <w:rPr>
          <w:rFonts w:hint="eastAsia" w:ascii="宋体" w:hAnsi="宋体" w:cs="宋体"/>
          <w:sz w:val="24"/>
          <w:highlight w:val="none"/>
          <w:shd w:val="clear" w:color="auto" w:fill="FFFFFF"/>
          <w:lang w:val="en-US" w:eastAsia="zh-CN"/>
        </w:rPr>
        <w:t>最高限价：</w:t>
      </w:r>
      <w:r>
        <w:rPr>
          <w:rFonts w:hint="eastAsia" w:ascii="宋体" w:hAnsi="宋体" w:cs="宋体"/>
          <w:sz w:val="24"/>
          <w:highlight w:val="none"/>
          <w:shd w:val="clear" w:color="auto" w:fill="FFFFFF"/>
          <w:lang w:eastAsia="zh-CN"/>
        </w:rPr>
        <w:t>2198580</w:t>
      </w:r>
      <w:r>
        <w:rPr>
          <w:rFonts w:hint="eastAsia" w:ascii="宋体" w:hAnsi="宋体" w:cs="宋体"/>
          <w:sz w:val="24"/>
          <w:highlight w:val="none"/>
          <w:shd w:val="clear" w:color="auto" w:fill="FFFFFF"/>
        </w:rPr>
        <w:t>元</w:t>
      </w:r>
    </w:p>
    <w:tbl>
      <w:tblPr>
        <w:tblStyle w:val="21"/>
        <w:tblW w:w="9610" w:type="dxa"/>
        <w:tblInd w:w="3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1710"/>
        <w:gridCol w:w="3410"/>
        <w:gridCol w:w="1600"/>
        <w:gridCol w:w="2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800" w:type="dxa"/>
            <w:noWrap w:val="0"/>
            <w:vAlign w:val="center"/>
          </w:tcPr>
          <w:p>
            <w:pPr>
              <w:keepNext w:val="0"/>
              <w:keepLines w:val="0"/>
              <w:widowControl/>
              <w:suppressLineNumbers w:val="0"/>
              <w:wordWrap w:val="0"/>
              <w:spacing w:before="0" w:beforeAutospacing="0" w:after="0" w:afterAutospacing="0" w:line="360" w:lineRule="auto"/>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b w:val="0"/>
                <w:bCs w:val="0"/>
                <w:i w:val="0"/>
                <w:iCs w:val="0"/>
                <w:color w:val="auto"/>
                <w:kern w:val="0"/>
                <w:sz w:val="24"/>
                <w:szCs w:val="24"/>
                <w:highlight w:val="none"/>
                <w:lang w:val="en-US" w:eastAsia="zh-CN" w:bidi="ar"/>
              </w:rPr>
              <w:t>序号</w:t>
            </w:r>
          </w:p>
        </w:tc>
        <w:tc>
          <w:tcPr>
            <w:tcW w:w="1710" w:type="dxa"/>
            <w:noWrap w:val="0"/>
            <w:vAlign w:val="center"/>
          </w:tcPr>
          <w:p>
            <w:pPr>
              <w:keepNext w:val="0"/>
              <w:keepLines w:val="0"/>
              <w:widowControl/>
              <w:suppressLineNumbers w:val="0"/>
              <w:wordWrap w:val="0"/>
              <w:spacing w:before="0" w:beforeAutospacing="0" w:after="0" w:afterAutospacing="0" w:line="360" w:lineRule="auto"/>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b w:val="0"/>
                <w:bCs w:val="0"/>
                <w:i w:val="0"/>
                <w:iCs w:val="0"/>
                <w:color w:val="auto"/>
                <w:kern w:val="0"/>
                <w:sz w:val="24"/>
                <w:szCs w:val="24"/>
                <w:highlight w:val="none"/>
                <w:lang w:val="en-US" w:eastAsia="zh-CN" w:bidi="ar"/>
              </w:rPr>
              <w:t>包号</w:t>
            </w:r>
          </w:p>
        </w:tc>
        <w:tc>
          <w:tcPr>
            <w:tcW w:w="3410" w:type="dxa"/>
            <w:noWrap w:val="0"/>
            <w:vAlign w:val="center"/>
          </w:tcPr>
          <w:p>
            <w:pPr>
              <w:keepNext w:val="0"/>
              <w:keepLines w:val="0"/>
              <w:widowControl/>
              <w:suppressLineNumbers w:val="0"/>
              <w:wordWrap w:val="0"/>
              <w:spacing w:before="0" w:beforeAutospacing="0" w:after="0" w:afterAutospacing="0" w:line="360" w:lineRule="auto"/>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b w:val="0"/>
                <w:bCs w:val="0"/>
                <w:i w:val="0"/>
                <w:iCs w:val="0"/>
                <w:color w:val="auto"/>
                <w:kern w:val="0"/>
                <w:sz w:val="24"/>
                <w:szCs w:val="24"/>
                <w:highlight w:val="none"/>
                <w:lang w:val="en-US" w:eastAsia="zh-CN" w:bidi="ar"/>
              </w:rPr>
              <w:t>包名称</w:t>
            </w:r>
          </w:p>
        </w:tc>
        <w:tc>
          <w:tcPr>
            <w:tcW w:w="1600" w:type="dxa"/>
            <w:noWrap w:val="0"/>
            <w:vAlign w:val="center"/>
          </w:tcPr>
          <w:p>
            <w:pPr>
              <w:keepNext w:val="0"/>
              <w:keepLines w:val="0"/>
              <w:widowControl/>
              <w:suppressLineNumbers w:val="0"/>
              <w:wordWrap w:val="0"/>
              <w:spacing w:before="0" w:beforeAutospacing="0" w:after="0" w:afterAutospacing="0" w:line="360" w:lineRule="auto"/>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b w:val="0"/>
                <w:bCs w:val="0"/>
                <w:i w:val="0"/>
                <w:iCs w:val="0"/>
                <w:color w:val="auto"/>
                <w:kern w:val="0"/>
                <w:sz w:val="24"/>
                <w:szCs w:val="24"/>
                <w:highlight w:val="none"/>
                <w:lang w:val="en-US" w:eastAsia="zh-CN" w:bidi="ar"/>
              </w:rPr>
              <w:t>包预算（元）</w:t>
            </w:r>
          </w:p>
        </w:tc>
        <w:tc>
          <w:tcPr>
            <w:tcW w:w="2090" w:type="dxa"/>
            <w:noWrap w:val="0"/>
            <w:vAlign w:val="center"/>
          </w:tcPr>
          <w:p>
            <w:pPr>
              <w:keepNext w:val="0"/>
              <w:keepLines w:val="0"/>
              <w:widowControl/>
              <w:suppressLineNumbers w:val="0"/>
              <w:wordWrap w:val="0"/>
              <w:spacing w:before="0" w:beforeAutospacing="0" w:after="0" w:afterAutospacing="0" w:line="360" w:lineRule="auto"/>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b w:val="0"/>
                <w:bCs w:val="0"/>
                <w:i w:val="0"/>
                <w:iCs w:val="0"/>
                <w:color w:val="auto"/>
                <w:kern w:val="0"/>
                <w:sz w:val="24"/>
                <w:szCs w:val="24"/>
                <w:highlight w:val="none"/>
                <w:lang w:val="en-US" w:eastAsia="zh-CN" w:bidi="ar"/>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800" w:type="dxa"/>
            <w:noWrap w:val="0"/>
            <w:vAlign w:val="center"/>
          </w:tcPr>
          <w:p>
            <w:pPr>
              <w:keepNext w:val="0"/>
              <w:keepLines w:val="0"/>
              <w:widowControl/>
              <w:suppressLineNumbers w:val="0"/>
              <w:wordWrap w:val="0"/>
              <w:spacing w:before="0" w:beforeAutospacing="0" w:after="0" w:afterAutospacing="0" w:line="360" w:lineRule="auto"/>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b w:val="0"/>
                <w:bCs w:val="0"/>
                <w:i w:val="0"/>
                <w:iCs w:val="0"/>
                <w:color w:val="auto"/>
                <w:kern w:val="0"/>
                <w:sz w:val="24"/>
                <w:szCs w:val="24"/>
                <w:highlight w:val="none"/>
                <w:lang w:val="en-US" w:eastAsia="zh-CN" w:bidi="ar"/>
              </w:rPr>
              <w:t>1</w:t>
            </w:r>
          </w:p>
        </w:tc>
        <w:tc>
          <w:tcPr>
            <w:tcW w:w="1710" w:type="dxa"/>
            <w:noWrap w:val="0"/>
            <w:vAlign w:val="center"/>
          </w:tcPr>
          <w:p>
            <w:pPr>
              <w:keepNext w:val="0"/>
              <w:keepLines w:val="0"/>
              <w:widowControl/>
              <w:suppressLineNumbers w:val="0"/>
              <w:wordWrap w:val="0"/>
              <w:spacing w:before="0" w:beforeAutospacing="0" w:after="0" w:afterAutospacing="0" w:line="360" w:lineRule="auto"/>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lang w:val="en-US" w:eastAsia="zh-CN"/>
              </w:rPr>
              <w:t>博政采购〔2024〕13号</w:t>
            </w:r>
          </w:p>
        </w:tc>
        <w:tc>
          <w:tcPr>
            <w:tcW w:w="3410" w:type="dxa"/>
            <w:noWrap w:val="0"/>
            <w:vAlign w:val="center"/>
          </w:tcPr>
          <w:p>
            <w:pPr>
              <w:keepNext w:val="0"/>
              <w:keepLines w:val="0"/>
              <w:widowControl/>
              <w:suppressLineNumbers w:val="0"/>
              <w:wordWrap w:val="0"/>
              <w:spacing w:before="0" w:beforeAutospacing="0" w:after="0" w:afterAutospacing="0" w:line="360" w:lineRule="auto"/>
              <w:ind w:left="0" w:leftChars="0" w:right="0" w:right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sz w:val="24"/>
                <w:highlight w:val="none"/>
                <w:shd w:val="clear" w:color="auto" w:fill="FFFFFF"/>
                <w:lang w:eastAsia="zh-CN"/>
              </w:rPr>
              <w:t>博爱县职业中等专业学校虚拟仿真实训基地建设采购项目</w:t>
            </w:r>
          </w:p>
        </w:tc>
        <w:tc>
          <w:tcPr>
            <w:tcW w:w="1600" w:type="dxa"/>
            <w:noWrap w:val="0"/>
            <w:vAlign w:val="center"/>
          </w:tcPr>
          <w:p>
            <w:pPr>
              <w:keepNext w:val="0"/>
              <w:keepLines w:val="0"/>
              <w:widowControl/>
              <w:suppressLineNumbers w:val="0"/>
              <w:wordWrap w:val="0"/>
              <w:spacing w:before="0" w:beforeAutospacing="0" w:after="0" w:afterAutospacing="0" w:line="360" w:lineRule="auto"/>
              <w:ind w:left="0" w:leftChars="0" w:right="0" w:rightChars="0"/>
              <w:jc w:val="center"/>
              <w:rPr>
                <w:rFonts w:hint="eastAsia" w:ascii="宋体" w:hAnsi="宋体" w:eastAsia="宋体" w:cs="宋体"/>
                <w:b w:val="0"/>
                <w:bCs w:val="0"/>
                <w:i w:val="0"/>
                <w:iCs w:val="0"/>
                <w:color w:val="auto"/>
                <w:kern w:val="0"/>
                <w:sz w:val="24"/>
                <w:szCs w:val="24"/>
                <w:highlight w:val="none"/>
                <w:lang w:val="en-US" w:eastAsia="zh-CN" w:bidi="ar"/>
              </w:rPr>
            </w:pPr>
            <w:r>
              <w:rPr>
                <w:rFonts w:hint="eastAsia" w:ascii="宋体" w:hAnsi="宋体" w:cs="宋体"/>
                <w:sz w:val="24"/>
                <w:highlight w:val="none"/>
                <w:shd w:val="clear" w:color="auto" w:fill="FFFFFF"/>
                <w:lang w:eastAsia="zh-CN"/>
              </w:rPr>
              <w:t>2198580</w:t>
            </w:r>
          </w:p>
        </w:tc>
        <w:tc>
          <w:tcPr>
            <w:tcW w:w="2090" w:type="dxa"/>
            <w:noWrap w:val="0"/>
            <w:vAlign w:val="center"/>
          </w:tcPr>
          <w:p>
            <w:pPr>
              <w:keepNext w:val="0"/>
              <w:keepLines w:val="0"/>
              <w:widowControl/>
              <w:suppressLineNumbers w:val="0"/>
              <w:wordWrap w:val="0"/>
              <w:spacing w:before="0" w:beforeAutospacing="0" w:after="0" w:afterAutospacing="0" w:line="360" w:lineRule="auto"/>
              <w:ind w:left="0" w:leftChars="0" w:right="0" w:rightChars="0"/>
              <w:jc w:val="center"/>
              <w:rPr>
                <w:rFonts w:hint="eastAsia" w:ascii="宋体" w:hAnsi="宋体" w:eastAsia="宋体" w:cs="宋体"/>
                <w:b w:val="0"/>
                <w:bCs w:val="0"/>
                <w:i w:val="0"/>
                <w:iCs w:val="0"/>
                <w:color w:val="auto"/>
                <w:kern w:val="0"/>
                <w:sz w:val="24"/>
                <w:szCs w:val="24"/>
                <w:highlight w:val="none"/>
                <w:lang w:val="en-US" w:eastAsia="zh-CN" w:bidi="ar"/>
              </w:rPr>
            </w:pPr>
            <w:r>
              <w:rPr>
                <w:rFonts w:hint="eastAsia" w:ascii="宋体" w:hAnsi="宋体" w:cs="宋体"/>
                <w:sz w:val="24"/>
                <w:highlight w:val="none"/>
                <w:shd w:val="clear" w:color="auto" w:fill="FFFFFF"/>
                <w:lang w:eastAsia="zh-CN"/>
              </w:rPr>
              <w:t>2198580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采购需求（包括但不限于标的的名称、数量、简要技术需求或服务要求等） </w:t>
      </w:r>
    </w:p>
    <w:p>
      <w:pPr>
        <w:widowControl/>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（1）采购范围：</w:t>
      </w:r>
      <w:r>
        <w:rPr>
          <w:rFonts w:hint="eastAsia" w:ascii="宋体" w:hAnsi="宋体" w:cs="宋体"/>
          <w:sz w:val="24"/>
          <w:highlight w:val="none"/>
          <w:shd w:val="clear" w:color="auto" w:fill="FFFFFF"/>
          <w:lang w:eastAsia="zh-CN"/>
        </w:rPr>
        <w:t>AR智慧教室、</w:t>
      </w:r>
      <w:r>
        <w:rPr>
          <w:rFonts w:hint="eastAsia" w:ascii="宋体" w:hAnsi="宋体" w:cs="宋体"/>
          <w:sz w:val="24"/>
          <w:highlight w:val="none"/>
          <w:shd w:val="clear" w:color="auto" w:fill="FFFFFF"/>
        </w:rPr>
        <w:t>沉浸式VR头盔实训系统</w:t>
      </w:r>
      <w:r>
        <w:rPr>
          <w:rFonts w:hint="eastAsia" w:ascii="宋体" w:hAnsi="宋体" w:cs="宋体"/>
          <w:sz w:val="24"/>
          <w:highlight w:val="none"/>
          <w:shd w:val="clear" w:color="auto" w:fill="FFFFFF"/>
          <w:lang w:eastAsia="zh-CN"/>
        </w:rPr>
        <w:t>、</w:t>
      </w:r>
      <w:r>
        <w:rPr>
          <w:rFonts w:hint="eastAsia" w:ascii="宋体" w:hAnsi="宋体" w:cs="宋体"/>
          <w:sz w:val="24"/>
          <w:highlight w:val="none"/>
          <w:shd w:val="clear" w:color="auto" w:fill="FFFFFF"/>
        </w:rPr>
        <w:t>课程资源定制等，并对学校现有的中心机房、监控存储设备和网络进行更新升级，对教室扩音器等信息化设备进行提升（详见招标文件）。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）质量要求：</w:t>
      </w:r>
      <w:r>
        <w:rPr>
          <w:rFonts w:hint="eastAsia" w:ascii="宋体" w:hAnsi="宋体" w:cs="宋体"/>
          <w:sz w:val="24"/>
          <w:highlight w:val="none"/>
          <w:shd w:val="clear" w:color="auto" w:fill="FFFFFF"/>
        </w:rPr>
        <w:t>合格，符合国家及行业规范标准</w:t>
      </w:r>
      <w:r>
        <w:rPr>
          <w:rFonts w:hint="eastAsia" w:ascii="宋体" w:hAnsi="宋体" w:cs="宋体"/>
          <w:sz w:val="24"/>
          <w:highlight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sz w:val="24"/>
          <w:highlight w:val="none"/>
          <w:shd w:val="clear" w:color="auto" w:fill="FFFFFF"/>
        </w:rPr>
        <w:t>供货及安装期：合同签订后30日历天</w:t>
      </w:r>
      <w:r>
        <w:rPr>
          <w:rFonts w:hint="eastAsia" w:ascii="宋体" w:hAnsi="宋体" w:cs="宋体"/>
          <w:sz w:val="24"/>
          <w:highlight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合同履行期限：</w:t>
      </w:r>
      <w:r>
        <w:rPr>
          <w:rFonts w:hint="eastAsia" w:ascii="宋体" w:hAnsi="宋体" w:cs="宋体"/>
          <w:color w:val="auto"/>
          <w:sz w:val="24"/>
          <w:szCs w:val="24"/>
          <w:highlight w:val="none"/>
          <w:lang w:val="en-US" w:eastAsia="zh-CN"/>
        </w:rPr>
        <w:t xml:space="preserve">同交货期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本项目是否接受联合体投标：否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是否接受进口产品：否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宋体" w:hAnsi="宋体" w:eastAsia="宋体" w:cs="宋体"/>
          <w:color w:val="auto"/>
          <w:sz w:val="24"/>
          <w:szCs w:val="24"/>
          <w:highlight w:val="none"/>
        </w:rPr>
        <w:t>9</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是否专门面向中小企业：否 </w:t>
      </w:r>
    </w:p>
    <w:p>
      <w:pPr>
        <w:adjustRightInd w:val="0"/>
        <w:snapToGrid w:val="0"/>
        <w:spacing w:line="440" w:lineRule="exact"/>
        <w:rPr>
          <w:rFonts w:ascii="宋体" w:hAnsi="宋体" w:cs="宋体"/>
          <w:kern w:val="0"/>
          <w:sz w:val="24"/>
          <w:highlight w:val="none"/>
        </w:rPr>
      </w:pPr>
      <w:r>
        <w:rPr>
          <w:rFonts w:hint="eastAsia" w:ascii="宋体" w:hAnsi="宋体" w:cs="宋体"/>
          <w:b/>
          <w:bCs/>
          <w:kern w:val="0"/>
          <w:sz w:val="24"/>
          <w:highlight w:val="none"/>
        </w:rPr>
        <w:t>二、申请人资格要求：</w:t>
      </w:r>
    </w:p>
    <w:p>
      <w:pPr>
        <w:widowControl/>
        <w:spacing w:line="440" w:lineRule="exact"/>
        <w:ind w:firstLine="480" w:firstLineChars="20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1</w:t>
      </w:r>
      <w:r>
        <w:rPr>
          <w:rFonts w:hint="eastAsia" w:ascii="宋体" w:hAnsi="宋体" w:cs="宋体"/>
          <w:sz w:val="24"/>
          <w:highlight w:val="none"/>
          <w:shd w:val="clear" w:color="auto" w:fill="FFFFFF"/>
          <w:lang w:eastAsia="zh-CN"/>
        </w:rPr>
        <w:t>.</w:t>
      </w:r>
      <w:r>
        <w:rPr>
          <w:rFonts w:hint="eastAsia" w:ascii="宋体" w:hAnsi="宋体" w:cs="宋体"/>
          <w:sz w:val="24"/>
          <w:highlight w:val="none"/>
          <w:shd w:val="clear" w:color="auto" w:fill="FFFFFF"/>
        </w:rPr>
        <w:t>符合《中华人民共和国政府采购法》第二十二条之规定；</w:t>
      </w:r>
    </w:p>
    <w:p>
      <w:pPr>
        <w:widowControl/>
        <w:spacing w:line="440" w:lineRule="exact"/>
        <w:ind w:firstLine="480" w:firstLineChars="20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2</w:t>
      </w:r>
      <w:r>
        <w:rPr>
          <w:rFonts w:hint="eastAsia" w:ascii="宋体" w:hAnsi="宋体" w:cs="宋体"/>
          <w:sz w:val="24"/>
          <w:highlight w:val="none"/>
          <w:shd w:val="clear" w:color="auto" w:fill="FFFFFF"/>
          <w:lang w:eastAsia="zh-CN"/>
        </w:rPr>
        <w:t>.</w:t>
      </w:r>
      <w:r>
        <w:rPr>
          <w:rFonts w:hint="eastAsia" w:ascii="宋体" w:hAnsi="宋体" w:cs="宋体"/>
          <w:sz w:val="24"/>
          <w:highlight w:val="none"/>
          <w:shd w:val="clear" w:color="auto" w:fill="FFFFFF"/>
        </w:rPr>
        <w:t>落实政府采购政策需满足的资格要求：促进中小企业和监狱企业发展扶持政策、政府强制采购节能产品、节能产品及环境标志产品优先采购。</w:t>
      </w:r>
    </w:p>
    <w:p>
      <w:pPr>
        <w:widowControl/>
        <w:spacing w:line="440" w:lineRule="exact"/>
        <w:ind w:firstLine="480" w:firstLineChars="20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3</w:t>
      </w:r>
      <w:r>
        <w:rPr>
          <w:rFonts w:hint="eastAsia" w:ascii="宋体" w:hAnsi="宋体" w:cs="宋体"/>
          <w:sz w:val="24"/>
          <w:highlight w:val="none"/>
          <w:shd w:val="clear" w:color="auto" w:fill="FFFFFF"/>
          <w:lang w:eastAsia="zh-CN"/>
        </w:rPr>
        <w:t>.</w:t>
      </w:r>
      <w:bookmarkStart w:id="316" w:name="_GoBack"/>
      <w:bookmarkEnd w:id="316"/>
      <w:r>
        <w:rPr>
          <w:rFonts w:hint="eastAsia" w:ascii="宋体" w:hAnsi="宋体" w:cs="宋体"/>
          <w:sz w:val="24"/>
          <w:highlight w:val="none"/>
          <w:shd w:val="clear" w:color="auto" w:fill="FFFFFF"/>
        </w:rPr>
        <w:t>本项目的特定资格要求：</w:t>
      </w:r>
    </w:p>
    <w:p>
      <w:pPr>
        <w:widowControl/>
        <w:spacing w:line="440" w:lineRule="exact"/>
        <w:ind w:firstLine="480" w:firstLineChars="20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3.1.投标人须具有有效的营业执照，并具有实施完成本项目的经营实力和完善的售后服务体系；</w:t>
      </w:r>
    </w:p>
    <w:p>
      <w:pPr>
        <w:widowControl/>
        <w:spacing w:line="440" w:lineRule="exact"/>
        <w:ind w:firstLine="480" w:firstLineChars="20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3.2.信誉要求：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的投标人，拒绝参与政府采购活动，同时对信用信息查询记录和证据进行打印存档； </w:t>
      </w:r>
    </w:p>
    <w:p>
      <w:pPr>
        <w:widowControl/>
        <w:spacing w:line="440" w:lineRule="exact"/>
        <w:ind w:firstLine="480" w:firstLineChars="20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3.3.本项目不接受联合体投标；</w:t>
      </w:r>
    </w:p>
    <w:p>
      <w:pPr>
        <w:widowControl/>
        <w:spacing w:line="440" w:lineRule="exact"/>
        <w:ind w:firstLine="480" w:firstLineChars="20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3.4.资格审查方式：资格后审。</w:t>
      </w:r>
    </w:p>
    <w:p>
      <w:pPr>
        <w:widowControl/>
        <w:spacing w:line="440" w:lineRule="exact"/>
        <w:jc w:val="left"/>
        <w:rPr>
          <w:rFonts w:ascii="宋体" w:hAnsi="宋体" w:cs="宋体"/>
          <w:b/>
          <w:bCs/>
          <w:kern w:val="0"/>
          <w:sz w:val="24"/>
          <w:highlight w:val="none"/>
        </w:rPr>
      </w:pPr>
      <w:r>
        <w:rPr>
          <w:rFonts w:hint="eastAsia" w:ascii="宋体" w:hAnsi="宋体" w:cs="宋体"/>
          <w:b/>
          <w:bCs/>
          <w:kern w:val="0"/>
          <w:sz w:val="24"/>
          <w:highlight w:val="none"/>
        </w:rPr>
        <w:t>三、获取采购文件</w:t>
      </w:r>
    </w:p>
    <w:p>
      <w:pPr>
        <w:pStyle w:val="16"/>
        <w:shd w:val="clear" w:color="auto" w:fill="FFFFFF"/>
        <w:autoSpaceDE w:val="0"/>
        <w:spacing w:before="0" w:beforeAutospacing="0" w:after="0" w:afterAutospacing="0" w:line="440" w:lineRule="atLeas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1.时间：2024年2月</w:t>
      </w:r>
      <w:r>
        <w:rPr>
          <w:rFonts w:hint="eastAsia" w:cs="宋体"/>
          <w:highlight w:val="none"/>
          <w:lang w:val="en-US" w:eastAsia="zh-CN"/>
        </w:rPr>
        <w:t>9</w:t>
      </w:r>
      <w:r>
        <w:rPr>
          <w:rFonts w:hint="eastAsia" w:ascii="宋体" w:hAnsi="宋体" w:eastAsia="宋体" w:cs="宋体"/>
          <w:highlight w:val="none"/>
          <w:lang w:val="en-US" w:eastAsia="zh-CN"/>
        </w:rPr>
        <w:t>日至2024年2月</w:t>
      </w:r>
      <w:r>
        <w:rPr>
          <w:rFonts w:hint="eastAsia" w:cs="宋体"/>
          <w:highlight w:val="none"/>
          <w:lang w:val="en-US" w:eastAsia="zh-CN"/>
        </w:rPr>
        <w:t>21</w:t>
      </w:r>
      <w:r>
        <w:rPr>
          <w:rFonts w:hint="eastAsia" w:ascii="宋体" w:hAnsi="宋体" w:eastAsia="宋体" w:cs="宋体"/>
          <w:highlight w:val="none"/>
          <w:lang w:val="en-US" w:eastAsia="zh-CN"/>
        </w:rPr>
        <w:t>日每天上午08:00至12:00，下午12:00至23:00（北京时间，法定节假日除外。）</w:t>
      </w:r>
    </w:p>
    <w:p>
      <w:pPr>
        <w:pStyle w:val="16"/>
        <w:shd w:val="clear" w:color="auto" w:fill="FFFFFF"/>
        <w:autoSpaceDE w:val="0"/>
        <w:spacing w:before="0" w:beforeAutospacing="0" w:after="0" w:afterAutospacing="0" w:line="440" w:lineRule="atLeas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2.地点：焦作市公共资源交易中心网站交易平台。</w:t>
      </w:r>
    </w:p>
    <w:p>
      <w:pPr>
        <w:pStyle w:val="16"/>
        <w:shd w:val="clear" w:color="auto" w:fill="FFFFFF"/>
        <w:autoSpaceDE w:val="0"/>
        <w:spacing w:before="0" w:beforeAutospacing="0" w:after="0" w:afterAutospacing="0" w:line="440" w:lineRule="atLeas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3.方式：本项目采用电子开评标（不见面开标），凡有意参加投标者，请登陆焦作市公共资源交易中心网站交易平台“交易主体登录”栏目下载招标文件。</w:t>
      </w:r>
    </w:p>
    <w:p>
      <w:pPr>
        <w:pStyle w:val="16"/>
        <w:shd w:val="clear" w:color="auto" w:fill="FFFFFF"/>
        <w:autoSpaceDE w:val="0"/>
        <w:spacing w:before="0" w:beforeAutospacing="0" w:after="0" w:afterAutospacing="0" w:line="440" w:lineRule="atLeast"/>
        <w:ind w:firstLine="480" w:firstLineChars="200"/>
        <w:rPr>
          <w:rFonts w:hint="eastAsia"/>
          <w:highlight w:val="none"/>
        </w:rPr>
      </w:pPr>
      <w:r>
        <w:rPr>
          <w:rFonts w:hint="eastAsia" w:ascii="宋体" w:hAnsi="宋体" w:eastAsia="宋体" w:cs="宋体"/>
          <w:highlight w:val="none"/>
          <w:lang w:val="en-US" w:eastAsia="zh-CN"/>
        </w:rPr>
        <w:t>4.售价： 0元。</w:t>
      </w:r>
    </w:p>
    <w:p>
      <w:pPr>
        <w:adjustRightInd w:val="0"/>
        <w:snapToGrid w:val="0"/>
        <w:spacing w:line="440" w:lineRule="exact"/>
        <w:rPr>
          <w:rFonts w:hint="eastAsia" w:ascii="宋体" w:hAnsi="宋体" w:eastAsia="宋体" w:cs="宋体"/>
          <w:b/>
          <w:bCs/>
          <w:kern w:val="0"/>
          <w:sz w:val="24"/>
          <w:highlight w:val="none"/>
        </w:rPr>
      </w:pPr>
      <w:r>
        <w:rPr>
          <w:rFonts w:hint="eastAsia" w:ascii="宋体" w:hAnsi="宋体" w:cs="宋体"/>
          <w:b/>
          <w:kern w:val="0"/>
          <w:sz w:val="24"/>
          <w:highlight w:val="none"/>
        </w:rPr>
        <w:t>四、</w:t>
      </w:r>
      <w:r>
        <w:rPr>
          <w:rFonts w:hint="eastAsia" w:ascii="宋体" w:hAnsi="宋体" w:eastAsia="宋体" w:cs="宋体"/>
          <w:b/>
          <w:bCs/>
          <w:kern w:val="0"/>
          <w:sz w:val="24"/>
          <w:highlight w:val="none"/>
          <w:lang w:val="en-US" w:eastAsia="zh-CN"/>
        </w:rPr>
        <w:t>投标截止时间及地点：</w:t>
      </w:r>
    </w:p>
    <w:p>
      <w:pPr>
        <w:pStyle w:val="16"/>
        <w:shd w:val="clear" w:color="auto" w:fill="FFFFFF"/>
        <w:autoSpaceDE w:val="0"/>
        <w:spacing w:before="0" w:beforeAutospacing="0" w:after="0" w:afterAutospacing="0" w:line="440" w:lineRule="atLeas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1.时间：2024年</w:t>
      </w:r>
      <w:r>
        <w:rPr>
          <w:rFonts w:hint="eastAsia" w:cs="宋体"/>
          <w:highlight w:val="none"/>
          <w:lang w:val="en-US" w:eastAsia="zh-CN"/>
        </w:rPr>
        <w:t>2</w:t>
      </w:r>
      <w:r>
        <w:rPr>
          <w:rFonts w:hint="eastAsia" w:ascii="宋体" w:hAnsi="宋体" w:eastAsia="宋体" w:cs="宋体"/>
          <w:highlight w:val="none"/>
          <w:lang w:val="en-US" w:eastAsia="zh-CN"/>
        </w:rPr>
        <w:t>月</w:t>
      </w:r>
      <w:r>
        <w:rPr>
          <w:rFonts w:hint="eastAsia" w:cs="宋体"/>
          <w:highlight w:val="none"/>
          <w:lang w:val="en-US" w:eastAsia="zh-CN"/>
        </w:rPr>
        <w:t>29</w:t>
      </w:r>
      <w:r>
        <w:rPr>
          <w:rFonts w:hint="eastAsia" w:ascii="宋体" w:hAnsi="宋体" w:eastAsia="宋体" w:cs="宋体"/>
          <w:highlight w:val="none"/>
          <w:lang w:val="en-US" w:eastAsia="zh-CN"/>
        </w:rPr>
        <w:t>日09时00分（北京时间）。</w:t>
      </w:r>
    </w:p>
    <w:p>
      <w:pPr>
        <w:pStyle w:val="16"/>
        <w:shd w:val="clear" w:color="auto" w:fill="FFFFFF"/>
        <w:autoSpaceDE w:val="0"/>
        <w:spacing w:before="0" w:beforeAutospacing="0" w:after="0" w:afterAutospacing="0" w:line="440" w:lineRule="atLeas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2.地点：博爱县公共资源交易中心二楼不见面开标二室。</w:t>
      </w:r>
    </w:p>
    <w:p>
      <w:pPr>
        <w:adjustRightInd w:val="0"/>
        <w:snapToGrid w:val="0"/>
        <w:spacing w:line="440" w:lineRule="exact"/>
        <w:rPr>
          <w:rFonts w:ascii="宋体" w:hAnsi="宋体" w:cs="宋体"/>
          <w:b/>
          <w:kern w:val="0"/>
          <w:sz w:val="24"/>
          <w:highlight w:val="none"/>
        </w:rPr>
      </w:pPr>
      <w:r>
        <w:rPr>
          <w:rFonts w:hint="eastAsia" w:ascii="宋体" w:hAnsi="宋体" w:cs="宋体"/>
          <w:b/>
          <w:kern w:val="0"/>
          <w:sz w:val="24"/>
          <w:highlight w:val="none"/>
        </w:rPr>
        <w:t>五、</w:t>
      </w:r>
      <w:r>
        <w:rPr>
          <w:rFonts w:hint="eastAsia" w:ascii="宋体" w:hAnsi="宋体" w:eastAsia="宋体" w:cs="宋体"/>
          <w:b/>
          <w:bCs/>
          <w:kern w:val="0"/>
          <w:sz w:val="24"/>
          <w:highlight w:val="none"/>
          <w:lang w:val="en-US" w:eastAsia="zh-CN"/>
        </w:rPr>
        <w:t>开标时间及地点：</w:t>
      </w:r>
    </w:p>
    <w:p>
      <w:pPr>
        <w:pStyle w:val="16"/>
        <w:shd w:val="clear" w:color="auto" w:fill="FFFFFF"/>
        <w:autoSpaceDE w:val="0"/>
        <w:spacing w:before="0" w:beforeAutospacing="0" w:after="0" w:afterAutospacing="0" w:line="440" w:lineRule="atLeas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1.时间：2024年</w:t>
      </w:r>
      <w:r>
        <w:rPr>
          <w:rFonts w:hint="eastAsia" w:cs="宋体"/>
          <w:highlight w:val="none"/>
          <w:lang w:val="en-US" w:eastAsia="zh-CN"/>
        </w:rPr>
        <w:t>2</w:t>
      </w:r>
      <w:r>
        <w:rPr>
          <w:rFonts w:hint="eastAsia" w:ascii="宋体" w:hAnsi="宋体" w:eastAsia="宋体" w:cs="宋体"/>
          <w:highlight w:val="none"/>
          <w:lang w:val="en-US" w:eastAsia="zh-CN"/>
        </w:rPr>
        <w:t>月</w:t>
      </w:r>
      <w:r>
        <w:rPr>
          <w:rFonts w:hint="eastAsia" w:cs="宋体"/>
          <w:highlight w:val="none"/>
          <w:lang w:val="en-US" w:eastAsia="zh-CN"/>
        </w:rPr>
        <w:t>29</w:t>
      </w:r>
      <w:r>
        <w:rPr>
          <w:rFonts w:hint="eastAsia" w:ascii="宋体" w:hAnsi="宋体" w:eastAsia="宋体" w:cs="宋体"/>
          <w:highlight w:val="none"/>
          <w:lang w:val="en-US" w:eastAsia="zh-CN"/>
        </w:rPr>
        <w:t>日上午09点00分（北京时间）；</w:t>
      </w:r>
    </w:p>
    <w:p>
      <w:pPr>
        <w:pStyle w:val="16"/>
        <w:shd w:val="clear" w:color="auto" w:fill="FFFFFF"/>
        <w:autoSpaceDE w:val="0"/>
        <w:spacing w:before="0" w:beforeAutospacing="0" w:after="0" w:afterAutospacing="0" w:line="440" w:lineRule="atLeas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2.地点：博爱县公共资源交易中心二楼不见面开标二室；</w:t>
      </w:r>
    </w:p>
    <w:p>
      <w:pPr>
        <w:adjustRightInd w:val="0"/>
        <w:snapToGrid w:val="0"/>
        <w:spacing w:line="440" w:lineRule="exact"/>
        <w:rPr>
          <w:rFonts w:hint="eastAsia" w:ascii="宋体" w:hAnsi="宋体" w:eastAsia="宋体" w:cs="宋体"/>
          <w:b/>
          <w:bCs/>
          <w:sz w:val="24"/>
          <w:highlight w:val="none"/>
        </w:rPr>
      </w:pPr>
      <w:r>
        <w:rPr>
          <w:rFonts w:hint="eastAsia" w:ascii="宋体" w:hAnsi="宋体" w:cs="宋体"/>
          <w:b/>
          <w:bCs/>
          <w:sz w:val="24"/>
          <w:highlight w:val="none"/>
        </w:rPr>
        <w:t>六、</w:t>
      </w:r>
      <w:r>
        <w:rPr>
          <w:rFonts w:hint="eastAsia" w:ascii="宋体" w:hAnsi="宋体" w:eastAsia="宋体" w:cs="宋体"/>
          <w:b/>
          <w:bCs/>
          <w:sz w:val="24"/>
          <w:highlight w:val="none"/>
          <w:lang w:val="en-US" w:eastAsia="zh-CN"/>
        </w:rPr>
        <w:t>发布公告的媒介及招标公告期限：</w:t>
      </w:r>
    </w:p>
    <w:p>
      <w:pPr>
        <w:pStyle w:val="16"/>
        <w:shd w:val="clear" w:color="auto" w:fill="FFFFFF"/>
        <w:autoSpaceDE w:val="0"/>
        <w:spacing w:before="0" w:beforeAutospacing="0" w:after="0" w:afterAutospacing="0" w:line="440" w:lineRule="atLeas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本次本公告在中国招标投标公共服务平台、中国政府采购网河南分网、焦作市政府采购网、焦作市公共资源交易中心网、博爱县人民政府网、博爱县公共资源交易中心网http://www.baxggzyjyzx.cn/上发布，招标公告期限为五个工作日。</w:t>
      </w:r>
    </w:p>
    <w:p>
      <w:pPr>
        <w:adjustRightInd w:val="0"/>
        <w:snapToGrid w:val="0"/>
        <w:spacing w:line="440" w:lineRule="exact"/>
        <w:rPr>
          <w:rFonts w:ascii="宋体" w:hAnsi="宋体" w:cs="宋体"/>
          <w:b/>
          <w:bCs/>
          <w:sz w:val="24"/>
          <w:highlight w:val="none"/>
        </w:rPr>
      </w:pPr>
      <w:r>
        <w:rPr>
          <w:rFonts w:hint="eastAsia" w:ascii="宋体" w:hAnsi="宋体" w:cs="宋体"/>
          <w:b/>
          <w:bCs/>
          <w:sz w:val="24"/>
          <w:highlight w:val="none"/>
        </w:rPr>
        <w:t>七、其他补充事宜</w:t>
      </w:r>
    </w:p>
    <w:p>
      <w:pPr>
        <w:pStyle w:val="16"/>
        <w:spacing w:beforeAutospacing="0" w:afterAutospacing="0" w:line="440" w:lineRule="exact"/>
        <w:ind w:firstLine="468" w:firstLineChars="195"/>
        <w:jc w:val="both"/>
        <w:rPr>
          <w:highlight w:val="none"/>
        </w:rPr>
      </w:pPr>
      <w:r>
        <w:rPr>
          <w:rFonts w:hint="eastAsia"/>
          <w:highlight w:val="none"/>
          <w:lang w:val="en-US" w:eastAsia="zh-CN"/>
        </w:rPr>
        <w:t>1</w:t>
      </w:r>
      <w:r>
        <w:rPr>
          <w:rFonts w:hint="eastAsia"/>
          <w:highlight w:val="none"/>
        </w:rPr>
        <w:t>.本项目采用“远程不见面”的开标方式，潜在供应商可提前在焦作市交易中心官网首页---下载中心--下载《焦作市电子招投标系统操作手册》和《焦作市公共资源交易平台不见面开标操作手册》、《投标文件制作工作工具》等，查看操作说明，按要求进行投标文件制作和上传等。为避免网络拥堵等不可控因素影响投标文件的上传，请提前上传投标文件，按要求解密投标文件。因文件未及时上传导致投标失败的责任由供应商自行承担，具体要求详见招标文件。 平台统一技术服务电话：400-998-0000，服务 QQ：4008503300，服务时间：周一至周日 8：00-17：30。</w:t>
      </w:r>
    </w:p>
    <w:p>
      <w:pPr>
        <w:pStyle w:val="16"/>
        <w:spacing w:beforeAutospacing="0" w:afterAutospacing="0" w:line="440" w:lineRule="exact"/>
        <w:ind w:firstLine="468" w:firstLineChars="195"/>
        <w:jc w:val="both"/>
        <w:rPr>
          <w:highlight w:val="none"/>
        </w:rPr>
      </w:pPr>
      <w:r>
        <w:rPr>
          <w:rFonts w:hint="eastAsia"/>
          <w:highlight w:val="none"/>
          <w:lang w:val="en-US" w:eastAsia="zh-CN"/>
        </w:rPr>
        <w:t>2</w:t>
      </w:r>
      <w:r>
        <w:rPr>
          <w:rFonts w:hint="eastAsia"/>
          <w:highlight w:val="none"/>
        </w:rPr>
        <w:t>.供应商无需到现场参加开标会议，无需到达现场提交原件资料。供应商应当在线准时参加开标活动并进行文件解密、答疑澄清等。加密电子投标文件须在焦作市公共资源交易中心电子交易平台中加密上传，上传时必须得到电脑“上传成功”的确认回复后方为上传成功。在规定时间内投标文件未解密的供应商，视为放弃投标。</w:t>
      </w:r>
    </w:p>
    <w:p>
      <w:pPr>
        <w:adjustRightInd w:val="0"/>
        <w:snapToGrid w:val="0"/>
        <w:spacing w:line="440" w:lineRule="exact"/>
        <w:rPr>
          <w:rFonts w:ascii="宋体" w:hAnsi="宋体" w:cs="宋体"/>
          <w:b/>
          <w:kern w:val="0"/>
          <w:sz w:val="24"/>
          <w:highlight w:val="none"/>
        </w:rPr>
      </w:pPr>
      <w:r>
        <w:rPr>
          <w:rFonts w:hint="eastAsia" w:ascii="宋体" w:hAnsi="宋体" w:cs="宋体"/>
          <w:b/>
          <w:kern w:val="0"/>
          <w:sz w:val="24"/>
          <w:highlight w:val="none"/>
        </w:rPr>
        <w:t>八、</w:t>
      </w:r>
      <w:r>
        <w:rPr>
          <w:rFonts w:hint="eastAsia" w:ascii="宋体" w:hAnsi="宋体" w:cs="宋体"/>
          <w:b/>
          <w:sz w:val="24"/>
          <w:highlight w:val="none"/>
          <w:shd w:val="clear" w:color="auto" w:fill="FFFFFF"/>
        </w:rPr>
        <w:t>凡对本次采购提出询问，请按以下方式联系</w:t>
      </w:r>
    </w:p>
    <w:p>
      <w:pPr>
        <w:widowControl/>
        <w:spacing w:line="44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1.采购人信息：</w:t>
      </w:r>
    </w:p>
    <w:p>
      <w:pPr>
        <w:adjustRightInd w:val="0"/>
        <w:snapToGrid w:val="0"/>
        <w:spacing w:line="440" w:lineRule="exact"/>
        <w:ind w:firstLine="480" w:firstLineChars="200"/>
        <w:rPr>
          <w:rFonts w:ascii="宋体" w:hAnsi="宋体" w:cs="宋体"/>
          <w:kern w:val="0"/>
          <w:sz w:val="24"/>
          <w:highlight w:val="none"/>
        </w:rPr>
      </w:pPr>
      <w:r>
        <w:rPr>
          <w:rFonts w:hint="eastAsia" w:ascii="宋体" w:hAnsi="宋体" w:cs="宋体"/>
          <w:kern w:val="0"/>
          <w:sz w:val="24"/>
          <w:highlight w:val="none"/>
        </w:rPr>
        <w:t>采购人：博爱县职业中等专业学校</w:t>
      </w:r>
    </w:p>
    <w:p>
      <w:pPr>
        <w:adjustRightInd w:val="0"/>
        <w:snapToGrid w:val="0"/>
        <w:spacing w:line="440" w:lineRule="exact"/>
        <w:ind w:firstLine="480" w:firstLineChars="200"/>
        <w:rPr>
          <w:rFonts w:ascii="宋体" w:hAnsi="宋体" w:cs="宋体"/>
          <w:kern w:val="0"/>
          <w:sz w:val="24"/>
          <w:highlight w:val="none"/>
        </w:rPr>
      </w:pPr>
      <w:r>
        <w:rPr>
          <w:rFonts w:hint="eastAsia" w:ascii="宋体" w:hAnsi="宋体" w:cs="宋体"/>
          <w:kern w:val="0"/>
          <w:sz w:val="24"/>
          <w:highlight w:val="none"/>
        </w:rPr>
        <w:t>地址：</w:t>
      </w:r>
      <w:r>
        <w:rPr>
          <w:rFonts w:hint="eastAsia" w:ascii="宋体" w:hAnsi="宋体" w:cs="宋体"/>
          <w:spacing w:val="6"/>
          <w:sz w:val="24"/>
          <w:highlight w:val="none"/>
        </w:rPr>
        <w:t>博爱县鸿昌路东段</w:t>
      </w:r>
      <w:r>
        <w:rPr>
          <w:rFonts w:hint="eastAsia" w:ascii="宋体" w:hAnsi="宋体" w:cs="宋体"/>
          <w:kern w:val="0"/>
          <w:sz w:val="24"/>
          <w:highlight w:val="none"/>
        </w:rPr>
        <w:t xml:space="preserve"> </w:t>
      </w:r>
    </w:p>
    <w:p>
      <w:pPr>
        <w:adjustRightInd w:val="0"/>
        <w:snapToGrid w:val="0"/>
        <w:spacing w:line="440" w:lineRule="exact"/>
        <w:ind w:firstLine="480" w:firstLineChars="200"/>
        <w:rPr>
          <w:rFonts w:ascii="宋体" w:hAnsi="宋体" w:cs="宋体"/>
          <w:kern w:val="0"/>
          <w:sz w:val="24"/>
          <w:highlight w:val="none"/>
        </w:rPr>
      </w:pPr>
      <w:r>
        <w:rPr>
          <w:rFonts w:hint="eastAsia" w:ascii="宋体" w:hAnsi="宋体" w:cs="宋体"/>
          <w:kern w:val="0"/>
          <w:sz w:val="24"/>
          <w:highlight w:val="none"/>
        </w:rPr>
        <w:t>联系人：郝先生</w:t>
      </w:r>
    </w:p>
    <w:p>
      <w:pPr>
        <w:adjustRightInd w:val="0"/>
        <w:snapToGrid w:val="0"/>
        <w:spacing w:line="440" w:lineRule="exact"/>
        <w:ind w:firstLine="480" w:firstLineChars="200"/>
        <w:rPr>
          <w:rFonts w:ascii="宋体" w:hAnsi="宋体" w:cs="宋体"/>
          <w:kern w:val="0"/>
          <w:sz w:val="24"/>
          <w:highlight w:val="none"/>
        </w:rPr>
      </w:pPr>
      <w:r>
        <w:rPr>
          <w:rFonts w:hint="eastAsia" w:ascii="宋体" w:hAnsi="宋体" w:cs="宋体"/>
          <w:kern w:val="0"/>
          <w:sz w:val="24"/>
          <w:highlight w:val="none"/>
        </w:rPr>
        <w:t>电话：</w:t>
      </w:r>
      <w:r>
        <w:rPr>
          <w:rFonts w:hint="eastAsia" w:ascii="宋体" w:hAnsi="宋体" w:cs="宋体"/>
          <w:spacing w:val="6"/>
          <w:sz w:val="24"/>
          <w:highlight w:val="none"/>
        </w:rPr>
        <w:t>13939115718</w:t>
      </w:r>
    </w:p>
    <w:p>
      <w:pPr>
        <w:adjustRightInd w:val="0"/>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2.采购代理机构信息：</w:t>
      </w:r>
    </w:p>
    <w:p>
      <w:pPr>
        <w:adjustRightInd w:val="0"/>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名称：河南四方建设管理有限公司</w:t>
      </w:r>
    </w:p>
    <w:p>
      <w:pPr>
        <w:adjustRightInd w:val="0"/>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地址：</w:t>
      </w:r>
      <w:r>
        <w:rPr>
          <w:rFonts w:hint="eastAsia" w:asciiTheme="minorEastAsia" w:hAnsiTheme="minorEastAsia" w:eastAsiaTheme="minorEastAsia" w:cstheme="minorEastAsia"/>
          <w:sz w:val="24"/>
          <w:highlight w:val="none"/>
        </w:rPr>
        <w:t>郑州市航海东路1394号富田财富广场1号楼1515</w:t>
      </w:r>
    </w:p>
    <w:p>
      <w:pPr>
        <w:adjustRightInd w:val="0"/>
        <w:snapToGrid w:val="0"/>
        <w:spacing w:line="440" w:lineRule="exact"/>
        <w:ind w:firstLine="480" w:firstLineChars="200"/>
        <w:rPr>
          <w:rFonts w:ascii="宋体" w:hAnsi="宋体" w:cs="宋体"/>
          <w:kern w:val="0"/>
          <w:sz w:val="24"/>
          <w:highlight w:val="none"/>
        </w:rPr>
      </w:pPr>
      <w:r>
        <w:rPr>
          <w:rFonts w:hint="eastAsia" w:ascii="宋体" w:hAnsi="宋体" w:cs="宋体"/>
          <w:kern w:val="0"/>
          <w:sz w:val="24"/>
          <w:highlight w:val="none"/>
        </w:rPr>
        <w:t>联系人：</w:t>
      </w:r>
      <w:r>
        <w:rPr>
          <w:rFonts w:hint="eastAsia" w:ascii="宋体" w:hAnsi="宋体" w:cs="宋体"/>
          <w:sz w:val="24"/>
          <w:highlight w:val="none"/>
        </w:rPr>
        <w:t>张先生</w:t>
      </w:r>
    </w:p>
    <w:p>
      <w:pPr>
        <w:adjustRightInd w:val="0"/>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电话：</w:t>
      </w:r>
      <w:r>
        <w:rPr>
          <w:rFonts w:hint="eastAsia" w:asciiTheme="minorEastAsia" w:hAnsiTheme="minorEastAsia" w:eastAsiaTheme="minorEastAsia" w:cstheme="minorEastAsia"/>
          <w:sz w:val="24"/>
          <w:highlight w:val="none"/>
        </w:rPr>
        <w:t>18695863052</w:t>
      </w:r>
    </w:p>
    <w:p>
      <w:pPr>
        <w:adjustRightInd w:val="0"/>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3.项目联系方式</w:t>
      </w:r>
      <w:r>
        <w:rPr>
          <w:rFonts w:hint="eastAsia" w:ascii="宋体" w:hAnsi="宋体" w:cs="宋体"/>
          <w:sz w:val="24"/>
          <w:highlight w:val="none"/>
        </w:rPr>
        <w:tab/>
      </w:r>
    </w:p>
    <w:p>
      <w:pPr>
        <w:adjustRightInd w:val="0"/>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项目联系人：</w:t>
      </w:r>
      <w:r>
        <w:rPr>
          <w:rFonts w:hint="eastAsia" w:ascii="宋体" w:hAnsi="宋体" w:cs="宋体"/>
          <w:kern w:val="0"/>
          <w:sz w:val="24"/>
          <w:highlight w:val="none"/>
        </w:rPr>
        <w:t>郝先生</w:t>
      </w:r>
    </w:p>
    <w:p>
      <w:pPr>
        <w:adjustRightInd w:val="0"/>
        <w:snapToGrid w:val="0"/>
        <w:spacing w:line="440" w:lineRule="exact"/>
        <w:ind w:firstLine="480" w:firstLineChars="200"/>
        <w:rPr>
          <w:rFonts w:ascii="宋体" w:hAnsi="宋体" w:cs="宋体"/>
          <w:kern w:val="0"/>
          <w:sz w:val="24"/>
          <w:highlight w:val="none"/>
        </w:rPr>
      </w:pPr>
      <w:r>
        <w:rPr>
          <w:rFonts w:hint="eastAsia" w:ascii="宋体" w:hAnsi="宋体" w:cs="宋体"/>
          <w:sz w:val="24"/>
          <w:highlight w:val="none"/>
        </w:rPr>
        <w:t>电话：</w:t>
      </w:r>
      <w:r>
        <w:rPr>
          <w:rFonts w:hint="eastAsia" w:ascii="宋体" w:hAnsi="宋体" w:cs="宋体"/>
          <w:spacing w:val="6"/>
          <w:sz w:val="24"/>
          <w:highlight w:val="none"/>
        </w:rPr>
        <w:t>13939115718</w:t>
      </w:r>
    </w:p>
    <w:p>
      <w:pPr>
        <w:widowControl/>
        <w:spacing w:line="440" w:lineRule="exact"/>
        <w:rPr>
          <w:rFonts w:ascii="宋体" w:hAnsi="宋体" w:cs="宋体"/>
          <w:sz w:val="24"/>
          <w:highlight w:val="none"/>
        </w:rPr>
      </w:pPr>
    </w:p>
    <w:p>
      <w:pPr>
        <w:widowControl/>
        <w:spacing w:line="440" w:lineRule="exact"/>
        <w:ind w:left="2940" w:firstLine="420"/>
        <w:rPr>
          <w:rFonts w:ascii="宋体" w:hAnsi="宋体" w:cs="宋体"/>
          <w:sz w:val="24"/>
          <w:highlight w:val="none"/>
          <w:shd w:val="clear" w:color="auto" w:fill="FFFFFF"/>
        </w:rPr>
      </w:pPr>
      <w:r>
        <w:rPr>
          <w:rFonts w:hint="eastAsia" w:ascii="宋体" w:hAnsi="宋体" w:cs="宋体"/>
          <w:sz w:val="24"/>
          <w:highlight w:val="none"/>
        </w:rPr>
        <w:t>采购人：</w:t>
      </w:r>
      <w:r>
        <w:rPr>
          <w:rFonts w:hint="eastAsia" w:ascii="宋体" w:hAnsi="宋体" w:cs="宋体"/>
          <w:sz w:val="24"/>
          <w:highlight w:val="none"/>
          <w:shd w:val="clear" w:color="auto" w:fill="FFFFFF"/>
        </w:rPr>
        <w:t>博爱县职业中等专业学校</w:t>
      </w:r>
    </w:p>
    <w:p>
      <w:pPr>
        <w:widowControl/>
        <w:spacing w:line="440" w:lineRule="exact"/>
        <w:ind w:left="2940" w:firstLine="420"/>
        <w:rPr>
          <w:rFonts w:ascii="宋体" w:hAnsi="宋体" w:cs="宋体"/>
          <w:sz w:val="24"/>
          <w:highlight w:val="none"/>
          <w:shd w:val="clear" w:color="auto" w:fill="FFFFFF"/>
        </w:rPr>
      </w:pPr>
      <w:r>
        <w:rPr>
          <w:rFonts w:hint="eastAsia" w:ascii="宋体" w:hAnsi="宋体" w:cs="宋体"/>
          <w:sz w:val="24"/>
          <w:highlight w:val="none"/>
          <w:shd w:val="clear" w:color="auto" w:fill="FFFFFF"/>
        </w:rPr>
        <w:t>采购代理机构：河南四方建设管理有限公司</w:t>
      </w:r>
    </w:p>
    <w:p>
      <w:pPr>
        <w:widowControl/>
        <w:spacing w:line="440" w:lineRule="exact"/>
        <w:ind w:left="2940" w:firstLine="420"/>
        <w:rPr>
          <w:highlight w:val="none"/>
        </w:rPr>
      </w:pPr>
      <w:r>
        <w:rPr>
          <w:rFonts w:hint="eastAsia" w:ascii="宋体" w:hAnsi="宋体" w:cs="宋体"/>
          <w:sz w:val="24"/>
          <w:highlight w:val="none"/>
        </w:rPr>
        <w:t>发布时间：2024年</w:t>
      </w:r>
      <w:r>
        <w:rPr>
          <w:rFonts w:hint="eastAsia" w:ascii="宋体" w:hAnsi="宋体" w:cs="宋体"/>
          <w:sz w:val="24"/>
          <w:highlight w:val="none"/>
          <w:lang w:val="en-US" w:eastAsia="zh-CN"/>
        </w:rPr>
        <w:t>2</w:t>
      </w:r>
      <w:r>
        <w:rPr>
          <w:rFonts w:hint="eastAsia" w:ascii="宋体" w:hAnsi="宋体" w:cs="宋体"/>
          <w:sz w:val="24"/>
          <w:highlight w:val="none"/>
        </w:rPr>
        <w:t>月</w:t>
      </w:r>
      <w:r>
        <w:rPr>
          <w:rFonts w:hint="eastAsia" w:ascii="宋体" w:hAnsi="宋体" w:cs="宋体"/>
          <w:sz w:val="24"/>
          <w:highlight w:val="none"/>
          <w:lang w:val="en-US" w:eastAsia="zh-CN"/>
        </w:rPr>
        <w:t>8</w:t>
      </w:r>
      <w:r>
        <w:rPr>
          <w:rFonts w:hint="eastAsia" w:ascii="宋体" w:hAnsi="宋体" w:cs="宋体"/>
          <w:sz w:val="24"/>
          <w:highlight w:val="none"/>
        </w:rPr>
        <w:t>日</w:t>
      </w:r>
    </w:p>
    <w:p>
      <w:pPr>
        <w:rPr>
          <w:highlight w:val="none"/>
        </w:rPr>
      </w:pPr>
    </w:p>
    <w:p>
      <w:pPr>
        <w:widowControl/>
        <w:spacing w:line="440" w:lineRule="exact"/>
        <w:ind w:left="2940" w:firstLine="420"/>
        <w:rPr>
          <w:highlight w:val="none"/>
        </w:rPr>
      </w:pPr>
    </w:p>
    <w:p>
      <w:pPr>
        <w:pStyle w:val="7"/>
        <w:rPr>
          <w:highlight w:val="none"/>
        </w:rPr>
      </w:pPr>
    </w:p>
    <w:p>
      <w:pPr>
        <w:autoSpaceDE w:val="0"/>
        <w:autoSpaceDN w:val="0"/>
        <w:adjustRightInd w:val="0"/>
        <w:spacing w:line="360" w:lineRule="auto"/>
        <w:jc w:val="center"/>
        <w:outlineLvl w:val="0"/>
        <w:rPr>
          <w:rFonts w:asciiTheme="minorEastAsia" w:hAnsiTheme="minorEastAsia" w:eastAsiaTheme="minorEastAsia" w:cstheme="minorEastAsia"/>
          <w:b/>
          <w:sz w:val="32"/>
          <w:szCs w:val="32"/>
          <w:highlight w:val="none"/>
        </w:rPr>
      </w:pPr>
      <w:bookmarkStart w:id="6" w:name="_Toc27816"/>
      <w:bookmarkStart w:id="7" w:name="_Toc21974"/>
      <w:r>
        <w:rPr>
          <w:rFonts w:hint="eastAsia" w:asciiTheme="minorEastAsia" w:hAnsiTheme="minorEastAsia" w:eastAsiaTheme="minorEastAsia" w:cstheme="minorEastAsia"/>
          <w:b/>
          <w:sz w:val="32"/>
          <w:szCs w:val="32"/>
          <w:highlight w:val="none"/>
        </w:rPr>
        <w:t>第二章  供应商须知</w:t>
      </w:r>
      <w:bookmarkEnd w:id="6"/>
      <w:bookmarkEnd w:id="7"/>
    </w:p>
    <w:bookmarkEnd w:id="0"/>
    <w:p>
      <w:pPr>
        <w:pStyle w:val="17"/>
        <w:spacing w:before="0" w:after="0" w:line="360" w:lineRule="auto"/>
        <w:ind w:right="-23" w:rightChars="-11"/>
        <w:outlineLvl w:val="1"/>
        <w:rPr>
          <w:rFonts w:asciiTheme="minorEastAsia" w:hAnsiTheme="minorEastAsia" w:eastAsiaTheme="minorEastAsia" w:cstheme="minorEastAsia"/>
          <w:sz w:val="30"/>
          <w:szCs w:val="30"/>
          <w:highlight w:val="none"/>
        </w:rPr>
      </w:pPr>
      <w:bookmarkStart w:id="8" w:name="_Toc31932"/>
      <w:bookmarkStart w:id="9" w:name="_Toc32497"/>
      <w:bookmarkStart w:id="10" w:name="_Toc403122490"/>
      <w:bookmarkStart w:id="11" w:name="_Toc426369478"/>
      <w:bookmarkStart w:id="12" w:name="_Toc14655"/>
      <w:bookmarkStart w:id="13" w:name="_Toc9161"/>
      <w:r>
        <w:rPr>
          <w:rFonts w:hint="eastAsia" w:asciiTheme="minorEastAsia" w:hAnsiTheme="minorEastAsia" w:eastAsiaTheme="minorEastAsia" w:cstheme="minorEastAsia"/>
          <w:sz w:val="30"/>
          <w:szCs w:val="30"/>
          <w:highlight w:val="none"/>
        </w:rPr>
        <w:t>供应商须知前附表</w:t>
      </w:r>
      <w:bookmarkEnd w:id="8"/>
      <w:bookmarkEnd w:id="9"/>
      <w:bookmarkEnd w:id="10"/>
      <w:bookmarkEnd w:id="11"/>
      <w:bookmarkEnd w:id="12"/>
      <w:bookmarkEnd w:id="13"/>
    </w:p>
    <w:tbl>
      <w:tblPr>
        <w:tblStyle w:val="20"/>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2318"/>
        <w:gridCol w:w="6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pPr>
              <w:pStyle w:val="12"/>
              <w:spacing w:line="360" w:lineRule="exact"/>
              <w:jc w:val="center"/>
              <w:rPr>
                <w:rFonts w:hint="default" w:asciiTheme="minorEastAsia" w:hAnsiTheme="minorEastAsia" w:eastAsiaTheme="minorEastAsia" w:cstheme="minorEastAsia"/>
                <w:b/>
                <w:highlight w:val="none"/>
              </w:rPr>
            </w:pPr>
            <w:r>
              <w:rPr>
                <w:rFonts w:asciiTheme="minorEastAsia" w:hAnsiTheme="minorEastAsia" w:eastAsiaTheme="minorEastAsia" w:cstheme="minorEastAsia"/>
                <w:b/>
                <w:highlight w:val="none"/>
              </w:rPr>
              <w:t>条款号</w:t>
            </w:r>
          </w:p>
        </w:tc>
        <w:tc>
          <w:tcPr>
            <w:tcW w:w="2318" w:type="dxa"/>
            <w:vAlign w:val="center"/>
          </w:tcPr>
          <w:p>
            <w:pPr>
              <w:pStyle w:val="12"/>
              <w:spacing w:line="360" w:lineRule="exact"/>
              <w:jc w:val="center"/>
              <w:rPr>
                <w:rFonts w:hint="default" w:asciiTheme="minorEastAsia" w:hAnsiTheme="minorEastAsia" w:eastAsiaTheme="minorEastAsia" w:cstheme="minorEastAsia"/>
                <w:b/>
                <w:highlight w:val="none"/>
              </w:rPr>
            </w:pPr>
            <w:r>
              <w:rPr>
                <w:rFonts w:asciiTheme="minorEastAsia" w:hAnsiTheme="minorEastAsia" w:eastAsiaTheme="minorEastAsia" w:cstheme="minorEastAsia"/>
                <w:b/>
                <w:highlight w:val="none"/>
              </w:rPr>
              <w:t>条款名称</w:t>
            </w:r>
          </w:p>
        </w:tc>
        <w:tc>
          <w:tcPr>
            <w:tcW w:w="6112" w:type="dxa"/>
            <w:vAlign w:val="center"/>
          </w:tcPr>
          <w:p>
            <w:pPr>
              <w:pStyle w:val="12"/>
              <w:spacing w:line="360" w:lineRule="exact"/>
              <w:jc w:val="center"/>
              <w:rPr>
                <w:rFonts w:hint="default" w:asciiTheme="minorEastAsia" w:hAnsiTheme="minorEastAsia" w:eastAsiaTheme="minorEastAsia" w:cstheme="minorEastAsia"/>
                <w:b/>
                <w:highlight w:val="none"/>
              </w:rPr>
            </w:pPr>
            <w:r>
              <w:rPr>
                <w:rFonts w:asciiTheme="minorEastAsia" w:hAnsiTheme="minorEastAsia" w:eastAsiaTheme="minorEastAsia" w:cstheme="minorEastAsia"/>
                <w:b/>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pPr>
              <w:pStyle w:val="12"/>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1.1.2</w:t>
            </w:r>
          </w:p>
        </w:tc>
        <w:tc>
          <w:tcPr>
            <w:tcW w:w="2318" w:type="dxa"/>
            <w:vAlign w:val="center"/>
          </w:tcPr>
          <w:p>
            <w:pPr>
              <w:pStyle w:val="12"/>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采购人</w:t>
            </w:r>
          </w:p>
        </w:tc>
        <w:tc>
          <w:tcPr>
            <w:tcW w:w="6112" w:type="dxa"/>
            <w:vAlign w:val="center"/>
          </w:tcPr>
          <w:p>
            <w:pPr>
              <w:pStyle w:val="12"/>
              <w:spacing w:line="360" w:lineRule="exact"/>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名称：博爱县职业中等专业学校</w:t>
            </w:r>
          </w:p>
          <w:p>
            <w:pPr>
              <w:pStyle w:val="12"/>
              <w:spacing w:line="360" w:lineRule="exact"/>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联系人：郝先生</w:t>
            </w:r>
          </w:p>
          <w:p>
            <w:pPr>
              <w:pStyle w:val="12"/>
              <w:spacing w:line="360" w:lineRule="exact"/>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电话：</w:t>
            </w:r>
            <w:r>
              <w:rPr>
                <w:rFonts w:hAnsi="宋体" w:cs="宋体"/>
                <w:spacing w:val="6"/>
                <w:sz w:val="24"/>
                <w:szCs w:val="24"/>
                <w:highlight w:val="none"/>
              </w:rPr>
              <w:t>13939115718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pPr>
              <w:pStyle w:val="12"/>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1.1.3</w:t>
            </w:r>
          </w:p>
        </w:tc>
        <w:tc>
          <w:tcPr>
            <w:tcW w:w="2318" w:type="dxa"/>
            <w:vAlign w:val="center"/>
          </w:tcPr>
          <w:p>
            <w:pPr>
              <w:pStyle w:val="12"/>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采购代理机构</w:t>
            </w:r>
          </w:p>
        </w:tc>
        <w:tc>
          <w:tcPr>
            <w:tcW w:w="6112" w:type="dxa"/>
            <w:vAlign w:val="center"/>
          </w:tcPr>
          <w:p>
            <w:pPr>
              <w:pStyle w:val="12"/>
              <w:spacing w:line="360" w:lineRule="exact"/>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 xml:space="preserve">采购代理机构：河南四方建设管理有限公司 </w:t>
            </w:r>
          </w:p>
          <w:p>
            <w:pPr>
              <w:pStyle w:val="12"/>
              <w:spacing w:line="360" w:lineRule="exact"/>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联系人：张先生</w:t>
            </w:r>
          </w:p>
          <w:p>
            <w:pPr>
              <w:pStyle w:val="12"/>
              <w:spacing w:line="360" w:lineRule="exact"/>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电话：18695863052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pPr>
              <w:pStyle w:val="12"/>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1.1.4</w:t>
            </w:r>
          </w:p>
        </w:tc>
        <w:tc>
          <w:tcPr>
            <w:tcW w:w="2318" w:type="dxa"/>
            <w:vAlign w:val="center"/>
          </w:tcPr>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项目名称</w:t>
            </w:r>
          </w:p>
        </w:tc>
        <w:tc>
          <w:tcPr>
            <w:tcW w:w="6112" w:type="dxa"/>
            <w:vAlign w:val="center"/>
          </w:tcPr>
          <w:p>
            <w:pPr>
              <w:adjustRightInd w:val="0"/>
              <w:snapToGrid w:val="0"/>
              <w:spacing w:line="460" w:lineRule="exact"/>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bCs/>
                <w:iCs/>
                <w:szCs w:val="21"/>
                <w:highlight w:val="none"/>
                <w:lang w:eastAsia="zh-CN"/>
              </w:rPr>
              <w:t>博爱县职业中等专业学校虚拟仿真实训基地建设采购项目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pPr>
              <w:pStyle w:val="12"/>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1.1.5</w:t>
            </w:r>
          </w:p>
        </w:tc>
        <w:tc>
          <w:tcPr>
            <w:tcW w:w="2318" w:type="dxa"/>
            <w:vAlign w:val="center"/>
          </w:tcPr>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Cs/>
                <w:iCs/>
                <w:szCs w:val="21"/>
                <w:highlight w:val="none"/>
              </w:rPr>
              <w:t>项目地点</w:t>
            </w:r>
          </w:p>
        </w:tc>
        <w:tc>
          <w:tcPr>
            <w:tcW w:w="6112" w:type="dxa"/>
            <w:vAlign w:val="center"/>
          </w:tcPr>
          <w:p>
            <w:pPr>
              <w:pStyle w:val="12"/>
              <w:spacing w:line="360" w:lineRule="exact"/>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pPr>
              <w:pStyle w:val="12"/>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1.2.1</w:t>
            </w:r>
          </w:p>
        </w:tc>
        <w:tc>
          <w:tcPr>
            <w:tcW w:w="2318" w:type="dxa"/>
            <w:vAlign w:val="center"/>
          </w:tcPr>
          <w:p>
            <w:pPr>
              <w:pStyle w:val="12"/>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资金来源</w:t>
            </w:r>
          </w:p>
        </w:tc>
        <w:tc>
          <w:tcPr>
            <w:tcW w:w="6112" w:type="dxa"/>
            <w:vAlign w:val="center"/>
          </w:tcPr>
          <w:p>
            <w:pPr>
              <w:pStyle w:val="12"/>
              <w:spacing w:line="360" w:lineRule="exact"/>
              <w:rPr>
                <w:rFonts w:hint="eastAsia" w:asciiTheme="minorEastAsia" w:hAnsiTheme="minorEastAsia" w:eastAsiaTheme="minorEastAsia" w:cstheme="minorEastAsia"/>
                <w:i/>
                <w:iCs/>
                <w:highlight w:val="none"/>
                <w:lang w:eastAsia="zh-CN"/>
              </w:rPr>
            </w:pPr>
            <w:r>
              <w:rPr>
                <w:rFonts w:hint="eastAsia" w:asciiTheme="minorEastAsia" w:hAnsiTheme="minorEastAsia" w:eastAsiaTheme="minorEastAsia" w:cstheme="minorEastAsia"/>
                <w:highlight w:val="none"/>
                <w:lang w:eastAsia="zh-CN"/>
              </w:rPr>
              <w:t>本级财政资金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pPr>
              <w:pStyle w:val="12"/>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1.2.2</w:t>
            </w:r>
          </w:p>
        </w:tc>
        <w:tc>
          <w:tcPr>
            <w:tcW w:w="2318" w:type="dxa"/>
            <w:vAlign w:val="center"/>
          </w:tcPr>
          <w:p>
            <w:pPr>
              <w:pStyle w:val="12"/>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bCs/>
                <w:iCs/>
                <w:highlight w:val="none"/>
              </w:rPr>
              <w:t>资金落实情况</w:t>
            </w:r>
          </w:p>
        </w:tc>
        <w:tc>
          <w:tcPr>
            <w:tcW w:w="6112" w:type="dxa"/>
            <w:vAlign w:val="center"/>
          </w:tcPr>
          <w:p>
            <w:pPr>
              <w:pStyle w:val="12"/>
              <w:spacing w:line="360" w:lineRule="exact"/>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65" w:type="dxa"/>
            <w:vAlign w:val="center"/>
          </w:tcPr>
          <w:p>
            <w:pPr>
              <w:pStyle w:val="12"/>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1.3.1</w:t>
            </w:r>
          </w:p>
        </w:tc>
        <w:tc>
          <w:tcPr>
            <w:tcW w:w="2318" w:type="dxa"/>
            <w:vAlign w:val="center"/>
          </w:tcPr>
          <w:p>
            <w:pPr>
              <w:pStyle w:val="12"/>
              <w:spacing w:line="360" w:lineRule="exact"/>
              <w:ind w:firstLine="420" w:firstLineChars="200"/>
              <w:rPr>
                <w:rFonts w:hint="default" w:asciiTheme="minorEastAsia" w:hAnsiTheme="minorEastAsia" w:eastAsiaTheme="minorEastAsia" w:cstheme="minorEastAsia"/>
                <w:highlight w:val="none"/>
              </w:rPr>
            </w:pPr>
            <w:r>
              <w:rPr>
                <w:rFonts w:asciiTheme="minorEastAsia" w:hAnsiTheme="minorEastAsia" w:eastAsiaTheme="minorEastAsia" w:cstheme="minorEastAsia"/>
                <w:bCs/>
                <w:iCs/>
                <w:highlight w:val="none"/>
              </w:rPr>
              <w:t>采购内容</w:t>
            </w:r>
          </w:p>
        </w:tc>
        <w:tc>
          <w:tcPr>
            <w:tcW w:w="6112" w:type="dxa"/>
          </w:tcPr>
          <w:p>
            <w:pPr>
              <w:pStyle w:val="12"/>
              <w:spacing w:line="360" w:lineRule="exact"/>
              <w:rPr>
                <w:rFonts w:hint="default"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eastAsia="zh-CN"/>
              </w:rPr>
              <w:t>AR智慧教室、</w:t>
            </w:r>
            <w:r>
              <w:rPr>
                <w:rFonts w:asciiTheme="minorEastAsia" w:hAnsiTheme="minorEastAsia" w:eastAsiaTheme="minorEastAsia" w:cstheme="minorEastAsia"/>
                <w:highlight w:val="none"/>
              </w:rPr>
              <w:t>沉浸式VR头盔实训系统</w:t>
            </w:r>
            <w:r>
              <w:rPr>
                <w:rFonts w:hint="eastAsia" w:asciiTheme="minorEastAsia" w:hAnsiTheme="minorEastAsia" w:eastAsiaTheme="minorEastAsia" w:cstheme="minorEastAsia"/>
                <w:highlight w:val="none"/>
                <w:lang w:eastAsia="zh-CN"/>
              </w:rPr>
              <w:t>、</w:t>
            </w:r>
            <w:r>
              <w:rPr>
                <w:rFonts w:asciiTheme="minorEastAsia" w:hAnsiTheme="minorEastAsia" w:eastAsiaTheme="minorEastAsia" w:cstheme="minorEastAsia"/>
                <w:highlight w:val="none"/>
              </w:rPr>
              <w:t>课程资源定制等，并对学校现有的中心机房、监控存储设备和网络进行更新升级，对教室扩音器等信息化设备进行提升（详见第五章“采购内容及技术要求”）</w:t>
            </w:r>
            <w:r>
              <w:rPr>
                <w:rFonts w:hint="default" w:asciiTheme="minorEastAsia" w:hAnsiTheme="minorEastAsia" w:eastAsiaTheme="minorEastAsia" w:cstheme="minor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pPr>
              <w:pStyle w:val="12"/>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1.3.2</w:t>
            </w:r>
          </w:p>
        </w:tc>
        <w:tc>
          <w:tcPr>
            <w:tcW w:w="2318" w:type="dxa"/>
            <w:vAlign w:val="center"/>
          </w:tcPr>
          <w:p>
            <w:pPr>
              <w:pStyle w:val="12"/>
              <w:spacing w:line="360" w:lineRule="exact"/>
              <w:jc w:val="center"/>
              <w:rPr>
                <w:rFonts w:hint="default" w:asciiTheme="minorEastAsia" w:hAnsiTheme="minorEastAsia" w:eastAsiaTheme="minorEastAsia" w:cstheme="minorEastAsia"/>
                <w:bCs/>
                <w:iCs/>
                <w:highlight w:val="none"/>
              </w:rPr>
            </w:pPr>
            <w:r>
              <w:rPr>
                <w:rFonts w:asciiTheme="minorEastAsia" w:hAnsiTheme="minorEastAsia" w:eastAsiaTheme="minorEastAsia" w:cstheme="minorEastAsia"/>
                <w:bCs/>
                <w:iCs/>
                <w:highlight w:val="none"/>
              </w:rPr>
              <w:t>供货及安装期</w:t>
            </w:r>
          </w:p>
        </w:tc>
        <w:tc>
          <w:tcPr>
            <w:tcW w:w="6112" w:type="dxa"/>
            <w:vAlign w:val="center"/>
          </w:tcPr>
          <w:p>
            <w:pPr>
              <w:pStyle w:val="12"/>
              <w:spacing w:line="360" w:lineRule="exact"/>
              <w:jc w:val="left"/>
              <w:rPr>
                <w:rFonts w:hint="default" w:asciiTheme="minorEastAsia" w:hAnsiTheme="minorEastAsia" w:eastAsiaTheme="minorEastAsia" w:cstheme="minorEastAsia"/>
                <w:bCs/>
                <w:iCs/>
                <w:highlight w:val="none"/>
              </w:rPr>
            </w:pPr>
            <w:r>
              <w:rPr>
                <w:rFonts w:asciiTheme="minorEastAsia" w:hAnsiTheme="minorEastAsia" w:eastAsiaTheme="minorEastAsia" w:cstheme="minorEastAsia"/>
                <w:bCs/>
                <w:iCs/>
                <w:highlight w:val="none"/>
              </w:rPr>
              <w:t>合同签订后30日历天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pPr>
              <w:pStyle w:val="12"/>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1.3.3</w:t>
            </w:r>
          </w:p>
        </w:tc>
        <w:tc>
          <w:tcPr>
            <w:tcW w:w="2318" w:type="dxa"/>
            <w:vAlign w:val="center"/>
          </w:tcPr>
          <w:p>
            <w:pPr>
              <w:pStyle w:val="12"/>
              <w:spacing w:line="360" w:lineRule="exact"/>
              <w:jc w:val="center"/>
              <w:rPr>
                <w:rFonts w:hint="default" w:hAnsi="宋体" w:cs="宋体"/>
                <w:kern w:val="0"/>
                <w:highlight w:val="none"/>
              </w:rPr>
            </w:pPr>
            <w:r>
              <w:rPr>
                <w:rFonts w:hint="default" w:hAnsi="宋体" w:cs="宋体"/>
                <w:kern w:val="0"/>
                <w:highlight w:val="none"/>
              </w:rPr>
              <w:t>质量标准</w:t>
            </w:r>
          </w:p>
        </w:tc>
        <w:tc>
          <w:tcPr>
            <w:tcW w:w="6112" w:type="dxa"/>
            <w:vAlign w:val="center"/>
          </w:tcPr>
          <w:p>
            <w:pPr>
              <w:spacing w:line="400" w:lineRule="exact"/>
              <w:rPr>
                <w:rFonts w:ascii="宋体" w:hAnsi="宋体" w:cs="宋体"/>
                <w:kern w:val="0"/>
                <w:szCs w:val="21"/>
                <w:highlight w:val="none"/>
              </w:rPr>
            </w:pPr>
            <w:r>
              <w:rPr>
                <w:rFonts w:ascii="宋体" w:hAnsi="宋体" w:cs="宋体"/>
                <w:kern w:val="0"/>
                <w:szCs w:val="21"/>
                <w:highlight w:val="none"/>
              </w:rPr>
              <w:t>合格，符合国家</w:t>
            </w:r>
            <w:r>
              <w:rPr>
                <w:rFonts w:hint="eastAsia" w:ascii="宋体" w:hAnsi="宋体" w:cs="宋体"/>
                <w:kern w:val="0"/>
                <w:szCs w:val="21"/>
                <w:highlight w:val="none"/>
              </w:rPr>
              <w:t>及</w:t>
            </w:r>
            <w:r>
              <w:rPr>
                <w:rFonts w:ascii="宋体" w:hAnsi="宋体" w:cs="宋体"/>
                <w:kern w:val="0"/>
                <w:szCs w:val="21"/>
                <w:highlight w:val="none"/>
              </w:rPr>
              <w:t>行业规范标准。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pPr>
              <w:pStyle w:val="12"/>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1.3.4</w:t>
            </w:r>
          </w:p>
        </w:tc>
        <w:tc>
          <w:tcPr>
            <w:tcW w:w="2318" w:type="dxa"/>
            <w:vAlign w:val="center"/>
          </w:tcPr>
          <w:p>
            <w:pPr>
              <w:pStyle w:val="12"/>
              <w:spacing w:line="360" w:lineRule="exact"/>
              <w:jc w:val="center"/>
              <w:rPr>
                <w:rFonts w:hint="default" w:hAnsi="宋体" w:cs="宋体"/>
                <w:kern w:val="0"/>
                <w:highlight w:val="none"/>
              </w:rPr>
            </w:pPr>
            <w:r>
              <w:rPr>
                <w:rFonts w:hAnsi="宋体" w:cs="宋体"/>
                <w:kern w:val="0"/>
                <w:highlight w:val="none"/>
              </w:rPr>
              <w:t>质保期</w:t>
            </w:r>
          </w:p>
        </w:tc>
        <w:tc>
          <w:tcPr>
            <w:tcW w:w="6112" w:type="dxa"/>
            <w:vAlign w:val="center"/>
          </w:tcPr>
          <w:p>
            <w:pPr>
              <w:spacing w:line="400" w:lineRule="exact"/>
              <w:rPr>
                <w:rFonts w:hint="default" w:ascii="宋体" w:hAnsi="宋体" w:eastAsia="宋体" w:cs="宋体"/>
                <w:kern w:val="0"/>
                <w:szCs w:val="21"/>
                <w:highlight w:val="none"/>
                <w:lang w:val="en-US" w:eastAsia="zh-CN"/>
              </w:rPr>
            </w:pPr>
            <w:r>
              <w:rPr>
                <w:rFonts w:hint="eastAsia" w:ascii="宋体" w:hAnsi="宋体" w:cs="宋体"/>
                <w:szCs w:val="21"/>
                <w:highlight w:val="none"/>
                <w:lang w:val="en-US" w:eastAsia="zh-CN"/>
              </w:rPr>
              <w:t>硬件</w:t>
            </w:r>
            <w:r>
              <w:rPr>
                <w:rFonts w:hint="eastAsia" w:ascii="宋体" w:hAnsi="宋体" w:cs="宋体"/>
                <w:szCs w:val="21"/>
                <w:highlight w:val="none"/>
              </w:rPr>
              <w:t>一年</w:t>
            </w:r>
            <w:r>
              <w:rPr>
                <w:rFonts w:hint="eastAsia" w:ascii="宋体" w:hAnsi="宋体" w:cs="宋体"/>
                <w:szCs w:val="21"/>
                <w:highlight w:val="none"/>
                <w:lang w:eastAsia="zh-CN"/>
              </w:rPr>
              <w:t>，</w:t>
            </w:r>
            <w:r>
              <w:rPr>
                <w:rFonts w:hint="eastAsia" w:ascii="宋体" w:hAnsi="宋体" w:cs="宋体"/>
                <w:szCs w:val="21"/>
                <w:highlight w:val="none"/>
                <w:lang w:val="en-US" w:eastAsia="zh-CN"/>
              </w:rPr>
              <w:t>软件三年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pPr>
              <w:pStyle w:val="12"/>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1.4.1</w:t>
            </w:r>
          </w:p>
        </w:tc>
        <w:tc>
          <w:tcPr>
            <w:tcW w:w="2318" w:type="dxa"/>
            <w:vAlign w:val="center"/>
          </w:tcPr>
          <w:p>
            <w:pPr>
              <w:pStyle w:val="12"/>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供应商资质条件</w:t>
            </w:r>
          </w:p>
        </w:tc>
        <w:tc>
          <w:tcPr>
            <w:tcW w:w="6112" w:type="dxa"/>
            <w:vAlign w:val="center"/>
          </w:tcPr>
          <w:p>
            <w:pPr>
              <w:pStyle w:val="12"/>
              <w:spacing w:line="360" w:lineRule="exact"/>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1、符合《中华人民共和国政府采购法》第二十二条之规定；</w:t>
            </w:r>
          </w:p>
          <w:p>
            <w:pPr>
              <w:pStyle w:val="12"/>
              <w:spacing w:line="360" w:lineRule="exact"/>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2、落实政府采购政策需满足的资格要求：促进中小企业和监狱企业发展扶持政策、政府强制采购节能产品、节能产品及环境标志产品优先采购。</w:t>
            </w:r>
          </w:p>
          <w:p>
            <w:pPr>
              <w:pStyle w:val="12"/>
              <w:spacing w:line="360" w:lineRule="exact"/>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3、本项目的特定资格要求：</w:t>
            </w:r>
          </w:p>
          <w:p>
            <w:pPr>
              <w:pStyle w:val="12"/>
              <w:spacing w:line="360" w:lineRule="exact"/>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3.1投标人须具有有效的营业执照，并具有实施完成本项目的经营实力和完善的售后服务体系；</w:t>
            </w:r>
          </w:p>
          <w:p>
            <w:pPr>
              <w:pStyle w:val="12"/>
              <w:spacing w:line="360" w:lineRule="exact"/>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3.2信誉要求：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的投标人，拒绝参与政府采购活动，同时对信用信息查询记录和证据进行打印存档； </w:t>
            </w:r>
          </w:p>
          <w:p>
            <w:pPr>
              <w:pStyle w:val="12"/>
              <w:spacing w:line="360" w:lineRule="exact"/>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3.3本项目不接受联合体投标；</w:t>
            </w:r>
          </w:p>
          <w:p>
            <w:pPr>
              <w:pStyle w:val="12"/>
              <w:spacing w:line="360" w:lineRule="exact"/>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3.4资格审查方式：资格后审。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pPr>
              <w:pStyle w:val="12"/>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1.4.2</w:t>
            </w:r>
          </w:p>
        </w:tc>
        <w:tc>
          <w:tcPr>
            <w:tcW w:w="2318" w:type="dxa"/>
            <w:vAlign w:val="center"/>
          </w:tcPr>
          <w:p>
            <w:pPr>
              <w:pStyle w:val="12"/>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是否接受联合体</w:t>
            </w:r>
          </w:p>
        </w:tc>
        <w:tc>
          <w:tcPr>
            <w:tcW w:w="6112" w:type="dxa"/>
            <w:vAlign w:val="center"/>
          </w:tcPr>
          <w:p>
            <w:pPr>
              <w:pStyle w:val="12"/>
              <w:spacing w:line="360" w:lineRule="exact"/>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65" w:type="dxa"/>
            <w:vAlign w:val="center"/>
          </w:tcPr>
          <w:p>
            <w:pPr>
              <w:pStyle w:val="12"/>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1.10.1</w:t>
            </w:r>
          </w:p>
        </w:tc>
        <w:tc>
          <w:tcPr>
            <w:tcW w:w="2318" w:type="dxa"/>
            <w:vAlign w:val="center"/>
          </w:tcPr>
          <w:p>
            <w:pPr>
              <w:pStyle w:val="12"/>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投标预备会</w:t>
            </w:r>
          </w:p>
        </w:tc>
        <w:tc>
          <w:tcPr>
            <w:tcW w:w="6112" w:type="dxa"/>
            <w:vAlign w:val="center"/>
          </w:tcPr>
          <w:p>
            <w:pPr>
              <w:pStyle w:val="12"/>
              <w:spacing w:line="360" w:lineRule="exact"/>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pPr>
              <w:pStyle w:val="12"/>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1.10.2</w:t>
            </w:r>
          </w:p>
        </w:tc>
        <w:tc>
          <w:tcPr>
            <w:tcW w:w="2318" w:type="dxa"/>
            <w:vAlign w:val="center"/>
          </w:tcPr>
          <w:p>
            <w:pPr>
              <w:pStyle w:val="12"/>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供应商提出问题的</w:t>
            </w:r>
          </w:p>
          <w:p>
            <w:pPr>
              <w:pStyle w:val="12"/>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截止时间</w:t>
            </w:r>
          </w:p>
        </w:tc>
        <w:tc>
          <w:tcPr>
            <w:tcW w:w="6112" w:type="dxa"/>
            <w:vAlign w:val="center"/>
          </w:tcPr>
          <w:p>
            <w:pPr>
              <w:pStyle w:val="12"/>
              <w:spacing w:line="360" w:lineRule="exact"/>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若有疑问，应当在获取招标文件或者招标文件公告期限届满之日起七个工作日内，以书面形式向采购人、代理机构提出质疑。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pPr>
              <w:pStyle w:val="12"/>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1.10.3</w:t>
            </w:r>
          </w:p>
        </w:tc>
        <w:tc>
          <w:tcPr>
            <w:tcW w:w="2318" w:type="dxa"/>
            <w:vAlign w:val="center"/>
          </w:tcPr>
          <w:p>
            <w:pPr>
              <w:pStyle w:val="12"/>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采购人说明澄清的时间</w:t>
            </w:r>
          </w:p>
        </w:tc>
        <w:tc>
          <w:tcPr>
            <w:tcW w:w="6112" w:type="dxa"/>
            <w:vAlign w:val="center"/>
          </w:tcPr>
          <w:p>
            <w:pPr>
              <w:pStyle w:val="12"/>
              <w:spacing w:line="360" w:lineRule="exact"/>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招标文件规定的投标截止时间15天前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5" w:type="dxa"/>
            <w:vAlign w:val="center"/>
          </w:tcPr>
          <w:p>
            <w:pPr>
              <w:pStyle w:val="12"/>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1.11</w:t>
            </w:r>
          </w:p>
        </w:tc>
        <w:tc>
          <w:tcPr>
            <w:tcW w:w="2318" w:type="dxa"/>
            <w:vAlign w:val="center"/>
          </w:tcPr>
          <w:p>
            <w:pPr>
              <w:pStyle w:val="12"/>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分包</w:t>
            </w:r>
          </w:p>
        </w:tc>
        <w:tc>
          <w:tcPr>
            <w:tcW w:w="6112" w:type="dxa"/>
            <w:vAlign w:val="center"/>
          </w:tcPr>
          <w:p>
            <w:pPr>
              <w:pStyle w:val="12"/>
              <w:spacing w:line="360" w:lineRule="exact"/>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pPr>
              <w:pStyle w:val="12"/>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2.2.1</w:t>
            </w:r>
          </w:p>
        </w:tc>
        <w:tc>
          <w:tcPr>
            <w:tcW w:w="2318" w:type="dxa"/>
            <w:vAlign w:val="center"/>
          </w:tcPr>
          <w:p>
            <w:pPr>
              <w:pStyle w:val="12"/>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供应商要求澄清招标文件的截止时间</w:t>
            </w:r>
          </w:p>
        </w:tc>
        <w:tc>
          <w:tcPr>
            <w:tcW w:w="6112" w:type="dxa"/>
            <w:vAlign w:val="center"/>
          </w:tcPr>
          <w:p>
            <w:pPr>
              <w:pStyle w:val="12"/>
              <w:spacing w:line="360" w:lineRule="exact"/>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若有疑问，应当在获取招标文件或者招标文件公告期限届满之日起七个工作日内，以书面形式向采购人、代理机构提出质疑。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65" w:type="dxa"/>
            <w:vAlign w:val="center"/>
          </w:tcPr>
          <w:p>
            <w:pPr>
              <w:pStyle w:val="12"/>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2.2.2</w:t>
            </w:r>
          </w:p>
        </w:tc>
        <w:tc>
          <w:tcPr>
            <w:tcW w:w="2318" w:type="dxa"/>
            <w:vAlign w:val="center"/>
          </w:tcPr>
          <w:p>
            <w:pPr>
              <w:pStyle w:val="12"/>
              <w:spacing w:line="360" w:lineRule="exact"/>
              <w:jc w:val="center"/>
              <w:rPr>
                <w:rFonts w:hint="default" w:asciiTheme="minorEastAsia" w:hAnsiTheme="minorEastAsia" w:eastAsiaTheme="minorEastAsia" w:cstheme="minorEastAsia"/>
                <w:b/>
                <w:bCs/>
                <w:highlight w:val="none"/>
              </w:rPr>
            </w:pPr>
            <w:r>
              <w:rPr>
                <w:rFonts w:asciiTheme="minorEastAsia" w:hAnsiTheme="minorEastAsia" w:eastAsiaTheme="minorEastAsia" w:cstheme="minorEastAsia"/>
                <w:highlight w:val="none"/>
              </w:rPr>
              <w:t>投标截止时间</w:t>
            </w:r>
          </w:p>
        </w:tc>
        <w:tc>
          <w:tcPr>
            <w:tcW w:w="6112" w:type="dxa"/>
            <w:vAlign w:val="center"/>
          </w:tcPr>
          <w:p>
            <w:pPr>
              <w:spacing w:line="360" w:lineRule="exact"/>
              <w:jc w:val="left"/>
              <w:rPr>
                <w:rFonts w:asciiTheme="minorEastAsia" w:hAnsiTheme="minorEastAsia" w:eastAsiaTheme="minorEastAsia" w:cstheme="minorEastAsia"/>
                <w:b/>
                <w:bCs/>
                <w:highlight w:val="none"/>
              </w:rPr>
            </w:pPr>
            <w:r>
              <w:rPr>
                <w:rFonts w:hint="eastAsia" w:ascii="宋体" w:hAnsi="宋体" w:cs="宋体"/>
                <w:b/>
                <w:bCs/>
                <w:kern w:val="0"/>
                <w:szCs w:val="21"/>
                <w:highlight w:val="none"/>
              </w:rPr>
              <w:t>2024年2月</w:t>
            </w:r>
            <w:r>
              <w:rPr>
                <w:rFonts w:hint="eastAsia" w:ascii="宋体" w:hAnsi="宋体" w:cs="宋体"/>
                <w:b/>
                <w:bCs/>
                <w:kern w:val="0"/>
                <w:szCs w:val="21"/>
                <w:highlight w:val="none"/>
                <w:lang w:val="en-US" w:eastAsia="zh-CN"/>
              </w:rPr>
              <w:t>29</w:t>
            </w:r>
            <w:r>
              <w:rPr>
                <w:rFonts w:hint="eastAsia" w:ascii="宋体" w:hAnsi="宋体" w:cs="宋体"/>
                <w:b/>
                <w:bCs/>
                <w:kern w:val="0"/>
                <w:szCs w:val="21"/>
                <w:highlight w:val="none"/>
              </w:rPr>
              <w:t>日上午9点00分（北京时间）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3.1.1</w:t>
            </w:r>
          </w:p>
        </w:tc>
        <w:tc>
          <w:tcPr>
            <w:tcW w:w="2318" w:type="dxa"/>
            <w:vAlign w:val="center"/>
          </w:tcPr>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构成投标文件的</w:t>
            </w:r>
          </w:p>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其他材料</w:t>
            </w:r>
          </w:p>
        </w:tc>
        <w:tc>
          <w:tcPr>
            <w:tcW w:w="6112" w:type="dxa"/>
            <w:vAlign w:val="center"/>
          </w:tcPr>
          <w:p>
            <w:pPr>
              <w:spacing w:line="36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招标文件中要求的其他资料。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65" w:type="dxa"/>
            <w:vAlign w:val="center"/>
          </w:tcPr>
          <w:p>
            <w:pPr>
              <w:pStyle w:val="12"/>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3.3.1</w:t>
            </w:r>
          </w:p>
        </w:tc>
        <w:tc>
          <w:tcPr>
            <w:tcW w:w="2318" w:type="dxa"/>
            <w:vAlign w:val="center"/>
          </w:tcPr>
          <w:p>
            <w:pPr>
              <w:pStyle w:val="12"/>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投标有效期</w:t>
            </w:r>
          </w:p>
        </w:tc>
        <w:tc>
          <w:tcPr>
            <w:tcW w:w="6112" w:type="dxa"/>
            <w:vAlign w:val="center"/>
          </w:tcPr>
          <w:p>
            <w:pPr>
              <w:pStyle w:val="12"/>
              <w:spacing w:line="360" w:lineRule="exact"/>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60日历天（从投标截止之日算起）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pPr>
              <w:pStyle w:val="12"/>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3.6</w:t>
            </w:r>
          </w:p>
        </w:tc>
        <w:tc>
          <w:tcPr>
            <w:tcW w:w="2318" w:type="dxa"/>
            <w:vAlign w:val="center"/>
          </w:tcPr>
          <w:p>
            <w:pPr>
              <w:pStyle w:val="12"/>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是否允许递交备选</w:t>
            </w:r>
          </w:p>
          <w:p>
            <w:pPr>
              <w:pStyle w:val="12"/>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投标方案</w:t>
            </w:r>
          </w:p>
        </w:tc>
        <w:tc>
          <w:tcPr>
            <w:tcW w:w="6112" w:type="dxa"/>
            <w:vAlign w:val="center"/>
          </w:tcPr>
          <w:p>
            <w:pPr>
              <w:pStyle w:val="12"/>
              <w:spacing w:line="360" w:lineRule="exact"/>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shd w:val="clear" w:color="auto" w:fill="auto"/>
            <w:vAlign w:val="center"/>
          </w:tcPr>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3.7.3</w:t>
            </w:r>
          </w:p>
        </w:tc>
        <w:tc>
          <w:tcPr>
            <w:tcW w:w="2318" w:type="dxa"/>
            <w:shd w:val="clear" w:color="auto" w:fill="auto"/>
            <w:vAlign w:val="center"/>
          </w:tcPr>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签字盖章要求</w:t>
            </w:r>
          </w:p>
        </w:tc>
        <w:tc>
          <w:tcPr>
            <w:tcW w:w="6112" w:type="dxa"/>
            <w:shd w:val="clear" w:color="auto" w:fill="auto"/>
            <w:vAlign w:val="center"/>
          </w:tcPr>
          <w:p>
            <w:pPr>
              <w:pStyle w:val="12"/>
              <w:spacing w:line="360" w:lineRule="exact"/>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1 所有要求供应商加盖公章的地方都须加盖供应商单位的 CA 印章。</w:t>
            </w:r>
          </w:p>
          <w:p>
            <w:pPr>
              <w:pStyle w:val="12"/>
              <w:spacing w:line="360" w:lineRule="exact"/>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2要求法定代表人签字或盖章的，法定代表人在签字或盖章的地方上传手写签名的扫描件或加盖法定代表人CA印章。</w:t>
            </w:r>
          </w:p>
          <w:p>
            <w:pPr>
              <w:pStyle w:val="12"/>
              <w:spacing w:line="360" w:lineRule="exact"/>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3要求委托代理人签字或盖章的，委托代理人在签字或盖章的地方上传手写签名的扫描件或加盖委托代理人CA印章。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65" w:type="dxa"/>
            <w:vAlign w:val="center"/>
          </w:tcPr>
          <w:p>
            <w:pPr>
              <w:pStyle w:val="12"/>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3.7.4</w:t>
            </w:r>
          </w:p>
        </w:tc>
        <w:tc>
          <w:tcPr>
            <w:tcW w:w="2318" w:type="dxa"/>
            <w:vAlign w:val="center"/>
          </w:tcPr>
          <w:p>
            <w:pPr>
              <w:pStyle w:val="12"/>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投标文件份数</w:t>
            </w:r>
          </w:p>
        </w:tc>
        <w:tc>
          <w:tcPr>
            <w:tcW w:w="6112" w:type="dxa"/>
            <w:vAlign w:val="center"/>
          </w:tcPr>
          <w:p>
            <w:pPr>
              <w:pStyle w:val="12"/>
              <w:spacing w:line="360" w:lineRule="exact"/>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加密的电子投标文件壹份（.jztf 格式在会员系统指定位置上传）；自备非加密的电子投标文件一份，如有紧急情况，在不见面开标按要求上传。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65" w:type="dxa"/>
            <w:vAlign w:val="center"/>
          </w:tcPr>
          <w:p>
            <w:pPr>
              <w:pStyle w:val="12"/>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4.2.2</w:t>
            </w:r>
          </w:p>
        </w:tc>
        <w:tc>
          <w:tcPr>
            <w:tcW w:w="2318" w:type="dxa"/>
            <w:vAlign w:val="center"/>
          </w:tcPr>
          <w:p>
            <w:pPr>
              <w:pStyle w:val="12"/>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递交投标文件方式和</w:t>
            </w:r>
          </w:p>
          <w:p>
            <w:pPr>
              <w:pStyle w:val="12"/>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地点</w:t>
            </w:r>
          </w:p>
        </w:tc>
        <w:tc>
          <w:tcPr>
            <w:tcW w:w="6112" w:type="dxa"/>
            <w:vAlign w:val="center"/>
          </w:tcPr>
          <w:p>
            <w:pPr>
              <w:pStyle w:val="12"/>
              <w:spacing w:line="400" w:lineRule="exact"/>
              <w:rPr>
                <w:rFonts w:hint="default" w:hAnsi="宋体"/>
                <w:highlight w:val="none"/>
              </w:rPr>
            </w:pPr>
            <w:r>
              <w:rPr>
                <w:rFonts w:hAnsi="宋体"/>
                <w:highlight w:val="none"/>
              </w:rPr>
              <w:t xml:space="preserve">本项目采用“远程不见面”开标方式，远程开标大厅网址为http://122.112.246.33/BidOpening/bidopeninghallaction/hall/login。供应商不需到开标现场参加开标会议，不需提交原件资料等。 </w:t>
            </w:r>
          </w:p>
          <w:p>
            <w:pPr>
              <w:pStyle w:val="12"/>
              <w:spacing w:line="400" w:lineRule="exact"/>
              <w:rPr>
                <w:rFonts w:hint="default" w:hAnsi="宋体"/>
                <w:highlight w:val="none"/>
              </w:rPr>
            </w:pPr>
            <w:r>
              <w:rPr>
                <w:rFonts w:hAnsi="宋体"/>
                <w:highlight w:val="none"/>
              </w:rPr>
              <w:t>（1）电子投标文件的递交</w:t>
            </w:r>
          </w:p>
          <w:p>
            <w:pPr>
              <w:pStyle w:val="12"/>
              <w:spacing w:line="400" w:lineRule="exact"/>
              <w:rPr>
                <w:rFonts w:hint="default" w:hAnsi="宋体"/>
                <w:highlight w:val="none"/>
              </w:rPr>
            </w:pPr>
            <w:r>
              <w:rPr>
                <w:rFonts w:hAnsi="宋体"/>
                <w:highlight w:val="none"/>
              </w:rPr>
              <w:t>a、各供应商应在投标截止时间前上传加密的电子投标文件</w:t>
            </w:r>
          </w:p>
          <w:p>
            <w:pPr>
              <w:pStyle w:val="12"/>
              <w:spacing w:line="400" w:lineRule="exact"/>
              <w:rPr>
                <w:rFonts w:hint="default" w:hAnsi="宋体"/>
                <w:highlight w:val="none"/>
              </w:rPr>
            </w:pPr>
            <w:r>
              <w:rPr>
                <w:rFonts w:hAnsi="宋体"/>
                <w:highlight w:val="none"/>
              </w:rPr>
              <w:t>（.jztf 格式）到会员系统的指定位置。上传时必须得到电脑“上传成功”的确认回复。请供应商在上传时认真检查上传投标文件是否完整、正确。</w:t>
            </w:r>
          </w:p>
          <w:p>
            <w:pPr>
              <w:pStyle w:val="12"/>
              <w:spacing w:line="400" w:lineRule="exact"/>
              <w:rPr>
                <w:rFonts w:hint="default"/>
                <w:highlight w:val="none"/>
              </w:rPr>
            </w:pPr>
            <w:r>
              <w:rPr>
                <w:rFonts w:hAnsi="宋体"/>
                <w:highlight w:val="none"/>
              </w:rPr>
              <w:t>b、如系统故故障需上传非加密文件时，供应商应按照采购人指示将非加密文件递交给采购人。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pPr>
              <w:pStyle w:val="12"/>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4.2.3</w:t>
            </w:r>
          </w:p>
        </w:tc>
        <w:tc>
          <w:tcPr>
            <w:tcW w:w="2318" w:type="dxa"/>
            <w:vAlign w:val="center"/>
          </w:tcPr>
          <w:p>
            <w:pPr>
              <w:pStyle w:val="12"/>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是否退还投标文件</w:t>
            </w:r>
          </w:p>
        </w:tc>
        <w:tc>
          <w:tcPr>
            <w:tcW w:w="6112" w:type="dxa"/>
            <w:vAlign w:val="center"/>
          </w:tcPr>
          <w:p>
            <w:pPr>
              <w:pStyle w:val="12"/>
              <w:spacing w:line="360" w:lineRule="exact"/>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pPr>
              <w:pStyle w:val="12"/>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5.1</w:t>
            </w:r>
          </w:p>
        </w:tc>
        <w:tc>
          <w:tcPr>
            <w:tcW w:w="2318" w:type="dxa"/>
            <w:vAlign w:val="center"/>
          </w:tcPr>
          <w:p>
            <w:pPr>
              <w:pStyle w:val="12"/>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开标时间和地点</w:t>
            </w:r>
          </w:p>
        </w:tc>
        <w:tc>
          <w:tcPr>
            <w:tcW w:w="6112" w:type="dxa"/>
            <w:vAlign w:val="center"/>
          </w:tcPr>
          <w:p>
            <w:pPr>
              <w:adjustRightInd w:val="0"/>
              <w:snapToGrid w:val="0"/>
              <w:spacing w:line="400" w:lineRule="exact"/>
              <w:rPr>
                <w:rFonts w:ascii="宋体" w:hAnsi="宋体"/>
                <w:szCs w:val="21"/>
                <w:highlight w:val="none"/>
              </w:rPr>
            </w:pPr>
            <w:r>
              <w:rPr>
                <w:rFonts w:hint="eastAsia" w:ascii="宋体" w:hAnsi="宋体"/>
                <w:szCs w:val="21"/>
                <w:highlight w:val="none"/>
              </w:rPr>
              <w:t>开标时间：同投标截止时间。登录远程开标大厅，凭制作投标文件所用的企业 CA 密匙在线签到、解密文件等，解密时间为投标截止时后30分钟内。</w:t>
            </w:r>
          </w:p>
          <w:p>
            <w:pPr>
              <w:spacing w:line="360" w:lineRule="exact"/>
              <w:ind w:left="700" w:hanging="700"/>
              <w:jc w:val="left"/>
              <w:rPr>
                <w:rFonts w:asciiTheme="minorEastAsia" w:hAnsiTheme="minorEastAsia" w:eastAsiaTheme="minorEastAsia" w:cstheme="minorEastAsia"/>
                <w:highlight w:val="none"/>
              </w:rPr>
            </w:pPr>
            <w:r>
              <w:rPr>
                <w:rFonts w:hint="eastAsia" w:ascii="宋体" w:hAnsi="宋体"/>
                <w:szCs w:val="21"/>
                <w:highlight w:val="none"/>
              </w:rPr>
              <w:t>现场开标地点：博爱县公共资源交易中心二楼第二开标室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65" w:type="dxa"/>
            <w:vAlign w:val="center"/>
          </w:tcPr>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6.1.1</w:t>
            </w:r>
          </w:p>
        </w:tc>
        <w:tc>
          <w:tcPr>
            <w:tcW w:w="2318" w:type="dxa"/>
            <w:vAlign w:val="center"/>
          </w:tcPr>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评标委员会的组建</w:t>
            </w:r>
          </w:p>
        </w:tc>
        <w:tc>
          <w:tcPr>
            <w:tcW w:w="6112" w:type="dxa"/>
            <w:vAlign w:val="center"/>
          </w:tcPr>
          <w:p>
            <w:pPr>
              <w:adjustRightInd w:val="0"/>
              <w:snapToGrid w:val="0"/>
              <w:spacing w:line="400" w:lineRule="exact"/>
              <w:rPr>
                <w:rFonts w:ascii="宋体" w:hAnsi="宋体"/>
                <w:szCs w:val="21"/>
                <w:highlight w:val="none"/>
              </w:rPr>
            </w:pPr>
            <w:r>
              <w:rPr>
                <w:rFonts w:hint="eastAsia" w:ascii="宋体" w:hAnsi="宋体"/>
                <w:szCs w:val="21"/>
                <w:highlight w:val="none"/>
              </w:rPr>
              <w:t>评标委员会构成：由采购人代表1人和政府采购专家库中随机抽</w:t>
            </w:r>
          </w:p>
          <w:p>
            <w:pPr>
              <w:adjustRightInd w:val="0"/>
              <w:snapToGrid w:val="0"/>
              <w:spacing w:line="400" w:lineRule="exact"/>
              <w:rPr>
                <w:rFonts w:ascii="宋体" w:hAnsi="宋体"/>
                <w:szCs w:val="21"/>
                <w:highlight w:val="none"/>
                <w:u w:val="single"/>
              </w:rPr>
            </w:pPr>
            <w:r>
              <w:rPr>
                <w:rFonts w:hint="eastAsia" w:ascii="宋体" w:hAnsi="宋体"/>
                <w:szCs w:val="21"/>
                <w:highlight w:val="none"/>
              </w:rPr>
              <w:t>取的评审专家4人，共5人组成。</w:t>
            </w:r>
            <w:r>
              <w:rPr>
                <w:rFonts w:hint="eastAsia" w:ascii="宋体" w:hAnsi="宋体"/>
                <w:b/>
                <w:bCs/>
                <w:szCs w:val="21"/>
                <w:highlight w:val="none"/>
              </w:rPr>
              <w:t>注</w:t>
            </w:r>
            <w:r>
              <w:rPr>
                <w:rFonts w:hint="eastAsia" w:ascii="宋体" w:hAnsi="宋体"/>
                <w:szCs w:val="21"/>
                <w:highlight w:val="none"/>
              </w:rPr>
              <w:t>：</w:t>
            </w:r>
            <w:r>
              <w:rPr>
                <w:rFonts w:hint="eastAsia" w:ascii="宋体" w:hAnsi="宋体"/>
                <w:b/>
                <w:bCs/>
                <w:szCs w:val="21"/>
                <w:highlight w:val="none"/>
                <w:u w:val="single"/>
              </w:rPr>
              <w:t>根据《财政部令第87号》第四十五条规定，采购人代表不得担任评标委员会组长。</w:t>
            </w:r>
          </w:p>
          <w:p>
            <w:pPr>
              <w:spacing w:line="360" w:lineRule="exact"/>
              <w:jc w:val="left"/>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highlight w:val="none"/>
              </w:rPr>
              <w:t>评审专家确定方式：在开标前从有关政府部门设立的评标专家中随机抽取确定。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7.1</w:t>
            </w:r>
          </w:p>
        </w:tc>
        <w:tc>
          <w:tcPr>
            <w:tcW w:w="2318" w:type="dxa"/>
            <w:vAlign w:val="center"/>
          </w:tcPr>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是否授权评标委员会确定中标人</w:t>
            </w:r>
          </w:p>
        </w:tc>
        <w:tc>
          <w:tcPr>
            <w:tcW w:w="6112" w:type="dxa"/>
            <w:vAlign w:val="center"/>
          </w:tcPr>
          <w:p>
            <w:pPr>
              <w:spacing w:line="380" w:lineRule="exact"/>
              <w:ind w:firstLine="420" w:firstLineChars="2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否，由评标委员会从认定的合理报价中，按得分由高到低的顺序，依次推荐1～3名中标候选人。</w:t>
            </w:r>
          </w:p>
          <w:p>
            <w:pPr>
              <w:spacing w:line="38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采购人应当确定排名第一的中标候选人为中标人。排名第一的中标候选人放弃中标、因不可抗力不能履行合同，或者被查实存在影响中标结果的违法行为等情形，不符合中标条件的，采购人可以按照评标委员会提出的中标候选人名单排序依次确定其他中标候选人为中标人。</w:t>
            </w:r>
          </w:p>
          <w:p>
            <w:pPr>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非因不可抗力因素放弃中标的，或排名第一的中标候选人未按规定期限与采购人签订合同的，应赔偿采购人由此造成的损失，损失费的计算方法为该中标候选人的投标价与重新确定的中标人中标价的差额，将按相关规定予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pPr>
              <w:pStyle w:val="12"/>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7.3.1</w:t>
            </w:r>
          </w:p>
        </w:tc>
        <w:tc>
          <w:tcPr>
            <w:tcW w:w="2318" w:type="dxa"/>
            <w:vAlign w:val="center"/>
          </w:tcPr>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履约保证金</w:t>
            </w:r>
          </w:p>
        </w:tc>
        <w:tc>
          <w:tcPr>
            <w:tcW w:w="6112" w:type="dxa"/>
            <w:vAlign w:val="center"/>
          </w:tcPr>
          <w:p>
            <w:pPr>
              <w:spacing w:line="38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shd w:val="clear" w:color="auto" w:fill="auto"/>
            <w:vAlign w:val="center"/>
          </w:tcPr>
          <w:p>
            <w:pPr>
              <w:pStyle w:val="12"/>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7.3.2</w:t>
            </w:r>
          </w:p>
        </w:tc>
        <w:tc>
          <w:tcPr>
            <w:tcW w:w="2318" w:type="dxa"/>
            <w:shd w:val="clear" w:color="auto" w:fill="auto"/>
            <w:vAlign w:val="center"/>
          </w:tcPr>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投标保证金</w:t>
            </w:r>
          </w:p>
        </w:tc>
        <w:tc>
          <w:tcPr>
            <w:tcW w:w="6112" w:type="dxa"/>
            <w:shd w:val="clear" w:color="auto" w:fill="auto"/>
            <w:vAlign w:val="center"/>
          </w:tcPr>
          <w:p>
            <w:pPr>
              <w:spacing w:line="38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65" w:type="dxa"/>
            <w:vAlign w:val="bottom"/>
          </w:tcPr>
          <w:p>
            <w:pPr>
              <w:spacing w:line="360" w:lineRule="exact"/>
              <w:jc w:val="center"/>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Cs/>
                <w:szCs w:val="21"/>
                <w:highlight w:val="none"/>
              </w:rPr>
              <w:t>10</w:t>
            </w:r>
          </w:p>
        </w:tc>
        <w:tc>
          <w:tcPr>
            <w:tcW w:w="8430" w:type="dxa"/>
            <w:gridSpan w:val="2"/>
            <w:vAlign w:val="bottom"/>
          </w:tcPr>
          <w:p>
            <w:pPr>
              <w:spacing w:line="360" w:lineRule="exact"/>
              <w:jc w:val="center"/>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65" w:type="dxa"/>
            <w:vAlign w:val="center"/>
          </w:tcPr>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10.1</w:t>
            </w:r>
          </w:p>
        </w:tc>
        <w:tc>
          <w:tcPr>
            <w:tcW w:w="2318" w:type="dxa"/>
            <w:vAlign w:val="center"/>
          </w:tcPr>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预算金额</w:t>
            </w:r>
          </w:p>
        </w:tc>
        <w:tc>
          <w:tcPr>
            <w:tcW w:w="6112" w:type="dxa"/>
            <w:vAlign w:val="bottom"/>
          </w:tcPr>
          <w:p>
            <w:pPr>
              <w:spacing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1、本项目预算金额（控制价）为：</w:t>
            </w:r>
            <w:r>
              <w:rPr>
                <w:rFonts w:hint="eastAsia" w:asciiTheme="minorEastAsia" w:hAnsiTheme="minorEastAsia" w:eastAsiaTheme="minorEastAsia" w:cstheme="minorEastAsia"/>
                <w:szCs w:val="21"/>
                <w:highlight w:val="none"/>
                <w:lang w:eastAsia="zh-CN"/>
              </w:rPr>
              <w:t>2198580</w:t>
            </w:r>
            <w:r>
              <w:rPr>
                <w:rFonts w:hint="eastAsia" w:asciiTheme="minorEastAsia" w:hAnsiTheme="minorEastAsia" w:eastAsiaTheme="minorEastAsia" w:cstheme="minorEastAsia"/>
                <w:szCs w:val="21"/>
                <w:highlight w:val="none"/>
              </w:rPr>
              <w:t>元。</w:t>
            </w:r>
          </w:p>
          <w:p>
            <w:pPr>
              <w:spacing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2、控制价是采购人设置的最高限价，供应商的投标报价高于控制价的视为无效报价，其投标予以拒绝；</w:t>
            </w:r>
          </w:p>
          <w:p>
            <w:pPr>
              <w:spacing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3、当中标人的投标报价高于控制价的95%时，该中标人的中标价按控制价的95%执行。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65" w:type="dxa"/>
            <w:vAlign w:val="center"/>
          </w:tcPr>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10.2</w:t>
            </w:r>
          </w:p>
        </w:tc>
        <w:tc>
          <w:tcPr>
            <w:tcW w:w="2318" w:type="dxa"/>
            <w:vAlign w:val="center"/>
          </w:tcPr>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小型或微型企业（含监狱企业）</w:t>
            </w:r>
          </w:p>
        </w:tc>
        <w:tc>
          <w:tcPr>
            <w:tcW w:w="6112" w:type="dxa"/>
            <w:vAlign w:val="center"/>
          </w:tcPr>
          <w:p>
            <w:pPr>
              <w:autoSpaceDE w:val="0"/>
              <w:autoSpaceDN w:val="0"/>
              <w:adjustRightInd w:val="0"/>
              <w:spacing w:line="500" w:lineRule="exact"/>
              <w:jc w:val="left"/>
              <w:rPr>
                <w:rFonts w:ascii="宋体" w:hAnsi="宋体" w:cs="宋体"/>
                <w:kern w:val="0"/>
                <w:szCs w:val="21"/>
                <w:highlight w:val="none"/>
              </w:rPr>
            </w:pPr>
            <w:r>
              <w:rPr>
                <w:rFonts w:hint="eastAsia" w:asciiTheme="minorEastAsia" w:hAnsiTheme="minorEastAsia" w:eastAsiaTheme="minorEastAsia" w:cstheme="minorEastAsia"/>
                <w:highlight w:val="none"/>
              </w:rPr>
              <w:t>1、</w:t>
            </w:r>
            <w:r>
              <w:rPr>
                <w:rFonts w:hint="eastAsia" w:ascii="宋体" w:hAnsi="宋体" w:cs="宋体"/>
                <w:kern w:val="0"/>
                <w:szCs w:val="21"/>
                <w:highlight w:val="none"/>
              </w:rPr>
              <w:t>对小型或微型企业投标的扶持：(如有）</w:t>
            </w:r>
          </w:p>
          <w:p>
            <w:pPr>
              <w:autoSpaceDE w:val="0"/>
              <w:autoSpaceDN w:val="0"/>
              <w:adjustRightInd w:val="0"/>
              <w:spacing w:line="500" w:lineRule="exact"/>
              <w:jc w:val="left"/>
              <w:rPr>
                <w:rFonts w:ascii="宋体" w:hAnsi="宋体" w:cs="宋体"/>
                <w:kern w:val="0"/>
                <w:szCs w:val="21"/>
                <w:highlight w:val="none"/>
              </w:rPr>
            </w:pPr>
            <w:r>
              <w:rPr>
                <w:rFonts w:hint="eastAsia" w:ascii="宋体" w:hAnsi="宋体" w:cs="宋体"/>
                <w:kern w:val="0"/>
                <w:szCs w:val="21"/>
                <w:highlight w:val="none"/>
              </w:rPr>
              <w:t>1.1投标供应商为小型或微型企业时，报价给予C1的价格扣除（C1的取值为20%），即：评标价＝投标报价（最后报价）×(1－C1）；</w:t>
            </w:r>
          </w:p>
          <w:p>
            <w:pPr>
              <w:autoSpaceDE w:val="0"/>
              <w:autoSpaceDN w:val="0"/>
              <w:adjustRightInd w:val="0"/>
              <w:spacing w:line="500" w:lineRule="exact"/>
              <w:jc w:val="left"/>
              <w:rPr>
                <w:rFonts w:asciiTheme="minorEastAsia" w:hAnsiTheme="minorEastAsia" w:eastAsiaTheme="minorEastAsia" w:cstheme="minorEastAsia"/>
                <w:highlight w:val="none"/>
              </w:rPr>
            </w:pPr>
            <w:r>
              <w:rPr>
                <w:rFonts w:hint="eastAsia" w:ascii="宋体" w:hAnsi="宋体" w:cs="宋体"/>
                <w:kern w:val="0"/>
                <w:szCs w:val="21"/>
                <w:highlight w:val="none"/>
              </w:rPr>
              <w:t>小微企业应当提供《中小企业声明函》（见格式）。</w:t>
            </w:r>
          </w:p>
          <w:p>
            <w:pPr>
              <w:spacing w:line="440" w:lineRule="exac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 按照《政府采购促进中小企业发展管理办法》有关规定，中小企业的标准为：</w:t>
            </w:r>
          </w:p>
          <w:p>
            <w:pPr>
              <w:spacing w:line="440" w:lineRule="exac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2.1提供本企业制造的货物、承担的工程或者服务，或者提供其他中小企业制造的货物，不包括提供或使用大型企业注册商标的货物；</w:t>
            </w:r>
          </w:p>
          <w:p>
            <w:pPr>
              <w:spacing w:line="440" w:lineRule="exac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2.2本规定所称中小企业划分标准，是指国务院有关部门根据企业从业人员、营业收入、资产总额等指标制定的中小企业划型标准（工信部联企业﹝2011﹞300号）；</w:t>
            </w:r>
          </w:p>
          <w:p>
            <w:pPr>
              <w:spacing w:line="440" w:lineRule="exac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2.3小型、微型企业提供有中型企业制造的货物的，视同为中型企业；小型、微型、中型企业提供有大型企业制造的货物的，视同为大型企业。</w:t>
            </w:r>
          </w:p>
          <w:p>
            <w:pPr>
              <w:spacing w:line="440" w:lineRule="exac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根据财政部司法部《关于政府采购支持监狱企业发展有关问题的通知》（财库〔2014〕68号）和财政部民政部中国残疾人联合会《关于促进残疾人就业政府采购政策的通知》（财库〔2017〕141号）规定；监狱企业和残疾人福利性单位视同小型、微型企业。</w:t>
            </w:r>
          </w:p>
          <w:p>
            <w:pPr>
              <w:spacing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rPr>
              <w:t>备注：小微企业（监狱企业、残疾人福利性单位视同小微企业）价格扣除按照20%。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10.3</w:t>
            </w:r>
          </w:p>
        </w:tc>
        <w:tc>
          <w:tcPr>
            <w:tcW w:w="2318" w:type="dxa"/>
            <w:vAlign w:val="center"/>
          </w:tcPr>
          <w:p>
            <w:pPr>
              <w:spacing w:line="440" w:lineRule="exact"/>
              <w:jc w:val="center"/>
              <w:rPr>
                <w:rFonts w:ascii="宋体" w:hAnsi="宋体" w:cs="宋体"/>
                <w:bCs/>
                <w:highlight w:val="none"/>
              </w:rPr>
            </w:pPr>
            <w:r>
              <w:rPr>
                <w:rFonts w:hint="eastAsia" w:ascii="宋体" w:hAnsi="宋体" w:cs="宋体"/>
                <w:bCs/>
                <w:highlight w:val="none"/>
              </w:rPr>
              <w:t>付款方式</w:t>
            </w:r>
          </w:p>
        </w:tc>
        <w:tc>
          <w:tcPr>
            <w:tcW w:w="6112" w:type="dxa"/>
            <w:vAlign w:val="center"/>
          </w:tcPr>
          <w:p>
            <w:pPr>
              <w:spacing w:line="440" w:lineRule="exact"/>
              <w:rPr>
                <w:rFonts w:ascii="宋体" w:hAnsi="宋体" w:cs="宋体" w:eastAsiaTheme="minorEastAsia"/>
                <w:bCs/>
                <w:highlight w:val="none"/>
              </w:rPr>
            </w:pPr>
            <w:r>
              <w:rPr>
                <w:rFonts w:hint="eastAsia" w:asciiTheme="minorEastAsia" w:hAnsiTheme="minorEastAsia" w:eastAsiaTheme="minorEastAsia" w:cstheme="minorEastAsia"/>
                <w:highlight w:val="none"/>
              </w:rPr>
              <w:t>签订合同完成供货后支付合同价的</w:t>
            </w:r>
            <w:r>
              <w:rPr>
                <w:rFonts w:hint="eastAsia" w:asciiTheme="minorEastAsia" w:hAnsiTheme="minorEastAsia" w:eastAsiaTheme="minorEastAsia" w:cstheme="minorEastAsia"/>
                <w:highlight w:val="none"/>
                <w:lang w:val="en-US" w:eastAsia="zh-CN"/>
              </w:rPr>
              <w:t>7</w:t>
            </w:r>
            <w:r>
              <w:rPr>
                <w:rFonts w:hint="eastAsia" w:asciiTheme="minorEastAsia" w:hAnsiTheme="minorEastAsia" w:eastAsiaTheme="minorEastAsia" w:cstheme="minorEastAsia"/>
                <w:highlight w:val="none"/>
              </w:rPr>
              <w:t>0%，验收合格后支付至合同价的100%。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65" w:type="dxa"/>
            <w:vAlign w:val="center"/>
          </w:tcPr>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10.4</w:t>
            </w:r>
          </w:p>
        </w:tc>
        <w:tc>
          <w:tcPr>
            <w:tcW w:w="2318" w:type="dxa"/>
            <w:vAlign w:val="center"/>
          </w:tcPr>
          <w:p>
            <w:pPr>
              <w:spacing w:line="440" w:lineRule="exact"/>
              <w:jc w:val="center"/>
              <w:rPr>
                <w:rFonts w:ascii="宋体" w:hAnsi="宋体" w:cs="宋体"/>
                <w:bCs/>
                <w:highlight w:val="none"/>
              </w:rPr>
            </w:pPr>
            <w:r>
              <w:rPr>
                <w:rFonts w:hint="eastAsia" w:ascii="宋体" w:hAnsi="宋体" w:cs="宋体"/>
                <w:bCs/>
                <w:highlight w:val="none"/>
              </w:rPr>
              <w:t>供货要求</w:t>
            </w:r>
          </w:p>
        </w:tc>
        <w:tc>
          <w:tcPr>
            <w:tcW w:w="6112" w:type="dxa"/>
            <w:vAlign w:val="center"/>
          </w:tcPr>
          <w:p>
            <w:pPr>
              <w:pStyle w:val="19"/>
              <w:ind w:firstLine="0" w:firstLineChars="0"/>
              <w:rPr>
                <w:highlight w:val="none"/>
              </w:rPr>
            </w:pPr>
            <w:r>
              <w:rPr>
                <w:rFonts w:hint="eastAsia"/>
                <w:highlight w:val="none"/>
              </w:rPr>
              <w:t>若因承包人原因不能按期按质供货，将扣除承包人2万元的违约金，同时每超过一天另扣除合同金额的千分之一。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65" w:type="dxa"/>
            <w:vAlign w:val="center"/>
          </w:tcPr>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10.5</w:t>
            </w:r>
          </w:p>
        </w:tc>
        <w:tc>
          <w:tcPr>
            <w:tcW w:w="2318" w:type="dxa"/>
            <w:vAlign w:val="center"/>
          </w:tcPr>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招标代理服务费</w:t>
            </w:r>
          </w:p>
        </w:tc>
        <w:tc>
          <w:tcPr>
            <w:tcW w:w="6112" w:type="dxa"/>
            <w:vAlign w:val="center"/>
          </w:tcPr>
          <w:p>
            <w:pPr>
              <w:spacing w:line="440" w:lineRule="exact"/>
              <w:rPr>
                <w:highlight w:val="none"/>
              </w:rPr>
            </w:pPr>
            <w:r>
              <w:rPr>
                <w:rFonts w:hint="eastAsia" w:ascii="宋体" w:hAnsi="宋体" w:cs="宋体"/>
                <w:bCs/>
                <w:highlight w:val="none"/>
              </w:rPr>
              <w:t>参照豫招协[2023]002号《河南省招标代理服务收费指导意见》中的标准收取，由中标人支付。招标代理费由招标代理机构通知中标企业结清后，领取中标通知书。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965" w:type="dxa"/>
            <w:vAlign w:val="center"/>
          </w:tcPr>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10.8</w:t>
            </w:r>
          </w:p>
        </w:tc>
        <w:tc>
          <w:tcPr>
            <w:tcW w:w="2318" w:type="dxa"/>
            <w:vAlign w:val="center"/>
          </w:tcPr>
          <w:p>
            <w:pPr>
              <w:adjustRightInd w:val="0"/>
              <w:snapToGrid w:val="0"/>
              <w:jc w:val="center"/>
              <w:rPr>
                <w:rFonts w:ascii="宋体" w:hAnsi="宋体" w:cs="宋体"/>
                <w:bCs/>
                <w:highlight w:val="none"/>
              </w:rPr>
            </w:pPr>
            <w:r>
              <w:rPr>
                <w:rFonts w:hint="eastAsia" w:ascii="宋体" w:hAnsi="宋体" w:cs="宋体"/>
                <w:bCs/>
                <w:highlight w:val="none"/>
              </w:rPr>
              <w:t>认定为不响应招标文件的其它条件</w:t>
            </w:r>
          </w:p>
        </w:tc>
        <w:tc>
          <w:tcPr>
            <w:tcW w:w="6112" w:type="dxa"/>
            <w:vAlign w:val="center"/>
          </w:tcPr>
          <w:p>
            <w:pPr>
              <w:pStyle w:val="19"/>
              <w:ind w:firstLine="0" w:firstLineChars="0"/>
              <w:rPr>
                <w:rFonts w:ascii="宋体" w:hAnsi="宋体" w:cs="宋体"/>
                <w:bCs/>
                <w:highlight w:val="none"/>
              </w:rPr>
            </w:pPr>
            <w:r>
              <w:rPr>
                <w:rFonts w:hint="eastAsia" w:ascii="宋体" w:hAnsi="宋体" w:cs="宋体"/>
                <w:bCs/>
                <w:highlight w:val="none"/>
              </w:rPr>
              <w:t>1、未按招标文件明示的规定签字盖章的；</w:t>
            </w:r>
          </w:p>
          <w:p>
            <w:pPr>
              <w:pStyle w:val="19"/>
              <w:ind w:firstLine="0" w:firstLineChars="0"/>
              <w:rPr>
                <w:rFonts w:ascii="宋体" w:hAnsi="宋体" w:cs="宋体"/>
                <w:bCs/>
                <w:highlight w:val="none"/>
              </w:rPr>
            </w:pPr>
            <w:r>
              <w:rPr>
                <w:rFonts w:hint="eastAsia" w:ascii="宋体" w:hAnsi="宋体" w:cs="宋体"/>
                <w:bCs/>
                <w:highlight w:val="none"/>
              </w:rPr>
              <w:t>2、投标文件的关键内容（供货及安装期、质量标准、品牌、型号等）未填写或填写字迹模糊、达不到采购要求的；</w:t>
            </w:r>
          </w:p>
          <w:p>
            <w:pPr>
              <w:pStyle w:val="19"/>
              <w:ind w:firstLine="0" w:firstLineChars="0"/>
              <w:rPr>
                <w:rFonts w:ascii="宋体" w:hAnsi="宋体" w:cs="宋体"/>
                <w:bCs/>
                <w:highlight w:val="none"/>
              </w:rPr>
            </w:pPr>
            <w:r>
              <w:rPr>
                <w:rFonts w:hint="eastAsia" w:ascii="宋体" w:hAnsi="宋体" w:cs="宋体"/>
                <w:bCs/>
                <w:highlight w:val="none"/>
              </w:rPr>
              <w:t>3、投标报价超出招标控制价的；</w:t>
            </w:r>
          </w:p>
          <w:p>
            <w:pPr>
              <w:pStyle w:val="19"/>
              <w:ind w:firstLine="0" w:firstLineChars="0"/>
              <w:rPr>
                <w:rFonts w:ascii="宋体" w:hAnsi="宋体" w:cs="宋体"/>
                <w:bCs/>
                <w:highlight w:val="none"/>
              </w:rPr>
            </w:pPr>
            <w:r>
              <w:rPr>
                <w:rFonts w:hint="eastAsia" w:ascii="宋体" w:hAnsi="宋体" w:cs="宋体"/>
                <w:bCs/>
                <w:highlight w:val="none"/>
              </w:rPr>
              <w:t>4、供应商递交两份或多份内容不同的投标文件，或在一份投标文件中对同一招标项目有两个或多个报价，且未声明哪一个有效的；</w:t>
            </w:r>
          </w:p>
          <w:p>
            <w:pPr>
              <w:pStyle w:val="19"/>
              <w:ind w:firstLine="0" w:firstLineChars="0"/>
              <w:rPr>
                <w:rFonts w:ascii="宋体" w:hAnsi="宋体" w:cs="宋体"/>
                <w:bCs/>
                <w:highlight w:val="none"/>
              </w:rPr>
            </w:pPr>
            <w:r>
              <w:rPr>
                <w:rFonts w:hint="eastAsia" w:ascii="宋体" w:hAnsi="宋体" w:cs="宋体"/>
                <w:bCs/>
                <w:highlight w:val="none"/>
              </w:rPr>
              <w:t>5、未按要求在报价明细表中标明品牌、型号及技术参数的。</w:t>
            </w:r>
          </w:p>
          <w:p>
            <w:pPr>
              <w:pStyle w:val="19"/>
              <w:ind w:firstLine="0" w:firstLineChars="0"/>
              <w:rPr>
                <w:rFonts w:ascii="宋体" w:hAnsi="宋体" w:cs="宋体"/>
                <w:bCs/>
                <w:highlight w:val="none"/>
              </w:rPr>
            </w:pPr>
            <w:r>
              <w:rPr>
                <w:rFonts w:hint="eastAsia" w:ascii="宋体" w:hAnsi="宋体" w:cs="宋体"/>
                <w:bCs/>
                <w:highlight w:val="none"/>
              </w:rPr>
              <w:t>6、附有采购人不能接受的条件的；</w:t>
            </w:r>
          </w:p>
          <w:p>
            <w:pPr>
              <w:pStyle w:val="19"/>
              <w:ind w:firstLine="0" w:firstLineChars="0"/>
              <w:rPr>
                <w:rFonts w:ascii="宋体" w:hAnsi="宋体" w:cs="宋体"/>
                <w:bCs/>
                <w:highlight w:val="none"/>
              </w:rPr>
            </w:pPr>
            <w:r>
              <w:rPr>
                <w:rFonts w:hint="eastAsia" w:ascii="宋体" w:hAnsi="宋体" w:cs="宋体"/>
                <w:bCs/>
                <w:highlight w:val="none"/>
              </w:rPr>
              <w:t>7、评标过程中，如因两个或两个以上供应商在同一台计算或同一个IP上传投标文件，而被不见面开标系统提示为“投标文件制作机器码一致”的，则视其投标无效。</w:t>
            </w:r>
          </w:p>
          <w:p>
            <w:pPr>
              <w:pStyle w:val="19"/>
              <w:ind w:firstLine="0" w:firstLineChars="0"/>
              <w:rPr>
                <w:rFonts w:ascii="宋体" w:hAnsi="宋体" w:cs="宋体"/>
                <w:bCs/>
                <w:highlight w:val="none"/>
              </w:rPr>
            </w:pPr>
            <w:r>
              <w:rPr>
                <w:rFonts w:hint="eastAsia" w:ascii="宋体" w:hAnsi="宋体" w:cs="宋体"/>
                <w:bCs/>
                <w:highlight w:val="none"/>
              </w:rPr>
              <w:t>8、投标文件有明显不符合招标文件其它要求和有关法律法规的。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65" w:type="dxa"/>
            <w:vAlign w:val="center"/>
          </w:tcPr>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10.9</w:t>
            </w:r>
          </w:p>
        </w:tc>
        <w:tc>
          <w:tcPr>
            <w:tcW w:w="8430" w:type="dxa"/>
            <w:gridSpan w:val="2"/>
            <w:vAlign w:val="center"/>
          </w:tcPr>
          <w:p>
            <w:pPr>
              <w:pStyle w:val="19"/>
              <w:tabs>
                <w:tab w:val="left" w:pos="1268"/>
              </w:tabs>
              <w:ind w:firstLine="0" w:firstLineChars="0"/>
              <w:rPr>
                <w:rFonts w:ascii="宋体" w:hAnsi="宋体" w:cs="宋体"/>
                <w:bCs/>
                <w:highlight w:val="none"/>
              </w:rPr>
            </w:pPr>
            <w:r>
              <w:rPr>
                <w:rFonts w:hint="eastAsia" w:asciiTheme="minorEastAsia" w:hAnsiTheme="minorEastAsia" w:eastAsiaTheme="minorEastAsia" w:cstheme="minorEastAsia"/>
                <w:szCs w:val="21"/>
                <w:highlight w:val="none"/>
              </w:rPr>
              <w:t>本招标文件解释权归采购人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9395" w:type="dxa"/>
            <w:gridSpan w:val="3"/>
            <w:vAlign w:val="center"/>
          </w:tcPr>
          <w:p>
            <w:pPr>
              <w:pStyle w:val="19"/>
              <w:rPr>
                <w:rFonts w:ascii="宋体" w:hAnsi="宋体" w:cs="宋体"/>
                <w:bCs/>
                <w:highlight w:val="none"/>
              </w:rPr>
            </w:pPr>
            <w:r>
              <w:rPr>
                <w:rFonts w:hint="eastAsia" w:asciiTheme="minorEastAsia" w:hAnsiTheme="minorEastAsia" w:eastAsiaTheme="minorEastAsia" w:cstheme="minorEastAsia"/>
                <w:szCs w:val="21"/>
                <w:highlight w:val="none"/>
              </w:rPr>
              <w:t>本项目采购货物在质保期内属于货物质量问题的，成交供应商应免费维修，不能维修的应及时更换新货物，供应商须针对质保期内的质量问题提供承诺函。</w:t>
            </w:r>
          </w:p>
        </w:tc>
      </w:tr>
    </w:tbl>
    <w:p>
      <w:pPr>
        <w:pStyle w:val="17"/>
        <w:spacing w:before="120" w:after="120" w:line="500" w:lineRule="exact"/>
        <w:ind w:right="-1029" w:rightChars="-490" w:firstLine="482" w:firstLineChars="200"/>
        <w:jc w:val="both"/>
        <w:outlineLvl w:val="1"/>
        <w:rPr>
          <w:rFonts w:asciiTheme="minorEastAsia" w:hAnsiTheme="minorEastAsia" w:eastAsiaTheme="minorEastAsia" w:cstheme="minorEastAsia"/>
          <w:sz w:val="24"/>
          <w:szCs w:val="24"/>
          <w:highlight w:val="none"/>
        </w:rPr>
      </w:pPr>
      <w:bookmarkStart w:id="14" w:name="_Toc9048"/>
      <w:bookmarkStart w:id="15" w:name="_Toc23576"/>
      <w:bookmarkStart w:id="16" w:name="_Toc426369479"/>
      <w:bookmarkStart w:id="17" w:name="_Toc403122491"/>
      <w:bookmarkStart w:id="18" w:name="_Toc7029"/>
      <w:bookmarkStart w:id="19" w:name="_Toc23082"/>
      <w:bookmarkStart w:id="20" w:name="_Toc403122503"/>
      <w:bookmarkStart w:id="21" w:name="_Toc426369491"/>
      <w:bookmarkStart w:id="22" w:name="_Toc26894"/>
      <w:r>
        <w:rPr>
          <w:rFonts w:hint="eastAsia" w:asciiTheme="minorEastAsia" w:hAnsiTheme="minorEastAsia" w:eastAsiaTheme="minorEastAsia" w:cstheme="minorEastAsia"/>
          <w:sz w:val="24"/>
          <w:szCs w:val="24"/>
          <w:highlight w:val="none"/>
        </w:rPr>
        <w:t>1. 总则</w:t>
      </w:r>
      <w:bookmarkEnd w:id="14"/>
      <w:bookmarkEnd w:id="15"/>
      <w:bookmarkEnd w:id="16"/>
      <w:bookmarkEnd w:id="17"/>
      <w:bookmarkEnd w:id="18"/>
      <w:bookmarkEnd w:id="19"/>
    </w:p>
    <w:p>
      <w:pPr>
        <w:spacing w:line="500" w:lineRule="exact"/>
        <w:ind w:firstLine="482" w:firstLineChars="200"/>
        <w:rPr>
          <w:rFonts w:asciiTheme="minorEastAsia" w:hAnsiTheme="minorEastAsia" w:eastAsiaTheme="minorEastAsia" w:cstheme="minorEastAsia"/>
          <w:b/>
          <w:bCs/>
          <w:sz w:val="24"/>
          <w:highlight w:val="none"/>
        </w:rPr>
      </w:pPr>
      <w:bookmarkStart w:id="23" w:name="_Toc403122492"/>
      <w:bookmarkStart w:id="24" w:name="_Toc426369480"/>
      <w:bookmarkStart w:id="25" w:name="_Toc279599771"/>
      <w:bookmarkStart w:id="26" w:name="_Toc274249575"/>
      <w:r>
        <w:rPr>
          <w:rFonts w:hint="eastAsia" w:asciiTheme="minorEastAsia" w:hAnsiTheme="minorEastAsia" w:eastAsiaTheme="minorEastAsia" w:cstheme="minorEastAsia"/>
          <w:b/>
          <w:bCs/>
          <w:sz w:val="24"/>
          <w:highlight w:val="none"/>
        </w:rPr>
        <w:t>1.1 项目概况</w:t>
      </w:r>
      <w:bookmarkEnd w:id="23"/>
      <w:bookmarkEnd w:id="24"/>
      <w:bookmarkEnd w:id="25"/>
      <w:bookmarkEnd w:id="26"/>
    </w:p>
    <w:p>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1.1.1 根据</w:t>
      </w:r>
      <w:r>
        <w:rPr>
          <w:rFonts w:hint="eastAsia" w:asciiTheme="minorEastAsia" w:hAnsiTheme="minorEastAsia" w:eastAsiaTheme="minorEastAsia" w:cstheme="minorEastAsia"/>
          <w:bCs/>
          <w:szCs w:val="21"/>
          <w:highlight w:val="none"/>
        </w:rPr>
        <w:t>《中华人民共和国政府采购法》</w:t>
      </w:r>
      <w:r>
        <w:rPr>
          <w:rFonts w:hint="eastAsia" w:asciiTheme="minorEastAsia" w:hAnsiTheme="minorEastAsia" w:eastAsiaTheme="minorEastAsia" w:cstheme="minorEastAsia"/>
          <w:szCs w:val="21"/>
          <w:highlight w:val="none"/>
        </w:rPr>
        <w:t xml:space="preserve">等有关法律、法规和规章的规定，本招标项目已具备招标条件，现对本招标项目进行公开招标。 </w:t>
      </w:r>
    </w:p>
    <w:p>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1.1.2  本招标项目采购人：见供应商须知前附表。 </w:t>
      </w:r>
    </w:p>
    <w:p>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1.1.3  本招标项目采购代理机构：见供应商须知前附表。 </w:t>
      </w:r>
    </w:p>
    <w:p>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1.1.4  本招标项目名称：见供应商须知前附表。 </w:t>
      </w:r>
    </w:p>
    <w:p>
      <w:pPr>
        <w:spacing w:line="500" w:lineRule="exact"/>
        <w:ind w:firstLine="482" w:firstLineChars="200"/>
        <w:rPr>
          <w:rFonts w:asciiTheme="minorEastAsia" w:hAnsiTheme="minorEastAsia" w:eastAsiaTheme="minorEastAsia" w:cstheme="minorEastAsia"/>
          <w:b/>
          <w:bCs/>
          <w:sz w:val="24"/>
          <w:highlight w:val="none"/>
        </w:rPr>
      </w:pPr>
      <w:bookmarkStart w:id="27" w:name="_Toc279599772"/>
      <w:bookmarkStart w:id="28" w:name="_Toc274249576"/>
      <w:bookmarkStart w:id="29" w:name="_Toc426369481"/>
      <w:bookmarkStart w:id="30" w:name="_Toc403122493"/>
      <w:r>
        <w:rPr>
          <w:rFonts w:hint="eastAsia" w:asciiTheme="minorEastAsia" w:hAnsiTheme="minorEastAsia" w:eastAsiaTheme="minorEastAsia" w:cstheme="minorEastAsia"/>
          <w:b/>
          <w:bCs/>
          <w:sz w:val="24"/>
          <w:highlight w:val="none"/>
        </w:rPr>
        <w:t>1.2 资金来源和落实情况</w:t>
      </w:r>
      <w:bookmarkEnd w:id="27"/>
      <w:bookmarkEnd w:id="28"/>
      <w:bookmarkEnd w:id="29"/>
      <w:bookmarkEnd w:id="30"/>
    </w:p>
    <w:p>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1.2.1  本招标项目的资金来源：见供应商须知前附表。 </w:t>
      </w:r>
    </w:p>
    <w:p>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1.2.2  本招标项目的资金落实情况：见供应商须知前附表。 </w:t>
      </w:r>
    </w:p>
    <w:p>
      <w:pPr>
        <w:spacing w:line="500" w:lineRule="exact"/>
        <w:ind w:firstLine="482" w:firstLineChars="200"/>
        <w:rPr>
          <w:rFonts w:asciiTheme="minorEastAsia" w:hAnsiTheme="minorEastAsia" w:eastAsiaTheme="minorEastAsia" w:cstheme="minorEastAsia"/>
          <w:b/>
          <w:bCs/>
          <w:sz w:val="24"/>
          <w:highlight w:val="none"/>
        </w:rPr>
      </w:pPr>
      <w:bookmarkStart w:id="31" w:name="_Toc279599773"/>
      <w:bookmarkStart w:id="32" w:name="_Toc426369482"/>
      <w:bookmarkStart w:id="33" w:name="_Toc274249577"/>
      <w:bookmarkStart w:id="34" w:name="_Toc403122494"/>
      <w:r>
        <w:rPr>
          <w:rFonts w:hint="eastAsia" w:asciiTheme="minorEastAsia" w:hAnsiTheme="minorEastAsia" w:eastAsiaTheme="minorEastAsia" w:cstheme="minorEastAsia"/>
          <w:b/>
          <w:bCs/>
          <w:sz w:val="24"/>
          <w:highlight w:val="none"/>
        </w:rPr>
        <w:t>1.3 采购内容、供货及安装期和质量</w:t>
      </w:r>
      <w:bookmarkEnd w:id="31"/>
      <w:bookmarkEnd w:id="32"/>
      <w:bookmarkEnd w:id="33"/>
      <w:bookmarkEnd w:id="34"/>
      <w:r>
        <w:rPr>
          <w:rFonts w:hint="eastAsia" w:asciiTheme="minorEastAsia" w:hAnsiTheme="minorEastAsia" w:eastAsiaTheme="minorEastAsia" w:cstheme="minorEastAsia"/>
          <w:b/>
          <w:bCs/>
          <w:sz w:val="24"/>
          <w:highlight w:val="none"/>
        </w:rPr>
        <w:t>标准</w:t>
      </w:r>
    </w:p>
    <w:p>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1.3.1  本次招标采购内容：见供应商须知前附表。 </w:t>
      </w:r>
    </w:p>
    <w:p>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1.3.2  本次招标的项目完成期：见供应商须知前附表。 </w:t>
      </w:r>
    </w:p>
    <w:p>
      <w:pPr>
        <w:tabs>
          <w:tab w:val="right" w:pos="9040"/>
        </w:tabs>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1.3.3  本次招标的质量要求：见供应商须知前附表。 </w:t>
      </w:r>
    </w:p>
    <w:p>
      <w:pPr>
        <w:tabs>
          <w:tab w:val="right" w:pos="9040"/>
        </w:tabs>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1.3.4  本次招标的质保期要求：见供应商须知前附表。 </w:t>
      </w:r>
      <w:r>
        <w:rPr>
          <w:rFonts w:hint="eastAsia" w:asciiTheme="minorEastAsia" w:hAnsiTheme="minorEastAsia" w:eastAsiaTheme="minorEastAsia" w:cstheme="minorEastAsia"/>
          <w:szCs w:val="21"/>
          <w:highlight w:val="none"/>
        </w:rPr>
        <w:tab/>
      </w:r>
    </w:p>
    <w:p>
      <w:pPr>
        <w:spacing w:line="500" w:lineRule="exact"/>
        <w:ind w:firstLine="482" w:firstLineChars="200"/>
        <w:rPr>
          <w:rFonts w:asciiTheme="minorEastAsia" w:hAnsiTheme="minorEastAsia" w:eastAsiaTheme="minorEastAsia" w:cstheme="minorEastAsia"/>
          <w:b/>
          <w:bCs/>
          <w:sz w:val="24"/>
          <w:highlight w:val="none"/>
        </w:rPr>
      </w:pPr>
      <w:bookmarkStart w:id="35" w:name="_Toc426369483"/>
      <w:bookmarkStart w:id="36" w:name="_Toc279599774"/>
      <w:bookmarkStart w:id="37" w:name="_Toc274249578"/>
      <w:bookmarkStart w:id="38" w:name="_Toc403122495"/>
      <w:r>
        <w:rPr>
          <w:rFonts w:hint="eastAsia" w:asciiTheme="minorEastAsia" w:hAnsiTheme="minorEastAsia" w:eastAsiaTheme="minorEastAsia" w:cstheme="minorEastAsia"/>
          <w:b/>
          <w:bCs/>
          <w:sz w:val="24"/>
          <w:highlight w:val="none"/>
        </w:rPr>
        <w:t>1.4 供应商资格要求</w:t>
      </w:r>
      <w:bookmarkEnd w:id="35"/>
      <w:bookmarkEnd w:id="36"/>
      <w:bookmarkEnd w:id="37"/>
      <w:bookmarkEnd w:id="38"/>
    </w:p>
    <w:p>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1.4.1 供应商应具备承担本招标项目的资质条件。 </w:t>
      </w:r>
    </w:p>
    <w:p>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（1）供应商资质条件：见供应商须知前附表； </w:t>
      </w:r>
    </w:p>
    <w:p>
      <w:pPr>
        <w:spacing w:line="440" w:lineRule="exact"/>
        <w:ind w:firstLine="420" w:firstLineChars="200"/>
        <w:rPr>
          <w:rFonts w:asciiTheme="minorEastAsia" w:hAnsiTheme="minorEastAsia" w:eastAsiaTheme="minorEastAsia" w:cstheme="minorEastAsia"/>
          <w:szCs w:val="21"/>
          <w:highlight w:val="none"/>
        </w:rPr>
      </w:pPr>
      <w:bookmarkStart w:id="39" w:name="_Toc403122496"/>
      <w:bookmarkStart w:id="40" w:name="_Toc279599775"/>
      <w:bookmarkStart w:id="41" w:name="_Toc274249579"/>
      <w:r>
        <w:rPr>
          <w:rFonts w:hint="eastAsia" w:asciiTheme="minorEastAsia" w:hAnsiTheme="minorEastAsia" w:eastAsiaTheme="minorEastAsia" w:cstheme="minorEastAsia"/>
          <w:szCs w:val="21"/>
          <w:highlight w:val="none"/>
        </w:rPr>
        <w:t>1.4.2 本次招标不接受联合体投标。</w:t>
      </w:r>
    </w:p>
    <w:p>
      <w:pPr>
        <w:spacing w:line="500" w:lineRule="exact"/>
        <w:ind w:firstLine="482" w:firstLineChars="200"/>
        <w:rPr>
          <w:rFonts w:asciiTheme="minorEastAsia" w:hAnsiTheme="minorEastAsia" w:eastAsiaTheme="minorEastAsia" w:cstheme="minorEastAsia"/>
          <w:b/>
          <w:bCs/>
          <w:sz w:val="24"/>
          <w:highlight w:val="none"/>
        </w:rPr>
      </w:pPr>
      <w:bookmarkStart w:id="42" w:name="_Toc426369484"/>
      <w:r>
        <w:rPr>
          <w:rFonts w:hint="eastAsia" w:asciiTheme="minorEastAsia" w:hAnsiTheme="minorEastAsia" w:eastAsiaTheme="minorEastAsia" w:cstheme="minorEastAsia"/>
          <w:b/>
          <w:bCs/>
          <w:sz w:val="24"/>
          <w:highlight w:val="none"/>
        </w:rPr>
        <w:t>1.5 费用承担</w:t>
      </w:r>
      <w:bookmarkEnd w:id="39"/>
      <w:bookmarkEnd w:id="40"/>
      <w:bookmarkEnd w:id="41"/>
      <w:bookmarkEnd w:id="42"/>
    </w:p>
    <w:p>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供应商准备和参加投标活动发生的费用自理。 </w:t>
      </w:r>
    </w:p>
    <w:p>
      <w:pPr>
        <w:spacing w:line="500" w:lineRule="exact"/>
        <w:ind w:firstLine="482" w:firstLineChars="200"/>
        <w:rPr>
          <w:rFonts w:asciiTheme="minorEastAsia" w:hAnsiTheme="minorEastAsia" w:eastAsiaTheme="minorEastAsia" w:cstheme="minorEastAsia"/>
          <w:b/>
          <w:bCs/>
          <w:sz w:val="24"/>
          <w:highlight w:val="none"/>
        </w:rPr>
      </w:pPr>
      <w:bookmarkStart w:id="43" w:name="_Toc403122497"/>
      <w:bookmarkStart w:id="44" w:name="_Toc426369485"/>
      <w:r>
        <w:rPr>
          <w:rFonts w:hint="eastAsia" w:asciiTheme="minorEastAsia" w:hAnsiTheme="minorEastAsia" w:eastAsiaTheme="minorEastAsia" w:cstheme="minorEastAsia"/>
          <w:b/>
          <w:bCs/>
          <w:sz w:val="24"/>
          <w:highlight w:val="none"/>
        </w:rPr>
        <w:t>1.6 保密</w:t>
      </w:r>
      <w:bookmarkEnd w:id="43"/>
      <w:bookmarkEnd w:id="44"/>
    </w:p>
    <w:p>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参与招标投标活动的各方应对招标文件和投标文件中的商业和技术等秘密保密，违者应对由此造成的后果承担法律责任。</w:t>
      </w:r>
    </w:p>
    <w:p>
      <w:pPr>
        <w:spacing w:line="500" w:lineRule="exact"/>
        <w:ind w:firstLine="482" w:firstLineChars="200"/>
        <w:rPr>
          <w:rFonts w:asciiTheme="minorEastAsia" w:hAnsiTheme="minorEastAsia" w:eastAsiaTheme="minorEastAsia" w:cstheme="minorEastAsia"/>
          <w:b/>
          <w:bCs/>
          <w:sz w:val="24"/>
          <w:highlight w:val="none"/>
        </w:rPr>
      </w:pPr>
      <w:bookmarkStart w:id="45" w:name="_Toc403122498"/>
      <w:bookmarkStart w:id="46" w:name="_Toc274249581"/>
      <w:bookmarkStart w:id="47" w:name="_Toc426369486"/>
      <w:bookmarkStart w:id="48" w:name="_Toc279599777"/>
      <w:r>
        <w:rPr>
          <w:rFonts w:hint="eastAsia" w:asciiTheme="minorEastAsia" w:hAnsiTheme="minorEastAsia" w:eastAsiaTheme="minorEastAsia" w:cstheme="minorEastAsia"/>
          <w:b/>
          <w:bCs/>
          <w:sz w:val="24"/>
          <w:highlight w:val="none"/>
        </w:rPr>
        <w:t>1.7 语言文字</w:t>
      </w:r>
      <w:bookmarkEnd w:id="45"/>
      <w:bookmarkEnd w:id="46"/>
      <w:bookmarkEnd w:id="47"/>
      <w:bookmarkEnd w:id="48"/>
      <w:r>
        <w:rPr>
          <w:rFonts w:hint="eastAsia" w:asciiTheme="minorEastAsia" w:hAnsiTheme="minorEastAsia" w:eastAsiaTheme="minorEastAsia" w:cstheme="minorEastAsia"/>
          <w:b/>
          <w:bCs/>
          <w:sz w:val="24"/>
          <w:highlight w:val="none"/>
        </w:rPr>
        <w:t xml:space="preserve"> </w:t>
      </w:r>
    </w:p>
    <w:p>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1.7.1 采购文件以及供应商与采购人、采购代理机构就有关投标事宜的所有来往函电均应使用简体中文书写。</w:t>
      </w:r>
    </w:p>
    <w:p>
      <w:pPr>
        <w:ind w:firstLine="420" w:firstLineChars="2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szCs w:val="21"/>
          <w:highlight w:val="none"/>
        </w:rPr>
        <w:t>1.7.2原版为外文的证书类文件，以及由外国人做出的本人签名、外国公司的名称或外国印章等可以是外文，但应当提供中文翻译文件并加盖供应商公章。必要时评标委员会可以要求供应商提供附有公证书的中文翻译文件或者与原版文件签章相一致的中文翻译文件</w:t>
      </w:r>
      <w:bookmarkStart w:id="49" w:name="_Toc426369487"/>
      <w:bookmarkStart w:id="50" w:name="_Toc403122499"/>
    </w:p>
    <w:p>
      <w:pPr>
        <w:ind w:firstLine="482" w:firstLineChars="20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1.8 计量单位</w:t>
      </w:r>
      <w:bookmarkEnd w:id="49"/>
      <w:bookmarkEnd w:id="50"/>
    </w:p>
    <w:p>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1.8.1关于投标计量单位，采购文件已有明确规定的，使用采购文件规定的计量单位；采购文件没有规定的，应采用中华人民共和国法定计量单位。 </w:t>
      </w:r>
    </w:p>
    <w:p>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1.8.2本响应性文件所表述的时间均为北京时间。</w:t>
      </w:r>
    </w:p>
    <w:p>
      <w:pPr>
        <w:spacing w:line="500" w:lineRule="exact"/>
        <w:ind w:firstLine="482" w:firstLineChars="200"/>
        <w:rPr>
          <w:rFonts w:asciiTheme="minorEastAsia" w:hAnsiTheme="minorEastAsia" w:eastAsiaTheme="minorEastAsia" w:cstheme="minorEastAsia"/>
          <w:b/>
          <w:bCs/>
          <w:sz w:val="24"/>
          <w:highlight w:val="none"/>
        </w:rPr>
      </w:pPr>
      <w:bookmarkStart w:id="51" w:name="_Toc426369488"/>
      <w:bookmarkStart w:id="52" w:name="_Toc274249583"/>
      <w:bookmarkStart w:id="53" w:name="_Toc403122500"/>
      <w:bookmarkStart w:id="54" w:name="_Toc279599779"/>
      <w:r>
        <w:rPr>
          <w:rFonts w:hint="eastAsia" w:asciiTheme="minorEastAsia" w:hAnsiTheme="minorEastAsia" w:eastAsiaTheme="minorEastAsia" w:cstheme="minorEastAsia"/>
          <w:b/>
          <w:bCs/>
          <w:sz w:val="24"/>
          <w:highlight w:val="none"/>
        </w:rPr>
        <w:t>1.9 踏勘现场</w:t>
      </w:r>
      <w:bookmarkEnd w:id="51"/>
      <w:bookmarkEnd w:id="52"/>
      <w:bookmarkEnd w:id="53"/>
      <w:bookmarkEnd w:id="54"/>
    </w:p>
    <w:p>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1.9.1  由于项目特殊性，本次招标需供应商自行勘查。 </w:t>
      </w:r>
    </w:p>
    <w:p>
      <w:pPr>
        <w:spacing w:line="500" w:lineRule="exact"/>
        <w:ind w:firstLine="482" w:firstLineChars="200"/>
        <w:rPr>
          <w:rFonts w:asciiTheme="minorEastAsia" w:hAnsiTheme="minorEastAsia" w:eastAsiaTheme="minorEastAsia" w:cstheme="minorEastAsia"/>
          <w:b/>
          <w:bCs/>
          <w:sz w:val="24"/>
          <w:highlight w:val="none"/>
        </w:rPr>
      </w:pPr>
      <w:bookmarkStart w:id="55" w:name="_Toc274249584"/>
      <w:bookmarkStart w:id="56" w:name="_Toc279599780"/>
      <w:bookmarkStart w:id="57" w:name="_Toc403122501"/>
      <w:bookmarkStart w:id="58" w:name="_Toc426369489"/>
      <w:r>
        <w:rPr>
          <w:rFonts w:hint="eastAsia" w:asciiTheme="minorEastAsia" w:hAnsiTheme="minorEastAsia" w:eastAsiaTheme="minorEastAsia" w:cstheme="minorEastAsia"/>
          <w:b/>
          <w:bCs/>
          <w:sz w:val="24"/>
          <w:highlight w:val="none"/>
        </w:rPr>
        <w:t>1.10 投标预备会</w:t>
      </w:r>
      <w:bookmarkEnd w:id="55"/>
      <w:bookmarkEnd w:id="56"/>
      <w:bookmarkEnd w:id="57"/>
      <w:bookmarkEnd w:id="58"/>
    </w:p>
    <w:p>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1.10.1 本次招标不召开投标预备会。 </w:t>
      </w:r>
    </w:p>
    <w:p>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1.10.2 供应商应在供应商须知前附表规定的时间前，以书面形式将提出的问题送达招标代理人。 </w:t>
      </w:r>
    </w:p>
    <w:p>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1.10.3 采购人在供应商须知前附表规定的时间内，将对供应商所提问题的澄清，以书面方式通知所有已领取招标文件的供应商。该澄清内容为招标文件的组成部分。 </w:t>
      </w:r>
    </w:p>
    <w:p>
      <w:pPr>
        <w:spacing w:line="500" w:lineRule="exact"/>
        <w:ind w:firstLine="482" w:firstLineChars="200"/>
        <w:rPr>
          <w:rFonts w:asciiTheme="minorEastAsia" w:hAnsiTheme="minorEastAsia" w:eastAsiaTheme="minorEastAsia" w:cstheme="minorEastAsia"/>
          <w:b/>
          <w:bCs/>
          <w:sz w:val="24"/>
          <w:highlight w:val="none"/>
        </w:rPr>
      </w:pPr>
      <w:bookmarkStart w:id="59" w:name="_Toc274249585"/>
      <w:bookmarkStart w:id="60" w:name="_Toc279599781"/>
      <w:bookmarkStart w:id="61" w:name="_Toc426369490"/>
      <w:bookmarkStart w:id="62" w:name="_Toc403122502"/>
      <w:r>
        <w:rPr>
          <w:rFonts w:hint="eastAsia" w:asciiTheme="minorEastAsia" w:hAnsiTheme="minorEastAsia" w:eastAsiaTheme="minorEastAsia" w:cstheme="minorEastAsia"/>
          <w:b/>
          <w:bCs/>
          <w:sz w:val="24"/>
          <w:highlight w:val="none"/>
        </w:rPr>
        <w:t>1.11 分包</w:t>
      </w:r>
      <w:bookmarkEnd w:id="59"/>
      <w:bookmarkEnd w:id="60"/>
      <w:bookmarkEnd w:id="61"/>
      <w:bookmarkEnd w:id="62"/>
    </w:p>
    <w:p>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本次招标项目不允许分包。 </w:t>
      </w:r>
    </w:p>
    <w:p>
      <w:pPr>
        <w:pStyle w:val="17"/>
        <w:spacing w:before="120" w:after="120" w:line="500" w:lineRule="exact"/>
        <w:ind w:right="-1029" w:rightChars="-490" w:firstLine="482" w:firstLineChars="200"/>
        <w:jc w:val="both"/>
        <w:outlineLvl w:val="1"/>
        <w:rPr>
          <w:rFonts w:asciiTheme="minorEastAsia" w:hAnsiTheme="minorEastAsia" w:eastAsiaTheme="minorEastAsia" w:cstheme="minorEastAsia"/>
          <w:sz w:val="24"/>
          <w:szCs w:val="24"/>
          <w:highlight w:val="none"/>
        </w:rPr>
      </w:pPr>
      <w:bookmarkStart w:id="63" w:name="_Toc20888"/>
      <w:bookmarkStart w:id="64" w:name="_Toc28663"/>
      <w:bookmarkStart w:id="65" w:name="_Toc9121"/>
      <w:r>
        <w:rPr>
          <w:rFonts w:hint="eastAsia" w:asciiTheme="minorEastAsia" w:hAnsiTheme="minorEastAsia" w:eastAsiaTheme="minorEastAsia" w:cstheme="minorEastAsia"/>
          <w:sz w:val="24"/>
          <w:szCs w:val="24"/>
          <w:highlight w:val="none"/>
        </w:rPr>
        <w:t>2. 招标文件</w:t>
      </w:r>
      <w:bookmarkEnd w:id="20"/>
      <w:bookmarkEnd w:id="21"/>
      <w:bookmarkEnd w:id="22"/>
      <w:bookmarkEnd w:id="63"/>
      <w:bookmarkEnd w:id="64"/>
      <w:bookmarkEnd w:id="65"/>
    </w:p>
    <w:p>
      <w:pPr>
        <w:spacing w:line="500" w:lineRule="exact"/>
        <w:ind w:firstLine="482" w:firstLineChars="200"/>
        <w:rPr>
          <w:rFonts w:asciiTheme="minorEastAsia" w:hAnsiTheme="minorEastAsia" w:eastAsiaTheme="minorEastAsia" w:cstheme="minorEastAsia"/>
          <w:b/>
          <w:bCs/>
          <w:sz w:val="24"/>
          <w:highlight w:val="none"/>
        </w:rPr>
      </w:pPr>
      <w:bookmarkStart w:id="66" w:name="_Toc274249587"/>
      <w:bookmarkStart w:id="67" w:name="_Toc279599783"/>
      <w:bookmarkStart w:id="68" w:name="_Toc426369492"/>
      <w:bookmarkStart w:id="69" w:name="_Toc403122504"/>
      <w:r>
        <w:rPr>
          <w:rFonts w:hint="eastAsia" w:asciiTheme="minorEastAsia" w:hAnsiTheme="minorEastAsia" w:eastAsiaTheme="minorEastAsia" w:cstheme="minorEastAsia"/>
          <w:b/>
          <w:bCs/>
          <w:sz w:val="24"/>
          <w:highlight w:val="none"/>
        </w:rPr>
        <w:t>2.1 招标文件的组成</w:t>
      </w:r>
      <w:bookmarkEnd w:id="66"/>
      <w:bookmarkEnd w:id="67"/>
      <w:bookmarkEnd w:id="68"/>
      <w:bookmarkEnd w:id="69"/>
    </w:p>
    <w:p>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本招标文件包括： </w:t>
      </w:r>
    </w:p>
    <w:p>
      <w:pPr>
        <w:numPr>
          <w:ilvl w:val="0"/>
          <w:numId w:val="4"/>
        </w:numPr>
        <w:tabs>
          <w:tab w:val="left" w:pos="525"/>
          <w:tab w:val="left" w:pos="630"/>
        </w:tabs>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招标公告；</w:t>
      </w:r>
    </w:p>
    <w:p>
      <w:pPr>
        <w:numPr>
          <w:ilvl w:val="0"/>
          <w:numId w:val="4"/>
        </w:numPr>
        <w:tabs>
          <w:tab w:val="left" w:pos="525"/>
          <w:tab w:val="left" w:pos="630"/>
        </w:tabs>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供应商须知； </w:t>
      </w:r>
    </w:p>
    <w:p>
      <w:pPr>
        <w:numPr>
          <w:ilvl w:val="0"/>
          <w:numId w:val="4"/>
        </w:numPr>
        <w:tabs>
          <w:tab w:val="left" w:pos="525"/>
          <w:tab w:val="left" w:pos="630"/>
        </w:tabs>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评标办法（综合评分法）； </w:t>
      </w:r>
    </w:p>
    <w:p>
      <w:pPr>
        <w:numPr>
          <w:ilvl w:val="0"/>
          <w:numId w:val="4"/>
        </w:numPr>
        <w:tabs>
          <w:tab w:val="left" w:pos="525"/>
          <w:tab w:val="left" w:pos="630"/>
        </w:tabs>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合同条款及格式； </w:t>
      </w:r>
    </w:p>
    <w:p>
      <w:pPr>
        <w:numPr>
          <w:ilvl w:val="0"/>
          <w:numId w:val="4"/>
        </w:numPr>
        <w:tabs>
          <w:tab w:val="left" w:pos="525"/>
          <w:tab w:val="left" w:pos="630"/>
        </w:tabs>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采购需求及参数； </w:t>
      </w:r>
    </w:p>
    <w:p>
      <w:pPr>
        <w:numPr>
          <w:ilvl w:val="0"/>
          <w:numId w:val="4"/>
        </w:numPr>
        <w:tabs>
          <w:tab w:val="left" w:pos="525"/>
          <w:tab w:val="left" w:pos="630"/>
        </w:tabs>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投标文件格式； </w:t>
      </w:r>
    </w:p>
    <w:p>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根据本章第 1.10 款、第 2.2 款和第2.3款对招标文件所作的澄清、修改，构成招标文件的组成部分。 </w:t>
      </w:r>
    </w:p>
    <w:p>
      <w:pPr>
        <w:spacing w:line="500" w:lineRule="exact"/>
        <w:ind w:firstLine="482" w:firstLineChars="200"/>
        <w:rPr>
          <w:rFonts w:asciiTheme="minorEastAsia" w:hAnsiTheme="minorEastAsia" w:eastAsiaTheme="minorEastAsia" w:cstheme="minorEastAsia"/>
          <w:b/>
          <w:bCs/>
          <w:sz w:val="24"/>
          <w:highlight w:val="none"/>
        </w:rPr>
      </w:pPr>
      <w:bookmarkStart w:id="70" w:name="_Toc279599784"/>
      <w:bookmarkStart w:id="71" w:name="_Toc403122505"/>
      <w:bookmarkStart w:id="72" w:name="_Toc274249588"/>
      <w:bookmarkStart w:id="73" w:name="_Toc426369493"/>
      <w:r>
        <w:rPr>
          <w:rFonts w:hint="eastAsia" w:asciiTheme="minorEastAsia" w:hAnsiTheme="minorEastAsia" w:eastAsiaTheme="minorEastAsia" w:cstheme="minorEastAsia"/>
          <w:b/>
          <w:bCs/>
          <w:sz w:val="24"/>
          <w:highlight w:val="none"/>
        </w:rPr>
        <w:t>2.2 招标文件的澄清</w:t>
      </w:r>
      <w:bookmarkEnd w:id="70"/>
      <w:bookmarkEnd w:id="71"/>
      <w:bookmarkEnd w:id="72"/>
      <w:bookmarkEnd w:id="73"/>
    </w:p>
    <w:p>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2.2.1 供应商应仔细阅读和检查招标文件的全部内容。如发现缺页或附件不全，应及时向采购人提出，以便补齐。如有疑问，应在供应商须知前附表规定的时间前以书面形式，要求采购人对招标文件予以澄清。 </w:t>
      </w:r>
    </w:p>
    <w:p>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2.2.2 招标文件的澄清将在供应商须知前附表规定的投标截止时间15天前以书面形式发给所有购买招标文件的供应商，但不指明澄清问题的来源。如果澄清发出的时间距投标截止时间不足 15 天，相应延长投标截止时间。 </w:t>
      </w:r>
    </w:p>
    <w:p>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2.2.3 供应商在收到澄清后，应在供应商须知前附表规定的时间内以书面形式通知采购人，确认已收到该澄清。 </w:t>
      </w:r>
    </w:p>
    <w:p>
      <w:pPr>
        <w:spacing w:line="500" w:lineRule="exact"/>
        <w:ind w:firstLine="482" w:firstLineChars="200"/>
        <w:rPr>
          <w:rFonts w:asciiTheme="minorEastAsia" w:hAnsiTheme="minorEastAsia" w:eastAsiaTheme="minorEastAsia" w:cstheme="minorEastAsia"/>
          <w:b/>
          <w:bCs/>
          <w:sz w:val="24"/>
          <w:highlight w:val="none"/>
        </w:rPr>
      </w:pPr>
      <w:bookmarkStart w:id="74" w:name="_Toc426369494"/>
      <w:bookmarkStart w:id="75" w:name="_Toc274249589"/>
      <w:bookmarkStart w:id="76" w:name="_Toc279599785"/>
      <w:bookmarkStart w:id="77" w:name="_Toc403122506"/>
      <w:r>
        <w:rPr>
          <w:rFonts w:hint="eastAsia" w:asciiTheme="minorEastAsia" w:hAnsiTheme="minorEastAsia" w:eastAsiaTheme="minorEastAsia" w:cstheme="minorEastAsia"/>
          <w:b/>
          <w:bCs/>
          <w:sz w:val="24"/>
          <w:highlight w:val="none"/>
        </w:rPr>
        <w:t>2.3 招标文件的修改</w:t>
      </w:r>
      <w:bookmarkEnd w:id="74"/>
      <w:bookmarkEnd w:id="75"/>
      <w:bookmarkEnd w:id="76"/>
      <w:bookmarkEnd w:id="77"/>
    </w:p>
    <w:p>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2.3.1  在投标截止时间 15天前，采购人可以书面形式修改招标文件，并通知所有已购买招标文件的供应商。如果修改招标文件的时间距投标截止时间不足 15 天，相应延长投标截止时间。  </w:t>
      </w:r>
    </w:p>
    <w:p>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2.3.2  供应商收到修改内容后，应在供应商须知前附表规定的时间内以书面形式通知采购人，确认已收到该修改。 </w:t>
      </w:r>
      <w:bookmarkStart w:id="78" w:name="_Toc426369495"/>
      <w:bookmarkStart w:id="79" w:name="_Toc403122507"/>
      <w:bookmarkStart w:id="80" w:name="_Toc23265"/>
    </w:p>
    <w:p>
      <w:pPr>
        <w:pStyle w:val="17"/>
        <w:spacing w:before="120" w:after="120" w:line="500" w:lineRule="exact"/>
        <w:ind w:right="-1029" w:rightChars="-490" w:firstLine="482" w:firstLineChars="200"/>
        <w:jc w:val="both"/>
        <w:outlineLvl w:val="1"/>
        <w:rPr>
          <w:rFonts w:asciiTheme="minorEastAsia" w:hAnsiTheme="minorEastAsia" w:eastAsiaTheme="minorEastAsia" w:cstheme="minorEastAsia"/>
          <w:sz w:val="24"/>
          <w:szCs w:val="24"/>
          <w:highlight w:val="none"/>
        </w:rPr>
      </w:pPr>
      <w:bookmarkStart w:id="81" w:name="_Toc13865"/>
      <w:bookmarkStart w:id="82" w:name="_Toc15031"/>
      <w:bookmarkStart w:id="83" w:name="_Toc22914"/>
      <w:r>
        <w:rPr>
          <w:rFonts w:hint="eastAsia" w:asciiTheme="minorEastAsia" w:hAnsiTheme="minorEastAsia" w:eastAsiaTheme="minorEastAsia" w:cstheme="minorEastAsia"/>
          <w:sz w:val="24"/>
          <w:szCs w:val="24"/>
          <w:highlight w:val="none"/>
        </w:rPr>
        <w:t>3. 投标文件</w:t>
      </w:r>
      <w:bookmarkEnd w:id="78"/>
      <w:bookmarkEnd w:id="79"/>
      <w:bookmarkEnd w:id="80"/>
      <w:bookmarkEnd w:id="81"/>
      <w:bookmarkEnd w:id="82"/>
      <w:bookmarkEnd w:id="83"/>
    </w:p>
    <w:p>
      <w:pPr>
        <w:spacing w:line="500" w:lineRule="exact"/>
        <w:ind w:firstLine="482" w:firstLineChars="200"/>
        <w:rPr>
          <w:rFonts w:asciiTheme="minorEastAsia" w:hAnsiTheme="minorEastAsia" w:eastAsiaTheme="minorEastAsia" w:cstheme="minorEastAsia"/>
          <w:b/>
          <w:bCs/>
          <w:sz w:val="24"/>
          <w:highlight w:val="none"/>
        </w:rPr>
      </w:pPr>
      <w:bookmarkStart w:id="84" w:name="_Toc426369496"/>
      <w:bookmarkStart w:id="85" w:name="_Toc274249591"/>
      <w:bookmarkStart w:id="86" w:name="_Toc403122508"/>
      <w:bookmarkStart w:id="87" w:name="_Toc279599787"/>
      <w:r>
        <w:rPr>
          <w:rFonts w:hint="eastAsia" w:asciiTheme="minorEastAsia" w:hAnsiTheme="minorEastAsia" w:eastAsiaTheme="minorEastAsia" w:cstheme="minorEastAsia"/>
          <w:b/>
          <w:bCs/>
          <w:sz w:val="24"/>
          <w:highlight w:val="none"/>
        </w:rPr>
        <w:t>3.1 投标文件的组成</w:t>
      </w:r>
      <w:bookmarkEnd w:id="84"/>
      <w:bookmarkEnd w:id="85"/>
      <w:bookmarkEnd w:id="86"/>
      <w:bookmarkEnd w:id="87"/>
    </w:p>
    <w:p>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3.1.1 投标文件应包括下列内容： </w:t>
      </w:r>
    </w:p>
    <w:p>
      <w:pPr>
        <w:spacing w:line="440" w:lineRule="exact"/>
        <w:ind w:firstLine="420" w:firstLineChars="200"/>
        <w:rPr>
          <w:rFonts w:ascii="宋体" w:hAnsi="宋体" w:cs="宋体"/>
          <w:szCs w:val="21"/>
          <w:highlight w:val="none"/>
        </w:rPr>
      </w:pPr>
      <w:bookmarkStart w:id="88" w:name="_Toc403122509"/>
      <w:bookmarkStart w:id="89" w:name="_Toc426369497"/>
      <w:bookmarkStart w:id="90" w:name="_Toc274249592"/>
      <w:bookmarkStart w:id="91" w:name="_Toc279599788"/>
      <w:r>
        <w:rPr>
          <w:rFonts w:hint="eastAsia" w:ascii="宋体" w:hAnsi="宋体" w:cs="宋体"/>
          <w:szCs w:val="21"/>
          <w:highlight w:val="none"/>
        </w:rPr>
        <w:t>一、投标函及开标一览表</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（一）投标函</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（二）开标一览表</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（三）报价明细表</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二、法定代表人身份证明书</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三、授权委托书</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四、项目实施方案等</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五、政府采购供应商的资格证明承诺函；</w:t>
      </w:r>
    </w:p>
    <w:p>
      <w:pPr>
        <w:pStyle w:val="18"/>
        <w:spacing w:line="440" w:lineRule="exact"/>
        <w:ind w:firstLineChars="200"/>
        <w:rPr>
          <w:rFonts w:hint="default" w:ascii="宋体" w:hAnsi="宋体" w:eastAsia="宋体" w:cs="宋体"/>
          <w:sz w:val="21"/>
          <w:szCs w:val="21"/>
          <w:highlight w:val="none"/>
        </w:rPr>
      </w:pPr>
      <w:r>
        <w:rPr>
          <w:rFonts w:ascii="宋体" w:hAnsi="宋体" w:eastAsia="宋体" w:cs="宋体"/>
          <w:sz w:val="21"/>
          <w:szCs w:val="21"/>
          <w:highlight w:val="none"/>
        </w:rPr>
        <w:t>六、供应商服务承诺和优惠承诺</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七、供应商所投产品属于当期政府采购清单规定的节能环保产品的证明材料；</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八、中小企业声明函（如为中小企业）；</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九、残疾人福利性单位声明函（如有）；</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十、招标文件要求的或供应商认为需要加以说明的其他内容。</w:t>
      </w:r>
    </w:p>
    <w:p>
      <w:pPr>
        <w:widowControl/>
        <w:spacing w:line="360" w:lineRule="auto"/>
        <w:ind w:firstLine="482" w:firstLineChars="200"/>
        <w:jc w:val="left"/>
        <w:rPr>
          <w:rFonts w:ascii="宋体" w:hAnsi="宋体" w:cs="宋体"/>
          <w:b/>
          <w:bCs/>
          <w:sz w:val="24"/>
          <w:highlight w:val="none"/>
        </w:rPr>
      </w:pPr>
      <w:r>
        <w:rPr>
          <w:rFonts w:hint="eastAsia" w:ascii="宋体" w:hAnsi="宋体" w:cs="宋体"/>
          <w:b/>
          <w:bCs/>
          <w:sz w:val="24"/>
          <w:highlight w:val="none"/>
        </w:rPr>
        <w:t>注：1、符合《政府采购法》第二十二条规定的资格条件，按照采购文件约定提供资格承诺，不再提供资质资料，主要包括供应商在投标文件中无需再提供营业执照、制造商钢质船舶建造能力评估报告或相关等效资格证明、财务状况报告、依法缴纳税收和社会保障资金、具有履行合同所必须的设备和专业技术能力、参加政府采购活动前三年内在经营活动中没有重大违法记录相关证明材料。</w:t>
      </w:r>
    </w:p>
    <w:p>
      <w:pPr>
        <w:widowControl/>
        <w:spacing w:line="360" w:lineRule="auto"/>
        <w:ind w:firstLine="482" w:firstLineChars="200"/>
        <w:jc w:val="left"/>
        <w:rPr>
          <w:rFonts w:ascii="宋体" w:hAnsi="宋体" w:cs="宋体"/>
          <w:b/>
          <w:bCs/>
          <w:sz w:val="24"/>
          <w:highlight w:val="none"/>
        </w:rPr>
      </w:pPr>
      <w:r>
        <w:rPr>
          <w:rFonts w:hint="eastAsia" w:ascii="宋体" w:hAnsi="宋体" w:cs="宋体"/>
          <w:b/>
          <w:bCs/>
          <w:sz w:val="24"/>
          <w:highlight w:val="none"/>
        </w:rPr>
        <w:t>2、供应商应当遵循诚实信用原则，不得作虚假承诺。供应商承诺不实的， 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w:t>
      </w:r>
    </w:p>
    <w:p>
      <w:pPr>
        <w:spacing w:line="500" w:lineRule="exact"/>
        <w:ind w:firstLine="482" w:firstLineChars="20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3.2 投标报价</w:t>
      </w:r>
      <w:bookmarkEnd w:id="88"/>
      <w:bookmarkEnd w:id="89"/>
      <w:bookmarkEnd w:id="90"/>
      <w:bookmarkEnd w:id="91"/>
    </w:p>
    <w:p>
      <w:pPr>
        <w:spacing w:line="42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3.2.1投标报价包括：供应商的投标报价应包括货物本身的费用、包装费、运输费、装卸费、运输过程保险费、安装费、质量保证费、相关的伴随服务费、调试、培训及技术支持服务确保技术人员到客户处现场培训</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货物本身已支付或将支付的各种税费以及其它交付使用前的所有费用。投标价不是唯一的或不是固定不变的投标文件将被作为非响应性投标而予以拒绝。</w:t>
      </w:r>
    </w:p>
    <w:p>
      <w:pPr>
        <w:spacing w:line="42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3.2.2投标报价在中标后不得修改。</w:t>
      </w:r>
    </w:p>
    <w:p>
      <w:pPr>
        <w:spacing w:line="42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3.2.3供应商只能提出一个不变价格，采购人不接受任何选择价。</w:t>
      </w:r>
    </w:p>
    <w:p>
      <w:pPr>
        <w:spacing w:line="42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3.2.4供应商必须对招标范围内的所有货物投标，不允许只对其中一种或几种货物投标。</w:t>
      </w:r>
    </w:p>
    <w:p>
      <w:pPr>
        <w:spacing w:line="42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3.2.5全部报价均应以人民币为计量币种，并以人民币进行结算。</w:t>
      </w:r>
    </w:p>
    <w:p>
      <w:pPr>
        <w:spacing w:line="42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3.2.6投标报价原则是各供应商依据自身实力、管理水平，结合企业所在地区的人工工资标准，在确保项目质量，确保项目成本的基础上，自主报价、自负盈亏。</w:t>
      </w:r>
    </w:p>
    <w:p>
      <w:pPr>
        <w:widowControl/>
        <w:ind w:firstLine="420" w:firstLineChars="2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3.2.7若投标函中的内容与投标一览表内容不一致时，以投标一览表内容为准。若投标一览表中的大写金额和小写金额不一致的，以大写金额为准；总价金额与单价金额不一致的，以单价金额为准，但单价金额小数点有明显错误的除外；对不同文字文本投标文件的解释发生异议的，以中文文本为准。</w:t>
      </w:r>
    </w:p>
    <w:p>
      <w:pPr>
        <w:spacing w:line="500" w:lineRule="exact"/>
        <w:ind w:firstLine="482" w:firstLineChars="200"/>
        <w:rPr>
          <w:rFonts w:asciiTheme="minorEastAsia" w:hAnsiTheme="minorEastAsia" w:eastAsiaTheme="minorEastAsia" w:cstheme="minorEastAsia"/>
          <w:b/>
          <w:bCs/>
          <w:sz w:val="24"/>
          <w:highlight w:val="none"/>
        </w:rPr>
      </w:pPr>
      <w:bookmarkStart w:id="92" w:name="_Toc274249593"/>
      <w:bookmarkStart w:id="93" w:name="_Toc403122510"/>
      <w:bookmarkStart w:id="94" w:name="_Toc426369498"/>
      <w:bookmarkStart w:id="95" w:name="_Toc279599789"/>
      <w:r>
        <w:rPr>
          <w:rFonts w:hint="eastAsia" w:asciiTheme="minorEastAsia" w:hAnsiTheme="minorEastAsia" w:eastAsiaTheme="minorEastAsia" w:cstheme="minorEastAsia"/>
          <w:b/>
          <w:bCs/>
          <w:sz w:val="24"/>
          <w:highlight w:val="none"/>
        </w:rPr>
        <w:t>3.3 投标有效期</w:t>
      </w:r>
      <w:bookmarkEnd w:id="92"/>
      <w:bookmarkEnd w:id="93"/>
      <w:bookmarkEnd w:id="94"/>
      <w:bookmarkEnd w:id="95"/>
    </w:p>
    <w:p>
      <w:pPr>
        <w:spacing w:line="42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3.3.1在供应商须知前附表规定的投标有效期内，供应商不得要求撤销或修改其投标文件。 </w:t>
      </w:r>
    </w:p>
    <w:p>
      <w:pPr>
        <w:spacing w:line="500" w:lineRule="exact"/>
        <w:ind w:firstLine="482" w:firstLineChars="200"/>
        <w:rPr>
          <w:rFonts w:asciiTheme="minorEastAsia" w:hAnsiTheme="minorEastAsia" w:eastAsiaTheme="minorEastAsia" w:cstheme="minorEastAsia"/>
          <w:b/>
          <w:bCs/>
          <w:sz w:val="24"/>
          <w:highlight w:val="none"/>
        </w:rPr>
      </w:pPr>
      <w:bookmarkStart w:id="96" w:name="_Toc279599791"/>
      <w:bookmarkStart w:id="97" w:name="_Toc274249595"/>
      <w:bookmarkStart w:id="98" w:name="_Toc426369501"/>
      <w:bookmarkStart w:id="99" w:name="_Toc403122512"/>
      <w:r>
        <w:rPr>
          <w:rFonts w:hint="eastAsia" w:asciiTheme="minorEastAsia" w:hAnsiTheme="minorEastAsia" w:eastAsiaTheme="minorEastAsia" w:cstheme="minorEastAsia"/>
          <w:b/>
          <w:bCs/>
          <w:sz w:val="24"/>
          <w:highlight w:val="none"/>
        </w:rPr>
        <w:t>3.5 资格审查资料</w:t>
      </w:r>
      <w:bookmarkEnd w:id="96"/>
      <w:bookmarkEnd w:id="97"/>
      <w:bookmarkEnd w:id="98"/>
      <w:bookmarkEnd w:id="99"/>
    </w:p>
    <w:p>
      <w:pPr>
        <w:spacing w:line="42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3.5.1</w:t>
      </w:r>
      <w:r>
        <w:rPr>
          <w:rFonts w:hint="eastAsia" w:ascii="宋体" w:hAnsi="宋体" w:cs="宋体"/>
          <w:kern w:val="0"/>
          <w:szCs w:val="21"/>
          <w:highlight w:val="none"/>
        </w:rPr>
        <w:t>依据“供应商须知前附表”中的要求提交相应的资格证明文件，作为投标文件的一部分，以证明其有资格进行投标和有能力履行合同</w:t>
      </w:r>
      <w:r>
        <w:rPr>
          <w:rFonts w:hint="eastAsia" w:asciiTheme="minorEastAsia" w:hAnsiTheme="minorEastAsia" w:eastAsiaTheme="minorEastAsia" w:cstheme="minorEastAsia"/>
          <w:szCs w:val="21"/>
          <w:highlight w:val="none"/>
        </w:rPr>
        <w:t xml:space="preserve">。 </w:t>
      </w:r>
    </w:p>
    <w:p>
      <w:pPr>
        <w:spacing w:line="420" w:lineRule="exact"/>
        <w:ind w:firstLine="420" w:firstLineChars="200"/>
        <w:rPr>
          <w:rFonts w:asciiTheme="minorEastAsia" w:hAnsiTheme="minorEastAsia" w:eastAsiaTheme="minorEastAsia" w:cstheme="minorEastAsia"/>
          <w:szCs w:val="21"/>
          <w:highlight w:val="none"/>
        </w:rPr>
      </w:pPr>
      <w:r>
        <w:rPr>
          <w:rFonts w:hint="eastAsia" w:ascii="宋体" w:hAnsi="宋体" w:cs="宋体"/>
          <w:szCs w:val="21"/>
          <w:highlight w:val="none"/>
        </w:rPr>
        <w:t>3.5.2招标文件规定的供应商资格条件。</w:t>
      </w:r>
    </w:p>
    <w:p>
      <w:pPr>
        <w:spacing w:line="500" w:lineRule="exact"/>
        <w:ind w:firstLine="482" w:firstLineChars="200"/>
        <w:rPr>
          <w:rFonts w:asciiTheme="minorEastAsia" w:hAnsiTheme="minorEastAsia" w:eastAsiaTheme="minorEastAsia" w:cstheme="minorEastAsia"/>
          <w:b/>
          <w:bCs/>
          <w:sz w:val="24"/>
          <w:highlight w:val="none"/>
        </w:rPr>
      </w:pPr>
      <w:bookmarkStart w:id="100" w:name="_Toc279599792"/>
      <w:bookmarkStart w:id="101" w:name="_Toc403122513"/>
      <w:bookmarkStart w:id="102" w:name="_Toc274249596"/>
      <w:bookmarkStart w:id="103" w:name="_Toc426369502"/>
      <w:r>
        <w:rPr>
          <w:rFonts w:hint="eastAsia" w:asciiTheme="minorEastAsia" w:hAnsiTheme="minorEastAsia" w:eastAsiaTheme="minorEastAsia" w:cstheme="minorEastAsia"/>
          <w:b/>
          <w:bCs/>
          <w:sz w:val="24"/>
          <w:highlight w:val="none"/>
        </w:rPr>
        <w:t>3.6 备选投标方案</w:t>
      </w:r>
      <w:bookmarkEnd w:id="100"/>
      <w:bookmarkEnd w:id="101"/>
      <w:bookmarkEnd w:id="102"/>
      <w:bookmarkEnd w:id="103"/>
    </w:p>
    <w:p>
      <w:pPr>
        <w:tabs>
          <w:tab w:val="left" w:pos="3570"/>
        </w:tabs>
        <w:spacing w:line="42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供应商不得递交备选投标方案。 </w:t>
      </w:r>
    </w:p>
    <w:p>
      <w:pPr>
        <w:spacing w:line="500" w:lineRule="exact"/>
        <w:ind w:firstLine="482" w:firstLineChars="200"/>
        <w:rPr>
          <w:rFonts w:asciiTheme="minorEastAsia" w:hAnsiTheme="minorEastAsia" w:eastAsiaTheme="minorEastAsia" w:cstheme="minorEastAsia"/>
          <w:b/>
          <w:bCs/>
          <w:sz w:val="24"/>
          <w:highlight w:val="none"/>
        </w:rPr>
      </w:pPr>
      <w:bookmarkStart w:id="104" w:name="_Toc403122514"/>
      <w:bookmarkStart w:id="105" w:name="_Toc426369503"/>
      <w:bookmarkStart w:id="106" w:name="_Toc274249597"/>
      <w:bookmarkStart w:id="107" w:name="_Toc279599793"/>
      <w:r>
        <w:rPr>
          <w:rFonts w:hint="eastAsia" w:asciiTheme="minorEastAsia" w:hAnsiTheme="minorEastAsia" w:eastAsiaTheme="minorEastAsia" w:cstheme="minorEastAsia"/>
          <w:b/>
          <w:bCs/>
          <w:sz w:val="24"/>
          <w:highlight w:val="none"/>
        </w:rPr>
        <w:t>3.7 投标文件的编制</w:t>
      </w:r>
      <w:bookmarkEnd w:id="104"/>
      <w:bookmarkEnd w:id="105"/>
      <w:bookmarkEnd w:id="106"/>
      <w:bookmarkEnd w:id="107"/>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3.7.1 投标文件应按招标文件中要求</w:t>
      </w:r>
      <w:r>
        <w:rPr>
          <w:rFonts w:hint="eastAsia" w:ascii="宋体" w:hAnsi="宋体" w:cs="宋体"/>
          <w:kern w:val="0"/>
          <w:szCs w:val="21"/>
          <w:highlight w:val="none"/>
        </w:rPr>
        <w:t>使用焦作市公共资源交易系统投标文件制作专用工具软件编制</w:t>
      </w:r>
      <w:r>
        <w:rPr>
          <w:rFonts w:hint="eastAsia" w:asciiTheme="minorEastAsia" w:hAnsiTheme="minorEastAsia" w:eastAsiaTheme="minorEastAsia" w:cstheme="minorEastAsia"/>
          <w:szCs w:val="21"/>
          <w:highlight w:val="none"/>
        </w:rPr>
        <w:t xml:space="preserve">。 </w:t>
      </w:r>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3.7.2  投标文件应当对招标文件有关供货及安装期、投标有效期、质量标准、采购要求及服务内容、等实质性内容作出响应。</w:t>
      </w:r>
    </w:p>
    <w:p>
      <w:pPr>
        <w:autoSpaceDE w:val="0"/>
        <w:autoSpaceDN w:val="0"/>
        <w:adjustRightInd w:val="0"/>
        <w:spacing w:line="440" w:lineRule="exact"/>
        <w:ind w:firstLine="420" w:firstLineChars="2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3.7.3 </w:t>
      </w:r>
      <w:r>
        <w:rPr>
          <w:rFonts w:hint="eastAsia" w:ascii="宋体" w:hAnsi="宋体" w:cs="宋体"/>
          <w:kern w:val="0"/>
          <w:szCs w:val="21"/>
          <w:highlight w:val="none"/>
        </w:rPr>
        <w:t>本项目采用电子开评标方式，潜在供应商可提前在焦作市交易中心官网首页---下载中心--下载《焦作市电子招投标系统操作手册》、《焦作市公共资源交易平台不见面开标操作手册》和《投标文件制作工作工具》等查看操作说明，按要求进行投标文件制作和上传等。为避免网络拥堵等不可控因素影响投标文件的上传，请提前上传投标文件，按要求解密投标文件。因文件未及时上传导致投标失败的责任由供应商自行承担。</w:t>
      </w:r>
    </w:p>
    <w:p>
      <w:pPr>
        <w:pStyle w:val="17"/>
        <w:spacing w:before="120" w:after="120" w:line="500" w:lineRule="exact"/>
        <w:ind w:right="-1029" w:rightChars="-490" w:firstLine="482" w:firstLineChars="200"/>
        <w:jc w:val="both"/>
        <w:outlineLvl w:val="1"/>
        <w:rPr>
          <w:rFonts w:asciiTheme="minorEastAsia" w:hAnsiTheme="minorEastAsia" w:eastAsiaTheme="minorEastAsia" w:cstheme="minorEastAsia"/>
          <w:sz w:val="24"/>
          <w:szCs w:val="24"/>
          <w:highlight w:val="none"/>
        </w:rPr>
      </w:pPr>
      <w:bookmarkStart w:id="108" w:name="_Toc30100"/>
      <w:bookmarkStart w:id="109" w:name="_Toc26998"/>
      <w:bookmarkStart w:id="110" w:name="_Toc403122515"/>
      <w:bookmarkStart w:id="111" w:name="_Toc426369504"/>
      <w:bookmarkStart w:id="112" w:name="_Toc31809"/>
      <w:bookmarkStart w:id="113" w:name="_Toc21879"/>
      <w:r>
        <w:rPr>
          <w:rFonts w:hint="eastAsia" w:asciiTheme="minorEastAsia" w:hAnsiTheme="minorEastAsia" w:eastAsiaTheme="minorEastAsia" w:cstheme="minorEastAsia"/>
          <w:sz w:val="24"/>
          <w:szCs w:val="24"/>
          <w:highlight w:val="none"/>
        </w:rPr>
        <w:t>4. 投标</w:t>
      </w:r>
      <w:bookmarkEnd w:id="108"/>
      <w:bookmarkEnd w:id="109"/>
      <w:bookmarkEnd w:id="110"/>
      <w:bookmarkEnd w:id="111"/>
      <w:bookmarkEnd w:id="112"/>
      <w:bookmarkEnd w:id="113"/>
    </w:p>
    <w:p>
      <w:pPr>
        <w:spacing w:line="500" w:lineRule="exact"/>
        <w:ind w:firstLine="482" w:firstLineChars="200"/>
        <w:rPr>
          <w:rFonts w:asciiTheme="minorEastAsia" w:hAnsiTheme="minorEastAsia" w:eastAsiaTheme="minorEastAsia" w:cstheme="minorEastAsia"/>
          <w:b/>
          <w:bCs/>
          <w:sz w:val="24"/>
          <w:highlight w:val="none"/>
        </w:rPr>
      </w:pPr>
      <w:bookmarkStart w:id="114" w:name="_Toc426369505"/>
      <w:bookmarkStart w:id="115" w:name="_Toc403122516"/>
      <w:bookmarkStart w:id="116" w:name="_Toc274249599"/>
      <w:bookmarkStart w:id="117" w:name="_Toc279599795"/>
      <w:r>
        <w:rPr>
          <w:rFonts w:hint="eastAsia" w:asciiTheme="minorEastAsia" w:hAnsiTheme="minorEastAsia" w:eastAsiaTheme="minorEastAsia" w:cstheme="minorEastAsia"/>
          <w:b/>
          <w:bCs/>
          <w:sz w:val="24"/>
          <w:highlight w:val="none"/>
        </w:rPr>
        <w:t>4.1 投标文件的密封和标记</w:t>
      </w:r>
      <w:bookmarkEnd w:id="114"/>
      <w:bookmarkEnd w:id="115"/>
      <w:bookmarkEnd w:id="116"/>
      <w:bookmarkEnd w:id="117"/>
    </w:p>
    <w:p>
      <w:pPr>
        <w:autoSpaceDE w:val="0"/>
        <w:autoSpaceDN w:val="0"/>
        <w:adjustRightInd w:val="0"/>
        <w:spacing w:line="440" w:lineRule="exact"/>
        <w:ind w:firstLine="420" w:firstLineChars="200"/>
        <w:jc w:val="left"/>
        <w:rPr>
          <w:rFonts w:asciiTheme="minorEastAsia" w:hAnsiTheme="minorEastAsia" w:eastAsiaTheme="minorEastAsia" w:cstheme="minorEastAsia"/>
          <w:szCs w:val="21"/>
          <w:highlight w:val="none"/>
        </w:rPr>
      </w:pPr>
      <w:r>
        <w:rPr>
          <w:rFonts w:hint="eastAsia" w:ascii="宋体" w:hAnsi="宋体" w:cs="宋体"/>
          <w:kern w:val="0"/>
          <w:szCs w:val="21"/>
          <w:highlight w:val="none"/>
        </w:rPr>
        <w:t>4.1.1.本项目采用</w:t>
      </w:r>
      <w:r>
        <w:rPr>
          <w:rFonts w:hint="eastAsia" w:ascii="宋体" w:hAnsi="宋体" w:cs="宋体"/>
          <w:kern w:val="0"/>
          <w:szCs w:val="21"/>
          <w:highlight w:val="none"/>
          <w:lang w:val="zh-CN"/>
        </w:rPr>
        <w:t>网上上传的电子投标文件</w:t>
      </w:r>
      <w:r>
        <w:rPr>
          <w:rFonts w:hint="eastAsia" w:ascii="宋体" w:hAnsi="宋体" w:cs="宋体"/>
          <w:kern w:val="0"/>
          <w:szCs w:val="21"/>
          <w:highlight w:val="none"/>
        </w:rPr>
        <w:t>,</w:t>
      </w:r>
      <w:r>
        <w:rPr>
          <w:rFonts w:hint="eastAsia" w:ascii="宋体" w:hAnsi="宋体" w:cs="宋体"/>
          <w:kern w:val="0"/>
          <w:szCs w:val="21"/>
          <w:highlight w:val="none"/>
          <w:lang w:val="zh-CN"/>
        </w:rPr>
        <w:t>应使用数字证书认证并加密。</w:t>
      </w:r>
    </w:p>
    <w:p>
      <w:pPr>
        <w:spacing w:line="500" w:lineRule="exact"/>
        <w:ind w:firstLine="482" w:firstLineChars="200"/>
        <w:rPr>
          <w:rFonts w:asciiTheme="minorEastAsia" w:hAnsiTheme="minorEastAsia" w:eastAsiaTheme="minorEastAsia" w:cstheme="minorEastAsia"/>
          <w:b/>
          <w:bCs/>
          <w:sz w:val="24"/>
          <w:highlight w:val="none"/>
        </w:rPr>
      </w:pPr>
      <w:bookmarkStart w:id="118" w:name="_Toc403122517"/>
      <w:bookmarkStart w:id="119" w:name="_Toc274249600"/>
      <w:bookmarkStart w:id="120" w:name="_Toc279599796"/>
      <w:bookmarkStart w:id="121" w:name="_Toc426369506"/>
      <w:r>
        <w:rPr>
          <w:rFonts w:hint="eastAsia" w:asciiTheme="minorEastAsia" w:hAnsiTheme="minorEastAsia" w:eastAsiaTheme="minorEastAsia" w:cstheme="minorEastAsia"/>
          <w:b/>
          <w:bCs/>
          <w:sz w:val="24"/>
          <w:highlight w:val="none"/>
        </w:rPr>
        <w:t>4.2 投标文件的递交</w:t>
      </w:r>
      <w:bookmarkEnd w:id="118"/>
      <w:bookmarkEnd w:id="119"/>
      <w:bookmarkEnd w:id="120"/>
      <w:bookmarkEnd w:id="121"/>
    </w:p>
    <w:p>
      <w:pPr>
        <w:autoSpaceDE w:val="0"/>
        <w:autoSpaceDN w:val="0"/>
        <w:adjustRightInd w:val="0"/>
        <w:spacing w:line="440" w:lineRule="exact"/>
        <w:ind w:firstLine="420" w:firstLineChars="200"/>
        <w:jc w:val="left"/>
        <w:rPr>
          <w:rFonts w:ascii="宋体" w:hAnsi="宋体" w:cs="宋体"/>
          <w:kern w:val="0"/>
          <w:szCs w:val="21"/>
          <w:highlight w:val="none"/>
          <w:lang w:val="zh-CN"/>
        </w:rPr>
      </w:pPr>
      <w:r>
        <w:rPr>
          <w:rFonts w:hint="eastAsia" w:ascii="宋体" w:hAnsi="宋体" w:cs="宋体"/>
          <w:kern w:val="0"/>
          <w:szCs w:val="21"/>
          <w:highlight w:val="none"/>
        </w:rPr>
        <w:t>4.2.1</w:t>
      </w:r>
      <w:r>
        <w:rPr>
          <w:rFonts w:hint="eastAsia" w:ascii="宋体" w:hAnsi="宋体" w:cs="宋体"/>
          <w:kern w:val="0"/>
          <w:szCs w:val="21"/>
          <w:highlight w:val="none"/>
          <w:lang w:val="zh-CN"/>
        </w:rPr>
        <w:t>所有投标文件必须在本招标文件中规定的投标截止时间之前</w:t>
      </w:r>
      <w:r>
        <w:rPr>
          <w:rFonts w:hint="eastAsia" w:ascii="宋体" w:hAnsi="宋体" w:cs="宋体"/>
          <w:kern w:val="0"/>
          <w:szCs w:val="21"/>
          <w:highlight w:val="none"/>
        </w:rPr>
        <w:t>提前上传，按要求</w:t>
      </w:r>
      <w:r>
        <w:rPr>
          <w:rFonts w:hint="eastAsia" w:ascii="宋体" w:hAnsi="宋体"/>
          <w:szCs w:val="21"/>
          <w:highlight w:val="none"/>
        </w:rPr>
        <w:t>在线签到、解密文件等，解密时间为投标截止时后30分钟内，</w:t>
      </w:r>
      <w:r>
        <w:rPr>
          <w:rFonts w:hint="eastAsia" w:ascii="宋体" w:hAnsi="宋体" w:cs="宋体"/>
          <w:kern w:val="0"/>
          <w:szCs w:val="21"/>
          <w:highlight w:val="none"/>
        </w:rPr>
        <w:t>不能按时上传、解密者视为自动放弃投标。</w:t>
      </w:r>
    </w:p>
    <w:p>
      <w:pPr>
        <w:autoSpaceDE w:val="0"/>
        <w:autoSpaceDN w:val="0"/>
        <w:adjustRightInd w:val="0"/>
        <w:spacing w:line="440" w:lineRule="exact"/>
        <w:ind w:firstLine="420" w:firstLineChars="200"/>
        <w:jc w:val="left"/>
        <w:rPr>
          <w:rFonts w:asciiTheme="minorEastAsia" w:hAnsiTheme="minorEastAsia" w:eastAsiaTheme="minorEastAsia" w:cstheme="minorEastAsia"/>
          <w:szCs w:val="21"/>
          <w:highlight w:val="none"/>
        </w:rPr>
      </w:pPr>
      <w:r>
        <w:rPr>
          <w:rFonts w:hint="eastAsia" w:ascii="宋体" w:hAnsi="宋体" w:cs="宋体"/>
          <w:kern w:val="0"/>
          <w:szCs w:val="21"/>
          <w:highlight w:val="none"/>
        </w:rPr>
        <w:t>4.2.</w:t>
      </w:r>
      <w:r>
        <w:rPr>
          <w:rFonts w:hint="eastAsia" w:ascii="宋体" w:hAnsi="宋体" w:cs="宋体"/>
          <w:kern w:val="0"/>
          <w:szCs w:val="21"/>
          <w:highlight w:val="none"/>
          <w:lang w:val="zh-CN"/>
        </w:rPr>
        <w:t>2.采购人拒绝接收在投标文件递交截止时间后上传的投标文件。</w:t>
      </w:r>
      <w:bookmarkStart w:id="122" w:name="_Hlt26954754"/>
      <w:bookmarkEnd w:id="122"/>
      <w:bookmarkStart w:id="123" w:name="_Hlt26954862"/>
      <w:bookmarkEnd w:id="123"/>
    </w:p>
    <w:p>
      <w:pPr>
        <w:spacing w:line="500" w:lineRule="exact"/>
        <w:ind w:firstLine="482" w:firstLineChars="200"/>
        <w:rPr>
          <w:rFonts w:asciiTheme="minorEastAsia" w:hAnsiTheme="minorEastAsia" w:eastAsiaTheme="minorEastAsia" w:cstheme="minorEastAsia"/>
          <w:b/>
          <w:bCs/>
          <w:sz w:val="24"/>
          <w:highlight w:val="none"/>
        </w:rPr>
      </w:pPr>
      <w:bookmarkStart w:id="124" w:name="_Toc274249601"/>
      <w:bookmarkStart w:id="125" w:name="_Toc426369507"/>
      <w:bookmarkStart w:id="126" w:name="_Toc403122518"/>
      <w:bookmarkStart w:id="127" w:name="_Toc279599797"/>
      <w:r>
        <w:rPr>
          <w:rFonts w:hint="eastAsia" w:asciiTheme="minorEastAsia" w:hAnsiTheme="minorEastAsia" w:eastAsiaTheme="minorEastAsia" w:cstheme="minorEastAsia"/>
          <w:b/>
          <w:bCs/>
          <w:sz w:val="24"/>
          <w:highlight w:val="none"/>
        </w:rPr>
        <w:t>4.3 投标文件的修改与撤回</w:t>
      </w:r>
      <w:bookmarkEnd w:id="124"/>
      <w:bookmarkEnd w:id="125"/>
      <w:bookmarkEnd w:id="126"/>
      <w:bookmarkEnd w:id="127"/>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4.3.1  在本章第 2.2.2 项规定的投标截止时间前，供应商可以修改或撤回已递交的投标文件。 </w:t>
      </w:r>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4.3.2  供应商修改或撤回已递交投标文件的书面通知应按照本章第 3.7.3 项的要求签字盖章。 </w:t>
      </w:r>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4.3.3  修改的内容为投标文件的组成部分。修改的投标文件应按照本章第 3 条、第 4 条规定进行编制、密封、标记和递交，并标明“修改”字样。 </w:t>
      </w:r>
    </w:p>
    <w:p>
      <w:pPr>
        <w:pStyle w:val="17"/>
        <w:spacing w:before="120" w:after="120" w:line="500" w:lineRule="exact"/>
        <w:ind w:right="-1029" w:rightChars="-490" w:firstLine="482" w:firstLineChars="200"/>
        <w:jc w:val="left"/>
        <w:outlineLvl w:val="1"/>
        <w:rPr>
          <w:rFonts w:asciiTheme="minorEastAsia" w:hAnsiTheme="minorEastAsia" w:eastAsiaTheme="minorEastAsia" w:cstheme="minorEastAsia"/>
          <w:sz w:val="24"/>
          <w:szCs w:val="24"/>
          <w:highlight w:val="none"/>
        </w:rPr>
      </w:pPr>
      <w:bookmarkStart w:id="128" w:name="_Toc18170"/>
      <w:bookmarkStart w:id="129" w:name="_Toc426369508"/>
      <w:bookmarkStart w:id="130" w:name="_Toc5457"/>
      <w:bookmarkStart w:id="131" w:name="_Toc22737"/>
      <w:bookmarkStart w:id="132" w:name="_Toc32449"/>
      <w:bookmarkStart w:id="133" w:name="_Toc403122519"/>
      <w:r>
        <w:rPr>
          <w:rFonts w:hint="eastAsia" w:asciiTheme="minorEastAsia" w:hAnsiTheme="minorEastAsia" w:eastAsiaTheme="minorEastAsia" w:cstheme="minorEastAsia"/>
          <w:sz w:val="24"/>
          <w:szCs w:val="24"/>
          <w:highlight w:val="none"/>
        </w:rPr>
        <w:t>5. 开标</w:t>
      </w:r>
      <w:bookmarkEnd w:id="128"/>
      <w:bookmarkEnd w:id="129"/>
      <w:bookmarkEnd w:id="130"/>
      <w:bookmarkEnd w:id="131"/>
      <w:bookmarkEnd w:id="132"/>
      <w:bookmarkEnd w:id="133"/>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5.1 .1采购人在规定的投标截止时间（开标时间）和供应商须知前附表规定的地点公开开标。本项目采用“远程不见面”的开标方式,载明远程开标大厅网址（http://122.112.246.33/BidOpening/bidopeninghallaction/hall/login ）。供应商无需到现场参加开标会议，无需到达现场提交原件资料。供应商应当在线准时参加开标活动并进行文件解密、答疑澄清等。在规定时间内投标文件未解密的供应商，视为放弃投标。</w:t>
      </w:r>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所有投标文件必须在本招标文件中规定的投标截止时间之前提前上传投标文件，按要求解密投标文件，不能按时上传、解密者视为自动放弃投标。</w:t>
      </w:r>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5.1.2供应商不足3家的，不得开标。  </w:t>
      </w:r>
    </w:p>
    <w:p>
      <w:pPr>
        <w:spacing w:line="500" w:lineRule="exact"/>
        <w:ind w:firstLine="482" w:firstLineChars="200"/>
        <w:rPr>
          <w:rFonts w:asciiTheme="minorEastAsia" w:hAnsiTheme="minorEastAsia" w:eastAsiaTheme="minorEastAsia" w:cstheme="minorEastAsia"/>
          <w:b/>
          <w:bCs/>
          <w:sz w:val="24"/>
          <w:highlight w:val="none"/>
        </w:rPr>
      </w:pPr>
      <w:bookmarkStart w:id="134" w:name="_Toc403122520"/>
      <w:bookmarkStart w:id="135" w:name="_Toc274249603"/>
      <w:bookmarkStart w:id="136" w:name="_Toc426369509"/>
      <w:bookmarkStart w:id="137" w:name="_Toc279599799"/>
      <w:r>
        <w:rPr>
          <w:rFonts w:hint="eastAsia" w:asciiTheme="minorEastAsia" w:hAnsiTheme="minorEastAsia" w:eastAsiaTheme="minorEastAsia" w:cstheme="minorEastAsia"/>
          <w:b/>
          <w:bCs/>
          <w:sz w:val="24"/>
          <w:highlight w:val="none"/>
        </w:rPr>
        <w:t>5.2 开标时间和地点</w:t>
      </w:r>
      <w:bookmarkEnd w:id="134"/>
      <w:bookmarkEnd w:id="135"/>
      <w:bookmarkEnd w:id="136"/>
      <w:bookmarkEnd w:id="137"/>
    </w:p>
    <w:p>
      <w:pPr>
        <w:spacing w:line="44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采购人在本章第 2.2.2 项规定的投标截止时间（开标时间）和供应商须知前附表规定的地点公开开标。</w:t>
      </w:r>
    </w:p>
    <w:p>
      <w:pPr>
        <w:spacing w:line="500" w:lineRule="exact"/>
        <w:ind w:firstLine="482" w:firstLineChars="200"/>
        <w:rPr>
          <w:rFonts w:asciiTheme="minorEastAsia" w:hAnsiTheme="minorEastAsia" w:eastAsiaTheme="minorEastAsia" w:cstheme="minorEastAsia"/>
          <w:b/>
          <w:bCs/>
          <w:sz w:val="24"/>
          <w:highlight w:val="none"/>
        </w:rPr>
      </w:pPr>
      <w:bookmarkStart w:id="138" w:name="_Toc274249604"/>
      <w:bookmarkStart w:id="139" w:name="_Toc426369510"/>
      <w:bookmarkStart w:id="140" w:name="_Toc403122521"/>
      <w:bookmarkStart w:id="141" w:name="_Toc279599800"/>
      <w:r>
        <w:rPr>
          <w:rFonts w:hint="eastAsia" w:asciiTheme="minorEastAsia" w:hAnsiTheme="minorEastAsia" w:eastAsiaTheme="minorEastAsia" w:cstheme="minorEastAsia"/>
          <w:b/>
          <w:bCs/>
          <w:sz w:val="24"/>
          <w:highlight w:val="none"/>
        </w:rPr>
        <w:t>5.3开标程序</w:t>
      </w:r>
      <w:bookmarkEnd w:id="138"/>
      <w:bookmarkEnd w:id="139"/>
      <w:bookmarkEnd w:id="140"/>
      <w:bookmarkEnd w:id="141"/>
    </w:p>
    <w:p>
      <w:pPr>
        <w:spacing w:line="400" w:lineRule="exact"/>
        <w:ind w:firstLine="420" w:firstLineChars="200"/>
        <w:rPr>
          <w:rFonts w:asciiTheme="minorEastAsia" w:hAnsiTheme="minorEastAsia" w:eastAsiaTheme="minorEastAsia" w:cstheme="minorEastAsia"/>
          <w:szCs w:val="21"/>
          <w:highlight w:val="none"/>
          <w:lang w:val="zh-CN"/>
        </w:rPr>
      </w:pPr>
      <w:bookmarkStart w:id="142" w:name="_Toc426369511"/>
      <w:r>
        <w:rPr>
          <w:rFonts w:hint="eastAsia" w:asciiTheme="minorEastAsia" w:hAnsiTheme="minorEastAsia" w:eastAsiaTheme="minorEastAsia" w:cstheme="minorEastAsia"/>
          <w:szCs w:val="21"/>
          <w:highlight w:val="none"/>
        </w:rPr>
        <w:t>5.3</w:t>
      </w:r>
      <w:r>
        <w:rPr>
          <w:rFonts w:hint="eastAsia" w:asciiTheme="minorEastAsia" w:hAnsiTheme="minorEastAsia" w:eastAsiaTheme="minorEastAsia" w:cstheme="minorEastAsia"/>
          <w:szCs w:val="21"/>
          <w:highlight w:val="none"/>
          <w:lang w:val="zh-CN"/>
        </w:rPr>
        <w:t>.1本</w:t>
      </w:r>
      <w:r>
        <w:rPr>
          <w:rFonts w:hint="eastAsia" w:asciiTheme="minorEastAsia" w:hAnsiTheme="minorEastAsia" w:eastAsiaTheme="minorEastAsia" w:cstheme="minorEastAsia"/>
          <w:szCs w:val="21"/>
          <w:highlight w:val="none"/>
        </w:rPr>
        <w:t>项目</w:t>
      </w:r>
      <w:r>
        <w:rPr>
          <w:rFonts w:hint="eastAsia" w:asciiTheme="minorEastAsia" w:hAnsiTheme="minorEastAsia" w:eastAsiaTheme="minorEastAsia" w:cstheme="minorEastAsia"/>
          <w:szCs w:val="21"/>
          <w:highlight w:val="none"/>
          <w:lang w:val="zh-CN"/>
        </w:rPr>
        <w:t>采用电子开标。投标截止时间到达后，各供应商对电子投标文件进行解密。解密完成后各供应商的电子投标文件的实质性内容将自动显示在网页中。供应商在投标截止时间前未上传电子投标文件的将被视为放弃投标。</w:t>
      </w:r>
    </w:p>
    <w:p>
      <w:pPr>
        <w:spacing w:line="400" w:lineRule="exact"/>
        <w:ind w:firstLine="420" w:firstLineChars="200"/>
        <w:rPr>
          <w:rFonts w:asciiTheme="minorEastAsia" w:hAnsiTheme="minorEastAsia" w:eastAsiaTheme="minorEastAsia" w:cstheme="minorEastAsia"/>
          <w:szCs w:val="21"/>
          <w:highlight w:val="none"/>
          <w:lang w:val="zh-CN"/>
        </w:rPr>
      </w:pPr>
      <w:r>
        <w:rPr>
          <w:rFonts w:hint="eastAsia" w:asciiTheme="minorEastAsia" w:hAnsiTheme="minorEastAsia" w:eastAsiaTheme="minorEastAsia" w:cstheme="minorEastAsia"/>
          <w:szCs w:val="21"/>
          <w:highlight w:val="none"/>
          <w:lang w:val="zh-CN"/>
        </w:rPr>
        <w:t>主持人按下列程序进行开标：</w:t>
      </w:r>
    </w:p>
    <w:p>
      <w:pPr>
        <w:spacing w:line="400" w:lineRule="exact"/>
        <w:ind w:firstLine="420" w:firstLineChars="200"/>
        <w:rPr>
          <w:rFonts w:asciiTheme="minorEastAsia" w:hAnsiTheme="minorEastAsia" w:eastAsiaTheme="minorEastAsia" w:cstheme="minorEastAsia"/>
          <w:szCs w:val="21"/>
          <w:highlight w:val="none"/>
          <w:lang w:val="zh-CN"/>
        </w:rPr>
      </w:pPr>
      <w:r>
        <w:rPr>
          <w:rFonts w:hint="eastAsia" w:asciiTheme="minorEastAsia" w:hAnsiTheme="minorEastAsia" w:eastAsiaTheme="minorEastAsia" w:cstheme="minorEastAsia"/>
          <w:szCs w:val="21"/>
          <w:highlight w:val="none"/>
          <w:lang w:val="zh-CN"/>
        </w:rPr>
        <w:t>(l）宣布投标截止时间已到，不再接收投标文件；</w:t>
      </w:r>
    </w:p>
    <w:p>
      <w:pPr>
        <w:spacing w:line="400" w:lineRule="exact"/>
        <w:ind w:firstLine="420" w:firstLineChars="200"/>
        <w:rPr>
          <w:rFonts w:asciiTheme="minorEastAsia" w:hAnsiTheme="minorEastAsia" w:eastAsiaTheme="minorEastAsia" w:cstheme="minorEastAsia"/>
          <w:szCs w:val="21"/>
          <w:highlight w:val="none"/>
          <w:lang w:val="zh-CN"/>
        </w:rPr>
      </w:pPr>
      <w:r>
        <w:rPr>
          <w:rFonts w:hint="eastAsia" w:asciiTheme="minorEastAsia" w:hAnsiTheme="minorEastAsia" w:eastAsiaTheme="minorEastAsia" w:cstheme="minorEastAsia"/>
          <w:szCs w:val="21"/>
          <w:highlight w:val="none"/>
          <w:lang w:val="zh-CN"/>
        </w:rPr>
        <w:t>(</w:t>
      </w:r>
      <w:r>
        <w:rPr>
          <w:rFonts w:hint="eastAsia" w:asciiTheme="minorEastAsia" w:hAnsiTheme="minorEastAsia" w:eastAsiaTheme="minorEastAsia" w:cstheme="minorEastAsia"/>
          <w:szCs w:val="21"/>
          <w:highlight w:val="none"/>
        </w:rPr>
        <w:t>2</w:t>
      </w:r>
      <w:r>
        <w:rPr>
          <w:rFonts w:hint="eastAsia" w:asciiTheme="minorEastAsia" w:hAnsiTheme="minorEastAsia" w:eastAsiaTheme="minorEastAsia" w:cstheme="minorEastAsia"/>
          <w:szCs w:val="21"/>
          <w:highlight w:val="none"/>
          <w:lang w:val="zh-CN"/>
        </w:rPr>
        <w:t>）宣布开标人、唱标人、记录人、监标人等有关人员姓名；</w:t>
      </w:r>
    </w:p>
    <w:p>
      <w:pPr>
        <w:spacing w:line="400" w:lineRule="exact"/>
        <w:ind w:firstLine="420" w:firstLineChars="200"/>
        <w:rPr>
          <w:rFonts w:asciiTheme="minorEastAsia" w:hAnsiTheme="minorEastAsia" w:eastAsiaTheme="minorEastAsia" w:cstheme="minorEastAsia"/>
          <w:szCs w:val="21"/>
          <w:highlight w:val="none"/>
          <w:lang w:val="zh-CN"/>
        </w:rPr>
      </w:pPr>
      <w:r>
        <w:rPr>
          <w:rFonts w:hint="eastAsia" w:asciiTheme="minorEastAsia" w:hAnsiTheme="minorEastAsia" w:eastAsiaTheme="minorEastAsia" w:cstheme="minorEastAsia"/>
          <w:szCs w:val="21"/>
          <w:highlight w:val="none"/>
          <w:lang w:val="zh-CN"/>
        </w:rPr>
        <w:t>(</w:t>
      </w:r>
      <w:r>
        <w:rPr>
          <w:rFonts w:hint="eastAsia" w:asciiTheme="minorEastAsia" w:hAnsiTheme="minorEastAsia" w:eastAsiaTheme="minorEastAsia" w:cstheme="minorEastAsia"/>
          <w:szCs w:val="21"/>
          <w:highlight w:val="none"/>
        </w:rPr>
        <w:t>3</w:t>
      </w:r>
      <w:r>
        <w:rPr>
          <w:rFonts w:hint="eastAsia" w:asciiTheme="minorEastAsia" w:hAnsiTheme="minorEastAsia" w:eastAsiaTheme="minorEastAsia" w:cstheme="minorEastAsia"/>
          <w:szCs w:val="21"/>
          <w:highlight w:val="none"/>
          <w:lang w:val="zh-CN"/>
        </w:rPr>
        <w:t>）电子投标文件解密；</w:t>
      </w:r>
    </w:p>
    <w:p>
      <w:pPr>
        <w:spacing w:line="400" w:lineRule="exact"/>
        <w:ind w:firstLine="420" w:firstLineChars="200"/>
        <w:rPr>
          <w:rFonts w:asciiTheme="minorEastAsia" w:hAnsiTheme="minorEastAsia" w:eastAsiaTheme="minorEastAsia" w:cstheme="minorEastAsia"/>
          <w:szCs w:val="21"/>
          <w:highlight w:val="none"/>
          <w:lang w:val="zh-CN"/>
        </w:rPr>
      </w:pPr>
      <w:r>
        <w:rPr>
          <w:rFonts w:hint="eastAsia" w:asciiTheme="minorEastAsia" w:hAnsiTheme="minorEastAsia" w:eastAsiaTheme="minorEastAsia" w:cstheme="minorEastAsia"/>
          <w:szCs w:val="21"/>
          <w:highlight w:val="none"/>
          <w:lang w:val="zh-CN"/>
        </w:rPr>
        <w:t>（</w:t>
      </w:r>
      <w:r>
        <w:rPr>
          <w:rFonts w:hint="eastAsia" w:asciiTheme="minorEastAsia" w:hAnsiTheme="minorEastAsia" w:eastAsiaTheme="minorEastAsia" w:cstheme="minorEastAsia"/>
          <w:szCs w:val="21"/>
          <w:highlight w:val="none"/>
        </w:rPr>
        <w:t>4</w:t>
      </w:r>
      <w:r>
        <w:rPr>
          <w:rFonts w:hint="eastAsia" w:asciiTheme="minorEastAsia" w:hAnsiTheme="minorEastAsia" w:eastAsiaTheme="minorEastAsia" w:cstheme="minorEastAsia"/>
          <w:szCs w:val="21"/>
          <w:highlight w:val="none"/>
          <w:lang w:val="zh-CN"/>
        </w:rPr>
        <w:t>）宣布投标文件开标顺序，电子唱标并记录在案；</w:t>
      </w:r>
    </w:p>
    <w:p>
      <w:pPr>
        <w:spacing w:line="400" w:lineRule="exact"/>
        <w:ind w:firstLine="420" w:firstLineChars="200"/>
        <w:rPr>
          <w:rFonts w:asciiTheme="minorEastAsia" w:hAnsiTheme="minorEastAsia" w:eastAsiaTheme="minorEastAsia" w:cstheme="minorEastAsia"/>
          <w:szCs w:val="21"/>
          <w:highlight w:val="none"/>
          <w:lang w:val="zh-CN"/>
        </w:rPr>
      </w:pPr>
      <w:r>
        <w:rPr>
          <w:rFonts w:hint="eastAsia" w:asciiTheme="minorEastAsia" w:hAnsiTheme="minorEastAsia" w:eastAsiaTheme="minorEastAsia" w:cstheme="minorEastAsia"/>
          <w:szCs w:val="21"/>
          <w:highlight w:val="none"/>
          <w:lang w:val="zh-CN"/>
        </w:rPr>
        <w:t>（</w:t>
      </w:r>
      <w:r>
        <w:rPr>
          <w:rFonts w:hint="eastAsia" w:asciiTheme="minorEastAsia" w:hAnsiTheme="minorEastAsia" w:eastAsiaTheme="minorEastAsia" w:cstheme="minorEastAsia"/>
          <w:szCs w:val="21"/>
          <w:highlight w:val="none"/>
        </w:rPr>
        <w:t>5</w:t>
      </w:r>
      <w:r>
        <w:rPr>
          <w:rFonts w:hint="eastAsia" w:asciiTheme="minorEastAsia" w:hAnsiTheme="minorEastAsia" w:eastAsiaTheme="minorEastAsia" w:cstheme="minorEastAsia"/>
          <w:szCs w:val="21"/>
          <w:highlight w:val="none"/>
          <w:lang w:val="zh-CN"/>
        </w:rPr>
        <w:t>）供应商代表、采购人、监标人等有关人员在开标记录上签字确认；</w:t>
      </w:r>
    </w:p>
    <w:p>
      <w:pPr>
        <w:spacing w:line="400" w:lineRule="exact"/>
        <w:ind w:firstLine="420" w:firstLineChars="200"/>
        <w:rPr>
          <w:rFonts w:asciiTheme="minorEastAsia" w:hAnsiTheme="minorEastAsia" w:eastAsiaTheme="minorEastAsia" w:cstheme="minorEastAsia"/>
          <w:szCs w:val="21"/>
          <w:highlight w:val="none"/>
          <w:lang w:val="zh-CN"/>
        </w:rPr>
      </w:pPr>
      <w:r>
        <w:rPr>
          <w:rFonts w:hint="eastAsia" w:asciiTheme="minorEastAsia" w:hAnsiTheme="minorEastAsia" w:eastAsiaTheme="minorEastAsia" w:cstheme="minorEastAsia"/>
          <w:szCs w:val="21"/>
          <w:highlight w:val="none"/>
          <w:lang w:val="zh-CN"/>
        </w:rPr>
        <w:t>(</w:t>
      </w:r>
      <w:r>
        <w:rPr>
          <w:rFonts w:hint="eastAsia" w:asciiTheme="minorEastAsia" w:hAnsiTheme="minorEastAsia" w:eastAsiaTheme="minorEastAsia" w:cstheme="minorEastAsia"/>
          <w:szCs w:val="21"/>
          <w:highlight w:val="none"/>
        </w:rPr>
        <w:t>6</w:t>
      </w:r>
      <w:r>
        <w:rPr>
          <w:rFonts w:hint="eastAsia" w:asciiTheme="minorEastAsia" w:hAnsiTheme="minorEastAsia" w:eastAsiaTheme="minorEastAsia" w:cstheme="minorEastAsia"/>
          <w:szCs w:val="21"/>
          <w:highlight w:val="none"/>
          <w:lang w:val="zh-CN"/>
        </w:rPr>
        <w:t>）开标结束。</w:t>
      </w:r>
    </w:p>
    <w:p>
      <w:pPr>
        <w:spacing w:line="400" w:lineRule="exact"/>
        <w:ind w:firstLine="630" w:firstLineChars="300"/>
        <w:rPr>
          <w:rFonts w:asciiTheme="minorEastAsia" w:hAnsiTheme="minorEastAsia" w:eastAsiaTheme="minorEastAsia" w:cstheme="minorEastAsia"/>
          <w:szCs w:val="21"/>
          <w:highlight w:val="none"/>
          <w:lang w:val="zh-CN"/>
        </w:rPr>
      </w:pPr>
      <w:r>
        <w:rPr>
          <w:rFonts w:hint="eastAsia" w:asciiTheme="minorEastAsia" w:hAnsiTheme="minorEastAsia" w:eastAsiaTheme="minorEastAsia" w:cstheme="minorEastAsia"/>
          <w:szCs w:val="21"/>
          <w:highlight w:val="none"/>
          <w:lang w:val="zh-CN"/>
        </w:rPr>
        <w:t>5.3.</w:t>
      </w:r>
      <w:r>
        <w:rPr>
          <w:rFonts w:hint="eastAsia" w:asciiTheme="minorEastAsia" w:hAnsiTheme="minorEastAsia" w:eastAsiaTheme="minorEastAsia" w:cstheme="minorEastAsia"/>
          <w:szCs w:val="21"/>
          <w:highlight w:val="none"/>
        </w:rPr>
        <w:t>2</w:t>
      </w:r>
      <w:r>
        <w:rPr>
          <w:rFonts w:hint="eastAsia" w:asciiTheme="minorEastAsia" w:hAnsiTheme="minorEastAsia" w:eastAsiaTheme="minorEastAsia" w:cstheme="minorEastAsia"/>
          <w:szCs w:val="21"/>
          <w:highlight w:val="none"/>
          <w:lang w:val="zh-CN"/>
        </w:rPr>
        <w:t>开标时出现下列情况的，采购人将拒绝其投标文件。</w:t>
      </w:r>
    </w:p>
    <w:p>
      <w:pPr>
        <w:spacing w:line="400" w:lineRule="exact"/>
        <w:ind w:firstLine="420" w:firstLineChars="200"/>
        <w:rPr>
          <w:rFonts w:asciiTheme="minorEastAsia" w:hAnsiTheme="minorEastAsia" w:eastAsiaTheme="minorEastAsia" w:cstheme="minorEastAsia"/>
          <w:szCs w:val="21"/>
          <w:highlight w:val="none"/>
          <w:lang w:val="zh-CN"/>
        </w:rPr>
      </w:pPr>
      <w:r>
        <w:rPr>
          <w:rFonts w:hint="eastAsia" w:asciiTheme="minorEastAsia" w:hAnsiTheme="minorEastAsia" w:eastAsiaTheme="minorEastAsia" w:cstheme="minorEastAsia"/>
          <w:szCs w:val="21"/>
          <w:highlight w:val="none"/>
          <w:lang w:val="zh-CN"/>
        </w:rPr>
        <w:t>（1）经检查数字证书无效的投标文件；</w:t>
      </w:r>
    </w:p>
    <w:p>
      <w:pPr>
        <w:spacing w:line="400" w:lineRule="exact"/>
        <w:ind w:firstLine="420" w:firstLineChars="200"/>
        <w:rPr>
          <w:rFonts w:asciiTheme="minorEastAsia" w:hAnsiTheme="minorEastAsia" w:eastAsiaTheme="minorEastAsia" w:cstheme="minorEastAsia"/>
          <w:szCs w:val="21"/>
          <w:highlight w:val="none"/>
          <w:lang w:val="zh-CN"/>
        </w:rPr>
      </w:pPr>
      <w:r>
        <w:rPr>
          <w:rFonts w:hint="eastAsia" w:asciiTheme="minorEastAsia" w:hAnsiTheme="minorEastAsia" w:eastAsiaTheme="minorEastAsia" w:cstheme="minorEastAsia"/>
          <w:szCs w:val="21"/>
          <w:highlight w:val="none"/>
          <w:lang w:val="zh-CN"/>
        </w:rPr>
        <w:t>（2）供应商未按供应商须知前附表规定的时间内解密投标文件的；</w:t>
      </w:r>
    </w:p>
    <w:p>
      <w:pPr>
        <w:spacing w:line="400" w:lineRule="exact"/>
        <w:ind w:firstLine="422" w:firstLineChars="2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5.4开标异议</w:t>
      </w:r>
      <w:bookmarkEnd w:id="142"/>
    </w:p>
    <w:p>
      <w:pPr>
        <w:spacing w:line="400" w:lineRule="exact"/>
        <w:ind w:firstLine="420" w:firstLineChars="200"/>
        <w:rPr>
          <w:rFonts w:asciiTheme="minorEastAsia" w:hAnsiTheme="minorEastAsia" w:eastAsiaTheme="minorEastAsia" w:cstheme="minorEastAsia"/>
          <w:szCs w:val="21"/>
          <w:highlight w:val="none"/>
          <w:lang w:val="zh-CN"/>
        </w:rPr>
      </w:pPr>
      <w:bookmarkStart w:id="143" w:name="_Toc12881"/>
      <w:bookmarkStart w:id="144" w:name="_Toc426369512"/>
      <w:bookmarkStart w:id="145" w:name="_Toc21662"/>
      <w:bookmarkStart w:id="146" w:name="_Toc403122522"/>
      <w:r>
        <w:rPr>
          <w:rFonts w:hint="eastAsia" w:asciiTheme="minorEastAsia" w:hAnsiTheme="minorEastAsia" w:eastAsiaTheme="minorEastAsia" w:cstheme="minorEastAsia"/>
          <w:szCs w:val="21"/>
          <w:highlight w:val="none"/>
        </w:rPr>
        <w:t>5.4.1</w:t>
      </w:r>
      <w:r>
        <w:rPr>
          <w:rFonts w:hint="eastAsia" w:asciiTheme="minorEastAsia" w:hAnsiTheme="minorEastAsia" w:eastAsiaTheme="minorEastAsia" w:cstheme="minorEastAsia"/>
          <w:szCs w:val="21"/>
          <w:highlight w:val="none"/>
          <w:lang w:val="zh-CN"/>
        </w:rPr>
        <w:t>供应商对开标有异议的，应当在开标现场提出（</w:t>
      </w:r>
      <w:bookmarkStart w:id="147" w:name="_Toc12998"/>
      <w:r>
        <w:rPr>
          <w:rFonts w:hint="eastAsia" w:asciiTheme="minorEastAsia" w:hAnsiTheme="minorEastAsia" w:eastAsiaTheme="minorEastAsia" w:cstheme="minorEastAsia"/>
          <w:szCs w:val="21"/>
          <w:highlight w:val="none"/>
          <w:lang w:val="zh-CN"/>
        </w:rPr>
        <w:t>语音异议</w:t>
      </w:r>
      <w:bookmarkEnd w:id="147"/>
      <w:r>
        <w:rPr>
          <w:rFonts w:hint="eastAsia" w:asciiTheme="minorEastAsia" w:hAnsiTheme="minorEastAsia" w:eastAsiaTheme="minorEastAsia" w:cstheme="minorEastAsia"/>
          <w:szCs w:val="21"/>
          <w:highlight w:val="none"/>
          <w:lang w:val="zh-CN"/>
        </w:rPr>
        <w:t>、</w:t>
      </w:r>
      <w:bookmarkStart w:id="148" w:name="_Toc20745"/>
      <w:r>
        <w:rPr>
          <w:rFonts w:hint="eastAsia" w:asciiTheme="minorEastAsia" w:hAnsiTheme="minorEastAsia" w:eastAsiaTheme="minorEastAsia" w:cstheme="minorEastAsia"/>
          <w:szCs w:val="21"/>
          <w:highlight w:val="none"/>
          <w:lang w:val="zh-CN"/>
        </w:rPr>
        <w:t>文字异议</w:t>
      </w:r>
      <w:bookmarkEnd w:id="148"/>
      <w:r>
        <w:rPr>
          <w:rFonts w:hint="eastAsia" w:asciiTheme="minorEastAsia" w:hAnsiTheme="minorEastAsia" w:eastAsiaTheme="minorEastAsia" w:cstheme="minorEastAsia"/>
          <w:szCs w:val="21"/>
          <w:highlight w:val="none"/>
          <w:lang w:val="zh-CN"/>
        </w:rPr>
        <w:t>），</w:t>
      </w:r>
      <w:r>
        <w:rPr>
          <w:rFonts w:hint="eastAsia" w:asciiTheme="minorEastAsia" w:hAnsiTheme="minorEastAsia" w:eastAsiaTheme="minorEastAsia" w:cstheme="minorEastAsia"/>
          <w:szCs w:val="21"/>
          <w:highlight w:val="none"/>
        </w:rPr>
        <w:t>采购</w:t>
      </w:r>
      <w:r>
        <w:rPr>
          <w:rFonts w:hint="eastAsia" w:asciiTheme="minorEastAsia" w:hAnsiTheme="minorEastAsia" w:eastAsiaTheme="minorEastAsia" w:cstheme="minorEastAsia"/>
          <w:szCs w:val="21"/>
          <w:highlight w:val="none"/>
          <w:lang w:val="zh-CN"/>
        </w:rPr>
        <w:t>人当场作出答复，并制作记录。</w:t>
      </w:r>
    </w:p>
    <w:p>
      <w:pPr>
        <w:spacing w:line="400" w:lineRule="exact"/>
        <w:ind w:firstLine="420" w:firstLineChars="200"/>
        <w:rPr>
          <w:rFonts w:asciiTheme="minorEastAsia" w:hAnsiTheme="minorEastAsia" w:eastAsiaTheme="minorEastAsia" w:cstheme="minorEastAsia"/>
          <w:szCs w:val="21"/>
          <w:highlight w:val="none"/>
          <w:lang w:val="zh-CN"/>
        </w:rPr>
      </w:pPr>
      <w:r>
        <w:rPr>
          <w:rFonts w:hint="eastAsia" w:asciiTheme="minorEastAsia" w:hAnsiTheme="minorEastAsia" w:eastAsiaTheme="minorEastAsia" w:cstheme="minorEastAsia"/>
          <w:szCs w:val="21"/>
          <w:highlight w:val="none"/>
        </w:rPr>
        <w:t>5.4.2</w:t>
      </w:r>
      <w:r>
        <w:rPr>
          <w:rFonts w:hint="eastAsia" w:asciiTheme="minorEastAsia" w:hAnsiTheme="minorEastAsia" w:eastAsiaTheme="minorEastAsia" w:cstheme="minorEastAsia"/>
          <w:szCs w:val="21"/>
          <w:highlight w:val="none"/>
          <w:lang w:val="zh-CN"/>
        </w:rPr>
        <w:t>开标异常处理</w:t>
      </w:r>
    </w:p>
    <w:p>
      <w:pPr>
        <w:spacing w:line="400" w:lineRule="exact"/>
        <w:ind w:firstLine="420" w:firstLineChars="200"/>
        <w:rPr>
          <w:rFonts w:asciiTheme="minorEastAsia" w:hAnsiTheme="minorEastAsia" w:eastAsiaTheme="minorEastAsia" w:cstheme="minorEastAsia"/>
          <w:szCs w:val="21"/>
          <w:highlight w:val="none"/>
          <w:lang w:val="zh-CN"/>
        </w:rPr>
      </w:pPr>
      <w:r>
        <w:rPr>
          <w:rFonts w:hint="eastAsia" w:asciiTheme="minorEastAsia" w:hAnsiTheme="minorEastAsia" w:eastAsiaTheme="minorEastAsia" w:cstheme="minorEastAsia"/>
          <w:szCs w:val="21"/>
          <w:highlight w:val="none"/>
          <w:lang w:val="zh-CN"/>
        </w:rPr>
        <w:t>当出现以下情况时，应对未开标的项目中止电子开标，对原有资料及信息作出妥善保密处理，并在恢复正常后及时安排时间开标：</w:t>
      </w:r>
    </w:p>
    <w:p>
      <w:pPr>
        <w:spacing w:line="400" w:lineRule="exact"/>
        <w:ind w:firstLine="420" w:firstLineChars="200"/>
        <w:rPr>
          <w:rFonts w:asciiTheme="minorEastAsia" w:hAnsiTheme="minorEastAsia" w:eastAsiaTheme="minorEastAsia" w:cstheme="minorEastAsia"/>
          <w:szCs w:val="21"/>
          <w:highlight w:val="none"/>
          <w:lang w:val="zh-CN"/>
        </w:rPr>
      </w:pPr>
      <w:r>
        <w:rPr>
          <w:rFonts w:hint="eastAsia" w:asciiTheme="minorEastAsia" w:hAnsiTheme="minorEastAsia" w:eastAsiaTheme="minorEastAsia" w:cstheme="minorEastAsia"/>
          <w:szCs w:val="21"/>
          <w:highlight w:val="none"/>
          <w:lang w:val="zh-CN"/>
        </w:rPr>
        <w:t>(l）系统服务器发生故障，无法访问或无法使用系统；</w:t>
      </w:r>
    </w:p>
    <w:p>
      <w:pPr>
        <w:spacing w:line="400" w:lineRule="exact"/>
        <w:ind w:firstLine="420" w:firstLineChars="200"/>
        <w:rPr>
          <w:rFonts w:asciiTheme="minorEastAsia" w:hAnsiTheme="minorEastAsia" w:eastAsiaTheme="minorEastAsia" w:cstheme="minorEastAsia"/>
          <w:szCs w:val="21"/>
          <w:highlight w:val="none"/>
          <w:lang w:val="zh-CN"/>
        </w:rPr>
      </w:pPr>
      <w:r>
        <w:rPr>
          <w:rFonts w:hint="eastAsia" w:asciiTheme="minorEastAsia" w:hAnsiTheme="minorEastAsia" w:eastAsiaTheme="minorEastAsia" w:cstheme="minorEastAsia"/>
          <w:szCs w:val="21"/>
          <w:highlight w:val="none"/>
        </w:rPr>
        <w:t xml:space="preserve">(2） </w:t>
      </w:r>
      <w:r>
        <w:rPr>
          <w:rFonts w:hint="eastAsia" w:asciiTheme="minorEastAsia" w:hAnsiTheme="minorEastAsia" w:eastAsiaTheme="minorEastAsia" w:cstheme="minorEastAsia"/>
          <w:szCs w:val="21"/>
          <w:highlight w:val="none"/>
          <w:lang w:val="zh-CN"/>
        </w:rPr>
        <w:t>系统的软件或数据库出现错误，不能进行正常操作；</w:t>
      </w:r>
    </w:p>
    <w:p>
      <w:pPr>
        <w:spacing w:line="400" w:lineRule="exact"/>
        <w:ind w:firstLine="420" w:firstLineChars="200"/>
        <w:rPr>
          <w:rFonts w:asciiTheme="minorEastAsia" w:hAnsiTheme="minorEastAsia" w:eastAsiaTheme="minorEastAsia" w:cstheme="minorEastAsia"/>
          <w:szCs w:val="21"/>
          <w:highlight w:val="none"/>
          <w:lang w:val="zh-CN"/>
        </w:rPr>
      </w:pPr>
      <w:r>
        <w:rPr>
          <w:rFonts w:hint="eastAsia" w:asciiTheme="minorEastAsia" w:hAnsiTheme="minorEastAsia" w:eastAsiaTheme="minorEastAsia" w:cstheme="minorEastAsia"/>
          <w:szCs w:val="21"/>
          <w:highlight w:val="none"/>
          <w:lang w:val="zh-CN"/>
        </w:rPr>
        <w:t>(</w:t>
      </w:r>
      <w:r>
        <w:rPr>
          <w:rFonts w:hint="eastAsia" w:asciiTheme="minorEastAsia" w:hAnsiTheme="minorEastAsia" w:eastAsiaTheme="minorEastAsia" w:cstheme="minorEastAsia"/>
          <w:szCs w:val="21"/>
          <w:highlight w:val="none"/>
        </w:rPr>
        <w:t>3</w:t>
      </w:r>
      <w:r>
        <w:rPr>
          <w:rFonts w:hint="eastAsia" w:asciiTheme="minorEastAsia" w:hAnsiTheme="minorEastAsia" w:eastAsiaTheme="minorEastAsia" w:cstheme="minorEastAsia"/>
          <w:szCs w:val="21"/>
          <w:highlight w:val="none"/>
          <w:lang w:val="zh-CN"/>
        </w:rPr>
        <w:t>）系统发现有安全漏洞，有潜在的泄密危险；</w:t>
      </w:r>
    </w:p>
    <w:p>
      <w:pPr>
        <w:spacing w:line="400" w:lineRule="exact"/>
        <w:ind w:firstLine="420" w:firstLineChars="200"/>
        <w:rPr>
          <w:rFonts w:asciiTheme="minorEastAsia" w:hAnsiTheme="minorEastAsia" w:eastAsiaTheme="minorEastAsia" w:cstheme="minorEastAsia"/>
          <w:szCs w:val="21"/>
          <w:highlight w:val="none"/>
          <w:lang w:val="zh-CN"/>
        </w:rPr>
      </w:pPr>
      <w:r>
        <w:rPr>
          <w:rFonts w:hint="eastAsia" w:asciiTheme="minorEastAsia" w:hAnsiTheme="minorEastAsia" w:eastAsiaTheme="minorEastAsia" w:cstheme="minorEastAsia"/>
          <w:szCs w:val="21"/>
          <w:highlight w:val="none"/>
          <w:lang w:val="zh-CN"/>
        </w:rPr>
        <w:t>（</w:t>
      </w:r>
      <w:r>
        <w:rPr>
          <w:rFonts w:hint="eastAsia" w:asciiTheme="minorEastAsia" w:hAnsiTheme="minorEastAsia" w:eastAsiaTheme="minorEastAsia" w:cstheme="minorEastAsia"/>
          <w:szCs w:val="21"/>
          <w:highlight w:val="none"/>
        </w:rPr>
        <w:t>4</w:t>
      </w:r>
      <w:r>
        <w:rPr>
          <w:rFonts w:hint="eastAsia" w:asciiTheme="minorEastAsia" w:hAnsiTheme="minorEastAsia" w:eastAsiaTheme="minorEastAsia" w:cstheme="minorEastAsia"/>
          <w:szCs w:val="21"/>
          <w:highlight w:val="none"/>
          <w:lang w:val="zh-CN"/>
        </w:rPr>
        <w:t>）出现断电事故且短时间内无法恢复供电；</w:t>
      </w:r>
    </w:p>
    <w:p>
      <w:pPr>
        <w:spacing w:line="400" w:lineRule="exact"/>
        <w:ind w:firstLine="420" w:firstLineChars="200"/>
        <w:rPr>
          <w:rFonts w:asciiTheme="minorEastAsia" w:hAnsiTheme="minorEastAsia" w:eastAsiaTheme="minorEastAsia" w:cstheme="minorEastAsia"/>
          <w:szCs w:val="21"/>
          <w:highlight w:val="none"/>
          <w:lang w:val="zh-CN"/>
        </w:rPr>
      </w:pPr>
      <w:r>
        <w:rPr>
          <w:rFonts w:hint="eastAsia" w:asciiTheme="minorEastAsia" w:hAnsiTheme="minorEastAsia" w:eastAsiaTheme="minorEastAsia" w:cstheme="minorEastAsia"/>
          <w:szCs w:val="21"/>
          <w:highlight w:val="none"/>
        </w:rPr>
        <w:t xml:space="preserve">（5） </w:t>
      </w:r>
      <w:r>
        <w:rPr>
          <w:rFonts w:hint="eastAsia" w:asciiTheme="minorEastAsia" w:hAnsiTheme="minorEastAsia" w:eastAsiaTheme="minorEastAsia" w:cstheme="minorEastAsia"/>
          <w:szCs w:val="21"/>
          <w:highlight w:val="none"/>
          <w:lang w:val="zh-CN"/>
        </w:rPr>
        <w:t>其他无法保证招投标过程正常进行的情形；</w:t>
      </w:r>
    </w:p>
    <w:p>
      <w:pPr>
        <w:spacing w:line="400" w:lineRule="exact"/>
        <w:ind w:firstLine="422" w:firstLineChars="2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5.</w:t>
      </w:r>
      <w:bookmarkStart w:id="149" w:name="_Toc9927"/>
      <w:bookmarkStart w:id="150" w:name="_Toc13445"/>
      <w:r>
        <w:rPr>
          <w:rFonts w:hint="eastAsia" w:asciiTheme="minorEastAsia" w:hAnsiTheme="minorEastAsia" w:eastAsiaTheme="minorEastAsia" w:cstheme="minorEastAsia"/>
          <w:b/>
          <w:bCs/>
          <w:szCs w:val="21"/>
          <w:highlight w:val="none"/>
        </w:rPr>
        <w:t>5.资格审查工作</w:t>
      </w:r>
      <w:bookmarkEnd w:id="149"/>
      <w:bookmarkEnd w:id="150"/>
    </w:p>
    <w:p>
      <w:pPr>
        <w:spacing w:line="400" w:lineRule="exact"/>
        <w:ind w:firstLine="420" w:firstLineChars="200"/>
        <w:rPr>
          <w:rFonts w:asciiTheme="minorEastAsia" w:hAnsiTheme="minorEastAsia" w:eastAsiaTheme="minorEastAsia" w:cstheme="minorEastAsia"/>
          <w:szCs w:val="21"/>
          <w:highlight w:val="none"/>
        </w:rPr>
      </w:pPr>
      <w:bookmarkStart w:id="151" w:name="_Toc18888"/>
      <w:bookmarkStart w:id="152" w:name="_Toc25448"/>
      <w:bookmarkStart w:id="153" w:name="_Toc15919"/>
      <w:bookmarkStart w:id="154" w:name="_Toc25275"/>
      <w:bookmarkStart w:id="155" w:name="_Toc18803"/>
      <w:bookmarkStart w:id="156" w:name="_Toc22488"/>
      <w:bookmarkStart w:id="157" w:name="_Toc18806"/>
      <w:r>
        <w:rPr>
          <w:rFonts w:hint="eastAsia" w:asciiTheme="minorEastAsia" w:hAnsiTheme="minorEastAsia" w:eastAsiaTheme="minorEastAsia" w:cstheme="minorEastAsia"/>
          <w:szCs w:val="21"/>
          <w:highlight w:val="none"/>
          <w:lang w:val="zh-CN"/>
        </w:rPr>
        <w:t>采购人或代理机构根据有关法律法规和招标文件的规定，对供应商的资格进行审查，审查每个供应商提交的资格证明材料是否齐全、完整、合法、有效。资格性审查通过不足3家的，将不再进行下一步评审。</w:t>
      </w:r>
      <w:bookmarkEnd w:id="151"/>
      <w:bookmarkEnd w:id="152"/>
      <w:bookmarkEnd w:id="153"/>
      <w:bookmarkEnd w:id="154"/>
      <w:bookmarkEnd w:id="155"/>
      <w:bookmarkEnd w:id="156"/>
      <w:bookmarkEnd w:id="157"/>
    </w:p>
    <w:p>
      <w:pPr>
        <w:pStyle w:val="17"/>
        <w:spacing w:before="120" w:after="120" w:line="500" w:lineRule="exact"/>
        <w:ind w:right="-1029" w:rightChars="-490" w:firstLine="482" w:firstLineChars="200"/>
        <w:jc w:val="both"/>
        <w:outlineLvl w:val="1"/>
        <w:rPr>
          <w:rFonts w:asciiTheme="minorEastAsia" w:hAnsiTheme="minorEastAsia" w:eastAsiaTheme="minorEastAsia" w:cstheme="minorEastAsia"/>
          <w:sz w:val="24"/>
          <w:szCs w:val="24"/>
          <w:highlight w:val="none"/>
        </w:rPr>
      </w:pPr>
      <w:bookmarkStart w:id="158" w:name="_Toc4643"/>
      <w:bookmarkStart w:id="159" w:name="_Toc6889"/>
      <w:r>
        <w:rPr>
          <w:rFonts w:hint="eastAsia" w:asciiTheme="minorEastAsia" w:hAnsiTheme="minorEastAsia" w:eastAsiaTheme="minorEastAsia" w:cstheme="minorEastAsia"/>
          <w:sz w:val="24"/>
          <w:szCs w:val="24"/>
          <w:highlight w:val="none"/>
        </w:rPr>
        <w:t>6. 评标</w:t>
      </w:r>
      <w:bookmarkEnd w:id="143"/>
      <w:bookmarkEnd w:id="144"/>
      <w:bookmarkEnd w:id="145"/>
      <w:bookmarkEnd w:id="146"/>
      <w:bookmarkEnd w:id="158"/>
      <w:bookmarkEnd w:id="159"/>
    </w:p>
    <w:p>
      <w:pPr>
        <w:spacing w:line="500" w:lineRule="exact"/>
        <w:ind w:firstLine="482" w:firstLineChars="200"/>
        <w:rPr>
          <w:rFonts w:asciiTheme="minorEastAsia" w:hAnsiTheme="minorEastAsia" w:eastAsiaTheme="minorEastAsia" w:cstheme="minorEastAsia"/>
          <w:b/>
          <w:bCs/>
          <w:sz w:val="24"/>
          <w:highlight w:val="none"/>
        </w:rPr>
      </w:pPr>
      <w:bookmarkStart w:id="160" w:name="_Toc403122523"/>
      <w:bookmarkStart w:id="161" w:name="_Toc274249606"/>
      <w:bookmarkStart w:id="162" w:name="_Toc279599802"/>
      <w:bookmarkStart w:id="163" w:name="_Toc426369513"/>
      <w:r>
        <w:rPr>
          <w:rFonts w:hint="eastAsia" w:asciiTheme="minorEastAsia" w:hAnsiTheme="minorEastAsia" w:eastAsiaTheme="minorEastAsia" w:cstheme="minorEastAsia"/>
          <w:b/>
          <w:bCs/>
          <w:sz w:val="24"/>
          <w:highlight w:val="none"/>
        </w:rPr>
        <w:t>6.1 评标委员会</w:t>
      </w:r>
      <w:bookmarkEnd w:id="160"/>
      <w:bookmarkEnd w:id="161"/>
      <w:bookmarkEnd w:id="162"/>
      <w:bookmarkEnd w:id="163"/>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6.1.1  评标由采购人依法组建的评标委员会负责。评标委员会由采购人代表和评审专家组成。评标委员会成员人数以及评审专家的确定方式见供应商须知前附表。</w:t>
      </w:r>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6.1.2  评标委员会成员有下列情形之一的，应当回避： </w:t>
      </w:r>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（1）采购人或供应商的主要负责人的近亲属； </w:t>
      </w:r>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（2）项目主管部门或者行政监督部门的人员； </w:t>
      </w:r>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（3）与供应商有经济利益关系，可能影响对投标公正评审的； </w:t>
      </w:r>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（4）曾因在招标、评标以及其他与招标投标有关活动中从事违法行为而受过行政处罚或刑事处罚的。 </w:t>
      </w:r>
    </w:p>
    <w:p>
      <w:pPr>
        <w:spacing w:line="500" w:lineRule="exact"/>
        <w:ind w:firstLine="482" w:firstLineChars="200"/>
        <w:rPr>
          <w:rFonts w:asciiTheme="minorEastAsia" w:hAnsiTheme="minorEastAsia" w:eastAsiaTheme="minorEastAsia" w:cstheme="minorEastAsia"/>
          <w:b/>
          <w:bCs/>
          <w:sz w:val="24"/>
          <w:highlight w:val="none"/>
        </w:rPr>
      </w:pPr>
      <w:bookmarkStart w:id="164" w:name="_Toc426369514"/>
      <w:bookmarkStart w:id="165" w:name="_Toc279599803"/>
      <w:bookmarkStart w:id="166" w:name="_Toc403122524"/>
      <w:bookmarkStart w:id="167" w:name="_Toc274249607"/>
      <w:r>
        <w:rPr>
          <w:rFonts w:hint="eastAsia" w:asciiTheme="minorEastAsia" w:hAnsiTheme="minorEastAsia" w:eastAsiaTheme="minorEastAsia" w:cstheme="minorEastAsia"/>
          <w:b/>
          <w:bCs/>
          <w:sz w:val="24"/>
          <w:highlight w:val="none"/>
        </w:rPr>
        <w:t>6.2 评标原则</w:t>
      </w:r>
      <w:bookmarkEnd w:id="164"/>
      <w:bookmarkEnd w:id="165"/>
      <w:bookmarkEnd w:id="166"/>
      <w:bookmarkEnd w:id="167"/>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评标活动遵循公平、公正、科学和择优的原则。 </w:t>
      </w:r>
    </w:p>
    <w:p>
      <w:pPr>
        <w:spacing w:line="400" w:lineRule="exact"/>
        <w:ind w:firstLine="482" w:firstLineChars="200"/>
        <w:rPr>
          <w:rFonts w:asciiTheme="minorEastAsia" w:hAnsiTheme="minorEastAsia" w:eastAsiaTheme="minorEastAsia" w:cstheme="minorEastAsia"/>
          <w:szCs w:val="21"/>
          <w:highlight w:val="none"/>
        </w:rPr>
      </w:pPr>
      <w:bookmarkStart w:id="168" w:name="_Toc426369515"/>
      <w:bookmarkStart w:id="169" w:name="_Toc403122525"/>
      <w:bookmarkStart w:id="170" w:name="_Toc279599804"/>
      <w:bookmarkStart w:id="171" w:name="_Toc274249608"/>
      <w:r>
        <w:rPr>
          <w:rFonts w:hint="eastAsia" w:asciiTheme="minorEastAsia" w:hAnsiTheme="minorEastAsia" w:eastAsiaTheme="minorEastAsia" w:cstheme="minorEastAsia"/>
          <w:b/>
          <w:bCs/>
          <w:sz w:val="24"/>
          <w:highlight w:val="none"/>
        </w:rPr>
        <w:t>6.3 评标</w:t>
      </w:r>
      <w:bookmarkEnd w:id="168"/>
      <w:bookmarkEnd w:id="169"/>
      <w:bookmarkEnd w:id="170"/>
      <w:bookmarkEnd w:id="171"/>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6.3.1在评审过程中，评标委员会发现供应商有下列情形之一的，视为供应商相互串通投标，按照无效投标处理并依据法律、法规追究其相关责任。具体表现形式如下：</w:t>
      </w:r>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 同供应商的投标文件由同一单位或者个人编制；</w:t>
      </w:r>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（2）不同供应商委托同一单位或者个人办理投标事宜；</w:t>
      </w:r>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（3）不同供应商的投标文件载明的项目管理成员或者联系人员为同一人；</w:t>
      </w:r>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（4）不同供应商的投标文件异常一致或者投标报价呈规律性差异；</w:t>
      </w:r>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（5）有证据证明供应商与采购人、采购代理机构或者其他供应商串通的其他情形；</w:t>
      </w:r>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6.3.2评标委员会应当按照招标文件中规定的评标方法和标准，对符合性审查合格的投标文件进行商务和技术评估，综合比较与评价。招标文件没有规定的评标方法、评审因素和标准，不作为评标依据。</w:t>
      </w:r>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6.3.3评标时，评标委员会各成员应当独立对每个供应商的投标文件进行评价，并汇总每个供应商的得分。</w:t>
      </w:r>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评标完成后，评标委员会应当向采购人提交书面评标报告和中标候选人名单。评标委员会推荐中标候选人的人数见供应商须知前附表。</w:t>
      </w:r>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6.3.3 评标委员会负责具体评标事务，并独立履行下列职责：</w:t>
      </w:r>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（1）审查、评价投标文件是否符合招标文件的实质性要求；</w:t>
      </w:r>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（2）要求供应商对投标文件有关事项作出澄清或者说明；</w:t>
      </w:r>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（3）对投标文件进行比较和评价；</w:t>
      </w:r>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（4）确定中标候选人名单；</w:t>
      </w:r>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（5）向采购人、采购代理机构或者有关部门报告评标中发现的违法行为。</w:t>
      </w:r>
    </w:p>
    <w:p>
      <w:pPr>
        <w:autoSpaceDE w:val="0"/>
        <w:autoSpaceDN w:val="0"/>
        <w:adjustRightInd w:val="0"/>
        <w:spacing w:line="360" w:lineRule="auto"/>
        <w:ind w:left="237" w:right="-20"/>
        <w:jc w:val="left"/>
        <w:rPr>
          <w:rFonts w:ascii="宋体" w:hAnsi="宋体" w:cs="宋体"/>
          <w:b/>
          <w:bCs/>
          <w:spacing w:val="1"/>
          <w:kern w:val="0"/>
          <w:szCs w:val="21"/>
          <w:highlight w:val="none"/>
        </w:rPr>
      </w:pPr>
      <w:r>
        <w:rPr>
          <w:rFonts w:hint="eastAsia" w:ascii="宋体" w:hAnsi="宋体" w:cs="宋体"/>
          <w:b/>
          <w:bCs/>
          <w:spacing w:val="1"/>
          <w:kern w:val="0"/>
          <w:szCs w:val="21"/>
          <w:highlight w:val="none"/>
        </w:rPr>
        <w:t>6.4  废标</w:t>
      </w:r>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招标采购中，出现下列情形之一的，应予废标：</w:t>
      </w:r>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（1）符合专业条件的供应商或者对招标文件作实质响应的供应商不足三家的；</w:t>
      </w:r>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（2）出现影响采购公正的违法、违规行为的；</w:t>
      </w:r>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（3）供应商的报价均超过了采购预算，采购人不能支付的；</w:t>
      </w:r>
    </w:p>
    <w:p>
      <w:pPr>
        <w:spacing w:line="400" w:lineRule="exact"/>
        <w:ind w:firstLine="420" w:firstLineChars="200"/>
        <w:rPr>
          <w:highlight w:val="none"/>
        </w:rPr>
      </w:pPr>
      <w:r>
        <w:rPr>
          <w:rFonts w:hint="eastAsia" w:asciiTheme="minorEastAsia" w:hAnsiTheme="minorEastAsia" w:eastAsiaTheme="minorEastAsia" w:cstheme="minorEastAsia"/>
          <w:szCs w:val="21"/>
          <w:highlight w:val="none"/>
        </w:rPr>
        <w:t>（4）因重大变故，采购任务取消的。废标后，采购人应当将废标理由通知所有供应商。</w:t>
      </w:r>
    </w:p>
    <w:p>
      <w:pPr>
        <w:pStyle w:val="17"/>
        <w:spacing w:before="120" w:after="120" w:line="500" w:lineRule="exact"/>
        <w:ind w:right="-1029" w:rightChars="-490" w:firstLine="482" w:firstLineChars="200"/>
        <w:jc w:val="both"/>
        <w:outlineLvl w:val="1"/>
        <w:rPr>
          <w:highlight w:val="none"/>
        </w:rPr>
      </w:pPr>
      <w:bookmarkStart w:id="172" w:name="_Toc17811"/>
      <w:bookmarkStart w:id="173" w:name="_Toc426369516"/>
      <w:bookmarkStart w:id="174" w:name="_Toc22968"/>
      <w:bookmarkStart w:id="175" w:name="_Toc403122526"/>
      <w:bookmarkStart w:id="176" w:name="_Toc8566"/>
      <w:bookmarkStart w:id="177" w:name="_Toc26569"/>
      <w:r>
        <w:rPr>
          <w:rFonts w:hint="eastAsia" w:asciiTheme="minorEastAsia" w:hAnsiTheme="minorEastAsia" w:eastAsiaTheme="minorEastAsia" w:cstheme="minorEastAsia"/>
          <w:sz w:val="24"/>
          <w:szCs w:val="24"/>
          <w:highlight w:val="none"/>
        </w:rPr>
        <w:t>7. 合同授予</w:t>
      </w:r>
      <w:bookmarkEnd w:id="172"/>
      <w:bookmarkEnd w:id="173"/>
      <w:bookmarkEnd w:id="174"/>
      <w:bookmarkEnd w:id="175"/>
      <w:bookmarkEnd w:id="176"/>
      <w:bookmarkEnd w:id="177"/>
    </w:p>
    <w:p>
      <w:pPr>
        <w:spacing w:line="500" w:lineRule="exact"/>
        <w:ind w:firstLine="482" w:firstLineChars="200"/>
        <w:rPr>
          <w:rFonts w:asciiTheme="minorEastAsia" w:hAnsiTheme="minorEastAsia" w:eastAsiaTheme="minorEastAsia" w:cstheme="minorEastAsia"/>
          <w:b/>
          <w:bCs/>
          <w:sz w:val="24"/>
          <w:highlight w:val="none"/>
        </w:rPr>
      </w:pPr>
      <w:bookmarkStart w:id="178" w:name="_Toc279599806"/>
      <w:bookmarkStart w:id="179" w:name="_Toc403122527"/>
      <w:bookmarkStart w:id="180" w:name="_Toc426369517"/>
      <w:bookmarkStart w:id="181" w:name="_Toc274249610"/>
      <w:r>
        <w:rPr>
          <w:rFonts w:hint="eastAsia" w:asciiTheme="minorEastAsia" w:hAnsiTheme="minorEastAsia" w:eastAsiaTheme="minorEastAsia" w:cstheme="minorEastAsia"/>
          <w:b/>
          <w:bCs/>
          <w:sz w:val="24"/>
          <w:highlight w:val="none"/>
        </w:rPr>
        <w:t>7.1 定标方式</w:t>
      </w:r>
      <w:bookmarkEnd w:id="178"/>
      <w:bookmarkEnd w:id="179"/>
      <w:bookmarkEnd w:id="180"/>
      <w:bookmarkEnd w:id="181"/>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7.1.1采购人依据评标委员会推荐的中标候选人确定中标人，评标委员会推荐中标人候选人的人数见供应商须知前附表。</w:t>
      </w:r>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7.1.2 中标或者成交供应商拒绝与采购人签订合同的，采购人可以按照评审报告推荐的中标或者成交候选人名单排序，确定下一候选人为中标或者成交供应商，也可以重新开展政府采购活动。</w:t>
      </w:r>
    </w:p>
    <w:p>
      <w:pPr>
        <w:spacing w:line="500" w:lineRule="exact"/>
        <w:ind w:firstLine="482" w:firstLineChars="200"/>
        <w:rPr>
          <w:rFonts w:asciiTheme="minorEastAsia" w:hAnsiTheme="minorEastAsia" w:eastAsiaTheme="minorEastAsia" w:cstheme="minorEastAsia"/>
          <w:b/>
          <w:bCs/>
          <w:sz w:val="24"/>
          <w:highlight w:val="none"/>
        </w:rPr>
      </w:pPr>
      <w:bookmarkStart w:id="182" w:name="_Toc279599807"/>
      <w:bookmarkStart w:id="183" w:name="_Toc426369518"/>
      <w:bookmarkStart w:id="184" w:name="_Toc403122528"/>
      <w:bookmarkStart w:id="185" w:name="_Toc274249611"/>
      <w:r>
        <w:rPr>
          <w:rFonts w:hint="eastAsia" w:asciiTheme="minorEastAsia" w:hAnsiTheme="minorEastAsia" w:eastAsiaTheme="minorEastAsia" w:cstheme="minorEastAsia"/>
          <w:b/>
          <w:bCs/>
          <w:sz w:val="24"/>
          <w:highlight w:val="none"/>
        </w:rPr>
        <w:t>7.2 中标通知</w:t>
      </w:r>
      <w:bookmarkEnd w:id="182"/>
      <w:bookmarkEnd w:id="183"/>
      <w:bookmarkEnd w:id="184"/>
      <w:bookmarkEnd w:id="185"/>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7.2.1 在本章第3.3款规定的投标有效期内，采购人以书面形式向中标人发出中标通知书，同时将中标结果通知未中标的供应商。 </w:t>
      </w:r>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7.2.2中标人在领取中标通知书后应及时到相关部门办理中标后的备案手续。</w:t>
      </w:r>
    </w:p>
    <w:p>
      <w:pPr>
        <w:spacing w:line="500" w:lineRule="exact"/>
        <w:ind w:firstLine="482" w:firstLineChars="200"/>
        <w:rPr>
          <w:rFonts w:asciiTheme="minorEastAsia" w:hAnsiTheme="minorEastAsia" w:eastAsiaTheme="minorEastAsia" w:cstheme="minorEastAsia"/>
          <w:b/>
          <w:bCs/>
          <w:sz w:val="24"/>
          <w:highlight w:val="none"/>
        </w:rPr>
      </w:pPr>
      <w:bookmarkStart w:id="186" w:name="_Toc279599808"/>
      <w:bookmarkStart w:id="187" w:name="_Toc274249612"/>
      <w:bookmarkStart w:id="188" w:name="_Toc311550376"/>
      <w:bookmarkStart w:id="189" w:name="_Toc403122529"/>
      <w:bookmarkStart w:id="190" w:name="_Toc426369519"/>
      <w:r>
        <w:rPr>
          <w:rFonts w:hint="eastAsia" w:asciiTheme="minorEastAsia" w:hAnsiTheme="minorEastAsia" w:eastAsiaTheme="minorEastAsia" w:cstheme="minorEastAsia"/>
          <w:b/>
          <w:bCs/>
          <w:sz w:val="24"/>
          <w:highlight w:val="none"/>
        </w:rPr>
        <w:t>7.3履约</w:t>
      </w:r>
      <w:bookmarkEnd w:id="186"/>
      <w:bookmarkEnd w:id="187"/>
      <w:bookmarkEnd w:id="188"/>
      <w:r>
        <w:rPr>
          <w:rFonts w:hint="eastAsia" w:asciiTheme="minorEastAsia" w:hAnsiTheme="minorEastAsia" w:eastAsiaTheme="minorEastAsia" w:cstheme="minorEastAsia"/>
          <w:b/>
          <w:bCs/>
          <w:sz w:val="24"/>
          <w:highlight w:val="none"/>
        </w:rPr>
        <w:t>保证金</w:t>
      </w:r>
      <w:bookmarkEnd w:id="189"/>
      <w:bookmarkEnd w:id="190"/>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7.3.1履约保证金：无</w:t>
      </w:r>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7.3.2投标保证金：无</w:t>
      </w:r>
    </w:p>
    <w:p>
      <w:pPr>
        <w:spacing w:line="500" w:lineRule="exact"/>
        <w:ind w:firstLine="482" w:firstLineChars="200"/>
        <w:rPr>
          <w:rFonts w:asciiTheme="minorEastAsia" w:hAnsiTheme="minorEastAsia" w:eastAsiaTheme="minorEastAsia" w:cstheme="minorEastAsia"/>
          <w:b/>
          <w:bCs/>
          <w:sz w:val="24"/>
          <w:highlight w:val="none"/>
        </w:rPr>
      </w:pPr>
      <w:bookmarkStart w:id="191" w:name="_Toc279599809"/>
      <w:bookmarkStart w:id="192" w:name="_Toc403122530"/>
      <w:bookmarkStart w:id="193" w:name="_Toc274249613"/>
      <w:bookmarkStart w:id="194" w:name="_Toc426369520"/>
      <w:r>
        <w:rPr>
          <w:rFonts w:hint="eastAsia" w:asciiTheme="minorEastAsia" w:hAnsiTheme="minorEastAsia" w:eastAsiaTheme="minorEastAsia" w:cstheme="minorEastAsia"/>
          <w:b/>
          <w:bCs/>
          <w:sz w:val="24"/>
          <w:highlight w:val="none"/>
        </w:rPr>
        <w:t>7.4 签订合同</w:t>
      </w:r>
      <w:bookmarkEnd w:id="191"/>
      <w:bookmarkEnd w:id="192"/>
      <w:bookmarkEnd w:id="193"/>
      <w:bookmarkEnd w:id="194"/>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7.4.1  中标人的投标报价为中标价，中标价即为合同价（当中标人的投标报价高于控制价的95%时，该中标人的中标价按控制价的95%执行）。采购人和中标人应当自中标通知书发出之日起15日内，根据招标文件和中标人的投标文件订立书面合同。非因不可抗力因素放弃中标的，或排名第一的中标候选人未按规定期限与采购人签订合同的，应赔偿采购人由此造成的损失，损失费的计算方法为该中标候选人的投标价与重新确定的中标人中标价的差额，并处以采购金额千分之五以上千分之十以下罚款，将其列入不良行为记录名单，在1至3年内禁止参加政府采购活动，并予以通报。</w:t>
      </w:r>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7.4.2  发出中标通知书后，采购人无正当理由拒签合同的，给中标人造成损失的，还应当赔偿损失。</w:t>
      </w:r>
    </w:p>
    <w:p>
      <w:pPr>
        <w:pStyle w:val="17"/>
        <w:spacing w:before="120" w:after="120" w:line="500" w:lineRule="exact"/>
        <w:ind w:right="-1029" w:rightChars="-490" w:firstLine="482" w:firstLineChars="200"/>
        <w:jc w:val="both"/>
        <w:outlineLvl w:val="1"/>
        <w:rPr>
          <w:rFonts w:asciiTheme="minorEastAsia" w:hAnsiTheme="minorEastAsia" w:eastAsiaTheme="minorEastAsia" w:cstheme="minorEastAsia"/>
          <w:sz w:val="24"/>
          <w:szCs w:val="24"/>
          <w:highlight w:val="none"/>
        </w:rPr>
      </w:pPr>
      <w:bookmarkStart w:id="195" w:name="_Toc29014"/>
      <w:bookmarkStart w:id="196" w:name="_Toc403122531"/>
      <w:bookmarkStart w:id="197" w:name="_Toc10417"/>
      <w:bookmarkStart w:id="198" w:name="_Toc30009"/>
      <w:bookmarkStart w:id="199" w:name="_Toc426369521"/>
      <w:bookmarkStart w:id="200" w:name="_Toc10541"/>
      <w:r>
        <w:rPr>
          <w:rFonts w:hint="eastAsia" w:asciiTheme="minorEastAsia" w:hAnsiTheme="minorEastAsia" w:eastAsiaTheme="minorEastAsia" w:cstheme="minorEastAsia"/>
          <w:sz w:val="24"/>
          <w:szCs w:val="24"/>
          <w:highlight w:val="none"/>
        </w:rPr>
        <w:t>8. 重新招标</w:t>
      </w:r>
      <w:bookmarkEnd w:id="195"/>
      <w:bookmarkEnd w:id="196"/>
      <w:bookmarkEnd w:id="197"/>
      <w:bookmarkEnd w:id="198"/>
      <w:bookmarkEnd w:id="199"/>
      <w:bookmarkEnd w:id="200"/>
    </w:p>
    <w:p>
      <w:pPr>
        <w:spacing w:line="500" w:lineRule="exact"/>
        <w:ind w:firstLine="482" w:firstLineChars="200"/>
        <w:rPr>
          <w:rFonts w:asciiTheme="minorEastAsia" w:hAnsiTheme="minorEastAsia" w:eastAsiaTheme="minorEastAsia" w:cstheme="minorEastAsia"/>
          <w:b/>
          <w:bCs/>
          <w:sz w:val="24"/>
          <w:highlight w:val="none"/>
        </w:rPr>
      </w:pPr>
      <w:bookmarkStart w:id="201" w:name="_Toc403122532"/>
      <w:bookmarkStart w:id="202" w:name="_Toc426369522"/>
      <w:bookmarkStart w:id="203" w:name="_Toc279599811"/>
      <w:bookmarkStart w:id="204" w:name="_Toc274249615"/>
      <w:r>
        <w:rPr>
          <w:rFonts w:hint="eastAsia" w:asciiTheme="minorEastAsia" w:hAnsiTheme="minorEastAsia" w:eastAsiaTheme="minorEastAsia" w:cstheme="minorEastAsia"/>
          <w:b/>
          <w:bCs/>
          <w:sz w:val="24"/>
          <w:highlight w:val="none"/>
        </w:rPr>
        <w:t>8.1 重新招标</w:t>
      </w:r>
      <w:bookmarkEnd w:id="201"/>
      <w:bookmarkEnd w:id="202"/>
      <w:bookmarkEnd w:id="203"/>
      <w:bookmarkEnd w:id="204"/>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有下列情形之一的，采购人将重新招标： </w:t>
      </w:r>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（1）投标截止时间止，供应商少于3个的； </w:t>
      </w:r>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（2）经评标委员会评审后否决所有投标的。 </w:t>
      </w:r>
    </w:p>
    <w:p>
      <w:pPr>
        <w:pStyle w:val="17"/>
        <w:spacing w:before="120" w:after="120" w:line="500" w:lineRule="exact"/>
        <w:ind w:right="-1029" w:rightChars="-490" w:firstLine="482" w:firstLineChars="200"/>
        <w:jc w:val="both"/>
        <w:outlineLvl w:val="1"/>
        <w:rPr>
          <w:rFonts w:asciiTheme="minorEastAsia" w:hAnsiTheme="minorEastAsia" w:eastAsiaTheme="minorEastAsia" w:cstheme="minorEastAsia"/>
          <w:sz w:val="24"/>
          <w:szCs w:val="24"/>
          <w:highlight w:val="none"/>
        </w:rPr>
      </w:pPr>
      <w:bookmarkStart w:id="205" w:name="_Toc14622"/>
      <w:bookmarkStart w:id="206" w:name="_Toc403122533"/>
      <w:bookmarkStart w:id="207" w:name="_Toc10372"/>
      <w:bookmarkStart w:id="208" w:name="_Toc426369523"/>
      <w:bookmarkStart w:id="209" w:name="_Toc27398"/>
      <w:bookmarkStart w:id="210" w:name="_Toc3760"/>
      <w:r>
        <w:rPr>
          <w:rFonts w:hint="eastAsia" w:asciiTheme="minorEastAsia" w:hAnsiTheme="minorEastAsia" w:eastAsiaTheme="minorEastAsia" w:cstheme="minorEastAsia"/>
          <w:sz w:val="24"/>
          <w:szCs w:val="24"/>
          <w:highlight w:val="none"/>
        </w:rPr>
        <w:t>9. 纪律和监督</w:t>
      </w:r>
      <w:bookmarkEnd w:id="205"/>
      <w:bookmarkEnd w:id="206"/>
      <w:bookmarkEnd w:id="207"/>
      <w:bookmarkEnd w:id="208"/>
      <w:bookmarkEnd w:id="209"/>
      <w:bookmarkEnd w:id="210"/>
    </w:p>
    <w:p>
      <w:pPr>
        <w:spacing w:line="500" w:lineRule="exact"/>
        <w:ind w:firstLine="482" w:firstLineChars="200"/>
        <w:rPr>
          <w:rFonts w:asciiTheme="minorEastAsia" w:hAnsiTheme="minorEastAsia" w:eastAsiaTheme="minorEastAsia" w:cstheme="minorEastAsia"/>
          <w:b/>
          <w:bCs/>
          <w:sz w:val="24"/>
          <w:highlight w:val="none"/>
        </w:rPr>
      </w:pPr>
      <w:bookmarkStart w:id="211" w:name="_Toc426369524"/>
      <w:bookmarkStart w:id="212" w:name="_Toc403122534"/>
      <w:bookmarkStart w:id="213" w:name="_Toc279599814"/>
      <w:bookmarkStart w:id="214" w:name="_Toc274249618"/>
      <w:r>
        <w:rPr>
          <w:rFonts w:hint="eastAsia" w:asciiTheme="minorEastAsia" w:hAnsiTheme="minorEastAsia" w:eastAsiaTheme="minorEastAsia" w:cstheme="minorEastAsia"/>
          <w:b/>
          <w:bCs/>
          <w:sz w:val="24"/>
          <w:highlight w:val="none"/>
        </w:rPr>
        <w:t>9.1 对采购人的纪律要求</w:t>
      </w:r>
      <w:bookmarkEnd w:id="211"/>
      <w:bookmarkEnd w:id="212"/>
      <w:bookmarkEnd w:id="213"/>
      <w:bookmarkEnd w:id="214"/>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采购人不得泄漏招标投标活动中应当保密的情况和资料，不得与供应商串通损害国家利益、社会公共利益或者他人合法权益。 </w:t>
      </w:r>
    </w:p>
    <w:p>
      <w:pPr>
        <w:spacing w:line="500" w:lineRule="exact"/>
        <w:ind w:firstLine="482" w:firstLineChars="200"/>
        <w:rPr>
          <w:rFonts w:asciiTheme="minorEastAsia" w:hAnsiTheme="minorEastAsia" w:eastAsiaTheme="minorEastAsia" w:cstheme="minorEastAsia"/>
          <w:b/>
          <w:bCs/>
          <w:sz w:val="24"/>
          <w:highlight w:val="none"/>
        </w:rPr>
      </w:pPr>
      <w:bookmarkStart w:id="215" w:name="_Toc403122535"/>
      <w:bookmarkStart w:id="216" w:name="_Toc279599815"/>
      <w:bookmarkStart w:id="217" w:name="_Toc274249619"/>
      <w:bookmarkStart w:id="218" w:name="_Toc426369525"/>
      <w:r>
        <w:rPr>
          <w:rFonts w:hint="eastAsia" w:asciiTheme="minorEastAsia" w:hAnsiTheme="minorEastAsia" w:eastAsiaTheme="minorEastAsia" w:cstheme="minorEastAsia"/>
          <w:b/>
          <w:bCs/>
          <w:sz w:val="24"/>
          <w:highlight w:val="none"/>
        </w:rPr>
        <w:t>9.2 对供应商的纪律要求</w:t>
      </w:r>
      <w:bookmarkEnd w:id="215"/>
      <w:bookmarkEnd w:id="216"/>
      <w:bookmarkEnd w:id="217"/>
      <w:bookmarkEnd w:id="218"/>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供应商不得相互串通投标或者与采购人串通投标，不得向采购人或者评标委员会成员行贿谋取中标，不得以他人名义投标或者以其他方式弄虚作假骗取中标；供应商不得以任何方式干扰、影响评标工作。</w:t>
      </w:r>
    </w:p>
    <w:p>
      <w:pPr>
        <w:spacing w:line="500" w:lineRule="exact"/>
        <w:ind w:firstLine="482" w:firstLineChars="200"/>
        <w:rPr>
          <w:rFonts w:asciiTheme="minorEastAsia" w:hAnsiTheme="minorEastAsia" w:eastAsiaTheme="minorEastAsia" w:cstheme="minorEastAsia"/>
          <w:b/>
          <w:bCs/>
          <w:sz w:val="24"/>
          <w:highlight w:val="none"/>
        </w:rPr>
      </w:pPr>
      <w:bookmarkStart w:id="219" w:name="_Toc403122536"/>
      <w:bookmarkStart w:id="220" w:name="_Toc274249620"/>
      <w:bookmarkStart w:id="221" w:name="_Toc279599816"/>
      <w:bookmarkStart w:id="222" w:name="_Toc426369526"/>
      <w:r>
        <w:rPr>
          <w:rFonts w:hint="eastAsia" w:asciiTheme="minorEastAsia" w:hAnsiTheme="minorEastAsia" w:eastAsiaTheme="minorEastAsia" w:cstheme="minorEastAsia"/>
          <w:b/>
          <w:bCs/>
          <w:sz w:val="24"/>
          <w:highlight w:val="none"/>
        </w:rPr>
        <w:t>9.3 对评标委员会成员的纪律要求</w:t>
      </w:r>
      <w:bookmarkEnd w:id="219"/>
      <w:bookmarkEnd w:id="220"/>
      <w:bookmarkEnd w:id="221"/>
      <w:bookmarkEnd w:id="222"/>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pPr>
        <w:spacing w:line="500" w:lineRule="exact"/>
        <w:ind w:firstLine="482" w:firstLineChars="200"/>
        <w:rPr>
          <w:rFonts w:asciiTheme="minorEastAsia" w:hAnsiTheme="minorEastAsia" w:eastAsiaTheme="minorEastAsia" w:cstheme="minorEastAsia"/>
          <w:b/>
          <w:bCs/>
          <w:sz w:val="24"/>
          <w:highlight w:val="none"/>
        </w:rPr>
      </w:pPr>
      <w:bookmarkStart w:id="223" w:name="_Toc403122537"/>
      <w:bookmarkStart w:id="224" w:name="_Toc279599817"/>
      <w:bookmarkStart w:id="225" w:name="_Toc426369527"/>
      <w:bookmarkStart w:id="226" w:name="_Toc274249621"/>
      <w:r>
        <w:rPr>
          <w:rFonts w:hint="eastAsia" w:asciiTheme="minorEastAsia" w:hAnsiTheme="minorEastAsia" w:eastAsiaTheme="minorEastAsia" w:cstheme="minorEastAsia"/>
          <w:b/>
          <w:bCs/>
          <w:sz w:val="24"/>
          <w:highlight w:val="none"/>
        </w:rPr>
        <w:t>9.4 对与评标活动有关的工作人员的纪律要求</w:t>
      </w:r>
      <w:bookmarkEnd w:id="223"/>
      <w:bookmarkEnd w:id="224"/>
      <w:bookmarkEnd w:id="225"/>
      <w:bookmarkEnd w:id="226"/>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pPr>
        <w:spacing w:line="500" w:lineRule="exact"/>
        <w:ind w:firstLine="482" w:firstLineChars="200"/>
        <w:rPr>
          <w:rFonts w:asciiTheme="minorEastAsia" w:hAnsiTheme="minorEastAsia" w:eastAsiaTheme="minorEastAsia" w:cstheme="minorEastAsia"/>
          <w:b/>
          <w:bCs/>
          <w:sz w:val="24"/>
          <w:highlight w:val="none"/>
        </w:rPr>
      </w:pPr>
      <w:bookmarkStart w:id="227" w:name="_Toc403122538"/>
      <w:bookmarkStart w:id="228" w:name="_Toc426369528"/>
      <w:bookmarkStart w:id="229" w:name="_Toc274249622"/>
      <w:bookmarkStart w:id="230" w:name="_Toc279599818"/>
      <w:r>
        <w:rPr>
          <w:rFonts w:hint="eastAsia" w:asciiTheme="minorEastAsia" w:hAnsiTheme="minorEastAsia" w:eastAsiaTheme="minorEastAsia" w:cstheme="minorEastAsia"/>
          <w:b/>
          <w:bCs/>
          <w:sz w:val="24"/>
          <w:highlight w:val="none"/>
        </w:rPr>
        <w:t>9.5 投诉</w:t>
      </w:r>
      <w:bookmarkEnd w:id="227"/>
      <w:bookmarkEnd w:id="228"/>
      <w:bookmarkEnd w:id="229"/>
      <w:bookmarkEnd w:id="230"/>
    </w:p>
    <w:p>
      <w:pPr>
        <w:spacing w:line="4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供应商和其他利害关系人认为本次招标活动违反法律、法规和规章规定的，有权向有关行政监督部门投诉。 </w:t>
      </w:r>
    </w:p>
    <w:p>
      <w:pPr>
        <w:pStyle w:val="17"/>
        <w:spacing w:before="120" w:after="120" w:line="500" w:lineRule="exact"/>
        <w:ind w:right="-1029" w:rightChars="-490" w:firstLine="482" w:firstLineChars="200"/>
        <w:jc w:val="both"/>
        <w:outlineLvl w:val="1"/>
        <w:rPr>
          <w:rFonts w:asciiTheme="minorEastAsia" w:hAnsiTheme="minorEastAsia" w:eastAsiaTheme="minorEastAsia" w:cstheme="minorEastAsia"/>
          <w:sz w:val="24"/>
          <w:szCs w:val="24"/>
          <w:highlight w:val="none"/>
        </w:rPr>
      </w:pPr>
      <w:bookmarkStart w:id="231" w:name="_Toc26812"/>
      <w:bookmarkStart w:id="232" w:name="_Toc13281"/>
      <w:bookmarkStart w:id="233" w:name="_Toc25080"/>
      <w:bookmarkStart w:id="234" w:name="_Toc426369529"/>
      <w:bookmarkStart w:id="235" w:name="_Toc10880"/>
      <w:bookmarkStart w:id="236" w:name="_Toc403122539"/>
      <w:r>
        <w:rPr>
          <w:rFonts w:hint="eastAsia" w:asciiTheme="minorEastAsia" w:hAnsiTheme="minorEastAsia" w:eastAsiaTheme="minorEastAsia" w:cstheme="minorEastAsia"/>
          <w:sz w:val="24"/>
          <w:szCs w:val="24"/>
          <w:highlight w:val="none"/>
        </w:rPr>
        <w:t>10. 需要补充的其他内容</w:t>
      </w:r>
      <w:bookmarkEnd w:id="231"/>
      <w:bookmarkEnd w:id="232"/>
      <w:bookmarkEnd w:id="233"/>
      <w:bookmarkEnd w:id="234"/>
      <w:bookmarkEnd w:id="235"/>
      <w:bookmarkEnd w:id="236"/>
    </w:p>
    <w:p>
      <w:pPr>
        <w:autoSpaceDE w:val="0"/>
        <w:autoSpaceDN w:val="0"/>
        <w:adjustRightInd w:val="0"/>
        <w:spacing w:line="440" w:lineRule="exact"/>
        <w:ind w:firstLine="482" w:firstLineChars="200"/>
        <w:rPr>
          <w:rFonts w:ascii="宋体" w:hAnsi="宋体" w:cs="宋体"/>
          <w:kern w:val="0"/>
          <w:sz w:val="24"/>
          <w:highlight w:val="none"/>
        </w:rPr>
      </w:pPr>
      <w:r>
        <w:rPr>
          <w:rFonts w:hint="eastAsia" w:ascii="宋体" w:hAnsi="宋体" w:cs="宋体"/>
          <w:b/>
          <w:kern w:val="0"/>
          <w:sz w:val="24"/>
          <w:highlight w:val="none"/>
        </w:rPr>
        <w:t>10.1 费用承担</w:t>
      </w:r>
    </w:p>
    <w:p>
      <w:pPr>
        <w:autoSpaceDE w:val="0"/>
        <w:autoSpaceDN w:val="0"/>
        <w:adjustRightInd w:val="0"/>
        <w:spacing w:line="440" w:lineRule="exact"/>
        <w:ind w:left="17" w:leftChars="8" w:firstLine="420" w:firstLineChars="200"/>
        <w:jc w:val="left"/>
        <w:rPr>
          <w:rFonts w:ascii="宋体" w:hAnsi="宋体" w:cs="宋体"/>
          <w:szCs w:val="21"/>
          <w:highlight w:val="none"/>
        </w:rPr>
      </w:pPr>
      <w:r>
        <w:rPr>
          <w:rFonts w:hint="eastAsia" w:ascii="宋体" w:hAnsi="宋体" w:cs="宋体"/>
          <w:szCs w:val="21"/>
          <w:highlight w:val="none"/>
        </w:rPr>
        <w:t>（1）无论投标结果如何，供应商应自行承担所有参与投标的全部费用，采购人和采购代理机构在任何情况下均无义务和责任承担上述费用。</w:t>
      </w:r>
    </w:p>
    <w:p>
      <w:pPr>
        <w:autoSpaceDE w:val="0"/>
        <w:autoSpaceDN w:val="0"/>
        <w:adjustRightInd w:val="0"/>
        <w:spacing w:line="440" w:lineRule="exact"/>
        <w:ind w:firstLine="420"/>
        <w:jc w:val="left"/>
        <w:rPr>
          <w:rFonts w:ascii="宋体" w:hAnsi="宋体" w:cs="宋体"/>
          <w:szCs w:val="21"/>
          <w:highlight w:val="none"/>
        </w:rPr>
      </w:pPr>
      <w:r>
        <w:rPr>
          <w:rFonts w:hint="eastAsia" w:ascii="宋体" w:hAnsi="宋体" w:cs="宋体"/>
          <w:szCs w:val="21"/>
          <w:highlight w:val="none"/>
        </w:rPr>
        <w:t>（2）招标代理服务费由中标人支付。</w:t>
      </w:r>
    </w:p>
    <w:p>
      <w:pPr>
        <w:autoSpaceDE w:val="0"/>
        <w:autoSpaceDN w:val="0"/>
        <w:adjustRightInd w:val="0"/>
        <w:spacing w:line="500" w:lineRule="exact"/>
        <w:ind w:firstLine="420"/>
        <w:jc w:val="left"/>
        <w:rPr>
          <w:rFonts w:ascii="宋体" w:hAnsi="宋体" w:cs="宋体"/>
          <w:szCs w:val="21"/>
          <w:highlight w:val="none"/>
        </w:rPr>
      </w:pPr>
      <w:r>
        <w:rPr>
          <w:rFonts w:hint="eastAsia" w:ascii="宋体" w:hAnsi="宋体" w:cs="宋体"/>
          <w:szCs w:val="21"/>
          <w:highlight w:val="none"/>
        </w:rPr>
        <w:t>（3）供应商与采购人签订合同后，将合同报采购代理机构备案。</w:t>
      </w:r>
    </w:p>
    <w:p>
      <w:pPr>
        <w:pStyle w:val="27"/>
        <w:ind w:firstLine="482" w:firstLineChars="200"/>
        <w:rPr>
          <w:rFonts w:asciiTheme="minorEastAsia" w:hAnsiTheme="minorEastAsia" w:eastAsiaTheme="minorEastAsia" w:cstheme="minorEastAsia"/>
          <w:b/>
          <w:bCs/>
          <w:kern w:val="2"/>
          <w:sz w:val="24"/>
          <w:highlight w:val="none"/>
        </w:rPr>
      </w:pPr>
      <w:r>
        <w:rPr>
          <w:rFonts w:hint="eastAsia" w:asciiTheme="minorEastAsia" w:hAnsiTheme="minorEastAsia" w:eastAsiaTheme="minorEastAsia" w:cstheme="minorEastAsia"/>
          <w:b/>
          <w:bCs/>
          <w:kern w:val="2"/>
          <w:sz w:val="24"/>
          <w:highlight w:val="none"/>
        </w:rPr>
        <w:t>10.2本招标文件未尽事宜，按《中华人民共和国政府采购法》等法律法规的有关规定执行。</w:t>
      </w:r>
    </w:p>
    <w:p>
      <w:pPr>
        <w:pStyle w:val="7"/>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br w:type="page"/>
      </w:r>
    </w:p>
    <w:p>
      <w:pPr>
        <w:pStyle w:val="17"/>
        <w:numPr>
          <w:ilvl w:val="0"/>
          <w:numId w:val="5"/>
        </w:numPr>
        <w:spacing w:line="600" w:lineRule="exact"/>
        <w:ind w:right="-63" w:rightChars="-30"/>
        <w:rPr>
          <w:rFonts w:asciiTheme="minorEastAsia" w:hAnsiTheme="minorEastAsia" w:eastAsiaTheme="minorEastAsia" w:cstheme="minorEastAsia"/>
          <w:sz w:val="36"/>
          <w:szCs w:val="36"/>
          <w:highlight w:val="none"/>
        </w:rPr>
      </w:pPr>
      <w:bookmarkStart w:id="237" w:name="_Toc403122540"/>
      <w:bookmarkStart w:id="238" w:name="_Toc426369530"/>
      <w:bookmarkStart w:id="239" w:name="_Toc28433"/>
      <w:bookmarkStart w:id="240" w:name="_Toc32119"/>
      <w:bookmarkStart w:id="241" w:name="_Toc8251"/>
      <w:r>
        <w:rPr>
          <w:rFonts w:hint="eastAsia" w:asciiTheme="minorEastAsia" w:hAnsiTheme="minorEastAsia" w:eastAsiaTheme="minorEastAsia" w:cstheme="minorEastAsia"/>
          <w:sz w:val="36"/>
          <w:szCs w:val="36"/>
          <w:highlight w:val="none"/>
        </w:rPr>
        <w:t>评标办法</w:t>
      </w:r>
      <w:bookmarkEnd w:id="237"/>
      <w:bookmarkEnd w:id="238"/>
      <w:bookmarkEnd w:id="239"/>
      <w:r>
        <w:rPr>
          <w:rFonts w:hint="eastAsia" w:asciiTheme="minorEastAsia" w:hAnsiTheme="minorEastAsia" w:eastAsiaTheme="minorEastAsia" w:cstheme="minorEastAsia"/>
          <w:sz w:val="36"/>
          <w:szCs w:val="36"/>
          <w:highlight w:val="none"/>
        </w:rPr>
        <w:t>（综合评分法）</w:t>
      </w:r>
      <w:bookmarkEnd w:id="240"/>
      <w:bookmarkEnd w:id="241"/>
    </w:p>
    <w:p>
      <w:pPr>
        <w:pStyle w:val="28"/>
        <w:spacing w:line="540" w:lineRule="exact"/>
        <w:jc w:val="center"/>
        <w:outlineLvl w:val="1"/>
        <w:rPr>
          <w:rFonts w:asciiTheme="minorEastAsia" w:hAnsiTheme="minorEastAsia" w:eastAsiaTheme="minorEastAsia" w:cstheme="minorEastAsia"/>
          <w:b/>
          <w:bCs/>
          <w:sz w:val="28"/>
          <w:szCs w:val="28"/>
          <w:highlight w:val="none"/>
        </w:rPr>
      </w:pPr>
      <w:bookmarkStart w:id="242" w:name="_Toc30933"/>
      <w:bookmarkStart w:id="243" w:name="_Toc21885"/>
      <w:bookmarkStart w:id="244" w:name="_Toc17859"/>
      <w:bookmarkStart w:id="245" w:name="_Toc9561"/>
      <w:bookmarkStart w:id="246" w:name="_Toc29947"/>
      <w:bookmarkStart w:id="247" w:name="_Toc16529"/>
      <w:bookmarkStart w:id="248" w:name="_Toc2761070"/>
      <w:r>
        <w:rPr>
          <w:rFonts w:hint="eastAsia" w:asciiTheme="minorEastAsia" w:hAnsiTheme="minorEastAsia" w:eastAsiaTheme="minorEastAsia" w:cstheme="minorEastAsia"/>
          <w:b/>
          <w:bCs/>
          <w:sz w:val="28"/>
          <w:szCs w:val="28"/>
          <w:highlight w:val="none"/>
        </w:rPr>
        <w:t>评分办法前附表</w:t>
      </w:r>
      <w:bookmarkEnd w:id="242"/>
      <w:bookmarkEnd w:id="243"/>
      <w:bookmarkEnd w:id="244"/>
      <w:bookmarkEnd w:id="245"/>
      <w:bookmarkEnd w:id="246"/>
    </w:p>
    <w:bookmarkEnd w:id="247"/>
    <w:tbl>
      <w:tblPr>
        <w:tblStyle w:val="20"/>
        <w:tblpPr w:leftFromText="180" w:rightFromText="180" w:vertAnchor="text" w:horzAnchor="page" w:tblpX="1155" w:tblpY="363"/>
        <w:tblOverlap w:val="never"/>
        <w:tblW w:w="9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095"/>
        <w:gridCol w:w="2084"/>
        <w:gridCol w:w="5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trPr>
        <w:tc>
          <w:tcPr>
            <w:tcW w:w="1095" w:type="dxa"/>
            <w:vAlign w:val="center"/>
          </w:tcPr>
          <w:p>
            <w:pPr>
              <w:spacing w:line="440" w:lineRule="exact"/>
              <w:jc w:val="center"/>
              <w:rPr>
                <w:rFonts w:ascii="宋体" w:hAnsi="宋体" w:cs="宋体"/>
                <w:b/>
                <w:szCs w:val="21"/>
                <w:highlight w:val="none"/>
              </w:rPr>
            </w:pPr>
            <w:bookmarkStart w:id="249" w:name="_Toc426369531"/>
            <w:bookmarkStart w:id="250" w:name="_Toc31084"/>
            <w:bookmarkStart w:id="251" w:name="_Toc403122541"/>
            <w:r>
              <w:rPr>
                <w:rFonts w:hint="eastAsia" w:ascii="宋体" w:hAnsi="宋体" w:cs="宋体"/>
                <w:b/>
                <w:bCs/>
                <w:kern w:val="0"/>
                <w:szCs w:val="21"/>
                <w:highlight w:val="none"/>
              </w:rPr>
              <w:t>审查主体</w:t>
            </w:r>
          </w:p>
        </w:tc>
        <w:tc>
          <w:tcPr>
            <w:tcW w:w="3179" w:type="dxa"/>
            <w:gridSpan w:val="2"/>
            <w:vAlign w:val="center"/>
          </w:tcPr>
          <w:p>
            <w:pPr>
              <w:spacing w:line="440" w:lineRule="exact"/>
              <w:jc w:val="center"/>
              <w:rPr>
                <w:rFonts w:ascii="宋体" w:hAnsi="宋体" w:cs="宋体"/>
                <w:b/>
                <w:szCs w:val="21"/>
                <w:highlight w:val="none"/>
              </w:rPr>
            </w:pPr>
            <w:r>
              <w:rPr>
                <w:rFonts w:hint="eastAsia" w:ascii="宋体" w:hAnsi="宋体" w:cs="宋体"/>
                <w:b/>
                <w:szCs w:val="21"/>
                <w:highlight w:val="none"/>
              </w:rPr>
              <w:t>评审因素</w:t>
            </w:r>
          </w:p>
        </w:tc>
        <w:tc>
          <w:tcPr>
            <w:tcW w:w="5602" w:type="dxa"/>
            <w:vAlign w:val="center"/>
          </w:tcPr>
          <w:p>
            <w:pPr>
              <w:tabs>
                <w:tab w:val="left" w:pos="417"/>
                <w:tab w:val="center" w:pos="2999"/>
              </w:tabs>
              <w:spacing w:line="440" w:lineRule="exact"/>
              <w:jc w:val="left"/>
              <w:rPr>
                <w:rFonts w:ascii="宋体" w:hAnsi="宋体" w:cs="宋体"/>
                <w:b/>
                <w:szCs w:val="21"/>
                <w:highlight w:val="none"/>
              </w:rPr>
            </w:pPr>
            <w:r>
              <w:rPr>
                <w:rFonts w:hint="eastAsia" w:ascii="宋体" w:hAnsi="宋体" w:cs="宋体"/>
                <w:b/>
                <w:szCs w:val="21"/>
                <w:highlight w:val="none"/>
              </w:rPr>
              <w:tab/>
            </w:r>
            <w:r>
              <w:rPr>
                <w:rFonts w:hint="eastAsia" w:ascii="宋体" w:hAnsi="宋体" w:cs="宋体"/>
                <w:b/>
                <w:szCs w:val="21"/>
                <w:highlight w:val="none"/>
              </w:rPr>
              <w:tab/>
            </w:r>
            <w:r>
              <w:rPr>
                <w:rFonts w:hint="eastAsia" w:ascii="宋体" w:hAnsi="宋体" w:cs="宋体"/>
                <w:b/>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exact"/>
        </w:trPr>
        <w:tc>
          <w:tcPr>
            <w:tcW w:w="1095" w:type="dxa"/>
            <w:vMerge w:val="restart"/>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资格审查小组</w:t>
            </w:r>
          </w:p>
        </w:tc>
        <w:tc>
          <w:tcPr>
            <w:tcW w:w="1095" w:type="dxa"/>
            <w:vMerge w:val="restart"/>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一、资格评审标准</w:t>
            </w:r>
          </w:p>
        </w:tc>
        <w:tc>
          <w:tcPr>
            <w:tcW w:w="2084" w:type="dxa"/>
            <w:vAlign w:val="center"/>
          </w:tcPr>
          <w:p>
            <w:pPr>
              <w:spacing w:line="320" w:lineRule="exact"/>
              <w:jc w:val="center"/>
              <w:rPr>
                <w:rFonts w:ascii="宋体" w:hAnsi="宋体" w:cs="宋体"/>
                <w:szCs w:val="21"/>
                <w:highlight w:val="none"/>
              </w:rPr>
            </w:pPr>
            <w:r>
              <w:rPr>
                <w:rFonts w:hint="eastAsia" w:ascii="宋体" w:hAnsi="宋体" w:cs="宋体"/>
                <w:szCs w:val="21"/>
                <w:highlight w:val="none"/>
              </w:rPr>
              <w:t>营业执照、税务登记证、组织机构代码证（或三证合一的营业执照）</w:t>
            </w:r>
          </w:p>
        </w:tc>
        <w:tc>
          <w:tcPr>
            <w:tcW w:w="5602" w:type="dxa"/>
            <w:vAlign w:val="center"/>
          </w:tcPr>
          <w:p>
            <w:pPr>
              <w:spacing w:line="320" w:lineRule="exact"/>
              <w:rPr>
                <w:rFonts w:ascii="宋体" w:hAnsi="宋体" w:cs="宋体"/>
                <w:szCs w:val="21"/>
                <w:highlight w:val="none"/>
              </w:rPr>
            </w:pPr>
            <w:r>
              <w:rPr>
                <w:rFonts w:hint="eastAsia" w:ascii="宋体" w:hAnsi="宋体" w:cs="宋体"/>
                <w:szCs w:val="21"/>
                <w:highlight w:val="none"/>
              </w:rPr>
              <w:t>提供资格承诺函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exact"/>
        </w:trPr>
        <w:tc>
          <w:tcPr>
            <w:tcW w:w="1095" w:type="dxa"/>
            <w:vMerge w:val="continue"/>
            <w:vAlign w:val="center"/>
          </w:tcPr>
          <w:p>
            <w:pPr>
              <w:spacing w:line="440" w:lineRule="exact"/>
              <w:jc w:val="center"/>
              <w:rPr>
                <w:rFonts w:ascii="宋体" w:hAnsi="宋体" w:cs="宋体"/>
                <w:szCs w:val="21"/>
                <w:highlight w:val="none"/>
              </w:rPr>
            </w:pPr>
          </w:p>
        </w:tc>
        <w:tc>
          <w:tcPr>
            <w:tcW w:w="1095" w:type="dxa"/>
            <w:vMerge w:val="continue"/>
            <w:vAlign w:val="center"/>
          </w:tcPr>
          <w:p>
            <w:pPr>
              <w:spacing w:line="440" w:lineRule="exact"/>
              <w:jc w:val="center"/>
              <w:rPr>
                <w:rFonts w:ascii="宋体" w:hAnsi="宋体" w:cs="宋体"/>
                <w:szCs w:val="21"/>
                <w:highlight w:val="none"/>
              </w:rPr>
            </w:pPr>
          </w:p>
        </w:tc>
        <w:tc>
          <w:tcPr>
            <w:tcW w:w="2084" w:type="dxa"/>
            <w:vAlign w:val="center"/>
          </w:tcPr>
          <w:p>
            <w:pPr>
              <w:spacing w:line="360" w:lineRule="exact"/>
              <w:jc w:val="center"/>
              <w:rPr>
                <w:rFonts w:ascii="宋体" w:hAnsi="宋体" w:cs="宋体"/>
                <w:szCs w:val="21"/>
                <w:highlight w:val="none"/>
                <w:lang w:bidi="hi-IN"/>
              </w:rPr>
            </w:pPr>
            <w:r>
              <w:rPr>
                <w:rFonts w:hint="eastAsia" w:ascii="宋体" w:hAnsi="宋体" w:cs="宋体"/>
                <w:szCs w:val="21"/>
                <w:highlight w:val="none"/>
              </w:rPr>
              <w:t>符合《中华人民共和国政府采购法》第二十二条之规定</w:t>
            </w:r>
          </w:p>
        </w:tc>
        <w:tc>
          <w:tcPr>
            <w:tcW w:w="5602" w:type="dxa"/>
            <w:vAlign w:val="center"/>
          </w:tcPr>
          <w:p>
            <w:pPr>
              <w:spacing w:line="360" w:lineRule="exact"/>
              <w:rPr>
                <w:rFonts w:ascii="宋体" w:hAnsi="宋体" w:cs="宋体"/>
                <w:szCs w:val="21"/>
                <w:highlight w:val="none"/>
                <w:lang w:bidi="hi-IN"/>
              </w:rPr>
            </w:pPr>
            <w:r>
              <w:rPr>
                <w:rFonts w:hint="eastAsia" w:ascii="宋体" w:hAnsi="宋体" w:cs="宋体"/>
                <w:szCs w:val="21"/>
                <w:highlight w:val="none"/>
              </w:rPr>
              <w:t>提供资格承诺函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exact"/>
        </w:trPr>
        <w:tc>
          <w:tcPr>
            <w:tcW w:w="1095" w:type="dxa"/>
            <w:vMerge w:val="continue"/>
            <w:vAlign w:val="center"/>
          </w:tcPr>
          <w:p>
            <w:pPr>
              <w:spacing w:line="440" w:lineRule="exact"/>
              <w:jc w:val="center"/>
              <w:rPr>
                <w:rFonts w:ascii="宋体" w:hAnsi="宋体" w:cs="宋体"/>
                <w:szCs w:val="21"/>
                <w:highlight w:val="none"/>
              </w:rPr>
            </w:pPr>
          </w:p>
        </w:tc>
        <w:tc>
          <w:tcPr>
            <w:tcW w:w="1095" w:type="dxa"/>
            <w:vMerge w:val="continue"/>
            <w:vAlign w:val="center"/>
          </w:tcPr>
          <w:p>
            <w:pPr>
              <w:spacing w:line="440" w:lineRule="exact"/>
              <w:jc w:val="center"/>
              <w:rPr>
                <w:rFonts w:ascii="宋体" w:hAnsi="宋体" w:cs="宋体"/>
                <w:szCs w:val="21"/>
                <w:highlight w:val="none"/>
              </w:rPr>
            </w:pPr>
          </w:p>
        </w:tc>
        <w:tc>
          <w:tcPr>
            <w:tcW w:w="2084" w:type="dxa"/>
            <w:vAlign w:val="center"/>
          </w:tcPr>
          <w:p>
            <w:pPr>
              <w:spacing w:line="360" w:lineRule="exact"/>
              <w:jc w:val="center"/>
              <w:rPr>
                <w:rFonts w:ascii="宋体" w:hAnsi="宋体" w:cs="宋体"/>
                <w:szCs w:val="21"/>
                <w:highlight w:val="none"/>
                <w:lang w:bidi="hi-IN"/>
              </w:rPr>
            </w:pPr>
            <w:r>
              <w:rPr>
                <w:rFonts w:hint="eastAsia" w:ascii="宋体" w:hAnsi="宋体" w:cs="宋体"/>
                <w:szCs w:val="21"/>
                <w:highlight w:val="none"/>
              </w:rPr>
              <w:t>法定代表人证明或法人授权委托书</w:t>
            </w:r>
          </w:p>
        </w:tc>
        <w:tc>
          <w:tcPr>
            <w:tcW w:w="5602" w:type="dxa"/>
            <w:vAlign w:val="center"/>
          </w:tcPr>
          <w:p>
            <w:pPr>
              <w:spacing w:line="360" w:lineRule="exact"/>
              <w:rPr>
                <w:rFonts w:ascii="宋体" w:hAnsi="宋体" w:cs="宋体"/>
                <w:szCs w:val="21"/>
                <w:highlight w:val="none"/>
                <w:lang w:bidi="hi-IN"/>
              </w:rPr>
            </w:pPr>
            <w:r>
              <w:rPr>
                <w:rFonts w:hint="eastAsia" w:ascii="宋体" w:hAnsi="宋体" w:cs="宋体"/>
                <w:szCs w:val="21"/>
                <w:highlight w:val="none"/>
              </w:rPr>
              <w:t>提供法定代表人（负责人）证明或法人授权委托书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exact"/>
        </w:trPr>
        <w:tc>
          <w:tcPr>
            <w:tcW w:w="1095" w:type="dxa"/>
            <w:vMerge w:val="continue"/>
            <w:vAlign w:val="center"/>
          </w:tcPr>
          <w:p>
            <w:pPr>
              <w:spacing w:line="440" w:lineRule="exact"/>
              <w:jc w:val="center"/>
              <w:rPr>
                <w:rFonts w:ascii="宋体" w:hAnsi="宋体" w:cs="宋体"/>
                <w:szCs w:val="21"/>
                <w:highlight w:val="none"/>
              </w:rPr>
            </w:pPr>
          </w:p>
        </w:tc>
        <w:tc>
          <w:tcPr>
            <w:tcW w:w="1095" w:type="dxa"/>
            <w:vMerge w:val="continue"/>
            <w:vAlign w:val="center"/>
          </w:tcPr>
          <w:p>
            <w:pPr>
              <w:spacing w:line="440" w:lineRule="exact"/>
              <w:jc w:val="center"/>
              <w:rPr>
                <w:rFonts w:ascii="宋体" w:hAnsi="宋体" w:cs="宋体"/>
                <w:szCs w:val="21"/>
                <w:highlight w:val="none"/>
              </w:rPr>
            </w:pPr>
          </w:p>
        </w:tc>
        <w:tc>
          <w:tcPr>
            <w:tcW w:w="2084" w:type="dxa"/>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信誉要求</w:t>
            </w:r>
          </w:p>
        </w:tc>
        <w:tc>
          <w:tcPr>
            <w:tcW w:w="5602" w:type="dxa"/>
            <w:vAlign w:val="center"/>
          </w:tcPr>
          <w:p>
            <w:pPr>
              <w:spacing w:line="360" w:lineRule="exact"/>
              <w:rPr>
                <w:rFonts w:ascii="宋体" w:hAnsi="宋体" w:cs="宋体"/>
                <w:szCs w:val="21"/>
                <w:highlight w:val="none"/>
              </w:rPr>
            </w:pPr>
            <w:r>
              <w:rPr>
                <w:rFonts w:hint="eastAsia" w:ascii="宋体" w:hAnsi="宋体" w:cs="宋体"/>
                <w:szCs w:val="21"/>
                <w:highlight w:val="none"/>
              </w:rPr>
              <w:t>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的投标人，拒绝参与政府采购活动，同时对信用信息查询记录和证据进行打印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95" w:type="dxa"/>
            <w:vMerge w:val="continue"/>
            <w:tcBorders>
              <w:bottom w:val="single" w:color="auto" w:sz="4" w:space="0"/>
            </w:tcBorders>
            <w:vAlign w:val="center"/>
          </w:tcPr>
          <w:p>
            <w:pPr>
              <w:spacing w:line="440" w:lineRule="exact"/>
              <w:jc w:val="center"/>
              <w:rPr>
                <w:rFonts w:ascii="宋体" w:hAnsi="宋体" w:cs="宋体"/>
                <w:szCs w:val="21"/>
                <w:highlight w:val="none"/>
              </w:rPr>
            </w:pPr>
          </w:p>
        </w:tc>
        <w:tc>
          <w:tcPr>
            <w:tcW w:w="1095" w:type="dxa"/>
            <w:vMerge w:val="continue"/>
            <w:tcBorders>
              <w:bottom w:val="single" w:color="auto" w:sz="4" w:space="0"/>
            </w:tcBorders>
            <w:vAlign w:val="center"/>
          </w:tcPr>
          <w:p>
            <w:pPr>
              <w:spacing w:line="440" w:lineRule="exact"/>
              <w:jc w:val="center"/>
              <w:rPr>
                <w:rFonts w:ascii="宋体" w:hAnsi="宋体" w:cs="宋体"/>
                <w:szCs w:val="21"/>
                <w:highlight w:val="none"/>
              </w:rPr>
            </w:pPr>
          </w:p>
        </w:tc>
        <w:tc>
          <w:tcPr>
            <w:tcW w:w="2084" w:type="dxa"/>
            <w:tcBorders>
              <w:bottom w:val="single" w:color="auto" w:sz="4" w:space="0"/>
            </w:tcBorders>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其他要求</w:t>
            </w:r>
          </w:p>
        </w:tc>
        <w:tc>
          <w:tcPr>
            <w:tcW w:w="5602" w:type="dxa"/>
            <w:tcBorders>
              <w:bottom w:val="single" w:color="auto" w:sz="4" w:space="0"/>
            </w:tcBorders>
            <w:vAlign w:val="center"/>
          </w:tcPr>
          <w:p>
            <w:pPr>
              <w:spacing w:line="360" w:lineRule="exact"/>
              <w:rPr>
                <w:rFonts w:ascii="宋体" w:hAnsi="宋体" w:cs="宋体"/>
                <w:szCs w:val="21"/>
                <w:highlight w:val="none"/>
              </w:rPr>
            </w:pPr>
            <w:r>
              <w:rPr>
                <w:rFonts w:hint="eastAsia" w:ascii="宋体" w:hAnsi="宋体" w:cs="宋体"/>
                <w:szCs w:val="21"/>
                <w:highlight w:val="none"/>
              </w:rPr>
              <w:t>符合招标文件资格要求的其他要求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trPr>
        <w:tc>
          <w:tcPr>
            <w:tcW w:w="1095"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评标委员会</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二、形式评审标准</w:t>
            </w:r>
          </w:p>
        </w:tc>
        <w:tc>
          <w:tcPr>
            <w:tcW w:w="20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供应商名称</w:t>
            </w:r>
          </w:p>
        </w:tc>
        <w:tc>
          <w:tcPr>
            <w:tcW w:w="560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highlight w:val="none"/>
              </w:rPr>
            </w:pPr>
            <w:r>
              <w:rPr>
                <w:rFonts w:hint="eastAsia" w:ascii="宋体" w:hAnsi="宋体" w:cs="宋体"/>
                <w:szCs w:val="21"/>
                <w:highlight w:val="none"/>
              </w:rPr>
              <w:t>与营业执照等证件一致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trPr>
        <w:tc>
          <w:tcPr>
            <w:tcW w:w="1095"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p>
        </w:tc>
        <w:tc>
          <w:tcPr>
            <w:tcW w:w="20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投标函签字盖章</w:t>
            </w:r>
          </w:p>
        </w:tc>
        <w:tc>
          <w:tcPr>
            <w:tcW w:w="560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highlight w:val="none"/>
              </w:rPr>
            </w:pPr>
            <w:r>
              <w:rPr>
                <w:rFonts w:hint="eastAsia" w:ascii="宋体" w:hAnsi="宋体" w:cs="宋体"/>
                <w:szCs w:val="21"/>
                <w:highlight w:val="none"/>
              </w:rPr>
              <w:t>加盖单位公章并有法定代表人或其委托代理人签字或盖章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095"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p>
        </w:tc>
        <w:tc>
          <w:tcPr>
            <w:tcW w:w="20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投标文件格式</w:t>
            </w:r>
          </w:p>
        </w:tc>
        <w:tc>
          <w:tcPr>
            <w:tcW w:w="560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Cs w:val="21"/>
                <w:highlight w:val="none"/>
              </w:rPr>
            </w:pPr>
            <w:r>
              <w:rPr>
                <w:rFonts w:hint="eastAsia" w:ascii="宋体" w:hAnsi="宋体" w:cs="宋体"/>
                <w:szCs w:val="21"/>
                <w:highlight w:val="none"/>
              </w:rPr>
              <w:t>符合招标文件格式要求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exact"/>
        </w:trPr>
        <w:tc>
          <w:tcPr>
            <w:tcW w:w="1095"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p>
        </w:tc>
        <w:tc>
          <w:tcPr>
            <w:tcW w:w="20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报价唯一</w:t>
            </w:r>
          </w:p>
        </w:tc>
        <w:tc>
          <w:tcPr>
            <w:tcW w:w="560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highlight w:val="none"/>
              </w:rPr>
            </w:pPr>
            <w:r>
              <w:rPr>
                <w:rFonts w:hint="eastAsia" w:ascii="宋体" w:hAnsi="宋体" w:cs="宋体"/>
                <w:szCs w:val="21"/>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exact"/>
        </w:trPr>
        <w:tc>
          <w:tcPr>
            <w:tcW w:w="1095"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p>
        </w:tc>
        <w:tc>
          <w:tcPr>
            <w:tcW w:w="1095"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三、响应性评审标准</w:t>
            </w:r>
          </w:p>
        </w:tc>
        <w:tc>
          <w:tcPr>
            <w:tcW w:w="20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bCs/>
                <w:iCs/>
                <w:szCs w:val="21"/>
                <w:highlight w:val="none"/>
              </w:rPr>
              <w:t>供货安装期</w:t>
            </w:r>
          </w:p>
        </w:tc>
        <w:tc>
          <w:tcPr>
            <w:tcW w:w="560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highlight w:val="none"/>
              </w:rPr>
            </w:pPr>
            <w:r>
              <w:rPr>
                <w:rFonts w:hint="eastAsia" w:ascii="宋体" w:hAnsi="宋体" w:cs="宋体"/>
                <w:szCs w:val="21"/>
                <w:highlight w:val="none"/>
              </w:rPr>
              <w:t>合同签订后30日历天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trPr>
        <w:tc>
          <w:tcPr>
            <w:tcW w:w="1095"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highlight w:val="none"/>
              </w:rPr>
            </w:pPr>
          </w:p>
        </w:tc>
        <w:tc>
          <w:tcPr>
            <w:tcW w:w="1095"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highlight w:val="none"/>
              </w:rPr>
            </w:pPr>
          </w:p>
        </w:tc>
        <w:tc>
          <w:tcPr>
            <w:tcW w:w="20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质  量</w:t>
            </w:r>
          </w:p>
        </w:tc>
        <w:tc>
          <w:tcPr>
            <w:tcW w:w="560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highlight w:val="none"/>
              </w:rPr>
            </w:pPr>
            <w:r>
              <w:rPr>
                <w:rFonts w:hint="eastAsia" w:ascii="宋体" w:hAnsi="宋体" w:cs="宋体"/>
                <w:szCs w:val="21"/>
                <w:highlight w:val="none"/>
              </w:rPr>
              <w:t>合格，符合国家及行业规范标准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trPr>
        <w:tc>
          <w:tcPr>
            <w:tcW w:w="1095"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highlight w:val="none"/>
              </w:rPr>
            </w:pPr>
          </w:p>
        </w:tc>
        <w:tc>
          <w:tcPr>
            <w:tcW w:w="1095"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highlight w:val="none"/>
              </w:rPr>
            </w:pPr>
          </w:p>
        </w:tc>
        <w:tc>
          <w:tcPr>
            <w:tcW w:w="20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质保期</w:t>
            </w:r>
          </w:p>
        </w:tc>
        <w:tc>
          <w:tcPr>
            <w:tcW w:w="5602"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硬件</w:t>
            </w:r>
            <w:r>
              <w:rPr>
                <w:rFonts w:hint="eastAsia" w:ascii="宋体" w:hAnsi="宋体" w:cs="宋体"/>
                <w:szCs w:val="21"/>
                <w:highlight w:val="none"/>
              </w:rPr>
              <w:t>一年</w:t>
            </w:r>
            <w:r>
              <w:rPr>
                <w:rFonts w:hint="eastAsia" w:ascii="宋体" w:hAnsi="宋体" w:cs="宋体"/>
                <w:szCs w:val="21"/>
                <w:highlight w:val="none"/>
                <w:lang w:eastAsia="zh-CN"/>
              </w:rPr>
              <w:t>，</w:t>
            </w:r>
            <w:r>
              <w:rPr>
                <w:rFonts w:hint="eastAsia" w:ascii="宋体" w:hAnsi="宋体" w:cs="宋体"/>
                <w:szCs w:val="21"/>
                <w:highlight w:val="none"/>
                <w:lang w:val="en-US" w:eastAsia="zh-CN"/>
              </w:rPr>
              <w:t>软件三年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1095"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highlight w:val="none"/>
              </w:rPr>
            </w:pPr>
          </w:p>
        </w:tc>
        <w:tc>
          <w:tcPr>
            <w:tcW w:w="1095"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highlight w:val="none"/>
              </w:rPr>
            </w:pPr>
          </w:p>
        </w:tc>
        <w:tc>
          <w:tcPr>
            <w:tcW w:w="20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商务报价</w:t>
            </w:r>
          </w:p>
        </w:tc>
        <w:tc>
          <w:tcPr>
            <w:tcW w:w="560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Cs w:val="21"/>
                <w:highlight w:val="none"/>
              </w:rPr>
            </w:pPr>
            <w:r>
              <w:rPr>
                <w:rFonts w:hint="eastAsia" w:ascii="宋体" w:hAnsi="宋体" w:cs="宋体"/>
                <w:szCs w:val="21"/>
                <w:highlight w:val="none"/>
              </w:rPr>
              <w:t>只能有一个有效报价，且不能超过招标控制价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trPr>
        <w:tc>
          <w:tcPr>
            <w:tcW w:w="1095"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highlight w:val="none"/>
              </w:rPr>
            </w:pPr>
          </w:p>
        </w:tc>
        <w:tc>
          <w:tcPr>
            <w:tcW w:w="1095"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highlight w:val="none"/>
              </w:rPr>
            </w:pPr>
          </w:p>
        </w:tc>
        <w:tc>
          <w:tcPr>
            <w:tcW w:w="20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投标有效期</w:t>
            </w:r>
          </w:p>
        </w:tc>
        <w:tc>
          <w:tcPr>
            <w:tcW w:w="560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highlight w:val="none"/>
              </w:rPr>
            </w:pPr>
            <w:r>
              <w:rPr>
                <w:rFonts w:hint="eastAsia" w:ascii="宋体" w:hAnsi="宋体" w:cs="宋体"/>
                <w:szCs w:val="21"/>
                <w:highlight w:val="none"/>
              </w:rPr>
              <w:t>60日历天（从投标截止之日算起）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trPr>
        <w:tc>
          <w:tcPr>
            <w:tcW w:w="1095"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highlight w:val="none"/>
              </w:rPr>
            </w:pPr>
          </w:p>
        </w:tc>
        <w:tc>
          <w:tcPr>
            <w:tcW w:w="1095"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highlight w:val="none"/>
              </w:rPr>
            </w:pPr>
          </w:p>
        </w:tc>
        <w:tc>
          <w:tcPr>
            <w:tcW w:w="20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权利义务</w:t>
            </w:r>
          </w:p>
        </w:tc>
        <w:tc>
          <w:tcPr>
            <w:tcW w:w="560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highlight w:val="none"/>
              </w:rPr>
            </w:pPr>
            <w:r>
              <w:rPr>
                <w:rFonts w:hint="eastAsia" w:ascii="宋体" w:hAnsi="宋体" w:cs="宋体"/>
                <w:szCs w:val="21"/>
                <w:highlight w:val="none"/>
              </w:rPr>
              <w:t>符合招标文件第四章“合同条款及格式”规定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trPr>
        <w:tc>
          <w:tcPr>
            <w:tcW w:w="1095"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highlight w:val="none"/>
              </w:rPr>
            </w:pPr>
          </w:p>
        </w:tc>
        <w:tc>
          <w:tcPr>
            <w:tcW w:w="1095"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highlight w:val="none"/>
              </w:rPr>
            </w:pPr>
          </w:p>
        </w:tc>
        <w:tc>
          <w:tcPr>
            <w:tcW w:w="20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技术标准和要求</w:t>
            </w:r>
          </w:p>
        </w:tc>
        <w:tc>
          <w:tcPr>
            <w:tcW w:w="560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highlight w:val="none"/>
              </w:rPr>
            </w:pPr>
            <w:r>
              <w:rPr>
                <w:rFonts w:hint="eastAsia" w:ascii="宋体" w:hAnsi="宋体" w:cs="宋体"/>
                <w:szCs w:val="21"/>
                <w:highlight w:val="none"/>
              </w:rPr>
              <w:t>符合“采购内容及要求”规定，若不符合技术标准和要求规定，将不再进行评审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trPr>
        <w:tc>
          <w:tcPr>
            <w:tcW w:w="1095"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highlight w:val="none"/>
              </w:rPr>
            </w:pPr>
          </w:p>
        </w:tc>
        <w:tc>
          <w:tcPr>
            <w:tcW w:w="1095"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szCs w:val="21"/>
                <w:highlight w:val="none"/>
              </w:rPr>
            </w:pPr>
          </w:p>
        </w:tc>
        <w:tc>
          <w:tcPr>
            <w:tcW w:w="20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投标文件的其他响应</w:t>
            </w:r>
          </w:p>
        </w:tc>
        <w:tc>
          <w:tcPr>
            <w:tcW w:w="560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Cs w:val="21"/>
                <w:highlight w:val="none"/>
              </w:rPr>
            </w:pPr>
            <w:r>
              <w:rPr>
                <w:rFonts w:hint="eastAsia" w:ascii="宋体" w:hAnsi="宋体" w:cs="宋体"/>
                <w:szCs w:val="21"/>
                <w:highlight w:val="none"/>
              </w:rPr>
              <w:t>符合法律、法规和招标文件中规定的其他实质性要求的</w:t>
            </w:r>
          </w:p>
        </w:tc>
      </w:tr>
    </w:tbl>
    <w:p>
      <w:pPr>
        <w:widowControl/>
        <w:jc w:val="center"/>
        <w:rPr>
          <w:rFonts w:ascii="宋体" w:hAnsi="宋体" w:cs="宋体"/>
          <w:b/>
          <w:sz w:val="24"/>
          <w:highlight w:val="none"/>
        </w:rPr>
      </w:pPr>
    </w:p>
    <w:p>
      <w:pPr>
        <w:widowControl/>
        <w:jc w:val="center"/>
        <w:rPr>
          <w:rFonts w:ascii="宋体" w:hAnsi="宋体" w:cs="宋体"/>
          <w:b/>
          <w:sz w:val="24"/>
          <w:highlight w:val="none"/>
        </w:rPr>
      </w:pPr>
      <w:r>
        <w:rPr>
          <w:rFonts w:hint="eastAsia" w:ascii="宋体" w:hAnsi="宋体" w:cs="宋体"/>
          <w:b/>
          <w:sz w:val="24"/>
          <w:highlight w:val="none"/>
        </w:rPr>
        <w:t>评分标准</w:t>
      </w:r>
    </w:p>
    <w:p>
      <w:pPr>
        <w:widowControl/>
        <w:jc w:val="left"/>
        <w:rPr>
          <w:rFonts w:ascii="宋体" w:hAnsi="宋体" w:cs="宋体"/>
          <w:sz w:val="24"/>
          <w:highlight w:val="none"/>
        </w:rPr>
      </w:pPr>
    </w:p>
    <w:tbl>
      <w:tblPr>
        <w:tblStyle w:val="20"/>
        <w:tblpPr w:leftFromText="180" w:rightFromText="180" w:vertAnchor="text" w:horzAnchor="page" w:tblpX="1048" w:tblpY="111"/>
        <w:tblOverlap w:val="never"/>
        <w:tblW w:w="100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5"/>
        <w:gridCol w:w="812"/>
        <w:gridCol w:w="1063"/>
        <w:gridCol w:w="1032"/>
        <w:gridCol w:w="6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trPr>
        <w:tc>
          <w:tcPr>
            <w:tcW w:w="825" w:type="dxa"/>
            <w:vAlign w:val="center"/>
          </w:tcPr>
          <w:p>
            <w:pPr>
              <w:pStyle w:val="31"/>
              <w:jc w:val="center"/>
              <w:rPr>
                <w:szCs w:val="21"/>
                <w:highlight w:val="none"/>
              </w:rPr>
            </w:pPr>
            <w:r>
              <w:rPr>
                <w:rFonts w:hint="eastAsia"/>
                <w:szCs w:val="21"/>
                <w:highlight w:val="none"/>
              </w:rPr>
              <w:t>序号</w:t>
            </w:r>
          </w:p>
        </w:tc>
        <w:tc>
          <w:tcPr>
            <w:tcW w:w="812" w:type="dxa"/>
            <w:vAlign w:val="center"/>
          </w:tcPr>
          <w:p>
            <w:pPr>
              <w:pStyle w:val="31"/>
              <w:jc w:val="center"/>
              <w:rPr>
                <w:szCs w:val="21"/>
                <w:highlight w:val="none"/>
              </w:rPr>
            </w:pPr>
            <w:r>
              <w:rPr>
                <w:rFonts w:hint="eastAsia"/>
                <w:szCs w:val="21"/>
                <w:highlight w:val="none"/>
              </w:rPr>
              <w:t>内容</w:t>
            </w:r>
          </w:p>
        </w:tc>
        <w:tc>
          <w:tcPr>
            <w:tcW w:w="1063" w:type="dxa"/>
            <w:vAlign w:val="center"/>
          </w:tcPr>
          <w:p>
            <w:pPr>
              <w:pStyle w:val="31"/>
              <w:jc w:val="center"/>
              <w:rPr>
                <w:szCs w:val="21"/>
                <w:highlight w:val="none"/>
              </w:rPr>
            </w:pPr>
            <w:r>
              <w:rPr>
                <w:rFonts w:hint="eastAsia"/>
                <w:szCs w:val="21"/>
                <w:highlight w:val="none"/>
              </w:rPr>
              <w:t>评标因素</w:t>
            </w:r>
          </w:p>
        </w:tc>
        <w:tc>
          <w:tcPr>
            <w:tcW w:w="1032" w:type="dxa"/>
            <w:vAlign w:val="center"/>
          </w:tcPr>
          <w:p>
            <w:pPr>
              <w:pStyle w:val="31"/>
              <w:jc w:val="center"/>
              <w:rPr>
                <w:szCs w:val="21"/>
                <w:highlight w:val="none"/>
              </w:rPr>
            </w:pPr>
            <w:r>
              <w:rPr>
                <w:rFonts w:hint="eastAsia"/>
                <w:szCs w:val="21"/>
                <w:highlight w:val="none"/>
              </w:rPr>
              <w:t>分值</w:t>
            </w:r>
          </w:p>
        </w:tc>
        <w:tc>
          <w:tcPr>
            <w:tcW w:w="6337" w:type="dxa"/>
            <w:vAlign w:val="center"/>
          </w:tcPr>
          <w:p>
            <w:pPr>
              <w:pStyle w:val="31"/>
              <w:jc w:val="center"/>
              <w:rPr>
                <w:szCs w:val="21"/>
                <w:highlight w:val="none"/>
              </w:rPr>
            </w:pPr>
            <w:r>
              <w:rPr>
                <w:rFonts w:hint="eastAsia"/>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825" w:type="dxa"/>
            <w:vAlign w:val="center"/>
          </w:tcPr>
          <w:p>
            <w:pPr>
              <w:jc w:val="center"/>
              <w:rPr>
                <w:rFonts w:ascii="宋体" w:hAnsi="宋体" w:cs="宋体"/>
                <w:spacing w:val="-3"/>
                <w:szCs w:val="21"/>
                <w:highlight w:val="none"/>
              </w:rPr>
            </w:pPr>
            <w:r>
              <w:rPr>
                <w:rFonts w:hint="eastAsia" w:ascii="宋体" w:hAnsi="宋体" w:cs="宋体"/>
                <w:szCs w:val="21"/>
                <w:highlight w:val="none"/>
              </w:rPr>
              <w:t>1</w:t>
            </w:r>
          </w:p>
        </w:tc>
        <w:tc>
          <w:tcPr>
            <w:tcW w:w="812" w:type="dxa"/>
            <w:vAlign w:val="center"/>
          </w:tcPr>
          <w:p>
            <w:pPr>
              <w:jc w:val="center"/>
              <w:rPr>
                <w:rFonts w:ascii="宋体" w:hAnsi="宋体" w:cs="宋体"/>
                <w:spacing w:val="-3"/>
                <w:szCs w:val="21"/>
                <w:highlight w:val="none"/>
              </w:rPr>
            </w:pPr>
            <w:r>
              <w:rPr>
                <w:rFonts w:hint="eastAsia" w:ascii="宋体" w:hAnsi="宋体" w:cs="宋体"/>
                <w:szCs w:val="21"/>
                <w:highlight w:val="none"/>
              </w:rPr>
              <w:t>报价部分（30分）</w:t>
            </w:r>
          </w:p>
        </w:tc>
        <w:tc>
          <w:tcPr>
            <w:tcW w:w="1063" w:type="dxa"/>
            <w:vAlign w:val="center"/>
          </w:tcPr>
          <w:p>
            <w:pPr>
              <w:jc w:val="center"/>
              <w:rPr>
                <w:rFonts w:ascii="宋体" w:hAnsi="宋体" w:cs="宋体"/>
                <w:szCs w:val="21"/>
                <w:highlight w:val="none"/>
              </w:rPr>
            </w:pPr>
            <w:r>
              <w:rPr>
                <w:rFonts w:hint="eastAsia" w:ascii="宋体" w:hAnsi="宋体" w:cs="宋体"/>
                <w:szCs w:val="21"/>
                <w:highlight w:val="none"/>
              </w:rPr>
              <w:t>投标报价</w:t>
            </w:r>
          </w:p>
        </w:tc>
        <w:tc>
          <w:tcPr>
            <w:tcW w:w="1032" w:type="dxa"/>
            <w:vAlign w:val="center"/>
          </w:tcPr>
          <w:p>
            <w:pPr>
              <w:jc w:val="center"/>
              <w:rPr>
                <w:rFonts w:ascii="宋体" w:hAnsi="宋体" w:cs="宋体"/>
                <w:szCs w:val="21"/>
                <w:highlight w:val="none"/>
              </w:rPr>
            </w:pPr>
            <w:r>
              <w:rPr>
                <w:rFonts w:hint="eastAsia" w:ascii="宋体" w:hAnsi="宋体" w:cs="宋体"/>
                <w:szCs w:val="21"/>
                <w:highlight w:val="none"/>
              </w:rPr>
              <w:t>30分</w:t>
            </w:r>
          </w:p>
        </w:tc>
        <w:tc>
          <w:tcPr>
            <w:tcW w:w="6337" w:type="dxa"/>
            <w:vAlign w:val="center"/>
          </w:tcPr>
          <w:p>
            <w:pPr>
              <w:rPr>
                <w:szCs w:val="21"/>
                <w:highlight w:val="none"/>
              </w:rPr>
            </w:pPr>
            <w:r>
              <w:rPr>
                <w:rFonts w:hint="eastAsia"/>
                <w:szCs w:val="21"/>
                <w:highlight w:val="none"/>
              </w:rPr>
              <w:t>投标报价分采用低价优先法计算，即满足招标文件要求且投标报价</w:t>
            </w:r>
          </w:p>
          <w:p>
            <w:pPr>
              <w:rPr>
                <w:szCs w:val="21"/>
                <w:highlight w:val="none"/>
              </w:rPr>
            </w:pPr>
            <w:r>
              <w:rPr>
                <w:rFonts w:hint="eastAsia"/>
                <w:szCs w:val="21"/>
                <w:highlight w:val="none"/>
              </w:rPr>
              <w:t>最低的为评审基准价，其价格分为满分（即30分）。其他投标人</w:t>
            </w:r>
          </w:p>
          <w:p>
            <w:pPr>
              <w:rPr>
                <w:szCs w:val="21"/>
                <w:highlight w:val="none"/>
              </w:rPr>
            </w:pPr>
            <w:r>
              <w:rPr>
                <w:rFonts w:hint="eastAsia"/>
                <w:szCs w:val="21"/>
                <w:highlight w:val="none"/>
              </w:rPr>
              <w:t>的价格分统一按照下列公式计算：</w:t>
            </w:r>
          </w:p>
          <w:p>
            <w:pPr>
              <w:rPr>
                <w:szCs w:val="21"/>
                <w:highlight w:val="none"/>
              </w:rPr>
            </w:pPr>
            <w:r>
              <w:rPr>
                <w:rFonts w:hint="eastAsia"/>
                <w:szCs w:val="21"/>
                <w:highlight w:val="none"/>
              </w:rPr>
              <w:t>报价得分=(评标基准价／投标报价)×价格权值（30分）。</w:t>
            </w:r>
          </w:p>
          <w:p>
            <w:pPr>
              <w:rPr>
                <w:szCs w:val="21"/>
                <w:highlight w:val="none"/>
              </w:rPr>
            </w:pPr>
            <w:r>
              <w:rPr>
                <w:rFonts w:hint="eastAsia"/>
                <w:szCs w:val="21"/>
                <w:highlight w:val="none"/>
              </w:rPr>
              <w:t>注：以上计算过程中按四舍五入保留两位小数。</w:t>
            </w:r>
          </w:p>
          <w:p>
            <w:pPr>
              <w:rPr>
                <w:szCs w:val="21"/>
                <w:highlight w:val="none"/>
              </w:rPr>
            </w:pPr>
            <w:r>
              <w:rPr>
                <w:rFonts w:hint="eastAsia"/>
                <w:szCs w:val="21"/>
                <w:highlight w:val="none"/>
              </w:rPr>
              <w:t>1.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pPr>
              <w:rPr>
                <w:szCs w:val="21"/>
                <w:highlight w:val="none"/>
              </w:rPr>
            </w:pPr>
            <w:r>
              <w:rPr>
                <w:rFonts w:hint="eastAsia"/>
                <w:szCs w:val="21"/>
                <w:highlight w:val="none"/>
              </w:rPr>
              <w:t>2对小型或微型企业投标的扶持：（如有）</w:t>
            </w:r>
          </w:p>
          <w:p>
            <w:pPr>
              <w:rPr>
                <w:szCs w:val="21"/>
                <w:highlight w:val="none"/>
              </w:rPr>
            </w:pPr>
            <w:r>
              <w:rPr>
                <w:rFonts w:hint="eastAsia"/>
                <w:szCs w:val="21"/>
                <w:highlight w:val="none"/>
              </w:rPr>
              <w:t>2.1投标供应商为小型或微型企业时，报价给予C1的价格扣除（C1的取值为20%），即：评标价＝投标报价（最后报价）×(1－C1）；</w:t>
            </w:r>
          </w:p>
          <w:p>
            <w:pPr>
              <w:rPr>
                <w:szCs w:val="21"/>
                <w:highlight w:val="none"/>
              </w:rPr>
            </w:pPr>
            <w:r>
              <w:rPr>
                <w:rFonts w:hint="eastAsia"/>
                <w:szCs w:val="21"/>
                <w:highlight w:val="none"/>
              </w:rPr>
              <w:t>小微企业应当提供《中小企业声明函》（见格式）。</w:t>
            </w:r>
          </w:p>
          <w:p>
            <w:pPr>
              <w:rPr>
                <w:szCs w:val="21"/>
                <w:highlight w:val="none"/>
              </w:rPr>
            </w:pPr>
            <w:r>
              <w:rPr>
                <w:rFonts w:hint="eastAsia"/>
                <w:szCs w:val="21"/>
                <w:highlight w:val="none"/>
              </w:rPr>
              <w:t>2.2按照《政府采购促进中小企业发展管理办法》有关规定，中小企业的标准为：</w:t>
            </w:r>
          </w:p>
          <w:p>
            <w:pPr>
              <w:rPr>
                <w:szCs w:val="21"/>
                <w:highlight w:val="none"/>
              </w:rPr>
            </w:pPr>
            <w:r>
              <w:rPr>
                <w:rFonts w:hint="eastAsia"/>
                <w:szCs w:val="21"/>
                <w:highlight w:val="none"/>
              </w:rPr>
              <w:t>2.2.1提供本企业制造的货物、承担的工程或者服务，或者提供其他中小企业制造的货物，不包括提供或使用大型企业注册商标的货物；</w:t>
            </w:r>
          </w:p>
          <w:p>
            <w:pPr>
              <w:rPr>
                <w:szCs w:val="21"/>
                <w:highlight w:val="none"/>
              </w:rPr>
            </w:pPr>
            <w:r>
              <w:rPr>
                <w:rFonts w:hint="eastAsia"/>
                <w:szCs w:val="21"/>
                <w:highlight w:val="none"/>
              </w:rPr>
              <w:t>2.2.2本规定所称中小企业划分标准，是指国务院有关部门根据企业从业人员、营业收入、资产总额等指标制定的中小企业划型标准（工信部联企业[2011]300号）；</w:t>
            </w:r>
          </w:p>
          <w:p>
            <w:pPr>
              <w:rPr>
                <w:szCs w:val="21"/>
                <w:highlight w:val="none"/>
              </w:rPr>
            </w:pPr>
            <w:r>
              <w:rPr>
                <w:rFonts w:hint="eastAsia"/>
                <w:szCs w:val="21"/>
                <w:highlight w:val="none"/>
              </w:rPr>
              <w:t>2.2.3小型、微型企业提供有中型企业制造的货物的，视同为中型企业；小型、微型、中型企业提供有大型企业制造的货物的，视同为大型企业。</w:t>
            </w:r>
          </w:p>
          <w:p>
            <w:pPr>
              <w:rPr>
                <w:szCs w:val="21"/>
                <w:highlight w:val="none"/>
              </w:rPr>
            </w:pPr>
            <w:r>
              <w:rPr>
                <w:rFonts w:hint="eastAsia"/>
                <w:szCs w:val="21"/>
                <w:highlight w:val="none"/>
              </w:rPr>
              <w:t>3、根据财政部司法部《关于政府采购支持监狱企业发展有关问题的通知》（财库〔2014〕68号）和财政部民政部中国残疾人联合会《关于促进残疾人就业政府采购政策的通知》（财库〔2017〕141号）规定，本项目对监狱企业、残疾人福利性企业作为投标人所提供的本企业生产的产品的价格给予20%的扣除。</w:t>
            </w:r>
          </w:p>
          <w:p>
            <w:pPr>
              <w:rPr>
                <w:rFonts w:ascii="宋体" w:hAnsi="宋体" w:cs="宋体"/>
                <w:szCs w:val="21"/>
                <w:highlight w:val="none"/>
              </w:rPr>
            </w:pPr>
            <w:r>
              <w:rPr>
                <w:rFonts w:hint="eastAsia"/>
                <w:szCs w:val="21"/>
                <w:highlight w:val="none"/>
              </w:rPr>
              <w:t>同一投标人，小微企业、监狱、残疾人福利性企业同一产品价格扣除优惠只享受一次，不得重复享受。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3" w:hRule="atLeast"/>
        </w:trPr>
        <w:tc>
          <w:tcPr>
            <w:tcW w:w="825" w:type="dxa"/>
            <w:vMerge w:val="restart"/>
            <w:vAlign w:val="center"/>
          </w:tcPr>
          <w:p>
            <w:pPr>
              <w:jc w:val="center"/>
              <w:rPr>
                <w:rFonts w:ascii="宋体" w:hAnsi="宋体" w:cs="宋体"/>
                <w:szCs w:val="21"/>
                <w:highlight w:val="none"/>
              </w:rPr>
            </w:pPr>
            <w:r>
              <w:rPr>
                <w:rFonts w:hint="eastAsia" w:ascii="宋体" w:hAnsi="宋体" w:cs="宋体"/>
                <w:szCs w:val="21"/>
                <w:highlight w:val="none"/>
              </w:rPr>
              <w:t>2</w:t>
            </w:r>
          </w:p>
        </w:tc>
        <w:tc>
          <w:tcPr>
            <w:tcW w:w="812" w:type="dxa"/>
            <w:vMerge w:val="restart"/>
            <w:vAlign w:val="center"/>
          </w:tcPr>
          <w:p>
            <w:pPr>
              <w:jc w:val="center"/>
              <w:rPr>
                <w:rFonts w:ascii="宋体" w:hAnsi="宋体" w:cs="宋体"/>
                <w:szCs w:val="21"/>
                <w:highlight w:val="none"/>
              </w:rPr>
            </w:pPr>
            <w:r>
              <w:rPr>
                <w:rFonts w:hint="eastAsia" w:ascii="宋体" w:hAnsi="宋体" w:cs="宋体"/>
                <w:szCs w:val="21"/>
                <w:highlight w:val="none"/>
              </w:rPr>
              <w:t>技术部分（5</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1063" w:type="dxa"/>
            <w:vAlign w:val="center"/>
          </w:tcPr>
          <w:p>
            <w:pPr>
              <w:pStyle w:val="19"/>
              <w:ind w:firstLine="0" w:firstLineChars="0"/>
              <w:jc w:val="center"/>
              <w:rPr>
                <w:rFonts w:ascii="宋体" w:hAnsi="宋体" w:cs="宋体"/>
                <w:szCs w:val="21"/>
                <w:highlight w:val="none"/>
                <w:lang w:bidi="hi-IN"/>
              </w:rPr>
            </w:pPr>
            <w:r>
              <w:rPr>
                <w:rFonts w:hint="eastAsia" w:ascii="宋体" w:hAnsi="宋体" w:cs="宋体"/>
                <w:szCs w:val="21"/>
                <w:highlight w:val="none"/>
                <w:lang w:bidi="hi-IN"/>
              </w:rPr>
              <w:t>技术参数</w:t>
            </w:r>
          </w:p>
        </w:tc>
        <w:tc>
          <w:tcPr>
            <w:tcW w:w="1032" w:type="dxa"/>
            <w:vAlign w:val="center"/>
          </w:tcPr>
          <w:p>
            <w:pPr>
              <w:jc w:val="center"/>
              <w:rPr>
                <w:rFonts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6337" w:type="dxa"/>
            <w:vAlign w:val="center"/>
          </w:tcPr>
          <w:p>
            <w:pPr>
              <w:jc w:val="left"/>
              <w:rPr>
                <w:rFonts w:ascii="宋体" w:hAnsi="宋体" w:cs="宋体"/>
                <w:szCs w:val="21"/>
                <w:highlight w:val="none"/>
              </w:rPr>
            </w:pPr>
            <w:r>
              <w:rPr>
                <w:rFonts w:hint="eastAsia" w:ascii="宋体" w:hAnsi="宋体" w:cs="宋体"/>
                <w:szCs w:val="21"/>
                <w:highlight w:val="none"/>
              </w:rPr>
              <w:t>投标产品参数必须完全满足招标文件参数，完全满足的得3</w:t>
            </w:r>
            <w:r>
              <w:rPr>
                <w:rFonts w:hint="eastAsia" w:ascii="宋体" w:hAnsi="宋体" w:cs="宋体"/>
                <w:szCs w:val="21"/>
                <w:highlight w:val="none"/>
                <w:lang w:val="en-US" w:eastAsia="zh-CN"/>
              </w:rPr>
              <w:t>5</w:t>
            </w:r>
            <w:r>
              <w:rPr>
                <w:rFonts w:hint="eastAsia" w:ascii="宋体" w:hAnsi="宋体" w:cs="宋体"/>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3" w:hRule="atLeast"/>
        </w:trPr>
        <w:tc>
          <w:tcPr>
            <w:tcW w:w="825" w:type="dxa"/>
            <w:vMerge w:val="continue"/>
            <w:vAlign w:val="center"/>
          </w:tcPr>
          <w:p>
            <w:pPr>
              <w:jc w:val="center"/>
              <w:rPr>
                <w:rFonts w:ascii="宋体" w:hAnsi="宋体" w:cs="宋体"/>
                <w:szCs w:val="21"/>
                <w:highlight w:val="none"/>
              </w:rPr>
            </w:pPr>
          </w:p>
        </w:tc>
        <w:tc>
          <w:tcPr>
            <w:tcW w:w="812" w:type="dxa"/>
            <w:vMerge w:val="continue"/>
            <w:vAlign w:val="center"/>
          </w:tcPr>
          <w:p>
            <w:pPr>
              <w:jc w:val="center"/>
              <w:rPr>
                <w:rFonts w:ascii="宋体" w:hAnsi="宋体" w:cs="宋体"/>
                <w:szCs w:val="21"/>
                <w:highlight w:val="none"/>
              </w:rPr>
            </w:pPr>
          </w:p>
        </w:tc>
        <w:tc>
          <w:tcPr>
            <w:tcW w:w="1063" w:type="dxa"/>
            <w:vAlign w:val="center"/>
          </w:tcPr>
          <w:p>
            <w:pPr>
              <w:jc w:val="center"/>
              <w:rPr>
                <w:rFonts w:ascii="宋体" w:hAnsi="宋体" w:cs="宋体"/>
                <w:szCs w:val="21"/>
                <w:highlight w:val="none"/>
                <w:lang w:bidi="hi-IN"/>
              </w:rPr>
            </w:pPr>
            <w:r>
              <w:rPr>
                <w:rFonts w:hint="eastAsia" w:ascii="宋体" w:hAnsi="宋体" w:cs="宋体"/>
                <w:szCs w:val="21"/>
                <w:highlight w:val="none"/>
                <w:lang w:val="zh-CN"/>
              </w:rPr>
              <w:t>需求理解与总体方案</w:t>
            </w:r>
          </w:p>
        </w:tc>
        <w:tc>
          <w:tcPr>
            <w:tcW w:w="1032" w:type="dxa"/>
            <w:vAlign w:val="center"/>
          </w:tcPr>
          <w:p>
            <w:pPr>
              <w:jc w:val="center"/>
              <w:rPr>
                <w:rFonts w:ascii="宋体" w:hAnsi="宋体" w:cs="宋体"/>
                <w:szCs w:val="21"/>
                <w:highlight w:val="none"/>
                <w:lang w:bidi="hi-IN"/>
              </w:rPr>
            </w:pP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6337" w:type="dxa"/>
            <w:vAlign w:val="center"/>
          </w:tcPr>
          <w:p>
            <w:pPr>
              <w:jc w:val="left"/>
              <w:rPr>
                <w:rFonts w:ascii="宋体" w:hAnsi="宋体" w:cs="宋体"/>
                <w:szCs w:val="21"/>
                <w:highlight w:val="none"/>
                <w:lang w:bidi="hi-IN"/>
              </w:rPr>
            </w:pPr>
            <w:r>
              <w:rPr>
                <w:rFonts w:hint="eastAsia" w:ascii="宋体" w:hAnsi="宋体" w:cs="宋体"/>
                <w:szCs w:val="21"/>
                <w:highlight w:val="none"/>
                <w:lang w:val="zh-CN"/>
              </w:rPr>
              <w:t>供应商结合本项目现状，分析重点难点，准确理解客户需求，在此基础上，提出结构完整且合理的项目总体方案。客户需求理解准确，总体方案思路清晰、架构完整、技术先进、符合项目实际需求的，得</w:t>
            </w:r>
            <w:r>
              <w:rPr>
                <w:rFonts w:hint="eastAsia" w:ascii="宋体" w:hAnsi="宋体" w:cs="宋体"/>
                <w:szCs w:val="21"/>
                <w:highlight w:val="none"/>
              </w:rPr>
              <w:t>5</w:t>
            </w:r>
            <w:r>
              <w:rPr>
                <w:rFonts w:hint="eastAsia" w:ascii="宋体" w:hAnsi="宋体" w:cs="宋体"/>
                <w:szCs w:val="21"/>
                <w:highlight w:val="none"/>
                <w:lang w:val="zh-CN"/>
              </w:rPr>
              <w:t>分；客户需求理解较为准确、总体方案思路相对清晰、内容比较全面的，得</w:t>
            </w:r>
            <w:r>
              <w:rPr>
                <w:rFonts w:hint="eastAsia" w:ascii="宋体" w:hAnsi="宋体" w:cs="宋体"/>
                <w:szCs w:val="21"/>
                <w:highlight w:val="none"/>
              </w:rPr>
              <w:t>3</w:t>
            </w:r>
            <w:r>
              <w:rPr>
                <w:rFonts w:hint="eastAsia" w:ascii="宋体" w:hAnsi="宋体" w:cs="宋体"/>
                <w:szCs w:val="21"/>
                <w:highlight w:val="none"/>
                <w:lang w:val="zh-CN"/>
              </w:rPr>
              <w:t>分；客户需求理解及总体方案整体质量一般的，得</w:t>
            </w:r>
            <w:r>
              <w:rPr>
                <w:rFonts w:hint="eastAsia" w:ascii="宋体" w:hAnsi="宋体" w:cs="宋体"/>
                <w:szCs w:val="21"/>
                <w:highlight w:val="none"/>
              </w:rPr>
              <w:t>1</w:t>
            </w:r>
            <w:r>
              <w:rPr>
                <w:rFonts w:hint="eastAsia" w:ascii="宋体" w:hAnsi="宋体" w:cs="宋体"/>
                <w:szCs w:val="21"/>
                <w:highlight w:val="none"/>
                <w:lang w:val="zh-CN"/>
              </w:rPr>
              <w:t>分；客户需求理解及总体方案整体较差的，不得分；其他或未详细说明的不得分。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trPr>
        <w:tc>
          <w:tcPr>
            <w:tcW w:w="825" w:type="dxa"/>
            <w:vMerge w:val="continue"/>
            <w:vAlign w:val="center"/>
          </w:tcPr>
          <w:p>
            <w:pPr>
              <w:jc w:val="center"/>
              <w:rPr>
                <w:rFonts w:ascii="宋体" w:hAnsi="宋体" w:cs="宋体"/>
                <w:szCs w:val="21"/>
                <w:highlight w:val="none"/>
              </w:rPr>
            </w:pPr>
          </w:p>
        </w:tc>
        <w:tc>
          <w:tcPr>
            <w:tcW w:w="812" w:type="dxa"/>
            <w:vMerge w:val="continue"/>
            <w:vAlign w:val="center"/>
          </w:tcPr>
          <w:p>
            <w:pPr>
              <w:jc w:val="center"/>
              <w:rPr>
                <w:rFonts w:ascii="宋体" w:hAnsi="宋体" w:cs="宋体"/>
                <w:szCs w:val="21"/>
                <w:highlight w:val="none"/>
              </w:rPr>
            </w:pPr>
          </w:p>
        </w:tc>
        <w:tc>
          <w:tcPr>
            <w:tcW w:w="1063" w:type="dxa"/>
            <w:vAlign w:val="center"/>
          </w:tcPr>
          <w:p>
            <w:pPr>
              <w:jc w:val="center"/>
              <w:rPr>
                <w:rFonts w:ascii="宋体" w:hAnsi="宋体" w:cs="宋体"/>
                <w:szCs w:val="21"/>
                <w:highlight w:val="none"/>
              </w:rPr>
            </w:pPr>
            <w:r>
              <w:rPr>
                <w:rFonts w:hint="eastAsia" w:ascii="宋体" w:hAnsi="宋体" w:cs="宋体"/>
                <w:szCs w:val="21"/>
                <w:highlight w:val="none"/>
              </w:rPr>
              <w:t>供货方案</w:t>
            </w:r>
          </w:p>
        </w:tc>
        <w:tc>
          <w:tcPr>
            <w:tcW w:w="1032" w:type="dxa"/>
            <w:vAlign w:val="center"/>
          </w:tcPr>
          <w:p>
            <w:pPr>
              <w:jc w:val="center"/>
              <w:rPr>
                <w:rFonts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6337" w:type="dxa"/>
            <w:vAlign w:val="center"/>
          </w:tcPr>
          <w:p>
            <w:pPr>
              <w:rPr>
                <w:rFonts w:ascii="宋体" w:hAnsi="宋体" w:cs="宋体"/>
                <w:szCs w:val="21"/>
                <w:highlight w:val="none"/>
              </w:rPr>
            </w:pPr>
            <w:r>
              <w:rPr>
                <w:rFonts w:hint="eastAsia" w:ascii="宋体" w:hAnsi="宋体" w:cs="宋体"/>
                <w:szCs w:val="21"/>
                <w:highlight w:val="none"/>
              </w:rPr>
              <w:t>供货方案及措施：</w:t>
            </w:r>
          </w:p>
          <w:p>
            <w:pPr>
              <w:rPr>
                <w:rFonts w:ascii="宋体" w:hAnsi="宋体" w:cs="宋体"/>
                <w:szCs w:val="21"/>
                <w:highlight w:val="none"/>
              </w:rPr>
            </w:pPr>
            <w:r>
              <w:rPr>
                <w:rFonts w:hint="eastAsia" w:ascii="宋体" w:hAnsi="宋体" w:cs="宋体"/>
                <w:szCs w:val="21"/>
                <w:highlight w:val="none"/>
              </w:rPr>
              <w:t>（1）供货时间计划安排科学合理，措施切实可行，方案对项目实施的准备工作、材料和质量保障措施等内容做出详细、合理的阐述的得</w:t>
            </w:r>
            <w:r>
              <w:rPr>
                <w:rFonts w:hint="eastAsia" w:ascii="宋体" w:hAnsi="宋体" w:cs="宋体"/>
                <w:highlight w:val="none"/>
              </w:rPr>
              <w:t>5</w:t>
            </w:r>
            <w:r>
              <w:rPr>
                <w:rFonts w:hint="eastAsia" w:ascii="宋体" w:hAnsi="宋体" w:cs="宋体"/>
                <w:highlight w:val="none"/>
                <w:lang w:val="zh-CN"/>
              </w:rPr>
              <w:t>分</w:t>
            </w:r>
            <w:r>
              <w:rPr>
                <w:rFonts w:hint="eastAsia" w:ascii="宋体" w:hAnsi="宋体" w:cs="宋体"/>
                <w:szCs w:val="21"/>
                <w:highlight w:val="none"/>
              </w:rPr>
              <w:t>；</w:t>
            </w:r>
          </w:p>
          <w:p>
            <w:pPr>
              <w:rPr>
                <w:rFonts w:ascii="宋体" w:hAnsi="宋体" w:cs="宋体"/>
                <w:szCs w:val="21"/>
                <w:highlight w:val="none"/>
              </w:rPr>
            </w:pPr>
            <w:r>
              <w:rPr>
                <w:rFonts w:hint="eastAsia" w:ascii="宋体" w:hAnsi="宋体" w:cs="宋体"/>
                <w:szCs w:val="21"/>
                <w:highlight w:val="none"/>
              </w:rPr>
              <w:t xml:space="preserve">（2）供货时间计划基本符合本项目需求，方案对项目实施的准备工作、材料和质量保障措施等内容做出基本描述的得3分； </w:t>
            </w:r>
          </w:p>
          <w:p>
            <w:pPr>
              <w:rPr>
                <w:rFonts w:ascii="宋体" w:hAnsi="宋体" w:cs="宋体"/>
                <w:szCs w:val="21"/>
                <w:highlight w:val="none"/>
              </w:rPr>
            </w:pPr>
            <w:r>
              <w:rPr>
                <w:rFonts w:hint="eastAsia" w:ascii="宋体" w:hAnsi="宋体" w:cs="宋体"/>
                <w:szCs w:val="21"/>
                <w:highlight w:val="none"/>
              </w:rPr>
              <w:t>（3）供货时间计划有瑕疵，方案对项目实施的准备工作、材料和质量保障措施等内容描述缺乏合理性，保证措施有瑕疵，缺乏针对性，执行性差，需进一步完善得1分；</w:t>
            </w:r>
          </w:p>
          <w:p>
            <w:pPr>
              <w:jc w:val="left"/>
              <w:rPr>
                <w:szCs w:val="21"/>
                <w:highlight w:val="none"/>
              </w:rPr>
            </w:pPr>
            <w:r>
              <w:rPr>
                <w:rFonts w:hint="eastAsia" w:ascii="宋体" w:hAnsi="宋体" w:cs="宋体"/>
                <w:szCs w:val="21"/>
                <w:highlight w:val="none"/>
              </w:rPr>
              <w:t>（4）供货时间计划不合理，方案对项目实施的准备工作、材料和质量保障措施等内容描述不合理，保证措施不完善得0分；此项未提供不得分。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trPr>
        <w:tc>
          <w:tcPr>
            <w:tcW w:w="825" w:type="dxa"/>
            <w:vMerge w:val="continue"/>
            <w:vAlign w:val="center"/>
          </w:tcPr>
          <w:p>
            <w:pPr>
              <w:jc w:val="center"/>
              <w:rPr>
                <w:rFonts w:ascii="宋体" w:hAnsi="宋体" w:cs="宋体"/>
                <w:szCs w:val="21"/>
                <w:highlight w:val="none"/>
              </w:rPr>
            </w:pPr>
          </w:p>
        </w:tc>
        <w:tc>
          <w:tcPr>
            <w:tcW w:w="812" w:type="dxa"/>
            <w:vMerge w:val="continue"/>
            <w:vAlign w:val="center"/>
          </w:tcPr>
          <w:p>
            <w:pPr>
              <w:jc w:val="center"/>
              <w:rPr>
                <w:rFonts w:ascii="宋体" w:hAnsi="宋体" w:cs="宋体"/>
                <w:szCs w:val="21"/>
                <w:highlight w:val="none"/>
              </w:rPr>
            </w:pPr>
          </w:p>
        </w:tc>
        <w:tc>
          <w:tcPr>
            <w:tcW w:w="1063" w:type="dxa"/>
            <w:vAlign w:val="center"/>
          </w:tcPr>
          <w:p>
            <w:pPr>
              <w:jc w:val="center"/>
              <w:rPr>
                <w:rFonts w:ascii="宋体" w:hAnsi="宋体" w:cs="宋体"/>
                <w:szCs w:val="21"/>
                <w:highlight w:val="none"/>
              </w:rPr>
            </w:pPr>
            <w:r>
              <w:rPr>
                <w:rFonts w:hint="eastAsia" w:ascii="宋体" w:hAnsi="宋体" w:cs="宋体"/>
                <w:szCs w:val="21"/>
                <w:highlight w:val="none"/>
              </w:rPr>
              <w:t>安装调试方案</w:t>
            </w:r>
          </w:p>
        </w:tc>
        <w:tc>
          <w:tcPr>
            <w:tcW w:w="1032" w:type="dxa"/>
            <w:vAlign w:val="center"/>
          </w:tcPr>
          <w:p>
            <w:pPr>
              <w:jc w:val="center"/>
              <w:rPr>
                <w:rFonts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6337" w:type="dxa"/>
            <w:vAlign w:val="center"/>
          </w:tcPr>
          <w:p>
            <w:pPr>
              <w:pStyle w:val="8"/>
              <w:wordWrap w:val="0"/>
              <w:ind w:firstLine="105" w:firstLineChars="50"/>
              <w:rPr>
                <w:rFonts w:hint="default" w:hAnsi="宋体" w:cs="宋体"/>
                <w:color w:val="auto"/>
                <w:sz w:val="21"/>
                <w:szCs w:val="21"/>
                <w:highlight w:val="none"/>
              </w:rPr>
            </w:pPr>
            <w:r>
              <w:rPr>
                <w:rFonts w:hAnsi="宋体" w:cs="宋体"/>
                <w:color w:val="auto"/>
                <w:sz w:val="21"/>
                <w:szCs w:val="21"/>
                <w:highlight w:val="none"/>
              </w:rPr>
              <w:t>根据采购人实际需求，针对项目实际情况，供应商对所供货品安装调试制定详细计划方案和措施，根据供应商提供的方案进行打分：</w:t>
            </w:r>
          </w:p>
          <w:p>
            <w:pPr>
              <w:jc w:val="left"/>
              <w:rPr>
                <w:rFonts w:ascii="宋体" w:hAnsi="宋体" w:cs="宋体"/>
                <w:szCs w:val="21"/>
                <w:highlight w:val="none"/>
              </w:rPr>
            </w:pPr>
            <w:r>
              <w:rPr>
                <w:rFonts w:hAnsi="宋体" w:cs="宋体"/>
                <w:szCs w:val="21"/>
                <w:highlight w:val="none"/>
              </w:rPr>
              <w:t>方案全面、详尽、合理、措施有保障，技术质量有保障、完全满足项目需求的得5分</w:t>
            </w:r>
            <w:r>
              <w:rPr>
                <w:rFonts w:hint="eastAsia" w:hAnsi="宋体" w:cs="宋体"/>
                <w:szCs w:val="21"/>
                <w:highlight w:val="none"/>
              </w:rPr>
              <w:t>；</w:t>
            </w:r>
            <w:r>
              <w:rPr>
                <w:rFonts w:hAnsi="宋体" w:cs="宋体"/>
                <w:szCs w:val="21"/>
                <w:highlight w:val="none"/>
              </w:rPr>
              <w:t>方案有一定瑕疵，但基本满足招标要求的，得3分；方案较差，不能满足需求的得1分；缺项得0分。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0" w:hRule="atLeast"/>
        </w:trPr>
        <w:tc>
          <w:tcPr>
            <w:tcW w:w="825" w:type="dxa"/>
            <w:vMerge w:val="continue"/>
            <w:vAlign w:val="center"/>
          </w:tcPr>
          <w:p>
            <w:pPr>
              <w:jc w:val="center"/>
              <w:rPr>
                <w:rFonts w:ascii="宋体" w:hAnsi="宋体" w:cs="宋体"/>
                <w:szCs w:val="21"/>
                <w:highlight w:val="none"/>
              </w:rPr>
            </w:pPr>
          </w:p>
        </w:tc>
        <w:tc>
          <w:tcPr>
            <w:tcW w:w="812" w:type="dxa"/>
            <w:vMerge w:val="continue"/>
            <w:vAlign w:val="center"/>
          </w:tcPr>
          <w:p>
            <w:pPr>
              <w:jc w:val="center"/>
              <w:rPr>
                <w:rFonts w:ascii="宋体" w:hAnsi="宋体" w:cs="宋体"/>
                <w:szCs w:val="21"/>
                <w:highlight w:val="none"/>
              </w:rPr>
            </w:pPr>
          </w:p>
        </w:tc>
        <w:tc>
          <w:tcPr>
            <w:tcW w:w="1063" w:type="dxa"/>
            <w:vAlign w:val="center"/>
          </w:tcPr>
          <w:p>
            <w:pPr>
              <w:jc w:val="center"/>
              <w:rPr>
                <w:rFonts w:ascii="宋体" w:hAnsi="宋体" w:cs="宋体"/>
                <w:szCs w:val="21"/>
                <w:highlight w:val="none"/>
              </w:rPr>
            </w:pPr>
            <w:r>
              <w:rPr>
                <w:rFonts w:hint="eastAsia" w:ascii="宋体" w:hAnsi="宋体" w:cs="宋体"/>
                <w:szCs w:val="21"/>
                <w:highlight w:val="none"/>
              </w:rPr>
              <w:t>质量保证措施</w:t>
            </w:r>
          </w:p>
        </w:tc>
        <w:tc>
          <w:tcPr>
            <w:tcW w:w="1032" w:type="dxa"/>
            <w:vAlign w:val="center"/>
          </w:tcPr>
          <w:p>
            <w:pPr>
              <w:jc w:val="center"/>
              <w:rPr>
                <w:rFonts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6337" w:type="dxa"/>
            <w:vAlign w:val="center"/>
          </w:tcPr>
          <w:p>
            <w:pPr>
              <w:jc w:val="left"/>
              <w:rPr>
                <w:szCs w:val="21"/>
                <w:highlight w:val="none"/>
              </w:rPr>
            </w:pPr>
            <w:r>
              <w:rPr>
                <w:rFonts w:hint="eastAsia"/>
                <w:szCs w:val="21"/>
                <w:highlight w:val="none"/>
              </w:rPr>
              <w:t>根据供应商制定的质量保证措施的严谨度、全面性等进行综合评价，优秀的得5分，较好的得3分，一般得1分，</w:t>
            </w:r>
            <w:r>
              <w:rPr>
                <w:rFonts w:hAnsi="宋体" w:cs="宋体"/>
                <w:szCs w:val="21"/>
                <w:highlight w:val="none"/>
              </w:rPr>
              <w:t>缺项得0分</w:t>
            </w:r>
            <w:r>
              <w:rPr>
                <w:rFonts w:hint="eastAsia"/>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1" w:hRule="atLeast"/>
        </w:trPr>
        <w:tc>
          <w:tcPr>
            <w:tcW w:w="825" w:type="dxa"/>
            <w:vMerge w:val="restart"/>
            <w:vAlign w:val="center"/>
          </w:tcPr>
          <w:p>
            <w:pPr>
              <w:jc w:val="center"/>
              <w:rPr>
                <w:szCs w:val="21"/>
                <w:highlight w:val="none"/>
              </w:rPr>
            </w:pPr>
            <w:r>
              <w:rPr>
                <w:rFonts w:hint="eastAsia"/>
                <w:szCs w:val="21"/>
                <w:highlight w:val="none"/>
              </w:rPr>
              <w:t>3</w:t>
            </w:r>
          </w:p>
        </w:tc>
        <w:tc>
          <w:tcPr>
            <w:tcW w:w="812" w:type="dxa"/>
            <w:vMerge w:val="restart"/>
            <w:vAlign w:val="center"/>
          </w:tcPr>
          <w:p>
            <w:pPr>
              <w:jc w:val="center"/>
              <w:rPr>
                <w:szCs w:val="21"/>
                <w:highlight w:val="none"/>
              </w:rPr>
            </w:pPr>
            <w:r>
              <w:rPr>
                <w:rFonts w:hint="eastAsia"/>
                <w:szCs w:val="21"/>
                <w:highlight w:val="none"/>
                <w:lang w:val="en-US" w:eastAsia="zh-CN"/>
              </w:rPr>
              <w:t>综合</w:t>
            </w:r>
            <w:r>
              <w:rPr>
                <w:rFonts w:hint="eastAsia"/>
                <w:szCs w:val="21"/>
                <w:highlight w:val="none"/>
              </w:rPr>
              <w:t>部分（</w:t>
            </w:r>
            <w:r>
              <w:rPr>
                <w:rFonts w:hint="eastAsia"/>
                <w:szCs w:val="21"/>
                <w:highlight w:val="none"/>
                <w:lang w:val="en-US" w:eastAsia="zh-CN"/>
              </w:rPr>
              <w:t>15</w:t>
            </w:r>
            <w:r>
              <w:rPr>
                <w:rFonts w:hint="eastAsia"/>
                <w:szCs w:val="21"/>
                <w:highlight w:val="none"/>
              </w:rPr>
              <w:t>分）</w:t>
            </w:r>
          </w:p>
        </w:tc>
        <w:tc>
          <w:tcPr>
            <w:tcW w:w="1063" w:type="dxa"/>
            <w:vAlign w:val="center"/>
          </w:tcPr>
          <w:p>
            <w:pPr>
              <w:snapToGrid w:val="0"/>
              <w:jc w:val="center"/>
              <w:rPr>
                <w:rFonts w:hint="eastAsia"/>
                <w:szCs w:val="21"/>
                <w:highlight w:val="none"/>
              </w:rPr>
            </w:pPr>
          </w:p>
          <w:p>
            <w:pPr>
              <w:snapToGrid w:val="0"/>
              <w:jc w:val="center"/>
              <w:rPr>
                <w:szCs w:val="21"/>
                <w:highlight w:val="none"/>
              </w:rPr>
            </w:pPr>
            <w:r>
              <w:rPr>
                <w:rFonts w:hint="eastAsia"/>
                <w:szCs w:val="21"/>
                <w:highlight w:val="none"/>
              </w:rPr>
              <w:t>业绩</w:t>
            </w:r>
          </w:p>
          <w:p>
            <w:pPr>
              <w:jc w:val="center"/>
              <w:rPr>
                <w:szCs w:val="21"/>
                <w:highlight w:val="none"/>
              </w:rPr>
            </w:pPr>
          </w:p>
        </w:tc>
        <w:tc>
          <w:tcPr>
            <w:tcW w:w="1032" w:type="dxa"/>
            <w:vAlign w:val="center"/>
          </w:tcPr>
          <w:p>
            <w:pPr>
              <w:jc w:val="center"/>
              <w:rPr>
                <w:szCs w:val="21"/>
                <w:highlight w:val="none"/>
              </w:rPr>
            </w:pPr>
            <w:r>
              <w:rPr>
                <w:rFonts w:hint="eastAsia"/>
                <w:szCs w:val="21"/>
                <w:highlight w:val="none"/>
                <w:lang w:val="en-US" w:eastAsia="zh-CN"/>
              </w:rPr>
              <w:t>10</w:t>
            </w:r>
            <w:r>
              <w:rPr>
                <w:rFonts w:hint="eastAsia"/>
                <w:szCs w:val="21"/>
                <w:highlight w:val="none"/>
              </w:rPr>
              <w:t>分</w:t>
            </w:r>
          </w:p>
        </w:tc>
        <w:tc>
          <w:tcPr>
            <w:tcW w:w="6337" w:type="dxa"/>
            <w:vAlign w:val="center"/>
          </w:tcPr>
          <w:p>
            <w:pPr>
              <w:widowControl/>
              <w:jc w:val="left"/>
              <w:rPr>
                <w:szCs w:val="21"/>
                <w:highlight w:val="none"/>
              </w:rPr>
            </w:pPr>
            <w:r>
              <w:rPr>
                <w:rFonts w:hint="eastAsia"/>
                <w:szCs w:val="21"/>
                <w:highlight w:val="none"/>
              </w:rPr>
              <w:t>投标人20</w:t>
            </w:r>
            <w:r>
              <w:rPr>
                <w:rFonts w:hint="eastAsia"/>
                <w:szCs w:val="21"/>
                <w:highlight w:val="none"/>
                <w:lang w:val="en-US" w:eastAsia="zh-CN"/>
              </w:rPr>
              <w:t>20</w:t>
            </w:r>
            <w:r>
              <w:rPr>
                <w:rFonts w:hint="eastAsia"/>
                <w:szCs w:val="21"/>
                <w:highlight w:val="none"/>
              </w:rPr>
              <w:t>年1月1日以来具有类似业绩的，每有一项得</w:t>
            </w:r>
            <w:r>
              <w:rPr>
                <w:rFonts w:hint="eastAsia"/>
                <w:szCs w:val="21"/>
                <w:highlight w:val="none"/>
                <w:lang w:val="en-US" w:eastAsia="zh-CN"/>
              </w:rPr>
              <w:t>2</w:t>
            </w:r>
            <w:r>
              <w:rPr>
                <w:rFonts w:hint="eastAsia"/>
                <w:szCs w:val="21"/>
                <w:highlight w:val="none"/>
              </w:rPr>
              <w:t>分，最多得</w:t>
            </w:r>
            <w:r>
              <w:rPr>
                <w:rFonts w:hint="eastAsia"/>
                <w:szCs w:val="21"/>
                <w:highlight w:val="none"/>
                <w:lang w:val="en-US" w:eastAsia="zh-CN"/>
              </w:rPr>
              <w:t>10</w:t>
            </w:r>
            <w:r>
              <w:rPr>
                <w:rFonts w:hint="eastAsia"/>
                <w:szCs w:val="21"/>
                <w:highlight w:val="none"/>
              </w:rPr>
              <w:t>分。（提供合同扫描件，</w:t>
            </w:r>
            <w:r>
              <w:rPr>
                <w:rFonts w:hint="eastAsia" w:ascii="Times New Roman" w:hAnsi="Times New Roman"/>
                <w:szCs w:val="21"/>
                <w:highlight w:val="none"/>
              </w:rPr>
              <w:t>时间以合同签订时间为准）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 w:hRule="atLeast"/>
        </w:trPr>
        <w:tc>
          <w:tcPr>
            <w:tcW w:w="825" w:type="dxa"/>
            <w:vMerge w:val="continue"/>
            <w:vAlign w:val="center"/>
          </w:tcPr>
          <w:p>
            <w:pPr>
              <w:jc w:val="center"/>
              <w:rPr>
                <w:szCs w:val="21"/>
                <w:highlight w:val="none"/>
              </w:rPr>
            </w:pPr>
          </w:p>
        </w:tc>
        <w:tc>
          <w:tcPr>
            <w:tcW w:w="812" w:type="dxa"/>
            <w:vMerge w:val="continue"/>
            <w:vAlign w:val="center"/>
          </w:tcPr>
          <w:p>
            <w:pPr>
              <w:jc w:val="center"/>
              <w:rPr>
                <w:szCs w:val="21"/>
                <w:highlight w:val="none"/>
              </w:rPr>
            </w:pPr>
          </w:p>
        </w:tc>
        <w:tc>
          <w:tcPr>
            <w:tcW w:w="1063" w:type="dxa"/>
            <w:vAlign w:val="center"/>
          </w:tcPr>
          <w:p>
            <w:pPr>
              <w:jc w:val="center"/>
              <w:rPr>
                <w:szCs w:val="21"/>
                <w:highlight w:val="none"/>
              </w:rPr>
            </w:pPr>
            <w:r>
              <w:rPr>
                <w:rFonts w:hint="eastAsia"/>
                <w:szCs w:val="21"/>
                <w:highlight w:val="none"/>
              </w:rPr>
              <w:t>售后服务方案</w:t>
            </w:r>
          </w:p>
        </w:tc>
        <w:tc>
          <w:tcPr>
            <w:tcW w:w="1032" w:type="dxa"/>
            <w:vAlign w:val="center"/>
          </w:tcPr>
          <w:p>
            <w:pPr>
              <w:jc w:val="center"/>
              <w:rPr>
                <w:szCs w:val="21"/>
                <w:highlight w:val="none"/>
              </w:rPr>
            </w:pPr>
          </w:p>
          <w:p>
            <w:pPr>
              <w:jc w:val="center"/>
              <w:rPr>
                <w:szCs w:val="21"/>
                <w:highlight w:val="none"/>
              </w:rPr>
            </w:pPr>
            <w:r>
              <w:rPr>
                <w:rFonts w:hint="eastAsia"/>
                <w:szCs w:val="21"/>
                <w:highlight w:val="none"/>
                <w:lang w:val="en-US" w:eastAsia="zh-CN"/>
              </w:rPr>
              <w:t>5</w:t>
            </w:r>
            <w:r>
              <w:rPr>
                <w:rFonts w:hint="eastAsia"/>
                <w:szCs w:val="21"/>
                <w:highlight w:val="none"/>
              </w:rPr>
              <w:t>分</w:t>
            </w:r>
          </w:p>
        </w:tc>
        <w:tc>
          <w:tcPr>
            <w:tcW w:w="6337" w:type="dxa"/>
            <w:vAlign w:val="center"/>
          </w:tcPr>
          <w:p>
            <w:pPr>
              <w:rPr>
                <w:szCs w:val="21"/>
                <w:highlight w:val="none"/>
              </w:rPr>
            </w:pPr>
            <w:r>
              <w:rPr>
                <w:rFonts w:hint="eastAsia"/>
                <w:szCs w:val="21"/>
                <w:highlight w:val="none"/>
              </w:rPr>
              <w:t>根据投标人指定的人员培训计划的合理性、完善性，投标人制定的质保期内详细完善的售后服务方案，包括提供7X24小时服务热线、现场服务人员的配备、响应时间、响应程度、解决问题的能力、质量保障措施、备品备件，投标人制定的质保期满后提供的售后服务方案等进行评分，优秀的得</w:t>
            </w:r>
            <w:r>
              <w:rPr>
                <w:rFonts w:hint="eastAsia"/>
                <w:szCs w:val="21"/>
                <w:highlight w:val="none"/>
                <w:lang w:val="en-US" w:eastAsia="zh-CN"/>
              </w:rPr>
              <w:t>5</w:t>
            </w:r>
            <w:r>
              <w:rPr>
                <w:rFonts w:hint="eastAsia"/>
                <w:szCs w:val="21"/>
                <w:highlight w:val="none"/>
              </w:rPr>
              <w:t>分，较好的得</w:t>
            </w:r>
            <w:r>
              <w:rPr>
                <w:rFonts w:hint="eastAsia"/>
                <w:szCs w:val="21"/>
                <w:highlight w:val="none"/>
                <w:lang w:val="en-US" w:eastAsia="zh-CN"/>
              </w:rPr>
              <w:t>3</w:t>
            </w:r>
            <w:r>
              <w:rPr>
                <w:rFonts w:hint="eastAsia"/>
                <w:szCs w:val="21"/>
                <w:highlight w:val="none"/>
              </w:rPr>
              <w:t>分，一般得</w:t>
            </w:r>
            <w:r>
              <w:rPr>
                <w:rFonts w:hint="eastAsia"/>
                <w:szCs w:val="21"/>
                <w:highlight w:val="none"/>
                <w:lang w:val="en-US" w:eastAsia="zh-CN"/>
              </w:rPr>
              <w:t>1</w:t>
            </w:r>
            <w:r>
              <w:rPr>
                <w:rFonts w:hint="eastAsia"/>
                <w:szCs w:val="21"/>
                <w:highlight w:val="none"/>
              </w:rPr>
              <w:t>分，</w:t>
            </w:r>
            <w:r>
              <w:rPr>
                <w:rFonts w:hAnsi="宋体" w:cs="宋体"/>
                <w:szCs w:val="21"/>
                <w:highlight w:val="none"/>
              </w:rPr>
              <w:t>缺项得0分</w:t>
            </w:r>
            <w:r>
              <w:rPr>
                <w:rFonts w:hint="eastAsia"/>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trPr>
        <w:tc>
          <w:tcPr>
            <w:tcW w:w="10069" w:type="dxa"/>
            <w:gridSpan w:val="5"/>
            <w:vAlign w:val="center"/>
          </w:tcPr>
          <w:p>
            <w:pPr>
              <w:rPr>
                <w:szCs w:val="21"/>
                <w:highlight w:val="none"/>
              </w:rPr>
            </w:pPr>
            <w:r>
              <w:rPr>
                <w:szCs w:val="21"/>
                <w:highlight w:val="none"/>
              </w:rPr>
              <w:t>投标人综合得分=投标报价得分+技术部分得分+</w:t>
            </w:r>
            <w:r>
              <w:rPr>
                <w:rFonts w:hint="eastAsia"/>
                <w:szCs w:val="21"/>
                <w:highlight w:val="none"/>
                <w:lang w:val="en-US" w:eastAsia="zh-CN"/>
              </w:rPr>
              <w:t>综合</w:t>
            </w:r>
            <w:r>
              <w:rPr>
                <w:szCs w:val="21"/>
                <w:highlight w:val="none"/>
              </w:rPr>
              <w:t>部分得分。</w:t>
            </w:r>
          </w:p>
          <w:p>
            <w:pPr>
              <w:rPr>
                <w:szCs w:val="21"/>
                <w:highlight w:val="none"/>
              </w:rPr>
            </w:pPr>
            <w:r>
              <w:rPr>
                <w:szCs w:val="21"/>
                <w:highlight w:val="none"/>
              </w:rPr>
              <w:t>投标人最终得分:</w:t>
            </w:r>
          </w:p>
          <w:p>
            <w:pPr>
              <w:rPr>
                <w:szCs w:val="21"/>
                <w:highlight w:val="none"/>
              </w:rPr>
            </w:pPr>
            <w:r>
              <w:rPr>
                <w:szCs w:val="21"/>
                <w:highlight w:val="none"/>
              </w:rPr>
              <w:t>1.评标委员会完成评审后，取全部得分算术平均值，作为该投标人的最终得分。</w:t>
            </w:r>
          </w:p>
          <w:p>
            <w:pPr>
              <w:rPr>
                <w:szCs w:val="21"/>
                <w:highlight w:val="none"/>
              </w:rPr>
            </w:pPr>
            <w:r>
              <w:rPr>
                <w:szCs w:val="21"/>
                <w:highlight w:val="none"/>
              </w:rPr>
              <w:t>2.本办法计算过程中分值按四舍五入保留二位小数。</w:t>
            </w:r>
          </w:p>
          <w:p>
            <w:pPr>
              <w:rPr>
                <w:szCs w:val="21"/>
                <w:highlight w:val="none"/>
              </w:rPr>
            </w:pPr>
            <w:r>
              <w:rPr>
                <w:szCs w:val="21"/>
                <w:highlight w:val="none"/>
              </w:rPr>
              <w:t>3.评标委员会对通过以上评审的投标人，按最终得分从高到低排序，确定1至3名中标候选人。当投标人最终得分相等时，按照报价从低到高进行排序，排序第</w:t>
            </w:r>
            <w:r>
              <w:rPr>
                <w:rFonts w:hint="eastAsia"/>
                <w:szCs w:val="21"/>
                <w:highlight w:val="none"/>
              </w:rPr>
              <w:t>1</w:t>
            </w:r>
            <w:r>
              <w:rPr>
                <w:szCs w:val="21"/>
                <w:highlight w:val="none"/>
              </w:rPr>
              <w:t>的为中标人</w:t>
            </w:r>
            <w:r>
              <w:rPr>
                <w:rFonts w:hint="eastAsia"/>
                <w:szCs w:val="21"/>
                <w:highlight w:val="none"/>
              </w:rPr>
              <w:t>；</w:t>
            </w:r>
            <w:r>
              <w:rPr>
                <w:szCs w:val="21"/>
                <w:highlight w:val="none"/>
              </w:rPr>
              <w:t>最终得分相等，报价得分也相等按技术指标优劣排列确定中标人。</w:t>
            </w:r>
          </w:p>
        </w:tc>
      </w:tr>
    </w:tbl>
    <w:p>
      <w:pPr>
        <w:pStyle w:val="32"/>
        <w:spacing w:line="560" w:lineRule="exact"/>
        <w:rPr>
          <w:highlight w:val="none"/>
        </w:rPr>
      </w:pPr>
    </w:p>
    <w:p>
      <w:pPr>
        <w:tabs>
          <w:tab w:val="left" w:pos="720"/>
        </w:tabs>
        <w:spacing w:line="440" w:lineRule="exact"/>
        <w:ind w:firstLine="42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 评标方法</w:t>
      </w:r>
    </w:p>
    <w:p>
      <w:pPr>
        <w:tabs>
          <w:tab w:val="left" w:pos="720"/>
        </w:tabs>
        <w:spacing w:line="440" w:lineRule="exact"/>
        <w:ind w:firstLine="42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次评标采用综合评分法。评标委员会对满足招标文件实质性要求的投标文件，按照本章第2.2款规定的评分标准进行打分，并按得分由高到低顺序推荐中标候选人，或根据采购人授权直接确定中标人，但投标报价低于其成本的除外。综合评分相等时，以投标报价低的优先；投标报价也相等的，按技术指标优劣排列确定中标人。</w:t>
      </w:r>
    </w:p>
    <w:p>
      <w:pPr>
        <w:tabs>
          <w:tab w:val="left" w:pos="720"/>
        </w:tabs>
        <w:spacing w:line="440" w:lineRule="exact"/>
        <w:ind w:firstLine="42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 评审标准</w:t>
      </w:r>
    </w:p>
    <w:p>
      <w:pPr>
        <w:tabs>
          <w:tab w:val="left" w:pos="720"/>
        </w:tabs>
        <w:spacing w:line="440" w:lineRule="exact"/>
        <w:ind w:firstLine="42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 初步评审标准</w:t>
      </w:r>
    </w:p>
    <w:p>
      <w:pPr>
        <w:tabs>
          <w:tab w:val="left" w:pos="720"/>
        </w:tabs>
        <w:spacing w:line="440" w:lineRule="exact"/>
        <w:ind w:firstLine="42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2.1.1 形式评审标准：见评标办法前附表。</w:t>
      </w:r>
    </w:p>
    <w:p>
      <w:pPr>
        <w:tabs>
          <w:tab w:val="left" w:pos="720"/>
        </w:tabs>
        <w:spacing w:line="440" w:lineRule="exact"/>
        <w:ind w:firstLine="42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2.1.2 资格评审标准：见评标办法前附表。</w:t>
      </w:r>
    </w:p>
    <w:p>
      <w:pPr>
        <w:tabs>
          <w:tab w:val="left" w:pos="720"/>
        </w:tabs>
        <w:spacing w:line="440" w:lineRule="exact"/>
        <w:ind w:firstLine="42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2.1.3 响应性评审标准：见评标办法前附表。</w:t>
      </w:r>
    </w:p>
    <w:p>
      <w:pPr>
        <w:tabs>
          <w:tab w:val="left" w:pos="720"/>
        </w:tabs>
        <w:spacing w:line="440" w:lineRule="exact"/>
        <w:ind w:firstLine="42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2.2 分值构成与评分标准</w:t>
      </w:r>
    </w:p>
    <w:p>
      <w:pPr>
        <w:tabs>
          <w:tab w:val="left" w:pos="720"/>
        </w:tabs>
        <w:spacing w:line="440" w:lineRule="exact"/>
        <w:ind w:firstLine="42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2.2.1 分值构成</w:t>
      </w:r>
    </w:p>
    <w:p>
      <w:pPr>
        <w:tabs>
          <w:tab w:val="left" w:pos="720"/>
        </w:tabs>
        <w:spacing w:line="440" w:lineRule="exact"/>
        <w:ind w:firstLine="42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详细评分分值：见评标办法前附表。</w:t>
      </w:r>
    </w:p>
    <w:p>
      <w:pPr>
        <w:tabs>
          <w:tab w:val="left" w:pos="720"/>
        </w:tabs>
        <w:spacing w:line="440" w:lineRule="exact"/>
        <w:ind w:firstLine="42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2.2.3 评分标准</w:t>
      </w:r>
    </w:p>
    <w:p>
      <w:pPr>
        <w:tabs>
          <w:tab w:val="left" w:pos="720"/>
        </w:tabs>
        <w:spacing w:line="440" w:lineRule="exact"/>
        <w:ind w:firstLine="42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详细评分标准：见评标办法前附表。</w:t>
      </w:r>
    </w:p>
    <w:p>
      <w:pPr>
        <w:tabs>
          <w:tab w:val="left" w:pos="720"/>
        </w:tabs>
        <w:spacing w:line="440" w:lineRule="exact"/>
        <w:ind w:firstLine="42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 评标程序</w:t>
      </w:r>
    </w:p>
    <w:p>
      <w:pPr>
        <w:tabs>
          <w:tab w:val="left" w:pos="720"/>
        </w:tabs>
        <w:spacing w:line="440" w:lineRule="exact"/>
        <w:ind w:firstLine="42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3.1 初步评审</w:t>
      </w:r>
    </w:p>
    <w:p>
      <w:pPr>
        <w:tabs>
          <w:tab w:val="left" w:pos="720"/>
        </w:tabs>
        <w:spacing w:line="440" w:lineRule="exact"/>
        <w:ind w:firstLine="42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3.1.1 评标委员会依据本章第2.1款规定的标准对投标文件进行初步评审。有一项不符合评审标准的，作废标处理。</w:t>
      </w:r>
    </w:p>
    <w:p>
      <w:pPr>
        <w:tabs>
          <w:tab w:val="left" w:pos="720"/>
        </w:tabs>
        <w:spacing w:line="440" w:lineRule="exact"/>
        <w:ind w:firstLine="42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3.1.2 投标人有以下情形之一的，其投标作废标处理：</w:t>
      </w:r>
    </w:p>
    <w:p>
      <w:pPr>
        <w:tabs>
          <w:tab w:val="left" w:pos="720"/>
        </w:tabs>
        <w:spacing w:line="440" w:lineRule="exact"/>
        <w:ind w:firstLine="42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（1）第二章“投标人须知”第1.4.3项规定的任何一种情形的；</w:t>
      </w:r>
    </w:p>
    <w:p>
      <w:pPr>
        <w:tabs>
          <w:tab w:val="left" w:pos="720"/>
        </w:tabs>
        <w:spacing w:line="440" w:lineRule="exact"/>
        <w:ind w:firstLine="42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（2）串通投标或弄虚作假或有其他违法行为的；</w:t>
      </w:r>
    </w:p>
    <w:p>
      <w:pPr>
        <w:tabs>
          <w:tab w:val="left" w:pos="720"/>
        </w:tabs>
        <w:spacing w:line="440" w:lineRule="exact"/>
        <w:ind w:firstLine="42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（3）不按评标委员会要求澄清、说明或补正的。</w:t>
      </w:r>
    </w:p>
    <w:p>
      <w:pPr>
        <w:tabs>
          <w:tab w:val="left" w:pos="720"/>
        </w:tabs>
        <w:spacing w:line="440" w:lineRule="exact"/>
        <w:ind w:firstLine="42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3.1.3投标报价有算术错误的，评标委员会按以下原则对投标报价进行修正，修正的价格经投标人确认后具有约束力。投标人不接受修正价格的，其投标作废标处理。</w:t>
      </w:r>
    </w:p>
    <w:p>
      <w:pPr>
        <w:tabs>
          <w:tab w:val="left" w:pos="720"/>
        </w:tabs>
        <w:spacing w:line="440" w:lineRule="exact"/>
        <w:ind w:firstLine="42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（1）投标文件中的大写金额与小写金额不一致的，以大写金额为准；</w:t>
      </w:r>
    </w:p>
    <w:p>
      <w:pPr>
        <w:tabs>
          <w:tab w:val="left" w:pos="720"/>
        </w:tabs>
        <w:spacing w:line="440" w:lineRule="exact"/>
        <w:ind w:firstLine="42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（2）总价金额与依据单价计算出的结果不一致的，以单价金额为准修正总价，但单价金额小数点有明显错误的除外。</w:t>
      </w:r>
    </w:p>
    <w:p>
      <w:pPr>
        <w:tabs>
          <w:tab w:val="left" w:pos="720"/>
        </w:tabs>
        <w:spacing w:line="440" w:lineRule="exact"/>
        <w:ind w:firstLine="42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3.2 详细评审</w:t>
      </w:r>
    </w:p>
    <w:p>
      <w:pPr>
        <w:tabs>
          <w:tab w:val="left" w:pos="720"/>
        </w:tabs>
        <w:spacing w:line="440" w:lineRule="exact"/>
        <w:ind w:firstLine="42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3.2.1 评标委员会按本章第2.2款规定的量化因素和分值进行打分，并计算出综合评估得分。</w:t>
      </w:r>
    </w:p>
    <w:p>
      <w:pPr>
        <w:tabs>
          <w:tab w:val="left" w:pos="720"/>
        </w:tabs>
        <w:spacing w:line="440" w:lineRule="exact"/>
        <w:ind w:firstLine="42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（1）按本章第2.2.4（1）目规定的评审因素和分值对商务部分计算出得分A；</w:t>
      </w:r>
    </w:p>
    <w:p>
      <w:pPr>
        <w:tabs>
          <w:tab w:val="left" w:pos="720"/>
        </w:tabs>
        <w:spacing w:line="440" w:lineRule="exact"/>
        <w:ind w:firstLine="42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（2）按本章第2.2.4（2）目规定的评审因素和分值对技术部分计算出得分B；</w:t>
      </w:r>
    </w:p>
    <w:p>
      <w:pPr>
        <w:tabs>
          <w:tab w:val="left" w:pos="720"/>
        </w:tabs>
        <w:spacing w:line="440" w:lineRule="exact"/>
        <w:ind w:firstLine="42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（3）按本章第2.2.4（3）目规定的评审因素和分值对综合部分计算出得分C；</w:t>
      </w:r>
    </w:p>
    <w:p>
      <w:pPr>
        <w:tabs>
          <w:tab w:val="left" w:pos="720"/>
        </w:tabs>
        <w:spacing w:line="440" w:lineRule="exact"/>
        <w:ind w:firstLine="42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3.2.2 评分分值计算保留小数点后两位，小数点后第三位“四舍五入”。</w:t>
      </w:r>
    </w:p>
    <w:p>
      <w:pPr>
        <w:tabs>
          <w:tab w:val="left" w:pos="720"/>
        </w:tabs>
        <w:spacing w:line="440" w:lineRule="exact"/>
        <w:ind w:firstLine="42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3.2.3 投标人得分=A+B+C。</w:t>
      </w:r>
    </w:p>
    <w:p>
      <w:pPr>
        <w:tabs>
          <w:tab w:val="left" w:pos="720"/>
        </w:tabs>
        <w:spacing w:line="440" w:lineRule="exact"/>
        <w:ind w:firstLine="42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3.2.4 评标委员会发现投标人的报价明显低于其他投标报价，或者在设有标底时明显低于标底，使得其投标报价可能低于其个别成本的，应当要求该投标人作出说明并提供相应的证明材料。投标人不能合理说明或者不能提供相应证明材料的，由评标委员会认定该投标人以低于成本报价竞标，其投标作废标处理。</w:t>
      </w:r>
    </w:p>
    <w:p>
      <w:pPr>
        <w:tabs>
          <w:tab w:val="left" w:pos="720"/>
        </w:tabs>
        <w:spacing w:line="440" w:lineRule="exact"/>
        <w:ind w:firstLine="42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3.3 投标文件的澄清和补正</w:t>
      </w:r>
    </w:p>
    <w:p>
      <w:pPr>
        <w:tabs>
          <w:tab w:val="left" w:pos="720"/>
        </w:tabs>
        <w:spacing w:line="440" w:lineRule="exact"/>
        <w:ind w:firstLine="42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3.3.1在评标过程中，评标委员会可以要求投标人对所提交投标文件中不明确的内容进行澄清或说明，或者对细微偏差进行补正。评标委员会不接受投标人主动提出的澄清、说明或补正。</w:t>
      </w:r>
    </w:p>
    <w:p>
      <w:pPr>
        <w:tabs>
          <w:tab w:val="left" w:pos="720"/>
        </w:tabs>
        <w:spacing w:line="440" w:lineRule="exact"/>
        <w:ind w:firstLine="42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3.3.2 澄清、说明和补正不得改变投标文件的实质性内容（算术性错误修正的除外）。投标人的澄清、说明和补正属于投标文件的组成部分。</w:t>
      </w:r>
    </w:p>
    <w:p>
      <w:pPr>
        <w:tabs>
          <w:tab w:val="left" w:pos="720"/>
        </w:tabs>
        <w:spacing w:line="440" w:lineRule="exact"/>
        <w:ind w:firstLine="42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3.3.3 评标委员会对投标人提交的澄清、说明或补正有疑问的，可以要求投标人进一步澄清、说明或补正，直至满足评标委员会的要求。</w:t>
      </w:r>
    </w:p>
    <w:p>
      <w:pPr>
        <w:tabs>
          <w:tab w:val="left" w:pos="720"/>
        </w:tabs>
        <w:spacing w:line="440" w:lineRule="exact"/>
        <w:ind w:firstLine="42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3.4 评标结果</w:t>
      </w:r>
    </w:p>
    <w:p>
      <w:pPr>
        <w:tabs>
          <w:tab w:val="left" w:pos="720"/>
        </w:tabs>
        <w:spacing w:line="440" w:lineRule="exact"/>
        <w:ind w:firstLine="42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3.4.1除第二章“投标人须知”前附表授权直接确定中标人外，评标委员会按照得分由高到低的顺序推荐中标候选人。</w:t>
      </w:r>
    </w:p>
    <w:p>
      <w:pPr>
        <w:tabs>
          <w:tab w:val="left" w:pos="720"/>
        </w:tabs>
        <w:spacing w:line="440" w:lineRule="exact"/>
        <w:ind w:firstLine="420" w:firstLineChars="200"/>
        <w:rPr>
          <w:rFonts w:asciiTheme="minorEastAsia" w:hAnsiTheme="minorEastAsia" w:eastAsiaTheme="minorEastAsia" w:cstheme="minorEastAsia"/>
          <w:szCs w:val="28"/>
          <w:highlight w:val="none"/>
        </w:rPr>
      </w:pPr>
      <w:r>
        <w:rPr>
          <w:rFonts w:hint="eastAsia" w:asciiTheme="minorEastAsia" w:hAnsiTheme="minorEastAsia" w:eastAsiaTheme="minorEastAsia" w:cstheme="minorEastAsia"/>
          <w:highlight w:val="none"/>
        </w:rPr>
        <w:t>3.4.2 评标委员会完成评标后，应当向采购人提交评标报告。</w:t>
      </w:r>
      <w:r>
        <w:rPr>
          <w:rFonts w:hint="eastAsia" w:asciiTheme="minorEastAsia" w:hAnsiTheme="minorEastAsia" w:eastAsiaTheme="minorEastAsia" w:cstheme="minorEastAsia"/>
          <w:bCs/>
          <w:kern w:val="0"/>
          <w:szCs w:val="21"/>
          <w:highlight w:val="none"/>
        </w:rPr>
        <w:br w:type="page"/>
      </w:r>
    </w:p>
    <w:p>
      <w:pPr>
        <w:pStyle w:val="17"/>
        <w:numPr>
          <w:ilvl w:val="0"/>
          <w:numId w:val="5"/>
        </w:numPr>
        <w:spacing w:line="600" w:lineRule="exact"/>
        <w:ind w:right="-63" w:rightChars="-30"/>
        <w:rPr>
          <w:rFonts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rPr>
        <w:t xml:space="preserve"> </w:t>
      </w:r>
      <w:bookmarkStart w:id="252" w:name="_Toc27443"/>
      <w:bookmarkStart w:id="253" w:name="_Toc7325"/>
      <w:r>
        <w:rPr>
          <w:rFonts w:hint="eastAsia" w:asciiTheme="minorEastAsia" w:hAnsiTheme="minorEastAsia" w:eastAsiaTheme="minorEastAsia" w:cstheme="minorEastAsia"/>
          <w:sz w:val="36"/>
          <w:szCs w:val="36"/>
          <w:highlight w:val="none"/>
        </w:rPr>
        <w:t>合同条款及格式</w:t>
      </w:r>
      <w:bookmarkEnd w:id="249"/>
      <w:bookmarkEnd w:id="250"/>
      <w:bookmarkEnd w:id="251"/>
      <w:bookmarkEnd w:id="252"/>
      <w:bookmarkEnd w:id="253"/>
    </w:p>
    <w:p>
      <w:pPr>
        <w:rPr>
          <w:highlight w:val="none"/>
        </w:rPr>
      </w:pPr>
      <w:r>
        <w:rPr>
          <w:rFonts w:hint="eastAsia"/>
          <w:highlight w:val="none"/>
        </w:rPr>
        <w:t xml:space="preserve">                             </w:t>
      </w:r>
      <w:r>
        <w:rPr>
          <w:rFonts w:hint="eastAsia"/>
          <w:sz w:val="28"/>
          <w:szCs w:val="28"/>
          <w:highlight w:val="none"/>
        </w:rPr>
        <w:t xml:space="preserve">    </w:t>
      </w:r>
      <w:r>
        <w:rPr>
          <w:rFonts w:hint="eastAsia"/>
          <w:b/>
          <w:bCs/>
          <w:sz w:val="28"/>
          <w:szCs w:val="28"/>
          <w:highlight w:val="none"/>
        </w:rPr>
        <w:t xml:space="preserve">  （仅供参考）</w:t>
      </w:r>
    </w:p>
    <w:p>
      <w:pPr>
        <w:adjustRightInd w:val="0"/>
        <w:spacing w:line="360" w:lineRule="auto"/>
        <w:ind w:firstLine="480" w:firstLineChars="200"/>
        <w:textAlignment w:val="baseline"/>
        <w:rPr>
          <w:rFonts w:ascii="宋体" w:hAnsi="宋体" w:cs="宋体"/>
          <w:sz w:val="24"/>
          <w:highlight w:val="none"/>
        </w:rPr>
      </w:pPr>
      <w:bookmarkStart w:id="254" w:name="_Toc12807"/>
    </w:p>
    <w:p>
      <w:pPr>
        <w:adjustRightInd w:val="0"/>
        <w:spacing w:line="360" w:lineRule="auto"/>
        <w:ind w:firstLine="420" w:firstLineChars="200"/>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甲方：（采购单位）</w:t>
      </w:r>
    </w:p>
    <w:p>
      <w:pPr>
        <w:adjustRightInd w:val="0"/>
        <w:spacing w:line="360" w:lineRule="auto"/>
        <w:ind w:firstLine="420" w:firstLineChars="200"/>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乙方：（供应商 ）</w:t>
      </w:r>
    </w:p>
    <w:p>
      <w:pPr>
        <w:adjustRightInd w:val="0"/>
        <w:spacing w:line="360" w:lineRule="auto"/>
        <w:ind w:firstLine="420" w:firstLineChars="200"/>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甲、乙双方持采购人、采购代理公司签发的</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采购项目成交通知书，根据采购文件、响应性文件的内容，并经双方协商一致，达成以下合同条款：</w:t>
      </w:r>
    </w:p>
    <w:p>
      <w:pPr>
        <w:adjustRightInd w:val="0"/>
        <w:spacing w:line="360" w:lineRule="auto"/>
        <w:ind w:firstLine="420" w:firstLineChars="200"/>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一、本合同所指货物为此次采购的货物（注明品名、规格、数量、单价等技术要求），合同总价款为 </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元（大写）</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  。</w:t>
      </w:r>
    </w:p>
    <w:p>
      <w:pPr>
        <w:adjustRightInd w:val="0"/>
        <w:spacing w:line="360" w:lineRule="auto"/>
        <w:ind w:firstLine="420" w:firstLineChars="200"/>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二、货物质量要求及乙方对质量负责条件和期限：</w:t>
      </w:r>
    </w:p>
    <w:p>
      <w:pPr>
        <w:adjustRightInd w:val="0"/>
        <w:spacing w:line="360" w:lineRule="auto"/>
        <w:ind w:firstLine="420" w:firstLineChars="200"/>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乙方提供的货物达到乙方投标文件及澄清中的技术标准。（售后服务要求按采购文件及响应性文件相应条款制订）</w:t>
      </w:r>
    </w:p>
    <w:p>
      <w:pPr>
        <w:adjustRightInd w:val="0"/>
        <w:spacing w:line="360" w:lineRule="auto"/>
        <w:ind w:firstLine="420" w:firstLineChars="200"/>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三、交货时间、地点、方式、验收：</w:t>
      </w:r>
    </w:p>
    <w:p>
      <w:pPr>
        <w:adjustRightInd w:val="0"/>
        <w:spacing w:line="360" w:lineRule="auto"/>
        <w:ind w:firstLine="420" w:firstLineChars="200"/>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乙方应于2023年 月 日前按甲方要求在</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（甲方指定地点）将货物运送达到验收条件。货物运送产生的费用由乙方负责。由甲方组织相关人员进行验收。</w:t>
      </w:r>
    </w:p>
    <w:p>
      <w:pPr>
        <w:numPr>
          <w:ilvl w:val="0"/>
          <w:numId w:val="6"/>
        </w:numPr>
        <w:adjustRightInd w:val="0"/>
        <w:spacing w:line="360" w:lineRule="auto"/>
        <w:ind w:firstLine="480"/>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付款方式：</w:t>
      </w:r>
      <w:r>
        <w:rPr>
          <w:rFonts w:hint="eastAsia" w:asciiTheme="minorEastAsia" w:hAnsiTheme="minorEastAsia" w:eastAsiaTheme="minorEastAsia" w:cstheme="minorEastAsia"/>
          <w:szCs w:val="21"/>
          <w:highlight w:val="none"/>
          <w:u w:val="single"/>
        </w:rPr>
        <w:t xml:space="preserve">         </w:t>
      </w:r>
      <w:r>
        <w:rPr>
          <w:rFonts w:hint="eastAsia" w:ascii="宋体" w:hAnsi="宋体" w:cs="宋体"/>
          <w:bCs/>
          <w:highlight w:val="none"/>
        </w:rPr>
        <w:t>。</w:t>
      </w:r>
    </w:p>
    <w:p>
      <w:pPr>
        <w:numPr>
          <w:ilvl w:val="0"/>
          <w:numId w:val="6"/>
        </w:numPr>
        <w:adjustRightInd w:val="0"/>
        <w:spacing w:line="360" w:lineRule="auto"/>
        <w:ind w:firstLine="480"/>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违约责任：甲方无正当理由拒收货物、拒付货款的，向乙方偿付拒收拒付部分货物款总额的________违约金。</w:t>
      </w:r>
    </w:p>
    <w:p>
      <w:pPr>
        <w:adjustRightInd w:val="0"/>
        <w:spacing w:line="360" w:lineRule="auto"/>
        <w:ind w:firstLine="420" w:firstLineChars="200"/>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乙方所交货物的规格型号、技术要求、质量品质等不符合合同规定，甲方有权拒收货物，乙方应负责更换并承担因更换而支付的全部实际费用。因更换而造成逾期交货，则按逾期交货处理。</w:t>
      </w:r>
    </w:p>
    <w:p>
      <w:pPr>
        <w:adjustRightInd w:val="0"/>
        <w:spacing w:line="360" w:lineRule="auto"/>
        <w:ind w:firstLine="420" w:firstLineChars="200"/>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乙方不能交付货物的，乙方向甲方支付未交付部分货物款总额____违约金。</w:t>
      </w:r>
    </w:p>
    <w:p>
      <w:pPr>
        <w:adjustRightInd w:val="0"/>
        <w:spacing w:line="360" w:lineRule="auto"/>
        <w:ind w:firstLine="420" w:firstLineChars="200"/>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若因中标人原因不能按期按质供货的，将扣除中标人2万元的违约金，同时每超过一天另扣除合同金额的千分之一。</w:t>
      </w:r>
    </w:p>
    <w:p>
      <w:pPr>
        <w:adjustRightInd w:val="0"/>
        <w:spacing w:line="360" w:lineRule="auto"/>
        <w:ind w:firstLine="420" w:firstLineChars="200"/>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六、因货物的质量问题发生争议，由甲方所在地市级技术监督单位进行质量鉴定。</w:t>
      </w:r>
    </w:p>
    <w:p>
      <w:pPr>
        <w:adjustRightInd w:val="0"/>
        <w:spacing w:line="360" w:lineRule="auto"/>
        <w:ind w:firstLine="420" w:firstLineChars="200"/>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七、甲乙双方应严格遵守投标要求和供应商须知，如有违反，按投标要求和供应商须知规定予以处理。</w:t>
      </w:r>
    </w:p>
    <w:p>
      <w:pPr>
        <w:adjustRightInd w:val="0"/>
        <w:spacing w:line="360" w:lineRule="auto"/>
        <w:ind w:firstLine="420" w:firstLineChars="200"/>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八、采购文件及其修改补充、投标文件及其修改补充澄清均为本合同的组成部分。</w:t>
      </w:r>
    </w:p>
    <w:p>
      <w:pPr>
        <w:adjustRightInd w:val="0"/>
        <w:spacing w:line="360" w:lineRule="auto"/>
        <w:ind w:firstLine="420" w:firstLineChars="200"/>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九、本合同发生争议时双方应按合同条款协商解决。双方协商不成的，可以根据仲裁协议向当地仲裁机构申请仲裁。当事人没有订立仲裁协议或者仲裁协议无效的，可以向当地人民法院起诉。</w:t>
      </w:r>
    </w:p>
    <w:p>
      <w:pPr>
        <w:adjustRightInd w:val="0"/>
        <w:spacing w:line="360" w:lineRule="auto"/>
        <w:ind w:firstLine="420" w:firstLineChars="200"/>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十、合同生效及其它：</w:t>
      </w:r>
    </w:p>
    <w:p>
      <w:pPr>
        <w:adjustRightInd w:val="0"/>
        <w:spacing w:line="360" w:lineRule="auto"/>
        <w:ind w:firstLine="420" w:firstLineChars="200"/>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本合同经甲、乙双方代表签字、加盖公章和骑缝章后生效。本合同一式五份，甲乙双方各持两份。合同签订后在2个工作日内，采购人将合同在焦作市政府采购网公示并备案。</w:t>
      </w:r>
    </w:p>
    <w:p>
      <w:pPr>
        <w:adjustRightInd w:val="0"/>
        <w:spacing w:line="360" w:lineRule="auto"/>
        <w:ind w:firstLine="420" w:firstLineChars="200"/>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乙方：</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t xml:space="preserve">              甲方：</w:t>
      </w:r>
    </w:p>
    <w:p>
      <w:pPr>
        <w:adjustRightInd w:val="0"/>
        <w:spacing w:line="360" w:lineRule="auto"/>
        <w:ind w:firstLine="420" w:firstLineChars="200"/>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地址：</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t xml:space="preserve">              地址：</w:t>
      </w:r>
    </w:p>
    <w:p>
      <w:pPr>
        <w:adjustRightInd w:val="0"/>
        <w:spacing w:line="360" w:lineRule="auto"/>
        <w:ind w:firstLine="420" w:firstLineChars="200"/>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                   法定代表人：</w:t>
      </w:r>
    </w:p>
    <w:p>
      <w:pPr>
        <w:adjustRightInd w:val="0"/>
        <w:spacing w:line="360" w:lineRule="auto"/>
        <w:ind w:firstLine="420" w:firstLineChars="200"/>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委托代理人：                   委托代理人：</w:t>
      </w:r>
    </w:p>
    <w:p>
      <w:pPr>
        <w:adjustRightInd w:val="0"/>
        <w:spacing w:line="360" w:lineRule="auto"/>
        <w:ind w:firstLine="420" w:firstLineChars="200"/>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电话：</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t xml:space="preserve">                         电话：</w:t>
      </w:r>
    </w:p>
    <w:p>
      <w:pPr>
        <w:adjustRightInd w:val="0"/>
        <w:spacing w:line="360" w:lineRule="auto"/>
        <w:ind w:firstLine="420" w:firstLineChars="200"/>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开户银行：</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t xml:space="preserve">                  开户银行：</w:t>
      </w:r>
    </w:p>
    <w:p>
      <w:pPr>
        <w:adjustRightInd w:val="0"/>
        <w:spacing w:line="360" w:lineRule="auto"/>
        <w:ind w:firstLine="420" w:firstLineChars="200"/>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银行账号：</w:t>
      </w:r>
      <w:r>
        <w:rPr>
          <w:rFonts w:hint="eastAsia" w:asciiTheme="minorEastAsia" w:hAnsiTheme="minorEastAsia" w:eastAsiaTheme="minorEastAsia" w:cstheme="minorEastAsia"/>
          <w:szCs w:val="21"/>
          <w:highlight w:val="none"/>
        </w:rPr>
        <w:tab/>
      </w:r>
      <w:r>
        <w:rPr>
          <w:rFonts w:hint="eastAsia" w:asciiTheme="minorEastAsia" w:hAnsiTheme="minorEastAsia" w:eastAsiaTheme="minorEastAsia" w:cstheme="minorEastAsia"/>
          <w:szCs w:val="21"/>
          <w:highlight w:val="none"/>
        </w:rPr>
        <w:t xml:space="preserve">                  银行账号：</w:t>
      </w:r>
    </w:p>
    <w:p>
      <w:pPr>
        <w:adjustRightInd w:val="0"/>
        <w:spacing w:line="360" w:lineRule="auto"/>
        <w:ind w:firstLine="420" w:firstLineChars="200"/>
        <w:textAlignment w:val="baseline"/>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签约时间：                     签约地点：</w:t>
      </w:r>
    </w:p>
    <w:p>
      <w:pPr>
        <w:adjustRightInd w:val="0"/>
        <w:spacing w:line="360" w:lineRule="auto"/>
        <w:ind w:firstLine="422" w:firstLineChars="200"/>
        <w:textAlignment w:val="baseline"/>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重要提示：以上合同文本作为签订合同的重要依据，涉及付款方式、供应商名称等实质性内容不得变更。</w:t>
      </w:r>
    </w:p>
    <w:p>
      <w:pPr>
        <w:pStyle w:val="6"/>
        <w:jc w:val="center"/>
        <w:rPr>
          <w:rFonts w:asciiTheme="minorEastAsia" w:hAnsiTheme="minorEastAsia" w:eastAsiaTheme="minorEastAsia" w:cstheme="minorEastAsia"/>
          <w:b/>
          <w:bCs/>
          <w:sz w:val="21"/>
          <w:szCs w:val="21"/>
          <w:highlight w:val="none"/>
        </w:rPr>
      </w:pPr>
    </w:p>
    <w:p>
      <w:pPr>
        <w:pStyle w:val="6"/>
        <w:jc w:val="center"/>
        <w:rPr>
          <w:rFonts w:asciiTheme="minorEastAsia" w:hAnsiTheme="minorEastAsia" w:eastAsiaTheme="minorEastAsia" w:cstheme="minorEastAsia"/>
          <w:b/>
          <w:bCs/>
          <w:sz w:val="21"/>
          <w:szCs w:val="21"/>
          <w:highlight w:val="none"/>
        </w:rPr>
      </w:pPr>
    </w:p>
    <w:p>
      <w:pPr>
        <w:pStyle w:val="6"/>
        <w:jc w:val="center"/>
        <w:rPr>
          <w:rFonts w:asciiTheme="minorEastAsia" w:hAnsiTheme="minorEastAsia" w:eastAsiaTheme="minorEastAsia" w:cstheme="minorEastAsia"/>
          <w:b/>
          <w:bCs/>
          <w:sz w:val="21"/>
          <w:szCs w:val="21"/>
          <w:highlight w:val="none"/>
        </w:rPr>
      </w:pPr>
    </w:p>
    <w:p>
      <w:pPr>
        <w:pStyle w:val="6"/>
        <w:jc w:val="center"/>
        <w:rPr>
          <w:rFonts w:asciiTheme="minorEastAsia" w:hAnsiTheme="minorEastAsia" w:eastAsiaTheme="minorEastAsia" w:cstheme="minorEastAsia"/>
          <w:b/>
          <w:bCs/>
          <w:sz w:val="21"/>
          <w:szCs w:val="21"/>
          <w:highlight w:val="none"/>
        </w:rPr>
      </w:pPr>
    </w:p>
    <w:p>
      <w:pPr>
        <w:pStyle w:val="6"/>
        <w:jc w:val="center"/>
        <w:rPr>
          <w:rFonts w:asciiTheme="minorEastAsia" w:hAnsiTheme="minorEastAsia" w:eastAsiaTheme="minorEastAsia" w:cstheme="minorEastAsia"/>
          <w:b/>
          <w:bCs/>
          <w:sz w:val="21"/>
          <w:szCs w:val="21"/>
          <w:highlight w:val="none"/>
        </w:rPr>
      </w:pPr>
    </w:p>
    <w:p>
      <w:pPr>
        <w:pStyle w:val="6"/>
        <w:jc w:val="center"/>
        <w:rPr>
          <w:rFonts w:asciiTheme="minorEastAsia" w:hAnsiTheme="minorEastAsia" w:eastAsiaTheme="minorEastAsia" w:cstheme="minorEastAsia"/>
          <w:b/>
          <w:bCs/>
          <w:sz w:val="21"/>
          <w:szCs w:val="21"/>
          <w:highlight w:val="none"/>
        </w:rPr>
      </w:pPr>
    </w:p>
    <w:p>
      <w:pPr>
        <w:pStyle w:val="6"/>
        <w:jc w:val="center"/>
        <w:rPr>
          <w:rFonts w:asciiTheme="minorEastAsia" w:hAnsiTheme="minorEastAsia" w:eastAsiaTheme="minorEastAsia" w:cstheme="minorEastAsia"/>
          <w:b/>
          <w:bCs/>
          <w:sz w:val="21"/>
          <w:szCs w:val="21"/>
          <w:highlight w:val="none"/>
        </w:rPr>
      </w:pPr>
    </w:p>
    <w:p>
      <w:pPr>
        <w:pStyle w:val="6"/>
        <w:jc w:val="center"/>
        <w:rPr>
          <w:rFonts w:asciiTheme="minorEastAsia" w:hAnsiTheme="minorEastAsia" w:eastAsiaTheme="minorEastAsia" w:cstheme="minorEastAsia"/>
          <w:b/>
          <w:bCs/>
          <w:sz w:val="21"/>
          <w:szCs w:val="21"/>
          <w:highlight w:val="none"/>
        </w:rPr>
      </w:pPr>
    </w:p>
    <w:p>
      <w:pPr>
        <w:pStyle w:val="6"/>
        <w:jc w:val="center"/>
        <w:rPr>
          <w:rFonts w:asciiTheme="minorEastAsia" w:hAnsiTheme="minorEastAsia" w:eastAsiaTheme="minorEastAsia" w:cstheme="minorEastAsia"/>
          <w:b/>
          <w:bCs/>
          <w:sz w:val="21"/>
          <w:szCs w:val="21"/>
          <w:highlight w:val="none"/>
        </w:rPr>
      </w:pPr>
    </w:p>
    <w:p>
      <w:pPr>
        <w:pStyle w:val="6"/>
        <w:jc w:val="center"/>
        <w:rPr>
          <w:rFonts w:asciiTheme="minorEastAsia" w:hAnsiTheme="minorEastAsia" w:eastAsiaTheme="minorEastAsia" w:cstheme="minorEastAsia"/>
          <w:b/>
          <w:bCs/>
          <w:sz w:val="21"/>
          <w:szCs w:val="21"/>
          <w:highlight w:val="none"/>
        </w:rPr>
      </w:pPr>
    </w:p>
    <w:p>
      <w:pPr>
        <w:pStyle w:val="6"/>
        <w:jc w:val="center"/>
        <w:rPr>
          <w:b/>
          <w:bCs/>
          <w:sz w:val="32"/>
          <w:szCs w:val="32"/>
          <w:highlight w:val="none"/>
        </w:rPr>
      </w:pPr>
    </w:p>
    <w:p>
      <w:pPr>
        <w:pStyle w:val="6"/>
        <w:numPr>
          <w:ilvl w:val="0"/>
          <w:numId w:val="5"/>
        </w:numPr>
        <w:jc w:val="center"/>
        <w:outlineLvl w:val="0"/>
        <w:rPr>
          <w:b/>
          <w:bCs/>
          <w:sz w:val="32"/>
          <w:szCs w:val="32"/>
          <w:highlight w:val="none"/>
        </w:rPr>
      </w:pPr>
      <w:r>
        <w:rPr>
          <w:rFonts w:hint="eastAsia"/>
          <w:b/>
          <w:bCs/>
          <w:sz w:val="32"/>
          <w:szCs w:val="32"/>
          <w:highlight w:val="none"/>
        </w:rPr>
        <w:t xml:space="preserve">  </w:t>
      </w:r>
      <w:bookmarkStart w:id="255" w:name="_Toc6692"/>
      <w:r>
        <w:rPr>
          <w:rFonts w:hint="eastAsia"/>
          <w:b/>
          <w:bCs/>
          <w:sz w:val="32"/>
          <w:szCs w:val="32"/>
          <w:highlight w:val="none"/>
        </w:rPr>
        <w:t>采购内容及技术要求</w:t>
      </w:r>
      <w:bookmarkEnd w:id="255"/>
    </w:p>
    <w:tbl>
      <w:tblPr>
        <w:tblStyle w:val="21"/>
        <w:tblW w:w="10560"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710"/>
        <w:gridCol w:w="8020"/>
        <w:gridCol w:w="660"/>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widowControl/>
              <w:jc w:val="center"/>
              <w:rPr>
                <w:rFonts w:ascii="宋体" w:hAnsi="宋体"/>
                <w:b/>
                <w:bCs/>
                <w:color w:val="000000"/>
                <w:szCs w:val="21"/>
                <w:highlight w:val="none"/>
              </w:rPr>
            </w:pPr>
            <w:r>
              <w:rPr>
                <w:rFonts w:hint="eastAsia" w:ascii="宋体" w:hAnsi="宋体"/>
                <w:b/>
                <w:bCs/>
                <w:color w:val="000000"/>
                <w:szCs w:val="21"/>
                <w:highlight w:val="none"/>
              </w:rPr>
              <w:t>序号</w:t>
            </w:r>
          </w:p>
        </w:tc>
        <w:tc>
          <w:tcPr>
            <w:tcW w:w="710" w:type="dxa"/>
            <w:vAlign w:val="center"/>
          </w:tcPr>
          <w:p>
            <w:pPr>
              <w:jc w:val="center"/>
              <w:rPr>
                <w:rFonts w:ascii="宋体" w:hAnsi="宋体"/>
                <w:b/>
                <w:bCs/>
                <w:color w:val="000000"/>
                <w:szCs w:val="21"/>
                <w:highlight w:val="none"/>
              </w:rPr>
            </w:pPr>
            <w:r>
              <w:rPr>
                <w:rFonts w:hint="eastAsia" w:ascii="宋体" w:hAnsi="宋体"/>
                <w:b/>
                <w:bCs/>
                <w:color w:val="000000"/>
                <w:szCs w:val="21"/>
                <w:highlight w:val="none"/>
              </w:rPr>
              <w:t>设备名称</w:t>
            </w:r>
          </w:p>
        </w:tc>
        <w:tc>
          <w:tcPr>
            <w:tcW w:w="8020" w:type="dxa"/>
            <w:vAlign w:val="center"/>
          </w:tcPr>
          <w:p>
            <w:pPr>
              <w:jc w:val="center"/>
              <w:rPr>
                <w:rFonts w:hint="default" w:ascii="宋体" w:hAnsi="宋体" w:eastAsia="宋体"/>
                <w:b/>
                <w:bCs/>
                <w:color w:val="000000"/>
                <w:szCs w:val="21"/>
                <w:highlight w:val="none"/>
                <w:lang w:val="en-US" w:eastAsia="zh-CN"/>
              </w:rPr>
            </w:pPr>
            <w:r>
              <w:rPr>
                <w:rFonts w:hint="eastAsia" w:ascii="宋体" w:hAnsi="宋体"/>
                <w:b/>
                <w:bCs/>
                <w:color w:val="000000"/>
                <w:szCs w:val="21"/>
                <w:highlight w:val="none"/>
                <w:lang w:val="en-US" w:eastAsia="zh-CN"/>
              </w:rPr>
              <w:t>技术</w:t>
            </w:r>
            <w:r>
              <w:rPr>
                <w:rFonts w:hint="eastAsia" w:ascii="宋体" w:hAnsi="宋体"/>
                <w:b/>
                <w:bCs/>
                <w:color w:val="000000"/>
                <w:szCs w:val="21"/>
                <w:highlight w:val="none"/>
              </w:rPr>
              <w:t>参数</w:t>
            </w:r>
            <w:r>
              <w:rPr>
                <w:rFonts w:hint="eastAsia" w:ascii="宋体" w:hAnsi="宋体"/>
                <w:b/>
                <w:bCs/>
                <w:color w:val="000000"/>
                <w:szCs w:val="21"/>
                <w:highlight w:val="none"/>
                <w:lang w:val="en-US" w:eastAsia="zh-CN"/>
              </w:rPr>
              <w:t>及要求</w:t>
            </w:r>
          </w:p>
        </w:tc>
        <w:tc>
          <w:tcPr>
            <w:tcW w:w="660" w:type="dxa"/>
            <w:vAlign w:val="center"/>
          </w:tcPr>
          <w:p>
            <w:pPr>
              <w:jc w:val="center"/>
              <w:rPr>
                <w:rFonts w:ascii="宋体" w:hAnsi="宋体"/>
                <w:b/>
                <w:bCs/>
                <w:color w:val="000000"/>
                <w:szCs w:val="21"/>
                <w:highlight w:val="none"/>
              </w:rPr>
            </w:pPr>
            <w:r>
              <w:rPr>
                <w:rFonts w:hint="eastAsia" w:ascii="宋体" w:hAnsi="宋体"/>
                <w:b/>
                <w:bCs/>
                <w:color w:val="000000"/>
                <w:szCs w:val="21"/>
                <w:highlight w:val="none"/>
              </w:rPr>
              <w:t>数量</w:t>
            </w:r>
          </w:p>
        </w:tc>
        <w:tc>
          <w:tcPr>
            <w:tcW w:w="680" w:type="dxa"/>
            <w:vAlign w:val="center"/>
          </w:tcPr>
          <w:p>
            <w:pPr>
              <w:jc w:val="center"/>
              <w:rPr>
                <w:rFonts w:ascii="宋体" w:hAnsi="宋体"/>
                <w:b/>
                <w:bCs/>
                <w:color w:val="000000"/>
                <w:szCs w:val="21"/>
                <w:highlight w:val="none"/>
              </w:rPr>
            </w:pPr>
            <w:r>
              <w:rPr>
                <w:rFonts w:hint="eastAsia" w:ascii="宋体" w:hAnsi="宋体"/>
                <w:b/>
                <w:bCs/>
                <w:color w:val="000000"/>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0" w:type="dxa"/>
            <w:gridSpan w:val="5"/>
            <w:vAlign w:val="center"/>
          </w:tcPr>
          <w:p>
            <w:pPr>
              <w:jc w:val="center"/>
              <w:rPr>
                <w:rFonts w:ascii="宋体" w:hAnsi="宋体"/>
                <w:b/>
                <w:bCs/>
                <w:color w:val="000000"/>
                <w:szCs w:val="21"/>
                <w:highlight w:val="none"/>
              </w:rPr>
            </w:pPr>
            <w:r>
              <w:rPr>
                <w:rFonts w:hint="eastAsia" w:ascii="宋体" w:hAnsi="宋体"/>
                <w:b/>
                <w:bCs/>
                <w:color w:val="000000"/>
                <w:szCs w:val="21"/>
                <w:highlight w:val="none"/>
              </w:rPr>
              <w:t>1、AR智慧教室（抠像版）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widowControl/>
              <w:jc w:val="center"/>
              <w:rPr>
                <w:rFonts w:ascii="宋体" w:hAnsi="宋体"/>
                <w:color w:val="000000"/>
                <w:szCs w:val="21"/>
                <w:highlight w:val="none"/>
              </w:rPr>
            </w:pPr>
            <w:r>
              <w:rPr>
                <w:rFonts w:hint="eastAsia" w:ascii="宋体" w:hAnsi="宋体"/>
                <w:color w:val="000000"/>
                <w:szCs w:val="21"/>
                <w:highlight w:val="none"/>
              </w:rPr>
              <w:t>1</w:t>
            </w:r>
          </w:p>
        </w:tc>
        <w:tc>
          <w:tcPr>
            <w:tcW w:w="710" w:type="dxa"/>
            <w:vAlign w:val="center"/>
          </w:tcPr>
          <w:p>
            <w:pPr>
              <w:jc w:val="left"/>
              <w:rPr>
                <w:rFonts w:ascii="宋体" w:hAnsi="宋体"/>
                <w:color w:val="000000"/>
                <w:szCs w:val="21"/>
                <w:highlight w:val="none"/>
              </w:rPr>
            </w:pPr>
            <w:r>
              <w:rPr>
                <w:rFonts w:hint="eastAsia" w:ascii="宋体" w:hAnsi="宋体"/>
                <w:color w:val="000000"/>
                <w:szCs w:val="21"/>
                <w:highlight w:val="none"/>
              </w:rPr>
              <w:t>AR教学系统渲染服务器</w:t>
            </w:r>
          </w:p>
        </w:tc>
        <w:tc>
          <w:tcPr>
            <w:tcW w:w="8020" w:type="dxa"/>
            <w:vAlign w:val="center"/>
          </w:tcPr>
          <w:p>
            <w:pPr>
              <w:rPr>
                <w:rFonts w:ascii="宋体" w:hAnsi="宋体"/>
                <w:color w:val="000000"/>
                <w:szCs w:val="21"/>
                <w:highlight w:val="none"/>
              </w:rPr>
            </w:pPr>
            <w:r>
              <w:rPr>
                <w:rFonts w:hint="eastAsia" w:ascii="宋体" w:hAnsi="宋体"/>
                <w:color w:val="000000"/>
                <w:szCs w:val="21"/>
                <w:highlight w:val="none"/>
              </w:rPr>
              <w:t>CPU：不低于英特尔酷睿I7-10700 频率：不低于2.9-4.8GHz 八核心 三级缓存16MB；</w:t>
            </w:r>
          </w:p>
          <w:p>
            <w:pPr>
              <w:rPr>
                <w:rFonts w:ascii="宋体" w:hAnsi="宋体"/>
                <w:color w:val="000000"/>
                <w:szCs w:val="21"/>
                <w:highlight w:val="none"/>
              </w:rPr>
            </w:pPr>
            <w:r>
              <w:rPr>
                <w:rFonts w:hint="eastAsia" w:ascii="宋体" w:hAnsi="宋体"/>
                <w:color w:val="000000"/>
                <w:szCs w:val="21"/>
                <w:highlight w:val="none"/>
              </w:rPr>
              <w:t>主板： Z490-P，适于多种的ATX机箱；</w:t>
            </w:r>
          </w:p>
          <w:p>
            <w:pPr>
              <w:rPr>
                <w:rFonts w:ascii="宋体" w:hAnsi="宋体"/>
                <w:color w:val="000000"/>
                <w:szCs w:val="21"/>
                <w:highlight w:val="none"/>
              </w:rPr>
            </w:pPr>
            <w:r>
              <w:rPr>
                <w:rFonts w:hint="eastAsia" w:ascii="宋体" w:hAnsi="宋体"/>
                <w:color w:val="000000"/>
                <w:szCs w:val="21"/>
                <w:highlight w:val="none"/>
              </w:rPr>
              <w:t>内存：不低于8G*4；</w:t>
            </w:r>
          </w:p>
          <w:p>
            <w:pPr>
              <w:rPr>
                <w:rFonts w:ascii="宋体" w:hAnsi="宋体"/>
                <w:color w:val="000000"/>
                <w:szCs w:val="21"/>
                <w:highlight w:val="none"/>
              </w:rPr>
            </w:pPr>
            <w:r>
              <w:rPr>
                <w:rFonts w:hint="eastAsia" w:ascii="宋体" w:hAnsi="宋体"/>
                <w:color w:val="000000"/>
                <w:szCs w:val="21"/>
                <w:highlight w:val="none"/>
              </w:rPr>
              <w:t>电源：高效服务器电源；</w:t>
            </w:r>
          </w:p>
          <w:p>
            <w:pPr>
              <w:rPr>
                <w:rFonts w:ascii="宋体" w:hAnsi="宋体"/>
                <w:color w:val="000000"/>
                <w:szCs w:val="21"/>
                <w:highlight w:val="none"/>
              </w:rPr>
            </w:pPr>
            <w:r>
              <w:rPr>
                <w:rFonts w:hint="eastAsia" w:ascii="宋体" w:hAnsi="宋体"/>
                <w:color w:val="000000"/>
                <w:szCs w:val="21"/>
                <w:highlight w:val="none"/>
              </w:rPr>
              <w:t>广播级高清视频板卡；</w:t>
            </w:r>
          </w:p>
          <w:p>
            <w:pPr>
              <w:rPr>
                <w:rFonts w:ascii="宋体" w:hAnsi="宋体"/>
                <w:color w:val="000000"/>
                <w:szCs w:val="21"/>
                <w:highlight w:val="none"/>
              </w:rPr>
            </w:pPr>
            <w:r>
              <w:rPr>
                <w:rFonts w:hint="eastAsia" w:ascii="宋体" w:hAnsi="宋体"/>
                <w:color w:val="000000"/>
                <w:szCs w:val="21"/>
                <w:highlight w:val="none"/>
              </w:rPr>
              <w:t>显卡：高性能图形处理显卡 显存容量：不低于11GB 显存位宽：不低于352bit；</w:t>
            </w:r>
          </w:p>
          <w:p>
            <w:pPr>
              <w:rPr>
                <w:rFonts w:ascii="宋体" w:hAnsi="宋体"/>
                <w:color w:val="000000"/>
                <w:szCs w:val="21"/>
                <w:highlight w:val="none"/>
              </w:rPr>
            </w:pPr>
            <w:r>
              <w:rPr>
                <w:rFonts w:hint="eastAsia" w:ascii="宋体" w:hAnsi="宋体"/>
                <w:color w:val="000000"/>
                <w:szCs w:val="21"/>
                <w:highlight w:val="none"/>
              </w:rPr>
              <w:t>硬盘：不低于7200rpm SATA 1000G；</w:t>
            </w:r>
          </w:p>
          <w:p>
            <w:pPr>
              <w:rPr>
                <w:rFonts w:ascii="宋体" w:hAnsi="宋体"/>
                <w:color w:val="000000"/>
                <w:szCs w:val="21"/>
                <w:highlight w:val="none"/>
              </w:rPr>
            </w:pPr>
            <w:r>
              <w:rPr>
                <w:rFonts w:hint="eastAsia" w:ascii="宋体" w:hAnsi="宋体"/>
                <w:color w:val="000000"/>
                <w:szCs w:val="21"/>
                <w:highlight w:val="none"/>
              </w:rPr>
              <w:t>显示器：不低于1920*1080分辨率；</w:t>
            </w:r>
          </w:p>
        </w:tc>
        <w:tc>
          <w:tcPr>
            <w:tcW w:w="660" w:type="dxa"/>
            <w:vAlign w:val="center"/>
          </w:tcPr>
          <w:p>
            <w:pPr>
              <w:jc w:val="center"/>
              <w:rPr>
                <w:rFonts w:ascii="宋体" w:hAnsi="宋体"/>
                <w:color w:val="000000"/>
                <w:szCs w:val="21"/>
                <w:highlight w:val="none"/>
              </w:rPr>
            </w:pPr>
            <w:r>
              <w:rPr>
                <w:rFonts w:hint="eastAsia" w:ascii="宋体" w:hAnsi="宋体"/>
                <w:color w:val="000000"/>
                <w:szCs w:val="21"/>
                <w:highlight w:val="none"/>
              </w:rPr>
              <w:t>1</w:t>
            </w:r>
          </w:p>
        </w:tc>
        <w:tc>
          <w:tcPr>
            <w:tcW w:w="680" w:type="dxa"/>
            <w:vAlign w:val="center"/>
          </w:tcPr>
          <w:p>
            <w:pPr>
              <w:jc w:val="center"/>
              <w:rPr>
                <w:rFonts w:ascii="宋体" w:hAnsi="宋体"/>
                <w:color w:val="000000"/>
                <w:szCs w:val="21"/>
                <w:highlight w:val="none"/>
              </w:rPr>
            </w:pPr>
            <w:r>
              <w:rPr>
                <w:rFonts w:hint="eastAsia" w:ascii="宋体" w:hAnsi="宋体"/>
                <w:color w:val="00000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jc w:val="right"/>
              <w:rPr>
                <w:rFonts w:ascii="宋体" w:hAnsi="宋体"/>
                <w:color w:val="000000"/>
                <w:szCs w:val="21"/>
                <w:highlight w:val="none"/>
              </w:rPr>
            </w:pPr>
            <w:r>
              <w:rPr>
                <w:rFonts w:hint="eastAsia" w:ascii="宋体" w:hAnsi="宋体"/>
                <w:color w:val="000000"/>
                <w:szCs w:val="21"/>
                <w:highlight w:val="none"/>
              </w:rPr>
              <w:t>2</w:t>
            </w:r>
          </w:p>
        </w:tc>
        <w:tc>
          <w:tcPr>
            <w:tcW w:w="710" w:type="dxa"/>
            <w:vAlign w:val="center"/>
          </w:tcPr>
          <w:p>
            <w:pPr>
              <w:jc w:val="left"/>
              <w:rPr>
                <w:rFonts w:ascii="宋体" w:hAnsi="宋体"/>
                <w:color w:val="000000"/>
                <w:szCs w:val="21"/>
                <w:highlight w:val="none"/>
              </w:rPr>
            </w:pPr>
            <w:r>
              <w:rPr>
                <w:rFonts w:hint="eastAsia" w:ascii="宋体" w:hAnsi="宋体"/>
                <w:color w:val="000000"/>
                <w:szCs w:val="21"/>
                <w:highlight w:val="none"/>
              </w:rPr>
              <w:t>AR教学系统软件</w:t>
            </w:r>
          </w:p>
        </w:tc>
        <w:tc>
          <w:tcPr>
            <w:tcW w:w="8020" w:type="dxa"/>
            <w:vAlign w:val="center"/>
          </w:tcPr>
          <w:p>
            <w:pPr>
              <w:rPr>
                <w:rFonts w:ascii="宋体" w:hAnsi="宋体"/>
                <w:color w:val="000000"/>
                <w:szCs w:val="21"/>
                <w:highlight w:val="none"/>
              </w:rPr>
            </w:pPr>
            <w:r>
              <w:rPr>
                <w:rFonts w:hint="eastAsia" w:ascii="宋体" w:hAnsi="宋体"/>
                <w:color w:val="000000"/>
                <w:szCs w:val="21"/>
                <w:highlight w:val="none"/>
              </w:rPr>
              <w:t>用于实现AR教学系统课堂上基于现场拍摄画面，实时植入各种三维模型、三维动画、虚拟方真等内容；</w:t>
            </w:r>
          </w:p>
          <w:p>
            <w:pPr>
              <w:rPr>
                <w:rFonts w:ascii="宋体" w:hAnsi="宋体"/>
                <w:color w:val="000000"/>
                <w:szCs w:val="21"/>
                <w:highlight w:val="none"/>
              </w:rPr>
            </w:pPr>
            <w:r>
              <w:rPr>
                <w:rFonts w:hint="eastAsia" w:ascii="宋体" w:hAnsi="宋体"/>
                <w:color w:val="000000"/>
                <w:szCs w:val="21"/>
                <w:highlight w:val="none"/>
              </w:rPr>
              <w:t>模板化在线修改，实现各种数学模板、物理函数、仿真VR内容等呈现、及各项数据更新后的对应数据可视化的实时更新；</w:t>
            </w:r>
          </w:p>
          <w:p>
            <w:pPr>
              <w:rPr>
                <w:rFonts w:ascii="宋体" w:hAnsi="宋体"/>
                <w:color w:val="000000"/>
                <w:szCs w:val="21"/>
                <w:highlight w:val="none"/>
              </w:rPr>
            </w:pPr>
            <w:r>
              <w:rPr>
                <w:rFonts w:hint="eastAsia" w:ascii="宋体" w:hAnsi="宋体"/>
                <w:color w:val="000000"/>
                <w:szCs w:val="21"/>
                <w:highlight w:val="none"/>
              </w:rPr>
              <w:t>实时互动，可通过PAD触发、手势识别、语音控制、热键触发等交互方式与AR教学系统资源进行互动；</w:t>
            </w:r>
          </w:p>
          <w:p>
            <w:pPr>
              <w:rPr>
                <w:rFonts w:ascii="宋体" w:hAnsi="宋体"/>
                <w:color w:val="000000"/>
                <w:szCs w:val="21"/>
                <w:highlight w:val="none"/>
              </w:rPr>
            </w:pPr>
            <w:r>
              <w:rPr>
                <w:rFonts w:hint="eastAsia" w:ascii="宋体" w:hAnsi="宋体"/>
                <w:color w:val="000000"/>
                <w:szCs w:val="21"/>
                <w:highlight w:val="none"/>
              </w:rPr>
              <w:t>AR教学系统模块化设计，可与现有教室、智慧校园任意搭配；打破平面元素为主的教育方式，以三维模型、三维动画等交互式表达，实现直观、形象的情景教学；可将在实验中不可逆的操作和问题进行反复操作、分析，创新教学模式；</w:t>
            </w:r>
          </w:p>
          <w:p>
            <w:pPr>
              <w:rPr>
                <w:rFonts w:ascii="宋体" w:hAnsi="宋体"/>
                <w:color w:val="000000"/>
                <w:szCs w:val="21"/>
                <w:highlight w:val="none"/>
              </w:rPr>
            </w:pPr>
            <w:r>
              <w:rPr>
                <w:rFonts w:hint="eastAsia" w:ascii="宋体" w:hAnsi="宋体"/>
                <w:color w:val="000000"/>
                <w:szCs w:val="21"/>
                <w:highlight w:val="none"/>
              </w:rPr>
              <w:t>AR教学系统软件须满足以下关键技术要求：</w:t>
            </w:r>
          </w:p>
          <w:p>
            <w:pPr>
              <w:rPr>
                <w:rFonts w:ascii="宋体" w:hAnsi="宋体"/>
                <w:color w:val="000000"/>
                <w:szCs w:val="21"/>
                <w:highlight w:val="none"/>
              </w:rPr>
            </w:pPr>
            <w:r>
              <w:rPr>
                <w:rFonts w:hint="eastAsia" w:ascii="宋体" w:hAnsi="宋体"/>
                <w:color w:val="000000"/>
                <w:szCs w:val="21"/>
                <w:highlight w:val="none"/>
              </w:rPr>
              <w:t>1.三维模型格式：支持.FBX、.dwg、.FLT等常用格式；</w:t>
            </w:r>
          </w:p>
          <w:p>
            <w:pPr>
              <w:rPr>
                <w:rFonts w:ascii="宋体" w:hAnsi="宋体"/>
                <w:color w:val="000000"/>
                <w:szCs w:val="21"/>
                <w:highlight w:val="none"/>
              </w:rPr>
            </w:pPr>
            <w:r>
              <w:rPr>
                <w:rFonts w:hint="eastAsia" w:ascii="宋体" w:hAnsi="宋体"/>
                <w:color w:val="000000"/>
                <w:szCs w:val="21"/>
                <w:highlight w:val="none"/>
              </w:rPr>
              <w:t>2. ▲VR资源文件格式：必须支持.asn.pef.plf，支持VR编辑器等通用VR资源制作软件输出（须出具软件截图证明）；</w:t>
            </w:r>
          </w:p>
          <w:p>
            <w:pPr>
              <w:rPr>
                <w:rFonts w:ascii="宋体" w:hAnsi="宋体"/>
                <w:color w:val="000000"/>
                <w:szCs w:val="21"/>
                <w:highlight w:val="none"/>
              </w:rPr>
            </w:pPr>
            <w:r>
              <w:rPr>
                <w:rFonts w:hint="eastAsia" w:ascii="宋体" w:hAnsi="宋体"/>
                <w:color w:val="000000"/>
                <w:szCs w:val="21"/>
                <w:highlight w:val="none"/>
              </w:rPr>
              <w:t>3.真三维渲染模块：三维渲染引擎模块，系统架构基于真三维实时渲染，实时输出；</w:t>
            </w:r>
          </w:p>
          <w:p>
            <w:pPr>
              <w:rPr>
                <w:rFonts w:ascii="宋体" w:hAnsi="宋体"/>
                <w:color w:val="000000"/>
                <w:szCs w:val="21"/>
                <w:highlight w:val="none"/>
              </w:rPr>
            </w:pPr>
            <w:r>
              <w:rPr>
                <w:rFonts w:hint="eastAsia" w:ascii="宋体" w:hAnsi="宋体"/>
                <w:color w:val="000000"/>
                <w:szCs w:val="21"/>
                <w:highlight w:val="none"/>
              </w:rPr>
              <w:t>4.智慧课堂控制模块：智慧课堂PAD控制端APP，控制素材使用、课件播出等；</w:t>
            </w:r>
          </w:p>
          <w:p>
            <w:pPr>
              <w:rPr>
                <w:rFonts w:ascii="宋体" w:hAnsi="宋体"/>
                <w:color w:val="000000"/>
                <w:szCs w:val="21"/>
                <w:highlight w:val="none"/>
              </w:rPr>
            </w:pPr>
            <w:r>
              <w:rPr>
                <w:rFonts w:hint="eastAsia" w:ascii="宋体" w:hAnsi="宋体"/>
                <w:color w:val="000000"/>
                <w:szCs w:val="21"/>
                <w:highlight w:val="none"/>
              </w:rPr>
              <w:t>5.虚拟装修模块：区域虚拟装修：对取景范围内指定区域进行虚拟拓展装修，替代不够美观、可能影响课件画片构图的实景部分，使得合成输出的课件画片更加精美，更加突出需重点展示部分；</w:t>
            </w:r>
          </w:p>
          <w:p>
            <w:pPr>
              <w:rPr>
                <w:rFonts w:ascii="宋体" w:hAnsi="宋体"/>
                <w:color w:val="000000"/>
                <w:szCs w:val="21"/>
                <w:highlight w:val="none"/>
              </w:rPr>
            </w:pPr>
            <w:r>
              <w:rPr>
                <w:rFonts w:hint="eastAsia" w:ascii="宋体" w:hAnsi="宋体"/>
                <w:color w:val="000000"/>
                <w:szCs w:val="21"/>
                <w:highlight w:val="none"/>
              </w:rPr>
              <w:t>6.调音台模块：调节音量大小、左右声道均衡；</w:t>
            </w:r>
          </w:p>
          <w:p>
            <w:pPr>
              <w:rPr>
                <w:rFonts w:ascii="宋体" w:hAnsi="宋体"/>
                <w:color w:val="000000"/>
                <w:szCs w:val="21"/>
                <w:highlight w:val="none"/>
              </w:rPr>
            </w:pPr>
            <w:r>
              <w:rPr>
                <w:rFonts w:hint="eastAsia" w:ascii="宋体" w:hAnsi="宋体"/>
                <w:color w:val="000000"/>
                <w:szCs w:val="21"/>
                <w:highlight w:val="none"/>
              </w:rPr>
              <w:t>7.备课宝模块：资源库中拖取模型，应用默认模板触发模型播出，直接用于上课；拖取任意模型应用于新模板，自动结合新模板触发播出；</w:t>
            </w:r>
          </w:p>
          <w:p>
            <w:pPr>
              <w:rPr>
                <w:rFonts w:ascii="宋体" w:hAnsi="宋体"/>
                <w:color w:val="000000"/>
                <w:szCs w:val="21"/>
                <w:highlight w:val="none"/>
              </w:rPr>
            </w:pPr>
            <w:r>
              <w:rPr>
                <w:rFonts w:hint="eastAsia" w:ascii="宋体" w:hAnsi="宋体"/>
                <w:color w:val="000000"/>
                <w:szCs w:val="21"/>
                <w:highlight w:val="none"/>
              </w:rPr>
              <w:t>8.备课/上课模式一键切换：一键切换备课/上课模式，备课模式可对所有资源进行关联、调整、编辑等操作，上课模式切换至极简界面进行课件播控；</w:t>
            </w:r>
          </w:p>
          <w:p>
            <w:pPr>
              <w:rPr>
                <w:rFonts w:ascii="宋体" w:hAnsi="宋体"/>
                <w:color w:val="000000"/>
                <w:szCs w:val="21"/>
                <w:highlight w:val="none"/>
              </w:rPr>
            </w:pPr>
            <w:r>
              <w:rPr>
                <w:rFonts w:hint="eastAsia" w:ascii="宋体" w:hAnsi="宋体"/>
                <w:color w:val="000000"/>
                <w:szCs w:val="21"/>
                <w:highlight w:val="none"/>
              </w:rPr>
              <w:t>9.已备课件一键打包调用模块：备课好的课件可一键将课件中所有三维模型、组合模板、仿真模板及动画打包为整个课件，方便调用、修改、播放；</w:t>
            </w:r>
          </w:p>
          <w:p>
            <w:pPr>
              <w:rPr>
                <w:rFonts w:ascii="宋体" w:hAnsi="宋体"/>
                <w:color w:val="000000"/>
                <w:szCs w:val="21"/>
                <w:highlight w:val="none"/>
              </w:rPr>
            </w:pPr>
            <w:r>
              <w:rPr>
                <w:rFonts w:hint="eastAsia" w:ascii="宋体" w:hAnsi="宋体"/>
                <w:color w:val="000000"/>
                <w:szCs w:val="21"/>
                <w:highlight w:val="none"/>
              </w:rPr>
              <w:t>10.流媒体推送及录制模块：流媒体直播模块，一键流媒体推送直播功能；录制模块，类似通用播放器中的播放暂停控制，一键选择开始录制、暂停录制以及停止；</w:t>
            </w:r>
          </w:p>
          <w:p>
            <w:pPr>
              <w:rPr>
                <w:rFonts w:ascii="宋体" w:hAnsi="宋体"/>
                <w:color w:val="000000"/>
                <w:szCs w:val="21"/>
                <w:highlight w:val="none"/>
              </w:rPr>
            </w:pPr>
            <w:r>
              <w:rPr>
                <w:rFonts w:hint="eastAsia" w:ascii="宋体" w:hAnsi="宋体"/>
                <w:color w:val="000000"/>
                <w:szCs w:val="21"/>
                <w:highlight w:val="none"/>
              </w:rPr>
              <w:t>11.AR素材库模块：含三维虚拟场景、三维组合动画，三维教学模型、VR模板、VR专业课件等资源素材；</w:t>
            </w:r>
          </w:p>
          <w:p>
            <w:pPr>
              <w:rPr>
                <w:rFonts w:ascii="宋体" w:hAnsi="宋体"/>
                <w:color w:val="000000"/>
                <w:szCs w:val="21"/>
                <w:highlight w:val="none"/>
              </w:rPr>
            </w:pPr>
            <w:r>
              <w:rPr>
                <w:rFonts w:hint="eastAsia" w:ascii="宋体" w:hAnsi="宋体"/>
                <w:color w:val="000000"/>
                <w:szCs w:val="21"/>
                <w:highlight w:val="none"/>
              </w:rPr>
              <w:t>12.三维模型快速导入编译模块：快速选取预置资源库的任意一个或多个模型应用，也可导入并应用外部资源库中模型；</w:t>
            </w:r>
          </w:p>
          <w:p>
            <w:pPr>
              <w:rPr>
                <w:rFonts w:ascii="宋体" w:hAnsi="宋体"/>
                <w:color w:val="000000"/>
                <w:szCs w:val="21"/>
                <w:highlight w:val="none"/>
              </w:rPr>
            </w:pPr>
            <w:r>
              <w:rPr>
                <w:rFonts w:hint="eastAsia" w:ascii="宋体" w:hAnsi="宋体"/>
                <w:color w:val="000000"/>
                <w:szCs w:val="21"/>
                <w:highlight w:val="none"/>
              </w:rPr>
              <w:t>13.三维物体控制模块：三维物体位置、大小、旋转、缩放等摇杆控制；</w:t>
            </w:r>
          </w:p>
          <w:p>
            <w:pPr>
              <w:rPr>
                <w:rFonts w:ascii="宋体" w:hAnsi="宋体"/>
                <w:color w:val="000000"/>
                <w:szCs w:val="21"/>
                <w:highlight w:val="none"/>
              </w:rPr>
            </w:pPr>
            <w:r>
              <w:rPr>
                <w:rFonts w:hint="eastAsia" w:ascii="宋体" w:hAnsi="宋体"/>
                <w:color w:val="000000"/>
                <w:szCs w:val="21"/>
                <w:highlight w:val="none"/>
              </w:rPr>
              <w:t>14.组合动画模板快速导入编译：快速选取预置资源库的任意一个或多个组合动画模板应用，也可导入并应用自己制作的组合动画模板；</w:t>
            </w:r>
          </w:p>
          <w:p>
            <w:pPr>
              <w:rPr>
                <w:rFonts w:ascii="宋体" w:hAnsi="宋体"/>
                <w:color w:val="000000"/>
                <w:szCs w:val="21"/>
                <w:highlight w:val="none"/>
              </w:rPr>
            </w:pPr>
            <w:r>
              <w:rPr>
                <w:rFonts w:hint="eastAsia" w:ascii="宋体" w:hAnsi="宋体"/>
                <w:color w:val="000000"/>
                <w:szCs w:val="21"/>
                <w:highlight w:val="none"/>
              </w:rPr>
              <w:t>15.仿真模板快速导入编译模块：快速选取预置资源库的任意一个或多个仿真模板应用，也可导入并应用自己制作的组合仿真模板；</w:t>
            </w:r>
          </w:p>
          <w:p>
            <w:pPr>
              <w:rPr>
                <w:rFonts w:ascii="宋体" w:hAnsi="宋体"/>
                <w:color w:val="000000"/>
                <w:szCs w:val="21"/>
                <w:highlight w:val="none"/>
              </w:rPr>
            </w:pPr>
            <w:r>
              <w:rPr>
                <w:rFonts w:hint="eastAsia" w:ascii="宋体" w:hAnsi="宋体"/>
                <w:color w:val="000000"/>
                <w:szCs w:val="21"/>
                <w:highlight w:val="none"/>
              </w:rPr>
              <w:t>16.专业VR课件导入编译模块：专业VR课件导入备课宝，触发课件进行条目播放用于上课；点击专业VR课件在隐藏属性栏中选取单条触发播放用于上课；</w:t>
            </w:r>
          </w:p>
          <w:p>
            <w:pPr>
              <w:rPr>
                <w:rFonts w:ascii="宋体" w:hAnsi="宋体"/>
                <w:color w:val="000000"/>
                <w:szCs w:val="21"/>
                <w:highlight w:val="none"/>
              </w:rPr>
            </w:pPr>
            <w:r>
              <w:rPr>
                <w:rFonts w:hint="eastAsia" w:ascii="宋体" w:hAnsi="宋体"/>
                <w:color w:val="000000"/>
                <w:szCs w:val="21"/>
                <w:highlight w:val="none"/>
              </w:rPr>
              <w:t>17. 支持86寸一体机等可触摸设备操作，可在触摸屏上通过单指、双指等操作，实现虚拟仿真资源的移动、旋转、缩放等操作；</w:t>
            </w:r>
          </w:p>
          <w:p>
            <w:pPr>
              <w:rPr>
                <w:rFonts w:ascii="宋体" w:hAnsi="宋体"/>
                <w:color w:val="000000"/>
                <w:szCs w:val="21"/>
                <w:highlight w:val="none"/>
              </w:rPr>
            </w:pPr>
            <w:r>
              <w:rPr>
                <w:rFonts w:hint="eastAsia" w:ascii="宋体" w:hAnsi="宋体"/>
                <w:color w:val="000000"/>
                <w:szCs w:val="21"/>
                <w:highlight w:val="none"/>
              </w:rPr>
              <w:t>1</w:t>
            </w:r>
            <w:r>
              <w:rPr>
                <w:rFonts w:ascii="宋体" w:hAnsi="宋体"/>
                <w:color w:val="000000"/>
                <w:szCs w:val="21"/>
                <w:highlight w:val="none"/>
              </w:rPr>
              <w:t>8</w:t>
            </w:r>
            <w:r>
              <w:rPr>
                <w:rFonts w:hint="eastAsia" w:ascii="宋体" w:hAnsi="宋体"/>
                <w:color w:val="000000"/>
                <w:szCs w:val="21"/>
                <w:highlight w:val="none"/>
              </w:rPr>
              <w:t>. 支持UE4渲染引擎，可直接读取虚幻商城的场景及三维模型；</w:t>
            </w:r>
          </w:p>
          <w:p>
            <w:pPr>
              <w:rPr>
                <w:rFonts w:ascii="宋体" w:hAnsi="宋体"/>
                <w:color w:val="000000"/>
                <w:szCs w:val="21"/>
                <w:highlight w:val="none"/>
              </w:rPr>
            </w:pPr>
            <w:r>
              <w:rPr>
                <w:rFonts w:ascii="宋体" w:hAnsi="宋体"/>
                <w:color w:val="000000"/>
                <w:szCs w:val="21"/>
                <w:highlight w:val="none"/>
              </w:rPr>
              <w:t>19</w:t>
            </w:r>
            <w:r>
              <w:rPr>
                <w:rFonts w:hint="eastAsia" w:ascii="宋体" w:hAnsi="宋体"/>
                <w:color w:val="000000"/>
                <w:szCs w:val="21"/>
                <w:highlight w:val="none"/>
              </w:rPr>
              <w:t>. 系统可无编程实现任意复杂物体的基于精确物理模型的动态虚拟仿真；</w:t>
            </w:r>
          </w:p>
          <w:p>
            <w:pPr>
              <w:rPr>
                <w:rFonts w:ascii="宋体" w:hAnsi="宋体"/>
                <w:color w:val="000000"/>
                <w:szCs w:val="21"/>
                <w:highlight w:val="none"/>
              </w:rPr>
            </w:pPr>
            <w:r>
              <w:rPr>
                <w:rFonts w:ascii="宋体" w:hAnsi="宋体"/>
                <w:color w:val="000000"/>
                <w:szCs w:val="21"/>
                <w:highlight w:val="none"/>
              </w:rPr>
              <w:t>20</w:t>
            </w:r>
            <w:r>
              <w:rPr>
                <w:rFonts w:hint="eastAsia" w:ascii="宋体" w:hAnsi="宋体"/>
                <w:color w:val="000000"/>
                <w:szCs w:val="21"/>
                <w:highlight w:val="none"/>
              </w:rPr>
              <w:t>. 具有机械、汽车等结构、拆装类组合专业动画模版库；具有情景教学、语言、旅游等虚拟浏览、图文包装类动画模版库；具有任意函数的图表类显示、数据可视化显示等动画模版库；具有医学、生物、化学类3D显示专业动画模版库；</w:t>
            </w:r>
          </w:p>
          <w:p>
            <w:pPr>
              <w:rPr>
                <w:rFonts w:ascii="宋体" w:hAnsi="宋体"/>
                <w:color w:val="000000"/>
                <w:szCs w:val="21"/>
                <w:highlight w:val="none"/>
              </w:rPr>
            </w:pPr>
            <w:r>
              <w:rPr>
                <w:rFonts w:ascii="宋体" w:hAnsi="宋体"/>
                <w:color w:val="000000"/>
                <w:szCs w:val="21"/>
                <w:highlight w:val="none"/>
              </w:rPr>
              <w:t>21</w:t>
            </w:r>
            <w:r>
              <w:rPr>
                <w:rFonts w:hint="eastAsia" w:ascii="宋体" w:hAnsi="宋体"/>
                <w:color w:val="000000"/>
                <w:szCs w:val="21"/>
                <w:highlight w:val="none"/>
              </w:rPr>
              <w:t>. 无需编程，同一个三维物体之间的任意属性均可通过数学、物理函数进行关联，不同物体之间的任意属性也可通过函数进行关联，关联之后的变量严格按照函数关系发生属性、状态的变化，实现仿真；</w:t>
            </w:r>
          </w:p>
          <w:p>
            <w:pPr>
              <w:rPr>
                <w:rFonts w:ascii="宋体" w:hAnsi="宋体"/>
                <w:color w:val="000000"/>
                <w:szCs w:val="21"/>
                <w:highlight w:val="none"/>
              </w:rPr>
            </w:pPr>
            <w:r>
              <w:rPr>
                <w:rFonts w:ascii="宋体" w:hAnsi="宋体"/>
                <w:color w:val="000000"/>
                <w:szCs w:val="21"/>
                <w:highlight w:val="none"/>
              </w:rPr>
              <w:t>22</w:t>
            </w:r>
            <w:r>
              <w:rPr>
                <w:rFonts w:hint="eastAsia" w:ascii="宋体" w:hAnsi="宋体"/>
                <w:color w:val="000000"/>
                <w:szCs w:val="21"/>
                <w:highlight w:val="none"/>
              </w:rPr>
              <w:t>. 支持自定义属性如熔点、沸点、温度、密度、压强，针对不同学科的专业需求，用户可自定义专业的属性；</w:t>
            </w:r>
          </w:p>
          <w:p>
            <w:pPr>
              <w:rPr>
                <w:rFonts w:ascii="宋体" w:hAnsi="宋体"/>
                <w:color w:val="000000"/>
                <w:szCs w:val="21"/>
                <w:highlight w:val="none"/>
              </w:rPr>
            </w:pPr>
            <w:r>
              <w:rPr>
                <w:rFonts w:ascii="宋体" w:hAnsi="宋体"/>
                <w:color w:val="000000"/>
                <w:szCs w:val="21"/>
                <w:highlight w:val="none"/>
              </w:rPr>
              <w:t>23</w:t>
            </w:r>
            <w:r>
              <w:rPr>
                <w:rFonts w:hint="eastAsia" w:ascii="宋体" w:hAnsi="宋体"/>
                <w:color w:val="000000"/>
                <w:szCs w:val="21"/>
                <w:highlight w:val="none"/>
              </w:rPr>
              <w:t>. 可针对教学内容、实验数据模板化进行数据可视化的制作，只需修改对应的数据即可实现虚拟仿真内容的快速制作；</w:t>
            </w:r>
          </w:p>
          <w:p>
            <w:pPr>
              <w:rPr>
                <w:rFonts w:ascii="宋体" w:hAnsi="宋体"/>
                <w:color w:val="000000"/>
                <w:szCs w:val="21"/>
                <w:highlight w:val="none"/>
              </w:rPr>
            </w:pPr>
            <w:r>
              <w:rPr>
                <w:rFonts w:ascii="宋体" w:hAnsi="宋体"/>
                <w:color w:val="000000"/>
                <w:szCs w:val="21"/>
                <w:highlight w:val="none"/>
              </w:rPr>
              <w:t>24</w:t>
            </w:r>
            <w:r>
              <w:rPr>
                <w:rFonts w:hint="eastAsia" w:ascii="宋体" w:hAnsi="宋体"/>
                <w:color w:val="000000"/>
                <w:szCs w:val="21"/>
                <w:highlight w:val="none"/>
              </w:rPr>
              <w:t>. 无需编程，平台支持物体属性关联外部数据，可读取如Matlab、Protel等专业仿真软件的数据，实现数据可视化仿真机复杂模型动态仿真；</w:t>
            </w:r>
          </w:p>
          <w:p>
            <w:pPr>
              <w:rPr>
                <w:rFonts w:ascii="宋体" w:hAnsi="宋体"/>
                <w:color w:val="000000"/>
                <w:szCs w:val="21"/>
                <w:highlight w:val="none"/>
              </w:rPr>
            </w:pPr>
            <w:r>
              <w:rPr>
                <w:rFonts w:ascii="宋体" w:hAnsi="宋体"/>
                <w:color w:val="000000"/>
                <w:szCs w:val="21"/>
                <w:highlight w:val="none"/>
              </w:rPr>
              <w:t>25</w:t>
            </w:r>
            <w:r>
              <w:rPr>
                <w:rFonts w:hint="eastAsia" w:ascii="宋体" w:hAnsi="宋体"/>
                <w:color w:val="000000"/>
                <w:szCs w:val="21"/>
                <w:highlight w:val="none"/>
              </w:rPr>
              <w:t>. 支持各种模板化动画的播放，可在资源库中选取模型，应用默认模板触发播出，也可拖取任意模型应用于新模板，自动结合新模板触发播出；</w:t>
            </w:r>
          </w:p>
          <w:p>
            <w:pPr>
              <w:rPr>
                <w:rFonts w:ascii="宋体" w:hAnsi="宋体"/>
                <w:color w:val="000000"/>
                <w:szCs w:val="21"/>
                <w:highlight w:val="none"/>
              </w:rPr>
            </w:pPr>
            <w:r>
              <w:rPr>
                <w:rFonts w:ascii="宋体" w:hAnsi="宋体"/>
                <w:color w:val="000000"/>
                <w:szCs w:val="21"/>
                <w:highlight w:val="none"/>
              </w:rPr>
              <w:t>26</w:t>
            </w:r>
            <w:r>
              <w:rPr>
                <w:rFonts w:hint="eastAsia" w:ascii="宋体" w:hAnsi="宋体"/>
                <w:color w:val="000000"/>
                <w:szCs w:val="21"/>
                <w:highlight w:val="none"/>
              </w:rPr>
              <w:t>. 支持快速组合课件，选取预置资源库的任意一个或多个VR模板或自己制作的组合VR模板，实时生成创新性课件；</w:t>
            </w:r>
          </w:p>
          <w:p>
            <w:pPr>
              <w:rPr>
                <w:rFonts w:ascii="宋体" w:hAnsi="宋体"/>
                <w:color w:val="000000"/>
                <w:szCs w:val="21"/>
                <w:highlight w:val="none"/>
              </w:rPr>
            </w:pPr>
            <w:r>
              <w:rPr>
                <w:rFonts w:ascii="宋体" w:hAnsi="宋体"/>
                <w:color w:val="000000"/>
                <w:szCs w:val="21"/>
                <w:highlight w:val="none"/>
              </w:rPr>
              <w:t>27</w:t>
            </w:r>
            <w:r>
              <w:rPr>
                <w:rFonts w:hint="eastAsia" w:ascii="宋体" w:hAnsi="宋体"/>
                <w:color w:val="000000"/>
                <w:szCs w:val="21"/>
                <w:highlight w:val="none"/>
              </w:rPr>
              <w:t>.抠像模块：基于AI算法，无需配置专业抠像蓝绿箱及专业抠像灯光等复杂设备，也无需考虑着装颜色等限制因素，常规教学环境下常规授课即可实现对教师的实时AI抠像，尤其适合于情景还原、沉浸式虚拟教学浏览等文史类课程的AR教学应用；</w:t>
            </w:r>
          </w:p>
          <w:p>
            <w:pPr>
              <w:rPr>
                <w:rFonts w:ascii="宋体" w:hAnsi="宋体"/>
                <w:color w:val="000000"/>
                <w:szCs w:val="21"/>
                <w:highlight w:val="none"/>
              </w:rPr>
            </w:pPr>
            <w:r>
              <w:rPr>
                <w:rFonts w:ascii="宋体" w:hAnsi="宋体"/>
                <w:color w:val="000000"/>
                <w:szCs w:val="21"/>
                <w:highlight w:val="none"/>
              </w:rPr>
              <w:t>28</w:t>
            </w:r>
            <w:r>
              <w:rPr>
                <w:rFonts w:hint="eastAsia" w:ascii="宋体" w:hAnsi="宋体"/>
                <w:color w:val="000000"/>
                <w:szCs w:val="21"/>
                <w:highlight w:val="none"/>
              </w:rPr>
              <w:t>.三角面片数：标清</w:t>
            </w:r>
            <w:r>
              <w:rPr>
                <w:rFonts w:hint="eastAsia"/>
                <w:highlight w:val="none"/>
              </w:rPr>
              <w:t>≥</w:t>
            </w:r>
            <w:r>
              <w:rPr>
                <w:rFonts w:hint="eastAsia" w:ascii="宋体" w:hAnsi="宋体"/>
                <w:color w:val="000000"/>
                <w:szCs w:val="21"/>
                <w:highlight w:val="none"/>
              </w:rPr>
              <w:t>31000000个，高清</w:t>
            </w:r>
            <w:r>
              <w:rPr>
                <w:rFonts w:hint="eastAsia"/>
                <w:highlight w:val="none"/>
              </w:rPr>
              <w:t>≥</w:t>
            </w:r>
            <w:r>
              <w:rPr>
                <w:rFonts w:hint="eastAsia" w:ascii="宋体" w:hAnsi="宋体"/>
                <w:color w:val="000000"/>
                <w:szCs w:val="21"/>
                <w:highlight w:val="none"/>
              </w:rPr>
              <w:t>21000000个；</w:t>
            </w:r>
          </w:p>
          <w:p>
            <w:pPr>
              <w:rPr>
                <w:rFonts w:ascii="宋体" w:hAnsi="宋体"/>
                <w:color w:val="000000"/>
                <w:szCs w:val="21"/>
                <w:highlight w:val="none"/>
              </w:rPr>
            </w:pPr>
            <w:r>
              <w:rPr>
                <w:rFonts w:hint="eastAsia" w:ascii="宋体" w:hAnsi="宋体"/>
                <w:color w:val="000000"/>
                <w:szCs w:val="21"/>
                <w:highlight w:val="none"/>
              </w:rPr>
              <w:t>2</w:t>
            </w:r>
            <w:r>
              <w:rPr>
                <w:rFonts w:ascii="宋体" w:hAnsi="宋体"/>
                <w:color w:val="000000"/>
                <w:szCs w:val="21"/>
                <w:highlight w:val="none"/>
              </w:rPr>
              <w:t>9</w:t>
            </w:r>
            <w:r>
              <w:rPr>
                <w:rFonts w:hint="eastAsia" w:ascii="宋体" w:hAnsi="宋体"/>
                <w:color w:val="000000"/>
                <w:szCs w:val="21"/>
                <w:highlight w:val="none"/>
              </w:rPr>
              <w:t>.纹理贴图</w:t>
            </w:r>
            <w:r>
              <w:rPr>
                <w:rFonts w:hint="eastAsia"/>
                <w:highlight w:val="none"/>
              </w:rPr>
              <w:t>≥</w:t>
            </w:r>
            <w:r>
              <w:rPr>
                <w:rFonts w:hint="eastAsia" w:ascii="宋体" w:hAnsi="宋体"/>
                <w:color w:val="000000"/>
                <w:szCs w:val="21"/>
                <w:highlight w:val="none"/>
              </w:rPr>
              <w:t>3000MB；</w:t>
            </w:r>
          </w:p>
          <w:p>
            <w:pPr>
              <w:rPr>
                <w:rFonts w:ascii="宋体" w:hAnsi="宋体"/>
                <w:color w:val="000000"/>
                <w:szCs w:val="21"/>
                <w:highlight w:val="none"/>
              </w:rPr>
            </w:pPr>
            <w:r>
              <w:rPr>
                <w:rFonts w:ascii="宋体" w:hAnsi="宋体"/>
                <w:color w:val="000000"/>
                <w:szCs w:val="21"/>
                <w:highlight w:val="none"/>
              </w:rPr>
              <w:t>30</w:t>
            </w:r>
            <w:r>
              <w:rPr>
                <w:rFonts w:hint="eastAsia" w:ascii="宋体" w:hAnsi="宋体"/>
                <w:color w:val="000000"/>
                <w:szCs w:val="21"/>
                <w:highlight w:val="none"/>
              </w:rPr>
              <w:t>.可实时渲染和实时播控骨骼蒙皮动画；</w:t>
            </w:r>
          </w:p>
          <w:p>
            <w:pPr>
              <w:rPr>
                <w:rFonts w:hint="eastAsia" w:ascii="宋体" w:hAnsi="宋体"/>
                <w:color w:val="000000"/>
                <w:szCs w:val="21"/>
                <w:highlight w:val="none"/>
              </w:rPr>
            </w:pPr>
            <w:r>
              <w:rPr>
                <w:rFonts w:ascii="宋体" w:hAnsi="宋体"/>
                <w:color w:val="000000"/>
                <w:szCs w:val="21"/>
                <w:highlight w:val="none"/>
              </w:rPr>
              <w:t>31</w:t>
            </w:r>
            <w:r>
              <w:rPr>
                <w:rFonts w:hint="eastAsia" w:ascii="宋体" w:hAnsi="宋体"/>
                <w:color w:val="000000"/>
                <w:szCs w:val="21"/>
                <w:highlight w:val="none"/>
              </w:rPr>
              <w:t>.物体材质、色彩、运动方式、字体、光影等所有属性都可组合为模板，后续播出软件使用时以模板化组件整体导入使用，简化了动画的重复制作，播出时可实时替换模板中文字，图片，视频，调整动画等；</w:t>
            </w:r>
          </w:p>
          <w:p>
            <w:pPr>
              <w:rPr>
                <w:rFonts w:hint="eastAsia" w:ascii="宋体" w:hAnsi="宋体"/>
                <w:color w:val="000000"/>
                <w:szCs w:val="21"/>
                <w:highlight w:val="none"/>
              </w:rPr>
            </w:pPr>
            <w:r>
              <w:rPr>
                <w:rFonts w:hint="eastAsia" w:ascii="宋体" w:hAnsi="宋体"/>
                <w:color w:val="000000"/>
                <w:szCs w:val="21"/>
                <w:highlight w:val="none"/>
              </w:rPr>
              <w:t>32.动画设计器中层、组、物件的所有参数均可设定为引出项，播控时可实时修改；</w:t>
            </w:r>
          </w:p>
          <w:p>
            <w:pPr>
              <w:rPr>
                <w:rFonts w:hint="eastAsia" w:ascii="宋体" w:hAnsi="宋体"/>
                <w:color w:val="000000"/>
                <w:szCs w:val="21"/>
                <w:highlight w:val="none"/>
              </w:rPr>
            </w:pPr>
            <w:r>
              <w:rPr>
                <w:rFonts w:hint="eastAsia" w:ascii="宋体" w:hAnsi="宋体"/>
                <w:color w:val="000000"/>
                <w:szCs w:val="21"/>
                <w:highlight w:val="none"/>
              </w:rPr>
              <w:t>33.可针对公式、函数、气象数据、股票K线图等数据模板化进行数据可视化的制作，每次节目制作只需修改对应的数据即可实现栏目的快速录制；</w:t>
            </w:r>
          </w:p>
          <w:p>
            <w:pPr>
              <w:rPr>
                <w:rFonts w:hint="eastAsia" w:ascii="宋体" w:hAnsi="宋体"/>
                <w:color w:val="000000"/>
                <w:szCs w:val="21"/>
                <w:highlight w:val="none"/>
              </w:rPr>
            </w:pPr>
            <w:r>
              <w:rPr>
                <w:rFonts w:hint="eastAsia" w:ascii="宋体" w:hAnsi="宋体"/>
                <w:color w:val="000000"/>
                <w:szCs w:val="21"/>
                <w:highlight w:val="none"/>
              </w:rPr>
              <w:t>34.支持动作捕捉系统的接入，能够导入.bvh等动捕系统数据格式；</w:t>
            </w:r>
          </w:p>
          <w:p>
            <w:pPr>
              <w:rPr>
                <w:rFonts w:hint="eastAsia" w:ascii="宋体" w:hAnsi="宋体"/>
                <w:color w:val="000000"/>
                <w:szCs w:val="21"/>
                <w:highlight w:val="none"/>
              </w:rPr>
            </w:pPr>
            <w:r>
              <w:rPr>
                <w:rFonts w:hint="eastAsia" w:ascii="宋体" w:hAnsi="宋体"/>
                <w:color w:val="000000"/>
                <w:szCs w:val="21"/>
                <w:highlight w:val="none"/>
              </w:rPr>
              <w:t>35.所有的动画播放可以直接同步播出，也可以按事件量触发播出，事件量可以是任何逻辑元素的组合，包含外部触发控制；</w:t>
            </w:r>
          </w:p>
          <w:p>
            <w:pPr>
              <w:rPr>
                <w:rFonts w:hint="eastAsia" w:ascii="宋体" w:hAnsi="宋体"/>
                <w:color w:val="000000"/>
                <w:szCs w:val="21"/>
                <w:highlight w:val="none"/>
              </w:rPr>
            </w:pPr>
            <w:r>
              <w:rPr>
                <w:rFonts w:hint="eastAsia" w:ascii="宋体" w:hAnsi="宋体"/>
                <w:color w:val="000000"/>
                <w:szCs w:val="21"/>
                <w:highlight w:val="none"/>
              </w:rPr>
              <w:t>36.可以实时获取外部数据，支持ODBC/SQL等类型的数据连接，并以柱状图、饼状图、折线图等三维图表方式可视化呈现，以及以图形、图表形式自动显示不断更新的外部数据；</w:t>
            </w:r>
          </w:p>
          <w:p>
            <w:pPr>
              <w:rPr>
                <w:rFonts w:hint="eastAsia" w:ascii="宋体" w:hAnsi="宋体"/>
                <w:color w:val="000000"/>
                <w:szCs w:val="21"/>
                <w:highlight w:val="none"/>
              </w:rPr>
            </w:pPr>
            <w:r>
              <w:rPr>
                <w:rFonts w:hint="eastAsia" w:ascii="宋体" w:hAnsi="宋体"/>
                <w:color w:val="000000"/>
                <w:szCs w:val="21"/>
                <w:highlight w:val="none"/>
              </w:rPr>
              <w:t>37.可以按事件量触发的方式设置动画的预加载及卸载；</w:t>
            </w:r>
          </w:p>
          <w:p>
            <w:pPr>
              <w:rPr>
                <w:rFonts w:hint="eastAsia" w:ascii="宋体" w:hAnsi="宋体" w:eastAsia="宋体"/>
                <w:color w:val="000000"/>
                <w:szCs w:val="21"/>
                <w:highlight w:val="none"/>
                <w:lang w:eastAsia="zh-CN"/>
              </w:rPr>
            </w:pPr>
            <w:r>
              <w:rPr>
                <w:rFonts w:hint="eastAsia" w:ascii="宋体" w:hAnsi="宋体"/>
                <w:color w:val="000000"/>
                <w:szCs w:val="21"/>
                <w:highlight w:val="none"/>
              </w:rPr>
              <w:t>3</w:t>
            </w:r>
            <w:r>
              <w:rPr>
                <w:rFonts w:ascii="宋体" w:hAnsi="宋体"/>
                <w:color w:val="000000"/>
                <w:szCs w:val="21"/>
                <w:highlight w:val="none"/>
              </w:rPr>
              <w:t>8.系统按3D层和2D层渲染，每个层作为另外层的层贴图输入</w:t>
            </w:r>
            <w:r>
              <w:rPr>
                <w:rFonts w:hint="eastAsia" w:ascii="宋体" w:hAnsi="宋体"/>
                <w:color w:val="000000"/>
                <w:szCs w:val="21"/>
                <w:highlight w:val="none"/>
                <w:lang w:eastAsia="zh-CN"/>
              </w:rPr>
              <w:t>。</w:t>
            </w:r>
          </w:p>
        </w:tc>
        <w:tc>
          <w:tcPr>
            <w:tcW w:w="660" w:type="dxa"/>
            <w:vAlign w:val="center"/>
          </w:tcPr>
          <w:p>
            <w:pPr>
              <w:jc w:val="right"/>
              <w:rPr>
                <w:rFonts w:ascii="宋体" w:hAnsi="宋体"/>
                <w:color w:val="000000"/>
                <w:szCs w:val="21"/>
                <w:highlight w:val="none"/>
              </w:rPr>
            </w:pPr>
            <w:r>
              <w:rPr>
                <w:rFonts w:hint="eastAsia" w:ascii="宋体" w:hAnsi="宋体"/>
                <w:color w:val="000000"/>
                <w:szCs w:val="21"/>
                <w:highlight w:val="none"/>
              </w:rPr>
              <w:t>1</w:t>
            </w:r>
          </w:p>
        </w:tc>
        <w:tc>
          <w:tcPr>
            <w:tcW w:w="680" w:type="dxa"/>
            <w:vAlign w:val="center"/>
          </w:tcPr>
          <w:p>
            <w:pPr>
              <w:jc w:val="left"/>
              <w:rPr>
                <w:rFonts w:ascii="宋体" w:hAnsi="宋体"/>
                <w:color w:val="000000"/>
                <w:szCs w:val="21"/>
                <w:highlight w:val="none"/>
              </w:rPr>
            </w:pPr>
            <w:r>
              <w:rPr>
                <w:rFonts w:hint="eastAsia" w:ascii="宋体" w:hAnsi="宋体"/>
                <w:color w:val="00000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jc w:val="center"/>
              <w:rPr>
                <w:rFonts w:ascii="宋体" w:hAnsi="宋体"/>
                <w:color w:val="000000"/>
                <w:szCs w:val="21"/>
                <w:highlight w:val="none"/>
              </w:rPr>
            </w:pPr>
            <w:r>
              <w:rPr>
                <w:rFonts w:hint="eastAsia" w:ascii="宋体" w:hAnsi="宋体"/>
                <w:color w:val="000000"/>
                <w:szCs w:val="21"/>
                <w:highlight w:val="none"/>
              </w:rPr>
              <w:t>3</w:t>
            </w:r>
          </w:p>
        </w:tc>
        <w:tc>
          <w:tcPr>
            <w:tcW w:w="710" w:type="dxa"/>
            <w:vAlign w:val="center"/>
          </w:tcPr>
          <w:p>
            <w:pPr>
              <w:jc w:val="left"/>
              <w:rPr>
                <w:rFonts w:ascii="宋体" w:hAnsi="宋体"/>
                <w:color w:val="000000"/>
                <w:szCs w:val="21"/>
                <w:highlight w:val="none"/>
              </w:rPr>
            </w:pPr>
            <w:r>
              <w:rPr>
                <w:rFonts w:hint="eastAsia" w:ascii="宋体" w:hAnsi="宋体"/>
                <w:color w:val="000000"/>
                <w:szCs w:val="21"/>
                <w:highlight w:val="none"/>
              </w:rPr>
              <w:t>AR</w:t>
            </w:r>
            <w:r>
              <w:rPr>
                <w:rFonts w:hint="eastAsia" w:ascii="宋体" w:hAnsi="宋体"/>
                <w:szCs w:val="21"/>
                <w:highlight w:val="none"/>
              </w:rPr>
              <w:t>素材库模块</w:t>
            </w:r>
          </w:p>
        </w:tc>
        <w:tc>
          <w:tcPr>
            <w:tcW w:w="8020" w:type="dxa"/>
            <w:vAlign w:val="center"/>
          </w:tcPr>
          <w:p>
            <w:pPr>
              <w:rPr>
                <w:rFonts w:ascii="宋体" w:hAnsi="宋体"/>
                <w:color w:val="000000"/>
                <w:szCs w:val="21"/>
                <w:highlight w:val="none"/>
              </w:rPr>
            </w:pPr>
            <w:r>
              <w:rPr>
                <w:rFonts w:hint="eastAsia" w:ascii="宋体" w:hAnsi="宋体"/>
                <w:color w:val="000000"/>
                <w:szCs w:val="21"/>
                <w:highlight w:val="none"/>
              </w:rPr>
              <w:t>含三维虚拟场景、三维组合动画，三维教学模型等素材千余套，以及航空、汽车、党建思政、机电、医疗、农业、建筑、科普等专业VR课件30余套；</w:t>
            </w:r>
          </w:p>
        </w:tc>
        <w:tc>
          <w:tcPr>
            <w:tcW w:w="660" w:type="dxa"/>
            <w:vAlign w:val="center"/>
          </w:tcPr>
          <w:p>
            <w:pPr>
              <w:jc w:val="center"/>
              <w:rPr>
                <w:rFonts w:ascii="宋体" w:hAnsi="宋体"/>
                <w:color w:val="000000"/>
                <w:szCs w:val="21"/>
                <w:highlight w:val="none"/>
              </w:rPr>
            </w:pPr>
            <w:r>
              <w:rPr>
                <w:rFonts w:hint="eastAsia" w:ascii="宋体" w:hAnsi="宋体"/>
                <w:color w:val="000000"/>
                <w:szCs w:val="21"/>
                <w:highlight w:val="none"/>
              </w:rPr>
              <w:t>1</w:t>
            </w:r>
          </w:p>
        </w:tc>
        <w:tc>
          <w:tcPr>
            <w:tcW w:w="680" w:type="dxa"/>
            <w:vAlign w:val="center"/>
          </w:tcPr>
          <w:p>
            <w:pPr>
              <w:jc w:val="center"/>
              <w:rPr>
                <w:rFonts w:ascii="宋体" w:hAnsi="宋体"/>
                <w:color w:val="000000"/>
                <w:szCs w:val="21"/>
                <w:highlight w:val="none"/>
              </w:rPr>
            </w:pPr>
            <w:r>
              <w:rPr>
                <w:rFonts w:hint="eastAsia" w:ascii="宋体" w:hAnsi="宋体"/>
                <w:color w:val="00000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jc w:val="center"/>
              <w:rPr>
                <w:rFonts w:ascii="宋体" w:hAnsi="宋体"/>
                <w:color w:val="000000"/>
                <w:szCs w:val="21"/>
                <w:highlight w:val="none"/>
              </w:rPr>
            </w:pPr>
            <w:r>
              <w:rPr>
                <w:rFonts w:hint="eastAsia" w:ascii="宋体" w:hAnsi="宋体"/>
                <w:color w:val="000000"/>
                <w:szCs w:val="21"/>
                <w:highlight w:val="none"/>
              </w:rPr>
              <w:t>4</w:t>
            </w:r>
          </w:p>
        </w:tc>
        <w:tc>
          <w:tcPr>
            <w:tcW w:w="710" w:type="dxa"/>
            <w:vAlign w:val="center"/>
          </w:tcPr>
          <w:p>
            <w:pPr>
              <w:jc w:val="left"/>
              <w:rPr>
                <w:rFonts w:ascii="宋体" w:hAnsi="宋体"/>
                <w:color w:val="000000"/>
                <w:szCs w:val="21"/>
                <w:highlight w:val="none"/>
              </w:rPr>
            </w:pPr>
            <w:r>
              <w:rPr>
                <w:rFonts w:hint="eastAsia" w:ascii="宋体" w:hAnsi="宋体"/>
                <w:color w:val="000000"/>
                <w:szCs w:val="21"/>
                <w:highlight w:val="none"/>
              </w:rPr>
              <w:t>智慧课堂控制器</w:t>
            </w:r>
          </w:p>
        </w:tc>
        <w:tc>
          <w:tcPr>
            <w:tcW w:w="8020" w:type="dxa"/>
            <w:vAlign w:val="center"/>
          </w:tcPr>
          <w:p>
            <w:pPr>
              <w:rPr>
                <w:rFonts w:ascii="宋体" w:hAnsi="宋体"/>
                <w:color w:val="000000"/>
                <w:szCs w:val="21"/>
                <w:highlight w:val="none"/>
              </w:rPr>
            </w:pPr>
            <w:r>
              <w:rPr>
                <w:rFonts w:hint="eastAsia" w:ascii="宋体" w:hAnsi="宋体"/>
                <w:color w:val="000000"/>
                <w:szCs w:val="21"/>
                <w:highlight w:val="none"/>
              </w:rPr>
              <w:t>教师控制PAD（安卓系统），用于安装AR教学系统APP，可用于VR资源交互控制，也可用于回监画面。</w:t>
            </w:r>
          </w:p>
          <w:p>
            <w:pPr>
              <w:rPr>
                <w:rFonts w:ascii="宋体" w:hAnsi="宋体"/>
                <w:color w:val="000000"/>
                <w:szCs w:val="21"/>
                <w:highlight w:val="none"/>
              </w:rPr>
            </w:pPr>
            <w:r>
              <w:rPr>
                <w:rFonts w:hint="eastAsia" w:ascii="宋体" w:hAnsi="宋体"/>
                <w:color w:val="000000"/>
                <w:szCs w:val="21"/>
                <w:highlight w:val="none"/>
              </w:rPr>
              <w:t>支持裸眼3D功能，无需佩戴</w:t>
            </w:r>
            <w:r>
              <w:rPr>
                <w:rFonts w:ascii="宋体" w:hAnsi="宋体"/>
                <w:color w:val="000000"/>
                <w:szCs w:val="21"/>
                <w:highlight w:val="none"/>
              </w:rPr>
              <w:t>3</w:t>
            </w:r>
            <w:r>
              <w:rPr>
                <w:rFonts w:hint="eastAsia" w:ascii="宋体" w:hAnsi="宋体"/>
                <w:color w:val="000000"/>
                <w:szCs w:val="21"/>
                <w:highlight w:val="none"/>
              </w:rPr>
              <w:t>D眼镜观看3D电影等资源。</w:t>
            </w:r>
          </w:p>
        </w:tc>
        <w:tc>
          <w:tcPr>
            <w:tcW w:w="660" w:type="dxa"/>
            <w:vAlign w:val="center"/>
          </w:tcPr>
          <w:p>
            <w:pPr>
              <w:jc w:val="center"/>
              <w:rPr>
                <w:rFonts w:ascii="宋体" w:hAnsi="宋体"/>
                <w:color w:val="000000"/>
                <w:szCs w:val="21"/>
                <w:highlight w:val="none"/>
              </w:rPr>
            </w:pPr>
            <w:r>
              <w:rPr>
                <w:rFonts w:hint="eastAsia" w:ascii="宋体" w:hAnsi="宋体"/>
                <w:color w:val="000000"/>
                <w:szCs w:val="21"/>
                <w:highlight w:val="none"/>
              </w:rPr>
              <w:t>1</w:t>
            </w:r>
          </w:p>
        </w:tc>
        <w:tc>
          <w:tcPr>
            <w:tcW w:w="680" w:type="dxa"/>
            <w:vAlign w:val="center"/>
          </w:tcPr>
          <w:p>
            <w:pPr>
              <w:jc w:val="center"/>
              <w:rPr>
                <w:rFonts w:ascii="宋体" w:hAnsi="宋体"/>
                <w:color w:val="000000"/>
                <w:szCs w:val="21"/>
                <w:highlight w:val="none"/>
              </w:rPr>
            </w:pPr>
            <w:r>
              <w:rPr>
                <w:rFonts w:hint="eastAsia" w:ascii="宋体" w:hAnsi="宋体"/>
                <w:color w:val="00000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jc w:val="center"/>
              <w:rPr>
                <w:rFonts w:ascii="宋体" w:hAnsi="宋体"/>
                <w:color w:val="000000"/>
                <w:szCs w:val="21"/>
                <w:highlight w:val="none"/>
              </w:rPr>
            </w:pPr>
            <w:r>
              <w:rPr>
                <w:rFonts w:hint="eastAsia" w:ascii="宋体" w:hAnsi="宋体"/>
                <w:color w:val="000000"/>
                <w:szCs w:val="21"/>
                <w:highlight w:val="none"/>
              </w:rPr>
              <w:t>5</w:t>
            </w:r>
          </w:p>
        </w:tc>
        <w:tc>
          <w:tcPr>
            <w:tcW w:w="710" w:type="dxa"/>
            <w:vAlign w:val="center"/>
          </w:tcPr>
          <w:p>
            <w:pPr>
              <w:jc w:val="left"/>
              <w:rPr>
                <w:rFonts w:ascii="宋体" w:hAnsi="宋体"/>
                <w:color w:val="000000"/>
                <w:szCs w:val="21"/>
                <w:highlight w:val="none"/>
              </w:rPr>
            </w:pPr>
            <w:r>
              <w:rPr>
                <w:rFonts w:hint="eastAsia" w:ascii="宋体" w:hAnsi="宋体"/>
                <w:color w:val="000000"/>
                <w:szCs w:val="21"/>
                <w:highlight w:val="none"/>
              </w:rPr>
              <w:t>AR教学系统专用摄像机</w:t>
            </w:r>
          </w:p>
        </w:tc>
        <w:tc>
          <w:tcPr>
            <w:tcW w:w="8020" w:type="dxa"/>
            <w:vAlign w:val="center"/>
          </w:tcPr>
          <w:p>
            <w:pPr>
              <w:rPr>
                <w:rFonts w:ascii="宋体" w:hAnsi="宋体"/>
                <w:color w:val="000000"/>
                <w:szCs w:val="21"/>
                <w:highlight w:val="none"/>
              </w:rPr>
            </w:pPr>
            <w:r>
              <w:rPr>
                <w:rFonts w:hint="eastAsia" w:ascii="宋体" w:hAnsi="宋体"/>
                <w:color w:val="000000"/>
                <w:szCs w:val="21"/>
                <w:highlight w:val="none"/>
              </w:rPr>
              <w:t>全高清图像：采用</w:t>
            </w:r>
            <w:r>
              <w:rPr>
                <w:rFonts w:hint="eastAsia"/>
                <w:highlight w:val="none"/>
              </w:rPr>
              <w:t>≥</w:t>
            </w:r>
            <w:r>
              <w:rPr>
                <w:rFonts w:hint="eastAsia" w:ascii="宋体" w:hAnsi="宋体"/>
                <w:color w:val="000000"/>
                <w:szCs w:val="21"/>
                <w:highlight w:val="none"/>
              </w:rPr>
              <w:t>1/2.8 英寸</w:t>
            </w:r>
            <w:r>
              <w:rPr>
                <w:rFonts w:hint="eastAsia"/>
                <w:highlight w:val="none"/>
              </w:rPr>
              <w:t>≥</w:t>
            </w:r>
            <w:r>
              <w:rPr>
                <w:rFonts w:hint="eastAsia" w:ascii="宋体" w:hAnsi="宋体"/>
                <w:color w:val="000000"/>
                <w:szCs w:val="21"/>
                <w:highlight w:val="none"/>
              </w:rPr>
              <w:t>207 万像素高品质图像传感器，最大分辨率</w:t>
            </w:r>
            <w:r>
              <w:rPr>
                <w:rFonts w:hint="eastAsia"/>
                <w:highlight w:val="none"/>
              </w:rPr>
              <w:t>≥</w:t>
            </w:r>
            <w:r>
              <w:rPr>
                <w:rFonts w:hint="eastAsia" w:ascii="宋体" w:hAnsi="宋体"/>
                <w:color w:val="000000"/>
                <w:szCs w:val="21"/>
                <w:highlight w:val="none"/>
              </w:rPr>
              <w:t>1920x1080，输出帧率高达 60 帧/秒。</w:t>
            </w:r>
          </w:p>
          <w:p>
            <w:pPr>
              <w:rPr>
                <w:rFonts w:ascii="宋体" w:hAnsi="宋体"/>
                <w:color w:val="000000"/>
                <w:szCs w:val="21"/>
                <w:highlight w:val="none"/>
              </w:rPr>
            </w:pPr>
            <w:r>
              <w:rPr>
                <w:rFonts w:hint="eastAsia" w:ascii="宋体" w:hAnsi="宋体"/>
                <w:color w:val="000000"/>
                <w:szCs w:val="21"/>
                <w:highlight w:val="none"/>
              </w:rPr>
              <w:t xml:space="preserve">多种光学变倍镜头：具有 12X、20X、30X 等多种光学变倍镜头选 择，镜头具有 72.5°无畸变宽视角。 </w:t>
            </w:r>
          </w:p>
          <w:p>
            <w:pPr>
              <w:rPr>
                <w:rFonts w:ascii="宋体" w:hAnsi="宋体"/>
                <w:color w:val="000000"/>
                <w:szCs w:val="21"/>
                <w:highlight w:val="none"/>
              </w:rPr>
            </w:pPr>
            <w:r>
              <w:rPr>
                <w:rFonts w:hint="eastAsia" w:ascii="宋体" w:hAnsi="宋体"/>
                <w:color w:val="000000"/>
                <w:szCs w:val="21"/>
                <w:highlight w:val="none"/>
              </w:rPr>
              <w:t>多种视频输出接口：支持 DVI（HDMI）、 HDMI、SDI、USB2.0、USB3.0、有线 LAN、无线 LAN 接口（5GWiFi 模 块可选），SDI 支持在 1080P60 格式下传输 100 米。</w:t>
            </w:r>
          </w:p>
          <w:p>
            <w:pPr>
              <w:rPr>
                <w:rFonts w:ascii="宋体" w:hAnsi="宋体"/>
                <w:color w:val="000000"/>
                <w:szCs w:val="21"/>
                <w:highlight w:val="none"/>
              </w:rPr>
            </w:pPr>
            <w:r>
              <w:rPr>
                <w:rFonts w:hint="eastAsia" w:ascii="宋体" w:hAnsi="宋体"/>
                <w:color w:val="000000"/>
                <w:szCs w:val="21"/>
                <w:highlight w:val="none"/>
              </w:rPr>
              <w:t xml:space="preserve">多种音视频压缩标准：支持 H.265/H.264 视频压缩，支持 AAC、MP3、G.711A 音频压缩；支持高达 1920x1080 分辨率 60 帧/秒压缩； </w:t>
            </w:r>
          </w:p>
          <w:p>
            <w:pPr>
              <w:rPr>
                <w:rFonts w:ascii="宋体" w:hAnsi="宋体"/>
                <w:color w:val="000000"/>
                <w:szCs w:val="21"/>
                <w:highlight w:val="none"/>
              </w:rPr>
            </w:pPr>
            <w:r>
              <w:rPr>
                <w:rFonts w:hint="eastAsia" w:ascii="宋体" w:hAnsi="宋体"/>
                <w:color w:val="000000"/>
                <w:szCs w:val="21"/>
                <w:highlight w:val="none"/>
              </w:rPr>
              <w:t xml:space="preserve">音频输入接口：支持 8000、16000、32000、44100、48000 采样频率，支持 AAC、MP3、G.711A 音频编码。 </w:t>
            </w:r>
          </w:p>
          <w:p>
            <w:pPr>
              <w:rPr>
                <w:rFonts w:ascii="宋体" w:hAnsi="宋体"/>
                <w:color w:val="000000"/>
                <w:szCs w:val="21"/>
                <w:highlight w:val="none"/>
              </w:rPr>
            </w:pPr>
            <w:r>
              <w:rPr>
                <w:rFonts w:hint="eastAsia" w:ascii="宋体" w:hAnsi="宋体"/>
                <w:color w:val="000000"/>
                <w:szCs w:val="21"/>
                <w:highlight w:val="none"/>
              </w:rPr>
              <w:t xml:space="preserve">多种网络协议：支持 ONVIF、GB/T28181、RTSP、RTMP 协议，同时支持 RTMP 推送模式，轻松链接流媒体服务器(Wowza、FMS)；支持 RTP 组播模式；支持网络全命令 VISCA 控制协议。 </w:t>
            </w:r>
          </w:p>
          <w:p>
            <w:pPr>
              <w:rPr>
                <w:rFonts w:ascii="宋体" w:hAnsi="宋体"/>
                <w:color w:val="000000"/>
                <w:szCs w:val="21"/>
                <w:highlight w:val="none"/>
              </w:rPr>
            </w:pPr>
            <w:r>
              <w:rPr>
                <w:rFonts w:hint="eastAsia" w:ascii="宋体" w:hAnsi="宋体"/>
                <w:color w:val="000000"/>
                <w:szCs w:val="21"/>
                <w:highlight w:val="none"/>
              </w:rPr>
              <w:t>多种控制接口：RS485，RS232；RS232 支持级联。</w:t>
            </w:r>
          </w:p>
          <w:p>
            <w:pPr>
              <w:rPr>
                <w:rFonts w:ascii="宋体" w:hAnsi="宋体"/>
                <w:color w:val="000000"/>
                <w:szCs w:val="21"/>
                <w:highlight w:val="none"/>
              </w:rPr>
            </w:pPr>
            <w:r>
              <w:rPr>
                <w:rFonts w:hint="eastAsia" w:ascii="宋体" w:hAnsi="宋体"/>
                <w:color w:val="000000"/>
                <w:szCs w:val="21"/>
                <w:highlight w:val="none"/>
              </w:rPr>
              <w:t>多预置位：支持多达 255 个预置位(遥控器设置调用为 10 个)。</w:t>
            </w:r>
          </w:p>
        </w:tc>
        <w:tc>
          <w:tcPr>
            <w:tcW w:w="660" w:type="dxa"/>
            <w:vAlign w:val="center"/>
          </w:tcPr>
          <w:p>
            <w:pPr>
              <w:jc w:val="center"/>
              <w:rPr>
                <w:rFonts w:ascii="宋体" w:hAnsi="宋体"/>
                <w:color w:val="000000"/>
                <w:szCs w:val="21"/>
                <w:highlight w:val="none"/>
              </w:rPr>
            </w:pPr>
            <w:r>
              <w:rPr>
                <w:rFonts w:hint="eastAsia" w:ascii="宋体" w:hAnsi="宋体"/>
                <w:color w:val="000000"/>
                <w:szCs w:val="21"/>
                <w:highlight w:val="none"/>
              </w:rPr>
              <w:t>1</w:t>
            </w:r>
          </w:p>
        </w:tc>
        <w:tc>
          <w:tcPr>
            <w:tcW w:w="680" w:type="dxa"/>
            <w:vAlign w:val="center"/>
          </w:tcPr>
          <w:p>
            <w:pPr>
              <w:jc w:val="center"/>
              <w:rPr>
                <w:rFonts w:ascii="宋体" w:hAnsi="宋体"/>
                <w:color w:val="000000"/>
                <w:szCs w:val="21"/>
                <w:highlight w:val="none"/>
              </w:rPr>
            </w:pPr>
            <w:r>
              <w:rPr>
                <w:rFonts w:hint="eastAsia" w:ascii="宋体" w:hAnsi="宋体"/>
                <w:color w:val="00000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jc w:val="center"/>
              <w:rPr>
                <w:rFonts w:ascii="宋体" w:hAnsi="宋体"/>
                <w:color w:val="000000"/>
                <w:szCs w:val="21"/>
                <w:highlight w:val="none"/>
              </w:rPr>
            </w:pPr>
            <w:r>
              <w:rPr>
                <w:rFonts w:hint="eastAsia" w:ascii="宋体" w:hAnsi="宋体"/>
                <w:color w:val="000000"/>
                <w:szCs w:val="21"/>
                <w:highlight w:val="none"/>
              </w:rPr>
              <w:t>6</w:t>
            </w:r>
          </w:p>
        </w:tc>
        <w:tc>
          <w:tcPr>
            <w:tcW w:w="710" w:type="dxa"/>
            <w:vAlign w:val="center"/>
          </w:tcPr>
          <w:p>
            <w:pPr>
              <w:jc w:val="left"/>
              <w:rPr>
                <w:rFonts w:ascii="宋体" w:hAnsi="宋体"/>
                <w:szCs w:val="21"/>
                <w:highlight w:val="none"/>
              </w:rPr>
            </w:pPr>
            <w:r>
              <w:rPr>
                <w:rFonts w:hint="eastAsia" w:ascii="宋体" w:hAnsi="宋体"/>
                <w:szCs w:val="21"/>
                <w:highlight w:val="none"/>
              </w:rPr>
              <w:t>回监电视</w:t>
            </w:r>
          </w:p>
        </w:tc>
        <w:tc>
          <w:tcPr>
            <w:tcW w:w="8020" w:type="dxa"/>
            <w:vAlign w:val="center"/>
          </w:tcPr>
          <w:p>
            <w:pPr>
              <w:rPr>
                <w:rFonts w:ascii="宋体" w:hAnsi="宋体"/>
                <w:color w:val="000000"/>
                <w:szCs w:val="21"/>
                <w:highlight w:val="none"/>
              </w:rPr>
            </w:pPr>
            <w:r>
              <w:rPr>
                <w:rFonts w:hint="eastAsia" w:ascii="宋体" w:hAnsi="宋体"/>
                <w:color w:val="000000"/>
                <w:szCs w:val="21"/>
                <w:highlight w:val="none"/>
              </w:rPr>
              <w:t>尺寸</w:t>
            </w:r>
            <w:r>
              <w:rPr>
                <w:rFonts w:hint="eastAsia"/>
                <w:highlight w:val="none"/>
              </w:rPr>
              <w:t>≥</w:t>
            </w:r>
            <w:r>
              <w:rPr>
                <w:rFonts w:hint="eastAsia" w:ascii="宋体" w:hAnsi="宋体"/>
                <w:color w:val="000000"/>
                <w:szCs w:val="21"/>
                <w:highlight w:val="none"/>
              </w:rPr>
              <w:t>55寸回监电视，带电视挂架，用于教师反看画面；</w:t>
            </w:r>
          </w:p>
          <w:p>
            <w:pPr>
              <w:rPr>
                <w:rFonts w:ascii="宋体" w:hAnsi="宋体"/>
                <w:color w:val="000000"/>
                <w:szCs w:val="21"/>
                <w:highlight w:val="none"/>
              </w:rPr>
            </w:pPr>
            <w:r>
              <w:rPr>
                <w:rFonts w:hint="eastAsia" w:ascii="宋体" w:hAnsi="宋体"/>
                <w:color w:val="000000"/>
                <w:szCs w:val="21"/>
                <w:highlight w:val="none"/>
              </w:rPr>
              <w:t>含移动推车</w:t>
            </w:r>
          </w:p>
          <w:p>
            <w:pPr>
              <w:rPr>
                <w:rFonts w:ascii="宋体" w:hAnsi="宋体"/>
                <w:color w:val="000000"/>
                <w:szCs w:val="21"/>
                <w:highlight w:val="none"/>
              </w:rPr>
            </w:pPr>
            <w:r>
              <w:rPr>
                <w:rFonts w:hint="eastAsia" w:ascii="宋体" w:hAnsi="宋体"/>
                <w:color w:val="000000"/>
                <w:szCs w:val="21"/>
                <w:highlight w:val="none"/>
              </w:rPr>
              <w:t>屏幕分辨率:4k超高清（3840×2160P）</w:t>
            </w:r>
          </w:p>
          <w:p>
            <w:pPr>
              <w:rPr>
                <w:rFonts w:ascii="宋体" w:hAnsi="宋体"/>
                <w:color w:val="000000"/>
                <w:szCs w:val="21"/>
                <w:highlight w:val="none"/>
              </w:rPr>
            </w:pPr>
            <w:r>
              <w:rPr>
                <w:rFonts w:hint="eastAsia" w:ascii="宋体" w:hAnsi="宋体"/>
                <w:color w:val="000000"/>
                <w:szCs w:val="21"/>
                <w:highlight w:val="none"/>
              </w:rPr>
              <w:t>屏幕比例:16:9</w:t>
            </w:r>
          </w:p>
          <w:p>
            <w:pPr>
              <w:rPr>
                <w:rFonts w:ascii="宋体" w:hAnsi="宋体"/>
                <w:color w:val="000000"/>
                <w:szCs w:val="21"/>
                <w:highlight w:val="none"/>
              </w:rPr>
            </w:pPr>
            <w:r>
              <w:rPr>
                <w:rFonts w:hint="eastAsia" w:ascii="宋体" w:hAnsi="宋体"/>
                <w:color w:val="000000"/>
                <w:szCs w:val="21"/>
                <w:highlight w:val="none"/>
              </w:rPr>
              <w:t>刷屏率:不低于60HZ</w:t>
            </w:r>
          </w:p>
        </w:tc>
        <w:tc>
          <w:tcPr>
            <w:tcW w:w="660" w:type="dxa"/>
            <w:vAlign w:val="center"/>
          </w:tcPr>
          <w:p>
            <w:pPr>
              <w:jc w:val="center"/>
              <w:rPr>
                <w:rFonts w:ascii="宋体" w:hAnsi="宋体"/>
                <w:color w:val="000000"/>
                <w:szCs w:val="21"/>
                <w:highlight w:val="none"/>
              </w:rPr>
            </w:pPr>
            <w:r>
              <w:rPr>
                <w:rFonts w:hint="eastAsia" w:ascii="宋体" w:hAnsi="宋体"/>
                <w:color w:val="000000"/>
                <w:szCs w:val="21"/>
                <w:highlight w:val="none"/>
              </w:rPr>
              <w:t>1</w:t>
            </w:r>
          </w:p>
        </w:tc>
        <w:tc>
          <w:tcPr>
            <w:tcW w:w="680" w:type="dxa"/>
            <w:vAlign w:val="center"/>
          </w:tcPr>
          <w:p>
            <w:pPr>
              <w:jc w:val="center"/>
              <w:rPr>
                <w:rFonts w:ascii="宋体" w:hAnsi="宋体"/>
                <w:color w:val="000000"/>
                <w:szCs w:val="21"/>
                <w:highlight w:val="none"/>
              </w:rPr>
            </w:pPr>
            <w:r>
              <w:rPr>
                <w:rFonts w:hint="eastAsia" w:ascii="宋体" w:hAnsi="宋体"/>
                <w:color w:val="00000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jc w:val="center"/>
              <w:rPr>
                <w:rFonts w:ascii="宋体" w:hAnsi="宋体"/>
                <w:color w:val="000000"/>
                <w:szCs w:val="21"/>
                <w:highlight w:val="none"/>
              </w:rPr>
            </w:pPr>
            <w:r>
              <w:rPr>
                <w:rFonts w:hint="eastAsia" w:ascii="宋体" w:hAnsi="宋体"/>
                <w:color w:val="000000"/>
                <w:szCs w:val="21"/>
                <w:highlight w:val="none"/>
              </w:rPr>
              <w:t>7</w:t>
            </w:r>
          </w:p>
        </w:tc>
        <w:tc>
          <w:tcPr>
            <w:tcW w:w="710" w:type="dxa"/>
            <w:vAlign w:val="center"/>
          </w:tcPr>
          <w:p>
            <w:pPr>
              <w:jc w:val="left"/>
              <w:rPr>
                <w:rFonts w:ascii="宋体" w:hAnsi="宋体"/>
                <w:color w:val="000000"/>
                <w:szCs w:val="21"/>
                <w:highlight w:val="none"/>
              </w:rPr>
            </w:pPr>
            <w:r>
              <w:rPr>
                <w:rFonts w:hint="eastAsia" w:ascii="宋体" w:hAnsi="宋体"/>
                <w:color w:val="000000"/>
                <w:szCs w:val="21"/>
                <w:highlight w:val="none"/>
              </w:rPr>
              <w:t>视频转换线</w:t>
            </w:r>
          </w:p>
        </w:tc>
        <w:tc>
          <w:tcPr>
            <w:tcW w:w="8020" w:type="dxa"/>
            <w:vAlign w:val="center"/>
          </w:tcPr>
          <w:p>
            <w:pPr>
              <w:rPr>
                <w:rFonts w:ascii="宋体" w:hAnsi="宋体"/>
                <w:color w:val="000000"/>
                <w:szCs w:val="21"/>
                <w:highlight w:val="none"/>
              </w:rPr>
            </w:pPr>
            <w:r>
              <w:rPr>
                <w:rFonts w:hint="eastAsia" w:ascii="宋体" w:hAnsi="宋体"/>
                <w:color w:val="000000"/>
                <w:szCs w:val="21"/>
                <w:highlight w:val="none"/>
              </w:rPr>
              <w:t>DP-HDMI，用于信号转换输出至回监电视</w:t>
            </w:r>
          </w:p>
        </w:tc>
        <w:tc>
          <w:tcPr>
            <w:tcW w:w="660" w:type="dxa"/>
            <w:vAlign w:val="center"/>
          </w:tcPr>
          <w:p>
            <w:pPr>
              <w:jc w:val="center"/>
              <w:rPr>
                <w:rFonts w:ascii="宋体" w:hAnsi="宋体"/>
                <w:color w:val="000000"/>
                <w:szCs w:val="21"/>
                <w:highlight w:val="none"/>
              </w:rPr>
            </w:pPr>
            <w:r>
              <w:rPr>
                <w:rFonts w:hint="eastAsia" w:ascii="宋体" w:hAnsi="宋体"/>
                <w:color w:val="000000"/>
                <w:szCs w:val="21"/>
                <w:highlight w:val="none"/>
              </w:rPr>
              <w:t>2</w:t>
            </w:r>
          </w:p>
        </w:tc>
        <w:tc>
          <w:tcPr>
            <w:tcW w:w="680" w:type="dxa"/>
            <w:vAlign w:val="center"/>
          </w:tcPr>
          <w:p>
            <w:pPr>
              <w:jc w:val="center"/>
              <w:rPr>
                <w:rFonts w:ascii="宋体" w:hAnsi="宋体"/>
                <w:color w:val="000000"/>
                <w:szCs w:val="21"/>
                <w:highlight w:val="none"/>
              </w:rPr>
            </w:pPr>
            <w:r>
              <w:rPr>
                <w:rFonts w:hint="eastAsia" w:ascii="宋体" w:hAnsi="宋体"/>
                <w:color w:val="000000"/>
                <w:szCs w:val="21"/>
                <w:highlight w:val="none"/>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jc w:val="center"/>
              <w:rPr>
                <w:rFonts w:ascii="宋体" w:hAnsi="宋体"/>
                <w:color w:val="000000"/>
                <w:szCs w:val="21"/>
                <w:highlight w:val="none"/>
              </w:rPr>
            </w:pPr>
            <w:r>
              <w:rPr>
                <w:rFonts w:hint="eastAsia" w:ascii="宋体" w:hAnsi="宋体"/>
                <w:color w:val="000000"/>
                <w:szCs w:val="21"/>
                <w:highlight w:val="none"/>
              </w:rPr>
              <w:t>8</w:t>
            </w:r>
          </w:p>
        </w:tc>
        <w:tc>
          <w:tcPr>
            <w:tcW w:w="710" w:type="dxa"/>
            <w:vAlign w:val="center"/>
          </w:tcPr>
          <w:p>
            <w:pPr>
              <w:jc w:val="left"/>
              <w:rPr>
                <w:rFonts w:ascii="宋体" w:hAnsi="宋体"/>
                <w:color w:val="000000"/>
                <w:szCs w:val="21"/>
                <w:highlight w:val="none"/>
              </w:rPr>
            </w:pPr>
            <w:r>
              <w:rPr>
                <w:rFonts w:hint="eastAsia" w:ascii="宋体" w:hAnsi="宋体"/>
                <w:color w:val="000000"/>
                <w:szCs w:val="21"/>
                <w:highlight w:val="none"/>
              </w:rPr>
              <w:t>线材、辅料、配件等</w:t>
            </w:r>
          </w:p>
        </w:tc>
        <w:tc>
          <w:tcPr>
            <w:tcW w:w="8020" w:type="dxa"/>
            <w:vAlign w:val="center"/>
          </w:tcPr>
          <w:p>
            <w:pPr>
              <w:rPr>
                <w:rFonts w:ascii="宋体" w:hAnsi="宋体"/>
                <w:color w:val="000000"/>
                <w:szCs w:val="21"/>
                <w:highlight w:val="none"/>
              </w:rPr>
            </w:pPr>
            <w:r>
              <w:rPr>
                <w:rFonts w:hint="eastAsia" w:ascii="宋体" w:hAnsi="宋体"/>
                <w:color w:val="000000"/>
                <w:szCs w:val="21"/>
                <w:highlight w:val="none"/>
              </w:rPr>
              <w:t>定制线材、辅料、配件等</w:t>
            </w:r>
          </w:p>
        </w:tc>
        <w:tc>
          <w:tcPr>
            <w:tcW w:w="660" w:type="dxa"/>
            <w:vAlign w:val="center"/>
          </w:tcPr>
          <w:p>
            <w:pPr>
              <w:jc w:val="center"/>
              <w:rPr>
                <w:rFonts w:ascii="宋体" w:hAnsi="宋体"/>
                <w:color w:val="000000"/>
                <w:szCs w:val="21"/>
                <w:highlight w:val="none"/>
              </w:rPr>
            </w:pPr>
            <w:r>
              <w:rPr>
                <w:rFonts w:hint="eastAsia" w:ascii="宋体" w:hAnsi="宋体"/>
                <w:color w:val="000000"/>
                <w:szCs w:val="21"/>
                <w:highlight w:val="none"/>
              </w:rPr>
              <w:t>1</w:t>
            </w:r>
          </w:p>
        </w:tc>
        <w:tc>
          <w:tcPr>
            <w:tcW w:w="680" w:type="dxa"/>
            <w:vAlign w:val="center"/>
          </w:tcPr>
          <w:p>
            <w:pPr>
              <w:jc w:val="center"/>
              <w:rPr>
                <w:rFonts w:ascii="宋体" w:hAnsi="宋体"/>
                <w:color w:val="000000"/>
                <w:szCs w:val="21"/>
                <w:highlight w:val="none"/>
              </w:rPr>
            </w:pPr>
            <w:r>
              <w:rPr>
                <w:rFonts w:hint="eastAsia" w:ascii="宋体" w:hAnsi="宋体"/>
                <w:color w:val="000000"/>
                <w:szCs w:val="21"/>
                <w:highlight w:val="none"/>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0" w:type="dxa"/>
            <w:gridSpan w:val="5"/>
            <w:vAlign w:val="center"/>
          </w:tcPr>
          <w:p>
            <w:pPr>
              <w:jc w:val="center"/>
              <w:rPr>
                <w:rFonts w:ascii="宋体" w:hAnsi="宋体"/>
                <w:color w:val="000000"/>
                <w:szCs w:val="21"/>
                <w:highlight w:val="none"/>
              </w:rPr>
            </w:pPr>
            <w:r>
              <w:rPr>
                <w:rFonts w:hint="eastAsia" w:ascii="宋体" w:hAnsi="宋体" w:eastAsia="宋体"/>
                <w:b/>
                <w:bCs/>
                <w:color w:val="000000"/>
                <w:szCs w:val="21"/>
                <w:highlight w:val="none"/>
              </w:rPr>
              <w:t>2、沉浸式头盔VR展示系统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widowControl/>
              <w:jc w:val="center"/>
              <w:rPr>
                <w:rFonts w:ascii="宋体" w:hAnsi="宋体"/>
                <w:color w:val="000000"/>
                <w:szCs w:val="21"/>
                <w:highlight w:val="none"/>
              </w:rPr>
            </w:pPr>
            <w:r>
              <w:rPr>
                <w:rFonts w:hint="eastAsia" w:ascii="宋体" w:hAnsi="宋体"/>
                <w:color w:val="000000"/>
                <w:szCs w:val="21"/>
                <w:highlight w:val="none"/>
              </w:rPr>
              <w:t>1</w:t>
            </w:r>
          </w:p>
        </w:tc>
        <w:tc>
          <w:tcPr>
            <w:tcW w:w="710" w:type="dxa"/>
            <w:vAlign w:val="center"/>
          </w:tcPr>
          <w:p>
            <w:pPr>
              <w:jc w:val="left"/>
              <w:rPr>
                <w:rFonts w:ascii="宋体" w:hAnsi="宋体"/>
                <w:color w:val="000000"/>
                <w:szCs w:val="21"/>
                <w:highlight w:val="none"/>
              </w:rPr>
            </w:pPr>
            <w:r>
              <w:rPr>
                <w:rFonts w:hint="eastAsia" w:ascii="宋体" w:hAnsi="宋体"/>
                <w:color w:val="000000"/>
                <w:szCs w:val="21"/>
                <w:highlight w:val="none"/>
              </w:rPr>
              <w:t>VR虚拟现实交互式设备</w:t>
            </w:r>
          </w:p>
        </w:tc>
        <w:tc>
          <w:tcPr>
            <w:tcW w:w="8020" w:type="dxa"/>
            <w:vAlign w:val="center"/>
          </w:tcPr>
          <w:p>
            <w:pPr>
              <w:rPr>
                <w:rFonts w:ascii="宋体" w:hAnsi="宋体"/>
                <w:color w:val="000000"/>
                <w:szCs w:val="21"/>
                <w:highlight w:val="none"/>
              </w:rPr>
            </w:pPr>
            <w:r>
              <w:rPr>
                <w:rFonts w:hint="eastAsia" w:ascii="宋体" w:hAnsi="宋体"/>
                <w:color w:val="000000"/>
                <w:szCs w:val="21"/>
                <w:highlight w:val="none"/>
              </w:rPr>
              <w:t>（一）VR头盔实训设备</w:t>
            </w:r>
          </w:p>
          <w:p>
            <w:pPr>
              <w:rPr>
                <w:rFonts w:ascii="宋体" w:hAnsi="宋体"/>
                <w:color w:val="000000"/>
                <w:szCs w:val="21"/>
                <w:highlight w:val="none"/>
              </w:rPr>
            </w:pPr>
            <w:r>
              <w:rPr>
                <w:rFonts w:hint="eastAsia" w:ascii="宋体" w:hAnsi="宋体"/>
                <w:color w:val="000000"/>
                <w:szCs w:val="21"/>
                <w:highlight w:val="none"/>
              </w:rPr>
              <w:t>CPU： XR2，Kryo 585核心，8核64位，最高主频</w:t>
            </w:r>
            <w:r>
              <w:rPr>
                <w:rFonts w:hint="eastAsia"/>
                <w:highlight w:val="none"/>
              </w:rPr>
              <w:t>≥</w:t>
            </w:r>
            <w:r>
              <w:rPr>
                <w:rFonts w:hint="eastAsia" w:ascii="宋体" w:hAnsi="宋体"/>
                <w:color w:val="000000"/>
                <w:szCs w:val="21"/>
                <w:highlight w:val="none"/>
              </w:rPr>
              <w:t>2.84GHz，</w:t>
            </w:r>
            <w:r>
              <w:rPr>
                <w:rFonts w:hint="eastAsia"/>
                <w:highlight w:val="none"/>
              </w:rPr>
              <w:t>≥</w:t>
            </w:r>
            <w:r>
              <w:rPr>
                <w:rFonts w:hint="eastAsia" w:ascii="宋体" w:hAnsi="宋体"/>
                <w:color w:val="000000"/>
                <w:szCs w:val="21"/>
                <w:highlight w:val="none"/>
              </w:rPr>
              <w:t>7nm制程工艺</w:t>
            </w:r>
          </w:p>
          <w:p>
            <w:pPr>
              <w:rPr>
                <w:rFonts w:ascii="宋体" w:hAnsi="宋体"/>
                <w:color w:val="000000"/>
                <w:szCs w:val="21"/>
                <w:highlight w:val="none"/>
              </w:rPr>
            </w:pPr>
            <w:r>
              <w:rPr>
                <w:rFonts w:hint="eastAsia" w:ascii="宋体" w:hAnsi="宋体"/>
                <w:color w:val="000000"/>
                <w:szCs w:val="21"/>
                <w:highlight w:val="none"/>
              </w:rPr>
              <w:t>GPU：</w:t>
            </w:r>
            <w:r>
              <w:rPr>
                <w:rFonts w:hint="eastAsia"/>
                <w:highlight w:val="none"/>
              </w:rPr>
              <w:t>≥</w:t>
            </w:r>
            <w:r>
              <w:rPr>
                <w:rFonts w:hint="eastAsia" w:ascii="宋体" w:hAnsi="宋体"/>
                <w:color w:val="000000"/>
                <w:szCs w:val="21"/>
                <w:highlight w:val="none"/>
              </w:rPr>
              <w:t>Adreno 650，主频</w:t>
            </w:r>
            <w:r>
              <w:rPr>
                <w:rFonts w:hint="eastAsia"/>
                <w:highlight w:val="none"/>
              </w:rPr>
              <w:t>≥</w:t>
            </w:r>
            <w:r>
              <w:rPr>
                <w:rFonts w:hint="eastAsia" w:ascii="宋体" w:hAnsi="宋体"/>
                <w:color w:val="000000"/>
                <w:szCs w:val="21"/>
                <w:highlight w:val="none"/>
              </w:rPr>
              <w:t>587MHz</w:t>
            </w:r>
          </w:p>
          <w:p>
            <w:pPr>
              <w:rPr>
                <w:rFonts w:ascii="宋体" w:hAnsi="宋体"/>
                <w:color w:val="000000"/>
                <w:szCs w:val="21"/>
                <w:highlight w:val="none"/>
              </w:rPr>
            </w:pPr>
            <w:r>
              <w:rPr>
                <w:rFonts w:hint="eastAsia" w:ascii="宋体" w:hAnsi="宋体"/>
                <w:color w:val="000000"/>
                <w:szCs w:val="21"/>
                <w:highlight w:val="none"/>
              </w:rPr>
              <w:t>内存：</w:t>
            </w:r>
            <w:r>
              <w:rPr>
                <w:rFonts w:hint="eastAsia"/>
                <w:highlight w:val="none"/>
              </w:rPr>
              <w:t>≥</w:t>
            </w:r>
            <w:r>
              <w:rPr>
                <w:rFonts w:hint="eastAsia" w:ascii="宋体" w:hAnsi="宋体"/>
                <w:color w:val="000000"/>
                <w:szCs w:val="21"/>
                <w:highlight w:val="none"/>
              </w:rPr>
              <w:t>6GB RAM，LPDDR4X</w:t>
            </w:r>
          </w:p>
          <w:p>
            <w:pPr>
              <w:rPr>
                <w:rFonts w:ascii="宋体" w:hAnsi="宋体"/>
                <w:color w:val="000000"/>
                <w:szCs w:val="21"/>
                <w:highlight w:val="none"/>
              </w:rPr>
            </w:pPr>
            <w:r>
              <w:rPr>
                <w:rFonts w:hint="eastAsia" w:ascii="宋体" w:hAnsi="宋体"/>
                <w:color w:val="000000"/>
                <w:szCs w:val="21"/>
                <w:highlight w:val="none"/>
              </w:rPr>
              <w:t>屏幕：</w:t>
            </w:r>
            <w:r>
              <w:rPr>
                <w:rFonts w:hint="eastAsia"/>
                <w:highlight w:val="none"/>
              </w:rPr>
              <w:t>≥</w:t>
            </w:r>
            <w:r>
              <w:rPr>
                <w:rFonts w:hint="eastAsia" w:ascii="宋体" w:hAnsi="宋体"/>
                <w:color w:val="000000"/>
                <w:szCs w:val="21"/>
                <w:highlight w:val="none"/>
              </w:rPr>
              <w:t>5.5 inch x 1 SFR TFT</w:t>
            </w:r>
          </w:p>
          <w:p>
            <w:pPr>
              <w:rPr>
                <w:rFonts w:ascii="宋体" w:hAnsi="宋体"/>
                <w:szCs w:val="21"/>
                <w:highlight w:val="none"/>
              </w:rPr>
            </w:pPr>
            <w:r>
              <w:rPr>
                <w:rFonts w:hint="eastAsia" w:ascii="宋体" w:hAnsi="宋体"/>
                <w:color w:val="000000"/>
                <w:szCs w:val="21"/>
                <w:highlight w:val="none"/>
              </w:rPr>
              <w:t>分辨率：</w:t>
            </w:r>
            <w:r>
              <w:rPr>
                <w:rFonts w:hint="eastAsia"/>
                <w:highlight w:val="none"/>
              </w:rPr>
              <w:t>≥</w:t>
            </w:r>
            <w:r>
              <w:rPr>
                <w:rFonts w:hint="eastAsia" w:ascii="宋体" w:hAnsi="宋体"/>
                <w:color w:val="000000"/>
                <w:szCs w:val="21"/>
                <w:highlight w:val="none"/>
              </w:rPr>
              <w:t>3664x1920，PPI：773</w:t>
            </w:r>
            <w:r>
              <w:rPr>
                <w:rFonts w:ascii="Cambria Math" w:hAnsi="Cambria Math" w:cs="Cambria Math"/>
                <w:szCs w:val="21"/>
                <w:highlight w:val="none"/>
              </w:rPr>
              <w:t>∂</w:t>
            </w:r>
          </w:p>
          <w:p>
            <w:pPr>
              <w:rPr>
                <w:rFonts w:ascii="宋体" w:hAnsi="宋体"/>
                <w:szCs w:val="21"/>
                <w:highlight w:val="none"/>
              </w:rPr>
            </w:pPr>
            <w:r>
              <w:rPr>
                <w:rFonts w:hint="eastAsia" w:ascii="宋体" w:hAnsi="宋体"/>
                <w:szCs w:val="21"/>
                <w:highlight w:val="none"/>
              </w:rPr>
              <w:t>刷新率：</w:t>
            </w:r>
            <w:r>
              <w:rPr>
                <w:rFonts w:hint="eastAsia"/>
                <w:highlight w:val="none"/>
              </w:rPr>
              <w:t>≥</w:t>
            </w:r>
            <w:r>
              <w:rPr>
                <w:rFonts w:hint="eastAsia" w:ascii="宋体" w:hAnsi="宋体"/>
                <w:szCs w:val="21"/>
                <w:highlight w:val="none"/>
              </w:rPr>
              <w:t>72/90Hz</w:t>
            </w:r>
          </w:p>
          <w:p>
            <w:pPr>
              <w:rPr>
                <w:rFonts w:ascii="宋体" w:hAnsi="宋体"/>
                <w:szCs w:val="21"/>
                <w:highlight w:val="none"/>
              </w:rPr>
            </w:pPr>
            <w:r>
              <w:rPr>
                <w:rFonts w:hint="eastAsia" w:ascii="宋体" w:hAnsi="宋体"/>
                <w:szCs w:val="21"/>
                <w:highlight w:val="none"/>
              </w:rPr>
              <w:t>视场角：</w:t>
            </w:r>
            <w:r>
              <w:rPr>
                <w:rFonts w:hint="eastAsia"/>
                <w:highlight w:val="none"/>
              </w:rPr>
              <w:t>≥</w:t>
            </w:r>
            <w:r>
              <w:rPr>
                <w:rFonts w:hint="eastAsia" w:ascii="宋体" w:hAnsi="宋体"/>
                <w:szCs w:val="21"/>
                <w:highlight w:val="none"/>
              </w:rPr>
              <w:t>98°</w:t>
            </w:r>
          </w:p>
          <w:p>
            <w:pPr>
              <w:rPr>
                <w:rFonts w:hint="eastAsia" w:ascii="宋体" w:hAnsi="宋体"/>
                <w:szCs w:val="21"/>
                <w:highlight w:val="none"/>
              </w:rPr>
            </w:pPr>
            <w:r>
              <w:rPr>
                <w:rFonts w:hint="eastAsia" w:ascii="宋体" w:hAnsi="宋体"/>
                <w:szCs w:val="21"/>
                <w:highlight w:val="none"/>
              </w:rPr>
              <w:t>透镜：菲涅尔</w:t>
            </w:r>
          </w:p>
          <w:p>
            <w:pPr>
              <w:rPr>
                <w:rFonts w:ascii="宋体" w:hAnsi="宋体"/>
                <w:szCs w:val="21"/>
                <w:highlight w:val="none"/>
              </w:rPr>
            </w:pPr>
            <w:r>
              <w:rPr>
                <w:rFonts w:hint="eastAsia" w:ascii="宋体" w:hAnsi="宋体"/>
                <w:szCs w:val="21"/>
                <w:highlight w:val="none"/>
              </w:rPr>
              <w:t>瞳距调节：支持物理瞳距调节，三档：58/63.5/69mm</w:t>
            </w:r>
          </w:p>
          <w:p>
            <w:pPr>
              <w:rPr>
                <w:rFonts w:ascii="宋体" w:hAnsi="宋体"/>
                <w:szCs w:val="21"/>
                <w:highlight w:val="none"/>
              </w:rPr>
            </w:pPr>
            <w:r>
              <w:rPr>
                <w:rFonts w:hint="eastAsia" w:ascii="宋体" w:hAnsi="宋体"/>
                <w:szCs w:val="21"/>
                <w:highlight w:val="none"/>
              </w:rPr>
              <w:t>9轴传感器</w:t>
            </w:r>
          </w:p>
          <w:p>
            <w:pPr>
              <w:rPr>
                <w:rFonts w:ascii="宋体" w:hAnsi="宋体"/>
                <w:szCs w:val="21"/>
                <w:highlight w:val="none"/>
              </w:rPr>
            </w:pPr>
            <w:r>
              <w:rPr>
                <w:rFonts w:hint="eastAsia" w:ascii="宋体" w:hAnsi="宋体"/>
                <w:szCs w:val="21"/>
                <w:highlight w:val="none"/>
              </w:rPr>
              <w:t>（二）VR头盔实训软件</w:t>
            </w:r>
          </w:p>
          <w:p>
            <w:pPr>
              <w:rPr>
                <w:rFonts w:ascii="宋体" w:hAnsi="宋体"/>
                <w:szCs w:val="21"/>
                <w:highlight w:val="none"/>
              </w:rPr>
            </w:pPr>
            <w:r>
              <w:rPr>
                <w:rFonts w:hint="eastAsia" w:ascii="宋体" w:hAnsi="宋体"/>
                <w:szCs w:val="21"/>
                <w:highlight w:val="none"/>
              </w:rPr>
              <w:t>用于在课堂上实现立体视频、全景视频、专业VR课件、PPT课件、Word文档、图片、视频等所有教学资源简单快捷编辑播放；</w:t>
            </w:r>
          </w:p>
          <w:p>
            <w:pPr>
              <w:rPr>
                <w:rFonts w:ascii="宋体" w:hAnsi="宋体"/>
                <w:szCs w:val="21"/>
                <w:highlight w:val="none"/>
              </w:rPr>
            </w:pPr>
            <w:r>
              <w:rPr>
                <w:rFonts w:hint="eastAsia" w:ascii="宋体" w:hAnsi="宋体"/>
                <w:szCs w:val="21"/>
                <w:highlight w:val="none"/>
              </w:rPr>
              <w:t>可导入任意的三维模型等虚拟物体，关联到内置的轨迹动画，任意控制虚拟物体的放大、缩小、翻转等动作，清晰直观的展现三维虚拟物体；</w:t>
            </w:r>
          </w:p>
          <w:p>
            <w:pPr>
              <w:rPr>
                <w:rFonts w:ascii="宋体" w:hAnsi="宋体"/>
                <w:szCs w:val="21"/>
                <w:highlight w:val="none"/>
              </w:rPr>
            </w:pPr>
            <w:r>
              <w:rPr>
                <w:rFonts w:hint="eastAsia" w:ascii="宋体" w:hAnsi="宋体"/>
                <w:szCs w:val="21"/>
                <w:highlight w:val="none"/>
              </w:rPr>
              <w:t>可导入定制的基于.asn、.pef格式的专业VR交互式模组动画和VR课件资源，实现各种专业的VR教学、实验、实训；</w:t>
            </w:r>
          </w:p>
          <w:p>
            <w:pPr>
              <w:rPr>
                <w:rFonts w:ascii="宋体" w:hAnsi="宋体"/>
                <w:szCs w:val="21"/>
                <w:highlight w:val="none"/>
              </w:rPr>
            </w:pPr>
            <w:r>
              <w:rPr>
                <w:rFonts w:hint="eastAsia" w:ascii="宋体" w:hAnsi="宋体"/>
                <w:szCs w:val="21"/>
                <w:highlight w:val="none"/>
              </w:rPr>
              <w:t>1. 既可简单快速基于各类素材编辑VR播放列表，也可导入专业的基于.asn、.pef格式定制的VR模板动画；</w:t>
            </w:r>
          </w:p>
          <w:p>
            <w:pPr>
              <w:rPr>
                <w:rFonts w:ascii="宋体" w:hAnsi="宋体"/>
                <w:szCs w:val="21"/>
                <w:highlight w:val="none"/>
              </w:rPr>
            </w:pPr>
            <w:r>
              <w:rPr>
                <w:rFonts w:hint="eastAsia" w:ascii="宋体" w:hAnsi="宋体"/>
                <w:szCs w:val="21"/>
                <w:highlight w:val="none"/>
              </w:rPr>
              <w:t>2. 无需任何专业操作，即可进行使用独立的VR播放器进行VR教学、实训、实验，把VR实验和教学很方便的融合在一起；</w:t>
            </w:r>
          </w:p>
          <w:p>
            <w:pPr>
              <w:rPr>
                <w:rFonts w:ascii="宋体" w:hAnsi="宋体"/>
                <w:szCs w:val="21"/>
                <w:highlight w:val="none"/>
              </w:rPr>
            </w:pPr>
            <w:r>
              <w:rPr>
                <w:rFonts w:hint="eastAsia" w:ascii="宋体" w:hAnsi="宋体"/>
                <w:szCs w:val="21"/>
                <w:highlight w:val="none"/>
              </w:rPr>
              <w:t>3. 兼容现有VR教学实训视频课件，例如，360全景VR视频、双目立体VR视频、三维模型、三维动画等；</w:t>
            </w:r>
          </w:p>
          <w:p>
            <w:pPr>
              <w:rPr>
                <w:rFonts w:ascii="宋体" w:hAnsi="宋体"/>
                <w:szCs w:val="21"/>
                <w:highlight w:val="none"/>
              </w:rPr>
            </w:pPr>
            <w:r>
              <w:rPr>
                <w:rFonts w:hint="eastAsia" w:ascii="宋体" w:hAnsi="宋体"/>
                <w:szCs w:val="21"/>
                <w:highlight w:val="none"/>
              </w:rPr>
              <w:t>4. 兼容常规传统教学资源，例如PPT、视频、图片、WORD文档等；</w:t>
            </w:r>
          </w:p>
          <w:p>
            <w:pPr>
              <w:rPr>
                <w:rFonts w:ascii="宋体" w:hAnsi="宋体"/>
                <w:szCs w:val="21"/>
                <w:highlight w:val="none"/>
              </w:rPr>
            </w:pPr>
            <w:r>
              <w:rPr>
                <w:rFonts w:hint="eastAsia" w:ascii="宋体" w:hAnsi="宋体"/>
                <w:szCs w:val="21"/>
                <w:highlight w:val="none"/>
              </w:rPr>
              <w:t>5. 支持播放三维虚拟物体，可以在虚拟空间中进行旋转拖拽的操作，支持导入外部创建的三维模型，支持常见的三维模型如3dmax、Maya生成工程文件；</w:t>
            </w:r>
          </w:p>
          <w:p>
            <w:pPr>
              <w:rPr>
                <w:rFonts w:ascii="宋体" w:hAnsi="宋体"/>
                <w:szCs w:val="21"/>
                <w:highlight w:val="none"/>
              </w:rPr>
            </w:pPr>
            <w:r>
              <w:rPr>
                <w:rFonts w:hint="eastAsia" w:ascii="宋体" w:hAnsi="宋体"/>
                <w:szCs w:val="21"/>
                <w:highlight w:val="none"/>
              </w:rPr>
              <w:t>6. 支持播放各种模组动画，系统内置轨迹动画库任用户挑选，替换三维虚拟物体即可生成新的模组动画；</w:t>
            </w:r>
          </w:p>
          <w:p>
            <w:pPr>
              <w:rPr>
                <w:rFonts w:ascii="宋体" w:hAnsi="宋体"/>
                <w:szCs w:val="21"/>
                <w:highlight w:val="none"/>
              </w:rPr>
            </w:pPr>
            <w:r>
              <w:rPr>
                <w:rFonts w:hint="eastAsia" w:ascii="宋体" w:hAnsi="宋体"/>
                <w:szCs w:val="21"/>
                <w:highlight w:val="none"/>
              </w:rPr>
              <w:t>7. 系统为真三维渲染引擎，基于场频广播级实时渲染图像输出，便于交互式播出；</w:t>
            </w:r>
          </w:p>
          <w:p>
            <w:pPr>
              <w:rPr>
                <w:rFonts w:ascii="宋体" w:hAnsi="宋体"/>
                <w:szCs w:val="21"/>
                <w:highlight w:val="none"/>
              </w:rPr>
            </w:pPr>
            <w:r>
              <w:rPr>
                <w:rFonts w:hint="eastAsia" w:ascii="宋体" w:hAnsi="宋体"/>
                <w:szCs w:val="21"/>
                <w:highlight w:val="none"/>
              </w:rPr>
              <w:t>8. 系统支持抗锯齿功能，可以有效的消除VR资源中多边形结合处（特别是较小的多边形间组合中）的错位现象，降低图像的失真度，保证真实沉浸式的体验效果；</w:t>
            </w:r>
          </w:p>
          <w:p>
            <w:pPr>
              <w:rPr>
                <w:rFonts w:ascii="宋体" w:hAnsi="宋体"/>
                <w:szCs w:val="21"/>
                <w:highlight w:val="none"/>
              </w:rPr>
            </w:pPr>
            <w:r>
              <w:rPr>
                <w:rFonts w:hint="eastAsia" w:ascii="宋体" w:hAnsi="宋体"/>
                <w:szCs w:val="21"/>
                <w:highlight w:val="none"/>
              </w:rPr>
              <w:t>9. 系统支持灵活的交互方式，可以通过键盘鼠标进行交互，也可以通过VR交互式手柄进行交互操作；</w:t>
            </w:r>
          </w:p>
          <w:p>
            <w:pPr>
              <w:rPr>
                <w:rFonts w:ascii="宋体" w:hAnsi="宋体"/>
                <w:szCs w:val="21"/>
                <w:highlight w:val="none"/>
              </w:rPr>
            </w:pPr>
            <w:r>
              <w:rPr>
                <w:rFonts w:hint="eastAsia" w:ascii="宋体" w:hAnsi="宋体"/>
                <w:szCs w:val="21"/>
                <w:highlight w:val="none"/>
              </w:rPr>
              <w:t>10. 一键可设置外设头盔的跟踪状态，一键开启、关闭，关闭头盔跟踪后可始终保持最佳观看视角；</w:t>
            </w:r>
          </w:p>
          <w:p>
            <w:pPr>
              <w:rPr>
                <w:rFonts w:ascii="宋体" w:hAnsi="宋体"/>
                <w:szCs w:val="21"/>
                <w:highlight w:val="none"/>
              </w:rPr>
            </w:pPr>
            <w:r>
              <w:rPr>
                <w:rFonts w:hint="eastAsia" w:ascii="宋体" w:hAnsi="宋体"/>
                <w:szCs w:val="21"/>
                <w:highlight w:val="none"/>
              </w:rPr>
              <w:t>11. 支持实时调整VR素材播放顺序，简单拖拽即可实现VR资源的顺序播放、跳播、点播；</w:t>
            </w:r>
          </w:p>
          <w:p>
            <w:pPr>
              <w:rPr>
                <w:rFonts w:ascii="宋体" w:hAnsi="宋体"/>
                <w:szCs w:val="21"/>
                <w:highlight w:val="none"/>
              </w:rPr>
            </w:pPr>
            <w:r>
              <w:rPr>
                <w:rFonts w:hint="eastAsia" w:ascii="宋体" w:hAnsi="宋体"/>
                <w:szCs w:val="21"/>
                <w:highlight w:val="none"/>
              </w:rPr>
              <w:t>12. 系统可接入实时外视频信号，可将实时的VR精品课件导入VR教学系统中播放观看；</w:t>
            </w:r>
          </w:p>
          <w:p>
            <w:pPr>
              <w:rPr>
                <w:rFonts w:ascii="宋体" w:hAnsi="宋体"/>
                <w:szCs w:val="21"/>
                <w:highlight w:val="none"/>
              </w:rPr>
            </w:pPr>
            <w:r>
              <w:rPr>
                <w:rFonts w:hint="eastAsia" w:ascii="宋体" w:hAnsi="宋体"/>
                <w:szCs w:val="21"/>
                <w:highlight w:val="none"/>
              </w:rPr>
              <w:t>13. 支持VR动画模板中的虚拟大屏播放PPT、视频、图片、Word文档等教学资源，并可手动或自动控制PPT播放进度；</w:t>
            </w:r>
          </w:p>
          <w:p>
            <w:pPr>
              <w:rPr>
                <w:rFonts w:ascii="宋体" w:hAnsi="宋体"/>
                <w:szCs w:val="21"/>
                <w:highlight w:val="none"/>
              </w:rPr>
            </w:pPr>
            <w:r>
              <w:rPr>
                <w:rFonts w:hint="eastAsia" w:ascii="宋体" w:hAnsi="宋体"/>
                <w:szCs w:val="21"/>
                <w:highlight w:val="none"/>
              </w:rPr>
              <w:t>14. 支持实时修改专业VR课件中具有引出项设置的模块内容，VR动画资源根据实时修改的内容进行触发播出；</w:t>
            </w:r>
          </w:p>
          <w:p>
            <w:pPr>
              <w:rPr>
                <w:rFonts w:ascii="宋体" w:hAnsi="宋体"/>
                <w:szCs w:val="21"/>
                <w:highlight w:val="none"/>
              </w:rPr>
            </w:pPr>
            <w:r>
              <w:rPr>
                <w:rFonts w:hint="eastAsia" w:ascii="宋体" w:hAnsi="宋体"/>
                <w:szCs w:val="21"/>
                <w:highlight w:val="none"/>
              </w:rPr>
              <w:t>15. VR课件资源中的素材可以实现仿真交互播出，随用户操作，物体的位置、形态、颜色、透明度、图像内容、图表、数据等均可实时改变；</w:t>
            </w:r>
          </w:p>
          <w:p>
            <w:pPr>
              <w:rPr>
                <w:rFonts w:ascii="宋体" w:hAnsi="宋体"/>
                <w:szCs w:val="21"/>
                <w:highlight w:val="none"/>
              </w:rPr>
            </w:pPr>
            <w:r>
              <w:rPr>
                <w:rFonts w:hint="eastAsia" w:ascii="宋体" w:hAnsi="宋体"/>
                <w:szCs w:val="21"/>
                <w:highlight w:val="none"/>
              </w:rPr>
              <w:t>16. 系统具备自由开放的工作流程，结合网络化的设备构成，可根据课堂教学实训内容的需求，课前仅需几分钟即可完成各种常规教学资源、VR教学素材、甚至其他教室的实时教学信号等各种教学资源的准备，课上仅需简单点击即可控制各种课件资源的播出；</w:t>
            </w:r>
          </w:p>
          <w:p>
            <w:pPr>
              <w:rPr>
                <w:rFonts w:ascii="宋体" w:hAnsi="宋体"/>
                <w:szCs w:val="21"/>
                <w:highlight w:val="none"/>
              </w:rPr>
            </w:pPr>
            <w:r>
              <w:rPr>
                <w:rFonts w:hint="eastAsia" w:ascii="宋体" w:hAnsi="宋体"/>
                <w:szCs w:val="21"/>
                <w:highlight w:val="none"/>
              </w:rPr>
              <w:t>17. 支持输出信号实时推流至网络流媒体服务器，实现多用户通过网络同时在线观看，从而实现VR与互联网+的深度融合；</w:t>
            </w:r>
          </w:p>
          <w:p>
            <w:pPr>
              <w:rPr>
                <w:rFonts w:ascii="宋体" w:hAnsi="宋体"/>
                <w:szCs w:val="21"/>
                <w:highlight w:val="none"/>
              </w:rPr>
            </w:pPr>
            <w:r>
              <w:rPr>
                <w:rFonts w:hint="eastAsia" w:ascii="宋体" w:hAnsi="宋体"/>
                <w:szCs w:val="21"/>
                <w:highlight w:val="none"/>
              </w:rPr>
              <w:t>18.流媒体格式支持RTSP、RTMP输入，RTMP输出；</w:t>
            </w:r>
          </w:p>
          <w:p>
            <w:pPr>
              <w:rPr>
                <w:rFonts w:ascii="宋体" w:hAnsi="宋体"/>
                <w:color w:val="000000"/>
                <w:szCs w:val="21"/>
                <w:highlight w:val="none"/>
              </w:rPr>
            </w:pPr>
            <w:r>
              <w:rPr>
                <w:rFonts w:hint="eastAsia" w:ascii="宋体" w:hAnsi="宋体"/>
                <w:szCs w:val="21"/>
                <w:highlight w:val="none"/>
              </w:rPr>
              <w:t>19. 可将360全景VR摄像机拍摄视频信号实时推流至系统内进行网络视频直播，支持局域网以及3G/4G网络传输，也可通过网络链接将其他教室的课堂实时画面接入VR教学系统内进行播放，让远程互动教学实训、虚实结合教学实训更加多元化；</w:t>
            </w:r>
          </w:p>
        </w:tc>
        <w:tc>
          <w:tcPr>
            <w:tcW w:w="660" w:type="dxa"/>
            <w:vAlign w:val="center"/>
          </w:tcPr>
          <w:p>
            <w:pPr>
              <w:jc w:val="center"/>
              <w:rPr>
                <w:rFonts w:ascii="宋体" w:hAnsi="宋体"/>
                <w:color w:val="000000"/>
                <w:szCs w:val="21"/>
                <w:highlight w:val="none"/>
              </w:rPr>
            </w:pPr>
            <w:r>
              <w:rPr>
                <w:rFonts w:hint="eastAsia" w:ascii="宋体" w:hAnsi="宋体"/>
                <w:color w:val="000000"/>
                <w:szCs w:val="21"/>
                <w:highlight w:val="none"/>
              </w:rPr>
              <w:t>5</w:t>
            </w:r>
          </w:p>
        </w:tc>
        <w:tc>
          <w:tcPr>
            <w:tcW w:w="680" w:type="dxa"/>
            <w:vAlign w:val="center"/>
          </w:tcPr>
          <w:p>
            <w:pPr>
              <w:jc w:val="center"/>
              <w:rPr>
                <w:rFonts w:ascii="宋体" w:hAnsi="宋体"/>
                <w:color w:val="000000"/>
                <w:szCs w:val="21"/>
                <w:highlight w:val="none"/>
              </w:rPr>
            </w:pPr>
            <w:r>
              <w:rPr>
                <w:rFonts w:hint="eastAsia" w:ascii="宋体" w:hAnsi="宋体"/>
                <w:color w:val="00000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jc w:val="center"/>
              <w:rPr>
                <w:rFonts w:ascii="宋体" w:hAnsi="宋体"/>
                <w:color w:val="000000"/>
                <w:szCs w:val="21"/>
                <w:highlight w:val="none"/>
              </w:rPr>
            </w:pPr>
            <w:r>
              <w:rPr>
                <w:rFonts w:hint="eastAsia" w:ascii="宋体" w:hAnsi="宋体"/>
                <w:color w:val="000000"/>
                <w:szCs w:val="21"/>
                <w:highlight w:val="none"/>
              </w:rPr>
              <w:t>2</w:t>
            </w:r>
          </w:p>
        </w:tc>
        <w:tc>
          <w:tcPr>
            <w:tcW w:w="710" w:type="dxa"/>
            <w:vAlign w:val="center"/>
          </w:tcPr>
          <w:p>
            <w:pPr>
              <w:jc w:val="left"/>
              <w:rPr>
                <w:rFonts w:ascii="宋体" w:hAnsi="宋体"/>
                <w:color w:val="000000"/>
                <w:szCs w:val="21"/>
                <w:highlight w:val="none"/>
              </w:rPr>
            </w:pPr>
            <w:r>
              <w:rPr>
                <w:rFonts w:hint="eastAsia" w:ascii="宋体" w:hAnsi="宋体"/>
                <w:color w:val="000000"/>
                <w:szCs w:val="21"/>
                <w:highlight w:val="none"/>
              </w:rPr>
              <w:t>VR头盔实训专用工作站</w:t>
            </w:r>
          </w:p>
        </w:tc>
        <w:tc>
          <w:tcPr>
            <w:tcW w:w="8020" w:type="dxa"/>
            <w:vAlign w:val="center"/>
          </w:tcPr>
          <w:p>
            <w:pPr>
              <w:rPr>
                <w:rFonts w:ascii="宋体" w:hAnsi="宋体"/>
                <w:color w:val="000000"/>
                <w:szCs w:val="21"/>
                <w:highlight w:val="none"/>
              </w:rPr>
            </w:pPr>
            <w:r>
              <w:rPr>
                <w:rFonts w:hint="eastAsia" w:ascii="宋体" w:hAnsi="宋体"/>
                <w:color w:val="000000"/>
                <w:szCs w:val="21"/>
                <w:highlight w:val="none"/>
              </w:rPr>
              <w:t>实训专用工作站</w:t>
            </w:r>
          </w:p>
          <w:p>
            <w:pPr>
              <w:rPr>
                <w:rFonts w:ascii="宋体" w:hAnsi="宋体"/>
                <w:color w:val="000000"/>
                <w:szCs w:val="21"/>
                <w:highlight w:val="none"/>
              </w:rPr>
            </w:pPr>
            <w:r>
              <w:rPr>
                <w:rFonts w:hint="eastAsia" w:ascii="宋体" w:hAnsi="宋体"/>
                <w:color w:val="000000"/>
                <w:szCs w:val="21"/>
                <w:highlight w:val="none"/>
              </w:rPr>
              <w:t>CPU：处理器基本频率</w:t>
            </w:r>
            <w:r>
              <w:rPr>
                <w:rFonts w:hint="eastAsia"/>
                <w:highlight w:val="none"/>
              </w:rPr>
              <w:t>≥</w:t>
            </w:r>
            <w:r>
              <w:rPr>
                <w:rFonts w:hint="eastAsia" w:ascii="宋体" w:hAnsi="宋体"/>
                <w:color w:val="000000"/>
                <w:szCs w:val="21"/>
                <w:highlight w:val="none"/>
              </w:rPr>
              <w:t>3.80 GHz， 最大睿频频率</w:t>
            </w:r>
            <w:r>
              <w:rPr>
                <w:rFonts w:hint="eastAsia"/>
                <w:highlight w:val="none"/>
              </w:rPr>
              <w:t>≥</w:t>
            </w:r>
            <w:r>
              <w:rPr>
                <w:rFonts w:hint="eastAsia" w:ascii="宋体" w:hAnsi="宋体"/>
                <w:color w:val="000000"/>
                <w:szCs w:val="21"/>
                <w:highlight w:val="none"/>
              </w:rPr>
              <w:t>5.10 GHz，缓存</w:t>
            </w:r>
            <w:r>
              <w:rPr>
                <w:rFonts w:hint="eastAsia"/>
                <w:highlight w:val="none"/>
              </w:rPr>
              <w:t>≥</w:t>
            </w:r>
            <w:r>
              <w:rPr>
                <w:rFonts w:hint="eastAsia" w:ascii="宋体" w:hAnsi="宋体"/>
                <w:color w:val="000000"/>
                <w:szCs w:val="21"/>
                <w:highlight w:val="none"/>
              </w:rPr>
              <w:t>16MB，8核 16线程；</w:t>
            </w:r>
          </w:p>
          <w:p>
            <w:pPr>
              <w:rPr>
                <w:rFonts w:ascii="宋体" w:hAnsi="宋体"/>
                <w:color w:val="000000"/>
                <w:szCs w:val="21"/>
                <w:highlight w:val="none"/>
              </w:rPr>
            </w:pPr>
            <w:r>
              <w:rPr>
                <w:rFonts w:hint="eastAsia" w:ascii="宋体" w:hAnsi="宋体"/>
                <w:color w:val="000000"/>
                <w:szCs w:val="21"/>
                <w:highlight w:val="none"/>
              </w:rPr>
              <w:t>主板：支持CPU插槽：LGA 1200，主板类型：ATX板型；</w:t>
            </w:r>
          </w:p>
          <w:p>
            <w:pPr>
              <w:rPr>
                <w:rFonts w:ascii="宋体" w:hAnsi="宋体"/>
                <w:color w:val="000000"/>
                <w:szCs w:val="21"/>
                <w:highlight w:val="none"/>
              </w:rPr>
            </w:pPr>
            <w:r>
              <w:rPr>
                <w:rFonts w:hint="eastAsia" w:ascii="宋体" w:hAnsi="宋体"/>
                <w:color w:val="000000"/>
                <w:szCs w:val="21"/>
                <w:highlight w:val="none"/>
              </w:rPr>
              <w:t>内存：DDR4 8G*4或以上；</w:t>
            </w:r>
          </w:p>
          <w:p>
            <w:pPr>
              <w:rPr>
                <w:rFonts w:ascii="宋体" w:hAnsi="宋体"/>
                <w:color w:val="000000"/>
                <w:szCs w:val="21"/>
                <w:highlight w:val="none"/>
              </w:rPr>
            </w:pPr>
            <w:r>
              <w:rPr>
                <w:rFonts w:hint="eastAsia" w:ascii="宋体" w:hAnsi="宋体"/>
                <w:color w:val="000000"/>
                <w:szCs w:val="21"/>
                <w:highlight w:val="none"/>
              </w:rPr>
              <w:t>显卡：高性能图形处理显卡；</w:t>
            </w:r>
          </w:p>
          <w:p>
            <w:pPr>
              <w:rPr>
                <w:rFonts w:ascii="宋体" w:hAnsi="宋体"/>
                <w:color w:val="000000"/>
                <w:szCs w:val="21"/>
                <w:highlight w:val="none"/>
              </w:rPr>
            </w:pPr>
            <w:r>
              <w:rPr>
                <w:rFonts w:hint="eastAsia" w:ascii="宋体" w:hAnsi="宋体"/>
                <w:color w:val="000000"/>
                <w:szCs w:val="21"/>
                <w:highlight w:val="none"/>
              </w:rPr>
              <w:t>硬盘： 1TB及以上；</w:t>
            </w:r>
          </w:p>
          <w:p>
            <w:pPr>
              <w:rPr>
                <w:rFonts w:ascii="宋体" w:hAnsi="宋体"/>
                <w:color w:val="000000"/>
                <w:szCs w:val="21"/>
                <w:highlight w:val="none"/>
              </w:rPr>
            </w:pPr>
            <w:r>
              <w:rPr>
                <w:rFonts w:hint="eastAsia" w:ascii="宋体" w:hAnsi="宋体"/>
                <w:color w:val="000000"/>
                <w:szCs w:val="21"/>
                <w:highlight w:val="none"/>
              </w:rPr>
              <w:t>显示器：</w:t>
            </w:r>
            <w:r>
              <w:rPr>
                <w:rFonts w:hint="eastAsia"/>
                <w:highlight w:val="none"/>
              </w:rPr>
              <w:t>≥</w:t>
            </w:r>
            <w:r>
              <w:rPr>
                <w:rFonts w:hint="eastAsia" w:ascii="宋体" w:hAnsi="宋体"/>
                <w:color w:val="000000"/>
                <w:szCs w:val="21"/>
                <w:highlight w:val="none"/>
              </w:rPr>
              <w:t>1920*1080分辨率；</w:t>
            </w:r>
          </w:p>
        </w:tc>
        <w:tc>
          <w:tcPr>
            <w:tcW w:w="660" w:type="dxa"/>
            <w:vAlign w:val="center"/>
          </w:tcPr>
          <w:p>
            <w:pPr>
              <w:jc w:val="center"/>
              <w:rPr>
                <w:rFonts w:ascii="宋体" w:hAnsi="宋体"/>
                <w:color w:val="000000"/>
                <w:szCs w:val="21"/>
                <w:highlight w:val="none"/>
              </w:rPr>
            </w:pPr>
            <w:r>
              <w:rPr>
                <w:rFonts w:hint="eastAsia" w:ascii="宋体" w:hAnsi="宋体"/>
                <w:color w:val="000000"/>
                <w:szCs w:val="21"/>
                <w:highlight w:val="none"/>
              </w:rPr>
              <w:t>5</w:t>
            </w:r>
          </w:p>
        </w:tc>
        <w:tc>
          <w:tcPr>
            <w:tcW w:w="680" w:type="dxa"/>
            <w:vAlign w:val="center"/>
          </w:tcPr>
          <w:p>
            <w:pPr>
              <w:jc w:val="center"/>
              <w:rPr>
                <w:rFonts w:ascii="宋体" w:hAnsi="宋体"/>
                <w:color w:val="000000"/>
                <w:szCs w:val="21"/>
                <w:highlight w:val="none"/>
              </w:rPr>
            </w:pPr>
            <w:r>
              <w:rPr>
                <w:rFonts w:hint="eastAsia" w:ascii="宋体" w:hAnsi="宋体"/>
                <w:color w:val="00000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0" w:type="dxa"/>
            <w:gridSpan w:val="5"/>
            <w:vAlign w:val="center"/>
          </w:tcPr>
          <w:p>
            <w:pPr>
              <w:jc w:val="center"/>
              <w:rPr>
                <w:rFonts w:ascii="宋体" w:hAnsi="宋体"/>
                <w:color w:val="000000"/>
                <w:szCs w:val="21"/>
                <w:highlight w:val="none"/>
              </w:rPr>
            </w:pPr>
            <w:r>
              <w:rPr>
                <w:rFonts w:hint="eastAsia" w:ascii="宋体" w:hAnsi="宋体" w:eastAsia="宋体"/>
                <w:b/>
                <w:bCs/>
                <w:color w:val="000000"/>
                <w:szCs w:val="21"/>
                <w:highlight w:val="none"/>
              </w:rPr>
              <w:t>3、课程资源定制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widowControl/>
              <w:jc w:val="center"/>
              <w:rPr>
                <w:rFonts w:ascii="宋体" w:hAnsi="宋体"/>
                <w:color w:val="000000"/>
                <w:szCs w:val="21"/>
                <w:highlight w:val="none"/>
              </w:rPr>
            </w:pPr>
            <w:r>
              <w:rPr>
                <w:rFonts w:hint="eastAsia" w:ascii="宋体" w:hAnsi="宋体"/>
                <w:color w:val="000000"/>
                <w:szCs w:val="21"/>
                <w:highlight w:val="none"/>
              </w:rPr>
              <w:t>1</w:t>
            </w:r>
          </w:p>
        </w:tc>
        <w:tc>
          <w:tcPr>
            <w:tcW w:w="710" w:type="dxa"/>
            <w:vAlign w:val="center"/>
          </w:tcPr>
          <w:p>
            <w:pPr>
              <w:jc w:val="left"/>
              <w:rPr>
                <w:rFonts w:ascii="宋体" w:hAnsi="宋体"/>
                <w:color w:val="000000"/>
                <w:szCs w:val="21"/>
                <w:highlight w:val="none"/>
              </w:rPr>
            </w:pPr>
            <w:r>
              <w:rPr>
                <w:rFonts w:hint="eastAsia" w:ascii="宋体" w:hAnsi="宋体"/>
                <w:color w:val="000000"/>
                <w:szCs w:val="21"/>
                <w:highlight w:val="none"/>
              </w:rPr>
              <w:t>专业虚拟仿真课程资源定制</w:t>
            </w:r>
          </w:p>
        </w:tc>
        <w:tc>
          <w:tcPr>
            <w:tcW w:w="8020" w:type="dxa"/>
            <w:vAlign w:val="center"/>
          </w:tcPr>
          <w:p>
            <w:pPr>
              <w:rPr>
                <w:rFonts w:ascii="宋体" w:hAnsi="宋体"/>
                <w:color w:val="000000"/>
                <w:szCs w:val="21"/>
                <w:highlight w:val="none"/>
              </w:rPr>
            </w:pPr>
            <w:r>
              <w:rPr>
                <w:rFonts w:hint="eastAsia" w:ascii="宋体" w:hAnsi="宋体"/>
                <w:color w:val="000000"/>
                <w:szCs w:val="21"/>
                <w:highlight w:val="none"/>
              </w:rPr>
              <w:t>选取最具代表性的专业学科教材，依据教学、实训中的难点，选择</w:t>
            </w:r>
            <w:r>
              <w:rPr>
                <w:rFonts w:hint="eastAsia"/>
                <w:highlight w:val="none"/>
              </w:rPr>
              <w:t>≥</w:t>
            </w:r>
            <w:r>
              <w:rPr>
                <w:rFonts w:hint="eastAsia" w:ascii="宋体" w:hAnsi="宋体"/>
                <w:color w:val="000000"/>
                <w:szCs w:val="21"/>
                <w:highlight w:val="none"/>
              </w:rPr>
              <w:t>40个知识点进行体系化VR课程资源定制，并确保所定制课程资源满足以下要求：1、所有虚拟仿真课程资源开源共享，所有基础元素均可基于VR编辑器进行修改、调整、更新等各类二次创作，使得师生可参与并掌控VR资源内容制作；2、所有知识点教案和脚本设计兼顾教、练、考评等环节；3、所有虚拟仿真课程资源一次性制作，适配所有播放设备和交互方式。</w:t>
            </w:r>
          </w:p>
        </w:tc>
        <w:tc>
          <w:tcPr>
            <w:tcW w:w="660" w:type="dxa"/>
            <w:vAlign w:val="center"/>
          </w:tcPr>
          <w:p>
            <w:pPr>
              <w:jc w:val="center"/>
              <w:rPr>
                <w:rFonts w:ascii="宋体" w:hAnsi="宋体"/>
                <w:color w:val="000000"/>
                <w:szCs w:val="21"/>
                <w:highlight w:val="none"/>
              </w:rPr>
            </w:pPr>
            <w:r>
              <w:rPr>
                <w:rFonts w:hint="eastAsia" w:ascii="宋体" w:hAnsi="宋体"/>
                <w:color w:val="000000"/>
                <w:szCs w:val="21"/>
                <w:highlight w:val="none"/>
              </w:rPr>
              <w:t>1</w:t>
            </w:r>
          </w:p>
        </w:tc>
        <w:tc>
          <w:tcPr>
            <w:tcW w:w="680" w:type="dxa"/>
            <w:vAlign w:val="center"/>
          </w:tcPr>
          <w:p>
            <w:pPr>
              <w:jc w:val="center"/>
              <w:rPr>
                <w:rFonts w:ascii="宋体" w:hAnsi="宋体"/>
                <w:color w:val="000000"/>
                <w:szCs w:val="21"/>
                <w:highlight w:val="none"/>
              </w:rPr>
            </w:pPr>
            <w:r>
              <w:rPr>
                <w:rFonts w:hint="eastAsia" w:ascii="宋体" w:hAnsi="宋体"/>
                <w:color w:val="00000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0" w:type="dxa"/>
            <w:gridSpan w:val="5"/>
            <w:vAlign w:val="center"/>
          </w:tcPr>
          <w:p>
            <w:pPr>
              <w:jc w:val="center"/>
              <w:rPr>
                <w:rFonts w:ascii="宋体" w:hAnsi="宋体"/>
                <w:color w:val="000000"/>
                <w:szCs w:val="21"/>
                <w:highlight w:val="none"/>
              </w:rPr>
            </w:pPr>
            <w:r>
              <w:rPr>
                <w:rFonts w:hint="eastAsia" w:ascii="宋体" w:hAnsi="宋体"/>
                <w:color w:val="000000"/>
                <w:szCs w:val="21"/>
                <w:highlight w:val="none"/>
              </w:rPr>
              <w:t>　</w:t>
            </w:r>
            <w:r>
              <w:rPr>
                <w:rFonts w:hint="eastAsia" w:ascii="宋体" w:hAnsi="宋体" w:eastAsia="宋体"/>
                <w:b/>
                <w:bCs/>
                <w:color w:val="000000"/>
                <w:szCs w:val="21"/>
                <w:highlight w:val="none"/>
              </w:rPr>
              <w:t>4、LED户外显示屏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widowControl/>
              <w:jc w:val="center"/>
              <w:rPr>
                <w:rFonts w:ascii="宋体" w:hAnsi="宋体"/>
                <w:color w:val="000000"/>
                <w:szCs w:val="21"/>
                <w:highlight w:val="none"/>
              </w:rPr>
            </w:pPr>
            <w:r>
              <w:rPr>
                <w:rFonts w:hint="eastAsia" w:ascii="宋体" w:hAnsi="宋体"/>
                <w:color w:val="000000"/>
                <w:szCs w:val="21"/>
                <w:highlight w:val="none"/>
              </w:rPr>
              <w:t>1</w:t>
            </w:r>
          </w:p>
        </w:tc>
        <w:tc>
          <w:tcPr>
            <w:tcW w:w="710" w:type="dxa"/>
            <w:vAlign w:val="center"/>
          </w:tcPr>
          <w:p>
            <w:pPr>
              <w:jc w:val="center"/>
              <w:rPr>
                <w:rFonts w:ascii="宋体" w:hAnsi="宋体"/>
                <w:color w:val="000000"/>
                <w:szCs w:val="21"/>
                <w:highlight w:val="none"/>
              </w:rPr>
            </w:pPr>
            <w:r>
              <w:rPr>
                <w:rFonts w:hint="eastAsia" w:ascii="宋体" w:hAnsi="宋体"/>
                <w:color w:val="000000"/>
                <w:szCs w:val="21"/>
                <w:highlight w:val="none"/>
              </w:rPr>
              <w:t>户外P4LED显示屏</w:t>
            </w:r>
          </w:p>
        </w:tc>
        <w:tc>
          <w:tcPr>
            <w:tcW w:w="8020" w:type="dxa"/>
            <w:vAlign w:val="center"/>
          </w:tcPr>
          <w:p>
            <w:pPr>
              <w:jc w:val="left"/>
              <w:rPr>
                <w:rFonts w:hint="eastAsia" w:ascii="宋体" w:hAnsi="宋体"/>
                <w:color w:val="000000"/>
                <w:szCs w:val="21"/>
                <w:highlight w:val="none"/>
              </w:rPr>
            </w:pPr>
            <w:r>
              <w:rPr>
                <w:rFonts w:hint="eastAsia" w:ascii="宋体" w:hAnsi="宋体"/>
                <w:color w:val="000000"/>
                <w:szCs w:val="21"/>
                <w:highlight w:val="none"/>
              </w:rPr>
              <w:t>P4户外LED彩色显示屏（9.6</w:t>
            </w:r>
            <w:r>
              <w:rPr>
                <w:rFonts w:hint="eastAsia" w:ascii="宋体" w:hAnsi="宋体"/>
                <w:color w:val="000000"/>
                <w:szCs w:val="21"/>
                <w:highlight w:val="none"/>
                <w:lang w:val="en-US" w:eastAsia="zh-CN"/>
              </w:rPr>
              <w:t>m</w:t>
            </w:r>
            <w:r>
              <w:rPr>
                <w:rFonts w:hint="eastAsia" w:ascii="宋体" w:hAnsi="宋体"/>
                <w:color w:val="000000"/>
                <w:szCs w:val="21"/>
                <w:highlight w:val="none"/>
              </w:rPr>
              <w:t>*3.2</w:t>
            </w:r>
            <w:r>
              <w:rPr>
                <w:rFonts w:hint="eastAsia" w:ascii="宋体" w:hAnsi="宋体"/>
                <w:color w:val="000000"/>
                <w:szCs w:val="21"/>
                <w:highlight w:val="none"/>
                <w:lang w:val="en-US" w:eastAsia="zh-CN"/>
              </w:rPr>
              <w:t>m</w:t>
            </w:r>
            <w:r>
              <w:rPr>
                <w:rFonts w:hint="eastAsia" w:ascii="宋体" w:hAnsi="宋体"/>
                <w:color w:val="000000"/>
                <w:szCs w:val="21"/>
                <w:highlight w:val="none"/>
              </w:rPr>
              <w:t>）：</w:t>
            </w:r>
          </w:p>
          <w:p>
            <w:pPr>
              <w:jc w:val="left"/>
              <w:rPr>
                <w:rFonts w:ascii="宋体" w:hAnsi="宋体"/>
                <w:color w:val="000000"/>
                <w:szCs w:val="21"/>
                <w:highlight w:val="none"/>
              </w:rPr>
            </w:pPr>
            <w:r>
              <w:rPr>
                <w:rFonts w:hint="eastAsia" w:ascii="宋体" w:hAnsi="宋体"/>
                <w:color w:val="000000"/>
                <w:szCs w:val="21"/>
                <w:highlight w:val="none"/>
              </w:rPr>
              <w:t>1、LED显示屏 点间距</w:t>
            </w:r>
            <w:r>
              <w:rPr>
                <w:rFonts w:hint="eastAsia"/>
                <w:highlight w:val="none"/>
              </w:rPr>
              <w:t>≥</w:t>
            </w:r>
            <w:r>
              <w:rPr>
                <w:rFonts w:hint="eastAsia" w:ascii="宋体" w:hAnsi="宋体"/>
                <w:color w:val="000000"/>
                <w:szCs w:val="21"/>
                <w:highlight w:val="none"/>
              </w:rPr>
              <w:t>4m</w:t>
            </w:r>
          </w:p>
          <w:p>
            <w:pPr>
              <w:jc w:val="left"/>
              <w:rPr>
                <w:rFonts w:ascii="宋体" w:hAnsi="宋体"/>
                <w:color w:val="000000"/>
                <w:szCs w:val="21"/>
                <w:highlight w:val="none"/>
              </w:rPr>
            </w:pPr>
            <w:r>
              <w:rPr>
                <w:rFonts w:hint="eastAsia" w:ascii="宋体" w:hAnsi="宋体"/>
                <w:color w:val="000000"/>
                <w:szCs w:val="21"/>
                <w:highlight w:val="none"/>
              </w:rPr>
              <w:t>2、像素密度点</w:t>
            </w:r>
            <w:r>
              <w:rPr>
                <w:rFonts w:hint="eastAsia"/>
                <w:highlight w:val="none"/>
              </w:rPr>
              <w:t>≥</w:t>
            </w:r>
            <w:r>
              <w:rPr>
                <w:rFonts w:hint="eastAsia" w:ascii="宋体" w:hAnsi="宋体"/>
                <w:color w:val="000000"/>
                <w:szCs w:val="21"/>
                <w:highlight w:val="none"/>
              </w:rPr>
              <w:t>62500/㎡</w:t>
            </w:r>
          </w:p>
          <w:p>
            <w:pPr>
              <w:jc w:val="left"/>
              <w:rPr>
                <w:rFonts w:ascii="宋体" w:hAnsi="宋体"/>
                <w:color w:val="000000"/>
                <w:szCs w:val="21"/>
                <w:highlight w:val="none"/>
              </w:rPr>
            </w:pPr>
            <w:r>
              <w:rPr>
                <w:rFonts w:hint="eastAsia" w:ascii="宋体" w:hAnsi="宋体"/>
                <w:color w:val="000000"/>
                <w:szCs w:val="21"/>
                <w:highlight w:val="none"/>
              </w:rPr>
              <w:t>3、封装采用铜线封装</w:t>
            </w:r>
          </w:p>
          <w:p>
            <w:pPr>
              <w:jc w:val="left"/>
              <w:rPr>
                <w:rFonts w:ascii="宋体" w:hAnsi="宋体"/>
                <w:color w:val="000000"/>
                <w:szCs w:val="21"/>
                <w:highlight w:val="none"/>
              </w:rPr>
            </w:pPr>
            <w:r>
              <w:rPr>
                <w:rFonts w:hint="eastAsia" w:ascii="宋体" w:hAnsi="宋体"/>
                <w:color w:val="000000"/>
                <w:szCs w:val="21"/>
                <w:highlight w:val="none"/>
              </w:rPr>
              <w:t>4、扫描方式;1/10扫描</w:t>
            </w:r>
          </w:p>
          <w:p>
            <w:pPr>
              <w:jc w:val="left"/>
              <w:rPr>
                <w:rFonts w:ascii="宋体" w:hAnsi="宋体"/>
                <w:color w:val="000000"/>
                <w:szCs w:val="21"/>
                <w:highlight w:val="none"/>
              </w:rPr>
            </w:pPr>
            <w:r>
              <w:rPr>
                <w:rFonts w:hint="eastAsia" w:ascii="宋体" w:hAnsi="宋体"/>
                <w:color w:val="000000"/>
                <w:szCs w:val="21"/>
                <w:highlight w:val="none"/>
              </w:rPr>
              <w:t>5、刷新：</w:t>
            </w:r>
            <w:r>
              <w:rPr>
                <w:rFonts w:hint="eastAsia"/>
                <w:highlight w:val="none"/>
              </w:rPr>
              <w:t>≥</w:t>
            </w:r>
            <w:r>
              <w:rPr>
                <w:rFonts w:hint="eastAsia" w:ascii="宋体" w:hAnsi="宋体"/>
                <w:color w:val="000000"/>
                <w:szCs w:val="21"/>
                <w:highlight w:val="none"/>
              </w:rPr>
              <w:t>1920Hz</w:t>
            </w:r>
          </w:p>
          <w:p>
            <w:pPr>
              <w:jc w:val="left"/>
              <w:rPr>
                <w:rFonts w:ascii="宋体" w:hAnsi="宋体"/>
                <w:color w:val="000000"/>
                <w:szCs w:val="21"/>
                <w:highlight w:val="none"/>
              </w:rPr>
            </w:pPr>
            <w:r>
              <w:rPr>
                <w:rFonts w:hint="eastAsia" w:ascii="宋体" w:hAnsi="宋体"/>
                <w:color w:val="000000"/>
                <w:szCs w:val="21"/>
                <w:highlight w:val="none"/>
              </w:rPr>
              <w:t>6、电源采用</w:t>
            </w:r>
            <w:r>
              <w:rPr>
                <w:rFonts w:hint="eastAsia"/>
                <w:highlight w:val="none"/>
              </w:rPr>
              <w:t>≥</w:t>
            </w:r>
            <w:r>
              <w:rPr>
                <w:rFonts w:hint="eastAsia" w:ascii="宋体" w:hAnsi="宋体"/>
                <w:color w:val="000000"/>
                <w:szCs w:val="21"/>
                <w:highlight w:val="none"/>
              </w:rPr>
              <w:t>5V40A。</w:t>
            </w:r>
          </w:p>
          <w:p>
            <w:pPr>
              <w:jc w:val="left"/>
              <w:rPr>
                <w:rFonts w:ascii="宋体" w:hAnsi="宋体"/>
                <w:color w:val="000000"/>
                <w:szCs w:val="21"/>
                <w:highlight w:val="none"/>
              </w:rPr>
            </w:pPr>
            <w:r>
              <w:rPr>
                <w:rFonts w:hint="eastAsia" w:ascii="宋体" w:hAnsi="宋体"/>
                <w:color w:val="000000"/>
                <w:szCs w:val="21"/>
                <w:highlight w:val="none"/>
              </w:rPr>
              <w:t>7、模组尺寸:</w:t>
            </w:r>
            <w:r>
              <w:rPr>
                <w:rFonts w:hint="eastAsia"/>
                <w:highlight w:val="none"/>
              </w:rPr>
              <w:t xml:space="preserve"> ≥</w:t>
            </w:r>
            <w:r>
              <w:rPr>
                <w:rFonts w:hint="eastAsia" w:ascii="宋体" w:hAnsi="宋体"/>
                <w:color w:val="000000"/>
                <w:szCs w:val="21"/>
                <w:highlight w:val="none"/>
              </w:rPr>
              <w:t>（mm）320X160</w:t>
            </w:r>
          </w:p>
          <w:p>
            <w:pPr>
              <w:jc w:val="left"/>
              <w:rPr>
                <w:rFonts w:ascii="宋体" w:hAnsi="宋体"/>
                <w:color w:val="000000"/>
                <w:szCs w:val="21"/>
                <w:highlight w:val="none"/>
              </w:rPr>
            </w:pPr>
            <w:r>
              <w:rPr>
                <w:rFonts w:hint="eastAsia" w:ascii="宋体" w:hAnsi="宋体"/>
                <w:color w:val="000000"/>
                <w:szCs w:val="21"/>
                <w:highlight w:val="none"/>
              </w:rPr>
              <w:t>8、驱动方式：恒流驱动</w:t>
            </w:r>
          </w:p>
          <w:p>
            <w:pPr>
              <w:jc w:val="left"/>
              <w:rPr>
                <w:rFonts w:ascii="宋体" w:hAnsi="宋体"/>
                <w:color w:val="000000"/>
                <w:szCs w:val="21"/>
                <w:highlight w:val="none"/>
              </w:rPr>
            </w:pPr>
            <w:r>
              <w:rPr>
                <w:rFonts w:hint="eastAsia" w:ascii="宋体" w:hAnsi="宋体"/>
                <w:color w:val="000000"/>
                <w:szCs w:val="21"/>
                <w:highlight w:val="none"/>
              </w:rPr>
              <w:t>9、单元板分辨率：</w:t>
            </w:r>
            <w:r>
              <w:rPr>
                <w:rFonts w:hint="eastAsia"/>
                <w:highlight w:val="none"/>
              </w:rPr>
              <w:t>≥</w:t>
            </w:r>
            <w:r>
              <w:rPr>
                <w:rFonts w:hint="eastAsia" w:ascii="宋体" w:hAnsi="宋体"/>
                <w:color w:val="000000"/>
                <w:szCs w:val="21"/>
                <w:highlight w:val="none"/>
              </w:rPr>
              <w:t>80*40</w:t>
            </w:r>
          </w:p>
          <w:p>
            <w:pPr>
              <w:jc w:val="left"/>
              <w:rPr>
                <w:rFonts w:ascii="宋体" w:hAnsi="宋体"/>
                <w:color w:val="000000"/>
                <w:szCs w:val="21"/>
                <w:highlight w:val="none"/>
              </w:rPr>
            </w:pPr>
            <w:r>
              <w:rPr>
                <w:rFonts w:hint="eastAsia" w:ascii="宋体" w:hAnsi="宋体"/>
                <w:color w:val="000000"/>
                <w:szCs w:val="21"/>
                <w:highlight w:val="none"/>
              </w:rPr>
              <w:t>10、可视角度：</w:t>
            </w:r>
            <w:r>
              <w:rPr>
                <w:rFonts w:hint="eastAsia"/>
                <w:highlight w:val="none"/>
              </w:rPr>
              <w:t>≥</w:t>
            </w:r>
            <w:r>
              <w:rPr>
                <w:rFonts w:hint="eastAsia" w:ascii="宋体" w:hAnsi="宋体"/>
                <w:color w:val="000000"/>
                <w:szCs w:val="21"/>
                <w:highlight w:val="none"/>
              </w:rPr>
              <w:t>140°水平 垂直</w:t>
            </w:r>
            <w:r>
              <w:rPr>
                <w:rFonts w:hint="eastAsia"/>
                <w:highlight w:val="none"/>
              </w:rPr>
              <w:t>≥</w:t>
            </w:r>
            <w:r>
              <w:rPr>
                <w:rFonts w:hint="eastAsia" w:ascii="宋体" w:hAnsi="宋体"/>
                <w:color w:val="000000"/>
                <w:szCs w:val="21"/>
                <w:highlight w:val="none"/>
              </w:rPr>
              <w:t>130°</w:t>
            </w:r>
          </w:p>
          <w:p>
            <w:pPr>
              <w:jc w:val="left"/>
              <w:rPr>
                <w:rFonts w:ascii="宋体" w:hAnsi="宋体"/>
                <w:color w:val="000000"/>
                <w:szCs w:val="21"/>
                <w:highlight w:val="none"/>
              </w:rPr>
            </w:pPr>
            <w:r>
              <w:rPr>
                <w:rFonts w:hint="eastAsia" w:ascii="宋体" w:hAnsi="宋体"/>
                <w:color w:val="000000"/>
                <w:szCs w:val="21"/>
                <w:highlight w:val="none"/>
              </w:rPr>
              <w:t>11、整屏功耗：</w:t>
            </w:r>
            <w:r>
              <w:rPr>
                <w:rFonts w:hint="eastAsia"/>
                <w:highlight w:val="none"/>
              </w:rPr>
              <w:t>≥</w:t>
            </w:r>
            <w:r>
              <w:rPr>
                <w:rFonts w:hint="eastAsia" w:ascii="宋体" w:hAnsi="宋体"/>
                <w:color w:val="000000"/>
                <w:szCs w:val="21"/>
                <w:highlight w:val="none"/>
              </w:rPr>
              <w:t>800W/㎡</w:t>
            </w:r>
          </w:p>
          <w:p>
            <w:pPr>
              <w:jc w:val="left"/>
              <w:rPr>
                <w:rFonts w:ascii="宋体" w:hAnsi="宋体"/>
                <w:color w:val="000000"/>
                <w:szCs w:val="21"/>
                <w:highlight w:val="none"/>
              </w:rPr>
            </w:pPr>
            <w:r>
              <w:rPr>
                <w:rFonts w:hint="eastAsia" w:ascii="宋体" w:hAnsi="宋体"/>
                <w:color w:val="000000"/>
                <w:szCs w:val="21"/>
                <w:highlight w:val="none"/>
              </w:rPr>
              <w:t>12、衰减率：工作三年＜15%</w:t>
            </w:r>
          </w:p>
          <w:p>
            <w:pPr>
              <w:jc w:val="left"/>
              <w:rPr>
                <w:rFonts w:ascii="宋体" w:hAnsi="宋体"/>
                <w:color w:val="000000"/>
                <w:szCs w:val="21"/>
                <w:highlight w:val="none"/>
              </w:rPr>
            </w:pPr>
            <w:r>
              <w:rPr>
                <w:rFonts w:hint="eastAsia" w:ascii="宋体" w:hAnsi="宋体"/>
                <w:color w:val="000000"/>
                <w:szCs w:val="21"/>
                <w:highlight w:val="none"/>
              </w:rPr>
              <w:t>13、平均无障碍时间：</w:t>
            </w:r>
            <w:r>
              <w:rPr>
                <w:rFonts w:hint="eastAsia"/>
                <w:highlight w:val="none"/>
              </w:rPr>
              <w:t>≥</w:t>
            </w:r>
            <w:r>
              <w:rPr>
                <w:rFonts w:hint="eastAsia" w:ascii="宋体" w:hAnsi="宋体"/>
                <w:color w:val="000000"/>
                <w:szCs w:val="21"/>
                <w:highlight w:val="none"/>
              </w:rPr>
              <w:t>1万小时</w:t>
            </w:r>
          </w:p>
          <w:p>
            <w:pPr>
              <w:jc w:val="left"/>
              <w:rPr>
                <w:rFonts w:ascii="宋体" w:hAnsi="宋体"/>
                <w:color w:val="000000"/>
                <w:szCs w:val="21"/>
                <w:highlight w:val="none"/>
              </w:rPr>
            </w:pPr>
            <w:r>
              <w:rPr>
                <w:rFonts w:hint="eastAsia" w:ascii="宋体" w:hAnsi="宋体"/>
                <w:color w:val="000000"/>
                <w:szCs w:val="21"/>
                <w:highlight w:val="none"/>
              </w:rPr>
              <w:t>14、亮度：</w:t>
            </w:r>
            <w:r>
              <w:rPr>
                <w:rFonts w:hint="eastAsia"/>
                <w:highlight w:val="none"/>
              </w:rPr>
              <w:t>≥</w:t>
            </w:r>
            <w:r>
              <w:rPr>
                <w:rFonts w:hint="eastAsia" w:ascii="宋体" w:hAnsi="宋体"/>
                <w:color w:val="000000"/>
                <w:szCs w:val="21"/>
                <w:highlight w:val="none"/>
              </w:rPr>
              <w:t>5000CD/㎡</w:t>
            </w:r>
          </w:p>
        </w:tc>
        <w:tc>
          <w:tcPr>
            <w:tcW w:w="660" w:type="dxa"/>
            <w:vAlign w:val="center"/>
          </w:tcPr>
          <w:p>
            <w:pPr>
              <w:jc w:val="center"/>
              <w:rPr>
                <w:rFonts w:ascii="宋体" w:hAnsi="宋体"/>
                <w:color w:val="000000"/>
                <w:szCs w:val="21"/>
                <w:highlight w:val="none"/>
              </w:rPr>
            </w:pPr>
            <w:r>
              <w:rPr>
                <w:rFonts w:hint="eastAsia" w:ascii="宋体" w:hAnsi="宋体"/>
                <w:color w:val="000000"/>
                <w:szCs w:val="21"/>
                <w:highlight w:val="none"/>
              </w:rPr>
              <w:t>30.72</w:t>
            </w:r>
          </w:p>
        </w:tc>
        <w:tc>
          <w:tcPr>
            <w:tcW w:w="680" w:type="dxa"/>
            <w:vAlign w:val="center"/>
          </w:tcPr>
          <w:p>
            <w:pPr>
              <w:jc w:val="center"/>
              <w:rPr>
                <w:rFonts w:hint="eastAsia" w:ascii="宋体" w:hAnsi="宋体" w:eastAsia="宋体"/>
                <w:color w:val="000000"/>
                <w:szCs w:val="21"/>
                <w:highlight w:val="none"/>
                <w:lang w:val="en-US" w:eastAsia="zh-CN"/>
              </w:rPr>
            </w:pPr>
            <w:r>
              <w:rPr>
                <w:rFonts w:hint="eastAsia" w:ascii="宋体" w:hAnsi="宋体"/>
                <w:color w:val="000000"/>
                <w:szCs w:val="21"/>
                <w:highlight w:val="none"/>
              </w:rPr>
              <w:t>平方</w:t>
            </w:r>
            <w:r>
              <w:rPr>
                <w:rFonts w:hint="eastAsia" w:ascii="宋体" w:hAnsi="宋体"/>
                <w:color w:val="000000"/>
                <w:szCs w:val="21"/>
                <w:highlight w:val="none"/>
                <w:lang w:val="en-US" w:eastAsia="zh-CN"/>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jc w:val="center"/>
              <w:rPr>
                <w:rFonts w:ascii="宋体" w:hAnsi="宋体"/>
                <w:color w:val="000000"/>
                <w:szCs w:val="21"/>
                <w:highlight w:val="none"/>
              </w:rPr>
            </w:pPr>
            <w:r>
              <w:rPr>
                <w:rFonts w:hint="eastAsia" w:ascii="宋体" w:hAnsi="宋体"/>
                <w:color w:val="000000"/>
                <w:szCs w:val="21"/>
                <w:highlight w:val="none"/>
              </w:rPr>
              <w:t>2</w:t>
            </w:r>
          </w:p>
        </w:tc>
        <w:tc>
          <w:tcPr>
            <w:tcW w:w="710" w:type="dxa"/>
            <w:vAlign w:val="center"/>
          </w:tcPr>
          <w:p>
            <w:pPr>
              <w:jc w:val="left"/>
              <w:rPr>
                <w:rFonts w:ascii="宋体" w:hAnsi="宋体"/>
                <w:color w:val="000000"/>
                <w:szCs w:val="21"/>
                <w:highlight w:val="none"/>
              </w:rPr>
            </w:pPr>
            <w:r>
              <w:rPr>
                <w:rFonts w:hint="eastAsia" w:ascii="宋体" w:hAnsi="宋体"/>
                <w:color w:val="000000"/>
                <w:szCs w:val="21"/>
                <w:highlight w:val="none"/>
              </w:rPr>
              <w:t>控制接收卡</w:t>
            </w:r>
          </w:p>
        </w:tc>
        <w:tc>
          <w:tcPr>
            <w:tcW w:w="8020" w:type="dxa"/>
            <w:vAlign w:val="center"/>
          </w:tcPr>
          <w:p>
            <w:pPr>
              <w:rPr>
                <w:rFonts w:ascii="宋体" w:hAnsi="宋体"/>
                <w:color w:val="000000"/>
                <w:szCs w:val="21"/>
                <w:highlight w:val="none"/>
              </w:rPr>
            </w:pPr>
            <w:r>
              <w:rPr>
                <w:rFonts w:hint="eastAsia" w:ascii="宋体" w:hAnsi="宋体"/>
                <w:color w:val="000000"/>
                <w:szCs w:val="21"/>
                <w:highlight w:val="none"/>
              </w:rPr>
              <w:t>1.单卡最大支持24组数据输出。</w:t>
            </w:r>
          </w:p>
          <w:p>
            <w:pPr>
              <w:rPr>
                <w:rFonts w:ascii="宋体" w:hAnsi="宋体"/>
                <w:color w:val="000000"/>
                <w:szCs w:val="21"/>
                <w:highlight w:val="none"/>
              </w:rPr>
            </w:pPr>
            <w:r>
              <w:rPr>
                <w:rFonts w:hint="eastAsia" w:ascii="宋体" w:hAnsi="宋体"/>
                <w:color w:val="000000"/>
                <w:szCs w:val="21"/>
                <w:highlight w:val="none"/>
              </w:rPr>
              <w:t>2.为保证接收卡工作稳定性，减少接插连接件，减少故障点，接收卡不得使用转接板连接。</w:t>
            </w:r>
          </w:p>
          <w:p>
            <w:pPr>
              <w:rPr>
                <w:rFonts w:ascii="宋体" w:hAnsi="宋体"/>
                <w:color w:val="000000"/>
                <w:szCs w:val="21"/>
                <w:highlight w:val="none"/>
              </w:rPr>
            </w:pPr>
            <w:r>
              <w:rPr>
                <w:rFonts w:hint="eastAsia" w:ascii="宋体" w:hAnsi="宋体"/>
                <w:color w:val="000000"/>
                <w:szCs w:val="21"/>
                <w:highlight w:val="none"/>
              </w:rPr>
              <w:t>3.为保证显示效果，接收卡需支持高灰高刷、低亮高灰显示。</w:t>
            </w:r>
          </w:p>
          <w:p>
            <w:pPr>
              <w:rPr>
                <w:rFonts w:ascii="宋体" w:hAnsi="宋体"/>
                <w:color w:val="000000"/>
                <w:szCs w:val="21"/>
                <w:highlight w:val="none"/>
              </w:rPr>
            </w:pPr>
            <w:r>
              <w:rPr>
                <w:rFonts w:hint="eastAsia" w:ascii="宋体" w:hAnsi="宋体"/>
                <w:color w:val="000000"/>
                <w:szCs w:val="21"/>
                <w:highlight w:val="none"/>
              </w:rPr>
              <w:t>4.为保证接收卡带载冗余，接收卡可最高带载不得低于1024，最宽带载不得低于512。</w:t>
            </w:r>
          </w:p>
          <w:p>
            <w:pPr>
              <w:rPr>
                <w:rFonts w:ascii="宋体" w:hAnsi="宋体"/>
                <w:color w:val="000000"/>
                <w:szCs w:val="21"/>
                <w:highlight w:val="none"/>
              </w:rPr>
            </w:pPr>
            <w:r>
              <w:rPr>
                <w:rFonts w:hint="eastAsia" w:ascii="宋体" w:hAnsi="宋体"/>
                <w:color w:val="000000"/>
                <w:szCs w:val="21"/>
                <w:highlight w:val="none"/>
              </w:rPr>
              <w:t>5.为减少电压波动对显示屏的影响，接收卡需支持宽电压输入。</w:t>
            </w:r>
          </w:p>
          <w:p>
            <w:pPr>
              <w:rPr>
                <w:rFonts w:ascii="宋体" w:hAnsi="宋体"/>
                <w:color w:val="000000"/>
                <w:szCs w:val="21"/>
                <w:highlight w:val="none"/>
              </w:rPr>
            </w:pPr>
            <w:r>
              <w:rPr>
                <w:rFonts w:hint="eastAsia" w:ascii="宋体" w:hAnsi="宋体"/>
                <w:color w:val="000000"/>
                <w:szCs w:val="21"/>
                <w:highlight w:val="none"/>
              </w:rPr>
              <w:t>6.为保证显示屏的画质一致性，接收卡需支持逐点校正功能。</w:t>
            </w:r>
          </w:p>
          <w:p>
            <w:pPr>
              <w:rPr>
                <w:rFonts w:ascii="宋体" w:hAnsi="宋体"/>
                <w:color w:val="000000"/>
                <w:szCs w:val="21"/>
                <w:highlight w:val="none"/>
              </w:rPr>
            </w:pPr>
            <w:r>
              <w:rPr>
                <w:rFonts w:hint="eastAsia" w:ascii="宋体" w:hAnsi="宋体"/>
                <w:color w:val="000000"/>
                <w:szCs w:val="21"/>
                <w:highlight w:val="none"/>
              </w:rPr>
              <w:t>7.为解决因箱体及模组拼接造成的显示屏亮暗线问题，接收卡需支持修缝功能。</w:t>
            </w:r>
          </w:p>
          <w:p>
            <w:pPr>
              <w:rPr>
                <w:rFonts w:ascii="宋体" w:hAnsi="宋体"/>
                <w:color w:val="000000"/>
                <w:szCs w:val="21"/>
                <w:highlight w:val="none"/>
              </w:rPr>
            </w:pPr>
            <w:r>
              <w:rPr>
                <w:rFonts w:hint="eastAsia" w:ascii="宋体" w:hAnsi="宋体"/>
                <w:color w:val="000000"/>
                <w:szCs w:val="21"/>
                <w:highlight w:val="none"/>
              </w:rPr>
              <w:t>8.为方便显示屏后期维护，接收卡需支持测试屏幕连接功能，维护人员无需工程文件，即可快速定位接收卡顺序。</w:t>
            </w:r>
          </w:p>
          <w:p>
            <w:pPr>
              <w:rPr>
                <w:rFonts w:ascii="宋体" w:hAnsi="宋体"/>
                <w:color w:val="000000"/>
                <w:szCs w:val="21"/>
                <w:highlight w:val="none"/>
              </w:rPr>
            </w:pPr>
            <w:r>
              <w:rPr>
                <w:rFonts w:hint="eastAsia" w:ascii="宋体" w:hAnsi="宋体"/>
                <w:color w:val="000000"/>
                <w:szCs w:val="21"/>
                <w:highlight w:val="none"/>
              </w:rPr>
              <w:t>9.为提高屏幕调试的多样性和便捷性，需同时支持设备和千兆网络调屏。</w:t>
            </w:r>
          </w:p>
          <w:p>
            <w:pPr>
              <w:rPr>
                <w:rFonts w:ascii="宋体" w:hAnsi="宋体"/>
                <w:color w:val="000000"/>
                <w:szCs w:val="21"/>
                <w:highlight w:val="none"/>
              </w:rPr>
            </w:pPr>
            <w:r>
              <w:rPr>
                <w:rFonts w:hint="eastAsia" w:ascii="宋体" w:hAnsi="宋体"/>
                <w:color w:val="000000"/>
                <w:szCs w:val="21"/>
                <w:highlight w:val="none"/>
              </w:rPr>
              <w:t>10.为有效提高画质色彩，显示屏需具备gama调节功能。</w:t>
            </w:r>
          </w:p>
          <w:p>
            <w:pPr>
              <w:rPr>
                <w:rFonts w:ascii="宋体" w:hAnsi="宋体"/>
                <w:color w:val="000000"/>
                <w:szCs w:val="21"/>
                <w:highlight w:val="none"/>
              </w:rPr>
            </w:pPr>
            <w:r>
              <w:rPr>
                <w:rFonts w:hint="eastAsia" w:ascii="宋体" w:hAnsi="宋体"/>
                <w:color w:val="000000"/>
                <w:szCs w:val="21"/>
                <w:highlight w:val="none"/>
              </w:rPr>
              <w:t>11.为让LED模组还原真实色彩，接收卡需具备颜色空间调整功能。</w:t>
            </w:r>
          </w:p>
          <w:p>
            <w:pPr>
              <w:rPr>
                <w:rFonts w:ascii="宋体" w:hAnsi="宋体"/>
                <w:color w:val="000000"/>
                <w:szCs w:val="21"/>
                <w:highlight w:val="none"/>
              </w:rPr>
            </w:pPr>
            <w:r>
              <w:rPr>
                <w:rFonts w:hint="eastAsia" w:ascii="宋体" w:hAnsi="宋体"/>
                <w:color w:val="000000"/>
                <w:szCs w:val="21"/>
                <w:highlight w:val="none"/>
              </w:rPr>
              <w:t>12.为方便后期维护，接收卡需支持参数回读，接收卡信息回读，接收卡固件升级，提高显示效果。</w:t>
            </w:r>
          </w:p>
          <w:p>
            <w:pPr>
              <w:rPr>
                <w:rFonts w:ascii="宋体" w:hAnsi="宋体"/>
                <w:color w:val="000000"/>
                <w:szCs w:val="21"/>
                <w:highlight w:val="none"/>
              </w:rPr>
            </w:pPr>
            <w:r>
              <w:rPr>
                <w:rFonts w:hint="eastAsia" w:ascii="宋体" w:hAnsi="宋体"/>
                <w:color w:val="000000"/>
                <w:szCs w:val="21"/>
                <w:highlight w:val="none"/>
              </w:rPr>
              <w:t>13.为保证产品性能不断优化、更新迭代，接收需支持升级的功能，且接收卡升级过程中需具备有断电保护功能。</w:t>
            </w:r>
          </w:p>
          <w:p>
            <w:pPr>
              <w:rPr>
                <w:rFonts w:ascii="宋体" w:hAnsi="宋体"/>
                <w:color w:val="000000"/>
                <w:szCs w:val="21"/>
                <w:highlight w:val="none"/>
              </w:rPr>
            </w:pPr>
            <w:r>
              <w:rPr>
                <w:rFonts w:hint="eastAsia" w:ascii="宋体" w:hAnsi="宋体"/>
                <w:color w:val="000000"/>
                <w:szCs w:val="21"/>
                <w:highlight w:val="none"/>
              </w:rPr>
              <w:t>14.为保证显示屏持续无故障安全运行，接收卡需支持网线热备份功能。</w:t>
            </w:r>
          </w:p>
          <w:p>
            <w:pPr>
              <w:rPr>
                <w:rFonts w:ascii="宋体" w:hAnsi="宋体"/>
                <w:color w:val="000000"/>
                <w:szCs w:val="21"/>
                <w:highlight w:val="none"/>
              </w:rPr>
            </w:pPr>
            <w:r>
              <w:rPr>
                <w:rFonts w:hint="eastAsia" w:ascii="宋体" w:hAnsi="宋体"/>
                <w:color w:val="000000"/>
                <w:szCs w:val="21"/>
                <w:highlight w:val="none"/>
              </w:rPr>
              <w:t>15.为方便调试、维护，接收卡需支持通过指示灯判断屏体工作状态。</w:t>
            </w:r>
          </w:p>
          <w:p>
            <w:pPr>
              <w:rPr>
                <w:rFonts w:ascii="宋体" w:hAnsi="宋体"/>
                <w:color w:val="000000"/>
                <w:szCs w:val="21"/>
                <w:highlight w:val="none"/>
              </w:rPr>
            </w:pPr>
            <w:r>
              <w:rPr>
                <w:rFonts w:hint="eastAsia" w:ascii="宋体" w:hAnsi="宋体"/>
                <w:color w:val="000000"/>
                <w:szCs w:val="21"/>
                <w:highlight w:val="none"/>
              </w:rPr>
              <w:t>16.为方便后期模组调试、维护，接收卡需支持硬件测试功能。</w:t>
            </w:r>
          </w:p>
          <w:p>
            <w:pPr>
              <w:rPr>
                <w:rFonts w:ascii="宋体" w:hAnsi="宋体"/>
                <w:color w:val="000000"/>
                <w:szCs w:val="21"/>
                <w:highlight w:val="none"/>
              </w:rPr>
            </w:pPr>
            <w:r>
              <w:rPr>
                <w:rFonts w:hint="eastAsia" w:ascii="宋体" w:hAnsi="宋体"/>
                <w:color w:val="000000"/>
                <w:szCs w:val="21"/>
                <w:highlight w:val="none"/>
              </w:rPr>
              <w:t>17.为防止固件加载错误，方便后期系统升级，升级固件需由软件根据接收卡版本自动推荐。</w:t>
            </w:r>
          </w:p>
          <w:p>
            <w:pPr>
              <w:rPr>
                <w:rFonts w:ascii="宋体" w:hAnsi="宋体"/>
                <w:color w:val="000000"/>
                <w:szCs w:val="21"/>
                <w:highlight w:val="none"/>
              </w:rPr>
            </w:pPr>
            <w:r>
              <w:rPr>
                <w:rFonts w:hint="eastAsia" w:ascii="宋体" w:hAnsi="宋体"/>
                <w:color w:val="000000"/>
                <w:szCs w:val="21"/>
                <w:highlight w:val="none"/>
              </w:rPr>
              <w:t>18.为方便后期系统可扩展，接收卡需配合多功能卡实现音频的远距离传输。</w:t>
            </w:r>
          </w:p>
          <w:p>
            <w:pPr>
              <w:rPr>
                <w:rFonts w:ascii="宋体" w:hAnsi="宋体"/>
                <w:color w:val="000000"/>
                <w:szCs w:val="21"/>
                <w:highlight w:val="none"/>
              </w:rPr>
            </w:pPr>
            <w:r>
              <w:rPr>
                <w:rFonts w:hint="eastAsia" w:ascii="宋体" w:hAnsi="宋体"/>
                <w:color w:val="000000"/>
                <w:szCs w:val="21"/>
                <w:highlight w:val="none"/>
              </w:rPr>
              <w:t>19.为提高快速安装搭建的便捷性，接收卡需支持免设置维护。</w:t>
            </w:r>
          </w:p>
          <w:p>
            <w:pPr>
              <w:rPr>
                <w:rFonts w:ascii="宋体" w:hAnsi="宋体"/>
                <w:color w:val="000000"/>
                <w:szCs w:val="21"/>
                <w:highlight w:val="none"/>
              </w:rPr>
            </w:pPr>
            <w:r>
              <w:rPr>
                <w:rFonts w:hint="eastAsia" w:ascii="宋体" w:hAnsi="宋体"/>
                <w:color w:val="000000"/>
                <w:szCs w:val="21"/>
                <w:highlight w:val="none"/>
              </w:rPr>
              <w:t>20.为提高接收卡供电的可靠性，接收卡需具备两种电源接口。</w:t>
            </w:r>
          </w:p>
          <w:p>
            <w:pPr>
              <w:rPr>
                <w:rFonts w:ascii="宋体" w:hAnsi="宋体"/>
                <w:color w:val="000000"/>
                <w:szCs w:val="21"/>
                <w:highlight w:val="none"/>
              </w:rPr>
            </w:pPr>
            <w:r>
              <w:rPr>
                <w:rFonts w:hint="eastAsia" w:ascii="宋体" w:hAnsi="宋体"/>
                <w:color w:val="000000"/>
                <w:szCs w:val="21"/>
                <w:highlight w:val="none"/>
              </w:rPr>
              <w:t>21.为有效提高维护效率，接收卡需坏板快速定位功能。</w:t>
            </w:r>
          </w:p>
          <w:p>
            <w:pPr>
              <w:rPr>
                <w:rFonts w:ascii="宋体" w:hAnsi="宋体"/>
                <w:color w:val="000000"/>
                <w:szCs w:val="21"/>
                <w:highlight w:val="none"/>
              </w:rPr>
            </w:pPr>
            <w:r>
              <w:rPr>
                <w:rFonts w:hint="eastAsia" w:ascii="宋体" w:hAnsi="宋体"/>
                <w:color w:val="000000"/>
                <w:szCs w:val="21"/>
                <w:highlight w:val="none"/>
              </w:rPr>
              <w:t>22.为保证产品使用安全，产品具备抗电击及能量危险防护特性。</w:t>
            </w:r>
          </w:p>
          <w:p>
            <w:pPr>
              <w:rPr>
                <w:rFonts w:ascii="宋体" w:hAnsi="宋体"/>
                <w:color w:val="000000"/>
                <w:szCs w:val="21"/>
                <w:highlight w:val="none"/>
              </w:rPr>
            </w:pPr>
            <w:r>
              <w:rPr>
                <w:rFonts w:hint="eastAsia" w:ascii="宋体" w:hAnsi="宋体"/>
                <w:color w:val="000000"/>
                <w:szCs w:val="21"/>
                <w:highlight w:val="none"/>
              </w:rPr>
              <w:t>23.为节约维护成本，接收卡需支持数据组交换功能。</w:t>
            </w:r>
          </w:p>
          <w:p>
            <w:pPr>
              <w:rPr>
                <w:rFonts w:ascii="宋体" w:hAnsi="宋体"/>
                <w:color w:val="000000"/>
                <w:szCs w:val="21"/>
                <w:highlight w:val="none"/>
              </w:rPr>
            </w:pPr>
            <w:r>
              <w:rPr>
                <w:rFonts w:hint="eastAsia" w:ascii="宋体" w:hAnsi="宋体"/>
                <w:color w:val="000000"/>
                <w:szCs w:val="21"/>
                <w:highlight w:val="none"/>
              </w:rPr>
              <w:t>24.为提高模组兼容性及适应多样化显示屏，接收卡需支持列译码、行译码、抽点显示与数据偏移功能，支持行信号自定义、接收卡旋转、镜像画面显示。</w:t>
            </w:r>
          </w:p>
          <w:p>
            <w:pPr>
              <w:rPr>
                <w:rFonts w:ascii="宋体" w:hAnsi="宋体"/>
                <w:color w:val="000000"/>
                <w:szCs w:val="21"/>
                <w:highlight w:val="none"/>
              </w:rPr>
            </w:pPr>
            <w:r>
              <w:rPr>
                <w:rFonts w:hint="eastAsia" w:ascii="宋体" w:hAnsi="宋体"/>
                <w:color w:val="000000"/>
                <w:szCs w:val="21"/>
                <w:highlight w:val="none"/>
              </w:rPr>
              <w:t>25.为保障系统信息安全，要求核心运算芯片和通讯芯片必须为高性能国产芯片。</w:t>
            </w:r>
          </w:p>
          <w:p>
            <w:pPr>
              <w:rPr>
                <w:rFonts w:ascii="宋体" w:hAnsi="宋体"/>
                <w:color w:val="000000"/>
                <w:szCs w:val="21"/>
                <w:highlight w:val="none"/>
              </w:rPr>
            </w:pPr>
            <w:r>
              <w:rPr>
                <w:rFonts w:hint="eastAsia" w:ascii="宋体" w:hAnsi="宋体"/>
                <w:color w:val="000000"/>
                <w:szCs w:val="21"/>
                <w:highlight w:val="none"/>
              </w:rPr>
              <w:t>26.为便于显示屏维护，在不改变网线连接的情况下，支持对指定接收卡参数单独调整，同时不影响其他接收卡参数和显示。</w:t>
            </w:r>
          </w:p>
          <w:p>
            <w:pPr>
              <w:rPr>
                <w:rFonts w:ascii="宋体" w:hAnsi="宋体"/>
                <w:b/>
                <w:bCs/>
                <w:color w:val="000000"/>
                <w:szCs w:val="21"/>
                <w:highlight w:val="none"/>
              </w:rPr>
            </w:pPr>
            <w:r>
              <w:rPr>
                <w:rFonts w:hint="eastAsia" w:ascii="宋体" w:hAnsi="宋体"/>
                <w:color w:val="000000"/>
                <w:szCs w:val="21"/>
                <w:highlight w:val="none"/>
              </w:rPr>
              <w:t>27.</w:t>
            </w:r>
            <w:r>
              <w:rPr>
                <w:rFonts w:hint="eastAsia" w:ascii="宋体" w:hAnsi="宋体"/>
                <w:b/>
                <w:bCs/>
                <w:color w:val="000000"/>
                <w:szCs w:val="21"/>
                <w:highlight w:val="none"/>
              </w:rPr>
              <w:t>为保证控制系统兼容性、稳定性，控制系统（视频控制器、独立主控、同步接收卡）采用同一生产厂家同一品牌产品，严禁贴牌。</w:t>
            </w:r>
          </w:p>
          <w:p>
            <w:pPr>
              <w:rPr>
                <w:rFonts w:ascii="宋体" w:hAnsi="宋体"/>
                <w:color w:val="000000"/>
                <w:szCs w:val="21"/>
                <w:highlight w:val="none"/>
              </w:rPr>
            </w:pPr>
            <w:r>
              <w:rPr>
                <w:rFonts w:hint="eastAsia" w:ascii="宋体" w:hAnsi="宋体"/>
                <w:color w:val="000000"/>
                <w:szCs w:val="21"/>
                <w:highlight w:val="none"/>
              </w:rPr>
              <w:t>28.为有效消除手机拍摄时出现的扫描线，提高观赏性，接收卡需支持1/2/4/8/16/32倍倍频技术。</w:t>
            </w:r>
          </w:p>
          <w:p>
            <w:pPr>
              <w:rPr>
                <w:rFonts w:ascii="宋体" w:hAnsi="宋体"/>
                <w:color w:val="000000"/>
                <w:szCs w:val="21"/>
                <w:highlight w:val="none"/>
              </w:rPr>
            </w:pPr>
            <w:r>
              <w:rPr>
                <w:rFonts w:hint="eastAsia" w:ascii="宋体" w:hAnsi="宋体"/>
                <w:color w:val="000000"/>
                <w:szCs w:val="21"/>
                <w:highlight w:val="none"/>
              </w:rPr>
              <w:t>29.为保证显示效果，接收卡的亮度有效率与刷新率、灰度等级相对独立，可单独对亮度有效率进行调节而不引起其他两项参数变化。</w:t>
            </w:r>
          </w:p>
          <w:p>
            <w:pPr>
              <w:rPr>
                <w:rFonts w:ascii="宋体" w:hAnsi="宋体"/>
                <w:color w:val="000000"/>
                <w:szCs w:val="21"/>
                <w:highlight w:val="none"/>
              </w:rPr>
            </w:pPr>
            <w:r>
              <w:rPr>
                <w:rFonts w:hint="eastAsia" w:ascii="宋体" w:hAnsi="宋体"/>
                <w:color w:val="000000"/>
                <w:szCs w:val="21"/>
                <w:highlight w:val="none"/>
              </w:rPr>
              <w:t>30.为保障信号传输稳定性，图像数据由发送端到接收端只有一帧延迟。</w:t>
            </w:r>
          </w:p>
          <w:p>
            <w:pPr>
              <w:rPr>
                <w:rFonts w:ascii="宋体" w:hAnsi="宋体"/>
                <w:color w:val="000000"/>
                <w:szCs w:val="21"/>
                <w:highlight w:val="none"/>
              </w:rPr>
            </w:pPr>
            <w:r>
              <w:rPr>
                <w:rFonts w:hint="eastAsia" w:ascii="宋体" w:hAnsi="宋体"/>
                <w:color w:val="000000"/>
                <w:szCs w:val="21"/>
                <w:highlight w:val="none"/>
              </w:rPr>
              <w:t>31.为避免接收卡电源接反造成损失，需具备电源接反保护电路。</w:t>
            </w:r>
          </w:p>
        </w:tc>
        <w:tc>
          <w:tcPr>
            <w:tcW w:w="660" w:type="dxa"/>
            <w:vAlign w:val="center"/>
          </w:tcPr>
          <w:p>
            <w:pPr>
              <w:jc w:val="center"/>
              <w:rPr>
                <w:rFonts w:ascii="宋体" w:hAnsi="宋体"/>
                <w:color w:val="000000"/>
                <w:szCs w:val="21"/>
                <w:highlight w:val="none"/>
              </w:rPr>
            </w:pPr>
            <w:r>
              <w:rPr>
                <w:rFonts w:hint="eastAsia" w:ascii="宋体" w:hAnsi="宋体"/>
                <w:color w:val="000000"/>
                <w:szCs w:val="21"/>
                <w:highlight w:val="none"/>
              </w:rPr>
              <w:t>40</w:t>
            </w:r>
          </w:p>
        </w:tc>
        <w:tc>
          <w:tcPr>
            <w:tcW w:w="680" w:type="dxa"/>
            <w:vAlign w:val="center"/>
          </w:tcPr>
          <w:p>
            <w:pPr>
              <w:jc w:val="center"/>
              <w:rPr>
                <w:rFonts w:ascii="宋体" w:hAnsi="宋体"/>
                <w:color w:val="000000"/>
                <w:szCs w:val="21"/>
                <w:highlight w:val="none"/>
              </w:rPr>
            </w:pPr>
            <w:r>
              <w:rPr>
                <w:rFonts w:hint="eastAsia" w:ascii="宋体" w:hAnsi="宋体"/>
                <w:color w:val="000000"/>
                <w:szCs w:val="21"/>
                <w:highlight w:val="none"/>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jc w:val="center"/>
              <w:rPr>
                <w:rFonts w:ascii="宋体" w:hAnsi="宋体" w:cs="宋体"/>
                <w:color w:val="000000"/>
                <w:szCs w:val="21"/>
                <w:highlight w:val="none"/>
              </w:rPr>
            </w:pPr>
            <w:r>
              <w:rPr>
                <w:rFonts w:hint="eastAsia" w:ascii="宋体" w:hAnsi="宋体"/>
                <w:color w:val="000000"/>
                <w:szCs w:val="21"/>
                <w:highlight w:val="none"/>
              </w:rPr>
              <w:t>3</w:t>
            </w:r>
          </w:p>
        </w:tc>
        <w:tc>
          <w:tcPr>
            <w:tcW w:w="710" w:type="dxa"/>
            <w:vAlign w:val="center"/>
          </w:tcPr>
          <w:p>
            <w:pPr>
              <w:jc w:val="left"/>
              <w:rPr>
                <w:rFonts w:ascii="宋体" w:hAnsi="宋体"/>
                <w:color w:val="000000"/>
                <w:szCs w:val="21"/>
                <w:highlight w:val="none"/>
              </w:rPr>
            </w:pPr>
            <w:r>
              <w:rPr>
                <w:rFonts w:hint="eastAsia" w:ascii="宋体" w:hAnsi="宋体"/>
                <w:color w:val="000000"/>
                <w:szCs w:val="21"/>
                <w:highlight w:val="none"/>
              </w:rPr>
              <w:t>视频处理器</w:t>
            </w:r>
          </w:p>
        </w:tc>
        <w:tc>
          <w:tcPr>
            <w:tcW w:w="8020" w:type="dxa"/>
            <w:vAlign w:val="center"/>
          </w:tcPr>
          <w:p>
            <w:pPr>
              <w:rPr>
                <w:rFonts w:ascii="宋体" w:hAnsi="宋体"/>
                <w:color w:val="000000"/>
                <w:szCs w:val="21"/>
                <w:highlight w:val="none"/>
              </w:rPr>
            </w:pPr>
            <w:r>
              <w:rPr>
                <w:rFonts w:hint="eastAsia" w:ascii="宋体" w:hAnsi="宋体"/>
                <w:color w:val="000000"/>
                <w:szCs w:val="21"/>
                <w:highlight w:val="none"/>
              </w:rPr>
              <w:t>1.为方便安装，设备应符合标准机架式结构。</w:t>
            </w:r>
          </w:p>
          <w:p>
            <w:pPr>
              <w:rPr>
                <w:rFonts w:ascii="宋体" w:hAnsi="宋体"/>
                <w:color w:val="000000"/>
                <w:szCs w:val="21"/>
                <w:highlight w:val="none"/>
              </w:rPr>
            </w:pPr>
            <w:r>
              <w:rPr>
                <w:rFonts w:hint="eastAsia" w:ascii="宋体" w:hAnsi="宋体"/>
                <w:color w:val="000000"/>
                <w:szCs w:val="21"/>
                <w:highlight w:val="none"/>
              </w:rPr>
              <w:t>2.整机最大支持分辨率为260万像素，支持自定义分辨率，最宽8192像素，最高2160像素。</w:t>
            </w:r>
          </w:p>
          <w:p>
            <w:pPr>
              <w:rPr>
                <w:rFonts w:ascii="宋体" w:hAnsi="宋体"/>
                <w:color w:val="000000"/>
                <w:szCs w:val="21"/>
                <w:highlight w:val="none"/>
              </w:rPr>
            </w:pPr>
            <w:r>
              <w:rPr>
                <w:rFonts w:hint="eastAsia" w:ascii="宋体" w:hAnsi="宋体"/>
                <w:color w:val="000000"/>
                <w:szCs w:val="21"/>
                <w:highlight w:val="none"/>
              </w:rPr>
              <w:t xml:space="preserve">3.支持多路输入信号接口：一路HDMI，一路DVI，一路VGA，两路CVBS。 </w:t>
            </w:r>
          </w:p>
          <w:p>
            <w:pPr>
              <w:rPr>
                <w:rFonts w:ascii="宋体" w:hAnsi="宋体"/>
                <w:color w:val="000000"/>
                <w:szCs w:val="21"/>
                <w:highlight w:val="none"/>
              </w:rPr>
            </w:pPr>
            <w:r>
              <w:rPr>
                <w:rFonts w:hint="eastAsia" w:ascii="宋体" w:hAnsi="宋体"/>
                <w:color w:val="000000"/>
                <w:szCs w:val="21"/>
                <w:highlight w:val="none"/>
              </w:rPr>
              <w:t>4.为提高设备分辨率兼容性，设备需支持EDID配置管理。</w:t>
            </w:r>
          </w:p>
          <w:p>
            <w:pPr>
              <w:rPr>
                <w:rFonts w:ascii="宋体" w:hAnsi="宋体"/>
                <w:color w:val="000000"/>
                <w:szCs w:val="21"/>
                <w:highlight w:val="none"/>
              </w:rPr>
            </w:pPr>
            <w:r>
              <w:rPr>
                <w:rFonts w:hint="eastAsia" w:ascii="宋体" w:hAnsi="宋体"/>
                <w:color w:val="000000"/>
                <w:szCs w:val="21"/>
                <w:highlight w:val="none"/>
              </w:rPr>
              <w:t>5.为解决模拟信号在传输过程中容易产生的黑边、偏移的问，设备需支持VGA校正功能。</w:t>
            </w:r>
          </w:p>
          <w:p>
            <w:pPr>
              <w:rPr>
                <w:rFonts w:ascii="宋体" w:hAnsi="宋体"/>
                <w:color w:val="000000"/>
                <w:szCs w:val="21"/>
                <w:highlight w:val="none"/>
              </w:rPr>
            </w:pPr>
            <w:r>
              <w:rPr>
                <w:rFonts w:hint="eastAsia" w:ascii="宋体" w:hAnsi="宋体"/>
                <w:color w:val="000000"/>
                <w:szCs w:val="21"/>
                <w:highlight w:val="none"/>
              </w:rPr>
              <w:t xml:space="preserve">6.为解决画面缩小尺寸限制，并保留图像细节，减轻画面放大多倍后产生的失焦现象，设备需支持Super Resolution放大技术及视频补偿处理算法功能。 </w:t>
            </w:r>
          </w:p>
          <w:p>
            <w:pPr>
              <w:rPr>
                <w:rFonts w:ascii="宋体" w:hAnsi="宋体"/>
                <w:color w:val="000000"/>
                <w:szCs w:val="21"/>
                <w:highlight w:val="none"/>
              </w:rPr>
            </w:pPr>
            <w:r>
              <w:rPr>
                <w:rFonts w:hint="eastAsia" w:ascii="宋体" w:hAnsi="宋体"/>
                <w:color w:val="000000"/>
                <w:szCs w:val="21"/>
                <w:highlight w:val="none"/>
              </w:rPr>
              <w:t>7.为解决输入信号（如VGA信号及非标准摄像头的输出信号）产生的黑边问题，保证满屏显示，设备需具备任意信号源做任意裁剪/去黑边功能。</w:t>
            </w:r>
          </w:p>
          <w:p>
            <w:pPr>
              <w:rPr>
                <w:rFonts w:ascii="宋体" w:hAnsi="宋体"/>
                <w:color w:val="000000"/>
                <w:szCs w:val="21"/>
                <w:highlight w:val="none"/>
              </w:rPr>
            </w:pPr>
            <w:r>
              <w:rPr>
                <w:rFonts w:hint="eastAsia" w:ascii="宋体" w:hAnsi="宋体"/>
                <w:color w:val="000000"/>
                <w:szCs w:val="21"/>
                <w:highlight w:val="none"/>
              </w:rPr>
              <w:t>8.为避免过电压、过电流的冲击，保护输入输出I/O接口，设备需具备通道保护功能，通道间相互独立且彼此互补。</w:t>
            </w:r>
          </w:p>
          <w:p>
            <w:pPr>
              <w:rPr>
                <w:rFonts w:ascii="宋体" w:hAnsi="宋体"/>
                <w:color w:val="000000"/>
                <w:szCs w:val="21"/>
                <w:highlight w:val="none"/>
              </w:rPr>
            </w:pPr>
            <w:r>
              <w:rPr>
                <w:rFonts w:hint="eastAsia" w:ascii="宋体" w:hAnsi="宋体"/>
                <w:color w:val="000000"/>
                <w:szCs w:val="21"/>
                <w:highlight w:val="none"/>
              </w:rPr>
              <w:t>9.为减少电压波动对设备的影响，设备需具备AC 100~240V，50/60HZ宽供电电压输入。</w:t>
            </w:r>
          </w:p>
          <w:p>
            <w:pPr>
              <w:rPr>
                <w:rFonts w:ascii="宋体" w:hAnsi="宋体"/>
                <w:color w:val="000000"/>
                <w:szCs w:val="21"/>
                <w:highlight w:val="none"/>
              </w:rPr>
            </w:pPr>
            <w:r>
              <w:rPr>
                <w:rFonts w:hint="eastAsia" w:ascii="宋体" w:hAnsi="宋体"/>
                <w:color w:val="000000"/>
                <w:szCs w:val="21"/>
                <w:highlight w:val="none"/>
              </w:rPr>
              <w:t>10.支持LED屏幕测试，黑屏、蓝屏、红屏等任意显示切换。</w:t>
            </w:r>
          </w:p>
          <w:p>
            <w:pPr>
              <w:rPr>
                <w:rFonts w:ascii="宋体" w:hAnsi="宋体"/>
                <w:color w:val="000000"/>
                <w:szCs w:val="21"/>
                <w:highlight w:val="none"/>
              </w:rPr>
            </w:pPr>
            <w:r>
              <w:rPr>
                <w:rFonts w:hint="eastAsia" w:ascii="宋体" w:hAnsi="宋体"/>
                <w:color w:val="000000"/>
                <w:szCs w:val="21"/>
                <w:highlight w:val="none"/>
              </w:rPr>
              <w:t>11.支持亮度调节：实时、快捷进行屏体显示亮度调整。</w:t>
            </w:r>
          </w:p>
          <w:p>
            <w:pPr>
              <w:rPr>
                <w:rFonts w:ascii="宋体" w:hAnsi="宋体"/>
                <w:color w:val="000000"/>
                <w:szCs w:val="21"/>
                <w:highlight w:val="none"/>
              </w:rPr>
            </w:pPr>
            <w:r>
              <w:rPr>
                <w:rFonts w:hint="eastAsia" w:ascii="宋体" w:hAnsi="宋体"/>
                <w:color w:val="000000"/>
                <w:szCs w:val="21"/>
                <w:highlight w:val="none"/>
              </w:rPr>
              <w:t>12.支持切换特效：信号源通道与通道之间均支持淡入淡出/秒切的切换特效。</w:t>
            </w:r>
          </w:p>
          <w:p>
            <w:pPr>
              <w:rPr>
                <w:rFonts w:ascii="宋体" w:hAnsi="宋体"/>
                <w:color w:val="000000"/>
                <w:szCs w:val="21"/>
                <w:highlight w:val="none"/>
              </w:rPr>
            </w:pPr>
            <w:r>
              <w:rPr>
                <w:rFonts w:hint="eastAsia" w:ascii="宋体" w:hAnsi="宋体"/>
                <w:color w:val="000000"/>
                <w:szCs w:val="21"/>
                <w:highlight w:val="none"/>
              </w:rPr>
              <w:t>13.支持画面冻结。</w:t>
            </w:r>
          </w:p>
          <w:p>
            <w:pPr>
              <w:rPr>
                <w:rFonts w:ascii="宋体" w:hAnsi="宋体"/>
                <w:color w:val="000000"/>
                <w:szCs w:val="21"/>
                <w:highlight w:val="none"/>
              </w:rPr>
            </w:pPr>
            <w:r>
              <w:rPr>
                <w:rFonts w:hint="eastAsia" w:ascii="宋体" w:hAnsi="宋体"/>
                <w:color w:val="000000"/>
                <w:szCs w:val="21"/>
                <w:highlight w:val="none"/>
              </w:rPr>
              <w:t>14.支持场景调用与保存。</w:t>
            </w:r>
          </w:p>
          <w:p>
            <w:pPr>
              <w:rPr>
                <w:rFonts w:ascii="宋体" w:hAnsi="宋体"/>
                <w:color w:val="000000"/>
                <w:szCs w:val="21"/>
                <w:highlight w:val="none"/>
              </w:rPr>
            </w:pPr>
            <w:r>
              <w:rPr>
                <w:rFonts w:hint="eastAsia" w:ascii="宋体" w:hAnsi="宋体"/>
                <w:color w:val="000000"/>
                <w:szCs w:val="21"/>
                <w:highlight w:val="none"/>
              </w:rPr>
              <w:t>15.为方便对接音响设备，处理器需自带Audio（PJ35）音频输出。（不得使用多功能卡）</w:t>
            </w:r>
          </w:p>
          <w:p>
            <w:pPr>
              <w:rPr>
                <w:rFonts w:ascii="宋体" w:hAnsi="宋体"/>
                <w:color w:val="000000"/>
                <w:szCs w:val="21"/>
                <w:highlight w:val="none"/>
              </w:rPr>
            </w:pPr>
            <w:r>
              <w:rPr>
                <w:rFonts w:hint="eastAsia" w:ascii="宋体" w:hAnsi="宋体"/>
                <w:color w:val="000000"/>
                <w:szCs w:val="21"/>
                <w:highlight w:val="none"/>
              </w:rPr>
              <w:t>16.为达到音视频同步切换效果，视频处理器应同时具备常用信号源HDMI、DVI、VGA音频输入接口，达到音视频同步切换效果。</w:t>
            </w:r>
          </w:p>
          <w:p>
            <w:pPr>
              <w:rPr>
                <w:rFonts w:ascii="宋体" w:hAnsi="宋体"/>
                <w:color w:val="000000"/>
                <w:szCs w:val="21"/>
                <w:highlight w:val="none"/>
              </w:rPr>
            </w:pPr>
            <w:r>
              <w:rPr>
                <w:rFonts w:hint="eastAsia" w:ascii="宋体" w:hAnsi="宋体"/>
                <w:color w:val="000000"/>
                <w:szCs w:val="21"/>
                <w:highlight w:val="none"/>
              </w:rPr>
              <w:t>17.设备液晶屏需显示网络通讯状态。</w:t>
            </w:r>
          </w:p>
          <w:p>
            <w:pPr>
              <w:rPr>
                <w:rFonts w:ascii="宋体" w:hAnsi="宋体"/>
                <w:color w:val="000000"/>
                <w:szCs w:val="21"/>
                <w:highlight w:val="none"/>
              </w:rPr>
            </w:pPr>
            <w:r>
              <w:rPr>
                <w:rFonts w:hint="eastAsia" w:ascii="宋体" w:hAnsi="宋体"/>
                <w:color w:val="000000"/>
                <w:szCs w:val="21"/>
                <w:highlight w:val="none"/>
              </w:rPr>
              <w:t>18.设备需具备网线检测功能，通过指示灯状态判断网线通断问题。</w:t>
            </w:r>
          </w:p>
          <w:p>
            <w:pPr>
              <w:rPr>
                <w:rFonts w:ascii="宋体" w:hAnsi="宋体"/>
                <w:color w:val="000000"/>
                <w:szCs w:val="21"/>
                <w:highlight w:val="none"/>
              </w:rPr>
            </w:pPr>
            <w:r>
              <w:rPr>
                <w:rFonts w:hint="eastAsia" w:ascii="宋体" w:hAnsi="宋体"/>
                <w:color w:val="000000"/>
                <w:szCs w:val="21"/>
                <w:highlight w:val="none"/>
              </w:rPr>
              <w:t>19.为防止误操作，导致显示屏参数紊乱，需具备菜单锁功能，锁定后不能进行参数更改，但不影响信道正常切换。</w:t>
            </w:r>
          </w:p>
          <w:p>
            <w:pPr>
              <w:rPr>
                <w:rFonts w:ascii="宋体" w:hAnsi="宋体"/>
                <w:color w:val="000000"/>
                <w:szCs w:val="21"/>
                <w:highlight w:val="none"/>
              </w:rPr>
            </w:pPr>
            <w:r>
              <w:rPr>
                <w:rFonts w:hint="eastAsia" w:ascii="宋体" w:hAnsi="宋体"/>
                <w:color w:val="000000"/>
                <w:szCs w:val="21"/>
                <w:highlight w:val="none"/>
              </w:rPr>
              <w:t>20.为防止误操作，需支持全键锁锁定功能。</w:t>
            </w:r>
          </w:p>
          <w:p>
            <w:pPr>
              <w:rPr>
                <w:rFonts w:ascii="宋体" w:hAnsi="宋体"/>
                <w:color w:val="000000"/>
                <w:szCs w:val="21"/>
                <w:highlight w:val="none"/>
              </w:rPr>
            </w:pPr>
            <w:r>
              <w:rPr>
                <w:rFonts w:hint="eastAsia" w:ascii="宋体" w:hAnsi="宋体"/>
                <w:color w:val="000000"/>
                <w:szCs w:val="21"/>
                <w:highlight w:val="none"/>
              </w:rPr>
              <w:t>21.为方便调试和使用，处理器需具备自动精准对位功能旋钮。</w:t>
            </w:r>
          </w:p>
          <w:p>
            <w:pPr>
              <w:rPr>
                <w:rFonts w:ascii="宋体" w:hAnsi="宋体"/>
                <w:color w:val="000000"/>
                <w:szCs w:val="21"/>
                <w:highlight w:val="none"/>
              </w:rPr>
            </w:pPr>
            <w:r>
              <w:rPr>
                <w:rFonts w:hint="eastAsia" w:ascii="宋体" w:hAnsi="宋体"/>
                <w:color w:val="000000"/>
                <w:szCs w:val="21"/>
                <w:highlight w:val="none"/>
              </w:rPr>
              <w:t>22.为方便后期功能更新，处理器需具备U盘自动升级功能。</w:t>
            </w:r>
          </w:p>
          <w:p>
            <w:pPr>
              <w:rPr>
                <w:rFonts w:ascii="宋体" w:hAnsi="宋体"/>
                <w:color w:val="000000"/>
                <w:szCs w:val="21"/>
                <w:highlight w:val="none"/>
              </w:rPr>
            </w:pPr>
            <w:r>
              <w:rPr>
                <w:rFonts w:hint="eastAsia" w:ascii="宋体" w:hAnsi="宋体"/>
                <w:color w:val="000000"/>
                <w:szCs w:val="21"/>
                <w:highlight w:val="none"/>
              </w:rPr>
              <w:t>23.为保障系统信息安全，要求核心运算芯片和通讯芯片必须为高性能国产芯片。</w:t>
            </w:r>
          </w:p>
        </w:tc>
        <w:tc>
          <w:tcPr>
            <w:tcW w:w="660" w:type="dxa"/>
            <w:vAlign w:val="center"/>
          </w:tcPr>
          <w:p>
            <w:pPr>
              <w:jc w:val="center"/>
              <w:rPr>
                <w:rFonts w:ascii="宋体" w:hAnsi="宋体"/>
                <w:color w:val="000000"/>
                <w:szCs w:val="21"/>
                <w:highlight w:val="none"/>
              </w:rPr>
            </w:pPr>
            <w:r>
              <w:rPr>
                <w:rFonts w:hint="eastAsia" w:ascii="宋体" w:hAnsi="宋体"/>
                <w:color w:val="000000"/>
                <w:szCs w:val="21"/>
                <w:highlight w:val="none"/>
              </w:rPr>
              <w:t>1</w:t>
            </w:r>
          </w:p>
        </w:tc>
        <w:tc>
          <w:tcPr>
            <w:tcW w:w="680" w:type="dxa"/>
            <w:vAlign w:val="center"/>
          </w:tcPr>
          <w:p>
            <w:pPr>
              <w:jc w:val="center"/>
              <w:rPr>
                <w:rFonts w:ascii="宋体" w:hAnsi="宋体"/>
                <w:color w:val="000000"/>
                <w:szCs w:val="21"/>
                <w:highlight w:val="none"/>
              </w:rPr>
            </w:pPr>
            <w:r>
              <w:rPr>
                <w:rFonts w:hint="eastAsia" w:ascii="宋体" w:hAnsi="宋体"/>
                <w:color w:val="00000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jc w:val="center"/>
              <w:rPr>
                <w:rFonts w:ascii="宋体" w:hAnsi="宋体" w:cs="宋体"/>
                <w:color w:val="000000"/>
                <w:szCs w:val="21"/>
                <w:highlight w:val="none"/>
              </w:rPr>
            </w:pPr>
            <w:r>
              <w:rPr>
                <w:rFonts w:hint="eastAsia" w:ascii="宋体" w:hAnsi="宋体"/>
                <w:color w:val="000000"/>
                <w:szCs w:val="21"/>
                <w:highlight w:val="none"/>
              </w:rPr>
              <w:t>4</w:t>
            </w:r>
          </w:p>
        </w:tc>
        <w:tc>
          <w:tcPr>
            <w:tcW w:w="710" w:type="dxa"/>
            <w:vAlign w:val="center"/>
          </w:tcPr>
          <w:p>
            <w:pPr>
              <w:jc w:val="center"/>
              <w:rPr>
                <w:rFonts w:ascii="宋体" w:hAnsi="宋体"/>
                <w:color w:val="000000"/>
                <w:szCs w:val="21"/>
                <w:highlight w:val="none"/>
              </w:rPr>
            </w:pPr>
            <w:r>
              <w:rPr>
                <w:rFonts w:hint="eastAsia" w:ascii="宋体" w:hAnsi="宋体"/>
                <w:color w:val="000000"/>
                <w:szCs w:val="21"/>
                <w:highlight w:val="none"/>
              </w:rPr>
              <w:t>配电柜</w:t>
            </w:r>
          </w:p>
        </w:tc>
        <w:tc>
          <w:tcPr>
            <w:tcW w:w="8020" w:type="dxa"/>
            <w:vAlign w:val="center"/>
          </w:tcPr>
          <w:p>
            <w:pPr>
              <w:jc w:val="left"/>
              <w:rPr>
                <w:rFonts w:ascii="宋体" w:hAnsi="宋体"/>
                <w:color w:val="000000"/>
                <w:szCs w:val="21"/>
                <w:highlight w:val="none"/>
              </w:rPr>
            </w:pPr>
            <w:r>
              <w:rPr>
                <w:rFonts w:hint="eastAsia" w:ascii="宋体" w:hAnsi="宋体"/>
                <w:color w:val="000000"/>
                <w:szCs w:val="21"/>
                <w:highlight w:val="none"/>
              </w:rPr>
              <w:t>采用一线品牌元器件，根据大屏功耗进项定制</w:t>
            </w:r>
          </w:p>
        </w:tc>
        <w:tc>
          <w:tcPr>
            <w:tcW w:w="660" w:type="dxa"/>
            <w:vAlign w:val="center"/>
          </w:tcPr>
          <w:p>
            <w:pPr>
              <w:jc w:val="center"/>
              <w:rPr>
                <w:rFonts w:ascii="宋体" w:hAnsi="宋体"/>
                <w:color w:val="000000"/>
                <w:szCs w:val="21"/>
                <w:highlight w:val="none"/>
              </w:rPr>
            </w:pPr>
            <w:r>
              <w:rPr>
                <w:rFonts w:hint="eastAsia" w:ascii="宋体" w:hAnsi="宋体"/>
                <w:color w:val="000000"/>
                <w:szCs w:val="21"/>
                <w:highlight w:val="none"/>
              </w:rPr>
              <w:t>1</w:t>
            </w:r>
          </w:p>
        </w:tc>
        <w:tc>
          <w:tcPr>
            <w:tcW w:w="680" w:type="dxa"/>
            <w:vAlign w:val="center"/>
          </w:tcPr>
          <w:p>
            <w:pPr>
              <w:jc w:val="center"/>
              <w:rPr>
                <w:rFonts w:ascii="宋体" w:hAnsi="宋体"/>
                <w:color w:val="000000"/>
                <w:szCs w:val="21"/>
                <w:highlight w:val="none"/>
              </w:rPr>
            </w:pPr>
            <w:r>
              <w:rPr>
                <w:rFonts w:hint="eastAsia" w:ascii="宋体" w:hAnsi="宋体"/>
                <w:color w:val="00000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jc w:val="center"/>
              <w:rPr>
                <w:rFonts w:hint="eastAsia" w:ascii="宋体" w:hAnsi="宋体" w:eastAsia="宋体" w:cs="宋体"/>
                <w:color w:val="000000"/>
                <w:szCs w:val="21"/>
                <w:highlight w:val="none"/>
                <w:lang w:eastAsia="zh-CN"/>
              </w:rPr>
            </w:pPr>
            <w:r>
              <w:rPr>
                <w:rFonts w:hint="eastAsia" w:ascii="宋体" w:hAnsi="宋体"/>
                <w:color w:val="000000"/>
                <w:szCs w:val="21"/>
                <w:highlight w:val="none"/>
                <w:lang w:val="en-US" w:eastAsia="zh-CN"/>
              </w:rPr>
              <w:t>5</w:t>
            </w:r>
          </w:p>
        </w:tc>
        <w:tc>
          <w:tcPr>
            <w:tcW w:w="710" w:type="dxa"/>
            <w:vAlign w:val="center"/>
          </w:tcPr>
          <w:p>
            <w:pPr>
              <w:jc w:val="center"/>
              <w:rPr>
                <w:rFonts w:ascii="宋体" w:hAnsi="宋体"/>
                <w:color w:val="000000"/>
                <w:szCs w:val="21"/>
                <w:highlight w:val="none"/>
              </w:rPr>
            </w:pPr>
            <w:r>
              <w:rPr>
                <w:rFonts w:hint="eastAsia" w:ascii="宋体" w:hAnsi="宋体"/>
                <w:color w:val="000000"/>
                <w:szCs w:val="21"/>
                <w:highlight w:val="none"/>
              </w:rPr>
              <w:t>旧屏拆除</w:t>
            </w:r>
          </w:p>
        </w:tc>
        <w:tc>
          <w:tcPr>
            <w:tcW w:w="8020" w:type="dxa"/>
            <w:vAlign w:val="center"/>
          </w:tcPr>
          <w:p>
            <w:pPr>
              <w:jc w:val="center"/>
              <w:rPr>
                <w:rFonts w:ascii="宋体" w:hAnsi="宋体"/>
                <w:color w:val="000000"/>
                <w:szCs w:val="21"/>
                <w:highlight w:val="none"/>
              </w:rPr>
            </w:pPr>
            <w:r>
              <w:rPr>
                <w:rFonts w:hint="eastAsia" w:ascii="宋体" w:hAnsi="宋体"/>
                <w:color w:val="000000"/>
                <w:szCs w:val="21"/>
                <w:highlight w:val="none"/>
              </w:rPr>
              <w:t>旧屏拆除</w:t>
            </w:r>
          </w:p>
        </w:tc>
        <w:tc>
          <w:tcPr>
            <w:tcW w:w="660" w:type="dxa"/>
            <w:vAlign w:val="center"/>
          </w:tcPr>
          <w:p>
            <w:pPr>
              <w:jc w:val="center"/>
              <w:rPr>
                <w:rFonts w:ascii="宋体" w:hAnsi="宋体"/>
                <w:color w:val="000000"/>
                <w:szCs w:val="21"/>
                <w:highlight w:val="none"/>
              </w:rPr>
            </w:pPr>
            <w:r>
              <w:rPr>
                <w:rFonts w:hint="eastAsia" w:ascii="宋体" w:hAnsi="宋体"/>
                <w:color w:val="000000"/>
                <w:szCs w:val="21"/>
                <w:highlight w:val="none"/>
              </w:rPr>
              <w:t>30.72</w:t>
            </w:r>
          </w:p>
        </w:tc>
        <w:tc>
          <w:tcPr>
            <w:tcW w:w="680" w:type="dxa"/>
            <w:vAlign w:val="center"/>
          </w:tcPr>
          <w:p>
            <w:pPr>
              <w:jc w:val="center"/>
              <w:rPr>
                <w:rFonts w:ascii="宋体" w:hAnsi="宋体"/>
                <w:color w:val="000000"/>
                <w:szCs w:val="21"/>
                <w:highlight w:val="none"/>
              </w:rPr>
            </w:pPr>
            <w:r>
              <w:rPr>
                <w:rFonts w:hint="eastAsia" w:ascii="宋体" w:hAnsi="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0" w:type="dxa"/>
            <w:gridSpan w:val="5"/>
            <w:vAlign w:val="center"/>
          </w:tcPr>
          <w:p>
            <w:pPr>
              <w:jc w:val="center"/>
              <w:rPr>
                <w:rFonts w:ascii="宋体" w:hAnsi="宋体"/>
                <w:color w:val="000000"/>
                <w:szCs w:val="21"/>
                <w:highlight w:val="none"/>
              </w:rPr>
            </w:pPr>
            <w:r>
              <w:rPr>
                <w:rFonts w:hint="eastAsia" w:ascii="宋体" w:hAnsi="宋体" w:eastAsia="宋体"/>
                <w:b/>
                <w:bCs/>
                <w:color w:val="000000"/>
                <w:szCs w:val="21"/>
                <w:highlight w:val="none"/>
              </w:rPr>
              <w:t>5、监控系统新增及扩容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widowControl/>
              <w:jc w:val="center"/>
              <w:rPr>
                <w:rFonts w:ascii="宋体" w:hAnsi="宋体"/>
                <w:color w:val="000000"/>
                <w:szCs w:val="21"/>
                <w:highlight w:val="none"/>
              </w:rPr>
            </w:pPr>
            <w:r>
              <w:rPr>
                <w:rFonts w:hint="eastAsia" w:ascii="宋体" w:hAnsi="宋体"/>
                <w:color w:val="000000"/>
                <w:szCs w:val="21"/>
                <w:highlight w:val="none"/>
              </w:rPr>
              <w:t>1</w:t>
            </w:r>
          </w:p>
        </w:tc>
        <w:tc>
          <w:tcPr>
            <w:tcW w:w="710" w:type="dxa"/>
            <w:vAlign w:val="center"/>
          </w:tcPr>
          <w:p>
            <w:pPr>
              <w:jc w:val="center"/>
              <w:rPr>
                <w:rFonts w:ascii="宋体" w:hAnsi="宋体"/>
                <w:color w:val="000000"/>
                <w:szCs w:val="21"/>
                <w:highlight w:val="none"/>
              </w:rPr>
            </w:pPr>
            <w:r>
              <w:rPr>
                <w:rFonts w:hint="eastAsia" w:ascii="宋体" w:hAnsi="宋体"/>
                <w:color w:val="000000"/>
                <w:szCs w:val="21"/>
                <w:highlight w:val="none"/>
              </w:rPr>
              <w:t>128路智能硬盘录像机</w:t>
            </w:r>
          </w:p>
        </w:tc>
        <w:tc>
          <w:tcPr>
            <w:tcW w:w="8020" w:type="dxa"/>
            <w:vAlign w:val="center"/>
          </w:tcPr>
          <w:p>
            <w:pPr>
              <w:jc w:val="left"/>
              <w:rPr>
                <w:rFonts w:ascii="宋体" w:hAnsi="宋体"/>
                <w:color w:val="000000"/>
                <w:szCs w:val="21"/>
                <w:highlight w:val="none"/>
              </w:rPr>
            </w:pPr>
            <w:r>
              <w:rPr>
                <w:rFonts w:hint="eastAsia" w:ascii="宋体" w:hAnsi="宋体"/>
                <w:color w:val="000000"/>
                <w:szCs w:val="21"/>
                <w:highlight w:val="none"/>
              </w:rPr>
              <w:t>1、网络视频输入：</w:t>
            </w:r>
            <w:r>
              <w:rPr>
                <w:rFonts w:hint="eastAsia"/>
                <w:highlight w:val="none"/>
              </w:rPr>
              <w:t>≥</w:t>
            </w:r>
            <w:r>
              <w:rPr>
                <w:rFonts w:hint="eastAsia" w:ascii="宋体" w:hAnsi="宋体"/>
                <w:color w:val="000000"/>
                <w:szCs w:val="21"/>
                <w:highlight w:val="none"/>
              </w:rPr>
              <w:t>128路输入；支持最大16路同步回放和多路同步倒放；</w:t>
            </w:r>
          </w:p>
          <w:p>
            <w:pPr>
              <w:jc w:val="left"/>
              <w:rPr>
                <w:rFonts w:ascii="宋体" w:hAnsi="宋体"/>
                <w:color w:val="000000"/>
                <w:szCs w:val="21"/>
                <w:highlight w:val="none"/>
              </w:rPr>
            </w:pPr>
            <w:r>
              <w:rPr>
                <w:rFonts w:hint="eastAsia" w:ascii="宋体" w:hAnsi="宋体"/>
                <w:color w:val="000000"/>
                <w:szCs w:val="21"/>
                <w:highlight w:val="none"/>
              </w:rPr>
              <w:t>2、可接驳符合ONVIF、 RTSP标准的众多主流厂商网络摄像机；集成视音频编解码技术、嵌入式系统技术、存储技术、网络技术和智能技术等</w:t>
            </w:r>
          </w:p>
          <w:p>
            <w:pPr>
              <w:jc w:val="left"/>
              <w:rPr>
                <w:rFonts w:ascii="宋体" w:hAnsi="宋体"/>
                <w:color w:val="000000"/>
                <w:szCs w:val="21"/>
                <w:highlight w:val="none"/>
              </w:rPr>
            </w:pPr>
            <w:r>
              <w:rPr>
                <w:rFonts w:hint="eastAsia" w:ascii="宋体" w:hAnsi="宋体"/>
                <w:color w:val="000000"/>
                <w:szCs w:val="21"/>
                <w:highlight w:val="none"/>
              </w:rPr>
              <w:t>3、支持H.265高效视频编码码流，支持H.265、 H.264 IP设备混合接入；最大支持800万像素高清网络视频的预览、存储与回放；</w:t>
            </w:r>
          </w:p>
          <w:p>
            <w:pPr>
              <w:jc w:val="left"/>
              <w:rPr>
                <w:rFonts w:ascii="宋体" w:hAnsi="宋体"/>
                <w:color w:val="000000"/>
                <w:szCs w:val="21"/>
                <w:highlight w:val="none"/>
              </w:rPr>
            </w:pPr>
            <w:r>
              <w:rPr>
                <w:rFonts w:hint="eastAsia" w:ascii="宋体" w:hAnsi="宋体"/>
                <w:color w:val="000000"/>
                <w:szCs w:val="21"/>
                <w:highlight w:val="none"/>
              </w:rPr>
              <w:t>4、支持HDMI 2路与VGA异源输出， HDMI支持4K超高清显示输出， VGA支持高清1080p显示输出；</w:t>
            </w:r>
          </w:p>
          <w:p>
            <w:pPr>
              <w:jc w:val="left"/>
              <w:rPr>
                <w:rFonts w:ascii="宋体" w:hAnsi="宋体"/>
                <w:color w:val="000000"/>
                <w:szCs w:val="21"/>
                <w:highlight w:val="none"/>
              </w:rPr>
            </w:pPr>
            <w:r>
              <w:rPr>
                <w:rFonts w:hint="eastAsia" w:ascii="宋体" w:hAnsi="宋体"/>
                <w:color w:val="000000"/>
                <w:szCs w:val="21"/>
                <w:highlight w:val="none"/>
              </w:rPr>
              <w:t>5、支持</w:t>
            </w:r>
            <w:r>
              <w:rPr>
                <w:rFonts w:hint="eastAsia"/>
                <w:highlight w:val="none"/>
              </w:rPr>
              <w:t>≥</w:t>
            </w:r>
            <w:r>
              <w:rPr>
                <w:rFonts w:hint="eastAsia" w:ascii="宋体" w:hAnsi="宋体"/>
                <w:color w:val="000000"/>
                <w:szCs w:val="21"/>
                <w:highlight w:val="none"/>
              </w:rPr>
              <w:t>16个SATA接口，1个eSATA接口，可选配2个miniSAS接口；冗余电源、全插拔模块化设计；</w:t>
            </w:r>
          </w:p>
          <w:p>
            <w:pPr>
              <w:jc w:val="left"/>
              <w:rPr>
                <w:rFonts w:ascii="宋体" w:hAnsi="宋体"/>
                <w:color w:val="000000"/>
                <w:szCs w:val="21"/>
                <w:highlight w:val="none"/>
              </w:rPr>
            </w:pPr>
            <w:r>
              <w:rPr>
                <w:rFonts w:hint="eastAsia" w:ascii="宋体" w:hAnsi="宋体"/>
                <w:color w:val="000000"/>
                <w:szCs w:val="21"/>
                <w:highlight w:val="none"/>
              </w:rPr>
              <w:t>6、支持IP设备集中管理，包括IP设备参数配置、信息的导入/导出和升级等功能；</w:t>
            </w:r>
          </w:p>
          <w:p>
            <w:pPr>
              <w:jc w:val="left"/>
              <w:rPr>
                <w:rFonts w:ascii="宋体" w:hAnsi="宋体"/>
                <w:color w:val="000000"/>
                <w:szCs w:val="21"/>
                <w:highlight w:val="none"/>
              </w:rPr>
            </w:pPr>
            <w:r>
              <w:rPr>
                <w:rFonts w:hint="eastAsia" w:ascii="宋体" w:hAnsi="宋体"/>
                <w:color w:val="000000"/>
                <w:szCs w:val="21"/>
                <w:highlight w:val="none"/>
              </w:rPr>
              <w:t>7、支持智能搜索、回放及备份功能，有效提高录像检索与回放效率；</w:t>
            </w:r>
          </w:p>
          <w:p>
            <w:pPr>
              <w:jc w:val="left"/>
              <w:rPr>
                <w:rFonts w:ascii="宋体" w:hAnsi="宋体"/>
                <w:color w:val="000000"/>
                <w:szCs w:val="21"/>
                <w:highlight w:val="none"/>
              </w:rPr>
            </w:pPr>
            <w:r>
              <w:rPr>
                <w:rFonts w:hint="eastAsia" w:ascii="宋体" w:hAnsi="宋体"/>
                <w:color w:val="000000"/>
                <w:szCs w:val="21"/>
                <w:highlight w:val="none"/>
              </w:rPr>
              <w:t>8、支持萤石云服务，可实现手机远程预览回放；支持萤石、 Ehome以及GB28181协议，轻松实现平台接入。</w:t>
            </w:r>
          </w:p>
          <w:p>
            <w:pPr>
              <w:jc w:val="left"/>
              <w:rPr>
                <w:rFonts w:ascii="宋体" w:hAnsi="宋体"/>
                <w:color w:val="000000"/>
                <w:szCs w:val="21"/>
                <w:highlight w:val="none"/>
              </w:rPr>
            </w:pPr>
            <w:r>
              <w:rPr>
                <w:rFonts w:hint="eastAsia" w:ascii="宋体" w:hAnsi="宋体"/>
                <w:color w:val="000000"/>
                <w:szCs w:val="21"/>
                <w:highlight w:val="none"/>
              </w:rPr>
              <w:t>9、网络视频接入带宽：</w:t>
            </w:r>
            <w:r>
              <w:rPr>
                <w:rFonts w:hint="eastAsia"/>
                <w:highlight w:val="none"/>
              </w:rPr>
              <w:t>≥</w:t>
            </w:r>
            <w:r>
              <w:rPr>
                <w:rFonts w:hint="eastAsia" w:ascii="宋体" w:hAnsi="宋体"/>
                <w:color w:val="000000"/>
                <w:szCs w:val="21"/>
                <w:highlight w:val="none"/>
              </w:rPr>
              <w:t>320Mbps；网络输出带宽：</w:t>
            </w:r>
            <w:r>
              <w:rPr>
                <w:rFonts w:hint="eastAsia"/>
                <w:highlight w:val="none"/>
              </w:rPr>
              <w:t>≥</w:t>
            </w:r>
            <w:r>
              <w:rPr>
                <w:rFonts w:hint="eastAsia" w:ascii="宋体" w:hAnsi="宋体"/>
                <w:color w:val="000000"/>
                <w:szCs w:val="21"/>
                <w:highlight w:val="none"/>
              </w:rPr>
              <w:t>160Mbps；预览分割：1/4/6/8/9/16/25/32/64画面</w:t>
            </w:r>
          </w:p>
          <w:p>
            <w:pPr>
              <w:jc w:val="left"/>
              <w:rPr>
                <w:rFonts w:ascii="宋体" w:hAnsi="宋体"/>
                <w:color w:val="000000"/>
                <w:szCs w:val="21"/>
                <w:highlight w:val="none"/>
              </w:rPr>
            </w:pPr>
            <w:r>
              <w:rPr>
                <w:rFonts w:hint="eastAsia" w:ascii="宋体" w:hAnsi="宋体"/>
                <w:color w:val="000000"/>
                <w:szCs w:val="21"/>
                <w:highlight w:val="none"/>
              </w:rPr>
              <w:t>10、录像分辨率：8MP/6MP/5MP/4MP/3MP/1080p/UXGA/720p/VGA/4CIF/2CIF/CIF/QCIF：</w:t>
            </w:r>
          </w:p>
          <w:p>
            <w:pPr>
              <w:jc w:val="left"/>
              <w:rPr>
                <w:rFonts w:ascii="宋体" w:hAnsi="宋体"/>
                <w:color w:val="000000"/>
                <w:szCs w:val="21"/>
                <w:highlight w:val="none"/>
              </w:rPr>
            </w:pPr>
            <w:r>
              <w:rPr>
                <w:rFonts w:hint="eastAsia" w:ascii="宋体" w:hAnsi="宋体"/>
                <w:color w:val="000000"/>
                <w:szCs w:val="21"/>
                <w:highlight w:val="none"/>
              </w:rPr>
              <w:t>11、录像/抓图模式： 手动录像/抓图、定时录像/抓图、事件录像/抓图、移动侦测录像/抓图、报警录像/抓图、动测或报警录像/抓图、动测且报警录像/抓图</w:t>
            </w:r>
          </w:p>
          <w:p>
            <w:pPr>
              <w:jc w:val="left"/>
              <w:rPr>
                <w:rFonts w:ascii="宋体" w:hAnsi="宋体"/>
                <w:color w:val="000000"/>
                <w:szCs w:val="21"/>
                <w:highlight w:val="none"/>
              </w:rPr>
            </w:pPr>
            <w:r>
              <w:rPr>
                <w:rFonts w:hint="eastAsia" w:ascii="宋体" w:hAnsi="宋体"/>
                <w:color w:val="000000"/>
                <w:szCs w:val="21"/>
                <w:highlight w:val="none"/>
              </w:rPr>
              <w:t>12、回放模式：即时回放、常规回放、事件回放、标签回放、智能回放、分时段回放、外部文件回放</w:t>
            </w:r>
          </w:p>
          <w:p>
            <w:pPr>
              <w:jc w:val="left"/>
              <w:rPr>
                <w:rFonts w:ascii="宋体" w:hAnsi="宋体"/>
                <w:color w:val="000000"/>
                <w:szCs w:val="21"/>
                <w:highlight w:val="none"/>
              </w:rPr>
            </w:pPr>
            <w:r>
              <w:rPr>
                <w:rFonts w:hint="eastAsia" w:ascii="宋体" w:hAnsi="宋体"/>
                <w:color w:val="000000"/>
                <w:szCs w:val="21"/>
                <w:highlight w:val="none"/>
              </w:rPr>
              <w:t>13、备份模式：常规备份、事件备份、图片备份</w:t>
            </w:r>
          </w:p>
          <w:p>
            <w:pPr>
              <w:jc w:val="left"/>
              <w:rPr>
                <w:rFonts w:ascii="宋体" w:hAnsi="宋体"/>
                <w:color w:val="000000"/>
                <w:szCs w:val="21"/>
                <w:highlight w:val="none"/>
              </w:rPr>
            </w:pPr>
            <w:r>
              <w:rPr>
                <w:rFonts w:hint="eastAsia" w:ascii="宋体" w:hAnsi="宋体"/>
                <w:color w:val="000000"/>
                <w:szCs w:val="21"/>
                <w:highlight w:val="none"/>
              </w:rPr>
              <w:t>14、音频输出：1路，RCA接口（线性电平，阻抗：：1kΩ）；语音对讲输入：1个，RCA接口（电平：2.0Vp-p，阻抗：1kΩ）</w:t>
            </w:r>
          </w:p>
          <w:p>
            <w:pPr>
              <w:jc w:val="left"/>
              <w:rPr>
                <w:rFonts w:ascii="宋体" w:hAnsi="宋体"/>
                <w:color w:val="000000"/>
                <w:szCs w:val="21"/>
                <w:highlight w:val="none"/>
              </w:rPr>
            </w:pPr>
            <w:r>
              <w:rPr>
                <w:rFonts w:hint="eastAsia" w:ascii="宋体" w:hAnsi="宋体"/>
                <w:color w:val="000000"/>
                <w:szCs w:val="21"/>
                <w:highlight w:val="none"/>
              </w:rPr>
              <w:t>15、网络接口：2个RJ45：10M/100M/1000M自适应以太网口；串行接口：1个，标准RS-485半双工串行接口：1个</w:t>
            </w:r>
          </w:p>
          <w:p>
            <w:pPr>
              <w:jc w:val="left"/>
              <w:rPr>
                <w:rFonts w:ascii="宋体" w:hAnsi="宋体"/>
                <w:color w:val="000000"/>
                <w:szCs w:val="21"/>
                <w:highlight w:val="none"/>
              </w:rPr>
            </w:pPr>
            <w:r>
              <w:rPr>
                <w:rFonts w:hint="eastAsia" w:ascii="宋体" w:hAnsi="宋体"/>
                <w:color w:val="000000"/>
                <w:szCs w:val="21"/>
                <w:highlight w:val="none"/>
              </w:rPr>
              <w:t>16、USB接口：USB接口：2个USB：2.0（前置），1个USB：3.0（后置），充分满足高速备份需求。</w:t>
            </w:r>
          </w:p>
          <w:p>
            <w:pPr>
              <w:jc w:val="left"/>
              <w:rPr>
                <w:rFonts w:ascii="宋体" w:hAnsi="宋体"/>
                <w:color w:val="000000"/>
                <w:szCs w:val="21"/>
                <w:highlight w:val="none"/>
              </w:rPr>
            </w:pPr>
            <w:r>
              <w:rPr>
                <w:rFonts w:hint="eastAsia" w:ascii="宋体" w:hAnsi="宋体"/>
                <w:color w:val="000000"/>
                <w:szCs w:val="21"/>
                <w:highlight w:val="none"/>
              </w:rPr>
              <w:t>17、支持扩展4个千兆光口，8个RS-485串行接口，32进16出报警接口。</w:t>
            </w:r>
          </w:p>
          <w:p>
            <w:pPr>
              <w:jc w:val="left"/>
              <w:rPr>
                <w:rFonts w:ascii="宋体" w:hAnsi="宋体"/>
                <w:color w:val="000000"/>
                <w:szCs w:val="21"/>
                <w:highlight w:val="none"/>
              </w:rPr>
            </w:pPr>
            <w:r>
              <w:rPr>
                <w:rFonts w:hint="eastAsia" w:ascii="宋体" w:hAnsi="宋体"/>
                <w:color w:val="000000"/>
                <w:szCs w:val="21"/>
                <w:highlight w:val="none"/>
              </w:rPr>
              <w:t>18、网络协议：IPV6,UPnP、SNM、NTP、SADP、SMTP、NFS、iSCSI、PPPoE、DHCP</w:t>
            </w:r>
          </w:p>
          <w:p>
            <w:pPr>
              <w:jc w:val="left"/>
              <w:rPr>
                <w:rFonts w:ascii="宋体" w:hAnsi="宋体"/>
                <w:color w:val="000000"/>
                <w:szCs w:val="21"/>
                <w:highlight w:val="none"/>
              </w:rPr>
            </w:pPr>
            <w:r>
              <w:rPr>
                <w:rFonts w:hint="eastAsia" w:ascii="宋体" w:hAnsi="宋体"/>
                <w:color w:val="000000"/>
                <w:szCs w:val="21"/>
                <w:highlight w:val="none"/>
              </w:rPr>
              <w:t>19、阵列功能：支持硬盘热插拔，支持RAID0、RAID1、RAID5，RAID6，RAID10，支持全局热备盘和网络摄像机断网智能补录(ANR)</w:t>
            </w:r>
          </w:p>
        </w:tc>
        <w:tc>
          <w:tcPr>
            <w:tcW w:w="660" w:type="dxa"/>
            <w:vAlign w:val="center"/>
          </w:tcPr>
          <w:p>
            <w:pPr>
              <w:jc w:val="center"/>
              <w:rPr>
                <w:rFonts w:ascii="宋体" w:hAnsi="宋体"/>
                <w:color w:val="000000"/>
                <w:szCs w:val="21"/>
                <w:highlight w:val="none"/>
              </w:rPr>
            </w:pPr>
            <w:r>
              <w:rPr>
                <w:rFonts w:hint="eastAsia" w:ascii="宋体" w:hAnsi="宋体"/>
                <w:color w:val="000000"/>
                <w:szCs w:val="21"/>
                <w:highlight w:val="none"/>
              </w:rPr>
              <w:t>1</w:t>
            </w:r>
          </w:p>
        </w:tc>
        <w:tc>
          <w:tcPr>
            <w:tcW w:w="680" w:type="dxa"/>
            <w:vAlign w:val="center"/>
          </w:tcPr>
          <w:p>
            <w:pPr>
              <w:jc w:val="center"/>
              <w:rPr>
                <w:rFonts w:ascii="宋体" w:hAnsi="宋体"/>
                <w:color w:val="000000"/>
                <w:szCs w:val="21"/>
                <w:highlight w:val="none"/>
              </w:rPr>
            </w:pPr>
            <w:r>
              <w:rPr>
                <w:rFonts w:hint="eastAsia" w:ascii="宋体" w:hAnsi="宋体"/>
                <w:color w:val="00000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jc w:val="center"/>
              <w:rPr>
                <w:rFonts w:ascii="宋体" w:hAnsi="宋体"/>
                <w:color w:val="000000"/>
                <w:szCs w:val="21"/>
                <w:highlight w:val="none"/>
              </w:rPr>
            </w:pPr>
            <w:r>
              <w:rPr>
                <w:rFonts w:hint="eastAsia" w:ascii="宋体" w:hAnsi="宋体"/>
                <w:color w:val="000000"/>
                <w:szCs w:val="21"/>
                <w:highlight w:val="none"/>
              </w:rPr>
              <w:t>2</w:t>
            </w:r>
          </w:p>
        </w:tc>
        <w:tc>
          <w:tcPr>
            <w:tcW w:w="710" w:type="dxa"/>
            <w:vAlign w:val="center"/>
          </w:tcPr>
          <w:p>
            <w:pPr>
              <w:jc w:val="left"/>
              <w:rPr>
                <w:rFonts w:ascii="宋体" w:hAnsi="宋体"/>
                <w:color w:val="000000"/>
                <w:szCs w:val="21"/>
                <w:highlight w:val="none"/>
              </w:rPr>
            </w:pPr>
            <w:r>
              <w:rPr>
                <w:rFonts w:hint="eastAsia" w:ascii="宋体" w:hAnsi="宋体"/>
                <w:color w:val="000000"/>
                <w:szCs w:val="21"/>
                <w:highlight w:val="none"/>
              </w:rPr>
              <w:t>监控硬盘</w:t>
            </w:r>
          </w:p>
        </w:tc>
        <w:tc>
          <w:tcPr>
            <w:tcW w:w="8020" w:type="dxa"/>
            <w:vAlign w:val="center"/>
          </w:tcPr>
          <w:p>
            <w:pPr>
              <w:rPr>
                <w:rFonts w:ascii="宋体" w:hAnsi="宋体"/>
                <w:color w:val="000000"/>
                <w:szCs w:val="21"/>
                <w:highlight w:val="none"/>
              </w:rPr>
            </w:pPr>
            <w:r>
              <w:rPr>
                <w:rFonts w:hint="eastAsia" w:ascii="宋体" w:hAnsi="宋体"/>
                <w:color w:val="000000"/>
                <w:szCs w:val="21"/>
                <w:highlight w:val="none"/>
              </w:rPr>
              <w:t>1.监控存储专用硬盘；2.容量：</w:t>
            </w:r>
            <w:r>
              <w:rPr>
                <w:rFonts w:hint="eastAsia"/>
                <w:highlight w:val="none"/>
              </w:rPr>
              <w:t>≥</w:t>
            </w:r>
            <w:r>
              <w:rPr>
                <w:rFonts w:hint="eastAsia" w:ascii="宋体" w:hAnsi="宋体"/>
                <w:color w:val="000000"/>
                <w:szCs w:val="21"/>
                <w:highlight w:val="none"/>
              </w:rPr>
              <w:t>8TB；3.接口：SATA3.0接口；4.转速：</w:t>
            </w:r>
            <w:r>
              <w:rPr>
                <w:rFonts w:hint="eastAsia"/>
                <w:highlight w:val="none"/>
              </w:rPr>
              <w:t>≥</w:t>
            </w:r>
            <w:r>
              <w:rPr>
                <w:rFonts w:hint="eastAsia" w:ascii="宋体" w:hAnsi="宋体"/>
                <w:color w:val="000000"/>
                <w:szCs w:val="21"/>
                <w:highlight w:val="none"/>
              </w:rPr>
              <w:t>7200rpm；5.传输速率：</w:t>
            </w:r>
            <w:r>
              <w:rPr>
                <w:rFonts w:hint="eastAsia"/>
                <w:highlight w:val="none"/>
              </w:rPr>
              <w:t>≥</w:t>
            </w:r>
            <w:r>
              <w:rPr>
                <w:rFonts w:hint="eastAsia" w:ascii="宋体" w:hAnsi="宋体"/>
                <w:color w:val="000000"/>
                <w:szCs w:val="21"/>
                <w:highlight w:val="none"/>
              </w:rPr>
              <w:t>180MB/s</w:t>
            </w:r>
          </w:p>
        </w:tc>
        <w:tc>
          <w:tcPr>
            <w:tcW w:w="660" w:type="dxa"/>
            <w:vAlign w:val="center"/>
          </w:tcPr>
          <w:p>
            <w:pPr>
              <w:jc w:val="center"/>
              <w:rPr>
                <w:rFonts w:ascii="宋体" w:hAnsi="宋体"/>
                <w:color w:val="000000"/>
                <w:szCs w:val="21"/>
                <w:highlight w:val="none"/>
              </w:rPr>
            </w:pPr>
            <w:r>
              <w:rPr>
                <w:rFonts w:hint="eastAsia" w:ascii="宋体" w:hAnsi="宋体"/>
                <w:color w:val="000000"/>
                <w:szCs w:val="21"/>
                <w:highlight w:val="none"/>
              </w:rPr>
              <w:t>9</w:t>
            </w:r>
          </w:p>
        </w:tc>
        <w:tc>
          <w:tcPr>
            <w:tcW w:w="680" w:type="dxa"/>
            <w:vAlign w:val="center"/>
          </w:tcPr>
          <w:p>
            <w:pPr>
              <w:jc w:val="center"/>
              <w:rPr>
                <w:rFonts w:ascii="宋体" w:hAnsi="宋体"/>
                <w:color w:val="000000"/>
                <w:szCs w:val="21"/>
                <w:highlight w:val="none"/>
              </w:rPr>
            </w:pPr>
            <w:r>
              <w:rPr>
                <w:rFonts w:hint="eastAsia" w:ascii="宋体" w:hAnsi="宋体"/>
                <w:color w:val="000000"/>
                <w:szCs w:val="21"/>
                <w:highlight w:val="none"/>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jc w:val="center"/>
              <w:rPr>
                <w:rFonts w:ascii="宋体" w:hAnsi="宋体" w:cs="宋体"/>
                <w:color w:val="000000"/>
                <w:szCs w:val="21"/>
                <w:highlight w:val="none"/>
              </w:rPr>
            </w:pPr>
            <w:r>
              <w:rPr>
                <w:rFonts w:hint="eastAsia" w:ascii="宋体" w:hAnsi="宋体"/>
                <w:color w:val="000000"/>
                <w:szCs w:val="21"/>
                <w:highlight w:val="none"/>
              </w:rPr>
              <w:t>3</w:t>
            </w:r>
          </w:p>
        </w:tc>
        <w:tc>
          <w:tcPr>
            <w:tcW w:w="710" w:type="dxa"/>
            <w:vAlign w:val="center"/>
          </w:tcPr>
          <w:p>
            <w:pPr>
              <w:jc w:val="left"/>
              <w:rPr>
                <w:rFonts w:ascii="宋体" w:hAnsi="宋体"/>
                <w:color w:val="000000"/>
                <w:szCs w:val="21"/>
                <w:highlight w:val="none"/>
              </w:rPr>
            </w:pPr>
            <w:r>
              <w:rPr>
                <w:rFonts w:hint="eastAsia" w:ascii="宋体" w:hAnsi="宋体"/>
                <w:color w:val="000000"/>
                <w:szCs w:val="21"/>
                <w:highlight w:val="none"/>
              </w:rPr>
              <w:t>26口带光口POE核心交换机</w:t>
            </w:r>
          </w:p>
        </w:tc>
        <w:tc>
          <w:tcPr>
            <w:tcW w:w="8020" w:type="dxa"/>
            <w:vAlign w:val="center"/>
          </w:tcPr>
          <w:p>
            <w:pPr>
              <w:rPr>
                <w:rFonts w:ascii="宋体" w:hAnsi="宋体"/>
                <w:color w:val="000000"/>
                <w:szCs w:val="21"/>
                <w:highlight w:val="none"/>
              </w:rPr>
            </w:pPr>
            <w:r>
              <w:rPr>
                <w:rFonts w:hint="eastAsia" w:ascii="宋体" w:hAnsi="宋体"/>
                <w:color w:val="000000"/>
                <w:szCs w:val="21"/>
                <w:highlight w:val="none"/>
              </w:rPr>
              <w:t>1.交换容量不低于336G、包转发率不低于51Mpps；</w:t>
            </w:r>
          </w:p>
          <w:p>
            <w:pPr>
              <w:rPr>
                <w:rFonts w:ascii="宋体" w:hAnsi="宋体"/>
                <w:color w:val="000000"/>
                <w:szCs w:val="21"/>
                <w:highlight w:val="none"/>
              </w:rPr>
            </w:pPr>
            <w:r>
              <w:rPr>
                <w:rFonts w:hint="eastAsia" w:ascii="宋体" w:hAnsi="宋体"/>
                <w:color w:val="000000"/>
                <w:szCs w:val="21"/>
                <w:highlight w:val="none"/>
              </w:rPr>
              <w:t>2.固化10/100/1000M以太网端口不低于24，固化1G SFP光接口不低于2个；支持生成树协议STP(IEEE 802.1d)，RSTP(IEEE 802.1w)和MSTP(IEEE 802.1s)。</w:t>
            </w:r>
          </w:p>
        </w:tc>
        <w:tc>
          <w:tcPr>
            <w:tcW w:w="660" w:type="dxa"/>
            <w:vAlign w:val="center"/>
          </w:tcPr>
          <w:p>
            <w:pPr>
              <w:jc w:val="center"/>
              <w:rPr>
                <w:rFonts w:ascii="宋体" w:hAnsi="宋体"/>
                <w:color w:val="000000"/>
                <w:szCs w:val="21"/>
                <w:highlight w:val="none"/>
              </w:rPr>
            </w:pPr>
            <w:r>
              <w:rPr>
                <w:rFonts w:hint="eastAsia" w:ascii="宋体" w:hAnsi="宋体"/>
                <w:color w:val="000000"/>
                <w:szCs w:val="21"/>
                <w:highlight w:val="none"/>
              </w:rPr>
              <w:t>1</w:t>
            </w:r>
          </w:p>
        </w:tc>
        <w:tc>
          <w:tcPr>
            <w:tcW w:w="680" w:type="dxa"/>
            <w:vAlign w:val="center"/>
          </w:tcPr>
          <w:p>
            <w:pPr>
              <w:jc w:val="center"/>
              <w:rPr>
                <w:rFonts w:ascii="宋体" w:hAnsi="宋体"/>
                <w:color w:val="000000"/>
                <w:szCs w:val="21"/>
                <w:highlight w:val="none"/>
              </w:rPr>
            </w:pPr>
            <w:r>
              <w:rPr>
                <w:rFonts w:hint="eastAsia" w:ascii="宋体" w:hAnsi="宋体"/>
                <w:color w:val="00000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jc w:val="center"/>
              <w:rPr>
                <w:rFonts w:ascii="宋体" w:hAnsi="宋体" w:cs="宋体"/>
                <w:color w:val="000000"/>
                <w:szCs w:val="21"/>
                <w:highlight w:val="none"/>
              </w:rPr>
            </w:pPr>
            <w:r>
              <w:rPr>
                <w:rFonts w:hint="eastAsia" w:ascii="宋体" w:hAnsi="宋体"/>
                <w:color w:val="000000"/>
                <w:szCs w:val="21"/>
                <w:highlight w:val="none"/>
              </w:rPr>
              <w:t>4</w:t>
            </w:r>
          </w:p>
        </w:tc>
        <w:tc>
          <w:tcPr>
            <w:tcW w:w="710" w:type="dxa"/>
            <w:vAlign w:val="center"/>
          </w:tcPr>
          <w:p>
            <w:pPr>
              <w:jc w:val="left"/>
              <w:rPr>
                <w:rFonts w:ascii="宋体" w:hAnsi="宋体"/>
                <w:color w:val="000000"/>
                <w:szCs w:val="21"/>
                <w:highlight w:val="none"/>
              </w:rPr>
            </w:pPr>
            <w:r>
              <w:rPr>
                <w:rFonts w:hint="eastAsia" w:ascii="宋体" w:hAnsi="宋体"/>
                <w:color w:val="000000"/>
                <w:szCs w:val="21"/>
                <w:highlight w:val="none"/>
              </w:rPr>
              <w:t>8口POE接入交换机</w:t>
            </w:r>
          </w:p>
        </w:tc>
        <w:tc>
          <w:tcPr>
            <w:tcW w:w="8020" w:type="dxa"/>
            <w:vAlign w:val="center"/>
          </w:tcPr>
          <w:p>
            <w:pPr>
              <w:rPr>
                <w:rFonts w:ascii="宋体" w:hAnsi="宋体"/>
                <w:color w:val="000000"/>
                <w:szCs w:val="21"/>
                <w:highlight w:val="none"/>
              </w:rPr>
            </w:pPr>
            <w:r>
              <w:rPr>
                <w:rFonts w:hint="eastAsia" w:ascii="宋体" w:hAnsi="宋体"/>
                <w:color w:val="000000"/>
                <w:szCs w:val="21"/>
                <w:highlight w:val="none"/>
              </w:rPr>
              <w:t>固化10/100/1000M以太网端口不低于4口，支持POE</w:t>
            </w:r>
          </w:p>
        </w:tc>
        <w:tc>
          <w:tcPr>
            <w:tcW w:w="660" w:type="dxa"/>
            <w:vAlign w:val="center"/>
          </w:tcPr>
          <w:p>
            <w:pPr>
              <w:jc w:val="center"/>
              <w:rPr>
                <w:rFonts w:ascii="宋体" w:hAnsi="宋体"/>
                <w:color w:val="000000"/>
                <w:szCs w:val="21"/>
                <w:highlight w:val="none"/>
              </w:rPr>
            </w:pPr>
            <w:r>
              <w:rPr>
                <w:rFonts w:hint="eastAsia" w:ascii="宋体" w:hAnsi="宋体"/>
                <w:color w:val="000000"/>
                <w:szCs w:val="21"/>
                <w:highlight w:val="none"/>
              </w:rPr>
              <w:t>4</w:t>
            </w:r>
          </w:p>
        </w:tc>
        <w:tc>
          <w:tcPr>
            <w:tcW w:w="680" w:type="dxa"/>
            <w:vAlign w:val="center"/>
          </w:tcPr>
          <w:p>
            <w:pPr>
              <w:jc w:val="center"/>
              <w:rPr>
                <w:rFonts w:ascii="宋体" w:hAnsi="宋体"/>
                <w:color w:val="000000"/>
                <w:szCs w:val="21"/>
                <w:highlight w:val="none"/>
              </w:rPr>
            </w:pPr>
            <w:r>
              <w:rPr>
                <w:rFonts w:hint="eastAsia" w:ascii="宋体" w:hAnsi="宋体"/>
                <w:color w:val="00000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jc w:val="center"/>
              <w:rPr>
                <w:rFonts w:ascii="宋体" w:hAnsi="宋体" w:cs="宋体"/>
                <w:color w:val="000000"/>
                <w:szCs w:val="21"/>
                <w:highlight w:val="none"/>
              </w:rPr>
            </w:pPr>
            <w:r>
              <w:rPr>
                <w:rFonts w:hint="eastAsia" w:ascii="宋体" w:hAnsi="宋体"/>
                <w:color w:val="000000"/>
                <w:szCs w:val="21"/>
                <w:highlight w:val="none"/>
              </w:rPr>
              <w:t>5</w:t>
            </w:r>
          </w:p>
        </w:tc>
        <w:tc>
          <w:tcPr>
            <w:tcW w:w="710" w:type="dxa"/>
            <w:vAlign w:val="center"/>
          </w:tcPr>
          <w:p>
            <w:pPr>
              <w:jc w:val="left"/>
              <w:rPr>
                <w:rFonts w:ascii="宋体" w:hAnsi="宋体"/>
                <w:color w:val="000000"/>
                <w:szCs w:val="21"/>
                <w:highlight w:val="none"/>
              </w:rPr>
            </w:pPr>
            <w:r>
              <w:rPr>
                <w:rFonts w:hint="eastAsia" w:ascii="宋体" w:hAnsi="宋体"/>
                <w:color w:val="000000"/>
                <w:szCs w:val="21"/>
                <w:highlight w:val="none"/>
              </w:rPr>
              <w:t>停车场室外500万高清球型摄像机（含支架）</w:t>
            </w:r>
          </w:p>
        </w:tc>
        <w:tc>
          <w:tcPr>
            <w:tcW w:w="8020" w:type="dxa"/>
            <w:vAlign w:val="center"/>
          </w:tcPr>
          <w:p>
            <w:pPr>
              <w:rPr>
                <w:rFonts w:ascii="宋体" w:hAnsi="宋体"/>
                <w:color w:val="000000"/>
                <w:szCs w:val="21"/>
                <w:highlight w:val="none"/>
              </w:rPr>
            </w:pPr>
            <w:r>
              <w:rPr>
                <w:rFonts w:hint="eastAsia" w:ascii="宋体" w:hAnsi="宋体"/>
                <w:color w:val="000000"/>
                <w:szCs w:val="21"/>
                <w:highlight w:val="none"/>
              </w:rPr>
              <w:t>1、镜头：</w:t>
            </w:r>
            <w:r>
              <w:rPr>
                <w:rFonts w:hint="eastAsia"/>
                <w:highlight w:val="none"/>
              </w:rPr>
              <w:t>≥</w:t>
            </w:r>
            <w:r>
              <w:rPr>
                <w:rFonts w:hint="eastAsia" w:ascii="宋体" w:hAnsi="宋体"/>
                <w:color w:val="000000"/>
                <w:szCs w:val="21"/>
                <w:highlight w:val="none"/>
              </w:rPr>
              <w:t>10寸 WIFI 40倍光学变焦，采用H.265+编码；</w:t>
            </w:r>
          </w:p>
          <w:p>
            <w:pPr>
              <w:rPr>
                <w:rFonts w:ascii="宋体" w:hAnsi="宋体"/>
                <w:color w:val="000000"/>
                <w:szCs w:val="21"/>
                <w:highlight w:val="none"/>
              </w:rPr>
            </w:pPr>
            <w:r>
              <w:rPr>
                <w:rFonts w:hint="eastAsia" w:ascii="宋体" w:hAnsi="宋体"/>
                <w:color w:val="000000"/>
                <w:szCs w:val="21"/>
                <w:highlight w:val="none"/>
              </w:rPr>
              <w:t>2、支持水平方向360°连续旋转，垂直方向-35°～90°自动翻转180°后连续监视,无监视盲区，云台定位准确度小于等于0.01°</w:t>
            </w:r>
          </w:p>
          <w:p>
            <w:pPr>
              <w:rPr>
                <w:rFonts w:ascii="宋体" w:hAnsi="宋体"/>
                <w:color w:val="000000"/>
                <w:szCs w:val="21"/>
                <w:highlight w:val="none"/>
              </w:rPr>
            </w:pPr>
            <w:r>
              <w:rPr>
                <w:rFonts w:hint="eastAsia" w:ascii="宋体" w:hAnsi="宋体"/>
                <w:color w:val="000000"/>
                <w:szCs w:val="21"/>
                <w:highlight w:val="none"/>
              </w:rPr>
              <w:t>3、支持超低照度，彩色≤0.0002lux@F1.5，黑白≤0.0001lux@F1.5</w:t>
            </w:r>
          </w:p>
          <w:p>
            <w:pPr>
              <w:rPr>
                <w:rFonts w:ascii="宋体" w:hAnsi="宋体"/>
                <w:color w:val="000000"/>
                <w:szCs w:val="21"/>
                <w:highlight w:val="none"/>
              </w:rPr>
            </w:pPr>
            <w:r>
              <w:rPr>
                <w:rFonts w:hint="eastAsia" w:ascii="宋体" w:hAnsi="宋体"/>
                <w:color w:val="000000"/>
                <w:szCs w:val="21"/>
                <w:highlight w:val="none"/>
              </w:rPr>
              <w:t>4、实时监听/双向对讲  支持AP热点链接</w:t>
            </w:r>
          </w:p>
          <w:p>
            <w:pPr>
              <w:rPr>
                <w:rFonts w:ascii="宋体" w:hAnsi="宋体"/>
                <w:color w:val="000000"/>
                <w:szCs w:val="21"/>
                <w:highlight w:val="none"/>
              </w:rPr>
            </w:pPr>
            <w:r>
              <w:rPr>
                <w:rFonts w:hint="eastAsia" w:ascii="宋体" w:hAnsi="宋体"/>
                <w:color w:val="000000"/>
                <w:szCs w:val="21"/>
                <w:highlight w:val="none"/>
              </w:rPr>
              <w:t>5、支持</w:t>
            </w:r>
            <w:r>
              <w:rPr>
                <w:rFonts w:hint="eastAsia"/>
                <w:highlight w:val="none"/>
              </w:rPr>
              <w:t>≥</w:t>
            </w:r>
            <w:r>
              <w:rPr>
                <w:rFonts w:hint="eastAsia" w:ascii="宋体" w:hAnsi="宋体"/>
                <w:color w:val="000000"/>
                <w:szCs w:val="21"/>
                <w:highlight w:val="none"/>
              </w:rPr>
              <w:t>300个预置位，</w:t>
            </w:r>
            <w:r>
              <w:rPr>
                <w:rFonts w:hint="eastAsia"/>
                <w:highlight w:val="none"/>
              </w:rPr>
              <w:t>≥</w:t>
            </w:r>
            <w:r>
              <w:rPr>
                <w:rFonts w:hint="eastAsia" w:ascii="宋体" w:hAnsi="宋体"/>
                <w:color w:val="000000"/>
                <w:szCs w:val="21"/>
                <w:highlight w:val="none"/>
              </w:rPr>
              <w:t>8条巡航路径，</w:t>
            </w:r>
            <w:r>
              <w:rPr>
                <w:rFonts w:hint="eastAsia"/>
                <w:highlight w:val="none"/>
              </w:rPr>
              <w:t>≥</w:t>
            </w:r>
            <w:r>
              <w:rPr>
                <w:rFonts w:hint="eastAsia" w:ascii="宋体" w:hAnsi="宋体"/>
                <w:color w:val="000000"/>
                <w:szCs w:val="21"/>
                <w:highlight w:val="none"/>
              </w:rPr>
              <w:t>5条巡迹路径</w:t>
            </w:r>
          </w:p>
          <w:p>
            <w:pPr>
              <w:rPr>
                <w:rFonts w:ascii="宋体" w:hAnsi="宋体"/>
                <w:color w:val="000000"/>
                <w:szCs w:val="21"/>
                <w:highlight w:val="none"/>
              </w:rPr>
            </w:pPr>
            <w:r>
              <w:rPr>
                <w:rFonts w:hint="eastAsia" w:ascii="宋体" w:hAnsi="宋体"/>
                <w:color w:val="000000"/>
                <w:szCs w:val="21"/>
                <w:highlight w:val="none"/>
              </w:rPr>
              <w:t>6、支持256GTF卡、支持云储存录像</w:t>
            </w:r>
          </w:p>
          <w:p>
            <w:pPr>
              <w:rPr>
                <w:rFonts w:ascii="宋体" w:hAnsi="宋体"/>
                <w:color w:val="000000"/>
                <w:szCs w:val="21"/>
                <w:highlight w:val="none"/>
              </w:rPr>
            </w:pPr>
            <w:r>
              <w:rPr>
                <w:rFonts w:hint="eastAsia" w:ascii="宋体" w:hAnsi="宋体"/>
                <w:color w:val="000000"/>
                <w:szCs w:val="21"/>
                <w:highlight w:val="none"/>
              </w:rPr>
              <w:t>7、支持快速智能切换，当更换智能模式时设备不重启，新智能使能后即可生效。</w:t>
            </w:r>
          </w:p>
          <w:p>
            <w:pPr>
              <w:rPr>
                <w:rFonts w:ascii="宋体" w:hAnsi="宋体"/>
                <w:color w:val="000000"/>
                <w:szCs w:val="21"/>
                <w:highlight w:val="none"/>
              </w:rPr>
            </w:pPr>
            <w:r>
              <w:rPr>
                <w:rFonts w:hint="eastAsia" w:ascii="宋体" w:hAnsi="宋体"/>
                <w:color w:val="000000"/>
                <w:szCs w:val="21"/>
                <w:highlight w:val="none"/>
              </w:rPr>
              <w:t>8、支持多人同时观看，自动跟踪，自动变焦拉伸跟踪，人形侦测报警报警</w:t>
            </w:r>
          </w:p>
          <w:p>
            <w:pPr>
              <w:rPr>
                <w:rFonts w:ascii="宋体" w:hAnsi="宋体"/>
                <w:color w:val="000000"/>
                <w:szCs w:val="21"/>
                <w:highlight w:val="none"/>
              </w:rPr>
            </w:pPr>
            <w:r>
              <w:rPr>
                <w:rFonts w:hint="eastAsia" w:ascii="宋体" w:hAnsi="宋体"/>
                <w:color w:val="000000"/>
                <w:szCs w:val="21"/>
                <w:highlight w:val="none"/>
              </w:rPr>
              <w:t>9、支持IP66防护等级，抗干扰能力强，符合GB/T17626.2/3/4/5/6四级标准</w:t>
            </w:r>
          </w:p>
        </w:tc>
        <w:tc>
          <w:tcPr>
            <w:tcW w:w="660" w:type="dxa"/>
            <w:vAlign w:val="center"/>
          </w:tcPr>
          <w:p>
            <w:pPr>
              <w:jc w:val="center"/>
              <w:rPr>
                <w:rFonts w:ascii="宋体" w:hAnsi="宋体"/>
                <w:color w:val="000000"/>
                <w:szCs w:val="21"/>
                <w:highlight w:val="none"/>
              </w:rPr>
            </w:pPr>
            <w:r>
              <w:rPr>
                <w:rFonts w:hint="eastAsia" w:ascii="宋体" w:hAnsi="宋体"/>
                <w:color w:val="000000"/>
                <w:szCs w:val="21"/>
                <w:highlight w:val="none"/>
              </w:rPr>
              <w:t>5</w:t>
            </w:r>
          </w:p>
        </w:tc>
        <w:tc>
          <w:tcPr>
            <w:tcW w:w="680" w:type="dxa"/>
            <w:vAlign w:val="center"/>
          </w:tcPr>
          <w:p>
            <w:pPr>
              <w:jc w:val="center"/>
              <w:rPr>
                <w:rFonts w:ascii="宋体" w:hAnsi="宋体"/>
                <w:color w:val="000000"/>
                <w:szCs w:val="21"/>
                <w:highlight w:val="none"/>
              </w:rPr>
            </w:pPr>
            <w:r>
              <w:rPr>
                <w:rFonts w:hint="eastAsia" w:ascii="宋体" w:hAnsi="宋体"/>
                <w:color w:val="00000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jc w:val="center"/>
              <w:rPr>
                <w:rFonts w:ascii="宋体" w:hAnsi="宋体" w:cs="宋体"/>
                <w:color w:val="000000"/>
                <w:szCs w:val="21"/>
                <w:highlight w:val="none"/>
              </w:rPr>
            </w:pPr>
            <w:r>
              <w:rPr>
                <w:rFonts w:hint="eastAsia" w:ascii="宋体" w:hAnsi="宋体"/>
                <w:color w:val="000000"/>
                <w:szCs w:val="21"/>
                <w:highlight w:val="none"/>
              </w:rPr>
              <w:t>6</w:t>
            </w:r>
          </w:p>
        </w:tc>
        <w:tc>
          <w:tcPr>
            <w:tcW w:w="710" w:type="dxa"/>
            <w:vAlign w:val="center"/>
          </w:tcPr>
          <w:p>
            <w:pPr>
              <w:jc w:val="left"/>
              <w:rPr>
                <w:rFonts w:ascii="宋体" w:hAnsi="宋体"/>
                <w:color w:val="000000"/>
                <w:szCs w:val="21"/>
                <w:highlight w:val="none"/>
              </w:rPr>
            </w:pPr>
            <w:r>
              <w:rPr>
                <w:rFonts w:hint="eastAsia" w:ascii="宋体" w:hAnsi="宋体"/>
                <w:color w:val="000000"/>
                <w:szCs w:val="21"/>
                <w:highlight w:val="none"/>
              </w:rPr>
              <w:t>2.4G无线网桥</w:t>
            </w:r>
          </w:p>
        </w:tc>
        <w:tc>
          <w:tcPr>
            <w:tcW w:w="8020" w:type="dxa"/>
            <w:vAlign w:val="center"/>
          </w:tcPr>
          <w:p>
            <w:pPr>
              <w:rPr>
                <w:rFonts w:ascii="宋体" w:hAnsi="宋体"/>
                <w:color w:val="000000"/>
                <w:szCs w:val="21"/>
                <w:highlight w:val="none"/>
              </w:rPr>
            </w:pPr>
            <w:r>
              <w:rPr>
                <w:rFonts w:hint="eastAsia" w:ascii="宋体" w:hAnsi="宋体"/>
                <w:color w:val="000000"/>
                <w:szCs w:val="21"/>
                <w:highlight w:val="none"/>
              </w:rPr>
              <w:t>千兆无线网桥套装(5公里) 监控专用wifi点对点远距离传输无线AP</w:t>
            </w:r>
          </w:p>
        </w:tc>
        <w:tc>
          <w:tcPr>
            <w:tcW w:w="660" w:type="dxa"/>
            <w:vAlign w:val="center"/>
          </w:tcPr>
          <w:p>
            <w:pPr>
              <w:jc w:val="center"/>
              <w:rPr>
                <w:rFonts w:ascii="宋体" w:hAnsi="宋体"/>
                <w:color w:val="000000"/>
                <w:szCs w:val="21"/>
                <w:highlight w:val="none"/>
              </w:rPr>
            </w:pPr>
            <w:r>
              <w:rPr>
                <w:rFonts w:hint="eastAsia" w:ascii="宋体" w:hAnsi="宋体"/>
                <w:color w:val="000000"/>
                <w:szCs w:val="21"/>
                <w:highlight w:val="none"/>
              </w:rPr>
              <w:t>4</w:t>
            </w:r>
          </w:p>
        </w:tc>
        <w:tc>
          <w:tcPr>
            <w:tcW w:w="680" w:type="dxa"/>
            <w:vAlign w:val="center"/>
          </w:tcPr>
          <w:p>
            <w:pPr>
              <w:jc w:val="center"/>
              <w:rPr>
                <w:rFonts w:ascii="宋体" w:hAnsi="宋体"/>
                <w:color w:val="000000"/>
                <w:szCs w:val="21"/>
                <w:highlight w:val="none"/>
              </w:rPr>
            </w:pPr>
            <w:r>
              <w:rPr>
                <w:rFonts w:hint="eastAsia" w:ascii="宋体" w:hAnsi="宋体"/>
                <w:color w:val="000000"/>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jc w:val="center"/>
              <w:rPr>
                <w:rFonts w:ascii="宋体" w:hAnsi="宋体" w:cs="宋体"/>
                <w:color w:val="000000"/>
                <w:szCs w:val="21"/>
                <w:highlight w:val="none"/>
              </w:rPr>
            </w:pPr>
            <w:r>
              <w:rPr>
                <w:rFonts w:hint="eastAsia" w:ascii="宋体" w:hAnsi="宋体"/>
                <w:color w:val="000000"/>
                <w:szCs w:val="21"/>
                <w:highlight w:val="none"/>
              </w:rPr>
              <w:t>7</w:t>
            </w:r>
          </w:p>
        </w:tc>
        <w:tc>
          <w:tcPr>
            <w:tcW w:w="710" w:type="dxa"/>
            <w:vAlign w:val="center"/>
          </w:tcPr>
          <w:p>
            <w:pPr>
              <w:jc w:val="left"/>
              <w:rPr>
                <w:rFonts w:ascii="宋体" w:hAnsi="宋体"/>
                <w:color w:val="000000"/>
                <w:szCs w:val="21"/>
                <w:highlight w:val="none"/>
              </w:rPr>
            </w:pPr>
            <w:r>
              <w:rPr>
                <w:rFonts w:hint="eastAsia" w:ascii="宋体" w:hAnsi="宋体"/>
                <w:color w:val="000000"/>
                <w:szCs w:val="21"/>
                <w:highlight w:val="none"/>
              </w:rPr>
              <w:t>室外网线</w:t>
            </w:r>
          </w:p>
        </w:tc>
        <w:tc>
          <w:tcPr>
            <w:tcW w:w="8020" w:type="dxa"/>
            <w:vAlign w:val="center"/>
          </w:tcPr>
          <w:p>
            <w:pPr>
              <w:rPr>
                <w:rFonts w:ascii="宋体" w:hAnsi="宋体"/>
                <w:color w:val="000000"/>
                <w:szCs w:val="21"/>
                <w:highlight w:val="none"/>
              </w:rPr>
            </w:pPr>
            <w:r>
              <w:rPr>
                <w:rFonts w:hint="eastAsia" w:ascii="宋体" w:hAnsi="宋体"/>
                <w:color w:val="000000"/>
                <w:szCs w:val="21"/>
                <w:highlight w:val="none"/>
              </w:rPr>
              <w:t>无氧铜超五类室外网线，线径≥0.45</w:t>
            </w:r>
          </w:p>
        </w:tc>
        <w:tc>
          <w:tcPr>
            <w:tcW w:w="660" w:type="dxa"/>
            <w:vAlign w:val="center"/>
          </w:tcPr>
          <w:p>
            <w:pPr>
              <w:jc w:val="center"/>
              <w:rPr>
                <w:rFonts w:ascii="宋体" w:hAnsi="宋体"/>
                <w:color w:val="000000"/>
                <w:szCs w:val="21"/>
                <w:highlight w:val="none"/>
              </w:rPr>
            </w:pPr>
            <w:r>
              <w:rPr>
                <w:rFonts w:hint="eastAsia" w:ascii="宋体" w:hAnsi="宋体"/>
                <w:color w:val="000000"/>
                <w:szCs w:val="21"/>
                <w:highlight w:val="none"/>
              </w:rPr>
              <w:t>3</w:t>
            </w:r>
          </w:p>
        </w:tc>
        <w:tc>
          <w:tcPr>
            <w:tcW w:w="680" w:type="dxa"/>
            <w:vAlign w:val="center"/>
          </w:tcPr>
          <w:p>
            <w:pPr>
              <w:jc w:val="center"/>
              <w:rPr>
                <w:rFonts w:ascii="宋体" w:hAnsi="宋体"/>
                <w:color w:val="000000"/>
                <w:szCs w:val="21"/>
                <w:highlight w:val="none"/>
              </w:rPr>
            </w:pPr>
            <w:r>
              <w:rPr>
                <w:rFonts w:hint="eastAsia" w:ascii="宋体" w:hAnsi="宋体"/>
                <w:color w:val="000000"/>
                <w:szCs w:val="21"/>
                <w:highlight w:val="none"/>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jc w:val="center"/>
              <w:rPr>
                <w:rFonts w:ascii="宋体" w:hAnsi="宋体" w:cs="宋体"/>
                <w:color w:val="000000"/>
                <w:szCs w:val="21"/>
                <w:highlight w:val="none"/>
              </w:rPr>
            </w:pPr>
            <w:r>
              <w:rPr>
                <w:rFonts w:hint="eastAsia" w:ascii="宋体" w:hAnsi="宋体"/>
                <w:color w:val="000000"/>
                <w:szCs w:val="21"/>
                <w:highlight w:val="none"/>
              </w:rPr>
              <w:t>8</w:t>
            </w:r>
          </w:p>
        </w:tc>
        <w:tc>
          <w:tcPr>
            <w:tcW w:w="710" w:type="dxa"/>
            <w:vAlign w:val="center"/>
          </w:tcPr>
          <w:p>
            <w:pPr>
              <w:jc w:val="left"/>
              <w:rPr>
                <w:rFonts w:ascii="宋体" w:hAnsi="宋体"/>
                <w:color w:val="000000"/>
                <w:szCs w:val="21"/>
                <w:highlight w:val="none"/>
              </w:rPr>
            </w:pPr>
            <w:r>
              <w:rPr>
                <w:rFonts w:hint="eastAsia" w:ascii="宋体" w:hAnsi="宋体"/>
                <w:color w:val="000000"/>
                <w:szCs w:val="21"/>
                <w:highlight w:val="none"/>
              </w:rPr>
              <w:t>电源线</w:t>
            </w:r>
          </w:p>
        </w:tc>
        <w:tc>
          <w:tcPr>
            <w:tcW w:w="8020" w:type="dxa"/>
            <w:vAlign w:val="center"/>
          </w:tcPr>
          <w:p>
            <w:pPr>
              <w:rPr>
                <w:rFonts w:ascii="宋体" w:hAnsi="宋体"/>
                <w:color w:val="000000"/>
                <w:szCs w:val="21"/>
                <w:highlight w:val="none"/>
              </w:rPr>
            </w:pPr>
            <w:r>
              <w:rPr>
                <w:rFonts w:hint="eastAsia" w:ascii="宋体" w:hAnsi="宋体"/>
                <w:color w:val="000000"/>
                <w:szCs w:val="21"/>
                <w:highlight w:val="none"/>
              </w:rPr>
              <w:t>ZR-YJV3*1.5 国标铜线</w:t>
            </w:r>
          </w:p>
        </w:tc>
        <w:tc>
          <w:tcPr>
            <w:tcW w:w="660" w:type="dxa"/>
            <w:vAlign w:val="center"/>
          </w:tcPr>
          <w:p>
            <w:pPr>
              <w:jc w:val="center"/>
              <w:rPr>
                <w:rFonts w:ascii="宋体" w:hAnsi="宋体"/>
                <w:color w:val="000000"/>
                <w:szCs w:val="21"/>
                <w:highlight w:val="none"/>
              </w:rPr>
            </w:pPr>
            <w:r>
              <w:rPr>
                <w:rFonts w:hint="eastAsia" w:ascii="宋体" w:hAnsi="宋体"/>
                <w:color w:val="000000"/>
                <w:szCs w:val="21"/>
                <w:highlight w:val="none"/>
              </w:rPr>
              <w:t>300</w:t>
            </w:r>
          </w:p>
        </w:tc>
        <w:tc>
          <w:tcPr>
            <w:tcW w:w="680" w:type="dxa"/>
            <w:vAlign w:val="center"/>
          </w:tcPr>
          <w:p>
            <w:pPr>
              <w:jc w:val="center"/>
              <w:rPr>
                <w:rFonts w:ascii="宋体" w:hAnsi="宋体"/>
                <w:color w:val="000000"/>
                <w:szCs w:val="21"/>
                <w:highlight w:val="none"/>
              </w:rPr>
            </w:pPr>
            <w:r>
              <w:rPr>
                <w:rFonts w:hint="eastAsia" w:ascii="宋体" w:hAnsi="宋体"/>
                <w:color w:val="000000"/>
                <w:szCs w:val="21"/>
                <w:highlight w:val="none"/>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jc w:val="center"/>
              <w:rPr>
                <w:rFonts w:ascii="宋体" w:hAnsi="宋体" w:cs="宋体"/>
                <w:color w:val="000000"/>
                <w:szCs w:val="21"/>
                <w:highlight w:val="none"/>
              </w:rPr>
            </w:pPr>
            <w:r>
              <w:rPr>
                <w:rFonts w:hint="eastAsia" w:ascii="宋体" w:hAnsi="宋体"/>
                <w:color w:val="000000"/>
                <w:szCs w:val="21"/>
                <w:highlight w:val="none"/>
              </w:rPr>
              <w:t>9</w:t>
            </w:r>
          </w:p>
        </w:tc>
        <w:tc>
          <w:tcPr>
            <w:tcW w:w="710" w:type="dxa"/>
            <w:vAlign w:val="center"/>
          </w:tcPr>
          <w:p>
            <w:pPr>
              <w:jc w:val="left"/>
              <w:rPr>
                <w:rFonts w:ascii="宋体" w:hAnsi="宋体"/>
                <w:color w:val="000000"/>
                <w:szCs w:val="21"/>
                <w:highlight w:val="none"/>
              </w:rPr>
            </w:pPr>
            <w:r>
              <w:rPr>
                <w:rFonts w:hint="eastAsia" w:ascii="宋体" w:hAnsi="宋体"/>
                <w:color w:val="000000"/>
                <w:szCs w:val="21"/>
                <w:highlight w:val="none"/>
              </w:rPr>
              <w:t>防水箱</w:t>
            </w:r>
          </w:p>
        </w:tc>
        <w:tc>
          <w:tcPr>
            <w:tcW w:w="8020" w:type="dxa"/>
            <w:vAlign w:val="center"/>
          </w:tcPr>
          <w:p>
            <w:pPr>
              <w:rPr>
                <w:rFonts w:ascii="宋体" w:hAnsi="宋体"/>
                <w:color w:val="000000"/>
                <w:szCs w:val="21"/>
                <w:highlight w:val="none"/>
              </w:rPr>
            </w:pPr>
            <w:r>
              <w:rPr>
                <w:rFonts w:hint="eastAsia" w:ascii="宋体" w:hAnsi="宋体"/>
                <w:color w:val="000000"/>
                <w:szCs w:val="21"/>
                <w:highlight w:val="none"/>
              </w:rPr>
              <w:t>尺寸</w:t>
            </w:r>
            <w:r>
              <w:rPr>
                <w:rFonts w:hint="eastAsia"/>
                <w:highlight w:val="none"/>
              </w:rPr>
              <w:t>≥</w:t>
            </w:r>
            <w:r>
              <w:rPr>
                <w:rFonts w:hint="eastAsia" w:ascii="宋体" w:hAnsi="宋体"/>
                <w:color w:val="000000"/>
                <w:szCs w:val="21"/>
                <w:highlight w:val="none"/>
              </w:rPr>
              <w:t>280*190*100</w:t>
            </w:r>
          </w:p>
        </w:tc>
        <w:tc>
          <w:tcPr>
            <w:tcW w:w="660" w:type="dxa"/>
            <w:vAlign w:val="center"/>
          </w:tcPr>
          <w:p>
            <w:pPr>
              <w:jc w:val="center"/>
              <w:rPr>
                <w:rFonts w:ascii="宋体" w:hAnsi="宋体"/>
                <w:color w:val="000000"/>
                <w:szCs w:val="21"/>
                <w:highlight w:val="none"/>
              </w:rPr>
            </w:pPr>
            <w:r>
              <w:rPr>
                <w:rFonts w:hint="eastAsia" w:ascii="宋体" w:hAnsi="宋体"/>
                <w:color w:val="000000"/>
                <w:szCs w:val="21"/>
                <w:highlight w:val="none"/>
              </w:rPr>
              <w:t>5</w:t>
            </w:r>
          </w:p>
        </w:tc>
        <w:tc>
          <w:tcPr>
            <w:tcW w:w="680" w:type="dxa"/>
            <w:vAlign w:val="center"/>
          </w:tcPr>
          <w:p>
            <w:pPr>
              <w:jc w:val="center"/>
              <w:rPr>
                <w:rFonts w:ascii="宋体" w:hAnsi="宋体"/>
                <w:color w:val="000000"/>
                <w:szCs w:val="21"/>
                <w:highlight w:val="none"/>
              </w:rPr>
            </w:pPr>
            <w:r>
              <w:rPr>
                <w:rFonts w:hint="eastAsia" w:ascii="宋体" w:hAnsi="宋体"/>
                <w:color w:val="000000"/>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jc w:val="center"/>
              <w:rPr>
                <w:rFonts w:ascii="宋体" w:hAnsi="宋体" w:cs="宋体"/>
                <w:color w:val="000000"/>
                <w:szCs w:val="21"/>
                <w:highlight w:val="none"/>
              </w:rPr>
            </w:pPr>
            <w:r>
              <w:rPr>
                <w:rFonts w:hint="eastAsia" w:ascii="宋体" w:hAnsi="宋体"/>
                <w:color w:val="000000"/>
                <w:szCs w:val="21"/>
                <w:highlight w:val="none"/>
              </w:rPr>
              <w:t>10</w:t>
            </w:r>
          </w:p>
        </w:tc>
        <w:tc>
          <w:tcPr>
            <w:tcW w:w="710" w:type="dxa"/>
            <w:vAlign w:val="center"/>
          </w:tcPr>
          <w:p>
            <w:pPr>
              <w:jc w:val="left"/>
              <w:rPr>
                <w:rFonts w:ascii="宋体" w:hAnsi="宋体"/>
                <w:color w:val="000000"/>
                <w:szCs w:val="21"/>
                <w:highlight w:val="none"/>
              </w:rPr>
            </w:pPr>
            <w:r>
              <w:rPr>
                <w:rFonts w:hint="eastAsia" w:ascii="宋体" w:hAnsi="宋体"/>
                <w:color w:val="000000"/>
                <w:szCs w:val="21"/>
                <w:highlight w:val="none"/>
              </w:rPr>
              <w:t>辅材</w:t>
            </w:r>
          </w:p>
        </w:tc>
        <w:tc>
          <w:tcPr>
            <w:tcW w:w="8020" w:type="dxa"/>
            <w:vAlign w:val="center"/>
          </w:tcPr>
          <w:p>
            <w:pPr>
              <w:rPr>
                <w:rFonts w:ascii="宋体" w:hAnsi="宋体"/>
                <w:color w:val="000000"/>
                <w:szCs w:val="21"/>
                <w:highlight w:val="none"/>
              </w:rPr>
            </w:pPr>
            <w:r>
              <w:rPr>
                <w:rFonts w:hint="eastAsia" w:ascii="宋体" w:hAnsi="宋体"/>
                <w:color w:val="000000"/>
                <w:szCs w:val="21"/>
                <w:highlight w:val="none"/>
              </w:rPr>
              <w:t>PVC管材、不锈钢钢管、转接头、无线桥架、绑丝、胶带、扎带、锣丝、密封条、开孔器、水钻头等</w:t>
            </w:r>
          </w:p>
        </w:tc>
        <w:tc>
          <w:tcPr>
            <w:tcW w:w="660" w:type="dxa"/>
            <w:vAlign w:val="center"/>
          </w:tcPr>
          <w:p>
            <w:pPr>
              <w:jc w:val="center"/>
              <w:rPr>
                <w:rFonts w:ascii="宋体" w:hAnsi="宋体"/>
                <w:color w:val="000000"/>
                <w:szCs w:val="21"/>
                <w:highlight w:val="none"/>
              </w:rPr>
            </w:pPr>
            <w:r>
              <w:rPr>
                <w:rFonts w:hint="eastAsia" w:ascii="宋体" w:hAnsi="宋体"/>
                <w:color w:val="000000"/>
                <w:szCs w:val="21"/>
                <w:highlight w:val="none"/>
              </w:rPr>
              <w:t>1</w:t>
            </w:r>
          </w:p>
        </w:tc>
        <w:tc>
          <w:tcPr>
            <w:tcW w:w="680" w:type="dxa"/>
            <w:vAlign w:val="center"/>
          </w:tcPr>
          <w:p>
            <w:pPr>
              <w:jc w:val="center"/>
              <w:rPr>
                <w:rFonts w:ascii="宋体" w:hAnsi="宋体"/>
                <w:color w:val="000000"/>
                <w:szCs w:val="21"/>
                <w:highlight w:val="none"/>
              </w:rPr>
            </w:pPr>
            <w:r>
              <w:rPr>
                <w:rFonts w:hint="eastAsia" w:ascii="宋体" w:hAnsi="宋体"/>
                <w:color w:val="000000"/>
                <w:szCs w:val="21"/>
                <w:highlight w:val="none"/>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jc w:val="center"/>
              <w:rPr>
                <w:rFonts w:ascii="宋体" w:hAnsi="宋体" w:cs="宋体"/>
                <w:color w:val="000000"/>
                <w:szCs w:val="21"/>
                <w:highlight w:val="none"/>
              </w:rPr>
            </w:pPr>
            <w:r>
              <w:rPr>
                <w:rFonts w:hint="eastAsia" w:ascii="宋体" w:hAnsi="宋体"/>
                <w:color w:val="000000"/>
                <w:szCs w:val="21"/>
                <w:highlight w:val="none"/>
              </w:rPr>
              <w:t>11</w:t>
            </w:r>
          </w:p>
        </w:tc>
        <w:tc>
          <w:tcPr>
            <w:tcW w:w="710" w:type="dxa"/>
            <w:vAlign w:val="center"/>
          </w:tcPr>
          <w:p>
            <w:pPr>
              <w:jc w:val="left"/>
              <w:rPr>
                <w:rFonts w:ascii="宋体" w:hAnsi="宋体"/>
                <w:color w:val="000000"/>
                <w:szCs w:val="21"/>
                <w:highlight w:val="none"/>
              </w:rPr>
            </w:pPr>
            <w:r>
              <w:rPr>
                <w:rFonts w:hint="eastAsia" w:ascii="宋体" w:hAnsi="宋体"/>
                <w:color w:val="000000"/>
                <w:szCs w:val="21"/>
                <w:highlight w:val="none"/>
              </w:rPr>
              <w:t>综合布线及实施</w:t>
            </w:r>
          </w:p>
        </w:tc>
        <w:tc>
          <w:tcPr>
            <w:tcW w:w="8020" w:type="dxa"/>
            <w:vAlign w:val="center"/>
          </w:tcPr>
          <w:p>
            <w:pPr>
              <w:rPr>
                <w:rFonts w:ascii="宋体" w:hAnsi="宋体"/>
                <w:color w:val="000000"/>
                <w:szCs w:val="21"/>
                <w:highlight w:val="none"/>
              </w:rPr>
            </w:pPr>
            <w:r>
              <w:rPr>
                <w:rFonts w:hint="eastAsia" w:ascii="宋体" w:hAnsi="宋体"/>
                <w:color w:val="000000"/>
                <w:szCs w:val="21"/>
                <w:highlight w:val="none"/>
              </w:rPr>
              <w:t>挖沟、铺填、综合布线、系统集成等</w:t>
            </w:r>
          </w:p>
        </w:tc>
        <w:tc>
          <w:tcPr>
            <w:tcW w:w="660" w:type="dxa"/>
            <w:vAlign w:val="center"/>
          </w:tcPr>
          <w:p>
            <w:pPr>
              <w:jc w:val="center"/>
              <w:rPr>
                <w:rFonts w:ascii="宋体" w:hAnsi="宋体"/>
                <w:color w:val="000000"/>
                <w:szCs w:val="21"/>
                <w:highlight w:val="none"/>
              </w:rPr>
            </w:pPr>
            <w:r>
              <w:rPr>
                <w:rFonts w:hint="eastAsia" w:ascii="宋体" w:hAnsi="宋体"/>
                <w:color w:val="000000"/>
                <w:szCs w:val="21"/>
                <w:highlight w:val="none"/>
              </w:rPr>
              <w:t>1</w:t>
            </w:r>
          </w:p>
        </w:tc>
        <w:tc>
          <w:tcPr>
            <w:tcW w:w="680" w:type="dxa"/>
            <w:vAlign w:val="center"/>
          </w:tcPr>
          <w:p>
            <w:pPr>
              <w:jc w:val="center"/>
              <w:rPr>
                <w:rFonts w:ascii="宋体" w:hAnsi="宋体"/>
                <w:color w:val="000000"/>
                <w:szCs w:val="21"/>
                <w:highlight w:val="none"/>
              </w:rPr>
            </w:pPr>
            <w:r>
              <w:rPr>
                <w:rFonts w:hint="eastAsia" w:ascii="宋体" w:hAnsi="宋体"/>
                <w:color w:val="000000"/>
                <w:szCs w:val="21"/>
                <w:highlight w:val="none"/>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0" w:type="dxa"/>
            <w:gridSpan w:val="5"/>
            <w:vAlign w:val="center"/>
          </w:tcPr>
          <w:p>
            <w:pPr>
              <w:jc w:val="center"/>
              <w:rPr>
                <w:rFonts w:ascii="宋体" w:hAnsi="宋体"/>
                <w:color w:val="000000"/>
                <w:szCs w:val="21"/>
                <w:highlight w:val="none"/>
              </w:rPr>
            </w:pPr>
            <w:r>
              <w:rPr>
                <w:rFonts w:hint="eastAsia" w:ascii="宋体" w:hAnsi="宋体" w:eastAsia="宋体"/>
                <w:b/>
                <w:bCs/>
                <w:color w:val="000000"/>
                <w:szCs w:val="21"/>
                <w:highlight w:val="none"/>
              </w:rPr>
              <w:t>6、电子阅览室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widowControl/>
              <w:jc w:val="center"/>
              <w:rPr>
                <w:rFonts w:ascii="宋体" w:hAnsi="宋体"/>
                <w:color w:val="000000"/>
                <w:szCs w:val="21"/>
                <w:highlight w:val="none"/>
              </w:rPr>
            </w:pPr>
            <w:r>
              <w:rPr>
                <w:rFonts w:hint="eastAsia" w:ascii="宋体" w:hAnsi="宋体"/>
                <w:color w:val="000000"/>
                <w:szCs w:val="21"/>
                <w:highlight w:val="none"/>
              </w:rPr>
              <w:t>1</w:t>
            </w:r>
          </w:p>
        </w:tc>
        <w:tc>
          <w:tcPr>
            <w:tcW w:w="710" w:type="dxa"/>
            <w:vAlign w:val="center"/>
          </w:tcPr>
          <w:p>
            <w:pPr>
              <w:jc w:val="center"/>
              <w:rPr>
                <w:rFonts w:ascii="宋体" w:hAnsi="宋体"/>
                <w:color w:val="000000"/>
                <w:szCs w:val="21"/>
                <w:highlight w:val="none"/>
              </w:rPr>
            </w:pPr>
            <w:r>
              <w:rPr>
                <w:rFonts w:hint="eastAsia" w:ascii="宋体" w:hAnsi="宋体"/>
                <w:color w:val="000000"/>
                <w:szCs w:val="21"/>
                <w:highlight w:val="none"/>
              </w:rPr>
              <w:t>电子墨水屏阅读器</w:t>
            </w:r>
          </w:p>
        </w:tc>
        <w:tc>
          <w:tcPr>
            <w:tcW w:w="8020" w:type="dxa"/>
            <w:vAlign w:val="center"/>
          </w:tcPr>
          <w:p>
            <w:pPr>
              <w:jc w:val="left"/>
              <w:rPr>
                <w:rFonts w:ascii="宋体" w:hAnsi="宋体"/>
                <w:color w:val="000000"/>
                <w:szCs w:val="21"/>
                <w:highlight w:val="none"/>
              </w:rPr>
            </w:pPr>
            <w:r>
              <w:rPr>
                <w:rFonts w:hint="eastAsia" w:ascii="宋体" w:hAnsi="宋体"/>
                <w:color w:val="000000"/>
                <w:szCs w:val="21"/>
                <w:highlight w:val="none"/>
              </w:rPr>
              <w:t>1.屏幕：</w:t>
            </w:r>
            <w:r>
              <w:rPr>
                <w:rFonts w:hint="eastAsia"/>
                <w:highlight w:val="none"/>
              </w:rPr>
              <w:t>≥</w:t>
            </w:r>
            <w:r>
              <w:rPr>
                <w:rFonts w:hint="eastAsia" w:ascii="宋体" w:hAnsi="宋体"/>
                <w:color w:val="000000"/>
                <w:szCs w:val="21"/>
                <w:highlight w:val="none"/>
              </w:rPr>
              <w:t>10.3英寸电子墨水屏，分辨率</w:t>
            </w:r>
            <w:r>
              <w:rPr>
                <w:rFonts w:hint="eastAsia"/>
                <w:highlight w:val="none"/>
              </w:rPr>
              <w:t>≥</w:t>
            </w:r>
            <w:r>
              <w:rPr>
                <w:rFonts w:hint="eastAsia" w:ascii="宋体" w:hAnsi="宋体"/>
                <w:color w:val="000000"/>
                <w:szCs w:val="21"/>
                <w:highlight w:val="none"/>
              </w:rPr>
              <w:t>1404*1872；纯平防眩光护眼；</w:t>
            </w:r>
          </w:p>
          <w:p>
            <w:pPr>
              <w:jc w:val="left"/>
              <w:rPr>
                <w:rFonts w:ascii="宋体" w:hAnsi="宋体"/>
                <w:color w:val="000000"/>
                <w:szCs w:val="21"/>
                <w:highlight w:val="none"/>
              </w:rPr>
            </w:pPr>
            <w:r>
              <w:rPr>
                <w:rFonts w:hint="eastAsia" w:ascii="宋体" w:hAnsi="宋体"/>
                <w:color w:val="000000"/>
                <w:szCs w:val="21"/>
                <w:highlight w:val="none"/>
              </w:rPr>
              <w:t>2.自带无线无源电磁笔，自带两根替换笔芯； 4096级压感；笔尾橡皮擦功能；笔型可选择铅笔，钢笔，毛笔、书法钢笔、圆珠笔5种笔迹；不同笔迹可分不同等级线宽选择，最多可达20级粗细线宽，并提供设置封面、设置分类、设置底纹、预览、插入空行、转文字、导出PDF、导出图片等实用功能；</w:t>
            </w:r>
          </w:p>
          <w:p>
            <w:pPr>
              <w:jc w:val="left"/>
              <w:rPr>
                <w:rFonts w:ascii="宋体" w:hAnsi="宋体"/>
                <w:color w:val="000000"/>
                <w:szCs w:val="21"/>
                <w:highlight w:val="none"/>
              </w:rPr>
            </w:pPr>
            <w:r>
              <w:rPr>
                <w:rFonts w:hint="eastAsia" w:ascii="宋体" w:hAnsi="宋体"/>
                <w:color w:val="000000"/>
                <w:szCs w:val="21"/>
                <w:highlight w:val="none"/>
              </w:rPr>
              <w:t>3. 前置光源：支持冷暖双色前置光源，冷光、暖光可单独调节；</w:t>
            </w:r>
          </w:p>
          <w:p>
            <w:pPr>
              <w:jc w:val="left"/>
              <w:rPr>
                <w:rFonts w:ascii="宋体" w:hAnsi="宋体"/>
                <w:color w:val="000000"/>
                <w:szCs w:val="21"/>
                <w:highlight w:val="none"/>
              </w:rPr>
            </w:pPr>
            <w:r>
              <w:rPr>
                <w:rFonts w:hint="eastAsia" w:ascii="宋体" w:hAnsi="宋体"/>
                <w:color w:val="000000"/>
                <w:szCs w:val="21"/>
                <w:highlight w:val="none"/>
              </w:rPr>
              <w:t>4.CPU：</w:t>
            </w:r>
            <w:r>
              <w:rPr>
                <w:rFonts w:hint="eastAsia"/>
                <w:highlight w:val="none"/>
              </w:rPr>
              <w:t>≥</w:t>
            </w:r>
            <w:r>
              <w:rPr>
                <w:rFonts w:hint="eastAsia" w:ascii="宋体" w:hAnsi="宋体"/>
                <w:color w:val="000000"/>
                <w:szCs w:val="21"/>
                <w:highlight w:val="none"/>
              </w:rPr>
              <w:t>4核1.8GHz；RAM：</w:t>
            </w:r>
            <w:r>
              <w:rPr>
                <w:rFonts w:hint="eastAsia"/>
                <w:highlight w:val="none"/>
              </w:rPr>
              <w:t>≥</w:t>
            </w:r>
            <w:r>
              <w:rPr>
                <w:rFonts w:hint="eastAsia" w:ascii="宋体" w:hAnsi="宋体"/>
                <w:color w:val="000000"/>
                <w:szCs w:val="21"/>
                <w:highlight w:val="none"/>
              </w:rPr>
              <w:t>2GB；内置存储：</w:t>
            </w:r>
            <w:r>
              <w:rPr>
                <w:rFonts w:hint="eastAsia"/>
                <w:highlight w:val="none"/>
              </w:rPr>
              <w:t>≥</w:t>
            </w:r>
            <w:r>
              <w:rPr>
                <w:rFonts w:hint="eastAsia" w:ascii="宋体" w:hAnsi="宋体"/>
                <w:color w:val="000000"/>
                <w:szCs w:val="21"/>
                <w:highlight w:val="none"/>
              </w:rPr>
              <w:t>32G；Android11.0；</w:t>
            </w:r>
          </w:p>
          <w:p>
            <w:pPr>
              <w:jc w:val="left"/>
              <w:rPr>
                <w:rFonts w:ascii="宋体" w:hAnsi="宋体"/>
                <w:color w:val="000000"/>
                <w:szCs w:val="21"/>
                <w:highlight w:val="none"/>
              </w:rPr>
            </w:pPr>
            <w:r>
              <w:rPr>
                <w:rFonts w:hint="eastAsia" w:ascii="宋体" w:hAnsi="宋体"/>
                <w:color w:val="000000"/>
                <w:szCs w:val="21"/>
                <w:highlight w:val="none"/>
              </w:rPr>
              <w:t>5.支持Micro SD卡，最大支持128G；</w:t>
            </w:r>
          </w:p>
          <w:p>
            <w:pPr>
              <w:jc w:val="left"/>
              <w:rPr>
                <w:rFonts w:ascii="宋体" w:hAnsi="宋体"/>
                <w:color w:val="000000"/>
                <w:szCs w:val="21"/>
                <w:highlight w:val="none"/>
              </w:rPr>
            </w:pPr>
            <w:r>
              <w:rPr>
                <w:rFonts w:hint="eastAsia" w:ascii="宋体" w:hAnsi="宋体"/>
                <w:color w:val="000000"/>
                <w:szCs w:val="21"/>
                <w:highlight w:val="none"/>
              </w:rPr>
              <w:t>6.WIFI：支持IEEE 802.11a/b/g/n/ac 2.4GHz/5GHz Dual-Band；传输接口：TYPE-C（数字耳机/充电/数据传输）；支持蓝牙/OTG；</w:t>
            </w:r>
          </w:p>
          <w:p>
            <w:pPr>
              <w:jc w:val="left"/>
              <w:rPr>
                <w:rFonts w:ascii="宋体" w:hAnsi="宋体"/>
                <w:color w:val="000000"/>
                <w:szCs w:val="21"/>
                <w:highlight w:val="none"/>
              </w:rPr>
            </w:pPr>
            <w:r>
              <w:rPr>
                <w:rFonts w:hint="eastAsia" w:ascii="宋体" w:hAnsi="宋体"/>
                <w:color w:val="000000"/>
                <w:szCs w:val="21"/>
                <w:highlight w:val="none"/>
              </w:rPr>
              <w:t>7.音频接口：TYPE-C；内置扬声器；支持MIC；</w:t>
            </w:r>
          </w:p>
          <w:p>
            <w:pPr>
              <w:jc w:val="left"/>
              <w:rPr>
                <w:rFonts w:ascii="宋体" w:hAnsi="宋体"/>
                <w:color w:val="000000"/>
                <w:szCs w:val="21"/>
                <w:highlight w:val="none"/>
              </w:rPr>
            </w:pPr>
            <w:r>
              <w:rPr>
                <w:rFonts w:hint="eastAsia" w:ascii="宋体" w:hAnsi="宋体"/>
                <w:color w:val="000000"/>
                <w:szCs w:val="21"/>
                <w:highlight w:val="none"/>
              </w:rPr>
              <w:t>8.电池类型；锂电池，≧4000mAh；</w:t>
            </w:r>
          </w:p>
          <w:p>
            <w:pPr>
              <w:jc w:val="left"/>
              <w:rPr>
                <w:rFonts w:ascii="宋体" w:hAnsi="宋体"/>
                <w:color w:val="000000"/>
                <w:szCs w:val="21"/>
                <w:highlight w:val="none"/>
              </w:rPr>
            </w:pPr>
            <w:r>
              <w:rPr>
                <w:rFonts w:hint="eastAsia" w:ascii="宋体" w:hAnsi="宋体"/>
                <w:color w:val="000000"/>
                <w:szCs w:val="21"/>
                <w:highlight w:val="none"/>
              </w:rPr>
              <w:t>9.格式支持：支持用户查看阅读OFDX、TXT、HTXT、PDF、HTML、EPUB、DOC、DOCX、PPT、PPTX、XLS、XLSX等文档格式；便捷浏览 JPG、BMP、PNG、 GIF 格式的图像文件；</w:t>
            </w:r>
          </w:p>
          <w:p>
            <w:pPr>
              <w:jc w:val="left"/>
              <w:rPr>
                <w:rFonts w:ascii="宋体" w:hAnsi="宋体"/>
                <w:color w:val="000000"/>
                <w:szCs w:val="21"/>
                <w:highlight w:val="none"/>
              </w:rPr>
            </w:pPr>
            <w:r>
              <w:rPr>
                <w:rFonts w:hint="eastAsia" w:ascii="宋体" w:hAnsi="宋体"/>
                <w:color w:val="000000"/>
                <w:szCs w:val="21"/>
                <w:highlight w:val="none"/>
              </w:rPr>
              <w:t>10.内置工具：柯林斯字典、古汉语词典、新华词典等，可随时查看注释；可以直接输入要查询的内容进行检索学习，也可在阅读过程中长按选中文字调用词典功能；支持生词本功能，在阅读及查词典使用过程中，可以长按加入生词本；</w:t>
            </w:r>
          </w:p>
          <w:p>
            <w:pPr>
              <w:jc w:val="left"/>
              <w:rPr>
                <w:rFonts w:ascii="宋体" w:hAnsi="宋体"/>
                <w:color w:val="000000"/>
                <w:szCs w:val="21"/>
                <w:highlight w:val="none"/>
              </w:rPr>
            </w:pPr>
            <w:r>
              <w:rPr>
                <w:rFonts w:hint="eastAsia" w:ascii="宋体" w:hAnsi="宋体"/>
                <w:color w:val="000000"/>
                <w:szCs w:val="21"/>
                <w:highlight w:val="none"/>
              </w:rPr>
              <w:t>11.配有保护皮套，具有磁性唤醒屏幕功能；</w:t>
            </w:r>
          </w:p>
          <w:p>
            <w:pPr>
              <w:jc w:val="left"/>
              <w:rPr>
                <w:rFonts w:ascii="宋体" w:hAnsi="宋体"/>
                <w:color w:val="000000"/>
                <w:szCs w:val="21"/>
                <w:highlight w:val="none"/>
              </w:rPr>
            </w:pPr>
            <w:r>
              <w:rPr>
                <w:rFonts w:hint="eastAsia" w:ascii="宋体" w:hAnsi="宋体"/>
                <w:color w:val="000000"/>
                <w:szCs w:val="21"/>
                <w:highlight w:val="none"/>
              </w:rPr>
              <w:t>12.支持关机后在屏幕上显示关机时设备剩余电量，便于设备使用管理；</w:t>
            </w:r>
          </w:p>
          <w:p>
            <w:pPr>
              <w:jc w:val="left"/>
              <w:rPr>
                <w:rFonts w:ascii="宋体" w:hAnsi="宋体"/>
                <w:color w:val="000000"/>
                <w:szCs w:val="21"/>
                <w:highlight w:val="none"/>
              </w:rPr>
            </w:pPr>
            <w:r>
              <w:rPr>
                <w:rFonts w:hint="eastAsia" w:ascii="宋体" w:hAnsi="宋体"/>
                <w:color w:val="000000"/>
                <w:szCs w:val="21"/>
                <w:highlight w:val="none"/>
              </w:rPr>
              <w:t>13.系统接口开放，可以安装第三方APP如：53伴学，当当云阅读，同时可以依据用户需求关闭或卸载。</w:t>
            </w:r>
          </w:p>
        </w:tc>
        <w:tc>
          <w:tcPr>
            <w:tcW w:w="660" w:type="dxa"/>
            <w:vAlign w:val="center"/>
          </w:tcPr>
          <w:p>
            <w:pPr>
              <w:jc w:val="center"/>
              <w:rPr>
                <w:rFonts w:ascii="宋体" w:hAnsi="宋体"/>
                <w:color w:val="000000"/>
                <w:szCs w:val="21"/>
                <w:highlight w:val="none"/>
              </w:rPr>
            </w:pPr>
            <w:r>
              <w:rPr>
                <w:rFonts w:hint="eastAsia" w:ascii="宋体" w:hAnsi="宋体"/>
                <w:color w:val="000000"/>
                <w:szCs w:val="21"/>
                <w:highlight w:val="none"/>
              </w:rPr>
              <w:t>20</w:t>
            </w:r>
          </w:p>
        </w:tc>
        <w:tc>
          <w:tcPr>
            <w:tcW w:w="680" w:type="dxa"/>
            <w:vAlign w:val="center"/>
          </w:tcPr>
          <w:p>
            <w:pPr>
              <w:jc w:val="center"/>
              <w:rPr>
                <w:rFonts w:ascii="宋体" w:hAnsi="宋体"/>
                <w:color w:val="000000"/>
                <w:szCs w:val="21"/>
                <w:highlight w:val="none"/>
              </w:rPr>
            </w:pPr>
            <w:r>
              <w:rPr>
                <w:rFonts w:hint="eastAsia" w:ascii="宋体" w:hAnsi="宋体"/>
                <w:color w:val="00000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jc w:val="center"/>
              <w:rPr>
                <w:rFonts w:ascii="宋体" w:hAnsi="宋体"/>
                <w:color w:val="000000"/>
                <w:szCs w:val="21"/>
                <w:highlight w:val="none"/>
              </w:rPr>
            </w:pPr>
            <w:r>
              <w:rPr>
                <w:rFonts w:hint="eastAsia" w:ascii="宋体" w:hAnsi="宋体"/>
                <w:color w:val="000000"/>
                <w:szCs w:val="21"/>
                <w:highlight w:val="none"/>
              </w:rPr>
              <w:t>2</w:t>
            </w:r>
          </w:p>
        </w:tc>
        <w:tc>
          <w:tcPr>
            <w:tcW w:w="710" w:type="dxa"/>
            <w:vAlign w:val="center"/>
          </w:tcPr>
          <w:p>
            <w:pPr>
              <w:jc w:val="center"/>
              <w:rPr>
                <w:rFonts w:ascii="宋体" w:hAnsi="宋体"/>
                <w:color w:val="000000"/>
                <w:szCs w:val="21"/>
                <w:highlight w:val="none"/>
              </w:rPr>
            </w:pPr>
            <w:r>
              <w:rPr>
                <w:rFonts w:hint="eastAsia" w:ascii="宋体" w:hAnsi="宋体"/>
                <w:color w:val="000000"/>
                <w:szCs w:val="21"/>
                <w:highlight w:val="none"/>
              </w:rPr>
              <w:t>电子阅读资源管理系统</w:t>
            </w:r>
          </w:p>
        </w:tc>
        <w:tc>
          <w:tcPr>
            <w:tcW w:w="8020" w:type="dxa"/>
            <w:vAlign w:val="center"/>
          </w:tcPr>
          <w:p>
            <w:pPr>
              <w:jc w:val="left"/>
              <w:rPr>
                <w:rFonts w:ascii="宋体" w:hAnsi="宋体"/>
                <w:color w:val="000000"/>
                <w:szCs w:val="21"/>
                <w:highlight w:val="none"/>
              </w:rPr>
            </w:pPr>
            <w:r>
              <w:rPr>
                <w:rFonts w:hint="eastAsia" w:ascii="宋体" w:hAnsi="宋体"/>
                <w:color w:val="000000"/>
                <w:szCs w:val="21"/>
                <w:highlight w:val="none"/>
              </w:rPr>
              <w:t>(一)智慧阅读系统功能参数</w:t>
            </w:r>
          </w:p>
          <w:p>
            <w:pPr>
              <w:jc w:val="left"/>
              <w:rPr>
                <w:rFonts w:ascii="宋体" w:hAnsi="宋体"/>
                <w:color w:val="000000"/>
                <w:szCs w:val="21"/>
                <w:highlight w:val="none"/>
              </w:rPr>
            </w:pPr>
            <w:r>
              <w:rPr>
                <w:rFonts w:hint="eastAsia" w:ascii="宋体" w:hAnsi="宋体"/>
                <w:color w:val="000000"/>
                <w:szCs w:val="21"/>
                <w:highlight w:val="none"/>
              </w:rPr>
              <w:t>一、数字阅读基础管理</w:t>
            </w:r>
          </w:p>
          <w:p>
            <w:pPr>
              <w:jc w:val="left"/>
              <w:rPr>
                <w:rFonts w:ascii="宋体" w:hAnsi="宋体"/>
                <w:color w:val="000000"/>
                <w:szCs w:val="21"/>
                <w:highlight w:val="none"/>
              </w:rPr>
            </w:pPr>
            <w:r>
              <w:rPr>
                <w:rFonts w:hint="eastAsia" w:ascii="宋体" w:hAnsi="宋体"/>
                <w:color w:val="000000"/>
                <w:szCs w:val="21"/>
                <w:highlight w:val="none"/>
              </w:rPr>
              <w:t>1.支持管理员、教师、学生分角色登录，匹配对应角色不同权限的信息与功能；</w:t>
            </w:r>
          </w:p>
          <w:p>
            <w:pPr>
              <w:jc w:val="left"/>
              <w:rPr>
                <w:rFonts w:ascii="宋体" w:hAnsi="宋体"/>
                <w:color w:val="000000"/>
                <w:szCs w:val="21"/>
                <w:highlight w:val="none"/>
              </w:rPr>
            </w:pPr>
            <w:r>
              <w:rPr>
                <w:rFonts w:hint="eastAsia" w:ascii="宋体" w:hAnsi="宋体"/>
                <w:color w:val="000000"/>
                <w:szCs w:val="21"/>
                <w:highlight w:val="none"/>
              </w:rPr>
              <w:t>2.支持教师、班级和学生的关联关系，其中教师可以创建多个班级，一个班级可以关联一个班主任和多个任课教师，一个学生仅可关联一个班级；</w:t>
            </w:r>
          </w:p>
          <w:p>
            <w:pPr>
              <w:jc w:val="left"/>
              <w:rPr>
                <w:rFonts w:ascii="宋体" w:hAnsi="宋体"/>
                <w:color w:val="000000"/>
                <w:szCs w:val="21"/>
                <w:highlight w:val="none"/>
              </w:rPr>
            </w:pPr>
            <w:r>
              <w:rPr>
                <w:rFonts w:hint="eastAsia" w:ascii="宋体" w:hAnsi="宋体"/>
                <w:color w:val="000000"/>
                <w:szCs w:val="21"/>
                <w:highlight w:val="none"/>
              </w:rPr>
              <w:t>3.支持班级信息管理、图书馆权限管理，以及学生账号批量导入；</w:t>
            </w:r>
          </w:p>
          <w:p>
            <w:pPr>
              <w:jc w:val="left"/>
              <w:rPr>
                <w:rFonts w:ascii="宋体" w:hAnsi="宋体"/>
                <w:color w:val="000000"/>
                <w:szCs w:val="21"/>
                <w:highlight w:val="none"/>
              </w:rPr>
            </w:pPr>
            <w:r>
              <w:rPr>
                <w:rFonts w:hint="eastAsia" w:ascii="宋体" w:hAnsi="宋体"/>
                <w:color w:val="000000"/>
                <w:szCs w:val="21"/>
                <w:highlight w:val="none"/>
              </w:rPr>
              <w:t>4.支持学校管理员查看全校阅读数据报告，包含：总浏览书籍本数、总阅读字数、总浏览时长、总学生人数、阅读量分析图、本周阅读排行（前十）、本月阅读排行（前十）、最受欢迎图书排行（前十）、能力分析图、答题正确率等；</w:t>
            </w:r>
          </w:p>
          <w:p>
            <w:pPr>
              <w:jc w:val="left"/>
              <w:rPr>
                <w:rFonts w:ascii="宋体" w:hAnsi="宋体"/>
                <w:color w:val="000000"/>
                <w:szCs w:val="21"/>
                <w:highlight w:val="none"/>
              </w:rPr>
            </w:pPr>
            <w:r>
              <w:rPr>
                <w:rFonts w:hint="eastAsia" w:ascii="宋体" w:hAnsi="宋体"/>
                <w:color w:val="000000"/>
                <w:szCs w:val="21"/>
                <w:highlight w:val="none"/>
              </w:rPr>
              <w:t>5.支持学校管理员账号查看同年级下各个班级的数据对比分析；</w:t>
            </w:r>
          </w:p>
          <w:p>
            <w:pPr>
              <w:jc w:val="left"/>
              <w:rPr>
                <w:rFonts w:ascii="宋体" w:hAnsi="宋体"/>
                <w:color w:val="000000"/>
                <w:szCs w:val="21"/>
                <w:highlight w:val="none"/>
              </w:rPr>
            </w:pPr>
            <w:r>
              <w:rPr>
                <w:rFonts w:hint="eastAsia" w:ascii="宋体" w:hAnsi="宋体"/>
                <w:color w:val="000000"/>
                <w:szCs w:val="21"/>
                <w:highlight w:val="none"/>
              </w:rPr>
              <w:t>6.支持学校管理员账号查看各个班级阅读数据汇总列表及班级学生阅读数据列表；</w:t>
            </w:r>
          </w:p>
          <w:p>
            <w:pPr>
              <w:jc w:val="left"/>
              <w:rPr>
                <w:rFonts w:ascii="宋体" w:hAnsi="宋体"/>
                <w:color w:val="000000"/>
                <w:szCs w:val="21"/>
                <w:highlight w:val="none"/>
              </w:rPr>
            </w:pPr>
            <w:r>
              <w:rPr>
                <w:rFonts w:hint="eastAsia" w:ascii="宋体" w:hAnsi="宋体"/>
                <w:color w:val="000000"/>
                <w:szCs w:val="21"/>
                <w:highlight w:val="none"/>
              </w:rPr>
              <w:t>7.支持学校管理员账号查看评测数据，分析维度包含：试题、年级、班级、学生；</w:t>
            </w:r>
          </w:p>
          <w:p>
            <w:pPr>
              <w:jc w:val="left"/>
              <w:rPr>
                <w:rFonts w:ascii="宋体" w:hAnsi="宋体"/>
                <w:color w:val="000000"/>
                <w:szCs w:val="21"/>
                <w:highlight w:val="none"/>
              </w:rPr>
            </w:pPr>
            <w:r>
              <w:rPr>
                <w:rFonts w:hint="eastAsia" w:ascii="宋体" w:hAnsi="宋体"/>
                <w:color w:val="000000"/>
                <w:szCs w:val="21"/>
                <w:highlight w:val="none"/>
              </w:rPr>
              <w:t>8.支持学校管理员账号导出任意时间段班级阅读报告，导出格式为XLS，导出的阅读报告内容包含但不限于：班级数据统计、班级排行、能力分析、最受欢迎图书；</w:t>
            </w:r>
          </w:p>
          <w:p>
            <w:pPr>
              <w:jc w:val="left"/>
              <w:rPr>
                <w:rFonts w:ascii="宋体" w:hAnsi="宋体"/>
                <w:color w:val="000000"/>
                <w:szCs w:val="21"/>
                <w:highlight w:val="none"/>
              </w:rPr>
            </w:pPr>
            <w:r>
              <w:rPr>
                <w:rFonts w:hint="eastAsia" w:ascii="宋体" w:hAnsi="宋体"/>
                <w:color w:val="000000"/>
                <w:szCs w:val="21"/>
                <w:highlight w:val="none"/>
              </w:rPr>
              <w:t>9.支持学校管理员账号管理资源，包含图书资源上传和试题资源上传；</w:t>
            </w:r>
          </w:p>
          <w:p>
            <w:pPr>
              <w:jc w:val="left"/>
              <w:rPr>
                <w:rFonts w:ascii="宋体" w:hAnsi="宋体"/>
                <w:color w:val="000000"/>
                <w:szCs w:val="21"/>
                <w:highlight w:val="none"/>
              </w:rPr>
            </w:pPr>
            <w:r>
              <w:rPr>
                <w:rFonts w:hint="eastAsia" w:ascii="宋体" w:hAnsi="宋体"/>
                <w:color w:val="000000"/>
                <w:szCs w:val="21"/>
                <w:highlight w:val="none"/>
              </w:rPr>
              <w:t>二、教师阅读管理与发布</w:t>
            </w:r>
          </w:p>
          <w:p>
            <w:pPr>
              <w:jc w:val="left"/>
              <w:rPr>
                <w:rFonts w:ascii="宋体" w:hAnsi="宋体"/>
                <w:color w:val="000000"/>
                <w:szCs w:val="21"/>
                <w:highlight w:val="none"/>
              </w:rPr>
            </w:pPr>
            <w:r>
              <w:rPr>
                <w:rFonts w:hint="eastAsia" w:ascii="宋体" w:hAnsi="宋体"/>
                <w:color w:val="000000"/>
                <w:szCs w:val="21"/>
                <w:highlight w:val="none"/>
              </w:rPr>
              <w:t>1.支持教师账号管理班级图书馆权限，关闭图书馆功能时，学生只能阅读分级图书和阅读任务指定图书；</w:t>
            </w:r>
          </w:p>
          <w:p>
            <w:pPr>
              <w:jc w:val="left"/>
              <w:rPr>
                <w:rFonts w:ascii="宋体" w:hAnsi="宋体"/>
                <w:color w:val="000000"/>
                <w:szCs w:val="21"/>
                <w:highlight w:val="none"/>
              </w:rPr>
            </w:pPr>
            <w:r>
              <w:rPr>
                <w:rFonts w:hint="eastAsia" w:ascii="宋体" w:hAnsi="宋体"/>
                <w:color w:val="000000"/>
                <w:szCs w:val="21"/>
                <w:highlight w:val="none"/>
              </w:rPr>
              <w:t>2.支持教师发布图书阅读任务给所管理班级的学生，指定图书、完成截止时间、任务内容，并可以设置任务评论区的评论、点赞的开关权限，设置开的情况下，学生可以在该评论区内自由讨论，设置关的情况下，评论区内限制学生发言；</w:t>
            </w:r>
          </w:p>
          <w:p>
            <w:pPr>
              <w:jc w:val="left"/>
              <w:rPr>
                <w:rFonts w:ascii="宋体" w:hAnsi="宋体"/>
                <w:color w:val="000000"/>
                <w:szCs w:val="21"/>
                <w:highlight w:val="none"/>
              </w:rPr>
            </w:pPr>
            <w:r>
              <w:rPr>
                <w:rFonts w:hint="eastAsia" w:ascii="宋体" w:hAnsi="宋体"/>
                <w:color w:val="000000"/>
                <w:szCs w:val="21"/>
                <w:highlight w:val="none"/>
              </w:rPr>
              <w:t>3.支持教师在任务下添加辅助教学文档，并支持学生端的查看，文档格式支持包含常用文档格式，例如word、txt、pdf等；</w:t>
            </w:r>
          </w:p>
          <w:p>
            <w:pPr>
              <w:jc w:val="left"/>
              <w:rPr>
                <w:rFonts w:ascii="宋体" w:hAnsi="宋体"/>
                <w:color w:val="000000"/>
                <w:szCs w:val="21"/>
                <w:highlight w:val="none"/>
              </w:rPr>
            </w:pPr>
            <w:r>
              <w:rPr>
                <w:rFonts w:hint="eastAsia" w:ascii="宋体" w:hAnsi="宋体"/>
                <w:color w:val="000000"/>
                <w:szCs w:val="21"/>
                <w:highlight w:val="none"/>
              </w:rPr>
              <w:t>5.支持教师查看班级阅读分析报告，阅读分析报告包含但不限于如下内容：有效阅读字数、阅读图书数量、能力分析、喜欢分析、题目正确率、阅读建议、勋章数量、阅读积分等；支持查看班级整体阅读数据排行榜；</w:t>
            </w:r>
          </w:p>
          <w:p>
            <w:pPr>
              <w:jc w:val="left"/>
              <w:rPr>
                <w:rFonts w:ascii="宋体" w:hAnsi="宋体"/>
                <w:color w:val="000000"/>
                <w:szCs w:val="21"/>
                <w:highlight w:val="none"/>
              </w:rPr>
            </w:pPr>
            <w:r>
              <w:rPr>
                <w:rFonts w:hint="eastAsia" w:ascii="宋体" w:hAnsi="宋体"/>
                <w:color w:val="000000"/>
                <w:szCs w:val="21"/>
                <w:highlight w:val="none"/>
              </w:rPr>
              <w:t>6.支持教师查看每个学生的阅读报告，包含：该学生总阅读图书数量、总阅读时间、总阅读字数、最近7天的阅读情况、个人喜爱偏好、个人测试通过率及阅读能力等；</w:t>
            </w:r>
          </w:p>
          <w:p>
            <w:pPr>
              <w:jc w:val="left"/>
              <w:rPr>
                <w:rFonts w:ascii="宋体" w:hAnsi="宋体"/>
                <w:color w:val="000000"/>
                <w:szCs w:val="21"/>
                <w:highlight w:val="none"/>
              </w:rPr>
            </w:pPr>
            <w:r>
              <w:rPr>
                <w:rFonts w:hint="eastAsia" w:ascii="宋体" w:hAnsi="宋体"/>
                <w:color w:val="000000"/>
                <w:szCs w:val="21"/>
                <w:highlight w:val="none"/>
              </w:rPr>
              <w:t>7.支持教师账号导出任意时间段班级阅读报告，导出格式为XLS，导出的阅读报告内容包含但不限于：班级数据统计、班级排行、能力分析、最受欢迎图书等；</w:t>
            </w:r>
          </w:p>
          <w:p>
            <w:pPr>
              <w:jc w:val="left"/>
              <w:rPr>
                <w:rFonts w:ascii="宋体" w:hAnsi="宋体"/>
                <w:color w:val="000000"/>
                <w:szCs w:val="21"/>
                <w:highlight w:val="none"/>
              </w:rPr>
            </w:pPr>
            <w:r>
              <w:rPr>
                <w:rFonts w:hint="eastAsia" w:ascii="宋体" w:hAnsi="宋体"/>
                <w:color w:val="000000"/>
                <w:szCs w:val="21"/>
                <w:highlight w:val="none"/>
              </w:rPr>
              <w:t>8.支持教师查看学生提交的阅读成果，包含但不限于读后感、读书笔记；查看评论区内容以及对评论区的管理；对任务进行文字点评、勋章奖励等操作；查看学生阅读痕迹，包含但不限于：读书动态、评论、书签、借阅书籍、阅读进度等；</w:t>
            </w:r>
          </w:p>
          <w:p>
            <w:pPr>
              <w:jc w:val="left"/>
              <w:rPr>
                <w:rFonts w:ascii="宋体" w:hAnsi="宋体"/>
                <w:color w:val="000000"/>
                <w:szCs w:val="21"/>
                <w:highlight w:val="none"/>
              </w:rPr>
            </w:pPr>
            <w:r>
              <w:rPr>
                <w:rFonts w:hint="eastAsia" w:ascii="宋体" w:hAnsi="宋体"/>
                <w:color w:val="000000"/>
                <w:szCs w:val="21"/>
                <w:highlight w:val="none"/>
              </w:rPr>
              <w:t>9.教师可以自主编辑资源，资源内容包含：文本、文件（TXT、HTXT、PDF、EPUB、DOC、DOCX均可）和试题（单选和多选），可将资源发布给指定班级。系统支持自动判定试题对错，教师可讲解和查看已发布资源的答题情况；</w:t>
            </w:r>
          </w:p>
          <w:p>
            <w:pPr>
              <w:jc w:val="left"/>
              <w:rPr>
                <w:rFonts w:ascii="宋体" w:hAnsi="宋体"/>
                <w:color w:val="000000"/>
                <w:szCs w:val="21"/>
                <w:highlight w:val="none"/>
              </w:rPr>
            </w:pPr>
            <w:r>
              <w:rPr>
                <w:rFonts w:hint="eastAsia" w:ascii="宋体" w:hAnsi="宋体"/>
                <w:color w:val="000000"/>
                <w:szCs w:val="21"/>
                <w:highlight w:val="none"/>
              </w:rPr>
              <w:t>三、学生阅读交互</w:t>
            </w:r>
          </w:p>
          <w:p>
            <w:pPr>
              <w:jc w:val="left"/>
              <w:rPr>
                <w:rFonts w:ascii="宋体" w:hAnsi="宋体"/>
                <w:color w:val="000000"/>
                <w:szCs w:val="21"/>
                <w:highlight w:val="none"/>
              </w:rPr>
            </w:pPr>
            <w:r>
              <w:rPr>
                <w:rFonts w:hint="eastAsia" w:ascii="宋体" w:hAnsi="宋体"/>
                <w:color w:val="000000"/>
                <w:szCs w:val="21"/>
                <w:highlight w:val="none"/>
              </w:rPr>
              <w:t>1.支持图书搜索功能，用户可以用书名或作者进行搜索，且系统自动保留最近五次的搜索历史；</w:t>
            </w:r>
          </w:p>
          <w:p>
            <w:pPr>
              <w:jc w:val="left"/>
              <w:rPr>
                <w:rFonts w:ascii="宋体" w:hAnsi="宋体"/>
                <w:color w:val="000000"/>
                <w:szCs w:val="21"/>
                <w:highlight w:val="none"/>
              </w:rPr>
            </w:pPr>
            <w:r>
              <w:rPr>
                <w:rFonts w:hint="eastAsia" w:ascii="宋体" w:hAnsi="宋体"/>
                <w:color w:val="000000"/>
                <w:szCs w:val="21"/>
                <w:highlight w:val="none"/>
              </w:rPr>
              <w:t>2.支持图书在线阅读和离线阅读，支持图书收藏及图书收藏管理；</w:t>
            </w:r>
          </w:p>
          <w:p>
            <w:pPr>
              <w:jc w:val="left"/>
              <w:rPr>
                <w:rFonts w:ascii="宋体" w:hAnsi="宋体"/>
                <w:color w:val="000000"/>
                <w:szCs w:val="21"/>
                <w:highlight w:val="none"/>
              </w:rPr>
            </w:pPr>
            <w:r>
              <w:rPr>
                <w:rFonts w:hint="eastAsia" w:ascii="宋体" w:hAnsi="宋体"/>
                <w:color w:val="000000"/>
                <w:szCs w:val="21"/>
                <w:highlight w:val="none"/>
              </w:rPr>
              <w:t>3.支持学生查看已发布的图书阅读任务及辅助教学文档，包含但不限于以下信息：图书名称、完成截止时间、任务内容、图书附件、教师评价、勋章个数、读后感，并可以支持任务评论区的评论、点赞等交互功能；</w:t>
            </w:r>
          </w:p>
          <w:p>
            <w:pPr>
              <w:jc w:val="left"/>
              <w:rPr>
                <w:rFonts w:ascii="宋体" w:hAnsi="宋体"/>
                <w:color w:val="000000"/>
                <w:szCs w:val="21"/>
                <w:highlight w:val="none"/>
              </w:rPr>
            </w:pPr>
            <w:r>
              <w:rPr>
                <w:rFonts w:hint="eastAsia" w:ascii="宋体" w:hAnsi="宋体"/>
                <w:color w:val="000000"/>
                <w:szCs w:val="21"/>
                <w:highlight w:val="none"/>
              </w:rPr>
              <w:t>4.学生可查看教师发布的资源，资源内容可包含：文本、文件（TXT、HTXT、PDF、EPUB、DOC、DOCX均可）和试题（单选和多选），系统支持试题自动判罚，学生可以阅读、答题和查看作答分析；</w:t>
            </w:r>
          </w:p>
          <w:p>
            <w:pPr>
              <w:jc w:val="left"/>
              <w:rPr>
                <w:rFonts w:ascii="宋体" w:hAnsi="宋体"/>
                <w:color w:val="000000"/>
                <w:szCs w:val="21"/>
                <w:highlight w:val="none"/>
              </w:rPr>
            </w:pPr>
            <w:r>
              <w:rPr>
                <w:rFonts w:hint="eastAsia" w:ascii="宋体" w:hAnsi="宋体"/>
                <w:color w:val="000000"/>
                <w:szCs w:val="21"/>
                <w:highlight w:val="none"/>
              </w:rPr>
              <w:t>四、学生阅读能力评测</w:t>
            </w:r>
          </w:p>
          <w:p>
            <w:pPr>
              <w:jc w:val="left"/>
              <w:rPr>
                <w:rFonts w:ascii="宋体" w:hAnsi="宋体"/>
                <w:color w:val="000000"/>
                <w:szCs w:val="21"/>
                <w:highlight w:val="none"/>
              </w:rPr>
            </w:pPr>
            <w:r>
              <w:rPr>
                <w:rFonts w:hint="eastAsia" w:ascii="宋体" w:hAnsi="宋体"/>
                <w:color w:val="000000"/>
                <w:szCs w:val="21"/>
                <w:highlight w:val="none"/>
              </w:rPr>
              <w:t>1.支持图书评测功能，和以评测结果为依据的阅读能力评价，其中阅读能力评价维度包含但不限于：字词掌握、信息提取、概括归纳、思维拓展、赏析共情、创意感悟；</w:t>
            </w:r>
          </w:p>
          <w:p>
            <w:pPr>
              <w:jc w:val="left"/>
              <w:rPr>
                <w:rFonts w:ascii="宋体" w:hAnsi="宋体"/>
                <w:color w:val="000000"/>
                <w:szCs w:val="21"/>
                <w:highlight w:val="none"/>
              </w:rPr>
            </w:pPr>
            <w:r>
              <w:rPr>
                <w:rFonts w:hint="eastAsia" w:ascii="宋体" w:hAnsi="宋体"/>
                <w:color w:val="000000"/>
                <w:szCs w:val="21"/>
                <w:highlight w:val="none"/>
              </w:rPr>
              <w:t>2.教师可查看学生个人、班级以及全校阅读数据分析，为阅读教学工作提供详细数据支撑；</w:t>
            </w:r>
          </w:p>
          <w:p>
            <w:pPr>
              <w:jc w:val="left"/>
              <w:rPr>
                <w:rFonts w:ascii="宋体" w:hAnsi="宋体"/>
                <w:color w:val="000000"/>
                <w:szCs w:val="21"/>
                <w:highlight w:val="none"/>
              </w:rPr>
            </w:pPr>
            <w:r>
              <w:rPr>
                <w:rFonts w:hint="eastAsia" w:ascii="宋体" w:hAnsi="宋体"/>
                <w:color w:val="000000"/>
                <w:szCs w:val="21"/>
                <w:highlight w:val="none"/>
              </w:rPr>
              <w:t>3.教师可自主编辑上传阅读学习材料和测试试题，学生阅读和答题后系统自动统计答题情况，为阅读课堂教学工作提供功能支撑；</w:t>
            </w:r>
          </w:p>
          <w:p>
            <w:pPr>
              <w:jc w:val="left"/>
              <w:rPr>
                <w:rFonts w:ascii="宋体" w:hAnsi="宋体"/>
                <w:color w:val="000000"/>
                <w:szCs w:val="21"/>
                <w:highlight w:val="none"/>
              </w:rPr>
            </w:pPr>
            <w:r>
              <w:rPr>
                <w:rFonts w:hint="eastAsia" w:ascii="宋体" w:hAnsi="宋体"/>
                <w:color w:val="000000"/>
                <w:szCs w:val="21"/>
                <w:highlight w:val="none"/>
              </w:rPr>
              <w:t>五、阅读素养训练</w:t>
            </w:r>
          </w:p>
          <w:p>
            <w:pPr>
              <w:jc w:val="left"/>
              <w:rPr>
                <w:rFonts w:ascii="宋体" w:hAnsi="宋体"/>
                <w:color w:val="000000"/>
                <w:szCs w:val="21"/>
                <w:highlight w:val="none"/>
              </w:rPr>
            </w:pPr>
            <w:r>
              <w:rPr>
                <w:rFonts w:hint="eastAsia" w:ascii="宋体" w:hAnsi="宋体"/>
                <w:color w:val="000000"/>
                <w:szCs w:val="21"/>
                <w:highlight w:val="none"/>
              </w:rPr>
              <w:t>1.系统提供阅读排行功能，从学生有效阅读字数、阅读时长、阅读进度、阅读积分、阅读勋章等不同维度不同数量进生成统计；</w:t>
            </w:r>
          </w:p>
          <w:p>
            <w:pPr>
              <w:jc w:val="left"/>
              <w:rPr>
                <w:rFonts w:ascii="宋体" w:hAnsi="宋体"/>
                <w:color w:val="000000"/>
                <w:szCs w:val="21"/>
                <w:highlight w:val="none"/>
              </w:rPr>
            </w:pPr>
            <w:r>
              <w:rPr>
                <w:rFonts w:hint="eastAsia" w:ascii="宋体" w:hAnsi="宋体"/>
                <w:color w:val="000000"/>
                <w:szCs w:val="21"/>
                <w:highlight w:val="none"/>
              </w:rPr>
              <w:t>2.支持成语、诗词相关的闯关检测功能，兼具知识拓展和趣味性，并且系统可以自动控制检测功能使用时长；</w:t>
            </w:r>
          </w:p>
          <w:p>
            <w:pPr>
              <w:jc w:val="left"/>
              <w:rPr>
                <w:rFonts w:ascii="宋体" w:hAnsi="宋体"/>
                <w:color w:val="000000"/>
                <w:szCs w:val="21"/>
                <w:highlight w:val="none"/>
              </w:rPr>
            </w:pPr>
            <w:r>
              <w:rPr>
                <w:rFonts w:hint="eastAsia" w:ascii="宋体" w:hAnsi="宋体"/>
                <w:color w:val="000000"/>
                <w:szCs w:val="21"/>
                <w:highlight w:val="none"/>
              </w:rPr>
              <w:t>3.设定阅读奖励机制，阅读激励具有体系化的积分规则和进阶机制。系统自动根据实际阅读数据给予积分奖励以及阅读段位，并能通过积分兑换虚拟奖励形式鼓励阅读，形成良性循环；</w:t>
            </w:r>
          </w:p>
          <w:p>
            <w:pPr>
              <w:jc w:val="left"/>
              <w:rPr>
                <w:rFonts w:ascii="宋体" w:hAnsi="宋体"/>
                <w:color w:val="000000"/>
                <w:szCs w:val="21"/>
                <w:highlight w:val="none"/>
              </w:rPr>
            </w:pPr>
            <w:r>
              <w:rPr>
                <w:rFonts w:hint="eastAsia" w:ascii="宋体" w:hAnsi="宋体"/>
                <w:color w:val="000000"/>
                <w:szCs w:val="21"/>
                <w:highlight w:val="none"/>
              </w:rPr>
              <w:t>六、智能统计分析</w:t>
            </w:r>
          </w:p>
          <w:p>
            <w:pPr>
              <w:jc w:val="left"/>
              <w:rPr>
                <w:rFonts w:ascii="宋体" w:hAnsi="宋体"/>
                <w:color w:val="000000"/>
                <w:szCs w:val="21"/>
                <w:highlight w:val="none"/>
              </w:rPr>
            </w:pPr>
            <w:r>
              <w:rPr>
                <w:rFonts w:hint="eastAsia" w:ascii="宋体" w:hAnsi="宋体"/>
                <w:color w:val="000000"/>
                <w:szCs w:val="21"/>
                <w:highlight w:val="none"/>
              </w:rPr>
              <w:t>1.多维度的分析统计功能，统计数据包含但不限于有效阅读字数、阅读时长、浏览本数、单册书最近阅读时间、阅读进度；</w:t>
            </w:r>
          </w:p>
          <w:p>
            <w:pPr>
              <w:jc w:val="left"/>
              <w:rPr>
                <w:rFonts w:ascii="宋体" w:hAnsi="宋体"/>
                <w:color w:val="000000"/>
                <w:szCs w:val="21"/>
                <w:highlight w:val="none"/>
              </w:rPr>
            </w:pPr>
            <w:r>
              <w:rPr>
                <w:rFonts w:hint="eastAsia" w:ascii="宋体" w:hAnsi="宋体"/>
                <w:color w:val="000000"/>
                <w:szCs w:val="21"/>
                <w:highlight w:val="none"/>
              </w:rPr>
              <w:t>2.能够根据学生实际阅读情况生成阅读报告，阅读分析报告包含但不限于如下内容：有效阅读字数、阅读图书数量、能力分析、图书喜好分析、题目正确率、阅读建议；</w:t>
            </w:r>
          </w:p>
          <w:p>
            <w:pPr>
              <w:jc w:val="left"/>
              <w:rPr>
                <w:rFonts w:ascii="宋体" w:hAnsi="宋体"/>
                <w:color w:val="000000"/>
                <w:szCs w:val="21"/>
                <w:highlight w:val="none"/>
              </w:rPr>
            </w:pPr>
            <w:r>
              <w:rPr>
                <w:rFonts w:hint="eastAsia" w:ascii="宋体" w:hAnsi="宋体"/>
                <w:color w:val="000000"/>
                <w:szCs w:val="21"/>
                <w:highlight w:val="none"/>
              </w:rPr>
              <w:t>3.可以进行学生阅读分析、班级阅读分析、阅读任务分析、全校阅读数据分析，以及学校内同一年级各班之间的阅读数据对比、同一地区各学校之间阅读数据对比功能；</w:t>
            </w:r>
          </w:p>
          <w:p>
            <w:pPr>
              <w:jc w:val="left"/>
              <w:rPr>
                <w:rFonts w:ascii="宋体" w:hAnsi="宋体"/>
                <w:color w:val="000000"/>
                <w:szCs w:val="21"/>
                <w:highlight w:val="none"/>
              </w:rPr>
            </w:pPr>
            <w:r>
              <w:rPr>
                <w:rFonts w:hint="eastAsia" w:ascii="宋体" w:hAnsi="宋体"/>
                <w:color w:val="000000"/>
                <w:szCs w:val="21"/>
                <w:highlight w:val="none"/>
              </w:rPr>
              <w:t>七、数字阅读家长端</w:t>
            </w:r>
          </w:p>
          <w:p>
            <w:pPr>
              <w:jc w:val="left"/>
              <w:rPr>
                <w:rFonts w:ascii="宋体" w:hAnsi="宋体"/>
                <w:color w:val="000000"/>
                <w:szCs w:val="21"/>
                <w:highlight w:val="none"/>
              </w:rPr>
            </w:pPr>
            <w:r>
              <w:rPr>
                <w:rFonts w:hint="eastAsia" w:ascii="宋体" w:hAnsi="宋体"/>
                <w:color w:val="000000"/>
                <w:szCs w:val="21"/>
                <w:highlight w:val="none"/>
              </w:rPr>
              <w:t>1.支持多个家长绑定同一学生账号；</w:t>
            </w:r>
          </w:p>
          <w:p>
            <w:pPr>
              <w:jc w:val="left"/>
              <w:rPr>
                <w:rFonts w:ascii="宋体" w:hAnsi="宋体"/>
                <w:color w:val="000000"/>
                <w:szCs w:val="21"/>
                <w:highlight w:val="none"/>
              </w:rPr>
            </w:pPr>
            <w:r>
              <w:rPr>
                <w:rFonts w:hint="eastAsia" w:ascii="宋体" w:hAnsi="宋体"/>
                <w:color w:val="000000"/>
                <w:szCs w:val="21"/>
                <w:highlight w:val="none"/>
              </w:rPr>
              <w:t>2.支持家长查看学生基本信息，包含不限于姓名、学校、班级、阅读任务数量、浏览图书本数、读书笔记数量、平均阅读时长；</w:t>
            </w:r>
          </w:p>
          <w:p>
            <w:pPr>
              <w:jc w:val="left"/>
              <w:rPr>
                <w:rFonts w:ascii="宋体" w:hAnsi="宋体"/>
                <w:color w:val="000000"/>
                <w:szCs w:val="21"/>
                <w:highlight w:val="none"/>
              </w:rPr>
            </w:pPr>
            <w:r>
              <w:rPr>
                <w:rFonts w:hint="eastAsia" w:ascii="宋体" w:hAnsi="宋体"/>
                <w:color w:val="000000"/>
                <w:szCs w:val="21"/>
                <w:highlight w:val="none"/>
              </w:rPr>
              <w:t>3.支持家长查看学生总体阅读数据，包含不限于总浏览时长、总阅读字数、总浏览图书本数、总读书笔记数量、总读后感数量、总勋章数量；</w:t>
            </w:r>
          </w:p>
          <w:p>
            <w:pPr>
              <w:jc w:val="left"/>
              <w:rPr>
                <w:rFonts w:ascii="宋体" w:hAnsi="宋体"/>
                <w:color w:val="000000"/>
                <w:szCs w:val="21"/>
                <w:highlight w:val="none"/>
              </w:rPr>
            </w:pPr>
            <w:r>
              <w:rPr>
                <w:rFonts w:hint="eastAsia" w:ascii="宋体" w:hAnsi="宋体"/>
                <w:color w:val="000000"/>
                <w:szCs w:val="21"/>
                <w:highlight w:val="none"/>
              </w:rPr>
              <w:t>4.支持家长查看学生平均阅读数据，包含不限于平均每日浏览时长、平均每日阅读字数、任务完成率；</w:t>
            </w:r>
          </w:p>
          <w:p>
            <w:pPr>
              <w:jc w:val="left"/>
              <w:rPr>
                <w:rFonts w:ascii="宋体" w:hAnsi="宋体"/>
                <w:color w:val="000000"/>
                <w:szCs w:val="21"/>
                <w:highlight w:val="none"/>
              </w:rPr>
            </w:pPr>
            <w:r>
              <w:rPr>
                <w:rFonts w:hint="eastAsia" w:ascii="宋体" w:hAnsi="宋体"/>
                <w:color w:val="000000"/>
                <w:szCs w:val="21"/>
                <w:highlight w:val="none"/>
              </w:rPr>
              <w:t>5.支持家长查看学生近七天阅读数据折线图，包括不限于浏览时长、阅读字数、浏览图书数量；</w:t>
            </w:r>
          </w:p>
          <w:p>
            <w:pPr>
              <w:jc w:val="left"/>
              <w:rPr>
                <w:rFonts w:ascii="宋体" w:hAnsi="宋体"/>
                <w:color w:val="000000"/>
                <w:szCs w:val="21"/>
                <w:highlight w:val="none"/>
              </w:rPr>
            </w:pPr>
            <w:r>
              <w:rPr>
                <w:rFonts w:hint="eastAsia" w:ascii="宋体" w:hAnsi="宋体"/>
                <w:color w:val="000000"/>
                <w:szCs w:val="21"/>
                <w:highlight w:val="none"/>
              </w:rPr>
              <w:t>6.支持家长查看学生最喜欢的图书；</w:t>
            </w:r>
          </w:p>
          <w:p>
            <w:pPr>
              <w:jc w:val="left"/>
              <w:rPr>
                <w:rFonts w:ascii="宋体" w:hAnsi="宋体"/>
                <w:color w:val="000000"/>
                <w:szCs w:val="21"/>
                <w:highlight w:val="none"/>
              </w:rPr>
            </w:pPr>
            <w:r>
              <w:rPr>
                <w:rFonts w:hint="eastAsia" w:ascii="宋体" w:hAnsi="宋体"/>
                <w:color w:val="000000"/>
                <w:szCs w:val="21"/>
                <w:highlight w:val="none"/>
              </w:rPr>
              <w:t>7.支持家长查看学生答题正确率和能力综合分析图；</w:t>
            </w:r>
          </w:p>
          <w:p>
            <w:pPr>
              <w:jc w:val="left"/>
              <w:rPr>
                <w:rFonts w:ascii="宋体" w:hAnsi="宋体"/>
                <w:color w:val="000000"/>
                <w:szCs w:val="21"/>
                <w:highlight w:val="none"/>
              </w:rPr>
            </w:pPr>
            <w:r>
              <w:rPr>
                <w:rFonts w:hint="eastAsia" w:ascii="宋体" w:hAnsi="宋体"/>
                <w:color w:val="000000"/>
                <w:szCs w:val="21"/>
                <w:highlight w:val="none"/>
              </w:rPr>
              <w:t>8.支持家长查看学生的所有阅读任务详情，根据教师发布的时间从近到远排列，任务详情包含不限于任务状态、发布人、发布时间、截至时间、任务内容</w:t>
            </w:r>
          </w:p>
          <w:p>
            <w:pPr>
              <w:jc w:val="left"/>
              <w:rPr>
                <w:rFonts w:ascii="宋体" w:hAnsi="宋体"/>
                <w:color w:val="000000"/>
                <w:szCs w:val="21"/>
                <w:highlight w:val="none"/>
              </w:rPr>
            </w:pPr>
            <w:r>
              <w:rPr>
                <w:rFonts w:hint="eastAsia" w:ascii="宋体" w:hAnsi="宋体"/>
                <w:color w:val="000000"/>
                <w:szCs w:val="21"/>
                <w:highlight w:val="none"/>
              </w:rPr>
              <w:t>9.支持家长查看学生的任务完成详情，包含不限于浏览进度、浏览时长、勋章个数、最后一次阅读时间；</w:t>
            </w:r>
          </w:p>
          <w:p>
            <w:pPr>
              <w:jc w:val="left"/>
              <w:rPr>
                <w:rFonts w:ascii="宋体" w:hAnsi="宋体"/>
                <w:color w:val="000000"/>
                <w:szCs w:val="21"/>
                <w:highlight w:val="none"/>
              </w:rPr>
            </w:pPr>
            <w:r>
              <w:rPr>
                <w:rFonts w:hint="eastAsia" w:ascii="宋体" w:hAnsi="宋体"/>
                <w:color w:val="000000"/>
                <w:szCs w:val="21"/>
                <w:highlight w:val="none"/>
              </w:rPr>
              <w:t>10.支持家长查看学生的读书笔记详情，包含好词、好句好段、笔记内容；</w:t>
            </w:r>
          </w:p>
          <w:p>
            <w:pPr>
              <w:jc w:val="left"/>
              <w:rPr>
                <w:rFonts w:ascii="宋体" w:hAnsi="宋体"/>
                <w:color w:val="000000"/>
                <w:szCs w:val="21"/>
                <w:highlight w:val="none"/>
              </w:rPr>
            </w:pPr>
            <w:r>
              <w:rPr>
                <w:rFonts w:hint="eastAsia" w:ascii="宋体" w:hAnsi="宋体"/>
                <w:color w:val="000000"/>
                <w:szCs w:val="21"/>
                <w:highlight w:val="none"/>
              </w:rPr>
              <w:t>11.支持家长查看学生每天的阅读动态，包含当日浏览时长、当日阅读字数及当日浏览的书籍；</w:t>
            </w:r>
          </w:p>
          <w:p>
            <w:pPr>
              <w:jc w:val="left"/>
              <w:rPr>
                <w:rFonts w:ascii="宋体" w:hAnsi="宋体"/>
                <w:color w:val="000000"/>
                <w:szCs w:val="21"/>
                <w:highlight w:val="none"/>
              </w:rPr>
            </w:pPr>
            <w:r>
              <w:rPr>
                <w:rFonts w:hint="eastAsia" w:ascii="宋体" w:hAnsi="宋体"/>
                <w:color w:val="000000"/>
                <w:szCs w:val="21"/>
                <w:highlight w:val="none"/>
              </w:rPr>
              <w:t>八、智慧阅读区域管理及分析</w:t>
            </w:r>
          </w:p>
          <w:p>
            <w:pPr>
              <w:jc w:val="left"/>
              <w:rPr>
                <w:rFonts w:ascii="宋体" w:hAnsi="宋体"/>
                <w:color w:val="000000"/>
                <w:szCs w:val="21"/>
                <w:highlight w:val="none"/>
              </w:rPr>
            </w:pPr>
            <w:r>
              <w:rPr>
                <w:rFonts w:hint="eastAsia" w:ascii="宋体" w:hAnsi="宋体"/>
                <w:color w:val="000000"/>
                <w:szCs w:val="21"/>
                <w:highlight w:val="none"/>
              </w:rPr>
              <w:t>1.支持三级区域管理，实现区域智慧阅读的汇总分析报表查看和管理；</w:t>
            </w:r>
          </w:p>
          <w:p>
            <w:pPr>
              <w:jc w:val="left"/>
              <w:rPr>
                <w:rFonts w:ascii="宋体" w:hAnsi="宋体"/>
                <w:color w:val="000000"/>
                <w:szCs w:val="21"/>
                <w:highlight w:val="none"/>
              </w:rPr>
            </w:pPr>
            <w:r>
              <w:rPr>
                <w:rFonts w:hint="eastAsia" w:ascii="宋体" w:hAnsi="宋体"/>
                <w:color w:val="000000"/>
                <w:szCs w:val="21"/>
                <w:highlight w:val="none"/>
              </w:rPr>
              <w:t>2.支持区域内整体数据概览的查看管理，包含总计学校数量、总计班级数量、总计学生数量、总计阅读书籍本数、总计阅读字数、总计阅读时长等；</w:t>
            </w:r>
          </w:p>
          <w:p>
            <w:pPr>
              <w:jc w:val="left"/>
              <w:rPr>
                <w:rFonts w:ascii="宋体" w:hAnsi="宋体"/>
                <w:color w:val="000000"/>
                <w:szCs w:val="21"/>
                <w:highlight w:val="none"/>
              </w:rPr>
            </w:pPr>
            <w:r>
              <w:rPr>
                <w:rFonts w:hint="eastAsia" w:ascii="宋体" w:hAnsi="宋体"/>
                <w:color w:val="000000"/>
                <w:szCs w:val="21"/>
                <w:highlight w:val="none"/>
              </w:rPr>
              <w:t>3.支持区域内整体数据折线图的查看管理，包含阅读时长折线图、阅读字数折线图、阅读书籍本数折线图等；</w:t>
            </w:r>
          </w:p>
          <w:p>
            <w:pPr>
              <w:jc w:val="left"/>
              <w:rPr>
                <w:rFonts w:ascii="宋体" w:hAnsi="宋体"/>
                <w:color w:val="000000"/>
                <w:szCs w:val="21"/>
                <w:highlight w:val="none"/>
              </w:rPr>
            </w:pPr>
            <w:r>
              <w:rPr>
                <w:rFonts w:hint="eastAsia" w:ascii="宋体" w:hAnsi="宋体"/>
                <w:color w:val="000000"/>
                <w:szCs w:val="21"/>
                <w:highlight w:val="none"/>
              </w:rPr>
              <w:t>4.支持区域内整体排行榜查看管理，包含班级排行榜（前十位）、最受欢迎的书籍排行榜（前十位）；</w:t>
            </w:r>
          </w:p>
          <w:p>
            <w:pPr>
              <w:jc w:val="left"/>
              <w:rPr>
                <w:rFonts w:ascii="宋体" w:hAnsi="宋体"/>
                <w:color w:val="000000"/>
                <w:szCs w:val="21"/>
                <w:highlight w:val="none"/>
              </w:rPr>
            </w:pPr>
            <w:r>
              <w:rPr>
                <w:rFonts w:hint="eastAsia" w:ascii="宋体" w:hAnsi="宋体"/>
                <w:color w:val="000000"/>
                <w:szCs w:val="21"/>
                <w:highlight w:val="none"/>
              </w:rPr>
              <w:t>5.支持区域内单独学校数据概览的查看管理，包含学校的班级数量、教师数量、学生数量、阅读书籍数、阅读字数、阅读时长；</w:t>
            </w:r>
          </w:p>
          <w:p>
            <w:pPr>
              <w:jc w:val="left"/>
              <w:rPr>
                <w:rFonts w:ascii="宋体" w:hAnsi="宋体"/>
                <w:color w:val="000000"/>
                <w:szCs w:val="21"/>
                <w:highlight w:val="none"/>
              </w:rPr>
            </w:pPr>
            <w:r>
              <w:rPr>
                <w:rFonts w:hint="eastAsia" w:ascii="宋体" w:hAnsi="宋体"/>
                <w:color w:val="000000"/>
                <w:szCs w:val="21"/>
                <w:highlight w:val="none"/>
              </w:rPr>
              <w:t>6.支持区域内单独学校的任意时间段数据波动情况的查看管理，以及近一周的数据波动情况，其中数据包含阅读时长、阅读字数、阅读书籍本数；</w:t>
            </w:r>
          </w:p>
          <w:p>
            <w:pPr>
              <w:jc w:val="left"/>
              <w:rPr>
                <w:rFonts w:ascii="宋体" w:hAnsi="宋体"/>
                <w:color w:val="000000"/>
                <w:szCs w:val="21"/>
                <w:highlight w:val="none"/>
              </w:rPr>
            </w:pPr>
            <w:r>
              <w:rPr>
                <w:rFonts w:hint="eastAsia" w:ascii="宋体" w:hAnsi="宋体"/>
                <w:color w:val="000000"/>
                <w:szCs w:val="21"/>
                <w:highlight w:val="none"/>
              </w:rPr>
              <w:t>7.支持区域内单独学校排行榜的查看管理，包含班级排行榜（前十位）、最受欢迎的书籍排行榜（前十位）；</w:t>
            </w:r>
          </w:p>
          <w:p>
            <w:pPr>
              <w:jc w:val="left"/>
              <w:rPr>
                <w:rFonts w:ascii="宋体" w:hAnsi="宋体"/>
                <w:color w:val="000000"/>
                <w:szCs w:val="21"/>
                <w:highlight w:val="none"/>
              </w:rPr>
            </w:pPr>
            <w:r>
              <w:rPr>
                <w:rFonts w:hint="eastAsia" w:ascii="宋体" w:hAnsi="宋体"/>
                <w:color w:val="000000"/>
                <w:szCs w:val="21"/>
                <w:highlight w:val="none"/>
              </w:rPr>
              <w:t>8.支持区域内任意几所学校的总数据对比的查看管理，对比内容包含班级数、教师人数、阅读时长、阅读字数、阅读书籍数；</w:t>
            </w:r>
          </w:p>
          <w:p>
            <w:pPr>
              <w:jc w:val="left"/>
              <w:rPr>
                <w:rFonts w:ascii="宋体" w:hAnsi="宋体"/>
                <w:color w:val="000000"/>
                <w:szCs w:val="21"/>
                <w:highlight w:val="none"/>
              </w:rPr>
            </w:pPr>
            <w:r>
              <w:rPr>
                <w:rFonts w:hint="eastAsia" w:ascii="宋体" w:hAnsi="宋体"/>
                <w:color w:val="000000"/>
                <w:szCs w:val="21"/>
                <w:highlight w:val="none"/>
              </w:rPr>
              <w:t>9.支持区域内任意几所学校任意时间段详细数据对比的查看管理，对比内容包含阅读时长、阅读字数、阅读书籍数；</w:t>
            </w:r>
          </w:p>
          <w:p>
            <w:pPr>
              <w:jc w:val="left"/>
              <w:rPr>
                <w:rFonts w:ascii="宋体" w:hAnsi="宋体"/>
                <w:color w:val="000000"/>
                <w:szCs w:val="21"/>
                <w:highlight w:val="none"/>
              </w:rPr>
            </w:pPr>
            <w:r>
              <w:rPr>
                <w:rFonts w:hint="eastAsia" w:ascii="宋体" w:hAnsi="宋体"/>
                <w:color w:val="000000"/>
                <w:szCs w:val="21"/>
                <w:highlight w:val="none"/>
              </w:rPr>
              <w:t>九、数字阅读数据看板</w:t>
            </w:r>
          </w:p>
          <w:p>
            <w:pPr>
              <w:jc w:val="left"/>
              <w:rPr>
                <w:rFonts w:ascii="宋体" w:hAnsi="宋体"/>
                <w:color w:val="000000"/>
                <w:szCs w:val="21"/>
                <w:highlight w:val="none"/>
              </w:rPr>
            </w:pPr>
            <w:r>
              <w:rPr>
                <w:rFonts w:hint="eastAsia" w:ascii="宋体" w:hAnsi="宋体"/>
                <w:color w:val="000000"/>
                <w:szCs w:val="21"/>
                <w:highlight w:val="none"/>
              </w:rPr>
              <w:t>通过云端服务利用离线延时同步技术，可以实现对所有学生账号的在线阅读数据获取和离线阅读数据延时获取。系统通过数据处理、可视化和峰值保障技术最终从海量数据中提取、分析和展现出有价值信息，帮助学校监控整体阅读情况。展示内容包含：学校总人数（人）、总浏览书籍本数（本）、总阅读字数（万字）、总阅读时长（小时）、实时在线终端数及登录信息滚动展示、全校阅读能力分析图、全校最近七天阅读时长分析表、全校最近七天阅读字数分析表、全校最近七天浏览本数分析表、全校本周阅读数据排行榜、全校最受欢迎图书排行榜。</w:t>
            </w:r>
          </w:p>
        </w:tc>
        <w:tc>
          <w:tcPr>
            <w:tcW w:w="660" w:type="dxa"/>
            <w:vAlign w:val="center"/>
          </w:tcPr>
          <w:p>
            <w:pPr>
              <w:jc w:val="center"/>
              <w:rPr>
                <w:rFonts w:ascii="宋体" w:hAnsi="宋体"/>
                <w:color w:val="000000"/>
                <w:szCs w:val="21"/>
                <w:highlight w:val="none"/>
              </w:rPr>
            </w:pPr>
            <w:r>
              <w:rPr>
                <w:rFonts w:hint="eastAsia" w:ascii="宋体" w:hAnsi="宋体"/>
                <w:color w:val="000000"/>
                <w:szCs w:val="21"/>
                <w:highlight w:val="none"/>
              </w:rPr>
              <w:t>1</w:t>
            </w:r>
          </w:p>
        </w:tc>
        <w:tc>
          <w:tcPr>
            <w:tcW w:w="680" w:type="dxa"/>
            <w:vAlign w:val="center"/>
          </w:tcPr>
          <w:p>
            <w:pPr>
              <w:jc w:val="center"/>
              <w:rPr>
                <w:rFonts w:ascii="宋体" w:hAnsi="宋体"/>
                <w:color w:val="000000"/>
                <w:szCs w:val="21"/>
                <w:highlight w:val="none"/>
              </w:rPr>
            </w:pPr>
            <w:r>
              <w:rPr>
                <w:rFonts w:hint="eastAsia" w:ascii="宋体" w:hAnsi="宋体"/>
                <w:color w:val="00000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jc w:val="center"/>
              <w:rPr>
                <w:rFonts w:ascii="宋体" w:hAnsi="宋体" w:cs="宋体"/>
                <w:color w:val="000000"/>
                <w:szCs w:val="21"/>
                <w:highlight w:val="none"/>
              </w:rPr>
            </w:pPr>
            <w:r>
              <w:rPr>
                <w:rFonts w:hint="eastAsia" w:ascii="宋体" w:hAnsi="宋体"/>
                <w:color w:val="000000"/>
                <w:szCs w:val="21"/>
                <w:highlight w:val="none"/>
              </w:rPr>
              <w:t>3</w:t>
            </w:r>
          </w:p>
        </w:tc>
        <w:tc>
          <w:tcPr>
            <w:tcW w:w="710" w:type="dxa"/>
            <w:vAlign w:val="center"/>
          </w:tcPr>
          <w:p>
            <w:pPr>
              <w:jc w:val="center"/>
              <w:rPr>
                <w:rFonts w:ascii="宋体" w:hAnsi="宋体"/>
                <w:color w:val="000000"/>
                <w:szCs w:val="21"/>
                <w:highlight w:val="none"/>
              </w:rPr>
            </w:pPr>
            <w:r>
              <w:rPr>
                <w:rFonts w:hint="eastAsia" w:ascii="宋体" w:hAnsi="宋体"/>
                <w:color w:val="000000"/>
                <w:szCs w:val="21"/>
                <w:highlight w:val="none"/>
              </w:rPr>
              <w:t>电子阅读资源</w:t>
            </w:r>
          </w:p>
        </w:tc>
        <w:tc>
          <w:tcPr>
            <w:tcW w:w="8020" w:type="dxa"/>
            <w:vAlign w:val="center"/>
          </w:tcPr>
          <w:p>
            <w:pPr>
              <w:jc w:val="left"/>
              <w:rPr>
                <w:rFonts w:ascii="宋体" w:hAnsi="宋体"/>
                <w:color w:val="000000"/>
                <w:szCs w:val="21"/>
                <w:highlight w:val="none"/>
              </w:rPr>
            </w:pPr>
            <w:r>
              <w:rPr>
                <w:rFonts w:hint="eastAsia" w:ascii="宋体" w:hAnsi="宋体"/>
                <w:color w:val="000000"/>
                <w:szCs w:val="21"/>
                <w:highlight w:val="none"/>
              </w:rPr>
              <w:t>一、数字图书馆及资源库</w:t>
            </w:r>
          </w:p>
          <w:p>
            <w:pPr>
              <w:jc w:val="left"/>
              <w:rPr>
                <w:rFonts w:ascii="宋体" w:hAnsi="宋体"/>
                <w:color w:val="000000"/>
                <w:szCs w:val="21"/>
                <w:highlight w:val="none"/>
              </w:rPr>
            </w:pPr>
            <w:r>
              <w:rPr>
                <w:rFonts w:hint="eastAsia" w:ascii="宋体" w:hAnsi="宋体"/>
                <w:color w:val="000000"/>
                <w:szCs w:val="21"/>
                <w:highlight w:val="none"/>
              </w:rPr>
              <w:t>1.提供不少于2万册的电子图书供阅读；同时提供不低于8份电子图书版权合同；</w:t>
            </w:r>
          </w:p>
          <w:p>
            <w:pPr>
              <w:jc w:val="left"/>
              <w:rPr>
                <w:rFonts w:ascii="宋体" w:hAnsi="宋体"/>
                <w:color w:val="000000"/>
                <w:szCs w:val="21"/>
                <w:highlight w:val="none"/>
              </w:rPr>
            </w:pPr>
            <w:r>
              <w:rPr>
                <w:rFonts w:hint="eastAsia" w:ascii="宋体" w:hAnsi="宋体"/>
                <w:color w:val="000000"/>
                <w:szCs w:val="21"/>
                <w:highlight w:val="none"/>
              </w:rPr>
              <w:t>2.分级阅读，参照教育部发布的《中小学生阅读指导目录》及快乐读书吧，针对不同学生学段推荐不同的图书阅读资源，并将教育部推荐阅读书的图书做出特殊标注；</w:t>
            </w:r>
          </w:p>
          <w:p>
            <w:pPr>
              <w:jc w:val="left"/>
              <w:rPr>
                <w:rFonts w:ascii="宋体" w:hAnsi="宋体"/>
                <w:color w:val="000000"/>
                <w:szCs w:val="21"/>
                <w:highlight w:val="none"/>
              </w:rPr>
            </w:pPr>
            <w:r>
              <w:rPr>
                <w:rFonts w:hint="eastAsia" w:ascii="宋体" w:hAnsi="宋体"/>
                <w:color w:val="000000"/>
                <w:szCs w:val="21"/>
                <w:highlight w:val="none"/>
              </w:rPr>
              <w:t>3.资源更新服务期内每年度提供不少于200种电子图书更新，累积提供1000种电子图书更新；</w:t>
            </w:r>
          </w:p>
          <w:p>
            <w:pPr>
              <w:jc w:val="left"/>
              <w:rPr>
                <w:rFonts w:ascii="宋体" w:hAnsi="宋体"/>
                <w:color w:val="000000"/>
                <w:szCs w:val="21"/>
                <w:highlight w:val="none"/>
              </w:rPr>
            </w:pPr>
            <w:r>
              <w:rPr>
                <w:rFonts w:hint="eastAsia" w:ascii="宋体" w:hAnsi="宋体"/>
                <w:color w:val="000000"/>
                <w:szCs w:val="21"/>
                <w:highlight w:val="none"/>
              </w:rPr>
              <w:t>4.电子图书格式符合国际或国家电子文件格式标准，为OFD或OFDX，CEBX，Epub；</w:t>
            </w:r>
          </w:p>
          <w:p>
            <w:pPr>
              <w:jc w:val="left"/>
              <w:rPr>
                <w:rFonts w:ascii="宋体" w:hAnsi="宋体"/>
                <w:color w:val="000000"/>
                <w:szCs w:val="21"/>
                <w:highlight w:val="none"/>
              </w:rPr>
            </w:pPr>
            <w:r>
              <w:rPr>
                <w:rFonts w:hint="eastAsia" w:ascii="宋体" w:hAnsi="宋体"/>
                <w:color w:val="000000"/>
                <w:szCs w:val="21"/>
                <w:highlight w:val="none"/>
              </w:rPr>
              <w:t>5.电子图书版式文档阅读与流式文档阅读可以自由切换；且流式阅读时字体无损放大或缩小时，版面能够自动重新排版，同时自适应不同尺寸屏幕的阅读终端。</w:t>
            </w:r>
          </w:p>
          <w:p>
            <w:pPr>
              <w:jc w:val="left"/>
              <w:rPr>
                <w:rFonts w:ascii="宋体" w:hAnsi="宋体"/>
                <w:color w:val="000000"/>
                <w:szCs w:val="21"/>
                <w:highlight w:val="none"/>
              </w:rPr>
            </w:pPr>
            <w:r>
              <w:rPr>
                <w:rFonts w:hint="eastAsia" w:ascii="宋体" w:hAnsi="宋体"/>
                <w:color w:val="000000"/>
                <w:szCs w:val="21"/>
                <w:highlight w:val="none"/>
              </w:rPr>
              <w:t>6.图书资源分类包含但不限于读者校园版、国学经典、中外名著、历史典故、科普百科、名人传记、绘本漫画、成功励志、文学文艺、期刊读物。</w:t>
            </w:r>
          </w:p>
          <w:p>
            <w:pPr>
              <w:jc w:val="left"/>
              <w:rPr>
                <w:rFonts w:ascii="宋体" w:hAnsi="宋体"/>
                <w:color w:val="000000"/>
                <w:szCs w:val="21"/>
                <w:highlight w:val="none"/>
              </w:rPr>
            </w:pPr>
            <w:r>
              <w:rPr>
                <w:rFonts w:hint="eastAsia" w:ascii="宋体" w:hAnsi="宋体"/>
                <w:color w:val="000000"/>
                <w:szCs w:val="21"/>
                <w:highlight w:val="none"/>
              </w:rPr>
              <w:t>二、终端内置资源</w:t>
            </w:r>
          </w:p>
          <w:p>
            <w:pPr>
              <w:jc w:val="left"/>
              <w:rPr>
                <w:rFonts w:ascii="宋体" w:hAnsi="宋体"/>
                <w:color w:val="000000"/>
                <w:szCs w:val="21"/>
                <w:highlight w:val="none"/>
              </w:rPr>
            </w:pPr>
            <w:r>
              <w:rPr>
                <w:rFonts w:hint="eastAsia" w:ascii="宋体" w:hAnsi="宋体"/>
                <w:color w:val="000000"/>
                <w:szCs w:val="21"/>
                <w:highlight w:val="none"/>
              </w:rPr>
              <w:t>1.终端至少内置1-12年级要背诵的208首古诗文内容，提供诗词赏析相关内容；提供相关内容演示；</w:t>
            </w:r>
          </w:p>
          <w:p>
            <w:pPr>
              <w:jc w:val="left"/>
              <w:rPr>
                <w:rFonts w:ascii="宋体" w:hAnsi="宋体"/>
                <w:color w:val="000000"/>
                <w:szCs w:val="21"/>
                <w:highlight w:val="none"/>
              </w:rPr>
            </w:pPr>
            <w:r>
              <w:rPr>
                <w:rFonts w:hint="eastAsia" w:ascii="宋体" w:hAnsi="宋体"/>
                <w:color w:val="000000"/>
                <w:szCs w:val="21"/>
                <w:highlight w:val="none"/>
              </w:rPr>
              <w:t>2.至少内置100册中小学推荐必读图书；至少包含爱国爱党等文化建设教育学习的1300册阅读资源；</w:t>
            </w:r>
          </w:p>
          <w:p>
            <w:pPr>
              <w:jc w:val="left"/>
              <w:rPr>
                <w:rFonts w:ascii="宋体" w:hAnsi="宋体"/>
                <w:color w:val="000000"/>
                <w:szCs w:val="21"/>
                <w:highlight w:val="none"/>
              </w:rPr>
            </w:pPr>
            <w:r>
              <w:rPr>
                <w:rFonts w:hint="eastAsia" w:ascii="宋体" w:hAnsi="宋体"/>
                <w:color w:val="000000"/>
                <w:szCs w:val="21"/>
                <w:highlight w:val="none"/>
              </w:rPr>
              <w:t>3.内置教育部与中央广播电台制作的公益性《中小学语文示范诵读库》，支持耳机或内置扬声器收听；</w:t>
            </w:r>
          </w:p>
          <w:p>
            <w:pPr>
              <w:jc w:val="left"/>
              <w:rPr>
                <w:rFonts w:ascii="宋体" w:hAnsi="宋体"/>
                <w:color w:val="000000"/>
                <w:szCs w:val="21"/>
                <w:highlight w:val="none"/>
              </w:rPr>
            </w:pPr>
            <w:r>
              <w:rPr>
                <w:rFonts w:hint="eastAsia" w:ascii="宋体" w:hAnsi="宋体"/>
                <w:color w:val="000000"/>
                <w:szCs w:val="21"/>
                <w:highlight w:val="none"/>
              </w:rPr>
              <w:t>三、数字阅读评测资源</w:t>
            </w:r>
          </w:p>
          <w:p>
            <w:pPr>
              <w:jc w:val="left"/>
              <w:rPr>
                <w:rFonts w:ascii="宋体" w:hAnsi="宋体"/>
                <w:color w:val="000000"/>
                <w:szCs w:val="21"/>
                <w:highlight w:val="none"/>
              </w:rPr>
            </w:pPr>
            <w:r>
              <w:rPr>
                <w:rFonts w:hint="eastAsia" w:ascii="宋体" w:hAnsi="宋体"/>
                <w:color w:val="000000"/>
                <w:szCs w:val="21"/>
                <w:highlight w:val="none"/>
              </w:rPr>
              <w:t>1.提供不少于200本图书的试题资源，每本图书对应试题内容不少于10道，且每道试题至少关联一个阅读能力维度；</w:t>
            </w:r>
          </w:p>
          <w:p>
            <w:pPr>
              <w:jc w:val="left"/>
              <w:rPr>
                <w:rFonts w:ascii="宋体" w:hAnsi="宋体"/>
                <w:color w:val="000000"/>
                <w:szCs w:val="21"/>
                <w:highlight w:val="none"/>
              </w:rPr>
            </w:pPr>
            <w:r>
              <w:rPr>
                <w:rFonts w:hint="eastAsia" w:ascii="宋体" w:hAnsi="宋体"/>
                <w:color w:val="000000"/>
                <w:szCs w:val="21"/>
                <w:highlight w:val="none"/>
              </w:rPr>
              <w:t>2.提供阅读评测资源导入功能支持学校自主上传评测试题；</w:t>
            </w:r>
          </w:p>
        </w:tc>
        <w:tc>
          <w:tcPr>
            <w:tcW w:w="660" w:type="dxa"/>
            <w:vAlign w:val="center"/>
          </w:tcPr>
          <w:p>
            <w:pPr>
              <w:jc w:val="center"/>
              <w:rPr>
                <w:rFonts w:ascii="宋体" w:hAnsi="宋体"/>
                <w:color w:val="000000"/>
                <w:szCs w:val="21"/>
                <w:highlight w:val="none"/>
              </w:rPr>
            </w:pPr>
            <w:r>
              <w:rPr>
                <w:rFonts w:hint="eastAsia" w:ascii="宋体" w:hAnsi="宋体"/>
                <w:color w:val="000000"/>
                <w:szCs w:val="21"/>
                <w:highlight w:val="none"/>
              </w:rPr>
              <w:t>20000</w:t>
            </w:r>
          </w:p>
        </w:tc>
        <w:tc>
          <w:tcPr>
            <w:tcW w:w="680" w:type="dxa"/>
            <w:vAlign w:val="center"/>
          </w:tcPr>
          <w:p>
            <w:pPr>
              <w:jc w:val="center"/>
              <w:rPr>
                <w:rFonts w:ascii="宋体" w:hAnsi="宋体"/>
                <w:color w:val="000000"/>
                <w:szCs w:val="21"/>
                <w:highlight w:val="none"/>
              </w:rPr>
            </w:pPr>
            <w:r>
              <w:rPr>
                <w:rFonts w:hint="eastAsia" w:ascii="宋体" w:hAnsi="宋体"/>
                <w:color w:val="000000"/>
                <w:szCs w:val="21"/>
                <w:highlight w:val="none"/>
              </w:rPr>
              <w:t>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jc w:val="center"/>
              <w:rPr>
                <w:rFonts w:ascii="宋体" w:hAnsi="宋体" w:cs="宋体"/>
                <w:color w:val="000000"/>
                <w:szCs w:val="21"/>
                <w:highlight w:val="none"/>
              </w:rPr>
            </w:pPr>
            <w:r>
              <w:rPr>
                <w:rFonts w:hint="eastAsia" w:ascii="宋体" w:hAnsi="宋体"/>
                <w:color w:val="000000"/>
                <w:szCs w:val="21"/>
                <w:highlight w:val="none"/>
              </w:rPr>
              <w:t>4</w:t>
            </w:r>
          </w:p>
        </w:tc>
        <w:tc>
          <w:tcPr>
            <w:tcW w:w="710" w:type="dxa"/>
            <w:vAlign w:val="center"/>
          </w:tcPr>
          <w:p>
            <w:pPr>
              <w:jc w:val="center"/>
              <w:rPr>
                <w:rFonts w:ascii="宋体" w:hAnsi="宋体"/>
                <w:color w:val="000000"/>
                <w:szCs w:val="21"/>
                <w:highlight w:val="none"/>
              </w:rPr>
            </w:pPr>
            <w:r>
              <w:rPr>
                <w:rFonts w:hint="eastAsia" w:ascii="宋体" w:hAnsi="宋体"/>
                <w:color w:val="000000"/>
                <w:szCs w:val="21"/>
                <w:highlight w:val="none"/>
              </w:rPr>
              <w:t>电子阅读器充电车</w:t>
            </w:r>
          </w:p>
        </w:tc>
        <w:tc>
          <w:tcPr>
            <w:tcW w:w="8020" w:type="dxa"/>
            <w:vAlign w:val="center"/>
          </w:tcPr>
          <w:p>
            <w:pPr>
              <w:jc w:val="left"/>
              <w:rPr>
                <w:rFonts w:ascii="宋体" w:hAnsi="宋体"/>
                <w:color w:val="000000"/>
                <w:szCs w:val="21"/>
                <w:highlight w:val="none"/>
              </w:rPr>
            </w:pPr>
            <w:r>
              <w:rPr>
                <w:rFonts w:hint="eastAsia" w:ascii="宋体" w:hAnsi="宋体"/>
                <w:color w:val="000000"/>
                <w:szCs w:val="21"/>
                <w:highlight w:val="none"/>
              </w:rPr>
              <w:t>1、支持墨水屏、平板电脑等智能充电；</w:t>
            </w:r>
          </w:p>
          <w:p>
            <w:pPr>
              <w:jc w:val="left"/>
              <w:rPr>
                <w:rFonts w:ascii="宋体" w:hAnsi="宋体"/>
                <w:color w:val="000000"/>
                <w:szCs w:val="21"/>
                <w:highlight w:val="none"/>
              </w:rPr>
            </w:pPr>
            <w:r>
              <w:rPr>
                <w:rFonts w:hint="eastAsia" w:ascii="宋体" w:hAnsi="宋体"/>
                <w:color w:val="000000"/>
                <w:szCs w:val="21"/>
                <w:highlight w:val="none"/>
              </w:rPr>
              <w:t>2、充电数量：</w:t>
            </w:r>
            <w:r>
              <w:rPr>
                <w:rFonts w:hint="eastAsia"/>
                <w:highlight w:val="none"/>
              </w:rPr>
              <w:t>≥</w:t>
            </w:r>
            <w:r>
              <w:rPr>
                <w:rFonts w:hint="eastAsia" w:ascii="宋体" w:hAnsi="宋体"/>
                <w:color w:val="000000"/>
                <w:szCs w:val="21"/>
                <w:highlight w:val="none"/>
              </w:rPr>
              <w:t>60台；</w:t>
            </w:r>
          </w:p>
          <w:p>
            <w:pPr>
              <w:jc w:val="left"/>
              <w:rPr>
                <w:rFonts w:ascii="宋体" w:hAnsi="宋体"/>
                <w:color w:val="000000"/>
                <w:szCs w:val="21"/>
                <w:highlight w:val="none"/>
              </w:rPr>
            </w:pPr>
            <w:r>
              <w:rPr>
                <w:rFonts w:hint="eastAsia" w:ascii="宋体" w:hAnsi="宋体"/>
                <w:color w:val="000000"/>
                <w:szCs w:val="21"/>
                <w:highlight w:val="none"/>
              </w:rPr>
              <w:t>3、具有过载保护、短路保护、漏电保护、智能温控风扇等功能；</w:t>
            </w:r>
          </w:p>
          <w:p>
            <w:pPr>
              <w:jc w:val="left"/>
              <w:rPr>
                <w:rFonts w:ascii="宋体" w:hAnsi="宋体"/>
                <w:color w:val="000000"/>
                <w:szCs w:val="21"/>
                <w:highlight w:val="none"/>
              </w:rPr>
            </w:pPr>
            <w:r>
              <w:rPr>
                <w:rFonts w:hint="eastAsia" w:ascii="宋体" w:hAnsi="宋体"/>
                <w:color w:val="000000"/>
                <w:szCs w:val="21"/>
                <w:highlight w:val="none"/>
              </w:rPr>
              <w:t>4、输出电压：220V;</w:t>
            </w:r>
          </w:p>
          <w:p>
            <w:pPr>
              <w:jc w:val="left"/>
              <w:rPr>
                <w:rFonts w:ascii="宋体" w:hAnsi="宋体"/>
                <w:color w:val="000000"/>
                <w:szCs w:val="21"/>
                <w:highlight w:val="none"/>
              </w:rPr>
            </w:pPr>
            <w:r>
              <w:rPr>
                <w:rFonts w:hint="eastAsia" w:ascii="宋体" w:hAnsi="宋体"/>
                <w:color w:val="000000"/>
                <w:szCs w:val="21"/>
                <w:highlight w:val="none"/>
              </w:rPr>
              <w:t>5、尺寸：</w:t>
            </w:r>
            <w:r>
              <w:rPr>
                <w:rFonts w:hint="eastAsia"/>
                <w:highlight w:val="none"/>
              </w:rPr>
              <w:t>≥</w:t>
            </w:r>
            <w:r>
              <w:rPr>
                <w:rFonts w:hint="eastAsia" w:ascii="宋体" w:hAnsi="宋体"/>
                <w:color w:val="000000"/>
                <w:szCs w:val="21"/>
                <w:highlight w:val="none"/>
              </w:rPr>
              <w:t>955*608*534mm</w:t>
            </w:r>
          </w:p>
        </w:tc>
        <w:tc>
          <w:tcPr>
            <w:tcW w:w="660" w:type="dxa"/>
            <w:vAlign w:val="center"/>
          </w:tcPr>
          <w:p>
            <w:pPr>
              <w:jc w:val="center"/>
              <w:rPr>
                <w:rFonts w:ascii="宋体" w:hAnsi="宋体"/>
                <w:color w:val="000000"/>
                <w:szCs w:val="21"/>
                <w:highlight w:val="none"/>
              </w:rPr>
            </w:pPr>
            <w:r>
              <w:rPr>
                <w:rFonts w:hint="eastAsia" w:ascii="宋体" w:hAnsi="宋体"/>
                <w:color w:val="000000"/>
                <w:szCs w:val="21"/>
                <w:highlight w:val="none"/>
              </w:rPr>
              <w:t>1</w:t>
            </w:r>
          </w:p>
        </w:tc>
        <w:tc>
          <w:tcPr>
            <w:tcW w:w="680" w:type="dxa"/>
            <w:vAlign w:val="center"/>
          </w:tcPr>
          <w:p>
            <w:pPr>
              <w:jc w:val="center"/>
              <w:rPr>
                <w:rFonts w:ascii="宋体" w:hAnsi="宋体"/>
                <w:color w:val="000000"/>
                <w:szCs w:val="21"/>
                <w:highlight w:val="none"/>
              </w:rPr>
            </w:pPr>
            <w:r>
              <w:rPr>
                <w:rFonts w:hint="eastAsia" w:ascii="宋体" w:hAnsi="宋体"/>
                <w:color w:val="00000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jc w:val="center"/>
              <w:rPr>
                <w:rFonts w:ascii="宋体" w:hAnsi="宋体" w:cs="宋体"/>
                <w:color w:val="000000"/>
                <w:szCs w:val="21"/>
                <w:highlight w:val="none"/>
              </w:rPr>
            </w:pPr>
            <w:r>
              <w:rPr>
                <w:rFonts w:hint="eastAsia" w:ascii="宋体" w:hAnsi="宋体"/>
                <w:color w:val="000000"/>
                <w:szCs w:val="21"/>
                <w:highlight w:val="none"/>
              </w:rPr>
              <w:t>5</w:t>
            </w:r>
          </w:p>
        </w:tc>
        <w:tc>
          <w:tcPr>
            <w:tcW w:w="710" w:type="dxa"/>
            <w:vAlign w:val="center"/>
          </w:tcPr>
          <w:p>
            <w:pPr>
              <w:jc w:val="center"/>
              <w:rPr>
                <w:rFonts w:ascii="宋体" w:hAnsi="宋体"/>
                <w:color w:val="000000"/>
                <w:szCs w:val="21"/>
                <w:highlight w:val="none"/>
              </w:rPr>
            </w:pPr>
            <w:r>
              <w:rPr>
                <w:rFonts w:hint="eastAsia" w:ascii="宋体" w:hAnsi="宋体"/>
                <w:color w:val="000000"/>
                <w:szCs w:val="21"/>
                <w:highlight w:val="none"/>
              </w:rPr>
              <w:t>微信图书馆</w:t>
            </w:r>
          </w:p>
        </w:tc>
        <w:tc>
          <w:tcPr>
            <w:tcW w:w="8020" w:type="dxa"/>
            <w:vAlign w:val="center"/>
          </w:tcPr>
          <w:p>
            <w:pPr>
              <w:jc w:val="left"/>
              <w:rPr>
                <w:rFonts w:ascii="宋体" w:hAnsi="宋体"/>
                <w:color w:val="000000"/>
                <w:szCs w:val="21"/>
                <w:highlight w:val="none"/>
              </w:rPr>
            </w:pPr>
            <w:r>
              <w:rPr>
                <w:rFonts w:hint="eastAsia" w:ascii="宋体" w:hAnsi="宋体"/>
                <w:color w:val="000000"/>
                <w:szCs w:val="21"/>
                <w:highlight w:val="none"/>
              </w:rPr>
              <w:t>实体读者证绑定微信端，生成微信二维码读者证，可直接登录自助借还书机等相关设备，进行借书、还书、续借等一系列图书借阅流程。</w:t>
            </w:r>
          </w:p>
        </w:tc>
        <w:tc>
          <w:tcPr>
            <w:tcW w:w="660" w:type="dxa"/>
            <w:vAlign w:val="center"/>
          </w:tcPr>
          <w:p>
            <w:pPr>
              <w:jc w:val="center"/>
              <w:rPr>
                <w:rFonts w:ascii="宋体" w:hAnsi="宋体"/>
                <w:color w:val="000000"/>
                <w:szCs w:val="21"/>
                <w:highlight w:val="none"/>
              </w:rPr>
            </w:pPr>
            <w:r>
              <w:rPr>
                <w:rFonts w:hint="eastAsia" w:ascii="宋体" w:hAnsi="宋体"/>
                <w:color w:val="000000"/>
                <w:szCs w:val="21"/>
                <w:highlight w:val="none"/>
              </w:rPr>
              <w:t>1</w:t>
            </w:r>
          </w:p>
        </w:tc>
        <w:tc>
          <w:tcPr>
            <w:tcW w:w="680" w:type="dxa"/>
            <w:vAlign w:val="center"/>
          </w:tcPr>
          <w:p>
            <w:pPr>
              <w:jc w:val="center"/>
              <w:rPr>
                <w:rFonts w:ascii="宋体" w:hAnsi="宋体"/>
                <w:color w:val="000000"/>
                <w:szCs w:val="21"/>
                <w:highlight w:val="none"/>
              </w:rPr>
            </w:pPr>
            <w:r>
              <w:rPr>
                <w:rFonts w:hint="eastAsia" w:ascii="宋体" w:hAnsi="宋体"/>
                <w:color w:val="00000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0" w:type="dxa"/>
            <w:gridSpan w:val="5"/>
            <w:vAlign w:val="center"/>
          </w:tcPr>
          <w:p>
            <w:pPr>
              <w:jc w:val="center"/>
              <w:rPr>
                <w:rFonts w:ascii="宋体" w:hAnsi="宋体" w:cs="宋体"/>
                <w:color w:val="000000"/>
                <w:szCs w:val="21"/>
                <w:highlight w:val="none"/>
              </w:rPr>
            </w:pPr>
            <w:r>
              <w:rPr>
                <w:rFonts w:hint="eastAsia" w:ascii="宋体" w:hAnsi="宋体" w:eastAsia="宋体"/>
                <w:b/>
                <w:bCs/>
                <w:color w:val="000000"/>
                <w:szCs w:val="21"/>
                <w:highlight w:val="none"/>
              </w:rPr>
              <w:t>7、网络安全加固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widowControl/>
              <w:jc w:val="center"/>
              <w:rPr>
                <w:rFonts w:ascii="宋体" w:hAnsi="宋体"/>
                <w:color w:val="000000"/>
                <w:szCs w:val="21"/>
                <w:highlight w:val="none"/>
              </w:rPr>
            </w:pPr>
            <w:r>
              <w:rPr>
                <w:rFonts w:hint="eastAsia" w:ascii="宋体" w:hAnsi="宋体"/>
                <w:color w:val="000000"/>
                <w:szCs w:val="21"/>
                <w:highlight w:val="none"/>
              </w:rPr>
              <w:t>1</w:t>
            </w:r>
          </w:p>
        </w:tc>
        <w:tc>
          <w:tcPr>
            <w:tcW w:w="710" w:type="dxa"/>
            <w:vAlign w:val="center"/>
          </w:tcPr>
          <w:p>
            <w:pPr>
              <w:jc w:val="center"/>
              <w:rPr>
                <w:rFonts w:ascii="宋体" w:hAnsi="宋体"/>
                <w:color w:val="000000"/>
                <w:szCs w:val="21"/>
                <w:highlight w:val="none"/>
              </w:rPr>
            </w:pPr>
            <w:r>
              <w:rPr>
                <w:rFonts w:hint="eastAsia" w:ascii="宋体" w:hAnsi="宋体"/>
                <w:color w:val="000000"/>
                <w:szCs w:val="21"/>
                <w:highlight w:val="none"/>
              </w:rPr>
              <w:t>全网行为管理</w:t>
            </w:r>
          </w:p>
        </w:tc>
        <w:tc>
          <w:tcPr>
            <w:tcW w:w="8020" w:type="dxa"/>
            <w:vAlign w:val="center"/>
          </w:tcPr>
          <w:p>
            <w:pPr>
              <w:jc w:val="left"/>
              <w:rPr>
                <w:rFonts w:ascii="宋体" w:hAnsi="宋体"/>
                <w:color w:val="000000"/>
                <w:szCs w:val="21"/>
                <w:highlight w:val="none"/>
              </w:rPr>
            </w:pPr>
            <w:r>
              <w:rPr>
                <w:rFonts w:hint="eastAsia" w:ascii="宋体" w:hAnsi="宋体"/>
                <w:color w:val="000000"/>
                <w:szCs w:val="21"/>
                <w:highlight w:val="none"/>
              </w:rPr>
              <w:t>性能参数：网络层吞吐量（大包）：</w:t>
            </w:r>
            <w:r>
              <w:rPr>
                <w:rFonts w:hint="eastAsia"/>
                <w:highlight w:val="none"/>
              </w:rPr>
              <w:t>≥</w:t>
            </w:r>
            <w:r>
              <w:rPr>
                <w:rFonts w:hint="eastAsia" w:ascii="宋体" w:hAnsi="宋体"/>
                <w:color w:val="000000"/>
                <w:szCs w:val="21"/>
                <w:highlight w:val="none"/>
              </w:rPr>
              <w:t>10Gb，应用层吞吐量：</w:t>
            </w:r>
            <w:r>
              <w:rPr>
                <w:rFonts w:hint="eastAsia"/>
                <w:highlight w:val="none"/>
              </w:rPr>
              <w:t>≥</w:t>
            </w:r>
            <w:r>
              <w:rPr>
                <w:rFonts w:hint="eastAsia" w:ascii="宋体" w:hAnsi="宋体"/>
                <w:color w:val="000000"/>
                <w:szCs w:val="21"/>
                <w:highlight w:val="none"/>
              </w:rPr>
              <w:t>1.5Gb，带宽性能：</w:t>
            </w:r>
            <w:r>
              <w:rPr>
                <w:rFonts w:hint="eastAsia"/>
                <w:highlight w:val="none"/>
              </w:rPr>
              <w:t>≥</w:t>
            </w:r>
            <w:r>
              <w:rPr>
                <w:rFonts w:hint="eastAsia" w:ascii="宋体" w:hAnsi="宋体"/>
                <w:color w:val="000000"/>
                <w:szCs w:val="21"/>
                <w:highlight w:val="none"/>
              </w:rPr>
              <w:t>1Gb，IPSEC VPN加密性能（最高性能）：</w:t>
            </w:r>
            <w:r>
              <w:rPr>
                <w:rFonts w:hint="eastAsia"/>
                <w:highlight w:val="none"/>
              </w:rPr>
              <w:t>≥</w:t>
            </w:r>
            <w:r>
              <w:rPr>
                <w:rFonts w:hint="eastAsia" w:ascii="宋体" w:hAnsi="宋体"/>
                <w:color w:val="000000"/>
                <w:szCs w:val="21"/>
                <w:highlight w:val="none"/>
              </w:rPr>
              <w:t>200M，支持用户数：</w:t>
            </w:r>
            <w:r>
              <w:rPr>
                <w:rFonts w:hint="eastAsia"/>
                <w:highlight w:val="none"/>
              </w:rPr>
              <w:t>≥</w:t>
            </w:r>
            <w:r>
              <w:rPr>
                <w:rFonts w:hint="eastAsia" w:ascii="宋体" w:hAnsi="宋体"/>
                <w:color w:val="000000"/>
                <w:szCs w:val="21"/>
                <w:highlight w:val="none"/>
              </w:rPr>
              <w:t>1500，包转发率：</w:t>
            </w:r>
            <w:r>
              <w:rPr>
                <w:rFonts w:hint="eastAsia"/>
                <w:highlight w:val="none"/>
              </w:rPr>
              <w:t>≥</w:t>
            </w:r>
            <w:r>
              <w:rPr>
                <w:rFonts w:hint="eastAsia" w:ascii="宋体" w:hAnsi="宋体"/>
                <w:color w:val="000000"/>
                <w:szCs w:val="21"/>
                <w:highlight w:val="none"/>
              </w:rPr>
              <w:t>132Kpps，每秒新建连接数：</w:t>
            </w:r>
            <w:r>
              <w:rPr>
                <w:rFonts w:hint="eastAsia"/>
                <w:highlight w:val="none"/>
              </w:rPr>
              <w:t>≥</w:t>
            </w:r>
            <w:r>
              <w:rPr>
                <w:rFonts w:hint="eastAsia" w:ascii="宋体" w:hAnsi="宋体"/>
                <w:color w:val="000000"/>
                <w:szCs w:val="21"/>
                <w:highlight w:val="none"/>
              </w:rPr>
              <w:t>14000，最大并发连接数：</w:t>
            </w:r>
            <w:r>
              <w:rPr>
                <w:rFonts w:hint="eastAsia"/>
                <w:highlight w:val="none"/>
              </w:rPr>
              <w:t>≥</w:t>
            </w:r>
            <w:r>
              <w:rPr>
                <w:rFonts w:hint="eastAsia" w:ascii="宋体" w:hAnsi="宋体"/>
                <w:color w:val="000000"/>
                <w:szCs w:val="21"/>
                <w:highlight w:val="none"/>
              </w:rPr>
              <w:t>600000。</w:t>
            </w:r>
          </w:p>
          <w:p>
            <w:pPr>
              <w:jc w:val="left"/>
              <w:rPr>
                <w:rFonts w:ascii="宋体" w:hAnsi="宋体"/>
                <w:color w:val="000000"/>
                <w:szCs w:val="21"/>
                <w:highlight w:val="none"/>
              </w:rPr>
            </w:pPr>
            <w:r>
              <w:rPr>
                <w:rFonts w:hint="eastAsia" w:ascii="宋体" w:hAnsi="宋体"/>
                <w:color w:val="000000"/>
                <w:szCs w:val="21"/>
                <w:highlight w:val="none"/>
              </w:rPr>
              <w:t>硬件参数：规格：1U，内存大小：</w:t>
            </w:r>
            <w:r>
              <w:rPr>
                <w:rFonts w:hint="eastAsia"/>
                <w:highlight w:val="none"/>
              </w:rPr>
              <w:t>≥</w:t>
            </w:r>
            <w:r>
              <w:rPr>
                <w:rFonts w:hint="eastAsia" w:ascii="宋体" w:hAnsi="宋体"/>
                <w:color w:val="000000"/>
                <w:szCs w:val="21"/>
                <w:highlight w:val="none"/>
              </w:rPr>
              <w:t>8G，硬盘容量：</w:t>
            </w:r>
            <w:r>
              <w:rPr>
                <w:rFonts w:hint="eastAsia"/>
                <w:highlight w:val="none"/>
              </w:rPr>
              <w:t>≥</w:t>
            </w:r>
            <w:r>
              <w:rPr>
                <w:rFonts w:hint="eastAsia" w:ascii="宋体" w:hAnsi="宋体"/>
                <w:color w:val="000000"/>
                <w:szCs w:val="21"/>
                <w:highlight w:val="none"/>
              </w:rPr>
              <w:t>128GB MSATA+480G SSD，电源：单电源，接口：</w:t>
            </w:r>
            <w:r>
              <w:rPr>
                <w:rFonts w:hint="eastAsia"/>
                <w:highlight w:val="none"/>
              </w:rPr>
              <w:t>≥</w:t>
            </w:r>
            <w:r>
              <w:rPr>
                <w:rFonts w:hint="eastAsia" w:ascii="宋体" w:hAnsi="宋体"/>
                <w:color w:val="000000"/>
                <w:szCs w:val="21"/>
                <w:highlight w:val="none"/>
              </w:rPr>
              <w:t>6千兆电口+2千兆光口SFP。</w:t>
            </w:r>
          </w:p>
          <w:p>
            <w:pPr>
              <w:jc w:val="left"/>
              <w:rPr>
                <w:rFonts w:ascii="宋体" w:hAnsi="宋体"/>
                <w:color w:val="000000"/>
                <w:szCs w:val="21"/>
                <w:highlight w:val="none"/>
              </w:rPr>
            </w:pPr>
            <w:r>
              <w:rPr>
                <w:rFonts w:hint="eastAsia" w:ascii="宋体" w:hAnsi="宋体"/>
                <w:color w:val="000000"/>
                <w:szCs w:val="21"/>
                <w:highlight w:val="none"/>
              </w:rPr>
              <w:t>含：</w:t>
            </w:r>
          </w:p>
          <w:p>
            <w:pPr>
              <w:jc w:val="left"/>
              <w:rPr>
                <w:rFonts w:ascii="宋体" w:hAnsi="宋体"/>
                <w:color w:val="000000"/>
                <w:szCs w:val="21"/>
                <w:highlight w:val="none"/>
              </w:rPr>
            </w:pPr>
            <w:r>
              <w:rPr>
                <w:rFonts w:hint="eastAsia" w:ascii="宋体" w:hAnsi="宋体"/>
                <w:color w:val="000000"/>
                <w:szCs w:val="21"/>
                <w:highlight w:val="none"/>
              </w:rPr>
              <w:t>URL&amp;应用识别规则库升级(*3套);</w:t>
            </w:r>
          </w:p>
          <w:p>
            <w:pPr>
              <w:jc w:val="left"/>
              <w:rPr>
                <w:rFonts w:ascii="宋体" w:hAnsi="宋体"/>
                <w:color w:val="000000"/>
                <w:szCs w:val="21"/>
                <w:highlight w:val="none"/>
              </w:rPr>
            </w:pPr>
            <w:r>
              <w:rPr>
                <w:rFonts w:hint="eastAsia" w:ascii="宋体" w:hAnsi="宋体"/>
                <w:color w:val="000000"/>
                <w:szCs w:val="21"/>
                <w:highlight w:val="none"/>
              </w:rPr>
              <w:t>全网行为管理系统软件V13.0(*1套);</w:t>
            </w:r>
          </w:p>
        </w:tc>
        <w:tc>
          <w:tcPr>
            <w:tcW w:w="660" w:type="dxa"/>
            <w:vAlign w:val="center"/>
          </w:tcPr>
          <w:p>
            <w:pPr>
              <w:jc w:val="center"/>
              <w:rPr>
                <w:rFonts w:ascii="宋体" w:hAnsi="宋体"/>
                <w:color w:val="000000"/>
                <w:szCs w:val="21"/>
                <w:highlight w:val="none"/>
              </w:rPr>
            </w:pPr>
            <w:r>
              <w:rPr>
                <w:rFonts w:hint="eastAsia" w:ascii="宋体" w:hAnsi="宋体"/>
                <w:color w:val="000000"/>
                <w:szCs w:val="21"/>
                <w:highlight w:val="none"/>
              </w:rPr>
              <w:t>1</w:t>
            </w:r>
          </w:p>
        </w:tc>
        <w:tc>
          <w:tcPr>
            <w:tcW w:w="680" w:type="dxa"/>
            <w:vAlign w:val="center"/>
          </w:tcPr>
          <w:p>
            <w:pPr>
              <w:jc w:val="center"/>
              <w:rPr>
                <w:rFonts w:ascii="宋体" w:hAnsi="宋体"/>
                <w:color w:val="000000"/>
                <w:szCs w:val="21"/>
                <w:highlight w:val="none"/>
              </w:rPr>
            </w:pPr>
            <w:r>
              <w:rPr>
                <w:rFonts w:hint="eastAsia" w:ascii="宋体" w:hAnsi="宋体"/>
                <w:color w:val="00000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jc w:val="center"/>
              <w:rPr>
                <w:rFonts w:ascii="宋体" w:hAnsi="宋体"/>
                <w:color w:val="000000"/>
                <w:szCs w:val="21"/>
                <w:highlight w:val="none"/>
              </w:rPr>
            </w:pPr>
            <w:r>
              <w:rPr>
                <w:rFonts w:hint="eastAsia" w:ascii="宋体" w:hAnsi="宋体"/>
                <w:color w:val="000000"/>
                <w:szCs w:val="21"/>
                <w:highlight w:val="none"/>
              </w:rPr>
              <w:t>2</w:t>
            </w:r>
          </w:p>
        </w:tc>
        <w:tc>
          <w:tcPr>
            <w:tcW w:w="710" w:type="dxa"/>
            <w:vAlign w:val="center"/>
          </w:tcPr>
          <w:p>
            <w:pPr>
              <w:jc w:val="center"/>
              <w:rPr>
                <w:rFonts w:ascii="宋体" w:hAnsi="宋体"/>
                <w:color w:val="000000"/>
                <w:szCs w:val="21"/>
                <w:highlight w:val="none"/>
              </w:rPr>
            </w:pPr>
            <w:r>
              <w:rPr>
                <w:rFonts w:hint="eastAsia" w:ascii="宋体" w:hAnsi="宋体"/>
                <w:color w:val="000000"/>
                <w:szCs w:val="21"/>
                <w:highlight w:val="none"/>
              </w:rPr>
              <w:t>防火墙</w:t>
            </w:r>
          </w:p>
        </w:tc>
        <w:tc>
          <w:tcPr>
            <w:tcW w:w="8020" w:type="dxa"/>
            <w:vAlign w:val="center"/>
          </w:tcPr>
          <w:p>
            <w:pPr>
              <w:jc w:val="left"/>
              <w:rPr>
                <w:rFonts w:ascii="宋体" w:hAnsi="宋体"/>
                <w:color w:val="000000"/>
                <w:szCs w:val="21"/>
                <w:highlight w:val="none"/>
              </w:rPr>
            </w:pPr>
            <w:r>
              <w:rPr>
                <w:rFonts w:hint="eastAsia" w:ascii="宋体" w:hAnsi="宋体"/>
                <w:color w:val="000000"/>
                <w:szCs w:val="21"/>
                <w:highlight w:val="none"/>
              </w:rPr>
              <w:t>性能参数：网络层吞吐量：</w:t>
            </w:r>
            <w:r>
              <w:rPr>
                <w:rFonts w:hint="eastAsia"/>
                <w:highlight w:val="none"/>
              </w:rPr>
              <w:t>≥</w:t>
            </w:r>
            <w:r>
              <w:rPr>
                <w:rFonts w:hint="eastAsia" w:ascii="宋体" w:hAnsi="宋体"/>
                <w:color w:val="000000"/>
                <w:szCs w:val="21"/>
                <w:highlight w:val="none"/>
              </w:rPr>
              <w:t>15G，应用层吞吐量：</w:t>
            </w:r>
            <w:r>
              <w:rPr>
                <w:rFonts w:hint="eastAsia"/>
                <w:highlight w:val="none"/>
              </w:rPr>
              <w:t>≥</w:t>
            </w:r>
            <w:r>
              <w:rPr>
                <w:rFonts w:hint="eastAsia" w:ascii="宋体" w:hAnsi="宋体"/>
                <w:color w:val="000000"/>
                <w:szCs w:val="21"/>
                <w:highlight w:val="none"/>
              </w:rPr>
              <w:t>8G，防病毒吞吐量：</w:t>
            </w:r>
            <w:r>
              <w:rPr>
                <w:rFonts w:hint="eastAsia"/>
                <w:highlight w:val="none"/>
              </w:rPr>
              <w:t>≥</w:t>
            </w:r>
            <w:r>
              <w:rPr>
                <w:rFonts w:hint="eastAsia" w:ascii="宋体" w:hAnsi="宋体"/>
                <w:color w:val="000000"/>
                <w:szCs w:val="21"/>
                <w:highlight w:val="none"/>
              </w:rPr>
              <w:t>1G，IPS吞吐量：</w:t>
            </w:r>
            <w:r>
              <w:rPr>
                <w:rFonts w:hint="eastAsia"/>
                <w:highlight w:val="none"/>
              </w:rPr>
              <w:t>≥</w:t>
            </w:r>
            <w:r>
              <w:rPr>
                <w:rFonts w:hint="eastAsia" w:ascii="宋体" w:hAnsi="宋体"/>
                <w:color w:val="000000"/>
                <w:szCs w:val="21"/>
                <w:highlight w:val="none"/>
              </w:rPr>
              <w:t>1G，并发连接数：</w:t>
            </w:r>
            <w:r>
              <w:rPr>
                <w:rFonts w:hint="eastAsia"/>
                <w:highlight w:val="none"/>
              </w:rPr>
              <w:t>≥</w:t>
            </w:r>
            <w:r>
              <w:rPr>
                <w:rFonts w:hint="eastAsia" w:ascii="宋体" w:hAnsi="宋体"/>
                <w:color w:val="000000"/>
                <w:szCs w:val="21"/>
                <w:highlight w:val="none"/>
              </w:rPr>
              <w:t>200万，HTTP新建连接数：</w:t>
            </w:r>
            <w:r>
              <w:rPr>
                <w:rFonts w:hint="eastAsia"/>
                <w:highlight w:val="none"/>
              </w:rPr>
              <w:t>≥</w:t>
            </w:r>
            <w:r>
              <w:rPr>
                <w:rFonts w:hint="eastAsia" w:ascii="宋体" w:hAnsi="宋体"/>
                <w:color w:val="000000"/>
                <w:szCs w:val="21"/>
                <w:highlight w:val="none"/>
              </w:rPr>
              <w:t>9万，IPSec VPN 最大接入数：</w:t>
            </w:r>
            <w:r>
              <w:rPr>
                <w:rFonts w:hint="eastAsia"/>
                <w:highlight w:val="none"/>
              </w:rPr>
              <w:t>≥</w:t>
            </w:r>
            <w:r>
              <w:rPr>
                <w:rFonts w:hint="eastAsia" w:ascii="宋体" w:hAnsi="宋体"/>
                <w:color w:val="000000"/>
                <w:szCs w:val="21"/>
                <w:highlight w:val="none"/>
              </w:rPr>
              <w:t>1000，IPSec  VPN吞吐量：</w:t>
            </w:r>
            <w:r>
              <w:rPr>
                <w:rFonts w:hint="eastAsia"/>
                <w:highlight w:val="none"/>
              </w:rPr>
              <w:t>≥</w:t>
            </w:r>
            <w:r>
              <w:rPr>
                <w:rFonts w:hint="eastAsia" w:ascii="宋体" w:hAnsi="宋体"/>
                <w:color w:val="000000"/>
                <w:szCs w:val="21"/>
                <w:highlight w:val="none"/>
              </w:rPr>
              <w:t>700M。</w:t>
            </w:r>
          </w:p>
          <w:p>
            <w:pPr>
              <w:jc w:val="left"/>
              <w:rPr>
                <w:rFonts w:ascii="宋体" w:hAnsi="宋体"/>
                <w:color w:val="000000"/>
                <w:szCs w:val="21"/>
                <w:highlight w:val="none"/>
              </w:rPr>
            </w:pPr>
            <w:r>
              <w:rPr>
                <w:rFonts w:hint="eastAsia" w:ascii="宋体" w:hAnsi="宋体"/>
                <w:color w:val="000000"/>
                <w:szCs w:val="21"/>
                <w:highlight w:val="none"/>
              </w:rPr>
              <w:t>硬件参数：规格：2U，内存大小：</w:t>
            </w:r>
            <w:r>
              <w:rPr>
                <w:rFonts w:hint="eastAsia"/>
                <w:highlight w:val="none"/>
              </w:rPr>
              <w:t>≥</w:t>
            </w:r>
            <w:r>
              <w:rPr>
                <w:rFonts w:hint="eastAsia" w:ascii="宋体" w:hAnsi="宋体"/>
                <w:color w:val="000000"/>
                <w:szCs w:val="21"/>
                <w:highlight w:val="none"/>
              </w:rPr>
              <w:t>8G，硬盘容量：</w:t>
            </w:r>
            <w:r>
              <w:rPr>
                <w:rFonts w:hint="eastAsia"/>
                <w:highlight w:val="none"/>
              </w:rPr>
              <w:t>≥</w:t>
            </w:r>
            <w:r>
              <w:rPr>
                <w:rFonts w:hint="eastAsia" w:ascii="宋体" w:hAnsi="宋体"/>
                <w:color w:val="000000"/>
                <w:szCs w:val="21"/>
                <w:highlight w:val="none"/>
              </w:rPr>
              <w:t>128G SSD，电源：冗余电源，接口：</w:t>
            </w:r>
            <w:r>
              <w:rPr>
                <w:rFonts w:hint="eastAsia"/>
                <w:highlight w:val="none"/>
              </w:rPr>
              <w:t>≥</w:t>
            </w:r>
            <w:r>
              <w:rPr>
                <w:rFonts w:hint="eastAsia" w:ascii="宋体" w:hAnsi="宋体"/>
                <w:color w:val="000000"/>
                <w:szCs w:val="21"/>
                <w:highlight w:val="none"/>
              </w:rPr>
              <w:t>8千兆电口+2万兆光口SFP+。</w:t>
            </w:r>
          </w:p>
          <w:p>
            <w:pPr>
              <w:jc w:val="left"/>
              <w:rPr>
                <w:rFonts w:ascii="宋体" w:hAnsi="宋体"/>
                <w:color w:val="000000"/>
                <w:szCs w:val="21"/>
                <w:highlight w:val="none"/>
              </w:rPr>
            </w:pPr>
            <w:r>
              <w:rPr>
                <w:rFonts w:hint="eastAsia" w:ascii="宋体" w:hAnsi="宋体"/>
                <w:color w:val="000000"/>
                <w:szCs w:val="21"/>
                <w:highlight w:val="none"/>
              </w:rPr>
              <w:t>含：</w:t>
            </w:r>
          </w:p>
          <w:p>
            <w:pPr>
              <w:jc w:val="left"/>
              <w:rPr>
                <w:rFonts w:ascii="宋体" w:hAnsi="宋体"/>
                <w:color w:val="000000"/>
                <w:szCs w:val="21"/>
                <w:highlight w:val="none"/>
              </w:rPr>
            </w:pPr>
            <w:r>
              <w:rPr>
                <w:rFonts w:hint="eastAsia" w:ascii="宋体" w:hAnsi="宋体"/>
                <w:color w:val="000000"/>
                <w:szCs w:val="21"/>
                <w:highlight w:val="none"/>
              </w:rPr>
              <w:t>防火墙软件基础级(*1套);</w:t>
            </w:r>
          </w:p>
          <w:p>
            <w:pPr>
              <w:jc w:val="left"/>
              <w:rPr>
                <w:rFonts w:ascii="宋体" w:hAnsi="宋体"/>
                <w:color w:val="000000"/>
                <w:szCs w:val="21"/>
                <w:highlight w:val="none"/>
              </w:rPr>
            </w:pPr>
            <w:r>
              <w:rPr>
                <w:rFonts w:hint="eastAsia" w:ascii="宋体" w:hAnsi="宋体"/>
                <w:color w:val="000000"/>
                <w:szCs w:val="21"/>
                <w:highlight w:val="none"/>
              </w:rPr>
              <w:t>云智订阅软件（包括WEB应用防护识别库、IPS特征库、僵尸网络防护库、实时漏洞分析识别库和URL&amp;应用识别库定期更新，保持设备具备检测防御最新威胁的能力。）(*3年更新);</w:t>
            </w:r>
          </w:p>
        </w:tc>
        <w:tc>
          <w:tcPr>
            <w:tcW w:w="660" w:type="dxa"/>
            <w:vAlign w:val="center"/>
          </w:tcPr>
          <w:p>
            <w:pPr>
              <w:jc w:val="center"/>
              <w:rPr>
                <w:rFonts w:ascii="宋体" w:hAnsi="宋体"/>
                <w:color w:val="000000"/>
                <w:szCs w:val="21"/>
                <w:highlight w:val="none"/>
              </w:rPr>
            </w:pPr>
            <w:r>
              <w:rPr>
                <w:rFonts w:hint="eastAsia" w:ascii="宋体" w:hAnsi="宋体"/>
                <w:color w:val="000000"/>
                <w:szCs w:val="21"/>
                <w:highlight w:val="none"/>
              </w:rPr>
              <w:t>1</w:t>
            </w:r>
          </w:p>
        </w:tc>
        <w:tc>
          <w:tcPr>
            <w:tcW w:w="680" w:type="dxa"/>
            <w:vAlign w:val="center"/>
          </w:tcPr>
          <w:p>
            <w:pPr>
              <w:jc w:val="center"/>
              <w:rPr>
                <w:rFonts w:ascii="宋体" w:hAnsi="宋体"/>
                <w:color w:val="000000"/>
                <w:szCs w:val="21"/>
                <w:highlight w:val="none"/>
              </w:rPr>
            </w:pPr>
            <w:r>
              <w:rPr>
                <w:rFonts w:hint="eastAsia" w:ascii="宋体" w:hAnsi="宋体"/>
                <w:color w:val="00000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jc w:val="center"/>
              <w:rPr>
                <w:rFonts w:ascii="宋体" w:hAnsi="宋体" w:cs="宋体"/>
                <w:color w:val="000000"/>
                <w:szCs w:val="21"/>
                <w:highlight w:val="none"/>
              </w:rPr>
            </w:pPr>
            <w:r>
              <w:rPr>
                <w:rFonts w:hint="eastAsia" w:ascii="宋体" w:hAnsi="宋体"/>
                <w:color w:val="000000"/>
                <w:szCs w:val="21"/>
                <w:highlight w:val="none"/>
              </w:rPr>
              <w:t>3</w:t>
            </w:r>
          </w:p>
        </w:tc>
        <w:tc>
          <w:tcPr>
            <w:tcW w:w="710" w:type="dxa"/>
            <w:vAlign w:val="center"/>
          </w:tcPr>
          <w:p>
            <w:pPr>
              <w:jc w:val="center"/>
              <w:rPr>
                <w:rFonts w:ascii="宋体" w:hAnsi="宋体"/>
                <w:color w:val="000000"/>
                <w:szCs w:val="21"/>
                <w:highlight w:val="none"/>
              </w:rPr>
            </w:pPr>
            <w:r>
              <w:rPr>
                <w:rFonts w:hint="eastAsia" w:ascii="宋体" w:hAnsi="宋体"/>
                <w:color w:val="000000"/>
                <w:szCs w:val="21"/>
                <w:highlight w:val="none"/>
              </w:rPr>
              <w:t>辅材</w:t>
            </w:r>
          </w:p>
        </w:tc>
        <w:tc>
          <w:tcPr>
            <w:tcW w:w="8020" w:type="dxa"/>
            <w:vAlign w:val="center"/>
          </w:tcPr>
          <w:p>
            <w:pPr>
              <w:jc w:val="left"/>
              <w:rPr>
                <w:rFonts w:ascii="宋体" w:hAnsi="宋体"/>
                <w:color w:val="000000"/>
                <w:szCs w:val="21"/>
                <w:highlight w:val="none"/>
              </w:rPr>
            </w:pPr>
            <w:r>
              <w:rPr>
                <w:rFonts w:hint="eastAsia" w:ascii="宋体" w:hAnsi="宋体"/>
                <w:color w:val="000000"/>
                <w:szCs w:val="21"/>
                <w:highlight w:val="none"/>
              </w:rPr>
              <w:t>包含设备安装调试所需线材，核心交换机与汇聚交换机的配置调试，机柜内线路整理与标记。</w:t>
            </w:r>
          </w:p>
        </w:tc>
        <w:tc>
          <w:tcPr>
            <w:tcW w:w="660" w:type="dxa"/>
            <w:vAlign w:val="center"/>
          </w:tcPr>
          <w:p>
            <w:pPr>
              <w:jc w:val="center"/>
              <w:rPr>
                <w:rFonts w:ascii="宋体" w:hAnsi="宋体"/>
                <w:color w:val="000000"/>
                <w:szCs w:val="21"/>
                <w:highlight w:val="none"/>
              </w:rPr>
            </w:pPr>
            <w:r>
              <w:rPr>
                <w:rFonts w:hint="eastAsia" w:ascii="宋体" w:hAnsi="宋体"/>
                <w:color w:val="000000"/>
                <w:szCs w:val="21"/>
                <w:highlight w:val="none"/>
              </w:rPr>
              <w:t>1</w:t>
            </w:r>
          </w:p>
        </w:tc>
        <w:tc>
          <w:tcPr>
            <w:tcW w:w="680" w:type="dxa"/>
            <w:vAlign w:val="center"/>
          </w:tcPr>
          <w:p>
            <w:pPr>
              <w:jc w:val="center"/>
              <w:rPr>
                <w:rFonts w:ascii="宋体" w:hAnsi="宋体"/>
                <w:color w:val="000000"/>
                <w:szCs w:val="21"/>
                <w:highlight w:val="none"/>
              </w:rPr>
            </w:pPr>
            <w:r>
              <w:rPr>
                <w:rFonts w:hint="eastAsia" w:ascii="宋体" w:hAnsi="宋体"/>
                <w:color w:val="000000"/>
                <w:szCs w:val="21"/>
                <w:highlight w:val="none"/>
              </w:rPr>
              <w:t>套</w:t>
            </w:r>
          </w:p>
        </w:tc>
      </w:tr>
    </w:tbl>
    <w:p>
      <w:pPr>
        <w:pStyle w:val="7"/>
        <w:ind w:firstLine="496"/>
        <w:rPr>
          <w:rFonts w:ascii="宋体" w:hAnsi="宋体" w:cs="宋体"/>
          <w:b/>
          <w:bCs/>
          <w:spacing w:val="4"/>
          <w:sz w:val="24"/>
          <w:highlight w:val="none"/>
        </w:rPr>
      </w:pPr>
      <w:r>
        <w:rPr>
          <w:rFonts w:hint="eastAsia" w:ascii="宋体" w:hAnsi="宋体" w:cs="宋体"/>
          <w:b/>
          <w:bCs/>
          <w:spacing w:val="4"/>
          <w:sz w:val="24"/>
          <w:highlight w:val="none"/>
        </w:rPr>
        <w:t>注：本招标项目必须要实质性满足技术要求和商务要求：</w:t>
      </w:r>
    </w:p>
    <w:p>
      <w:pPr>
        <w:pStyle w:val="7"/>
        <w:ind w:firstLine="496"/>
        <w:rPr>
          <w:rFonts w:ascii="宋体" w:hAnsi="宋体" w:cs="宋体"/>
          <w:b/>
          <w:bCs/>
          <w:spacing w:val="4"/>
          <w:sz w:val="24"/>
          <w:highlight w:val="none"/>
        </w:rPr>
      </w:pPr>
      <w:r>
        <w:rPr>
          <w:rFonts w:hint="eastAsia" w:ascii="宋体" w:hAnsi="宋体" w:cs="宋体"/>
          <w:b/>
          <w:bCs/>
          <w:spacing w:val="4"/>
          <w:sz w:val="24"/>
          <w:highlight w:val="none"/>
        </w:rPr>
        <w:t>1、投标人提供的货物必须是原装全新、高于或等于招标文件规定技术参数的产品。</w:t>
      </w:r>
    </w:p>
    <w:p>
      <w:pPr>
        <w:pStyle w:val="7"/>
        <w:ind w:firstLine="496"/>
        <w:rPr>
          <w:rFonts w:hint="eastAsia" w:ascii="宋体" w:hAnsi="宋体" w:cs="宋体"/>
          <w:b/>
          <w:bCs/>
          <w:spacing w:val="4"/>
          <w:sz w:val="24"/>
          <w:highlight w:val="none"/>
        </w:rPr>
      </w:pPr>
      <w:r>
        <w:rPr>
          <w:rFonts w:hint="eastAsia" w:ascii="宋体" w:hAnsi="宋体" w:cs="宋体"/>
          <w:b/>
          <w:bCs/>
          <w:spacing w:val="4"/>
          <w:sz w:val="24"/>
          <w:highlight w:val="none"/>
        </w:rPr>
        <w:t>2、属于节能产品政府采购品目规定必须强制采购的, 必须采购当期节能产品政府采购品目内设备或产品；在价格、技术、服务等指标同等条件下，优先采购节能、环保产品（需提供投标人所投产品属于政府采购清单规定的节能环保产品的证明材料）。</w:t>
      </w:r>
    </w:p>
    <w:p>
      <w:pPr>
        <w:pStyle w:val="7"/>
        <w:ind w:firstLine="496"/>
        <w:rPr>
          <w:rFonts w:hint="eastAsia" w:ascii="宋体" w:hAnsi="宋体" w:cs="宋体"/>
          <w:b/>
          <w:bCs/>
          <w:spacing w:val="4"/>
          <w:sz w:val="24"/>
          <w:highlight w:val="none"/>
        </w:rPr>
      </w:pPr>
      <w:r>
        <w:rPr>
          <w:rFonts w:hint="eastAsia" w:ascii="宋体" w:hAnsi="宋体" w:cs="宋体"/>
          <w:b/>
          <w:bCs/>
          <w:spacing w:val="4"/>
          <w:sz w:val="24"/>
          <w:highlight w:val="none"/>
          <w:lang w:val="en-US" w:eastAsia="zh-CN"/>
        </w:rPr>
        <w:t>3.</w:t>
      </w:r>
      <w:r>
        <w:rPr>
          <w:rFonts w:hint="eastAsia" w:ascii="宋体" w:hAnsi="宋体" w:cs="宋体"/>
          <w:b/>
          <w:bCs/>
          <w:spacing w:val="4"/>
          <w:sz w:val="24"/>
          <w:highlight w:val="none"/>
        </w:rPr>
        <w:t>供应商的投标报价应包括货物本身的费用、包装费、运输费、装卸费、运输过程保险费、安装费、质量保证费、相关的伴随服务费、调试、培训及技术支持服务确保技术人员到客户处现场培训</w:t>
      </w:r>
      <w:r>
        <w:rPr>
          <w:rFonts w:hint="eastAsia" w:ascii="宋体" w:hAnsi="宋体" w:cs="宋体"/>
          <w:b/>
          <w:bCs/>
          <w:spacing w:val="4"/>
          <w:sz w:val="24"/>
          <w:highlight w:val="none"/>
          <w:lang w:eastAsia="zh-CN"/>
        </w:rPr>
        <w:t>、</w:t>
      </w:r>
      <w:r>
        <w:rPr>
          <w:rFonts w:hint="eastAsia" w:ascii="宋体" w:hAnsi="宋体" w:cs="宋体"/>
          <w:b/>
          <w:bCs/>
          <w:spacing w:val="4"/>
          <w:sz w:val="24"/>
          <w:highlight w:val="none"/>
        </w:rPr>
        <w:t>货物本身已支付或将支付的各种税费以及其它交付使用前的所有费用。</w:t>
      </w:r>
    </w:p>
    <w:p>
      <w:pPr>
        <w:pStyle w:val="7"/>
        <w:ind w:firstLine="496"/>
        <w:rPr>
          <w:rFonts w:ascii="宋体" w:hAnsi="宋体" w:cs="宋体"/>
          <w:b/>
          <w:bCs/>
          <w:spacing w:val="4"/>
          <w:sz w:val="24"/>
          <w:highlight w:val="none"/>
        </w:rPr>
      </w:pPr>
      <w:r>
        <w:rPr>
          <w:rFonts w:hint="eastAsia" w:ascii="宋体" w:hAnsi="宋体" w:cs="宋体"/>
          <w:b/>
          <w:bCs/>
          <w:spacing w:val="4"/>
          <w:sz w:val="24"/>
          <w:highlight w:val="none"/>
          <w:lang w:val="en-US" w:eastAsia="zh-CN"/>
        </w:rPr>
        <w:t>4</w:t>
      </w:r>
      <w:r>
        <w:rPr>
          <w:rFonts w:hint="eastAsia" w:ascii="宋体" w:hAnsi="宋体" w:cs="宋体"/>
          <w:b/>
          <w:bCs/>
          <w:spacing w:val="4"/>
          <w:sz w:val="24"/>
          <w:highlight w:val="none"/>
        </w:rPr>
        <w:t>.本项目核心产品：AR教学系统软件、专业虚拟仿真课程资源定制。</w:t>
      </w:r>
    </w:p>
    <w:p>
      <w:pPr>
        <w:pStyle w:val="7"/>
        <w:ind w:firstLine="496"/>
        <w:rPr>
          <w:rFonts w:ascii="宋体" w:hAnsi="宋体" w:cs="宋体"/>
          <w:b/>
          <w:bCs/>
          <w:spacing w:val="4"/>
          <w:sz w:val="24"/>
          <w:highlight w:val="none"/>
        </w:rPr>
      </w:pPr>
      <w:r>
        <w:rPr>
          <w:rFonts w:hint="eastAsia" w:ascii="宋体" w:hAnsi="宋体" w:cs="宋体"/>
          <w:b/>
          <w:bCs/>
          <w:spacing w:val="4"/>
          <w:sz w:val="24"/>
          <w:highlight w:val="none"/>
          <w:lang w:val="en-US" w:eastAsia="zh-CN"/>
        </w:rPr>
        <w:t>5</w:t>
      </w:r>
      <w:r>
        <w:rPr>
          <w:rFonts w:hint="eastAsia" w:ascii="宋体" w:hAnsi="宋体" w:cs="宋体"/>
          <w:b/>
          <w:bCs/>
          <w:spacing w:val="4"/>
          <w:sz w:val="24"/>
          <w:highlight w:val="none"/>
        </w:rPr>
        <w:t>.本标的所属行业：制造业</w:t>
      </w:r>
    </w:p>
    <w:p>
      <w:pPr>
        <w:spacing w:line="560" w:lineRule="exact"/>
        <w:ind w:firstLine="482" w:firstLineChars="200"/>
        <w:rPr>
          <w:rFonts w:ascii="宋体" w:hAnsi="宋体" w:cs="宋体"/>
          <w:b/>
          <w:bCs/>
          <w:kern w:val="0"/>
          <w:sz w:val="24"/>
          <w:highlight w:val="none"/>
        </w:rPr>
      </w:pPr>
    </w:p>
    <w:bookmarkEnd w:id="254"/>
    <w:p>
      <w:pPr>
        <w:rPr>
          <w:sz w:val="32"/>
          <w:szCs w:val="32"/>
          <w:highlight w:val="none"/>
        </w:rPr>
      </w:pPr>
      <w:bookmarkStart w:id="256" w:name="_Toc28947"/>
      <w:bookmarkStart w:id="257" w:name="_Toc7906"/>
      <w:bookmarkStart w:id="258" w:name="_Toc426369533"/>
      <w:bookmarkStart w:id="259" w:name="_Toc403122572"/>
      <w:r>
        <w:rPr>
          <w:rFonts w:hint="eastAsia"/>
          <w:sz w:val="32"/>
          <w:szCs w:val="32"/>
          <w:highlight w:val="none"/>
        </w:rPr>
        <w:br w:type="page"/>
      </w:r>
    </w:p>
    <w:p>
      <w:pPr>
        <w:pStyle w:val="2"/>
        <w:spacing w:before="0" w:after="0" w:line="360" w:lineRule="auto"/>
        <w:ind w:firstLine="643" w:firstLineChars="200"/>
        <w:rPr>
          <w:sz w:val="32"/>
          <w:szCs w:val="32"/>
          <w:highlight w:val="none"/>
        </w:rPr>
      </w:pPr>
      <w:r>
        <w:rPr>
          <w:rFonts w:hint="eastAsia"/>
          <w:sz w:val="32"/>
          <w:szCs w:val="32"/>
          <w:highlight w:val="none"/>
        </w:rPr>
        <w:t>第六章 质疑与投诉</w:t>
      </w:r>
      <w:bookmarkEnd w:id="256"/>
    </w:p>
    <w:p>
      <w:pPr>
        <w:rPr>
          <w:highlight w:val="none"/>
        </w:rPr>
      </w:pPr>
    </w:p>
    <w:p>
      <w:pPr>
        <w:pStyle w:val="3"/>
        <w:rPr>
          <w:rFonts w:ascii="宋体" w:hAnsi="宋体" w:cs="宋体"/>
          <w:b w:val="0"/>
          <w:bCs w:val="0"/>
          <w:szCs w:val="21"/>
          <w:highlight w:val="none"/>
        </w:rPr>
      </w:pPr>
      <w:r>
        <w:rPr>
          <w:rFonts w:hint="eastAsia" w:ascii="宋体" w:hAnsi="宋体" w:cs="宋体"/>
          <w:szCs w:val="21"/>
          <w:highlight w:val="none"/>
        </w:rPr>
        <w:t>一、质疑与答复</w:t>
      </w:r>
    </w:p>
    <w:p>
      <w:pPr>
        <w:pStyle w:val="18"/>
        <w:spacing w:line="360" w:lineRule="auto"/>
        <w:ind w:firstLineChars="200"/>
        <w:rPr>
          <w:rFonts w:hint="default" w:ascii="宋体" w:hAnsi="宋体" w:eastAsia="宋体" w:cs="宋体"/>
          <w:sz w:val="21"/>
          <w:szCs w:val="21"/>
          <w:highlight w:val="none"/>
        </w:rPr>
      </w:pPr>
      <w:r>
        <w:rPr>
          <w:rFonts w:ascii="宋体" w:hAnsi="宋体" w:eastAsia="宋体" w:cs="宋体"/>
          <w:sz w:val="21"/>
          <w:szCs w:val="21"/>
          <w:highlight w:val="none"/>
        </w:rPr>
        <w:t>1. 参与政府采购活动的供应商认为采购文件、采购过程、中标或者成交结果使自己的权益受到损害的，可以在知道或者应知其权益受到损害之日起7个工作日内，以书面形式向采购人、采购代理机构提出质疑。</w:t>
      </w:r>
    </w:p>
    <w:p>
      <w:pPr>
        <w:pStyle w:val="19"/>
        <w:spacing w:line="360" w:lineRule="auto"/>
        <w:rPr>
          <w:rFonts w:ascii="宋体" w:hAnsi="宋体" w:cs="宋体"/>
          <w:szCs w:val="21"/>
          <w:highlight w:val="none"/>
        </w:rPr>
      </w:pPr>
      <w:r>
        <w:rPr>
          <w:rFonts w:hint="eastAsia" w:ascii="宋体" w:hAnsi="宋体" w:cs="宋体"/>
          <w:szCs w:val="21"/>
          <w:highlight w:val="none"/>
        </w:rPr>
        <w:t>2. 供应商提出质疑应当提交质疑函和必要的证明材料。政府采购供应商质疑函范本下载地址：</w:t>
      </w:r>
    </w:p>
    <w:p>
      <w:pPr>
        <w:pStyle w:val="19"/>
        <w:spacing w:line="360" w:lineRule="auto"/>
        <w:ind w:left="420" w:leftChars="200" w:firstLine="0" w:firstLineChars="0"/>
        <w:rPr>
          <w:rFonts w:ascii="宋体" w:hAnsi="宋体" w:cs="宋体"/>
          <w:szCs w:val="21"/>
          <w:highlight w:val="none"/>
        </w:rPr>
      </w:pPr>
      <w:r>
        <w:rPr>
          <w:highlight w:val="none"/>
        </w:rPr>
        <w:fldChar w:fldCharType="begin"/>
      </w:r>
      <w:r>
        <w:rPr>
          <w:highlight w:val="none"/>
        </w:rPr>
        <w:instrText xml:space="preserve"> HYPERLINK "http://download.ccgp.gov.cn/2018/zhiyihanfanben.zip；" </w:instrText>
      </w:r>
      <w:r>
        <w:rPr>
          <w:highlight w:val="none"/>
        </w:rPr>
        <w:fldChar w:fldCharType="separate"/>
      </w:r>
      <w:r>
        <w:rPr>
          <w:rStyle w:val="23"/>
          <w:rFonts w:hint="eastAsia" w:ascii="宋体" w:hAnsi="宋体" w:cs="宋体"/>
          <w:color w:val="auto"/>
          <w:szCs w:val="21"/>
          <w:highlight w:val="none"/>
        </w:rPr>
        <w:t>http://download.ccgp.gov.cn/2018/zhiyihanfanben.zip；</w:t>
      </w:r>
      <w:r>
        <w:rPr>
          <w:rStyle w:val="23"/>
          <w:rFonts w:hint="eastAsia" w:ascii="宋体" w:hAnsi="宋体" w:cs="宋体"/>
          <w:color w:val="auto"/>
          <w:szCs w:val="21"/>
          <w:highlight w:val="none"/>
        </w:rPr>
        <w:fldChar w:fldCharType="end"/>
      </w:r>
    </w:p>
    <w:p>
      <w:pPr>
        <w:numPr>
          <w:ilvl w:val="0"/>
          <w:numId w:val="7"/>
        </w:numPr>
        <w:spacing w:line="360" w:lineRule="auto"/>
        <w:ind w:firstLine="420" w:firstLineChars="200"/>
        <w:rPr>
          <w:rFonts w:ascii="宋体" w:hAnsi="宋体" w:cs="宋体"/>
          <w:szCs w:val="21"/>
          <w:highlight w:val="none"/>
        </w:rPr>
      </w:pPr>
      <w:r>
        <w:rPr>
          <w:rFonts w:hint="eastAsia" w:ascii="宋体" w:hAnsi="宋体" w:cs="宋体"/>
          <w:szCs w:val="21"/>
          <w:highlight w:val="none"/>
        </w:rPr>
        <w:t>采购人、采购代理机构不得拒收质疑供应商在法定质疑期内发出的质疑函，应当在收到质疑函后7个工作日内作出答复，并以书面形式通知质疑供应商和其他有关供应商。</w:t>
      </w:r>
    </w:p>
    <w:p>
      <w:pPr>
        <w:numPr>
          <w:ilvl w:val="0"/>
          <w:numId w:val="7"/>
        </w:num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供应商提出质疑应当提交质疑函和必要的证明材料。质疑函应当包括下列内容：</w:t>
      </w:r>
    </w:p>
    <w:p>
      <w:pPr>
        <w:numPr>
          <w:ilvl w:val="1"/>
          <w:numId w:val="7"/>
        </w:numPr>
        <w:spacing w:line="360" w:lineRule="auto"/>
        <w:ind w:left="420" w:leftChars="200"/>
        <w:rPr>
          <w:rFonts w:ascii="宋体" w:hAnsi="宋体" w:cs="宋体"/>
          <w:szCs w:val="21"/>
          <w:highlight w:val="none"/>
        </w:rPr>
      </w:pPr>
      <w:r>
        <w:rPr>
          <w:rFonts w:hint="eastAsia" w:ascii="宋体" w:hAnsi="宋体" w:cs="宋体"/>
          <w:szCs w:val="21"/>
          <w:highlight w:val="none"/>
        </w:rPr>
        <w:t>供应商的姓名或者名称、地址、邮编、联系人及联系电话；</w:t>
      </w:r>
    </w:p>
    <w:p>
      <w:pPr>
        <w:numPr>
          <w:ilvl w:val="1"/>
          <w:numId w:val="7"/>
        </w:numPr>
        <w:spacing w:line="360" w:lineRule="auto"/>
        <w:ind w:left="420" w:leftChars="200"/>
        <w:rPr>
          <w:rFonts w:ascii="宋体" w:hAnsi="宋体" w:cs="宋体"/>
          <w:szCs w:val="21"/>
          <w:highlight w:val="none"/>
        </w:rPr>
      </w:pPr>
      <w:r>
        <w:rPr>
          <w:rFonts w:hint="eastAsia" w:ascii="宋体" w:hAnsi="宋体" w:cs="宋体"/>
          <w:szCs w:val="21"/>
          <w:highlight w:val="none"/>
        </w:rPr>
        <w:t>质疑项目的名称、编号；</w:t>
      </w:r>
    </w:p>
    <w:p>
      <w:pPr>
        <w:numPr>
          <w:ilvl w:val="1"/>
          <w:numId w:val="7"/>
        </w:numPr>
        <w:spacing w:line="360" w:lineRule="auto"/>
        <w:ind w:left="420" w:leftChars="200"/>
        <w:rPr>
          <w:rFonts w:ascii="宋体" w:hAnsi="宋体" w:cs="宋体"/>
          <w:szCs w:val="21"/>
          <w:highlight w:val="none"/>
        </w:rPr>
      </w:pPr>
      <w:r>
        <w:rPr>
          <w:rFonts w:hint="eastAsia" w:ascii="宋体" w:hAnsi="宋体" w:cs="宋体"/>
          <w:szCs w:val="21"/>
          <w:highlight w:val="none"/>
        </w:rPr>
        <w:t>具体、明确的质疑事项和与质疑事项相关的请求；</w:t>
      </w:r>
    </w:p>
    <w:p>
      <w:pPr>
        <w:numPr>
          <w:ilvl w:val="1"/>
          <w:numId w:val="7"/>
        </w:numPr>
        <w:spacing w:line="360" w:lineRule="auto"/>
        <w:ind w:left="420" w:leftChars="200"/>
        <w:rPr>
          <w:rFonts w:ascii="宋体" w:hAnsi="宋体" w:cs="宋体"/>
          <w:szCs w:val="21"/>
          <w:highlight w:val="none"/>
        </w:rPr>
      </w:pPr>
      <w:r>
        <w:rPr>
          <w:rFonts w:hint="eastAsia" w:ascii="宋体" w:hAnsi="宋体" w:cs="宋体"/>
          <w:szCs w:val="21"/>
          <w:highlight w:val="none"/>
        </w:rPr>
        <w:t>事实依据；</w:t>
      </w:r>
    </w:p>
    <w:p>
      <w:pPr>
        <w:numPr>
          <w:ilvl w:val="1"/>
          <w:numId w:val="7"/>
        </w:numPr>
        <w:spacing w:line="360" w:lineRule="auto"/>
        <w:ind w:left="420" w:leftChars="200"/>
        <w:rPr>
          <w:rFonts w:ascii="宋体" w:hAnsi="宋体" w:cs="宋体"/>
          <w:szCs w:val="21"/>
          <w:highlight w:val="none"/>
        </w:rPr>
      </w:pPr>
      <w:r>
        <w:rPr>
          <w:rFonts w:hint="eastAsia" w:ascii="宋体" w:hAnsi="宋体" w:cs="宋体"/>
          <w:szCs w:val="21"/>
          <w:highlight w:val="none"/>
        </w:rPr>
        <w:t>必要的法律依据；</w:t>
      </w:r>
    </w:p>
    <w:p>
      <w:pPr>
        <w:numPr>
          <w:ilvl w:val="1"/>
          <w:numId w:val="7"/>
        </w:numPr>
        <w:spacing w:line="360" w:lineRule="auto"/>
        <w:ind w:left="420" w:leftChars="200"/>
        <w:rPr>
          <w:rFonts w:ascii="宋体" w:hAnsi="宋体" w:cs="宋体"/>
          <w:szCs w:val="21"/>
          <w:highlight w:val="none"/>
        </w:rPr>
      </w:pPr>
      <w:r>
        <w:rPr>
          <w:rFonts w:hint="eastAsia" w:ascii="宋体" w:hAnsi="宋体" w:cs="宋体"/>
          <w:szCs w:val="21"/>
          <w:highlight w:val="none"/>
        </w:rPr>
        <w:t>提出质疑的日期；</w:t>
      </w:r>
    </w:p>
    <w:p>
      <w:pPr>
        <w:numPr>
          <w:ilvl w:val="1"/>
          <w:numId w:val="7"/>
        </w:numPr>
        <w:spacing w:line="360" w:lineRule="auto"/>
        <w:ind w:left="420" w:leftChars="200"/>
        <w:rPr>
          <w:rFonts w:ascii="宋体" w:hAnsi="宋体" w:cs="宋体"/>
          <w:szCs w:val="21"/>
          <w:highlight w:val="none"/>
        </w:rPr>
      </w:pPr>
      <w:r>
        <w:rPr>
          <w:rFonts w:hint="eastAsia" w:ascii="宋体" w:hAnsi="宋体" w:cs="宋体"/>
          <w:szCs w:val="21"/>
          <w:highlight w:val="none"/>
        </w:rPr>
        <w:t>获取招标文件的凭证；</w:t>
      </w:r>
    </w:p>
    <w:p>
      <w:pPr>
        <w:numPr>
          <w:ilvl w:val="1"/>
          <w:numId w:val="7"/>
        </w:numPr>
        <w:spacing w:line="360" w:lineRule="auto"/>
        <w:ind w:left="420" w:leftChars="200"/>
        <w:rPr>
          <w:rFonts w:ascii="宋体" w:hAnsi="宋体" w:cs="宋体"/>
          <w:szCs w:val="21"/>
          <w:highlight w:val="none"/>
        </w:rPr>
      </w:pPr>
      <w:r>
        <w:rPr>
          <w:rFonts w:hint="eastAsia" w:ascii="宋体" w:hAnsi="宋体" w:cs="宋体"/>
          <w:szCs w:val="21"/>
          <w:highlight w:val="none"/>
        </w:rPr>
        <w:t>以上资料一式二份（采购人、采购代理机构各执一份）。</w:t>
      </w:r>
    </w:p>
    <w:p>
      <w:pPr>
        <w:numPr>
          <w:ilvl w:val="0"/>
          <w:numId w:val="7"/>
        </w:num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供应商不得虚假质疑和恶意质疑，并对质疑内容的真实性承担责任。</w:t>
      </w:r>
    </w:p>
    <w:p>
      <w:pPr>
        <w:pStyle w:val="3"/>
        <w:rPr>
          <w:rFonts w:ascii="宋体" w:hAnsi="宋体" w:cs="宋体"/>
          <w:b w:val="0"/>
          <w:bCs w:val="0"/>
          <w:szCs w:val="21"/>
          <w:highlight w:val="none"/>
        </w:rPr>
      </w:pPr>
      <w:r>
        <w:rPr>
          <w:rFonts w:hint="eastAsia" w:ascii="宋体" w:hAnsi="宋体" w:cs="宋体"/>
          <w:szCs w:val="21"/>
          <w:highlight w:val="none"/>
        </w:rPr>
        <w:t>二、投诉与处理</w:t>
      </w:r>
    </w:p>
    <w:p>
      <w:pPr>
        <w:pStyle w:val="18"/>
        <w:spacing w:line="360" w:lineRule="auto"/>
        <w:ind w:firstLineChars="200"/>
        <w:rPr>
          <w:rFonts w:hint="default" w:ascii="宋体" w:hAnsi="宋体" w:eastAsia="宋体" w:cs="宋体"/>
          <w:sz w:val="21"/>
          <w:szCs w:val="21"/>
          <w:highlight w:val="none"/>
        </w:rPr>
      </w:pPr>
      <w:r>
        <w:rPr>
          <w:rFonts w:ascii="宋体" w:hAnsi="宋体" w:eastAsia="宋体" w:cs="宋体"/>
          <w:sz w:val="21"/>
          <w:szCs w:val="21"/>
          <w:highlight w:val="none"/>
        </w:rPr>
        <w:t>1、质疑供应商对采购人、采购代理机构的答复不满意，或者采购人、采购代理机构未在规定时间内作出答复的，可以在答复期满后15个工作日内向本办法第六条规定的财政部门提起投诉。</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2、质疑供应商对采购人、采购代理机构的答复不满意，或者采购人、采购代理机构未在规定时间内作出答复的，可以在答复期满后15个工作日内向财政部门提起投诉。</w:t>
      </w:r>
    </w:p>
    <w:p>
      <w:pPr>
        <w:pStyle w:val="18"/>
        <w:spacing w:line="360" w:lineRule="auto"/>
        <w:ind w:firstLineChars="200"/>
        <w:rPr>
          <w:rFonts w:hint="default" w:ascii="宋体" w:hAnsi="宋体" w:eastAsia="宋体" w:cs="宋体"/>
          <w:sz w:val="21"/>
          <w:szCs w:val="21"/>
          <w:highlight w:val="none"/>
        </w:rPr>
      </w:pPr>
      <w:r>
        <w:rPr>
          <w:rFonts w:ascii="宋体" w:hAnsi="宋体" w:eastAsia="宋体" w:cs="宋体"/>
          <w:sz w:val="21"/>
          <w:szCs w:val="21"/>
          <w:highlight w:val="none"/>
        </w:rPr>
        <w:t>3、投诉人投诉时,应当提交投诉书和必要的证明材料，并按照被投诉采购人、采购代理机构（以下简称被投诉人）和与投诉事项有关的供应商数量提供投诉书的副本。政府采购供应商投诉书范本下载地址：</w:t>
      </w:r>
    </w:p>
    <w:p>
      <w:pPr>
        <w:pStyle w:val="18"/>
        <w:spacing w:line="360" w:lineRule="auto"/>
        <w:ind w:firstLine="640" w:firstLineChars="200"/>
        <w:rPr>
          <w:rFonts w:hint="default" w:ascii="宋体" w:hAnsi="宋体" w:eastAsia="宋体" w:cs="宋体"/>
          <w:sz w:val="21"/>
          <w:szCs w:val="21"/>
          <w:highlight w:val="none"/>
        </w:rPr>
      </w:pPr>
      <w:r>
        <w:rPr>
          <w:highlight w:val="none"/>
        </w:rPr>
        <w:fldChar w:fldCharType="begin"/>
      </w:r>
      <w:r>
        <w:rPr>
          <w:highlight w:val="none"/>
        </w:rPr>
        <w:instrText xml:space="preserve"> HYPERLINK "http://download.ccgp.gov.cn/2018/tousushufanben.zip" </w:instrText>
      </w:r>
      <w:r>
        <w:rPr>
          <w:highlight w:val="none"/>
        </w:rPr>
        <w:fldChar w:fldCharType="separate"/>
      </w:r>
      <w:r>
        <w:rPr>
          <w:rStyle w:val="23"/>
          <w:rFonts w:ascii="宋体" w:hAnsi="宋体" w:eastAsia="宋体" w:cs="宋体"/>
          <w:color w:val="auto"/>
          <w:sz w:val="21"/>
          <w:szCs w:val="21"/>
          <w:highlight w:val="none"/>
        </w:rPr>
        <w:t>http://download.ccgp.gov.cn/2018/tousushufanben.zip</w:t>
      </w:r>
      <w:r>
        <w:rPr>
          <w:rStyle w:val="23"/>
          <w:rFonts w:ascii="宋体" w:hAnsi="宋体" w:eastAsia="宋体" w:cs="宋体"/>
          <w:color w:val="auto"/>
          <w:sz w:val="21"/>
          <w:szCs w:val="21"/>
          <w:highlight w:val="none"/>
        </w:rPr>
        <w:fldChar w:fldCharType="end"/>
      </w:r>
    </w:p>
    <w:p>
      <w:pPr>
        <w:numPr>
          <w:ilvl w:val="0"/>
          <w:numId w:val="1"/>
        </w:numPr>
        <w:spacing w:line="360" w:lineRule="auto"/>
        <w:ind w:firstLine="420" w:firstLineChars="200"/>
        <w:rPr>
          <w:rFonts w:ascii="宋体" w:hAnsi="宋体" w:cs="宋体"/>
          <w:szCs w:val="21"/>
          <w:highlight w:val="none"/>
        </w:rPr>
      </w:pPr>
      <w:r>
        <w:rPr>
          <w:rFonts w:hint="eastAsia" w:ascii="宋体" w:hAnsi="宋体" w:cs="宋体"/>
          <w:szCs w:val="21"/>
          <w:highlight w:val="none"/>
        </w:rPr>
        <w:t>财政部门自收到投诉之日起30个工作日内，对投诉事项作出处理决定并公示。</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投诉人在全国范围12个月内三次以上投诉查无实据的，由财政部门列入不良行为记录名单。</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投诉人有财政部94号令第三十七条情形的，属于虚假、恶意投诉，由财政部门列入不良行为记录名单，禁止其1至3年内参加政府采购活动。</w:t>
      </w:r>
    </w:p>
    <w:p>
      <w:pPr>
        <w:pStyle w:val="19"/>
        <w:spacing w:line="360" w:lineRule="auto"/>
        <w:rPr>
          <w:rFonts w:ascii="宋体" w:hAnsi="宋体" w:cs="宋体"/>
          <w:szCs w:val="21"/>
          <w:highlight w:val="none"/>
        </w:rPr>
      </w:pPr>
    </w:p>
    <w:p>
      <w:pPr>
        <w:rPr>
          <w:rFonts w:ascii="宋体" w:hAnsi="宋体" w:cs="宋体"/>
          <w:b/>
          <w:bCs/>
          <w:szCs w:val="21"/>
          <w:highlight w:val="none"/>
        </w:rPr>
      </w:pPr>
      <w:r>
        <w:rPr>
          <w:rFonts w:hint="eastAsia" w:ascii="宋体" w:hAnsi="宋体" w:cs="宋体"/>
          <w:szCs w:val="21"/>
          <w:highlight w:val="none"/>
        </w:rPr>
        <w:t xml:space="preserve">投诉联系电话：0391-8683273  地址：博爱县机关综合办公楼主楼1213室 </w:t>
      </w:r>
    </w:p>
    <w:p>
      <w:pPr>
        <w:rPr>
          <w:rFonts w:ascii="宋体" w:hAnsi="宋体" w:cs="宋体"/>
          <w:szCs w:val="21"/>
          <w:highlight w:val="none"/>
        </w:rPr>
      </w:pPr>
    </w:p>
    <w:p>
      <w:pPr>
        <w:rPr>
          <w:szCs w:val="21"/>
          <w:highlight w:val="none"/>
        </w:rPr>
      </w:pPr>
    </w:p>
    <w:p>
      <w:pPr>
        <w:rPr>
          <w:szCs w:val="21"/>
          <w:highlight w:val="none"/>
        </w:rPr>
      </w:pPr>
    </w:p>
    <w:p>
      <w:pPr>
        <w:rPr>
          <w:szCs w:val="21"/>
          <w:highlight w:val="none"/>
        </w:rPr>
      </w:pPr>
    </w:p>
    <w:p>
      <w:pPr>
        <w:rPr>
          <w:szCs w:val="21"/>
          <w:highlight w:val="none"/>
        </w:rPr>
      </w:pPr>
    </w:p>
    <w:p>
      <w:pPr>
        <w:rPr>
          <w:szCs w:val="21"/>
          <w:highlight w:val="none"/>
        </w:rPr>
      </w:pPr>
    </w:p>
    <w:p>
      <w:pPr>
        <w:rPr>
          <w:highlight w:val="none"/>
        </w:rPr>
      </w:pPr>
    </w:p>
    <w:p>
      <w:pPr>
        <w:rPr>
          <w:highlight w:val="none"/>
        </w:rPr>
      </w:pPr>
    </w:p>
    <w:p>
      <w:pPr>
        <w:pStyle w:val="7"/>
        <w:rPr>
          <w:highlight w:val="none"/>
        </w:rPr>
      </w:pPr>
    </w:p>
    <w:p>
      <w:pPr>
        <w:pStyle w:val="15"/>
        <w:rPr>
          <w:highlight w:val="none"/>
        </w:rPr>
      </w:pPr>
    </w:p>
    <w:p>
      <w:pPr>
        <w:pStyle w:val="7"/>
        <w:rPr>
          <w:highlight w:val="none"/>
        </w:rPr>
      </w:pPr>
    </w:p>
    <w:p>
      <w:pPr>
        <w:pStyle w:val="15"/>
        <w:rPr>
          <w:highlight w:val="none"/>
        </w:rPr>
      </w:pPr>
    </w:p>
    <w:p>
      <w:pPr>
        <w:pStyle w:val="7"/>
        <w:rPr>
          <w:highlight w:val="none"/>
        </w:rPr>
      </w:pPr>
    </w:p>
    <w:p>
      <w:pPr>
        <w:pStyle w:val="15"/>
        <w:rPr>
          <w:highlight w:val="none"/>
        </w:rPr>
      </w:pPr>
    </w:p>
    <w:p>
      <w:pPr>
        <w:pStyle w:val="15"/>
        <w:rPr>
          <w:highlight w:val="none"/>
        </w:rPr>
      </w:pPr>
    </w:p>
    <w:p>
      <w:pPr>
        <w:pStyle w:val="18"/>
        <w:spacing w:line="360" w:lineRule="auto"/>
        <w:ind w:firstLine="643" w:firstLineChars="200"/>
        <w:jc w:val="center"/>
        <w:outlineLvl w:val="0"/>
        <w:rPr>
          <w:rFonts w:hint="default" w:asciiTheme="majorEastAsia" w:hAnsiTheme="majorEastAsia" w:eastAsiaTheme="majorEastAsia" w:cstheme="majorEastAsia"/>
          <w:b/>
          <w:bCs/>
          <w:szCs w:val="32"/>
          <w:highlight w:val="none"/>
        </w:rPr>
      </w:pPr>
      <w:bookmarkStart w:id="260" w:name="_Toc7285"/>
      <w:r>
        <w:rPr>
          <w:rFonts w:asciiTheme="majorEastAsia" w:hAnsiTheme="majorEastAsia" w:eastAsiaTheme="majorEastAsia" w:cstheme="majorEastAsia"/>
          <w:b/>
          <w:bCs/>
          <w:szCs w:val="32"/>
          <w:highlight w:val="none"/>
        </w:rPr>
        <w:t>第七章 履约验收</w:t>
      </w:r>
      <w:bookmarkEnd w:id="260"/>
    </w:p>
    <w:p>
      <w:pPr>
        <w:pStyle w:val="19"/>
        <w:rPr>
          <w:highlight w:val="none"/>
        </w:rPr>
      </w:pPr>
    </w:p>
    <w:p>
      <w:pPr>
        <w:pStyle w:val="18"/>
        <w:spacing w:line="360" w:lineRule="auto"/>
        <w:ind w:firstLineChars="200"/>
        <w:rPr>
          <w:rFonts w:hint="default" w:asciiTheme="minorEastAsia" w:hAnsiTheme="minorEastAsia" w:eastAsiaTheme="minorEastAsia" w:cstheme="minorEastAsia"/>
          <w:sz w:val="21"/>
          <w:szCs w:val="21"/>
          <w:highlight w:val="none"/>
        </w:rPr>
      </w:pPr>
      <w:r>
        <w:rPr>
          <w:rFonts w:asciiTheme="minorEastAsia" w:hAnsiTheme="minorEastAsia" w:eastAsiaTheme="minorEastAsia" w:cstheme="minorEastAsia"/>
          <w:sz w:val="21"/>
          <w:szCs w:val="21"/>
          <w:highlight w:val="none"/>
        </w:rPr>
        <w:t>供应商履约完成后，向采购人提出验收建议，采购人自收到验收建议之日起五个工作日内，采购人组织供应商参与，共同完成验收。技术复杂、专业性强等项目可适当延长验收时间。验收流程如下：</w:t>
      </w:r>
    </w:p>
    <w:p>
      <w:pPr>
        <w:pStyle w:val="18"/>
        <w:numPr>
          <w:ilvl w:val="0"/>
          <w:numId w:val="8"/>
        </w:numPr>
        <w:spacing w:line="360" w:lineRule="auto"/>
        <w:ind w:firstLineChars="200"/>
        <w:rPr>
          <w:rFonts w:hint="default" w:asciiTheme="minorEastAsia" w:hAnsiTheme="minorEastAsia" w:eastAsiaTheme="minorEastAsia" w:cstheme="minorEastAsia"/>
          <w:sz w:val="21"/>
          <w:szCs w:val="21"/>
          <w:highlight w:val="none"/>
        </w:rPr>
      </w:pPr>
      <w:r>
        <w:rPr>
          <w:rFonts w:asciiTheme="minorEastAsia" w:hAnsiTheme="minorEastAsia" w:eastAsiaTheme="minorEastAsia" w:cstheme="minorEastAsia"/>
          <w:sz w:val="21"/>
          <w:szCs w:val="21"/>
          <w:highlight w:val="none"/>
        </w:rPr>
        <w:t>编制验收方案。明确验收时间、方式、程序等内容。技术复杂、社会影响较大的货物类项目，可以根据需要设置出厂检验、到货检验、安装调试检验、配套服务检验等多重验收环节；服务类项目、可根据项目特点对服务期内的服务实施情况分期考核，结合考核情况和服务效果进行验收；工程类项目按照行业部门规定的标准、方法和内容进行验收。</w:t>
      </w:r>
    </w:p>
    <w:p>
      <w:pPr>
        <w:pStyle w:val="18"/>
        <w:numPr>
          <w:ilvl w:val="0"/>
          <w:numId w:val="8"/>
        </w:numPr>
        <w:spacing w:line="360" w:lineRule="auto"/>
        <w:ind w:firstLineChars="200"/>
        <w:rPr>
          <w:rFonts w:hint="default" w:asciiTheme="minorEastAsia" w:hAnsiTheme="minorEastAsia" w:eastAsiaTheme="minorEastAsia" w:cstheme="minorEastAsia"/>
          <w:sz w:val="21"/>
          <w:szCs w:val="21"/>
          <w:highlight w:val="none"/>
        </w:rPr>
      </w:pPr>
      <w:r>
        <w:rPr>
          <w:rFonts w:asciiTheme="minorEastAsia" w:hAnsiTheme="minorEastAsia" w:eastAsiaTheme="minorEastAsia" w:cstheme="minorEastAsia"/>
          <w:sz w:val="21"/>
          <w:szCs w:val="21"/>
          <w:highlight w:val="none"/>
        </w:rPr>
        <w:t>完善验收方式。对于采购人和使用人分离的采购项目，应邀请使用人参与验收。采购人可邀请参与本项目的其他供应商或第三方机构及专家参与验收。相关验收意见作为验收书的参考资料。政府向社会公众提供的公共服务项目，验收时应邀请服务对象参与并出具意见，验收结果应在焦作市政府采购网公示。</w:t>
      </w:r>
    </w:p>
    <w:p>
      <w:pPr>
        <w:pStyle w:val="18"/>
        <w:numPr>
          <w:ilvl w:val="0"/>
          <w:numId w:val="8"/>
        </w:numPr>
        <w:spacing w:line="360" w:lineRule="auto"/>
        <w:ind w:firstLineChars="200"/>
        <w:rPr>
          <w:rFonts w:hint="default" w:asciiTheme="minorEastAsia" w:hAnsiTheme="minorEastAsia" w:eastAsiaTheme="minorEastAsia" w:cstheme="minorEastAsia"/>
          <w:sz w:val="21"/>
          <w:szCs w:val="21"/>
          <w:highlight w:val="none"/>
        </w:rPr>
      </w:pPr>
      <w:r>
        <w:rPr>
          <w:rFonts w:asciiTheme="minorEastAsia" w:hAnsiTheme="minorEastAsia" w:eastAsiaTheme="minorEastAsia" w:cstheme="minorEastAsia"/>
          <w:sz w:val="21"/>
          <w:szCs w:val="21"/>
          <w:highlight w:val="none"/>
        </w:rPr>
        <w:t>按照合同履约验收。验收时，应当按照采购合同的约定对每一项技术、服务、安全标准的履约情况进行确认。验收后，应当出具验收书，列明各项标准的验收情况及项目的总体评价，由验收双方共同签署。采购人将履约验收情况在焦作市政府采购网公示，履约验收各项资料采购人应当存档备查。</w:t>
      </w:r>
    </w:p>
    <w:p>
      <w:pPr>
        <w:pStyle w:val="18"/>
        <w:numPr>
          <w:ilvl w:val="0"/>
          <w:numId w:val="8"/>
        </w:numPr>
        <w:spacing w:line="360" w:lineRule="auto"/>
        <w:ind w:firstLineChars="200"/>
        <w:rPr>
          <w:rFonts w:hint="default" w:asciiTheme="minorEastAsia" w:hAnsiTheme="minorEastAsia" w:eastAsiaTheme="minorEastAsia" w:cstheme="minorEastAsia"/>
          <w:sz w:val="21"/>
          <w:szCs w:val="21"/>
          <w:highlight w:val="none"/>
        </w:rPr>
      </w:pPr>
      <w:r>
        <w:rPr>
          <w:rFonts w:asciiTheme="minorEastAsia" w:hAnsiTheme="minorEastAsia" w:eastAsiaTheme="minorEastAsia" w:cstheme="minorEastAsia"/>
          <w:sz w:val="21"/>
          <w:szCs w:val="21"/>
          <w:highlight w:val="none"/>
        </w:rPr>
        <w:t>落实履约验收责任。验收合格的项目，采购人应当按照合同约定及时支付资金。验收不合格的项目，采购人应当依法及时处理。合同履行、违约责任和解决争议的方式使用《中华人民共和国民法典》。供应商在履约过程中有政府采购法律法规规定的违法情形，采购人应及时报财政部门。</w:t>
      </w:r>
    </w:p>
    <w:p>
      <w:pPr>
        <w:pStyle w:val="7"/>
        <w:rPr>
          <w:rFonts w:asciiTheme="minorEastAsia" w:hAnsiTheme="minorEastAsia" w:eastAsiaTheme="minorEastAsia" w:cstheme="minorEastAsia"/>
          <w:szCs w:val="21"/>
          <w:highlight w:val="none"/>
        </w:rPr>
      </w:pPr>
    </w:p>
    <w:p>
      <w:pPr>
        <w:pStyle w:val="15"/>
        <w:rPr>
          <w:rFonts w:asciiTheme="minorEastAsia" w:hAnsiTheme="minorEastAsia" w:eastAsiaTheme="minorEastAsia" w:cstheme="minorEastAsia"/>
          <w:szCs w:val="21"/>
          <w:highlight w:val="none"/>
        </w:rPr>
      </w:pPr>
    </w:p>
    <w:p>
      <w:pPr>
        <w:pStyle w:val="7"/>
        <w:rPr>
          <w:rFonts w:asciiTheme="minorEastAsia" w:hAnsiTheme="minorEastAsia" w:eastAsiaTheme="minorEastAsia" w:cstheme="minorEastAsia"/>
          <w:szCs w:val="21"/>
          <w:highlight w:val="none"/>
        </w:rPr>
      </w:pPr>
    </w:p>
    <w:p>
      <w:pPr>
        <w:pStyle w:val="15"/>
        <w:rPr>
          <w:rFonts w:asciiTheme="minorEastAsia" w:hAnsiTheme="minorEastAsia" w:eastAsiaTheme="minorEastAsia" w:cstheme="minorEastAsia"/>
          <w:szCs w:val="21"/>
          <w:highlight w:val="none"/>
        </w:rPr>
      </w:pPr>
    </w:p>
    <w:p>
      <w:pPr>
        <w:pStyle w:val="7"/>
        <w:rPr>
          <w:rFonts w:asciiTheme="minorEastAsia" w:hAnsiTheme="minorEastAsia" w:eastAsiaTheme="minorEastAsia" w:cstheme="minorEastAsia"/>
          <w:szCs w:val="21"/>
          <w:highlight w:val="none"/>
        </w:rPr>
      </w:pPr>
    </w:p>
    <w:p>
      <w:pPr>
        <w:pStyle w:val="15"/>
        <w:rPr>
          <w:rFonts w:asciiTheme="minorEastAsia" w:hAnsiTheme="minorEastAsia" w:eastAsiaTheme="minorEastAsia" w:cstheme="minorEastAsia"/>
          <w:szCs w:val="21"/>
          <w:highlight w:val="none"/>
        </w:rPr>
      </w:pPr>
    </w:p>
    <w:p>
      <w:pPr>
        <w:pStyle w:val="7"/>
        <w:rPr>
          <w:highlight w:val="none"/>
        </w:rPr>
      </w:pPr>
    </w:p>
    <w:p>
      <w:pPr>
        <w:pStyle w:val="7"/>
        <w:rPr>
          <w:highlight w:val="none"/>
        </w:rPr>
      </w:pPr>
    </w:p>
    <w:p>
      <w:pPr>
        <w:pStyle w:val="17"/>
        <w:spacing w:line="600" w:lineRule="exact"/>
        <w:ind w:right="-63" w:rightChars="-30"/>
        <w:rPr>
          <w:rFonts w:asciiTheme="minorEastAsia" w:hAnsiTheme="minorEastAsia" w:eastAsiaTheme="minorEastAsia" w:cstheme="minorEastAsia"/>
          <w:sz w:val="36"/>
          <w:szCs w:val="36"/>
          <w:highlight w:val="none"/>
        </w:rPr>
      </w:pPr>
      <w:bookmarkStart w:id="261" w:name="_Toc14191"/>
      <w:bookmarkStart w:id="262" w:name="_Toc12999"/>
      <w:r>
        <w:rPr>
          <w:rFonts w:hint="eastAsia" w:asciiTheme="minorEastAsia" w:hAnsiTheme="minorEastAsia" w:eastAsiaTheme="minorEastAsia" w:cstheme="minorEastAsia"/>
          <w:sz w:val="36"/>
          <w:szCs w:val="36"/>
          <w:highlight w:val="none"/>
        </w:rPr>
        <w:t>第八章  投标文件格式</w:t>
      </w:r>
      <w:bookmarkEnd w:id="257"/>
      <w:bookmarkEnd w:id="258"/>
      <w:bookmarkEnd w:id="259"/>
      <w:bookmarkEnd w:id="261"/>
      <w:bookmarkEnd w:id="262"/>
    </w:p>
    <w:p>
      <w:pPr>
        <w:rPr>
          <w:rFonts w:asciiTheme="minorEastAsia" w:hAnsiTheme="minorEastAsia" w:eastAsiaTheme="minorEastAsia" w:cstheme="minorEastAsia"/>
          <w:highlight w:val="none"/>
        </w:rPr>
      </w:pPr>
      <w:bookmarkStart w:id="263" w:name="_Toc403122573"/>
      <w:bookmarkStart w:id="264" w:name="_Toc18905"/>
      <w:bookmarkStart w:id="265" w:name="_Toc402961301"/>
      <w:bookmarkStart w:id="266" w:name="_Toc27452"/>
    </w:p>
    <w:bookmarkEnd w:id="263"/>
    <w:bookmarkEnd w:id="264"/>
    <w:bookmarkEnd w:id="265"/>
    <w:bookmarkEnd w:id="266"/>
    <w:p>
      <w:pPr>
        <w:ind w:firstLine="2891" w:firstLineChars="800"/>
        <w:rPr>
          <w:rFonts w:asciiTheme="minorEastAsia" w:hAnsiTheme="minorEastAsia" w:eastAsiaTheme="minorEastAsia" w:cstheme="minorEastAsia"/>
          <w:highlight w:val="none"/>
        </w:rPr>
      </w:pPr>
      <w:r>
        <w:rPr>
          <w:rFonts w:hint="eastAsia" w:asciiTheme="minorEastAsia" w:hAnsiTheme="minorEastAsia" w:eastAsiaTheme="minorEastAsia" w:cstheme="minorEastAsia"/>
          <w:b/>
          <w:sz w:val="36"/>
          <w:szCs w:val="36"/>
          <w:highlight w:val="none"/>
        </w:rPr>
        <w:t xml:space="preserve">（项目名称）                   </w:t>
      </w:r>
      <w:r>
        <w:rPr>
          <w:rFonts w:hint="eastAsia" w:asciiTheme="minorEastAsia" w:hAnsiTheme="minorEastAsia" w:eastAsiaTheme="minorEastAsia" w:cstheme="minorEastAsia"/>
          <w:b/>
          <w:bCs/>
          <w:sz w:val="28"/>
          <w:szCs w:val="28"/>
          <w:highlight w:val="none"/>
        </w:rPr>
        <w:t>正本/副本</w:t>
      </w:r>
    </w:p>
    <w:p>
      <w:pPr>
        <w:spacing w:line="360" w:lineRule="auto"/>
        <w:jc w:val="center"/>
        <w:rPr>
          <w:rFonts w:asciiTheme="minorEastAsia" w:hAnsiTheme="minorEastAsia" w:eastAsiaTheme="minorEastAsia" w:cstheme="minorEastAsia"/>
          <w:b/>
          <w:sz w:val="32"/>
          <w:szCs w:val="32"/>
          <w:highlight w:val="none"/>
        </w:rPr>
      </w:pPr>
    </w:p>
    <w:p>
      <w:pPr>
        <w:pStyle w:val="19"/>
        <w:rPr>
          <w:highlight w:val="none"/>
        </w:rPr>
      </w:pPr>
    </w:p>
    <w:p>
      <w:pPr>
        <w:pStyle w:val="19"/>
        <w:rPr>
          <w:highlight w:val="none"/>
        </w:rPr>
      </w:pPr>
    </w:p>
    <w:p>
      <w:pPr>
        <w:pStyle w:val="19"/>
        <w:rPr>
          <w:highlight w:val="none"/>
        </w:rPr>
      </w:pPr>
    </w:p>
    <w:p>
      <w:pPr>
        <w:spacing w:line="360" w:lineRule="auto"/>
        <w:jc w:val="center"/>
        <w:rPr>
          <w:rFonts w:asciiTheme="minorEastAsia" w:hAnsiTheme="minorEastAsia" w:eastAsiaTheme="minorEastAsia" w:cstheme="minorEastAsia"/>
          <w:b/>
          <w:spacing w:val="24"/>
          <w:kern w:val="10"/>
          <w:sz w:val="52"/>
          <w:szCs w:val="52"/>
          <w:highlight w:val="none"/>
        </w:rPr>
      </w:pPr>
      <w:r>
        <w:rPr>
          <w:rFonts w:hint="eastAsia" w:asciiTheme="minorEastAsia" w:hAnsiTheme="minorEastAsia" w:eastAsiaTheme="minorEastAsia" w:cstheme="minorEastAsia"/>
          <w:b/>
          <w:spacing w:val="24"/>
          <w:kern w:val="10"/>
          <w:sz w:val="52"/>
          <w:szCs w:val="52"/>
          <w:highlight w:val="none"/>
        </w:rPr>
        <w:t>投  标  文  件</w:t>
      </w:r>
    </w:p>
    <w:p>
      <w:pPr>
        <w:jc w:val="center"/>
        <w:rPr>
          <w:rFonts w:asciiTheme="minorEastAsia" w:hAnsiTheme="minorEastAsia" w:eastAsiaTheme="minorEastAsia" w:cstheme="minorEastAsia"/>
          <w:sz w:val="24"/>
          <w:highlight w:val="none"/>
        </w:rPr>
      </w:pPr>
    </w:p>
    <w:p>
      <w:pPr>
        <w:pStyle w:val="4"/>
        <w:rPr>
          <w:highlight w:val="none"/>
        </w:rPr>
      </w:pPr>
      <w:r>
        <w:rPr>
          <w:rFonts w:hint="eastAsia" w:asciiTheme="minorEastAsia" w:hAnsiTheme="minorEastAsia" w:eastAsiaTheme="minorEastAsia" w:cstheme="minorEastAsia"/>
          <w:highlight w:val="none"/>
        </w:rPr>
        <w:t xml:space="preserve"> </w:t>
      </w:r>
    </w:p>
    <w:p>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（封面）</w:t>
      </w:r>
    </w:p>
    <w:p>
      <w:pPr>
        <w:jc w:val="center"/>
        <w:rPr>
          <w:rFonts w:asciiTheme="minorEastAsia" w:hAnsiTheme="minorEastAsia" w:eastAsiaTheme="minorEastAsia" w:cstheme="minorEastAsia"/>
          <w:sz w:val="24"/>
          <w:highlight w:val="none"/>
        </w:rPr>
      </w:pPr>
    </w:p>
    <w:p>
      <w:pPr>
        <w:jc w:val="center"/>
        <w:rPr>
          <w:rFonts w:asciiTheme="minorEastAsia" w:hAnsiTheme="minorEastAsia" w:eastAsiaTheme="minorEastAsia" w:cstheme="minorEastAsia"/>
          <w:sz w:val="24"/>
          <w:highlight w:val="none"/>
        </w:rPr>
      </w:pPr>
    </w:p>
    <w:p>
      <w:pPr>
        <w:jc w:val="center"/>
        <w:rPr>
          <w:rFonts w:asciiTheme="minorEastAsia" w:hAnsiTheme="minorEastAsia" w:eastAsiaTheme="minorEastAsia" w:cstheme="minorEastAsia"/>
          <w:sz w:val="24"/>
          <w:highlight w:val="none"/>
        </w:rPr>
      </w:pPr>
    </w:p>
    <w:p>
      <w:pPr>
        <w:rPr>
          <w:rFonts w:asciiTheme="minorEastAsia" w:hAnsiTheme="minorEastAsia" w:eastAsiaTheme="minorEastAsia" w:cstheme="minorEastAsia"/>
          <w:sz w:val="24"/>
          <w:highlight w:val="none"/>
        </w:rPr>
      </w:pPr>
    </w:p>
    <w:p>
      <w:pPr>
        <w:jc w:val="center"/>
        <w:rPr>
          <w:rFonts w:asciiTheme="minorEastAsia" w:hAnsiTheme="minorEastAsia" w:eastAsiaTheme="minorEastAsia" w:cstheme="minorEastAsia"/>
          <w:sz w:val="24"/>
          <w:highlight w:val="none"/>
        </w:rPr>
      </w:pPr>
    </w:p>
    <w:p>
      <w:pPr>
        <w:jc w:val="center"/>
        <w:rPr>
          <w:rFonts w:asciiTheme="minorEastAsia" w:hAnsiTheme="minorEastAsia" w:eastAsiaTheme="minorEastAsia" w:cstheme="minorEastAsia"/>
          <w:sz w:val="24"/>
          <w:highlight w:val="none"/>
        </w:rPr>
      </w:pPr>
    </w:p>
    <w:p>
      <w:pPr>
        <w:jc w:val="center"/>
        <w:rPr>
          <w:rFonts w:asciiTheme="minorEastAsia" w:hAnsiTheme="minorEastAsia" w:eastAsiaTheme="minorEastAsia" w:cstheme="minorEastAsia"/>
          <w:sz w:val="24"/>
          <w:highlight w:val="none"/>
        </w:rPr>
      </w:pPr>
    </w:p>
    <w:p>
      <w:pPr>
        <w:jc w:val="center"/>
        <w:rPr>
          <w:rFonts w:asciiTheme="minorEastAsia" w:hAnsiTheme="minorEastAsia" w:eastAsiaTheme="minorEastAsia" w:cstheme="minorEastAsia"/>
          <w:b/>
          <w:sz w:val="24"/>
          <w:highlight w:val="none"/>
        </w:rPr>
      </w:pPr>
    </w:p>
    <w:p>
      <w:pPr>
        <w:pStyle w:val="12"/>
        <w:spacing w:line="600" w:lineRule="exact"/>
        <w:ind w:left="1050" w:leftChars="500" w:firstLine="1152" w:firstLineChars="450"/>
        <w:rPr>
          <w:rFonts w:hint="default" w:asciiTheme="minorEastAsia" w:hAnsiTheme="minorEastAsia" w:eastAsiaTheme="minorEastAsia" w:cstheme="minorEastAsia"/>
          <w:sz w:val="24"/>
          <w:highlight w:val="none"/>
        </w:rPr>
      </w:pPr>
      <w:r>
        <w:rPr>
          <w:rFonts w:asciiTheme="minorEastAsia" w:hAnsiTheme="minorEastAsia" w:eastAsiaTheme="minorEastAsia" w:cstheme="minorEastAsia"/>
          <w:spacing w:val="8"/>
          <w:sz w:val="24"/>
          <w:highlight w:val="none"/>
        </w:rPr>
        <w:t>供  应  商：</w:t>
      </w:r>
      <w:r>
        <w:rPr>
          <w:rFonts w:asciiTheme="minorEastAsia" w:hAnsiTheme="minorEastAsia" w:eastAsiaTheme="minorEastAsia" w:cstheme="minorEastAsia"/>
          <w:sz w:val="24"/>
          <w:highlight w:val="none"/>
        </w:rPr>
        <w:t>（单位公章）</w:t>
      </w:r>
    </w:p>
    <w:p>
      <w:pPr>
        <w:pStyle w:val="12"/>
        <w:spacing w:line="600" w:lineRule="exact"/>
        <w:ind w:left="1050" w:leftChars="500" w:firstLine="1200" w:firstLineChars="500"/>
        <w:rPr>
          <w:rFonts w:hint="default" w:asciiTheme="minorEastAsia" w:hAnsiTheme="minorEastAsia" w:eastAsiaTheme="minorEastAsia" w:cstheme="minorEastAsia"/>
          <w:sz w:val="24"/>
          <w:highlight w:val="none"/>
        </w:rPr>
      </w:pPr>
      <w:r>
        <w:rPr>
          <w:rFonts w:asciiTheme="minorEastAsia" w:hAnsiTheme="minorEastAsia" w:eastAsiaTheme="minorEastAsia" w:cstheme="minorEastAsia"/>
          <w:sz w:val="24"/>
          <w:highlight w:val="none"/>
        </w:rPr>
        <w:t>法定代表人或</w:t>
      </w:r>
      <w:r>
        <w:rPr>
          <w:rFonts w:asciiTheme="minorEastAsia" w:hAnsiTheme="minorEastAsia" w:eastAsiaTheme="minorEastAsia" w:cstheme="minorEastAsia"/>
          <w:spacing w:val="12"/>
          <w:sz w:val="24"/>
          <w:highlight w:val="none"/>
        </w:rPr>
        <w:t>委托代理人：</w:t>
      </w:r>
      <w:r>
        <w:rPr>
          <w:rFonts w:asciiTheme="minorEastAsia" w:hAnsiTheme="minorEastAsia" w:eastAsiaTheme="minorEastAsia" w:cstheme="minorEastAsia"/>
          <w:sz w:val="24"/>
          <w:highlight w:val="none"/>
        </w:rPr>
        <w:t xml:space="preserve">（签字或盖章）  </w:t>
      </w:r>
    </w:p>
    <w:p>
      <w:pPr>
        <w:pStyle w:val="12"/>
        <w:spacing w:line="600" w:lineRule="exact"/>
        <w:ind w:left="1050" w:leftChars="500" w:firstLine="1200" w:firstLineChars="500"/>
        <w:rPr>
          <w:rFonts w:hint="default" w:asciiTheme="minorEastAsia" w:hAnsiTheme="minorEastAsia" w:eastAsiaTheme="minorEastAsia" w:cstheme="minorEastAsia"/>
          <w:b/>
          <w:bCs/>
          <w:sz w:val="28"/>
          <w:szCs w:val="28"/>
          <w:highlight w:val="none"/>
        </w:rPr>
      </w:pPr>
      <w:r>
        <w:rPr>
          <w:rFonts w:asciiTheme="minorEastAsia" w:hAnsiTheme="minorEastAsia" w:eastAsiaTheme="minorEastAsia" w:cstheme="minorEastAsia"/>
          <w:sz w:val="24"/>
          <w:highlight w:val="none"/>
        </w:rPr>
        <w:t>日       期：       年    月    日</w:t>
      </w:r>
    </w:p>
    <w:p>
      <w:pPr>
        <w:ind w:firstLine="540" w:firstLineChars="192"/>
        <w:jc w:val="center"/>
        <w:rPr>
          <w:rFonts w:asciiTheme="minorEastAsia" w:hAnsiTheme="minorEastAsia" w:eastAsiaTheme="minorEastAsia" w:cstheme="minorEastAsia"/>
          <w:b/>
          <w:bCs/>
          <w:sz w:val="28"/>
          <w:szCs w:val="28"/>
          <w:highlight w:val="none"/>
        </w:rPr>
      </w:pPr>
    </w:p>
    <w:p>
      <w:pPr>
        <w:ind w:firstLine="848" w:firstLineChars="192"/>
        <w:jc w:val="center"/>
        <w:rPr>
          <w:rFonts w:asciiTheme="minorEastAsia" w:hAnsiTheme="minorEastAsia" w:eastAsiaTheme="minorEastAsia" w:cstheme="minorEastAsia"/>
          <w:b/>
          <w:bCs/>
          <w:sz w:val="44"/>
          <w:szCs w:val="44"/>
          <w:highlight w:val="none"/>
        </w:rPr>
      </w:pPr>
    </w:p>
    <w:p>
      <w:pPr>
        <w:pStyle w:val="19"/>
        <w:ind w:firstLine="883"/>
        <w:rPr>
          <w:rFonts w:asciiTheme="minorEastAsia" w:hAnsiTheme="minorEastAsia" w:eastAsiaTheme="minorEastAsia" w:cstheme="minorEastAsia"/>
          <w:b/>
          <w:bCs/>
          <w:sz w:val="44"/>
          <w:szCs w:val="44"/>
          <w:highlight w:val="none"/>
        </w:rPr>
      </w:pPr>
    </w:p>
    <w:p>
      <w:pPr>
        <w:rPr>
          <w:rFonts w:asciiTheme="minorEastAsia" w:hAnsiTheme="minorEastAsia" w:eastAsiaTheme="minorEastAsia" w:cstheme="minorEastAsia"/>
          <w:b/>
          <w:bCs/>
          <w:sz w:val="44"/>
          <w:szCs w:val="44"/>
          <w:highlight w:val="none"/>
        </w:rPr>
      </w:pPr>
    </w:p>
    <w:p>
      <w:pPr>
        <w:pStyle w:val="19"/>
        <w:rPr>
          <w:highlight w:val="none"/>
        </w:rPr>
      </w:pPr>
    </w:p>
    <w:p>
      <w:pPr>
        <w:ind w:firstLine="848" w:firstLineChars="192"/>
        <w:jc w:val="center"/>
        <w:rPr>
          <w:rFonts w:asciiTheme="minorEastAsia" w:hAnsiTheme="minorEastAsia" w:eastAsiaTheme="minorEastAsia" w:cstheme="minorEastAsia"/>
          <w:b/>
          <w:bCs/>
          <w:sz w:val="44"/>
          <w:szCs w:val="44"/>
          <w:highlight w:val="none"/>
        </w:rPr>
      </w:pPr>
    </w:p>
    <w:p>
      <w:pPr>
        <w:ind w:firstLine="848" w:firstLineChars="192"/>
        <w:jc w:val="center"/>
        <w:rPr>
          <w:rFonts w:asciiTheme="minorEastAsia" w:hAnsiTheme="minorEastAsia" w:eastAsiaTheme="minorEastAsia" w:cstheme="minorEastAsia"/>
          <w:b/>
          <w:bCs/>
          <w:sz w:val="44"/>
          <w:szCs w:val="44"/>
          <w:highlight w:val="none"/>
        </w:rPr>
      </w:pPr>
    </w:p>
    <w:p>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44"/>
          <w:szCs w:val="44"/>
          <w:highlight w:val="none"/>
        </w:rPr>
        <w:t>目    录</w:t>
      </w:r>
    </w:p>
    <w:p>
      <w:pPr>
        <w:spacing w:line="600" w:lineRule="exact"/>
        <w:jc w:val="center"/>
        <w:outlineLvl w:val="1"/>
        <w:rPr>
          <w:rFonts w:asciiTheme="minorEastAsia" w:hAnsiTheme="minorEastAsia" w:eastAsiaTheme="minorEastAsia" w:cstheme="minorEastAsia"/>
          <w:b/>
          <w:bCs/>
          <w:sz w:val="28"/>
          <w:szCs w:val="28"/>
          <w:highlight w:val="none"/>
        </w:rPr>
      </w:pPr>
      <w:bookmarkStart w:id="267" w:name="_Toc31547"/>
      <w:bookmarkStart w:id="268" w:name="_Toc2130"/>
      <w:r>
        <w:rPr>
          <w:rFonts w:asciiTheme="minorEastAsia" w:hAnsiTheme="minorEastAsia" w:eastAsiaTheme="minorEastAsia" w:cstheme="minorEastAsia"/>
          <w:szCs w:val="21"/>
          <w:highlight w:val="none"/>
        </w:rPr>
        <w:t>（自拟）</w:t>
      </w:r>
      <w:r>
        <w:rPr>
          <w:rFonts w:hint="eastAsia" w:asciiTheme="minorEastAsia" w:hAnsiTheme="minorEastAsia" w:eastAsiaTheme="minorEastAsia" w:cstheme="minorEastAsia"/>
          <w:szCs w:val="21"/>
          <w:highlight w:val="none"/>
        </w:rPr>
        <w:br w:type="page"/>
      </w:r>
      <w:bookmarkStart w:id="269" w:name="_Toc1921"/>
      <w:r>
        <w:rPr>
          <w:rFonts w:hint="eastAsia" w:asciiTheme="minorEastAsia" w:hAnsiTheme="minorEastAsia" w:eastAsiaTheme="minorEastAsia" w:cstheme="minorEastAsia"/>
          <w:b/>
          <w:bCs/>
          <w:sz w:val="30"/>
          <w:szCs w:val="30"/>
          <w:highlight w:val="none"/>
        </w:rPr>
        <w:t>一、投标函</w:t>
      </w:r>
      <w:bookmarkEnd w:id="267"/>
      <w:r>
        <w:rPr>
          <w:rFonts w:hint="eastAsia" w:asciiTheme="minorEastAsia" w:hAnsiTheme="minorEastAsia" w:eastAsiaTheme="minorEastAsia" w:cstheme="minorEastAsia"/>
          <w:b/>
          <w:bCs/>
          <w:sz w:val="30"/>
          <w:szCs w:val="30"/>
          <w:highlight w:val="none"/>
        </w:rPr>
        <w:t>及开标一览表</w:t>
      </w:r>
      <w:bookmarkEnd w:id="268"/>
      <w:bookmarkEnd w:id="269"/>
    </w:p>
    <w:p>
      <w:pPr>
        <w:numPr>
          <w:ilvl w:val="0"/>
          <w:numId w:val="9"/>
        </w:numPr>
        <w:spacing w:line="600" w:lineRule="exact"/>
        <w:jc w:val="center"/>
        <w:outlineLvl w:val="2"/>
        <w:rPr>
          <w:rFonts w:asciiTheme="minorEastAsia" w:hAnsiTheme="minorEastAsia" w:eastAsiaTheme="minorEastAsia" w:cstheme="minorEastAsia"/>
          <w:b/>
          <w:sz w:val="28"/>
          <w:szCs w:val="28"/>
          <w:highlight w:val="none"/>
        </w:rPr>
      </w:pPr>
      <w:bookmarkStart w:id="270" w:name="_Toc27218"/>
      <w:bookmarkStart w:id="271" w:name="_Toc12044"/>
      <w:bookmarkStart w:id="272" w:name="_Toc28684"/>
      <w:bookmarkStart w:id="273" w:name="_Toc600"/>
      <w:r>
        <w:rPr>
          <w:rFonts w:hint="eastAsia" w:asciiTheme="minorEastAsia" w:hAnsiTheme="minorEastAsia" w:eastAsiaTheme="minorEastAsia" w:cstheme="minorEastAsia"/>
          <w:b/>
          <w:sz w:val="28"/>
          <w:szCs w:val="28"/>
          <w:highlight w:val="none"/>
        </w:rPr>
        <w:t>投标函</w:t>
      </w:r>
      <w:bookmarkEnd w:id="270"/>
      <w:bookmarkEnd w:id="271"/>
      <w:bookmarkEnd w:id="272"/>
      <w:bookmarkEnd w:id="273"/>
    </w:p>
    <w:p>
      <w:pPr>
        <w:pStyle w:val="19"/>
        <w:ind w:firstLine="0" w:firstLineChars="0"/>
        <w:rPr>
          <w:highlight w:val="none"/>
        </w:rPr>
      </w:pPr>
    </w:p>
    <w:p>
      <w:pPr>
        <w:widowControl/>
        <w:spacing w:line="360" w:lineRule="auto"/>
        <w:ind w:firstLine="562" w:firstLineChars="200"/>
        <w:rPr>
          <w:rFonts w:ascii="宋体" w:hAnsi="宋体"/>
          <w:b/>
          <w:bCs/>
          <w:kern w:val="0"/>
          <w:sz w:val="28"/>
          <w:szCs w:val="28"/>
          <w:highlight w:val="none"/>
          <w:u w:val="single"/>
        </w:rPr>
      </w:pPr>
      <w:r>
        <w:rPr>
          <w:rFonts w:hint="eastAsia" w:ascii="宋体" w:hAnsi="宋体"/>
          <w:b/>
          <w:bCs/>
          <w:kern w:val="0"/>
          <w:sz w:val="28"/>
          <w:szCs w:val="28"/>
          <w:highlight w:val="none"/>
        </w:rPr>
        <w:t>致：</w:t>
      </w:r>
      <w:r>
        <w:rPr>
          <w:rFonts w:hint="eastAsia" w:ascii="宋体" w:hAnsi="宋体"/>
          <w:b/>
          <w:bCs/>
          <w:kern w:val="0"/>
          <w:sz w:val="28"/>
          <w:szCs w:val="28"/>
          <w:highlight w:val="none"/>
          <w:u w:val="single"/>
        </w:rPr>
        <w:t xml:space="preserve">                    （采购人名称） </w:t>
      </w:r>
    </w:p>
    <w:p>
      <w:pPr>
        <w:pStyle w:val="18"/>
        <w:spacing w:line="360" w:lineRule="auto"/>
        <w:ind w:firstLine="480" w:firstLineChars="200"/>
        <w:rPr>
          <w:rFonts w:hint="default" w:ascii="宋体" w:hAnsi="宋体" w:eastAsia="宋体"/>
          <w:sz w:val="24"/>
          <w:highlight w:val="none"/>
        </w:rPr>
      </w:pPr>
      <w:r>
        <w:rPr>
          <w:rFonts w:ascii="宋体" w:hAnsi="宋体" w:eastAsia="宋体"/>
          <w:sz w:val="24"/>
          <w:highlight w:val="none"/>
        </w:rPr>
        <w:t>我单位已收到的</w:t>
      </w:r>
      <w:r>
        <w:rPr>
          <w:rFonts w:ascii="宋体" w:hAnsi="宋体" w:eastAsia="宋体"/>
          <w:sz w:val="24"/>
          <w:highlight w:val="none"/>
          <w:u w:val="single"/>
        </w:rPr>
        <w:t xml:space="preserve">                           </w:t>
      </w:r>
      <w:r>
        <w:rPr>
          <w:rFonts w:ascii="宋体" w:hAnsi="宋体" w:eastAsia="宋体"/>
          <w:sz w:val="24"/>
          <w:highlight w:val="none"/>
        </w:rPr>
        <w:t xml:space="preserve"> 项目采购文件及有关纪要通知，现对参与投标及中标后工作，做出如下郑重承诺：</w:t>
      </w:r>
    </w:p>
    <w:p>
      <w:pPr>
        <w:spacing w:line="360" w:lineRule="auto"/>
        <w:ind w:firstLine="480" w:firstLineChars="200"/>
        <w:rPr>
          <w:rFonts w:ascii="宋体" w:hAnsi="宋体"/>
          <w:sz w:val="24"/>
          <w:highlight w:val="none"/>
        </w:rPr>
      </w:pPr>
      <w:r>
        <w:rPr>
          <w:rFonts w:hint="eastAsia" w:ascii="宋体" w:hAnsi="宋体"/>
          <w:sz w:val="24"/>
          <w:highlight w:val="none"/>
        </w:rPr>
        <w:t>1、我方愿以总价为人民币（大写）</w:t>
      </w:r>
      <w:r>
        <w:rPr>
          <w:rFonts w:hint="eastAsia" w:ascii="宋体" w:hAnsi="宋体"/>
          <w:sz w:val="24"/>
          <w:highlight w:val="none"/>
          <w:u w:val="single"/>
        </w:rPr>
        <w:t xml:space="preserve">             </w:t>
      </w:r>
      <w:r>
        <w:rPr>
          <w:rFonts w:hint="eastAsia" w:ascii="宋体" w:hAnsi="宋体"/>
          <w:sz w:val="24"/>
          <w:highlight w:val="none"/>
        </w:rPr>
        <w:t xml:space="preserve">（小写）￥ </w:t>
      </w:r>
      <w:r>
        <w:rPr>
          <w:rFonts w:hint="eastAsia" w:ascii="宋体" w:hAnsi="宋体"/>
          <w:sz w:val="24"/>
          <w:highlight w:val="none"/>
          <w:u w:val="single"/>
        </w:rPr>
        <w:t xml:space="preserve">           </w:t>
      </w:r>
      <w:r>
        <w:rPr>
          <w:rFonts w:hint="eastAsia" w:ascii="宋体" w:hAnsi="宋体"/>
          <w:sz w:val="24"/>
          <w:highlight w:val="none"/>
        </w:rPr>
        <w:t>元，供货及安装期：</w:t>
      </w:r>
      <w:r>
        <w:rPr>
          <w:rFonts w:hint="eastAsia" w:ascii="宋体" w:hAnsi="宋体"/>
          <w:sz w:val="24"/>
          <w:highlight w:val="none"/>
          <w:u w:val="single"/>
        </w:rPr>
        <w:t xml:space="preserve">           </w:t>
      </w:r>
      <w:r>
        <w:rPr>
          <w:rFonts w:hint="eastAsia" w:ascii="宋体" w:hAnsi="宋体"/>
          <w:sz w:val="24"/>
          <w:highlight w:val="none"/>
        </w:rPr>
        <w:t xml:space="preserve"> ，按合同约定实施和完成本项目。 </w:t>
      </w:r>
    </w:p>
    <w:p>
      <w:pPr>
        <w:widowControl/>
        <w:spacing w:line="360" w:lineRule="auto"/>
        <w:ind w:firstLine="480" w:firstLineChars="200"/>
        <w:rPr>
          <w:rFonts w:ascii="宋体" w:hAnsi="宋体" w:cs="宋体"/>
          <w:strike/>
          <w:sz w:val="24"/>
          <w:highlight w:val="none"/>
        </w:rPr>
      </w:pPr>
      <w:r>
        <w:rPr>
          <w:rFonts w:hint="eastAsia" w:ascii="宋体" w:hAnsi="宋体" w:cs="宋体"/>
          <w:sz w:val="24"/>
          <w:highlight w:val="none"/>
        </w:rPr>
        <w:t>2、</w:t>
      </w:r>
      <w:r>
        <w:rPr>
          <w:rFonts w:hint="eastAsia" w:ascii="宋体" w:hAnsi="宋体"/>
          <w:sz w:val="24"/>
          <w:highlight w:val="none"/>
        </w:rPr>
        <w:t>在响应性文件递交截止时间后至确定成交人的</w:t>
      </w:r>
      <w:r>
        <w:rPr>
          <w:highlight w:val="none"/>
        </w:rPr>
        <w:fldChar w:fldCharType="begin"/>
      </w:r>
      <w:r>
        <w:rPr>
          <w:highlight w:val="none"/>
        </w:rPr>
        <w:instrText xml:space="preserve"> HYPERLINK "https://baike.so.com/doc/5394983-5632135.html" \t "https://baike.so.com/doc/_blank" </w:instrText>
      </w:r>
      <w:r>
        <w:rPr>
          <w:highlight w:val="none"/>
        </w:rPr>
        <w:fldChar w:fldCharType="separate"/>
      </w:r>
      <w:r>
        <w:rPr>
          <w:rFonts w:ascii="宋体" w:hAnsi="宋体"/>
          <w:sz w:val="24"/>
          <w:highlight w:val="none"/>
        </w:rPr>
        <w:t>投标有效期</w:t>
      </w:r>
      <w:r>
        <w:rPr>
          <w:rFonts w:ascii="宋体" w:hAnsi="宋体"/>
          <w:sz w:val="24"/>
          <w:highlight w:val="none"/>
        </w:rPr>
        <w:fldChar w:fldCharType="end"/>
      </w:r>
      <w:r>
        <w:rPr>
          <w:rFonts w:ascii="宋体" w:hAnsi="宋体"/>
          <w:sz w:val="24"/>
          <w:highlight w:val="none"/>
        </w:rPr>
        <w:t>内</w:t>
      </w:r>
      <w:r>
        <w:rPr>
          <w:rFonts w:hint="eastAsia" w:ascii="宋体" w:hAnsi="宋体"/>
          <w:sz w:val="24"/>
          <w:highlight w:val="none"/>
        </w:rPr>
        <w:t>，我单位不得要求退出竞标或者修改响应性文件。</w:t>
      </w:r>
    </w:p>
    <w:p>
      <w:pPr>
        <w:widowControl/>
        <w:spacing w:line="360" w:lineRule="auto"/>
        <w:ind w:firstLine="480" w:firstLineChars="200"/>
        <w:rPr>
          <w:rFonts w:ascii="宋体" w:hAnsi="宋体" w:cs="宋体"/>
          <w:sz w:val="24"/>
          <w:highlight w:val="none"/>
        </w:rPr>
      </w:pPr>
      <w:r>
        <w:rPr>
          <w:rFonts w:hint="eastAsia" w:ascii="宋体" w:hAnsi="宋体" w:cs="宋体"/>
          <w:sz w:val="24"/>
          <w:highlight w:val="none"/>
        </w:rPr>
        <w:t>3、我方明白采购人不一定接纳最低投标报价的采购，也不需要采购人解释选择或否决任何供应商的原因和理由。</w:t>
      </w:r>
    </w:p>
    <w:p>
      <w:pPr>
        <w:widowControl/>
        <w:spacing w:line="360" w:lineRule="auto"/>
        <w:ind w:firstLine="480" w:firstLineChars="200"/>
        <w:rPr>
          <w:rFonts w:ascii="宋体" w:hAnsi="宋体" w:cs="宋体"/>
          <w:sz w:val="24"/>
          <w:highlight w:val="none"/>
        </w:rPr>
      </w:pPr>
      <w:r>
        <w:rPr>
          <w:rFonts w:hint="eastAsia" w:ascii="宋体" w:hAnsi="宋体" w:cs="宋体"/>
          <w:sz w:val="24"/>
          <w:highlight w:val="none"/>
        </w:rPr>
        <w:t>4、我方参与本项目投标的所有资料真实有效，未在投标文件中提供虚假材料，无陪标、串标等违法行为。若相关部门查实或被不见面开标系统提示为“投标文件制作机器码一致”的，同意被视为投标无效，接受报监管部门依法作出的处理。</w:t>
      </w:r>
    </w:p>
    <w:p>
      <w:pPr>
        <w:spacing w:line="360" w:lineRule="auto"/>
        <w:ind w:firstLine="480" w:firstLineChars="200"/>
        <w:jc w:val="left"/>
        <w:rPr>
          <w:highlight w:val="none"/>
        </w:rPr>
      </w:pPr>
      <w:r>
        <w:rPr>
          <w:rFonts w:hint="eastAsia" w:ascii="宋体" w:hAnsi="宋体" w:cs="宋体"/>
          <w:sz w:val="24"/>
          <w:highlight w:val="none"/>
        </w:rPr>
        <w:t>5、一旦我方中标，我方在收到中标通知书后15日内，依据采购文件、投标文件与采购人签订合同。若由于我方原因在15日内因非不可抗力拒绝与采购人签订合同的，愿意接受相关部门依法作出的处罚。合同签订后严格按照合同履约，并配合采购人完成履约验收。</w:t>
      </w:r>
    </w:p>
    <w:p>
      <w:pPr>
        <w:widowControl/>
        <w:spacing w:line="360" w:lineRule="auto"/>
        <w:ind w:firstLine="480" w:firstLineChars="200"/>
        <w:rPr>
          <w:rFonts w:ascii="宋体" w:hAnsi="宋体"/>
          <w:kern w:val="0"/>
          <w:sz w:val="24"/>
          <w:highlight w:val="none"/>
        </w:rPr>
      </w:pPr>
      <w:r>
        <w:rPr>
          <w:rFonts w:hint="eastAsia" w:ascii="宋体" w:hAnsi="宋体"/>
          <w:kern w:val="0"/>
          <w:sz w:val="24"/>
          <w:highlight w:val="none"/>
        </w:rPr>
        <w:t>供应商：（盖章）</w:t>
      </w:r>
    </w:p>
    <w:p>
      <w:pPr>
        <w:widowControl/>
        <w:spacing w:line="360" w:lineRule="auto"/>
        <w:ind w:firstLine="480" w:firstLineChars="200"/>
        <w:rPr>
          <w:rFonts w:ascii="宋体" w:hAnsi="宋体"/>
          <w:kern w:val="0"/>
          <w:sz w:val="24"/>
          <w:highlight w:val="none"/>
        </w:rPr>
      </w:pPr>
      <w:r>
        <w:rPr>
          <w:rFonts w:hint="eastAsia" w:ascii="宋体" w:hAnsi="宋体"/>
          <w:kern w:val="0"/>
          <w:sz w:val="24"/>
          <w:highlight w:val="none"/>
        </w:rPr>
        <w:t>法定代表人或授权委托代理人：（签字或盖章）</w:t>
      </w:r>
    </w:p>
    <w:p>
      <w:pPr>
        <w:widowControl/>
        <w:spacing w:line="360" w:lineRule="auto"/>
        <w:ind w:firstLine="480" w:firstLineChars="200"/>
        <w:rPr>
          <w:rFonts w:ascii="宋体" w:hAnsi="宋体"/>
          <w:b/>
          <w:bCs/>
          <w:kern w:val="0"/>
          <w:sz w:val="32"/>
          <w:szCs w:val="32"/>
          <w:highlight w:val="none"/>
        </w:rPr>
      </w:pPr>
      <w:r>
        <w:rPr>
          <w:rFonts w:hint="eastAsia" w:ascii="宋体" w:hAnsi="宋体"/>
          <w:kern w:val="0"/>
          <w:sz w:val="24"/>
          <w:highlight w:val="none"/>
        </w:rPr>
        <w:t>年      月      日</w:t>
      </w:r>
    </w:p>
    <w:p>
      <w:pPr>
        <w:spacing w:line="500" w:lineRule="exact"/>
        <w:jc w:val="center"/>
        <w:outlineLvl w:val="2"/>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br w:type="page"/>
      </w:r>
      <w:bookmarkStart w:id="274" w:name="_Toc14778"/>
      <w:bookmarkStart w:id="275" w:name="_Toc31291"/>
      <w:bookmarkStart w:id="276" w:name="_Toc9543"/>
      <w:bookmarkStart w:id="277" w:name="_Toc208"/>
      <w:r>
        <w:rPr>
          <w:rFonts w:hint="eastAsia" w:asciiTheme="minorEastAsia" w:hAnsiTheme="minorEastAsia" w:eastAsiaTheme="minorEastAsia" w:cstheme="minorEastAsia"/>
          <w:b/>
          <w:bCs/>
          <w:sz w:val="28"/>
          <w:szCs w:val="28"/>
          <w:highlight w:val="none"/>
        </w:rPr>
        <w:t>（二） 开标一览表</w:t>
      </w:r>
      <w:bookmarkEnd w:id="274"/>
      <w:bookmarkEnd w:id="275"/>
      <w:bookmarkEnd w:id="276"/>
      <w:bookmarkEnd w:id="277"/>
    </w:p>
    <w:p>
      <w:pPr>
        <w:jc w:val="center"/>
        <w:rPr>
          <w:rFonts w:asciiTheme="minorEastAsia" w:hAnsiTheme="minorEastAsia" w:eastAsiaTheme="minorEastAsia" w:cstheme="minorEastAsia"/>
          <w:b/>
          <w:bCs/>
          <w:sz w:val="28"/>
          <w:highlight w:val="none"/>
        </w:rPr>
      </w:pPr>
    </w:p>
    <w:tbl>
      <w:tblPr>
        <w:tblStyle w:val="20"/>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5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2610" w:type="dxa"/>
            <w:vAlign w:val="center"/>
          </w:tcPr>
          <w:p>
            <w:pPr>
              <w:spacing w:line="3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项目名称</w:t>
            </w:r>
          </w:p>
        </w:tc>
        <w:tc>
          <w:tcPr>
            <w:tcW w:w="5898" w:type="dxa"/>
            <w:vAlign w:val="center"/>
          </w:tcPr>
          <w:p>
            <w:pPr>
              <w:pStyle w:val="10"/>
              <w:spacing w:line="400" w:lineRule="exact"/>
              <w:ind w:firstLine="480"/>
              <w:rPr>
                <w:rFonts w:asciiTheme="minorEastAsia" w:hAnsiTheme="minorEastAsia" w:eastAsiaTheme="minorEastAsia" w:cstheme="minorEastAsia"/>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2610" w:type="dxa"/>
            <w:vAlign w:val="center"/>
          </w:tcPr>
          <w:p>
            <w:pPr>
              <w:spacing w:line="3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 标 人</w:t>
            </w:r>
          </w:p>
        </w:tc>
        <w:tc>
          <w:tcPr>
            <w:tcW w:w="5898" w:type="dxa"/>
            <w:vAlign w:val="center"/>
          </w:tcPr>
          <w:p>
            <w:pPr>
              <w:pStyle w:val="10"/>
              <w:spacing w:line="400" w:lineRule="exact"/>
              <w:ind w:firstLine="480"/>
              <w:rPr>
                <w:rFonts w:asciiTheme="minorEastAsia" w:hAnsiTheme="minorEastAsia" w:eastAsiaTheme="minorEastAsia" w:cstheme="minorEastAsia"/>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2610" w:type="dxa"/>
            <w:vAlign w:val="center"/>
          </w:tcPr>
          <w:p>
            <w:pPr>
              <w:spacing w:line="3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投标总报价</w:t>
            </w:r>
          </w:p>
        </w:tc>
        <w:tc>
          <w:tcPr>
            <w:tcW w:w="5898" w:type="dxa"/>
            <w:vAlign w:val="center"/>
          </w:tcPr>
          <w:p>
            <w:pPr>
              <w:pStyle w:val="10"/>
              <w:spacing w:line="400" w:lineRule="exact"/>
              <w:ind w:firstLine="480"/>
              <w:rPr>
                <w:rFonts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 xml:space="preserve">（大写）                                </w:t>
            </w:r>
          </w:p>
          <w:p>
            <w:pPr>
              <w:pStyle w:val="10"/>
              <w:spacing w:line="400" w:lineRule="exact"/>
              <w:ind w:firstLine="480"/>
              <w:rPr>
                <w:rFonts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2610" w:type="dxa"/>
            <w:vAlign w:val="center"/>
          </w:tcPr>
          <w:p>
            <w:pPr>
              <w:spacing w:line="3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质量标准</w:t>
            </w:r>
          </w:p>
        </w:tc>
        <w:tc>
          <w:tcPr>
            <w:tcW w:w="5898" w:type="dxa"/>
            <w:vAlign w:val="center"/>
          </w:tcPr>
          <w:p>
            <w:pPr>
              <w:pStyle w:val="10"/>
              <w:spacing w:line="400" w:lineRule="exact"/>
              <w:ind w:firstLine="480"/>
              <w:rPr>
                <w:rFonts w:asciiTheme="minorEastAsia" w:hAnsiTheme="minorEastAsia" w:eastAsiaTheme="minorEastAsia" w:cstheme="minorEastAsia"/>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10" w:type="dxa"/>
            <w:vAlign w:val="center"/>
          </w:tcPr>
          <w:p>
            <w:pPr>
              <w:spacing w:line="3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供货及安装期</w:t>
            </w:r>
          </w:p>
        </w:tc>
        <w:tc>
          <w:tcPr>
            <w:tcW w:w="5898" w:type="dxa"/>
            <w:vAlign w:val="center"/>
          </w:tcPr>
          <w:p>
            <w:pPr>
              <w:pStyle w:val="10"/>
              <w:spacing w:line="400" w:lineRule="exact"/>
              <w:ind w:firstLine="480"/>
              <w:rPr>
                <w:rFonts w:asciiTheme="minorEastAsia" w:hAnsiTheme="minorEastAsia" w:eastAsiaTheme="minorEastAsia" w:cstheme="minorEastAsia"/>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10" w:type="dxa"/>
            <w:vAlign w:val="center"/>
          </w:tcPr>
          <w:p>
            <w:pPr>
              <w:spacing w:line="300" w:lineRule="exact"/>
              <w:jc w:val="center"/>
              <w:rPr>
                <w:rFonts w:asciiTheme="minorEastAsia" w:hAnsiTheme="minorEastAsia" w:eastAsiaTheme="minorEastAsia" w:cstheme="minorEastAsia"/>
                <w:bCs/>
                <w:iCs/>
                <w:sz w:val="24"/>
                <w:highlight w:val="none"/>
              </w:rPr>
            </w:pPr>
            <w:r>
              <w:rPr>
                <w:rFonts w:hint="eastAsia" w:asciiTheme="minorEastAsia" w:hAnsiTheme="minorEastAsia" w:eastAsiaTheme="minorEastAsia" w:cstheme="minorEastAsia"/>
                <w:bCs/>
                <w:iCs/>
                <w:sz w:val="24"/>
                <w:highlight w:val="none"/>
              </w:rPr>
              <w:t>质保期</w:t>
            </w:r>
          </w:p>
        </w:tc>
        <w:tc>
          <w:tcPr>
            <w:tcW w:w="5898" w:type="dxa"/>
            <w:vAlign w:val="center"/>
          </w:tcPr>
          <w:p>
            <w:pPr>
              <w:pStyle w:val="10"/>
              <w:spacing w:line="400" w:lineRule="exact"/>
              <w:ind w:firstLine="480"/>
              <w:rPr>
                <w:rFonts w:asciiTheme="minorEastAsia" w:hAnsiTheme="minorEastAsia" w:eastAsiaTheme="minorEastAsia" w:cstheme="minorEastAsia"/>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10" w:type="dxa"/>
            <w:vAlign w:val="center"/>
          </w:tcPr>
          <w:p>
            <w:pPr>
              <w:spacing w:line="300" w:lineRule="exact"/>
              <w:jc w:val="center"/>
              <w:rPr>
                <w:rFonts w:asciiTheme="minorEastAsia" w:hAnsiTheme="minorEastAsia" w:eastAsiaTheme="minorEastAsia" w:cstheme="minorEastAsia"/>
                <w:bCs/>
                <w:iCs/>
                <w:sz w:val="24"/>
                <w:highlight w:val="none"/>
              </w:rPr>
            </w:pPr>
            <w:r>
              <w:rPr>
                <w:rFonts w:hint="eastAsia" w:asciiTheme="minorEastAsia" w:hAnsiTheme="minorEastAsia" w:eastAsiaTheme="minorEastAsia" w:cstheme="minorEastAsia"/>
                <w:bCs/>
                <w:iCs/>
                <w:sz w:val="24"/>
                <w:highlight w:val="none"/>
              </w:rPr>
              <w:t>投标有效期</w:t>
            </w:r>
          </w:p>
        </w:tc>
        <w:tc>
          <w:tcPr>
            <w:tcW w:w="5898" w:type="dxa"/>
            <w:vAlign w:val="center"/>
          </w:tcPr>
          <w:p>
            <w:pPr>
              <w:pStyle w:val="10"/>
              <w:spacing w:line="400" w:lineRule="exact"/>
              <w:ind w:firstLine="480"/>
              <w:rPr>
                <w:rFonts w:asciiTheme="minorEastAsia" w:hAnsiTheme="minorEastAsia" w:eastAsiaTheme="minorEastAsia" w:cstheme="minorEastAsia"/>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2610" w:type="dxa"/>
            <w:vAlign w:val="center"/>
          </w:tcPr>
          <w:p>
            <w:pPr>
              <w:pStyle w:val="10"/>
              <w:spacing w:line="400" w:lineRule="exact"/>
              <w:ind w:firstLine="480"/>
              <w:rPr>
                <w:rFonts w:asciiTheme="minorEastAsia" w:hAnsiTheme="minorEastAsia" w:eastAsiaTheme="minorEastAsia" w:cstheme="minorEastAsia"/>
                <w:bCs/>
                <w:iCs/>
                <w:sz w:val="24"/>
                <w:highlight w:val="none"/>
              </w:rPr>
            </w:pPr>
            <w:r>
              <w:rPr>
                <w:rFonts w:hint="eastAsia" w:asciiTheme="minorEastAsia" w:hAnsiTheme="minorEastAsia" w:eastAsiaTheme="minorEastAsia" w:cstheme="minorEastAsia"/>
                <w:sz w:val="24"/>
                <w:szCs w:val="20"/>
                <w:highlight w:val="none"/>
              </w:rPr>
              <w:t>备注：</w:t>
            </w:r>
          </w:p>
        </w:tc>
        <w:tc>
          <w:tcPr>
            <w:tcW w:w="5898" w:type="dxa"/>
            <w:vAlign w:val="center"/>
          </w:tcPr>
          <w:p>
            <w:pPr>
              <w:pStyle w:val="10"/>
              <w:spacing w:line="400" w:lineRule="exact"/>
              <w:ind w:firstLine="480"/>
              <w:rPr>
                <w:rFonts w:asciiTheme="minorEastAsia" w:hAnsiTheme="minorEastAsia" w:eastAsiaTheme="minorEastAsia" w:cstheme="minorEastAsia"/>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8508" w:type="dxa"/>
            <w:gridSpan w:val="2"/>
            <w:vAlign w:val="center"/>
          </w:tcPr>
          <w:p>
            <w:pPr>
              <w:pStyle w:val="10"/>
              <w:spacing w:line="400" w:lineRule="exact"/>
              <w:ind w:firstLine="480"/>
              <w:rPr>
                <w:rFonts w:asciiTheme="minorEastAsia" w:hAnsiTheme="minorEastAsia" w:eastAsiaTheme="minorEastAsia" w:cstheme="minorEastAsia"/>
                <w:sz w:val="24"/>
                <w:szCs w:val="20"/>
                <w:highlight w:val="none"/>
              </w:rPr>
            </w:pPr>
          </w:p>
        </w:tc>
      </w:tr>
    </w:tbl>
    <w:p>
      <w:pPr>
        <w:spacing w:line="360" w:lineRule="exact"/>
        <w:jc w:val="right"/>
        <w:rPr>
          <w:rFonts w:asciiTheme="minorEastAsia" w:hAnsiTheme="minorEastAsia" w:eastAsiaTheme="minorEastAsia" w:cstheme="minorEastAsia"/>
          <w:sz w:val="24"/>
          <w:highlight w:val="none"/>
        </w:rPr>
      </w:pPr>
    </w:p>
    <w:p>
      <w:pPr>
        <w:ind w:firstLine="3240" w:firstLineChars="1350"/>
        <w:rPr>
          <w:rFonts w:asciiTheme="minorEastAsia" w:hAnsiTheme="minorEastAsia" w:eastAsiaTheme="minorEastAsia" w:cstheme="minorEastAsia"/>
          <w:sz w:val="24"/>
          <w:highlight w:val="none"/>
        </w:rPr>
      </w:pPr>
    </w:p>
    <w:p>
      <w:pPr>
        <w:ind w:firstLine="3240" w:firstLineChars="1350"/>
        <w:rPr>
          <w:rFonts w:asciiTheme="minorEastAsia" w:hAnsiTheme="minorEastAsia" w:eastAsiaTheme="minorEastAsia" w:cstheme="minorEastAsia"/>
          <w:sz w:val="24"/>
          <w:highlight w:val="none"/>
        </w:rPr>
      </w:pPr>
    </w:p>
    <w:p>
      <w:pPr>
        <w:ind w:firstLine="3240" w:firstLineChars="1350"/>
        <w:rPr>
          <w:rFonts w:asciiTheme="minorEastAsia" w:hAnsiTheme="minorEastAsia" w:eastAsiaTheme="minorEastAsia" w:cstheme="minorEastAsia"/>
          <w:sz w:val="24"/>
          <w:highlight w:val="none"/>
        </w:rPr>
      </w:pPr>
    </w:p>
    <w:p>
      <w:pPr>
        <w:ind w:firstLine="3240" w:firstLineChars="1350"/>
        <w:rPr>
          <w:rFonts w:asciiTheme="minorEastAsia" w:hAnsiTheme="minorEastAsia" w:eastAsiaTheme="minorEastAsia" w:cstheme="minorEastAsia"/>
          <w:sz w:val="24"/>
          <w:highlight w:val="none"/>
        </w:rPr>
      </w:pPr>
    </w:p>
    <w:p>
      <w:pPr>
        <w:ind w:firstLine="3240" w:firstLineChars="1350"/>
        <w:rPr>
          <w:rFonts w:asciiTheme="minorEastAsia" w:hAnsiTheme="minorEastAsia" w:eastAsiaTheme="minorEastAsia" w:cstheme="minorEastAsia"/>
          <w:sz w:val="24"/>
          <w:highlight w:val="none"/>
        </w:rPr>
      </w:pPr>
    </w:p>
    <w:p>
      <w:pPr>
        <w:ind w:firstLine="3240" w:firstLineChars="1350"/>
        <w:rPr>
          <w:rFonts w:asciiTheme="minorEastAsia" w:hAnsiTheme="minorEastAsia" w:eastAsiaTheme="minorEastAsia" w:cstheme="minorEastAsia"/>
          <w:sz w:val="24"/>
          <w:highlight w:val="none"/>
        </w:rPr>
      </w:pPr>
    </w:p>
    <w:p>
      <w:pPr>
        <w:ind w:firstLine="3240" w:firstLineChars="13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供应商：（单位公章）</w:t>
      </w:r>
    </w:p>
    <w:p>
      <w:pPr>
        <w:ind w:left="1050" w:leftChars="500"/>
        <w:jc w:val="center"/>
        <w:rPr>
          <w:rFonts w:asciiTheme="minorEastAsia" w:hAnsiTheme="minorEastAsia" w:eastAsiaTheme="minorEastAsia" w:cstheme="minorEastAsia"/>
          <w:sz w:val="24"/>
          <w:highlight w:val="none"/>
        </w:rPr>
      </w:pPr>
    </w:p>
    <w:p>
      <w:pPr>
        <w:ind w:left="1050" w:leftChars="50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法定代表人</w:t>
      </w:r>
      <w:r>
        <w:rPr>
          <w:rFonts w:hint="eastAsia" w:asciiTheme="minorEastAsia" w:hAnsiTheme="minorEastAsia" w:eastAsiaTheme="minorEastAsia" w:cstheme="minorEastAsia"/>
          <w:sz w:val="24"/>
          <w:szCs w:val="20"/>
          <w:highlight w:val="none"/>
        </w:rPr>
        <w:t>或其委托代理人</w:t>
      </w:r>
      <w:r>
        <w:rPr>
          <w:rFonts w:hint="eastAsia" w:asciiTheme="minorEastAsia" w:hAnsiTheme="minorEastAsia" w:eastAsiaTheme="minorEastAsia" w:cstheme="minorEastAsia"/>
          <w:sz w:val="24"/>
          <w:highlight w:val="none"/>
        </w:rPr>
        <w:t>：（签字或盖章）</w:t>
      </w:r>
    </w:p>
    <w:p>
      <w:pPr>
        <w:ind w:left="1050" w:leftChars="500"/>
        <w:jc w:val="center"/>
        <w:rPr>
          <w:rFonts w:asciiTheme="minorEastAsia" w:hAnsiTheme="minorEastAsia" w:eastAsiaTheme="minorEastAsia" w:cstheme="minorEastAsia"/>
          <w:sz w:val="24"/>
          <w:highlight w:val="none"/>
        </w:rPr>
      </w:pPr>
    </w:p>
    <w:p>
      <w:pPr>
        <w:ind w:left="1050" w:leftChars="50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日  期：     年   月   日</w:t>
      </w:r>
    </w:p>
    <w:p>
      <w:pPr>
        <w:rPr>
          <w:rFonts w:asciiTheme="minorEastAsia" w:hAnsiTheme="minorEastAsia" w:eastAsiaTheme="minorEastAsia" w:cstheme="minorEastAsia"/>
          <w:highlight w:val="none"/>
        </w:rPr>
      </w:pPr>
    </w:p>
    <w:p>
      <w:pPr>
        <w:rPr>
          <w:rFonts w:asciiTheme="minorEastAsia" w:hAnsiTheme="minorEastAsia" w:eastAsiaTheme="minorEastAsia" w:cstheme="minorEastAsia"/>
          <w:highlight w:val="none"/>
        </w:rPr>
      </w:pPr>
    </w:p>
    <w:p>
      <w:pPr>
        <w:pStyle w:val="7"/>
        <w:rPr>
          <w:rFonts w:asciiTheme="minorEastAsia" w:hAnsiTheme="minorEastAsia" w:eastAsiaTheme="minorEastAsia" w:cstheme="minorEastAsia"/>
          <w:sz w:val="24"/>
          <w:highlight w:val="none"/>
        </w:rPr>
      </w:pPr>
    </w:p>
    <w:p>
      <w:pPr>
        <w:pStyle w:val="17"/>
        <w:spacing w:before="120" w:after="120" w:line="500" w:lineRule="exact"/>
        <w:ind w:right="29" w:rightChars="14"/>
        <w:outlineLvl w:val="9"/>
        <w:rPr>
          <w:rFonts w:asciiTheme="minorEastAsia" w:hAnsiTheme="minorEastAsia" w:eastAsiaTheme="minorEastAsia" w:cstheme="minorEastAsia"/>
          <w:sz w:val="24"/>
          <w:highlight w:val="none"/>
        </w:rPr>
      </w:pPr>
    </w:p>
    <w:p>
      <w:pPr>
        <w:pStyle w:val="17"/>
        <w:spacing w:before="120" w:after="120" w:line="500" w:lineRule="exact"/>
        <w:ind w:right="29" w:rightChars="14"/>
        <w:outlineLvl w:val="9"/>
        <w:rPr>
          <w:rFonts w:asciiTheme="minorEastAsia" w:hAnsiTheme="minorEastAsia" w:eastAsiaTheme="minorEastAsia" w:cstheme="minorEastAsia"/>
          <w:sz w:val="24"/>
          <w:highlight w:val="none"/>
        </w:rPr>
        <w:sectPr>
          <w:headerReference r:id="rId5" w:type="default"/>
          <w:footerReference r:id="rId6" w:type="default"/>
          <w:pgSz w:w="11907" w:h="16840"/>
          <w:pgMar w:top="1276" w:right="1116" w:bottom="1417" w:left="911" w:header="850" w:footer="998" w:gutter="0"/>
          <w:pgNumType w:fmt="numberInDash"/>
          <w:cols w:space="720" w:num="1"/>
          <w:docGrid w:type="lines" w:linePitch="380" w:charSpace="0"/>
        </w:sectPr>
      </w:pPr>
    </w:p>
    <w:p>
      <w:pPr>
        <w:spacing w:line="500" w:lineRule="exact"/>
        <w:jc w:val="center"/>
        <w:outlineLvl w:val="2"/>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（三）报价明细表</w:t>
      </w:r>
    </w:p>
    <w:p>
      <w:pPr>
        <w:spacing w:line="440" w:lineRule="exact"/>
        <w:ind w:firstLine="308" w:firstLineChars="147"/>
        <w:rPr>
          <w:rFonts w:ascii="宋体" w:hAnsi="宋体" w:cs="宋体"/>
          <w:bCs/>
          <w:szCs w:val="21"/>
          <w:highlight w:val="none"/>
        </w:rPr>
      </w:pPr>
    </w:p>
    <w:tbl>
      <w:tblPr>
        <w:tblStyle w:val="20"/>
        <w:tblW w:w="9917"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851"/>
        <w:gridCol w:w="849"/>
        <w:gridCol w:w="2518"/>
        <w:gridCol w:w="772"/>
        <w:gridCol w:w="723"/>
        <w:gridCol w:w="818"/>
        <w:gridCol w:w="937"/>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rPr>
        <w:tc>
          <w:tcPr>
            <w:tcW w:w="1307" w:type="dxa"/>
            <w:vMerge w:val="restart"/>
            <w:tcBorders>
              <w:top w:val="single" w:color="auto" w:sz="4" w:space="0"/>
              <w:left w:val="single" w:color="auto" w:sz="4" w:space="0"/>
              <w:right w:val="single" w:color="auto" w:sz="4" w:space="0"/>
            </w:tcBorders>
            <w:noWrap/>
            <w:vAlign w:val="center"/>
          </w:tcPr>
          <w:p>
            <w:pPr>
              <w:pStyle w:val="16"/>
              <w:widowControl w:val="0"/>
              <w:adjustRightInd w:val="0"/>
              <w:spacing w:before="0" w:beforeAutospacing="0" w:after="0" w:afterAutospacing="0" w:line="480" w:lineRule="exact"/>
              <w:jc w:val="center"/>
              <w:rPr>
                <w:bCs/>
                <w:highlight w:val="none"/>
              </w:rPr>
            </w:pPr>
            <w:r>
              <w:rPr>
                <w:rFonts w:hint="eastAsia"/>
                <w:bCs/>
                <w:highlight w:val="none"/>
              </w:rPr>
              <w:t>名称</w:t>
            </w:r>
          </w:p>
        </w:tc>
        <w:tc>
          <w:tcPr>
            <w:tcW w:w="4218" w:type="dxa"/>
            <w:gridSpan w:val="3"/>
            <w:tcBorders>
              <w:top w:val="single" w:color="auto" w:sz="4" w:space="0"/>
              <w:left w:val="single" w:color="auto" w:sz="4" w:space="0"/>
              <w:bottom w:val="single" w:color="auto" w:sz="4" w:space="0"/>
              <w:right w:val="single" w:color="auto" w:sz="4" w:space="0"/>
            </w:tcBorders>
            <w:noWrap/>
            <w:vAlign w:val="center"/>
          </w:tcPr>
          <w:p>
            <w:pPr>
              <w:pStyle w:val="16"/>
              <w:widowControl w:val="0"/>
              <w:adjustRightInd w:val="0"/>
              <w:spacing w:before="0" w:beforeAutospacing="0" w:after="0" w:afterAutospacing="0" w:line="480" w:lineRule="exact"/>
              <w:jc w:val="center"/>
              <w:rPr>
                <w:bCs/>
                <w:highlight w:val="none"/>
              </w:rPr>
            </w:pPr>
            <w:r>
              <w:rPr>
                <w:rFonts w:hint="eastAsia"/>
                <w:bCs/>
                <w:highlight w:val="none"/>
              </w:rPr>
              <w:t>所投设备</w:t>
            </w:r>
          </w:p>
        </w:tc>
        <w:tc>
          <w:tcPr>
            <w:tcW w:w="772" w:type="dxa"/>
            <w:vMerge w:val="restart"/>
            <w:tcBorders>
              <w:top w:val="single" w:color="auto" w:sz="4" w:space="0"/>
              <w:left w:val="single" w:color="auto" w:sz="4" w:space="0"/>
              <w:right w:val="single" w:color="auto" w:sz="4" w:space="0"/>
            </w:tcBorders>
            <w:noWrap/>
            <w:vAlign w:val="center"/>
          </w:tcPr>
          <w:p>
            <w:pPr>
              <w:pStyle w:val="16"/>
              <w:widowControl w:val="0"/>
              <w:adjustRightInd w:val="0"/>
              <w:spacing w:before="0" w:beforeAutospacing="0" w:after="0" w:afterAutospacing="0" w:line="480" w:lineRule="exact"/>
              <w:jc w:val="center"/>
              <w:rPr>
                <w:bCs/>
                <w:highlight w:val="none"/>
              </w:rPr>
            </w:pPr>
            <w:r>
              <w:rPr>
                <w:rFonts w:hint="eastAsia"/>
                <w:bCs/>
                <w:highlight w:val="none"/>
              </w:rPr>
              <w:t>单位</w:t>
            </w:r>
          </w:p>
        </w:tc>
        <w:tc>
          <w:tcPr>
            <w:tcW w:w="723" w:type="dxa"/>
            <w:vMerge w:val="restart"/>
            <w:tcBorders>
              <w:top w:val="single" w:color="auto" w:sz="4" w:space="0"/>
              <w:left w:val="single" w:color="auto" w:sz="4" w:space="0"/>
              <w:right w:val="single" w:color="auto" w:sz="4" w:space="0"/>
            </w:tcBorders>
            <w:noWrap/>
            <w:vAlign w:val="center"/>
          </w:tcPr>
          <w:p>
            <w:pPr>
              <w:pStyle w:val="16"/>
              <w:widowControl w:val="0"/>
              <w:adjustRightInd w:val="0"/>
              <w:spacing w:before="0" w:beforeAutospacing="0" w:after="0" w:afterAutospacing="0" w:line="480" w:lineRule="exact"/>
              <w:jc w:val="center"/>
              <w:rPr>
                <w:bCs/>
                <w:highlight w:val="none"/>
              </w:rPr>
            </w:pPr>
            <w:r>
              <w:rPr>
                <w:rFonts w:hint="eastAsia"/>
                <w:bCs/>
                <w:highlight w:val="none"/>
              </w:rPr>
              <w:t>数量</w:t>
            </w:r>
          </w:p>
        </w:tc>
        <w:tc>
          <w:tcPr>
            <w:tcW w:w="818" w:type="dxa"/>
            <w:vMerge w:val="restart"/>
            <w:tcBorders>
              <w:top w:val="single" w:color="auto" w:sz="4" w:space="0"/>
              <w:left w:val="single" w:color="auto" w:sz="4" w:space="0"/>
              <w:right w:val="single" w:color="auto" w:sz="4" w:space="0"/>
            </w:tcBorders>
            <w:noWrap/>
            <w:vAlign w:val="center"/>
          </w:tcPr>
          <w:p>
            <w:pPr>
              <w:pStyle w:val="16"/>
              <w:widowControl w:val="0"/>
              <w:adjustRightInd w:val="0"/>
              <w:spacing w:before="0" w:beforeAutospacing="0" w:after="0" w:afterAutospacing="0" w:line="480" w:lineRule="exact"/>
              <w:ind w:firstLine="235" w:firstLineChars="98"/>
              <w:jc w:val="center"/>
              <w:rPr>
                <w:bCs/>
                <w:highlight w:val="none"/>
              </w:rPr>
            </w:pPr>
          </w:p>
          <w:p>
            <w:pPr>
              <w:pStyle w:val="16"/>
              <w:widowControl w:val="0"/>
              <w:adjustRightInd w:val="0"/>
              <w:spacing w:before="0" w:beforeAutospacing="0" w:after="0" w:afterAutospacing="0" w:line="480" w:lineRule="exact"/>
              <w:jc w:val="center"/>
              <w:rPr>
                <w:bCs/>
                <w:highlight w:val="none"/>
              </w:rPr>
            </w:pPr>
            <w:r>
              <w:rPr>
                <w:rFonts w:hint="eastAsia"/>
                <w:bCs/>
                <w:highlight w:val="none"/>
              </w:rPr>
              <w:t>单价（元）</w:t>
            </w:r>
          </w:p>
          <w:p>
            <w:pPr>
              <w:pStyle w:val="16"/>
              <w:widowControl w:val="0"/>
              <w:adjustRightInd w:val="0"/>
              <w:spacing w:before="0" w:beforeAutospacing="0" w:after="0" w:afterAutospacing="0" w:line="480" w:lineRule="exact"/>
              <w:ind w:firstLine="235" w:firstLineChars="98"/>
              <w:jc w:val="center"/>
              <w:rPr>
                <w:bCs/>
                <w:highlight w:val="none"/>
              </w:rPr>
            </w:pPr>
          </w:p>
        </w:tc>
        <w:tc>
          <w:tcPr>
            <w:tcW w:w="937" w:type="dxa"/>
            <w:vMerge w:val="restart"/>
            <w:tcBorders>
              <w:top w:val="single" w:color="auto" w:sz="4" w:space="0"/>
              <w:left w:val="single" w:color="auto" w:sz="4" w:space="0"/>
              <w:right w:val="single" w:color="auto" w:sz="4" w:space="0"/>
            </w:tcBorders>
            <w:noWrap/>
            <w:vAlign w:val="center"/>
          </w:tcPr>
          <w:p>
            <w:pPr>
              <w:pStyle w:val="16"/>
              <w:widowControl w:val="0"/>
              <w:adjustRightInd w:val="0"/>
              <w:spacing w:before="0" w:beforeAutospacing="0" w:after="0" w:afterAutospacing="0" w:line="480" w:lineRule="exact"/>
              <w:jc w:val="center"/>
              <w:rPr>
                <w:bCs/>
                <w:highlight w:val="none"/>
              </w:rPr>
            </w:pPr>
            <w:r>
              <w:rPr>
                <w:rFonts w:hint="eastAsia"/>
                <w:bCs/>
                <w:highlight w:val="none"/>
              </w:rPr>
              <w:t>合价（元）</w:t>
            </w:r>
          </w:p>
        </w:tc>
        <w:tc>
          <w:tcPr>
            <w:tcW w:w="1142" w:type="dxa"/>
            <w:vMerge w:val="restart"/>
            <w:tcBorders>
              <w:top w:val="single" w:color="auto" w:sz="4" w:space="0"/>
              <w:left w:val="single" w:color="auto" w:sz="4" w:space="0"/>
              <w:right w:val="single" w:color="auto" w:sz="4" w:space="0"/>
            </w:tcBorders>
            <w:noWrap/>
          </w:tcPr>
          <w:p>
            <w:pPr>
              <w:pStyle w:val="16"/>
              <w:widowControl w:val="0"/>
              <w:adjustRightInd w:val="0"/>
              <w:spacing w:before="0" w:beforeAutospacing="0" w:after="0" w:afterAutospacing="0" w:line="480" w:lineRule="exact"/>
              <w:jc w:val="both"/>
              <w:rPr>
                <w:bCs/>
                <w:highlight w:val="none"/>
              </w:rPr>
            </w:pPr>
            <w:r>
              <w:rPr>
                <w:rFonts w:hint="eastAsia"/>
                <w:bCs/>
                <w:highlight w:val="none"/>
              </w:rPr>
              <w:t xml:space="preserve"> </w:t>
            </w:r>
          </w:p>
          <w:p>
            <w:pPr>
              <w:pStyle w:val="16"/>
              <w:widowControl w:val="0"/>
              <w:adjustRightInd w:val="0"/>
              <w:spacing w:before="0" w:beforeAutospacing="0" w:after="0" w:afterAutospacing="0" w:line="480" w:lineRule="exact"/>
              <w:jc w:val="both"/>
              <w:rPr>
                <w:bCs/>
                <w:highlight w:val="none"/>
              </w:rPr>
            </w:pPr>
            <w:r>
              <w:rPr>
                <w:rFonts w:hint="eastAsia"/>
                <w:bCs/>
                <w:highlight w:val="none"/>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9" w:hRule="atLeast"/>
        </w:trPr>
        <w:tc>
          <w:tcPr>
            <w:tcW w:w="1307" w:type="dxa"/>
            <w:vMerge w:val="continue"/>
            <w:tcBorders>
              <w:left w:val="single" w:color="auto" w:sz="4" w:space="0"/>
              <w:bottom w:val="single" w:color="auto" w:sz="4" w:space="0"/>
              <w:right w:val="single" w:color="auto" w:sz="4" w:space="0"/>
            </w:tcBorders>
            <w:noWrap/>
            <w:vAlign w:val="center"/>
          </w:tcPr>
          <w:p>
            <w:pPr>
              <w:pStyle w:val="16"/>
              <w:widowControl w:val="0"/>
              <w:adjustRightInd w:val="0"/>
              <w:spacing w:before="0" w:beforeAutospacing="0" w:after="0" w:afterAutospacing="0" w:line="480" w:lineRule="exact"/>
              <w:jc w:val="center"/>
              <w:rPr>
                <w:bCs/>
                <w:highlight w:val="none"/>
              </w:rPr>
            </w:pPr>
          </w:p>
        </w:tc>
        <w:tc>
          <w:tcPr>
            <w:tcW w:w="851" w:type="dxa"/>
            <w:tcBorders>
              <w:top w:val="single" w:color="auto" w:sz="4" w:space="0"/>
              <w:left w:val="single" w:color="auto" w:sz="4" w:space="0"/>
              <w:bottom w:val="single" w:color="auto" w:sz="4" w:space="0"/>
              <w:right w:val="single" w:color="auto" w:sz="4" w:space="0"/>
            </w:tcBorders>
            <w:noWrap/>
            <w:vAlign w:val="center"/>
          </w:tcPr>
          <w:p>
            <w:pPr>
              <w:pStyle w:val="16"/>
              <w:widowControl w:val="0"/>
              <w:adjustRightInd w:val="0"/>
              <w:spacing w:before="0" w:beforeAutospacing="0" w:after="0" w:afterAutospacing="0" w:line="480" w:lineRule="exact"/>
              <w:jc w:val="center"/>
              <w:rPr>
                <w:bCs/>
                <w:highlight w:val="none"/>
              </w:rPr>
            </w:pPr>
            <w:r>
              <w:rPr>
                <w:rFonts w:hint="eastAsia"/>
                <w:bCs/>
                <w:highlight w:val="none"/>
              </w:rPr>
              <w:t>品牌</w:t>
            </w:r>
          </w:p>
        </w:tc>
        <w:tc>
          <w:tcPr>
            <w:tcW w:w="849" w:type="dxa"/>
            <w:tcBorders>
              <w:top w:val="single" w:color="auto" w:sz="4" w:space="0"/>
              <w:left w:val="single" w:color="auto" w:sz="4" w:space="0"/>
              <w:bottom w:val="single" w:color="auto" w:sz="4" w:space="0"/>
              <w:right w:val="single" w:color="auto" w:sz="4" w:space="0"/>
            </w:tcBorders>
            <w:noWrap/>
            <w:vAlign w:val="center"/>
          </w:tcPr>
          <w:p>
            <w:pPr>
              <w:pStyle w:val="16"/>
              <w:widowControl w:val="0"/>
              <w:adjustRightInd w:val="0"/>
              <w:spacing w:before="0" w:beforeAutospacing="0" w:after="0" w:afterAutospacing="0" w:line="480" w:lineRule="exact"/>
              <w:jc w:val="center"/>
              <w:rPr>
                <w:bCs/>
                <w:highlight w:val="none"/>
              </w:rPr>
            </w:pPr>
            <w:r>
              <w:rPr>
                <w:rFonts w:hint="eastAsia"/>
                <w:bCs/>
                <w:highlight w:val="none"/>
              </w:rPr>
              <w:t>型号</w:t>
            </w:r>
          </w:p>
        </w:tc>
        <w:tc>
          <w:tcPr>
            <w:tcW w:w="2518" w:type="dxa"/>
            <w:tcBorders>
              <w:top w:val="single" w:color="auto" w:sz="4" w:space="0"/>
              <w:left w:val="single" w:color="auto" w:sz="4" w:space="0"/>
              <w:bottom w:val="single" w:color="auto" w:sz="4" w:space="0"/>
              <w:right w:val="single" w:color="auto" w:sz="4" w:space="0"/>
            </w:tcBorders>
            <w:noWrap/>
            <w:vAlign w:val="center"/>
          </w:tcPr>
          <w:p>
            <w:pPr>
              <w:pStyle w:val="16"/>
              <w:widowControl w:val="0"/>
              <w:adjustRightInd w:val="0"/>
              <w:spacing w:before="0" w:beforeAutospacing="0" w:after="0" w:afterAutospacing="0" w:line="480" w:lineRule="exact"/>
              <w:jc w:val="center"/>
              <w:rPr>
                <w:bCs/>
                <w:highlight w:val="none"/>
              </w:rPr>
            </w:pPr>
            <w:r>
              <w:rPr>
                <w:rFonts w:hint="eastAsia"/>
                <w:bCs/>
                <w:highlight w:val="none"/>
              </w:rPr>
              <w:t>技术参数</w:t>
            </w:r>
          </w:p>
        </w:tc>
        <w:tc>
          <w:tcPr>
            <w:tcW w:w="772" w:type="dxa"/>
            <w:vMerge w:val="continue"/>
            <w:tcBorders>
              <w:left w:val="single" w:color="auto" w:sz="4" w:space="0"/>
              <w:bottom w:val="single" w:color="auto" w:sz="4" w:space="0"/>
              <w:right w:val="single" w:color="auto" w:sz="4" w:space="0"/>
            </w:tcBorders>
            <w:noWrap/>
            <w:vAlign w:val="center"/>
          </w:tcPr>
          <w:p>
            <w:pPr>
              <w:pStyle w:val="16"/>
              <w:widowControl w:val="0"/>
              <w:adjustRightInd w:val="0"/>
              <w:spacing w:before="0" w:beforeAutospacing="0" w:after="0" w:afterAutospacing="0" w:line="480" w:lineRule="exact"/>
              <w:jc w:val="center"/>
              <w:rPr>
                <w:bCs/>
                <w:highlight w:val="none"/>
              </w:rPr>
            </w:pPr>
          </w:p>
        </w:tc>
        <w:tc>
          <w:tcPr>
            <w:tcW w:w="723" w:type="dxa"/>
            <w:vMerge w:val="continue"/>
            <w:tcBorders>
              <w:left w:val="single" w:color="auto" w:sz="4" w:space="0"/>
              <w:bottom w:val="single" w:color="auto" w:sz="4" w:space="0"/>
              <w:right w:val="single" w:color="auto" w:sz="4" w:space="0"/>
            </w:tcBorders>
            <w:noWrap/>
            <w:vAlign w:val="center"/>
          </w:tcPr>
          <w:p>
            <w:pPr>
              <w:pStyle w:val="16"/>
              <w:widowControl w:val="0"/>
              <w:adjustRightInd w:val="0"/>
              <w:spacing w:before="0" w:beforeAutospacing="0" w:after="0" w:afterAutospacing="0" w:line="480" w:lineRule="exact"/>
              <w:jc w:val="center"/>
              <w:rPr>
                <w:bCs/>
                <w:highlight w:val="none"/>
              </w:rPr>
            </w:pPr>
          </w:p>
        </w:tc>
        <w:tc>
          <w:tcPr>
            <w:tcW w:w="818" w:type="dxa"/>
            <w:vMerge w:val="continue"/>
            <w:tcBorders>
              <w:left w:val="single" w:color="auto" w:sz="4" w:space="0"/>
              <w:bottom w:val="single" w:color="auto" w:sz="4" w:space="0"/>
              <w:right w:val="single" w:color="auto" w:sz="4" w:space="0"/>
            </w:tcBorders>
            <w:noWrap/>
            <w:vAlign w:val="center"/>
          </w:tcPr>
          <w:p>
            <w:pPr>
              <w:pStyle w:val="16"/>
              <w:widowControl w:val="0"/>
              <w:adjustRightInd w:val="0"/>
              <w:spacing w:before="0" w:beforeAutospacing="0" w:after="0" w:afterAutospacing="0" w:line="480" w:lineRule="exact"/>
              <w:ind w:firstLine="235" w:firstLineChars="98"/>
              <w:jc w:val="center"/>
              <w:rPr>
                <w:bCs/>
                <w:highlight w:val="none"/>
              </w:rPr>
            </w:pPr>
          </w:p>
        </w:tc>
        <w:tc>
          <w:tcPr>
            <w:tcW w:w="937" w:type="dxa"/>
            <w:vMerge w:val="continue"/>
            <w:tcBorders>
              <w:left w:val="single" w:color="auto" w:sz="4" w:space="0"/>
              <w:bottom w:val="single" w:color="auto" w:sz="4" w:space="0"/>
              <w:right w:val="single" w:color="auto" w:sz="4" w:space="0"/>
            </w:tcBorders>
            <w:noWrap/>
            <w:vAlign w:val="center"/>
          </w:tcPr>
          <w:p>
            <w:pPr>
              <w:pStyle w:val="16"/>
              <w:widowControl w:val="0"/>
              <w:adjustRightInd w:val="0"/>
              <w:spacing w:before="0" w:beforeAutospacing="0" w:after="0" w:afterAutospacing="0" w:line="480" w:lineRule="exact"/>
              <w:jc w:val="center"/>
              <w:rPr>
                <w:bCs/>
                <w:highlight w:val="none"/>
              </w:rPr>
            </w:pPr>
          </w:p>
        </w:tc>
        <w:tc>
          <w:tcPr>
            <w:tcW w:w="1142" w:type="dxa"/>
            <w:vMerge w:val="continue"/>
            <w:tcBorders>
              <w:left w:val="single" w:color="auto" w:sz="4" w:space="0"/>
              <w:bottom w:val="single" w:color="auto" w:sz="4" w:space="0"/>
              <w:right w:val="single" w:color="auto" w:sz="4" w:space="0"/>
            </w:tcBorders>
            <w:noWrap/>
          </w:tcPr>
          <w:p>
            <w:pPr>
              <w:pStyle w:val="16"/>
              <w:widowControl w:val="0"/>
              <w:adjustRightInd w:val="0"/>
              <w:spacing w:before="0" w:beforeAutospacing="0" w:after="0" w:afterAutospacing="0" w:line="480" w:lineRule="exact"/>
              <w:ind w:left="105" w:leftChars="50" w:firstLine="115" w:firstLineChars="48"/>
              <w:jc w:val="center"/>
              <w:rPr>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4" w:hRule="atLeast"/>
        </w:trPr>
        <w:tc>
          <w:tcPr>
            <w:tcW w:w="1307"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851"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849"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2518"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772"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723"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818"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937"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1142"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r>
              <w:rPr>
                <w:rFonts w:hint="eastAsia" w:ascii="宋体" w:hAnsi="宋体" w:cs="宋体"/>
                <w:bCs/>
                <w:sz w:val="24"/>
                <w:highlight w:val="none"/>
              </w:rPr>
              <w:t>如：国家/行业标准...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307"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851"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849"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2518"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772"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723"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818"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937"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1142"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307"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851"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849"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2518"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772"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723"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818"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937"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1142"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307"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851"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849"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2518"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772"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723"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818"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937"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1142"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307"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851"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849"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2518"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772"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723"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818"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937"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1142"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1307"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851"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849"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2518"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772"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723"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818"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937"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c>
          <w:tcPr>
            <w:tcW w:w="1142"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1307" w:type="dxa"/>
            <w:tcBorders>
              <w:top w:val="single" w:color="auto" w:sz="4" w:space="0"/>
              <w:left w:val="single" w:color="auto" w:sz="4" w:space="0"/>
              <w:bottom w:val="single" w:color="auto" w:sz="4" w:space="0"/>
              <w:right w:val="single" w:color="auto" w:sz="4" w:space="0"/>
            </w:tcBorders>
            <w:noWrap/>
          </w:tcPr>
          <w:p>
            <w:pPr>
              <w:spacing w:line="480" w:lineRule="exact"/>
              <w:rPr>
                <w:rFonts w:ascii="宋体" w:hAnsi="宋体" w:cs="宋体"/>
                <w:bCs/>
                <w:sz w:val="24"/>
                <w:highlight w:val="none"/>
              </w:rPr>
            </w:pPr>
            <w:r>
              <w:rPr>
                <w:rFonts w:hint="eastAsia" w:ascii="宋体" w:hAnsi="宋体" w:cs="宋体"/>
                <w:bCs/>
                <w:sz w:val="24"/>
                <w:highlight w:val="none"/>
              </w:rPr>
              <w:t>合计（元）</w:t>
            </w:r>
          </w:p>
        </w:tc>
        <w:tc>
          <w:tcPr>
            <w:tcW w:w="8610" w:type="dxa"/>
            <w:gridSpan w:val="8"/>
            <w:tcBorders>
              <w:top w:val="single" w:color="auto" w:sz="4" w:space="0"/>
              <w:left w:val="single" w:color="auto" w:sz="4" w:space="0"/>
              <w:bottom w:val="single" w:color="auto" w:sz="4" w:space="0"/>
              <w:right w:val="single" w:color="auto" w:sz="4" w:space="0"/>
            </w:tcBorders>
            <w:noWrap/>
          </w:tcPr>
          <w:p>
            <w:pPr>
              <w:spacing w:line="480" w:lineRule="exact"/>
              <w:rPr>
                <w:rFonts w:ascii="宋体" w:hAnsi="宋体" w:cs="宋体"/>
                <w:bCs/>
                <w:sz w:val="24"/>
                <w:highlight w:val="none"/>
              </w:rPr>
            </w:pPr>
            <w:r>
              <w:rPr>
                <w:rFonts w:hint="eastAsia" w:ascii="宋体" w:hAnsi="宋体" w:cs="宋体"/>
                <w:bCs/>
                <w:sz w:val="24"/>
                <w:highlight w:val="none"/>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7" w:hRule="atLeast"/>
        </w:trPr>
        <w:tc>
          <w:tcPr>
            <w:tcW w:w="9917" w:type="dxa"/>
            <w:gridSpan w:val="9"/>
            <w:tcBorders>
              <w:top w:val="single" w:color="auto" w:sz="4" w:space="0"/>
              <w:left w:val="single" w:color="auto" w:sz="4" w:space="0"/>
              <w:bottom w:val="single" w:color="auto" w:sz="4" w:space="0"/>
              <w:right w:val="single" w:color="auto" w:sz="4" w:space="0"/>
            </w:tcBorders>
            <w:noWrap/>
          </w:tcPr>
          <w:p>
            <w:pPr>
              <w:spacing w:line="480" w:lineRule="exact"/>
              <w:rPr>
                <w:rFonts w:ascii="宋体" w:hAnsi="宋体" w:cs="宋体"/>
                <w:bCs/>
                <w:sz w:val="24"/>
                <w:highlight w:val="none"/>
              </w:rPr>
            </w:pPr>
            <w:r>
              <w:rPr>
                <w:rFonts w:hint="eastAsia" w:ascii="宋体" w:hAnsi="宋体" w:cs="宋体"/>
                <w:b/>
                <w:sz w:val="24"/>
                <w:highlight w:val="none"/>
              </w:rPr>
              <w:t>重要提示：1、本表的每一页须加盖企业印章；2、涉及有国家标准的产品，须填写名称、品牌、型号及技术参数、报价等本表内容（若品牌、型号等填写的与实际不符，按照无效标处理）。</w:t>
            </w:r>
          </w:p>
        </w:tc>
      </w:tr>
    </w:tbl>
    <w:p>
      <w:pPr>
        <w:spacing w:line="480" w:lineRule="exact"/>
        <w:jc w:val="right"/>
        <w:rPr>
          <w:rFonts w:ascii="宋体" w:hAnsi="宋体" w:cs="宋体"/>
          <w:bCs/>
          <w:sz w:val="24"/>
          <w:highlight w:val="none"/>
        </w:rPr>
      </w:pPr>
      <w:r>
        <w:rPr>
          <w:rFonts w:hint="eastAsia" w:ascii="宋体" w:hAnsi="宋体" w:cs="宋体"/>
          <w:bCs/>
          <w:sz w:val="24"/>
          <w:highlight w:val="none"/>
        </w:rPr>
        <w:t>供应商：（单位公章）</w:t>
      </w:r>
    </w:p>
    <w:p>
      <w:pPr>
        <w:spacing w:line="480" w:lineRule="exact"/>
        <w:jc w:val="right"/>
        <w:rPr>
          <w:rFonts w:ascii="宋体" w:hAnsi="宋体" w:cs="宋体"/>
          <w:bCs/>
          <w:sz w:val="24"/>
          <w:highlight w:val="none"/>
        </w:rPr>
      </w:pPr>
      <w:r>
        <w:rPr>
          <w:rFonts w:hint="eastAsia" w:ascii="宋体" w:hAnsi="宋体" w:cs="宋体"/>
          <w:bCs/>
          <w:sz w:val="24"/>
          <w:highlight w:val="none"/>
        </w:rPr>
        <w:t xml:space="preserve">     法定代表人</w:t>
      </w:r>
      <w:r>
        <w:rPr>
          <w:rFonts w:hint="eastAsia" w:ascii="宋体" w:hAnsi="宋体" w:cs="宋体"/>
          <w:bCs/>
          <w:sz w:val="24"/>
          <w:szCs w:val="20"/>
          <w:highlight w:val="none"/>
        </w:rPr>
        <w:t>或其委托代理人</w:t>
      </w:r>
      <w:r>
        <w:rPr>
          <w:rFonts w:hint="eastAsia" w:ascii="宋体" w:hAnsi="宋体" w:cs="宋体"/>
          <w:bCs/>
          <w:sz w:val="24"/>
          <w:highlight w:val="none"/>
        </w:rPr>
        <w:t>：（签字或盖章）</w:t>
      </w:r>
    </w:p>
    <w:p>
      <w:pPr>
        <w:ind w:left="1050" w:leftChars="500"/>
        <w:jc w:val="right"/>
        <w:rPr>
          <w:rFonts w:ascii="宋体" w:hAnsi="宋体" w:cs="宋体"/>
          <w:bCs/>
          <w:sz w:val="24"/>
          <w:highlight w:val="none"/>
        </w:rPr>
      </w:pPr>
      <w:r>
        <w:rPr>
          <w:rFonts w:hint="eastAsia" w:ascii="宋体" w:hAnsi="宋体" w:cs="宋体"/>
          <w:bCs/>
          <w:sz w:val="24"/>
          <w:highlight w:val="none"/>
        </w:rPr>
        <w:t xml:space="preserve">                日  期：     年   月   日</w:t>
      </w:r>
    </w:p>
    <w:p>
      <w:pPr>
        <w:autoSpaceDE w:val="0"/>
        <w:autoSpaceDN w:val="0"/>
        <w:adjustRightInd w:val="0"/>
        <w:spacing w:line="440" w:lineRule="exact"/>
        <w:jc w:val="right"/>
        <w:rPr>
          <w:rFonts w:ascii="宋体" w:hAnsi="宋体" w:cs="宋体"/>
          <w:b/>
          <w:sz w:val="30"/>
          <w:szCs w:val="30"/>
          <w:highlight w:val="none"/>
        </w:rPr>
      </w:pPr>
    </w:p>
    <w:p>
      <w:pPr>
        <w:autoSpaceDE w:val="0"/>
        <w:autoSpaceDN w:val="0"/>
        <w:adjustRightInd w:val="0"/>
        <w:spacing w:line="440" w:lineRule="exact"/>
        <w:jc w:val="center"/>
        <w:rPr>
          <w:rFonts w:ascii="宋体" w:hAnsi="宋体" w:cs="宋体"/>
          <w:b/>
          <w:sz w:val="30"/>
          <w:szCs w:val="30"/>
          <w:highlight w:val="none"/>
        </w:rPr>
      </w:pPr>
    </w:p>
    <w:p>
      <w:pPr>
        <w:autoSpaceDE w:val="0"/>
        <w:autoSpaceDN w:val="0"/>
        <w:adjustRightInd w:val="0"/>
        <w:spacing w:line="440" w:lineRule="exact"/>
        <w:jc w:val="center"/>
        <w:rPr>
          <w:rFonts w:ascii="宋体" w:hAnsi="宋体" w:cs="宋体"/>
          <w:b/>
          <w:sz w:val="30"/>
          <w:szCs w:val="30"/>
          <w:highlight w:val="none"/>
        </w:rPr>
      </w:pPr>
    </w:p>
    <w:p>
      <w:pPr>
        <w:autoSpaceDE w:val="0"/>
        <w:autoSpaceDN w:val="0"/>
        <w:adjustRightInd w:val="0"/>
        <w:spacing w:line="440" w:lineRule="exact"/>
        <w:jc w:val="center"/>
        <w:rPr>
          <w:rFonts w:ascii="宋体" w:hAnsi="宋体" w:cs="宋体"/>
          <w:b/>
          <w:sz w:val="30"/>
          <w:szCs w:val="30"/>
          <w:highlight w:val="none"/>
        </w:rPr>
      </w:pPr>
    </w:p>
    <w:p>
      <w:pPr>
        <w:autoSpaceDE w:val="0"/>
        <w:autoSpaceDN w:val="0"/>
        <w:adjustRightInd w:val="0"/>
        <w:spacing w:line="440" w:lineRule="exact"/>
        <w:jc w:val="center"/>
        <w:rPr>
          <w:rFonts w:ascii="宋体" w:hAnsi="宋体" w:cs="宋体"/>
          <w:b/>
          <w:sz w:val="30"/>
          <w:szCs w:val="30"/>
          <w:highlight w:val="none"/>
        </w:rPr>
      </w:pPr>
    </w:p>
    <w:p>
      <w:pPr>
        <w:autoSpaceDE w:val="0"/>
        <w:autoSpaceDN w:val="0"/>
        <w:adjustRightInd w:val="0"/>
        <w:spacing w:line="440" w:lineRule="exact"/>
        <w:jc w:val="center"/>
        <w:rPr>
          <w:rFonts w:ascii="宋体" w:hAnsi="宋体" w:cs="宋体"/>
          <w:b/>
          <w:sz w:val="30"/>
          <w:szCs w:val="30"/>
          <w:highlight w:val="none"/>
        </w:rPr>
      </w:pPr>
      <w:r>
        <w:rPr>
          <w:rFonts w:hint="eastAsia" w:ascii="宋体" w:hAnsi="宋体" w:cs="宋体"/>
          <w:b/>
          <w:sz w:val="30"/>
          <w:szCs w:val="30"/>
          <w:highlight w:val="none"/>
        </w:rPr>
        <w:t>（四）技术偏离表</w:t>
      </w:r>
    </w:p>
    <w:p>
      <w:pPr>
        <w:spacing w:line="440" w:lineRule="exact"/>
        <w:rPr>
          <w:rFonts w:ascii="宋体" w:hAnsi="宋体" w:cs="宋体"/>
          <w:sz w:val="32"/>
          <w:highlight w:val="none"/>
        </w:rPr>
      </w:pPr>
    </w:p>
    <w:tbl>
      <w:tblPr>
        <w:tblStyle w:val="20"/>
        <w:tblW w:w="100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7"/>
        <w:gridCol w:w="2005"/>
        <w:gridCol w:w="2137"/>
        <w:gridCol w:w="2270"/>
        <w:gridCol w:w="2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6" w:hRule="atLeast"/>
          <w:jc w:val="center"/>
        </w:trPr>
        <w:tc>
          <w:tcPr>
            <w:tcW w:w="907" w:type="dxa"/>
            <w:tcBorders>
              <w:top w:val="single" w:color="auto" w:sz="12" w:space="0"/>
              <w:left w:val="single" w:color="auto" w:sz="12" w:space="0"/>
              <w:bottom w:val="single" w:color="auto" w:sz="6" w:space="0"/>
              <w:right w:val="single" w:color="auto" w:sz="6" w:space="0"/>
            </w:tcBorders>
            <w:noWrap/>
            <w:vAlign w:val="center"/>
          </w:tcPr>
          <w:p>
            <w:pPr>
              <w:spacing w:line="440" w:lineRule="exact"/>
              <w:ind w:left="-141"/>
              <w:jc w:val="center"/>
              <w:rPr>
                <w:rFonts w:ascii="宋体" w:hAnsi="宋体" w:cs="宋体"/>
                <w:b/>
                <w:sz w:val="24"/>
                <w:highlight w:val="none"/>
              </w:rPr>
            </w:pPr>
            <w:r>
              <w:rPr>
                <w:rFonts w:hint="eastAsia" w:ascii="宋体" w:hAnsi="宋体" w:cs="宋体"/>
                <w:b/>
                <w:sz w:val="24"/>
                <w:highlight w:val="none"/>
              </w:rPr>
              <w:t>序号</w:t>
            </w:r>
          </w:p>
        </w:tc>
        <w:tc>
          <w:tcPr>
            <w:tcW w:w="2005" w:type="dxa"/>
            <w:tcBorders>
              <w:top w:val="single" w:color="auto" w:sz="12" w:space="0"/>
              <w:left w:val="single" w:color="auto" w:sz="6" w:space="0"/>
              <w:bottom w:val="single" w:color="auto" w:sz="6" w:space="0"/>
              <w:right w:val="single" w:color="auto" w:sz="6" w:space="0"/>
            </w:tcBorders>
            <w:noWrap/>
            <w:vAlign w:val="center"/>
          </w:tcPr>
          <w:p>
            <w:pPr>
              <w:spacing w:line="440" w:lineRule="exact"/>
              <w:jc w:val="center"/>
              <w:rPr>
                <w:rFonts w:ascii="宋体" w:hAnsi="宋体" w:cs="宋体"/>
                <w:b/>
                <w:sz w:val="24"/>
                <w:highlight w:val="none"/>
              </w:rPr>
            </w:pPr>
            <w:r>
              <w:rPr>
                <w:rFonts w:hint="eastAsia" w:ascii="宋体" w:hAnsi="宋体" w:cs="宋体"/>
                <w:b/>
                <w:sz w:val="24"/>
                <w:highlight w:val="none"/>
              </w:rPr>
              <w:t>货物名称</w:t>
            </w:r>
          </w:p>
        </w:tc>
        <w:tc>
          <w:tcPr>
            <w:tcW w:w="2137" w:type="dxa"/>
            <w:tcBorders>
              <w:top w:val="single" w:color="auto" w:sz="12" w:space="0"/>
              <w:left w:val="single" w:color="auto" w:sz="6" w:space="0"/>
              <w:bottom w:val="single" w:color="auto" w:sz="6" w:space="0"/>
              <w:right w:val="single" w:color="auto" w:sz="6" w:space="0"/>
            </w:tcBorders>
            <w:noWrap/>
            <w:vAlign w:val="center"/>
          </w:tcPr>
          <w:p>
            <w:pPr>
              <w:spacing w:line="440" w:lineRule="exact"/>
              <w:jc w:val="center"/>
              <w:rPr>
                <w:rFonts w:ascii="宋体" w:hAnsi="宋体" w:cs="宋体"/>
                <w:b/>
                <w:sz w:val="24"/>
                <w:highlight w:val="none"/>
              </w:rPr>
            </w:pPr>
            <w:r>
              <w:rPr>
                <w:rFonts w:hint="eastAsia" w:ascii="宋体" w:hAnsi="宋体" w:cs="宋体"/>
                <w:b/>
                <w:sz w:val="24"/>
                <w:highlight w:val="none"/>
              </w:rPr>
              <w:t>招标技术要求</w:t>
            </w:r>
          </w:p>
        </w:tc>
        <w:tc>
          <w:tcPr>
            <w:tcW w:w="2270" w:type="dxa"/>
            <w:tcBorders>
              <w:top w:val="single" w:color="auto" w:sz="12" w:space="0"/>
              <w:left w:val="single" w:color="auto" w:sz="6" w:space="0"/>
              <w:bottom w:val="single" w:color="auto" w:sz="6" w:space="0"/>
              <w:right w:val="single" w:color="auto" w:sz="6" w:space="0"/>
            </w:tcBorders>
            <w:noWrap/>
            <w:vAlign w:val="center"/>
          </w:tcPr>
          <w:p>
            <w:pPr>
              <w:widowControl/>
              <w:spacing w:line="440" w:lineRule="exact"/>
              <w:jc w:val="center"/>
              <w:rPr>
                <w:rFonts w:ascii="宋体" w:hAnsi="宋体" w:cs="宋体"/>
                <w:b/>
                <w:sz w:val="24"/>
                <w:highlight w:val="none"/>
              </w:rPr>
            </w:pPr>
            <w:r>
              <w:rPr>
                <w:rFonts w:hint="eastAsia" w:ascii="宋体" w:hAnsi="宋体" w:cs="宋体"/>
                <w:b/>
                <w:sz w:val="24"/>
                <w:highlight w:val="none"/>
              </w:rPr>
              <w:t>投标货物实际技术规格</w:t>
            </w:r>
          </w:p>
        </w:tc>
        <w:tc>
          <w:tcPr>
            <w:tcW w:w="2718" w:type="dxa"/>
            <w:tcBorders>
              <w:top w:val="single" w:color="auto" w:sz="12" w:space="0"/>
              <w:left w:val="single" w:color="auto" w:sz="6" w:space="0"/>
              <w:bottom w:val="single" w:color="auto" w:sz="6" w:space="0"/>
              <w:right w:val="single" w:color="auto" w:sz="12" w:space="0"/>
            </w:tcBorders>
            <w:noWrap/>
            <w:vAlign w:val="center"/>
          </w:tcPr>
          <w:p>
            <w:pPr>
              <w:widowControl/>
              <w:spacing w:line="440" w:lineRule="exact"/>
              <w:jc w:val="center"/>
              <w:rPr>
                <w:rFonts w:ascii="宋体" w:hAnsi="宋体" w:cs="宋体"/>
                <w:b/>
                <w:sz w:val="24"/>
                <w:highlight w:val="none"/>
              </w:rPr>
            </w:pPr>
            <w:r>
              <w:rPr>
                <w:rFonts w:hint="eastAsia" w:ascii="宋体" w:hAnsi="宋体" w:cs="宋体"/>
                <w:b/>
                <w:sz w:val="24"/>
                <w:highlight w:val="none"/>
              </w:rPr>
              <w:t>偏离说明</w:t>
            </w:r>
          </w:p>
          <w:p>
            <w:pPr>
              <w:widowControl/>
              <w:spacing w:line="440" w:lineRule="exact"/>
              <w:jc w:val="center"/>
              <w:rPr>
                <w:rFonts w:ascii="宋体" w:hAnsi="宋体" w:cs="宋体"/>
                <w:b/>
                <w:sz w:val="24"/>
                <w:highlight w:val="none"/>
              </w:rPr>
            </w:pPr>
            <w:r>
              <w:rPr>
                <w:rFonts w:hint="eastAsia" w:ascii="宋体" w:hAnsi="宋体" w:cs="宋体"/>
                <w:b/>
                <w:sz w:val="24"/>
                <w:highlight w:val="none"/>
              </w:rPr>
              <w:t>(说明偏离情况）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907" w:type="dxa"/>
            <w:tcBorders>
              <w:top w:val="single" w:color="auto" w:sz="6" w:space="0"/>
              <w:left w:val="single" w:color="auto" w:sz="12" w:space="0"/>
              <w:bottom w:val="single" w:color="auto" w:sz="6" w:space="0"/>
              <w:right w:val="single" w:color="auto" w:sz="6" w:space="0"/>
            </w:tcBorders>
            <w:noWrap/>
            <w:vAlign w:val="center"/>
          </w:tcPr>
          <w:p>
            <w:pPr>
              <w:spacing w:line="440" w:lineRule="exact"/>
              <w:jc w:val="center"/>
              <w:rPr>
                <w:rFonts w:ascii="宋体" w:hAnsi="宋体" w:cs="宋体"/>
                <w:bCs/>
                <w:sz w:val="32"/>
                <w:highlight w:val="none"/>
              </w:rPr>
            </w:pPr>
          </w:p>
        </w:tc>
        <w:tc>
          <w:tcPr>
            <w:tcW w:w="2005" w:type="dxa"/>
            <w:tcBorders>
              <w:top w:val="single" w:color="auto" w:sz="6" w:space="0"/>
              <w:left w:val="single" w:color="auto" w:sz="6" w:space="0"/>
              <w:bottom w:val="single" w:color="auto" w:sz="6" w:space="0"/>
              <w:right w:val="single" w:color="auto" w:sz="6" w:space="0"/>
            </w:tcBorders>
            <w:noWrap/>
            <w:vAlign w:val="center"/>
          </w:tcPr>
          <w:p>
            <w:pPr>
              <w:spacing w:line="440" w:lineRule="exact"/>
              <w:jc w:val="center"/>
              <w:rPr>
                <w:rFonts w:ascii="宋体" w:hAnsi="宋体" w:cs="宋体"/>
                <w:bCs/>
                <w:sz w:val="24"/>
                <w:highlight w:val="none"/>
              </w:rPr>
            </w:pPr>
          </w:p>
        </w:tc>
        <w:tc>
          <w:tcPr>
            <w:tcW w:w="2137" w:type="dxa"/>
            <w:tcBorders>
              <w:top w:val="single" w:color="auto" w:sz="6" w:space="0"/>
              <w:left w:val="single" w:color="auto" w:sz="6" w:space="0"/>
              <w:bottom w:val="single" w:color="auto" w:sz="6" w:space="0"/>
              <w:right w:val="single" w:color="auto" w:sz="6" w:space="0"/>
            </w:tcBorders>
            <w:noWrap/>
            <w:vAlign w:val="center"/>
          </w:tcPr>
          <w:p>
            <w:pPr>
              <w:spacing w:line="440" w:lineRule="exact"/>
              <w:jc w:val="center"/>
              <w:rPr>
                <w:rFonts w:ascii="宋体" w:hAnsi="宋体" w:cs="宋体"/>
                <w:bCs/>
                <w:sz w:val="24"/>
                <w:highlight w:val="none"/>
              </w:rPr>
            </w:pPr>
          </w:p>
        </w:tc>
        <w:tc>
          <w:tcPr>
            <w:tcW w:w="2270" w:type="dxa"/>
            <w:tcBorders>
              <w:top w:val="single" w:color="auto" w:sz="6" w:space="0"/>
              <w:left w:val="single" w:color="auto" w:sz="6" w:space="0"/>
              <w:bottom w:val="single" w:color="auto" w:sz="6" w:space="0"/>
              <w:right w:val="single" w:color="auto" w:sz="6" w:space="0"/>
            </w:tcBorders>
            <w:noWrap/>
            <w:vAlign w:val="center"/>
          </w:tcPr>
          <w:p>
            <w:pPr>
              <w:spacing w:line="440" w:lineRule="exact"/>
              <w:jc w:val="center"/>
              <w:rPr>
                <w:rFonts w:ascii="宋体" w:hAnsi="宋体" w:cs="宋体"/>
                <w:bCs/>
                <w:sz w:val="18"/>
                <w:highlight w:val="none"/>
              </w:rPr>
            </w:pPr>
          </w:p>
        </w:tc>
        <w:tc>
          <w:tcPr>
            <w:tcW w:w="2718" w:type="dxa"/>
            <w:tcBorders>
              <w:top w:val="single" w:color="auto" w:sz="6" w:space="0"/>
              <w:left w:val="single" w:color="auto" w:sz="6" w:space="0"/>
              <w:bottom w:val="single" w:color="auto" w:sz="6" w:space="0"/>
              <w:right w:val="single" w:color="auto" w:sz="12" w:space="0"/>
            </w:tcBorders>
            <w:noWrap/>
            <w:vAlign w:val="center"/>
          </w:tcPr>
          <w:p>
            <w:pPr>
              <w:spacing w:line="440" w:lineRule="exact"/>
              <w:jc w:val="center"/>
              <w:rPr>
                <w:rFonts w:ascii="宋体" w:hAnsi="宋体" w:cs="宋体"/>
                <w:bCs/>
                <w:sz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jc w:val="center"/>
        </w:trPr>
        <w:tc>
          <w:tcPr>
            <w:tcW w:w="907" w:type="dxa"/>
            <w:tcBorders>
              <w:top w:val="single" w:color="auto" w:sz="6" w:space="0"/>
              <w:left w:val="single" w:color="auto" w:sz="12" w:space="0"/>
              <w:bottom w:val="single" w:color="auto" w:sz="6" w:space="0"/>
              <w:right w:val="single" w:color="auto" w:sz="6" w:space="0"/>
            </w:tcBorders>
            <w:noWrap/>
            <w:vAlign w:val="center"/>
          </w:tcPr>
          <w:p>
            <w:pPr>
              <w:spacing w:line="440" w:lineRule="exact"/>
              <w:jc w:val="center"/>
              <w:rPr>
                <w:rFonts w:ascii="宋体" w:hAnsi="宋体" w:cs="宋体"/>
                <w:bCs/>
                <w:sz w:val="32"/>
                <w:highlight w:val="none"/>
              </w:rPr>
            </w:pPr>
          </w:p>
        </w:tc>
        <w:tc>
          <w:tcPr>
            <w:tcW w:w="2005" w:type="dxa"/>
            <w:tcBorders>
              <w:top w:val="single" w:color="auto" w:sz="6" w:space="0"/>
              <w:left w:val="single" w:color="auto" w:sz="6" w:space="0"/>
              <w:bottom w:val="single" w:color="auto" w:sz="6" w:space="0"/>
              <w:right w:val="single" w:color="auto" w:sz="6" w:space="0"/>
            </w:tcBorders>
            <w:noWrap/>
            <w:vAlign w:val="center"/>
          </w:tcPr>
          <w:p>
            <w:pPr>
              <w:spacing w:line="440" w:lineRule="exact"/>
              <w:jc w:val="center"/>
              <w:rPr>
                <w:rFonts w:ascii="宋体" w:hAnsi="宋体" w:cs="宋体"/>
                <w:bCs/>
                <w:sz w:val="24"/>
                <w:highlight w:val="none"/>
              </w:rPr>
            </w:pPr>
          </w:p>
        </w:tc>
        <w:tc>
          <w:tcPr>
            <w:tcW w:w="2137" w:type="dxa"/>
            <w:tcBorders>
              <w:top w:val="single" w:color="auto" w:sz="6" w:space="0"/>
              <w:left w:val="single" w:color="auto" w:sz="6" w:space="0"/>
              <w:bottom w:val="single" w:color="auto" w:sz="6" w:space="0"/>
              <w:right w:val="single" w:color="auto" w:sz="6" w:space="0"/>
            </w:tcBorders>
            <w:noWrap/>
            <w:vAlign w:val="center"/>
          </w:tcPr>
          <w:p>
            <w:pPr>
              <w:spacing w:line="440" w:lineRule="exact"/>
              <w:jc w:val="center"/>
              <w:rPr>
                <w:rFonts w:ascii="宋体" w:hAnsi="宋体" w:cs="宋体"/>
                <w:bCs/>
                <w:sz w:val="24"/>
                <w:highlight w:val="none"/>
              </w:rPr>
            </w:pPr>
          </w:p>
        </w:tc>
        <w:tc>
          <w:tcPr>
            <w:tcW w:w="2270" w:type="dxa"/>
            <w:tcBorders>
              <w:top w:val="single" w:color="auto" w:sz="6" w:space="0"/>
              <w:left w:val="single" w:color="auto" w:sz="6" w:space="0"/>
              <w:bottom w:val="single" w:color="auto" w:sz="6" w:space="0"/>
              <w:right w:val="single" w:color="auto" w:sz="6" w:space="0"/>
            </w:tcBorders>
            <w:noWrap/>
            <w:vAlign w:val="center"/>
          </w:tcPr>
          <w:p>
            <w:pPr>
              <w:spacing w:line="440" w:lineRule="exact"/>
              <w:jc w:val="center"/>
              <w:rPr>
                <w:rFonts w:ascii="宋体" w:hAnsi="宋体" w:cs="宋体"/>
                <w:bCs/>
                <w:sz w:val="18"/>
                <w:highlight w:val="none"/>
              </w:rPr>
            </w:pPr>
          </w:p>
        </w:tc>
        <w:tc>
          <w:tcPr>
            <w:tcW w:w="2718" w:type="dxa"/>
            <w:tcBorders>
              <w:top w:val="single" w:color="auto" w:sz="6" w:space="0"/>
              <w:left w:val="single" w:color="auto" w:sz="6" w:space="0"/>
              <w:bottom w:val="single" w:color="auto" w:sz="6" w:space="0"/>
              <w:right w:val="single" w:color="auto" w:sz="12" w:space="0"/>
            </w:tcBorders>
            <w:noWrap/>
            <w:vAlign w:val="center"/>
          </w:tcPr>
          <w:p>
            <w:pPr>
              <w:spacing w:line="440" w:lineRule="exact"/>
              <w:jc w:val="center"/>
              <w:rPr>
                <w:rFonts w:ascii="宋体" w:hAnsi="宋体" w:cs="宋体"/>
                <w:bCs/>
                <w:sz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1" w:hRule="atLeast"/>
          <w:jc w:val="center"/>
        </w:trPr>
        <w:tc>
          <w:tcPr>
            <w:tcW w:w="907" w:type="dxa"/>
            <w:tcBorders>
              <w:top w:val="single" w:color="auto" w:sz="6" w:space="0"/>
              <w:left w:val="single" w:color="auto" w:sz="12" w:space="0"/>
              <w:bottom w:val="single" w:color="auto" w:sz="6" w:space="0"/>
              <w:right w:val="single" w:color="auto" w:sz="6" w:space="0"/>
            </w:tcBorders>
            <w:noWrap/>
            <w:vAlign w:val="center"/>
          </w:tcPr>
          <w:p>
            <w:pPr>
              <w:spacing w:line="440" w:lineRule="exact"/>
              <w:jc w:val="center"/>
              <w:rPr>
                <w:rFonts w:ascii="宋体" w:hAnsi="宋体" w:cs="宋体"/>
                <w:bCs/>
                <w:sz w:val="32"/>
                <w:highlight w:val="none"/>
              </w:rPr>
            </w:pPr>
          </w:p>
        </w:tc>
        <w:tc>
          <w:tcPr>
            <w:tcW w:w="2005" w:type="dxa"/>
            <w:tcBorders>
              <w:top w:val="single" w:color="auto" w:sz="6" w:space="0"/>
              <w:left w:val="single" w:color="auto" w:sz="6" w:space="0"/>
              <w:bottom w:val="single" w:color="auto" w:sz="6" w:space="0"/>
              <w:right w:val="single" w:color="auto" w:sz="6" w:space="0"/>
            </w:tcBorders>
            <w:noWrap/>
            <w:vAlign w:val="center"/>
          </w:tcPr>
          <w:p>
            <w:pPr>
              <w:spacing w:line="440" w:lineRule="exact"/>
              <w:jc w:val="center"/>
              <w:rPr>
                <w:rFonts w:ascii="宋体" w:hAnsi="宋体" w:cs="宋体"/>
                <w:bCs/>
                <w:sz w:val="24"/>
                <w:highlight w:val="none"/>
              </w:rPr>
            </w:pPr>
          </w:p>
        </w:tc>
        <w:tc>
          <w:tcPr>
            <w:tcW w:w="2137" w:type="dxa"/>
            <w:tcBorders>
              <w:top w:val="single" w:color="auto" w:sz="6" w:space="0"/>
              <w:left w:val="single" w:color="auto" w:sz="6" w:space="0"/>
              <w:bottom w:val="single" w:color="auto" w:sz="6" w:space="0"/>
              <w:right w:val="single" w:color="auto" w:sz="6" w:space="0"/>
            </w:tcBorders>
            <w:noWrap/>
            <w:vAlign w:val="center"/>
          </w:tcPr>
          <w:p>
            <w:pPr>
              <w:spacing w:line="440" w:lineRule="exact"/>
              <w:jc w:val="center"/>
              <w:rPr>
                <w:rFonts w:ascii="宋体" w:hAnsi="宋体" w:cs="宋体"/>
                <w:bCs/>
                <w:sz w:val="24"/>
                <w:highlight w:val="none"/>
              </w:rPr>
            </w:pPr>
          </w:p>
        </w:tc>
        <w:tc>
          <w:tcPr>
            <w:tcW w:w="2270" w:type="dxa"/>
            <w:tcBorders>
              <w:top w:val="single" w:color="auto" w:sz="6" w:space="0"/>
              <w:left w:val="single" w:color="auto" w:sz="6" w:space="0"/>
              <w:bottom w:val="single" w:color="auto" w:sz="6" w:space="0"/>
              <w:right w:val="single" w:color="auto" w:sz="6" w:space="0"/>
            </w:tcBorders>
            <w:noWrap/>
            <w:vAlign w:val="center"/>
          </w:tcPr>
          <w:p>
            <w:pPr>
              <w:spacing w:line="440" w:lineRule="exact"/>
              <w:jc w:val="center"/>
              <w:rPr>
                <w:rFonts w:ascii="宋体" w:hAnsi="宋体" w:cs="宋体"/>
                <w:bCs/>
                <w:sz w:val="18"/>
                <w:highlight w:val="none"/>
              </w:rPr>
            </w:pPr>
          </w:p>
        </w:tc>
        <w:tc>
          <w:tcPr>
            <w:tcW w:w="2718" w:type="dxa"/>
            <w:tcBorders>
              <w:top w:val="single" w:color="auto" w:sz="6" w:space="0"/>
              <w:left w:val="single" w:color="auto" w:sz="6" w:space="0"/>
              <w:bottom w:val="single" w:color="auto" w:sz="6" w:space="0"/>
              <w:right w:val="single" w:color="auto" w:sz="12" w:space="0"/>
            </w:tcBorders>
            <w:noWrap/>
            <w:vAlign w:val="center"/>
          </w:tcPr>
          <w:p>
            <w:pPr>
              <w:spacing w:line="440" w:lineRule="exact"/>
              <w:jc w:val="center"/>
              <w:rPr>
                <w:rFonts w:ascii="宋体" w:hAnsi="宋体" w:cs="宋体"/>
                <w:bCs/>
                <w:sz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907" w:type="dxa"/>
            <w:tcBorders>
              <w:top w:val="single" w:color="auto" w:sz="6" w:space="0"/>
              <w:left w:val="single" w:color="auto" w:sz="12" w:space="0"/>
              <w:bottom w:val="single" w:color="auto" w:sz="6" w:space="0"/>
              <w:right w:val="single" w:color="auto" w:sz="6" w:space="0"/>
            </w:tcBorders>
            <w:noWrap/>
            <w:vAlign w:val="center"/>
          </w:tcPr>
          <w:p>
            <w:pPr>
              <w:spacing w:line="440" w:lineRule="exact"/>
              <w:jc w:val="center"/>
              <w:rPr>
                <w:rFonts w:ascii="宋体" w:hAnsi="宋体" w:cs="宋体"/>
                <w:bCs/>
                <w:sz w:val="32"/>
                <w:highlight w:val="none"/>
              </w:rPr>
            </w:pPr>
          </w:p>
        </w:tc>
        <w:tc>
          <w:tcPr>
            <w:tcW w:w="2005" w:type="dxa"/>
            <w:tcBorders>
              <w:top w:val="single" w:color="auto" w:sz="6" w:space="0"/>
              <w:left w:val="single" w:color="auto" w:sz="6" w:space="0"/>
              <w:bottom w:val="single" w:color="auto" w:sz="6" w:space="0"/>
              <w:right w:val="single" w:color="auto" w:sz="6" w:space="0"/>
            </w:tcBorders>
            <w:noWrap/>
            <w:vAlign w:val="center"/>
          </w:tcPr>
          <w:p>
            <w:pPr>
              <w:spacing w:line="440" w:lineRule="exact"/>
              <w:jc w:val="center"/>
              <w:rPr>
                <w:rFonts w:ascii="宋体" w:hAnsi="宋体" w:cs="宋体"/>
                <w:bCs/>
                <w:sz w:val="24"/>
                <w:highlight w:val="none"/>
              </w:rPr>
            </w:pPr>
          </w:p>
        </w:tc>
        <w:tc>
          <w:tcPr>
            <w:tcW w:w="2137" w:type="dxa"/>
            <w:tcBorders>
              <w:top w:val="single" w:color="auto" w:sz="6" w:space="0"/>
              <w:left w:val="single" w:color="auto" w:sz="6" w:space="0"/>
              <w:bottom w:val="single" w:color="auto" w:sz="6" w:space="0"/>
              <w:right w:val="single" w:color="auto" w:sz="6" w:space="0"/>
            </w:tcBorders>
            <w:noWrap/>
            <w:vAlign w:val="center"/>
          </w:tcPr>
          <w:p>
            <w:pPr>
              <w:pStyle w:val="16"/>
              <w:widowControl w:val="0"/>
              <w:tabs>
                <w:tab w:val="left" w:pos="420"/>
              </w:tabs>
              <w:spacing w:before="0" w:beforeAutospacing="0" w:after="0" w:afterAutospacing="0" w:line="440" w:lineRule="exact"/>
              <w:jc w:val="both"/>
              <w:rPr>
                <w:bCs/>
                <w:highlight w:val="none"/>
              </w:rPr>
            </w:pPr>
          </w:p>
        </w:tc>
        <w:tc>
          <w:tcPr>
            <w:tcW w:w="2270" w:type="dxa"/>
            <w:tcBorders>
              <w:top w:val="single" w:color="auto" w:sz="6" w:space="0"/>
              <w:left w:val="single" w:color="auto" w:sz="6" w:space="0"/>
              <w:bottom w:val="single" w:color="auto" w:sz="6" w:space="0"/>
              <w:right w:val="single" w:color="auto" w:sz="6" w:space="0"/>
            </w:tcBorders>
            <w:noWrap/>
            <w:vAlign w:val="center"/>
          </w:tcPr>
          <w:p>
            <w:pPr>
              <w:spacing w:line="440" w:lineRule="exact"/>
              <w:jc w:val="center"/>
              <w:rPr>
                <w:rFonts w:ascii="宋体" w:hAnsi="宋体" w:cs="宋体"/>
                <w:bCs/>
                <w:sz w:val="18"/>
                <w:highlight w:val="none"/>
              </w:rPr>
            </w:pPr>
          </w:p>
        </w:tc>
        <w:tc>
          <w:tcPr>
            <w:tcW w:w="2718" w:type="dxa"/>
            <w:tcBorders>
              <w:top w:val="single" w:color="auto" w:sz="6" w:space="0"/>
              <w:left w:val="single" w:color="auto" w:sz="6" w:space="0"/>
              <w:bottom w:val="single" w:color="auto" w:sz="6" w:space="0"/>
              <w:right w:val="single" w:color="auto" w:sz="12" w:space="0"/>
            </w:tcBorders>
            <w:noWrap/>
            <w:vAlign w:val="center"/>
          </w:tcPr>
          <w:p>
            <w:pPr>
              <w:spacing w:line="440" w:lineRule="exact"/>
              <w:jc w:val="center"/>
              <w:rPr>
                <w:rFonts w:ascii="宋体" w:hAnsi="宋体" w:cs="宋体"/>
                <w:bCs/>
                <w:sz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5" w:hRule="atLeast"/>
          <w:jc w:val="center"/>
        </w:trPr>
        <w:tc>
          <w:tcPr>
            <w:tcW w:w="907" w:type="dxa"/>
            <w:tcBorders>
              <w:top w:val="single" w:color="auto" w:sz="6" w:space="0"/>
              <w:left w:val="single" w:color="auto" w:sz="12" w:space="0"/>
              <w:bottom w:val="single" w:color="auto" w:sz="6" w:space="0"/>
              <w:right w:val="single" w:color="auto" w:sz="6" w:space="0"/>
            </w:tcBorders>
            <w:noWrap/>
            <w:vAlign w:val="center"/>
          </w:tcPr>
          <w:p>
            <w:pPr>
              <w:spacing w:line="440" w:lineRule="exact"/>
              <w:jc w:val="center"/>
              <w:rPr>
                <w:rFonts w:ascii="宋体" w:hAnsi="宋体" w:cs="宋体"/>
                <w:bCs/>
                <w:sz w:val="32"/>
                <w:highlight w:val="none"/>
              </w:rPr>
            </w:pPr>
          </w:p>
        </w:tc>
        <w:tc>
          <w:tcPr>
            <w:tcW w:w="2005" w:type="dxa"/>
            <w:tcBorders>
              <w:top w:val="single" w:color="auto" w:sz="6" w:space="0"/>
              <w:left w:val="single" w:color="auto" w:sz="6" w:space="0"/>
              <w:bottom w:val="single" w:color="auto" w:sz="6" w:space="0"/>
              <w:right w:val="single" w:color="auto" w:sz="6" w:space="0"/>
            </w:tcBorders>
            <w:noWrap/>
            <w:vAlign w:val="center"/>
          </w:tcPr>
          <w:p>
            <w:pPr>
              <w:spacing w:line="440" w:lineRule="exact"/>
              <w:jc w:val="center"/>
              <w:rPr>
                <w:rFonts w:ascii="宋体" w:hAnsi="宋体" w:cs="宋体"/>
                <w:bCs/>
                <w:sz w:val="24"/>
                <w:highlight w:val="none"/>
              </w:rPr>
            </w:pPr>
          </w:p>
        </w:tc>
        <w:tc>
          <w:tcPr>
            <w:tcW w:w="2137" w:type="dxa"/>
            <w:tcBorders>
              <w:top w:val="single" w:color="auto" w:sz="6" w:space="0"/>
              <w:left w:val="single" w:color="auto" w:sz="6" w:space="0"/>
              <w:bottom w:val="single" w:color="auto" w:sz="6" w:space="0"/>
              <w:right w:val="single" w:color="auto" w:sz="6" w:space="0"/>
            </w:tcBorders>
            <w:noWrap/>
            <w:vAlign w:val="center"/>
          </w:tcPr>
          <w:p>
            <w:pPr>
              <w:spacing w:line="440" w:lineRule="exact"/>
              <w:jc w:val="center"/>
              <w:rPr>
                <w:rFonts w:ascii="宋体" w:hAnsi="宋体" w:cs="宋体"/>
                <w:bCs/>
                <w:sz w:val="24"/>
                <w:highlight w:val="none"/>
              </w:rPr>
            </w:pPr>
          </w:p>
        </w:tc>
        <w:tc>
          <w:tcPr>
            <w:tcW w:w="2270" w:type="dxa"/>
            <w:tcBorders>
              <w:top w:val="single" w:color="auto" w:sz="6" w:space="0"/>
              <w:left w:val="single" w:color="auto" w:sz="6" w:space="0"/>
              <w:bottom w:val="single" w:color="auto" w:sz="6" w:space="0"/>
              <w:right w:val="single" w:color="auto" w:sz="6" w:space="0"/>
            </w:tcBorders>
            <w:noWrap/>
            <w:vAlign w:val="center"/>
          </w:tcPr>
          <w:p>
            <w:pPr>
              <w:spacing w:line="440" w:lineRule="exact"/>
              <w:jc w:val="center"/>
              <w:rPr>
                <w:rFonts w:ascii="宋体" w:hAnsi="宋体" w:cs="宋体"/>
                <w:bCs/>
                <w:sz w:val="18"/>
                <w:highlight w:val="none"/>
              </w:rPr>
            </w:pPr>
          </w:p>
        </w:tc>
        <w:tc>
          <w:tcPr>
            <w:tcW w:w="2718" w:type="dxa"/>
            <w:tcBorders>
              <w:top w:val="single" w:color="auto" w:sz="6" w:space="0"/>
              <w:left w:val="single" w:color="auto" w:sz="6" w:space="0"/>
              <w:bottom w:val="single" w:color="auto" w:sz="6" w:space="0"/>
              <w:right w:val="single" w:color="auto" w:sz="12" w:space="0"/>
            </w:tcBorders>
            <w:noWrap/>
            <w:vAlign w:val="center"/>
          </w:tcPr>
          <w:p>
            <w:pPr>
              <w:spacing w:line="440" w:lineRule="exact"/>
              <w:jc w:val="center"/>
              <w:rPr>
                <w:rFonts w:ascii="宋体" w:hAnsi="宋体" w:cs="宋体"/>
                <w:bCs/>
                <w:sz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5" w:hRule="atLeast"/>
          <w:jc w:val="center"/>
        </w:trPr>
        <w:tc>
          <w:tcPr>
            <w:tcW w:w="907" w:type="dxa"/>
            <w:tcBorders>
              <w:top w:val="single" w:color="auto" w:sz="6" w:space="0"/>
              <w:left w:val="single" w:color="auto" w:sz="12" w:space="0"/>
              <w:bottom w:val="single" w:color="auto" w:sz="6" w:space="0"/>
              <w:right w:val="single" w:color="auto" w:sz="6" w:space="0"/>
            </w:tcBorders>
            <w:noWrap/>
            <w:vAlign w:val="center"/>
          </w:tcPr>
          <w:p>
            <w:pPr>
              <w:spacing w:line="440" w:lineRule="exact"/>
              <w:jc w:val="center"/>
              <w:rPr>
                <w:rFonts w:ascii="宋体" w:hAnsi="宋体" w:cs="宋体"/>
                <w:bCs/>
                <w:sz w:val="32"/>
                <w:highlight w:val="none"/>
              </w:rPr>
            </w:pPr>
          </w:p>
        </w:tc>
        <w:tc>
          <w:tcPr>
            <w:tcW w:w="2005" w:type="dxa"/>
            <w:tcBorders>
              <w:top w:val="single" w:color="auto" w:sz="6" w:space="0"/>
              <w:left w:val="single" w:color="auto" w:sz="6" w:space="0"/>
              <w:bottom w:val="single" w:color="auto" w:sz="6" w:space="0"/>
              <w:right w:val="single" w:color="auto" w:sz="6" w:space="0"/>
            </w:tcBorders>
            <w:noWrap/>
            <w:vAlign w:val="center"/>
          </w:tcPr>
          <w:p>
            <w:pPr>
              <w:spacing w:line="440" w:lineRule="exact"/>
              <w:jc w:val="center"/>
              <w:rPr>
                <w:rFonts w:ascii="宋体" w:hAnsi="宋体" w:cs="宋体"/>
                <w:bCs/>
                <w:sz w:val="24"/>
                <w:highlight w:val="none"/>
              </w:rPr>
            </w:pPr>
          </w:p>
        </w:tc>
        <w:tc>
          <w:tcPr>
            <w:tcW w:w="2137" w:type="dxa"/>
            <w:tcBorders>
              <w:top w:val="single" w:color="auto" w:sz="6" w:space="0"/>
              <w:left w:val="single" w:color="auto" w:sz="6" w:space="0"/>
              <w:bottom w:val="single" w:color="auto" w:sz="6" w:space="0"/>
              <w:right w:val="single" w:color="auto" w:sz="6" w:space="0"/>
            </w:tcBorders>
            <w:noWrap/>
            <w:vAlign w:val="center"/>
          </w:tcPr>
          <w:p>
            <w:pPr>
              <w:spacing w:line="440" w:lineRule="exact"/>
              <w:jc w:val="center"/>
              <w:rPr>
                <w:rFonts w:ascii="宋体" w:hAnsi="宋体" w:cs="宋体"/>
                <w:bCs/>
                <w:sz w:val="24"/>
                <w:highlight w:val="none"/>
              </w:rPr>
            </w:pPr>
          </w:p>
        </w:tc>
        <w:tc>
          <w:tcPr>
            <w:tcW w:w="2270" w:type="dxa"/>
            <w:tcBorders>
              <w:top w:val="single" w:color="auto" w:sz="6" w:space="0"/>
              <w:left w:val="single" w:color="auto" w:sz="6" w:space="0"/>
              <w:bottom w:val="single" w:color="auto" w:sz="6" w:space="0"/>
              <w:right w:val="single" w:color="auto" w:sz="6" w:space="0"/>
            </w:tcBorders>
            <w:noWrap/>
            <w:vAlign w:val="center"/>
          </w:tcPr>
          <w:p>
            <w:pPr>
              <w:spacing w:line="440" w:lineRule="exact"/>
              <w:jc w:val="center"/>
              <w:rPr>
                <w:rFonts w:ascii="宋体" w:hAnsi="宋体" w:cs="宋体"/>
                <w:bCs/>
                <w:sz w:val="18"/>
                <w:highlight w:val="none"/>
              </w:rPr>
            </w:pPr>
          </w:p>
        </w:tc>
        <w:tc>
          <w:tcPr>
            <w:tcW w:w="2718" w:type="dxa"/>
            <w:tcBorders>
              <w:top w:val="single" w:color="auto" w:sz="6" w:space="0"/>
              <w:left w:val="single" w:color="auto" w:sz="6" w:space="0"/>
              <w:bottom w:val="single" w:color="auto" w:sz="6" w:space="0"/>
              <w:right w:val="single" w:color="auto" w:sz="12" w:space="0"/>
            </w:tcBorders>
            <w:noWrap/>
            <w:vAlign w:val="center"/>
          </w:tcPr>
          <w:p>
            <w:pPr>
              <w:spacing w:line="440" w:lineRule="exact"/>
              <w:jc w:val="center"/>
              <w:rPr>
                <w:rFonts w:ascii="宋体" w:hAnsi="宋体" w:cs="宋体"/>
                <w:bCs/>
                <w:sz w:val="18"/>
                <w:highlight w:val="none"/>
              </w:rPr>
            </w:pPr>
          </w:p>
        </w:tc>
      </w:tr>
    </w:tbl>
    <w:p>
      <w:pPr>
        <w:ind w:firstLine="480" w:firstLineChars="200"/>
        <w:rPr>
          <w:rFonts w:ascii="宋体" w:hAnsi="宋体"/>
          <w:sz w:val="24"/>
          <w:highlight w:val="none"/>
        </w:rPr>
      </w:pPr>
      <w:r>
        <w:rPr>
          <w:rFonts w:hint="eastAsia" w:ascii="宋体" w:hAnsi="宋体"/>
          <w:sz w:val="24"/>
          <w:highlight w:val="none"/>
        </w:rPr>
        <w:t>注：供应商须对照招标文件技术规格，将自己所投的所有货物的功能、技术性能、配置等内容按照上表格式与招标文件要求逐条填写，</w:t>
      </w:r>
      <w:r>
        <w:rPr>
          <w:rFonts w:hint="eastAsia" w:ascii="宋体" w:hAnsi="宋体"/>
          <w:b/>
          <w:bCs/>
          <w:sz w:val="24"/>
          <w:highlight w:val="none"/>
        </w:rPr>
        <w:t>供应商必须提供所投设备的具体参数值，并在偏离说明栏中标明技术及配置的实际响应情况</w:t>
      </w:r>
      <w:r>
        <w:rPr>
          <w:rFonts w:hint="eastAsia" w:ascii="宋体" w:hAnsi="宋体"/>
          <w:sz w:val="24"/>
          <w:highlight w:val="none"/>
        </w:rPr>
        <w:t>：</w:t>
      </w:r>
    </w:p>
    <w:p>
      <w:pPr>
        <w:ind w:firstLine="480" w:firstLineChars="200"/>
        <w:rPr>
          <w:rFonts w:ascii="宋体" w:hAnsi="宋体"/>
          <w:sz w:val="24"/>
          <w:highlight w:val="none"/>
        </w:rPr>
      </w:pPr>
      <w:r>
        <w:rPr>
          <w:rFonts w:hint="eastAsia" w:ascii="宋体" w:hAnsi="宋体"/>
          <w:sz w:val="24"/>
          <w:highlight w:val="none"/>
        </w:rPr>
        <w:t>1、偏离说明栏中必须标明技术及配置的响应情况，整项货物及该项货物各部分相应情况须按下列要求填写，任何不真实响应都将按无效投标处理：</w:t>
      </w:r>
    </w:p>
    <w:p>
      <w:pPr>
        <w:numPr>
          <w:ilvl w:val="0"/>
          <w:numId w:val="10"/>
        </w:numPr>
        <w:ind w:firstLine="480" w:firstLineChars="200"/>
        <w:rPr>
          <w:rFonts w:ascii="宋体" w:hAnsi="宋体"/>
          <w:sz w:val="24"/>
          <w:highlight w:val="none"/>
        </w:rPr>
      </w:pPr>
      <w:r>
        <w:rPr>
          <w:rFonts w:hint="eastAsia" w:ascii="宋体" w:hAnsi="宋体"/>
          <w:sz w:val="24"/>
          <w:highlight w:val="none"/>
        </w:rPr>
        <w:t>对应项中的所有技术参数、性能和配置全部符合招标文件要求的才能填写“符合”；</w:t>
      </w:r>
    </w:p>
    <w:p>
      <w:pPr>
        <w:numPr>
          <w:ilvl w:val="0"/>
          <w:numId w:val="10"/>
        </w:numPr>
        <w:ind w:firstLine="480" w:firstLineChars="200"/>
        <w:rPr>
          <w:rFonts w:ascii="宋体" w:hAnsi="宋体"/>
          <w:sz w:val="24"/>
          <w:highlight w:val="none"/>
        </w:rPr>
      </w:pPr>
      <w:r>
        <w:rPr>
          <w:rFonts w:hint="eastAsia" w:ascii="宋体" w:hAnsi="宋体"/>
          <w:sz w:val="24"/>
          <w:highlight w:val="none"/>
        </w:rPr>
        <w:t>对应项中的所有技术参数、性能和配置全部符合招标文件要求并且其中有一个或以上指标优于招标文件要求的，可填写“正偏离”；</w:t>
      </w:r>
    </w:p>
    <w:p>
      <w:pPr>
        <w:spacing w:line="600" w:lineRule="exact"/>
        <w:rPr>
          <w:rFonts w:ascii="宋体" w:hAnsi="宋体" w:cs="宋体"/>
          <w:sz w:val="24"/>
          <w:highlight w:val="none"/>
        </w:rPr>
      </w:pPr>
    </w:p>
    <w:p>
      <w:pPr>
        <w:spacing w:line="600" w:lineRule="exact"/>
        <w:rPr>
          <w:rFonts w:ascii="宋体" w:hAnsi="宋体" w:cs="宋体"/>
          <w:sz w:val="24"/>
          <w:highlight w:val="none"/>
          <w:u w:val="single"/>
        </w:rPr>
      </w:pPr>
      <w:r>
        <w:rPr>
          <w:rFonts w:hint="eastAsia" w:asciiTheme="minorEastAsia" w:hAnsiTheme="minorEastAsia" w:eastAsiaTheme="minorEastAsia" w:cstheme="minorEastAsia"/>
          <w:sz w:val="24"/>
          <w:highlight w:val="none"/>
        </w:rPr>
        <w:t>供应商</w:t>
      </w:r>
      <w:r>
        <w:rPr>
          <w:rFonts w:hint="eastAsia" w:ascii="宋体" w:hAnsi="宋体" w:cs="宋体"/>
          <w:sz w:val="24"/>
          <w:highlight w:val="none"/>
        </w:rPr>
        <w:t>（盖章）：</w:t>
      </w:r>
    </w:p>
    <w:p>
      <w:pPr>
        <w:spacing w:line="600" w:lineRule="exact"/>
        <w:rPr>
          <w:rFonts w:ascii="宋体" w:hAnsi="宋体" w:cs="宋体"/>
          <w:sz w:val="24"/>
          <w:highlight w:val="none"/>
        </w:rPr>
      </w:pPr>
      <w:r>
        <w:rPr>
          <w:rFonts w:hint="eastAsia" w:ascii="宋体" w:hAnsi="宋体" w:cs="宋体"/>
          <w:sz w:val="24"/>
          <w:highlight w:val="none"/>
        </w:rPr>
        <w:t>法人代表或授权委托人（签字或盖章）：</w:t>
      </w:r>
    </w:p>
    <w:p>
      <w:pPr>
        <w:ind w:firstLine="480"/>
        <w:rPr>
          <w:rFonts w:ascii="宋体" w:hAnsi="宋体" w:cs="宋体"/>
          <w:sz w:val="24"/>
          <w:highlight w:val="none"/>
        </w:rPr>
        <w:sectPr>
          <w:pgSz w:w="11907" w:h="16840"/>
          <w:pgMar w:top="1276" w:right="1117" w:bottom="1417" w:left="913" w:header="850" w:footer="998" w:gutter="0"/>
          <w:pgNumType w:fmt="numberInDash"/>
          <w:cols w:space="0" w:num="1"/>
          <w:docGrid w:type="lines" w:linePitch="379" w:charSpace="0"/>
        </w:sectPr>
      </w:pPr>
      <w:r>
        <w:rPr>
          <w:rFonts w:hint="eastAsia" w:ascii="宋体" w:hAnsi="宋体" w:cs="宋体"/>
          <w:sz w:val="24"/>
          <w:highlight w:val="none"/>
        </w:rPr>
        <w:t xml:space="preserve">                                         年    月    日  </w:t>
      </w:r>
    </w:p>
    <w:p>
      <w:pPr>
        <w:pStyle w:val="19"/>
        <w:ind w:firstLine="480"/>
        <w:rPr>
          <w:rFonts w:asciiTheme="minorEastAsia" w:hAnsiTheme="minorEastAsia" w:eastAsiaTheme="minorEastAsia" w:cstheme="minorEastAsia"/>
          <w:sz w:val="24"/>
          <w:highlight w:val="none"/>
        </w:rPr>
      </w:pPr>
    </w:p>
    <w:p>
      <w:pPr>
        <w:pStyle w:val="17"/>
        <w:numPr>
          <w:ilvl w:val="0"/>
          <w:numId w:val="11"/>
        </w:numPr>
        <w:spacing w:before="120" w:after="120" w:line="500" w:lineRule="exact"/>
        <w:ind w:right="29" w:rightChars="14"/>
        <w:outlineLvl w:val="1"/>
        <w:rPr>
          <w:rFonts w:asciiTheme="minorEastAsia" w:hAnsiTheme="minorEastAsia" w:eastAsiaTheme="minorEastAsia" w:cstheme="minorEastAsia"/>
          <w:sz w:val="30"/>
          <w:szCs w:val="30"/>
          <w:highlight w:val="none"/>
        </w:rPr>
      </w:pPr>
      <w:bookmarkStart w:id="278" w:name="_Toc2213"/>
      <w:bookmarkStart w:id="279" w:name="_Toc5614"/>
      <w:bookmarkStart w:id="280" w:name="_Toc17935"/>
      <w:bookmarkStart w:id="281" w:name="_Toc26698"/>
      <w:r>
        <w:rPr>
          <w:rFonts w:hint="eastAsia" w:asciiTheme="minorEastAsia" w:hAnsiTheme="minorEastAsia" w:eastAsiaTheme="minorEastAsia" w:cstheme="minorEastAsia"/>
          <w:sz w:val="30"/>
          <w:szCs w:val="30"/>
          <w:highlight w:val="none"/>
        </w:rPr>
        <w:t>法定代表人身份证明书</w:t>
      </w:r>
      <w:bookmarkEnd w:id="278"/>
      <w:bookmarkEnd w:id="279"/>
      <w:bookmarkEnd w:id="280"/>
      <w:bookmarkEnd w:id="281"/>
    </w:p>
    <w:p>
      <w:pPr>
        <w:rPr>
          <w:highlight w:val="none"/>
        </w:rPr>
      </w:pPr>
    </w:p>
    <w:p>
      <w:pPr>
        <w:spacing w:line="360" w:lineRule="auto"/>
        <w:ind w:firstLine="480" w:firstLineChars="200"/>
        <w:rPr>
          <w:rFonts w:ascii="宋体" w:hAnsi="宋体"/>
          <w:sz w:val="24"/>
          <w:highlight w:val="none"/>
        </w:rPr>
      </w:pPr>
      <w:r>
        <w:rPr>
          <w:rFonts w:hint="eastAsia" w:ascii="宋体" w:hAnsi="宋体"/>
          <w:sz w:val="24"/>
          <w:szCs w:val="18"/>
          <w:highlight w:val="none"/>
        </w:rPr>
        <w:t>供应商</w:t>
      </w:r>
      <w:r>
        <w:rPr>
          <w:rFonts w:hint="eastAsia" w:ascii="宋体" w:hAnsi="宋体"/>
          <w:sz w:val="24"/>
          <w:highlight w:val="none"/>
        </w:rPr>
        <w:t>名称：</w:t>
      </w:r>
      <w:r>
        <w:rPr>
          <w:rFonts w:hint="eastAsia" w:ascii="宋体" w:hAnsi="宋体"/>
          <w:sz w:val="24"/>
          <w:highlight w:val="none"/>
          <w:u w:val="single"/>
        </w:rPr>
        <w:t xml:space="preserve">                                </w:t>
      </w:r>
      <w:r>
        <w:rPr>
          <w:rFonts w:hint="eastAsia" w:ascii="宋体" w:hAnsi="宋体"/>
          <w:sz w:val="24"/>
          <w:highlight w:val="none"/>
        </w:rPr>
        <w:t xml:space="preserve"> </w:t>
      </w:r>
    </w:p>
    <w:p>
      <w:pPr>
        <w:spacing w:line="360" w:lineRule="auto"/>
        <w:ind w:firstLine="480" w:firstLineChars="200"/>
        <w:rPr>
          <w:rFonts w:ascii="宋体" w:hAnsi="宋体"/>
          <w:sz w:val="24"/>
          <w:highlight w:val="none"/>
        </w:rPr>
      </w:pPr>
      <w:r>
        <w:rPr>
          <w:rFonts w:hint="eastAsia" w:ascii="宋体" w:hAnsi="宋体"/>
          <w:sz w:val="24"/>
          <w:highlight w:val="none"/>
        </w:rPr>
        <w:t>单位性质：</w:t>
      </w:r>
      <w:r>
        <w:rPr>
          <w:rFonts w:hint="eastAsia" w:ascii="宋体" w:hAnsi="宋体"/>
          <w:sz w:val="24"/>
          <w:highlight w:val="none"/>
          <w:u w:val="single"/>
        </w:rPr>
        <w:t xml:space="preserve">                                  </w:t>
      </w:r>
      <w:r>
        <w:rPr>
          <w:rFonts w:hint="eastAsia" w:ascii="宋体" w:hAnsi="宋体"/>
          <w:sz w:val="24"/>
          <w:highlight w:val="none"/>
        </w:rPr>
        <w:t xml:space="preserve"> </w:t>
      </w:r>
    </w:p>
    <w:p>
      <w:pPr>
        <w:spacing w:line="360" w:lineRule="auto"/>
        <w:ind w:firstLine="480" w:firstLineChars="200"/>
        <w:rPr>
          <w:rFonts w:ascii="宋体" w:hAnsi="宋体"/>
          <w:sz w:val="24"/>
          <w:highlight w:val="none"/>
        </w:rPr>
      </w:pPr>
      <w:r>
        <w:rPr>
          <w:rFonts w:hint="eastAsia" w:ascii="宋体" w:hAnsi="宋体"/>
          <w:sz w:val="24"/>
          <w:highlight w:val="none"/>
        </w:rPr>
        <w:t>地址：</w:t>
      </w:r>
      <w:r>
        <w:rPr>
          <w:rFonts w:hint="eastAsia" w:ascii="宋体" w:hAnsi="宋体"/>
          <w:sz w:val="24"/>
          <w:highlight w:val="none"/>
          <w:u w:val="single"/>
        </w:rPr>
        <w:t xml:space="preserve">                                     </w:t>
      </w:r>
      <w:r>
        <w:rPr>
          <w:rFonts w:hint="eastAsia" w:ascii="宋体" w:hAnsi="宋体"/>
          <w:sz w:val="24"/>
          <w:highlight w:val="none"/>
        </w:rPr>
        <w:t xml:space="preserve"> </w:t>
      </w:r>
    </w:p>
    <w:p>
      <w:pPr>
        <w:spacing w:line="360" w:lineRule="auto"/>
        <w:ind w:firstLine="480" w:firstLineChars="200"/>
        <w:rPr>
          <w:rFonts w:ascii="宋体" w:hAnsi="宋体"/>
          <w:sz w:val="24"/>
          <w:highlight w:val="none"/>
        </w:rPr>
      </w:pPr>
      <w:r>
        <w:rPr>
          <w:rFonts w:hint="eastAsia" w:ascii="宋体" w:hAnsi="宋体"/>
          <w:sz w:val="24"/>
          <w:highlight w:val="none"/>
        </w:rPr>
        <w:t>成立时间：</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spacing w:line="360" w:lineRule="auto"/>
        <w:ind w:firstLine="480" w:firstLineChars="200"/>
        <w:rPr>
          <w:rFonts w:ascii="宋体" w:hAnsi="宋体"/>
          <w:sz w:val="24"/>
          <w:highlight w:val="none"/>
        </w:rPr>
      </w:pPr>
      <w:r>
        <w:rPr>
          <w:rFonts w:hint="eastAsia" w:ascii="宋体" w:hAnsi="宋体"/>
          <w:sz w:val="24"/>
          <w:highlight w:val="none"/>
        </w:rPr>
        <w:t>经营期限：</w:t>
      </w:r>
      <w:r>
        <w:rPr>
          <w:rFonts w:hint="eastAsia" w:ascii="宋体" w:hAnsi="宋体"/>
          <w:sz w:val="24"/>
          <w:highlight w:val="none"/>
          <w:u w:val="single"/>
        </w:rPr>
        <w:t xml:space="preserve">                                </w:t>
      </w:r>
      <w:r>
        <w:rPr>
          <w:rFonts w:hint="eastAsia" w:ascii="宋体" w:hAnsi="宋体"/>
          <w:sz w:val="24"/>
          <w:highlight w:val="none"/>
        </w:rPr>
        <w:t xml:space="preserve"> </w:t>
      </w:r>
    </w:p>
    <w:p>
      <w:pPr>
        <w:spacing w:line="360" w:lineRule="auto"/>
        <w:ind w:firstLine="480" w:firstLineChars="200"/>
        <w:rPr>
          <w:rFonts w:ascii="宋体" w:hAnsi="宋体"/>
          <w:sz w:val="24"/>
          <w:highlight w:val="none"/>
        </w:rPr>
      </w:pPr>
      <w:r>
        <w:rPr>
          <w:rFonts w:hint="eastAsia" w:ascii="宋体" w:hAnsi="宋体"/>
          <w:sz w:val="24"/>
          <w:highlight w:val="none"/>
        </w:rPr>
        <w:t>姓名：</w:t>
      </w:r>
      <w:r>
        <w:rPr>
          <w:rFonts w:hint="eastAsia" w:ascii="宋体" w:hAnsi="宋体"/>
          <w:sz w:val="24"/>
          <w:highlight w:val="none"/>
          <w:u w:val="single"/>
        </w:rPr>
        <w:t xml:space="preserve">           </w:t>
      </w:r>
      <w:r>
        <w:rPr>
          <w:rFonts w:hint="eastAsia" w:ascii="宋体" w:hAnsi="宋体"/>
          <w:sz w:val="24"/>
          <w:highlight w:val="none"/>
        </w:rPr>
        <w:t>性别：</w:t>
      </w:r>
      <w:r>
        <w:rPr>
          <w:rFonts w:hint="eastAsia" w:ascii="宋体" w:hAnsi="宋体"/>
          <w:sz w:val="24"/>
          <w:highlight w:val="none"/>
          <w:u w:val="single"/>
        </w:rPr>
        <w:t xml:space="preserve">        </w:t>
      </w:r>
      <w:r>
        <w:rPr>
          <w:rFonts w:hint="eastAsia" w:ascii="宋体" w:hAnsi="宋体"/>
          <w:sz w:val="24"/>
          <w:highlight w:val="none"/>
        </w:rPr>
        <w:t>年龄：</w:t>
      </w:r>
      <w:r>
        <w:rPr>
          <w:rFonts w:hint="eastAsia" w:ascii="宋体" w:hAnsi="宋体"/>
          <w:sz w:val="24"/>
          <w:highlight w:val="none"/>
          <w:u w:val="single"/>
        </w:rPr>
        <w:t xml:space="preserve">        </w:t>
      </w:r>
      <w:r>
        <w:rPr>
          <w:rFonts w:hint="eastAsia" w:ascii="宋体" w:hAnsi="宋体"/>
          <w:sz w:val="24"/>
          <w:highlight w:val="none"/>
        </w:rPr>
        <w:t xml:space="preserve"> 职务：</w:t>
      </w:r>
      <w:r>
        <w:rPr>
          <w:rFonts w:hint="eastAsia" w:ascii="宋体" w:hAnsi="宋体"/>
          <w:sz w:val="24"/>
          <w:highlight w:val="none"/>
          <w:u w:val="single"/>
        </w:rPr>
        <w:t xml:space="preserve">       </w:t>
      </w:r>
      <w:r>
        <w:rPr>
          <w:rFonts w:hint="eastAsia" w:ascii="宋体" w:hAnsi="宋体"/>
          <w:sz w:val="24"/>
          <w:highlight w:val="none"/>
        </w:rPr>
        <w:t>_</w:t>
      </w:r>
    </w:p>
    <w:p>
      <w:pPr>
        <w:spacing w:line="360" w:lineRule="auto"/>
        <w:ind w:firstLine="480" w:firstLineChars="200"/>
        <w:rPr>
          <w:rFonts w:ascii="宋体" w:hAnsi="宋体"/>
          <w:sz w:val="24"/>
          <w:highlight w:val="none"/>
        </w:rPr>
      </w:pPr>
      <w:r>
        <w:rPr>
          <w:rFonts w:hint="eastAsia" w:ascii="宋体" w:hAnsi="宋体"/>
          <w:sz w:val="24"/>
          <w:highlight w:val="none"/>
        </w:rPr>
        <w:t>系</w:t>
      </w:r>
      <w:r>
        <w:rPr>
          <w:rFonts w:hint="eastAsia" w:ascii="宋体" w:hAnsi="宋体"/>
          <w:sz w:val="24"/>
          <w:highlight w:val="none"/>
          <w:u w:val="single"/>
        </w:rPr>
        <w:t xml:space="preserve">                                </w:t>
      </w:r>
      <w:r>
        <w:rPr>
          <w:rFonts w:hint="eastAsia" w:ascii="宋体" w:hAnsi="宋体"/>
          <w:sz w:val="24"/>
          <w:highlight w:val="none"/>
        </w:rPr>
        <w:t>（供应商名称）的法定代表人。</w:t>
      </w:r>
    </w:p>
    <w:p>
      <w:pPr>
        <w:spacing w:line="360" w:lineRule="auto"/>
        <w:ind w:firstLine="480" w:firstLineChars="200"/>
        <w:rPr>
          <w:rFonts w:ascii="宋体" w:hAnsi="宋体"/>
          <w:sz w:val="24"/>
          <w:highlight w:val="none"/>
        </w:rPr>
      </w:pPr>
      <w:r>
        <w:rPr>
          <w:rFonts w:hint="eastAsia" w:ascii="宋体" w:hAnsi="宋体"/>
          <w:sz w:val="24"/>
          <w:highlight w:val="none"/>
        </w:rPr>
        <w:t>特此证明。</w:t>
      </w:r>
    </w:p>
    <w:p>
      <w:pPr>
        <w:rPr>
          <w:rFonts w:ascii="宋体" w:hAnsi="宋体"/>
          <w:sz w:val="24"/>
          <w:highlight w:val="none"/>
        </w:rPr>
      </w:pPr>
    </w:p>
    <w:p>
      <w:pPr>
        <w:rPr>
          <w:rFonts w:ascii="宋体" w:hAnsi="宋体"/>
          <w:sz w:val="24"/>
          <w:highlight w:val="none"/>
        </w:rPr>
      </w:pPr>
    </w:p>
    <w:p>
      <w:pPr>
        <w:ind w:firstLine="480" w:firstLineChars="200"/>
        <w:rPr>
          <w:highlight w:val="none"/>
        </w:rPr>
      </w:pPr>
      <w:r>
        <w:rPr>
          <w:rFonts w:hint="eastAsia" w:ascii="宋体" w:hAnsi="宋体"/>
          <w:sz w:val="24"/>
          <w:highlight w:val="none"/>
        </w:rPr>
        <w:t>附：法定代表人身份证复印件（正反面）</w:t>
      </w:r>
    </w:p>
    <w:p>
      <w:pPr>
        <w:rPr>
          <w:rFonts w:ascii="宋体" w:hAnsi="宋体"/>
          <w:sz w:val="24"/>
          <w:highlight w:val="none"/>
        </w:rPr>
      </w:pPr>
    </w:p>
    <w:p>
      <w:pPr>
        <w:rPr>
          <w:highlight w:val="none"/>
        </w:rPr>
      </w:pPr>
    </w:p>
    <w:p>
      <w:pPr>
        <w:spacing w:line="360" w:lineRule="auto"/>
        <w:ind w:firstLine="480" w:firstLineChars="200"/>
        <w:rPr>
          <w:rFonts w:ascii="宋体" w:hAnsi="宋体"/>
          <w:sz w:val="24"/>
          <w:highlight w:val="none"/>
        </w:rPr>
      </w:pPr>
    </w:p>
    <w:p>
      <w:pPr>
        <w:spacing w:line="360" w:lineRule="auto"/>
        <w:ind w:firstLine="480" w:firstLineChars="200"/>
        <w:rPr>
          <w:rFonts w:ascii="宋体" w:hAnsi="宋体"/>
          <w:sz w:val="24"/>
          <w:highlight w:val="none"/>
        </w:rPr>
      </w:pPr>
      <w:r>
        <w:rPr>
          <w:rFonts w:hint="eastAsia" w:ascii="宋体" w:hAnsi="宋体"/>
          <w:sz w:val="24"/>
          <w:highlight w:val="none"/>
        </w:rPr>
        <w:t xml:space="preserve">         </w:t>
      </w:r>
    </w:p>
    <w:p>
      <w:pPr>
        <w:spacing w:line="360" w:lineRule="auto"/>
        <w:ind w:firstLine="480" w:firstLineChars="200"/>
        <w:rPr>
          <w:rFonts w:ascii="宋体" w:hAnsi="宋体"/>
          <w:sz w:val="24"/>
          <w:highlight w:val="none"/>
        </w:rPr>
      </w:pPr>
    </w:p>
    <w:p>
      <w:pPr>
        <w:spacing w:line="360" w:lineRule="auto"/>
        <w:ind w:firstLine="5760" w:firstLineChars="2400"/>
        <w:rPr>
          <w:rFonts w:ascii="宋体" w:hAnsi="宋体"/>
          <w:sz w:val="24"/>
          <w:highlight w:val="none"/>
        </w:rPr>
      </w:pPr>
    </w:p>
    <w:p>
      <w:pPr>
        <w:spacing w:line="360" w:lineRule="auto"/>
        <w:ind w:firstLine="5760" w:firstLineChars="2400"/>
        <w:rPr>
          <w:rFonts w:ascii="宋体" w:hAnsi="宋体"/>
          <w:sz w:val="24"/>
          <w:highlight w:val="none"/>
        </w:rPr>
      </w:pPr>
    </w:p>
    <w:p>
      <w:pPr>
        <w:spacing w:line="360" w:lineRule="auto"/>
        <w:ind w:firstLine="5760" w:firstLineChars="2400"/>
        <w:rPr>
          <w:rFonts w:ascii="宋体" w:hAnsi="宋体"/>
          <w:sz w:val="24"/>
          <w:highlight w:val="none"/>
        </w:rPr>
      </w:pPr>
    </w:p>
    <w:p>
      <w:pPr>
        <w:spacing w:line="360" w:lineRule="auto"/>
        <w:jc w:val="right"/>
        <w:rPr>
          <w:rFonts w:ascii="宋体" w:hAnsi="宋体"/>
          <w:sz w:val="24"/>
          <w:highlight w:val="none"/>
        </w:rPr>
      </w:pPr>
      <w:r>
        <w:rPr>
          <w:rFonts w:hint="eastAsia" w:ascii="宋体" w:hAnsi="宋体"/>
          <w:sz w:val="24"/>
          <w:highlight w:val="none"/>
        </w:rPr>
        <w:t>供应商：</w:t>
      </w:r>
      <w:r>
        <w:rPr>
          <w:rFonts w:hint="eastAsia" w:ascii="宋体" w:hAnsi="宋体"/>
          <w:sz w:val="24"/>
          <w:highlight w:val="none"/>
          <w:u w:val="single"/>
        </w:rPr>
        <w:t xml:space="preserve">              </w:t>
      </w:r>
      <w:r>
        <w:rPr>
          <w:rFonts w:hint="eastAsia" w:ascii="宋体" w:hAnsi="宋体"/>
          <w:sz w:val="24"/>
          <w:highlight w:val="none"/>
        </w:rPr>
        <w:t xml:space="preserve">（盖单位公章） </w:t>
      </w:r>
    </w:p>
    <w:p>
      <w:pPr>
        <w:spacing w:line="360" w:lineRule="auto"/>
        <w:ind w:firstLine="5760" w:firstLineChars="2400"/>
        <w:jc w:val="right"/>
        <w:rPr>
          <w:rFonts w:ascii="宋体" w:hAnsi="宋体"/>
          <w:sz w:val="24"/>
          <w:highlight w:val="none"/>
        </w:rPr>
      </w:pPr>
    </w:p>
    <w:p>
      <w:pPr>
        <w:spacing w:line="360" w:lineRule="auto"/>
        <w:ind w:firstLine="5760" w:firstLineChars="2400"/>
        <w:jc w:val="right"/>
        <w:rPr>
          <w:rFonts w:ascii="宋体" w:hAnsi="宋体"/>
          <w:sz w:val="24"/>
          <w:highlight w:val="none"/>
        </w:rPr>
      </w:pPr>
      <w:r>
        <w:rPr>
          <w:rFonts w:hint="eastAsia" w:ascii="宋体" w:hAnsi="宋体"/>
          <w:sz w:val="24"/>
          <w:highlight w:val="none"/>
        </w:rPr>
        <w:t>年    月     日</w:t>
      </w:r>
    </w:p>
    <w:p>
      <w:pPr>
        <w:spacing w:line="440" w:lineRule="exact"/>
        <w:rPr>
          <w:rFonts w:asciiTheme="minorEastAsia" w:hAnsiTheme="minorEastAsia" w:eastAsiaTheme="minorEastAsia" w:cstheme="minorEastAsia"/>
          <w:highlight w:val="none"/>
        </w:rPr>
      </w:pPr>
    </w:p>
    <w:p>
      <w:pPr>
        <w:rPr>
          <w:rFonts w:asciiTheme="minorEastAsia" w:hAnsiTheme="minorEastAsia" w:eastAsiaTheme="minorEastAsia" w:cstheme="minorEastAsia"/>
          <w:sz w:val="30"/>
          <w:szCs w:val="30"/>
          <w:highlight w:val="none"/>
        </w:rPr>
      </w:pPr>
      <w:bookmarkStart w:id="282" w:name="_Toc17980"/>
      <w:bookmarkStart w:id="283" w:name="_Toc15395"/>
      <w:bookmarkStart w:id="284" w:name="_Toc6009"/>
      <w:bookmarkStart w:id="285" w:name="_Toc5815"/>
      <w:r>
        <w:rPr>
          <w:rFonts w:hint="eastAsia" w:asciiTheme="minorEastAsia" w:hAnsiTheme="minorEastAsia" w:eastAsiaTheme="minorEastAsia" w:cstheme="minorEastAsia"/>
          <w:sz w:val="30"/>
          <w:szCs w:val="30"/>
          <w:highlight w:val="none"/>
        </w:rPr>
        <w:br w:type="page"/>
      </w:r>
    </w:p>
    <w:p>
      <w:pPr>
        <w:pStyle w:val="17"/>
        <w:spacing w:before="120" w:after="120" w:line="500" w:lineRule="exact"/>
        <w:ind w:right="29" w:rightChars="14"/>
        <w:outlineLvl w:val="1"/>
        <w:rPr>
          <w:rFonts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t>三、授权委托书</w:t>
      </w:r>
      <w:bookmarkEnd w:id="282"/>
      <w:bookmarkEnd w:id="283"/>
      <w:bookmarkEnd w:id="284"/>
      <w:bookmarkEnd w:id="285"/>
    </w:p>
    <w:p>
      <w:pPr>
        <w:rPr>
          <w:highlight w:val="none"/>
        </w:rPr>
      </w:pPr>
    </w:p>
    <w:p>
      <w:pPr>
        <w:spacing w:line="360" w:lineRule="auto"/>
        <w:ind w:firstLine="480" w:firstLineChars="200"/>
        <w:rPr>
          <w:rFonts w:ascii="宋体" w:hAnsi="宋体"/>
          <w:sz w:val="24"/>
          <w:highlight w:val="none"/>
        </w:rPr>
      </w:pPr>
      <w:r>
        <w:rPr>
          <w:rFonts w:hint="eastAsia" w:ascii="宋体" w:hAnsi="宋体"/>
          <w:sz w:val="24"/>
          <w:highlight w:val="none"/>
        </w:rPr>
        <w:t>本人</w:t>
      </w:r>
      <w:r>
        <w:rPr>
          <w:rFonts w:hint="eastAsia" w:ascii="宋体" w:hAnsi="宋体"/>
          <w:sz w:val="24"/>
          <w:highlight w:val="none"/>
          <w:u w:val="single"/>
        </w:rPr>
        <w:t xml:space="preserve">            </w:t>
      </w:r>
      <w:r>
        <w:rPr>
          <w:rFonts w:hint="eastAsia" w:ascii="宋体" w:hAnsi="宋体"/>
          <w:sz w:val="24"/>
          <w:highlight w:val="none"/>
        </w:rPr>
        <w:t>（姓名）系</w:t>
      </w:r>
      <w:r>
        <w:rPr>
          <w:rFonts w:hint="eastAsia" w:ascii="宋体" w:hAnsi="宋体"/>
          <w:sz w:val="24"/>
          <w:highlight w:val="none"/>
          <w:u w:val="single"/>
        </w:rPr>
        <w:t xml:space="preserve">                       </w:t>
      </w:r>
      <w:r>
        <w:rPr>
          <w:rFonts w:hint="eastAsia" w:ascii="宋体" w:hAnsi="宋体"/>
          <w:sz w:val="24"/>
          <w:highlight w:val="none"/>
        </w:rPr>
        <w:t>（供应商名称）的法定代表人，现委托</w:t>
      </w:r>
      <w:r>
        <w:rPr>
          <w:rFonts w:hint="eastAsia" w:ascii="宋体" w:hAnsi="宋体"/>
          <w:sz w:val="24"/>
          <w:highlight w:val="none"/>
          <w:u w:val="single"/>
        </w:rPr>
        <w:t xml:space="preserve">             </w:t>
      </w:r>
      <w:r>
        <w:rPr>
          <w:rFonts w:hint="eastAsia" w:ascii="宋体" w:hAnsi="宋体"/>
          <w:sz w:val="24"/>
          <w:highlight w:val="none"/>
        </w:rPr>
        <w:t>（姓名）为我方代理人。代理人根据授权，以我方名义签署、澄清、说明、补正、递交、撤回、修改</w:t>
      </w:r>
      <w:r>
        <w:rPr>
          <w:rFonts w:hint="eastAsia" w:ascii="宋体" w:hAnsi="宋体"/>
          <w:sz w:val="24"/>
          <w:highlight w:val="none"/>
          <w:u w:val="single"/>
        </w:rPr>
        <w:t xml:space="preserve">                                 </w:t>
      </w:r>
      <w:r>
        <w:rPr>
          <w:rFonts w:hint="eastAsia" w:ascii="宋体" w:hAnsi="宋体"/>
          <w:sz w:val="24"/>
          <w:highlight w:val="none"/>
        </w:rPr>
        <w:t>（项目名称）项目投标文件、签订合同和处理有关事宜，其法律后果由我方承担。</w:t>
      </w:r>
    </w:p>
    <w:p>
      <w:pPr>
        <w:spacing w:line="360" w:lineRule="auto"/>
        <w:ind w:firstLine="480" w:firstLineChars="200"/>
        <w:rPr>
          <w:rFonts w:ascii="宋体" w:hAnsi="宋体"/>
          <w:sz w:val="24"/>
          <w:highlight w:val="none"/>
        </w:rPr>
      </w:pPr>
      <w:r>
        <w:rPr>
          <w:rFonts w:hint="eastAsia" w:ascii="宋体" w:hAnsi="宋体"/>
          <w:sz w:val="24"/>
          <w:highlight w:val="none"/>
        </w:rPr>
        <w:t>委托期限：</w:t>
      </w:r>
      <w:r>
        <w:rPr>
          <w:rFonts w:hint="eastAsia" w:ascii="宋体" w:hAnsi="宋体"/>
          <w:sz w:val="24"/>
          <w:highlight w:val="none"/>
          <w:u w:val="single"/>
        </w:rPr>
        <w:t xml:space="preserve">                                </w:t>
      </w:r>
    </w:p>
    <w:p>
      <w:pPr>
        <w:spacing w:line="360" w:lineRule="auto"/>
        <w:ind w:firstLine="480" w:firstLineChars="200"/>
        <w:rPr>
          <w:rFonts w:ascii="宋体" w:hAnsi="宋体"/>
          <w:sz w:val="24"/>
          <w:highlight w:val="none"/>
        </w:rPr>
      </w:pPr>
      <w:r>
        <w:rPr>
          <w:rFonts w:hint="eastAsia" w:ascii="宋体" w:hAnsi="宋体"/>
          <w:sz w:val="24"/>
          <w:highlight w:val="none"/>
        </w:rPr>
        <w:t>代理人无转委托权。</w:t>
      </w:r>
    </w:p>
    <w:p>
      <w:pPr>
        <w:spacing w:line="360" w:lineRule="auto"/>
        <w:ind w:firstLine="480" w:firstLineChars="200"/>
        <w:rPr>
          <w:rFonts w:ascii="宋体" w:hAnsi="宋体"/>
          <w:sz w:val="24"/>
          <w:highlight w:val="none"/>
        </w:rPr>
      </w:pPr>
    </w:p>
    <w:p>
      <w:pPr>
        <w:rPr>
          <w:highlight w:val="none"/>
        </w:rPr>
      </w:pPr>
      <w:r>
        <w:rPr>
          <w:rFonts w:hint="eastAsia" w:ascii="宋体" w:hAnsi="宋体"/>
          <w:sz w:val="24"/>
          <w:highlight w:val="none"/>
        </w:rPr>
        <w:t>附：委托代理人身份证复印件正反面</w:t>
      </w:r>
    </w:p>
    <w:p>
      <w:pPr>
        <w:spacing w:line="360" w:lineRule="auto"/>
        <w:jc w:val="left"/>
        <w:rPr>
          <w:rFonts w:ascii="宋体" w:hAnsi="宋体"/>
          <w:sz w:val="24"/>
          <w:highlight w:val="none"/>
        </w:rPr>
      </w:pPr>
    </w:p>
    <w:p>
      <w:pPr>
        <w:spacing w:line="360" w:lineRule="auto"/>
        <w:ind w:firstLine="480" w:firstLineChars="200"/>
        <w:jc w:val="left"/>
        <w:rPr>
          <w:rFonts w:ascii="宋体" w:hAnsi="宋体"/>
          <w:sz w:val="24"/>
          <w:highlight w:val="none"/>
        </w:rPr>
      </w:pPr>
    </w:p>
    <w:p>
      <w:pPr>
        <w:spacing w:line="360" w:lineRule="auto"/>
        <w:ind w:firstLine="480" w:firstLineChars="200"/>
        <w:jc w:val="left"/>
        <w:rPr>
          <w:rFonts w:ascii="宋体" w:hAnsi="宋体"/>
          <w:sz w:val="24"/>
          <w:highlight w:val="none"/>
        </w:rPr>
      </w:pPr>
    </w:p>
    <w:p>
      <w:pPr>
        <w:spacing w:line="360" w:lineRule="auto"/>
        <w:ind w:firstLine="480" w:firstLineChars="200"/>
        <w:jc w:val="left"/>
        <w:rPr>
          <w:rFonts w:ascii="宋体" w:hAnsi="宋体"/>
          <w:sz w:val="24"/>
          <w:highlight w:val="none"/>
        </w:rPr>
      </w:pPr>
    </w:p>
    <w:p>
      <w:pPr>
        <w:spacing w:line="360" w:lineRule="auto"/>
        <w:ind w:firstLine="480" w:firstLineChars="200"/>
        <w:jc w:val="left"/>
        <w:rPr>
          <w:rFonts w:ascii="宋体" w:hAnsi="宋体"/>
          <w:sz w:val="24"/>
          <w:highlight w:val="none"/>
        </w:rPr>
      </w:pPr>
    </w:p>
    <w:p>
      <w:pPr>
        <w:spacing w:line="360" w:lineRule="auto"/>
        <w:jc w:val="left"/>
        <w:rPr>
          <w:rFonts w:ascii="宋体" w:hAnsi="宋体"/>
          <w:sz w:val="24"/>
          <w:highlight w:val="none"/>
        </w:rPr>
      </w:pPr>
    </w:p>
    <w:p>
      <w:pPr>
        <w:spacing w:line="360" w:lineRule="auto"/>
        <w:ind w:firstLine="4560" w:firstLineChars="1900"/>
        <w:jc w:val="left"/>
        <w:rPr>
          <w:rFonts w:ascii="宋体" w:hAnsi="宋体"/>
          <w:sz w:val="24"/>
          <w:highlight w:val="none"/>
        </w:rPr>
      </w:pPr>
      <w:r>
        <w:rPr>
          <w:rFonts w:hint="eastAsia" w:ascii="宋体" w:hAnsi="宋体"/>
          <w:sz w:val="24"/>
          <w:highlight w:val="none"/>
        </w:rPr>
        <w:t>供应商：</w:t>
      </w:r>
      <w:r>
        <w:rPr>
          <w:rFonts w:hint="eastAsia" w:ascii="宋体" w:hAnsi="宋体"/>
          <w:sz w:val="24"/>
          <w:highlight w:val="none"/>
          <w:u w:val="single"/>
        </w:rPr>
        <w:t xml:space="preserve">              </w:t>
      </w:r>
      <w:r>
        <w:rPr>
          <w:rFonts w:hint="eastAsia" w:ascii="宋体" w:hAnsi="宋体"/>
          <w:sz w:val="24"/>
          <w:highlight w:val="none"/>
        </w:rPr>
        <w:t xml:space="preserve">（盖单位公章） </w:t>
      </w:r>
    </w:p>
    <w:p>
      <w:pPr>
        <w:spacing w:line="360" w:lineRule="auto"/>
        <w:ind w:firstLine="4560" w:firstLineChars="1900"/>
        <w:jc w:val="left"/>
        <w:rPr>
          <w:rFonts w:ascii="宋体" w:hAnsi="宋体"/>
          <w:sz w:val="24"/>
          <w:highlight w:val="none"/>
        </w:rPr>
      </w:pPr>
      <w:r>
        <w:rPr>
          <w:rFonts w:hint="eastAsia" w:ascii="宋体" w:hAnsi="宋体"/>
          <w:sz w:val="24"/>
          <w:highlight w:val="none"/>
        </w:rPr>
        <w:t>法定代表人：</w:t>
      </w:r>
      <w:r>
        <w:rPr>
          <w:rFonts w:hint="eastAsia" w:ascii="宋体" w:hAnsi="宋体"/>
          <w:sz w:val="24"/>
          <w:highlight w:val="none"/>
          <w:u w:val="single"/>
        </w:rPr>
        <w:t xml:space="preserve">              </w:t>
      </w:r>
      <w:r>
        <w:rPr>
          <w:rFonts w:hint="eastAsia" w:ascii="宋体" w:hAnsi="宋体"/>
          <w:sz w:val="24"/>
          <w:highlight w:val="none"/>
        </w:rPr>
        <w:t>（签字或盖章）</w:t>
      </w:r>
    </w:p>
    <w:p>
      <w:pPr>
        <w:spacing w:line="360" w:lineRule="auto"/>
        <w:ind w:firstLine="4560" w:firstLineChars="1900"/>
        <w:jc w:val="left"/>
        <w:rPr>
          <w:rFonts w:ascii="宋体" w:hAnsi="宋体"/>
          <w:sz w:val="24"/>
          <w:highlight w:val="none"/>
        </w:rPr>
      </w:pPr>
      <w:r>
        <w:rPr>
          <w:rFonts w:hint="eastAsia" w:ascii="宋体" w:hAnsi="宋体"/>
          <w:sz w:val="24"/>
          <w:highlight w:val="none"/>
        </w:rPr>
        <w:t>委托代理人：</w:t>
      </w:r>
      <w:r>
        <w:rPr>
          <w:rFonts w:hint="eastAsia" w:ascii="宋体" w:hAnsi="宋体"/>
          <w:sz w:val="24"/>
          <w:highlight w:val="none"/>
          <w:u w:val="single"/>
        </w:rPr>
        <w:t xml:space="preserve">                </w:t>
      </w:r>
      <w:r>
        <w:rPr>
          <w:rFonts w:hint="eastAsia" w:ascii="宋体" w:hAnsi="宋体"/>
          <w:sz w:val="24"/>
          <w:highlight w:val="none"/>
        </w:rPr>
        <w:t>（签字或盖章）</w:t>
      </w:r>
    </w:p>
    <w:p>
      <w:pPr>
        <w:spacing w:line="360" w:lineRule="auto"/>
        <w:ind w:firstLine="5040" w:firstLineChars="2100"/>
        <w:rPr>
          <w:rFonts w:ascii="宋体" w:hAnsi="宋体"/>
          <w:sz w:val="24"/>
          <w:highlight w:val="none"/>
        </w:rPr>
      </w:pPr>
    </w:p>
    <w:p>
      <w:pPr>
        <w:spacing w:line="360" w:lineRule="auto"/>
        <w:ind w:firstLine="5040" w:firstLineChars="2100"/>
        <w:rPr>
          <w:rFonts w:asciiTheme="minorEastAsia" w:hAnsiTheme="minorEastAsia" w:eastAsiaTheme="minorEastAsia" w:cstheme="minorEastAsia"/>
          <w:sz w:val="30"/>
          <w:szCs w:val="30"/>
          <w:highlight w:val="none"/>
        </w:rPr>
      </w:pP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bookmarkEnd w:id="248"/>
    </w:p>
    <w:p>
      <w:pPr>
        <w:pStyle w:val="16"/>
        <w:widowControl w:val="0"/>
        <w:spacing w:before="120" w:beforeAutospacing="0" w:after="120" w:afterAutospacing="0" w:line="500" w:lineRule="exact"/>
        <w:ind w:right="29" w:rightChars="14"/>
        <w:jc w:val="center"/>
        <w:rPr>
          <w:rFonts w:asciiTheme="minorEastAsia" w:hAnsiTheme="minorEastAsia" w:eastAsiaTheme="minorEastAsia" w:cstheme="minorEastAsia"/>
          <w:kern w:val="2"/>
          <w:sz w:val="30"/>
          <w:szCs w:val="30"/>
          <w:highlight w:val="none"/>
        </w:rPr>
      </w:pPr>
    </w:p>
    <w:p>
      <w:pPr>
        <w:pStyle w:val="16"/>
        <w:widowControl w:val="0"/>
        <w:spacing w:before="120" w:beforeAutospacing="0" w:after="120" w:afterAutospacing="0" w:line="500" w:lineRule="exact"/>
        <w:ind w:right="29" w:rightChars="14"/>
        <w:jc w:val="both"/>
        <w:rPr>
          <w:rFonts w:asciiTheme="minorEastAsia" w:hAnsiTheme="minorEastAsia" w:eastAsiaTheme="minorEastAsia" w:cstheme="minorEastAsia"/>
          <w:b/>
          <w:bCs/>
          <w:kern w:val="2"/>
          <w:sz w:val="30"/>
          <w:szCs w:val="30"/>
          <w:highlight w:val="none"/>
        </w:rPr>
      </w:pPr>
    </w:p>
    <w:p>
      <w:pPr>
        <w:pStyle w:val="16"/>
        <w:widowControl w:val="0"/>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bookmarkStart w:id="286" w:name="_Toc8304"/>
      <w:bookmarkStart w:id="287" w:name="_Toc25161"/>
    </w:p>
    <w:p>
      <w:pPr>
        <w:rPr>
          <w:rFonts w:asciiTheme="minorEastAsia" w:hAnsiTheme="minorEastAsia" w:eastAsiaTheme="minorEastAsia" w:cstheme="minorEastAsia"/>
          <w:b/>
          <w:sz w:val="30"/>
          <w:szCs w:val="30"/>
          <w:highlight w:val="none"/>
        </w:rPr>
      </w:pPr>
      <w:r>
        <w:rPr>
          <w:rFonts w:hint="eastAsia" w:asciiTheme="minorEastAsia" w:hAnsiTheme="minorEastAsia" w:eastAsiaTheme="minorEastAsia" w:cstheme="minorEastAsia"/>
          <w:b/>
          <w:sz w:val="30"/>
          <w:szCs w:val="30"/>
          <w:highlight w:val="none"/>
        </w:rPr>
        <w:br w:type="page"/>
      </w:r>
    </w:p>
    <w:p>
      <w:pPr>
        <w:pStyle w:val="16"/>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r>
        <w:rPr>
          <w:rFonts w:hint="eastAsia" w:asciiTheme="minorEastAsia" w:hAnsiTheme="minorEastAsia" w:eastAsiaTheme="minorEastAsia" w:cstheme="minorEastAsia"/>
          <w:b/>
          <w:kern w:val="2"/>
          <w:sz w:val="30"/>
          <w:szCs w:val="30"/>
          <w:highlight w:val="none"/>
        </w:rPr>
        <w:t>四、项目实施方案</w:t>
      </w:r>
      <w:bookmarkEnd w:id="286"/>
      <w:r>
        <w:rPr>
          <w:rFonts w:hint="eastAsia" w:asciiTheme="minorEastAsia" w:hAnsiTheme="minorEastAsia" w:eastAsiaTheme="minorEastAsia" w:cstheme="minorEastAsia"/>
          <w:b/>
          <w:kern w:val="2"/>
          <w:sz w:val="30"/>
          <w:szCs w:val="30"/>
          <w:highlight w:val="none"/>
        </w:rPr>
        <w:t>等</w:t>
      </w:r>
      <w:bookmarkEnd w:id="287"/>
    </w:p>
    <w:p>
      <w:pPr>
        <w:ind w:left="420"/>
        <w:rPr>
          <w:rFonts w:asciiTheme="minorEastAsia" w:hAnsiTheme="minorEastAsia" w:eastAsiaTheme="minorEastAsia" w:cstheme="minorEastAsia"/>
          <w:b/>
          <w:sz w:val="30"/>
          <w:szCs w:val="30"/>
          <w:highlight w:val="none"/>
        </w:rPr>
      </w:pPr>
    </w:p>
    <w:p>
      <w:pPr>
        <w:ind w:left="420"/>
        <w:rPr>
          <w:rFonts w:asciiTheme="minorEastAsia" w:hAnsiTheme="minorEastAsia" w:eastAsiaTheme="minorEastAsia" w:cstheme="minorEastAsia"/>
          <w:b/>
          <w:sz w:val="30"/>
          <w:szCs w:val="30"/>
          <w:highlight w:val="none"/>
        </w:rPr>
      </w:pPr>
    </w:p>
    <w:p>
      <w:pPr>
        <w:ind w:left="420"/>
        <w:rPr>
          <w:rFonts w:asciiTheme="minorEastAsia" w:hAnsiTheme="minorEastAsia" w:eastAsiaTheme="minorEastAsia" w:cstheme="minorEastAsia"/>
          <w:b/>
          <w:sz w:val="30"/>
          <w:szCs w:val="30"/>
          <w:highlight w:val="none"/>
        </w:rPr>
      </w:pPr>
    </w:p>
    <w:p>
      <w:pPr>
        <w:ind w:left="420"/>
        <w:rPr>
          <w:rFonts w:asciiTheme="minorEastAsia" w:hAnsiTheme="minorEastAsia" w:eastAsiaTheme="minorEastAsia" w:cstheme="minorEastAsia"/>
          <w:b/>
          <w:sz w:val="30"/>
          <w:szCs w:val="30"/>
          <w:highlight w:val="none"/>
        </w:rPr>
      </w:pPr>
    </w:p>
    <w:p>
      <w:pPr>
        <w:ind w:left="420"/>
        <w:rPr>
          <w:rFonts w:asciiTheme="minorEastAsia" w:hAnsiTheme="minorEastAsia" w:eastAsiaTheme="minorEastAsia" w:cstheme="minorEastAsia"/>
          <w:b/>
          <w:sz w:val="30"/>
          <w:szCs w:val="30"/>
          <w:highlight w:val="none"/>
        </w:rPr>
      </w:pPr>
    </w:p>
    <w:p>
      <w:pPr>
        <w:ind w:left="420"/>
        <w:rPr>
          <w:rFonts w:asciiTheme="minorEastAsia" w:hAnsiTheme="minorEastAsia" w:eastAsiaTheme="minorEastAsia" w:cstheme="minorEastAsia"/>
          <w:b/>
          <w:sz w:val="30"/>
          <w:szCs w:val="30"/>
          <w:highlight w:val="none"/>
        </w:rPr>
      </w:pPr>
    </w:p>
    <w:p>
      <w:pPr>
        <w:ind w:left="420"/>
        <w:rPr>
          <w:rFonts w:asciiTheme="minorEastAsia" w:hAnsiTheme="minorEastAsia" w:eastAsiaTheme="minorEastAsia" w:cstheme="minorEastAsia"/>
          <w:b/>
          <w:sz w:val="30"/>
          <w:szCs w:val="30"/>
          <w:highlight w:val="none"/>
        </w:rPr>
      </w:pPr>
    </w:p>
    <w:p>
      <w:pPr>
        <w:ind w:left="420"/>
        <w:rPr>
          <w:rFonts w:asciiTheme="minorEastAsia" w:hAnsiTheme="minorEastAsia" w:eastAsiaTheme="minorEastAsia" w:cstheme="minorEastAsia"/>
          <w:b/>
          <w:sz w:val="30"/>
          <w:szCs w:val="30"/>
          <w:highlight w:val="none"/>
        </w:rPr>
      </w:pPr>
    </w:p>
    <w:p>
      <w:pPr>
        <w:ind w:left="420"/>
        <w:rPr>
          <w:rFonts w:asciiTheme="minorEastAsia" w:hAnsiTheme="minorEastAsia" w:eastAsiaTheme="minorEastAsia" w:cstheme="minorEastAsia"/>
          <w:b/>
          <w:sz w:val="30"/>
          <w:szCs w:val="30"/>
          <w:highlight w:val="none"/>
        </w:rPr>
      </w:pPr>
    </w:p>
    <w:p>
      <w:pPr>
        <w:ind w:left="420"/>
        <w:rPr>
          <w:rFonts w:asciiTheme="minorEastAsia" w:hAnsiTheme="minorEastAsia" w:eastAsiaTheme="minorEastAsia" w:cstheme="minorEastAsia"/>
          <w:b/>
          <w:sz w:val="30"/>
          <w:szCs w:val="30"/>
          <w:highlight w:val="none"/>
        </w:rPr>
      </w:pPr>
    </w:p>
    <w:p>
      <w:pPr>
        <w:ind w:left="420"/>
        <w:rPr>
          <w:rFonts w:asciiTheme="minorEastAsia" w:hAnsiTheme="minorEastAsia" w:eastAsiaTheme="minorEastAsia" w:cstheme="minorEastAsia"/>
          <w:b/>
          <w:sz w:val="30"/>
          <w:szCs w:val="30"/>
          <w:highlight w:val="none"/>
        </w:rPr>
      </w:pPr>
    </w:p>
    <w:p>
      <w:pPr>
        <w:rPr>
          <w:rFonts w:asciiTheme="minorEastAsia" w:hAnsiTheme="minorEastAsia" w:eastAsiaTheme="minorEastAsia" w:cstheme="minorEastAsia"/>
          <w:b/>
          <w:sz w:val="30"/>
          <w:szCs w:val="30"/>
          <w:highlight w:val="none"/>
        </w:rPr>
      </w:pPr>
    </w:p>
    <w:p>
      <w:pPr>
        <w:rPr>
          <w:rFonts w:asciiTheme="minorEastAsia" w:hAnsiTheme="minorEastAsia" w:eastAsiaTheme="minorEastAsia" w:cstheme="minorEastAsia"/>
          <w:b/>
          <w:sz w:val="30"/>
          <w:szCs w:val="30"/>
          <w:highlight w:val="none"/>
        </w:rPr>
      </w:pPr>
    </w:p>
    <w:p>
      <w:pPr>
        <w:ind w:left="420"/>
        <w:rPr>
          <w:rFonts w:asciiTheme="minorEastAsia" w:hAnsiTheme="minorEastAsia" w:eastAsiaTheme="minorEastAsia" w:cstheme="minorEastAsia"/>
          <w:b/>
          <w:sz w:val="30"/>
          <w:szCs w:val="30"/>
          <w:highlight w:val="none"/>
        </w:rPr>
      </w:pPr>
    </w:p>
    <w:p>
      <w:pPr>
        <w:pStyle w:val="16"/>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bookmarkStart w:id="288" w:name="_Toc10043"/>
    </w:p>
    <w:p>
      <w:pPr>
        <w:pStyle w:val="16"/>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pPr>
        <w:pStyle w:val="16"/>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pPr>
        <w:rPr>
          <w:rFonts w:asciiTheme="minorEastAsia" w:hAnsiTheme="minorEastAsia" w:eastAsiaTheme="minorEastAsia" w:cstheme="minorEastAsia"/>
          <w:b/>
          <w:sz w:val="30"/>
          <w:szCs w:val="30"/>
          <w:highlight w:val="none"/>
        </w:rPr>
      </w:pPr>
      <w:bookmarkStart w:id="289" w:name="_Toc30146"/>
      <w:bookmarkStart w:id="290" w:name="_Toc29492"/>
      <w:bookmarkStart w:id="291" w:name="_Toc20650"/>
      <w:r>
        <w:rPr>
          <w:rFonts w:hint="eastAsia" w:asciiTheme="minorEastAsia" w:hAnsiTheme="minorEastAsia" w:eastAsiaTheme="minorEastAsia" w:cstheme="minorEastAsia"/>
          <w:b/>
          <w:sz w:val="30"/>
          <w:szCs w:val="30"/>
          <w:highlight w:val="none"/>
        </w:rPr>
        <w:br w:type="page"/>
      </w:r>
    </w:p>
    <w:p>
      <w:pPr>
        <w:overflowPunct w:val="0"/>
        <w:adjustRightInd w:val="0"/>
        <w:snapToGrid w:val="0"/>
        <w:spacing w:line="574" w:lineRule="exact"/>
        <w:jc w:val="center"/>
        <w:rPr>
          <w:rFonts w:ascii="宋体" w:hAnsi="宋体" w:cs="宋体"/>
          <w:b/>
          <w:bCs/>
          <w:sz w:val="32"/>
          <w:szCs w:val="32"/>
          <w:highlight w:val="none"/>
        </w:rPr>
      </w:pPr>
      <w:r>
        <w:rPr>
          <w:rFonts w:hint="eastAsia" w:asciiTheme="minorEastAsia" w:hAnsiTheme="minorEastAsia" w:eastAsiaTheme="minorEastAsia" w:cstheme="minorEastAsia"/>
          <w:b/>
          <w:sz w:val="30"/>
          <w:szCs w:val="30"/>
          <w:highlight w:val="none"/>
        </w:rPr>
        <w:t>五、</w:t>
      </w:r>
      <w:bookmarkEnd w:id="288"/>
      <w:bookmarkEnd w:id="289"/>
      <w:bookmarkEnd w:id="290"/>
      <w:bookmarkEnd w:id="291"/>
      <w:r>
        <w:rPr>
          <w:rFonts w:hint="eastAsia" w:ascii="宋体" w:hAnsi="宋体" w:cs="宋体"/>
          <w:b/>
          <w:bCs/>
          <w:sz w:val="32"/>
          <w:szCs w:val="32"/>
          <w:highlight w:val="none"/>
        </w:rPr>
        <w:t>政府采购供应商资格信用承诺函</w:t>
      </w:r>
    </w:p>
    <w:p>
      <w:pPr>
        <w:spacing w:line="400" w:lineRule="exact"/>
        <w:jc w:val="left"/>
        <w:rPr>
          <w:sz w:val="24"/>
          <w:highlight w:val="none"/>
        </w:rPr>
      </w:pPr>
    </w:p>
    <w:p>
      <w:pPr>
        <w:overflowPunct w:val="0"/>
        <w:adjustRightInd w:val="0"/>
        <w:snapToGrid w:val="0"/>
        <w:spacing w:line="574" w:lineRule="exact"/>
        <w:rPr>
          <w:rFonts w:ascii="仿宋_GB2312" w:hAnsi="仿宋_GB2312" w:cs="仿宋_GB2312"/>
          <w:sz w:val="24"/>
          <w:highlight w:val="none"/>
        </w:rPr>
      </w:pPr>
      <w:r>
        <w:rPr>
          <w:rFonts w:hint="eastAsia" w:ascii="仿宋_GB2312" w:hAnsi="仿宋_GB2312" w:cs="仿宋_GB2312"/>
          <w:sz w:val="24"/>
          <w:highlight w:val="none"/>
        </w:rPr>
        <w:t>致</w:t>
      </w:r>
      <w:r>
        <w:rPr>
          <w:rFonts w:hint="eastAsia" w:ascii="仿宋_GB2312" w:hAnsi="仿宋_GB2312" w:cs="仿宋_GB2312"/>
          <w:sz w:val="24"/>
          <w:highlight w:val="none"/>
          <w:u w:val="single"/>
        </w:rPr>
        <w:t xml:space="preserve">（采购人）     </w:t>
      </w:r>
      <w:r>
        <w:rPr>
          <w:rFonts w:hint="eastAsia" w:ascii="仿宋_GB2312" w:hAnsi="仿宋_GB2312" w:cs="仿宋_GB2312"/>
          <w:sz w:val="24"/>
          <w:highlight w:val="none"/>
        </w:rPr>
        <w:t>：</w:t>
      </w:r>
    </w:p>
    <w:p>
      <w:pPr>
        <w:overflowPunct w:val="0"/>
        <w:adjustRightInd w:val="0"/>
        <w:snapToGrid w:val="0"/>
        <w:spacing w:line="574" w:lineRule="exact"/>
        <w:rPr>
          <w:rFonts w:ascii="仿宋_GB2312" w:hAnsi="仿宋_GB2312" w:cs="仿宋_GB2312"/>
          <w:sz w:val="24"/>
          <w:highlight w:val="none"/>
        </w:rPr>
      </w:pPr>
      <w:r>
        <w:rPr>
          <w:rFonts w:hint="eastAsia" w:ascii="仿宋_GB2312" w:hAnsi="仿宋_GB2312" w:cs="仿宋_GB2312"/>
          <w:sz w:val="24"/>
          <w:highlight w:val="none"/>
        </w:rPr>
        <w:t xml:space="preserve">    供应商名称：</w:t>
      </w:r>
      <w:r>
        <w:rPr>
          <w:rFonts w:hint="eastAsia" w:ascii="仿宋_GB2312" w:hAnsi="仿宋_GB2312" w:cs="仿宋_GB2312"/>
          <w:sz w:val="24"/>
          <w:highlight w:val="none"/>
          <w:u w:val="single"/>
        </w:rPr>
        <w:t xml:space="preserve">                                         </w:t>
      </w:r>
      <w:r>
        <w:rPr>
          <w:rFonts w:hint="eastAsia" w:ascii="仿宋_GB2312" w:hAnsi="仿宋_GB2312" w:cs="仿宋_GB2312"/>
          <w:sz w:val="24"/>
          <w:highlight w:val="none"/>
        </w:rPr>
        <w:t xml:space="preserve">                                  </w:t>
      </w:r>
    </w:p>
    <w:p>
      <w:pPr>
        <w:overflowPunct w:val="0"/>
        <w:adjustRightInd w:val="0"/>
        <w:snapToGrid w:val="0"/>
        <w:spacing w:line="574" w:lineRule="exact"/>
        <w:rPr>
          <w:rFonts w:ascii="仿宋_GB2312" w:hAnsi="仿宋_GB2312" w:cs="仿宋_GB2312"/>
          <w:sz w:val="24"/>
          <w:highlight w:val="none"/>
        </w:rPr>
      </w:pPr>
      <w:r>
        <w:rPr>
          <w:rFonts w:hint="eastAsia" w:ascii="仿宋_GB2312" w:hAnsi="仿宋_GB2312" w:cs="仿宋_GB2312"/>
          <w:sz w:val="24"/>
          <w:highlight w:val="none"/>
        </w:rPr>
        <w:t xml:space="preserve">    统一社会信用代码：</w:t>
      </w:r>
      <w:r>
        <w:rPr>
          <w:rFonts w:hint="eastAsia" w:ascii="仿宋_GB2312" w:hAnsi="仿宋_GB2312" w:cs="仿宋_GB2312"/>
          <w:sz w:val="24"/>
          <w:highlight w:val="none"/>
          <w:u w:val="single"/>
        </w:rPr>
        <w:t xml:space="preserve">                                 </w:t>
      </w:r>
      <w:r>
        <w:rPr>
          <w:rFonts w:hint="eastAsia" w:ascii="仿宋_GB2312" w:hAnsi="仿宋_GB2312" w:cs="仿宋_GB2312"/>
          <w:sz w:val="24"/>
          <w:highlight w:val="none"/>
        </w:rPr>
        <w:t xml:space="preserve">                            </w:t>
      </w:r>
    </w:p>
    <w:p>
      <w:pPr>
        <w:overflowPunct w:val="0"/>
        <w:adjustRightInd w:val="0"/>
        <w:snapToGrid w:val="0"/>
        <w:spacing w:line="574" w:lineRule="exact"/>
        <w:rPr>
          <w:rFonts w:ascii="仿宋_GB2312" w:hAnsi="仿宋_GB2312" w:cs="仿宋_GB2312"/>
          <w:sz w:val="24"/>
          <w:highlight w:val="none"/>
        </w:rPr>
      </w:pPr>
      <w:r>
        <w:rPr>
          <w:rFonts w:hint="eastAsia" w:ascii="仿宋_GB2312" w:hAnsi="仿宋_GB2312" w:cs="仿宋_GB2312"/>
          <w:sz w:val="24"/>
          <w:highlight w:val="none"/>
        </w:rPr>
        <w:t xml:space="preserve">    供应商地址：</w:t>
      </w:r>
      <w:r>
        <w:rPr>
          <w:rFonts w:hint="eastAsia" w:ascii="仿宋_GB2312" w:hAnsi="仿宋_GB2312" w:cs="仿宋_GB2312"/>
          <w:sz w:val="24"/>
          <w:highlight w:val="none"/>
          <w:u w:val="single"/>
        </w:rPr>
        <w:t xml:space="preserve">                                         </w:t>
      </w:r>
      <w:r>
        <w:rPr>
          <w:rFonts w:hint="eastAsia" w:ascii="仿宋_GB2312" w:hAnsi="仿宋_GB2312" w:cs="仿宋_GB2312"/>
          <w:sz w:val="24"/>
          <w:highlight w:val="none"/>
        </w:rPr>
        <w:t xml:space="preserve">                              </w:t>
      </w:r>
    </w:p>
    <w:p>
      <w:pPr>
        <w:overflowPunct w:val="0"/>
        <w:adjustRightInd w:val="0"/>
        <w:snapToGrid w:val="0"/>
        <w:spacing w:line="574" w:lineRule="exact"/>
        <w:rPr>
          <w:rFonts w:ascii="仿宋_GB2312" w:hAnsi="仿宋_GB2312" w:cs="仿宋_GB2312"/>
          <w:sz w:val="24"/>
          <w:highlight w:val="none"/>
        </w:rPr>
      </w:pPr>
      <w:r>
        <w:rPr>
          <w:rFonts w:hint="eastAsia" w:ascii="仿宋_GB2312" w:hAnsi="仿宋_GB2312" w:cs="仿宋_GB2312"/>
          <w:sz w:val="24"/>
          <w:highlight w:val="none"/>
        </w:rPr>
        <w:t xml:space="preserve">    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overflowPunct w:val="0"/>
        <w:adjustRightInd w:val="0"/>
        <w:snapToGrid w:val="0"/>
        <w:spacing w:line="574" w:lineRule="exact"/>
        <w:rPr>
          <w:rFonts w:ascii="仿宋_GB2312" w:hAnsi="仿宋_GB2312" w:cs="仿宋_GB2312"/>
          <w:sz w:val="24"/>
          <w:highlight w:val="none"/>
        </w:rPr>
      </w:pPr>
      <w:r>
        <w:rPr>
          <w:rFonts w:hint="eastAsia" w:ascii="仿宋_GB2312" w:hAnsi="仿宋_GB2312" w:cs="仿宋_GB2312"/>
          <w:sz w:val="24"/>
          <w:highlight w:val="none"/>
        </w:rPr>
        <w:t xml:space="preserve">    一、我单位具有有效的营业执照（三证合一），并具有实施完成本项目的经营实力和完善的售后服务体系；</w:t>
      </w:r>
    </w:p>
    <w:p>
      <w:pPr>
        <w:overflowPunct w:val="0"/>
        <w:adjustRightInd w:val="0"/>
        <w:snapToGrid w:val="0"/>
        <w:spacing w:line="574" w:lineRule="exact"/>
        <w:ind w:firstLine="480" w:firstLineChars="200"/>
        <w:rPr>
          <w:rFonts w:ascii="仿宋_GB2312" w:hAnsi="仿宋_GB2312" w:cs="仿宋_GB2312"/>
          <w:sz w:val="24"/>
          <w:highlight w:val="none"/>
        </w:rPr>
      </w:pPr>
      <w:r>
        <w:rPr>
          <w:rFonts w:hint="eastAsia" w:ascii="仿宋_GB2312" w:hAnsi="仿宋_GB2312" w:cs="仿宋_GB2312"/>
          <w:sz w:val="24"/>
          <w:highlight w:val="none"/>
        </w:rPr>
        <w:t>二、我单位符合《中华人民共和国政府采购法》第二十二条规定的条件：</w:t>
      </w:r>
    </w:p>
    <w:p>
      <w:pPr>
        <w:overflowPunct w:val="0"/>
        <w:adjustRightInd w:val="0"/>
        <w:snapToGrid w:val="0"/>
        <w:spacing w:line="574" w:lineRule="exact"/>
        <w:ind w:firstLine="480" w:firstLineChars="200"/>
        <w:rPr>
          <w:rFonts w:ascii="仿宋_GB2312" w:hAnsi="仿宋_GB2312" w:cs="仿宋_GB2312"/>
          <w:sz w:val="24"/>
          <w:highlight w:val="none"/>
        </w:rPr>
      </w:pPr>
      <w:r>
        <w:rPr>
          <w:rFonts w:hint="eastAsia" w:ascii="仿宋_GB2312" w:hAnsi="仿宋_GB2312" w:cs="仿宋_GB2312"/>
          <w:sz w:val="24"/>
          <w:highlight w:val="none"/>
        </w:rPr>
        <w:t>1.我单位具有符合采购文件资格要求的独立承担民事责任的能力。</w:t>
      </w:r>
    </w:p>
    <w:p>
      <w:pPr>
        <w:overflowPunct w:val="0"/>
        <w:adjustRightInd w:val="0"/>
        <w:snapToGrid w:val="0"/>
        <w:spacing w:line="574" w:lineRule="exact"/>
        <w:ind w:firstLine="480" w:firstLineChars="200"/>
        <w:rPr>
          <w:rFonts w:ascii="仿宋_GB2312" w:hAnsi="仿宋_GB2312" w:cs="仿宋_GB2312"/>
          <w:sz w:val="24"/>
          <w:highlight w:val="none"/>
        </w:rPr>
      </w:pPr>
      <w:r>
        <w:rPr>
          <w:rFonts w:hint="eastAsia" w:ascii="仿宋_GB2312" w:hAnsi="仿宋_GB2312" w:cs="仿宋_GB2312"/>
          <w:sz w:val="24"/>
          <w:highlight w:val="none"/>
        </w:rPr>
        <w:t>2.我单位具有符合采购文件资格要求的财务状况报告。</w:t>
      </w:r>
    </w:p>
    <w:p>
      <w:pPr>
        <w:overflowPunct w:val="0"/>
        <w:adjustRightInd w:val="0"/>
        <w:snapToGrid w:val="0"/>
        <w:spacing w:line="574" w:lineRule="exact"/>
        <w:ind w:firstLine="480" w:firstLineChars="200"/>
        <w:rPr>
          <w:rFonts w:ascii="仿宋_GB2312" w:hAnsi="仿宋_GB2312" w:cs="仿宋_GB2312"/>
          <w:sz w:val="24"/>
          <w:highlight w:val="none"/>
        </w:rPr>
      </w:pPr>
      <w:r>
        <w:rPr>
          <w:rFonts w:hint="eastAsia" w:ascii="仿宋_GB2312" w:hAnsi="仿宋_GB2312" w:cs="仿宋_GB2312"/>
          <w:sz w:val="24"/>
          <w:highlight w:val="none"/>
        </w:rPr>
        <w:t>3.我单位具有符合采购文件资格要求的依法缴纳税收和社会保障记录的良好记录。</w:t>
      </w:r>
    </w:p>
    <w:p>
      <w:pPr>
        <w:overflowPunct w:val="0"/>
        <w:adjustRightInd w:val="0"/>
        <w:snapToGrid w:val="0"/>
        <w:spacing w:line="574" w:lineRule="exact"/>
        <w:ind w:firstLine="480" w:firstLineChars="200"/>
        <w:rPr>
          <w:rFonts w:ascii="仿宋_GB2312" w:hAnsi="仿宋_GB2312" w:cs="仿宋_GB2312"/>
          <w:sz w:val="24"/>
          <w:highlight w:val="none"/>
        </w:rPr>
      </w:pPr>
      <w:r>
        <w:rPr>
          <w:rFonts w:hint="eastAsia" w:ascii="仿宋_GB2312" w:hAnsi="仿宋_GB2312" w:cs="仿宋_GB2312"/>
          <w:sz w:val="24"/>
          <w:highlight w:val="none"/>
        </w:rPr>
        <w:t>4.我单位具有符合采购文件资格要求的履行合同所必需的设备和专业技术能力。</w:t>
      </w:r>
    </w:p>
    <w:p>
      <w:pPr>
        <w:overflowPunct w:val="0"/>
        <w:adjustRightInd w:val="0"/>
        <w:snapToGrid w:val="0"/>
        <w:spacing w:line="574" w:lineRule="exact"/>
        <w:ind w:firstLine="480" w:firstLineChars="200"/>
        <w:rPr>
          <w:rFonts w:ascii="仿宋_GB2312" w:hAnsi="仿宋_GB2312" w:cs="仿宋_GB2312"/>
          <w:sz w:val="24"/>
          <w:highlight w:val="none"/>
        </w:rPr>
      </w:pPr>
      <w:r>
        <w:rPr>
          <w:rFonts w:hint="eastAsia" w:ascii="仿宋_GB2312" w:hAnsi="仿宋_GB2312" w:cs="仿宋_GB2312"/>
          <w:sz w:val="24"/>
          <w:highlight w:val="none"/>
        </w:rPr>
        <w:t>5.我单位参加政府采购活动前三年内，在经营活动中没有重大违法记录。</w:t>
      </w:r>
    </w:p>
    <w:p>
      <w:pPr>
        <w:overflowPunct w:val="0"/>
        <w:adjustRightInd w:val="0"/>
        <w:snapToGrid w:val="0"/>
        <w:spacing w:line="574" w:lineRule="exact"/>
        <w:rPr>
          <w:rFonts w:ascii="仿宋_GB2312" w:hAnsi="仿宋_GB2312" w:cs="仿宋_GB2312"/>
          <w:sz w:val="24"/>
          <w:highlight w:val="none"/>
        </w:rPr>
      </w:pPr>
      <w:r>
        <w:rPr>
          <w:rFonts w:hint="eastAsia" w:ascii="仿宋_GB2312" w:hAnsi="仿宋_GB2312" w:cs="仿宋_GB2312"/>
          <w:sz w:val="24"/>
          <w:highlight w:val="none"/>
        </w:rPr>
        <w:t xml:space="preserve"> 　 若我单位承诺不实，自愿承担提供虚假材料谋取中标、成交的法律责任。</w:t>
      </w:r>
    </w:p>
    <w:p>
      <w:pPr>
        <w:overflowPunct w:val="0"/>
        <w:adjustRightInd w:val="0"/>
        <w:snapToGrid w:val="0"/>
        <w:spacing w:line="574" w:lineRule="exact"/>
        <w:rPr>
          <w:rFonts w:ascii="仿宋_GB2312" w:hAnsi="仿宋_GB2312" w:cs="仿宋_GB2312"/>
          <w:sz w:val="24"/>
          <w:highlight w:val="none"/>
        </w:rPr>
      </w:pPr>
      <w:r>
        <w:rPr>
          <w:rFonts w:hint="eastAsia" w:ascii="仿宋_GB2312" w:hAnsi="仿宋_GB2312" w:cs="仿宋_GB2312"/>
          <w:sz w:val="24"/>
          <w:highlight w:val="none"/>
        </w:rPr>
        <w:t xml:space="preserve">            承诺供应商（全称并加盖公章）：</w:t>
      </w:r>
      <w:r>
        <w:rPr>
          <w:rFonts w:hint="eastAsia" w:ascii="仿宋_GB2312" w:hAnsi="仿宋_GB2312" w:cs="仿宋_GB2312"/>
          <w:sz w:val="24"/>
          <w:highlight w:val="none"/>
          <w:u w:val="single"/>
        </w:rPr>
        <w:t xml:space="preserve">                                          </w:t>
      </w:r>
      <w:r>
        <w:rPr>
          <w:rFonts w:hint="eastAsia" w:ascii="仿宋_GB2312" w:hAnsi="仿宋_GB2312" w:cs="仿宋_GB2312"/>
          <w:sz w:val="24"/>
          <w:highlight w:val="none"/>
        </w:rPr>
        <w:t xml:space="preserve"> </w:t>
      </w:r>
    </w:p>
    <w:p>
      <w:pPr>
        <w:overflowPunct w:val="0"/>
        <w:adjustRightInd w:val="0"/>
        <w:snapToGrid w:val="0"/>
        <w:spacing w:line="574" w:lineRule="exact"/>
        <w:rPr>
          <w:rFonts w:ascii="仿宋_GB2312" w:hAnsi="仿宋_GB2312" w:cs="仿宋_GB2312"/>
          <w:sz w:val="24"/>
          <w:highlight w:val="none"/>
        </w:rPr>
      </w:pPr>
      <w:r>
        <w:rPr>
          <w:rFonts w:hint="eastAsia" w:ascii="仿宋_GB2312" w:hAnsi="仿宋_GB2312" w:cs="仿宋_GB2312"/>
          <w:sz w:val="24"/>
          <w:highlight w:val="none"/>
        </w:rPr>
        <w:t xml:space="preserve">            法定代表人或授权代表(签字或签章)：</w:t>
      </w:r>
      <w:r>
        <w:rPr>
          <w:rFonts w:hint="eastAsia" w:ascii="仿宋_GB2312" w:hAnsi="仿宋_GB2312" w:cs="仿宋_GB2312"/>
          <w:sz w:val="24"/>
          <w:highlight w:val="none"/>
          <w:u w:val="single"/>
        </w:rPr>
        <w:t xml:space="preserve">                                           </w:t>
      </w:r>
      <w:r>
        <w:rPr>
          <w:rFonts w:hint="eastAsia" w:ascii="仿宋_GB2312" w:hAnsi="仿宋_GB2312" w:cs="仿宋_GB2312"/>
          <w:sz w:val="24"/>
          <w:highlight w:val="none"/>
        </w:rPr>
        <w:t xml:space="preserve">  </w:t>
      </w:r>
    </w:p>
    <w:p>
      <w:pPr>
        <w:overflowPunct w:val="0"/>
        <w:adjustRightInd w:val="0"/>
        <w:snapToGrid w:val="0"/>
        <w:spacing w:line="574" w:lineRule="exact"/>
        <w:rPr>
          <w:rFonts w:ascii="仿宋_GB2312" w:hAnsi="仿宋_GB2312" w:cs="仿宋_GB2312"/>
          <w:sz w:val="24"/>
          <w:highlight w:val="none"/>
        </w:rPr>
      </w:pPr>
      <w:r>
        <w:rPr>
          <w:rFonts w:hint="eastAsia" w:ascii="仿宋_GB2312" w:hAnsi="仿宋_GB2312" w:cs="仿宋_GB2312"/>
          <w:sz w:val="24"/>
          <w:highlight w:val="none"/>
        </w:rPr>
        <w:t xml:space="preserve">                                                日期：    年  月  日 </w:t>
      </w:r>
    </w:p>
    <w:p>
      <w:pPr>
        <w:overflowPunct w:val="0"/>
        <w:adjustRightInd w:val="0"/>
        <w:snapToGrid w:val="0"/>
        <w:spacing w:line="574" w:lineRule="exact"/>
        <w:rPr>
          <w:rFonts w:ascii="仿宋_GB2312" w:hAnsi="仿宋_GB2312" w:cs="仿宋_GB2312"/>
          <w:sz w:val="24"/>
          <w:highlight w:val="none"/>
        </w:rPr>
      </w:pPr>
      <w:r>
        <w:rPr>
          <w:rFonts w:hint="eastAsia" w:ascii="仿宋_GB2312" w:hAnsi="仿宋_GB2312" w:cs="仿宋_GB2312"/>
          <w:sz w:val="24"/>
          <w:highlight w:val="none"/>
        </w:rPr>
        <w:t xml:space="preserve">    </w:t>
      </w:r>
      <w:r>
        <w:rPr>
          <w:rFonts w:hint="eastAsia" w:ascii="仿宋_GB2312" w:hAnsi="仿宋_GB2312" w:cs="仿宋_GB2312"/>
          <w:b/>
          <w:bCs/>
          <w:sz w:val="24"/>
          <w:highlight w:val="none"/>
        </w:rPr>
        <w:t>注：</w:t>
      </w:r>
      <w:r>
        <w:rPr>
          <w:rFonts w:hint="eastAsia" w:ascii="Times New Roman" w:hAnsi="Times New Roman" w:cs="仿宋_GB2312"/>
          <w:sz w:val="24"/>
          <w:highlight w:val="none"/>
        </w:rPr>
        <w:t>1</w:t>
      </w:r>
      <w:r>
        <w:rPr>
          <w:rFonts w:hint="eastAsia" w:ascii="仿宋_GB2312" w:hAnsi="仿宋_GB2312" w:cs="仿宋_GB2312"/>
          <w:sz w:val="24"/>
          <w:highlight w:val="none"/>
        </w:rPr>
        <w:t>.供应商须在投标文件中按此模板提供承诺函，未提供视为未实质性响应招标文件要求，按无效投标处理。</w:t>
      </w:r>
    </w:p>
    <w:p>
      <w:pPr>
        <w:overflowPunct w:val="0"/>
        <w:adjustRightInd w:val="0"/>
        <w:snapToGrid w:val="0"/>
        <w:spacing w:line="574" w:lineRule="exact"/>
        <w:rPr>
          <w:sz w:val="24"/>
          <w:highlight w:val="none"/>
        </w:rPr>
      </w:pPr>
      <w:r>
        <w:rPr>
          <w:rFonts w:hint="eastAsia" w:ascii="仿宋_GB2312" w:hAnsi="仿宋_GB2312" w:cs="仿宋_GB2312"/>
          <w:sz w:val="24"/>
          <w:highlight w:val="none"/>
        </w:rPr>
        <w:t xml:space="preserve">     </w:t>
      </w:r>
    </w:p>
    <w:p>
      <w:pPr>
        <w:pStyle w:val="19"/>
        <w:rPr>
          <w:highlight w:val="none"/>
        </w:rPr>
      </w:pPr>
    </w:p>
    <w:p>
      <w:pPr>
        <w:autoSpaceDE w:val="0"/>
        <w:autoSpaceDN w:val="0"/>
        <w:adjustRightInd w:val="0"/>
        <w:spacing w:line="440" w:lineRule="exact"/>
        <w:rPr>
          <w:rFonts w:asciiTheme="minorEastAsia" w:hAnsiTheme="minorEastAsia" w:eastAsiaTheme="minorEastAsia" w:cstheme="minorEastAsia"/>
          <w:b/>
          <w:sz w:val="28"/>
          <w:highlight w:val="none"/>
        </w:rPr>
      </w:pPr>
    </w:p>
    <w:p>
      <w:pPr>
        <w:autoSpaceDE w:val="0"/>
        <w:autoSpaceDN w:val="0"/>
        <w:adjustRightInd w:val="0"/>
        <w:spacing w:line="440" w:lineRule="exact"/>
        <w:jc w:val="center"/>
        <w:rPr>
          <w:rFonts w:asciiTheme="minorEastAsia" w:hAnsiTheme="minorEastAsia" w:eastAsiaTheme="minorEastAsia" w:cstheme="minorEastAsia"/>
          <w:b/>
          <w:sz w:val="28"/>
          <w:highlight w:val="none"/>
        </w:rPr>
      </w:pPr>
    </w:p>
    <w:p>
      <w:pPr>
        <w:pStyle w:val="18"/>
        <w:ind w:firstLine="281"/>
        <w:rPr>
          <w:rFonts w:hint="default" w:asciiTheme="minorEastAsia" w:hAnsiTheme="minorEastAsia" w:eastAsiaTheme="minorEastAsia" w:cstheme="minorEastAsia"/>
          <w:b/>
          <w:sz w:val="28"/>
          <w:highlight w:val="none"/>
        </w:rPr>
      </w:pPr>
    </w:p>
    <w:p>
      <w:pPr>
        <w:pStyle w:val="19"/>
        <w:ind w:firstLine="562"/>
        <w:rPr>
          <w:rFonts w:asciiTheme="minorEastAsia" w:hAnsiTheme="minorEastAsia" w:eastAsiaTheme="minorEastAsia" w:cstheme="minorEastAsia"/>
          <w:b/>
          <w:sz w:val="28"/>
          <w:highlight w:val="none"/>
        </w:rPr>
      </w:pPr>
    </w:p>
    <w:p>
      <w:pPr>
        <w:pStyle w:val="16"/>
        <w:widowControl w:val="0"/>
        <w:tabs>
          <w:tab w:val="left" w:pos="0"/>
        </w:tabs>
        <w:spacing w:before="120" w:beforeAutospacing="0" w:after="120" w:afterAutospacing="0" w:line="500" w:lineRule="exact"/>
        <w:ind w:right="29" w:rightChars="14" w:firstLine="3313" w:firstLineChars="1100"/>
        <w:outlineLvl w:val="1"/>
        <w:rPr>
          <w:rFonts w:asciiTheme="minorEastAsia" w:hAnsiTheme="minorEastAsia" w:eastAsiaTheme="minorEastAsia" w:cstheme="minorEastAsia"/>
          <w:b/>
          <w:kern w:val="2"/>
          <w:sz w:val="30"/>
          <w:szCs w:val="30"/>
          <w:highlight w:val="none"/>
        </w:rPr>
      </w:pPr>
      <w:bookmarkStart w:id="292" w:name="_Toc4390"/>
      <w:bookmarkStart w:id="293" w:name="_Toc8330"/>
      <w:bookmarkStart w:id="294" w:name="_Toc6465"/>
      <w:bookmarkStart w:id="295" w:name="_Toc31553"/>
      <w:r>
        <w:rPr>
          <w:rFonts w:hint="eastAsia" w:asciiTheme="minorEastAsia" w:hAnsiTheme="minorEastAsia" w:eastAsiaTheme="minorEastAsia" w:cstheme="minorEastAsia"/>
          <w:b/>
          <w:kern w:val="2"/>
          <w:sz w:val="30"/>
          <w:szCs w:val="30"/>
          <w:highlight w:val="none"/>
        </w:rPr>
        <w:t>六、供应商服务承诺和优惠承诺</w:t>
      </w:r>
      <w:bookmarkEnd w:id="292"/>
    </w:p>
    <w:p>
      <w:pPr>
        <w:pStyle w:val="16"/>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pPr>
        <w:pStyle w:val="16"/>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pPr>
        <w:pStyle w:val="16"/>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pPr>
        <w:pStyle w:val="16"/>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pPr>
        <w:pStyle w:val="16"/>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pPr>
        <w:pStyle w:val="16"/>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pPr>
        <w:pStyle w:val="16"/>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pPr>
        <w:pStyle w:val="16"/>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pPr>
        <w:pStyle w:val="16"/>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pPr>
        <w:pStyle w:val="16"/>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pPr>
        <w:pStyle w:val="16"/>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pPr>
        <w:pStyle w:val="16"/>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pPr>
        <w:pStyle w:val="16"/>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pPr>
        <w:pStyle w:val="16"/>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pPr>
        <w:pStyle w:val="16"/>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pPr>
        <w:pStyle w:val="16"/>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pPr>
        <w:pStyle w:val="16"/>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pPr>
        <w:pStyle w:val="16"/>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pPr>
        <w:pStyle w:val="16"/>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pPr>
        <w:pStyle w:val="16"/>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pPr>
        <w:pStyle w:val="16"/>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pPr>
        <w:pStyle w:val="16"/>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pPr>
        <w:pStyle w:val="16"/>
        <w:widowControl w:val="0"/>
        <w:tabs>
          <w:tab w:val="left" w:pos="0"/>
        </w:tabs>
        <w:spacing w:before="120" w:beforeAutospacing="0" w:after="120" w:afterAutospacing="0" w:line="500" w:lineRule="exact"/>
        <w:ind w:right="29" w:rightChars="14"/>
        <w:jc w:val="center"/>
        <w:outlineLvl w:val="1"/>
        <w:rPr>
          <w:rFonts w:asciiTheme="minorEastAsia" w:hAnsiTheme="minorEastAsia" w:eastAsiaTheme="minorEastAsia" w:cstheme="minorEastAsia"/>
          <w:sz w:val="30"/>
          <w:szCs w:val="30"/>
          <w:highlight w:val="none"/>
        </w:rPr>
      </w:pPr>
      <w:bookmarkStart w:id="296" w:name="_Toc700"/>
      <w:r>
        <w:rPr>
          <w:rFonts w:hint="eastAsia" w:asciiTheme="minorEastAsia" w:hAnsiTheme="minorEastAsia" w:eastAsiaTheme="minorEastAsia" w:cstheme="minorEastAsia"/>
          <w:b/>
          <w:kern w:val="2"/>
          <w:sz w:val="30"/>
          <w:szCs w:val="30"/>
          <w:highlight w:val="none"/>
        </w:rPr>
        <w:t>七、供应商所投产品属于当期政府采购清单规定的节能环保产品的</w:t>
      </w:r>
      <w:bookmarkEnd w:id="293"/>
      <w:bookmarkEnd w:id="296"/>
    </w:p>
    <w:p>
      <w:pPr>
        <w:pStyle w:val="16"/>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sz w:val="30"/>
          <w:szCs w:val="30"/>
          <w:highlight w:val="none"/>
        </w:rPr>
      </w:pPr>
      <w:bookmarkStart w:id="297" w:name="_Toc18925"/>
      <w:bookmarkStart w:id="298" w:name="_Toc24210"/>
      <w:bookmarkStart w:id="299" w:name="_Toc28422"/>
      <w:bookmarkStart w:id="300" w:name="_Toc21287"/>
      <w:r>
        <w:rPr>
          <w:rFonts w:hint="eastAsia" w:asciiTheme="minorEastAsia" w:hAnsiTheme="minorEastAsia" w:eastAsiaTheme="minorEastAsia" w:cstheme="minorEastAsia"/>
          <w:b/>
          <w:kern w:val="2"/>
          <w:sz w:val="30"/>
          <w:szCs w:val="30"/>
          <w:highlight w:val="none"/>
        </w:rPr>
        <w:t>证明材料</w:t>
      </w:r>
      <w:bookmarkEnd w:id="294"/>
      <w:bookmarkEnd w:id="297"/>
      <w:bookmarkEnd w:id="298"/>
      <w:bookmarkEnd w:id="299"/>
      <w:r>
        <w:rPr>
          <w:rFonts w:hint="eastAsia" w:asciiTheme="minorEastAsia" w:hAnsiTheme="minorEastAsia" w:eastAsiaTheme="minorEastAsia" w:cstheme="minorEastAsia"/>
          <w:b/>
          <w:kern w:val="2"/>
          <w:sz w:val="30"/>
          <w:szCs w:val="30"/>
          <w:highlight w:val="none"/>
        </w:rPr>
        <w:t>（如有）</w:t>
      </w:r>
      <w:bookmarkEnd w:id="300"/>
    </w:p>
    <w:p>
      <w:pPr>
        <w:pStyle w:val="16"/>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pPr>
        <w:pStyle w:val="16"/>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pPr>
        <w:pStyle w:val="16"/>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pPr>
        <w:pStyle w:val="16"/>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pPr>
        <w:pStyle w:val="16"/>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pPr>
        <w:pStyle w:val="16"/>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pPr>
        <w:pStyle w:val="16"/>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pPr>
        <w:pStyle w:val="16"/>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pPr>
        <w:pStyle w:val="16"/>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pPr>
        <w:pStyle w:val="16"/>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pPr>
        <w:pStyle w:val="16"/>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pPr>
        <w:pStyle w:val="16"/>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pPr>
        <w:pStyle w:val="16"/>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pPr>
        <w:pStyle w:val="16"/>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pPr>
        <w:pStyle w:val="16"/>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pPr>
        <w:pStyle w:val="16"/>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pPr>
        <w:pStyle w:val="16"/>
        <w:widowControl w:val="0"/>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bookmarkStart w:id="301" w:name="_Toc24850"/>
      <w:bookmarkStart w:id="302" w:name="_Toc10717"/>
      <w:bookmarkStart w:id="303" w:name="_Toc23227"/>
    </w:p>
    <w:p>
      <w:pPr>
        <w:pStyle w:val="16"/>
        <w:widowControl w:val="0"/>
        <w:spacing w:before="120" w:beforeAutospacing="0" w:after="120" w:afterAutospacing="0" w:line="500" w:lineRule="exact"/>
        <w:ind w:right="29" w:rightChars="14"/>
        <w:jc w:val="both"/>
        <w:rPr>
          <w:rFonts w:asciiTheme="minorEastAsia" w:hAnsiTheme="minorEastAsia" w:eastAsiaTheme="minorEastAsia" w:cstheme="minorEastAsia"/>
          <w:b/>
          <w:kern w:val="2"/>
          <w:sz w:val="30"/>
          <w:szCs w:val="30"/>
          <w:highlight w:val="none"/>
        </w:rPr>
      </w:pPr>
    </w:p>
    <w:p>
      <w:pPr>
        <w:pStyle w:val="16"/>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b/>
          <w:kern w:val="2"/>
          <w:sz w:val="30"/>
          <w:szCs w:val="30"/>
          <w:highlight w:val="none"/>
        </w:rPr>
        <w:t>八、中小企业声明函（如有）</w:t>
      </w:r>
      <w:bookmarkEnd w:id="301"/>
      <w:bookmarkEnd w:id="302"/>
      <w:bookmarkEnd w:id="303"/>
    </w:p>
    <w:p>
      <w:pPr>
        <w:spacing w:line="560" w:lineRule="exact"/>
        <w:ind w:firstLine="480" w:firstLineChars="200"/>
        <w:rPr>
          <w:rFonts w:ascii="宋体" w:hAnsi="宋体" w:cs="宋体"/>
          <w:sz w:val="24"/>
          <w:highlight w:val="none"/>
        </w:rPr>
      </w:pPr>
      <w:r>
        <w:rPr>
          <w:rFonts w:ascii="宋体" w:hAnsi="宋体" w:cs="宋体"/>
          <w:sz w:val="24"/>
          <w:highlight w:val="none"/>
        </w:rPr>
        <w:t>本公司（联合体）郑重声明，根据《政府采购促进中小企业发展管理办法》（财库﹝2020﹞46 号）的规定，本公司 （联合体）参加</w:t>
      </w:r>
      <w:r>
        <w:rPr>
          <w:rFonts w:ascii="宋体" w:hAnsi="宋体" w:cs="宋体"/>
          <w:sz w:val="24"/>
          <w:highlight w:val="none"/>
          <w:u w:val="single"/>
        </w:rPr>
        <w:t>（单位名称）</w:t>
      </w:r>
      <w:r>
        <w:rPr>
          <w:rFonts w:ascii="宋体" w:hAnsi="宋体" w:cs="宋体"/>
          <w:sz w:val="24"/>
          <w:highlight w:val="none"/>
        </w:rPr>
        <w:t>的</w:t>
      </w:r>
      <w:r>
        <w:rPr>
          <w:rFonts w:ascii="宋体" w:hAnsi="宋体" w:cs="宋体"/>
          <w:sz w:val="24"/>
          <w:highlight w:val="none"/>
          <w:u w:val="single"/>
        </w:rPr>
        <w:t>（项目名称）</w:t>
      </w:r>
      <w:r>
        <w:rPr>
          <w:rFonts w:ascii="宋体" w:hAnsi="宋体" w:cs="宋体"/>
          <w:sz w:val="24"/>
          <w:highlight w:val="none"/>
        </w:rPr>
        <w:t>采购活动，提供的货物全部由符合政策要求的中小企业制造。相关企业 （含联合体中的中小企业、签订分包意向协议的中小企业） 的具体情况如下：</w:t>
      </w:r>
    </w:p>
    <w:p>
      <w:pPr>
        <w:numPr>
          <w:ilvl w:val="0"/>
          <w:numId w:val="12"/>
        </w:numPr>
        <w:spacing w:line="560" w:lineRule="exact"/>
        <w:ind w:left="0" w:firstLine="600" w:firstLineChars="250"/>
        <w:rPr>
          <w:rFonts w:ascii="宋体" w:hAnsi="宋体" w:cs="宋体"/>
          <w:sz w:val="24"/>
          <w:highlight w:val="none"/>
        </w:rPr>
      </w:pPr>
      <w:r>
        <w:rPr>
          <w:rFonts w:ascii="宋体" w:hAnsi="宋体" w:cs="宋体"/>
          <w:sz w:val="24"/>
          <w:highlight w:val="none"/>
          <w:u w:val="single"/>
        </w:rPr>
        <w:t>（标的名称）</w:t>
      </w:r>
      <w:r>
        <w:rPr>
          <w:rFonts w:ascii="宋体" w:hAnsi="宋体" w:cs="宋体"/>
          <w:sz w:val="24"/>
          <w:highlight w:val="none"/>
        </w:rPr>
        <w:t xml:space="preserve"> ，属于</w:t>
      </w:r>
      <w:r>
        <w:rPr>
          <w:rFonts w:ascii="宋体" w:hAnsi="宋体" w:cs="宋体"/>
          <w:sz w:val="24"/>
          <w:highlight w:val="none"/>
          <w:u w:val="single"/>
        </w:rPr>
        <w:t>（采购文件中明确的所属行业）</w:t>
      </w:r>
      <w:r>
        <w:rPr>
          <w:rFonts w:ascii="宋体" w:hAnsi="宋体" w:cs="宋体"/>
          <w:sz w:val="24"/>
          <w:highlight w:val="none"/>
        </w:rPr>
        <w:t xml:space="preserve"> 行业；制造商为</w:t>
      </w:r>
      <w:r>
        <w:rPr>
          <w:rFonts w:ascii="宋体" w:hAnsi="宋体" w:cs="宋体"/>
          <w:sz w:val="24"/>
          <w:highlight w:val="none"/>
          <w:u w:val="single"/>
        </w:rPr>
        <w:t>（企业名称）</w:t>
      </w:r>
      <w:r>
        <w:rPr>
          <w:rFonts w:ascii="宋体" w:hAnsi="宋体" w:cs="宋体"/>
          <w:sz w:val="24"/>
          <w:highlight w:val="none"/>
        </w:rPr>
        <w:t>，从业人员</w:t>
      </w:r>
      <w:r>
        <w:rPr>
          <w:rFonts w:hint="eastAsia" w:ascii="宋体" w:hAnsi="宋体" w:cs="宋体"/>
          <w:sz w:val="24"/>
          <w:highlight w:val="none"/>
          <w:u w:val="single"/>
        </w:rPr>
        <w:t xml:space="preserve">    </w:t>
      </w:r>
      <w:r>
        <w:rPr>
          <w:rFonts w:ascii="宋体" w:hAnsi="宋体" w:cs="宋体"/>
          <w:sz w:val="24"/>
          <w:highlight w:val="none"/>
        </w:rPr>
        <w:t>人，营业收入为</w:t>
      </w:r>
      <w:r>
        <w:rPr>
          <w:rFonts w:hint="eastAsia" w:ascii="宋体" w:hAnsi="宋体" w:cs="宋体"/>
          <w:sz w:val="24"/>
          <w:highlight w:val="none"/>
          <w:u w:val="single"/>
        </w:rPr>
        <w:t xml:space="preserve">     </w:t>
      </w:r>
      <w:r>
        <w:rPr>
          <w:rFonts w:ascii="宋体" w:hAnsi="宋体" w:cs="宋体"/>
          <w:sz w:val="24"/>
          <w:highlight w:val="none"/>
        </w:rPr>
        <w:t>万元，资产总额为</w:t>
      </w:r>
      <w:r>
        <w:rPr>
          <w:rFonts w:hint="eastAsia" w:ascii="宋体" w:hAnsi="宋体" w:cs="宋体"/>
          <w:sz w:val="24"/>
          <w:highlight w:val="none"/>
          <w:u w:val="single"/>
        </w:rPr>
        <w:t xml:space="preserve">     </w:t>
      </w:r>
      <w:r>
        <w:rPr>
          <w:rFonts w:ascii="宋体" w:hAnsi="宋体" w:cs="宋体"/>
          <w:sz w:val="24"/>
          <w:highlight w:val="none"/>
        </w:rPr>
        <w:t>万元 ，属于</w:t>
      </w:r>
      <w:r>
        <w:rPr>
          <w:rFonts w:ascii="宋体" w:hAnsi="宋体" w:cs="宋体"/>
          <w:sz w:val="24"/>
          <w:highlight w:val="none"/>
          <w:u w:val="single"/>
        </w:rPr>
        <w:t>（中型企业、小 型企业、微型企业）</w:t>
      </w:r>
      <w:r>
        <w:rPr>
          <w:rFonts w:ascii="宋体" w:hAnsi="宋体" w:cs="宋体"/>
          <w:sz w:val="24"/>
          <w:highlight w:val="none"/>
        </w:rPr>
        <w:t>；</w:t>
      </w:r>
    </w:p>
    <w:p>
      <w:pPr>
        <w:numPr>
          <w:ilvl w:val="0"/>
          <w:numId w:val="12"/>
        </w:numPr>
        <w:spacing w:line="560" w:lineRule="exact"/>
        <w:ind w:left="0" w:firstLine="600" w:firstLineChars="250"/>
        <w:rPr>
          <w:rFonts w:ascii="宋体" w:hAnsi="宋体" w:cs="宋体"/>
          <w:sz w:val="24"/>
          <w:highlight w:val="none"/>
        </w:rPr>
      </w:pPr>
      <w:r>
        <w:rPr>
          <w:rFonts w:ascii="宋体" w:hAnsi="宋体" w:cs="宋体"/>
          <w:sz w:val="24"/>
          <w:highlight w:val="none"/>
          <w:u w:val="single"/>
        </w:rPr>
        <w:t xml:space="preserve">（标的名称） </w:t>
      </w:r>
      <w:r>
        <w:rPr>
          <w:rFonts w:ascii="宋体" w:hAnsi="宋体" w:cs="宋体"/>
          <w:sz w:val="24"/>
          <w:highlight w:val="none"/>
        </w:rPr>
        <w:t>，属于</w:t>
      </w:r>
      <w:r>
        <w:rPr>
          <w:rFonts w:ascii="宋体" w:hAnsi="宋体" w:cs="宋体"/>
          <w:sz w:val="24"/>
          <w:highlight w:val="none"/>
          <w:u w:val="single"/>
        </w:rPr>
        <w:t>（采购文件中明确的所属行业）</w:t>
      </w:r>
      <w:r>
        <w:rPr>
          <w:rFonts w:ascii="宋体" w:hAnsi="宋体" w:cs="宋体"/>
          <w:sz w:val="24"/>
          <w:highlight w:val="none"/>
        </w:rPr>
        <w:t xml:space="preserve"> 行业；制造商为</w:t>
      </w:r>
      <w:r>
        <w:rPr>
          <w:rFonts w:ascii="宋体" w:hAnsi="宋体" w:cs="宋体"/>
          <w:sz w:val="24"/>
          <w:highlight w:val="none"/>
          <w:u w:val="single"/>
        </w:rPr>
        <w:t>（企业名称）</w:t>
      </w:r>
      <w:r>
        <w:rPr>
          <w:rFonts w:ascii="宋体" w:hAnsi="宋体" w:cs="宋体"/>
          <w:sz w:val="24"/>
          <w:highlight w:val="none"/>
        </w:rPr>
        <w:t>，从业人员</w:t>
      </w:r>
      <w:r>
        <w:rPr>
          <w:rFonts w:hint="eastAsia" w:ascii="宋体" w:hAnsi="宋体" w:cs="宋体"/>
          <w:sz w:val="24"/>
          <w:highlight w:val="none"/>
          <w:u w:val="single"/>
        </w:rPr>
        <w:t xml:space="preserve">    </w:t>
      </w:r>
      <w:r>
        <w:rPr>
          <w:rFonts w:ascii="宋体" w:hAnsi="宋体" w:cs="宋体"/>
          <w:sz w:val="24"/>
          <w:highlight w:val="none"/>
        </w:rPr>
        <w:t>人，营业收入为</w:t>
      </w:r>
      <w:r>
        <w:rPr>
          <w:rFonts w:hint="eastAsia" w:ascii="宋体" w:hAnsi="宋体" w:cs="宋体"/>
          <w:sz w:val="24"/>
          <w:highlight w:val="none"/>
          <w:u w:val="single"/>
        </w:rPr>
        <w:t xml:space="preserve">    </w:t>
      </w:r>
      <w:r>
        <w:rPr>
          <w:rFonts w:ascii="宋体" w:hAnsi="宋体" w:cs="宋体"/>
          <w:sz w:val="24"/>
          <w:highlight w:val="none"/>
        </w:rPr>
        <w:t>万元，资产总额为</w:t>
      </w:r>
      <w:r>
        <w:rPr>
          <w:rFonts w:hint="eastAsia" w:ascii="宋体" w:hAnsi="宋体" w:cs="宋体"/>
          <w:sz w:val="24"/>
          <w:highlight w:val="none"/>
          <w:u w:val="single"/>
        </w:rPr>
        <w:t xml:space="preserve">    </w:t>
      </w:r>
      <w:r>
        <w:rPr>
          <w:rFonts w:ascii="宋体" w:hAnsi="宋体" w:cs="宋体"/>
          <w:sz w:val="24"/>
          <w:highlight w:val="none"/>
        </w:rPr>
        <w:t>万元，属于</w:t>
      </w:r>
      <w:r>
        <w:rPr>
          <w:rFonts w:ascii="宋体" w:hAnsi="宋体" w:cs="宋体"/>
          <w:sz w:val="24"/>
          <w:highlight w:val="none"/>
          <w:u w:val="single"/>
        </w:rPr>
        <w:t>（中型企业、小型 企业、微型企业）</w:t>
      </w:r>
      <w:r>
        <w:rPr>
          <w:rFonts w:ascii="宋体" w:hAnsi="宋体" w:cs="宋体"/>
          <w:sz w:val="24"/>
          <w:highlight w:val="none"/>
        </w:rPr>
        <w:t>；</w:t>
      </w:r>
    </w:p>
    <w:p>
      <w:pPr>
        <w:spacing w:line="560" w:lineRule="exact"/>
        <w:ind w:left="525" w:leftChars="250"/>
        <w:rPr>
          <w:rFonts w:ascii="宋体" w:hAnsi="宋体" w:cs="宋体"/>
          <w:sz w:val="24"/>
          <w:highlight w:val="none"/>
        </w:rPr>
      </w:pPr>
      <w:r>
        <w:rPr>
          <w:rFonts w:ascii="宋体" w:hAnsi="宋体" w:cs="宋体"/>
          <w:sz w:val="24"/>
          <w:highlight w:val="none"/>
        </w:rPr>
        <w:t xml:space="preserve"> …… </w:t>
      </w:r>
    </w:p>
    <w:p>
      <w:pPr>
        <w:spacing w:line="560" w:lineRule="exact"/>
        <w:ind w:left="5" w:firstLine="518" w:firstLineChars="216"/>
        <w:rPr>
          <w:rFonts w:ascii="宋体" w:hAnsi="宋体" w:cs="宋体"/>
          <w:sz w:val="24"/>
          <w:highlight w:val="none"/>
        </w:rPr>
      </w:pPr>
      <w:r>
        <w:rPr>
          <w:rFonts w:ascii="宋体" w:hAnsi="宋体" w:cs="宋体"/>
          <w:sz w:val="24"/>
          <w:highlight w:val="none"/>
        </w:rPr>
        <w:t xml:space="preserve">以上企业，不属于大企业的分支机构，不存在控股股东 为大企业的情形，也不存在与大企业的负责人为同一人的情形。 </w:t>
      </w:r>
    </w:p>
    <w:p>
      <w:pPr>
        <w:spacing w:line="560" w:lineRule="exact"/>
        <w:ind w:left="5" w:firstLine="518" w:firstLineChars="216"/>
        <w:rPr>
          <w:rFonts w:ascii="宋体" w:hAnsi="宋体" w:cs="宋体"/>
          <w:sz w:val="24"/>
          <w:highlight w:val="none"/>
        </w:rPr>
      </w:pPr>
      <w:r>
        <w:rPr>
          <w:rFonts w:ascii="宋体" w:hAnsi="宋体" w:cs="宋体"/>
          <w:sz w:val="24"/>
          <w:highlight w:val="none"/>
        </w:rPr>
        <w:t xml:space="preserve">本企业对上述声明内容的真实性负责。如有虚假，将依 法承担相应责任。 </w:t>
      </w:r>
    </w:p>
    <w:p>
      <w:pPr>
        <w:spacing w:line="560" w:lineRule="exact"/>
        <w:ind w:left="5" w:firstLine="518" w:firstLineChars="216"/>
        <w:rPr>
          <w:rFonts w:ascii="宋体" w:hAnsi="宋体" w:cs="宋体"/>
          <w:sz w:val="24"/>
          <w:highlight w:val="none"/>
        </w:rPr>
      </w:pPr>
    </w:p>
    <w:p>
      <w:pPr>
        <w:spacing w:line="560" w:lineRule="exact"/>
        <w:ind w:left="5" w:firstLine="518" w:firstLineChars="216"/>
        <w:rPr>
          <w:rFonts w:ascii="宋体" w:hAnsi="宋体" w:cs="宋体"/>
          <w:sz w:val="24"/>
          <w:highlight w:val="none"/>
        </w:rPr>
      </w:pPr>
    </w:p>
    <w:p>
      <w:pPr>
        <w:spacing w:line="560" w:lineRule="exact"/>
        <w:ind w:left="5" w:firstLine="518" w:firstLineChars="216"/>
        <w:jc w:val="right"/>
        <w:rPr>
          <w:rFonts w:ascii="宋体" w:hAnsi="宋体" w:cs="宋体"/>
          <w:sz w:val="24"/>
          <w:highlight w:val="none"/>
        </w:rPr>
      </w:pPr>
      <w:r>
        <w:rPr>
          <w:rFonts w:ascii="宋体" w:hAnsi="宋体" w:cs="宋体"/>
          <w:sz w:val="24"/>
          <w:highlight w:val="none"/>
        </w:rPr>
        <w:t>企业名称（盖章）：</w:t>
      </w:r>
    </w:p>
    <w:p>
      <w:pPr>
        <w:spacing w:line="560" w:lineRule="exact"/>
        <w:ind w:left="5" w:firstLine="518" w:firstLineChars="216"/>
        <w:jc w:val="right"/>
        <w:rPr>
          <w:rFonts w:ascii="宋体" w:hAnsi="宋体" w:cs="宋体"/>
          <w:sz w:val="24"/>
          <w:highlight w:val="none"/>
        </w:rPr>
      </w:pPr>
      <w:r>
        <w:rPr>
          <w:rFonts w:ascii="宋体" w:hAnsi="宋体" w:cs="宋体"/>
          <w:sz w:val="24"/>
          <w:highlight w:val="none"/>
        </w:rPr>
        <w:t xml:space="preserve"> 日 期： </w:t>
      </w:r>
    </w:p>
    <w:p>
      <w:pPr>
        <w:spacing w:line="560" w:lineRule="exact"/>
        <w:ind w:left="5" w:firstLine="518" w:firstLineChars="216"/>
        <w:rPr>
          <w:rFonts w:ascii="宋体" w:hAnsi="宋体" w:cs="宋体"/>
          <w:sz w:val="24"/>
          <w:highlight w:val="none"/>
        </w:rPr>
      </w:pPr>
      <w:r>
        <w:rPr>
          <w:rFonts w:hint="eastAsia" w:ascii="宋体" w:hAnsi="宋体" w:cs="宋体"/>
          <w:sz w:val="24"/>
          <w:highlight w:val="none"/>
        </w:rPr>
        <w:t>注：1、</w:t>
      </w:r>
      <w:r>
        <w:rPr>
          <w:rFonts w:ascii="宋体" w:hAnsi="宋体" w:cs="宋体"/>
          <w:sz w:val="24"/>
          <w:highlight w:val="none"/>
        </w:rPr>
        <w:t>从业人员、营业收入、资产总额填报上一年度数据，无上一年度数据的新成立企业可不填报。</w:t>
      </w:r>
    </w:p>
    <w:p>
      <w:pPr>
        <w:pStyle w:val="19"/>
        <w:ind w:firstLine="480"/>
        <w:rPr>
          <w:rFonts w:ascii="宋体"/>
          <w:highlight w:val="none"/>
        </w:rPr>
      </w:pPr>
      <w:r>
        <w:rPr>
          <w:rFonts w:hint="eastAsia" w:ascii="宋体" w:hAnsi="宋体" w:cs="宋体"/>
          <w:sz w:val="24"/>
          <w:highlight w:val="none"/>
        </w:rPr>
        <w:t>2、供应商提供的声明函将在中标后随中标公告一并公示，若声明函内容不实的，将依照《政府采购法》等国家有关规定追究相应责任。</w:t>
      </w:r>
      <w:bookmarkStart w:id="304" w:name="_Toc352061202"/>
      <w:bookmarkStart w:id="305" w:name="_Toc309736882"/>
      <w:bookmarkStart w:id="306" w:name="_Toc12390"/>
    </w:p>
    <w:bookmarkEnd w:id="304"/>
    <w:bookmarkEnd w:id="305"/>
    <w:bookmarkEnd w:id="306"/>
    <w:p>
      <w:pPr>
        <w:pStyle w:val="16"/>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kern w:val="2"/>
          <w:sz w:val="30"/>
          <w:szCs w:val="30"/>
          <w:highlight w:val="none"/>
        </w:rPr>
      </w:pPr>
      <w:r>
        <w:rPr>
          <w:rFonts w:hint="eastAsia" w:asciiTheme="minorEastAsia" w:hAnsiTheme="minorEastAsia" w:eastAsiaTheme="minorEastAsia" w:cstheme="minorEastAsia"/>
          <w:b/>
          <w:kern w:val="2"/>
          <w:sz w:val="30"/>
          <w:szCs w:val="30"/>
          <w:highlight w:val="none"/>
        </w:rPr>
        <w:br w:type="page"/>
      </w:r>
      <w:bookmarkStart w:id="307" w:name="_Toc11708"/>
      <w:bookmarkStart w:id="308" w:name="_Toc20881"/>
      <w:bookmarkStart w:id="309" w:name="_Toc14292"/>
      <w:bookmarkStart w:id="310" w:name="_Toc30170"/>
      <w:r>
        <w:rPr>
          <w:rFonts w:hint="eastAsia" w:asciiTheme="minorEastAsia" w:hAnsiTheme="minorEastAsia" w:eastAsiaTheme="minorEastAsia" w:cstheme="minorEastAsia"/>
          <w:b/>
          <w:kern w:val="2"/>
          <w:sz w:val="30"/>
          <w:szCs w:val="30"/>
          <w:highlight w:val="none"/>
        </w:rPr>
        <w:t>九、残疾人福利性单位声明函（如有）</w:t>
      </w:r>
      <w:bookmarkEnd w:id="307"/>
      <w:bookmarkEnd w:id="308"/>
    </w:p>
    <w:p>
      <w:pPr>
        <w:spacing w:after="758" w:afterLines="200"/>
        <w:ind w:firstLine="2259" w:firstLineChars="750"/>
        <w:rPr>
          <w:rFonts w:asciiTheme="minorEastAsia" w:hAnsiTheme="minorEastAsia" w:eastAsiaTheme="minorEastAsia" w:cstheme="minorEastAsia"/>
          <w:b/>
          <w:sz w:val="30"/>
          <w:szCs w:val="30"/>
          <w:highlight w:val="none"/>
        </w:rPr>
      </w:pPr>
    </w:p>
    <w:p>
      <w:pPr>
        <w:spacing w:after="758" w:afterLines="200"/>
        <w:ind w:firstLine="2259" w:firstLineChars="750"/>
        <w:rPr>
          <w:rFonts w:asciiTheme="minorEastAsia" w:hAnsiTheme="minorEastAsia" w:eastAsiaTheme="minorEastAsia" w:cstheme="minorEastAsia"/>
          <w:b/>
          <w:sz w:val="30"/>
          <w:szCs w:val="30"/>
          <w:highlight w:val="none"/>
        </w:rPr>
      </w:pPr>
    </w:p>
    <w:p>
      <w:pPr>
        <w:spacing w:after="758" w:afterLines="200"/>
        <w:ind w:firstLine="2259" w:firstLineChars="750"/>
        <w:rPr>
          <w:rFonts w:asciiTheme="minorEastAsia" w:hAnsiTheme="minorEastAsia" w:eastAsiaTheme="minorEastAsia" w:cstheme="minorEastAsia"/>
          <w:b/>
          <w:sz w:val="30"/>
          <w:szCs w:val="30"/>
          <w:highlight w:val="none"/>
        </w:rPr>
      </w:pPr>
    </w:p>
    <w:p>
      <w:pPr>
        <w:spacing w:after="758" w:afterLines="200"/>
        <w:ind w:firstLine="2259" w:firstLineChars="750"/>
        <w:rPr>
          <w:rFonts w:asciiTheme="minorEastAsia" w:hAnsiTheme="minorEastAsia" w:eastAsiaTheme="minorEastAsia" w:cstheme="minorEastAsia"/>
          <w:b/>
          <w:sz w:val="30"/>
          <w:szCs w:val="30"/>
          <w:highlight w:val="none"/>
        </w:rPr>
      </w:pPr>
    </w:p>
    <w:p>
      <w:pPr>
        <w:spacing w:after="758" w:afterLines="200"/>
        <w:ind w:firstLine="2259" w:firstLineChars="750"/>
        <w:rPr>
          <w:rFonts w:asciiTheme="minorEastAsia" w:hAnsiTheme="minorEastAsia" w:eastAsiaTheme="minorEastAsia" w:cstheme="minorEastAsia"/>
          <w:b/>
          <w:sz w:val="30"/>
          <w:szCs w:val="30"/>
          <w:highlight w:val="none"/>
        </w:rPr>
      </w:pPr>
    </w:p>
    <w:p>
      <w:pPr>
        <w:spacing w:after="758" w:afterLines="200"/>
        <w:ind w:firstLine="2259" w:firstLineChars="750"/>
        <w:rPr>
          <w:rFonts w:asciiTheme="minorEastAsia" w:hAnsiTheme="minorEastAsia" w:eastAsiaTheme="minorEastAsia" w:cstheme="minorEastAsia"/>
          <w:b/>
          <w:sz w:val="30"/>
          <w:szCs w:val="30"/>
          <w:highlight w:val="none"/>
        </w:rPr>
      </w:pPr>
    </w:p>
    <w:p>
      <w:pPr>
        <w:spacing w:after="758" w:afterLines="200"/>
        <w:ind w:firstLine="2259" w:firstLineChars="750"/>
        <w:rPr>
          <w:rFonts w:asciiTheme="minorEastAsia" w:hAnsiTheme="minorEastAsia" w:eastAsiaTheme="minorEastAsia" w:cstheme="minorEastAsia"/>
          <w:b/>
          <w:sz w:val="30"/>
          <w:szCs w:val="30"/>
          <w:highlight w:val="none"/>
        </w:rPr>
      </w:pPr>
    </w:p>
    <w:p>
      <w:pPr>
        <w:spacing w:after="758" w:afterLines="200"/>
        <w:ind w:firstLine="2259" w:firstLineChars="750"/>
        <w:rPr>
          <w:rFonts w:asciiTheme="minorEastAsia" w:hAnsiTheme="minorEastAsia" w:eastAsiaTheme="minorEastAsia" w:cstheme="minorEastAsia"/>
          <w:b/>
          <w:sz w:val="30"/>
          <w:szCs w:val="30"/>
          <w:highlight w:val="none"/>
        </w:rPr>
      </w:pPr>
    </w:p>
    <w:p>
      <w:pPr>
        <w:spacing w:after="758" w:afterLines="200"/>
        <w:ind w:firstLine="2259" w:firstLineChars="750"/>
        <w:rPr>
          <w:rFonts w:asciiTheme="minorEastAsia" w:hAnsiTheme="minorEastAsia" w:eastAsiaTheme="minorEastAsia" w:cstheme="minorEastAsia"/>
          <w:b/>
          <w:sz w:val="30"/>
          <w:szCs w:val="30"/>
          <w:highlight w:val="none"/>
        </w:rPr>
      </w:pPr>
    </w:p>
    <w:bookmarkEnd w:id="295"/>
    <w:bookmarkEnd w:id="309"/>
    <w:bookmarkEnd w:id="310"/>
    <w:p>
      <w:pPr>
        <w:rPr>
          <w:rFonts w:ascii="Times New Roman" w:hAnsi="Times New Roman" w:eastAsia="仿宋"/>
          <w:sz w:val="32"/>
          <w:szCs w:val="32"/>
          <w:highlight w:val="none"/>
          <w:shd w:val="clear" w:color="FFFFFF" w:fill="D9D9D9"/>
        </w:rPr>
      </w:pPr>
    </w:p>
    <w:p>
      <w:pPr>
        <w:rPr>
          <w:highlight w:val="none"/>
          <w:shd w:val="clear" w:color="FFFFFF" w:fill="D9D9D9"/>
        </w:rPr>
      </w:pPr>
    </w:p>
    <w:p>
      <w:pPr>
        <w:rPr>
          <w:rFonts w:asciiTheme="minorEastAsia" w:hAnsiTheme="minorEastAsia" w:eastAsiaTheme="minorEastAsia" w:cstheme="minorEastAsia"/>
          <w:b/>
          <w:sz w:val="30"/>
          <w:szCs w:val="30"/>
          <w:highlight w:val="none"/>
          <w:shd w:val="clear" w:color="FFFFFF" w:fill="D9D9D9"/>
        </w:rPr>
      </w:pPr>
    </w:p>
    <w:p>
      <w:pPr>
        <w:pStyle w:val="16"/>
        <w:widowControl w:val="0"/>
        <w:spacing w:before="120" w:beforeAutospacing="0" w:after="120" w:afterAutospacing="0" w:line="500" w:lineRule="exact"/>
        <w:ind w:right="29" w:rightChars="14" w:firstLine="602" w:firstLineChars="200"/>
        <w:jc w:val="center"/>
        <w:outlineLvl w:val="1"/>
        <w:rPr>
          <w:rFonts w:asciiTheme="minorEastAsia" w:hAnsiTheme="minorEastAsia" w:eastAsiaTheme="minorEastAsia" w:cstheme="minorEastAsia"/>
          <w:b/>
          <w:kern w:val="2"/>
          <w:sz w:val="30"/>
          <w:szCs w:val="30"/>
          <w:highlight w:val="none"/>
        </w:rPr>
      </w:pPr>
      <w:bookmarkStart w:id="311" w:name="_Toc16608"/>
      <w:bookmarkStart w:id="312" w:name="_Toc18605"/>
      <w:r>
        <w:rPr>
          <w:rFonts w:hint="eastAsia" w:asciiTheme="minorEastAsia" w:hAnsiTheme="minorEastAsia" w:eastAsiaTheme="minorEastAsia" w:cstheme="minorEastAsia"/>
          <w:b/>
          <w:kern w:val="2"/>
          <w:sz w:val="30"/>
          <w:szCs w:val="30"/>
          <w:highlight w:val="none"/>
        </w:rPr>
        <w:t>十、招标文件要求的或供应商认为须提交的其他材料</w:t>
      </w:r>
      <w:bookmarkEnd w:id="311"/>
      <w:bookmarkEnd w:id="312"/>
    </w:p>
    <w:p>
      <w:pPr>
        <w:spacing w:line="360" w:lineRule="auto"/>
        <w:rPr>
          <w:rFonts w:asciiTheme="minorEastAsia" w:hAnsiTheme="minorEastAsia" w:eastAsiaTheme="minorEastAsia" w:cstheme="minorEastAsia"/>
          <w:sz w:val="24"/>
          <w:highlight w:val="none"/>
          <w:shd w:val="clear" w:color="FFFFFF" w:fill="D9D9D9"/>
        </w:rPr>
      </w:pPr>
    </w:p>
    <w:p>
      <w:pPr>
        <w:spacing w:line="60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招标文件规定的其他资料及供应商认为需要提交的其他材料。</w:t>
      </w:r>
    </w:p>
    <w:p>
      <w:pPr>
        <w:spacing w:line="600" w:lineRule="exact"/>
        <w:ind w:firstLine="600" w:firstLineChars="200"/>
        <w:rPr>
          <w:rFonts w:ascii="仿宋" w:hAnsi="仿宋" w:eastAsia="仿宋" w:cs="仿宋"/>
          <w:sz w:val="30"/>
          <w:szCs w:val="30"/>
          <w:highlight w:val="none"/>
        </w:rPr>
      </w:pPr>
    </w:p>
    <w:p>
      <w:pPr>
        <w:widowControl/>
        <w:spacing w:line="580" w:lineRule="atLeast"/>
        <w:jc w:val="center"/>
        <w:rPr>
          <w:rFonts w:asciiTheme="minorEastAsia" w:hAnsiTheme="minorEastAsia" w:eastAsiaTheme="minorEastAsia" w:cstheme="minorEastAsia"/>
          <w:b/>
          <w:kern w:val="0"/>
          <w:sz w:val="32"/>
          <w:szCs w:val="32"/>
          <w:highlight w:val="none"/>
        </w:rPr>
      </w:pPr>
    </w:p>
    <w:p>
      <w:pPr>
        <w:pStyle w:val="35"/>
        <w:rPr>
          <w:rFonts w:asciiTheme="minorEastAsia" w:hAnsiTheme="minorEastAsia" w:eastAsiaTheme="minorEastAsia" w:cstheme="minorEastAsia"/>
          <w:b/>
          <w:bCs/>
          <w:kern w:val="0"/>
          <w:sz w:val="32"/>
          <w:szCs w:val="32"/>
          <w:highlight w:val="none"/>
        </w:rPr>
      </w:pPr>
    </w:p>
    <w:p>
      <w:pPr>
        <w:rPr>
          <w:rFonts w:asciiTheme="minorEastAsia" w:hAnsiTheme="minorEastAsia" w:eastAsiaTheme="minorEastAsia" w:cstheme="minorEastAsia"/>
          <w:b/>
          <w:bCs/>
          <w:kern w:val="0"/>
          <w:sz w:val="32"/>
          <w:szCs w:val="32"/>
          <w:highlight w:val="none"/>
        </w:rPr>
      </w:pPr>
    </w:p>
    <w:p>
      <w:pPr>
        <w:pStyle w:val="35"/>
        <w:rPr>
          <w:rFonts w:asciiTheme="minorEastAsia" w:hAnsiTheme="minorEastAsia" w:eastAsiaTheme="minorEastAsia" w:cstheme="minorEastAsia"/>
          <w:b/>
          <w:bCs/>
          <w:kern w:val="0"/>
          <w:sz w:val="32"/>
          <w:szCs w:val="32"/>
          <w:highlight w:val="none"/>
        </w:rPr>
      </w:pPr>
    </w:p>
    <w:p>
      <w:pPr>
        <w:rPr>
          <w:rFonts w:asciiTheme="minorEastAsia" w:hAnsiTheme="minorEastAsia" w:eastAsiaTheme="minorEastAsia" w:cstheme="minorEastAsia"/>
          <w:b/>
          <w:bCs/>
          <w:kern w:val="0"/>
          <w:sz w:val="32"/>
          <w:szCs w:val="32"/>
          <w:highlight w:val="none"/>
        </w:rPr>
      </w:pPr>
    </w:p>
    <w:p>
      <w:pPr>
        <w:pStyle w:val="35"/>
        <w:rPr>
          <w:rFonts w:asciiTheme="minorEastAsia" w:hAnsiTheme="minorEastAsia" w:eastAsiaTheme="minorEastAsia" w:cstheme="minorEastAsia"/>
          <w:b/>
          <w:bCs/>
          <w:kern w:val="0"/>
          <w:sz w:val="32"/>
          <w:szCs w:val="32"/>
          <w:highlight w:val="none"/>
        </w:rPr>
      </w:pPr>
    </w:p>
    <w:p>
      <w:pPr>
        <w:spacing w:line="440" w:lineRule="exact"/>
        <w:jc w:val="center"/>
        <w:rPr>
          <w:rFonts w:ascii="宋体" w:hAnsi="宋体" w:cs="宋体"/>
          <w:b/>
          <w:sz w:val="36"/>
          <w:szCs w:val="36"/>
          <w:highlight w:val="none"/>
        </w:rPr>
      </w:pPr>
    </w:p>
    <w:p>
      <w:pPr>
        <w:spacing w:line="440" w:lineRule="exact"/>
        <w:jc w:val="center"/>
        <w:rPr>
          <w:rFonts w:ascii="宋体" w:hAnsi="宋体" w:cs="宋体"/>
          <w:b/>
          <w:sz w:val="36"/>
          <w:szCs w:val="36"/>
          <w:highlight w:val="none"/>
        </w:rPr>
      </w:pPr>
      <w:r>
        <w:rPr>
          <w:rFonts w:ascii="宋体" w:hAnsi="宋体" w:cs="宋体"/>
          <w:kern w:val="0"/>
          <w:sz w:val="24"/>
          <w:highlight w:val="none"/>
        </w:rPr>
        <w:br w:type="page"/>
      </w:r>
    </w:p>
    <w:p>
      <w:pPr>
        <w:spacing w:line="360" w:lineRule="auto"/>
        <w:jc w:val="center"/>
        <w:rPr>
          <w:rFonts w:asciiTheme="majorEastAsia" w:hAnsiTheme="majorEastAsia" w:eastAsiaTheme="majorEastAsia" w:cstheme="majorEastAsia"/>
          <w:b/>
          <w:sz w:val="36"/>
          <w:szCs w:val="36"/>
          <w:highlight w:val="none"/>
        </w:rPr>
      </w:pPr>
      <w:r>
        <w:rPr>
          <w:rFonts w:hint="eastAsia" w:asciiTheme="majorEastAsia" w:hAnsiTheme="majorEastAsia" w:eastAsiaTheme="majorEastAsia" w:cstheme="majorEastAsia"/>
          <w:b/>
          <w:sz w:val="36"/>
          <w:szCs w:val="36"/>
          <w:highlight w:val="none"/>
        </w:rPr>
        <w:t>优化和提升政府采购政策</w:t>
      </w:r>
    </w:p>
    <w:p>
      <w:pPr>
        <w:shd w:val="clear" w:color="auto" w:fill="FFFFFF"/>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一、全面取消采购文件费用和投标保证金费用。</w:t>
      </w:r>
    </w:p>
    <w:p>
      <w:pPr>
        <w:shd w:val="clear" w:color="auto" w:fill="FFFFFF"/>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二、免收履约保证金。确因项目需要的，应以保函等非现金形式收取，比例不得超过合同金额的</w:t>
      </w:r>
      <w:r>
        <w:rPr>
          <w:rFonts w:hint="eastAsia" w:asciiTheme="minorEastAsia" w:hAnsiTheme="minorEastAsia" w:eastAsiaTheme="minorEastAsia" w:cstheme="minorEastAsia"/>
          <w:sz w:val="24"/>
          <w:highlight w:val="none"/>
          <w:u w:val="single"/>
        </w:rPr>
        <w:t>6%</w:t>
      </w:r>
      <w:r>
        <w:rPr>
          <w:rFonts w:hint="eastAsia" w:asciiTheme="minorEastAsia" w:hAnsiTheme="minorEastAsia" w:eastAsiaTheme="minorEastAsia" w:cstheme="minorEastAsia"/>
          <w:sz w:val="24"/>
          <w:highlight w:val="none"/>
        </w:rPr>
        <w:t>，并按约定的时间和条件退还。</w:t>
      </w:r>
    </w:p>
    <w:p>
      <w:pPr>
        <w:shd w:val="clear" w:color="auto" w:fill="FFFFFF"/>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三、评标结果确认时限。自评标（评审）结束后应2个工作日内确定中标供应商，5个工作日内公告结果，同时发送中标通知书。</w:t>
      </w:r>
    </w:p>
    <w:p>
      <w:pPr>
        <w:shd w:val="clear" w:color="auto" w:fill="FFFFFF"/>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四、合同签订时限。自中标通知书发出之日起</w:t>
      </w:r>
      <w:r>
        <w:rPr>
          <w:rFonts w:hint="eastAsia" w:asciiTheme="minorEastAsia" w:hAnsiTheme="minorEastAsia" w:eastAsiaTheme="minorEastAsia" w:cstheme="minorEastAsia"/>
          <w:sz w:val="24"/>
          <w:highlight w:val="none"/>
          <w:u w:val="single"/>
        </w:rPr>
        <w:t>15</w:t>
      </w:r>
      <w:r>
        <w:rPr>
          <w:rFonts w:hint="eastAsia" w:asciiTheme="minorEastAsia" w:hAnsiTheme="minorEastAsia" w:eastAsiaTheme="minorEastAsia" w:cstheme="minorEastAsia"/>
          <w:sz w:val="24"/>
          <w:highlight w:val="none"/>
        </w:rPr>
        <w:t xml:space="preserve">日内，按照采购文件和投标文件确定的事项签订政府采购合同。 </w:t>
      </w:r>
    </w:p>
    <w:p>
      <w:pPr>
        <w:shd w:val="clear" w:color="auto" w:fill="FFFFFF"/>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五、合同公告和备案时限。自合同签订之日起2个工作日内。</w:t>
      </w:r>
    </w:p>
    <w:p>
      <w:pPr>
        <w:shd w:val="clear" w:color="auto" w:fill="FFFFFF"/>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六、项目验收。自收到供应商项目验收建议之日起5个工作日内组织验收；验收结束后2个工作日内出具《验收报告》，并在焦作市政府采购网公告验收结果。</w:t>
      </w:r>
    </w:p>
    <w:p>
      <w:pPr>
        <w:shd w:val="clear" w:color="auto" w:fill="FFFFFF"/>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七、资金支付。按照合同约定的条件及时支付资金，不得因机构变更、人员更替、政策调整等原因拒绝或延迟资金支付。</w:t>
      </w:r>
    </w:p>
    <w:p>
      <w:pPr>
        <w:shd w:val="clear" w:color="auto" w:fill="FFFFFF"/>
        <w:spacing w:line="360" w:lineRule="auto"/>
        <w:ind w:firstLine="480" w:firstLineChars="200"/>
        <w:rPr>
          <w:rFonts w:asciiTheme="minorEastAsia" w:hAnsiTheme="minorEastAsia" w:eastAsiaTheme="minorEastAsia" w:cstheme="minorEastAsia"/>
          <w:sz w:val="24"/>
          <w:highlight w:val="none"/>
          <w:shd w:val="clear" w:color="auto" w:fill="FFFFFF"/>
        </w:rPr>
      </w:pPr>
      <w:r>
        <w:rPr>
          <w:rFonts w:hint="eastAsia" w:asciiTheme="minorEastAsia" w:hAnsiTheme="minorEastAsia" w:eastAsiaTheme="minorEastAsia" w:cstheme="minorEastAsia"/>
          <w:sz w:val="24"/>
          <w:highlight w:val="none"/>
          <w:shd w:val="clear" w:color="auto" w:fill="FFFFFF"/>
        </w:rPr>
        <w:t>在政府采购活动中，若发现采购人或采购代理机构未按以上政策执行的，可向监督部门举报反映。</w:t>
      </w:r>
    </w:p>
    <w:p>
      <w:pPr>
        <w:shd w:val="clear" w:color="auto" w:fill="FFFFFF"/>
        <w:spacing w:line="360" w:lineRule="auto"/>
        <w:ind w:firstLine="480" w:firstLineChars="200"/>
        <w:rPr>
          <w:rFonts w:asciiTheme="minorEastAsia" w:hAnsiTheme="minorEastAsia" w:eastAsiaTheme="minorEastAsia" w:cstheme="minorEastAsia"/>
          <w:sz w:val="24"/>
          <w:highlight w:val="none"/>
          <w:shd w:val="clear" w:color="auto" w:fill="FFFFFF"/>
        </w:rPr>
      </w:pPr>
      <w:r>
        <w:rPr>
          <w:rFonts w:hint="eastAsia" w:asciiTheme="minorEastAsia" w:hAnsiTheme="minorEastAsia" w:eastAsiaTheme="minorEastAsia" w:cstheme="minorEastAsia"/>
          <w:sz w:val="24"/>
          <w:highlight w:val="none"/>
          <w:shd w:val="clear" w:color="auto" w:fill="FFFFFF"/>
        </w:rPr>
        <w:t>监督单位：博爱县财政局政府采购监督管理办公室</w:t>
      </w:r>
    </w:p>
    <w:p>
      <w:pPr>
        <w:shd w:val="clear" w:color="auto" w:fill="FFFFFF"/>
        <w:spacing w:line="360" w:lineRule="auto"/>
        <w:ind w:firstLine="480" w:firstLineChars="200"/>
        <w:rPr>
          <w:rFonts w:asciiTheme="minorEastAsia" w:hAnsiTheme="minorEastAsia" w:eastAsiaTheme="minorEastAsia" w:cstheme="minorEastAsia"/>
          <w:sz w:val="24"/>
          <w:highlight w:val="none"/>
          <w:shd w:val="clear" w:color="auto" w:fill="FFFFFF"/>
        </w:rPr>
      </w:pPr>
      <w:r>
        <w:rPr>
          <w:rFonts w:hint="eastAsia" w:asciiTheme="minorEastAsia" w:hAnsiTheme="minorEastAsia" w:eastAsiaTheme="minorEastAsia" w:cstheme="minorEastAsia"/>
          <w:sz w:val="24"/>
          <w:highlight w:val="none"/>
          <w:shd w:val="clear" w:color="auto" w:fill="FFFFFF"/>
        </w:rPr>
        <w:t>监督电话：0391-8683273</w:t>
      </w:r>
    </w:p>
    <w:p>
      <w:pPr>
        <w:shd w:val="clear" w:color="auto" w:fill="FFFFFF"/>
        <w:spacing w:line="360" w:lineRule="auto"/>
        <w:ind w:firstLine="480" w:firstLineChars="200"/>
        <w:rPr>
          <w:rFonts w:asciiTheme="minorEastAsia" w:hAnsiTheme="minorEastAsia" w:eastAsiaTheme="minorEastAsia" w:cstheme="minorEastAsia"/>
          <w:sz w:val="24"/>
          <w:highlight w:val="none"/>
          <w:shd w:val="clear" w:color="auto" w:fill="FFFFFF"/>
        </w:rPr>
      </w:pPr>
      <w:r>
        <w:rPr>
          <w:rFonts w:hint="eastAsia" w:asciiTheme="minorEastAsia" w:hAnsiTheme="minorEastAsia" w:eastAsiaTheme="minorEastAsia" w:cstheme="minorEastAsia"/>
          <w:sz w:val="24"/>
          <w:highlight w:val="none"/>
          <w:shd w:val="clear" w:color="auto" w:fill="FFFFFF"/>
        </w:rPr>
        <w:t>地址：博爱县发展大道188号机关综合办公楼主楼1213室</w:t>
      </w:r>
    </w:p>
    <w:p>
      <w:pPr>
        <w:spacing w:line="440" w:lineRule="exact"/>
        <w:jc w:val="center"/>
        <w:rPr>
          <w:rFonts w:ascii="宋体" w:hAnsi="宋体" w:cs="宋体"/>
          <w:b/>
          <w:sz w:val="36"/>
          <w:szCs w:val="36"/>
          <w:highlight w:val="none"/>
        </w:rPr>
      </w:pPr>
    </w:p>
    <w:p>
      <w:pPr>
        <w:spacing w:line="440" w:lineRule="exact"/>
        <w:jc w:val="center"/>
        <w:rPr>
          <w:rFonts w:ascii="宋体" w:hAnsi="宋体" w:cs="宋体"/>
          <w:b/>
          <w:sz w:val="36"/>
          <w:szCs w:val="36"/>
          <w:highlight w:val="none"/>
        </w:rPr>
      </w:pPr>
    </w:p>
    <w:p>
      <w:pPr>
        <w:rPr>
          <w:rFonts w:ascii="宋体" w:hAnsi="宋体" w:cs="宋体"/>
          <w:sz w:val="36"/>
          <w:szCs w:val="36"/>
          <w:highlight w:val="none"/>
        </w:rPr>
      </w:pPr>
    </w:p>
    <w:p>
      <w:pPr>
        <w:rPr>
          <w:rFonts w:ascii="宋体" w:hAnsi="宋体" w:cs="宋体"/>
          <w:b/>
          <w:sz w:val="36"/>
          <w:szCs w:val="36"/>
          <w:highlight w:val="none"/>
        </w:rPr>
      </w:pPr>
    </w:p>
    <w:p>
      <w:pPr>
        <w:spacing w:line="440" w:lineRule="exact"/>
        <w:jc w:val="center"/>
        <w:rPr>
          <w:rFonts w:ascii="宋体" w:hAnsi="宋体" w:cs="宋体"/>
          <w:b/>
          <w:sz w:val="36"/>
          <w:szCs w:val="36"/>
          <w:highlight w:val="none"/>
        </w:rPr>
      </w:pPr>
    </w:p>
    <w:p>
      <w:pPr>
        <w:pStyle w:val="2"/>
        <w:spacing w:line="480" w:lineRule="exact"/>
        <w:rPr>
          <w:rFonts w:ascii="宋体" w:hAnsi="宋体" w:cs="宋体"/>
          <w:sz w:val="36"/>
          <w:szCs w:val="36"/>
          <w:highlight w:val="none"/>
        </w:rPr>
      </w:pPr>
      <w:bookmarkStart w:id="313" w:name="_Toc7574"/>
      <w:r>
        <w:rPr>
          <w:rFonts w:hint="eastAsia" w:ascii="宋体" w:hAnsi="宋体" w:cs="宋体"/>
          <w:sz w:val="36"/>
          <w:szCs w:val="36"/>
          <w:highlight w:val="none"/>
        </w:rPr>
        <w:t>河南省政府采购合同融资政策告知函</w:t>
      </w:r>
      <w:bookmarkEnd w:id="313"/>
    </w:p>
    <w:p>
      <w:pPr>
        <w:pStyle w:val="2"/>
        <w:spacing w:line="400" w:lineRule="exact"/>
        <w:jc w:val="both"/>
        <w:rPr>
          <w:rFonts w:ascii="宋体" w:hAnsi="宋体" w:cs="宋体"/>
          <w:sz w:val="24"/>
          <w:highlight w:val="none"/>
        </w:rPr>
      </w:pPr>
      <w:bookmarkStart w:id="314" w:name="_Toc4905"/>
      <w:r>
        <w:rPr>
          <w:rFonts w:hint="eastAsia" w:ascii="宋体" w:hAnsi="宋体" w:cs="宋体"/>
          <w:sz w:val="24"/>
          <w:highlight w:val="none"/>
        </w:rPr>
        <w:t>各供应商：</w:t>
      </w:r>
      <w:bookmarkEnd w:id="314"/>
    </w:p>
    <w:p>
      <w:pPr>
        <w:pStyle w:val="2"/>
        <w:spacing w:line="400" w:lineRule="exact"/>
        <w:jc w:val="both"/>
        <w:rPr>
          <w:rFonts w:ascii="宋体" w:hAnsi="宋体" w:cs="宋体"/>
          <w:sz w:val="24"/>
          <w:highlight w:val="none"/>
        </w:rPr>
      </w:pPr>
      <w:r>
        <w:rPr>
          <w:rFonts w:hint="eastAsia" w:ascii="宋体" w:hAnsi="宋体" w:cs="宋体"/>
          <w:sz w:val="24"/>
          <w:highlight w:val="none"/>
        </w:rPr>
        <w:t>欢迎贵公司参与河南省政府采购活动！</w:t>
      </w:r>
    </w:p>
    <w:p>
      <w:pPr>
        <w:spacing w:line="400" w:lineRule="exact"/>
        <w:ind w:firstLine="420" w:firstLineChars="175"/>
        <w:rPr>
          <w:rFonts w:ascii="宋体" w:hAnsi="宋体" w:cs="宋体"/>
          <w:bCs/>
          <w:sz w:val="24"/>
          <w:highlight w:val="none"/>
        </w:rPr>
      </w:pPr>
      <w:r>
        <w:rPr>
          <w:rFonts w:hint="eastAsia" w:ascii="宋体" w:hAnsi="宋体" w:cs="宋体"/>
          <w:bCs/>
          <w:sz w:val="24"/>
          <w:highlight w:val="none"/>
        </w:rPr>
        <w:t xml:space="preserve">   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依据《河南省采购合同融资工作实施方案》（豫财购[2017]10号），按照双方自愿的原则提供便捷、优惠的贷款服务。</w:t>
      </w:r>
    </w:p>
    <w:p>
      <w:pPr>
        <w:spacing w:line="400" w:lineRule="exact"/>
        <w:ind w:firstLine="420" w:firstLineChars="175"/>
        <w:rPr>
          <w:rFonts w:ascii="宋体" w:hAnsi="宋体" w:cs="宋体"/>
          <w:bCs/>
          <w:sz w:val="24"/>
          <w:highlight w:val="none"/>
        </w:rPr>
      </w:pPr>
      <w:r>
        <w:rPr>
          <w:rFonts w:hint="eastAsia" w:ascii="宋体" w:hAnsi="宋体" w:cs="宋体"/>
          <w:bCs/>
          <w:sz w:val="24"/>
          <w:highlight w:val="none"/>
        </w:rPr>
        <w:t xml:space="preserve"> 贷款渠道和提供贷款的金融机构，可在河南省政府采购网“河南省政府采购合同融资平台”查询联系。</w:t>
      </w:r>
    </w:p>
    <w:p>
      <w:pPr>
        <w:spacing w:line="420" w:lineRule="exact"/>
        <w:ind w:firstLine="2168" w:firstLineChars="675"/>
        <w:outlineLvl w:val="0"/>
        <w:rPr>
          <w:rFonts w:ascii="宋体" w:hAnsi="宋体"/>
          <w:b/>
          <w:sz w:val="32"/>
          <w:szCs w:val="32"/>
          <w:highlight w:val="none"/>
        </w:rPr>
      </w:pPr>
      <w:bookmarkStart w:id="315" w:name="_Toc30161"/>
      <w:r>
        <w:rPr>
          <w:rFonts w:hint="eastAsia" w:ascii="宋体" w:hAnsi="宋体"/>
          <w:b/>
          <w:sz w:val="32"/>
          <w:szCs w:val="32"/>
          <w:highlight w:val="none"/>
        </w:rPr>
        <w:t>焦作市政府采购合同融资合作企业</w:t>
      </w:r>
      <w:bookmarkEnd w:id="315"/>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6"/>
        <w:gridCol w:w="1280"/>
        <w:gridCol w:w="193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096" w:type="dxa"/>
            <w:vAlign w:val="center"/>
          </w:tcPr>
          <w:p>
            <w:pPr>
              <w:widowControl/>
              <w:tabs>
                <w:tab w:val="left" w:pos="0"/>
              </w:tabs>
              <w:jc w:val="center"/>
              <w:rPr>
                <w:rFonts w:ascii="黑体" w:hAnsi="黑体" w:eastAsia="黑体"/>
                <w:sz w:val="30"/>
                <w:szCs w:val="30"/>
                <w:highlight w:val="none"/>
              </w:rPr>
            </w:pPr>
            <w:r>
              <w:rPr>
                <w:rFonts w:hint="eastAsia" w:ascii="黑体" w:hAnsi="黑体" w:eastAsia="黑体"/>
                <w:sz w:val="30"/>
                <w:szCs w:val="30"/>
                <w:highlight w:val="none"/>
              </w:rPr>
              <w:t>名称</w:t>
            </w:r>
          </w:p>
        </w:tc>
        <w:tc>
          <w:tcPr>
            <w:tcW w:w="1280" w:type="dxa"/>
            <w:vAlign w:val="center"/>
          </w:tcPr>
          <w:p>
            <w:pPr>
              <w:widowControl/>
              <w:tabs>
                <w:tab w:val="left" w:pos="0"/>
              </w:tabs>
              <w:jc w:val="center"/>
              <w:rPr>
                <w:rFonts w:ascii="黑体" w:hAnsi="黑体" w:eastAsia="黑体"/>
                <w:sz w:val="30"/>
                <w:szCs w:val="30"/>
                <w:highlight w:val="none"/>
              </w:rPr>
            </w:pPr>
            <w:r>
              <w:rPr>
                <w:rFonts w:hint="eastAsia" w:ascii="黑体" w:hAnsi="黑体" w:eastAsia="黑体"/>
                <w:sz w:val="30"/>
                <w:szCs w:val="30"/>
                <w:highlight w:val="none"/>
              </w:rPr>
              <w:t>联系人</w:t>
            </w:r>
          </w:p>
        </w:tc>
        <w:tc>
          <w:tcPr>
            <w:tcW w:w="1933" w:type="dxa"/>
            <w:vAlign w:val="center"/>
          </w:tcPr>
          <w:p>
            <w:pPr>
              <w:widowControl/>
              <w:tabs>
                <w:tab w:val="left" w:pos="0"/>
              </w:tabs>
              <w:jc w:val="center"/>
              <w:rPr>
                <w:rFonts w:ascii="黑体" w:hAnsi="黑体" w:eastAsia="黑体"/>
                <w:sz w:val="30"/>
                <w:szCs w:val="30"/>
                <w:highlight w:val="none"/>
              </w:rPr>
            </w:pPr>
            <w:r>
              <w:rPr>
                <w:rFonts w:hint="eastAsia" w:ascii="黑体" w:hAnsi="黑体" w:eastAsia="黑体"/>
                <w:sz w:val="30"/>
                <w:szCs w:val="30"/>
                <w:highlight w:val="none"/>
              </w:rPr>
              <w:t>联系电话</w:t>
            </w:r>
          </w:p>
        </w:tc>
        <w:tc>
          <w:tcPr>
            <w:tcW w:w="2689" w:type="dxa"/>
            <w:vAlign w:val="center"/>
          </w:tcPr>
          <w:p>
            <w:pPr>
              <w:widowControl/>
              <w:tabs>
                <w:tab w:val="left" w:pos="0"/>
              </w:tabs>
              <w:jc w:val="center"/>
              <w:rPr>
                <w:rFonts w:ascii="黑体" w:hAnsi="黑体" w:eastAsia="黑体"/>
                <w:sz w:val="30"/>
                <w:szCs w:val="30"/>
                <w:highlight w:val="none"/>
              </w:rPr>
            </w:pPr>
            <w:r>
              <w:rPr>
                <w:rFonts w:hint="eastAsia" w:ascii="黑体" w:hAnsi="黑体" w:eastAsia="黑体"/>
                <w:sz w:val="30"/>
                <w:szCs w:val="30"/>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4096" w:type="dxa"/>
            <w:shd w:val="clear" w:color="auto" w:fill="auto"/>
            <w:vAlign w:val="center"/>
          </w:tcPr>
          <w:p>
            <w:pPr>
              <w:widowControl/>
              <w:tabs>
                <w:tab w:val="left" w:pos="0"/>
              </w:tabs>
              <w:spacing w:line="360" w:lineRule="exact"/>
              <w:rPr>
                <w:rFonts w:ascii="宋体" w:hAnsi="宋体" w:cs="宋体"/>
                <w:sz w:val="24"/>
                <w:highlight w:val="none"/>
              </w:rPr>
            </w:pPr>
            <w:r>
              <w:rPr>
                <w:rFonts w:hint="eastAsia" w:ascii="宋体" w:hAnsi="宋体" w:cs="宋体"/>
                <w:sz w:val="24"/>
                <w:highlight w:val="none"/>
              </w:rPr>
              <w:t>中国农业银行股份有限公司焦作分行</w:t>
            </w:r>
          </w:p>
        </w:tc>
        <w:tc>
          <w:tcPr>
            <w:tcW w:w="1280" w:type="dxa"/>
            <w:shd w:val="solid" w:color="FFFFFF" w:fill="auto"/>
            <w:vAlign w:val="center"/>
          </w:tcPr>
          <w:p>
            <w:pPr>
              <w:shd w:val="solid" w:color="FFFFFF" w:fill="auto"/>
              <w:autoSpaceDN w:val="0"/>
              <w:jc w:val="center"/>
              <w:textAlignment w:val="center"/>
              <w:rPr>
                <w:rFonts w:ascii="宋体" w:hAnsi="宋体" w:cs="宋体"/>
                <w:sz w:val="24"/>
                <w:highlight w:val="none"/>
              </w:rPr>
            </w:pPr>
            <w:r>
              <w:rPr>
                <w:rFonts w:hint="eastAsia" w:ascii="宋体" w:hAnsi="宋体" w:cs="宋体"/>
                <w:sz w:val="24"/>
                <w:highlight w:val="none"/>
                <w:shd w:val="clear" w:color="auto" w:fill="FFFFFF"/>
              </w:rPr>
              <w:t>薛国战</w:t>
            </w:r>
          </w:p>
        </w:tc>
        <w:tc>
          <w:tcPr>
            <w:tcW w:w="1933" w:type="dxa"/>
            <w:shd w:val="solid" w:color="FFFFFF" w:fill="auto"/>
            <w:vAlign w:val="center"/>
          </w:tcPr>
          <w:p>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0391-2878039       13839109026</w:t>
            </w:r>
          </w:p>
        </w:tc>
        <w:tc>
          <w:tcPr>
            <w:tcW w:w="2689" w:type="dxa"/>
            <w:shd w:val="solid" w:color="FFFFFF" w:fill="auto"/>
            <w:vAlign w:val="center"/>
          </w:tcPr>
          <w:p>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焦作市民主南路88号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6" w:type="dxa"/>
            <w:shd w:val="clear" w:color="auto" w:fill="auto"/>
            <w:vAlign w:val="center"/>
          </w:tcPr>
          <w:p>
            <w:pPr>
              <w:widowControl/>
              <w:tabs>
                <w:tab w:val="left" w:pos="0"/>
              </w:tabs>
              <w:spacing w:line="360" w:lineRule="exact"/>
              <w:rPr>
                <w:rFonts w:ascii="宋体" w:hAnsi="宋体" w:cs="宋体"/>
                <w:sz w:val="24"/>
                <w:highlight w:val="none"/>
              </w:rPr>
            </w:pPr>
            <w:r>
              <w:rPr>
                <w:rFonts w:hint="eastAsia" w:ascii="宋体" w:hAnsi="宋体" w:cs="宋体"/>
                <w:sz w:val="24"/>
                <w:highlight w:val="none"/>
              </w:rPr>
              <w:t>中国银行股份有限公司焦作分行</w:t>
            </w:r>
          </w:p>
        </w:tc>
        <w:tc>
          <w:tcPr>
            <w:tcW w:w="1280" w:type="dxa"/>
            <w:shd w:val="solid" w:color="FFFFFF" w:fill="auto"/>
            <w:vAlign w:val="center"/>
          </w:tcPr>
          <w:p>
            <w:pPr>
              <w:shd w:val="solid" w:color="FFFFFF" w:fill="auto"/>
              <w:autoSpaceDN w:val="0"/>
              <w:jc w:val="center"/>
              <w:textAlignment w:val="center"/>
              <w:rPr>
                <w:rFonts w:ascii="宋体" w:hAnsi="宋体" w:cs="宋体"/>
                <w:sz w:val="24"/>
                <w:highlight w:val="none"/>
              </w:rPr>
            </w:pPr>
            <w:r>
              <w:rPr>
                <w:rFonts w:hint="eastAsia" w:ascii="宋体" w:hAnsi="宋体" w:cs="宋体"/>
                <w:sz w:val="24"/>
                <w:highlight w:val="none"/>
                <w:shd w:val="clear" w:color="auto" w:fill="FFFFFF"/>
              </w:rPr>
              <w:t>曹阳</w:t>
            </w:r>
          </w:p>
        </w:tc>
        <w:tc>
          <w:tcPr>
            <w:tcW w:w="1933" w:type="dxa"/>
            <w:shd w:val="solid" w:color="FFFFFF" w:fill="auto"/>
            <w:vAlign w:val="center"/>
          </w:tcPr>
          <w:p>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0391-8825171  13839118160</w:t>
            </w:r>
          </w:p>
        </w:tc>
        <w:tc>
          <w:tcPr>
            <w:tcW w:w="2689" w:type="dxa"/>
            <w:shd w:val="solid" w:color="FFFFFF" w:fill="auto"/>
            <w:vAlign w:val="center"/>
          </w:tcPr>
          <w:p>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焦作市丰收路159号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96" w:type="dxa"/>
            <w:shd w:val="clear" w:color="auto" w:fill="auto"/>
            <w:vAlign w:val="center"/>
          </w:tcPr>
          <w:p>
            <w:pPr>
              <w:widowControl/>
              <w:tabs>
                <w:tab w:val="left" w:pos="0"/>
              </w:tabs>
              <w:spacing w:line="360" w:lineRule="exact"/>
              <w:rPr>
                <w:rFonts w:ascii="宋体" w:hAnsi="宋体" w:cs="宋体"/>
                <w:sz w:val="24"/>
                <w:highlight w:val="none"/>
              </w:rPr>
            </w:pPr>
            <w:r>
              <w:rPr>
                <w:rFonts w:hint="eastAsia" w:ascii="宋体" w:hAnsi="宋体" w:cs="宋体"/>
                <w:sz w:val="24"/>
                <w:highlight w:val="none"/>
              </w:rPr>
              <w:t>中国建设银行股份有限公司焦作分行</w:t>
            </w:r>
          </w:p>
        </w:tc>
        <w:tc>
          <w:tcPr>
            <w:tcW w:w="1280" w:type="dxa"/>
            <w:shd w:val="clear" w:color="auto" w:fill="auto"/>
            <w:vAlign w:val="center"/>
          </w:tcPr>
          <w:p>
            <w:pPr>
              <w:widowControl/>
              <w:tabs>
                <w:tab w:val="left" w:pos="0"/>
              </w:tabs>
              <w:spacing w:line="360" w:lineRule="exact"/>
              <w:jc w:val="center"/>
              <w:rPr>
                <w:rFonts w:ascii="宋体" w:hAnsi="宋体" w:cs="宋体"/>
                <w:sz w:val="24"/>
                <w:highlight w:val="none"/>
              </w:rPr>
            </w:pPr>
            <w:r>
              <w:rPr>
                <w:rFonts w:hint="eastAsia" w:ascii="宋体" w:hAnsi="宋体" w:cs="宋体"/>
                <w:sz w:val="24"/>
                <w:highlight w:val="none"/>
              </w:rPr>
              <w:t>李华莹</w:t>
            </w:r>
          </w:p>
        </w:tc>
        <w:tc>
          <w:tcPr>
            <w:tcW w:w="1933" w:type="dxa"/>
            <w:shd w:val="clear" w:color="auto" w:fill="auto"/>
            <w:vAlign w:val="center"/>
          </w:tcPr>
          <w:p>
            <w:pPr>
              <w:widowControl/>
              <w:tabs>
                <w:tab w:val="left" w:pos="0"/>
              </w:tabs>
              <w:spacing w:line="360" w:lineRule="exact"/>
              <w:jc w:val="center"/>
              <w:rPr>
                <w:rFonts w:ascii="宋体" w:hAnsi="宋体" w:cs="宋体"/>
                <w:sz w:val="24"/>
                <w:highlight w:val="none"/>
              </w:rPr>
            </w:pPr>
            <w:r>
              <w:rPr>
                <w:rFonts w:hint="eastAsia" w:ascii="宋体" w:hAnsi="宋体" w:cs="宋体"/>
                <w:sz w:val="24"/>
                <w:highlight w:val="none"/>
              </w:rPr>
              <w:t>0391-3918471</w:t>
            </w:r>
          </w:p>
        </w:tc>
        <w:tc>
          <w:tcPr>
            <w:tcW w:w="2689" w:type="dxa"/>
            <w:shd w:val="solid" w:color="FFFFFF" w:fill="auto"/>
            <w:vAlign w:val="center"/>
          </w:tcPr>
          <w:p>
            <w:pPr>
              <w:widowControl/>
              <w:tabs>
                <w:tab w:val="left" w:pos="0"/>
              </w:tabs>
              <w:spacing w:line="360" w:lineRule="exact"/>
              <w:rPr>
                <w:rFonts w:ascii="宋体" w:hAnsi="宋体" w:cs="宋体"/>
                <w:sz w:val="24"/>
                <w:highlight w:val="none"/>
              </w:rPr>
            </w:pPr>
            <w:r>
              <w:rPr>
                <w:rFonts w:hint="eastAsia" w:ascii="宋体" w:hAnsi="宋体" w:cs="宋体"/>
                <w:sz w:val="24"/>
                <w:highlight w:val="none"/>
              </w:rPr>
              <w:t>焦作市建设东路152号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6" w:type="dxa"/>
            <w:shd w:val="clear" w:color="auto" w:fill="auto"/>
            <w:vAlign w:val="center"/>
          </w:tcPr>
          <w:p>
            <w:pPr>
              <w:widowControl/>
              <w:tabs>
                <w:tab w:val="left" w:pos="0"/>
              </w:tabs>
              <w:spacing w:line="360" w:lineRule="exact"/>
              <w:rPr>
                <w:rFonts w:ascii="宋体" w:hAnsi="宋体" w:cs="宋体"/>
                <w:sz w:val="24"/>
                <w:highlight w:val="none"/>
              </w:rPr>
            </w:pPr>
            <w:r>
              <w:rPr>
                <w:rFonts w:hint="eastAsia" w:ascii="宋体" w:hAnsi="宋体" w:cs="宋体"/>
                <w:sz w:val="24"/>
                <w:highlight w:val="none"/>
              </w:rPr>
              <w:t>中国邮政储蓄银行股份有限公司焦作市分行</w:t>
            </w:r>
          </w:p>
        </w:tc>
        <w:tc>
          <w:tcPr>
            <w:tcW w:w="1280" w:type="dxa"/>
            <w:shd w:val="solid" w:color="FFFFFF" w:fill="auto"/>
            <w:vAlign w:val="center"/>
          </w:tcPr>
          <w:p>
            <w:pPr>
              <w:shd w:val="solid" w:color="FFFFFF" w:fill="auto"/>
              <w:autoSpaceDN w:val="0"/>
              <w:jc w:val="center"/>
              <w:textAlignment w:val="center"/>
              <w:rPr>
                <w:rFonts w:ascii="宋体" w:hAnsi="宋体" w:cs="宋体"/>
                <w:sz w:val="24"/>
                <w:highlight w:val="none"/>
              </w:rPr>
            </w:pPr>
            <w:r>
              <w:rPr>
                <w:rFonts w:hint="eastAsia" w:ascii="宋体" w:hAnsi="宋体" w:cs="宋体"/>
                <w:sz w:val="24"/>
                <w:highlight w:val="none"/>
                <w:shd w:val="clear" w:color="auto" w:fill="FFFFFF"/>
              </w:rPr>
              <w:t>李天祥</w:t>
            </w:r>
          </w:p>
        </w:tc>
        <w:tc>
          <w:tcPr>
            <w:tcW w:w="1933" w:type="dxa"/>
            <w:shd w:val="solid" w:color="FFFFFF" w:fill="auto"/>
            <w:vAlign w:val="center"/>
          </w:tcPr>
          <w:p>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0391-2981968 13523359082</w:t>
            </w:r>
          </w:p>
        </w:tc>
        <w:tc>
          <w:tcPr>
            <w:tcW w:w="2689" w:type="dxa"/>
            <w:shd w:val="solid" w:color="FFFFFF" w:fill="auto"/>
            <w:vAlign w:val="center"/>
          </w:tcPr>
          <w:p>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焦作市丰收中路2233号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096" w:type="dxa"/>
            <w:shd w:val="clear" w:color="auto" w:fill="auto"/>
            <w:vAlign w:val="center"/>
          </w:tcPr>
          <w:p>
            <w:pPr>
              <w:widowControl/>
              <w:tabs>
                <w:tab w:val="left" w:pos="0"/>
              </w:tabs>
              <w:spacing w:line="360" w:lineRule="exact"/>
              <w:rPr>
                <w:rFonts w:ascii="宋体" w:hAnsi="宋体" w:cs="宋体"/>
                <w:sz w:val="24"/>
                <w:highlight w:val="none"/>
              </w:rPr>
            </w:pPr>
            <w:r>
              <w:rPr>
                <w:rFonts w:hint="eastAsia" w:ascii="宋体" w:hAnsi="宋体" w:cs="宋体"/>
                <w:sz w:val="24"/>
                <w:highlight w:val="none"/>
              </w:rPr>
              <w:t>焦作中旅银行股份有限公司</w:t>
            </w:r>
          </w:p>
        </w:tc>
        <w:tc>
          <w:tcPr>
            <w:tcW w:w="1280" w:type="dxa"/>
            <w:shd w:val="solid" w:color="FFFFFF" w:fill="auto"/>
            <w:vAlign w:val="center"/>
          </w:tcPr>
          <w:p>
            <w:pPr>
              <w:shd w:val="solid" w:color="FFFFFF" w:fill="auto"/>
              <w:autoSpaceDN w:val="0"/>
              <w:jc w:val="center"/>
              <w:textAlignment w:val="center"/>
              <w:rPr>
                <w:rFonts w:ascii="宋体" w:hAnsi="宋体" w:cs="宋体"/>
                <w:sz w:val="24"/>
                <w:highlight w:val="none"/>
              </w:rPr>
            </w:pPr>
            <w:r>
              <w:rPr>
                <w:rFonts w:hint="eastAsia" w:ascii="宋体" w:hAnsi="宋体" w:cs="宋体"/>
                <w:sz w:val="24"/>
                <w:highlight w:val="none"/>
                <w:shd w:val="clear" w:color="auto" w:fill="FFFFFF"/>
              </w:rPr>
              <w:t>周建林</w:t>
            </w:r>
          </w:p>
        </w:tc>
        <w:tc>
          <w:tcPr>
            <w:tcW w:w="1933" w:type="dxa"/>
            <w:shd w:val="solid" w:color="FFFFFF" w:fill="auto"/>
            <w:vAlign w:val="center"/>
          </w:tcPr>
          <w:p>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 xml:space="preserve">0391-2116963 15893053027 </w:t>
            </w:r>
          </w:p>
        </w:tc>
        <w:tc>
          <w:tcPr>
            <w:tcW w:w="2689" w:type="dxa"/>
            <w:shd w:val="solid" w:color="FFFFFF" w:fill="auto"/>
            <w:vAlign w:val="center"/>
          </w:tcPr>
          <w:p>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焦作市山阳区迎宾路1号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4096" w:type="dxa"/>
            <w:shd w:val="clear" w:color="auto" w:fill="auto"/>
            <w:vAlign w:val="center"/>
          </w:tcPr>
          <w:p>
            <w:pPr>
              <w:widowControl/>
              <w:tabs>
                <w:tab w:val="left" w:pos="0"/>
              </w:tabs>
              <w:spacing w:line="360" w:lineRule="exact"/>
              <w:rPr>
                <w:rFonts w:ascii="宋体" w:hAnsi="宋体" w:cs="宋体"/>
                <w:sz w:val="24"/>
                <w:highlight w:val="none"/>
              </w:rPr>
            </w:pPr>
            <w:r>
              <w:rPr>
                <w:rFonts w:hint="eastAsia" w:ascii="宋体" w:hAnsi="宋体" w:cs="宋体"/>
                <w:sz w:val="24"/>
                <w:highlight w:val="none"/>
              </w:rPr>
              <w:t>中信银行股份有限公司焦作分行</w:t>
            </w:r>
          </w:p>
        </w:tc>
        <w:tc>
          <w:tcPr>
            <w:tcW w:w="1280" w:type="dxa"/>
            <w:shd w:val="clear" w:color="auto" w:fill="auto"/>
            <w:vAlign w:val="center"/>
          </w:tcPr>
          <w:p>
            <w:pPr>
              <w:widowControl/>
              <w:tabs>
                <w:tab w:val="left" w:pos="0"/>
              </w:tabs>
              <w:spacing w:line="360" w:lineRule="exact"/>
              <w:jc w:val="center"/>
              <w:rPr>
                <w:rFonts w:ascii="宋体" w:hAnsi="宋体" w:cs="宋体"/>
                <w:sz w:val="24"/>
                <w:highlight w:val="none"/>
              </w:rPr>
            </w:pPr>
            <w:r>
              <w:rPr>
                <w:rFonts w:hint="eastAsia" w:ascii="宋体" w:hAnsi="宋体" w:cs="宋体"/>
                <w:sz w:val="24"/>
                <w:highlight w:val="none"/>
              </w:rPr>
              <w:t>周江江</w:t>
            </w:r>
          </w:p>
        </w:tc>
        <w:tc>
          <w:tcPr>
            <w:tcW w:w="1933" w:type="dxa"/>
            <w:shd w:val="clear" w:color="auto" w:fill="auto"/>
            <w:vAlign w:val="center"/>
          </w:tcPr>
          <w:p>
            <w:pPr>
              <w:widowControl/>
              <w:tabs>
                <w:tab w:val="left" w:pos="0"/>
              </w:tabs>
              <w:spacing w:line="360" w:lineRule="exact"/>
              <w:rPr>
                <w:rFonts w:ascii="宋体" w:hAnsi="宋体" w:cs="宋体"/>
                <w:sz w:val="24"/>
                <w:highlight w:val="none"/>
              </w:rPr>
            </w:pPr>
            <w:r>
              <w:rPr>
                <w:rFonts w:hint="eastAsia" w:ascii="宋体" w:hAnsi="宋体" w:cs="宋体"/>
                <w:sz w:val="24"/>
                <w:highlight w:val="none"/>
              </w:rPr>
              <w:t>17639185001</w:t>
            </w:r>
          </w:p>
        </w:tc>
        <w:tc>
          <w:tcPr>
            <w:tcW w:w="2689" w:type="dxa"/>
            <w:shd w:val="solid" w:color="FFFFFF" w:fill="auto"/>
            <w:vAlign w:val="center"/>
          </w:tcPr>
          <w:p>
            <w:pPr>
              <w:widowControl/>
              <w:tabs>
                <w:tab w:val="left" w:pos="0"/>
              </w:tabs>
              <w:spacing w:line="360" w:lineRule="exact"/>
              <w:rPr>
                <w:rFonts w:ascii="宋体" w:hAnsi="宋体" w:cs="宋体"/>
                <w:sz w:val="24"/>
                <w:highlight w:val="none"/>
              </w:rPr>
            </w:pPr>
            <w:r>
              <w:rPr>
                <w:rFonts w:hint="eastAsia" w:ascii="宋体" w:hAnsi="宋体" w:cs="宋体"/>
                <w:sz w:val="24"/>
                <w:highlight w:val="none"/>
              </w:rPr>
              <w:t>焦作市塔南路1736号嘉隆国际中心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096" w:type="dxa"/>
            <w:shd w:val="clear" w:color="auto" w:fill="auto"/>
            <w:vAlign w:val="center"/>
          </w:tcPr>
          <w:p>
            <w:pPr>
              <w:widowControl/>
              <w:tabs>
                <w:tab w:val="left" w:pos="0"/>
              </w:tabs>
              <w:spacing w:line="360" w:lineRule="exact"/>
              <w:rPr>
                <w:rFonts w:ascii="宋体" w:hAnsi="宋体" w:cs="宋体"/>
                <w:sz w:val="24"/>
                <w:highlight w:val="none"/>
              </w:rPr>
            </w:pPr>
            <w:r>
              <w:rPr>
                <w:rFonts w:hint="eastAsia" w:ascii="宋体" w:hAnsi="宋体" w:cs="宋体"/>
                <w:bCs/>
                <w:sz w:val="24"/>
                <w:highlight w:val="none"/>
              </w:rPr>
              <w:t>中国光大银行股份有限公司焦作分行</w:t>
            </w:r>
          </w:p>
        </w:tc>
        <w:tc>
          <w:tcPr>
            <w:tcW w:w="1280" w:type="dxa"/>
            <w:shd w:val="solid" w:color="FFFFFF" w:fill="auto"/>
            <w:vAlign w:val="center"/>
          </w:tcPr>
          <w:p>
            <w:pPr>
              <w:shd w:val="solid" w:color="FFFFFF" w:fill="auto"/>
              <w:autoSpaceDN w:val="0"/>
              <w:jc w:val="center"/>
              <w:textAlignment w:val="center"/>
              <w:rPr>
                <w:rFonts w:ascii="宋体" w:hAnsi="宋体" w:cs="宋体"/>
                <w:sz w:val="24"/>
                <w:highlight w:val="none"/>
              </w:rPr>
            </w:pPr>
            <w:r>
              <w:rPr>
                <w:rFonts w:hint="eastAsia" w:ascii="宋体" w:hAnsi="宋体" w:cs="宋体"/>
                <w:sz w:val="24"/>
                <w:highlight w:val="none"/>
                <w:shd w:val="clear" w:color="auto" w:fill="FFFFFF"/>
              </w:rPr>
              <w:t>王海宾</w:t>
            </w:r>
          </w:p>
        </w:tc>
        <w:tc>
          <w:tcPr>
            <w:tcW w:w="1933" w:type="dxa"/>
            <w:shd w:val="solid" w:color="FFFFFF" w:fill="auto"/>
            <w:vAlign w:val="center"/>
          </w:tcPr>
          <w:p>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0391-8787996 13598534626</w:t>
            </w:r>
          </w:p>
        </w:tc>
        <w:tc>
          <w:tcPr>
            <w:tcW w:w="2689" w:type="dxa"/>
            <w:shd w:val="solid" w:color="FFFFFF" w:fill="auto"/>
            <w:vAlign w:val="center"/>
          </w:tcPr>
          <w:p>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焦作市塔南路1736号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4096" w:type="dxa"/>
            <w:shd w:val="clear" w:color="auto" w:fill="auto"/>
            <w:vAlign w:val="center"/>
          </w:tcPr>
          <w:p>
            <w:pPr>
              <w:widowControl/>
              <w:tabs>
                <w:tab w:val="left" w:pos="0"/>
              </w:tabs>
              <w:spacing w:line="360" w:lineRule="exact"/>
              <w:rPr>
                <w:rFonts w:ascii="宋体" w:hAnsi="宋体" w:cs="宋体"/>
                <w:sz w:val="24"/>
                <w:highlight w:val="none"/>
              </w:rPr>
            </w:pPr>
            <w:r>
              <w:rPr>
                <w:rFonts w:hint="eastAsia" w:ascii="宋体" w:hAnsi="宋体" w:cs="宋体"/>
                <w:sz w:val="24"/>
                <w:highlight w:val="none"/>
              </w:rPr>
              <w:t>中原银行股份有限公司焦作分行</w:t>
            </w:r>
          </w:p>
        </w:tc>
        <w:tc>
          <w:tcPr>
            <w:tcW w:w="1280" w:type="dxa"/>
            <w:shd w:val="solid" w:color="FFFFFF" w:fill="auto"/>
            <w:vAlign w:val="center"/>
          </w:tcPr>
          <w:p>
            <w:pPr>
              <w:shd w:val="solid" w:color="FFFFFF" w:fill="auto"/>
              <w:autoSpaceDN w:val="0"/>
              <w:jc w:val="center"/>
              <w:textAlignment w:val="center"/>
              <w:rPr>
                <w:rFonts w:ascii="宋体" w:hAnsi="宋体" w:cs="宋体"/>
                <w:sz w:val="24"/>
                <w:highlight w:val="none"/>
              </w:rPr>
            </w:pPr>
            <w:r>
              <w:rPr>
                <w:rFonts w:hint="eastAsia" w:ascii="宋体" w:hAnsi="宋体" w:cs="宋体"/>
                <w:sz w:val="24"/>
                <w:highlight w:val="none"/>
                <w:shd w:val="clear" w:color="auto" w:fill="FFFFFF"/>
              </w:rPr>
              <w:t>赵伟</w:t>
            </w:r>
          </w:p>
        </w:tc>
        <w:tc>
          <w:tcPr>
            <w:tcW w:w="1933" w:type="dxa"/>
            <w:shd w:val="solid" w:color="FFFFFF" w:fill="auto"/>
            <w:vAlign w:val="center"/>
          </w:tcPr>
          <w:p>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0391-8796520 15738533033</w:t>
            </w:r>
          </w:p>
        </w:tc>
        <w:tc>
          <w:tcPr>
            <w:tcW w:w="2689" w:type="dxa"/>
            <w:shd w:val="solid" w:color="FFFFFF" w:fill="auto"/>
            <w:vAlign w:val="center"/>
          </w:tcPr>
          <w:p>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焦作市解放区人民路479号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4096" w:type="dxa"/>
            <w:shd w:val="clear" w:color="auto" w:fill="auto"/>
            <w:vAlign w:val="center"/>
          </w:tcPr>
          <w:p>
            <w:pPr>
              <w:widowControl/>
              <w:tabs>
                <w:tab w:val="left" w:pos="0"/>
              </w:tabs>
              <w:spacing w:line="360" w:lineRule="exact"/>
              <w:rPr>
                <w:rFonts w:ascii="宋体" w:hAnsi="宋体" w:cs="宋体"/>
                <w:sz w:val="24"/>
                <w:highlight w:val="none"/>
              </w:rPr>
            </w:pPr>
            <w:r>
              <w:rPr>
                <w:rFonts w:hint="eastAsia" w:ascii="宋体" w:hAnsi="宋体" w:cs="宋体"/>
                <w:sz w:val="24"/>
                <w:highlight w:val="none"/>
              </w:rPr>
              <w:t>广发银行股份有限公司焦作分行</w:t>
            </w:r>
          </w:p>
        </w:tc>
        <w:tc>
          <w:tcPr>
            <w:tcW w:w="1280" w:type="dxa"/>
            <w:shd w:val="solid" w:color="FFFFFF" w:fill="auto"/>
            <w:vAlign w:val="center"/>
          </w:tcPr>
          <w:p>
            <w:pPr>
              <w:shd w:val="solid" w:color="FFFFFF" w:fill="auto"/>
              <w:autoSpaceDN w:val="0"/>
              <w:jc w:val="center"/>
              <w:textAlignment w:val="center"/>
              <w:rPr>
                <w:rFonts w:ascii="宋体" w:hAnsi="宋体" w:cs="宋体"/>
                <w:sz w:val="24"/>
                <w:highlight w:val="none"/>
              </w:rPr>
            </w:pPr>
            <w:r>
              <w:rPr>
                <w:rFonts w:hint="eastAsia" w:ascii="宋体" w:hAnsi="宋体" w:cs="宋体"/>
                <w:sz w:val="24"/>
                <w:highlight w:val="none"/>
                <w:shd w:val="clear" w:color="auto" w:fill="FFFFFF"/>
              </w:rPr>
              <w:t>张嘉强</w:t>
            </w:r>
          </w:p>
        </w:tc>
        <w:tc>
          <w:tcPr>
            <w:tcW w:w="1933" w:type="dxa"/>
            <w:shd w:val="solid" w:color="FFFFFF" w:fill="auto"/>
            <w:vAlign w:val="center"/>
          </w:tcPr>
          <w:p>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0391-653785 13203910032</w:t>
            </w:r>
          </w:p>
        </w:tc>
        <w:tc>
          <w:tcPr>
            <w:tcW w:w="2689" w:type="dxa"/>
            <w:shd w:val="solid" w:color="FFFFFF" w:fill="auto"/>
            <w:vAlign w:val="center"/>
          </w:tcPr>
          <w:p>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焦作市塔南路1736号嘉隆金融中心</w:t>
            </w:r>
          </w:p>
        </w:tc>
      </w:tr>
    </w:tbl>
    <w:p>
      <w:pPr>
        <w:rPr>
          <w:rFonts w:ascii="宋体" w:hAnsi="宋体" w:cs="宋体"/>
          <w:sz w:val="24"/>
          <w:highlight w:val="none"/>
        </w:rPr>
      </w:pPr>
      <w:r>
        <w:rPr>
          <w:rFonts w:hint="eastAsia" w:ascii="宋体" w:hAnsi="宋体" w:cs="宋体"/>
          <w:sz w:val="24"/>
          <w:highlight w:val="none"/>
        </w:rPr>
        <w:t>备注：融资服务机构名单和人员联系方式会随时变化。具体情况可登录“焦作市政府采购网”政府采购合同融资平台查询</w:t>
      </w:r>
    </w:p>
    <w:sectPr>
      <w:pgSz w:w="11907" w:h="16840"/>
      <w:pgMar w:top="1276" w:right="1117" w:bottom="1417" w:left="913" w:header="850" w:footer="998" w:gutter="0"/>
      <w:pgNumType w:fmt="numberInDash"/>
      <w:cols w:space="0" w:num="1"/>
      <w:docGrid w:type="lines" w:linePitch="3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Calibri Light">
    <w:panose1 w:val="020F0302020204030204"/>
    <w:charset w:val="00"/>
    <w:family w:val="swiss"/>
    <w:pitch w:val="default"/>
    <w:sig w:usb0="E4002EFF" w:usb1="C2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楷体_GB2312">
    <w:altName w:val="楷体"/>
    <w:panose1 w:val="02010609030101010101"/>
    <w:charset w:val="86"/>
    <w:family w:val="modern"/>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thinThickMediumGap" w:color="auto" w:sz="18" w:space="1"/>
      </w:pBdr>
    </w:pPr>
  </w:p>
  <w:p>
    <w:pPr>
      <w:pStyle w:val="13"/>
      <w:wordWrap w:val="0"/>
      <w:jc w:val="right"/>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r>
                            <w:fldChar w:fldCharType="begin"/>
                          </w:r>
                          <w:r>
                            <w:instrText xml:space="preserve"> PAGE  \* MERGEFORMAT </w:instrText>
                          </w:r>
                          <w:r>
                            <w:fldChar w:fldCharType="separate"/>
                          </w:r>
                          <w:r>
                            <w:t>30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kJac0BAACp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FNeMOZE5Ze/PL92+XHr8vPr4xi&#10;JFAfsKK6h0CVcbjzAxXPcaRg4j20YNOXGDHKk7znq7xqiEymS+vVel1SSlJudgi/eLweAONb5S1L&#10;Rs2B3i/LKk7vMY6lc0nq5vy9Nia/oXF/BQhzjKi8BNPtxGScOFlx2A8Tvb1vzsSup0WouaO958y8&#10;c6Rz2pnZgNnYz8YxgD50NOgyT4nh9hhppDxp6jDCEsPk0AtmrtO2pRX5089Vj3/Y9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MQkJac0BAACpAwAADgAAAAAAAAABACAAAAAeAQAAZHJzL2Uy&#10;b0RvYy54bWxQSwUGAAAAAAYABgBZAQAAXQU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30</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p>
                        <w:p>
                          <w:pPr>
                            <w:pStyle w:val="13"/>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lRGjM0BAACpAwAADgAAAGRycy9lMm9Eb2MueG1srVPNjtMwEL4j8Q6W&#10;7zRpD6iKmq4WVYuQECAtPIDrOI0l22N53CZ9AXgDTly481x9DsZO0l2Wyx724syfP8/3zWRzM1jD&#10;TiqgBlfz5aLkTDkJjXaHmn/7evdmzRlG4RphwKmanxXym+3rV5veV2oFHZhGBUYgDqve17yL0VdF&#10;gbJTVuACvHKUbCFYEckNh6IJoid0a4pVWb4tegiNDyAVIkV3Y5JPiOE5gNC2WqodyKNVLo6oQRkR&#10;iRJ22iPf5m7bVsn4uW1RRWZqTkxjPukRsvfpLLYbUR2C8J2WUwviOS084WSFdvToFWonomDHoP+D&#10;sloGQGjjQoItRiJZEWKxLJ9oc98JrzIXkhr9VXR8OVj56fQlMN3QJtDcnbA08cvPH5dffy6/vzOK&#10;kUC9x4rq7j1VxuEdDFQ8x5GCiffQBpu+xIhRnuQ9X+VVQ2QyXVqv1uuSUpJys0P4xcN1HzC+V2BZ&#10;MmoeaH5ZVnH6iHEsnUvSaw7utDF5hsb9EyDMMaLyEky3E5Ox42TFYT9M9PbQnIldT4tQc0d7z5n5&#10;4EjntDOzEWZjPxtHH/Sho0aXuUv0t8dILeVO0wsjLDFMDk0wc522La3IYz9XPfxh2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OlRGjM0BAACpAwAADgAAAAAAAAABACAAAAAeAQAAZHJzL2Uy&#10;b0RvYy54bWxQSwUGAAAAAAYABgBZAQAAXQUAAAAA&#10;">
              <v:fill on="f" focussize="0,0"/>
              <v:stroke on="f"/>
              <v:imagedata o:title=""/>
              <o:lock v:ext="edit" aspectratio="f"/>
              <v:textbox inset="0mm,0mm,0mm,0mm" style="mso-fit-shape-to-text:t;">
                <w:txbxContent>
                  <w:p>
                    <w:pPr>
                      <w:pStyle w:val="13"/>
                    </w:pPr>
                  </w:p>
                  <w:p>
                    <w:pPr>
                      <w:pStyle w:val="13"/>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sz w:val="16"/>
        <w:szCs w:val="22"/>
      </w:rPr>
    </w:pPr>
    <w:r>
      <w:rPr>
        <w:sz w:val="20"/>
        <w:szCs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9" name="文本框 3"/>
              <wp:cNvGraphicFramePr/>
              <a:graphic xmlns:a="http://schemas.openxmlformats.org/drawingml/2006/main">
                <a:graphicData uri="http://schemas.microsoft.com/office/word/2010/wordprocessingShape">
                  <wps:wsp>
                    <wps:cNvSpPr txBox="1"/>
                    <wps:spPr>
                      <a:xfrm>
                        <a:off x="0" y="0"/>
                        <a:ext cx="190500" cy="131445"/>
                      </a:xfrm>
                      <a:prstGeom prst="rect">
                        <a:avLst/>
                      </a:prstGeom>
                      <a:noFill/>
                      <a:ln>
                        <a:noFill/>
                      </a:ln>
                      <a:effectLst/>
                    </wps:spPr>
                    <wps:txbx>
                      <w:txbxContent>
                        <w:p>
                          <w:pPr>
                            <w:pStyle w:val="13"/>
                          </w:pPr>
                          <w:r>
                            <w:fldChar w:fldCharType="begin"/>
                          </w:r>
                          <w:r>
                            <w:instrText xml:space="preserve"> PAGE  \* MERGEFORMAT </w:instrText>
                          </w:r>
                          <w:r>
                            <w:fldChar w:fldCharType="separate"/>
                          </w:r>
                          <w:r>
                            <w:t>- 23 -</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Og4rLnTAQAApQMAAA4AAABkcnMvZTJvRG9jLnhtbK1TS27bMBDdF+gd&#10;CO5rSfkUjWA5SGGkKFC0BdIcgKZIiwB/4NCWfIH2Bl11033P5XN0SElOmm6yyIYazgzfzHszWl4P&#10;RpO9CKCcbWi1KCkRlrtW2W1D77/dvnlHCURmW6adFQ09CKDXq9evlr2vxZnrnG5FIAhioe59Q7sY&#10;fV0UwDthGCycFxaD0gXDIl7DtmgD6xHd6OKsLN8WvQutD44LAPSuxyCdEMNzAJ2Uiou14zsjbBxR&#10;g9AsIiXolAe6yt1KKXj8IiWISHRDkWnMJxZBe5POYrVk9TYw3yk+tcCe08ITToYpi0VPUGsWGdkF&#10;9R+UUTw4cDIuuDPFSCQrgiyq8ok2dx3zInNBqcGfRIeXg+Wf918DUW1DryixzODAjz9/HH/9Of7+&#10;Ts6TPL2HGrPuPObF4b0bcGlmP6AzsR5kMOmLfAjGUdzDSVwxRMLTo6vyssQIx1B1Xl1cXCaU4uGx&#10;DxA/CGdIMhoacHZZUrb/BHFMnVNSLetuldZ5ftr+40DM0SPyAkyvE4+x32TFYTNM5DauPSC3Hpeg&#10;oRZ3nhL90aLGaV9mI8zGZjZ2Pqhth41WuUvwN7uILeVOU4URFhmmC04vc502La3H43vOevi7V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oqRS7NAAAAADAQAADwAAAAAAAAABACAAAAAiAAAAZHJz&#10;L2Rvd25yZXYueG1sUEsBAhQAFAAAAAgAh07iQOg4rLnTAQAApQMAAA4AAAAAAAAAAQAgAAAAHwEA&#10;AGRycy9lMm9Eb2MueG1sUEsFBgAAAAAGAAYAWQEAAGQ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- 23 -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B039FA"/>
    <w:multiLevelType w:val="singleLevel"/>
    <w:tmpl w:val="9FB039FA"/>
    <w:lvl w:ilvl="0" w:tentative="0">
      <w:start w:val="2"/>
      <w:numFmt w:val="chineseCounting"/>
      <w:suff w:val="nothing"/>
      <w:lvlText w:val="%1、"/>
      <w:lvlJc w:val="left"/>
      <w:rPr>
        <w:rFonts w:hint="eastAsia"/>
      </w:rPr>
    </w:lvl>
  </w:abstractNum>
  <w:abstractNum w:abstractNumId="1">
    <w:nsid w:val="A2C6ACF8"/>
    <w:multiLevelType w:val="singleLevel"/>
    <w:tmpl w:val="A2C6ACF8"/>
    <w:lvl w:ilvl="0" w:tentative="0">
      <w:start w:val="1"/>
      <w:numFmt w:val="decimal"/>
      <w:suff w:val="nothing"/>
      <w:lvlText w:val="（%1）"/>
      <w:lvlJc w:val="left"/>
      <w:pPr>
        <w:ind w:left="420" w:firstLine="0"/>
      </w:pPr>
      <w:rPr>
        <w:rFonts w:hint="default"/>
        <w:b w:val="0"/>
        <w:bCs w:val="0"/>
      </w:rPr>
    </w:lvl>
  </w:abstractNum>
  <w:abstractNum w:abstractNumId="2">
    <w:nsid w:val="A58974FB"/>
    <w:multiLevelType w:val="singleLevel"/>
    <w:tmpl w:val="A58974FB"/>
    <w:lvl w:ilvl="0" w:tentative="0">
      <w:start w:val="1"/>
      <w:numFmt w:val="decimal"/>
      <w:suff w:val="space"/>
      <w:lvlText w:val="%1."/>
      <w:lvlJc w:val="left"/>
    </w:lvl>
  </w:abstractNum>
  <w:abstractNum w:abstractNumId="3">
    <w:nsid w:val="B7CCEAB9"/>
    <w:multiLevelType w:val="singleLevel"/>
    <w:tmpl w:val="B7CCEAB9"/>
    <w:lvl w:ilvl="0" w:tentative="0">
      <w:start w:val="1"/>
      <w:numFmt w:val="decimal"/>
      <w:suff w:val="space"/>
      <w:lvlText w:val="%1."/>
      <w:lvlJc w:val="left"/>
      <w:pPr>
        <w:ind w:left="600" w:firstLine="0"/>
      </w:pPr>
    </w:lvl>
  </w:abstractNum>
  <w:abstractNum w:abstractNumId="4">
    <w:nsid w:val="B940B7CB"/>
    <w:multiLevelType w:val="singleLevel"/>
    <w:tmpl w:val="B940B7CB"/>
    <w:lvl w:ilvl="0" w:tentative="0">
      <w:start w:val="3"/>
      <w:numFmt w:val="decimal"/>
      <w:suff w:val="nothing"/>
      <w:lvlText w:val="%1、"/>
      <w:lvlJc w:val="left"/>
    </w:lvl>
  </w:abstractNum>
  <w:abstractNum w:abstractNumId="5">
    <w:nsid w:val="00000002"/>
    <w:multiLevelType w:val="multilevel"/>
    <w:tmpl w:val="00000002"/>
    <w:lvl w:ilvl="0" w:tentative="0">
      <w:start w:val="1"/>
      <w:numFmt w:val="decimal"/>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D491617"/>
    <w:multiLevelType w:val="multilevel"/>
    <w:tmpl w:val="1D491617"/>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7">
    <w:nsid w:val="2E675402"/>
    <w:multiLevelType w:val="singleLevel"/>
    <w:tmpl w:val="2E675402"/>
    <w:lvl w:ilvl="0" w:tentative="0">
      <w:start w:val="1"/>
      <w:numFmt w:val="chineseCounting"/>
      <w:suff w:val="nothing"/>
      <w:lvlText w:val="（%1）"/>
      <w:lvlJc w:val="left"/>
      <w:rPr>
        <w:rFonts w:hint="eastAsia"/>
      </w:rPr>
    </w:lvl>
  </w:abstractNum>
  <w:abstractNum w:abstractNumId="8">
    <w:nsid w:val="59CCA2E1"/>
    <w:multiLevelType w:val="singleLevel"/>
    <w:tmpl w:val="59CCA2E1"/>
    <w:lvl w:ilvl="0" w:tentative="0">
      <w:start w:val="1"/>
      <w:numFmt w:val="decimal"/>
      <w:suff w:val="nothing"/>
      <w:lvlText w:val="（%1）"/>
      <w:lvlJc w:val="left"/>
    </w:lvl>
  </w:abstractNum>
  <w:abstractNum w:abstractNumId="9">
    <w:nsid w:val="5A693C2F"/>
    <w:multiLevelType w:val="singleLevel"/>
    <w:tmpl w:val="5A693C2F"/>
    <w:lvl w:ilvl="0" w:tentative="0">
      <w:start w:val="3"/>
      <w:numFmt w:val="chineseCounting"/>
      <w:suff w:val="space"/>
      <w:lvlText w:val="第%1章"/>
      <w:lvlJc w:val="left"/>
    </w:lvl>
  </w:abstractNum>
  <w:abstractNum w:abstractNumId="10">
    <w:nsid w:val="75324FB0"/>
    <w:multiLevelType w:val="singleLevel"/>
    <w:tmpl w:val="75324FB0"/>
    <w:lvl w:ilvl="0" w:tentative="0">
      <w:start w:val="1"/>
      <w:numFmt w:val="chineseCounting"/>
      <w:suff w:val="space"/>
      <w:lvlText w:val="第%1章"/>
      <w:lvlJc w:val="left"/>
      <w:pPr>
        <w:ind w:left="630"/>
      </w:pPr>
      <w:rPr>
        <w:rFonts w:hint="eastAsia"/>
      </w:rPr>
    </w:lvl>
  </w:abstractNum>
  <w:abstractNum w:abstractNumId="11">
    <w:nsid w:val="768FB672"/>
    <w:multiLevelType w:val="singleLevel"/>
    <w:tmpl w:val="768FB672"/>
    <w:lvl w:ilvl="0" w:tentative="0">
      <w:start w:val="4"/>
      <w:numFmt w:val="chineseCounting"/>
      <w:suff w:val="nothing"/>
      <w:lvlText w:val="%1、"/>
      <w:lvlJc w:val="left"/>
      <w:pPr>
        <w:ind w:left="-60"/>
      </w:pPr>
      <w:rPr>
        <w:rFonts w:hint="eastAsia"/>
      </w:rPr>
    </w:lvl>
  </w:abstractNum>
  <w:num w:numId="1">
    <w:abstractNumId w:val="4"/>
  </w:num>
  <w:num w:numId="2">
    <w:abstractNumId w:val="1"/>
  </w:num>
  <w:num w:numId="3">
    <w:abstractNumId w:val="10"/>
  </w:num>
  <w:num w:numId="4">
    <w:abstractNumId w:val="5"/>
  </w:num>
  <w:num w:numId="5">
    <w:abstractNumId w:val="9"/>
  </w:num>
  <w:num w:numId="6">
    <w:abstractNumId w:val="11"/>
  </w:num>
  <w:num w:numId="7">
    <w:abstractNumId w:val="6"/>
  </w:num>
  <w:num w:numId="8">
    <w:abstractNumId w:val="2"/>
  </w:num>
  <w:num w:numId="9">
    <w:abstractNumId w:val="7"/>
  </w:num>
  <w:num w:numId="10">
    <w:abstractNumId w:val="8"/>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0YzQzMGFjMjUzMGYwODMwZjhmZTEzMTA0N2U0NTcifQ=="/>
  </w:docVars>
  <w:rsids>
    <w:rsidRoot w:val="18DF56DA"/>
    <w:rsid w:val="0D721327"/>
    <w:rsid w:val="14231504"/>
    <w:rsid w:val="144E7211"/>
    <w:rsid w:val="18DF56DA"/>
    <w:rsid w:val="1BB408B8"/>
    <w:rsid w:val="2775047E"/>
    <w:rsid w:val="42AF237E"/>
    <w:rsid w:val="460E12D8"/>
    <w:rsid w:val="4ABD4294"/>
    <w:rsid w:val="54614D80"/>
    <w:rsid w:val="613D1934"/>
    <w:rsid w:val="66CB2EAD"/>
    <w:rsid w:val="6DED6C2E"/>
    <w:rsid w:val="76277FB3"/>
    <w:rsid w:val="76F7382C"/>
    <w:rsid w:val="78411E95"/>
    <w:rsid w:val="7E033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Book Antiqua" w:hAnsi="Book Antiqua"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jc w:val="center"/>
      <w:outlineLvl w:val="0"/>
    </w:pPr>
    <w:rPr>
      <w:b/>
      <w:bCs/>
      <w:kern w:val="44"/>
      <w:sz w:val="44"/>
      <w:szCs w:val="44"/>
    </w:rPr>
  </w:style>
  <w:style w:type="paragraph" w:styleId="3">
    <w:name w:val="heading 2"/>
    <w:basedOn w:val="1"/>
    <w:next w:val="1"/>
    <w:autoRedefine/>
    <w:qFormat/>
    <w:uiPriority w:val="99"/>
    <w:pPr>
      <w:keepNext/>
      <w:keepLines/>
      <w:spacing w:before="260" w:after="260" w:line="416" w:lineRule="auto"/>
      <w:outlineLvl w:val="1"/>
    </w:pPr>
    <w:rPr>
      <w:rFonts w:ascii="Calibri Light" w:hAnsi="Calibri Light"/>
      <w:b/>
      <w:bCs/>
      <w:sz w:val="32"/>
      <w:szCs w:val="32"/>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4">
    <w:name w:val="toa heading"/>
    <w:basedOn w:val="1"/>
    <w:next w:val="1"/>
    <w:unhideWhenUsed/>
    <w:qFormat/>
    <w:uiPriority w:val="99"/>
    <w:pPr>
      <w:spacing w:before="120"/>
    </w:pPr>
    <w:rPr>
      <w:rFonts w:ascii="Arial" w:hAnsi="Arial" w:cs="Arial"/>
      <w:sz w:val="24"/>
    </w:rPr>
  </w:style>
  <w:style w:type="paragraph" w:styleId="5">
    <w:name w:val="annotation text"/>
    <w:basedOn w:val="1"/>
    <w:autoRedefine/>
    <w:uiPriority w:val="0"/>
    <w:pPr>
      <w:jc w:val="left"/>
    </w:pPr>
  </w:style>
  <w:style w:type="paragraph" w:styleId="6">
    <w:name w:val="Body Text 3"/>
    <w:basedOn w:val="1"/>
    <w:autoRedefine/>
    <w:unhideWhenUsed/>
    <w:qFormat/>
    <w:uiPriority w:val="0"/>
    <w:pPr>
      <w:spacing w:after="120"/>
    </w:pPr>
    <w:rPr>
      <w:rFonts w:ascii="Times New Roman" w:hAnsi="Times New Roman"/>
      <w:sz w:val="16"/>
      <w:szCs w:val="16"/>
    </w:rPr>
  </w:style>
  <w:style w:type="paragraph" w:styleId="7">
    <w:name w:val="Body Text"/>
    <w:basedOn w:val="1"/>
    <w:next w:val="8"/>
    <w:autoRedefine/>
    <w:qFormat/>
    <w:uiPriority w:val="0"/>
    <w:rPr>
      <w:rFonts w:ascii="Times New Roman" w:hAnsi="Times New Roman"/>
    </w:rPr>
  </w:style>
  <w:style w:type="paragraph" w:customStyle="1" w:styleId="8">
    <w:name w:val="Default"/>
    <w:basedOn w:val="1"/>
    <w:next w:val="9"/>
    <w:autoRedefine/>
    <w:qFormat/>
    <w:uiPriority w:val="0"/>
    <w:pPr>
      <w:autoSpaceDE w:val="0"/>
      <w:autoSpaceDN w:val="0"/>
      <w:adjustRightInd w:val="0"/>
      <w:jc w:val="left"/>
    </w:pPr>
    <w:rPr>
      <w:rFonts w:hint="eastAsia" w:ascii="宋体" w:hAnsi="Calibri"/>
      <w:color w:val="000000"/>
      <w:kern w:val="0"/>
      <w:sz w:val="24"/>
    </w:rPr>
  </w:style>
  <w:style w:type="paragraph" w:customStyle="1" w:styleId="9">
    <w:name w:val="正文 A"/>
    <w:next w:val="8"/>
    <w:autoRedefine/>
    <w:qFormat/>
    <w:uiPriority w:val="0"/>
    <w:pPr>
      <w:framePr w:wrap="around" w:vAnchor="margin" w:hAnchor="text" w:y="1"/>
      <w:spacing w:line="360" w:lineRule="auto"/>
      <w:ind w:firstLine="200"/>
      <w:jc w:val="both"/>
    </w:pPr>
    <w:rPr>
      <w:rFonts w:ascii="Calibri" w:hAnsi="Calibri" w:eastAsia="Arial Unicode MS" w:cs="Arial Unicode MS"/>
      <w:color w:val="000000"/>
      <w:kern w:val="2"/>
      <w:sz w:val="21"/>
      <w:szCs w:val="21"/>
      <w:lang w:val="en-US" w:eastAsia="zh-CN" w:bidi="ar-SA"/>
    </w:rPr>
  </w:style>
  <w:style w:type="paragraph" w:styleId="10">
    <w:name w:val="Body Text Indent"/>
    <w:basedOn w:val="1"/>
    <w:next w:val="11"/>
    <w:autoRedefine/>
    <w:qFormat/>
    <w:uiPriority w:val="0"/>
    <w:pPr>
      <w:ind w:firstLine="560" w:firstLineChars="200"/>
    </w:pPr>
    <w:rPr>
      <w:rFonts w:ascii="Times New Roman" w:hAnsi="Times New Roman"/>
    </w:rPr>
  </w:style>
  <w:style w:type="paragraph" w:styleId="11">
    <w:name w:val="envelope return"/>
    <w:basedOn w:val="1"/>
    <w:autoRedefine/>
    <w:qFormat/>
    <w:uiPriority w:val="99"/>
    <w:pPr>
      <w:snapToGrid w:val="0"/>
    </w:pPr>
    <w:rPr>
      <w:rFonts w:ascii="Arial" w:hAnsi="Arial" w:cs="Arial"/>
    </w:rPr>
  </w:style>
  <w:style w:type="paragraph" w:styleId="12">
    <w:name w:val="Plain Text"/>
    <w:basedOn w:val="1"/>
    <w:autoRedefine/>
    <w:qFormat/>
    <w:uiPriority w:val="0"/>
    <w:rPr>
      <w:rFonts w:hint="eastAsia" w:ascii="宋体" w:hAnsi="Courier New"/>
      <w:szCs w:val="21"/>
    </w:rPr>
  </w:style>
  <w:style w:type="paragraph" w:styleId="13">
    <w:name w:val="footer"/>
    <w:basedOn w:val="1"/>
    <w:autoRedefine/>
    <w:qFormat/>
    <w:uiPriority w:val="0"/>
    <w:pPr>
      <w:tabs>
        <w:tab w:val="center" w:pos="4153"/>
        <w:tab w:val="right" w:pos="8306"/>
      </w:tabs>
      <w:snapToGrid w:val="0"/>
      <w:jc w:val="left"/>
    </w:pPr>
    <w:rPr>
      <w:rFonts w:ascii="Times New Roman" w:hAnsi="Times New Roman"/>
      <w:sz w:val="18"/>
      <w:szCs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szCs w:val="18"/>
    </w:rPr>
  </w:style>
  <w:style w:type="paragraph" w:styleId="15">
    <w:name w:val="Body Text 2"/>
    <w:basedOn w:val="1"/>
    <w:next w:val="7"/>
    <w:autoRedefine/>
    <w:unhideWhenUsed/>
    <w:qFormat/>
    <w:uiPriority w:val="0"/>
    <w:pPr>
      <w:spacing w:after="120" w:line="480" w:lineRule="auto"/>
    </w:pPr>
    <w:rPr>
      <w:rFonts w:ascii="Times New Roman" w:hAnsi="Times New Roman"/>
    </w:rPr>
  </w:style>
  <w:style w:type="paragraph" w:styleId="16">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7">
    <w:name w:val="Title"/>
    <w:basedOn w:val="1"/>
    <w:next w:val="1"/>
    <w:autoRedefine/>
    <w:qFormat/>
    <w:uiPriority w:val="0"/>
    <w:pPr>
      <w:spacing w:before="240" w:after="60"/>
      <w:jc w:val="center"/>
      <w:outlineLvl w:val="0"/>
    </w:pPr>
    <w:rPr>
      <w:rFonts w:ascii="Calibri Light" w:hAnsi="Calibri Light" w:eastAsia="Calibri Light"/>
      <w:b/>
      <w:sz w:val="32"/>
      <w:szCs w:val="32"/>
    </w:rPr>
  </w:style>
  <w:style w:type="paragraph" w:styleId="18">
    <w:name w:val="Body Text First Indent"/>
    <w:basedOn w:val="7"/>
    <w:next w:val="19"/>
    <w:autoRedefine/>
    <w:unhideWhenUsed/>
    <w:qFormat/>
    <w:uiPriority w:val="0"/>
    <w:pPr>
      <w:ind w:firstLine="420" w:firstLineChars="100"/>
    </w:pPr>
    <w:rPr>
      <w:rFonts w:hint="eastAsia" w:ascii="楷体_GB2312" w:eastAsia="楷体_GB2312"/>
      <w:sz w:val="32"/>
    </w:rPr>
  </w:style>
  <w:style w:type="paragraph" w:styleId="19">
    <w:name w:val="Body Text First Indent 2"/>
    <w:basedOn w:val="10"/>
    <w:next w:val="1"/>
    <w:autoRedefine/>
    <w:qFormat/>
    <w:uiPriority w:val="0"/>
    <w:pPr>
      <w:ind w:firstLine="420"/>
    </w:pPr>
  </w:style>
  <w:style w:type="table" w:styleId="21">
    <w:name w:val="Table Grid"/>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autoRedefine/>
    <w:qFormat/>
    <w:uiPriority w:val="99"/>
    <w:rPr>
      <w:rFonts w:cs="Times New Roman"/>
      <w:color w:val="0000FF"/>
      <w:u w:val="single"/>
    </w:rPr>
  </w:style>
  <w:style w:type="paragraph" w:customStyle="1" w:styleId="24">
    <w:name w:val="WPSOffice手动目录 1"/>
    <w:autoRedefine/>
    <w:qFormat/>
    <w:uiPriority w:val="0"/>
    <w:rPr>
      <w:rFonts w:ascii="Times New Roman" w:hAnsi="Times New Roman" w:eastAsia="宋体" w:cs="Times New Roman"/>
      <w:lang w:val="en-US" w:eastAsia="zh-CN" w:bidi="ar-SA"/>
    </w:rPr>
  </w:style>
  <w:style w:type="paragraph" w:customStyle="1" w:styleId="25">
    <w:name w:val="列出段落2"/>
    <w:basedOn w:val="1"/>
    <w:autoRedefine/>
    <w:qFormat/>
    <w:uiPriority w:val="34"/>
    <w:pPr>
      <w:autoSpaceDE w:val="0"/>
      <w:autoSpaceDN w:val="0"/>
      <w:ind w:left="111" w:firstLine="420"/>
      <w:jc w:val="left"/>
    </w:pPr>
    <w:rPr>
      <w:rFonts w:ascii="宋体" w:hAnsi="宋体" w:cs="宋体"/>
      <w:kern w:val="0"/>
      <w:sz w:val="22"/>
      <w:szCs w:val="22"/>
      <w:lang w:eastAsia="en-US"/>
    </w:rPr>
  </w:style>
  <w:style w:type="paragraph" w:customStyle="1" w:styleId="26">
    <w:name w:val="2"/>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表格文字"/>
    <w:basedOn w:val="1"/>
    <w:next w:val="1"/>
    <w:autoRedefine/>
    <w:qFormat/>
    <w:uiPriority w:val="0"/>
    <w:pPr>
      <w:adjustRightInd w:val="0"/>
      <w:spacing w:line="420" w:lineRule="atLeast"/>
      <w:jc w:val="left"/>
      <w:textAlignment w:val="baseline"/>
    </w:pPr>
    <w:rPr>
      <w:kern w:val="0"/>
    </w:rPr>
  </w:style>
  <w:style w:type="paragraph" w:customStyle="1" w:styleId="28">
    <w:name w:val="p0"/>
    <w:basedOn w:val="29"/>
    <w:autoRedefine/>
    <w:qFormat/>
    <w:uiPriority w:val="0"/>
    <w:pPr>
      <w:widowControl/>
    </w:pPr>
    <w:rPr>
      <w:kern w:val="0"/>
      <w:szCs w:val="21"/>
    </w:rPr>
  </w:style>
  <w:style w:type="paragraph" w:customStyle="1" w:styleId="29">
    <w:name w:val="正文1"/>
    <w:next w:val="3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文本1"/>
    <w:basedOn w:val="29"/>
    <w:autoRedefine/>
    <w:qFormat/>
    <w:uiPriority w:val="99"/>
    <w:rPr>
      <w:rFonts w:eastAsia="楷体_GB2312"/>
      <w:sz w:val="28"/>
    </w:rPr>
  </w:style>
  <w:style w:type="paragraph" w:customStyle="1" w:styleId="31">
    <w:name w:val="Table Paragraph"/>
    <w:basedOn w:val="29"/>
    <w:autoRedefine/>
    <w:qFormat/>
    <w:uiPriority w:val="1"/>
    <w:rPr>
      <w:rFonts w:ascii="宋体" w:hAnsi="宋体" w:cs="宋体"/>
      <w:lang w:val="zh-CN" w:bidi="zh-CN"/>
    </w:rPr>
  </w:style>
  <w:style w:type="paragraph" w:customStyle="1" w:styleId="32">
    <w:name w:val="无间隔1"/>
    <w:basedOn w:val="1"/>
    <w:next w:val="33"/>
    <w:autoRedefine/>
    <w:qFormat/>
    <w:uiPriority w:val="0"/>
    <w:pPr>
      <w:spacing w:line="400" w:lineRule="exact"/>
    </w:pPr>
    <w:rPr>
      <w:sz w:val="24"/>
    </w:rPr>
  </w:style>
  <w:style w:type="paragraph" w:customStyle="1" w:styleId="33">
    <w:name w:val="正文（首行缩进） Char"/>
    <w:basedOn w:val="1"/>
    <w:next w:val="34"/>
    <w:autoRedefine/>
    <w:qFormat/>
    <w:uiPriority w:val="0"/>
    <w:pPr>
      <w:spacing w:line="360" w:lineRule="auto"/>
      <w:ind w:firstLine="480"/>
    </w:pPr>
    <w:rPr>
      <w:rFonts w:ascii="Arial"/>
      <w:color w:val="000000"/>
      <w:sz w:val="24"/>
    </w:rPr>
  </w:style>
  <w:style w:type="paragraph" w:customStyle="1" w:styleId="34">
    <w:name w:val="2号黑体加粗"/>
    <w:basedOn w:val="1"/>
    <w:next w:val="27"/>
    <w:autoRedefine/>
    <w:qFormat/>
    <w:uiPriority w:val="0"/>
    <w:pPr>
      <w:jc w:val="center"/>
    </w:pPr>
    <w:rPr>
      <w:rFonts w:ascii="Calibri" w:eastAsia="黑体"/>
      <w:b/>
      <w:sz w:val="44"/>
    </w:rPr>
  </w:style>
  <w:style w:type="paragraph" w:customStyle="1" w:styleId="35">
    <w:name w:val="TOAHeading"/>
    <w:basedOn w:val="1"/>
    <w:next w:val="1"/>
    <w:autoRedefine/>
    <w:qFormat/>
    <w:uiPriority w:val="0"/>
    <w:pPr>
      <w:spacing w:before="120"/>
      <w:textAlignment w:val="baseline"/>
    </w:pPr>
    <w:rPr>
      <w:rFonts w:ascii="Arial" w:hAnsi="Arial"/>
      <w:sz w:val="24"/>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2024-02-05T12:31:00Z</dcterms:created>
  <dc:creator>张琰</dc:creator>
  <cp:lastModifiedBy>张琰</cp:lastModifiedBy>
  <dcterms:modified xsi:type="dcterms:W3CDTF">2024-02-08T03:08:43Z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E5FC4567BDCA4EF0998B2C3AFA0008A6_11</vt:lpwstr>
  </property>
</Properties>
</file>