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right" w:pos="7560"/>
        </w:tabs>
        <w:spacing w:line="360" w:lineRule="auto"/>
        <w:jc w:val="center"/>
        <w:outlineLvl w:val="0"/>
        <w:rPr>
          <w:rFonts w:ascii="宋体" w:hAnsi="宋体" w:cs="仿宋"/>
          <w:b/>
          <w:sz w:val="32"/>
          <w:szCs w:val="32"/>
          <w:highlight w:val="none"/>
        </w:rPr>
      </w:pPr>
      <w:r>
        <w:rPr>
          <w:rFonts w:hint="eastAsia" w:ascii="宋体" w:hAnsi="宋体" w:cs="仿宋"/>
          <w:b/>
          <w:sz w:val="32"/>
          <w:szCs w:val="32"/>
          <w:highlight w:val="none"/>
        </w:rPr>
        <w:t>采购人需求</w:t>
      </w:r>
    </w:p>
    <w:p>
      <w:pPr>
        <w:pStyle w:val="8"/>
        <w:spacing w:line="360" w:lineRule="auto"/>
        <w:ind w:firstLine="422" w:firstLineChars="200"/>
        <w:rPr>
          <w:rFonts w:hint="eastAsia" w:ascii="宋体" w:hAnsi="宋体" w:cs="仿宋"/>
          <w:b/>
          <w:bCs/>
          <w:sz w:val="24"/>
          <w:szCs w:val="24"/>
          <w:highlight w:val="none"/>
        </w:rPr>
      </w:pPr>
      <w:r>
        <w:rPr>
          <w:rFonts w:hint="eastAsia" w:ascii="宋体" w:hAnsi="宋体" w:cs="仿宋"/>
          <w:b/>
          <w:bCs/>
          <w:szCs w:val="21"/>
          <w:highlight w:val="none"/>
        </w:rPr>
        <w:t>一、</w:t>
      </w:r>
      <w:r>
        <w:rPr>
          <w:rFonts w:hint="eastAsia" w:ascii="宋体" w:hAnsi="宋体" w:cs="仿宋"/>
          <w:b/>
          <w:bCs/>
          <w:sz w:val="24"/>
          <w:szCs w:val="24"/>
          <w:highlight w:val="none"/>
        </w:rPr>
        <w:t>项目基本情况</w:t>
      </w:r>
    </w:p>
    <w:p>
      <w:pPr>
        <w:keepNext w:val="0"/>
        <w:keepLines w:val="0"/>
        <w:pageBreakBefore w:val="0"/>
        <w:widowControl w:val="0"/>
        <w:kinsoku/>
        <w:wordWrap/>
        <w:overflowPunct/>
        <w:topLinePunct w:val="0"/>
        <w:autoSpaceDE/>
        <w:autoSpaceDN/>
        <w:bidi w:val="0"/>
        <w:adjustRightInd/>
        <w:snapToGrid/>
        <w:spacing w:line="240" w:lineRule="auto"/>
        <w:ind w:firstLine="536" w:firstLineChars="200"/>
        <w:textAlignment w:val="auto"/>
        <w:rPr>
          <w:rStyle w:val="11"/>
          <w:rFonts w:hint="eastAsia" w:asciiTheme="minorEastAsia" w:hAnsiTheme="minorEastAsia" w:eastAsiaTheme="minorEastAsia" w:cstheme="minorEastAsia"/>
          <w:color w:val="auto"/>
          <w:spacing w:val="14"/>
          <w:sz w:val="24"/>
          <w:szCs w:val="24"/>
          <w:highlight w:val="none"/>
          <w:lang w:val="en-US" w:eastAsia="zh-CN"/>
        </w:rPr>
      </w:pPr>
      <w:r>
        <w:rPr>
          <w:rStyle w:val="11"/>
          <w:rFonts w:hint="eastAsia" w:asciiTheme="minorEastAsia" w:hAnsiTheme="minorEastAsia" w:eastAsiaTheme="minorEastAsia" w:cstheme="minorEastAsia"/>
          <w:color w:val="auto"/>
          <w:spacing w:val="14"/>
          <w:sz w:val="24"/>
          <w:szCs w:val="24"/>
          <w:lang w:val="en-US" w:eastAsia="zh-CN"/>
        </w:rPr>
        <w:t>根据《化工园区安全风险排查治理导则（试行）》（应急〔2019〕78 号）文件要求，孟州高新技术产业开发区管理委员会将针对开发区内孟州市化工园区整体性安全风险评价报告及划定化工园区周边土地规划安全控制线。开发区内化工园区（</w:t>
      </w:r>
      <w:r>
        <w:rPr>
          <w:rStyle w:val="11"/>
          <w:rFonts w:hint="eastAsia" w:asciiTheme="minorEastAsia" w:hAnsiTheme="minorEastAsia" w:eastAsiaTheme="minorEastAsia" w:cstheme="minorEastAsia"/>
          <w:color w:val="auto"/>
          <w:spacing w:val="14"/>
          <w:sz w:val="24"/>
          <w:szCs w:val="24"/>
          <w:highlight w:val="none"/>
          <w:lang w:val="en-US" w:eastAsia="zh-CN"/>
        </w:rPr>
        <w:t>规划面积3.9507公顷）。</w:t>
      </w:r>
    </w:p>
    <w:p>
      <w:pPr>
        <w:keepNext w:val="0"/>
        <w:keepLines w:val="0"/>
        <w:pageBreakBefore w:val="0"/>
        <w:widowControl w:val="0"/>
        <w:kinsoku/>
        <w:wordWrap/>
        <w:overflowPunct/>
        <w:topLinePunct w:val="0"/>
        <w:autoSpaceDE/>
        <w:autoSpaceDN/>
        <w:bidi w:val="0"/>
        <w:adjustRightInd/>
        <w:snapToGrid/>
        <w:spacing w:line="240" w:lineRule="auto"/>
        <w:ind w:firstLine="536" w:firstLineChars="200"/>
        <w:textAlignment w:val="auto"/>
        <w:rPr>
          <w:rStyle w:val="11"/>
          <w:rFonts w:hint="eastAsia" w:asciiTheme="minorEastAsia" w:hAnsiTheme="minorEastAsia" w:eastAsiaTheme="minorEastAsia" w:cstheme="minorEastAsia"/>
          <w:color w:val="auto"/>
          <w:spacing w:val="14"/>
          <w:sz w:val="24"/>
          <w:szCs w:val="24"/>
          <w:lang w:val="en-US" w:eastAsia="zh-CN"/>
        </w:rPr>
      </w:pPr>
      <w:r>
        <w:rPr>
          <w:rStyle w:val="11"/>
          <w:rFonts w:hint="eastAsia" w:asciiTheme="minorEastAsia" w:hAnsiTheme="minorEastAsia" w:eastAsiaTheme="minorEastAsia" w:cstheme="minorEastAsia"/>
          <w:color w:val="auto"/>
          <w:spacing w:val="14"/>
          <w:sz w:val="24"/>
          <w:szCs w:val="24"/>
          <w:highlight w:val="none"/>
          <w:lang w:val="en-US" w:eastAsia="zh-CN"/>
        </w:rPr>
        <w:t>本次评估主要辨识该石化园区内化工园区</w:t>
      </w:r>
      <w:r>
        <w:rPr>
          <w:rStyle w:val="11"/>
          <w:rFonts w:hint="eastAsia" w:asciiTheme="minorEastAsia" w:hAnsiTheme="minorEastAsia" w:eastAsiaTheme="minorEastAsia" w:cstheme="minorEastAsia"/>
          <w:color w:val="auto"/>
          <w:spacing w:val="14"/>
          <w:sz w:val="24"/>
          <w:szCs w:val="24"/>
          <w:lang w:val="en-US" w:eastAsia="zh-CN"/>
        </w:rPr>
        <w:t>存在的危险、有害因素，在定性、定量分析评价的基础上，判断主要危险、有害因素的风险程度，确定化工园区个人风险、社会风险的可接受程度，提出有针对性的对策措施与建议，为化工园区的安全管理提供科学依据。</w:t>
      </w:r>
    </w:p>
    <w:p>
      <w:pPr>
        <w:keepNext w:val="0"/>
        <w:keepLines w:val="0"/>
        <w:pageBreakBefore w:val="0"/>
        <w:widowControl w:val="0"/>
        <w:kinsoku/>
        <w:wordWrap/>
        <w:overflowPunct/>
        <w:topLinePunct w:val="0"/>
        <w:autoSpaceDE/>
        <w:autoSpaceDN/>
        <w:bidi w:val="0"/>
        <w:adjustRightInd/>
        <w:snapToGrid/>
        <w:spacing w:line="240" w:lineRule="auto"/>
        <w:ind w:firstLine="536" w:firstLineChars="200"/>
        <w:textAlignment w:val="auto"/>
        <w:rPr>
          <w:rStyle w:val="11"/>
          <w:rFonts w:hint="eastAsia" w:asciiTheme="minorEastAsia" w:hAnsiTheme="minorEastAsia" w:eastAsiaTheme="minorEastAsia" w:cstheme="minorEastAsia"/>
          <w:color w:val="auto"/>
          <w:spacing w:val="14"/>
          <w:sz w:val="24"/>
          <w:szCs w:val="24"/>
          <w:lang w:val="en-US" w:eastAsia="zh-CN"/>
        </w:rPr>
      </w:pPr>
      <w:r>
        <w:rPr>
          <w:rStyle w:val="11"/>
          <w:rFonts w:hint="eastAsia" w:asciiTheme="minorEastAsia" w:hAnsiTheme="minorEastAsia" w:eastAsiaTheme="minorEastAsia" w:cstheme="minorEastAsia"/>
          <w:color w:val="auto"/>
          <w:spacing w:val="14"/>
          <w:sz w:val="24"/>
          <w:szCs w:val="24"/>
          <w:lang w:val="en-US" w:eastAsia="zh-CN"/>
        </w:rPr>
        <w:t>2、评估依据及单元划分</w:t>
      </w:r>
    </w:p>
    <w:p>
      <w:pPr>
        <w:keepNext w:val="0"/>
        <w:keepLines w:val="0"/>
        <w:pageBreakBefore w:val="0"/>
        <w:widowControl w:val="0"/>
        <w:kinsoku/>
        <w:wordWrap/>
        <w:overflowPunct/>
        <w:topLinePunct w:val="0"/>
        <w:autoSpaceDE/>
        <w:autoSpaceDN/>
        <w:bidi w:val="0"/>
        <w:adjustRightInd/>
        <w:snapToGrid/>
        <w:spacing w:line="240" w:lineRule="auto"/>
        <w:ind w:firstLine="536" w:firstLineChars="200"/>
        <w:textAlignment w:val="auto"/>
        <w:rPr>
          <w:rStyle w:val="11"/>
          <w:rFonts w:hint="eastAsia" w:asciiTheme="minorEastAsia" w:hAnsiTheme="minorEastAsia" w:eastAsiaTheme="minorEastAsia" w:cstheme="minorEastAsia"/>
          <w:color w:val="auto"/>
          <w:spacing w:val="14"/>
          <w:sz w:val="24"/>
          <w:szCs w:val="24"/>
          <w:lang w:val="en-US" w:eastAsia="zh-CN"/>
        </w:rPr>
      </w:pPr>
      <w:r>
        <w:rPr>
          <w:rStyle w:val="11"/>
          <w:rFonts w:hint="eastAsia" w:asciiTheme="minorEastAsia" w:hAnsiTheme="minorEastAsia" w:eastAsiaTheme="minorEastAsia" w:cstheme="minorEastAsia"/>
          <w:color w:val="auto"/>
          <w:spacing w:val="14"/>
          <w:sz w:val="24"/>
          <w:szCs w:val="24"/>
          <w:lang w:val="en-US" w:eastAsia="zh-CN"/>
        </w:rPr>
        <w:t>本次评估依据国务院安委办《关于进一步加强化工园区安全管理的指导意见》（安委办【2017】37号）、DB41/T2250-2022《化工园区整体性安全风险评估导则》、GB36894-2018《危险化学品生产装置和储存设施风险基准》、AQ/T3046-2013《化工企业定量风险评价导则》进行，采用定量风险评价方法，通过个人及社会风险指标，对园区现状、在建及规划化工项目风险进行定量安全评价，并对定量风险评价的结果与风险可接受标准进行比较，以判定风险的可接受程度。</w:t>
      </w:r>
    </w:p>
    <w:p>
      <w:pPr>
        <w:keepNext w:val="0"/>
        <w:keepLines w:val="0"/>
        <w:pageBreakBefore w:val="0"/>
        <w:widowControl w:val="0"/>
        <w:kinsoku/>
        <w:wordWrap/>
        <w:overflowPunct/>
        <w:topLinePunct w:val="0"/>
        <w:autoSpaceDE/>
        <w:autoSpaceDN/>
        <w:bidi w:val="0"/>
        <w:adjustRightInd/>
        <w:snapToGrid/>
        <w:spacing w:line="240" w:lineRule="auto"/>
        <w:ind w:firstLine="536" w:firstLineChars="200"/>
        <w:textAlignment w:val="auto"/>
        <w:rPr>
          <w:rStyle w:val="11"/>
          <w:rFonts w:hint="eastAsia" w:asciiTheme="minorEastAsia" w:hAnsiTheme="minorEastAsia" w:eastAsiaTheme="minorEastAsia" w:cstheme="minorEastAsia"/>
          <w:color w:val="auto"/>
          <w:spacing w:val="14"/>
          <w:sz w:val="24"/>
          <w:szCs w:val="24"/>
          <w:lang w:val="en-US" w:eastAsia="zh-CN"/>
        </w:rPr>
      </w:pPr>
      <w:r>
        <w:rPr>
          <w:rStyle w:val="11"/>
          <w:rFonts w:hint="eastAsia" w:asciiTheme="minorEastAsia" w:hAnsiTheme="minorEastAsia" w:eastAsiaTheme="minorEastAsia" w:cstheme="minorEastAsia"/>
          <w:color w:val="auto"/>
          <w:spacing w:val="14"/>
          <w:sz w:val="24"/>
          <w:szCs w:val="24"/>
          <w:lang w:val="en-US" w:eastAsia="zh-CN"/>
        </w:rPr>
        <w:t>考虑化工园区的区域特点和风险评估需要，评估单元分为：化工园区选址合理性、总体布局、企业间安全相关性、重点防控区域和重大危险源点、危险化学品运输、安全容量、公用工程配套、应急管理、安全管理以及评估所需的其他单元。</w:t>
      </w:r>
    </w:p>
    <w:p>
      <w:pPr>
        <w:keepNext w:val="0"/>
        <w:keepLines w:val="0"/>
        <w:pageBreakBefore w:val="0"/>
        <w:widowControl w:val="0"/>
        <w:kinsoku/>
        <w:wordWrap/>
        <w:overflowPunct/>
        <w:topLinePunct w:val="0"/>
        <w:autoSpaceDE/>
        <w:autoSpaceDN/>
        <w:bidi w:val="0"/>
        <w:adjustRightInd/>
        <w:snapToGrid/>
        <w:spacing w:line="240" w:lineRule="auto"/>
        <w:ind w:firstLine="536" w:firstLineChars="200"/>
        <w:textAlignment w:val="auto"/>
        <w:rPr>
          <w:rStyle w:val="11"/>
          <w:rFonts w:hint="eastAsia" w:asciiTheme="minorEastAsia" w:hAnsiTheme="minorEastAsia" w:eastAsiaTheme="minorEastAsia" w:cstheme="minorEastAsia"/>
          <w:color w:val="auto"/>
          <w:spacing w:val="14"/>
          <w:sz w:val="24"/>
          <w:szCs w:val="24"/>
          <w:lang w:val="en-US" w:eastAsia="zh-CN"/>
        </w:rPr>
      </w:pPr>
      <w:r>
        <w:rPr>
          <w:rStyle w:val="11"/>
          <w:rFonts w:hint="eastAsia" w:asciiTheme="minorEastAsia" w:hAnsiTheme="minorEastAsia" w:eastAsiaTheme="minorEastAsia" w:cstheme="minorEastAsia"/>
          <w:color w:val="auto"/>
          <w:spacing w:val="14"/>
          <w:sz w:val="24"/>
          <w:szCs w:val="24"/>
          <w:lang w:val="en-US" w:eastAsia="zh-CN"/>
        </w:rPr>
        <w:t>3、重点评估工作内容</w:t>
      </w:r>
    </w:p>
    <w:p>
      <w:pPr>
        <w:keepNext w:val="0"/>
        <w:keepLines w:val="0"/>
        <w:pageBreakBefore w:val="0"/>
        <w:widowControl w:val="0"/>
        <w:kinsoku/>
        <w:wordWrap/>
        <w:overflowPunct/>
        <w:topLinePunct w:val="0"/>
        <w:autoSpaceDE/>
        <w:autoSpaceDN/>
        <w:bidi w:val="0"/>
        <w:adjustRightInd/>
        <w:snapToGrid/>
        <w:spacing w:line="240" w:lineRule="auto"/>
        <w:ind w:firstLine="536" w:firstLineChars="200"/>
        <w:textAlignment w:val="auto"/>
        <w:rPr>
          <w:rStyle w:val="11"/>
          <w:rFonts w:hint="eastAsia" w:asciiTheme="minorEastAsia" w:hAnsiTheme="minorEastAsia" w:eastAsiaTheme="minorEastAsia" w:cstheme="minorEastAsia"/>
          <w:color w:val="auto"/>
          <w:spacing w:val="14"/>
          <w:sz w:val="24"/>
          <w:szCs w:val="24"/>
          <w:lang w:val="en-US" w:eastAsia="zh-CN"/>
        </w:rPr>
      </w:pPr>
      <w:r>
        <w:rPr>
          <w:rStyle w:val="11"/>
          <w:rFonts w:hint="eastAsia" w:asciiTheme="minorEastAsia" w:hAnsiTheme="minorEastAsia" w:eastAsiaTheme="minorEastAsia" w:cstheme="minorEastAsia"/>
          <w:color w:val="auto"/>
          <w:spacing w:val="14"/>
          <w:sz w:val="24"/>
          <w:szCs w:val="24"/>
          <w:lang w:val="en-US" w:eastAsia="zh-CN"/>
        </w:rPr>
        <w:t>1）化工园区选址安全风险评估。主要从化工园区的产业定位、产业结构、区内化工企业性质和发展方向，分析化工园区建设与本地区经济社会发展规划和产业发展规划的要求是否一致，评估化工园区对其周边人员密集场所、重要设施和环境敏感日标安全可能产生的影响，辨识化工园区周边环境、自然条件对化工园区安全生产的影响，并提出相应的对策措施。</w:t>
      </w:r>
    </w:p>
    <w:p>
      <w:pPr>
        <w:keepNext w:val="0"/>
        <w:keepLines w:val="0"/>
        <w:pageBreakBefore w:val="0"/>
        <w:widowControl w:val="0"/>
        <w:kinsoku/>
        <w:wordWrap/>
        <w:overflowPunct/>
        <w:topLinePunct w:val="0"/>
        <w:autoSpaceDE/>
        <w:autoSpaceDN/>
        <w:bidi w:val="0"/>
        <w:adjustRightInd/>
        <w:snapToGrid/>
        <w:spacing w:line="240" w:lineRule="auto"/>
        <w:ind w:firstLine="536" w:firstLineChars="200"/>
        <w:textAlignment w:val="auto"/>
        <w:rPr>
          <w:rStyle w:val="11"/>
          <w:rFonts w:hint="eastAsia" w:asciiTheme="minorEastAsia" w:hAnsiTheme="minorEastAsia" w:eastAsiaTheme="minorEastAsia" w:cstheme="minorEastAsia"/>
          <w:color w:val="auto"/>
          <w:spacing w:val="14"/>
          <w:sz w:val="24"/>
          <w:szCs w:val="24"/>
          <w:lang w:val="en-US" w:eastAsia="zh-CN"/>
        </w:rPr>
      </w:pPr>
      <w:r>
        <w:rPr>
          <w:rStyle w:val="11"/>
          <w:rFonts w:hint="eastAsia" w:asciiTheme="minorEastAsia" w:hAnsiTheme="minorEastAsia" w:eastAsiaTheme="minorEastAsia" w:cstheme="minorEastAsia"/>
          <w:color w:val="auto"/>
          <w:spacing w:val="14"/>
          <w:sz w:val="24"/>
          <w:szCs w:val="24"/>
          <w:lang w:val="en-US" w:eastAsia="zh-CN"/>
        </w:rPr>
        <w:t>2）化工园区总体布局安全风险评估。从化工园区的产业特点、主要功能区划分、企业分布、上下游产业链、物济运输、自然条件等情况，分析化工园区的区域规划、总平面布局规划、土地利用规划等方面的欠缺和不合理，提出布局调整的建议；对规划建设区内拟引进企业的产业选择、限（控〉制企业类型、拟建企业分布、物流输送等提出规划建议。</w:t>
      </w:r>
    </w:p>
    <w:p>
      <w:pPr>
        <w:keepNext w:val="0"/>
        <w:keepLines w:val="0"/>
        <w:pageBreakBefore w:val="0"/>
        <w:widowControl w:val="0"/>
        <w:kinsoku/>
        <w:wordWrap/>
        <w:overflowPunct/>
        <w:topLinePunct w:val="0"/>
        <w:autoSpaceDE/>
        <w:autoSpaceDN/>
        <w:bidi w:val="0"/>
        <w:adjustRightInd/>
        <w:snapToGrid/>
        <w:spacing w:line="240" w:lineRule="auto"/>
        <w:ind w:firstLine="536" w:firstLineChars="200"/>
        <w:textAlignment w:val="auto"/>
        <w:rPr>
          <w:rStyle w:val="11"/>
          <w:rFonts w:hint="eastAsia" w:asciiTheme="minorEastAsia" w:hAnsiTheme="minorEastAsia" w:eastAsiaTheme="minorEastAsia" w:cstheme="minorEastAsia"/>
          <w:color w:val="auto"/>
          <w:spacing w:val="14"/>
          <w:sz w:val="24"/>
          <w:szCs w:val="24"/>
          <w:lang w:val="en-US" w:eastAsia="zh-CN"/>
        </w:rPr>
      </w:pPr>
      <w:r>
        <w:rPr>
          <w:rStyle w:val="11"/>
          <w:rFonts w:hint="eastAsia" w:asciiTheme="minorEastAsia" w:hAnsiTheme="minorEastAsia" w:eastAsiaTheme="minorEastAsia" w:cstheme="minorEastAsia"/>
          <w:color w:val="auto"/>
          <w:spacing w:val="14"/>
          <w:sz w:val="24"/>
          <w:szCs w:val="24"/>
          <w:lang w:val="en-US" w:eastAsia="zh-CN"/>
        </w:rPr>
        <w:t>3）化工园区内现状、在建及规划企业间安全相关性风险评估。以化工园区内涉及重点监管危险化学品、危险工艺和危险化学品重大危险源的企业为重点，主要采用定量分析方法，分析可能发生的火灾、爆炸、中毒等事故可能对毗邻企业及区域造成的相互影响，分析引发连环事故的可能性，并确定个人和社会风险值及其风险可接受程度。同时，根据其危险特性和危险程度，确定化工园区重点防控目标，提出有效降低区域整体危险性的对策措施。</w:t>
      </w:r>
    </w:p>
    <w:p>
      <w:pPr>
        <w:keepNext w:val="0"/>
        <w:keepLines w:val="0"/>
        <w:pageBreakBefore w:val="0"/>
        <w:widowControl w:val="0"/>
        <w:kinsoku/>
        <w:wordWrap/>
        <w:overflowPunct/>
        <w:topLinePunct w:val="0"/>
        <w:autoSpaceDE/>
        <w:autoSpaceDN/>
        <w:bidi w:val="0"/>
        <w:adjustRightInd/>
        <w:snapToGrid/>
        <w:spacing w:line="240" w:lineRule="auto"/>
        <w:ind w:firstLine="536" w:firstLineChars="200"/>
        <w:textAlignment w:val="auto"/>
        <w:rPr>
          <w:rStyle w:val="11"/>
          <w:rFonts w:hint="eastAsia" w:asciiTheme="minorEastAsia" w:hAnsiTheme="minorEastAsia" w:eastAsiaTheme="minorEastAsia" w:cstheme="minorEastAsia"/>
          <w:color w:val="auto"/>
          <w:spacing w:val="14"/>
          <w:sz w:val="24"/>
          <w:szCs w:val="24"/>
          <w:lang w:val="en-US" w:eastAsia="zh-CN"/>
        </w:rPr>
      </w:pPr>
      <w:r>
        <w:rPr>
          <w:rStyle w:val="11"/>
          <w:rFonts w:hint="eastAsia" w:asciiTheme="minorEastAsia" w:hAnsiTheme="minorEastAsia" w:eastAsiaTheme="minorEastAsia" w:cstheme="minorEastAsia"/>
          <w:color w:val="auto"/>
          <w:spacing w:val="14"/>
          <w:sz w:val="24"/>
          <w:szCs w:val="24"/>
          <w:lang w:val="en-US" w:eastAsia="zh-CN"/>
        </w:rPr>
        <w:t>4）化工园区公用工程设施和物流运输安全风险评估。以化工园区市政和公用工程设施的安全性和符合性为重点，分析供水、供电、供热、供气、通讯、污水处理、固体废弃物处理以及铁路、危险化学品输送管道、公共管廊、道路运输等存在的问题和不足，提出相应的完善和改进措施。</w:t>
      </w:r>
    </w:p>
    <w:p>
      <w:pPr>
        <w:keepNext w:val="0"/>
        <w:keepLines w:val="0"/>
        <w:pageBreakBefore w:val="0"/>
        <w:widowControl w:val="0"/>
        <w:kinsoku/>
        <w:wordWrap/>
        <w:overflowPunct/>
        <w:topLinePunct w:val="0"/>
        <w:autoSpaceDE/>
        <w:autoSpaceDN/>
        <w:bidi w:val="0"/>
        <w:adjustRightInd/>
        <w:snapToGrid/>
        <w:spacing w:line="240" w:lineRule="auto"/>
        <w:ind w:firstLine="536" w:firstLineChars="200"/>
        <w:textAlignment w:val="auto"/>
        <w:rPr>
          <w:rStyle w:val="11"/>
          <w:rFonts w:hint="eastAsia" w:asciiTheme="minorEastAsia" w:hAnsiTheme="minorEastAsia" w:eastAsiaTheme="minorEastAsia" w:cstheme="minorEastAsia"/>
          <w:color w:val="auto"/>
          <w:spacing w:val="14"/>
          <w:sz w:val="24"/>
          <w:szCs w:val="24"/>
          <w:lang w:val="en-US" w:eastAsia="zh-CN"/>
        </w:rPr>
      </w:pPr>
      <w:r>
        <w:rPr>
          <w:rStyle w:val="11"/>
          <w:rFonts w:hint="eastAsia" w:asciiTheme="minorEastAsia" w:hAnsiTheme="minorEastAsia" w:eastAsiaTheme="minorEastAsia" w:cstheme="minorEastAsia"/>
          <w:color w:val="auto"/>
          <w:spacing w:val="14"/>
          <w:sz w:val="24"/>
          <w:szCs w:val="24"/>
          <w:lang w:val="en-US" w:eastAsia="zh-CN"/>
        </w:rPr>
        <w:t>5）化工园区安全容量评估。采用定量风险评价方法，从固定危险源和运输风险两方面考虑，判断该化工园区最大安全容量及其合理性。</w:t>
      </w:r>
    </w:p>
    <w:p>
      <w:pPr>
        <w:keepNext w:val="0"/>
        <w:keepLines w:val="0"/>
        <w:pageBreakBefore w:val="0"/>
        <w:widowControl w:val="0"/>
        <w:kinsoku/>
        <w:wordWrap/>
        <w:overflowPunct/>
        <w:topLinePunct w:val="0"/>
        <w:autoSpaceDE/>
        <w:autoSpaceDN/>
        <w:bidi w:val="0"/>
        <w:adjustRightInd/>
        <w:snapToGrid/>
        <w:spacing w:line="240" w:lineRule="auto"/>
        <w:ind w:firstLine="536" w:firstLineChars="200"/>
        <w:textAlignment w:val="auto"/>
        <w:rPr>
          <w:rStyle w:val="11"/>
          <w:rFonts w:hint="eastAsia" w:asciiTheme="minorEastAsia" w:hAnsiTheme="minorEastAsia" w:eastAsiaTheme="minorEastAsia" w:cstheme="minorEastAsia"/>
          <w:color w:val="auto"/>
          <w:spacing w:val="14"/>
          <w:sz w:val="24"/>
          <w:szCs w:val="24"/>
          <w:lang w:val="en-US" w:eastAsia="zh-CN"/>
        </w:rPr>
      </w:pPr>
      <w:r>
        <w:rPr>
          <w:rStyle w:val="11"/>
          <w:rFonts w:hint="eastAsia" w:asciiTheme="minorEastAsia" w:hAnsiTheme="minorEastAsia" w:eastAsiaTheme="minorEastAsia" w:cstheme="minorEastAsia"/>
          <w:color w:val="auto"/>
          <w:spacing w:val="14"/>
          <w:sz w:val="24"/>
          <w:szCs w:val="24"/>
          <w:lang w:val="en-US" w:eastAsia="zh-CN"/>
        </w:rPr>
        <w:t>6）化工园区安全管理及应急救援能力评估。依据化工园区的发展规划和现有规模、产业特点等，分析化工园区安全管理机构设置和安全管理人员配备的匹配性，安全管理措施和落实情况的有效性，评估化工园区应急救援预案、应急物资储备、应急救援队伍和快速应急响应机制的建立和运行情况，分析化工园区在安全管理和应急管理上存在的问题和不足，提出改进和加强的意见和措施。</w:t>
      </w:r>
    </w:p>
    <w:p>
      <w:pPr>
        <w:spacing w:line="360" w:lineRule="auto"/>
        <w:ind w:firstLine="480" w:firstLineChars="200"/>
        <w:jc w:val="left"/>
        <w:rPr>
          <w:rFonts w:hint="eastAsia" w:ascii="宋体" w:hAnsi="宋体" w:cs="仿宋"/>
          <w:b w:val="0"/>
          <w:bCs w:val="0"/>
          <w:sz w:val="24"/>
          <w:szCs w:val="24"/>
          <w:highlight w:val="none"/>
        </w:rPr>
      </w:pPr>
      <w:r>
        <w:rPr>
          <w:rFonts w:hint="eastAsia" w:ascii="宋体" w:hAnsi="宋体" w:cs="仿宋"/>
          <w:b w:val="0"/>
          <w:bCs w:val="0"/>
          <w:sz w:val="24"/>
          <w:szCs w:val="24"/>
          <w:highlight w:val="none"/>
        </w:rPr>
        <w:t>二、不允许负偏离的实质性要求和条件</w:t>
      </w:r>
    </w:p>
    <w:p>
      <w:pPr>
        <w:spacing w:line="360" w:lineRule="auto"/>
        <w:ind w:firstLine="480" w:firstLineChars="200"/>
        <w:jc w:val="left"/>
        <w:rPr>
          <w:rFonts w:hint="eastAsia" w:ascii="宋体" w:hAnsi="宋体" w:cs="仿宋"/>
          <w:b w:val="0"/>
          <w:bCs w:val="0"/>
          <w:sz w:val="24"/>
          <w:szCs w:val="24"/>
          <w:highlight w:val="none"/>
          <w:lang w:val="en-US" w:eastAsia="zh-CN"/>
        </w:rPr>
      </w:pPr>
      <w:r>
        <w:rPr>
          <w:rFonts w:hint="eastAsia" w:ascii="宋体" w:hAnsi="宋体" w:cs="仿宋"/>
          <w:b w:val="0"/>
          <w:bCs w:val="0"/>
          <w:sz w:val="24"/>
          <w:szCs w:val="24"/>
          <w:highlight w:val="none"/>
        </w:rPr>
        <w:t>1.采购服务的类</w:t>
      </w:r>
      <w:r>
        <w:rPr>
          <w:rFonts w:hint="eastAsia" w:ascii="宋体" w:hAnsi="宋体" w:cs="仿宋"/>
          <w:b w:val="0"/>
          <w:bCs w:val="0"/>
          <w:sz w:val="24"/>
          <w:szCs w:val="24"/>
          <w:highlight w:val="none"/>
          <w:lang w:val="en-US" w:eastAsia="zh-CN"/>
        </w:rPr>
        <w:t>:</w:t>
      </w:r>
      <w:r>
        <w:rPr>
          <w:rFonts w:hint="eastAsia" w:ascii="宋体" w:hAnsi="宋体" w:cs="仿宋"/>
          <w:b w:val="0"/>
          <w:bCs w:val="0"/>
          <w:sz w:val="24"/>
          <w:szCs w:val="24"/>
          <w:highlight w:val="none"/>
        </w:rPr>
        <w:t>根据有关法律法规编制</w:t>
      </w:r>
      <w:bookmarkStart w:id="0" w:name="OLE_LINK1"/>
      <w:r>
        <w:rPr>
          <w:rFonts w:hint="eastAsia" w:ascii="宋体" w:hAnsi="宋体" w:cs="仿宋"/>
          <w:b w:val="0"/>
          <w:bCs w:val="0"/>
          <w:sz w:val="24"/>
          <w:szCs w:val="24"/>
          <w:highlight w:val="none"/>
        </w:rPr>
        <w:t>孟州市</w:t>
      </w:r>
      <w:bookmarkEnd w:id="0"/>
      <w:r>
        <w:rPr>
          <w:rFonts w:hint="eastAsia" w:ascii="宋体" w:hAnsi="宋体" w:cs="仿宋"/>
          <w:b w:val="0"/>
          <w:bCs w:val="0"/>
          <w:sz w:val="24"/>
          <w:szCs w:val="24"/>
          <w:highlight w:val="none"/>
        </w:rPr>
        <w:t>化工园区整体性安全风险评价报告及</w:t>
      </w:r>
      <w:bookmarkStart w:id="1" w:name="OLE_LINK3"/>
      <w:r>
        <w:rPr>
          <w:rFonts w:hint="eastAsia" w:ascii="宋体" w:hAnsi="宋体" w:cs="仿宋"/>
          <w:b w:val="0"/>
          <w:bCs w:val="0"/>
          <w:sz w:val="24"/>
          <w:szCs w:val="24"/>
          <w:highlight w:val="none"/>
        </w:rPr>
        <w:t>划定</w:t>
      </w:r>
      <w:bookmarkEnd w:id="1"/>
      <w:r>
        <w:rPr>
          <w:rFonts w:hint="eastAsia" w:ascii="宋体" w:hAnsi="宋体" w:cs="仿宋"/>
          <w:b w:val="0"/>
          <w:bCs w:val="0"/>
          <w:sz w:val="24"/>
          <w:szCs w:val="24"/>
          <w:highlight w:val="none"/>
        </w:rPr>
        <w:t>化工园区周边土地规划安全控制线</w:t>
      </w:r>
      <w:r>
        <w:rPr>
          <w:rFonts w:hint="eastAsia" w:ascii="宋体" w:hAnsi="宋体" w:cs="仿宋"/>
          <w:b w:val="0"/>
          <w:bCs w:val="0"/>
          <w:sz w:val="24"/>
          <w:szCs w:val="24"/>
          <w:highlight w:val="none"/>
          <w:lang w:val="en-US" w:eastAsia="zh-CN"/>
        </w:rPr>
        <w:t>。</w:t>
      </w:r>
    </w:p>
    <w:p>
      <w:pPr>
        <w:spacing w:line="360" w:lineRule="auto"/>
        <w:ind w:firstLine="480" w:firstLineChars="200"/>
        <w:jc w:val="left"/>
        <w:rPr>
          <w:rFonts w:hint="default" w:ascii="宋体" w:hAnsi="宋体" w:cs="仿宋"/>
          <w:b w:val="0"/>
          <w:bCs w:val="0"/>
          <w:sz w:val="24"/>
          <w:szCs w:val="24"/>
          <w:highlight w:val="none"/>
          <w:lang w:val="en-US" w:eastAsia="zh-CN"/>
        </w:rPr>
      </w:pPr>
      <w:r>
        <w:rPr>
          <w:rFonts w:hint="eastAsia" w:ascii="宋体" w:hAnsi="宋体" w:cs="仿宋"/>
          <w:b w:val="0"/>
          <w:bCs w:val="0"/>
          <w:sz w:val="24"/>
          <w:szCs w:val="24"/>
          <w:highlight w:val="none"/>
          <w:lang w:val="en-US" w:eastAsia="zh-CN"/>
        </w:rPr>
        <w:t>2.服务成果及成果交付：出具符</w:t>
      </w:r>
      <w:r>
        <w:rPr>
          <w:rFonts w:hint="eastAsia" w:ascii="宋体" w:hAnsi="宋体" w:cs="仿宋"/>
          <w:b w:val="0"/>
          <w:bCs w:val="0"/>
          <w:sz w:val="24"/>
          <w:szCs w:val="24"/>
          <w:highlight w:val="none"/>
        </w:rPr>
        <w:t>合国家、行业标准</w:t>
      </w:r>
      <w:r>
        <w:rPr>
          <w:rFonts w:hint="eastAsia" w:ascii="宋体" w:hAnsi="宋体" w:cs="仿宋"/>
          <w:b w:val="0"/>
          <w:bCs w:val="0"/>
          <w:sz w:val="24"/>
          <w:szCs w:val="24"/>
          <w:highlight w:val="none"/>
          <w:lang w:val="en-US" w:eastAsia="zh-CN"/>
        </w:rPr>
        <w:t>的最终版纸质报告：《</w:t>
      </w:r>
      <w:r>
        <w:rPr>
          <w:rFonts w:hint="eastAsia" w:ascii="宋体" w:hAnsi="宋体" w:cs="仿宋"/>
          <w:b w:val="0"/>
          <w:bCs w:val="0"/>
          <w:sz w:val="24"/>
          <w:szCs w:val="24"/>
          <w:highlight w:val="none"/>
        </w:rPr>
        <w:t>孟州市化工园区</w:t>
      </w:r>
      <w:bookmarkStart w:id="2" w:name="OLE_LINK2"/>
      <w:r>
        <w:rPr>
          <w:rFonts w:hint="eastAsia" w:ascii="宋体" w:hAnsi="宋体" w:cs="仿宋"/>
          <w:b w:val="0"/>
          <w:bCs w:val="0"/>
          <w:sz w:val="24"/>
          <w:szCs w:val="24"/>
          <w:highlight w:val="none"/>
        </w:rPr>
        <w:t>整体性安全风险评价报告</w:t>
      </w:r>
      <w:bookmarkEnd w:id="2"/>
      <w:r>
        <w:rPr>
          <w:rFonts w:hint="eastAsia" w:ascii="宋体" w:hAnsi="宋体" w:cs="仿宋"/>
          <w:b w:val="0"/>
          <w:bCs w:val="0"/>
          <w:sz w:val="24"/>
          <w:szCs w:val="24"/>
          <w:highlight w:val="none"/>
          <w:lang w:val="en-US" w:eastAsia="zh-CN"/>
        </w:rPr>
        <w:t>》及《</w:t>
      </w:r>
      <w:r>
        <w:rPr>
          <w:rFonts w:hint="eastAsia" w:ascii="宋体" w:hAnsi="宋体" w:cs="仿宋"/>
          <w:b w:val="0"/>
          <w:bCs w:val="0"/>
          <w:sz w:val="24"/>
          <w:szCs w:val="24"/>
          <w:highlight w:val="none"/>
        </w:rPr>
        <w:t>孟州市化工园区周边土地规划安全控制线划定</w:t>
      </w:r>
      <w:r>
        <w:rPr>
          <w:rFonts w:hint="eastAsia" w:ascii="宋体" w:hAnsi="宋体" w:cs="仿宋"/>
          <w:b w:val="0"/>
          <w:bCs w:val="0"/>
          <w:sz w:val="24"/>
          <w:szCs w:val="24"/>
          <w:highlight w:val="none"/>
          <w:lang w:val="en-US" w:eastAsia="zh-CN"/>
        </w:rPr>
        <w:t>报告》，出版报告数量：根据甲方需求。</w:t>
      </w:r>
    </w:p>
    <w:p>
      <w:pPr>
        <w:spacing w:line="360" w:lineRule="auto"/>
        <w:ind w:firstLine="480" w:firstLineChars="200"/>
        <w:jc w:val="left"/>
        <w:rPr>
          <w:rFonts w:hint="eastAsia" w:ascii="宋体" w:hAnsi="宋体" w:cs="仿宋"/>
          <w:b w:val="0"/>
          <w:bCs w:val="0"/>
          <w:sz w:val="24"/>
          <w:szCs w:val="24"/>
          <w:highlight w:val="none"/>
        </w:rPr>
      </w:pPr>
      <w:r>
        <w:rPr>
          <w:rFonts w:hint="eastAsia" w:ascii="宋体" w:hAnsi="宋体" w:cs="仿宋"/>
          <w:b w:val="0"/>
          <w:bCs w:val="0"/>
          <w:sz w:val="24"/>
          <w:szCs w:val="24"/>
          <w:highlight w:val="none"/>
          <w:lang w:val="en-US" w:eastAsia="zh-CN"/>
        </w:rPr>
        <w:t>3</w:t>
      </w:r>
      <w:r>
        <w:rPr>
          <w:rFonts w:hint="eastAsia" w:ascii="宋体" w:hAnsi="宋体" w:cs="仿宋"/>
          <w:b w:val="0"/>
          <w:bCs w:val="0"/>
          <w:sz w:val="24"/>
          <w:szCs w:val="24"/>
          <w:highlight w:val="none"/>
        </w:rPr>
        <w:t>.服务地点：</w:t>
      </w:r>
      <w:r>
        <w:rPr>
          <w:rFonts w:hint="eastAsia" w:ascii="宋体" w:hAnsi="宋体" w:cs="仿宋"/>
          <w:b w:val="0"/>
          <w:bCs w:val="0"/>
          <w:sz w:val="24"/>
          <w:szCs w:val="24"/>
          <w:highlight w:val="none"/>
          <w:lang w:eastAsia="zh-CN"/>
        </w:rPr>
        <w:t>孟州市</w:t>
      </w:r>
    </w:p>
    <w:p>
      <w:pPr>
        <w:spacing w:line="360" w:lineRule="auto"/>
        <w:ind w:firstLine="480" w:firstLineChars="200"/>
        <w:jc w:val="left"/>
        <w:rPr>
          <w:rFonts w:hint="default" w:ascii="宋体" w:hAnsi="宋体" w:cs="仿宋"/>
          <w:b w:val="0"/>
          <w:bCs w:val="0"/>
          <w:sz w:val="24"/>
          <w:szCs w:val="24"/>
          <w:highlight w:val="none"/>
          <w:lang w:val="en-US" w:eastAsia="zh-CN"/>
        </w:rPr>
      </w:pPr>
      <w:r>
        <w:rPr>
          <w:rFonts w:hint="eastAsia" w:ascii="宋体" w:hAnsi="宋体" w:cs="仿宋"/>
          <w:b w:val="0"/>
          <w:bCs w:val="0"/>
          <w:sz w:val="24"/>
          <w:szCs w:val="24"/>
          <w:highlight w:val="none"/>
          <w:lang w:val="en-US" w:eastAsia="zh-CN"/>
        </w:rPr>
        <w:t>4</w:t>
      </w:r>
      <w:r>
        <w:rPr>
          <w:rFonts w:hint="eastAsia" w:ascii="宋体" w:hAnsi="宋体" w:cs="仿宋"/>
          <w:b w:val="0"/>
          <w:bCs w:val="0"/>
          <w:sz w:val="24"/>
          <w:szCs w:val="24"/>
          <w:highlight w:val="none"/>
        </w:rPr>
        <w:t>.服务期限：</w:t>
      </w:r>
      <w:r>
        <w:rPr>
          <w:rFonts w:hint="eastAsia" w:ascii="宋体" w:hAnsi="宋体" w:cs="仿宋"/>
          <w:b w:val="0"/>
          <w:bCs w:val="0"/>
          <w:sz w:val="24"/>
          <w:szCs w:val="24"/>
          <w:highlight w:val="none"/>
          <w:lang w:val="en-US" w:eastAsia="zh-CN"/>
        </w:rPr>
        <w:t>2年</w:t>
      </w:r>
    </w:p>
    <w:p>
      <w:pPr>
        <w:spacing w:line="360" w:lineRule="auto"/>
        <w:ind w:firstLine="480" w:firstLineChars="200"/>
        <w:jc w:val="left"/>
        <w:rPr>
          <w:rFonts w:hint="eastAsia" w:ascii="宋体" w:hAnsi="宋体" w:cs="仿宋"/>
          <w:b w:val="0"/>
          <w:bCs w:val="0"/>
          <w:sz w:val="24"/>
          <w:szCs w:val="24"/>
          <w:highlight w:val="none"/>
        </w:rPr>
      </w:pPr>
      <w:r>
        <w:rPr>
          <w:rFonts w:hint="eastAsia" w:ascii="宋体" w:hAnsi="宋体" w:cs="仿宋"/>
          <w:b w:val="0"/>
          <w:bCs w:val="0"/>
          <w:sz w:val="24"/>
          <w:szCs w:val="24"/>
          <w:highlight w:val="none"/>
          <w:lang w:val="en-US" w:eastAsia="zh-CN"/>
        </w:rPr>
        <w:t>5</w:t>
      </w:r>
      <w:r>
        <w:rPr>
          <w:rFonts w:hint="eastAsia" w:ascii="宋体" w:hAnsi="宋体" w:cs="仿宋"/>
          <w:b w:val="0"/>
          <w:bCs w:val="0"/>
          <w:sz w:val="24"/>
          <w:szCs w:val="24"/>
          <w:highlight w:val="none"/>
        </w:rPr>
        <w:t>.质量要求：符合国家、行业验收规范合格标准。</w:t>
      </w:r>
    </w:p>
    <w:p>
      <w:pPr>
        <w:spacing w:line="360" w:lineRule="auto"/>
        <w:ind w:firstLine="480" w:firstLineChars="200"/>
        <w:jc w:val="left"/>
        <w:rPr>
          <w:rFonts w:hint="default" w:ascii="宋体" w:hAnsi="宋体" w:cs="仿宋"/>
          <w:b w:val="0"/>
          <w:bCs w:val="0"/>
          <w:sz w:val="24"/>
          <w:szCs w:val="24"/>
          <w:highlight w:val="none"/>
          <w:lang w:val="en-US" w:eastAsia="zh-CN"/>
        </w:rPr>
      </w:pPr>
      <w:r>
        <w:rPr>
          <w:rFonts w:hint="eastAsia" w:ascii="宋体" w:hAnsi="宋体" w:cs="仿宋"/>
          <w:b w:val="0"/>
          <w:bCs w:val="0"/>
          <w:sz w:val="24"/>
          <w:szCs w:val="24"/>
          <w:highlight w:val="none"/>
          <w:lang w:val="en-US" w:eastAsia="zh-CN"/>
        </w:rPr>
        <w:t>6.验收要求：编制报审版《</w:t>
      </w:r>
      <w:r>
        <w:rPr>
          <w:rFonts w:hint="eastAsia" w:ascii="宋体" w:hAnsi="宋体" w:cs="仿宋"/>
          <w:b w:val="0"/>
          <w:bCs w:val="0"/>
          <w:sz w:val="24"/>
          <w:szCs w:val="24"/>
          <w:highlight w:val="none"/>
        </w:rPr>
        <w:t>孟州市化工园区整体性安全风险评价报告</w:t>
      </w:r>
      <w:r>
        <w:rPr>
          <w:rFonts w:hint="eastAsia" w:ascii="宋体" w:hAnsi="宋体" w:cs="仿宋"/>
          <w:b w:val="0"/>
          <w:bCs w:val="0"/>
          <w:sz w:val="24"/>
          <w:szCs w:val="24"/>
          <w:highlight w:val="none"/>
          <w:lang w:val="en-US" w:eastAsia="zh-CN"/>
        </w:rPr>
        <w:t>》及《</w:t>
      </w:r>
      <w:r>
        <w:rPr>
          <w:rFonts w:hint="eastAsia" w:ascii="宋体" w:hAnsi="宋体" w:cs="仿宋"/>
          <w:b w:val="0"/>
          <w:bCs w:val="0"/>
          <w:sz w:val="24"/>
          <w:szCs w:val="24"/>
          <w:highlight w:val="none"/>
        </w:rPr>
        <w:t>孟州市化工园区周边土地规划安全控制线划定</w:t>
      </w:r>
      <w:r>
        <w:rPr>
          <w:rFonts w:hint="eastAsia" w:ascii="宋体" w:hAnsi="宋体" w:cs="仿宋"/>
          <w:b w:val="0"/>
          <w:bCs w:val="0"/>
          <w:sz w:val="24"/>
          <w:szCs w:val="24"/>
          <w:highlight w:val="none"/>
          <w:lang w:val="en-US" w:eastAsia="zh-CN"/>
        </w:rPr>
        <w:t>报告》，邀请省市级行业专家进行对报告评审，并按照专家评审意见修改完善，出具最终版《</w:t>
      </w:r>
      <w:r>
        <w:rPr>
          <w:rFonts w:hint="eastAsia" w:ascii="宋体" w:hAnsi="宋体" w:cs="仿宋"/>
          <w:b w:val="0"/>
          <w:bCs w:val="0"/>
          <w:sz w:val="24"/>
          <w:szCs w:val="24"/>
          <w:highlight w:val="none"/>
        </w:rPr>
        <w:t>孟州市化工园区整体性安全风险评价报告</w:t>
      </w:r>
      <w:r>
        <w:rPr>
          <w:rFonts w:hint="eastAsia" w:ascii="宋体" w:hAnsi="宋体" w:cs="仿宋"/>
          <w:b w:val="0"/>
          <w:bCs w:val="0"/>
          <w:sz w:val="24"/>
          <w:szCs w:val="24"/>
          <w:highlight w:val="none"/>
          <w:lang w:val="en-US" w:eastAsia="zh-CN"/>
        </w:rPr>
        <w:t>》及《</w:t>
      </w:r>
      <w:r>
        <w:rPr>
          <w:rFonts w:hint="eastAsia" w:ascii="宋体" w:hAnsi="宋体" w:cs="仿宋"/>
          <w:b w:val="0"/>
          <w:bCs w:val="0"/>
          <w:sz w:val="24"/>
          <w:szCs w:val="24"/>
          <w:highlight w:val="none"/>
        </w:rPr>
        <w:t>孟州市化工园区周边土地规划安全控制线划定</w:t>
      </w:r>
      <w:r>
        <w:rPr>
          <w:rFonts w:hint="eastAsia" w:ascii="宋体" w:hAnsi="宋体" w:cs="仿宋"/>
          <w:b w:val="0"/>
          <w:bCs w:val="0"/>
          <w:sz w:val="24"/>
          <w:szCs w:val="24"/>
          <w:highlight w:val="none"/>
          <w:lang w:val="en-US" w:eastAsia="zh-CN"/>
        </w:rPr>
        <w:t>报告》。</w:t>
      </w:r>
    </w:p>
    <w:p>
      <w:bookmarkStart w:id="3" w:name="_GoBack"/>
      <w:bookmarkEnd w:id="3"/>
    </w:p>
    <w:sectPr>
      <w:pgSz w:w="11906" w:h="16838"/>
      <w:pgMar w:top="1440" w:right="1800" w:bottom="1440" w:left="180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I1YTI5ZjM1YzNmYWMxZWZiMDVkM2EyY2FiODg0N2UifQ=="/>
    <w:docVar w:name="KSO_WPS_MARK_KEY" w:val="298b8a11-4130-4737-83c7-d0ed45510389"/>
  </w:docVars>
  <w:rsids>
    <w:rsidRoot w:val="00000000"/>
    <w:rsid w:val="6F5506A8"/>
    <w:rsid w:val="7CB139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w:basedOn w:val="3"/>
    <w:next w:val="5"/>
    <w:qFormat/>
    <w:uiPriority w:val="0"/>
    <w:pPr>
      <w:ind w:firstLine="420"/>
    </w:pPr>
    <w:rPr>
      <w:rFonts w:eastAsia="楷体_GB2312"/>
      <w:sz w:val="32"/>
      <w:szCs w:val="20"/>
    </w:rPr>
  </w:style>
  <w:style w:type="paragraph" w:styleId="3">
    <w:name w:val="Body Text"/>
    <w:basedOn w:val="1"/>
    <w:next w:val="4"/>
    <w:qFormat/>
    <w:uiPriority w:val="0"/>
    <w:pPr>
      <w:spacing w:after="120"/>
    </w:pPr>
  </w:style>
  <w:style w:type="paragraph" w:styleId="4">
    <w:name w:val="Body Text 2"/>
    <w:basedOn w:val="1"/>
    <w:qFormat/>
    <w:uiPriority w:val="0"/>
    <w:pPr>
      <w:jc w:val="center"/>
    </w:pPr>
    <w:rPr>
      <w:rFonts w:ascii="楷体_GB2312" w:eastAsia="楷体_GB2312"/>
      <w:b/>
      <w:sz w:val="36"/>
      <w:szCs w:val="48"/>
    </w:rPr>
  </w:style>
  <w:style w:type="paragraph" w:styleId="5">
    <w:name w:val="Body Text First Indent 2"/>
    <w:basedOn w:val="6"/>
    <w:next w:val="1"/>
    <w:qFormat/>
    <w:uiPriority w:val="0"/>
    <w:pPr>
      <w:ind w:firstLine="420"/>
      <w:jc w:val="left"/>
    </w:pPr>
    <w:rPr>
      <w:szCs w:val="20"/>
    </w:rPr>
  </w:style>
  <w:style w:type="paragraph" w:styleId="6">
    <w:name w:val="Body Text Indent"/>
    <w:basedOn w:val="1"/>
    <w:next w:val="7"/>
    <w:qFormat/>
    <w:uiPriority w:val="0"/>
    <w:pPr>
      <w:spacing w:after="120"/>
      <w:ind w:left="420" w:leftChars="200"/>
    </w:pPr>
  </w:style>
  <w:style w:type="paragraph" w:styleId="7">
    <w:name w:val="envelope return"/>
    <w:basedOn w:val="1"/>
    <w:qFormat/>
    <w:uiPriority w:val="0"/>
    <w:pPr>
      <w:snapToGrid w:val="0"/>
    </w:pPr>
    <w:rPr>
      <w:rFonts w:ascii="Arial" w:hAnsi="Arial"/>
    </w:rPr>
  </w:style>
  <w:style w:type="paragraph" w:styleId="8">
    <w:name w:val="Plain Text"/>
    <w:basedOn w:val="1"/>
    <w:qFormat/>
    <w:uiPriority w:val="0"/>
    <w:pPr>
      <w:widowControl/>
      <w:overflowPunct w:val="0"/>
      <w:autoSpaceDE w:val="0"/>
      <w:autoSpaceDN w:val="0"/>
      <w:adjustRightInd w:val="0"/>
      <w:jc w:val="left"/>
      <w:textAlignment w:val="baseline"/>
    </w:pPr>
    <w:rPr>
      <w:rFonts w:ascii="宋体" w:hAnsi="Courier New"/>
      <w:kern w:val="0"/>
      <w:szCs w:val="21"/>
    </w:rPr>
  </w:style>
  <w:style w:type="character" w:customStyle="1" w:styleId="11">
    <w:name w:val="NormalCharacter_0"/>
    <w:qFormat/>
    <w:uiPriority w:val="0"/>
    <w:rPr>
      <w:rFonts w:ascii="Calibri" w:hAnsi="Calibr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2023-02-14T01:44:00Z</dcterms:created>
  <dc:creator>Administrator</dc:creator>
  <cp:lastModifiedBy>园园</cp:lastModifiedBy>
  <dcterms:modified xsi:type="dcterms:W3CDTF">2024-04-28T08:10:16Z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9B768F2D66C6467295DF51B8308E88CE</vt:lpwstr>
  </property>
</Properties>
</file>