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inorEastAsia" w:hAnsiTheme="minorEastAsia" w:eastAsiaTheme="minorEastAsia" w:cstheme="minorEastAsia"/>
          <w:b/>
          <w:bCs/>
          <w:sz w:val="72"/>
          <w:szCs w:val="72"/>
          <w:lang w:val="en-US" w:eastAsia="zh-CN"/>
        </w:rPr>
      </w:pPr>
    </w:p>
    <w:p>
      <w:pPr>
        <w:spacing w:line="360" w:lineRule="auto"/>
        <w:jc w:val="center"/>
        <w:rPr>
          <w:rFonts w:hint="eastAsia" w:ascii="宋体" w:hAnsi="宋体"/>
          <w:b/>
          <w:sz w:val="84"/>
          <w:szCs w:val="84"/>
        </w:rPr>
      </w:pPr>
      <w:r>
        <w:rPr>
          <w:rFonts w:hint="eastAsia" w:asciiTheme="minorEastAsia" w:hAnsiTheme="minorEastAsia" w:eastAsiaTheme="minorEastAsia" w:cstheme="minorEastAsia"/>
          <w:b/>
          <w:bCs/>
          <w:sz w:val="72"/>
          <w:szCs w:val="72"/>
          <w:lang w:val="en-US" w:eastAsia="zh-CN"/>
        </w:rPr>
        <w:t>孟州市化工园区整体性安全风险评价报告及划定化工园区周边土地规划安全控制线</w:t>
      </w:r>
    </w:p>
    <w:p>
      <w:pPr>
        <w:spacing w:line="360" w:lineRule="auto"/>
        <w:jc w:val="center"/>
        <w:rPr>
          <w:rFonts w:hint="eastAsia"/>
          <w:sz w:val="84"/>
          <w:szCs w:val="84"/>
          <w:lang w:eastAsia="zh-CN"/>
        </w:rPr>
      </w:pPr>
      <w:r>
        <w:rPr>
          <w:rFonts w:hint="eastAsia" w:ascii="宋体" w:hAnsi="宋体"/>
          <w:b/>
          <w:sz w:val="84"/>
          <w:szCs w:val="84"/>
        </w:rPr>
        <w:t>招 标</w:t>
      </w:r>
      <w:r>
        <w:rPr>
          <w:rFonts w:ascii="宋体" w:hAnsi="宋体"/>
          <w:b/>
          <w:sz w:val="84"/>
          <w:szCs w:val="84"/>
        </w:rPr>
        <w:t xml:space="preserve"> </w:t>
      </w:r>
      <w:r>
        <w:rPr>
          <w:rFonts w:hint="eastAsia" w:ascii="宋体" w:hAnsi="宋体"/>
          <w:b/>
          <w:sz w:val="84"/>
          <w:szCs w:val="84"/>
        </w:rPr>
        <w:t>文</w:t>
      </w:r>
      <w:r>
        <w:rPr>
          <w:rFonts w:ascii="宋体" w:hAnsi="宋体"/>
          <w:b/>
          <w:sz w:val="84"/>
          <w:szCs w:val="84"/>
        </w:rPr>
        <w:t xml:space="preserve"> </w:t>
      </w:r>
      <w:r>
        <w:rPr>
          <w:rFonts w:hint="eastAsia" w:ascii="宋体" w:hAnsi="宋体"/>
          <w:b/>
          <w:sz w:val="84"/>
          <w:szCs w:val="84"/>
        </w:rPr>
        <w:t>件</w:t>
      </w:r>
    </w:p>
    <w:p>
      <w:pPr>
        <w:spacing w:line="360" w:lineRule="auto"/>
        <w:ind w:left="0" w:leftChars="0" w:firstLine="480" w:firstLineChars="200"/>
        <w:jc w:val="both"/>
        <w:rPr>
          <w:rFonts w:hint="eastAsia" w:asciiTheme="minorEastAsia" w:hAnsiTheme="minorEastAsia" w:eastAsiaTheme="minorEastAsia" w:cstheme="minorEastAsia"/>
          <w:b w:val="0"/>
          <w:bCs w:val="0"/>
          <w:sz w:val="24"/>
          <w:szCs w:val="24"/>
          <w:lang w:eastAsia="zh-CN"/>
        </w:rPr>
      </w:pPr>
    </w:p>
    <w:p>
      <w:pPr>
        <w:spacing w:line="360" w:lineRule="auto"/>
        <w:ind w:left="0" w:leftChars="0" w:firstLine="480" w:firstLineChars="200"/>
        <w:jc w:val="both"/>
        <w:rPr>
          <w:rFonts w:hint="eastAsia" w:asciiTheme="minorEastAsia" w:hAnsiTheme="minorEastAsia" w:eastAsiaTheme="minorEastAsia" w:cstheme="minorEastAsia"/>
          <w:b w:val="0"/>
          <w:bCs w:val="0"/>
          <w:sz w:val="24"/>
          <w:szCs w:val="24"/>
          <w:lang w:eastAsia="zh-CN"/>
        </w:rPr>
      </w:pPr>
    </w:p>
    <w:p>
      <w:pPr>
        <w:spacing w:line="360" w:lineRule="auto"/>
        <w:ind w:left="0" w:leftChars="0" w:firstLine="480" w:firstLineChars="200"/>
        <w:jc w:val="both"/>
        <w:rPr>
          <w:rFonts w:hint="eastAsia" w:asciiTheme="minorEastAsia" w:hAnsiTheme="minorEastAsia" w:eastAsiaTheme="minorEastAsia" w:cstheme="minorEastAsia"/>
          <w:b w:val="0"/>
          <w:bCs w:val="0"/>
          <w:sz w:val="24"/>
          <w:szCs w:val="24"/>
          <w:lang w:eastAsia="zh-CN"/>
        </w:rPr>
      </w:pPr>
    </w:p>
    <w:p>
      <w:pPr>
        <w:spacing w:line="360" w:lineRule="auto"/>
        <w:ind w:left="0" w:leftChars="0" w:firstLine="480" w:firstLineChars="200"/>
        <w:jc w:val="both"/>
        <w:rPr>
          <w:rFonts w:hint="eastAsia" w:asciiTheme="minorEastAsia" w:hAnsiTheme="minorEastAsia" w:eastAsiaTheme="minorEastAsia" w:cstheme="minorEastAsia"/>
          <w:b w:val="0"/>
          <w:bCs w:val="0"/>
          <w:sz w:val="24"/>
          <w:szCs w:val="24"/>
          <w:lang w:eastAsia="zh-CN"/>
        </w:rPr>
      </w:pPr>
    </w:p>
    <w:p>
      <w:pPr>
        <w:spacing w:line="360" w:lineRule="auto"/>
        <w:ind w:left="0" w:leftChars="0" w:firstLine="480" w:firstLineChars="200"/>
        <w:jc w:val="both"/>
        <w:rPr>
          <w:rFonts w:hint="eastAsia" w:asciiTheme="minorEastAsia" w:hAnsiTheme="minorEastAsia" w:eastAsiaTheme="minorEastAsia" w:cstheme="minorEastAsia"/>
          <w:b w:val="0"/>
          <w:bCs w:val="0"/>
          <w:sz w:val="24"/>
          <w:szCs w:val="24"/>
          <w:lang w:eastAsia="zh-CN"/>
        </w:rPr>
      </w:pPr>
    </w:p>
    <w:p>
      <w:pPr>
        <w:spacing w:line="360" w:lineRule="auto"/>
        <w:jc w:val="both"/>
        <w:rPr>
          <w:rFonts w:hint="eastAsia" w:asciiTheme="minorEastAsia" w:hAnsiTheme="minorEastAsia" w:eastAsiaTheme="minorEastAsia" w:cstheme="minorEastAsia"/>
          <w:b w:val="0"/>
          <w:bCs w:val="0"/>
          <w:sz w:val="24"/>
          <w:szCs w:val="24"/>
          <w:lang w:eastAsia="zh-CN"/>
        </w:rPr>
      </w:pPr>
    </w:p>
    <w:p>
      <w:pPr>
        <w:spacing w:line="360" w:lineRule="auto"/>
        <w:ind w:left="0" w:leftChars="0" w:firstLine="1606" w:firstLineChars="0"/>
        <w:jc w:val="both"/>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eastAsia="zh-CN"/>
        </w:rPr>
        <w:t>采购</w:t>
      </w:r>
      <w:r>
        <w:rPr>
          <w:rFonts w:hint="eastAsia" w:asciiTheme="minorEastAsia" w:hAnsiTheme="minorEastAsia" w:eastAsiaTheme="minorEastAsia" w:cstheme="minorEastAsia"/>
          <w:b/>
          <w:bCs/>
          <w:sz w:val="28"/>
          <w:szCs w:val="28"/>
        </w:rPr>
        <w:t>编号：</w:t>
      </w:r>
      <w:r>
        <w:rPr>
          <w:rFonts w:hint="eastAsia" w:asciiTheme="minorEastAsia" w:hAnsiTheme="minorEastAsia" w:eastAsiaTheme="minorEastAsia" w:cstheme="minorEastAsia"/>
          <w:b/>
          <w:bCs/>
          <w:sz w:val="28"/>
          <w:szCs w:val="28"/>
          <w:lang w:val="en-US"/>
        </w:rPr>
        <w:t>MZCG</w:t>
      </w:r>
      <w:r>
        <w:rPr>
          <w:rFonts w:hint="eastAsia" w:asciiTheme="minorEastAsia" w:hAnsiTheme="minorEastAsia" w:eastAsiaTheme="minorEastAsia" w:cstheme="minorEastAsia"/>
          <w:b/>
          <w:bCs/>
          <w:sz w:val="28"/>
          <w:szCs w:val="28"/>
          <w:lang w:val="en-US" w:eastAsia="zh-CN"/>
        </w:rPr>
        <w:t>2024028</w:t>
      </w:r>
    </w:p>
    <w:p>
      <w:pPr>
        <w:spacing w:line="360" w:lineRule="auto"/>
        <w:ind w:left="0" w:leftChars="0" w:firstLine="1606" w:firstLineChars="0"/>
        <w:jc w:val="both"/>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eastAsia="zh-CN"/>
        </w:rPr>
        <w:t>交易编号：</w:t>
      </w:r>
      <w:r>
        <w:rPr>
          <w:rFonts w:hint="eastAsia" w:asciiTheme="minorEastAsia" w:hAnsiTheme="minorEastAsia" w:eastAsiaTheme="minorEastAsia" w:cstheme="minorEastAsia"/>
          <w:b/>
          <w:bCs/>
          <w:sz w:val="28"/>
          <w:szCs w:val="28"/>
          <w:lang w:val="en-US" w:eastAsia="zh-CN"/>
        </w:rPr>
        <w:t>MZJYZ2024022</w:t>
      </w:r>
    </w:p>
    <w:p>
      <w:pPr>
        <w:spacing w:line="360" w:lineRule="auto"/>
        <w:ind w:left="0" w:leftChars="0" w:firstLine="1606" w:firstLineChars="0"/>
        <w:jc w:val="both"/>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rPr>
        <w:t>采 购 人：</w:t>
      </w:r>
      <w:r>
        <w:rPr>
          <w:rFonts w:hint="eastAsia" w:asciiTheme="minorEastAsia" w:hAnsiTheme="minorEastAsia" w:eastAsiaTheme="minorEastAsia" w:cstheme="minorEastAsia"/>
          <w:b/>
          <w:bCs/>
          <w:sz w:val="28"/>
          <w:szCs w:val="28"/>
          <w:lang w:val="en-US" w:eastAsia="zh-CN"/>
        </w:rPr>
        <w:t>孟州高新技术产业开发区管理委员会</w:t>
      </w:r>
    </w:p>
    <w:p>
      <w:pPr>
        <w:spacing w:line="360" w:lineRule="auto"/>
        <w:ind w:left="0" w:leftChars="0" w:firstLine="1606" w:firstLineChars="0"/>
        <w:jc w:val="both"/>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代理机构：河南省至诚招标采购服务有限公司</w:t>
      </w:r>
    </w:p>
    <w:p>
      <w:pPr>
        <w:spacing w:line="360" w:lineRule="auto"/>
        <w:ind w:left="0" w:leftChars="0" w:firstLine="1613" w:firstLineChars="574"/>
        <w:rPr>
          <w:rFonts w:ascii="宋体" w:hAnsi="宋体" w:cs="仿宋"/>
          <w:b/>
          <w:sz w:val="28"/>
          <w:szCs w:val="28"/>
        </w:rPr>
        <w:sectPr>
          <w:headerReference r:id="rId4" w:type="first"/>
          <w:headerReference r:id="rId3" w:type="default"/>
          <w:footerReference r:id="rId5" w:type="default"/>
          <w:pgSz w:w="11906" w:h="16838"/>
          <w:pgMar w:top="1134" w:right="1134" w:bottom="1134" w:left="1134" w:header="851" w:footer="992" w:gutter="0"/>
          <w:pgNumType w:fmt="decimal" w:start="1"/>
          <w:cols w:space="720" w:num="1"/>
          <w:titlePg/>
          <w:docGrid w:type="lines" w:linePitch="312" w:charSpace="0"/>
        </w:sectPr>
      </w:pPr>
      <w:r>
        <w:rPr>
          <w:rFonts w:hint="eastAsia" w:asciiTheme="minorEastAsia" w:hAnsiTheme="minorEastAsia" w:eastAsiaTheme="minorEastAsia" w:cstheme="minorEastAsia"/>
          <w:b/>
          <w:bCs/>
          <w:sz w:val="28"/>
          <w:szCs w:val="28"/>
        </w:rPr>
        <w:t>日    期：二〇二</w:t>
      </w:r>
      <w:r>
        <w:rPr>
          <w:rFonts w:hint="eastAsia" w:asciiTheme="minorEastAsia" w:hAnsiTheme="minorEastAsia" w:eastAsiaTheme="minorEastAsia" w:cstheme="minorEastAsia"/>
          <w:b/>
          <w:bCs/>
          <w:sz w:val="28"/>
          <w:szCs w:val="28"/>
          <w:lang w:eastAsia="zh-CN"/>
        </w:rPr>
        <w:t>四</w:t>
      </w:r>
      <w:r>
        <w:rPr>
          <w:rFonts w:hint="eastAsia" w:asciiTheme="minorEastAsia" w:hAnsiTheme="minorEastAsia" w:eastAsiaTheme="minorEastAsia" w:cstheme="minorEastAsia"/>
          <w:b/>
          <w:bCs/>
          <w:sz w:val="28"/>
          <w:szCs w:val="28"/>
        </w:rPr>
        <w:t>年</w:t>
      </w:r>
      <w:r>
        <w:rPr>
          <w:rFonts w:hint="eastAsia" w:asciiTheme="minorEastAsia" w:hAnsiTheme="minorEastAsia" w:eastAsiaTheme="minorEastAsia" w:cstheme="minorEastAsia"/>
          <w:b/>
          <w:bCs/>
          <w:sz w:val="28"/>
          <w:szCs w:val="28"/>
          <w:lang w:eastAsia="zh-CN"/>
        </w:rPr>
        <w:t>四</w:t>
      </w:r>
      <w:r>
        <w:rPr>
          <w:rFonts w:hint="eastAsia" w:asciiTheme="minorEastAsia" w:hAnsiTheme="minorEastAsia" w:eastAsiaTheme="minorEastAsia" w:cstheme="minorEastAsia"/>
          <w:b/>
          <w:bCs/>
          <w:sz w:val="28"/>
          <w:szCs w:val="28"/>
        </w:rPr>
        <w:t>月</w:t>
      </w:r>
    </w:p>
    <w:p>
      <w:pPr>
        <w:tabs>
          <w:tab w:val="center" w:pos="4199"/>
          <w:tab w:val="left" w:pos="5942"/>
        </w:tabs>
        <w:spacing w:line="360" w:lineRule="auto"/>
        <w:jc w:val="left"/>
        <w:rPr>
          <w:rFonts w:hint="eastAsia" w:ascii="宋体" w:hAnsi="宋体" w:eastAsia="宋体" w:cs="仿宋"/>
          <w:b/>
          <w:bCs/>
          <w:sz w:val="30"/>
          <w:szCs w:val="30"/>
          <w:lang w:eastAsia="zh-CN"/>
        </w:rPr>
      </w:pPr>
      <w:r>
        <w:rPr>
          <w:rFonts w:hint="eastAsia" w:ascii="宋体" w:hAnsi="宋体" w:cs="仿宋"/>
          <w:b/>
          <w:bCs/>
          <w:sz w:val="30"/>
          <w:szCs w:val="30"/>
          <w:lang w:eastAsia="zh-CN"/>
        </w:rPr>
        <w:tab/>
      </w:r>
      <w:r>
        <w:rPr>
          <w:rFonts w:hint="eastAsia" w:ascii="宋体" w:hAnsi="宋体" w:cs="仿宋"/>
          <w:b/>
          <w:bCs/>
          <w:sz w:val="30"/>
          <w:szCs w:val="30"/>
        </w:rPr>
        <w:t>目   录</w:t>
      </w:r>
      <w:r>
        <w:rPr>
          <w:rFonts w:hint="eastAsia" w:ascii="宋体" w:hAnsi="宋体" w:cs="仿宋"/>
          <w:b/>
          <w:bCs/>
          <w:sz w:val="30"/>
          <w:szCs w:val="30"/>
          <w:lang w:eastAsia="zh-CN"/>
        </w:rPr>
        <w:tab/>
      </w:r>
    </w:p>
    <w:p>
      <w:pPr>
        <w:pStyle w:val="46"/>
        <w:tabs>
          <w:tab w:val="right" w:leader="dot" w:pos="8279"/>
          <w:tab w:val="clear" w:pos="9060"/>
        </w:tabs>
        <w:spacing w:line="360" w:lineRule="auto"/>
        <w:rPr>
          <w:rFonts w:hint="eastAsia" w:asciiTheme="minorEastAsia" w:hAnsiTheme="minorEastAsia" w:eastAsiaTheme="minorEastAsia" w:cstheme="minorEastAsia"/>
          <w:sz w:val="24"/>
          <w:szCs w:val="24"/>
        </w:rPr>
      </w:pPr>
      <w:bookmarkStart w:id="0" w:name="_Toc98041600"/>
      <w:r>
        <w:rPr>
          <w:rFonts w:hint="eastAsia" w:cs="仿宋"/>
          <w:b/>
          <w:bCs/>
          <w:caps w:val="0"/>
        </w:rPr>
        <w:fldChar w:fldCharType="begin"/>
      </w:r>
      <w:r>
        <w:rPr>
          <w:rFonts w:hint="eastAsia" w:cs="仿宋"/>
          <w:b/>
          <w:bCs/>
          <w:caps w:val="0"/>
        </w:rPr>
        <w:instrText xml:space="preserve">TOC \o "1-3" \h \z \u</w:instrText>
      </w:r>
      <w:r>
        <w:rPr>
          <w:rFonts w:hint="eastAsia" w:cs="仿宋"/>
          <w:b/>
          <w:bCs/>
          <w:caps w:val="0"/>
        </w:rPr>
        <w:fldChar w:fldCharType="separate"/>
      </w:r>
      <w:r>
        <w:rPr>
          <w:rFonts w:hint="eastAsia" w:asciiTheme="minorEastAsia" w:hAnsiTheme="minorEastAsia" w:eastAsiaTheme="minorEastAsia" w:cstheme="minorEastAsia"/>
          <w:bCs/>
          <w:caps w:val="0"/>
          <w:sz w:val="24"/>
          <w:szCs w:val="24"/>
        </w:rPr>
        <w:fldChar w:fldCharType="begin"/>
      </w:r>
      <w:r>
        <w:rPr>
          <w:rFonts w:hint="eastAsia" w:asciiTheme="minorEastAsia" w:hAnsiTheme="minorEastAsia" w:eastAsiaTheme="minorEastAsia" w:cstheme="minorEastAsia"/>
          <w:bCs/>
          <w:caps w:val="0"/>
          <w:sz w:val="24"/>
          <w:szCs w:val="24"/>
        </w:rPr>
        <w:instrText xml:space="preserve"> HYPERLINK \l _Toc9782 </w:instrText>
      </w:r>
      <w:r>
        <w:rPr>
          <w:rFonts w:hint="eastAsia" w:asciiTheme="minorEastAsia" w:hAnsiTheme="minorEastAsia" w:eastAsiaTheme="minorEastAsia" w:cstheme="minorEastAsia"/>
          <w:bCs/>
          <w:caps w:val="0"/>
          <w:sz w:val="24"/>
          <w:szCs w:val="24"/>
        </w:rPr>
        <w:fldChar w:fldCharType="separate"/>
      </w:r>
      <w:r>
        <w:rPr>
          <w:rFonts w:hint="eastAsia" w:asciiTheme="minorEastAsia" w:hAnsiTheme="minorEastAsia" w:eastAsiaTheme="minorEastAsia" w:cstheme="minorEastAsia"/>
          <w:bCs/>
          <w:sz w:val="24"/>
          <w:szCs w:val="24"/>
        </w:rPr>
        <w:t>第一章 公开招标公告</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_Toc9782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val="0"/>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_Toc11521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一、项目基本情况</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_Toc11521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_Toc30634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二、申请人的资格要求：</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_Toc30634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_Toc10878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lang w:eastAsia="zh-CN"/>
        </w:rPr>
        <w:t>三、</w:t>
      </w:r>
      <w:r>
        <w:rPr>
          <w:rFonts w:hint="eastAsia" w:asciiTheme="minorEastAsia" w:hAnsiTheme="minorEastAsia" w:eastAsiaTheme="minorEastAsia" w:cstheme="minorEastAsia"/>
          <w:bCs/>
          <w:sz w:val="24"/>
          <w:szCs w:val="24"/>
        </w:rPr>
        <w:t>获取招标文件</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_Toc10878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_Toc2504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四、投标截止时间及地点</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_Toc2504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_Toc13322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五、开标时间及地点</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_Toc13322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_Toc3731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六、发布公告的媒介及招标公告期限</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_Toc3731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6</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_Toc7678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七、其他补充事宜</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_Toc7678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6</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_Toc20955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八、凡对本次招标提出询问，请按以下方式联系</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_Toc20955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6</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46"/>
        <w:tabs>
          <w:tab w:val="right" w:leader="dot" w:pos="8279"/>
          <w:tab w:val="clear" w:pos="9060"/>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_Toc4697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caps/>
          <w:sz w:val="24"/>
          <w:szCs w:val="24"/>
        </w:rPr>
        <w:t>第二章</w:t>
      </w:r>
      <w:r>
        <w:rPr>
          <w:rFonts w:hint="eastAsia" w:asciiTheme="minorEastAsia" w:hAnsiTheme="minorEastAsia" w:eastAsiaTheme="minorEastAsia" w:cstheme="minorEastAsia"/>
          <w:sz w:val="24"/>
          <w:szCs w:val="24"/>
        </w:rPr>
        <w:t xml:space="preserve">  供应商须知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_Toc4697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8</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_Toc30027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sz w:val="24"/>
          <w:szCs w:val="24"/>
        </w:rPr>
        <w:t>供应商须知前附表</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_Toc30027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8</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_Toc29984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lang w:val="en-US" w:eastAsia="zh-CN"/>
        </w:rPr>
        <w:t>1.0</w:t>
      </w:r>
      <w:r>
        <w:rPr>
          <w:rFonts w:hint="eastAsia" w:asciiTheme="minorEastAsia" w:hAnsiTheme="minorEastAsia" w:eastAsiaTheme="minorEastAsia" w:cstheme="minorEastAsia"/>
          <w:bCs/>
          <w:sz w:val="24"/>
          <w:szCs w:val="24"/>
        </w:rPr>
        <w:t>总则</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_Toc29984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14</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36"/>
        <w:tabs>
          <w:tab w:val="right" w:leader="dot" w:pos="8279"/>
        </w:tabs>
        <w:spacing w:line="360" w:lineRule="auto"/>
        <w:ind w:left="838" w:leftChars="221" w:hanging="374" w:hangingChars="1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_Toc9360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sz w:val="24"/>
          <w:szCs w:val="24"/>
        </w:rPr>
        <w:t>2. 招标文件</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_Toc9360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16</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36"/>
        <w:tabs>
          <w:tab w:val="right" w:leader="dot" w:pos="8279"/>
        </w:tabs>
        <w:spacing w:line="360" w:lineRule="auto"/>
        <w:ind w:left="838" w:leftChars="221" w:hanging="374" w:hangingChars="1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_Toc27012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sz w:val="24"/>
          <w:szCs w:val="24"/>
        </w:rPr>
        <w:t>3. 投标文件</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_Toc27012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17</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36"/>
        <w:tabs>
          <w:tab w:val="right" w:leader="dot" w:pos="8279"/>
        </w:tabs>
        <w:spacing w:line="360" w:lineRule="auto"/>
        <w:ind w:left="838" w:leftChars="221" w:hanging="374" w:hangingChars="1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_Toc15393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sz w:val="24"/>
          <w:szCs w:val="24"/>
        </w:rPr>
        <w:t>4. 投标</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_Toc15393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18</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36"/>
        <w:tabs>
          <w:tab w:val="right" w:leader="dot" w:pos="8279"/>
        </w:tabs>
        <w:spacing w:line="360" w:lineRule="auto"/>
        <w:ind w:left="838" w:leftChars="221" w:hanging="374" w:hangingChars="156"/>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_Toc19725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sz w:val="24"/>
          <w:szCs w:val="24"/>
        </w:rPr>
        <w:t>5. 开标</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_Toc19725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_Toc30832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6. 资格审查</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_Toc30832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19</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_Toc12933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7. 评标</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_Toc12933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20</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_Toc2940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8. 授予合同</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_Toc2940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23</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_Toc30503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9. 其他</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_Toc30503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25</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46"/>
        <w:tabs>
          <w:tab w:val="right" w:leader="dot" w:pos="8279"/>
          <w:tab w:val="clear" w:pos="9060"/>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_Toc27620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第三章  资格审查、评标及定标</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_Toc27620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26</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_Toc21535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sz w:val="24"/>
          <w:szCs w:val="24"/>
        </w:rPr>
        <w:t>（一）初步评审</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_Toc21535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27</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55"/>
        <w:tabs>
          <w:tab w:val="right" w:leader="dot" w:pos="8279"/>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_Toc16138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sz w:val="24"/>
          <w:szCs w:val="24"/>
        </w:rPr>
        <w:t>（二）详细评审</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_Toc16138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28</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46"/>
        <w:tabs>
          <w:tab w:val="right" w:leader="dot" w:pos="8279"/>
          <w:tab w:val="clear" w:pos="9060"/>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_Toc28322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sz w:val="24"/>
          <w:szCs w:val="24"/>
        </w:rPr>
        <w:t>第</w:t>
      </w:r>
      <w:r>
        <w:rPr>
          <w:rFonts w:hint="eastAsia" w:asciiTheme="minorEastAsia" w:hAnsiTheme="minorEastAsia" w:eastAsiaTheme="minorEastAsia" w:cstheme="minorEastAsia"/>
          <w:sz w:val="24"/>
          <w:szCs w:val="24"/>
          <w:lang w:eastAsia="zh-CN"/>
        </w:rPr>
        <w:t>四</w:t>
      </w:r>
      <w:r>
        <w:rPr>
          <w:rFonts w:hint="eastAsia" w:asciiTheme="minorEastAsia" w:hAnsiTheme="minorEastAsia" w:eastAsiaTheme="minorEastAsia" w:cstheme="minorEastAsia"/>
          <w:sz w:val="24"/>
          <w:szCs w:val="24"/>
        </w:rPr>
        <w:t>章  采购人需求</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_Toc28322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31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46"/>
        <w:tabs>
          <w:tab w:val="right" w:leader="dot" w:pos="8279"/>
          <w:tab w:val="clear" w:pos="9060"/>
        </w:tabs>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_Toc15681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bCs/>
          <w:sz w:val="24"/>
          <w:szCs w:val="24"/>
        </w:rPr>
        <w:t>第</w:t>
      </w:r>
      <w:r>
        <w:rPr>
          <w:rFonts w:hint="eastAsia" w:asciiTheme="minorEastAsia" w:hAnsiTheme="minorEastAsia" w:eastAsiaTheme="minorEastAsia" w:cstheme="minorEastAsia"/>
          <w:bCs/>
          <w:sz w:val="24"/>
          <w:szCs w:val="24"/>
          <w:lang w:eastAsia="zh-CN"/>
        </w:rPr>
        <w:t>五</w:t>
      </w:r>
      <w:r>
        <w:rPr>
          <w:rFonts w:hint="eastAsia" w:asciiTheme="minorEastAsia" w:hAnsiTheme="minorEastAsia" w:eastAsiaTheme="minorEastAsia" w:cstheme="minorEastAsia"/>
          <w:bCs/>
          <w:sz w:val="24"/>
          <w:szCs w:val="24"/>
        </w:rPr>
        <w:t>章  合同协议书（格式）</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_Toc15681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33</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pStyle w:val="46"/>
        <w:tabs>
          <w:tab w:val="right" w:leader="dot" w:pos="8279"/>
          <w:tab w:val="clear" w:pos="9060"/>
        </w:tabs>
        <w:spacing w:line="360" w:lineRule="auto"/>
      </w:pPr>
      <w:r>
        <w:rPr>
          <w:rFonts w:hint="eastAsia" w:asciiTheme="minorEastAsia" w:hAnsiTheme="minorEastAsia" w:eastAsiaTheme="minorEastAsia" w:cstheme="minorEastAsia"/>
          <w:bCs/>
          <w:caps/>
          <w:sz w:val="24"/>
          <w:szCs w:val="24"/>
        </w:rPr>
        <w:fldChar w:fldCharType="begin"/>
      </w:r>
      <w:r>
        <w:rPr>
          <w:rFonts w:hint="eastAsia" w:asciiTheme="minorEastAsia" w:hAnsiTheme="minorEastAsia" w:eastAsiaTheme="minorEastAsia" w:cstheme="minorEastAsia"/>
          <w:bCs/>
          <w:caps/>
          <w:sz w:val="24"/>
          <w:szCs w:val="24"/>
        </w:rPr>
        <w:instrText xml:space="preserve"> HYPERLINK \l _Toc28131 </w:instrText>
      </w:r>
      <w:r>
        <w:rPr>
          <w:rFonts w:hint="eastAsia" w:asciiTheme="minorEastAsia" w:hAnsiTheme="minorEastAsia" w:eastAsiaTheme="minorEastAsia" w:cstheme="minorEastAsia"/>
          <w:bCs/>
          <w:caps/>
          <w:sz w:val="24"/>
          <w:szCs w:val="24"/>
        </w:rPr>
        <w:fldChar w:fldCharType="separate"/>
      </w:r>
      <w:r>
        <w:rPr>
          <w:rFonts w:hint="eastAsia" w:asciiTheme="minorEastAsia" w:hAnsiTheme="minorEastAsia" w:eastAsiaTheme="minorEastAsia" w:cstheme="minorEastAsia"/>
          <w:kern w:val="0"/>
          <w:sz w:val="24"/>
          <w:szCs w:val="24"/>
        </w:rPr>
        <w:t>第</w:t>
      </w:r>
      <w:r>
        <w:rPr>
          <w:rFonts w:hint="eastAsia" w:asciiTheme="minorEastAsia" w:hAnsiTheme="minorEastAsia" w:eastAsiaTheme="minorEastAsia" w:cstheme="minorEastAsia"/>
          <w:kern w:val="0"/>
          <w:sz w:val="24"/>
          <w:szCs w:val="24"/>
          <w:lang w:eastAsia="zh-CN"/>
        </w:rPr>
        <w:t>六</w:t>
      </w:r>
      <w:r>
        <w:rPr>
          <w:rFonts w:hint="eastAsia" w:asciiTheme="minorEastAsia" w:hAnsiTheme="minorEastAsia" w:eastAsiaTheme="minorEastAsia" w:cstheme="minorEastAsia"/>
          <w:kern w:val="0"/>
          <w:sz w:val="24"/>
          <w:szCs w:val="24"/>
        </w:rPr>
        <w:t>章  响应文件部分格式</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PAGEREF _Toc28131 \h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33</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bCs/>
          <w:caps/>
          <w:sz w:val="24"/>
          <w:szCs w:val="24"/>
        </w:rPr>
        <w:fldChar w:fldCharType="end"/>
      </w:r>
    </w:p>
    <w:p>
      <w:pPr>
        <w:tabs>
          <w:tab w:val="right" w:pos="7560"/>
        </w:tabs>
        <w:spacing w:line="480" w:lineRule="auto"/>
        <w:jc w:val="left"/>
        <w:rPr>
          <w:rFonts w:ascii="宋体" w:hAnsi="宋体" w:cs="仿宋"/>
          <w:bCs/>
          <w:caps/>
          <w:szCs w:val="21"/>
        </w:rPr>
      </w:pPr>
      <w:r>
        <w:rPr>
          <w:rFonts w:hint="eastAsia" w:ascii="宋体" w:hAnsi="宋体" w:cs="仿宋"/>
          <w:bCs/>
          <w:caps/>
        </w:rPr>
        <w:fldChar w:fldCharType="end"/>
      </w:r>
    </w:p>
    <w:p>
      <w:pPr>
        <w:tabs>
          <w:tab w:val="right" w:pos="7560"/>
        </w:tabs>
        <w:spacing w:line="240" w:lineRule="auto"/>
        <w:jc w:val="center"/>
        <w:rPr>
          <w:rFonts w:hint="eastAsia" w:asciiTheme="minorEastAsia" w:hAnsiTheme="minorEastAsia" w:eastAsiaTheme="minorEastAsia" w:cstheme="minorEastAsia"/>
          <w:b/>
          <w:bCs/>
          <w:sz w:val="24"/>
          <w:szCs w:val="24"/>
        </w:rPr>
      </w:pPr>
      <w:r>
        <w:rPr>
          <w:rFonts w:hint="eastAsia" w:ascii="宋体" w:hAnsi="宋体" w:cs="仿宋"/>
          <w:b/>
          <w:bCs/>
          <w:sz w:val="28"/>
          <w:szCs w:val="28"/>
        </w:rPr>
        <w:br w:type="page"/>
      </w:r>
      <w:bookmarkStart w:id="1" w:name="_Toc32835829"/>
      <w:bookmarkStart w:id="2" w:name="_Toc21575"/>
      <w:bookmarkStart w:id="3" w:name="_Toc430160310"/>
      <w:r>
        <w:rPr>
          <w:rFonts w:hint="eastAsia" w:asciiTheme="minorEastAsia" w:hAnsiTheme="minorEastAsia" w:eastAsiaTheme="minorEastAsia" w:cstheme="minorEastAsia"/>
          <w:b/>
          <w:bCs/>
          <w:sz w:val="40"/>
          <w:szCs w:val="40"/>
        </w:rPr>
        <w:t>温馨提示</w:t>
      </w:r>
    </w:p>
    <w:p>
      <w:pPr>
        <w:numPr>
          <w:ilvl w:val="0"/>
          <w:numId w:val="0"/>
        </w:numPr>
        <w:tabs>
          <w:tab w:val="right" w:pos="7560"/>
        </w:tabs>
        <w:spacing w:line="240" w:lineRule="auto"/>
        <w:jc w:val="both"/>
        <w:outlineLvl w:val="9"/>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供应商注册供应商应首先办理 CA 数字证书及电子签章（具体办理事宜请查询</w:t>
      </w:r>
      <w:r>
        <w:rPr>
          <w:rFonts w:hint="eastAsia" w:asciiTheme="minorEastAsia" w:hAnsiTheme="minorEastAsia" w:eastAsiaTheme="minorEastAsia" w:cstheme="minorEastAsia"/>
          <w:sz w:val="24"/>
          <w:szCs w:val="24"/>
          <w:lang w:eastAsia="zh-CN"/>
        </w:rPr>
        <w:t>焦作</w:t>
      </w:r>
      <w:r>
        <w:rPr>
          <w:rFonts w:hint="eastAsia" w:asciiTheme="minorEastAsia" w:hAnsiTheme="minorEastAsia" w:eastAsiaTheme="minorEastAsia" w:cstheme="minorEastAsia"/>
          <w:sz w:val="24"/>
          <w:szCs w:val="24"/>
        </w:rPr>
        <w:t>市公共资源交易中心网站办事指南）；方能完成市场主体信息库入库登记（具体办理事宜请查询</w:t>
      </w:r>
      <w:r>
        <w:rPr>
          <w:rFonts w:hint="eastAsia" w:asciiTheme="minorEastAsia" w:hAnsiTheme="minorEastAsia" w:eastAsiaTheme="minorEastAsia" w:cstheme="minorEastAsia"/>
          <w:sz w:val="24"/>
          <w:szCs w:val="24"/>
          <w:lang w:eastAsia="zh-CN"/>
        </w:rPr>
        <w:t>焦作</w:t>
      </w:r>
      <w:r>
        <w:rPr>
          <w:rFonts w:hint="eastAsia" w:asciiTheme="minorEastAsia" w:hAnsiTheme="minorEastAsia" w:eastAsiaTheme="minorEastAsia" w:cstheme="minorEastAsia"/>
          <w:sz w:val="24"/>
          <w:szCs w:val="24"/>
        </w:rPr>
        <w:t>市公共资源交易中心网站</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办事指南）；市场主体信息库入库登记通过后，凭 CA 数字证书登陆市场主体系统，按网上提示报名并下载</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文件及资料。</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2.响应文件制作</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2.1供应商通过“</w:t>
      </w:r>
      <w:r>
        <w:rPr>
          <w:rFonts w:hint="eastAsia" w:asciiTheme="minorEastAsia" w:hAnsiTheme="minorEastAsia" w:eastAsiaTheme="minorEastAsia" w:cstheme="minorEastAsia"/>
          <w:sz w:val="24"/>
          <w:szCs w:val="24"/>
          <w:lang w:eastAsia="zh-CN"/>
        </w:rPr>
        <w:t>焦作</w:t>
      </w:r>
      <w:r>
        <w:rPr>
          <w:rFonts w:hint="eastAsia" w:asciiTheme="minorEastAsia" w:hAnsiTheme="minorEastAsia" w:eastAsiaTheme="minorEastAsia" w:cstheme="minorEastAsia"/>
          <w:sz w:val="24"/>
          <w:szCs w:val="24"/>
        </w:rPr>
        <w:t>市公共资源交易中心”网站</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办事指南（办事指南及下载专区）：下载“投标文件制作工具安装包压缩文件下载”等。</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2.2供应商凭 CA 数字证书登陆市场主体并按网上提示自行下载项目所含格式</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jztf）</w:t>
      </w:r>
      <w:r>
        <w:rPr>
          <w:rFonts w:hint="eastAsia" w:asciiTheme="minorEastAsia" w:hAnsiTheme="minorEastAsia" w:eastAsiaTheme="minorEastAsia" w:cstheme="minorEastAsia"/>
          <w:sz w:val="24"/>
          <w:szCs w:val="24"/>
        </w:rPr>
        <w:t>的</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2.3供应商须在响应文件递交截止时间前制作并提交：加密的电子响应文件（.</w:t>
      </w:r>
      <w:r>
        <w:rPr>
          <w:rFonts w:hint="eastAsia" w:asciiTheme="minorEastAsia" w:hAnsiTheme="minorEastAsia" w:eastAsiaTheme="minorEastAsia" w:cstheme="minorEastAsia"/>
          <w:sz w:val="24"/>
          <w:szCs w:val="24"/>
          <w:lang w:val="en-US" w:eastAsia="zh-CN"/>
        </w:rPr>
        <w:t>jztf</w:t>
      </w:r>
      <w:r>
        <w:rPr>
          <w:rFonts w:hint="eastAsia" w:asciiTheme="minorEastAsia" w:hAnsiTheme="minorEastAsia" w:eastAsiaTheme="minorEastAsia" w:cstheme="minorEastAsia"/>
          <w:sz w:val="24"/>
          <w:szCs w:val="24"/>
        </w:rPr>
        <w:t>格式）</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应在响应文件截止时间前通过“</w:t>
      </w:r>
      <w:r>
        <w:rPr>
          <w:rFonts w:hint="eastAsia" w:asciiTheme="minorEastAsia" w:hAnsiTheme="minorEastAsia" w:eastAsiaTheme="minorEastAsia" w:cstheme="minorEastAsia"/>
          <w:sz w:val="24"/>
          <w:szCs w:val="24"/>
          <w:lang w:eastAsia="zh-CN"/>
        </w:rPr>
        <w:t>焦作</w:t>
      </w:r>
      <w:r>
        <w:rPr>
          <w:rFonts w:hint="eastAsia" w:asciiTheme="minorEastAsia" w:hAnsiTheme="minorEastAsia" w:eastAsiaTheme="minorEastAsia" w:cstheme="minorEastAsia"/>
          <w:sz w:val="24"/>
          <w:szCs w:val="24"/>
        </w:rPr>
        <w:t>市公共资源交易中心”电子交易平台内上传；</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2.4加密的电子响应文件为“</w:t>
      </w:r>
      <w:r>
        <w:rPr>
          <w:rFonts w:hint="eastAsia" w:asciiTheme="minorEastAsia" w:hAnsiTheme="minorEastAsia" w:eastAsiaTheme="minorEastAsia" w:cstheme="minorEastAsia"/>
          <w:sz w:val="24"/>
          <w:szCs w:val="24"/>
          <w:lang w:eastAsia="zh-CN"/>
        </w:rPr>
        <w:t>焦作</w:t>
      </w:r>
      <w:r>
        <w:rPr>
          <w:rFonts w:hint="eastAsia" w:asciiTheme="minorEastAsia" w:hAnsiTheme="minorEastAsia" w:eastAsiaTheme="minorEastAsia" w:cstheme="minorEastAsia"/>
          <w:sz w:val="24"/>
          <w:szCs w:val="24"/>
        </w:rPr>
        <w:t>市公共资源交易中心”网站提供的“响应文件制作工具”软件制作生成的加密版响应文件。</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2.5供应商在制作电子响应文件完成后须加盖电子签章或公章（包括企业电子签章或公章、个人电子签章或签名）。</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2.6响应文件开启时，各供应商须派法定代表人或其经授权的委托代理人参加，并携带本单位CA数字证书（制作响应文件时所使用的CA数字证书），在</w:t>
      </w:r>
      <w:r>
        <w:rPr>
          <w:rFonts w:hint="eastAsia" w:asciiTheme="minorEastAsia" w:hAnsiTheme="minorEastAsia" w:eastAsiaTheme="minorEastAsia" w:cstheme="minorEastAsia"/>
          <w:sz w:val="24"/>
          <w:szCs w:val="24"/>
          <w:lang w:eastAsia="zh-CN"/>
        </w:rPr>
        <w:t>网上</w:t>
      </w:r>
      <w:r>
        <w:rPr>
          <w:rFonts w:hint="eastAsia" w:asciiTheme="minorEastAsia" w:hAnsiTheme="minorEastAsia" w:eastAsiaTheme="minorEastAsia" w:cstheme="minorEastAsia"/>
          <w:sz w:val="24"/>
          <w:szCs w:val="24"/>
        </w:rPr>
        <w:t>进行响应文件解密。</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供应商（供应商）编制投标（响应）文件时，涉及营业执照、资质、业绩、获奖、人员、财务、社保、纳税、各类证书等内容，必须在响应文件中提供电子版（响应文件中应附清晰的复印件或扫描件，由于模糊不清导致评标委员会无法辨别的，后果由供应商自行承担）。</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2.8</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文件格式所要求包含的全部资料应全部制作在响应文件内，</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文件所有格式如实填写（不涉及的内容除外），不应存在漏项或缺项，否则将存在响应文件被拒绝的风险。开标一览表，须严格按照格式编辑，并作为电子开评标系统上传的依据。</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2.9响应文件以外的任何资料采购人和采购代理机构将拒收。</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2.10供应商编辑电子响应文件时，根据</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文件要求用法人 CA 数字证书和企业 CA 数字证书进行签章制作；最后一步生成电子响应文件（.</w:t>
      </w:r>
      <w:r>
        <w:rPr>
          <w:rFonts w:hint="eastAsia" w:asciiTheme="minorEastAsia" w:hAnsiTheme="minorEastAsia" w:eastAsiaTheme="minorEastAsia" w:cstheme="minorEastAsia"/>
          <w:sz w:val="24"/>
          <w:szCs w:val="24"/>
          <w:lang w:val="en-US" w:eastAsia="zh-CN"/>
        </w:rPr>
        <w:t>jztf</w:t>
      </w:r>
      <w:r>
        <w:rPr>
          <w:rFonts w:hint="eastAsia" w:asciiTheme="minorEastAsia" w:hAnsiTheme="minorEastAsia" w:eastAsiaTheme="minorEastAsia" w:cstheme="minorEastAsia"/>
          <w:sz w:val="24"/>
          <w:szCs w:val="24"/>
        </w:rPr>
        <w:t xml:space="preserve"> 格式）时，只能用本单位的企业 CA 数字证书。</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2.11未尽事宜请供应商仔细阅读</w:t>
      </w:r>
      <w:r>
        <w:rPr>
          <w:rFonts w:hint="eastAsia" w:asciiTheme="minorEastAsia" w:hAnsiTheme="minorEastAsia" w:eastAsiaTheme="minorEastAsia" w:cstheme="minorEastAsia"/>
          <w:sz w:val="24"/>
          <w:szCs w:val="24"/>
          <w:lang w:eastAsia="zh-CN"/>
        </w:rPr>
        <w:t>焦作</w:t>
      </w:r>
      <w:r>
        <w:rPr>
          <w:rFonts w:hint="eastAsia" w:asciiTheme="minorEastAsia" w:hAnsiTheme="minorEastAsia" w:eastAsiaTheme="minorEastAsia" w:cstheme="minorEastAsia"/>
          <w:sz w:val="24"/>
          <w:szCs w:val="24"/>
        </w:rPr>
        <w:t>市公共资源交易平台相关操作手册或说明，如遇使用问题请拨打</w:t>
      </w:r>
      <w:r>
        <w:rPr>
          <w:rFonts w:hint="eastAsia" w:asciiTheme="minorEastAsia" w:hAnsiTheme="minorEastAsia" w:eastAsiaTheme="minorEastAsia" w:cstheme="minorEastAsia"/>
          <w:sz w:val="24"/>
          <w:szCs w:val="24"/>
          <w:lang w:val="en-US" w:eastAsia="zh-CN"/>
        </w:rPr>
        <w:t>平台统一技术服务电话：400-998-0000，服务 QQ:4008503300，服务时间：周一至周日 8:00-17:30 （北京时间）</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2.12</w:t>
      </w:r>
      <w:r>
        <w:rPr>
          <w:rFonts w:hint="eastAsia" w:asciiTheme="minorEastAsia" w:hAnsiTheme="minorEastAsia" w:eastAsiaTheme="minorEastAsia" w:cstheme="minorEastAsia"/>
          <w:sz w:val="24"/>
          <w:szCs w:val="24"/>
        </w:rPr>
        <w:t>澄清与修改采购人、采购代理机构对已发出的</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文件进行的澄清与修改，澄清、修改的内容将作为</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文件的组成部分。采购代理机构将通过</w:t>
      </w:r>
      <w:r>
        <w:rPr>
          <w:rFonts w:hint="eastAsia" w:asciiTheme="minorEastAsia" w:hAnsiTheme="minorEastAsia" w:eastAsiaTheme="minorEastAsia" w:cstheme="minorEastAsia"/>
          <w:sz w:val="24"/>
          <w:szCs w:val="24"/>
          <w:lang w:eastAsia="zh-CN"/>
        </w:rPr>
        <w:t>焦作</w:t>
      </w:r>
      <w:r>
        <w:rPr>
          <w:rFonts w:hint="eastAsia" w:asciiTheme="minorEastAsia" w:hAnsiTheme="minorEastAsia" w:eastAsiaTheme="minorEastAsia" w:cstheme="minorEastAsia"/>
          <w:sz w:val="24"/>
          <w:szCs w:val="24"/>
        </w:rPr>
        <w:t>市公共资源交易平台系统内部“答疑文件”告知供应商，对于各项目中已经成功报名并下载</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文件的项目供应商，供应商自行进行相关查询。各供应商须重新下载最新的</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文件和答疑文件，以此编制响应文件。采购代理机构不承担供应商未收到澄清或变更而引起的一切后果和法律责任。</w:t>
      </w:r>
    </w:p>
    <w:p>
      <w:pPr>
        <w:keepNext w:val="0"/>
        <w:keepLines w:val="0"/>
        <w:pageBreakBefore w:val="0"/>
        <w:widowControl w:val="0"/>
        <w:numPr>
          <w:ilvl w:val="0"/>
          <w:numId w:val="0"/>
        </w:numPr>
        <w:tabs>
          <w:tab w:val="right" w:pos="7560"/>
        </w:tabs>
        <w:kinsoku/>
        <w:wordWrap/>
        <w:overflowPunct/>
        <w:topLinePunct w:val="0"/>
        <w:autoSpaceDE/>
        <w:autoSpaceDN/>
        <w:bidi w:val="0"/>
        <w:adjustRightInd/>
        <w:snapToGrid/>
        <w:spacing w:line="360" w:lineRule="auto"/>
        <w:ind w:left="0" w:leftChars="0" w:firstLine="679" w:firstLineChars="283"/>
        <w:jc w:val="left"/>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.供应商在</w:t>
      </w:r>
      <w:r>
        <w:rPr>
          <w:rFonts w:hint="eastAsia" w:asciiTheme="minorEastAsia" w:hAnsiTheme="minorEastAsia" w:eastAsiaTheme="minorEastAsia" w:cstheme="minorEastAsia"/>
          <w:sz w:val="24"/>
          <w:szCs w:val="24"/>
          <w:lang w:eastAsia="zh-CN"/>
        </w:rPr>
        <w:t>投标</w:t>
      </w:r>
      <w:r>
        <w:rPr>
          <w:rFonts w:hint="eastAsia" w:asciiTheme="minorEastAsia" w:hAnsiTheme="minorEastAsia" w:eastAsiaTheme="minorEastAsia" w:cstheme="minorEastAsia"/>
          <w:sz w:val="24"/>
          <w:szCs w:val="24"/>
        </w:rPr>
        <w:t>文件递交截止时间前须自行查看项目进展、变更通知、澄清及回复，因供应商未及时查看而造成的后果自行承担。</w:t>
      </w:r>
    </w:p>
    <w:p>
      <w:pPr>
        <w:adjustRightInd w:val="0"/>
        <w:snapToGrid w:val="0"/>
        <w:spacing w:before="100" w:beforeAutospacing="1" w:after="100" w:afterAutospacing="1"/>
        <w:ind w:left="0" w:leftChars="0" w:firstLine="682" w:firstLineChars="283"/>
        <w:jc w:val="center"/>
        <w:outlineLvl w:val="9"/>
        <w:rPr>
          <w:rFonts w:hint="eastAsia" w:asciiTheme="minorEastAsia" w:hAnsiTheme="minorEastAsia" w:eastAsiaTheme="minorEastAsia" w:cstheme="minorEastAsia"/>
          <w:b/>
          <w:bCs/>
          <w:sz w:val="24"/>
          <w:szCs w:val="24"/>
        </w:rPr>
        <w:sectPr>
          <w:headerReference r:id="rId6" w:type="default"/>
          <w:footerReference r:id="rId7" w:type="default"/>
          <w:pgSz w:w="11907" w:h="16840"/>
          <w:pgMar w:top="1474" w:right="1814" w:bottom="1474" w:left="1814" w:header="851" w:footer="850" w:gutter="0"/>
          <w:pgNumType w:fmt="decimal" w:start="1"/>
          <w:cols w:space="0" w:num="1"/>
          <w:rtlGutter w:val="0"/>
          <w:docGrid w:linePitch="462" w:charSpace="0"/>
        </w:sectPr>
      </w:pPr>
    </w:p>
    <w:p>
      <w:pPr>
        <w:numPr>
          <w:ilvl w:val="0"/>
          <w:numId w:val="1"/>
        </w:numPr>
        <w:adjustRightInd w:val="0"/>
        <w:snapToGrid w:val="0"/>
        <w:spacing w:before="100" w:beforeAutospacing="1" w:after="100" w:afterAutospacing="1"/>
        <w:ind w:firstLine="723" w:firstLineChars="200"/>
        <w:jc w:val="center"/>
        <w:outlineLvl w:val="0"/>
        <w:rPr>
          <w:rFonts w:hint="eastAsia" w:asciiTheme="minorEastAsia" w:hAnsiTheme="minorEastAsia" w:eastAsiaTheme="minorEastAsia" w:cstheme="minorEastAsia"/>
          <w:b/>
          <w:bCs/>
          <w:sz w:val="36"/>
          <w:szCs w:val="36"/>
        </w:rPr>
      </w:pPr>
      <w:bookmarkStart w:id="4" w:name="_Toc9782"/>
      <w:bookmarkStart w:id="5" w:name="_Toc14029"/>
      <w:bookmarkStart w:id="6" w:name="_Toc25829"/>
      <w:r>
        <w:rPr>
          <w:rFonts w:hint="eastAsia" w:asciiTheme="minorEastAsia" w:hAnsiTheme="minorEastAsia" w:eastAsiaTheme="minorEastAsia" w:cstheme="minorEastAsia"/>
          <w:b/>
          <w:bCs/>
          <w:sz w:val="36"/>
          <w:szCs w:val="36"/>
        </w:rPr>
        <w:t>公开招标公告</w:t>
      </w:r>
      <w:bookmarkEnd w:id="1"/>
      <w:bookmarkEnd w:id="2"/>
      <w:bookmarkEnd w:id="3"/>
      <w:bookmarkEnd w:id="4"/>
      <w:bookmarkEnd w:id="5"/>
      <w:bookmarkEnd w:id="6"/>
    </w:p>
    <w:p>
      <w:pPr>
        <w:adjustRightInd w:val="0"/>
        <w:snapToGrid w:val="0"/>
        <w:spacing w:before="40" w:after="40" w:line="336"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项目概况</w:t>
      </w:r>
    </w:p>
    <w:p>
      <w:pPr>
        <w:adjustRightInd w:val="0"/>
        <w:snapToGrid w:val="0"/>
        <w:spacing w:before="40" w:after="40" w:line="336"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孟州市化工园区整体性安全风险评价报告及划定化工园区周边土地规划安全控制线</w:t>
      </w:r>
    </w:p>
    <w:p>
      <w:pPr>
        <w:adjustRightInd w:val="0"/>
        <w:snapToGrid w:val="0"/>
        <w:spacing w:before="40" w:after="40" w:line="336" w:lineRule="auto"/>
        <w:ind w:firstLine="480" w:firstLineChars="200"/>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的潜在供应商应在焦作市公共资源交易中心网站会员系统（</w:t>
      </w:r>
      <w:r>
        <w:rPr>
          <w:rFonts w:hint="eastAsia" w:asciiTheme="minorEastAsia" w:hAnsiTheme="minorEastAsia" w:eastAsiaTheme="minorEastAsia" w:cstheme="minorEastAsia"/>
          <w:bCs/>
          <w:sz w:val="24"/>
          <w:szCs w:val="24"/>
          <w:lang w:val="en-US" w:eastAsia="zh-CN"/>
        </w:rPr>
        <w:fldChar w:fldCharType="begin"/>
      </w:r>
      <w:r>
        <w:rPr>
          <w:rFonts w:hint="eastAsia" w:asciiTheme="minorEastAsia" w:hAnsiTheme="minorEastAsia" w:eastAsiaTheme="minorEastAsia" w:cstheme="minorEastAsia"/>
          <w:bCs/>
          <w:sz w:val="24"/>
          <w:szCs w:val="24"/>
          <w:lang w:val="en-US" w:eastAsia="zh-CN"/>
        </w:rPr>
        <w:instrText xml:space="preserve"> HYPERLINK "http://www.jzggzy.cn）获取磋商文件，并于2021年" </w:instrText>
      </w:r>
      <w:r>
        <w:rPr>
          <w:rFonts w:hint="eastAsia" w:asciiTheme="minorEastAsia" w:hAnsiTheme="minorEastAsia" w:eastAsiaTheme="minorEastAsia" w:cstheme="minorEastAsia"/>
          <w:bCs/>
          <w:sz w:val="24"/>
          <w:szCs w:val="24"/>
          <w:lang w:val="en-US" w:eastAsia="zh-CN"/>
        </w:rPr>
        <w:fldChar w:fldCharType="separate"/>
      </w:r>
      <w:r>
        <w:rPr>
          <w:rFonts w:hint="eastAsia" w:asciiTheme="minorEastAsia" w:hAnsiTheme="minorEastAsia" w:eastAsiaTheme="minorEastAsia" w:cstheme="minorEastAsia"/>
          <w:bCs/>
          <w:sz w:val="24"/>
          <w:szCs w:val="24"/>
          <w:lang w:val="en-US" w:eastAsia="zh-CN"/>
        </w:rPr>
        <w:t>http://ggzy.jiaozuo.cn）获取招标文件，并于2024年</w:t>
      </w:r>
      <w:r>
        <w:rPr>
          <w:rFonts w:hint="eastAsia" w:asciiTheme="minorEastAsia" w:hAnsiTheme="minorEastAsia" w:eastAsiaTheme="minorEastAsia" w:cstheme="minorEastAsia"/>
          <w:bCs/>
          <w:sz w:val="24"/>
          <w:szCs w:val="24"/>
          <w:lang w:val="en-US" w:eastAsia="zh-CN"/>
        </w:rPr>
        <w:fldChar w:fldCharType="end"/>
      </w:r>
      <w:r>
        <w:rPr>
          <w:rFonts w:hint="eastAsia" w:asciiTheme="minorEastAsia" w:hAnsiTheme="minorEastAsia" w:eastAsiaTheme="minorEastAsia" w:cstheme="minorEastAsia"/>
          <w:bCs/>
          <w:sz w:val="24"/>
          <w:szCs w:val="24"/>
          <w:lang w:val="en-US" w:eastAsia="zh-CN"/>
        </w:rPr>
        <w:t>5月22日9点00分（北京时间）前提交响应文件。</w:t>
      </w:r>
    </w:p>
    <w:p>
      <w:pPr>
        <w:wordWrap w:val="0"/>
        <w:adjustRightInd w:val="0"/>
        <w:snapToGrid w:val="0"/>
        <w:spacing w:before="40" w:after="40" w:line="336" w:lineRule="auto"/>
        <w:ind w:firstLine="482" w:firstLineChars="200"/>
        <w:outlineLvl w:val="1"/>
        <w:rPr>
          <w:rFonts w:hint="eastAsia" w:asciiTheme="minorEastAsia" w:hAnsiTheme="minorEastAsia" w:eastAsiaTheme="minorEastAsia" w:cstheme="minorEastAsia"/>
          <w:b/>
          <w:bCs/>
          <w:sz w:val="24"/>
          <w:szCs w:val="24"/>
        </w:rPr>
      </w:pPr>
      <w:bookmarkStart w:id="7" w:name="_Toc11521"/>
      <w:bookmarkStart w:id="8" w:name="_Toc6892"/>
      <w:r>
        <w:rPr>
          <w:rFonts w:hint="eastAsia" w:asciiTheme="minorEastAsia" w:hAnsiTheme="minorEastAsia" w:eastAsiaTheme="minorEastAsia" w:cstheme="minorEastAsia"/>
          <w:b/>
          <w:bCs/>
          <w:sz w:val="24"/>
          <w:szCs w:val="24"/>
        </w:rPr>
        <w:t>一、项目基本情况</w:t>
      </w:r>
      <w:bookmarkEnd w:id="7"/>
      <w:bookmarkEnd w:id="8"/>
    </w:p>
    <w:p>
      <w:pPr>
        <w:wordWrap w:val="0"/>
        <w:adjustRightInd w:val="0"/>
        <w:snapToGrid w:val="0"/>
        <w:spacing w:line="360" w:lineRule="auto"/>
        <w:ind w:firstLine="480" w:firstLineChars="200"/>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Cs/>
          <w:sz w:val="24"/>
          <w:szCs w:val="24"/>
        </w:rPr>
        <w:t>1.项目编号：</w:t>
      </w:r>
      <w:r>
        <w:rPr>
          <w:rFonts w:hint="eastAsia" w:asciiTheme="minorEastAsia" w:hAnsiTheme="minorEastAsia" w:eastAsiaTheme="minorEastAsia" w:cstheme="minorEastAsia"/>
          <w:b w:val="0"/>
          <w:bCs/>
          <w:sz w:val="24"/>
          <w:szCs w:val="24"/>
        </w:rPr>
        <w:t>采购编号：MZCG</w:t>
      </w:r>
      <w:r>
        <w:rPr>
          <w:rFonts w:hint="eastAsia" w:asciiTheme="minorEastAsia" w:hAnsiTheme="minorEastAsia" w:eastAsiaTheme="minorEastAsia" w:cstheme="minorEastAsia"/>
          <w:b w:val="0"/>
          <w:bCs/>
          <w:sz w:val="24"/>
          <w:szCs w:val="24"/>
          <w:lang w:val="en-US" w:eastAsia="zh-CN"/>
        </w:rPr>
        <w:t xml:space="preserve">2024028            </w:t>
      </w:r>
      <w:r>
        <w:rPr>
          <w:rFonts w:hint="eastAsia" w:asciiTheme="minorEastAsia" w:hAnsiTheme="minorEastAsia" w:eastAsiaTheme="minorEastAsia" w:cstheme="minorEastAsia"/>
          <w:b w:val="0"/>
          <w:bCs/>
          <w:sz w:val="24"/>
          <w:szCs w:val="24"/>
        </w:rPr>
        <w:t xml:space="preserve">  </w:t>
      </w:r>
      <w:r>
        <w:rPr>
          <w:rFonts w:hint="eastAsia" w:asciiTheme="minorEastAsia" w:hAnsiTheme="minorEastAsia" w:eastAsiaTheme="minorEastAsia" w:cstheme="minorEastAsia"/>
          <w:b w:val="0"/>
          <w:bCs/>
          <w:sz w:val="24"/>
          <w:szCs w:val="24"/>
          <w:lang w:val="en-US" w:eastAsia="zh-CN"/>
        </w:rPr>
        <w:t xml:space="preserve"> </w:t>
      </w:r>
      <w:r>
        <w:rPr>
          <w:rFonts w:hint="eastAsia" w:asciiTheme="minorEastAsia" w:hAnsiTheme="minorEastAsia" w:eastAsiaTheme="minorEastAsia" w:cstheme="minorEastAsia"/>
          <w:b w:val="0"/>
          <w:bCs/>
          <w:sz w:val="24"/>
          <w:szCs w:val="24"/>
        </w:rPr>
        <w:t>交易编号：</w:t>
      </w:r>
      <w:r>
        <w:rPr>
          <w:rFonts w:hint="eastAsia" w:asciiTheme="minorEastAsia" w:hAnsiTheme="minorEastAsia" w:eastAsiaTheme="minorEastAsia" w:cstheme="minorEastAsia"/>
          <w:b w:val="0"/>
          <w:bCs/>
          <w:sz w:val="24"/>
          <w:szCs w:val="24"/>
          <w:lang w:eastAsia="zh-CN"/>
        </w:rPr>
        <w:t>MZJYZ</w:t>
      </w:r>
      <w:r>
        <w:rPr>
          <w:rFonts w:hint="eastAsia" w:asciiTheme="minorEastAsia" w:hAnsiTheme="minorEastAsia" w:eastAsiaTheme="minorEastAsia" w:cstheme="minorEastAsia"/>
          <w:b w:val="0"/>
          <w:bCs/>
          <w:sz w:val="24"/>
          <w:szCs w:val="24"/>
          <w:lang w:val="en-US" w:eastAsia="zh-CN"/>
        </w:rPr>
        <w:t xml:space="preserve">2024022   </w:t>
      </w:r>
    </w:p>
    <w:p>
      <w:pPr>
        <w:wordWrap w:val="0"/>
        <w:adjustRightInd w:val="0"/>
        <w:snapToGrid w:val="0"/>
        <w:spacing w:line="360"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2.项目名称：</w:t>
      </w:r>
      <w:r>
        <w:rPr>
          <w:rFonts w:hint="eastAsia" w:asciiTheme="minorEastAsia" w:hAnsiTheme="minorEastAsia" w:eastAsiaTheme="minorEastAsia" w:cstheme="minorEastAsia"/>
          <w:bCs/>
          <w:sz w:val="24"/>
          <w:szCs w:val="24"/>
          <w:lang w:val="en-US" w:eastAsia="zh-CN"/>
        </w:rPr>
        <w:t>孟州市化工园区整体性安全风险评价报告及划定化工园区周边土地规划安全控制线</w:t>
      </w:r>
    </w:p>
    <w:p>
      <w:pPr>
        <w:wordWrap w:val="0"/>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3.采购方式：公开招标</w:t>
      </w:r>
    </w:p>
    <w:p>
      <w:pPr>
        <w:wordWrap w:val="0"/>
        <w:adjustRightInd w:val="0"/>
        <w:snapToGrid w:val="0"/>
        <w:spacing w:line="360" w:lineRule="auto"/>
        <w:ind w:firstLine="480" w:firstLineChars="200"/>
        <w:rPr>
          <w:rFonts w:hint="default" w:asciiTheme="minorEastAsia" w:hAnsiTheme="minorEastAsia" w:eastAsiaTheme="minorEastAsia" w:cstheme="minorEastAsia"/>
          <w:bCs/>
          <w:sz w:val="24"/>
          <w:szCs w:val="24"/>
          <w:lang w:val="en-US"/>
        </w:rPr>
      </w:pPr>
      <w:r>
        <w:rPr>
          <w:rFonts w:hint="eastAsia" w:asciiTheme="minorEastAsia" w:hAnsiTheme="minorEastAsia" w:eastAsiaTheme="minorEastAsia" w:cstheme="minorEastAsia"/>
          <w:bCs/>
          <w:sz w:val="24"/>
          <w:szCs w:val="24"/>
        </w:rPr>
        <w:t>4.预算金额：</w:t>
      </w:r>
      <w:r>
        <w:rPr>
          <w:rFonts w:hint="eastAsia" w:asciiTheme="minorEastAsia" w:hAnsiTheme="minorEastAsia" w:eastAsiaTheme="minorEastAsia" w:cstheme="minorEastAsia"/>
          <w:bCs/>
          <w:sz w:val="24"/>
          <w:szCs w:val="24"/>
          <w:lang w:val="en-US" w:eastAsia="zh-CN"/>
        </w:rPr>
        <w:t>50万元</w:t>
      </w:r>
    </w:p>
    <w:p>
      <w:pPr>
        <w:wordWrap w:val="0"/>
        <w:adjustRightInd w:val="0"/>
        <w:snapToGrid w:val="0"/>
        <w:spacing w:line="360"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最高限价：</w:t>
      </w:r>
      <w:r>
        <w:rPr>
          <w:rFonts w:hint="eastAsia" w:asciiTheme="minorEastAsia" w:hAnsiTheme="minorEastAsia" w:eastAsiaTheme="minorEastAsia" w:cstheme="minorEastAsia"/>
          <w:bCs/>
          <w:sz w:val="24"/>
          <w:szCs w:val="24"/>
          <w:lang w:val="en-US" w:eastAsia="zh-CN"/>
        </w:rPr>
        <w:t>50万</w:t>
      </w:r>
      <w:r>
        <w:rPr>
          <w:rFonts w:hint="eastAsia" w:asciiTheme="minorEastAsia" w:hAnsiTheme="minorEastAsia" w:eastAsiaTheme="minorEastAsia" w:cstheme="minorEastAsia"/>
          <w:bCs/>
          <w:sz w:val="24"/>
          <w:szCs w:val="24"/>
        </w:rPr>
        <w:t>元</w:t>
      </w:r>
    </w:p>
    <w:tbl>
      <w:tblPr>
        <w:tblStyle w:val="63"/>
        <w:tblW w:w="78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3255"/>
        <w:gridCol w:w="1780"/>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74" w:type="dxa"/>
            <w:noWrap w:val="0"/>
            <w:vAlign w:val="center"/>
          </w:tcPr>
          <w:p>
            <w:pPr>
              <w:tabs>
                <w:tab w:val="left" w:pos="420"/>
              </w:tabs>
              <w:wordWrap w:val="0"/>
              <w:adjustRightInd w:val="0"/>
              <w:snapToGrid w:val="0"/>
              <w:spacing w:line="336" w:lineRule="auto"/>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序号</w:t>
            </w:r>
          </w:p>
        </w:tc>
        <w:tc>
          <w:tcPr>
            <w:tcW w:w="3255" w:type="dxa"/>
            <w:noWrap w:val="0"/>
            <w:vAlign w:val="center"/>
          </w:tcPr>
          <w:p>
            <w:pPr>
              <w:tabs>
                <w:tab w:val="left" w:pos="420"/>
              </w:tabs>
              <w:wordWrap w:val="0"/>
              <w:adjustRightInd w:val="0"/>
              <w:snapToGrid w:val="0"/>
              <w:spacing w:line="336" w:lineRule="auto"/>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包名称</w:t>
            </w:r>
          </w:p>
        </w:tc>
        <w:tc>
          <w:tcPr>
            <w:tcW w:w="1780" w:type="dxa"/>
            <w:noWrap w:val="0"/>
            <w:vAlign w:val="center"/>
          </w:tcPr>
          <w:p>
            <w:pPr>
              <w:tabs>
                <w:tab w:val="left" w:pos="420"/>
              </w:tabs>
              <w:wordWrap w:val="0"/>
              <w:adjustRightInd w:val="0"/>
              <w:snapToGrid w:val="0"/>
              <w:spacing w:line="336" w:lineRule="auto"/>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包预算（元）</w:t>
            </w:r>
          </w:p>
        </w:tc>
        <w:tc>
          <w:tcPr>
            <w:tcW w:w="1980" w:type="dxa"/>
            <w:noWrap w:val="0"/>
            <w:vAlign w:val="center"/>
          </w:tcPr>
          <w:p>
            <w:pPr>
              <w:tabs>
                <w:tab w:val="left" w:pos="420"/>
              </w:tabs>
              <w:wordWrap w:val="0"/>
              <w:adjustRightInd w:val="0"/>
              <w:snapToGrid w:val="0"/>
              <w:spacing w:line="336" w:lineRule="auto"/>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包最高限价（元）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874" w:type="dxa"/>
            <w:noWrap w:val="0"/>
            <w:vAlign w:val="center"/>
          </w:tcPr>
          <w:p>
            <w:pPr>
              <w:tabs>
                <w:tab w:val="left" w:pos="420"/>
              </w:tabs>
              <w:wordWrap w:val="0"/>
              <w:adjustRightInd w:val="0"/>
              <w:snapToGrid w:val="0"/>
              <w:spacing w:line="336" w:lineRule="auto"/>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w:t>
            </w:r>
          </w:p>
        </w:tc>
        <w:tc>
          <w:tcPr>
            <w:tcW w:w="3255" w:type="dxa"/>
            <w:noWrap w:val="0"/>
            <w:vAlign w:val="center"/>
          </w:tcPr>
          <w:p>
            <w:pPr>
              <w:tabs>
                <w:tab w:val="left" w:pos="420"/>
              </w:tabs>
              <w:wordWrap w:val="0"/>
              <w:adjustRightInd w:val="0"/>
              <w:snapToGrid w:val="0"/>
              <w:spacing w:line="336" w:lineRule="auto"/>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孟州市化工园区整体性安全风险评价报告及划定化工园区周边土地规划安全控制线</w:t>
            </w:r>
          </w:p>
        </w:tc>
        <w:tc>
          <w:tcPr>
            <w:tcW w:w="1780" w:type="dxa"/>
            <w:noWrap w:val="0"/>
            <w:vAlign w:val="center"/>
          </w:tcPr>
          <w:p>
            <w:pPr>
              <w:tabs>
                <w:tab w:val="left" w:pos="420"/>
              </w:tabs>
              <w:wordWrap w:val="0"/>
              <w:adjustRightInd w:val="0"/>
              <w:snapToGrid w:val="0"/>
              <w:spacing w:line="336" w:lineRule="auto"/>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50万</w:t>
            </w:r>
          </w:p>
        </w:tc>
        <w:tc>
          <w:tcPr>
            <w:tcW w:w="1980" w:type="dxa"/>
            <w:noWrap w:val="0"/>
            <w:vAlign w:val="center"/>
          </w:tcPr>
          <w:p>
            <w:pPr>
              <w:tabs>
                <w:tab w:val="left" w:pos="420"/>
              </w:tabs>
              <w:wordWrap w:val="0"/>
              <w:adjustRightInd w:val="0"/>
              <w:snapToGrid w:val="0"/>
              <w:spacing w:line="336" w:lineRule="auto"/>
              <w:jc w:val="center"/>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50万</w:t>
            </w:r>
          </w:p>
        </w:tc>
      </w:tr>
    </w:tbl>
    <w:p>
      <w:pPr>
        <w:wordWrap w:val="0"/>
        <w:adjustRightInd w:val="0"/>
        <w:snapToGrid w:val="0"/>
        <w:spacing w:before="40" w:after="40" w:line="336"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5.采购需求：</w:t>
      </w:r>
    </w:p>
    <w:p>
      <w:pPr>
        <w:tabs>
          <w:tab w:val="left" w:pos="312"/>
        </w:tabs>
        <w:wordWrap w:val="0"/>
        <w:adjustRightInd w:val="0"/>
        <w:snapToGrid w:val="0"/>
        <w:spacing w:line="360"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5.1采购内容：</w:t>
      </w:r>
    </w:p>
    <w:p>
      <w:pPr>
        <w:tabs>
          <w:tab w:val="left" w:pos="312"/>
        </w:tabs>
        <w:wordWrap w:val="0"/>
        <w:adjustRightInd w:val="0"/>
        <w:snapToGrid w:val="0"/>
        <w:spacing w:line="360" w:lineRule="auto"/>
        <w:ind w:firstLine="480" w:firstLineChars="200"/>
        <w:rPr>
          <w:rFonts w:hint="default"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根据有关法律法规编制孟州市化工园区整体性安全风险评价报告及划定化工园区周边土地规划安全控制线（详见第四章采购人需求）。</w:t>
      </w:r>
    </w:p>
    <w:p>
      <w:pPr>
        <w:tabs>
          <w:tab w:val="left" w:pos="312"/>
        </w:tabs>
        <w:wordWrap w:val="0"/>
        <w:adjustRightInd w:val="0"/>
        <w:snapToGrid w:val="0"/>
        <w:spacing w:line="360" w:lineRule="auto"/>
        <w:ind w:firstLine="480" w:firstLineChars="200"/>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5.2</w:t>
      </w:r>
      <w:r>
        <w:rPr>
          <w:rFonts w:hint="eastAsia" w:asciiTheme="minorEastAsia" w:hAnsiTheme="minorEastAsia" w:eastAsiaTheme="minorEastAsia" w:cstheme="minorEastAsia"/>
          <w:bCs/>
          <w:sz w:val="24"/>
          <w:szCs w:val="24"/>
          <w:lang w:val="en-US" w:eastAsia="zh-CN"/>
        </w:rPr>
        <w:t>资金来源：财政资金</w:t>
      </w:r>
    </w:p>
    <w:p>
      <w:pPr>
        <w:tabs>
          <w:tab w:val="left" w:pos="312"/>
        </w:tabs>
        <w:wordWrap w:val="0"/>
        <w:adjustRightInd w:val="0"/>
        <w:snapToGrid w:val="0"/>
        <w:spacing w:line="360"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5.3质量</w:t>
      </w:r>
      <w:r>
        <w:rPr>
          <w:rFonts w:hint="eastAsia" w:asciiTheme="minorEastAsia" w:hAnsiTheme="minorEastAsia" w:eastAsiaTheme="minorEastAsia" w:cstheme="minorEastAsia"/>
          <w:bCs/>
          <w:sz w:val="24"/>
          <w:szCs w:val="24"/>
        </w:rPr>
        <w:t>要求：</w:t>
      </w:r>
      <w:r>
        <w:rPr>
          <w:rFonts w:hint="eastAsia" w:ascii="宋体" w:hAnsi="宋体" w:cs="仿宋"/>
          <w:bCs/>
          <w:sz w:val="24"/>
        </w:rPr>
        <w:t>符合国家、行业验收规范合格标准</w:t>
      </w:r>
    </w:p>
    <w:p>
      <w:pPr>
        <w:tabs>
          <w:tab w:val="left" w:pos="312"/>
        </w:tabs>
        <w:wordWrap w:val="0"/>
        <w:adjustRightInd w:val="0"/>
        <w:snapToGrid w:val="0"/>
        <w:spacing w:line="360" w:lineRule="auto"/>
        <w:ind w:firstLine="480" w:firstLineChars="200"/>
        <w:rPr>
          <w:rFonts w:hint="eastAsia" w:ascii="宋体" w:hAnsi="宋体" w:cs="仿宋" w:eastAsiaTheme="minorEastAsia"/>
          <w:bCs/>
          <w:sz w:val="24"/>
          <w:lang w:eastAsia="zh-CN"/>
        </w:rPr>
      </w:pPr>
      <w:r>
        <w:rPr>
          <w:rFonts w:hint="eastAsia" w:asciiTheme="minorEastAsia" w:hAnsiTheme="minorEastAsia" w:eastAsiaTheme="minorEastAsia" w:cstheme="minorEastAsia"/>
          <w:bCs/>
          <w:sz w:val="24"/>
          <w:szCs w:val="24"/>
        </w:rPr>
        <w:t>5.</w:t>
      </w:r>
      <w:r>
        <w:rPr>
          <w:rFonts w:hint="eastAsia" w:asciiTheme="minorEastAsia" w:hAnsiTheme="minorEastAsia" w:eastAsiaTheme="minorEastAsia" w:cstheme="minorEastAsia"/>
          <w:bCs/>
          <w:sz w:val="24"/>
          <w:szCs w:val="24"/>
          <w:lang w:val="en-US" w:eastAsia="zh-CN"/>
        </w:rPr>
        <w:t>4</w:t>
      </w:r>
      <w:r>
        <w:rPr>
          <w:rFonts w:hint="eastAsia" w:asciiTheme="minorEastAsia" w:hAnsiTheme="minorEastAsia" w:eastAsiaTheme="minorEastAsia" w:cstheme="minorEastAsia"/>
          <w:bCs/>
          <w:sz w:val="24"/>
          <w:szCs w:val="24"/>
          <w:lang w:eastAsia="zh-CN"/>
        </w:rPr>
        <w:t>服务地点</w:t>
      </w:r>
      <w:r>
        <w:rPr>
          <w:rFonts w:hint="eastAsia" w:asciiTheme="minorEastAsia" w:hAnsiTheme="minorEastAsia" w:eastAsiaTheme="minorEastAsia" w:cstheme="minorEastAsia"/>
          <w:bCs/>
          <w:sz w:val="24"/>
          <w:szCs w:val="24"/>
        </w:rPr>
        <w:t>：</w:t>
      </w:r>
      <w:r>
        <w:rPr>
          <w:rFonts w:hint="eastAsia" w:asciiTheme="minorEastAsia" w:hAnsiTheme="minorEastAsia" w:eastAsiaTheme="minorEastAsia" w:cstheme="minorEastAsia"/>
          <w:color w:val="333333"/>
          <w:spacing w:val="6"/>
          <w:sz w:val="24"/>
          <w:szCs w:val="24"/>
          <w:lang w:val="en-US" w:eastAsia="zh-CN"/>
        </w:rPr>
        <w:t>孟州高新技术产业开发区</w:t>
      </w:r>
    </w:p>
    <w:p>
      <w:pPr>
        <w:tabs>
          <w:tab w:val="left" w:pos="312"/>
        </w:tabs>
        <w:wordWrap w:val="0"/>
        <w:adjustRightInd w:val="0"/>
        <w:snapToGrid w:val="0"/>
        <w:spacing w:line="360" w:lineRule="auto"/>
        <w:ind w:firstLine="480" w:firstLineChars="200"/>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rPr>
        <w:t>6.</w:t>
      </w:r>
      <w:r>
        <w:rPr>
          <w:rFonts w:hint="eastAsia" w:asciiTheme="minorEastAsia" w:hAnsiTheme="minorEastAsia" w:eastAsiaTheme="minorEastAsia" w:cstheme="minorEastAsia"/>
          <w:bCs/>
          <w:sz w:val="24"/>
          <w:szCs w:val="24"/>
          <w:lang w:eastAsia="zh-CN"/>
        </w:rPr>
        <w:t>服务</w:t>
      </w:r>
      <w:r>
        <w:rPr>
          <w:rFonts w:hint="eastAsia" w:asciiTheme="minorEastAsia" w:hAnsiTheme="minorEastAsia" w:eastAsiaTheme="minorEastAsia" w:cstheme="minorEastAsia"/>
          <w:bCs/>
          <w:sz w:val="24"/>
          <w:szCs w:val="24"/>
        </w:rPr>
        <w:t>期限：</w:t>
      </w:r>
      <w:r>
        <w:rPr>
          <w:rFonts w:hint="eastAsia" w:asciiTheme="minorEastAsia" w:hAnsiTheme="minorEastAsia" w:eastAsiaTheme="minorEastAsia" w:cstheme="minorEastAsia"/>
          <w:bCs/>
          <w:sz w:val="24"/>
          <w:szCs w:val="24"/>
          <w:highlight w:val="none"/>
          <w:lang w:val="en-US" w:eastAsia="zh-CN"/>
        </w:rPr>
        <w:t>2年</w:t>
      </w:r>
    </w:p>
    <w:p>
      <w:pPr>
        <w:wordWrap w:val="0"/>
        <w:adjustRightInd w:val="0"/>
        <w:snapToGrid w:val="0"/>
        <w:spacing w:line="360"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7.是否接受进口产品：否</w:t>
      </w:r>
    </w:p>
    <w:p>
      <w:pPr>
        <w:wordWrap w:val="0"/>
        <w:adjustRightInd w:val="0"/>
        <w:snapToGrid w:val="0"/>
        <w:spacing w:line="360"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8.本项目是否接受联合体投标：否</w:t>
      </w:r>
    </w:p>
    <w:p>
      <w:pPr>
        <w:wordWrap w:val="0"/>
        <w:adjustRightInd w:val="0"/>
        <w:snapToGrid w:val="0"/>
        <w:spacing w:before="40" w:after="40" w:line="336" w:lineRule="auto"/>
        <w:ind w:firstLine="482" w:firstLineChars="200"/>
        <w:outlineLvl w:val="1"/>
        <w:rPr>
          <w:rFonts w:hint="eastAsia" w:asciiTheme="minorEastAsia" w:hAnsiTheme="minorEastAsia" w:eastAsiaTheme="minorEastAsia" w:cstheme="minorEastAsia"/>
          <w:b/>
          <w:bCs/>
          <w:sz w:val="24"/>
          <w:szCs w:val="24"/>
        </w:rPr>
      </w:pPr>
      <w:bookmarkStart w:id="9" w:name="_Toc35393622"/>
      <w:bookmarkStart w:id="10" w:name="_Toc27224"/>
      <w:bookmarkStart w:id="11" w:name="_Toc28359003"/>
      <w:bookmarkStart w:id="12" w:name="_Toc28359080"/>
      <w:bookmarkStart w:id="13" w:name="_Toc30634"/>
      <w:bookmarkStart w:id="14" w:name="_Toc35393791"/>
      <w:r>
        <w:rPr>
          <w:rFonts w:hint="eastAsia" w:asciiTheme="minorEastAsia" w:hAnsiTheme="minorEastAsia" w:eastAsiaTheme="minorEastAsia" w:cstheme="minorEastAsia"/>
          <w:b/>
          <w:bCs/>
          <w:sz w:val="24"/>
          <w:szCs w:val="24"/>
        </w:rPr>
        <w:t>二、申请人的资格要求：</w:t>
      </w:r>
      <w:bookmarkEnd w:id="9"/>
      <w:bookmarkEnd w:id="10"/>
      <w:bookmarkEnd w:id="11"/>
      <w:bookmarkEnd w:id="12"/>
      <w:bookmarkEnd w:id="13"/>
      <w:bookmarkEnd w:id="14"/>
    </w:p>
    <w:p>
      <w:pPr>
        <w:wordWrap w:val="0"/>
        <w:adjustRightInd w:val="0"/>
        <w:snapToGrid w:val="0"/>
        <w:spacing w:before="40" w:after="40" w:line="336"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1.满足《中华人民共和国政府采购法》第二十二条规定；</w:t>
      </w:r>
    </w:p>
    <w:p>
      <w:pPr>
        <w:wordWrap w:val="0"/>
        <w:adjustRightInd w:val="0"/>
        <w:snapToGrid w:val="0"/>
        <w:spacing w:before="40" w:after="40" w:line="336" w:lineRule="auto"/>
        <w:ind w:firstLine="480" w:firstLineChars="200"/>
        <w:rPr>
          <w:rFonts w:hint="eastAsia" w:asciiTheme="minorEastAsia" w:hAnsiTheme="minorEastAsia" w:eastAsiaTheme="minorEastAsia" w:cstheme="minorEastAsia"/>
          <w:bCs/>
          <w:sz w:val="24"/>
          <w:szCs w:val="24"/>
          <w:lang w:eastAsia="zh-CN"/>
        </w:rPr>
      </w:pPr>
      <w:bookmarkStart w:id="15" w:name="_Toc28359004"/>
      <w:bookmarkStart w:id="16" w:name="_Toc28359081"/>
      <w:r>
        <w:rPr>
          <w:rFonts w:hint="eastAsia" w:asciiTheme="minorEastAsia" w:hAnsiTheme="minorEastAsia" w:eastAsiaTheme="minorEastAsia" w:cstheme="minorEastAsia"/>
          <w:bCs/>
          <w:sz w:val="24"/>
          <w:szCs w:val="24"/>
        </w:rPr>
        <w:t>2.落实政府采购政策需满足的资格要求：</w:t>
      </w:r>
      <w:r>
        <w:rPr>
          <w:rFonts w:hint="eastAsia" w:asciiTheme="minorEastAsia" w:hAnsiTheme="minorEastAsia" w:eastAsiaTheme="minorEastAsia" w:cstheme="minorEastAsia"/>
          <w:bCs/>
          <w:sz w:val="24"/>
          <w:szCs w:val="24"/>
          <w:lang w:eastAsia="zh-CN"/>
        </w:rPr>
        <w:t>根据《政府采购促进中小企业发展管理办法》（财库〔2020〕46号）的规定，本项目专门面向中小企业采购。</w:t>
      </w:r>
    </w:p>
    <w:p>
      <w:pPr>
        <w:wordWrap w:val="0"/>
        <w:adjustRightInd w:val="0"/>
        <w:snapToGrid w:val="0"/>
        <w:spacing w:before="40" w:after="40" w:line="336" w:lineRule="auto"/>
        <w:ind w:firstLine="480" w:firstLineChars="200"/>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3.本项目的特定资格要求：</w:t>
      </w:r>
      <w:bookmarkStart w:id="17" w:name="_Toc35393623"/>
      <w:bookmarkStart w:id="18" w:name="_Toc35393792"/>
    </w:p>
    <w:p>
      <w:pPr>
        <w:wordWrap w:val="0"/>
        <w:adjustRightInd w:val="0"/>
        <w:snapToGrid w:val="0"/>
        <w:spacing w:before="40" w:after="40" w:line="336" w:lineRule="auto"/>
        <w:ind w:firstLine="480" w:firstLineChars="200"/>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rPr>
        <w:t>3.1</w:t>
      </w:r>
      <w:r>
        <w:rPr>
          <w:rFonts w:hint="eastAsia" w:asciiTheme="minorEastAsia" w:hAnsiTheme="minorEastAsia" w:eastAsiaTheme="minorEastAsia" w:cstheme="minorEastAsia"/>
          <w:bCs/>
          <w:sz w:val="24"/>
          <w:szCs w:val="24"/>
          <w:lang w:val="en-US" w:eastAsia="zh-CN"/>
        </w:rPr>
        <w:t>投标人须具有有效的营业执照或事业单位法人证书；（须在投标文件中附证明资料的扫描件，并加盖单位公章。）</w:t>
      </w:r>
    </w:p>
    <w:p>
      <w:pPr>
        <w:wordWrap w:val="0"/>
        <w:adjustRightInd w:val="0"/>
        <w:snapToGrid w:val="0"/>
        <w:spacing w:before="40" w:after="40" w:line="336" w:lineRule="auto"/>
        <w:ind w:firstLine="480" w:firstLineChars="200"/>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14:textFill>
            <w14:solidFill>
              <w14:schemeClr w14:val="tx1"/>
            </w14:solidFill>
          </w14:textFill>
        </w:rPr>
        <w:t>3.</w:t>
      </w: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2投标人须具有安全评价机构资质证书（须在有效期内）；（须在投标文件中附证明资料的扫描件，并加盖单位公章。）</w:t>
      </w:r>
    </w:p>
    <w:p>
      <w:pPr>
        <w:wordWrap w:val="0"/>
        <w:adjustRightInd w:val="0"/>
        <w:snapToGrid w:val="0"/>
        <w:spacing w:before="40" w:after="40" w:line="336" w:lineRule="auto"/>
        <w:ind w:firstLine="480" w:firstLineChars="200"/>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3.3投标人拟派项目负责人应为本单位正式职工，且具有注册安全工程师资格；（须在投标文件中附证明资料的扫描件，并加盖单位公章。）</w:t>
      </w:r>
    </w:p>
    <w:p>
      <w:pPr>
        <w:wordWrap w:val="0"/>
        <w:adjustRightInd w:val="0"/>
        <w:snapToGrid w:val="0"/>
        <w:spacing w:before="40" w:after="40" w:line="336" w:lineRule="auto"/>
        <w:ind w:firstLine="480" w:firstLineChars="200"/>
        <w:rPr>
          <w:rFonts w:hint="default" w:asciiTheme="minorEastAsia" w:hAnsiTheme="minorEastAsia" w:eastAsiaTheme="minorEastAsia" w:cstheme="minorEastAsia"/>
          <w:bCs/>
          <w:sz w:val="24"/>
          <w:szCs w:val="24"/>
          <w:lang w:val="en-US" w:eastAsia="zh-CN"/>
        </w:rPr>
      </w:pPr>
    </w:p>
    <w:p>
      <w:pPr>
        <w:numPr>
          <w:ilvl w:val="0"/>
          <w:numId w:val="0"/>
        </w:numPr>
        <w:wordWrap w:val="0"/>
        <w:adjustRightInd w:val="0"/>
        <w:snapToGrid w:val="0"/>
        <w:spacing w:before="40" w:after="40" w:line="336" w:lineRule="auto"/>
        <w:ind w:left="0" w:leftChars="0" w:firstLine="482" w:firstLineChars="200"/>
        <w:outlineLvl w:val="1"/>
        <w:rPr>
          <w:rFonts w:hint="eastAsia" w:asciiTheme="minorEastAsia" w:hAnsiTheme="minorEastAsia" w:eastAsiaTheme="minorEastAsia" w:cstheme="minorEastAsia"/>
          <w:b/>
          <w:bCs/>
          <w:sz w:val="24"/>
          <w:szCs w:val="24"/>
        </w:rPr>
      </w:pPr>
      <w:bookmarkStart w:id="19" w:name="_Toc19116"/>
      <w:bookmarkStart w:id="20" w:name="_Toc10878"/>
      <w:r>
        <w:rPr>
          <w:rFonts w:hint="eastAsia" w:asciiTheme="minorEastAsia" w:hAnsiTheme="minorEastAsia" w:eastAsiaTheme="minorEastAsia" w:cstheme="minorEastAsia"/>
          <w:b/>
          <w:bCs/>
          <w:sz w:val="24"/>
          <w:szCs w:val="24"/>
          <w:lang w:eastAsia="zh-CN"/>
        </w:rPr>
        <w:t>三、</w:t>
      </w:r>
      <w:r>
        <w:rPr>
          <w:rFonts w:hint="eastAsia" w:asciiTheme="minorEastAsia" w:hAnsiTheme="minorEastAsia" w:eastAsiaTheme="minorEastAsia" w:cstheme="minorEastAsia"/>
          <w:b/>
          <w:bCs/>
          <w:sz w:val="24"/>
          <w:szCs w:val="24"/>
        </w:rPr>
        <w:t>获取招标文件</w:t>
      </w:r>
      <w:bookmarkEnd w:id="15"/>
      <w:bookmarkEnd w:id="16"/>
      <w:bookmarkEnd w:id="17"/>
      <w:bookmarkEnd w:id="18"/>
      <w:bookmarkEnd w:id="19"/>
      <w:bookmarkEnd w:id="20"/>
      <w:bookmarkStart w:id="21" w:name="_Toc28359082"/>
      <w:bookmarkStart w:id="22" w:name="_Toc28359005"/>
      <w:bookmarkStart w:id="23" w:name="_Toc35393624"/>
      <w:bookmarkStart w:id="24" w:name="_Toc35393793"/>
    </w:p>
    <w:p>
      <w:pPr>
        <w:numPr>
          <w:ilvl w:val="3"/>
          <w:numId w:val="0"/>
        </w:numPr>
        <w:wordWrap w:val="0"/>
        <w:adjustRightInd w:val="0"/>
        <w:snapToGrid w:val="0"/>
        <w:spacing w:before="40" w:after="40" w:line="336" w:lineRule="auto"/>
        <w:ind w:left="0" w:leftChars="0" w:firstLine="480" w:firstLineChars="200"/>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1.</w:t>
      </w:r>
      <w:r>
        <w:rPr>
          <w:rFonts w:hint="eastAsia" w:asciiTheme="minorEastAsia" w:hAnsiTheme="minorEastAsia" w:eastAsiaTheme="minorEastAsia" w:cstheme="minorEastAsia"/>
          <w:kern w:val="0"/>
          <w:sz w:val="24"/>
          <w:szCs w:val="24"/>
        </w:rPr>
        <w:t>时间：202</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年</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月</w:t>
      </w:r>
      <w:r>
        <w:rPr>
          <w:rFonts w:hint="eastAsia" w:asciiTheme="minorEastAsia" w:hAnsiTheme="minorEastAsia" w:eastAsiaTheme="minorEastAsia" w:cstheme="minorEastAsia"/>
          <w:kern w:val="0"/>
          <w:sz w:val="24"/>
          <w:szCs w:val="24"/>
          <w:lang w:val="en-US" w:eastAsia="zh-CN"/>
        </w:rPr>
        <w:t>29</w:t>
      </w:r>
      <w:r>
        <w:rPr>
          <w:rFonts w:hint="eastAsia" w:asciiTheme="minorEastAsia" w:hAnsiTheme="minorEastAsia" w:eastAsiaTheme="minorEastAsia" w:cstheme="minorEastAsia"/>
          <w:kern w:val="0"/>
          <w:sz w:val="24"/>
          <w:szCs w:val="24"/>
        </w:rPr>
        <w:t>日至202</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年</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月</w:t>
      </w:r>
      <w:r>
        <w:rPr>
          <w:rFonts w:hint="eastAsia" w:asciiTheme="minorEastAsia" w:hAnsiTheme="minorEastAsia" w:eastAsiaTheme="minorEastAsia" w:cstheme="minorEastAsia"/>
          <w:kern w:val="0"/>
          <w:sz w:val="24"/>
          <w:szCs w:val="24"/>
          <w:lang w:val="en-US" w:eastAsia="zh-CN"/>
        </w:rPr>
        <w:t>8</w:t>
      </w:r>
      <w:r>
        <w:rPr>
          <w:rFonts w:hint="eastAsia" w:asciiTheme="minorEastAsia" w:hAnsiTheme="minorEastAsia" w:eastAsiaTheme="minorEastAsia" w:cstheme="minorEastAsia"/>
          <w:kern w:val="0"/>
          <w:sz w:val="24"/>
          <w:szCs w:val="24"/>
        </w:rPr>
        <w:t>日，每天上午0：00至12:00，下午12:00至23:59（北京时间，法定节假日除外）</w:t>
      </w:r>
    </w:p>
    <w:p>
      <w:pPr>
        <w:numPr>
          <w:ilvl w:val="3"/>
          <w:numId w:val="0"/>
        </w:numPr>
        <w:wordWrap w:val="0"/>
        <w:adjustRightInd w:val="0"/>
        <w:snapToGrid w:val="0"/>
        <w:spacing w:before="40" w:after="40" w:line="336" w:lineRule="auto"/>
        <w:ind w:left="210" w:leftChars="100" w:firstLine="268" w:firstLineChars="112"/>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2.</w:t>
      </w:r>
      <w:r>
        <w:rPr>
          <w:rFonts w:hint="eastAsia" w:asciiTheme="minorEastAsia" w:hAnsiTheme="minorEastAsia" w:eastAsiaTheme="minorEastAsia" w:cstheme="minorEastAsia"/>
          <w:kern w:val="0"/>
          <w:sz w:val="24"/>
          <w:szCs w:val="24"/>
        </w:rPr>
        <w:t>地点：焦作市公共资源交易中心网站会员系统</w:t>
      </w:r>
    </w:p>
    <w:p>
      <w:pPr>
        <w:numPr>
          <w:ilvl w:val="3"/>
          <w:numId w:val="0"/>
        </w:numPr>
        <w:wordWrap w:val="0"/>
        <w:adjustRightInd w:val="0"/>
        <w:snapToGrid w:val="0"/>
        <w:spacing w:before="40" w:after="40" w:line="336" w:lineRule="auto"/>
        <w:ind w:left="0" w:leftChars="0" w:firstLine="480" w:firstLineChars="200"/>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3.</w:t>
      </w:r>
      <w:r>
        <w:rPr>
          <w:rFonts w:hint="eastAsia" w:asciiTheme="minorEastAsia" w:hAnsiTheme="minorEastAsia" w:eastAsiaTheme="minorEastAsia" w:cstheme="minorEastAsia"/>
          <w:kern w:val="0"/>
          <w:sz w:val="24"/>
          <w:szCs w:val="24"/>
        </w:rPr>
        <w:t>方式：</w:t>
      </w:r>
      <w:r>
        <w:rPr>
          <w:rFonts w:hint="eastAsia" w:asciiTheme="minorEastAsia" w:hAnsiTheme="minorEastAsia" w:eastAsiaTheme="minorEastAsia" w:cstheme="minorEastAsia"/>
          <w:kern w:val="0"/>
          <w:sz w:val="24"/>
          <w:szCs w:val="24"/>
          <w:lang w:val="en-US" w:eastAsia="zh-CN"/>
        </w:rPr>
        <w:t>本项目采用电子开评标（不见面开标），凡有意参加投标者，请登录焦作市公共资源交易中心网站交易平台“交易主体登录”栏目下载招标文件</w:t>
      </w:r>
      <w:r>
        <w:rPr>
          <w:rFonts w:hint="eastAsia" w:asciiTheme="minorEastAsia" w:hAnsiTheme="minorEastAsia" w:eastAsiaTheme="minorEastAsia" w:cstheme="minorEastAsia"/>
          <w:kern w:val="0"/>
          <w:sz w:val="24"/>
          <w:szCs w:val="24"/>
        </w:rPr>
        <w:t>。（联系电话：0391-3568920）</w:t>
      </w:r>
    </w:p>
    <w:p>
      <w:pPr>
        <w:numPr>
          <w:ilvl w:val="3"/>
          <w:numId w:val="0"/>
        </w:numPr>
        <w:wordWrap w:val="0"/>
        <w:adjustRightInd w:val="0"/>
        <w:snapToGrid w:val="0"/>
        <w:spacing w:before="40" w:after="40" w:line="336" w:lineRule="auto"/>
        <w:ind w:left="481" w:leftChars="229" w:firstLine="139" w:firstLineChars="58"/>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售价：0元</w:t>
      </w:r>
    </w:p>
    <w:p>
      <w:pPr>
        <w:wordWrap w:val="0"/>
        <w:adjustRightInd w:val="0"/>
        <w:snapToGrid w:val="0"/>
        <w:spacing w:before="40" w:after="40" w:line="336" w:lineRule="auto"/>
        <w:ind w:firstLine="482" w:firstLineChars="200"/>
        <w:outlineLvl w:val="1"/>
        <w:rPr>
          <w:rFonts w:hint="eastAsia" w:asciiTheme="minorEastAsia" w:hAnsiTheme="minorEastAsia" w:eastAsiaTheme="minorEastAsia" w:cstheme="minorEastAsia"/>
          <w:b/>
          <w:bCs/>
          <w:sz w:val="24"/>
          <w:szCs w:val="24"/>
        </w:rPr>
      </w:pPr>
      <w:bookmarkStart w:id="25" w:name="_Toc14358"/>
      <w:bookmarkStart w:id="26" w:name="_Toc2504"/>
      <w:r>
        <w:rPr>
          <w:rFonts w:hint="eastAsia" w:asciiTheme="minorEastAsia" w:hAnsiTheme="minorEastAsia" w:eastAsiaTheme="minorEastAsia" w:cstheme="minorEastAsia"/>
          <w:b/>
          <w:bCs/>
          <w:sz w:val="24"/>
          <w:szCs w:val="24"/>
        </w:rPr>
        <w:t>四、投标</w:t>
      </w:r>
      <w:bookmarkEnd w:id="21"/>
      <w:bookmarkEnd w:id="22"/>
      <w:r>
        <w:rPr>
          <w:rFonts w:hint="eastAsia" w:asciiTheme="minorEastAsia" w:hAnsiTheme="minorEastAsia" w:eastAsiaTheme="minorEastAsia" w:cstheme="minorEastAsia"/>
          <w:b/>
          <w:bCs/>
          <w:sz w:val="24"/>
          <w:szCs w:val="24"/>
        </w:rPr>
        <w:t>截止时间及地点</w:t>
      </w:r>
      <w:bookmarkEnd w:id="23"/>
      <w:bookmarkEnd w:id="24"/>
      <w:bookmarkEnd w:id="25"/>
      <w:bookmarkEnd w:id="26"/>
    </w:p>
    <w:p>
      <w:pPr>
        <w:wordWrap w:val="0"/>
        <w:adjustRightInd w:val="0"/>
        <w:snapToGrid w:val="0"/>
        <w:spacing w:before="40" w:after="40" w:line="336" w:lineRule="auto"/>
        <w:ind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1.截止时间：202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lang w:val="en-US" w:eastAsia="zh-CN"/>
        </w:rPr>
        <w:t>5月22日9时00</w:t>
      </w:r>
      <w:r>
        <w:rPr>
          <w:rFonts w:hint="eastAsia" w:asciiTheme="minorEastAsia" w:hAnsiTheme="minorEastAsia" w:eastAsiaTheme="minorEastAsia" w:cstheme="minorEastAsia"/>
          <w:sz w:val="24"/>
          <w:szCs w:val="24"/>
        </w:rPr>
        <w:t>分</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北京时间</w:t>
      </w:r>
      <w:r>
        <w:rPr>
          <w:rFonts w:hint="eastAsia" w:asciiTheme="minorEastAsia" w:hAnsiTheme="minorEastAsia" w:eastAsiaTheme="minorEastAsia" w:cstheme="minorEastAsia"/>
          <w:sz w:val="24"/>
          <w:szCs w:val="24"/>
          <w:lang w:eastAsia="zh-CN"/>
        </w:rPr>
        <w:t>）</w:t>
      </w:r>
    </w:p>
    <w:p>
      <w:pPr>
        <w:wordWrap w:val="0"/>
        <w:adjustRightInd w:val="0"/>
        <w:snapToGrid w:val="0"/>
        <w:spacing w:before="40" w:after="40" w:line="336" w:lineRule="auto"/>
        <w:ind w:firstLine="480" w:firstLineChars="200"/>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2.地点：</w:t>
      </w:r>
      <w:r>
        <w:rPr>
          <w:rFonts w:hint="eastAsia" w:asciiTheme="minorEastAsia" w:hAnsiTheme="minorEastAsia" w:eastAsiaTheme="minorEastAsia" w:cstheme="minorEastAsia"/>
          <w:sz w:val="24"/>
          <w:szCs w:val="24"/>
          <w:lang w:eastAsia="zh-CN"/>
        </w:rPr>
        <w:t>焦作</w:t>
      </w:r>
      <w:r>
        <w:rPr>
          <w:rFonts w:hint="eastAsia" w:asciiTheme="minorEastAsia" w:hAnsiTheme="minorEastAsia" w:eastAsiaTheme="minorEastAsia" w:cstheme="minorEastAsia"/>
          <w:sz w:val="24"/>
          <w:szCs w:val="24"/>
          <w:lang w:val="en-US" w:eastAsia="zh-CN"/>
        </w:rPr>
        <w:t>市</w:t>
      </w:r>
      <w:r>
        <w:rPr>
          <w:rFonts w:hint="eastAsia" w:asciiTheme="minorEastAsia" w:hAnsiTheme="minorEastAsia" w:eastAsiaTheme="minorEastAsia" w:cstheme="minorEastAsia"/>
          <w:sz w:val="24"/>
          <w:szCs w:val="24"/>
        </w:rPr>
        <w:t>公共资源交易中心网站</w:t>
      </w:r>
    </w:p>
    <w:p>
      <w:pPr>
        <w:wordWrap w:val="0"/>
        <w:adjustRightInd w:val="0"/>
        <w:snapToGrid w:val="0"/>
        <w:spacing w:line="360" w:lineRule="auto"/>
        <w:ind w:firstLine="482" w:firstLineChars="200"/>
        <w:jc w:val="left"/>
        <w:outlineLvl w:val="1"/>
        <w:rPr>
          <w:rFonts w:hint="eastAsia" w:asciiTheme="minorEastAsia" w:hAnsiTheme="minorEastAsia" w:eastAsiaTheme="minorEastAsia" w:cstheme="minorEastAsia"/>
          <w:b/>
          <w:bCs/>
          <w:sz w:val="24"/>
          <w:szCs w:val="24"/>
        </w:rPr>
      </w:pPr>
      <w:bookmarkStart w:id="27" w:name="_Toc5654"/>
      <w:bookmarkStart w:id="28" w:name="_Toc13322"/>
      <w:r>
        <w:rPr>
          <w:rFonts w:hint="eastAsia" w:asciiTheme="minorEastAsia" w:hAnsiTheme="minorEastAsia" w:eastAsiaTheme="minorEastAsia" w:cstheme="minorEastAsia"/>
          <w:b/>
          <w:bCs/>
          <w:sz w:val="24"/>
          <w:szCs w:val="24"/>
        </w:rPr>
        <w:t>五、开标时间及地点</w:t>
      </w:r>
      <w:bookmarkEnd w:id="27"/>
      <w:bookmarkEnd w:id="28"/>
      <w:bookmarkStart w:id="29" w:name="_Toc35393794"/>
      <w:bookmarkStart w:id="30" w:name="_Toc35393625"/>
      <w:bookmarkStart w:id="31" w:name="_Toc28359007"/>
      <w:bookmarkStart w:id="32" w:name="_Toc28359084"/>
    </w:p>
    <w:p>
      <w:pPr>
        <w:wordWrap w:val="0"/>
        <w:adjustRightInd w:val="0"/>
        <w:snapToGrid w:val="0"/>
        <w:spacing w:line="360" w:lineRule="auto"/>
        <w:ind w:firstLine="480" w:firstLineChars="200"/>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1.时间：202</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年</w:t>
      </w:r>
      <w:r>
        <w:rPr>
          <w:rFonts w:hint="eastAsia" w:asciiTheme="minorEastAsia" w:hAnsiTheme="minorEastAsia" w:eastAsiaTheme="minorEastAsia" w:cstheme="minorEastAsia"/>
          <w:kern w:val="0"/>
          <w:sz w:val="24"/>
          <w:szCs w:val="24"/>
          <w:lang w:val="en-US" w:eastAsia="zh-CN"/>
        </w:rPr>
        <w:t>5月22日9时00</w:t>
      </w:r>
      <w:r>
        <w:rPr>
          <w:rFonts w:hint="eastAsia" w:asciiTheme="minorEastAsia" w:hAnsiTheme="minorEastAsia" w:eastAsiaTheme="minorEastAsia" w:cstheme="minorEastAsia"/>
          <w:kern w:val="0"/>
          <w:sz w:val="24"/>
          <w:szCs w:val="24"/>
        </w:rPr>
        <w:t>分</w:t>
      </w:r>
      <w:r>
        <w:rPr>
          <w:rFonts w:hint="eastAsia" w:asciiTheme="minorEastAsia" w:hAnsiTheme="minorEastAsia" w:eastAsiaTheme="minorEastAsia" w:cstheme="minorEastAsia"/>
          <w:kern w:val="0"/>
          <w:sz w:val="24"/>
          <w:szCs w:val="24"/>
          <w:lang w:eastAsia="zh-CN"/>
        </w:rPr>
        <w:t>（</w:t>
      </w:r>
      <w:r>
        <w:rPr>
          <w:rFonts w:hint="eastAsia" w:asciiTheme="minorEastAsia" w:hAnsiTheme="minorEastAsia" w:eastAsiaTheme="minorEastAsia" w:cstheme="minorEastAsia"/>
          <w:kern w:val="0"/>
          <w:sz w:val="24"/>
          <w:szCs w:val="24"/>
        </w:rPr>
        <w:t>北京时间</w:t>
      </w:r>
      <w:r>
        <w:rPr>
          <w:rFonts w:hint="eastAsia" w:asciiTheme="minorEastAsia" w:hAnsiTheme="minorEastAsia" w:eastAsiaTheme="minorEastAsia" w:cstheme="minorEastAsia"/>
          <w:kern w:val="0"/>
          <w:sz w:val="24"/>
          <w:szCs w:val="24"/>
          <w:lang w:eastAsia="zh-CN"/>
        </w:rPr>
        <w:t>）</w:t>
      </w:r>
    </w:p>
    <w:p>
      <w:pPr>
        <w:wordWrap w:val="0"/>
        <w:adjustRightInd w:val="0"/>
        <w:snapToGrid w:val="0"/>
        <w:spacing w:before="40" w:after="40" w:line="336" w:lineRule="auto"/>
        <w:ind w:firstLine="480" w:firstLineChars="200"/>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rPr>
        <w:t>2.地点：</w:t>
      </w:r>
      <w:r>
        <w:rPr>
          <w:rFonts w:hint="eastAsia" w:asciiTheme="minorEastAsia" w:hAnsiTheme="minorEastAsia" w:eastAsiaTheme="minorEastAsia" w:cstheme="minorEastAsia"/>
          <w:kern w:val="0"/>
          <w:sz w:val="24"/>
          <w:szCs w:val="24"/>
          <w:lang w:eastAsia="zh-CN"/>
        </w:rPr>
        <w:t>孟州</w:t>
      </w:r>
      <w:r>
        <w:rPr>
          <w:rFonts w:hint="eastAsia" w:asciiTheme="minorEastAsia" w:hAnsiTheme="minorEastAsia" w:eastAsiaTheme="minorEastAsia" w:cstheme="minorEastAsia"/>
          <w:kern w:val="0"/>
          <w:sz w:val="24"/>
          <w:szCs w:val="24"/>
        </w:rPr>
        <w:t>市公共资源交易中心</w:t>
      </w:r>
      <w:r>
        <w:rPr>
          <w:rFonts w:hint="eastAsia" w:asciiTheme="minorEastAsia" w:hAnsiTheme="minorEastAsia" w:eastAsiaTheme="minorEastAsia" w:cstheme="minorEastAsia"/>
          <w:kern w:val="0"/>
          <w:sz w:val="24"/>
          <w:szCs w:val="24"/>
          <w:lang w:eastAsia="zh-CN"/>
        </w:rPr>
        <w:t>四楼</w:t>
      </w:r>
      <w:r>
        <w:rPr>
          <w:rFonts w:hint="eastAsia" w:asciiTheme="minorEastAsia" w:hAnsiTheme="minorEastAsia" w:eastAsiaTheme="minorEastAsia" w:cstheme="minorEastAsia"/>
          <w:kern w:val="0"/>
          <w:sz w:val="24"/>
          <w:szCs w:val="24"/>
          <w:lang w:val="en-US" w:eastAsia="zh-CN"/>
        </w:rPr>
        <w:t>第二开标室</w:t>
      </w:r>
    </w:p>
    <w:p>
      <w:pPr>
        <w:pStyle w:val="27"/>
        <w:keepNext w:val="0"/>
        <w:keepLines w:val="0"/>
        <w:pageBreakBefore w:val="0"/>
        <w:widowControl w:val="0"/>
        <w:kinsoku/>
        <w:overflowPunct/>
        <w:topLinePunct w:val="0"/>
        <w:autoSpaceDE/>
        <w:autoSpaceDN/>
        <w:bidi w:val="0"/>
        <w:adjustRightInd w:val="0"/>
        <w:snapToGrid w:val="0"/>
        <w:spacing w:line="360" w:lineRule="auto"/>
        <w:ind w:firstLine="482" w:firstLineChars="200"/>
        <w:textAlignment w:val="auto"/>
        <w:outlineLvl w:val="9"/>
        <w:rPr>
          <w:rFonts w:hint="eastAsia" w:asciiTheme="minorEastAsia" w:hAnsiTheme="minorEastAsia" w:eastAsiaTheme="minorEastAsia" w:cstheme="minorEastAsia"/>
          <w:b/>
          <w:bCs/>
          <w:kern w:val="0"/>
          <w:sz w:val="24"/>
          <w:szCs w:val="24"/>
          <w:lang w:val="en-US" w:eastAsia="zh-CN"/>
        </w:rPr>
      </w:pPr>
      <w:r>
        <w:rPr>
          <w:rFonts w:hint="eastAsia" w:asciiTheme="minorEastAsia" w:hAnsiTheme="minorEastAsia" w:eastAsiaTheme="minorEastAsia" w:cstheme="minorEastAsia"/>
          <w:b/>
          <w:bCs/>
          <w:kern w:val="0"/>
          <w:sz w:val="24"/>
          <w:szCs w:val="24"/>
          <w:lang w:val="en-US" w:eastAsia="zh-CN"/>
        </w:rPr>
        <w:t>特别提醒：1.《投标单位操作手册及视频》和新点投标文件制作软件请到焦作市公共资源交易中心新网站“公共服务”——“下载专区”栏目下载。</w:t>
      </w:r>
    </w:p>
    <w:p>
      <w:pPr>
        <w:pStyle w:val="27"/>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leftChars="0" w:firstLine="552" w:firstLineChars="229"/>
        <w:textAlignment w:val="auto"/>
        <w:outlineLvl w:val="9"/>
        <w:rPr>
          <w:rFonts w:hint="eastAsia" w:asciiTheme="minorEastAsia" w:hAnsiTheme="minorEastAsia" w:eastAsiaTheme="minorEastAsia" w:cstheme="minorEastAsia"/>
          <w:b/>
          <w:bCs/>
          <w:kern w:val="0"/>
          <w:sz w:val="24"/>
          <w:szCs w:val="24"/>
          <w:lang w:val="en-US" w:eastAsia="zh-CN"/>
        </w:rPr>
      </w:pPr>
      <w:r>
        <w:rPr>
          <w:rFonts w:hint="eastAsia" w:asciiTheme="minorEastAsia" w:hAnsiTheme="minorEastAsia" w:eastAsiaTheme="minorEastAsia" w:cstheme="minorEastAsia"/>
          <w:b/>
          <w:bCs/>
          <w:kern w:val="0"/>
          <w:sz w:val="24"/>
          <w:szCs w:val="24"/>
          <w:lang w:val="en-US" w:eastAsia="zh-CN"/>
        </w:rPr>
        <w:t>2.请各投标人提前办理 CA 数字证书，并学习电子投标文件制作。加密的电子投标文件须使用 CA 数字 证书上传。为防止网络拥堵等不可控因素影响加密的电子投标文件上传，请各投标人提前上传，因未能及时上传导致投标失败的责任由投标人自行承担。</w:t>
      </w:r>
    </w:p>
    <w:p>
      <w:pPr>
        <w:pStyle w:val="27"/>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leftChars="0" w:firstLine="552" w:firstLineChars="229"/>
        <w:textAlignment w:val="auto"/>
        <w:outlineLvl w:val="9"/>
        <w:rPr>
          <w:rFonts w:hint="eastAsia" w:asciiTheme="minorEastAsia" w:hAnsiTheme="minorEastAsia" w:eastAsiaTheme="minorEastAsia" w:cstheme="minorEastAsia"/>
          <w:b/>
          <w:bCs/>
          <w:kern w:val="0"/>
          <w:sz w:val="24"/>
          <w:szCs w:val="24"/>
          <w:lang w:val="en-US" w:eastAsia="zh-CN"/>
        </w:rPr>
      </w:pPr>
      <w:r>
        <w:rPr>
          <w:rFonts w:hint="eastAsia" w:asciiTheme="minorEastAsia" w:hAnsiTheme="minorEastAsia" w:eastAsiaTheme="minorEastAsia" w:cstheme="minorEastAsia"/>
          <w:b/>
          <w:bCs/>
          <w:kern w:val="0"/>
          <w:sz w:val="24"/>
          <w:szCs w:val="24"/>
          <w:lang w:val="en-US" w:eastAsia="zh-CN"/>
        </w:rPr>
        <w:t>3.按要求进行网上获取并下载招标文件，凡未在规定时间内获取招标文件者视为无效标。</w:t>
      </w:r>
    </w:p>
    <w:p>
      <w:pPr>
        <w:pStyle w:val="27"/>
        <w:keepNext w:val="0"/>
        <w:keepLines w:val="0"/>
        <w:pageBreakBefore w:val="0"/>
        <w:widowControl w:val="0"/>
        <w:numPr>
          <w:ilvl w:val="0"/>
          <w:numId w:val="0"/>
        </w:numPr>
        <w:kinsoku/>
        <w:overflowPunct/>
        <w:topLinePunct w:val="0"/>
        <w:autoSpaceDE/>
        <w:autoSpaceDN/>
        <w:bidi w:val="0"/>
        <w:adjustRightInd w:val="0"/>
        <w:snapToGrid w:val="0"/>
        <w:spacing w:line="360" w:lineRule="auto"/>
        <w:ind w:left="0" w:leftChars="0" w:firstLine="614" w:firstLineChars="255"/>
        <w:textAlignment w:val="auto"/>
        <w:outlineLvl w:val="9"/>
        <w:rPr>
          <w:rFonts w:hint="eastAsia" w:asciiTheme="minorEastAsia" w:hAnsiTheme="minorEastAsia" w:eastAsiaTheme="minorEastAsia" w:cstheme="minorEastAsia"/>
          <w:b/>
          <w:bCs/>
          <w:kern w:val="0"/>
          <w:sz w:val="24"/>
          <w:szCs w:val="24"/>
          <w:lang w:val="en-US" w:eastAsia="zh-CN" w:bidi="ar-SA"/>
        </w:rPr>
      </w:pPr>
      <w:r>
        <w:rPr>
          <w:rFonts w:hint="eastAsia" w:asciiTheme="minorEastAsia" w:hAnsiTheme="minorEastAsia" w:eastAsiaTheme="minorEastAsia" w:cstheme="minorEastAsia"/>
          <w:b/>
          <w:bCs/>
          <w:kern w:val="0"/>
          <w:sz w:val="24"/>
          <w:szCs w:val="24"/>
          <w:lang w:val="en-US" w:eastAsia="zh-CN"/>
        </w:rPr>
        <w:t>4.平台统一技术服务电话为：400-998-0000，服务 QQ:4008503300，服务时间：周</w:t>
      </w:r>
      <w:r>
        <w:rPr>
          <w:rFonts w:hint="eastAsia" w:asciiTheme="minorEastAsia" w:hAnsiTheme="minorEastAsia" w:eastAsiaTheme="minorEastAsia" w:cstheme="minorEastAsia"/>
          <w:b/>
          <w:bCs/>
          <w:kern w:val="0"/>
          <w:sz w:val="24"/>
          <w:szCs w:val="24"/>
          <w:lang w:val="en-US" w:eastAsia="zh-CN" w:bidi="ar-SA"/>
        </w:rPr>
        <w:t>一至周日 8:00-17:30 （北京时间）。</w:t>
      </w:r>
    </w:p>
    <w:p>
      <w:pPr>
        <w:pStyle w:val="27"/>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614" w:firstLineChars="255"/>
        <w:textAlignment w:val="auto"/>
        <w:outlineLvl w:val="9"/>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lang w:val="en-US" w:eastAsia="zh-CN" w:bidi="ar-SA"/>
        </w:rPr>
        <w:t>5.获取招标文件后，请下载并安装最新版本投标文件制作工具，制作电子投标文件，在投标截止时间前，上传加密的响应文件。供应商未在投标截止时间前完成上传的，视为逾期送达，焦作市电子招投标交易平台将拒绝接收。</w:t>
      </w:r>
    </w:p>
    <w:p>
      <w:pPr>
        <w:pStyle w:val="2"/>
        <w:spacing w:line="360" w:lineRule="auto"/>
        <w:ind w:left="0" w:leftChars="0" w:firstLine="614" w:firstLineChars="255"/>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kern w:val="0"/>
          <w:sz w:val="24"/>
          <w:szCs w:val="24"/>
          <w:lang w:val="en-US" w:eastAsia="zh-CN"/>
        </w:rPr>
        <w:t>6.本项目采用远程不见面交易的模式，开标当日，投标单位无需到现场参加开标会议，应在投标截止时间前，登录“不见面开标大厅”，在线准时参加开标活动并进行投标文件解密等。因供应商原因未能解密或 解密失败的将被拒绝。详见焦作市公共资源交易中心网站－下载专区“投标单位操作手册及视频”。除电子投标文件外，投标时不再接受任何纸质文件、资料等。</w:t>
      </w:r>
    </w:p>
    <w:p>
      <w:pPr>
        <w:wordWrap w:val="0"/>
        <w:adjustRightInd w:val="0"/>
        <w:snapToGrid w:val="0"/>
        <w:spacing w:before="40" w:after="40" w:line="336" w:lineRule="auto"/>
        <w:ind w:firstLine="482" w:firstLineChars="200"/>
        <w:outlineLvl w:val="1"/>
        <w:rPr>
          <w:rFonts w:hint="eastAsia" w:asciiTheme="minorEastAsia" w:hAnsiTheme="minorEastAsia" w:eastAsiaTheme="minorEastAsia" w:cstheme="minorEastAsia"/>
          <w:b/>
          <w:bCs/>
          <w:sz w:val="24"/>
          <w:szCs w:val="24"/>
        </w:rPr>
      </w:pPr>
      <w:bookmarkStart w:id="33" w:name="_Toc21768"/>
      <w:bookmarkStart w:id="34" w:name="_Toc3731"/>
      <w:r>
        <w:rPr>
          <w:rFonts w:hint="eastAsia" w:asciiTheme="minorEastAsia" w:hAnsiTheme="minorEastAsia" w:eastAsiaTheme="minorEastAsia" w:cstheme="minorEastAsia"/>
          <w:b/>
          <w:bCs/>
          <w:sz w:val="24"/>
          <w:szCs w:val="24"/>
        </w:rPr>
        <w:t>六、</w:t>
      </w:r>
      <w:bookmarkEnd w:id="29"/>
      <w:bookmarkEnd w:id="30"/>
      <w:bookmarkEnd w:id="31"/>
      <w:bookmarkEnd w:id="32"/>
      <w:r>
        <w:rPr>
          <w:rFonts w:hint="eastAsia" w:asciiTheme="minorEastAsia" w:hAnsiTheme="minorEastAsia" w:eastAsiaTheme="minorEastAsia" w:cstheme="minorEastAsia"/>
          <w:b/>
          <w:bCs/>
          <w:sz w:val="24"/>
          <w:szCs w:val="24"/>
        </w:rPr>
        <w:t>发布公告的媒介及招标公告期限</w:t>
      </w:r>
      <w:bookmarkEnd w:id="33"/>
      <w:bookmarkEnd w:id="34"/>
    </w:p>
    <w:p>
      <w:pPr>
        <w:wordWrap w:val="0"/>
        <w:adjustRightInd w:val="0"/>
        <w:snapToGrid w:val="0"/>
        <w:spacing w:before="40" w:after="40" w:line="336" w:lineRule="auto"/>
        <w:ind w:firstLine="504" w:firstLineChars="200"/>
        <w:outlineLvl w:val="9"/>
        <w:rPr>
          <w:rFonts w:hint="eastAsia" w:asciiTheme="minorEastAsia" w:hAnsiTheme="minorEastAsia" w:eastAsiaTheme="minorEastAsia" w:cstheme="minorEastAsia"/>
          <w:color w:val="333333"/>
          <w:spacing w:val="6"/>
          <w:sz w:val="24"/>
          <w:szCs w:val="24"/>
        </w:rPr>
      </w:pPr>
      <w:bookmarkStart w:id="35" w:name="_Toc35393795"/>
      <w:bookmarkStart w:id="36" w:name="_Toc35393626"/>
      <w:r>
        <w:rPr>
          <w:rFonts w:hint="eastAsia" w:asciiTheme="minorEastAsia" w:hAnsiTheme="minorEastAsia" w:eastAsiaTheme="minorEastAsia" w:cstheme="minorEastAsia"/>
          <w:color w:val="333333"/>
          <w:spacing w:val="6"/>
          <w:sz w:val="24"/>
          <w:szCs w:val="24"/>
          <w:lang w:eastAsia="zh-CN"/>
        </w:rPr>
        <w:t>本</w:t>
      </w:r>
      <w:r>
        <w:rPr>
          <w:rFonts w:hint="eastAsia" w:asciiTheme="minorEastAsia" w:hAnsiTheme="minorEastAsia" w:eastAsiaTheme="minorEastAsia" w:cstheme="minorEastAsia"/>
          <w:color w:val="333333"/>
          <w:spacing w:val="6"/>
          <w:sz w:val="24"/>
          <w:szCs w:val="24"/>
        </w:rPr>
        <w:t>次公告在</w:t>
      </w:r>
      <w:bookmarkStart w:id="115" w:name="_GoBack"/>
      <w:r>
        <w:rPr>
          <w:rFonts w:hint="eastAsia" w:asciiTheme="minorEastAsia" w:hAnsiTheme="minorEastAsia" w:eastAsiaTheme="minorEastAsia" w:cstheme="minorEastAsia"/>
          <w:color w:val="333333"/>
          <w:spacing w:val="6"/>
          <w:sz w:val="24"/>
          <w:szCs w:val="24"/>
        </w:rPr>
        <w:t>《河南省政府采购网》、《河南省电子招标投标公共服务平台》、《焦作市公共资源交易中心网》、《孟州市人民政府网站》</w:t>
      </w:r>
      <w:bookmarkEnd w:id="115"/>
      <w:r>
        <w:rPr>
          <w:rFonts w:hint="eastAsia" w:asciiTheme="minorEastAsia" w:hAnsiTheme="minorEastAsia" w:eastAsiaTheme="minorEastAsia" w:cstheme="minorEastAsia"/>
          <w:color w:val="333333"/>
          <w:spacing w:val="6"/>
          <w:sz w:val="24"/>
          <w:szCs w:val="24"/>
        </w:rPr>
        <w:t>上发布。</w:t>
      </w:r>
    </w:p>
    <w:p>
      <w:pPr>
        <w:wordWrap w:val="0"/>
        <w:adjustRightInd w:val="0"/>
        <w:snapToGrid w:val="0"/>
        <w:spacing w:before="40" w:after="40" w:line="336" w:lineRule="auto"/>
        <w:ind w:firstLine="504" w:firstLineChars="200"/>
        <w:outlineLvl w:val="9"/>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color w:val="333333"/>
          <w:spacing w:val="6"/>
          <w:sz w:val="24"/>
          <w:szCs w:val="24"/>
        </w:rPr>
        <w:t>招标公告期限为五个工作日</w:t>
      </w:r>
      <w:r>
        <w:rPr>
          <w:rFonts w:hint="eastAsia" w:asciiTheme="minorEastAsia" w:hAnsiTheme="minorEastAsia" w:eastAsiaTheme="minorEastAsia" w:cstheme="minorEastAsia"/>
          <w:bCs/>
          <w:sz w:val="24"/>
          <w:szCs w:val="24"/>
        </w:rPr>
        <w:t>。</w:t>
      </w:r>
    </w:p>
    <w:p>
      <w:pPr>
        <w:wordWrap w:val="0"/>
        <w:adjustRightInd w:val="0"/>
        <w:snapToGrid w:val="0"/>
        <w:spacing w:before="40" w:after="40" w:line="336" w:lineRule="auto"/>
        <w:ind w:firstLine="482" w:firstLineChars="200"/>
        <w:outlineLvl w:val="1"/>
        <w:rPr>
          <w:rFonts w:hint="eastAsia" w:asciiTheme="minorEastAsia" w:hAnsiTheme="minorEastAsia" w:eastAsiaTheme="minorEastAsia" w:cstheme="minorEastAsia"/>
          <w:b/>
          <w:bCs/>
          <w:sz w:val="24"/>
          <w:szCs w:val="24"/>
        </w:rPr>
      </w:pPr>
      <w:bookmarkStart w:id="37" w:name="_Toc7678"/>
      <w:bookmarkStart w:id="38" w:name="_Toc27212"/>
      <w:r>
        <w:rPr>
          <w:rFonts w:hint="eastAsia" w:asciiTheme="minorEastAsia" w:hAnsiTheme="minorEastAsia" w:eastAsiaTheme="minorEastAsia" w:cstheme="minorEastAsia"/>
          <w:b/>
          <w:bCs/>
          <w:sz w:val="24"/>
          <w:szCs w:val="24"/>
        </w:rPr>
        <w:t>七、其他补充事宜</w:t>
      </w:r>
      <w:bookmarkEnd w:id="35"/>
      <w:bookmarkEnd w:id="36"/>
      <w:bookmarkEnd w:id="37"/>
      <w:bookmarkEnd w:id="38"/>
    </w:p>
    <w:p>
      <w:pPr>
        <w:pStyle w:val="27"/>
        <w:keepNext w:val="0"/>
        <w:keepLines w:val="0"/>
        <w:pageBreakBefore w:val="0"/>
        <w:widowControl w:val="0"/>
        <w:kinsoku/>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kern w:val="2"/>
          <w:sz w:val="24"/>
          <w:szCs w:val="24"/>
          <w:lang w:val="en-US" w:eastAsia="zh-CN" w:bidi="ar-SA"/>
        </w:rPr>
      </w:pPr>
      <w:bookmarkStart w:id="39" w:name="_Toc35393627"/>
      <w:bookmarkStart w:id="40" w:name="_Toc28359085"/>
      <w:bookmarkStart w:id="41" w:name="_Toc35393796"/>
      <w:bookmarkStart w:id="42" w:name="_Toc28359008"/>
      <w:r>
        <w:rPr>
          <w:rFonts w:hint="eastAsia" w:asciiTheme="minorEastAsia" w:hAnsiTheme="minorEastAsia" w:eastAsiaTheme="minorEastAsia" w:cstheme="minorEastAsia"/>
          <w:bCs/>
          <w:kern w:val="2"/>
          <w:sz w:val="24"/>
          <w:szCs w:val="24"/>
          <w:lang w:val="en-US" w:eastAsia="zh-CN" w:bidi="ar-SA"/>
        </w:rPr>
        <w:t>1.本项目执行强制采购、优先采购节能产品、优先采购环境标志产品、</w:t>
      </w:r>
      <w:r>
        <w:rPr>
          <w:rFonts w:hint="eastAsia" w:asciiTheme="minorEastAsia" w:hAnsiTheme="minorEastAsia" w:eastAsiaTheme="minorEastAsia" w:cstheme="minorEastAsia"/>
          <w:sz w:val="24"/>
          <w:szCs w:val="24"/>
        </w:rPr>
        <w:t>促进中小企业发展</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促进残疾人就业、支持</w:t>
      </w:r>
      <w:r>
        <w:rPr>
          <w:rFonts w:hint="eastAsia" w:asciiTheme="minorEastAsia" w:hAnsiTheme="minorEastAsia" w:eastAsiaTheme="minorEastAsia" w:cstheme="minorEastAsia"/>
          <w:sz w:val="24"/>
          <w:szCs w:val="24"/>
        </w:rPr>
        <w:t>监狱</w:t>
      </w:r>
      <w:r>
        <w:rPr>
          <w:rFonts w:hint="eastAsia" w:asciiTheme="minorEastAsia" w:hAnsiTheme="minorEastAsia" w:eastAsiaTheme="minorEastAsia" w:cstheme="minorEastAsia"/>
          <w:sz w:val="24"/>
          <w:szCs w:val="24"/>
          <w:lang w:val="en-US" w:eastAsia="zh-CN"/>
        </w:rPr>
        <w:t>企业发展等</w:t>
      </w:r>
      <w:r>
        <w:rPr>
          <w:rFonts w:hint="eastAsia" w:asciiTheme="minorEastAsia" w:hAnsiTheme="minorEastAsia" w:eastAsiaTheme="minorEastAsia" w:cstheme="minorEastAsia"/>
          <w:sz w:val="24"/>
          <w:szCs w:val="24"/>
        </w:rPr>
        <w:t>相关</w:t>
      </w:r>
      <w:r>
        <w:rPr>
          <w:rFonts w:hint="eastAsia" w:asciiTheme="minorEastAsia" w:hAnsiTheme="minorEastAsia" w:eastAsiaTheme="minorEastAsia" w:cstheme="minorEastAsia"/>
          <w:sz w:val="24"/>
          <w:szCs w:val="24"/>
          <w:lang w:val="en-US" w:eastAsia="zh-CN"/>
        </w:rPr>
        <w:t>政府采购</w:t>
      </w:r>
      <w:r>
        <w:rPr>
          <w:rFonts w:hint="eastAsia" w:asciiTheme="minorEastAsia" w:hAnsiTheme="minorEastAsia" w:eastAsiaTheme="minorEastAsia" w:cstheme="minorEastAsia"/>
          <w:sz w:val="24"/>
          <w:szCs w:val="24"/>
        </w:rPr>
        <w:t>政策</w:t>
      </w:r>
      <w:r>
        <w:rPr>
          <w:rFonts w:hint="eastAsia" w:asciiTheme="minorEastAsia" w:hAnsiTheme="minorEastAsia" w:eastAsiaTheme="minorEastAsia" w:cstheme="minorEastAsia"/>
          <w:bCs/>
          <w:kern w:val="2"/>
          <w:sz w:val="24"/>
          <w:szCs w:val="24"/>
          <w:lang w:val="en-US" w:eastAsia="zh-CN" w:bidi="ar-SA"/>
        </w:rPr>
        <w:t>。</w:t>
      </w:r>
    </w:p>
    <w:p>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kern w:val="2"/>
          <w:sz w:val="24"/>
          <w:szCs w:val="24"/>
          <w:lang w:val="en-US" w:eastAsia="zh-CN" w:bidi="ar-SA"/>
        </w:rPr>
      </w:pPr>
      <w:r>
        <w:rPr>
          <w:rFonts w:hint="eastAsia" w:asciiTheme="minorEastAsia" w:hAnsiTheme="minorEastAsia" w:eastAsiaTheme="minorEastAsia" w:cstheme="minorEastAsia"/>
          <w:bCs/>
          <w:kern w:val="2"/>
          <w:sz w:val="24"/>
          <w:szCs w:val="24"/>
          <w:lang w:val="en-US" w:eastAsia="zh-CN" w:bidi="ar-SA"/>
        </w:rPr>
        <w:t>2.本项目采购标的对应的中小企业划分标准所属行业：其他未列明行业；中小微企业划分按照《国家统计局关于印发&lt;统计上大中小微型企业划分办法（2017）&gt;的通知》（国统字〔2017〕213号）及《工业和信息化部、国家统计局、国家发展和改革委员会、财政部关于印发&lt;中小企业划型标准规定&gt;的通知》（工信部联企业〔2011〕300 号）规定的划分标准为依据（符合中小企业划分标准的个体工商户，在政府采购活动中视同中小企业）。</w:t>
      </w:r>
    </w:p>
    <w:p>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kern w:val="2"/>
          <w:sz w:val="24"/>
          <w:szCs w:val="24"/>
          <w:lang w:val="en-US" w:eastAsia="zh-CN" w:bidi="ar-SA"/>
        </w:rPr>
      </w:pPr>
      <w:r>
        <w:rPr>
          <w:rFonts w:hint="eastAsia" w:asciiTheme="minorEastAsia" w:hAnsiTheme="minorEastAsia" w:eastAsiaTheme="minorEastAsia" w:cstheme="minorEastAsia"/>
          <w:bCs/>
          <w:kern w:val="2"/>
          <w:sz w:val="24"/>
          <w:szCs w:val="24"/>
          <w:lang w:val="en-US" w:eastAsia="zh-CN" w:bidi="ar-SA"/>
        </w:rPr>
        <w:t>3.代理服务费收取标准：根据豫招协【2023】002号收取。</w:t>
      </w:r>
    </w:p>
    <w:p>
      <w:pPr>
        <w:wordWrap w:val="0"/>
        <w:adjustRightInd w:val="0"/>
        <w:snapToGrid w:val="0"/>
        <w:spacing w:before="40" w:after="40" w:line="336" w:lineRule="auto"/>
        <w:ind w:firstLine="482" w:firstLineChars="200"/>
        <w:outlineLvl w:val="1"/>
        <w:rPr>
          <w:rFonts w:hint="eastAsia" w:asciiTheme="minorEastAsia" w:hAnsiTheme="minorEastAsia" w:eastAsiaTheme="minorEastAsia" w:cstheme="minorEastAsia"/>
          <w:b/>
          <w:bCs/>
          <w:sz w:val="24"/>
          <w:szCs w:val="24"/>
        </w:rPr>
      </w:pPr>
      <w:bookmarkStart w:id="43" w:name="_Toc20955"/>
      <w:bookmarkStart w:id="44" w:name="_Toc23912"/>
      <w:r>
        <w:rPr>
          <w:rFonts w:hint="eastAsia" w:asciiTheme="minorEastAsia" w:hAnsiTheme="minorEastAsia" w:eastAsiaTheme="minorEastAsia" w:cstheme="minorEastAsia"/>
          <w:b/>
          <w:bCs/>
          <w:sz w:val="24"/>
          <w:szCs w:val="24"/>
        </w:rPr>
        <w:t>八、凡对本次招标提出询问，请按以下方式联系</w:t>
      </w:r>
      <w:bookmarkEnd w:id="39"/>
      <w:bookmarkEnd w:id="40"/>
      <w:bookmarkEnd w:id="41"/>
      <w:bookmarkEnd w:id="42"/>
      <w:bookmarkEnd w:id="43"/>
      <w:bookmarkEnd w:id="44"/>
    </w:p>
    <w:p>
      <w:pPr>
        <w:wordWrap w:val="0"/>
        <w:adjustRightInd w:val="0"/>
        <w:snapToGrid w:val="0"/>
        <w:spacing w:before="40" w:after="40" w:line="336" w:lineRule="auto"/>
        <w:ind w:firstLine="504" w:firstLineChars="200"/>
        <w:outlineLvl w:val="9"/>
        <w:rPr>
          <w:rFonts w:hint="eastAsia" w:asciiTheme="minorEastAsia" w:hAnsiTheme="minorEastAsia" w:eastAsiaTheme="minorEastAsia" w:cstheme="minorEastAsia"/>
          <w:color w:val="333333"/>
          <w:spacing w:val="6"/>
          <w:sz w:val="24"/>
          <w:szCs w:val="24"/>
          <w:lang w:eastAsia="zh-CN"/>
        </w:rPr>
      </w:pPr>
      <w:r>
        <w:rPr>
          <w:rFonts w:hint="eastAsia" w:asciiTheme="minorEastAsia" w:hAnsiTheme="minorEastAsia" w:eastAsiaTheme="minorEastAsia" w:cstheme="minorEastAsia"/>
          <w:color w:val="333333"/>
          <w:spacing w:val="6"/>
          <w:sz w:val="24"/>
          <w:szCs w:val="24"/>
          <w:lang w:eastAsia="zh-CN"/>
        </w:rPr>
        <w:t>1.采购人信息</w:t>
      </w:r>
    </w:p>
    <w:p>
      <w:pPr>
        <w:wordWrap w:val="0"/>
        <w:adjustRightInd w:val="0"/>
        <w:snapToGrid w:val="0"/>
        <w:spacing w:before="40" w:after="40" w:line="336" w:lineRule="auto"/>
        <w:ind w:firstLine="504" w:firstLineChars="200"/>
        <w:outlineLvl w:val="9"/>
        <w:rPr>
          <w:rFonts w:hint="eastAsia" w:asciiTheme="minorEastAsia" w:hAnsiTheme="minorEastAsia" w:eastAsiaTheme="minorEastAsia" w:cstheme="minorEastAsia"/>
          <w:color w:val="333333"/>
          <w:spacing w:val="6"/>
          <w:sz w:val="24"/>
          <w:szCs w:val="24"/>
          <w:lang w:val="en-US" w:eastAsia="zh-CN"/>
        </w:rPr>
      </w:pPr>
      <w:r>
        <w:rPr>
          <w:rFonts w:hint="eastAsia" w:asciiTheme="minorEastAsia" w:hAnsiTheme="minorEastAsia" w:eastAsiaTheme="minorEastAsia" w:cstheme="minorEastAsia"/>
          <w:color w:val="333333"/>
          <w:spacing w:val="6"/>
          <w:sz w:val="24"/>
          <w:szCs w:val="24"/>
          <w:lang w:eastAsia="zh-CN"/>
        </w:rPr>
        <w:t>名 称：</w:t>
      </w:r>
      <w:r>
        <w:rPr>
          <w:rFonts w:hint="eastAsia" w:asciiTheme="minorEastAsia" w:hAnsiTheme="minorEastAsia" w:eastAsiaTheme="minorEastAsia" w:cstheme="minorEastAsia"/>
          <w:color w:val="333333"/>
          <w:spacing w:val="6"/>
          <w:sz w:val="24"/>
          <w:szCs w:val="24"/>
          <w:lang w:val="en-US" w:eastAsia="zh-CN"/>
        </w:rPr>
        <w:t>孟州高新技术产业开发区管理委员会</w:t>
      </w:r>
    </w:p>
    <w:p>
      <w:pPr>
        <w:wordWrap w:val="0"/>
        <w:adjustRightInd w:val="0"/>
        <w:snapToGrid w:val="0"/>
        <w:spacing w:before="40" w:after="40" w:line="336" w:lineRule="auto"/>
        <w:ind w:firstLine="504" w:firstLineChars="200"/>
        <w:outlineLvl w:val="9"/>
        <w:rPr>
          <w:rFonts w:hint="eastAsia" w:eastAsia="宋体" w:asciiTheme="minorEastAsia" w:hAnsiTheme="minorEastAsia" w:cstheme="minorEastAsia"/>
          <w:color w:val="333333"/>
          <w:spacing w:val="6"/>
          <w:sz w:val="24"/>
          <w:szCs w:val="24"/>
          <w:lang w:eastAsia="zh-CN"/>
        </w:rPr>
      </w:pPr>
      <w:r>
        <w:rPr>
          <w:rFonts w:hint="eastAsia" w:asciiTheme="minorEastAsia" w:hAnsiTheme="minorEastAsia" w:eastAsiaTheme="minorEastAsia" w:cstheme="minorEastAsia"/>
          <w:color w:val="333333"/>
          <w:spacing w:val="6"/>
          <w:sz w:val="24"/>
          <w:szCs w:val="24"/>
          <w:lang w:eastAsia="zh-CN"/>
        </w:rPr>
        <w:t>地 址：孟州高新技术产业开发区常付线北侧</w:t>
      </w:r>
    </w:p>
    <w:p>
      <w:pPr>
        <w:wordWrap w:val="0"/>
        <w:adjustRightInd w:val="0"/>
        <w:snapToGrid w:val="0"/>
        <w:spacing w:before="40" w:after="40" w:line="336" w:lineRule="auto"/>
        <w:ind w:firstLine="504" w:firstLineChars="200"/>
        <w:outlineLvl w:val="9"/>
        <w:rPr>
          <w:rFonts w:hint="eastAsia" w:eastAsia="宋体" w:asciiTheme="minorEastAsia" w:hAnsiTheme="minorEastAsia" w:cstheme="minorEastAsia"/>
          <w:color w:val="333333"/>
          <w:spacing w:val="6"/>
          <w:sz w:val="24"/>
          <w:szCs w:val="24"/>
          <w:lang w:eastAsia="zh-CN"/>
        </w:rPr>
      </w:pPr>
    </w:p>
    <w:p>
      <w:pPr>
        <w:wordWrap w:val="0"/>
        <w:adjustRightInd w:val="0"/>
        <w:snapToGrid w:val="0"/>
        <w:spacing w:before="40" w:after="40" w:line="336" w:lineRule="auto"/>
        <w:ind w:firstLine="504" w:firstLineChars="200"/>
        <w:outlineLvl w:val="9"/>
        <w:rPr>
          <w:rFonts w:hint="default" w:asciiTheme="minorEastAsia" w:hAnsiTheme="minorEastAsia" w:eastAsiaTheme="minorEastAsia" w:cstheme="minorEastAsia"/>
          <w:color w:val="333333"/>
          <w:spacing w:val="6"/>
          <w:sz w:val="24"/>
          <w:szCs w:val="24"/>
          <w:highlight w:val="yellow"/>
          <w:lang w:val="en-US" w:eastAsia="zh-CN"/>
        </w:rPr>
      </w:pPr>
      <w:r>
        <w:rPr>
          <w:rFonts w:hint="eastAsia" w:asciiTheme="minorEastAsia" w:hAnsiTheme="minorEastAsia" w:eastAsiaTheme="minorEastAsia" w:cstheme="minorEastAsia"/>
          <w:color w:val="333333"/>
          <w:spacing w:val="6"/>
          <w:sz w:val="24"/>
          <w:szCs w:val="24"/>
          <w:lang w:eastAsia="zh-CN"/>
        </w:rPr>
        <w:t>联系方式：潘先生</w:t>
      </w:r>
      <w:r>
        <w:rPr>
          <w:rFonts w:hint="eastAsia" w:asciiTheme="minorEastAsia" w:hAnsiTheme="minorEastAsia" w:eastAsiaTheme="minorEastAsia" w:cstheme="minorEastAsia"/>
          <w:color w:val="333333"/>
          <w:spacing w:val="6"/>
          <w:sz w:val="24"/>
          <w:szCs w:val="24"/>
          <w:lang w:val="en-US" w:eastAsia="zh-CN"/>
        </w:rPr>
        <w:t>18803668964</w:t>
      </w:r>
      <w:r>
        <w:rPr>
          <w:rFonts w:hint="eastAsia" w:asciiTheme="minorEastAsia" w:hAnsiTheme="minorEastAsia" w:eastAsiaTheme="minorEastAsia" w:cstheme="minorEastAsia"/>
          <w:color w:val="333333"/>
          <w:spacing w:val="6"/>
          <w:sz w:val="24"/>
          <w:szCs w:val="24"/>
          <w:highlight w:val="none"/>
          <w:lang w:val="en-US" w:eastAsia="zh-CN"/>
        </w:rPr>
        <w:t xml:space="preserve">      </w:t>
      </w:r>
    </w:p>
    <w:p>
      <w:pPr>
        <w:wordWrap w:val="0"/>
        <w:adjustRightInd w:val="0"/>
        <w:snapToGrid w:val="0"/>
        <w:spacing w:before="40" w:after="40" w:line="336" w:lineRule="auto"/>
        <w:ind w:firstLine="504" w:firstLineChars="200"/>
        <w:outlineLvl w:val="9"/>
        <w:rPr>
          <w:rFonts w:hint="eastAsia" w:asciiTheme="minorEastAsia" w:hAnsiTheme="minorEastAsia" w:eastAsiaTheme="minorEastAsia" w:cstheme="minorEastAsia"/>
          <w:color w:val="333333"/>
          <w:spacing w:val="6"/>
          <w:sz w:val="24"/>
          <w:szCs w:val="24"/>
          <w:lang w:eastAsia="zh-CN"/>
        </w:rPr>
      </w:pPr>
      <w:r>
        <w:rPr>
          <w:rFonts w:hint="eastAsia" w:asciiTheme="minorEastAsia" w:hAnsiTheme="minorEastAsia" w:eastAsiaTheme="minorEastAsia" w:cstheme="minorEastAsia"/>
          <w:color w:val="333333"/>
          <w:spacing w:val="6"/>
          <w:sz w:val="24"/>
          <w:szCs w:val="24"/>
          <w:lang w:val="en-US" w:eastAsia="zh-CN"/>
        </w:rPr>
        <w:t>2.</w:t>
      </w:r>
      <w:r>
        <w:rPr>
          <w:rFonts w:hint="eastAsia" w:asciiTheme="minorEastAsia" w:hAnsiTheme="minorEastAsia" w:eastAsiaTheme="minorEastAsia" w:cstheme="minorEastAsia"/>
          <w:color w:val="333333"/>
          <w:spacing w:val="6"/>
          <w:sz w:val="24"/>
          <w:szCs w:val="24"/>
          <w:lang w:eastAsia="zh-CN"/>
        </w:rPr>
        <w:t>采购代理机构信息</w:t>
      </w:r>
    </w:p>
    <w:p>
      <w:pPr>
        <w:wordWrap w:val="0"/>
        <w:adjustRightInd w:val="0"/>
        <w:snapToGrid w:val="0"/>
        <w:spacing w:before="40" w:after="40" w:line="336" w:lineRule="auto"/>
        <w:ind w:firstLine="504" w:firstLineChars="200"/>
        <w:outlineLvl w:val="9"/>
        <w:rPr>
          <w:rFonts w:hint="eastAsia" w:asciiTheme="minorEastAsia" w:hAnsiTheme="minorEastAsia" w:eastAsiaTheme="minorEastAsia" w:cstheme="minorEastAsia"/>
          <w:color w:val="333333"/>
          <w:spacing w:val="6"/>
          <w:sz w:val="24"/>
          <w:szCs w:val="24"/>
          <w:lang w:eastAsia="zh-CN"/>
        </w:rPr>
      </w:pPr>
      <w:r>
        <w:rPr>
          <w:rFonts w:hint="eastAsia" w:asciiTheme="minorEastAsia" w:hAnsiTheme="minorEastAsia" w:eastAsiaTheme="minorEastAsia" w:cstheme="minorEastAsia"/>
          <w:color w:val="333333"/>
          <w:spacing w:val="6"/>
          <w:sz w:val="24"/>
          <w:szCs w:val="24"/>
          <w:lang w:eastAsia="zh-CN"/>
        </w:rPr>
        <w:t>名 称：河南省至诚招标采购服务有限公司</w:t>
      </w:r>
    </w:p>
    <w:p>
      <w:pPr>
        <w:wordWrap w:val="0"/>
        <w:adjustRightInd w:val="0"/>
        <w:snapToGrid w:val="0"/>
        <w:spacing w:before="40" w:after="40" w:line="336" w:lineRule="auto"/>
        <w:ind w:firstLine="504" w:firstLineChars="200"/>
        <w:outlineLvl w:val="9"/>
        <w:rPr>
          <w:rFonts w:hint="eastAsia" w:asciiTheme="minorEastAsia" w:hAnsiTheme="minorEastAsia" w:eastAsiaTheme="minorEastAsia" w:cstheme="minorEastAsia"/>
          <w:color w:val="333333"/>
          <w:spacing w:val="6"/>
          <w:sz w:val="24"/>
          <w:szCs w:val="24"/>
          <w:lang w:eastAsia="zh-CN"/>
        </w:rPr>
      </w:pPr>
      <w:r>
        <w:rPr>
          <w:rFonts w:hint="eastAsia" w:asciiTheme="minorEastAsia" w:hAnsiTheme="minorEastAsia" w:eastAsiaTheme="minorEastAsia" w:cstheme="minorEastAsia"/>
          <w:color w:val="333333"/>
          <w:spacing w:val="6"/>
          <w:sz w:val="24"/>
          <w:szCs w:val="24"/>
          <w:lang w:eastAsia="zh-CN"/>
        </w:rPr>
        <w:t>地</w:t>
      </w:r>
      <w:r>
        <w:rPr>
          <w:rFonts w:hint="eastAsia" w:asciiTheme="minorEastAsia" w:hAnsiTheme="minorEastAsia" w:eastAsiaTheme="minorEastAsia" w:cstheme="minorEastAsia"/>
          <w:color w:val="333333"/>
          <w:spacing w:val="6"/>
          <w:sz w:val="24"/>
          <w:szCs w:val="24"/>
          <w:lang w:val="en-US" w:eastAsia="zh-CN"/>
        </w:rPr>
        <w:t xml:space="preserve"> </w:t>
      </w:r>
      <w:r>
        <w:rPr>
          <w:rFonts w:hint="eastAsia" w:asciiTheme="minorEastAsia" w:hAnsiTheme="minorEastAsia" w:eastAsiaTheme="minorEastAsia" w:cstheme="minorEastAsia"/>
          <w:color w:val="333333"/>
          <w:spacing w:val="6"/>
          <w:sz w:val="24"/>
          <w:szCs w:val="24"/>
          <w:lang w:eastAsia="zh-CN"/>
        </w:rPr>
        <w:t>址：郑州市中州大道与黄河路交叉口西北角金成时代广场9号楼1103室</w:t>
      </w:r>
    </w:p>
    <w:p>
      <w:pPr>
        <w:wordWrap w:val="0"/>
        <w:adjustRightInd w:val="0"/>
        <w:snapToGrid w:val="0"/>
        <w:spacing w:before="40" w:after="40" w:line="336" w:lineRule="auto"/>
        <w:ind w:firstLine="504" w:firstLineChars="200"/>
        <w:outlineLvl w:val="9"/>
        <w:rPr>
          <w:rFonts w:hint="eastAsia" w:asciiTheme="minorEastAsia" w:hAnsiTheme="minorEastAsia" w:eastAsiaTheme="minorEastAsia" w:cstheme="minorEastAsia"/>
          <w:color w:val="333333"/>
          <w:spacing w:val="6"/>
          <w:sz w:val="24"/>
          <w:szCs w:val="24"/>
          <w:lang w:eastAsia="zh-CN"/>
        </w:rPr>
      </w:pPr>
      <w:r>
        <w:rPr>
          <w:rFonts w:hint="eastAsia" w:asciiTheme="minorEastAsia" w:hAnsiTheme="minorEastAsia" w:eastAsiaTheme="minorEastAsia" w:cstheme="minorEastAsia"/>
          <w:color w:val="333333"/>
          <w:spacing w:val="6"/>
          <w:sz w:val="24"/>
          <w:szCs w:val="24"/>
          <w:lang w:eastAsia="zh-CN"/>
        </w:rPr>
        <w:t>联系方式：郭峰15703918288</w:t>
      </w:r>
    </w:p>
    <w:p>
      <w:pPr>
        <w:numPr>
          <w:ilvl w:val="0"/>
          <w:numId w:val="0"/>
        </w:numPr>
        <w:wordWrap w:val="0"/>
        <w:adjustRightInd w:val="0"/>
        <w:snapToGrid w:val="0"/>
        <w:spacing w:before="40" w:after="40" w:line="336" w:lineRule="auto"/>
        <w:ind w:left="0" w:leftChars="0" w:firstLine="504" w:firstLineChars="200"/>
        <w:outlineLvl w:val="9"/>
        <w:rPr>
          <w:rFonts w:hint="eastAsia" w:asciiTheme="minorEastAsia" w:hAnsiTheme="minorEastAsia" w:eastAsiaTheme="minorEastAsia" w:cstheme="minorEastAsia"/>
          <w:color w:val="333333"/>
          <w:spacing w:val="6"/>
          <w:sz w:val="24"/>
          <w:szCs w:val="24"/>
          <w:lang w:eastAsia="zh-CN"/>
        </w:rPr>
      </w:pPr>
      <w:r>
        <w:rPr>
          <w:rFonts w:hint="eastAsia" w:asciiTheme="minorEastAsia" w:hAnsiTheme="minorEastAsia" w:eastAsiaTheme="minorEastAsia" w:cstheme="minorEastAsia"/>
          <w:color w:val="333333"/>
          <w:spacing w:val="6"/>
          <w:sz w:val="24"/>
          <w:szCs w:val="24"/>
          <w:lang w:val="en-US" w:eastAsia="zh-CN"/>
        </w:rPr>
        <w:t>3.</w:t>
      </w:r>
      <w:r>
        <w:rPr>
          <w:rFonts w:hint="eastAsia" w:asciiTheme="minorEastAsia" w:hAnsiTheme="minorEastAsia" w:eastAsiaTheme="minorEastAsia" w:cstheme="minorEastAsia"/>
          <w:color w:val="333333"/>
          <w:spacing w:val="6"/>
          <w:sz w:val="24"/>
          <w:szCs w:val="24"/>
          <w:lang w:eastAsia="zh-CN"/>
        </w:rPr>
        <w:t>监督部门：孟州市财政局政府采购科</w:t>
      </w:r>
    </w:p>
    <w:p>
      <w:pPr>
        <w:numPr>
          <w:ilvl w:val="0"/>
          <w:numId w:val="0"/>
        </w:numPr>
        <w:wordWrap w:val="0"/>
        <w:adjustRightInd w:val="0"/>
        <w:snapToGrid w:val="0"/>
        <w:spacing w:before="40" w:after="40" w:line="336" w:lineRule="auto"/>
        <w:ind w:left="0" w:leftChars="0" w:firstLine="504" w:firstLineChars="200"/>
        <w:outlineLvl w:val="9"/>
        <w:rPr>
          <w:rFonts w:hint="eastAsia" w:asciiTheme="minorEastAsia" w:hAnsiTheme="minorEastAsia" w:eastAsiaTheme="minorEastAsia" w:cstheme="minorEastAsia"/>
          <w:color w:val="333333"/>
          <w:spacing w:val="6"/>
          <w:sz w:val="24"/>
          <w:szCs w:val="24"/>
          <w:lang w:eastAsia="zh-CN"/>
        </w:rPr>
      </w:pPr>
      <w:r>
        <w:rPr>
          <w:rFonts w:hint="eastAsia" w:asciiTheme="minorEastAsia" w:hAnsiTheme="minorEastAsia" w:eastAsiaTheme="minorEastAsia" w:cstheme="minorEastAsia"/>
          <w:color w:val="333333"/>
          <w:spacing w:val="6"/>
          <w:sz w:val="24"/>
          <w:szCs w:val="24"/>
          <w:lang w:eastAsia="zh-CN"/>
        </w:rPr>
        <w:t>电话：0391-8156680</w:t>
      </w:r>
    </w:p>
    <w:p>
      <w:pPr>
        <w:shd w:val="clear" w:color="auto" w:fill="FFFFFF"/>
        <w:spacing w:line="360" w:lineRule="auto"/>
        <w:ind w:left="420" w:firstLine="504" w:firstLineChars="200"/>
        <w:jc w:val="right"/>
        <w:outlineLvl w:val="9"/>
        <w:rPr>
          <w:rFonts w:hint="eastAsia" w:asciiTheme="minorEastAsia" w:hAnsiTheme="minorEastAsia" w:eastAsiaTheme="minorEastAsia" w:cstheme="minorEastAsia"/>
          <w:color w:val="333333"/>
          <w:spacing w:val="6"/>
          <w:sz w:val="24"/>
          <w:szCs w:val="24"/>
          <w:lang w:eastAsia="zh-CN"/>
        </w:rPr>
      </w:pPr>
    </w:p>
    <w:p>
      <w:pPr>
        <w:widowControl/>
        <w:jc w:val="left"/>
        <w:rPr>
          <w:rFonts w:ascii="宋体" w:hAnsi="宋体" w:cs="仿宋"/>
        </w:rPr>
      </w:pPr>
      <w:r>
        <w:rPr>
          <w:rFonts w:hint="eastAsia" w:ascii="宋体" w:hAnsi="宋体" w:cs="仿宋"/>
        </w:rPr>
        <w:br w:type="page"/>
      </w:r>
    </w:p>
    <w:p>
      <w:pPr>
        <w:pStyle w:val="8"/>
        <w:spacing w:before="0" w:after="0"/>
        <w:rPr>
          <w:rFonts w:ascii="宋体" w:hAnsi="宋体" w:eastAsia="宋体" w:cs="仿宋"/>
          <w:szCs w:val="32"/>
        </w:rPr>
      </w:pPr>
      <w:bookmarkStart w:id="45" w:name="_Toc4697"/>
      <w:bookmarkStart w:id="46" w:name="_Toc15795_WPSOffice_Level1"/>
      <w:bookmarkStart w:id="47" w:name="_Toc33260053"/>
      <w:r>
        <w:rPr>
          <w:rFonts w:hint="eastAsia" w:ascii="宋体" w:hAnsi="宋体" w:eastAsia="宋体" w:cs="仿宋"/>
          <w:caps/>
          <w:szCs w:val="32"/>
        </w:rPr>
        <w:t>第二章</w:t>
      </w:r>
      <w:r>
        <w:rPr>
          <w:rFonts w:hint="eastAsia" w:ascii="宋体" w:hAnsi="宋体" w:eastAsia="宋体" w:cs="仿宋"/>
          <w:szCs w:val="32"/>
        </w:rPr>
        <w:t xml:space="preserve">  供应商须知</w:t>
      </w:r>
      <w:bookmarkEnd w:id="45"/>
      <w:bookmarkEnd w:id="46"/>
      <w:bookmarkEnd w:id="47"/>
    </w:p>
    <w:p>
      <w:pPr>
        <w:pStyle w:val="9"/>
        <w:spacing w:before="0" w:after="0" w:line="360" w:lineRule="auto"/>
        <w:jc w:val="center"/>
        <w:rPr>
          <w:rFonts w:ascii="宋体" w:hAnsi="宋体" w:eastAsia="宋体" w:cs="仿宋"/>
        </w:rPr>
      </w:pPr>
      <w:bookmarkStart w:id="48" w:name="_Toc33260054"/>
      <w:bookmarkStart w:id="49" w:name="_Toc30027"/>
      <w:r>
        <w:rPr>
          <w:rFonts w:hint="eastAsia" w:ascii="宋体" w:hAnsi="宋体" w:eastAsia="宋体" w:cs="仿宋"/>
        </w:rPr>
        <w:t>供应商须知前附表</w:t>
      </w:r>
      <w:bookmarkEnd w:id="48"/>
      <w:bookmarkEnd w:id="49"/>
    </w:p>
    <w:p>
      <w:pPr>
        <w:rPr>
          <w:rFonts w:ascii="宋体" w:hAnsi="宋体" w:cs="仿宋"/>
          <w:sz w:val="20"/>
        </w:rPr>
      </w:pPr>
    </w:p>
    <w:p>
      <w:pPr>
        <w:spacing w:line="360" w:lineRule="auto"/>
        <w:ind w:firstLine="600" w:firstLineChars="250"/>
        <w:jc w:val="left"/>
        <w:rPr>
          <w:rFonts w:ascii="宋体" w:hAnsi="宋体" w:cs="仿宋"/>
          <w:b/>
          <w:szCs w:val="21"/>
        </w:rPr>
      </w:pPr>
      <w:r>
        <w:rPr>
          <w:rFonts w:hint="eastAsia" w:ascii="宋体" w:hAnsi="宋体" w:cs="仿宋"/>
          <w:sz w:val="24"/>
          <w:szCs w:val="24"/>
        </w:rPr>
        <w:t>供应商须知前附表中凡标有“*”的地方均被视为供应商必须满足的要求。供应商要特别加以注意且必须对此作出回答并完全满足这些要求，任何偏离都有可能导致响应文件无效或响应文件不予接</w:t>
      </w:r>
      <w:r>
        <w:rPr>
          <w:rFonts w:hint="eastAsia" w:ascii="宋体" w:hAnsi="宋体" w:cs="仿宋"/>
          <w:szCs w:val="21"/>
        </w:rPr>
        <w:t>受。</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1417"/>
        <w:gridCol w:w="69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条款号</w:t>
            </w:r>
          </w:p>
        </w:tc>
        <w:tc>
          <w:tcPr>
            <w:tcW w:w="1417" w:type="dxa"/>
            <w:vAlign w:val="center"/>
          </w:tcPr>
          <w:p>
            <w:pPr>
              <w:snapToGrid w:val="0"/>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名 称</w:t>
            </w:r>
          </w:p>
        </w:tc>
        <w:tc>
          <w:tcPr>
            <w:tcW w:w="6931" w:type="dxa"/>
            <w:vAlign w:val="center"/>
          </w:tcPr>
          <w:p>
            <w:pPr>
              <w:snapToGrid w:val="0"/>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采购人</w:t>
            </w:r>
          </w:p>
        </w:tc>
        <w:tc>
          <w:tcPr>
            <w:tcW w:w="6931" w:type="dxa"/>
            <w:vAlign w:val="center"/>
          </w:tcPr>
          <w:p>
            <w:pPr>
              <w:snapToGrid w:val="0"/>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名 称：</w:t>
            </w:r>
            <w:r>
              <w:rPr>
                <w:rFonts w:hint="eastAsia" w:asciiTheme="minorEastAsia" w:hAnsiTheme="minorEastAsia" w:eastAsiaTheme="minorEastAsia" w:cstheme="minorEastAsia"/>
                <w:sz w:val="24"/>
                <w:szCs w:val="24"/>
                <w:lang w:val="en-US" w:eastAsia="zh-CN"/>
              </w:rPr>
              <w:t>孟州高新技术产业开发区管理委员会</w:t>
            </w:r>
          </w:p>
          <w:p>
            <w:pPr>
              <w:snapToGrid w:val="0"/>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地 址：</w:t>
            </w:r>
            <w:r>
              <w:rPr>
                <w:rFonts w:hint="eastAsia" w:asciiTheme="minorEastAsia" w:hAnsiTheme="minorEastAsia" w:eastAsiaTheme="minorEastAsia" w:cstheme="minorEastAsia"/>
                <w:color w:val="333333"/>
                <w:spacing w:val="6"/>
                <w:sz w:val="24"/>
                <w:szCs w:val="24"/>
                <w:lang w:eastAsia="zh-CN"/>
              </w:rPr>
              <w:t>孟州高新技术产业开发区常付线北侧</w:t>
            </w:r>
          </w:p>
          <w:p>
            <w:pPr>
              <w:snapToGrid w:val="0"/>
              <w:spacing w:line="360" w:lineRule="auto"/>
              <w:rPr>
                <w:rFonts w:hint="default" w:asciiTheme="minorEastAsia" w:hAnsiTheme="minorEastAsia" w:eastAsiaTheme="minorEastAsia" w:cstheme="minorEastAsia"/>
                <w:b/>
                <w:bCs/>
                <w:sz w:val="24"/>
                <w:szCs w:val="24"/>
                <w:lang w:val="en-US"/>
              </w:rPr>
            </w:pPr>
            <w:r>
              <w:rPr>
                <w:rFonts w:hint="eastAsia" w:asciiTheme="minorEastAsia" w:hAnsiTheme="minorEastAsia" w:eastAsiaTheme="minorEastAsia" w:cstheme="minorEastAsia"/>
                <w:sz w:val="24"/>
                <w:szCs w:val="24"/>
                <w:lang w:eastAsia="zh-CN"/>
              </w:rPr>
              <w:t>联系方式：</w:t>
            </w:r>
            <w:r>
              <w:rPr>
                <w:rFonts w:hint="eastAsia" w:asciiTheme="minorEastAsia" w:hAnsiTheme="minorEastAsia" w:eastAsiaTheme="minorEastAsia" w:cstheme="minorEastAsia"/>
                <w:color w:val="333333"/>
                <w:spacing w:val="6"/>
                <w:sz w:val="24"/>
                <w:szCs w:val="24"/>
                <w:lang w:eastAsia="zh-CN"/>
              </w:rPr>
              <w:t>潘先生</w:t>
            </w:r>
            <w:r>
              <w:rPr>
                <w:rFonts w:hint="eastAsia" w:asciiTheme="minorEastAsia" w:hAnsiTheme="minorEastAsia" w:eastAsiaTheme="minorEastAsia" w:cstheme="minorEastAsia"/>
                <w:color w:val="333333"/>
                <w:spacing w:val="6"/>
                <w:sz w:val="24"/>
                <w:szCs w:val="24"/>
                <w:lang w:val="en-US" w:eastAsia="zh-CN"/>
              </w:rPr>
              <w:t>18803668964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w:t>
            </w:r>
          </w:p>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代理机构</w:t>
            </w:r>
          </w:p>
        </w:tc>
        <w:tc>
          <w:tcPr>
            <w:tcW w:w="6931" w:type="dxa"/>
            <w:vAlign w:val="center"/>
          </w:tcPr>
          <w:p>
            <w:pPr>
              <w:snapToGrid w:val="0"/>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名 称：河南省至诚招标采购服务有限公司</w:t>
            </w:r>
          </w:p>
          <w:p>
            <w:pPr>
              <w:snapToGrid w:val="0"/>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址：郑州市中州大道与黄河路交叉口西北角金成时代广场9号楼1103室</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联系方式：郭峰15703918288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866"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1.2.4</w:t>
            </w:r>
          </w:p>
        </w:tc>
        <w:tc>
          <w:tcPr>
            <w:tcW w:w="1417"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孟州市化工园区整体性安全风险评价报告及划定化工园区周边土地规划安全控制线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866"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1.2.5</w:t>
            </w:r>
          </w:p>
        </w:tc>
        <w:tc>
          <w:tcPr>
            <w:tcW w:w="1417"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采购</w:t>
            </w:r>
            <w:r>
              <w:rPr>
                <w:rFonts w:hint="eastAsia" w:asciiTheme="minorEastAsia" w:hAnsiTheme="minorEastAsia" w:eastAsiaTheme="minorEastAsia" w:cstheme="minorEastAsia"/>
                <w:sz w:val="24"/>
                <w:szCs w:val="24"/>
              </w:rPr>
              <w:t>编号</w:t>
            </w:r>
          </w:p>
        </w:tc>
        <w:tc>
          <w:tcPr>
            <w:tcW w:w="6931" w:type="dxa"/>
            <w:vAlign w:val="center"/>
          </w:tcPr>
          <w:p>
            <w:pPr>
              <w:snapToGrid w:val="0"/>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b w:val="0"/>
                <w:bCs/>
                <w:sz w:val="24"/>
                <w:szCs w:val="24"/>
              </w:rPr>
              <w:t>MZCG</w:t>
            </w:r>
            <w:r>
              <w:rPr>
                <w:rFonts w:hint="eastAsia" w:asciiTheme="minorEastAsia" w:hAnsiTheme="minorEastAsia" w:eastAsiaTheme="minorEastAsia" w:cstheme="minorEastAsia"/>
                <w:b w:val="0"/>
                <w:bCs/>
                <w:sz w:val="24"/>
                <w:szCs w:val="24"/>
                <w:lang w:val="en-US" w:eastAsia="zh-CN"/>
              </w:rPr>
              <w:t xml:space="preserve">2024028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预算金额及最高限价</w:t>
            </w:r>
          </w:p>
        </w:tc>
        <w:tc>
          <w:tcPr>
            <w:tcW w:w="6931" w:type="dxa"/>
            <w:vAlign w:val="center"/>
          </w:tcPr>
          <w:p>
            <w:pPr>
              <w:snapToGrid w:val="0"/>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预算金额：</w:t>
            </w:r>
            <w:r>
              <w:rPr>
                <w:rFonts w:hint="eastAsia" w:asciiTheme="minorEastAsia" w:hAnsiTheme="minorEastAsia" w:eastAsiaTheme="minorEastAsia" w:cstheme="minorEastAsia"/>
                <w:sz w:val="24"/>
                <w:szCs w:val="24"/>
                <w:lang w:val="en-US" w:eastAsia="zh-CN"/>
              </w:rPr>
              <w:t>50万元</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供应商在预算金额（最高限价）内自主报价，超过预算金额（最高限价）的报价为无效报价。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866"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w:t>
            </w:r>
          </w:p>
        </w:tc>
        <w:tc>
          <w:tcPr>
            <w:tcW w:w="1417"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采购内容</w:t>
            </w:r>
          </w:p>
        </w:tc>
        <w:tc>
          <w:tcPr>
            <w:tcW w:w="6931" w:type="dxa"/>
            <w:vAlign w:val="center"/>
          </w:tcPr>
          <w:p>
            <w:pPr>
              <w:tabs>
                <w:tab w:val="left" w:pos="312"/>
              </w:tabs>
              <w:wordWrap w:val="0"/>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highlight w:val="none"/>
                <w:lang w:val="en-US" w:eastAsia="zh-CN"/>
              </w:rPr>
              <w:t>根据有关法律法规编制孟州市化工园区整体性安全风险评价报告及划定化工园区周边土地规划安全控制线（详见第四章采购人需求）。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包段</w:t>
            </w:r>
          </w:p>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划分</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本次采购共1个包。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866"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1.4.3</w:t>
            </w:r>
          </w:p>
        </w:tc>
        <w:tc>
          <w:tcPr>
            <w:tcW w:w="1417"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sz w:val="24"/>
                <w:szCs w:val="24"/>
              </w:rPr>
              <w:t>服务期限</w:t>
            </w:r>
          </w:p>
        </w:tc>
        <w:tc>
          <w:tcPr>
            <w:tcW w:w="6931" w:type="dxa"/>
            <w:vAlign w:val="center"/>
          </w:tcPr>
          <w:p>
            <w:pPr>
              <w:snapToGrid w:val="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highlight w:val="none"/>
                <w:lang w:val="en-US" w:eastAsia="zh-CN"/>
              </w:rPr>
              <w:t>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66"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1.4.4</w:t>
            </w:r>
          </w:p>
        </w:tc>
        <w:tc>
          <w:tcPr>
            <w:tcW w:w="1417"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sz w:val="24"/>
                <w:szCs w:val="24"/>
              </w:rPr>
              <w:t>质量要求</w:t>
            </w:r>
          </w:p>
        </w:tc>
        <w:tc>
          <w:tcPr>
            <w:tcW w:w="6931" w:type="dxa"/>
            <w:vAlign w:val="center"/>
          </w:tcPr>
          <w:p>
            <w:pPr>
              <w:snapToGrid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符合国家、行业验收规范合格标准。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66"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1.4.5</w:t>
            </w:r>
          </w:p>
        </w:tc>
        <w:tc>
          <w:tcPr>
            <w:tcW w:w="1417"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sz w:val="24"/>
                <w:szCs w:val="24"/>
              </w:rPr>
              <w:t>服务地点</w:t>
            </w:r>
          </w:p>
        </w:tc>
        <w:tc>
          <w:tcPr>
            <w:tcW w:w="6931" w:type="dxa"/>
            <w:vAlign w:val="center"/>
          </w:tcPr>
          <w:p>
            <w:pPr>
              <w:snapToGrid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highlight w:val="none"/>
                <w:lang w:eastAsia="zh-CN"/>
              </w:rPr>
              <w:t>孟州高新技术产业开发区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66"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w:t>
            </w:r>
          </w:p>
        </w:tc>
        <w:tc>
          <w:tcPr>
            <w:tcW w:w="1417"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进口产品</w:t>
            </w:r>
          </w:p>
        </w:tc>
        <w:tc>
          <w:tcPr>
            <w:tcW w:w="6931" w:type="dxa"/>
            <w:vAlign w:val="center"/>
          </w:tcPr>
          <w:p>
            <w:pPr>
              <w:snapToGrid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经财政部门核准允许采购进口产品（ 是/</w:t>
            </w:r>
            <w:r>
              <w:rPr>
                <w:rFonts w:hint="eastAsia" w:asciiTheme="minorEastAsia" w:hAnsiTheme="minorEastAsia" w:eastAsiaTheme="minorEastAsia" w:cstheme="minorEastAsia"/>
                <w:b/>
                <w:bCs/>
                <w:color w:val="000000"/>
                <w:sz w:val="24"/>
                <w:szCs w:val="24"/>
              </w:rPr>
              <w:t>√</w:t>
            </w:r>
            <w:r>
              <w:rPr>
                <w:rFonts w:hint="eastAsia" w:asciiTheme="minorEastAsia" w:hAnsiTheme="minorEastAsia" w:eastAsiaTheme="minorEastAsia" w:cstheme="minorEastAsia"/>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供应商资格要求</w:t>
            </w:r>
          </w:p>
        </w:tc>
        <w:tc>
          <w:tcPr>
            <w:tcW w:w="6931" w:type="dxa"/>
            <w:vAlign w:val="center"/>
          </w:tcPr>
          <w:p>
            <w:pPr>
              <w:snapToGrid w:val="0"/>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1.具有独立承担民事责任的能力；（提供有效的法人或者其他组织的营业执照等证明文件复印件）</w:t>
            </w:r>
            <w:r>
              <w:rPr>
                <w:rFonts w:hint="eastAsia" w:asciiTheme="minorEastAsia" w:hAnsiTheme="minorEastAsia" w:eastAsiaTheme="minorEastAsia" w:cstheme="minorEastAsia"/>
                <w:sz w:val="24"/>
                <w:szCs w:val="24"/>
                <w:lang w:eastAsia="zh-CN"/>
              </w:rPr>
              <w:t>。</w:t>
            </w:r>
          </w:p>
          <w:p>
            <w:pPr>
              <w:snapToGrid w:val="0"/>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2.具有良好的商业信誉和健全的财务会计制度；（提供承诺书，格式自拟，加盖公章）</w:t>
            </w:r>
            <w:r>
              <w:rPr>
                <w:rFonts w:hint="eastAsia" w:asciiTheme="minorEastAsia" w:hAnsiTheme="minorEastAsia" w:eastAsiaTheme="minorEastAsia" w:cstheme="minorEastAsia"/>
                <w:sz w:val="24"/>
                <w:szCs w:val="24"/>
                <w:lang w:eastAsia="zh-CN"/>
              </w:rPr>
              <w:t>。</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3.具有履行合同所必需的设备和专业技术能力；（提供满足履行合同所需设备和专业技术能力的承诺（格式自拟，加盖公章））</w:t>
            </w:r>
          </w:p>
          <w:p>
            <w:pPr>
              <w:snapToGrid w:val="0"/>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4.具有依法缴纳税收和社会保障资金的良好记录；（提供承诺书，格式自拟，加盖公章）</w:t>
            </w:r>
            <w:r>
              <w:rPr>
                <w:rFonts w:hint="eastAsia" w:asciiTheme="minorEastAsia" w:hAnsiTheme="minorEastAsia" w:eastAsiaTheme="minorEastAsia" w:cstheme="minorEastAsia"/>
                <w:sz w:val="24"/>
                <w:szCs w:val="24"/>
                <w:lang w:eastAsia="zh-CN"/>
              </w:rPr>
              <w:t>。</w:t>
            </w:r>
          </w:p>
          <w:p>
            <w:pPr>
              <w:snapToGrid w:val="0"/>
              <w:spacing w:line="36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参加本次采购活动前三年内，在经营活动中没有重大违法记录；（提供有效的参加本次采购活动前三年内在经营活动中没有重大违法记录的书面声明（格式自拟，加盖公章）</w:t>
            </w:r>
            <w:r>
              <w:rPr>
                <w:rFonts w:hint="eastAsia" w:asciiTheme="minorEastAsia" w:hAnsiTheme="minorEastAsia" w:eastAsiaTheme="minorEastAsia" w:cstheme="minorEastAsia"/>
                <w:sz w:val="24"/>
                <w:szCs w:val="24"/>
                <w:lang w:eastAsia="zh-CN"/>
              </w:rPr>
              <w:t>。</w:t>
            </w:r>
          </w:p>
          <w:p>
            <w:pPr>
              <w:snapToGrid w:val="0"/>
              <w:spacing w:line="360" w:lineRule="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对列入失信被执行人、重大税收违法失信主体、政府采购严重违法失信行为记录名单的供应商，拒绝其参与本次政府采购活动；（以代理机构查询为准。供应商提供的查询记录不作为资格审查依据，供应商未提供查询记录的也不作为无效响应文件。）</w:t>
            </w:r>
          </w:p>
          <w:p>
            <w:pPr>
              <w:wordWrap w:val="0"/>
              <w:adjustRightInd w:val="0"/>
              <w:snapToGrid w:val="0"/>
              <w:spacing w:before="40" w:after="40" w:line="336" w:lineRule="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7.投标人须具有有效的营业执照或事业单位法人证书；（须在投标文件中附证明资料的扫描件，并加盖单位公章。）</w:t>
            </w:r>
          </w:p>
          <w:p>
            <w:pPr>
              <w:wordWrap w:val="0"/>
              <w:adjustRightInd w:val="0"/>
              <w:snapToGrid w:val="0"/>
              <w:spacing w:before="40" w:after="40" w:line="336" w:lineRule="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8.投标人须具有安全评价机构资质证书（须在有效期内）；（须在投标文件中附证明资料的扫描件，并加盖单位公章。）</w:t>
            </w:r>
          </w:p>
          <w:p>
            <w:pPr>
              <w:wordWrap w:val="0"/>
              <w:adjustRightInd w:val="0"/>
              <w:snapToGrid w:val="0"/>
              <w:spacing w:before="40" w:after="40" w:line="336" w:lineRule="auto"/>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9.投标人拟派项目负责人应为本单位正式职工，且具有注册安全工程师资格；（须在投标文件中附证明资料的扫描件，并加盖单位公章。）</w:t>
            </w:r>
          </w:p>
          <w:p>
            <w:pPr>
              <w:snapToGrid w:val="0"/>
              <w:spacing w:line="360" w:lineRule="auto"/>
              <w:rPr>
                <w:rFonts w:hint="default"/>
                <w:lang w:val="en-US" w:eastAsia="zh-CN"/>
              </w:rPr>
            </w:pPr>
            <w:r>
              <w:rPr>
                <w:rFonts w:hint="eastAsia" w:asciiTheme="minorEastAsia" w:hAnsiTheme="minorEastAsia" w:eastAsiaTheme="minorEastAsia" w:cstheme="minorEastAsia"/>
                <w:sz w:val="24"/>
                <w:szCs w:val="24"/>
                <w:lang w:val="en-US" w:eastAsia="zh-CN"/>
              </w:rPr>
              <w:t>10.采购项目整体专门面向中小企业采购，监狱企业、残疾人福利性企业视同小微企业。（提供中小企业声明函，监狱企业、残疾人福利性企业提供相关证明）。</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w:t>
            </w:r>
            <w:r>
              <w:rPr>
                <w:rFonts w:hint="eastAsia" w:asciiTheme="minorEastAsia" w:hAnsiTheme="minorEastAsia" w:eastAsiaTheme="minorEastAsia" w:cstheme="minorEastAsia"/>
                <w:sz w:val="24"/>
                <w:szCs w:val="24"/>
              </w:rPr>
              <w:t>.本项目不接受联合体参加。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9"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1.6.2</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信用记录</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根据财库〔2016〕125 号文件要求，采购代理机构将查询供应商信用记录。</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1、信用信息查询渠道：“信用中国”网站（www.creditchina.gov.cn）、中国政府采购网（http://www.ccgp.gov.cn)。</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2、信用信息查询截止时点：响应文件递交截止时间至资格审查结束前。 </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3、信用信息查询记录和证据留存的具体方式：信用信息查询记录将以网页打印稿形式与其他采购文件一并保存。 </w:t>
            </w:r>
          </w:p>
          <w:p>
            <w:pPr>
              <w:wordWrap w:val="0"/>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信用信息的使用规则：如供应商为“信用中国”网站（www.creditchina.gov.cn）中列入失信被执行人或重大税收违法失信主体的供应商，或为中国政府采购网（www.ccgp.gov.cn）政府采购严重违法失信行为记录名单中被财政部门禁止参加政府采购活动的供应商，则其响应文件将被拒绝。</w:t>
            </w:r>
          </w:p>
          <w:p>
            <w:pPr>
              <w:snapToGrid w:val="0"/>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采购代理机构查询之后，网站信息发生的任何变更均不再作为评审依据，供应商自行提供的与代理机构查询信息不一致的其他证明材料亦不作为评审依据</w:t>
            </w:r>
            <w:r>
              <w:rPr>
                <w:rFonts w:hint="eastAsia" w:asciiTheme="minorEastAsia" w:hAnsiTheme="minorEastAsia" w:eastAsiaTheme="minorEastAsia" w:cstheme="minorEastAsia"/>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1.6.3</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是否接受联合体</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踏勘现场</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√不组织，供应商自行踏勘，无论供应商对现场考察与否，都将被视为熟悉履行合同有关的一切情况。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1.12.1</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采购预备会</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sz w:val="24"/>
                <w:szCs w:val="24"/>
              </w:rPr>
              <w:t>偏离</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采购需求</w:t>
            </w:r>
            <w:r>
              <w:rPr>
                <w:rFonts w:hint="eastAsia" w:asciiTheme="minorEastAsia" w:hAnsiTheme="minorEastAsia" w:eastAsiaTheme="minorEastAsia" w:cstheme="minorEastAsia"/>
                <w:sz w:val="24"/>
                <w:szCs w:val="24"/>
              </w:rPr>
              <w:t>不允许负偏离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2.2.2</w:t>
            </w:r>
          </w:p>
        </w:tc>
        <w:tc>
          <w:tcPr>
            <w:tcW w:w="1417" w:type="dxa"/>
            <w:vAlign w:val="bottom"/>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供应商提出问题或要求澄清</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潜在供应商对</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文件内容如有疑问或需要澄清的，应按</w:t>
            </w:r>
            <w:r>
              <w:rPr>
                <w:rFonts w:hint="eastAsia" w:asciiTheme="minorEastAsia" w:hAnsiTheme="minorEastAsia" w:eastAsiaTheme="minorEastAsia" w:cstheme="minorEastAsia"/>
                <w:sz w:val="24"/>
                <w:szCs w:val="24"/>
                <w:lang w:eastAsia="zh-CN"/>
              </w:rPr>
              <w:t>公开招标</w:t>
            </w:r>
            <w:r>
              <w:rPr>
                <w:rFonts w:hint="eastAsia" w:asciiTheme="minorEastAsia" w:hAnsiTheme="minorEastAsia" w:eastAsiaTheme="minorEastAsia" w:cstheme="minorEastAsia"/>
                <w:sz w:val="24"/>
                <w:szCs w:val="24"/>
              </w:rPr>
              <w:t>公告中载明的地址以书面的形式通知到采购代理机构。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66"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w:t>
            </w:r>
          </w:p>
        </w:tc>
        <w:tc>
          <w:tcPr>
            <w:tcW w:w="1417" w:type="dxa"/>
            <w:vAlign w:val="center"/>
          </w:tcPr>
          <w:p>
            <w:pPr>
              <w:snapToGrid w:val="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sz w:val="24"/>
                <w:szCs w:val="24"/>
              </w:rPr>
              <w:t>投标有效期</w:t>
            </w:r>
          </w:p>
        </w:tc>
        <w:tc>
          <w:tcPr>
            <w:tcW w:w="6931" w:type="dxa"/>
            <w:vAlign w:val="center"/>
          </w:tcPr>
          <w:p>
            <w:pPr>
              <w:snapToGrid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从响应文件提交截止之日起60日历天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投标</w:t>
            </w:r>
            <w:r>
              <w:rPr>
                <w:rFonts w:hint="eastAsia" w:asciiTheme="minorEastAsia" w:hAnsiTheme="minorEastAsia" w:eastAsiaTheme="minorEastAsia" w:cstheme="minorEastAsia"/>
                <w:sz w:val="24"/>
                <w:szCs w:val="24"/>
              </w:rPr>
              <w:t>保证金</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3.5.4</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Cs/>
                <w:sz w:val="24"/>
                <w:szCs w:val="24"/>
              </w:rPr>
              <w:t>响应</w:t>
            </w:r>
            <w:r>
              <w:rPr>
                <w:rFonts w:hint="eastAsia" w:asciiTheme="minorEastAsia" w:hAnsiTheme="minorEastAsia" w:eastAsiaTheme="minorEastAsia" w:cstheme="minorEastAsia"/>
                <w:sz w:val="24"/>
                <w:szCs w:val="24"/>
              </w:rPr>
              <w:t>文件份数</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加密</w:t>
            </w:r>
            <w:r>
              <w:rPr>
                <w:rFonts w:hint="eastAsia" w:asciiTheme="minorEastAsia" w:hAnsiTheme="minorEastAsia" w:eastAsiaTheme="minorEastAsia" w:cstheme="minorEastAsia"/>
                <w:sz w:val="24"/>
                <w:szCs w:val="24"/>
                <w:lang w:eastAsia="zh-CN"/>
              </w:rPr>
              <w:t>投标</w:t>
            </w:r>
            <w:r>
              <w:rPr>
                <w:rFonts w:hint="eastAsia" w:asciiTheme="minorEastAsia" w:hAnsiTheme="minorEastAsia" w:eastAsiaTheme="minorEastAsia" w:cstheme="minorEastAsia"/>
                <w:sz w:val="24"/>
                <w:szCs w:val="24"/>
              </w:rPr>
              <w:t>电子文件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jztf</w:t>
            </w:r>
            <w:r>
              <w:rPr>
                <w:rFonts w:hint="eastAsia" w:asciiTheme="minorEastAsia" w:hAnsiTheme="minorEastAsia" w:eastAsiaTheme="minorEastAsia" w:cstheme="minorEastAsia"/>
                <w:sz w:val="24"/>
                <w:szCs w:val="24"/>
              </w:rPr>
              <w:t>格式</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一份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Cs/>
                <w:sz w:val="24"/>
                <w:szCs w:val="24"/>
              </w:rPr>
              <w:t>响应</w:t>
            </w:r>
            <w:r>
              <w:rPr>
                <w:rFonts w:hint="eastAsia" w:asciiTheme="minorEastAsia" w:hAnsiTheme="minorEastAsia" w:eastAsiaTheme="minorEastAsia" w:cstheme="minorEastAsia"/>
                <w:sz w:val="24"/>
                <w:szCs w:val="24"/>
              </w:rPr>
              <w:t>文件密封和标记</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加密</w:t>
            </w:r>
            <w:r>
              <w:rPr>
                <w:rFonts w:hint="eastAsia" w:asciiTheme="minorEastAsia" w:hAnsiTheme="minorEastAsia" w:eastAsiaTheme="minorEastAsia" w:cstheme="minorEastAsia"/>
                <w:sz w:val="24"/>
                <w:szCs w:val="24"/>
                <w:lang w:eastAsia="zh-CN"/>
              </w:rPr>
              <w:t>投标</w:t>
            </w:r>
            <w:r>
              <w:rPr>
                <w:rFonts w:hint="eastAsia" w:asciiTheme="minorEastAsia" w:hAnsiTheme="minorEastAsia" w:eastAsiaTheme="minorEastAsia" w:cstheme="minorEastAsia"/>
                <w:sz w:val="24"/>
                <w:szCs w:val="24"/>
              </w:rPr>
              <w:t>电子文件（.</w:t>
            </w:r>
            <w:r>
              <w:rPr>
                <w:rFonts w:hint="eastAsia" w:asciiTheme="minorEastAsia" w:hAnsiTheme="minorEastAsia" w:eastAsiaTheme="minorEastAsia" w:cstheme="minorEastAsia"/>
                <w:sz w:val="24"/>
                <w:szCs w:val="24"/>
                <w:lang w:val="en-US" w:eastAsia="zh-CN"/>
              </w:rPr>
              <w:t>jztf</w:t>
            </w:r>
            <w:r>
              <w:rPr>
                <w:rFonts w:hint="eastAsia" w:asciiTheme="minorEastAsia" w:hAnsiTheme="minorEastAsia" w:eastAsiaTheme="minorEastAsia" w:cstheme="minorEastAsia"/>
                <w:sz w:val="24"/>
                <w:szCs w:val="24"/>
              </w:rPr>
              <w:t>格式）须在文件递交截止时间前通过“</w:t>
            </w:r>
            <w:r>
              <w:rPr>
                <w:rFonts w:hint="eastAsia" w:asciiTheme="minorEastAsia" w:hAnsiTheme="minorEastAsia" w:eastAsiaTheme="minorEastAsia" w:cstheme="minorEastAsia"/>
                <w:sz w:val="24"/>
                <w:szCs w:val="24"/>
                <w:lang w:eastAsia="zh-CN"/>
              </w:rPr>
              <w:t>焦作</w:t>
            </w:r>
            <w:r>
              <w:rPr>
                <w:rFonts w:hint="eastAsia" w:asciiTheme="minorEastAsia" w:hAnsiTheme="minorEastAsia" w:eastAsiaTheme="minorEastAsia" w:cstheme="minorEastAsia"/>
                <w:sz w:val="24"/>
                <w:szCs w:val="24"/>
              </w:rPr>
              <w:t>市公共资源交易中心”电子交易平台加密上传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Cs/>
                <w:sz w:val="24"/>
                <w:szCs w:val="24"/>
              </w:rPr>
              <w:t>响应</w:t>
            </w:r>
            <w:r>
              <w:rPr>
                <w:rFonts w:hint="eastAsia" w:asciiTheme="minorEastAsia" w:hAnsiTheme="minorEastAsia" w:eastAsiaTheme="minorEastAsia" w:cstheme="minorEastAsia"/>
                <w:sz w:val="24"/>
                <w:szCs w:val="24"/>
              </w:rPr>
              <w:t>文件</w:t>
            </w:r>
          </w:p>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提交</w:t>
            </w:r>
          </w:p>
        </w:tc>
        <w:tc>
          <w:tcPr>
            <w:tcW w:w="6931" w:type="dxa"/>
            <w:vAlign w:val="center"/>
          </w:tcPr>
          <w:p>
            <w:pPr>
              <w:numPr>
                <w:ilvl w:val="0"/>
                <w:numId w:val="0"/>
              </w:numPr>
              <w:snapToGrid w:val="0"/>
              <w:spacing w:line="360" w:lineRule="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1.投标</w:t>
            </w:r>
            <w:r>
              <w:rPr>
                <w:rFonts w:hint="eastAsia" w:asciiTheme="minorEastAsia" w:hAnsiTheme="minorEastAsia" w:eastAsiaTheme="minorEastAsia" w:cstheme="minorEastAsia"/>
                <w:bCs/>
                <w:sz w:val="24"/>
                <w:szCs w:val="24"/>
              </w:rPr>
              <w:t>文件提交截止时间：20</w:t>
            </w:r>
            <w:r>
              <w:rPr>
                <w:rFonts w:hint="eastAsia" w:asciiTheme="minorEastAsia" w:hAnsiTheme="minorEastAsia" w:eastAsiaTheme="minorEastAsia" w:cstheme="minorEastAsia"/>
                <w:bCs/>
                <w:sz w:val="24"/>
                <w:szCs w:val="24"/>
                <w:lang w:val="en-US" w:eastAsia="zh-CN"/>
              </w:rPr>
              <w:t>24</w:t>
            </w:r>
            <w:r>
              <w:rPr>
                <w:rFonts w:hint="eastAsia" w:asciiTheme="minorEastAsia" w:hAnsiTheme="minorEastAsia" w:eastAsiaTheme="minorEastAsia" w:cstheme="minorEastAsia"/>
                <w:bCs/>
                <w:sz w:val="24"/>
                <w:szCs w:val="24"/>
              </w:rPr>
              <w:t>年</w:t>
            </w:r>
            <w:r>
              <w:rPr>
                <w:rFonts w:hint="eastAsia" w:asciiTheme="minorEastAsia" w:hAnsiTheme="minorEastAsia" w:eastAsiaTheme="minorEastAsia" w:cstheme="minorEastAsia"/>
                <w:bCs/>
                <w:sz w:val="24"/>
                <w:szCs w:val="24"/>
                <w:lang w:val="en-US" w:eastAsia="zh-CN"/>
              </w:rPr>
              <w:t>5月22日</w:t>
            </w:r>
            <w:r>
              <w:rPr>
                <w:rFonts w:hint="eastAsia" w:asciiTheme="minorEastAsia" w:hAnsiTheme="minorEastAsia" w:eastAsiaTheme="minorEastAsia" w:cstheme="minorEastAsia"/>
                <w:bCs/>
                <w:sz w:val="24"/>
                <w:szCs w:val="24"/>
              </w:rPr>
              <w:t>上午</w:t>
            </w:r>
            <w:r>
              <w:rPr>
                <w:rFonts w:hint="eastAsia" w:asciiTheme="minorEastAsia" w:hAnsiTheme="minorEastAsia" w:eastAsiaTheme="minorEastAsia" w:cstheme="minorEastAsia"/>
                <w:bCs/>
                <w:sz w:val="24"/>
                <w:szCs w:val="24"/>
                <w:lang w:val="en-US" w:eastAsia="zh-CN"/>
              </w:rPr>
              <w:t>9</w:t>
            </w:r>
            <w:r>
              <w:rPr>
                <w:rFonts w:hint="eastAsia" w:asciiTheme="minorEastAsia" w:hAnsiTheme="minorEastAsia" w:eastAsiaTheme="minorEastAsia" w:cstheme="minorEastAsia"/>
                <w:bCs/>
                <w:sz w:val="24"/>
                <w:szCs w:val="24"/>
              </w:rPr>
              <w:t>时</w:t>
            </w:r>
            <w:r>
              <w:rPr>
                <w:rFonts w:hint="eastAsia" w:asciiTheme="minorEastAsia" w:hAnsiTheme="minorEastAsia" w:eastAsiaTheme="minorEastAsia" w:cstheme="minorEastAsia"/>
                <w:bCs/>
                <w:sz w:val="24"/>
                <w:szCs w:val="24"/>
                <w:lang w:val="en-US" w:eastAsia="zh-CN"/>
              </w:rPr>
              <w:t>00</w:t>
            </w:r>
            <w:r>
              <w:rPr>
                <w:rFonts w:hint="eastAsia" w:asciiTheme="minorEastAsia" w:hAnsiTheme="minorEastAsia" w:eastAsiaTheme="minorEastAsia" w:cstheme="minorEastAsia"/>
                <w:bCs/>
                <w:sz w:val="24"/>
                <w:szCs w:val="24"/>
              </w:rPr>
              <w:t>分（北京时间）</w:t>
            </w:r>
          </w:p>
          <w:p>
            <w:pPr>
              <w:numPr>
                <w:ilvl w:val="0"/>
                <w:numId w:val="0"/>
              </w:numPr>
              <w:snapToGrid w:val="0"/>
              <w:spacing w:line="360" w:lineRule="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2.投标</w:t>
            </w:r>
            <w:r>
              <w:rPr>
                <w:rFonts w:hint="eastAsia" w:asciiTheme="minorEastAsia" w:hAnsiTheme="minorEastAsia" w:eastAsiaTheme="minorEastAsia" w:cstheme="minorEastAsia"/>
                <w:bCs/>
                <w:sz w:val="24"/>
                <w:szCs w:val="24"/>
              </w:rPr>
              <w:t>文件递交地点：</w:t>
            </w:r>
            <w:r>
              <w:rPr>
                <w:rFonts w:hint="eastAsia" w:asciiTheme="minorEastAsia" w:hAnsiTheme="minorEastAsia" w:eastAsiaTheme="minorEastAsia" w:cstheme="minorEastAsia"/>
                <w:bCs/>
                <w:sz w:val="24"/>
                <w:szCs w:val="24"/>
                <w:lang w:eastAsia="zh-CN"/>
              </w:rPr>
              <w:t>焦作</w:t>
            </w:r>
            <w:r>
              <w:rPr>
                <w:rFonts w:hint="eastAsia" w:asciiTheme="minorEastAsia" w:hAnsiTheme="minorEastAsia" w:eastAsiaTheme="minorEastAsia" w:cstheme="minorEastAsia"/>
                <w:bCs/>
                <w:sz w:val="24"/>
                <w:szCs w:val="24"/>
              </w:rPr>
              <w:t>市公共资源交易中心网站</w:t>
            </w:r>
          </w:p>
          <w:p>
            <w:pPr>
              <w:numPr>
                <w:ilvl w:val="0"/>
                <w:numId w:val="0"/>
              </w:numPr>
              <w:snapToGrid w:val="0"/>
              <w:spacing w:line="360" w:lineRule="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 xml:space="preserve">本项目采用“远程不见面”的开标方式，潜在投标人可提前在焦作市交易中心官网首页－-－下载中心－－下载《焦作市电子招投标系统操作手册》和《焦作市公共资源交易平台不见面开标操作手册》《投标文件制作工作工具》等，查看操作说明，按要求进行投标文件制作和上传等。为避免网络拥堵等不可控因素影响投标文件的上传，请提前上传投标文件，并在开标截止时间前登录不见面开标大厅进行签到，按要求解密投标文件。因文件未及时上传导致投标失败的责任由投标人自行承担，具体要求详见招标文件。平台统一技术服务电话：400-998-0000，服务 QQ：4008503300，服务时间：周一至周日 8：00-17：30。 </w:t>
            </w:r>
          </w:p>
          <w:p>
            <w:pPr>
              <w:numPr>
                <w:ilvl w:val="0"/>
                <w:numId w:val="0"/>
              </w:numPr>
              <w:snapToGrid w:val="0"/>
              <w:spacing w:line="360" w:lineRule="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 xml:space="preserve">3.加密电子投标文件须在焦作市公共资源交易中心电子交易平台中加密上传，上传时必须得到电脑“上传成功”的确认回复后方为上传成功。投标人无须到现场参加开标会议，无需到达现场提交原件资料。投标人应当在投标截止前，登录远程开标大厅，在线准时参加开标活动并进行文件解密、答疑澄清等。在规定时间内投标文件未解密的投标人，视为放弃投标。 </w:t>
            </w:r>
          </w:p>
          <w:p>
            <w:pPr>
              <w:snapToGrid w:val="0"/>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lang w:val="en-US" w:eastAsia="zh-CN"/>
              </w:rPr>
              <w:t>4.本项目采用“远程不见面”开标方式，投标人应当在招标文件确定的投标截止时间前，登录远程开标大厅，在线准时参加开标活动。远程开标大厅网址：（http://222.143.135.34:7890/BidOpeningHall/bidhall/default/login）</w:t>
            </w:r>
            <w:r>
              <w:rPr>
                <w:rFonts w:hint="eastAsia" w:asciiTheme="minorEastAsia" w:hAnsiTheme="minorEastAsia" w:eastAsiaTheme="minorEastAsia" w:cstheme="minorEastAsia"/>
                <w:sz w:val="24"/>
                <w:szCs w:val="24"/>
              </w:rPr>
              <w:t>本次采购不退还</w:t>
            </w:r>
            <w:r>
              <w:rPr>
                <w:rFonts w:hint="eastAsia" w:asciiTheme="minorEastAsia" w:hAnsiTheme="minorEastAsia" w:eastAsiaTheme="minorEastAsia" w:cstheme="minorEastAsia"/>
                <w:sz w:val="24"/>
                <w:szCs w:val="24"/>
                <w:lang w:eastAsia="zh-CN"/>
              </w:rPr>
              <w:t>投标</w:t>
            </w:r>
            <w:r>
              <w:rPr>
                <w:rFonts w:hint="eastAsia" w:asciiTheme="minorEastAsia" w:hAnsiTheme="minorEastAsia" w:eastAsiaTheme="minorEastAsia" w:cstheme="minorEastAsia"/>
                <w:sz w:val="24"/>
                <w:szCs w:val="24"/>
              </w:rPr>
              <w:t>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4.</w:t>
            </w:r>
            <w:r>
              <w:rPr>
                <w:rFonts w:hint="eastAsia" w:asciiTheme="minorEastAsia" w:hAnsiTheme="minorEastAsia" w:eastAsiaTheme="minorEastAsia" w:cstheme="minorEastAsia"/>
                <w:sz w:val="24"/>
                <w:szCs w:val="24"/>
                <w:lang w:val="en-US" w:eastAsia="zh-CN"/>
              </w:rPr>
              <w:t>3</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样品及演示</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5.1</w:t>
            </w:r>
          </w:p>
        </w:tc>
        <w:tc>
          <w:tcPr>
            <w:tcW w:w="1417" w:type="dxa"/>
            <w:vAlign w:val="center"/>
          </w:tcPr>
          <w:p>
            <w:pPr>
              <w:keepNext w:val="0"/>
              <w:keepLines w:val="0"/>
              <w:pageBreakBefore w:val="0"/>
              <w:kinsoku/>
              <w:wordWrap w:val="0"/>
              <w:overflowPunct/>
              <w:topLinePunct w:val="0"/>
              <w:autoSpaceDE/>
              <w:autoSpaceDN/>
              <w:bidi w:val="0"/>
              <w:snapToGrid w:val="0"/>
              <w:spacing w:line="360" w:lineRule="auto"/>
              <w:jc w:val="center"/>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开标顺序</w:t>
            </w:r>
          </w:p>
        </w:tc>
        <w:tc>
          <w:tcPr>
            <w:tcW w:w="6931" w:type="dxa"/>
            <w:vAlign w:val="center"/>
          </w:tcPr>
          <w:p>
            <w:pPr>
              <w:keepNext w:val="0"/>
              <w:keepLines w:val="0"/>
              <w:pageBreakBefore w:val="0"/>
              <w:kinsoku/>
              <w:wordWrap w:val="0"/>
              <w:overflowPunct/>
              <w:topLinePunct w:val="0"/>
              <w:autoSpaceDE/>
              <w:autoSpaceDN/>
              <w:bidi w:val="0"/>
              <w:snapToGrid w:val="0"/>
              <w:spacing w:line="360" w:lineRule="auto"/>
              <w:ind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开标时，各供应商委托代理人需使用本单位CA数字证书（制作投标文件时所使用的CA数字证书）在规定时间内进行远程解密工作。开标后按网上开标系统默认的顺序唱标。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评标委员会的组建</w:t>
            </w:r>
          </w:p>
        </w:tc>
        <w:tc>
          <w:tcPr>
            <w:tcW w:w="6931" w:type="dxa"/>
            <w:vAlign w:val="center"/>
          </w:tcPr>
          <w:p>
            <w:pPr>
              <w:keepNext w:val="0"/>
              <w:keepLines w:val="0"/>
              <w:pageBreakBefore w:val="0"/>
              <w:kinsoku/>
              <w:wordWrap w:val="0"/>
              <w:overflowPunct/>
              <w:topLinePunct w:val="0"/>
              <w:autoSpaceDE/>
              <w:autoSpaceDN/>
              <w:bidi w:val="0"/>
              <w:snapToGrid w:val="0"/>
              <w:spacing w:line="360" w:lineRule="auto"/>
              <w:ind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评标委员会构成：</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人，</w:t>
            </w:r>
            <w:r>
              <w:rPr>
                <w:rFonts w:hint="eastAsia" w:asciiTheme="minorEastAsia" w:hAnsiTheme="minorEastAsia" w:eastAsiaTheme="minorEastAsia" w:cstheme="minorEastAsia"/>
                <w:sz w:val="24"/>
                <w:szCs w:val="24"/>
                <w:lang w:val="en-US" w:eastAsia="zh-CN"/>
              </w:rPr>
              <w:t>如采购人代表参加评标</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评标委员会由采购人代表1人以及</w:t>
            </w:r>
            <w:r>
              <w:rPr>
                <w:rFonts w:hint="eastAsia" w:asciiTheme="minorEastAsia" w:hAnsiTheme="minorEastAsia" w:eastAsiaTheme="minorEastAsia" w:cstheme="minorEastAsia"/>
                <w:bCs/>
                <w:sz w:val="24"/>
                <w:szCs w:val="24"/>
              </w:rPr>
              <w:t>经济、技术</w:t>
            </w:r>
            <w:r>
              <w:rPr>
                <w:rFonts w:hint="eastAsia" w:asciiTheme="minorEastAsia" w:hAnsiTheme="minorEastAsia" w:eastAsiaTheme="minorEastAsia" w:cstheme="minorEastAsia"/>
                <w:sz w:val="24"/>
                <w:szCs w:val="24"/>
              </w:rPr>
              <w:t>专家</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人</w:t>
            </w:r>
            <w:r>
              <w:rPr>
                <w:rFonts w:hint="eastAsia" w:asciiTheme="minorEastAsia" w:hAnsiTheme="minorEastAsia" w:eastAsiaTheme="minorEastAsia" w:cstheme="minorEastAsia"/>
                <w:sz w:val="24"/>
                <w:szCs w:val="24"/>
                <w:lang w:val="en-US" w:eastAsia="zh-CN"/>
              </w:rPr>
              <w:t>组成。</w:t>
            </w:r>
          </w:p>
          <w:p>
            <w:pPr>
              <w:tabs>
                <w:tab w:val="left" w:pos="720"/>
                <w:tab w:val="left" w:pos="786"/>
              </w:tabs>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评标专家确定方式：</w:t>
            </w:r>
            <w:r>
              <w:rPr>
                <w:rFonts w:hint="eastAsia" w:asciiTheme="minorEastAsia" w:hAnsiTheme="minorEastAsia" w:eastAsiaTheme="minorEastAsia" w:cstheme="minorEastAsia"/>
                <w:kern w:val="0"/>
                <w:sz w:val="24"/>
                <w:szCs w:val="24"/>
              </w:rPr>
              <w:t>采购人或者采购代理机构将从省级以上财政部门设立的政府采购评审专家库中，通过随机方式抽取评审专家。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6.5.1</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资格审查标准</w:t>
            </w:r>
          </w:p>
        </w:tc>
        <w:tc>
          <w:tcPr>
            <w:tcW w:w="6931" w:type="dxa"/>
            <w:vAlign w:val="center"/>
          </w:tcPr>
          <w:p>
            <w:pPr>
              <w:tabs>
                <w:tab w:val="left" w:pos="720"/>
                <w:tab w:val="left" w:pos="786"/>
              </w:tabs>
              <w:snapToGrid w:val="0"/>
              <w:spacing w:line="360" w:lineRule="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详见供应商须知前附表1.6。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6.5.2</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符合性审查标准</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1.响应文件按照</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文件要求签署、盖章的；</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2.同一供应商未提交两个以上不同的响应文件或者响应报价；</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3.响应文件未附有采购人不能接受的条件。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6.5.3</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sz w:val="24"/>
                <w:szCs w:val="24"/>
              </w:rPr>
              <w:t>响应性审查标准</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1.响应报价未高于</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文件设定的预算金额（最高限价）</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2.满足供应商须知前附表中加“*”要求的</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3.服务期限满足“第二章供应商须知前附表”要求</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4.质量要求满足“第二章供应商须知前附表”要求</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r>
              <w:rPr>
                <w:rFonts w:hint="eastAsia" w:asciiTheme="minorEastAsia" w:hAnsiTheme="minorEastAsia" w:eastAsiaTheme="minorEastAsia" w:cstheme="minorEastAsia"/>
                <w:sz w:val="24"/>
                <w:szCs w:val="24"/>
                <w:lang w:eastAsia="zh-CN"/>
              </w:rPr>
              <w:t>投标</w:t>
            </w:r>
            <w:r>
              <w:rPr>
                <w:rFonts w:hint="eastAsia" w:asciiTheme="minorEastAsia" w:hAnsiTheme="minorEastAsia" w:eastAsiaTheme="minorEastAsia" w:cstheme="minorEastAsia"/>
                <w:sz w:val="24"/>
                <w:szCs w:val="24"/>
              </w:rPr>
              <w:t>有效期满足“第二章供应商须知前附表”要求</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6.服务地点满足“第二章供应商须知前附表”要求</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7.满足</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文件规定的不允许偏离的实质性要求和条件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6.9.8</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评分办法</w:t>
            </w:r>
          </w:p>
        </w:tc>
        <w:tc>
          <w:tcPr>
            <w:tcW w:w="6931" w:type="dxa"/>
            <w:vAlign w:val="center"/>
          </w:tcPr>
          <w:p>
            <w:pPr>
              <w:snapToGrid w:val="0"/>
              <w:spacing w:line="36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综合评分法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6.10.1</w:t>
            </w:r>
          </w:p>
        </w:tc>
        <w:tc>
          <w:tcPr>
            <w:tcW w:w="1417" w:type="dxa"/>
            <w:vAlign w:val="center"/>
          </w:tcPr>
          <w:p>
            <w:pPr>
              <w:keepNext w:val="0"/>
              <w:keepLines w:val="0"/>
              <w:pageBreakBefore w:val="0"/>
              <w:kinsoku/>
              <w:wordWrap w:val="0"/>
              <w:overflowPunct/>
              <w:topLinePunct w:val="0"/>
              <w:autoSpaceDE/>
              <w:autoSpaceDN/>
              <w:bidi w:val="0"/>
              <w:snapToGrid w:val="0"/>
              <w:spacing w:line="360" w:lineRule="auto"/>
              <w:jc w:val="center"/>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是否委托评标委员会确定中标人</w:t>
            </w:r>
          </w:p>
        </w:tc>
        <w:tc>
          <w:tcPr>
            <w:tcW w:w="6931" w:type="dxa"/>
            <w:vAlign w:val="center"/>
          </w:tcPr>
          <w:p>
            <w:pPr>
              <w:keepNext w:val="0"/>
              <w:keepLines w:val="0"/>
              <w:pageBreakBefore w:val="0"/>
              <w:kinsoku/>
              <w:wordWrap w:val="0"/>
              <w:overflowPunct/>
              <w:topLinePunct w:val="0"/>
              <w:autoSpaceDE/>
              <w:autoSpaceDN/>
              <w:bidi w:val="0"/>
              <w:snapToGrid w:val="0"/>
              <w:spacing w:line="36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是</w:t>
            </w:r>
          </w:p>
          <w:p>
            <w:pPr>
              <w:keepNext w:val="0"/>
              <w:keepLines w:val="0"/>
              <w:pageBreakBefore w:val="0"/>
              <w:kinsoku/>
              <w:wordWrap w:val="0"/>
              <w:overflowPunct/>
              <w:topLinePunct w:val="0"/>
              <w:autoSpaceDE/>
              <w:autoSpaceDN/>
              <w:bidi w:val="0"/>
              <w:snapToGrid w:val="0"/>
              <w:spacing w:line="360" w:lineRule="auto"/>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√否，推荐1~3名中标候选人。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7.3</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履约保证金</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7.5</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sz w:val="24"/>
                <w:szCs w:val="24"/>
              </w:rPr>
              <w:t>付款方式</w:t>
            </w:r>
          </w:p>
        </w:tc>
        <w:tc>
          <w:tcPr>
            <w:tcW w:w="6931" w:type="dxa"/>
            <w:vAlign w:val="center"/>
          </w:tcPr>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t>以最终签订合同为准</w:t>
            </w:r>
            <w:r>
              <w:rPr>
                <w:rFonts w:hint="eastAsia" w:asciiTheme="minorEastAsia" w:hAnsiTheme="minorEastAsia" w:eastAsiaTheme="minorEastAsia" w:cstheme="min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8.1</w:t>
            </w:r>
          </w:p>
        </w:tc>
        <w:tc>
          <w:tcPr>
            <w:tcW w:w="1417"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代理服务费</w:t>
            </w:r>
          </w:p>
        </w:tc>
        <w:tc>
          <w:tcPr>
            <w:tcW w:w="6931" w:type="dxa"/>
            <w:vAlign w:val="center"/>
          </w:tcPr>
          <w:p>
            <w:pPr>
              <w:snapToGrid w:val="0"/>
              <w:spacing w:line="360" w:lineRule="auto"/>
              <w:rPr>
                <w:rStyle w:val="77"/>
                <w:rFonts w:hint="eastAsia" w:asciiTheme="minorEastAsia" w:hAnsiTheme="minorEastAsia" w:eastAsiaTheme="minorEastAsia" w:cstheme="minorEastAsia"/>
                <w:sz w:val="24"/>
                <w:szCs w:val="24"/>
              </w:rPr>
            </w:pPr>
            <w:r>
              <w:rPr>
                <w:rStyle w:val="77"/>
                <w:rFonts w:hint="eastAsia" w:asciiTheme="minorEastAsia" w:hAnsiTheme="minorEastAsia" w:eastAsiaTheme="minorEastAsia" w:cstheme="minorEastAsia"/>
                <w:sz w:val="24"/>
                <w:szCs w:val="24"/>
              </w:rPr>
              <w:t>本项目代理服务费：</w:t>
            </w:r>
            <w:r>
              <w:rPr>
                <w:rStyle w:val="77"/>
                <w:rFonts w:hint="eastAsia" w:asciiTheme="minorEastAsia" w:hAnsiTheme="minorEastAsia" w:eastAsiaTheme="minorEastAsia" w:cstheme="minorEastAsia"/>
                <w:sz w:val="24"/>
                <w:szCs w:val="24"/>
                <w:lang w:val="en-US" w:eastAsia="zh-CN"/>
              </w:rPr>
              <w:t>根据豫招协【2023】002号收取，</w:t>
            </w:r>
            <w:r>
              <w:rPr>
                <w:rStyle w:val="77"/>
                <w:rFonts w:hint="eastAsia" w:asciiTheme="minorEastAsia" w:hAnsiTheme="minorEastAsia" w:eastAsiaTheme="minorEastAsia" w:cstheme="minorEastAsia"/>
                <w:sz w:val="24"/>
                <w:szCs w:val="24"/>
              </w:rPr>
              <w:t>由中标（成交）人支付。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w:t>
            </w:r>
          </w:p>
        </w:tc>
        <w:tc>
          <w:tcPr>
            <w:tcW w:w="1417" w:type="dxa"/>
            <w:vAlign w:val="center"/>
          </w:tcPr>
          <w:p>
            <w:pPr>
              <w:keepNext w:val="0"/>
              <w:keepLines w:val="0"/>
              <w:pageBreakBefore w:val="0"/>
              <w:kinsoku/>
              <w:wordWrap w:val="0"/>
              <w:overflowPunct/>
              <w:topLinePunct w:val="0"/>
              <w:autoSpaceDE/>
              <w:autoSpaceDN/>
              <w:bidi w:val="0"/>
              <w:snapToGrid w:val="0"/>
              <w:spacing w:line="360" w:lineRule="auto"/>
              <w:jc w:val="center"/>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质疑和投诉</w:t>
            </w:r>
          </w:p>
        </w:tc>
        <w:tc>
          <w:tcPr>
            <w:tcW w:w="6931" w:type="dxa"/>
            <w:vAlign w:val="center"/>
          </w:tcPr>
          <w:p>
            <w:pPr>
              <w:keepNext w:val="0"/>
              <w:keepLines w:val="0"/>
              <w:pageBreakBefore w:val="0"/>
              <w:kinsoku/>
              <w:wordWrap w:val="0"/>
              <w:overflowPunct/>
              <w:topLinePunct w:val="0"/>
              <w:autoSpaceDE/>
              <w:autoSpaceDN/>
              <w:bidi w:val="0"/>
              <w:snapToGrid w:val="0"/>
              <w:spacing w:line="360" w:lineRule="auto"/>
              <w:ind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1.供应商认为采购文件、采购过程和中标或者成交结果使自己的权益受到损害的，可以在知道或者应知其权益受到损害之日起7个工作日内，以书面形式向采购人、采购代理机构提出质疑。</w:t>
            </w:r>
          </w:p>
          <w:p>
            <w:pPr>
              <w:keepNext w:val="0"/>
              <w:keepLines w:val="0"/>
              <w:pageBreakBefore w:val="0"/>
              <w:kinsoku/>
              <w:wordWrap w:val="0"/>
              <w:overflowPunct/>
              <w:topLinePunct w:val="0"/>
              <w:autoSpaceDE/>
              <w:autoSpaceDN/>
              <w:bidi w:val="0"/>
              <w:snapToGrid w:val="0"/>
              <w:spacing w:line="360" w:lineRule="auto"/>
              <w:ind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提出质疑的供应商应按照财政部门制定的《政府采购质疑函范本》格式（详见中国政府采购网）和《政府采购质疑和投诉办法》的要求，在法定质疑期内以书面形式提出质疑，针对同一采购程序环节的质疑应一次性提出。</w:t>
            </w:r>
          </w:p>
          <w:p>
            <w:pPr>
              <w:keepNext w:val="0"/>
              <w:keepLines w:val="0"/>
              <w:pageBreakBefore w:val="0"/>
              <w:kinsoku/>
              <w:wordWrap w:val="0"/>
              <w:overflowPunct/>
              <w:topLinePunct w:val="0"/>
              <w:autoSpaceDE/>
              <w:autoSpaceDN/>
              <w:bidi w:val="0"/>
              <w:snapToGrid w:val="0"/>
              <w:spacing w:line="360" w:lineRule="auto"/>
              <w:ind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超出法定质疑期的、重复提出的、分次提出的或内容、形式不符合《政府采购质疑和投诉办法》的，提出质疑的供应商将依法承担不利后果。</w:t>
            </w:r>
          </w:p>
          <w:p>
            <w:pPr>
              <w:keepNext w:val="0"/>
              <w:keepLines w:val="0"/>
              <w:pageBreakBefore w:val="0"/>
              <w:kinsoku/>
              <w:wordWrap w:val="0"/>
              <w:overflowPunct/>
              <w:topLinePunct w:val="0"/>
              <w:autoSpaceDE/>
              <w:autoSpaceDN/>
              <w:bidi w:val="0"/>
              <w:snapToGrid w:val="0"/>
              <w:spacing w:line="360" w:lineRule="auto"/>
              <w:ind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3.质疑函接收部门、联系电话和通讯地址</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见供应商须知前附表1.2.2、1.2.3。</w:t>
            </w:r>
          </w:p>
          <w:p>
            <w:pPr>
              <w:keepNext w:val="0"/>
              <w:keepLines w:val="0"/>
              <w:pageBreakBefore w:val="0"/>
              <w:kinsoku/>
              <w:wordWrap w:val="0"/>
              <w:overflowPunct/>
              <w:topLinePunct w:val="0"/>
              <w:autoSpaceDE/>
              <w:autoSpaceDN/>
              <w:bidi w:val="0"/>
              <w:snapToGrid w:val="0"/>
              <w:spacing w:line="360" w:lineRule="auto"/>
              <w:ind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4.质疑供应商对采购人、采购代理机构的答复不满意，或者采购人、采购代理机构未在规定时间内作出答复的，可以在答复期满后15个工作日内向财政部门提起投诉。</w:t>
            </w:r>
          </w:p>
          <w:p>
            <w:pPr>
              <w:keepNext w:val="0"/>
              <w:keepLines w:val="0"/>
              <w:pageBreakBefore w:val="0"/>
              <w:widowControl/>
              <w:kinsoku/>
              <w:wordWrap w:val="0"/>
              <w:overflowPunct/>
              <w:topLinePunct w:val="0"/>
              <w:autoSpaceDE/>
              <w:autoSpaceDN/>
              <w:bidi w:val="0"/>
              <w:spacing w:line="360" w:lineRule="auto"/>
              <w:ind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5.投诉人投诉时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应当提交投诉书和必要的证明材料，并按照被投诉采购人、采购代理机构（以下简称被投诉人）和与投诉事项有关的供应商数量提供投诉书的副本。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66" w:type="dxa"/>
            <w:vAlign w:val="center"/>
          </w:tcPr>
          <w:p>
            <w:pPr>
              <w:snapToGrid w:val="0"/>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8.3.1</w:t>
            </w:r>
          </w:p>
        </w:tc>
        <w:tc>
          <w:tcPr>
            <w:tcW w:w="1417" w:type="dxa"/>
            <w:vAlign w:val="center"/>
          </w:tcPr>
          <w:p>
            <w:pPr>
              <w:keepNext w:val="0"/>
              <w:keepLines w:val="0"/>
              <w:pageBreakBefore w:val="0"/>
              <w:kinsoku/>
              <w:wordWrap w:val="0"/>
              <w:overflowPunct/>
              <w:topLinePunct w:val="0"/>
              <w:autoSpaceDE/>
              <w:autoSpaceDN/>
              <w:bidi w:val="0"/>
              <w:snapToGrid w:val="0"/>
              <w:spacing w:line="360" w:lineRule="auto"/>
              <w:jc w:val="center"/>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招标文件解释</w:t>
            </w:r>
          </w:p>
        </w:tc>
        <w:tc>
          <w:tcPr>
            <w:tcW w:w="6931" w:type="dxa"/>
            <w:vAlign w:val="center"/>
          </w:tcPr>
          <w:p>
            <w:pPr>
              <w:keepNext w:val="0"/>
              <w:keepLines w:val="0"/>
              <w:pageBreakBefore w:val="0"/>
              <w:kinsoku/>
              <w:wordWrap w:val="0"/>
              <w:overflowPunct/>
              <w:topLinePunct w:val="0"/>
              <w:autoSpaceDE/>
              <w:autoSpaceDN/>
              <w:bidi w:val="0"/>
              <w:snapToGrid w:val="0"/>
              <w:spacing w:line="360" w:lineRule="auto"/>
              <w:ind w:firstLine="480" w:firstLineChars="200"/>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构成本招标文件的各个组成文件应互为解释，互为说明；如有不明确或不一致，构成合同文件组成内容的，以合同文件约定内容为准，除招标文件中有特别规定外，仅适用于招标投标阶段的规定，按招标公告、</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须知、评标方法、投标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bl>
    <w:p>
      <w:pPr>
        <w:adjustRightInd w:val="0"/>
        <w:snapToGrid w:val="0"/>
        <w:spacing w:line="360" w:lineRule="auto"/>
        <w:ind w:firstLine="482" w:firstLineChars="200"/>
        <w:outlineLvl w:val="2"/>
        <w:rPr>
          <w:rFonts w:hint="eastAsia" w:asciiTheme="minorEastAsia" w:hAnsiTheme="minorEastAsia" w:eastAsiaTheme="minorEastAsia" w:cstheme="minorEastAsia"/>
          <w:b/>
          <w:bCs/>
          <w:sz w:val="24"/>
          <w:szCs w:val="24"/>
        </w:rPr>
      </w:pPr>
      <w:bookmarkStart w:id="50" w:name="_Toc32835884"/>
      <w:bookmarkStart w:id="51" w:name="_Toc33260055"/>
    </w:p>
    <w:p>
      <w:pPr>
        <w:widowControl/>
        <w:jc w:val="left"/>
        <w:rPr>
          <w:rFonts w:ascii="宋体" w:hAnsi="宋体" w:cs="仿宋"/>
          <w:b/>
          <w:bCs/>
        </w:rPr>
      </w:pPr>
      <w:r>
        <w:rPr>
          <w:rFonts w:ascii="宋体" w:hAnsi="宋体" w:cs="仿宋"/>
          <w:b/>
          <w:bCs/>
        </w:rPr>
        <w:br w:type="page"/>
      </w:r>
    </w:p>
    <w:bookmarkEnd w:id="50"/>
    <w:bookmarkEnd w:id="51"/>
    <w:p>
      <w:pPr>
        <w:numPr>
          <w:ilvl w:val="0"/>
          <w:numId w:val="0"/>
        </w:numPr>
        <w:adjustRightInd w:val="0"/>
        <w:snapToGrid w:val="0"/>
        <w:spacing w:line="360" w:lineRule="auto"/>
        <w:ind w:left="0" w:leftChars="0" w:firstLine="482" w:firstLineChars="200"/>
        <w:outlineLvl w:val="1"/>
        <w:rPr>
          <w:rFonts w:hint="eastAsia" w:asciiTheme="minorEastAsia" w:hAnsiTheme="minorEastAsia" w:eastAsiaTheme="minorEastAsia" w:cstheme="minorEastAsia"/>
          <w:b/>
          <w:bCs/>
          <w:sz w:val="24"/>
          <w:szCs w:val="24"/>
        </w:rPr>
      </w:pPr>
      <w:bookmarkStart w:id="52" w:name="_Toc29233"/>
      <w:bookmarkStart w:id="53" w:name="_Toc10256"/>
      <w:bookmarkStart w:id="54" w:name="_Toc29984"/>
      <w:r>
        <w:rPr>
          <w:rFonts w:hint="eastAsia" w:asciiTheme="minorEastAsia" w:hAnsiTheme="minorEastAsia" w:eastAsiaTheme="minorEastAsia" w:cstheme="minorEastAsia"/>
          <w:b/>
          <w:bCs/>
          <w:sz w:val="24"/>
          <w:szCs w:val="24"/>
          <w:lang w:val="en-US" w:eastAsia="zh-CN"/>
        </w:rPr>
        <w:t>1.0</w:t>
      </w:r>
      <w:r>
        <w:rPr>
          <w:rFonts w:hint="eastAsia" w:asciiTheme="minorEastAsia" w:hAnsiTheme="minorEastAsia" w:eastAsiaTheme="minorEastAsia" w:cstheme="minorEastAsia"/>
          <w:b/>
          <w:bCs/>
          <w:sz w:val="24"/>
          <w:szCs w:val="24"/>
        </w:rPr>
        <w:t>总则</w:t>
      </w:r>
      <w:bookmarkEnd w:id="52"/>
      <w:bookmarkEnd w:id="53"/>
      <w:bookmarkEnd w:id="54"/>
    </w:p>
    <w:p>
      <w:pPr>
        <w:numPr>
          <w:ilvl w:val="0"/>
          <w:numId w:val="0"/>
        </w:numPr>
        <w:adjustRightInd w:val="0"/>
        <w:snapToGrid w:val="0"/>
        <w:spacing w:line="360" w:lineRule="auto"/>
        <w:ind w:left="0" w:leftChars="0" w:firstLine="482" w:firstLineChars="200"/>
        <w:outlineLvl w:val="1"/>
        <w:rPr>
          <w:rFonts w:hint="eastAsia" w:asciiTheme="minorEastAsia" w:hAnsiTheme="minorEastAsia" w:eastAsiaTheme="minorEastAsia" w:cstheme="minorEastAsia"/>
          <w:b/>
          <w:bCs/>
          <w:sz w:val="24"/>
          <w:szCs w:val="24"/>
        </w:rPr>
      </w:pPr>
      <w:bookmarkStart w:id="55" w:name="_Toc22742"/>
      <w:bookmarkStart w:id="56" w:name="_Toc31188"/>
      <w:r>
        <w:rPr>
          <w:rFonts w:hint="eastAsia" w:asciiTheme="minorEastAsia" w:hAnsiTheme="minorEastAsia" w:eastAsiaTheme="minorEastAsia" w:cstheme="minorEastAsia"/>
          <w:b/>
          <w:bCs/>
          <w:kern w:val="2"/>
          <w:sz w:val="24"/>
          <w:szCs w:val="24"/>
        </w:rPr>
        <w:t>1.1 定义</w:t>
      </w:r>
      <w:bookmarkEnd w:id="55"/>
      <w:bookmarkEnd w:id="56"/>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1.1.1采购人：“供应商须知前附表”中所述的、依法进行政府采购的国家机关、事业单位、团体组织。</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1.1.2采购代理机构：受采购人委托组织采购活动，在采购过程中负有相应责任的社会中介组织。</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1.1.3供应商：根据政府采购合同，向采购人提供货物、工程或者服务的法人、其他组织或者自然人。</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1.1.4货物：指除了咨询服务以外的所有的物品、货物、装置和/或包括附件、备品备件、图纸、技术文件、用于运输和安装的包装、培训、维修和其他类似服务的供应。</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1.1.5货物伴随服务：指招标文件规定的供应商应承担的技术服务、技术协助、校准及售后服务和其他类似的义务。</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1.1.6投标文件：指供应商根据招标文件要求提交的所有文件。</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1.1.7中标人：接到并接受中标通知书，最终被授予合同的供应商。</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1.2项目概况</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1.2.1根据《中华人民共和国政府采购法》等有关法律、法规和规章的规定对本项目进行招标。本招标文件仅适用于政府采购公开招标的货物及伴随服务。</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1.2.2本招标项目采购人：见供应商须知前附表。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1.2.3本招标项目采购代理机构：见供应商须知前附表。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1.2.4本招标项目名称：见供应商须知前附表。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1.2.5本招标项目编号：见供应商须知前附表。</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1.3 项目预算金额和政府采购最高限价</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1.3.1本招标项目的预算金额：见供应商须知前附表。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1.3.2本招标项目的政府采购最高限价：见供应商须知前附表。</w:t>
      </w:r>
    </w:p>
    <w:p>
      <w:pPr>
        <w:adjustRightInd w:val="0"/>
        <w:snapToGrid w:val="0"/>
        <w:spacing w:line="360" w:lineRule="auto"/>
        <w:ind w:firstLine="482" w:firstLineChars="200"/>
        <w:outlineLvl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1.4 采购需求、服务期限、质量要求</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1.4.1本次采购需求：见供应商须知前附表。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1.4.2标段（包）划分：见供应商须知前附表。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1.4.3本招标项目的服务期限：见供应商须知前附表。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1.4.4本招标项目的质量要求：见供应商须知前附表。</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1.5 政府采购政策及采购进口产品</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1.5.1本项目执行的政府采购政策：见供应商须知前附表。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1.5.2经财政部门核准允许采购进口产品：见供应商须知前附表。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1.5.3政府强制采购的节能产品</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见供应商须知前附表。</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1.6 供应商资格要求</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1.6.1供应商应具备承担本项目的资格条件、能力和信誉。</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（1）资格条件：见供应商须知前附表；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（2）其他要求：见供应商须知前附表。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1.6.2供应商不得存在下列情形之一：</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（1）为采购人不具有独立法人资格的附属机构（单位）；</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（2）为本招标项目前期准备提供设计或咨询服务的；</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（3）为本招标项目提供招标代理服务的； </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（4）被责令停业的；</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（5）被暂停或取消投标资格的；</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（6）本次政府采购活动前三年内，在经营活动中有重大违法记录的；</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）被</w:t>
      </w:r>
      <w:r>
        <w:rPr>
          <w:rFonts w:hint="eastAsia" w:asciiTheme="minorEastAsia" w:hAnsiTheme="minorEastAsia" w:eastAsiaTheme="minorEastAsia" w:cstheme="minorEastAsia"/>
          <w:kern w:val="0"/>
          <w:sz w:val="24"/>
          <w:szCs w:val="24"/>
        </w:rPr>
        <w:t>列入失信被执行人、重大税收违法案件当事人名单、政府采购严重违法失信行为记录名单的；</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）单位负责人为同一人或者存在控股、管理关系的不同单位；</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1.6.3是否接受联合体：见供应商须知前附表。</w:t>
      </w:r>
    </w:p>
    <w:p>
      <w:pPr>
        <w:adjustRightInd w:val="0"/>
        <w:snapToGrid w:val="0"/>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1.7 费用承担</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供应商准备和参加投标活动发生的费用自理。</w:t>
      </w:r>
    </w:p>
    <w:p>
      <w:pPr>
        <w:adjustRightInd w:val="0"/>
        <w:snapToGrid w:val="0"/>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1.8 保密</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参与招标投标活动的各方应对招标文件和投标文件中的商业和技术等秘密保密，违者应对由此造成的后果承担法律责任。</w:t>
      </w:r>
    </w:p>
    <w:p>
      <w:pPr>
        <w:adjustRightInd w:val="0"/>
        <w:snapToGrid w:val="0"/>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1.9 语言文字</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招标投标文件使用的语言文字为中文。专用术语使用外文的，应附有中文注释。</w:t>
      </w:r>
    </w:p>
    <w:p>
      <w:pPr>
        <w:adjustRightInd w:val="0"/>
        <w:snapToGrid w:val="0"/>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1.10 计量单位</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所有计量均采用中华人民共和国法定计量单位。</w:t>
      </w:r>
    </w:p>
    <w:p>
      <w:pPr>
        <w:adjustRightInd w:val="0"/>
        <w:snapToGrid w:val="0"/>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1.11 踏勘现场</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1.11.1采购人是否组织现场踏勘：见供应商须知前附表。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1.11.2供应商踏勘现场发生的费用自理。</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1.11.3供应商自行负责在踏勘现场中所发生的人员伤亡和财产损失。</w:t>
      </w:r>
    </w:p>
    <w:p>
      <w:pPr>
        <w:adjustRightInd w:val="0"/>
        <w:snapToGrid w:val="0"/>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1.12 供应商提出问题或要求澄清</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1.12.1本次招标是否召开投标预备会：见供应商须知前附表。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1.12.2供应商提出问题或要求澄清：潜在供应商对招标文件内容如有疑问或需要澄清的，应按招标公告中载明的地址以书面的形式通知到采购代理机构。</w:t>
      </w:r>
    </w:p>
    <w:p>
      <w:pPr>
        <w:adjustRightInd w:val="0"/>
        <w:snapToGrid w:val="0"/>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1.13 偏离</w:t>
      </w:r>
    </w:p>
    <w:p>
      <w:pPr>
        <w:autoSpaceDE w:val="0"/>
        <w:autoSpaceDN w:val="0"/>
        <w:adjustRightInd w:val="0"/>
        <w:snapToGrid w:val="0"/>
        <w:spacing w:line="360" w:lineRule="auto"/>
        <w:ind w:firstLine="480" w:firstLineChars="200"/>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是否允许负偏离：</w:t>
      </w:r>
      <w:r>
        <w:rPr>
          <w:rFonts w:hint="eastAsia" w:asciiTheme="minorEastAsia" w:hAnsiTheme="minorEastAsia" w:eastAsiaTheme="minorEastAsia" w:cstheme="minorEastAsia"/>
          <w:sz w:val="24"/>
          <w:szCs w:val="24"/>
        </w:rPr>
        <w:t>见供应商须知前附表</w:t>
      </w:r>
      <w:r>
        <w:rPr>
          <w:rFonts w:hint="eastAsia" w:asciiTheme="minorEastAsia" w:hAnsiTheme="minorEastAsia" w:eastAsiaTheme="minorEastAsia" w:cstheme="minorEastAsia"/>
          <w:kern w:val="0"/>
          <w:sz w:val="24"/>
          <w:szCs w:val="24"/>
        </w:rPr>
        <w:t>。</w:t>
      </w:r>
    </w:p>
    <w:p>
      <w:pPr>
        <w:pStyle w:val="10"/>
        <w:keepLines w:val="0"/>
        <w:widowControl/>
        <w:adjustRightInd w:val="0"/>
        <w:snapToGrid w:val="0"/>
        <w:spacing w:before="0" w:after="0" w:line="360" w:lineRule="auto"/>
        <w:ind w:firstLine="482" w:firstLineChars="200"/>
        <w:outlineLvl w:val="1"/>
        <w:rPr>
          <w:rFonts w:hint="eastAsia" w:asciiTheme="minorEastAsia" w:hAnsiTheme="minorEastAsia" w:eastAsiaTheme="minorEastAsia" w:cstheme="minorEastAsia"/>
          <w:sz w:val="24"/>
          <w:szCs w:val="24"/>
        </w:rPr>
      </w:pPr>
      <w:bookmarkStart w:id="57" w:name="_Toc3271"/>
      <w:bookmarkStart w:id="58" w:name="_Toc549"/>
      <w:bookmarkStart w:id="59" w:name="_Toc9360"/>
      <w:r>
        <w:rPr>
          <w:rFonts w:hint="eastAsia" w:asciiTheme="minorEastAsia" w:hAnsiTheme="minorEastAsia" w:eastAsiaTheme="minorEastAsia" w:cstheme="minorEastAsia"/>
          <w:sz w:val="24"/>
          <w:szCs w:val="24"/>
        </w:rPr>
        <w:t>2. 招标文件</w:t>
      </w:r>
      <w:bookmarkEnd w:id="57"/>
      <w:bookmarkEnd w:id="58"/>
      <w:bookmarkEnd w:id="59"/>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2.1 招标文件的组成</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2.1.1本招标文件包括：</w:t>
      </w:r>
    </w:p>
    <w:p>
      <w:pPr>
        <w:pStyle w:val="60"/>
        <w:adjustRightInd w:val="0"/>
        <w:snapToGrid w:val="0"/>
        <w:spacing w:before="0" w:beforeAutospacing="0" w:after="0" w:afterAutospacing="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rPr>
        <w:t>招标文件用以阐明本次招标的货物要求、招标投标程序和合同条件。</w:t>
      </w:r>
    </w:p>
    <w:p>
      <w:pPr>
        <w:pStyle w:val="60"/>
        <w:adjustRightInd w:val="0"/>
        <w:snapToGrid w:val="0"/>
        <w:spacing w:before="0" w:beforeAutospacing="0" w:after="0" w:afterAutospacing="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rPr>
        <w:t>招标文件由下述部分组成：</w:t>
      </w:r>
    </w:p>
    <w:p>
      <w:pPr>
        <w:pStyle w:val="60"/>
        <w:adjustRightInd w:val="0"/>
        <w:snapToGrid w:val="0"/>
        <w:spacing w:before="0" w:beforeAutospacing="0" w:after="0" w:afterAutospacing="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rPr>
        <w:t xml:space="preserve">第一章 公开招标公告 </w:t>
      </w:r>
    </w:p>
    <w:p>
      <w:pPr>
        <w:pStyle w:val="60"/>
        <w:adjustRightInd w:val="0"/>
        <w:snapToGrid w:val="0"/>
        <w:spacing w:before="0" w:beforeAutospacing="0" w:after="0" w:afterAutospacing="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rPr>
        <w:t>第二章 供应商须知</w:t>
      </w:r>
    </w:p>
    <w:p>
      <w:pPr>
        <w:pStyle w:val="60"/>
        <w:adjustRightInd w:val="0"/>
        <w:snapToGrid w:val="0"/>
        <w:spacing w:before="0" w:beforeAutospacing="0" w:after="0" w:afterAutospacing="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rPr>
        <w:t>第三章 资格审查、评标及定标</w:t>
      </w:r>
    </w:p>
    <w:p>
      <w:pPr>
        <w:pStyle w:val="60"/>
        <w:adjustRightInd w:val="0"/>
        <w:snapToGrid w:val="0"/>
        <w:spacing w:before="0" w:beforeAutospacing="0" w:after="0" w:afterAutospacing="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rPr>
        <w:t>第四章 项目需求及技术参数要求</w:t>
      </w:r>
    </w:p>
    <w:p>
      <w:pPr>
        <w:pStyle w:val="60"/>
        <w:adjustRightInd w:val="0"/>
        <w:snapToGrid w:val="0"/>
        <w:spacing w:before="0" w:beforeAutospacing="0" w:after="0" w:afterAutospacing="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rPr>
        <w:t>第五章 合同协议书（格式）</w:t>
      </w:r>
    </w:p>
    <w:p>
      <w:pPr>
        <w:pStyle w:val="60"/>
        <w:adjustRightInd w:val="0"/>
        <w:snapToGrid w:val="0"/>
        <w:spacing w:before="0" w:beforeAutospacing="0" w:after="0" w:afterAutospacing="0" w:line="360"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rPr>
        <w:t>第六章 投标文件格式及附件</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2.1.2根据本章第1.11款、第2.2款和第2.3款对招标文件所作的澄清、修改，构成招标文件的组成部分。</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2.2 供应商要求对招标文件澄清 </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2.2.1供应商应仔细阅读和检查招标文件的全部内容。如发现缺页或附件不全，应及时向采购人提出，以便补齐。</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2.2.2潜在供应商对招标文件内容如有疑问或需要澄清的，应按招标公告中载明的地址以书面的形式通知到采购代理机构。</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2.3 招标文件的修改</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2.3.1采购人可以书面形式修改招标文件，澄清或者修改将在原招标公告发布媒体上发布信息更正公告。如果修改招标文件的时间距投标截止时间不足15天，并且修改内容影响投标文件编制的，将相应延长投标截止时间。</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2.3.2供应商收到修改内容后，应在供应商须知前附表规定的时间内以书面形式通知采购人，确认已收到该修改。</w:t>
      </w:r>
    </w:p>
    <w:p>
      <w:pPr>
        <w:pStyle w:val="10"/>
        <w:keepLines w:val="0"/>
        <w:widowControl/>
        <w:adjustRightInd w:val="0"/>
        <w:snapToGrid w:val="0"/>
        <w:spacing w:before="0" w:after="0" w:line="360" w:lineRule="auto"/>
        <w:ind w:firstLine="482" w:firstLineChars="200"/>
        <w:outlineLvl w:val="1"/>
        <w:rPr>
          <w:rFonts w:hint="eastAsia" w:asciiTheme="minorEastAsia" w:hAnsiTheme="minorEastAsia" w:eastAsiaTheme="minorEastAsia" w:cstheme="minorEastAsia"/>
          <w:bCs/>
          <w:sz w:val="24"/>
          <w:szCs w:val="24"/>
        </w:rPr>
      </w:pPr>
      <w:bookmarkStart w:id="60" w:name="_Toc31425"/>
      <w:bookmarkStart w:id="61" w:name="_Toc32613"/>
      <w:bookmarkStart w:id="62" w:name="_Toc27012"/>
      <w:r>
        <w:rPr>
          <w:rFonts w:hint="eastAsia" w:asciiTheme="minorEastAsia" w:hAnsiTheme="minorEastAsia" w:eastAsiaTheme="minorEastAsia" w:cstheme="minorEastAsia"/>
          <w:sz w:val="24"/>
          <w:szCs w:val="24"/>
        </w:rPr>
        <w:t>3. 投标文件</w:t>
      </w:r>
      <w:bookmarkEnd w:id="60"/>
      <w:bookmarkEnd w:id="61"/>
      <w:bookmarkEnd w:id="62"/>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3.1 投标文件的组成</w:t>
      </w:r>
    </w:p>
    <w:p>
      <w:pPr>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3.1.1投标文件应包括下列内容：</w:t>
      </w:r>
    </w:p>
    <w:p>
      <w:pPr>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（1）投标函；</w:t>
      </w:r>
    </w:p>
    <w:p>
      <w:pPr>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（2）开标一览表</w:t>
      </w:r>
    </w:p>
    <w:p>
      <w:pPr>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（3）按供应商须知前附表要求出具的资格证明文件</w:t>
      </w:r>
    </w:p>
    <w:p>
      <w:pPr>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业绩一览表</w:t>
      </w:r>
    </w:p>
    <w:p>
      <w:pPr>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项目实施方案</w:t>
      </w:r>
    </w:p>
    <w:p>
      <w:pPr>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4"/>
          <w:szCs w:val="24"/>
          <w14:textFill>
            <w14:solidFill>
              <w14:schemeClr w14:val="tx1"/>
            </w14:solidFill>
          </w14:textFill>
        </w:rPr>
        <w:t>）服务承诺</w:t>
      </w:r>
    </w:p>
    <w:p>
      <w:pPr>
        <w:adjustRightInd w:val="0"/>
        <w:snapToGrid w:val="0"/>
        <w:spacing w:line="360" w:lineRule="auto"/>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7</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14:textFill>
            <w14:solidFill>
              <w14:schemeClr w14:val="tx1"/>
            </w14:solidFill>
          </w14:textFill>
        </w:rPr>
        <w:t>供应商认为需要提交的其他证明资料。</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招标文件附件中给定格式的，供应商必须使用招标文件提供的格式，但表格可以按同样格式扩展，招标文件附件中未给定格式的，供应商可以自拟格式。</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3.1.2招标文件中的每个标段（包），是项目招标不可拆分的最小投标单元，供应商必须按此分标段（包）编制投标文件，提交相应的文件资料，拆分别标段（包）投标将视为非实质性响应招标文件而不予接受。</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3.2 投标报价</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3.2.1本项目采购预算（政府采购最高限）价见供应商须知前附表。供应商结合企业自身情况在采购预算（政府采购最高限）价内自主报价，超过采购预算（政府采购最高限）价的报价为无效报价。</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3.2.2供应商应按照招标文件要求的投标报价表格式填写提供各项货物及服务的单价、分项总价和总投标价。如果单价、分项总价和总投标价之间有差异，</w:t>
      </w:r>
      <w:r>
        <w:rPr>
          <w:rFonts w:hint="eastAsia" w:asciiTheme="minorEastAsia" w:hAnsiTheme="minorEastAsia" w:eastAsiaTheme="minorEastAsia" w:cstheme="minorEastAsia"/>
          <w:kern w:val="0"/>
          <w:sz w:val="24"/>
          <w:szCs w:val="24"/>
        </w:rPr>
        <w:t>按照7.10项之规定修正：</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3.2.3投标总报价应是采购人指定地点交货的包括交货前发生的各种税费、运费及保险费、运杂费、以及伴随的其它服务费总报价。</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3.2.4供应商对每种货物只允许有一个报价，采购人和采购代理机构不接受有任何选择报价的投标，但招标文件要求提交的备选投标除外。</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3.2.5供应商不得以任何理由在开标后对投标报价予以修改，报价在投标有效期内是固定的，不因任何原因而改变。任何包含价格调整要求和条件的投标，将被视为非实质性响应投标而予以拒绝。最低报价不能保证一定中标。</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3.2.6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r>
        <w:rPr>
          <w:rFonts w:hint="eastAsia" w:asciiTheme="minorEastAsia" w:hAnsiTheme="minorEastAsia" w:eastAsiaTheme="minorEastAsia" w:cstheme="minorEastAsia"/>
          <w:sz w:val="24"/>
          <w:szCs w:val="24"/>
        </w:rPr>
        <w:t>。</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3.3 投标有效期</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3.3.1除供应商须知前附表另有规定外，投标有效期为60日历天。投标有效期不足的将被视为非响应投标而予以拒绝。</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3.3.2在投标有效期内，供应商撤销或修改其投标文件的，应承担招标文件和法律规定的责任。</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3.3.3在特殊情况下，采购人和采购代理机构可征求供应商同意延长投标有效期，这种要求与答复均应以书面形式提交。供应商可以拒绝这种要求。同意延长投标有效期的供应商将不会被要求也不允许修改其投标文件。</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3.4 投标保证金</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见供应商须知前附表。</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3.5 资格审查资料</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3.5.1详见供应商须知前附表中供应商资格条件、能力规定的内容。</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3.6投标文件的编制</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3.6.1投标文件应按第六章“投标文件格式”进行编写，如有必要，可以增加附页，作为投标文件的组成部分。其中，投标函附录在满足招标文件实质性要求的基础上，可以提出比招标文件要求更有利于采购人的承诺。</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3.6.2投标文件应当对招标文件有关</w:t>
      </w:r>
      <w:r>
        <w:rPr>
          <w:rFonts w:hint="eastAsia" w:asciiTheme="minorEastAsia" w:hAnsiTheme="minorEastAsia" w:eastAsiaTheme="minorEastAsia" w:cstheme="minorEastAsia"/>
          <w:bCs/>
          <w:sz w:val="24"/>
          <w:szCs w:val="24"/>
        </w:rPr>
        <w:t>合同履行期限</w:t>
      </w:r>
      <w:r>
        <w:rPr>
          <w:rFonts w:hint="eastAsia" w:asciiTheme="minorEastAsia" w:hAnsiTheme="minorEastAsia" w:eastAsiaTheme="minorEastAsia" w:cstheme="minorEastAsia"/>
          <w:sz w:val="24"/>
          <w:szCs w:val="24"/>
        </w:rPr>
        <w:t>、投标有效期、质量要求、技术标准和要求、招标范围等实质性内容作出响应。投标文件应按规定的格式填写，内容齐全且关键字迹清晰可辨；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3.6.3投标文件应由供应商的法定代表人</w:t>
      </w:r>
      <w:r>
        <w:rPr>
          <w:rFonts w:hint="eastAsia" w:asciiTheme="minorEastAsia" w:hAnsiTheme="minorEastAsia" w:eastAsiaTheme="minorEastAsia" w:cstheme="minorEastAsia"/>
          <w:b w:val="0"/>
          <w:bCs w:val="0"/>
          <w:sz w:val="24"/>
          <w:szCs w:val="24"/>
        </w:rPr>
        <w:t>（单位负责人）</w:t>
      </w:r>
      <w:r>
        <w:rPr>
          <w:rFonts w:hint="eastAsia" w:asciiTheme="minorEastAsia" w:hAnsiTheme="minorEastAsia" w:eastAsiaTheme="minorEastAsia" w:cstheme="minorEastAsia"/>
          <w:sz w:val="24"/>
          <w:szCs w:val="24"/>
        </w:rPr>
        <w:t>或其委托代理人签字或加盖单位公章。委托代理人签字的，投标文件应附法定代表人</w:t>
      </w:r>
      <w:r>
        <w:rPr>
          <w:rFonts w:hint="eastAsia" w:asciiTheme="minorEastAsia" w:hAnsiTheme="minorEastAsia" w:eastAsiaTheme="minorEastAsia" w:cstheme="minorEastAsia"/>
          <w:b w:val="0"/>
          <w:bCs w:val="0"/>
          <w:sz w:val="24"/>
          <w:szCs w:val="24"/>
        </w:rPr>
        <w:t>（单位负责人）</w:t>
      </w:r>
      <w:r>
        <w:rPr>
          <w:rFonts w:hint="eastAsia" w:asciiTheme="minorEastAsia" w:hAnsiTheme="minorEastAsia" w:eastAsiaTheme="minorEastAsia" w:cstheme="minorEastAsia"/>
          <w:sz w:val="24"/>
          <w:szCs w:val="24"/>
        </w:rPr>
        <w:t>签署的授权委托书。</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3.6.4投标文件份数见供应商须知前附表。</w:t>
      </w:r>
    </w:p>
    <w:p>
      <w:pPr>
        <w:pStyle w:val="10"/>
        <w:keepLines w:val="0"/>
        <w:widowControl/>
        <w:adjustRightInd w:val="0"/>
        <w:snapToGrid w:val="0"/>
        <w:spacing w:before="0" w:after="0" w:line="360" w:lineRule="auto"/>
        <w:ind w:firstLine="482" w:firstLineChars="200"/>
        <w:outlineLvl w:val="1"/>
        <w:rPr>
          <w:rFonts w:hint="eastAsia" w:asciiTheme="minorEastAsia" w:hAnsiTheme="minorEastAsia" w:eastAsiaTheme="minorEastAsia" w:cstheme="minorEastAsia"/>
          <w:b w:val="0"/>
          <w:sz w:val="24"/>
          <w:szCs w:val="24"/>
        </w:rPr>
      </w:pPr>
      <w:bookmarkStart w:id="63" w:name="_Toc32009"/>
      <w:bookmarkStart w:id="64" w:name="_Toc15393"/>
      <w:bookmarkStart w:id="65" w:name="_Toc1948"/>
      <w:r>
        <w:rPr>
          <w:rFonts w:hint="eastAsia" w:asciiTheme="minorEastAsia" w:hAnsiTheme="minorEastAsia" w:eastAsiaTheme="minorEastAsia" w:cstheme="minorEastAsia"/>
          <w:sz w:val="24"/>
          <w:szCs w:val="24"/>
        </w:rPr>
        <w:t>4. 投标</w:t>
      </w:r>
      <w:bookmarkEnd w:id="63"/>
      <w:bookmarkEnd w:id="64"/>
      <w:bookmarkEnd w:id="65"/>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4.1 投标文件的密封</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4.1.1</w:t>
      </w:r>
      <w:r>
        <w:rPr>
          <w:rFonts w:hint="eastAsia" w:asciiTheme="minorEastAsia" w:hAnsiTheme="minorEastAsia" w:eastAsiaTheme="minorEastAsia" w:cstheme="minorEastAsia"/>
          <w:bCs/>
          <w:sz w:val="24"/>
          <w:szCs w:val="24"/>
        </w:rPr>
        <w:t>投标文件</w:t>
      </w:r>
      <w:r>
        <w:rPr>
          <w:rFonts w:hint="eastAsia" w:asciiTheme="minorEastAsia" w:hAnsiTheme="minorEastAsia" w:eastAsiaTheme="minorEastAsia" w:cstheme="minorEastAsia"/>
          <w:bCs/>
          <w:sz w:val="24"/>
          <w:szCs w:val="24"/>
          <w:lang w:val="en-US" w:eastAsia="zh-CN"/>
        </w:rPr>
        <w:t>密封的具体要求见供应商须知前附表</w:t>
      </w:r>
      <w:r>
        <w:rPr>
          <w:rFonts w:hint="eastAsia" w:asciiTheme="minorEastAsia" w:hAnsiTheme="minorEastAsia" w:eastAsiaTheme="minorEastAsia" w:cstheme="minorEastAsia"/>
          <w:bCs/>
          <w:sz w:val="24"/>
          <w:szCs w:val="24"/>
        </w:rPr>
        <w:t>。</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4.2 投标文件的递交</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4.2.1投标文件递交截止时间：见供应商须知前附表。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4.2.2投标文件递交地点：见供应商须知前附表。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4.2.3除供应商须知前附表另有规定外，供应商所递交的投标文件不予退还。</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4.2.4逾期提交或者未按照招标文件要求解密的投标文件，将被判定为无效投标文件。</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4.3 投标文件的修改与撤回</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4.3.1供应商在投标截止时间前，可以对所递交的投标文件进行补充、修改或者撤回。</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4.3.2在投标截止时间之后，供应商不得对其投标文件做任何修改。</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4.3.3从投标截止时间至供应商在投标文件中载明的投标有效期满期间，供应商不得撤回其投标，否则</w:t>
      </w:r>
      <w:r>
        <w:rPr>
          <w:rFonts w:hint="eastAsia" w:asciiTheme="minorEastAsia" w:hAnsiTheme="minorEastAsia" w:eastAsiaTheme="minorEastAsia" w:cstheme="minorEastAsia"/>
          <w:sz w:val="24"/>
          <w:szCs w:val="24"/>
          <w:lang w:val="en-US" w:eastAsia="zh-CN"/>
        </w:rPr>
        <w:t>供应商将承担相应的违约责任</w:t>
      </w:r>
      <w:r>
        <w:rPr>
          <w:rFonts w:hint="eastAsia" w:asciiTheme="minorEastAsia" w:hAnsiTheme="minorEastAsia" w:eastAsiaTheme="minorEastAsia" w:cstheme="minorEastAsia"/>
          <w:sz w:val="24"/>
          <w:szCs w:val="24"/>
        </w:rPr>
        <w:t>。</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4.4样品及演示</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递交样品要求：见供应商须知前附表。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演示要求：</w:t>
      </w:r>
      <w:r>
        <w:rPr>
          <w:rFonts w:hint="eastAsia" w:asciiTheme="minorEastAsia" w:hAnsiTheme="minorEastAsia" w:eastAsiaTheme="minorEastAsia" w:cstheme="minorEastAsia"/>
          <w:sz w:val="24"/>
          <w:szCs w:val="24"/>
        </w:rPr>
        <w:t>见供应商须知前附表。</w:t>
      </w:r>
    </w:p>
    <w:p>
      <w:pPr>
        <w:pStyle w:val="10"/>
        <w:keepLines w:val="0"/>
        <w:widowControl/>
        <w:adjustRightInd w:val="0"/>
        <w:snapToGrid w:val="0"/>
        <w:spacing w:before="0" w:after="0" w:line="360" w:lineRule="auto"/>
        <w:ind w:firstLine="482" w:firstLineChars="200"/>
        <w:outlineLvl w:val="1"/>
        <w:rPr>
          <w:rFonts w:hint="eastAsia" w:asciiTheme="minorEastAsia" w:hAnsiTheme="minorEastAsia" w:eastAsiaTheme="minorEastAsia" w:cstheme="minorEastAsia"/>
          <w:b w:val="0"/>
          <w:sz w:val="24"/>
          <w:szCs w:val="24"/>
        </w:rPr>
      </w:pPr>
      <w:bookmarkStart w:id="66" w:name="_Toc19725"/>
      <w:bookmarkStart w:id="67" w:name="_Toc6455"/>
      <w:bookmarkStart w:id="68" w:name="_Toc5325"/>
      <w:r>
        <w:rPr>
          <w:rFonts w:hint="eastAsia" w:asciiTheme="minorEastAsia" w:hAnsiTheme="minorEastAsia" w:eastAsiaTheme="minorEastAsia" w:cstheme="minorEastAsia"/>
          <w:sz w:val="24"/>
          <w:szCs w:val="24"/>
        </w:rPr>
        <w:t>5. 开标</w:t>
      </w:r>
      <w:bookmarkEnd w:id="66"/>
      <w:bookmarkEnd w:id="67"/>
      <w:bookmarkEnd w:id="68"/>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5.1 开标时间和地点</w:t>
      </w:r>
    </w:p>
    <w:p>
      <w:pPr>
        <w:pStyle w:val="60"/>
        <w:adjustRightInd w:val="0"/>
        <w:snapToGrid w:val="0"/>
        <w:spacing w:before="0" w:beforeAutospacing="0" w:after="0" w:afterAutospacing="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采购代理机构在“供应商须知前附表”中规定的日期、时间和地点组织公开开标。</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5.2 开标程序</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开标会议由采购代理机构人员主持，主持人按下列程序进行开标会议：</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解密投标文件；</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（2）招标代理机构解密招标文件；</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（3）唱标；</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（4）电子签章；</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（5）开标结束。</w:t>
      </w:r>
    </w:p>
    <w:p>
      <w:pPr>
        <w:pStyle w:val="60"/>
        <w:adjustRightInd w:val="0"/>
        <w:snapToGrid w:val="0"/>
        <w:spacing w:before="0" w:beforeAutospacing="0" w:after="0" w:afterAutospacing="0" w:line="360" w:lineRule="auto"/>
        <w:ind w:firstLine="482" w:firstLineChars="200"/>
        <w:jc w:val="both"/>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kern w:val="2"/>
          <w:sz w:val="24"/>
          <w:szCs w:val="24"/>
        </w:rPr>
        <w:t>5.3 开标疑义</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代表对开标过程和开标记录有疑义，应当场提出询问，采购人、采购代理机构对</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代表提出的询问应当及时处理。</w:t>
      </w:r>
    </w:p>
    <w:p>
      <w:pPr>
        <w:adjustRightInd w:val="0"/>
        <w:snapToGrid w:val="0"/>
        <w:spacing w:line="360" w:lineRule="auto"/>
        <w:ind w:firstLine="482" w:firstLineChars="200"/>
        <w:outlineLvl w:val="1"/>
        <w:rPr>
          <w:rFonts w:hint="eastAsia" w:asciiTheme="minorEastAsia" w:hAnsiTheme="minorEastAsia" w:eastAsiaTheme="minorEastAsia" w:cstheme="minorEastAsia"/>
          <w:b/>
          <w:bCs/>
          <w:sz w:val="24"/>
          <w:szCs w:val="24"/>
        </w:rPr>
      </w:pPr>
      <w:bookmarkStart w:id="69" w:name="_Toc2268"/>
      <w:bookmarkStart w:id="70" w:name="_Toc18003"/>
      <w:bookmarkStart w:id="71" w:name="_Toc30832"/>
      <w:r>
        <w:rPr>
          <w:rFonts w:hint="eastAsia" w:asciiTheme="minorEastAsia" w:hAnsiTheme="minorEastAsia" w:eastAsiaTheme="minorEastAsia" w:cstheme="minorEastAsia"/>
          <w:b/>
          <w:bCs/>
          <w:sz w:val="24"/>
          <w:szCs w:val="24"/>
        </w:rPr>
        <w:t>6. 资格审查</w:t>
      </w:r>
      <w:bookmarkEnd w:id="69"/>
      <w:bookmarkEnd w:id="70"/>
      <w:bookmarkEnd w:id="71"/>
    </w:p>
    <w:p>
      <w:pPr>
        <w:adjustRightInd w:val="0"/>
        <w:snapToGrid w:val="0"/>
        <w:spacing w:line="360" w:lineRule="auto"/>
        <w:ind w:firstLine="480" w:firstLineChars="200"/>
        <w:outlineLvl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6.1 按照《政府采购货物和服务招标投标管理办法》的规定，公开招标项目开标结束后，采购人或者采购代理机构应当依法对供应商的资格进行审查。合格供应商不足3家的，不得评标。</w:t>
      </w:r>
    </w:p>
    <w:p>
      <w:pPr>
        <w:adjustRightInd w:val="0"/>
        <w:snapToGrid w:val="0"/>
        <w:spacing w:line="360" w:lineRule="auto"/>
        <w:ind w:firstLine="480" w:firstLineChars="200"/>
        <w:outlineLvl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6.2 公开招标数额标准以上的采购项目，投标截止后供应商不足3家或者通过资格审查或符合性审查的供应商不足3家的，除采购任务取消情形外，按照以下方式处理：</w:t>
      </w:r>
    </w:p>
    <w:p>
      <w:pPr>
        <w:adjustRightInd w:val="0"/>
        <w:snapToGrid w:val="0"/>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（1）招标文件存在不合理条款或者招标程序不符合规定的，采购人、采购代理机构改正后依法重新招标；</w:t>
      </w:r>
    </w:p>
    <w:p>
      <w:pPr>
        <w:adjustRightInd w:val="0"/>
        <w:snapToGrid w:val="0"/>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（2）招标文件没有不合理条款、招标程序符合规定，需要采用其他采购方式采购的，采购人应当依法报财政部门批准。</w:t>
      </w:r>
    </w:p>
    <w:p>
      <w:pPr>
        <w:adjustRightInd w:val="0"/>
        <w:snapToGrid w:val="0"/>
        <w:spacing w:line="360" w:lineRule="auto"/>
        <w:ind w:firstLine="482" w:firstLineChars="200"/>
        <w:jc w:val="left"/>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6.3 投标文件出现下列情形之一的，由资格审查小组审查后按无效投标文件不再进行评审：</w:t>
      </w:r>
    </w:p>
    <w:p>
      <w:pPr>
        <w:adjustRightInd w:val="0"/>
        <w:snapToGrid w:val="0"/>
        <w:spacing w:line="360" w:lineRule="auto"/>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（1）供应商不符合国家法律法规所规定资格条件；</w:t>
      </w:r>
    </w:p>
    <w:p>
      <w:pPr>
        <w:adjustRightInd w:val="0"/>
        <w:snapToGrid w:val="0"/>
        <w:spacing w:line="360" w:lineRule="auto"/>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（2）供应商不符合招标文件规定的资格条件；</w:t>
      </w:r>
    </w:p>
    <w:p>
      <w:pPr>
        <w:adjustRightInd w:val="0"/>
        <w:snapToGrid w:val="0"/>
        <w:spacing w:line="360" w:lineRule="auto"/>
        <w:ind w:firstLine="482" w:firstLineChars="200"/>
        <w:outlineLvl w:val="1"/>
        <w:rPr>
          <w:rFonts w:hint="eastAsia" w:asciiTheme="minorEastAsia" w:hAnsiTheme="minorEastAsia" w:eastAsiaTheme="minorEastAsia" w:cstheme="minorEastAsia"/>
          <w:b/>
          <w:bCs/>
          <w:sz w:val="24"/>
          <w:szCs w:val="24"/>
        </w:rPr>
      </w:pPr>
      <w:bookmarkStart w:id="72" w:name="_Toc14117"/>
      <w:bookmarkStart w:id="73" w:name="_Toc12933"/>
      <w:bookmarkStart w:id="74" w:name="_Toc29962"/>
      <w:r>
        <w:rPr>
          <w:rFonts w:hint="eastAsia" w:asciiTheme="minorEastAsia" w:hAnsiTheme="minorEastAsia" w:eastAsiaTheme="minorEastAsia" w:cstheme="minorEastAsia"/>
          <w:b/>
          <w:bCs/>
          <w:sz w:val="24"/>
          <w:szCs w:val="24"/>
        </w:rPr>
        <w:t>7. 评标</w:t>
      </w:r>
      <w:bookmarkEnd w:id="72"/>
      <w:bookmarkEnd w:id="73"/>
      <w:bookmarkEnd w:id="74"/>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7.1 评标委员会</w:t>
      </w:r>
    </w:p>
    <w:p>
      <w:pPr>
        <w:adjustRightInd w:val="0"/>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评标由采购人依法组建的评标委员会负责。评标委员会由采购人代表和评审专家组成。成员人数应当为5人以上单数，其中评审专家不得少于成员总数的三分之二。</w:t>
      </w:r>
    </w:p>
    <w:p>
      <w:pPr>
        <w:adjustRightInd w:val="0"/>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评标委员会成员人数以及技术、经济等方面专家的确定方式见供应商须知前附表。</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7.2 评审专家回避</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评审专家与参加采购活动的供应商存在下列利害关系之一的,应当回避</w:t>
      </w:r>
      <w:r>
        <w:rPr>
          <w:rFonts w:hint="eastAsia" w:asciiTheme="minorEastAsia" w:hAnsiTheme="minorEastAsia" w:eastAsiaTheme="minorEastAsia" w:cstheme="minorEastAsia"/>
          <w:sz w:val="24"/>
          <w:szCs w:val="24"/>
          <w:lang w:eastAsia="zh-CN"/>
        </w:rPr>
        <w:t>：</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参加采购活动前三年内</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与供应商存在劳动关系</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或者担任过供应商的董事、监事</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或者是供应商的控股股东或实际控制人</w:t>
      </w:r>
      <w:r>
        <w:rPr>
          <w:rFonts w:hint="eastAsia" w:asciiTheme="minorEastAsia" w:hAnsiTheme="minorEastAsia" w:eastAsiaTheme="minorEastAsia" w:cstheme="minorEastAsia"/>
          <w:sz w:val="24"/>
          <w:szCs w:val="24"/>
          <w:lang w:eastAsia="zh-CN"/>
        </w:rPr>
        <w:t>；</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与供应商的法定代表人</w:t>
      </w:r>
      <w:r>
        <w:rPr>
          <w:rFonts w:hint="eastAsia" w:asciiTheme="minorEastAsia" w:hAnsiTheme="minorEastAsia" w:eastAsiaTheme="minorEastAsia" w:cstheme="minorEastAsia"/>
          <w:b w:val="0"/>
          <w:bCs w:val="0"/>
          <w:sz w:val="24"/>
          <w:szCs w:val="24"/>
        </w:rPr>
        <w:t>（单位负责人）</w:t>
      </w:r>
      <w:r>
        <w:rPr>
          <w:rFonts w:hint="eastAsia" w:asciiTheme="minorEastAsia" w:hAnsiTheme="minorEastAsia" w:eastAsiaTheme="minorEastAsia" w:cstheme="minorEastAsia"/>
          <w:sz w:val="24"/>
          <w:szCs w:val="24"/>
        </w:rPr>
        <w:t>有夫妻、直系血亲、三代以内旁系血亲或者近姻亲关系</w:t>
      </w:r>
      <w:r>
        <w:rPr>
          <w:rFonts w:hint="eastAsia" w:asciiTheme="minorEastAsia" w:hAnsiTheme="minorEastAsia" w:eastAsiaTheme="minorEastAsia" w:cstheme="minorEastAsia"/>
          <w:sz w:val="24"/>
          <w:szCs w:val="24"/>
          <w:lang w:eastAsia="zh-CN"/>
        </w:rPr>
        <w:t>；</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与供应商有其他可能影响政府采购活动公平、公正进行的关系。</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评审专家发现本人与参加采购活动的供应商有利害关系的</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应当主动提出回避。采购人或者采购代理机构发现评审专家与参加采购活动的供应商有利害关系的</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应当要求其回避。</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各级财政部门政府采购监督管理工作人员,不得作为评审专家参与政府采购项目的评审活动。</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7.3 评标委员会职责</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评标委员会负责具体评标事务，并独立履行下列职责</w:t>
      </w:r>
      <w:r>
        <w:rPr>
          <w:rFonts w:hint="eastAsia" w:asciiTheme="minorEastAsia" w:hAnsiTheme="minorEastAsia" w:eastAsiaTheme="minorEastAsia" w:cstheme="minorEastAsia"/>
          <w:kern w:val="0"/>
          <w:sz w:val="24"/>
          <w:szCs w:val="24"/>
          <w:lang w:eastAsia="zh-CN"/>
        </w:rPr>
        <w:t>：</w:t>
      </w:r>
    </w:p>
    <w:p>
      <w:pPr>
        <w:adjustRightInd w:val="0"/>
        <w:snapToGrid w:val="0"/>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7.3.1</w:t>
      </w:r>
      <w:r>
        <w:rPr>
          <w:rFonts w:hint="eastAsia" w:asciiTheme="minorEastAsia" w:hAnsiTheme="minorEastAsia" w:eastAsiaTheme="minorEastAsia" w:cstheme="minorEastAsia"/>
          <w:kern w:val="0"/>
          <w:sz w:val="24"/>
          <w:szCs w:val="24"/>
        </w:rPr>
        <w:t>审查、评价投标文件是否符合招标文件的商务、技术等实质性要求；</w:t>
      </w:r>
    </w:p>
    <w:p>
      <w:pPr>
        <w:adjustRightInd w:val="0"/>
        <w:snapToGrid w:val="0"/>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7.3.2要求供应商对投标文件有关事项作出澄清或者说明；</w:t>
      </w:r>
    </w:p>
    <w:p>
      <w:pPr>
        <w:adjustRightInd w:val="0"/>
        <w:snapToGrid w:val="0"/>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7.3.3对投标文件进行比较和评价；</w:t>
      </w:r>
    </w:p>
    <w:p>
      <w:pPr>
        <w:adjustRightInd w:val="0"/>
        <w:snapToGrid w:val="0"/>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7.3.4</w:t>
      </w:r>
      <w:r>
        <w:rPr>
          <w:rFonts w:hint="eastAsia" w:asciiTheme="minorEastAsia" w:hAnsiTheme="minorEastAsia" w:eastAsiaTheme="minorEastAsia" w:cstheme="minorEastAsia"/>
          <w:kern w:val="0"/>
          <w:sz w:val="24"/>
          <w:szCs w:val="24"/>
        </w:rPr>
        <w:t>确定中标候选人名单，以及根据采购人委托直接确定中标人；</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7.3.5向采购人、采购代理机构或者有关部门报告评标中发现的违法行为；</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7.4评标委员会成员变更</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评标委员会评标中因评标委员会成员缺席、回避或者健康等特殊原因导致评标委员会组成不符合本办法规定的，采购人或者采购代理机构应当依法补足后继续评标。被更换的评标委员会成员所作出的评标意见无效</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kern w:val="0"/>
          <w:sz w:val="24"/>
          <w:szCs w:val="24"/>
        </w:rPr>
        <w:t>无法及时补足评标委员会成员的，采购人或者采购代理机构应当停止评标活动，封存所有投标文件和开标、评标资料，依法重新组建评标委员会进行评标。原评标委员会所作出的评标意见无效；采购人或者采购代理机构应当将变更、重新组建评标委员会的情况予以记录，并随采购文件一并存档。</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7.5 符合性审查</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评标委员会应当对符合资格的供应商的投标文件进行符合性审查，以确定其是否满足招标文件的实质性要求。</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7.6 评标办法</w:t>
      </w:r>
    </w:p>
    <w:p>
      <w:pPr>
        <w:adjustRightInd w:val="0"/>
        <w:snapToGrid w:val="0"/>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7.6.1本项目采用的评标办法：见供应商须知前附表；</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7.6.2评标委员会应当按照招标文件中规定的评标方法和标准，对符合性审查合格的投标文件进行商务和技术评估，综合比较与评价。</w:t>
      </w:r>
    </w:p>
    <w:p>
      <w:pPr>
        <w:adjustRightInd w:val="0"/>
        <w:snapToGrid w:val="0"/>
        <w:spacing w:line="360" w:lineRule="auto"/>
        <w:ind w:firstLine="482" w:firstLineChars="200"/>
        <w:jc w:val="left"/>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 xml:space="preserve">7.7 </w:t>
      </w:r>
      <w:r>
        <w:rPr>
          <w:rFonts w:hint="eastAsia" w:asciiTheme="minorEastAsia" w:hAnsiTheme="minorEastAsia" w:eastAsiaTheme="minorEastAsia" w:cstheme="minorEastAsia"/>
          <w:b/>
          <w:bCs/>
          <w:sz w:val="24"/>
          <w:szCs w:val="24"/>
        </w:rPr>
        <w:t>无效投标文件</w:t>
      </w:r>
    </w:p>
    <w:p>
      <w:pPr>
        <w:adjustRightInd w:val="0"/>
        <w:snapToGrid w:val="0"/>
        <w:spacing w:line="360" w:lineRule="auto"/>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投标文件出现下列情形之一的，由评标委员会审核后按无效投标文件不再继续评审：</w:t>
      </w:r>
    </w:p>
    <w:p>
      <w:pPr>
        <w:adjustRightInd w:val="0"/>
        <w:snapToGrid w:val="0"/>
        <w:spacing w:line="360" w:lineRule="auto"/>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（1）投标文件未按照招标文件要求进行签署、盖章；</w:t>
      </w:r>
    </w:p>
    <w:p>
      <w:pPr>
        <w:adjustRightInd w:val="0"/>
        <w:snapToGrid w:val="0"/>
        <w:spacing w:line="360" w:lineRule="auto"/>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（2）同一供应商提交两个以上不同的投标文件或者投标报价，但招标文件要求提交备选投标的除外；</w:t>
      </w:r>
    </w:p>
    <w:p>
      <w:pPr>
        <w:adjustRightInd w:val="0"/>
        <w:snapToGrid w:val="0"/>
        <w:spacing w:line="360" w:lineRule="auto"/>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（3）投标报价高于招标文件设定的项目预算（政府采购最高限价）；</w:t>
      </w:r>
    </w:p>
    <w:p>
      <w:pPr>
        <w:adjustRightInd w:val="0"/>
        <w:snapToGrid w:val="0"/>
        <w:spacing w:line="360" w:lineRule="auto"/>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（4）</w:t>
      </w:r>
      <w:r>
        <w:rPr>
          <w:rFonts w:hint="eastAsia" w:asciiTheme="minorEastAsia" w:hAnsiTheme="minorEastAsia" w:eastAsiaTheme="minorEastAsia" w:cstheme="minorEastAsia"/>
          <w:b/>
          <w:bCs/>
          <w:sz w:val="24"/>
          <w:szCs w:val="24"/>
          <w:lang w:val="en-US" w:eastAsia="zh-CN"/>
        </w:rPr>
        <w:t>不</w:t>
      </w:r>
      <w:r>
        <w:rPr>
          <w:rFonts w:hint="eastAsia" w:asciiTheme="minorEastAsia" w:hAnsiTheme="minorEastAsia" w:eastAsiaTheme="minorEastAsia" w:cstheme="minorEastAsia"/>
          <w:b/>
          <w:bCs/>
          <w:sz w:val="24"/>
          <w:szCs w:val="24"/>
        </w:rPr>
        <w:t>满足招标文件</w:t>
      </w:r>
      <w:r>
        <w:rPr>
          <w:rFonts w:hint="eastAsia" w:asciiTheme="minorEastAsia" w:hAnsiTheme="minorEastAsia" w:eastAsiaTheme="minorEastAsia" w:cstheme="minorEastAsia"/>
          <w:b/>
          <w:bCs/>
          <w:sz w:val="24"/>
          <w:szCs w:val="24"/>
          <w:lang w:val="en-US" w:eastAsia="zh-CN"/>
        </w:rPr>
        <w:t>规定的不允许偏离的实质性要求和条件</w:t>
      </w:r>
      <w:r>
        <w:rPr>
          <w:rFonts w:hint="eastAsia" w:asciiTheme="minorEastAsia" w:hAnsiTheme="minorEastAsia" w:eastAsiaTheme="minorEastAsia" w:cstheme="minorEastAsia"/>
          <w:b/>
          <w:bCs/>
          <w:sz w:val="24"/>
          <w:szCs w:val="24"/>
        </w:rPr>
        <w:t>；</w:t>
      </w:r>
    </w:p>
    <w:p>
      <w:pPr>
        <w:adjustRightInd w:val="0"/>
        <w:snapToGrid w:val="0"/>
        <w:spacing w:line="360" w:lineRule="auto"/>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bCs/>
          <w:sz w:val="24"/>
          <w:szCs w:val="24"/>
          <w:lang w:val="en-US" w:eastAsia="zh-CN"/>
        </w:rPr>
        <w:t>5</w:t>
      </w:r>
      <w:r>
        <w:rPr>
          <w:rFonts w:hint="eastAsia" w:asciiTheme="minorEastAsia" w:hAnsiTheme="minorEastAsia" w:eastAsiaTheme="minorEastAsia" w:cstheme="minorEastAsia"/>
          <w:b/>
          <w:bCs/>
          <w:sz w:val="24"/>
          <w:szCs w:val="24"/>
        </w:rPr>
        <w:t>）投标有效期不足的；</w:t>
      </w:r>
    </w:p>
    <w:p>
      <w:pPr>
        <w:adjustRightInd w:val="0"/>
        <w:snapToGrid w:val="0"/>
        <w:spacing w:line="360" w:lineRule="auto"/>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）参与同一个标段（包）的供应商存在</w:t>
      </w:r>
      <w:r>
        <w:rPr>
          <w:rFonts w:hint="eastAsia" w:asciiTheme="minorEastAsia" w:hAnsiTheme="minorEastAsia" w:eastAsiaTheme="minorEastAsia" w:cstheme="minorEastAsia"/>
          <w:b/>
          <w:bCs/>
          <w:sz w:val="24"/>
          <w:szCs w:val="24"/>
          <w:lang w:val="en-US" w:eastAsia="zh-CN"/>
        </w:rPr>
        <w:t>供应商须知前附表规定的</w:t>
      </w:r>
      <w:r>
        <w:rPr>
          <w:rFonts w:hint="eastAsia" w:asciiTheme="minorEastAsia" w:hAnsiTheme="minorEastAsia" w:eastAsiaTheme="minorEastAsia" w:cstheme="minorEastAsia"/>
          <w:b/>
          <w:bCs/>
          <w:sz w:val="24"/>
          <w:szCs w:val="24"/>
        </w:rPr>
        <w:t>投标 （响应）文件无效</w:t>
      </w:r>
      <w:r>
        <w:rPr>
          <w:rFonts w:hint="eastAsia" w:asciiTheme="minorEastAsia" w:hAnsiTheme="minorEastAsia" w:eastAsiaTheme="minorEastAsia" w:cstheme="minorEastAsia"/>
          <w:b/>
          <w:bCs/>
          <w:sz w:val="24"/>
          <w:szCs w:val="24"/>
          <w:lang w:val="en-US" w:eastAsia="zh-CN"/>
        </w:rPr>
        <w:t>情形</w:t>
      </w:r>
      <w:r>
        <w:rPr>
          <w:rFonts w:hint="eastAsia" w:asciiTheme="minorEastAsia" w:hAnsiTheme="minorEastAsia" w:eastAsiaTheme="minorEastAsia" w:cstheme="minorEastAsia"/>
          <w:b/>
          <w:bCs/>
          <w:sz w:val="24"/>
          <w:szCs w:val="24"/>
        </w:rPr>
        <w:t>；</w:t>
      </w:r>
    </w:p>
    <w:p>
      <w:pPr>
        <w:adjustRightInd w:val="0"/>
        <w:snapToGrid w:val="0"/>
        <w:spacing w:line="360" w:lineRule="auto"/>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bCs/>
          <w:sz w:val="24"/>
          <w:szCs w:val="24"/>
          <w:lang w:val="en-US" w:eastAsia="zh-CN"/>
        </w:rPr>
        <w:t>7</w:t>
      </w:r>
      <w:r>
        <w:rPr>
          <w:rFonts w:hint="eastAsia" w:asciiTheme="minorEastAsia" w:hAnsiTheme="minorEastAsia" w:eastAsiaTheme="minorEastAsia" w:cstheme="minorEastAsia"/>
          <w:b/>
          <w:bCs/>
          <w:sz w:val="24"/>
          <w:szCs w:val="24"/>
        </w:rPr>
        <w:t>）投标文件附有采购人不能接受的条件的。</w:t>
      </w:r>
    </w:p>
    <w:p>
      <w:pPr>
        <w:widowControl/>
        <w:adjustRightInd w:val="0"/>
        <w:snapToGrid w:val="0"/>
        <w:spacing w:line="360" w:lineRule="auto"/>
        <w:ind w:firstLine="482" w:firstLineChars="200"/>
        <w:jc w:val="left"/>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7.8 串通投标</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有下列情形之一的，视为供应商串通投标，其投标无效：</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（1）不同供应商的投标文件由同一单位或者个人编制；</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（2）不同供应商委托同一单位或者个人办理投标事宜；</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（3）不同供应商的投标文件载明的项目管理成员或者联系人员为同一人；</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（4）不同供应商的投标文件异常一致或者投标报价呈规律性差异；</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（5）不同供应商的投标文件相互混装；</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7.9 投标文件的澄清</w:t>
      </w:r>
    </w:p>
    <w:p>
      <w:pPr>
        <w:pStyle w:val="60"/>
        <w:adjustRightInd w:val="0"/>
        <w:snapToGrid w:val="0"/>
        <w:spacing w:before="0" w:beforeAutospacing="0" w:after="0" w:afterAutospacing="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7.9.1对于投标文件中含义不明确、同类问题表述不一致或者有明显文字和计算错误的内容，评标委员会应当以书面形式要求供应商作出必要的澄清、说明或者补正</w:t>
      </w:r>
      <w:r>
        <w:rPr>
          <w:rFonts w:hint="eastAsia" w:asciiTheme="minorEastAsia" w:hAnsiTheme="minorEastAsia" w:eastAsiaTheme="minorEastAsia" w:cstheme="minorEastAsia"/>
          <w:kern w:val="2"/>
          <w:sz w:val="24"/>
          <w:szCs w:val="24"/>
        </w:rPr>
        <w:t>；</w:t>
      </w:r>
    </w:p>
    <w:p>
      <w:pPr>
        <w:pStyle w:val="60"/>
        <w:adjustRightInd w:val="0"/>
        <w:snapToGrid w:val="0"/>
        <w:spacing w:before="0" w:beforeAutospacing="0" w:after="0" w:afterAutospacing="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7.9.2供应商的澄清、说明或者补正应当采用书面形式，</w:t>
      </w:r>
      <w:r>
        <w:rPr>
          <w:rFonts w:hint="eastAsia" w:asciiTheme="minorEastAsia" w:hAnsiTheme="minorEastAsia" w:eastAsiaTheme="minorEastAsia" w:cstheme="minorEastAsia"/>
          <w:sz w:val="24"/>
          <w:szCs w:val="24"/>
          <w:lang w:val="en-US" w:eastAsia="zh-CN"/>
        </w:rPr>
        <w:t>在评标委员会规定时间内在公共资源交易中心系统内提交</w:t>
      </w:r>
      <w:r>
        <w:rPr>
          <w:rFonts w:hint="eastAsia" w:asciiTheme="minorEastAsia" w:hAnsiTheme="minorEastAsia" w:eastAsiaTheme="minorEastAsia" w:cstheme="minorEastAsia"/>
          <w:sz w:val="24"/>
          <w:szCs w:val="24"/>
        </w:rPr>
        <w:t>；</w:t>
      </w:r>
    </w:p>
    <w:p>
      <w:pPr>
        <w:pStyle w:val="60"/>
        <w:adjustRightInd w:val="0"/>
        <w:snapToGrid w:val="0"/>
        <w:spacing w:before="0" w:beforeAutospacing="0" w:after="0" w:afterAutospacing="0"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7.9.3供应商的澄清、说明或者补正不得超出投标文件的范围或者改变投标文件的实质性内容。</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7.10 错误的修正</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7.10.1投标文件报价出现前后不一致的，除招标文件另有规定外，按照下列规定修正</w:t>
      </w:r>
      <w:r>
        <w:rPr>
          <w:rFonts w:hint="eastAsia" w:asciiTheme="minorEastAsia" w:hAnsiTheme="minorEastAsia" w:eastAsiaTheme="minorEastAsia" w:cstheme="minorEastAsia"/>
          <w:sz w:val="24"/>
          <w:szCs w:val="24"/>
        </w:rPr>
        <w:t>：</w:t>
      </w:r>
    </w:p>
    <w:p>
      <w:pPr>
        <w:adjustRightInd w:val="0"/>
        <w:snapToGrid w:val="0"/>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（1）投标文件中开标一览表（报价表）内容与投标文件中相应内容不一致的，以开标一览表（报价表）为准；</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（2）大写金额和小写金额不一致的，以大写金额为准；</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（3）单价金额小数点或者百分比有明显错位的，以开标一览表的总价为准，并修改单价；</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（4）总价金额与按单价汇总金额不一致的，以单价金额计算结果为准。</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同时出现两种以上不一致的，按照前款规定的顺序修正。修正后的报价按照政府采购货物和服务招标投标管理办法第五十一条第二款的规定经供应商确认后产生约束力，供应商不确认的，其投标无效。</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7.10.2允许修正投标文件中不构成重大偏离的、微小的、非正规的、不一致或不规则的地方；</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7.10.3在对投标文件进行详细评审之前，评委会将确定每一投标是否对招标文件的要求做出了实质性的响应，而没有重大偏离。实质性响应的投标是指投标符合招标文件的所有条款、条件和规定且没有重大偏离和保留；</w:t>
      </w:r>
    </w:p>
    <w:p>
      <w:pPr>
        <w:adjustRightInd w:val="0"/>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重大偏离和保留是指对招标文件规定的范围、质量和性能产生重大或不可接受的偏差，或限制了采购代理机构、采购人的权力和供应商的义务的规定，而纠正这些偏离将影响到其它提交实质性响应投标的供应商的公平竞争地位。</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7.11 评标的确定</w:t>
      </w:r>
    </w:p>
    <w:p>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 xml:space="preserve">7.11.1评标委员会对经过初审的投标，按照招标文件规定的评标方法、评审因素、标准和程序对投标文件进行评审并推荐中标候选人或根据采购人委托直接确定中标人 。 </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7.11.2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7.11.3</w:t>
      </w:r>
      <w:r>
        <w:rPr>
          <w:rFonts w:hint="eastAsia" w:asciiTheme="minorEastAsia" w:hAnsiTheme="minorEastAsia" w:eastAsiaTheme="minorEastAsia" w:cstheme="minorEastAsia"/>
          <w:sz w:val="24"/>
          <w:szCs w:val="24"/>
        </w:rPr>
        <w:t>核心产品将在招标文件第五章“项目需求及技术参数要求”中载明，供应商提供的核心产品品牌相同的，按照《政府采购货物和服务招标投标管理办法》的规定处理。</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7.11.4 </w:t>
      </w:r>
      <w:r>
        <w:rPr>
          <w:rFonts w:hint="eastAsia" w:asciiTheme="minorEastAsia" w:hAnsiTheme="minorEastAsia" w:eastAsiaTheme="minorEastAsia" w:cstheme="minorEastAsia"/>
          <w:kern w:val="0"/>
          <w:sz w:val="24"/>
          <w:szCs w:val="24"/>
        </w:rPr>
        <w:t>评标委员会成员对需要共同认定的事项存在争议的，应当按照少数服从多数的原则作出结论。持不同意见的评标委员会成员应当在评标报告上签署不同意见及理由，否则视为同意评标报告。</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7.12 保密及其它注意事项</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7.12.1评标是招标工作的重要环节，评标工作在评委会内独立进行，</w:t>
      </w:r>
      <w:r>
        <w:rPr>
          <w:rFonts w:hint="eastAsia" w:asciiTheme="minorEastAsia" w:hAnsiTheme="minorEastAsia" w:eastAsiaTheme="minorEastAsia" w:cstheme="minorEastAsia"/>
          <w:kern w:val="0"/>
          <w:sz w:val="24"/>
          <w:szCs w:val="24"/>
        </w:rPr>
        <w:t>采购人、采购代理机构应当采取必要措施，保证评标在严格保密的情况下进行。除采购人代表、评标现场组织人员外，采购人的其他工作人员以及与评标工作无关的人员不得进入评标现场。有关人员对评标情况以及在评标过程中获悉的国家秘密、商业秘密负有保密责任</w:t>
      </w:r>
      <w:r>
        <w:rPr>
          <w:rFonts w:hint="eastAsia" w:asciiTheme="minorEastAsia" w:hAnsiTheme="minorEastAsia" w:eastAsiaTheme="minorEastAsia" w:cstheme="minorEastAsia"/>
          <w:sz w:val="24"/>
          <w:szCs w:val="24"/>
        </w:rPr>
        <w:t>；</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7.12.2评委会将遵照规定的评标方法，公正、平等地对待所有供应商；</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7.12.3在开标、评标期间，供应商不得向评委询问评标情况，不得进行旨在影响评标结果的活动。否则其投标可能被拒绝；</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7.12.4为保证评标的公正性，开标后直至授予供应商合同，评委不得与供应商私下交换意见；</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7.12.5在评标工作结束后，凡与评标情况有接触的任何人不得擅自将评标情况扩散出评标人员之外；</w:t>
      </w:r>
    </w:p>
    <w:p>
      <w:pPr>
        <w:adjustRightInd w:val="0"/>
        <w:snapToGrid w:val="0"/>
        <w:spacing w:line="360" w:lineRule="auto"/>
        <w:ind w:firstLine="482" w:firstLineChars="200"/>
        <w:outlineLvl w:val="1"/>
        <w:rPr>
          <w:rFonts w:hint="eastAsia" w:asciiTheme="minorEastAsia" w:hAnsiTheme="minorEastAsia" w:eastAsiaTheme="minorEastAsia" w:cstheme="minorEastAsia"/>
          <w:b/>
          <w:bCs/>
          <w:sz w:val="24"/>
          <w:szCs w:val="24"/>
        </w:rPr>
      </w:pPr>
      <w:bookmarkStart w:id="75" w:name="_Toc2940"/>
      <w:bookmarkStart w:id="76" w:name="_Toc10269"/>
      <w:bookmarkStart w:id="77" w:name="_Toc25203"/>
      <w:r>
        <w:rPr>
          <w:rFonts w:hint="eastAsia" w:asciiTheme="minorEastAsia" w:hAnsiTheme="minorEastAsia" w:eastAsiaTheme="minorEastAsia" w:cstheme="minorEastAsia"/>
          <w:b/>
          <w:bCs/>
          <w:sz w:val="24"/>
          <w:szCs w:val="24"/>
        </w:rPr>
        <w:t>8. 授予合同</w:t>
      </w:r>
      <w:bookmarkEnd w:id="75"/>
      <w:bookmarkEnd w:id="76"/>
      <w:bookmarkEnd w:id="77"/>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8.1 中标结果及公告</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8.1.1采购代理机构应当在评标结束后2个工作日内将评标报告送采购人</w:t>
      </w:r>
      <w:r>
        <w:rPr>
          <w:rFonts w:hint="eastAsia" w:asciiTheme="minorEastAsia" w:hAnsiTheme="minorEastAsia" w:eastAsiaTheme="minorEastAsia" w:cstheme="minorEastAsia"/>
          <w:sz w:val="24"/>
          <w:szCs w:val="24"/>
        </w:rPr>
        <w:t>。</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8.1.2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r>
        <w:rPr>
          <w:rFonts w:hint="eastAsia" w:asciiTheme="minorEastAsia" w:hAnsiTheme="minorEastAsia" w:eastAsiaTheme="minorEastAsia" w:cstheme="minorEastAsia"/>
          <w:sz w:val="24"/>
          <w:szCs w:val="24"/>
        </w:rPr>
        <w:t>。</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8.1.3采购人在收到评标报告5个工作日内未按评标报告推荐的中标候选人顺序确定中标人，又不能说明合法理由的，视同按评标报告推荐的顺序确定排名第一的中标候选人为中标人。</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8.1.4采购人或者采购代理机构应当自中标人确定之日起2个工作日内，在省级以上财政部门指定的媒体上公告中标结果，招标文件应当随中标结果同时公告。</w:t>
      </w:r>
      <w:r>
        <w:rPr>
          <w:rFonts w:hint="eastAsia" w:asciiTheme="minorEastAsia" w:hAnsiTheme="minorEastAsia" w:eastAsiaTheme="minorEastAsia" w:cstheme="minorEastAsia"/>
          <w:sz w:val="24"/>
          <w:szCs w:val="24"/>
        </w:rPr>
        <w:t>公告发布媒介同招标公告。</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8.1.5中标结果公告内容应当包括采购人及其委托的采购代理机构的名称、地址、联系方式，项目名称和项目编号，中标人名称、地址和中标金额，主要中标标的的名称、规格型号、数量、单价、服务要求，中标公告期限以及评审专家名单。</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8.1.6中标公告期限为1个工作日。</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8.2 中标通知书</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8.2.1在公告中标结果的同时，采购人或者采购代理机构向中标人发出中标通知书；</w:t>
      </w:r>
    </w:p>
    <w:p>
      <w:pPr>
        <w:adjustRightInd w:val="0"/>
        <w:snapToGrid w:val="0"/>
        <w:spacing w:line="360" w:lineRule="auto"/>
        <w:ind w:firstLine="480" w:firstLineChars="200"/>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8.2.2中标通知书发出后，采购人不得违法改变中标结果，中标人无正当理由不得放弃中标。</w:t>
      </w:r>
      <w:r>
        <w:rPr>
          <w:rFonts w:hint="eastAsia" w:asciiTheme="minorEastAsia" w:hAnsiTheme="minorEastAsia" w:eastAsiaTheme="minorEastAsia" w:cstheme="minorEastAsia"/>
          <w:sz w:val="24"/>
          <w:szCs w:val="24"/>
        </w:rPr>
        <w:t xml:space="preserve"> </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8.2.3中标通知书将作为进行合同谈判和签订合同的依据。</w:t>
      </w:r>
    </w:p>
    <w:p>
      <w:pPr>
        <w:adjustRightInd w:val="0"/>
        <w:snapToGrid w:val="0"/>
        <w:spacing w:line="360" w:lineRule="auto"/>
        <w:ind w:firstLine="482" w:firstLineChars="200"/>
        <w:outlineLvl w:val="3"/>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8.3 履约保证金</w:t>
      </w:r>
      <w:r>
        <w:rPr>
          <w:rFonts w:hint="eastAsia" w:asciiTheme="minorEastAsia" w:hAnsiTheme="minorEastAsia" w:eastAsiaTheme="minorEastAsia" w:cstheme="minorEastAsia"/>
          <w:b/>
          <w:bCs/>
          <w:sz w:val="24"/>
          <w:szCs w:val="24"/>
          <w:lang w:eastAsia="zh-CN"/>
        </w:rPr>
        <w:t>：</w:t>
      </w:r>
      <w:r>
        <w:rPr>
          <w:rFonts w:hint="eastAsia" w:asciiTheme="minorEastAsia" w:hAnsiTheme="minorEastAsia" w:eastAsiaTheme="minorEastAsia" w:cstheme="minorEastAsia"/>
          <w:b/>
          <w:bCs/>
          <w:sz w:val="24"/>
          <w:szCs w:val="24"/>
        </w:rPr>
        <w:t>见供应商须知前附表</w:t>
      </w:r>
    </w:p>
    <w:p>
      <w:pPr>
        <w:adjustRightInd w:val="0"/>
        <w:snapToGrid w:val="0"/>
        <w:spacing w:line="360" w:lineRule="auto"/>
        <w:ind w:firstLine="482" w:firstLineChars="20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8.4 签订合同</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8.4.1采购人应当自中标通知书发出之日起</w:t>
      </w:r>
      <w:r>
        <w:rPr>
          <w:rFonts w:hint="eastAsia" w:asciiTheme="minorEastAsia" w:hAnsiTheme="minorEastAsia" w:eastAsiaTheme="minorEastAsia" w:cstheme="minorEastAsia"/>
          <w:kern w:val="0"/>
          <w:sz w:val="24"/>
          <w:szCs w:val="24"/>
          <w:lang w:val="en-US" w:eastAsia="zh-CN"/>
        </w:rPr>
        <w:t>2个工作</w:t>
      </w:r>
      <w:r>
        <w:rPr>
          <w:rFonts w:hint="eastAsia" w:asciiTheme="minorEastAsia" w:hAnsiTheme="minorEastAsia" w:eastAsiaTheme="minorEastAsia" w:cstheme="minorEastAsia"/>
          <w:kern w:val="0"/>
          <w:sz w:val="24"/>
          <w:szCs w:val="24"/>
        </w:rPr>
        <w:t>日内，按照招标文件和中标人投标文件的规定，与中标人签订书面合同。所签订的合同不得对招标文件确定的事项和中标人投标文件作实质性修改</w:t>
      </w:r>
      <w:r>
        <w:rPr>
          <w:rFonts w:hint="eastAsia" w:asciiTheme="minorEastAsia" w:hAnsiTheme="minorEastAsia" w:eastAsiaTheme="minorEastAsia" w:cstheme="minorEastAsia"/>
          <w:sz w:val="24"/>
          <w:szCs w:val="24"/>
        </w:rPr>
        <w:t>。</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8.4.2采购人不得向中标人提出任何不合理的要求作为签订合同的条件。</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8.4.3政府采购合同应当包括采购人与中标人的名称和住所、标的、数量、质量、价款或者报酬、履行期限及地点和方式、验收要求、违约责任、解决争议的方法等内容。</w:t>
      </w:r>
    </w:p>
    <w:p>
      <w:pPr>
        <w:adjustRightInd w:val="0"/>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8.4.4采购人与中标人应当根据合同的约定依法履行合同义务。</w:t>
      </w:r>
    </w:p>
    <w:p>
      <w:pPr>
        <w:adjustRightInd w:val="0"/>
        <w:snapToGrid w:val="0"/>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8.4.5如果中标人未按上述规定执行，采购人可以按照评标委员会提出的中标候选人名单排序依次确定其他中标候选人为中标人，也可以重新招标。</w:t>
      </w:r>
    </w:p>
    <w:p>
      <w:pPr>
        <w:pStyle w:val="2"/>
        <w:ind w:firstLine="482"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kern w:val="2"/>
          <w:sz w:val="24"/>
          <w:szCs w:val="24"/>
          <w:lang w:val="en-US" w:eastAsia="zh-CN" w:bidi="ar-SA"/>
        </w:rPr>
        <w:t>8.5 付款方式：见供应商须知前附表</w:t>
      </w:r>
    </w:p>
    <w:p>
      <w:pPr>
        <w:adjustRightInd w:val="0"/>
        <w:snapToGrid w:val="0"/>
        <w:spacing w:line="360" w:lineRule="auto"/>
        <w:ind w:firstLine="482" w:firstLineChars="200"/>
        <w:outlineLvl w:val="1"/>
        <w:rPr>
          <w:rFonts w:hint="eastAsia" w:asciiTheme="minorEastAsia" w:hAnsiTheme="minorEastAsia" w:eastAsiaTheme="minorEastAsia" w:cstheme="minorEastAsia"/>
          <w:b/>
          <w:bCs/>
          <w:sz w:val="24"/>
          <w:szCs w:val="24"/>
        </w:rPr>
      </w:pPr>
      <w:bookmarkStart w:id="78" w:name="_Toc30503"/>
      <w:bookmarkStart w:id="79" w:name="_Toc30212"/>
      <w:bookmarkStart w:id="80" w:name="_Toc29866"/>
      <w:r>
        <w:rPr>
          <w:rFonts w:hint="eastAsia" w:asciiTheme="minorEastAsia" w:hAnsiTheme="minorEastAsia" w:eastAsiaTheme="minorEastAsia" w:cstheme="minorEastAsia"/>
          <w:b/>
          <w:bCs/>
          <w:sz w:val="24"/>
          <w:szCs w:val="24"/>
        </w:rPr>
        <w:t>9. 其他</w:t>
      </w:r>
      <w:bookmarkEnd w:id="78"/>
      <w:bookmarkEnd w:id="79"/>
      <w:bookmarkEnd w:id="80"/>
    </w:p>
    <w:p>
      <w:pPr>
        <w:adjustRightInd w:val="0"/>
        <w:snapToGrid w:val="0"/>
        <w:spacing w:line="360" w:lineRule="auto"/>
        <w:ind w:firstLine="480" w:firstLineChars="200"/>
        <w:jc w:val="left"/>
        <w:outlineLvl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9.1招标代理服务费：中标人在领取中标通知书时向采购代理机构一次性支付本项目的招标代理服务费，招标代理服务费收费标准及金额见供应商须知前附表。</w:t>
      </w:r>
    </w:p>
    <w:p>
      <w:pPr>
        <w:adjustRightInd w:val="0"/>
        <w:snapToGrid w:val="0"/>
        <w:spacing w:line="360" w:lineRule="auto"/>
        <w:ind w:firstLine="480" w:firstLineChars="200"/>
        <w:jc w:val="left"/>
        <w:outlineLvl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9.2质疑投诉：见供应商须知前附表。</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9.3需要补充的其他内容：见供应商须知前附表。</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pPr>
        <w:widowControl/>
        <w:adjustRightInd w:val="0"/>
        <w:snapToGrid w:val="0"/>
        <w:spacing w:line="360" w:lineRule="auto"/>
        <w:ind w:firstLine="723" w:firstLineChars="200"/>
        <w:jc w:val="center"/>
        <w:outlineLvl w:val="0"/>
        <w:rPr>
          <w:rFonts w:hint="eastAsia" w:asciiTheme="minorEastAsia" w:hAnsiTheme="minorEastAsia" w:eastAsiaTheme="minorEastAsia" w:cstheme="minorEastAsia"/>
          <w:sz w:val="24"/>
          <w:szCs w:val="24"/>
        </w:rPr>
      </w:pPr>
      <w:bookmarkStart w:id="81" w:name="_Toc27620"/>
      <w:bookmarkStart w:id="82" w:name="_Toc11550"/>
      <w:r>
        <w:rPr>
          <w:rFonts w:hint="eastAsia" w:asciiTheme="minorEastAsia" w:hAnsiTheme="minorEastAsia" w:eastAsiaTheme="minorEastAsia" w:cstheme="minorEastAsia"/>
          <w:b/>
          <w:bCs/>
          <w:sz w:val="36"/>
          <w:szCs w:val="36"/>
        </w:rPr>
        <w:t>第三章  资格审查、评标及定标</w:t>
      </w:r>
      <w:bookmarkEnd w:id="81"/>
      <w:bookmarkEnd w:id="82"/>
    </w:p>
    <w:p>
      <w:pPr>
        <w:spacing w:line="360" w:lineRule="auto"/>
        <w:ind w:firstLine="480" w:firstLineChars="200"/>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kern w:val="0"/>
          <w:sz w:val="24"/>
          <w:szCs w:val="24"/>
        </w:rPr>
        <w:t>一、</w:t>
      </w:r>
      <w:r>
        <w:rPr>
          <w:rFonts w:hint="eastAsia" w:asciiTheme="minorEastAsia" w:hAnsiTheme="minorEastAsia" w:eastAsiaTheme="minorEastAsia" w:cstheme="minorEastAsia"/>
          <w:b/>
          <w:sz w:val="24"/>
          <w:szCs w:val="24"/>
        </w:rPr>
        <w:t>资格评审由采购人或采购代理机构负责，资格评审不合格的投标文件不进入初步评审。</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24"/>
        <w:gridCol w:w="3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424" w:type="dxa"/>
            <w:noWrap w:val="0"/>
            <w:vAlign w:val="center"/>
          </w:tcPr>
          <w:p>
            <w:pPr>
              <w:widowControl/>
              <w:spacing w:line="360" w:lineRule="auto"/>
              <w:jc w:val="center"/>
              <w:outlineLvl w:val="9"/>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kern w:val="0"/>
                <w:sz w:val="24"/>
                <w:szCs w:val="24"/>
              </w:rPr>
              <w:t>评审因素</w:t>
            </w:r>
          </w:p>
        </w:tc>
        <w:tc>
          <w:tcPr>
            <w:tcW w:w="3972" w:type="dxa"/>
            <w:noWrap w:val="0"/>
            <w:vAlign w:val="center"/>
          </w:tcPr>
          <w:p>
            <w:pPr>
              <w:spacing w:line="360" w:lineRule="auto"/>
              <w:jc w:val="center"/>
              <w:outlineLvl w:val="9"/>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kern w:val="0"/>
                <w:sz w:val="24"/>
                <w:szCs w:val="24"/>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424" w:type="dxa"/>
            <w:noWrap w:val="0"/>
            <w:vAlign w:val="center"/>
          </w:tcPr>
          <w:p>
            <w:pPr>
              <w:widowControl/>
              <w:spacing w:line="360" w:lineRule="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具有承担民事责任的能力</w:t>
            </w:r>
          </w:p>
        </w:tc>
        <w:tc>
          <w:tcPr>
            <w:tcW w:w="3972" w:type="dxa"/>
            <w:noWrap w:val="0"/>
            <w:vAlign w:val="center"/>
          </w:tcPr>
          <w:p>
            <w:pPr>
              <w:widowControl/>
              <w:spacing w:line="360" w:lineRule="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符合供应商须知的规定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424" w:type="dxa"/>
            <w:noWrap w:val="0"/>
            <w:vAlign w:val="center"/>
          </w:tcPr>
          <w:p>
            <w:pPr>
              <w:widowControl/>
              <w:spacing w:line="360" w:lineRule="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法定代表人</w:t>
            </w:r>
            <w:r>
              <w:rPr>
                <w:rFonts w:hint="eastAsia" w:asciiTheme="minorEastAsia" w:hAnsiTheme="minorEastAsia" w:eastAsiaTheme="minorEastAsia" w:cstheme="minorEastAsia"/>
                <w:b w:val="0"/>
                <w:bCs w:val="0"/>
                <w:sz w:val="24"/>
                <w:szCs w:val="24"/>
              </w:rPr>
              <w:t>（单位负责人）</w:t>
            </w:r>
            <w:r>
              <w:rPr>
                <w:rFonts w:hint="eastAsia" w:asciiTheme="minorEastAsia" w:hAnsiTheme="minorEastAsia" w:eastAsiaTheme="minorEastAsia" w:cstheme="minorEastAsia"/>
                <w:kern w:val="0"/>
                <w:sz w:val="24"/>
                <w:szCs w:val="24"/>
              </w:rPr>
              <w:t>身份证明或法定代表人</w:t>
            </w:r>
            <w:r>
              <w:rPr>
                <w:rFonts w:hint="eastAsia" w:asciiTheme="minorEastAsia" w:hAnsiTheme="minorEastAsia" w:eastAsiaTheme="minorEastAsia" w:cstheme="minorEastAsia"/>
                <w:b w:val="0"/>
                <w:bCs w:val="0"/>
                <w:sz w:val="24"/>
                <w:szCs w:val="24"/>
              </w:rPr>
              <w:t>（单位负责人）</w:t>
            </w:r>
            <w:r>
              <w:rPr>
                <w:rFonts w:hint="eastAsia" w:asciiTheme="minorEastAsia" w:hAnsiTheme="minorEastAsia" w:eastAsiaTheme="minorEastAsia" w:cstheme="minorEastAsia"/>
                <w:kern w:val="0"/>
                <w:sz w:val="24"/>
                <w:szCs w:val="24"/>
              </w:rPr>
              <w:t>授权委托书</w:t>
            </w:r>
          </w:p>
        </w:tc>
        <w:tc>
          <w:tcPr>
            <w:tcW w:w="3972" w:type="dxa"/>
            <w:noWrap w:val="0"/>
            <w:vAlign w:val="center"/>
          </w:tcPr>
          <w:p>
            <w:pP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符合供应商须知的规定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4424" w:type="dxa"/>
            <w:noWrap w:val="0"/>
            <w:vAlign w:val="center"/>
          </w:tcPr>
          <w:p>
            <w:pPr>
              <w:widowControl/>
              <w:spacing w:line="360" w:lineRule="auto"/>
              <w:outlineLvl w:val="9"/>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eastAsia="zh-CN"/>
              </w:rPr>
              <w:t>具有良好的商业信誉和健全的财务会计制度</w:t>
            </w:r>
          </w:p>
        </w:tc>
        <w:tc>
          <w:tcPr>
            <w:tcW w:w="3972" w:type="dxa"/>
            <w:noWrap w:val="0"/>
            <w:vAlign w:val="center"/>
          </w:tcPr>
          <w:p>
            <w:pP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符合供应商须知的规定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4424" w:type="dxa"/>
            <w:noWrap w:val="0"/>
            <w:vAlign w:val="center"/>
          </w:tcPr>
          <w:p>
            <w:pPr>
              <w:widowControl/>
              <w:spacing w:line="360" w:lineRule="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bCs/>
                <w:sz w:val="24"/>
                <w:szCs w:val="24"/>
              </w:rPr>
              <w:t>具备履行合同所必需的设备和专业技术能力</w:t>
            </w:r>
          </w:p>
        </w:tc>
        <w:tc>
          <w:tcPr>
            <w:tcW w:w="3972" w:type="dxa"/>
            <w:noWrap w:val="0"/>
            <w:vAlign w:val="center"/>
          </w:tcPr>
          <w:p>
            <w:pP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符合供应商须知的规定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424" w:type="dxa"/>
            <w:noWrap w:val="0"/>
            <w:vAlign w:val="center"/>
          </w:tcPr>
          <w:p>
            <w:pPr>
              <w:widowControl/>
              <w:spacing w:line="360" w:lineRule="auto"/>
              <w:outlineLvl w:val="9"/>
              <w:rPr>
                <w:rFonts w:hint="eastAsia" w:asciiTheme="minorEastAsia" w:hAnsiTheme="minorEastAsia" w:eastAsiaTheme="minorEastAsia" w:cstheme="minorEastAsia"/>
                <w:kern w:val="0"/>
                <w:sz w:val="24"/>
                <w:szCs w:val="24"/>
                <w:lang w:eastAsia="zh-CN"/>
              </w:rPr>
            </w:pPr>
            <w:r>
              <w:rPr>
                <w:rFonts w:hint="eastAsia" w:asciiTheme="minorEastAsia" w:hAnsiTheme="minorEastAsia" w:eastAsiaTheme="minorEastAsia" w:cstheme="minorEastAsia"/>
                <w:kern w:val="0"/>
                <w:sz w:val="24"/>
                <w:szCs w:val="24"/>
                <w:lang w:eastAsia="zh-CN"/>
              </w:rPr>
              <w:t>具有依法缴纳税收和社会保障资金的良好记录</w:t>
            </w:r>
          </w:p>
        </w:tc>
        <w:tc>
          <w:tcPr>
            <w:tcW w:w="3972" w:type="dxa"/>
            <w:noWrap w:val="0"/>
            <w:vAlign w:val="center"/>
          </w:tcPr>
          <w:p>
            <w:pP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符合供应商须知的规定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4424" w:type="dxa"/>
            <w:noWrap w:val="0"/>
            <w:vAlign w:val="center"/>
          </w:tcPr>
          <w:p>
            <w:pPr>
              <w:widowControl/>
              <w:spacing w:line="360" w:lineRule="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参加本次政府采购活动前三年内在经营活动中没有重大违法记录</w:t>
            </w:r>
          </w:p>
        </w:tc>
        <w:tc>
          <w:tcPr>
            <w:tcW w:w="3972" w:type="dxa"/>
            <w:noWrap w:val="0"/>
            <w:vAlign w:val="center"/>
          </w:tcPr>
          <w:p>
            <w:pPr>
              <w:widowControl/>
              <w:spacing w:line="360" w:lineRule="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符合供应商须知的规定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4424" w:type="dxa"/>
            <w:noWrap w:val="0"/>
            <w:vAlign w:val="center"/>
          </w:tcPr>
          <w:p>
            <w:pPr>
              <w:widowControl/>
              <w:spacing w:line="360" w:lineRule="auto"/>
              <w:outlineLvl w:val="9"/>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sz w:val="24"/>
                <w:szCs w:val="24"/>
              </w:rPr>
              <w:t>对列入失信被执行人、重大税收违法案件当事人名单、政府采购严重违法失信行为记录名单</w:t>
            </w:r>
            <w:r>
              <w:rPr>
                <w:rFonts w:hint="eastAsia" w:asciiTheme="minorEastAsia" w:hAnsiTheme="minorEastAsia" w:eastAsiaTheme="minorEastAsia" w:cstheme="minorEastAsia"/>
                <w:sz w:val="24"/>
                <w:szCs w:val="24"/>
                <w:lang w:val="en-US" w:eastAsia="zh-CN"/>
              </w:rPr>
              <w:t>的</w:t>
            </w:r>
            <w:r>
              <w:rPr>
                <w:rFonts w:hint="eastAsia" w:asciiTheme="minorEastAsia" w:hAnsiTheme="minorEastAsia" w:eastAsiaTheme="minorEastAsia" w:cstheme="minorEastAsia"/>
                <w:sz w:val="24"/>
                <w:szCs w:val="24"/>
              </w:rPr>
              <w:t>供应商，拒绝其参与本次政府采购活动</w:t>
            </w:r>
            <w:r>
              <w:rPr>
                <w:rFonts w:hint="default" w:asciiTheme="minorEastAsia" w:hAnsiTheme="minorEastAsia" w:eastAsiaTheme="minorEastAsia" w:cstheme="minorEastAsia"/>
                <w:bCs/>
                <w:sz w:val="24"/>
                <w:szCs w:val="24"/>
                <w:lang w:val="en-US" w:eastAsia="zh-CN"/>
              </w:rPr>
              <w:t>。</w:t>
            </w:r>
          </w:p>
        </w:tc>
        <w:tc>
          <w:tcPr>
            <w:tcW w:w="3972" w:type="dxa"/>
            <w:noWrap w:val="0"/>
            <w:vAlign w:val="center"/>
          </w:tcPr>
          <w:p>
            <w:pPr>
              <w:widowControl/>
              <w:spacing w:line="360" w:lineRule="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符合供应商须知的规定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4424" w:type="dxa"/>
            <w:noWrap w:val="0"/>
            <w:vAlign w:val="center"/>
          </w:tcPr>
          <w:p>
            <w:pPr>
              <w:wordWrap w:val="0"/>
              <w:adjustRightInd w:val="0"/>
              <w:snapToGrid w:val="0"/>
              <w:spacing w:before="40" w:after="40" w:line="336" w:lineRule="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投标人须具有有效的营业执照或事业单位法人证书；</w:t>
            </w:r>
          </w:p>
        </w:tc>
        <w:tc>
          <w:tcPr>
            <w:tcW w:w="3972" w:type="dxa"/>
            <w:noWrap w:val="0"/>
            <w:vAlign w:val="center"/>
          </w:tcPr>
          <w:p>
            <w:pPr>
              <w:widowControl/>
              <w:spacing w:line="360" w:lineRule="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符合供应商须知的规定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4424" w:type="dxa"/>
            <w:shd w:val="clear" w:color="auto" w:fill="FFFFFF" w:themeFill="background1"/>
            <w:noWrap w:val="0"/>
            <w:vAlign w:val="center"/>
          </w:tcPr>
          <w:p>
            <w:pPr>
              <w:widowControl/>
              <w:spacing w:line="360" w:lineRule="auto"/>
              <w:outlineLvl w:val="9"/>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投标人须具有安全评价机构资质证书（须在有效期内）</w:t>
            </w:r>
          </w:p>
        </w:tc>
        <w:tc>
          <w:tcPr>
            <w:tcW w:w="3972" w:type="dxa"/>
            <w:noWrap w:val="0"/>
            <w:vAlign w:val="center"/>
          </w:tcPr>
          <w:p>
            <w:pPr>
              <w:widowControl/>
              <w:spacing w:line="360" w:lineRule="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符合供应商须知的规定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4424" w:type="dxa"/>
            <w:shd w:val="clear" w:color="auto" w:fill="FFFFFF" w:themeFill="background1"/>
            <w:noWrap w:val="0"/>
            <w:vAlign w:val="center"/>
          </w:tcPr>
          <w:p>
            <w:pPr>
              <w:widowControl/>
              <w:spacing w:line="360" w:lineRule="auto"/>
              <w:outlineLvl w:val="9"/>
              <w:rPr>
                <w:rFonts w:hint="eastAsia" w:asciiTheme="minorEastAsia" w:hAnsiTheme="minorEastAsia" w:eastAsiaTheme="minorEastAsia" w:cstheme="minorEastAsia"/>
                <w:bCs/>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lang w:val="en-US" w:eastAsia="zh-CN"/>
                <w14:textFill>
                  <w14:solidFill>
                    <w14:schemeClr w14:val="tx1"/>
                  </w14:solidFill>
                </w14:textFill>
              </w:rPr>
              <w:t>投标人拟派项目负责人应为本单位正式职工，且具有注册安全工程师资格</w:t>
            </w:r>
          </w:p>
        </w:tc>
        <w:tc>
          <w:tcPr>
            <w:tcW w:w="3972" w:type="dxa"/>
            <w:noWrap w:val="0"/>
            <w:vAlign w:val="center"/>
          </w:tcPr>
          <w:p>
            <w:pPr>
              <w:widowControl/>
              <w:spacing w:line="360" w:lineRule="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符合供应商须知的规定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4424" w:type="dxa"/>
            <w:noWrap w:val="0"/>
            <w:vAlign w:val="center"/>
          </w:tcPr>
          <w:p>
            <w:pPr>
              <w:widowControl/>
              <w:spacing w:line="360" w:lineRule="auto"/>
              <w:outlineLvl w:val="9"/>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sz w:val="24"/>
                <w:szCs w:val="24"/>
                <w:lang w:val="en-US" w:eastAsia="zh-CN"/>
              </w:rPr>
              <w:t>采购项目整体专门面向中小企业采购，监狱企业、残疾人福利性企业视同小微企业。</w:t>
            </w:r>
          </w:p>
        </w:tc>
        <w:tc>
          <w:tcPr>
            <w:tcW w:w="3972" w:type="dxa"/>
            <w:noWrap w:val="0"/>
            <w:vAlign w:val="center"/>
          </w:tcPr>
          <w:p>
            <w:pPr>
              <w:widowControl/>
              <w:spacing w:line="360" w:lineRule="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符合供应商须知的规定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4424" w:type="dxa"/>
            <w:noWrap w:val="0"/>
            <w:vAlign w:val="center"/>
          </w:tcPr>
          <w:p>
            <w:pPr>
              <w:widowControl/>
              <w:spacing w:line="360" w:lineRule="auto"/>
              <w:outlineLvl w:val="9"/>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Cs/>
                <w:sz w:val="24"/>
                <w:szCs w:val="24"/>
                <w:lang w:val="en-US" w:eastAsia="zh-CN"/>
              </w:rPr>
              <w:t>本项目不接受联合体参加</w:t>
            </w:r>
          </w:p>
        </w:tc>
        <w:tc>
          <w:tcPr>
            <w:tcW w:w="3972" w:type="dxa"/>
            <w:noWrap w:val="0"/>
            <w:vAlign w:val="center"/>
          </w:tcPr>
          <w:p>
            <w:pPr>
              <w:widowControl/>
              <w:spacing w:line="360" w:lineRule="auto"/>
              <w:outlineLvl w:val="9"/>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符合供应商须知的规定</w:t>
            </w:r>
          </w:p>
        </w:tc>
      </w:tr>
    </w:tbl>
    <w:p>
      <w:pPr>
        <w:adjustRightInd w:val="0"/>
        <w:snapToGrid w:val="0"/>
        <w:spacing w:line="360" w:lineRule="auto"/>
        <w:ind w:firstLine="480" w:firstLineChars="200"/>
        <w:outlineLvl w:val="9"/>
        <w:rPr>
          <w:rFonts w:hint="eastAsia" w:asciiTheme="minorEastAsia" w:hAnsiTheme="minorEastAsia" w:eastAsiaTheme="minorEastAsia" w:cstheme="minorEastAsia"/>
          <w:kern w:val="0"/>
          <w:sz w:val="24"/>
          <w:szCs w:val="24"/>
        </w:rPr>
      </w:pPr>
    </w:p>
    <w:p>
      <w:pPr>
        <w:adjustRightInd w:val="0"/>
        <w:snapToGrid w:val="0"/>
        <w:spacing w:line="360" w:lineRule="auto"/>
        <w:ind w:firstLine="480" w:firstLineChars="200"/>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二、评标方法：采用综合评分法</w:t>
      </w:r>
    </w:p>
    <w:p>
      <w:pPr>
        <w:adjustRightInd w:val="0"/>
        <w:snapToGrid w:val="0"/>
        <w:spacing w:line="360" w:lineRule="auto"/>
        <w:ind w:firstLine="480" w:firstLineChars="200"/>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三、评标原则：</w:t>
      </w:r>
    </w:p>
    <w:p>
      <w:pPr>
        <w:adjustRightInd w:val="0"/>
        <w:snapToGrid w:val="0"/>
        <w:spacing w:line="360" w:lineRule="auto"/>
        <w:ind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1.按照“公正、公平”的原则对待所有供应商。</w:t>
      </w:r>
    </w:p>
    <w:p>
      <w:pPr>
        <w:adjustRightInd w:val="0"/>
        <w:snapToGrid w:val="0"/>
        <w:spacing w:line="360" w:lineRule="auto"/>
        <w:ind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2.坚持招标文件的所有相关规定，公平评标。</w:t>
      </w:r>
    </w:p>
    <w:p>
      <w:pPr>
        <w:adjustRightInd w:val="0"/>
        <w:snapToGrid w:val="0"/>
        <w:spacing w:line="360" w:lineRule="auto"/>
        <w:ind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3.每个供应商最终得分以评标委员会所有评委打分的平均值计算，计分过程中按四舍五入的原则，取小数点后两位。</w:t>
      </w:r>
    </w:p>
    <w:p>
      <w:pPr>
        <w:tabs>
          <w:tab w:val="left" w:pos="6720"/>
        </w:tabs>
        <w:adjustRightInd w:val="0"/>
        <w:snapToGrid w:val="0"/>
        <w:spacing w:line="360" w:lineRule="auto"/>
        <w:ind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4.评标结束后，</w:t>
      </w:r>
      <w:r>
        <w:rPr>
          <w:rFonts w:hint="eastAsia" w:asciiTheme="minorEastAsia" w:hAnsiTheme="minorEastAsia" w:eastAsiaTheme="minorEastAsia" w:cstheme="minorEastAsia"/>
          <w:kern w:val="0"/>
          <w:sz w:val="24"/>
          <w:szCs w:val="24"/>
        </w:rPr>
        <w:t>评标结果按评审后得分由高到低顺序排列。得分相同的，按投标报价由低到高顺序排列。得分且投标报价相同的并列。投标文件满足招标文件全部实质性要求，且按照评审因素的量化指标评审得分最高的供应商为排名第一的中标候选人</w:t>
      </w:r>
      <w:r>
        <w:rPr>
          <w:rFonts w:hint="eastAsia" w:asciiTheme="minorEastAsia" w:hAnsiTheme="minorEastAsia" w:eastAsiaTheme="minorEastAsia" w:cstheme="minorEastAsia"/>
          <w:sz w:val="24"/>
          <w:szCs w:val="24"/>
        </w:rPr>
        <w:t>。</w:t>
      </w:r>
    </w:p>
    <w:p>
      <w:pPr>
        <w:adjustRightInd w:val="0"/>
        <w:snapToGrid w:val="0"/>
        <w:spacing w:line="360" w:lineRule="auto"/>
        <w:ind w:firstLine="480" w:firstLineChars="200"/>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四、定标原则：采购代理机构将在评标结束后2个工作日内将评标报告送采购人，采购人自收到评标报告之日起5个工作日内，在评标报告确定的中标候选人名单中按顺序确定中标人。中标候选人并列的，由采购人确定。</w:t>
      </w:r>
    </w:p>
    <w:p>
      <w:pPr>
        <w:adjustRightInd w:val="0"/>
        <w:snapToGrid w:val="0"/>
        <w:spacing w:line="360" w:lineRule="auto"/>
        <w:ind w:firstLine="480" w:firstLineChars="200"/>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sz w:val="24"/>
          <w:szCs w:val="24"/>
        </w:rPr>
        <w:t>五、</w:t>
      </w:r>
      <w:r>
        <w:rPr>
          <w:rFonts w:hint="eastAsia" w:asciiTheme="minorEastAsia" w:hAnsiTheme="minorEastAsia" w:eastAsiaTheme="minorEastAsia" w:cstheme="minorEastAsia"/>
          <w:kern w:val="0"/>
          <w:sz w:val="24"/>
          <w:szCs w:val="24"/>
        </w:rPr>
        <w:t>评标：投标文件的评审分为初步评审和详细评审两个阶段。初步评审由评标委员会对各供应商投标文件的符合性、响应性，按招标文件的要求逐一审查的评审，经审查不符合招标文件要求的，不得进入详细评审阶段。详细评审是对初步评审合格投标文件的投标报价、商务标、技术标按照招标文件中明确的评标办法进行分析、比较和评审。</w:t>
      </w:r>
    </w:p>
    <w:p>
      <w:pPr>
        <w:adjustRightInd w:val="0"/>
        <w:snapToGrid w:val="0"/>
        <w:spacing w:line="360" w:lineRule="auto"/>
        <w:ind w:firstLine="482" w:firstLineChars="200"/>
        <w:jc w:val="left"/>
        <w:outlineLvl w:val="1"/>
        <w:rPr>
          <w:rFonts w:hint="eastAsia" w:asciiTheme="minorEastAsia" w:hAnsiTheme="minorEastAsia" w:eastAsiaTheme="minorEastAsia" w:cstheme="minorEastAsia"/>
          <w:b/>
          <w:sz w:val="24"/>
          <w:szCs w:val="24"/>
        </w:rPr>
      </w:pPr>
      <w:bookmarkStart w:id="83" w:name="_Toc25293"/>
      <w:bookmarkStart w:id="84" w:name="_Toc21535"/>
      <w:r>
        <w:rPr>
          <w:rFonts w:hint="eastAsia" w:asciiTheme="minorEastAsia" w:hAnsiTheme="minorEastAsia" w:eastAsiaTheme="minorEastAsia" w:cstheme="minorEastAsia"/>
          <w:b/>
          <w:sz w:val="24"/>
          <w:szCs w:val="24"/>
        </w:rPr>
        <w:t>（一）初步评审</w:t>
      </w:r>
      <w:bookmarkEnd w:id="83"/>
      <w:bookmarkEnd w:id="84"/>
    </w:p>
    <w:p>
      <w:pPr>
        <w:adjustRightInd w:val="0"/>
        <w:snapToGrid w:val="0"/>
        <w:spacing w:line="360" w:lineRule="auto"/>
        <w:ind w:firstLine="480" w:firstLineChars="200"/>
        <w:jc w:val="left"/>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供应商须知前附表要求中加“*”</w:t>
      </w:r>
      <w:r>
        <w:rPr>
          <w:rFonts w:hint="eastAsia" w:asciiTheme="minorEastAsia" w:hAnsiTheme="minorEastAsia" w:eastAsiaTheme="minorEastAsia" w:cstheme="minorEastAsia"/>
          <w:sz w:val="24"/>
          <w:szCs w:val="24"/>
          <w:lang w:val="en-US" w:eastAsia="zh-CN"/>
        </w:rPr>
        <w:t>条款</w:t>
      </w:r>
      <w:r>
        <w:rPr>
          <w:rFonts w:hint="eastAsia" w:asciiTheme="minorEastAsia" w:hAnsiTheme="minorEastAsia" w:eastAsiaTheme="minorEastAsia" w:cstheme="minorEastAsia"/>
          <w:sz w:val="24"/>
          <w:szCs w:val="24"/>
        </w:rPr>
        <w:t>属于必须满足项，如不满足视为未实质性响应招标文件要求。</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5"/>
        <w:gridCol w:w="5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665" w:type="dxa"/>
            <w:noWrap w:val="0"/>
            <w:vAlign w:val="center"/>
          </w:tcPr>
          <w:p>
            <w:pPr>
              <w:widowControl/>
              <w:spacing w:line="360" w:lineRule="auto"/>
              <w:jc w:val="center"/>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评审因素</w:t>
            </w:r>
          </w:p>
        </w:tc>
        <w:tc>
          <w:tcPr>
            <w:tcW w:w="5965" w:type="dxa"/>
            <w:noWrap w:val="0"/>
            <w:vAlign w:val="top"/>
          </w:tcPr>
          <w:p>
            <w:pPr>
              <w:spacing w:line="360" w:lineRule="auto"/>
              <w:jc w:val="center"/>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665" w:type="dxa"/>
            <w:noWrap w:val="0"/>
            <w:vAlign w:val="center"/>
          </w:tcPr>
          <w:p>
            <w:pPr>
              <w:widowControl/>
              <w:spacing w:line="360" w:lineRule="auto"/>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投标文件签字盖章</w:t>
            </w:r>
          </w:p>
        </w:tc>
        <w:tc>
          <w:tcPr>
            <w:tcW w:w="5965" w:type="dxa"/>
            <w:noWrap w:val="0"/>
            <w:vAlign w:val="center"/>
          </w:tcPr>
          <w:p>
            <w:pPr>
              <w:widowControl/>
              <w:spacing w:line="360" w:lineRule="auto"/>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按照招标文件要求签字、盖章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665" w:type="dxa"/>
            <w:noWrap w:val="0"/>
            <w:vAlign w:val="center"/>
          </w:tcPr>
          <w:p>
            <w:pPr>
              <w:widowControl/>
              <w:spacing w:line="360" w:lineRule="auto"/>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报价唯一</w:t>
            </w:r>
          </w:p>
        </w:tc>
        <w:tc>
          <w:tcPr>
            <w:tcW w:w="5965" w:type="dxa"/>
            <w:noWrap w:val="0"/>
            <w:vAlign w:val="center"/>
          </w:tcPr>
          <w:p>
            <w:pPr>
              <w:widowControl/>
              <w:spacing w:line="360" w:lineRule="auto"/>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只能有一个有效报价，且未超过采购预算（政府采购最高限价）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665" w:type="dxa"/>
            <w:noWrap w:val="0"/>
            <w:vAlign w:val="center"/>
          </w:tcPr>
          <w:p>
            <w:pPr>
              <w:widowControl/>
              <w:spacing w:line="360" w:lineRule="auto"/>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eastAsia="zh-CN"/>
              </w:rPr>
              <w:t>服务</w:t>
            </w:r>
            <w:r>
              <w:rPr>
                <w:rFonts w:hint="eastAsia" w:asciiTheme="minorEastAsia" w:hAnsiTheme="minorEastAsia" w:eastAsiaTheme="minorEastAsia" w:cstheme="minorEastAsia"/>
                <w:kern w:val="0"/>
                <w:sz w:val="24"/>
                <w:szCs w:val="24"/>
              </w:rPr>
              <w:t>期限</w:t>
            </w:r>
          </w:p>
        </w:tc>
        <w:tc>
          <w:tcPr>
            <w:tcW w:w="5965" w:type="dxa"/>
            <w:noWrap w:val="0"/>
            <w:vAlign w:val="top"/>
          </w:tcPr>
          <w:p>
            <w:pPr>
              <w:spacing w:line="360" w:lineRule="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符合供应商须知前附表的规定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665" w:type="dxa"/>
            <w:noWrap w:val="0"/>
            <w:vAlign w:val="center"/>
          </w:tcPr>
          <w:p>
            <w:pPr>
              <w:widowControl/>
              <w:spacing w:line="360" w:lineRule="auto"/>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质量</w:t>
            </w:r>
          </w:p>
        </w:tc>
        <w:tc>
          <w:tcPr>
            <w:tcW w:w="5965" w:type="dxa"/>
            <w:noWrap w:val="0"/>
            <w:vAlign w:val="top"/>
          </w:tcPr>
          <w:p>
            <w:pPr>
              <w:spacing w:line="360" w:lineRule="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符合供应商须知前附表的规定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2665" w:type="dxa"/>
            <w:noWrap w:val="0"/>
            <w:vAlign w:val="center"/>
          </w:tcPr>
          <w:p>
            <w:pPr>
              <w:widowControl/>
              <w:spacing w:line="360" w:lineRule="auto"/>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eastAsia="zh-CN"/>
              </w:rPr>
              <w:t>服务地点</w:t>
            </w:r>
          </w:p>
        </w:tc>
        <w:tc>
          <w:tcPr>
            <w:tcW w:w="5965" w:type="dxa"/>
            <w:noWrap w:val="0"/>
            <w:vAlign w:val="top"/>
          </w:tcPr>
          <w:p>
            <w:pPr>
              <w:spacing w:line="360" w:lineRule="auto"/>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符合供应商须知前附表的规定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2665" w:type="dxa"/>
            <w:noWrap w:val="0"/>
            <w:vAlign w:val="center"/>
          </w:tcPr>
          <w:p>
            <w:pPr>
              <w:widowControl/>
              <w:spacing w:line="360" w:lineRule="auto"/>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付款方式</w:t>
            </w:r>
          </w:p>
        </w:tc>
        <w:tc>
          <w:tcPr>
            <w:tcW w:w="5965" w:type="dxa"/>
            <w:noWrap w:val="0"/>
            <w:vAlign w:val="top"/>
          </w:tcPr>
          <w:p>
            <w:pPr>
              <w:spacing w:line="360" w:lineRule="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符合供应商须知前附表的规定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665" w:type="dxa"/>
            <w:noWrap w:val="0"/>
            <w:vAlign w:val="center"/>
          </w:tcPr>
          <w:p>
            <w:pPr>
              <w:widowControl/>
              <w:spacing w:line="360" w:lineRule="auto"/>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投标有效期</w:t>
            </w:r>
          </w:p>
        </w:tc>
        <w:tc>
          <w:tcPr>
            <w:tcW w:w="5965" w:type="dxa"/>
            <w:noWrap w:val="0"/>
            <w:vAlign w:val="top"/>
          </w:tcPr>
          <w:p>
            <w:pPr>
              <w:spacing w:line="360" w:lineRule="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0"/>
                <w:sz w:val="24"/>
                <w:szCs w:val="24"/>
              </w:rPr>
              <w:t>符合供应商须知前附表的规定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665" w:type="dxa"/>
            <w:noWrap w:val="0"/>
            <w:vAlign w:val="center"/>
          </w:tcPr>
          <w:p>
            <w:pPr>
              <w:widowControl/>
              <w:spacing w:line="360" w:lineRule="auto"/>
              <w:jc w:val="left"/>
              <w:outlineLvl w:val="9"/>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color w:val="000000"/>
                <w:kern w:val="0"/>
                <w:sz w:val="24"/>
                <w:szCs w:val="24"/>
                <w:lang w:val="en-US" w:eastAsia="zh-CN" w:bidi="ar"/>
              </w:rPr>
              <w:t>不允许偏离的采购要求和条件</w:t>
            </w:r>
          </w:p>
        </w:tc>
        <w:tc>
          <w:tcPr>
            <w:tcW w:w="5965" w:type="dxa"/>
            <w:noWrap w:val="0"/>
            <w:vAlign w:val="top"/>
          </w:tcPr>
          <w:p>
            <w:pPr>
              <w:spacing w:line="360" w:lineRule="auto"/>
              <w:outlineLvl w:val="9"/>
              <w:rPr>
                <w:rFonts w:hint="eastAsia"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符合招标文件规定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665" w:type="dxa"/>
            <w:noWrap w:val="0"/>
            <w:vAlign w:val="top"/>
          </w:tcPr>
          <w:p>
            <w:pPr>
              <w:spacing w:line="360" w:lineRule="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w:t>
            </w:r>
          </w:p>
        </w:tc>
        <w:tc>
          <w:tcPr>
            <w:tcW w:w="5965" w:type="dxa"/>
            <w:noWrap w:val="0"/>
            <w:vAlign w:val="top"/>
          </w:tcPr>
          <w:p>
            <w:pPr>
              <w:spacing w:line="360" w:lineRule="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投标文件未附有采购人不能接受的条件</w:t>
            </w:r>
          </w:p>
        </w:tc>
      </w:tr>
    </w:tbl>
    <w:p>
      <w:pPr>
        <w:spacing w:line="360" w:lineRule="auto"/>
        <w:ind w:firstLine="482" w:firstLineChars="200"/>
        <w:outlineLvl w:val="1"/>
        <w:rPr>
          <w:rFonts w:hint="eastAsia" w:asciiTheme="minorEastAsia" w:hAnsiTheme="minorEastAsia" w:eastAsiaTheme="minorEastAsia" w:cstheme="minorEastAsia"/>
          <w:b/>
          <w:sz w:val="24"/>
          <w:szCs w:val="24"/>
        </w:rPr>
      </w:pPr>
      <w:bookmarkStart w:id="85" w:name="_Toc16138"/>
      <w:bookmarkStart w:id="86" w:name="_Toc14454"/>
      <w:r>
        <w:rPr>
          <w:rFonts w:hint="eastAsia" w:asciiTheme="minorEastAsia" w:hAnsiTheme="minorEastAsia" w:eastAsiaTheme="minorEastAsia" w:cstheme="minorEastAsia"/>
          <w:b/>
          <w:sz w:val="24"/>
          <w:szCs w:val="24"/>
        </w:rPr>
        <w:t>（二）详细评审</w:t>
      </w:r>
      <w:bookmarkEnd w:id="85"/>
      <w:bookmarkEnd w:id="86"/>
    </w:p>
    <w:p>
      <w:pPr>
        <w:spacing w:line="360" w:lineRule="auto"/>
        <w:ind w:firstLine="480" w:firstLineChars="200"/>
        <w:outlineLvl w:val="9"/>
        <w:rPr>
          <w:rFonts w:ascii="宋体" w:hAnsi="宋体" w:cs="仿宋"/>
        </w:rPr>
      </w:pPr>
      <w:r>
        <w:rPr>
          <w:rFonts w:hint="eastAsia" w:asciiTheme="minorEastAsia" w:hAnsiTheme="minorEastAsia" w:eastAsiaTheme="minorEastAsia" w:cstheme="minorEastAsia"/>
          <w:sz w:val="24"/>
          <w:szCs w:val="24"/>
        </w:rPr>
        <w:t>本次招标采用综合评分法评标：</w:t>
      </w:r>
    </w:p>
    <w:tbl>
      <w:tblPr>
        <w:tblStyle w:val="63"/>
        <w:tblW w:w="922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2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jc w:val="center"/>
        </w:trPr>
        <w:tc>
          <w:tcPr>
            <w:tcW w:w="9229" w:type="dxa"/>
            <w:vAlign w:val="center"/>
          </w:tcPr>
          <w:p>
            <w:pPr>
              <w:spacing w:line="360" w:lineRule="auto"/>
              <w:ind w:firstLine="480" w:firstLineChars="200"/>
              <w:jc w:val="center"/>
              <w:rPr>
                <w:rFonts w:ascii="宋体" w:hAnsi="宋体" w:cs="仿宋"/>
              </w:rPr>
            </w:pPr>
            <w:r>
              <w:rPr>
                <w:rFonts w:hint="eastAsia" w:ascii="宋体" w:hAnsi="宋体" w:cs="仿宋"/>
                <w:bCs/>
                <w:sz w:val="24"/>
              </w:rPr>
              <w:t>评分标准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jc w:val="center"/>
        </w:trPr>
        <w:tc>
          <w:tcPr>
            <w:tcW w:w="9229" w:type="dxa"/>
            <w:vAlign w:val="center"/>
          </w:tcPr>
          <w:p>
            <w:pPr>
              <w:spacing w:line="360" w:lineRule="auto"/>
              <w:ind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b/>
                <w:bCs/>
                <w:sz w:val="24"/>
                <w:szCs w:val="24"/>
              </w:rPr>
              <w:t>投标报价（</w:t>
            </w:r>
            <w:r>
              <w:rPr>
                <w:rFonts w:hint="eastAsia" w:asciiTheme="minorEastAsia" w:hAnsiTheme="minorEastAsia" w:eastAsiaTheme="minorEastAsia" w:cstheme="minorEastAsia"/>
                <w:b/>
                <w:bCs/>
                <w:sz w:val="24"/>
                <w:szCs w:val="24"/>
                <w:lang w:val="en-US" w:eastAsia="zh-CN"/>
              </w:rPr>
              <w:t>30</w:t>
            </w:r>
            <w:r>
              <w:rPr>
                <w:rFonts w:hint="eastAsia" w:asciiTheme="minorEastAsia" w:hAnsiTheme="minorEastAsia" w:eastAsiaTheme="minorEastAsia" w:cstheme="minorEastAsia"/>
                <w:b/>
                <w:bCs/>
                <w:sz w:val="24"/>
                <w:szCs w:val="24"/>
              </w:rPr>
              <w:t>分）</w:t>
            </w:r>
            <w:r>
              <w:rPr>
                <w:rFonts w:hint="eastAsia" w:asciiTheme="minorEastAsia" w:hAnsiTheme="minorEastAsia" w:eastAsiaTheme="minorEastAsia" w:cstheme="minorEastAsia"/>
                <w:sz w:val="24"/>
                <w:szCs w:val="24"/>
              </w:rPr>
              <w:t xml:space="preserve"> </w:t>
            </w:r>
          </w:p>
          <w:p>
            <w:pPr>
              <w:adjustRightInd w:val="0"/>
              <w:snapToGrid w:val="0"/>
              <w:spacing w:line="360" w:lineRule="auto"/>
              <w:ind w:firstLine="480" w:firstLineChars="200"/>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价格分采用低价优先法计算，即满足招标文件要求且评标报价最低的评标报价为评标基准价，其价格分为满分。其他</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的价格分统一按照下列公式计算：</w:t>
            </w:r>
          </w:p>
          <w:p>
            <w:pPr>
              <w:adjustRightInd w:val="0"/>
              <w:snapToGrid w:val="0"/>
              <w:spacing w:line="360" w:lineRule="auto"/>
              <w:ind w:firstLine="480" w:firstLineChars="200"/>
              <w:outlineLvl w:val="9"/>
              <w:rPr>
                <w:rFonts w:hint="default" w:asciiTheme="minorEastAsia" w:hAnsiTheme="minorEastAsia" w:eastAsiaTheme="minorEastAsia" w:cstheme="minorEastAsia"/>
                <w:b/>
                <w:sz w:val="24"/>
                <w:szCs w:val="24"/>
                <w:lang w:val="en-US"/>
              </w:rPr>
            </w:pPr>
            <w:r>
              <w:rPr>
                <w:rFonts w:hint="eastAsia" w:asciiTheme="minorEastAsia" w:hAnsiTheme="minorEastAsia" w:eastAsiaTheme="minorEastAsia" w:cstheme="minorEastAsia"/>
                <w:sz w:val="24"/>
                <w:szCs w:val="24"/>
              </w:rPr>
              <w:t>投标报价得分=(评标基准价／评标报价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30</w:t>
            </w: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w:t>
            </w:r>
            <w:r>
              <w:rPr>
                <w:rFonts w:hint="eastAsia" w:asciiTheme="minorEastAsia" w:hAnsiTheme="minorEastAsia" w:eastAsiaTheme="minorEastAsia" w:cstheme="minorEastAsia"/>
                <w:b/>
                <w:sz w:val="24"/>
                <w:szCs w:val="24"/>
                <w:lang w:eastAsia="zh-CN"/>
              </w:rPr>
              <w:t>技术部分</w:t>
            </w:r>
            <w:r>
              <w:rPr>
                <w:rFonts w:hint="eastAsia" w:asciiTheme="minorEastAsia" w:hAnsiTheme="minorEastAsia" w:eastAsiaTheme="minorEastAsia" w:cstheme="minorEastAsia"/>
                <w:b/>
                <w:sz w:val="24"/>
                <w:szCs w:val="24"/>
              </w:rPr>
              <w:t>（</w:t>
            </w:r>
            <w:r>
              <w:rPr>
                <w:rFonts w:hint="eastAsia" w:asciiTheme="minorEastAsia" w:hAnsiTheme="minorEastAsia" w:eastAsiaTheme="minorEastAsia" w:cstheme="minorEastAsia"/>
                <w:b/>
                <w:sz w:val="24"/>
                <w:szCs w:val="24"/>
                <w:lang w:val="en-US" w:eastAsia="zh-CN"/>
              </w:rPr>
              <w:t>39</w:t>
            </w:r>
            <w:r>
              <w:rPr>
                <w:rFonts w:hint="eastAsia" w:asciiTheme="minorEastAsia" w:hAnsiTheme="minorEastAsia" w:eastAsiaTheme="minorEastAsia" w:cstheme="minorEastAsia"/>
                <w:b/>
                <w:sz w:val="24"/>
                <w:szCs w:val="24"/>
              </w:rPr>
              <w:t>分）</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w:t>
            </w:r>
            <w:r>
              <w:rPr>
                <w:rFonts w:hint="eastAsia" w:asciiTheme="minorEastAsia" w:hAnsiTheme="minorEastAsia" w:eastAsiaTheme="minorEastAsia" w:cstheme="minorEastAsia"/>
                <w:sz w:val="24"/>
                <w:szCs w:val="24"/>
                <w:lang w:val="en-US" w:eastAsia="zh-CN"/>
              </w:rPr>
              <w:t>组织机构体系</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分）</w:t>
            </w:r>
          </w:p>
          <w:p>
            <w:pPr>
              <w:numPr>
                <w:ilvl w:val="0"/>
                <w:numId w:val="2"/>
              </w:num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组织机构整体架构完整、齐全，得3分，组织机构整体架构基本完整、基本齐全，得2分，组织机构整体架构不完整、不齐全，得1分，未提供的不得分。</w:t>
            </w:r>
          </w:p>
          <w:p>
            <w:pPr>
              <w:numPr>
                <w:ilvl w:val="0"/>
                <w:numId w:val="2"/>
              </w:num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有规范完善的评估业务质量控制制度、风险控制制度、健全的内部管理制度的得3分，有基本规范完善的评估业务质量控制制度、风险控制制度、健全的内部管理制度的得2分，不规范不完善的评估业务质量控制制度、风险控制制度、健全的内部管理制度的得1分，未提供的不得分。</w:t>
            </w:r>
          </w:p>
          <w:p>
            <w:pPr>
              <w:numPr>
                <w:ilvl w:val="0"/>
                <w:numId w:val="2"/>
              </w:numPr>
              <w:spacing w:line="360" w:lineRule="auto"/>
              <w:ind w:left="0" w:leftChars="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职责分工明确，有较强的实力的得3分，职责分工不够明确，实力一般的得2分，职责分工不明确，实力薄弱的得1分，未提供的不得分。</w:t>
            </w:r>
          </w:p>
          <w:p>
            <w:pPr>
              <w:numPr>
                <w:ilvl w:val="0"/>
                <w:numId w:val="0"/>
              </w:numPr>
              <w:spacing w:line="360" w:lineRule="auto"/>
              <w:ind w:left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2.2</w:t>
            </w:r>
            <w:r>
              <w:rPr>
                <w:rFonts w:hint="eastAsia" w:asciiTheme="minorEastAsia" w:hAnsiTheme="minorEastAsia" w:eastAsiaTheme="minorEastAsia" w:cstheme="minorEastAsia"/>
                <w:sz w:val="24"/>
                <w:szCs w:val="24"/>
                <w:lang w:val="en-US" w:eastAsia="zh-CN"/>
              </w:rPr>
              <w:t>技术支持体系</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分）</w:t>
            </w:r>
          </w:p>
          <w:p>
            <w:pPr>
              <w:spacing w:line="360" w:lineRule="auto"/>
              <w:ind w:firstLine="480" w:firstLineChars="20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组织机构整体技术支持体系完善，具备健全的技术团队和与项目适应的办公和服务条件的得5分，组织机构整体技术支持体系不够完善，具备健全的技术团队和与项目适应的办公和服务条件的得3分，组织机构整体技术支持体系不完善，不具备健全的技术团队和与项目适应的办公和服务条件的得1分，未提供的不得分。</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2.3</w:t>
            </w:r>
            <w:r>
              <w:rPr>
                <w:rFonts w:hint="eastAsia" w:asciiTheme="minorEastAsia" w:hAnsiTheme="minorEastAsia" w:eastAsiaTheme="minorEastAsia" w:cstheme="minorEastAsia"/>
                <w:sz w:val="24"/>
                <w:szCs w:val="24"/>
                <w:lang w:val="en-US" w:eastAsia="zh-CN"/>
              </w:rPr>
              <w:t>针对本项目制定的服务方案（5分）</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针对本项目制定的服务方案</w:t>
            </w:r>
            <w:r>
              <w:rPr>
                <w:rFonts w:hint="eastAsia" w:asciiTheme="minorEastAsia" w:hAnsiTheme="minorEastAsia" w:eastAsiaTheme="minorEastAsia" w:cstheme="minorEastAsia"/>
                <w:sz w:val="24"/>
                <w:szCs w:val="24"/>
                <w:lang w:eastAsia="zh-CN"/>
              </w:rPr>
              <w:t>表述清晰、科学合理、可行性强，得</w:t>
            </w:r>
            <w:r>
              <w:rPr>
                <w:rFonts w:hint="eastAsia" w:asciiTheme="minorEastAsia" w:hAnsiTheme="minorEastAsia" w:eastAsiaTheme="minorEastAsia" w:cstheme="minorEastAsia"/>
                <w:sz w:val="24"/>
                <w:szCs w:val="24"/>
                <w:lang w:val="en-US" w:eastAsia="zh-CN"/>
              </w:rPr>
              <w:t>5分；表述基本清晰、合理性一般，可行性一般，得3分；表述不清晰，内容不合理、可行性差，得1分，未提供的不得分。</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2.4</w:t>
            </w:r>
            <w:r>
              <w:rPr>
                <w:rFonts w:hint="eastAsia" w:asciiTheme="minorEastAsia" w:hAnsiTheme="minorEastAsia" w:eastAsiaTheme="minorEastAsia" w:cstheme="minorEastAsia"/>
                <w:sz w:val="24"/>
                <w:szCs w:val="24"/>
                <w:lang w:eastAsia="zh-CN"/>
              </w:rPr>
              <w:t>对关键性问题认识及对策措施</w:t>
            </w:r>
            <w:r>
              <w:rPr>
                <w:rFonts w:hint="eastAsia" w:asciiTheme="minorEastAsia" w:hAnsiTheme="minorEastAsia" w:eastAsiaTheme="minorEastAsia" w:cstheme="minorEastAsia"/>
                <w:sz w:val="24"/>
                <w:szCs w:val="24"/>
                <w:lang w:val="en-US" w:eastAsia="zh-CN"/>
              </w:rPr>
              <w:t>（5分）</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对项目的</w:t>
            </w:r>
            <w:r>
              <w:rPr>
                <w:rFonts w:hint="eastAsia" w:asciiTheme="minorEastAsia" w:hAnsiTheme="minorEastAsia" w:eastAsiaTheme="minorEastAsia" w:cstheme="minorEastAsia"/>
                <w:sz w:val="24"/>
                <w:szCs w:val="24"/>
                <w:lang w:eastAsia="zh-CN"/>
              </w:rPr>
              <w:t>关键性技术问题的理解分析准确、全面，运营处置应对措施合理可行，表述清晰、科学合理、可行性强，得</w:t>
            </w:r>
            <w:r>
              <w:rPr>
                <w:rFonts w:hint="eastAsia" w:asciiTheme="minorEastAsia" w:hAnsiTheme="minorEastAsia" w:eastAsiaTheme="minorEastAsia" w:cstheme="minorEastAsia"/>
                <w:sz w:val="24"/>
                <w:szCs w:val="24"/>
                <w:lang w:val="en-US" w:eastAsia="zh-CN"/>
              </w:rPr>
              <w:t>5分；表述基本清晰、合理性一般、可行性一般，得3分；表述不清晰，内容不合理、可行性差，得1分，未提供的不得分。</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2.5</w:t>
            </w:r>
            <w:r>
              <w:rPr>
                <w:rFonts w:hint="eastAsia" w:asciiTheme="minorEastAsia" w:hAnsiTheme="minorEastAsia" w:eastAsiaTheme="minorEastAsia" w:cstheme="minorEastAsia"/>
                <w:sz w:val="24"/>
                <w:szCs w:val="24"/>
                <w:lang w:eastAsia="zh-CN"/>
              </w:rPr>
              <w:t>工作进度计划安排及保障措施</w:t>
            </w:r>
            <w:r>
              <w:rPr>
                <w:rFonts w:hint="eastAsia" w:asciiTheme="minorEastAsia" w:hAnsiTheme="minorEastAsia" w:eastAsiaTheme="minorEastAsia" w:cstheme="minorEastAsia"/>
                <w:sz w:val="24"/>
                <w:szCs w:val="24"/>
                <w:lang w:val="en-US" w:eastAsia="zh-CN"/>
              </w:rPr>
              <w:t>（5分）</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针对本项目</w:t>
            </w:r>
            <w:r>
              <w:rPr>
                <w:rFonts w:hint="eastAsia" w:asciiTheme="minorEastAsia" w:hAnsiTheme="minorEastAsia" w:eastAsiaTheme="minorEastAsia" w:cstheme="minorEastAsia"/>
                <w:sz w:val="24"/>
                <w:szCs w:val="24"/>
                <w:lang w:eastAsia="zh-CN"/>
              </w:rPr>
              <w:t>工作进度计划安排及保障措施，</w:t>
            </w:r>
            <w:r>
              <w:rPr>
                <w:rFonts w:hint="eastAsia" w:asciiTheme="minorEastAsia" w:hAnsiTheme="minorEastAsia" w:eastAsiaTheme="minorEastAsia" w:cstheme="minorEastAsia"/>
                <w:sz w:val="24"/>
                <w:szCs w:val="24"/>
                <w:lang w:val="en-US" w:eastAsia="zh-CN"/>
              </w:rPr>
              <w:t>表述清晰、科学合理、可行性强，得5分，表述基本清晰、合理性一般、可行性一般，得3分，表述不清晰，内容不合理、可行性差，得1分，未提供的不得分。</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2.6</w:t>
            </w:r>
            <w:r>
              <w:rPr>
                <w:rFonts w:hint="eastAsia" w:asciiTheme="minorEastAsia" w:hAnsiTheme="minorEastAsia" w:eastAsiaTheme="minorEastAsia" w:cstheme="minorEastAsia"/>
                <w:sz w:val="24"/>
                <w:szCs w:val="24"/>
                <w:lang w:val="en-US" w:eastAsia="zh-CN"/>
              </w:rPr>
              <w:t>针对本项目的质量保证措施（5分）</w:t>
            </w:r>
          </w:p>
          <w:p>
            <w:p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根据投标人提供的质量保证措施的完善性、合理性、可行性等方面进行综合评审。</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表述清晰、科学合理、可行性强，得</w:t>
            </w:r>
            <w:r>
              <w:rPr>
                <w:rFonts w:hint="eastAsia" w:asciiTheme="minorEastAsia" w:hAnsiTheme="minorEastAsia" w:eastAsiaTheme="minorEastAsia" w:cstheme="minorEastAsia"/>
                <w:sz w:val="24"/>
                <w:szCs w:val="24"/>
                <w:lang w:val="en-US" w:eastAsia="zh-CN"/>
              </w:rPr>
              <w:t>5分，表述基本清晰、合理性一般、可行性一般，得3分，表述不清晰，内容不合理、可行性差，得1分，未提供的不得分。</w:t>
            </w:r>
          </w:p>
          <w:p>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7服务承诺（5分）</w:t>
            </w:r>
          </w:p>
          <w:p>
            <w:p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对各投标企业针对本项目服务计划、服务响应时间承诺、其他优惠性服务做出的标书等方面进行综合评审。</w:t>
            </w:r>
          </w:p>
          <w:p>
            <w:pPr>
              <w:spacing w:line="360" w:lineRule="auto"/>
              <w:ind w:firstLine="480" w:firstLineChars="200"/>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表述清晰、科学合理、可行性强，得</w:t>
            </w:r>
            <w:r>
              <w:rPr>
                <w:rFonts w:hint="eastAsia" w:asciiTheme="minorEastAsia" w:hAnsiTheme="minorEastAsia" w:eastAsiaTheme="minorEastAsia" w:cstheme="minorEastAsia"/>
                <w:sz w:val="24"/>
                <w:szCs w:val="24"/>
                <w:lang w:val="en-US" w:eastAsia="zh-CN"/>
              </w:rPr>
              <w:t>5分，表述基本清晰、合理性一般，可行性一般，得3分，表述不清晰，内容不合理、可行性差，得1分，未提供的不得分。</w:t>
            </w: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3.商务部分（</w:t>
            </w:r>
            <w:r>
              <w:rPr>
                <w:rFonts w:hint="eastAsia" w:asciiTheme="minorEastAsia" w:hAnsiTheme="minorEastAsia" w:eastAsiaTheme="minorEastAsia" w:cstheme="minorEastAsia"/>
                <w:b/>
                <w:sz w:val="24"/>
                <w:szCs w:val="24"/>
                <w:lang w:val="en-US" w:eastAsia="zh-CN"/>
              </w:rPr>
              <w:t>31</w:t>
            </w:r>
            <w:r>
              <w:rPr>
                <w:rFonts w:hint="eastAsia" w:asciiTheme="minorEastAsia" w:hAnsiTheme="minorEastAsia" w:eastAsiaTheme="minorEastAsia" w:cstheme="minorEastAsia"/>
                <w:b/>
                <w:sz w:val="24"/>
                <w:szCs w:val="24"/>
              </w:rPr>
              <w:t>分）</w:t>
            </w:r>
          </w:p>
          <w:p>
            <w:p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3.1企业业</w:t>
            </w:r>
            <w:r>
              <w:rPr>
                <w:rFonts w:hint="eastAsia" w:asciiTheme="minorEastAsia" w:hAnsiTheme="minorEastAsia" w:eastAsiaTheme="minorEastAsia" w:cstheme="minorEastAsia"/>
                <w:sz w:val="24"/>
                <w:szCs w:val="24"/>
                <w:lang w:val="en-US" w:eastAsia="zh-CN"/>
              </w:rPr>
              <w:t>绩（12分）</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投标人20</w:t>
            </w:r>
            <w:r>
              <w:rPr>
                <w:rFonts w:hint="eastAsia" w:asciiTheme="minorEastAsia" w:hAnsiTheme="minorEastAsia" w:eastAsiaTheme="minorEastAsia" w:cstheme="minorEastAsia"/>
                <w:sz w:val="24"/>
                <w:szCs w:val="24"/>
                <w:lang w:val="en-US" w:eastAsia="zh-CN"/>
              </w:rPr>
              <w:t>21</w:t>
            </w:r>
            <w:r>
              <w:rPr>
                <w:rFonts w:hint="eastAsia" w:asciiTheme="minorEastAsia" w:hAnsiTheme="minorEastAsia" w:eastAsiaTheme="minorEastAsia" w:cstheme="minorEastAsia"/>
                <w:sz w:val="24"/>
                <w:szCs w:val="24"/>
              </w:rPr>
              <w:t>年1月1日（以签订合同时间为准）以来承担</w:t>
            </w:r>
            <w:r>
              <w:rPr>
                <w:rFonts w:hint="eastAsia" w:asciiTheme="minorEastAsia" w:hAnsiTheme="minorEastAsia" w:eastAsiaTheme="minorEastAsia" w:cstheme="minorEastAsia"/>
                <w:sz w:val="24"/>
                <w:szCs w:val="24"/>
                <w:lang w:val="en-US" w:eastAsia="zh-CN"/>
              </w:rPr>
              <w:t>过类似</w:t>
            </w:r>
            <w:r>
              <w:rPr>
                <w:rFonts w:hint="eastAsia" w:asciiTheme="minorEastAsia" w:hAnsiTheme="minorEastAsia" w:eastAsiaTheme="minorEastAsia" w:cstheme="minorEastAsia"/>
                <w:sz w:val="24"/>
                <w:szCs w:val="24"/>
              </w:rPr>
              <w:t>项目</w:t>
            </w:r>
            <w:r>
              <w:rPr>
                <w:rFonts w:hint="eastAsia" w:asciiTheme="minorEastAsia" w:hAnsiTheme="minorEastAsia" w:eastAsiaTheme="minorEastAsia" w:cstheme="minorEastAsia"/>
                <w:sz w:val="24"/>
                <w:szCs w:val="24"/>
                <w:lang w:val="en-US" w:eastAsia="zh-CN"/>
              </w:rPr>
              <w:t>业绩</w:t>
            </w:r>
            <w:r>
              <w:rPr>
                <w:rFonts w:hint="eastAsia" w:asciiTheme="minorEastAsia" w:hAnsiTheme="minorEastAsia" w:eastAsiaTheme="minorEastAsia" w:cstheme="minorEastAsia"/>
                <w:sz w:val="24"/>
                <w:szCs w:val="24"/>
              </w:rPr>
              <w:t>的</w:t>
            </w:r>
            <w:r>
              <w:rPr>
                <w:rFonts w:hint="eastAsia" w:asciiTheme="minorEastAsia" w:hAnsiTheme="minorEastAsia" w:eastAsiaTheme="minorEastAsia" w:cstheme="minorEastAsia"/>
                <w:sz w:val="24"/>
                <w:szCs w:val="24"/>
                <w:lang w:eastAsia="zh-CN"/>
              </w:rPr>
              <w:t>每</w:t>
            </w:r>
            <w:r>
              <w:rPr>
                <w:rFonts w:hint="eastAsia" w:asciiTheme="minorEastAsia" w:hAnsiTheme="minorEastAsia" w:eastAsiaTheme="minorEastAsia" w:cstheme="minorEastAsia"/>
                <w:sz w:val="24"/>
                <w:szCs w:val="24"/>
              </w:rPr>
              <w:t>有1个得</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分，最多得</w:t>
            </w:r>
            <w:r>
              <w:rPr>
                <w:rFonts w:hint="eastAsia" w:asciiTheme="minorEastAsia" w:hAnsiTheme="minorEastAsia" w:eastAsiaTheme="minorEastAsia" w:cstheme="minorEastAsia"/>
                <w:sz w:val="24"/>
                <w:szCs w:val="24"/>
                <w:lang w:val="en-US" w:eastAsia="zh-CN"/>
              </w:rPr>
              <w:t>12</w:t>
            </w:r>
            <w:r>
              <w:rPr>
                <w:rFonts w:hint="eastAsia" w:asciiTheme="minorEastAsia" w:hAnsiTheme="minorEastAsia" w:eastAsiaTheme="minorEastAsia" w:cstheme="minorEastAsia"/>
                <w:sz w:val="24"/>
                <w:szCs w:val="24"/>
              </w:rPr>
              <w:t>分。投标文件中附合同</w:t>
            </w:r>
            <w:r>
              <w:rPr>
                <w:rFonts w:hint="eastAsia" w:asciiTheme="minorEastAsia" w:hAnsiTheme="minorEastAsia" w:eastAsiaTheme="minorEastAsia" w:cstheme="minorEastAsia"/>
                <w:sz w:val="24"/>
                <w:szCs w:val="24"/>
                <w:lang w:val="en-US" w:eastAsia="zh-CN"/>
              </w:rPr>
              <w:t>扫描件或中标通知书</w:t>
            </w:r>
            <w:r>
              <w:rPr>
                <w:rFonts w:hint="eastAsia" w:asciiTheme="minorEastAsia" w:hAnsiTheme="minorEastAsia" w:eastAsiaTheme="minorEastAsia" w:cstheme="minorEastAsia"/>
                <w:sz w:val="24"/>
                <w:szCs w:val="24"/>
              </w:rPr>
              <w:t>。</w:t>
            </w:r>
          </w:p>
          <w:p>
            <w:pPr>
              <w:spacing w:after="65" w:afterLines="20" w:afterAutospacing="0"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2项目负责人业绩（6分）</w:t>
            </w:r>
          </w:p>
          <w:p>
            <w:pPr>
              <w:spacing w:after="65" w:afterLines="20" w:afterAutospacing="0"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项目负责人自2021年1月1日以来</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作为项目负责人负责过类似项目的</w:t>
            </w:r>
            <w:r>
              <w:rPr>
                <w:rFonts w:hint="eastAsia" w:asciiTheme="minorEastAsia" w:hAnsiTheme="minorEastAsia" w:eastAsiaTheme="minorEastAsia" w:cstheme="minorEastAsia"/>
                <w:sz w:val="24"/>
                <w:szCs w:val="24"/>
                <w:lang w:val="en-US" w:eastAsia="zh-CN"/>
              </w:rPr>
              <w:t>，每提供一份得3分，最多得6分。（以合同签订时间为准，需在投标文件中附合同扫描件并加盖公章，否则不得分）</w:t>
            </w:r>
          </w:p>
          <w:p>
            <w:pPr>
              <w:spacing w:after="65" w:afterLines="20" w:afterAutospacing="0" w:line="360" w:lineRule="auto"/>
              <w:ind w:firstLine="480" w:firstLineChars="200"/>
              <w:rPr>
                <w:rFonts w:hint="eastAsia"/>
                <w:color w:val="FF0000"/>
                <w:sz w:val="24"/>
                <w:szCs w:val="24"/>
                <w:lang w:val="en-US" w:eastAsia="zh-CN"/>
              </w:rPr>
            </w:pPr>
            <w:r>
              <w:rPr>
                <w:rFonts w:hint="eastAsia"/>
                <w:color w:val="auto"/>
                <w:sz w:val="24"/>
                <w:szCs w:val="24"/>
                <w:lang w:eastAsia="zh-CN"/>
              </w:rPr>
              <w:t>注：</w:t>
            </w:r>
            <w:r>
              <w:rPr>
                <w:rFonts w:hint="eastAsia"/>
                <w:color w:val="auto"/>
                <w:sz w:val="24"/>
                <w:szCs w:val="24"/>
                <w:lang w:val="en-US" w:eastAsia="zh-CN"/>
              </w:rPr>
              <w:t>企业业绩和项目负责人业绩不得重复计分。</w:t>
            </w:r>
          </w:p>
          <w:p>
            <w:pPr>
              <w:spacing w:after="65" w:afterLines="20" w:afterAutospacing="0"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3企业荣誉（6分）</w:t>
            </w:r>
          </w:p>
          <w:p>
            <w:pPr>
              <w:spacing w:after="65" w:afterLines="20" w:afterAutospacing="0"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投标人自2021年以来被省级及以上主管部门评为先进单位或获得荣誉称号的，每有1个得2分；被市级主管部门评为先进单位或获得荣誉称号的，每有1个得1分。本项最多得6分(需在投标文件中附扫描件并加盖公章)</w:t>
            </w:r>
          </w:p>
          <w:p>
            <w:pPr>
              <w:spacing w:after="65" w:afterLines="20" w:afterAutospacing="0"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3.4人员组成（7分）</w:t>
            </w:r>
          </w:p>
          <w:p>
            <w:pPr>
              <w:spacing w:after="65" w:afterLines="20" w:afterAutospacing="0" w:line="360" w:lineRule="auto"/>
              <w:ind w:firstLine="480" w:firstLineChars="200"/>
              <w:rPr>
                <w:rFonts w:hint="default"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lang w:val="en-US" w:eastAsia="zh-CN"/>
              </w:rPr>
              <w:t>除项目负责人外，</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拟派</w:t>
            </w:r>
            <w:r>
              <w:rPr>
                <w:rFonts w:hint="eastAsia" w:asciiTheme="minorEastAsia" w:hAnsiTheme="minorEastAsia" w:eastAsiaTheme="minorEastAsia" w:cstheme="minorEastAsia"/>
                <w:color w:val="auto"/>
                <w:sz w:val="24"/>
                <w:szCs w:val="24"/>
                <w:lang w:val="en-US" w:eastAsia="zh-CN"/>
              </w:rPr>
              <w:t>项目团队人员</w:t>
            </w:r>
            <w:r>
              <w:rPr>
                <w:rFonts w:hint="default" w:asciiTheme="minorEastAsia" w:hAnsiTheme="minorEastAsia" w:eastAsiaTheme="minorEastAsia" w:cstheme="minorEastAsia"/>
                <w:sz w:val="24"/>
                <w:szCs w:val="24"/>
                <w:lang w:val="en-US" w:eastAsia="zh-CN"/>
              </w:rPr>
              <w:t>具有国家一级安全评价师、高级职称（或以上）（提供近三个月的社保证明），每个得1分，最高得7分。</w:t>
            </w:r>
          </w:p>
          <w:p>
            <w:pPr>
              <w:spacing w:after="65" w:afterLines="20" w:afterAutospacing="0" w:line="360" w:lineRule="auto"/>
              <w:ind w:firstLine="480" w:firstLineChars="200"/>
              <w:rPr>
                <w:rFonts w:hint="default" w:asciiTheme="minorEastAsia" w:hAnsiTheme="minorEastAsia" w:eastAsiaTheme="minorEastAsia" w:cstheme="minorEastAsia"/>
                <w:sz w:val="24"/>
                <w:szCs w:val="24"/>
                <w:lang w:val="en-US" w:eastAsia="zh-CN"/>
              </w:rPr>
            </w:pPr>
            <w:r>
              <w:rPr>
                <w:rFonts w:hint="default" w:asciiTheme="minorEastAsia" w:hAnsiTheme="minorEastAsia" w:eastAsiaTheme="minorEastAsia" w:cstheme="minorEastAsia"/>
                <w:sz w:val="24"/>
                <w:szCs w:val="24"/>
                <w:lang w:val="en-US" w:eastAsia="zh-CN"/>
              </w:rPr>
              <w:t>注：以职称证、评价师证、社保证明的扫描件为依据。</w:t>
            </w:r>
          </w:p>
          <w:p>
            <w:pPr>
              <w:spacing w:line="360" w:lineRule="auto"/>
              <w:ind w:firstLine="482" w:firstLineChars="200"/>
              <w:rPr>
                <w:rFonts w:ascii="宋体" w:hAnsi="宋体" w:cs="仿宋"/>
                <w:szCs w:val="21"/>
              </w:rPr>
            </w:pPr>
            <w:r>
              <w:rPr>
                <w:rFonts w:hint="eastAsia" w:asciiTheme="minorEastAsia" w:hAnsiTheme="minorEastAsia" w:eastAsiaTheme="minorEastAsia" w:cstheme="minorEastAsia"/>
                <w:b/>
                <w:bCs/>
                <w:sz w:val="24"/>
                <w:szCs w:val="24"/>
              </w:rPr>
              <w:t>注：</w:t>
            </w:r>
            <w:r>
              <w:rPr>
                <w:rFonts w:hint="eastAsia" w:asciiTheme="minorEastAsia" w:hAnsiTheme="minorEastAsia" w:eastAsiaTheme="minorEastAsia" w:cstheme="minorEastAsia"/>
                <w:b/>
                <w:bCs/>
                <w:sz w:val="24"/>
                <w:szCs w:val="24"/>
                <w:lang w:eastAsia="zh-CN"/>
              </w:rPr>
              <w:t>供应商</w:t>
            </w:r>
            <w:r>
              <w:rPr>
                <w:rFonts w:hint="eastAsia" w:asciiTheme="minorEastAsia" w:hAnsiTheme="minorEastAsia" w:eastAsiaTheme="minorEastAsia" w:cstheme="minorEastAsia"/>
                <w:b/>
                <w:bCs/>
                <w:sz w:val="24"/>
                <w:szCs w:val="24"/>
              </w:rPr>
              <w:t>在投标文件中提供的资料应该真实、准确、清晰可辨，如提供虚假证明材料，在评审过程中发现的，按无效投标处理；已取得中标资格的，无论该行为是否影响中标，均取消其中标资格；该</w:t>
            </w:r>
            <w:r>
              <w:rPr>
                <w:rFonts w:hint="eastAsia" w:asciiTheme="minorEastAsia" w:hAnsiTheme="minorEastAsia" w:eastAsiaTheme="minorEastAsia" w:cstheme="minorEastAsia"/>
                <w:b/>
                <w:bCs/>
                <w:sz w:val="24"/>
                <w:szCs w:val="24"/>
                <w:lang w:eastAsia="zh-CN"/>
              </w:rPr>
              <w:t>供应商</w:t>
            </w:r>
            <w:r>
              <w:rPr>
                <w:rFonts w:hint="eastAsia" w:asciiTheme="minorEastAsia" w:hAnsiTheme="minorEastAsia" w:eastAsiaTheme="minorEastAsia" w:cstheme="minorEastAsia"/>
                <w:b/>
                <w:bCs/>
                <w:sz w:val="24"/>
                <w:szCs w:val="24"/>
              </w:rPr>
              <w:t>还应承担由此引起的其他经济、法律责任。</w:t>
            </w:r>
          </w:p>
        </w:tc>
      </w:tr>
    </w:tbl>
    <w:p>
      <w:pPr>
        <w:adjustRightInd w:val="0"/>
        <w:snapToGrid w:val="0"/>
        <w:spacing w:line="360" w:lineRule="auto"/>
        <w:ind w:firstLine="643" w:firstLineChars="200"/>
        <w:outlineLvl w:val="3"/>
        <w:rPr>
          <w:rFonts w:ascii="宋体" w:hAnsi="宋体" w:cs="仿宋"/>
          <w:b/>
          <w:sz w:val="32"/>
          <w:szCs w:val="32"/>
        </w:rPr>
      </w:pPr>
      <w:r>
        <w:rPr>
          <w:rFonts w:ascii="宋体" w:hAnsi="宋体" w:cs="仿宋"/>
          <w:b/>
          <w:sz w:val="32"/>
          <w:szCs w:val="32"/>
        </w:rPr>
        <w:br w:type="page"/>
      </w:r>
    </w:p>
    <w:p>
      <w:pPr>
        <w:tabs>
          <w:tab w:val="right" w:pos="7560"/>
        </w:tabs>
        <w:spacing w:line="360" w:lineRule="auto"/>
        <w:jc w:val="center"/>
        <w:outlineLvl w:val="0"/>
        <w:rPr>
          <w:rFonts w:ascii="宋体" w:hAnsi="宋体" w:cs="仿宋"/>
          <w:b/>
          <w:sz w:val="32"/>
          <w:szCs w:val="32"/>
          <w:highlight w:val="none"/>
        </w:rPr>
      </w:pPr>
      <w:bookmarkStart w:id="87" w:name="_Toc28322"/>
      <w:r>
        <w:rPr>
          <w:rFonts w:hint="eastAsia" w:ascii="宋体" w:hAnsi="宋体" w:cs="仿宋"/>
          <w:b/>
          <w:sz w:val="32"/>
          <w:szCs w:val="32"/>
          <w:highlight w:val="none"/>
        </w:rPr>
        <w:t>第</w:t>
      </w:r>
      <w:r>
        <w:rPr>
          <w:rFonts w:hint="eastAsia" w:ascii="宋体" w:hAnsi="宋体" w:cs="仿宋"/>
          <w:b/>
          <w:sz w:val="32"/>
          <w:szCs w:val="32"/>
          <w:highlight w:val="none"/>
          <w:lang w:eastAsia="zh-CN"/>
        </w:rPr>
        <w:t>四</w:t>
      </w:r>
      <w:r>
        <w:rPr>
          <w:rFonts w:hint="eastAsia" w:ascii="宋体" w:hAnsi="宋体" w:cs="仿宋"/>
          <w:b/>
          <w:sz w:val="32"/>
          <w:szCs w:val="32"/>
          <w:highlight w:val="none"/>
        </w:rPr>
        <w:t>章  采购人需求</w:t>
      </w:r>
      <w:bookmarkEnd w:id="87"/>
    </w:p>
    <w:p>
      <w:pPr>
        <w:pStyle w:val="37"/>
        <w:spacing w:line="360" w:lineRule="auto"/>
        <w:ind w:firstLine="422" w:firstLineChars="200"/>
        <w:rPr>
          <w:rFonts w:hint="eastAsia" w:ascii="宋体" w:hAnsi="宋体" w:cs="仿宋"/>
          <w:b/>
          <w:bCs/>
          <w:sz w:val="24"/>
          <w:szCs w:val="24"/>
          <w:highlight w:val="none"/>
        </w:rPr>
      </w:pPr>
      <w:r>
        <w:rPr>
          <w:rFonts w:hint="eastAsia" w:ascii="宋体" w:hAnsi="宋体" w:cs="仿宋"/>
          <w:b/>
          <w:bCs/>
          <w:szCs w:val="21"/>
          <w:highlight w:val="none"/>
        </w:rPr>
        <w:t>一、</w:t>
      </w:r>
      <w:r>
        <w:rPr>
          <w:rFonts w:hint="eastAsia" w:ascii="宋体" w:hAnsi="宋体" w:cs="仿宋"/>
          <w:b/>
          <w:bCs/>
          <w:sz w:val="24"/>
          <w:szCs w:val="24"/>
          <w:highlight w:val="none"/>
        </w:rPr>
        <w:t>项目基本情况</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highlight w:val="none"/>
          <w:lang w:val="en-US" w:eastAsia="zh-CN"/>
        </w:rPr>
      </w:pPr>
      <w:r>
        <w:rPr>
          <w:rStyle w:val="478"/>
          <w:rFonts w:hint="eastAsia" w:asciiTheme="minorEastAsia" w:hAnsiTheme="minorEastAsia" w:eastAsiaTheme="minorEastAsia" w:cstheme="minorEastAsia"/>
          <w:color w:val="auto"/>
          <w:spacing w:val="14"/>
          <w:sz w:val="24"/>
          <w:szCs w:val="24"/>
          <w:lang w:val="en-US" w:eastAsia="zh-CN"/>
        </w:rPr>
        <w:t>根据《化工园区安全风险排查治理导则（试行）》（应急〔2019〕78 号）文件要求，孟州高新技术产业开发区管理委员会将针对开发区内孟州市化工园区整体性安全风险评价报告及划定化工园区周边土地规划安全控制线。开发区内化工园区（</w:t>
      </w:r>
      <w:r>
        <w:rPr>
          <w:rStyle w:val="478"/>
          <w:rFonts w:hint="eastAsia" w:asciiTheme="minorEastAsia" w:hAnsiTheme="minorEastAsia" w:eastAsiaTheme="minorEastAsia" w:cstheme="minorEastAsia"/>
          <w:color w:val="auto"/>
          <w:spacing w:val="14"/>
          <w:sz w:val="24"/>
          <w:szCs w:val="24"/>
          <w:highlight w:val="none"/>
          <w:lang w:val="en-US" w:eastAsia="zh-CN"/>
        </w:rPr>
        <w:t>规划面积3.9507公顷）。</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lang w:val="en-US" w:eastAsia="zh-CN"/>
        </w:rPr>
      </w:pPr>
      <w:r>
        <w:rPr>
          <w:rStyle w:val="478"/>
          <w:rFonts w:hint="eastAsia" w:asciiTheme="minorEastAsia" w:hAnsiTheme="minorEastAsia" w:eastAsiaTheme="minorEastAsia" w:cstheme="minorEastAsia"/>
          <w:color w:val="auto"/>
          <w:spacing w:val="14"/>
          <w:sz w:val="24"/>
          <w:szCs w:val="24"/>
          <w:highlight w:val="none"/>
          <w:lang w:val="en-US" w:eastAsia="zh-CN"/>
        </w:rPr>
        <w:t>本次评估主要辨识该石化园区内化工园区</w:t>
      </w:r>
      <w:r>
        <w:rPr>
          <w:rStyle w:val="478"/>
          <w:rFonts w:hint="eastAsia" w:asciiTheme="minorEastAsia" w:hAnsiTheme="minorEastAsia" w:eastAsiaTheme="minorEastAsia" w:cstheme="minorEastAsia"/>
          <w:color w:val="auto"/>
          <w:spacing w:val="14"/>
          <w:sz w:val="24"/>
          <w:szCs w:val="24"/>
          <w:lang w:val="en-US" w:eastAsia="zh-CN"/>
        </w:rPr>
        <w:t>存在的危险、有害因素，在定性、定量分析评价的基础上，判断主要危险、有害因素的风险程度，确定化工园区个人风险、社会风险的可接受程度，提出有针对性的对策措施与建议，为化工园区的安全管理提供科学依据。</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lang w:val="en-US" w:eastAsia="zh-CN"/>
        </w:rPr>
      </w:pPr>
      <w:r>
        <w:rPr>
          <w:rStyle w:val="478"/>
          <w:rFonts w:hint="eastAsia" w:asciiTheme="minorEastAsia" w:hAnsiTheme="minorEastAsia" w:eastAsiaTheme="minorEastAsia" w:cstheme="minorEastAsia"/>
          <w:color w:val="auto"/>
          <w:spacing w:val="14"/>
          <w:sz w:val="24"/>
          <w:szCs w:val="24"/>
          <w:lang w:val="en-US" w:eastAsia="zh-CN"/>
        </w:rPr>
        <w:t>2、评估依据及单元划分</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lang w:val="en-US" w:eastAsia="zh-CN"/>
        </w:rPr>
      </w:pPr>
      <w:r>
        <w:rPr>
          <w:rStyle w:val="478"/>
          <w:rFonts w:hint="eastAsia" w:asciiTheme="minorEastAsia" w:hAnsiTheme="minorEastAsia" w:eastAsiaTheme="minorEastAsia" w:cstheme="minorEastAsia"/>
          <w:color w:val="auto"/>
          <w:spacing w:val="14"/>
          <w:sz w:val="24"/>
          <w:szCs w:val="24"/>
          <w:lang w:val="en-US" w:eastAsia="zh-CN"/>
        </w:rPr>
        <w:t>本次评估依据国务院安委办《关于进一步加强化工园区安全管理的指导意见》（安委办【2017】37号）、DB41/T2250-2022《化工园区整体性安全风险评估导则》、GB36894-2018《危险化学品生产装置和储存设施风险基准》、AQ/T3046-2013《化工企业定量风险评价导则》进行，采用定量风险评价方法，通过个人及社会风险指标，对园区现状、在建及规划化工项目风险进行定量安全评价，并对定量风险评价的结果与风险可接受标准进行比较，以判定风险的可接受程度。</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lang w:val="en-US" w:eastAsia="zh-CN"/>
        </w:rPr>
      </w:pPr>
      <w:r>
        <w:rPr>
          <w:rStyle w:val="478"/>
          <w:rFonts w:hint="eastAsia" w:asciiTheme="minorEastAsia" w:hAnsiTheme="minorEastAsia" w:eastAsiaTheme="minorEastAsia" w:cstheme="minorEastAsia"/>
          <w:color w:val="auto"/>
          <w:spacing w:val="14"/>
          <w:sz w:val="24"/>
          <w:szCs w:val="24"/>
          <w:lang w:val="en-US" w:eastAsia="zh-CN"/>
        </w:rPr>
        <w:t>考虑化工园区的区域特点和风险评估需要，评估单元分为：化工园区选址合理性、总体布局、企业间安全相关性、重点防控区域和重大危险源点、危险化学品运输、安全容量、公用工程配套、应急管理、安全管理以及评估所需的其他单元。</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lang w:val="en-US" w:eastAsia="zh-CN"/>
        </w:rPr>
      </w:pPr>
      <w:r>
        <w:rPr>
          <w:rStyle w:val="478"/>
          <w:rFonts w:hint="eastAsia" w:asciiTheme="minorEastAsia" w:hAnsiTheme="minorEastAsia" w:eastAsiaTheme="minorEastAsia" w:cstheme="minorEastAsia"/>
          <w:color w:val="auto"/>
          <w:spacing w:val="14"/>
          <w:sz w:val="24"/>
          <w:szCs w:val="24"/>
          <w:lang w:val="en-US" w:eastAsia="zh-CN"/>
        </w:rPr>
        <w:t>3、重点评估工作内容</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lang w:val="en-US" w:eastAsia="zh-CN"/>
        </w:rPr>
      </w:pPr>
      <w:r>
        <w:rPr>
          <w:rStyle w:val="478"/>
          <w:rFonts w:hint="eastAsia" w:asciiTheme="minorEastAsia" w:hAnsiTheme="minorEastAsia" w:eastAsiaTheme="minorEastAsia" w:cstheme="minorEastAsia"/>
          <w:color w:val="auto"/>
          <w:spacing w:val="14"/>
          <w:sz w:val="24"/>
          <w:szCs w:val="24"/>
          <w:lang w:val="en-US" w:eastAsia="zh-CN"/>
        </w:rPr>
        <w:t>1）化工园区选址安全风险评估。主要从化工园区的产业定位、产业结构、区内化工企业性质和发展方向，分析化工园区建设与本地区经济社会发展规划和产业发展规划的要求是否一致，评估化工园区对其周边人员密集场所、重要设施和环境敏感日标安全可能产生的影响，辨识化工园区周边环境、自然条件对化工园区安全生产的影响，并提出相应的对策措施。</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lang w:val="en-US" w:eastAsia="zh-CN"/>
        </w:rPr>
      </w:pPr>
      <w:r>
        <w:rPr>
          <w:rStyle w:val="478"/>
          <w:rFonts w:hint="eastAsia" w:asciiTheme="minorEastAsia" w:hAnsiTheme="minorEastAsia" w:eastAsiaTheme="minorEastAsia" w:cstheme="minorEastAsia"/>
          <w:color w:val="auto"/>
          <w:spacing w:val="14"/>
          <w:sz w:val="24"/>
          <w:szCs w:val="24"/>
          <w:lang w:val="en-US" w:eastAsia="zh-CN"/>
        </w:rPr>
        <w:t>2）化工园区总体布局安全风险评估。从化工园区的产业特点、主要功能区划分、企业分布、上下游产业链、物济运输、自然条件等情况，分析化工园区的区域规划、总平面布局规划、土地利用规划等方面的欠缺和不合理，提出布局调整的建议；对规划建设区内拟引进企业的产业选择、限（控〉制企业类型、拟建企业分布、物流输送等提出规划建议。</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lang w:val="en-US" w:eastAsia="zh-CN"/>
        </w:rPr>
      </w:pPr>
      <w:r>
        <w:rPr>
          <w:rStyle w:val="478"/>
          <w:rFonts w:hint="eastAsia" w:asciiTheme="minorEastAsia" w:hAnsiTheme="minorEastAsia" w:eastAsiaTheme="minorEastAsia" w:cstheme="minorEastAsia"/>
          <w:color w:val="auto"/>
          <w:spacing w:val="14"/>
          <w:sz w:val="24"/>
          <w:szCs w:val="24"/>
          <w:lang w:val="en-US" w:eastAsia="zh-CN"/>
        </w:rPr>
        <w:t>3）化工园区内现状、在建及规划企业间安全相关性风险评估。以化工园区内涉及重点监管危险化学品、危险工艺和危险化学品重大危险源的企业为重点，主要采用定量分析方法，分析可能发生的火灾、爆炸、中毒等事故可能对毗邻企业及区域造成的相互影响，分析引发连环事故的可能性，并确定个人和社会风险值及其风险可接受程度。同时，根据其危险特性和危险程度，确定化工园区重点防控目标，提出有效降低区域整体危险性的对策措施。</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lang w:val="en-US" w:eastAsia="zh-CN"/>
        </w:rPr>
      </w:pPr>
      <w:r>
        <w:rPr>
          <w:rStyle w:val="478"/>
          <w:rFonts w:hint="eastAsia" w:asciiTheme="minorEastAsia" w:hAnsiTheme="minorEastAsia" w:eastAsiaTheme="minorEastAsia" w:cstheme="minorEastAsia"/>
          <w:color w:val="auto"/>
          <w:spacing w:val="14"/>
          <w:sz w:val="24"/>
          <w:szCs w:val="24"/>
          <w:lang w:val="en-US" w:eastAsia="zh-CN"/>
        </w:rPr>
        <w:t>4）化工园区公用工程设施和物流运输安全风险评估。以化工园区市政和公用工程设施的安全性和符合性为重点，分析供水、供电、供热、供气、通讯、污水处理、固体废弃物处理以及铁路、危险化学品输送管道、公共管廊、道路运输等存在的问题和不足，提出相应的完善和改进措施。</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lang w:val="en-US" w:eastAsia="zh-CN"/>
        </w:rPr>
      </w:pPr>
      <w:r>
        <w:rPr>
          <w:rStyle w:val="478"/>
          <w:rFonts w:hint="eastAsia" w:asciiTheme="minorEastAsia" w:hAnsiTheme="minorEastAsia" w:eastAsiaTheme="minorEastAsia" w:cstheme="minorEastAsia"/>
          <w:color w:val="auto"/>
          <w:spacing w:val="14"/>
          <w:sz w:val="24"/>
          <w:szCs w:val="24"/>
          <w:lang w:val="en-US" w:eastAsia="zh-CN"/>
        </w:rPr>
        <w:t>5）化工园区安全容量评估。采用定量风险评价方法，从固定危险源和运输风险两方面考虑，判断该化工园区最大安全容量及其合理性。</w:t>
      </w:r>
    </w:p>
    <w:p>
      <w:pPr>
        <w:keepNext w:val="0"/>
        <w:keepLines w:val="0"/>
        <w:pageBreakBefore w:val="0"/>
        <w:widowControl w:val="0"/>
        <w:kinsoku/>
        <w:wordWrap/>
        <w:overflowPunct/>
        <w:topLinePunct w:val="0"/>
        <w:autoSpaceDE/>
        <w:autoSpaceDN/>
        <w:bidi w:val="0"/>
        <w:adjustRightInd/>
        <w:snapToGrid/>
        <w:spacing w:line="240" w:lineRule="auto"/>
        <w:ind w:firstLine="536" w:firstLineChars="200"/>
        <w:textAlignment w:val="auto"/>
        <w:rPr>
          <w:rStyle w:val="478"/>
          <w:rFonts w:hint="eastAsia" w:asciiTheme="minorEastAsia" w:hAnsiTheme="minorEastAsia" w:eastAsiaTheme="minorEastAsia" w:cstheme="minorEastAsia"/>
          <w:color w:val="auto"/>
          <w:spacing w:val="14"/>
          <w:sz w:val="24"/>
          <w:szCs w:val="24"/>
          <w:lang w:val="en-US" w:eastAsia="zh-CN"/>
        </w:rPr>
      </w:pPr>
      <w:r>
        <w:rPr>
          <w:rStyle w:val="478"/>
          <w:rFonts w:hint="eastAsia" w:asciiTheme="minorEastAsia" w:hAnsiTheme="minorEastAsia" w:eastAsiaTheme="minorEastAsia" w:cstheme="minorEastAsia"/>
          <w:color w:val="auto"/>
          <w:spacing w:val="14"/>
          <w:sz w:val="24"/>
          <w:szCs w:val="24"/>
          <w:lang w:val="en-US" w:eastAsia="zh-CN"/>
        </w:rPr>
        <w:t>6）化工园区安全管理及应急救援能力评估。依据化工园区的发展规划和现有规模、产业特点等，分析化工园区安全管理机构设置和安全管理人员配备的匹配性，安全管理措施和落实情况的有效性，评估化工园区应急救援预案、应急物资储备、应急救援队伍和快速应急响应机制的建立和运行情况，分析化工园区在安全管理和应急管理上存在的问题和不足，提出改进和加强的意见和措施。</w:t>
      </w:r>
    </w:p>
    <w:bookmarkEnd w:id="0"/>
    <w:p>
      <w:pPr>
        <w:spacing w:line="360" w:lineRule="auto"/>
        <w:ind w:firstLine="480" w:firstLineChars="200"/>
        <w:jc w:val="left"/>
        <w:rPr>
          <w:rFonts w:hint="eastAsia" w:ascii="宋体" w:hAnsi="宋体" w:cs="仿宋"/>
          <w:b w:val="0"/>
          <w:bCs w:val="0"/>
          <w:sz w:val="24"/>
          <w:szCs w:val="24"/>
          <w:highlight w:val="none"/>
        </w:rPr>
      </w:pPr>
      <w:bookmarkStart w:id="88" w:name="_Toc9364"/>
      <w:bookmarkStart w:id="89" w:name="_Toc33608950"/>
      <w:bookmarkStart w:id="90" w:name="_Toc32835833"/>
      <w:r>
        <w:rPr>
          <w:rFonts w:hint="eastAsia" w:ascii="宋体" w:hAnsi="宋体" w:cs="仿宋"/>
          <w:b w:val="0"/>
          <w:bCs w:val="0"/>
          <w:sz w:val="24"/>
          <w:szCs w:val="24"/>
          <w:highlight w:val="none"/>
        </w:rPr>
        <w:t>二、不允许负偏离的实质性要求和条件</w:t>
      </w:r>
    </w:p>
    <w:p>
      <w:pPr>
        <w:spacing w:line="360" w:lineRule="auto"/>
        <w:ind w:firstLine="480" w:firstLineChars="200"/>
        <w:jc w:val="left"/>
        <w:rPr>
          <w:rFonts w:hint="eastAsia" w:ascii="宋体" w:hAnsi="宋体" w:cs="仿宋"/>
          <w:b w:val="0"/>
          <w:bCs w:val="0"/>
          <w:sz w:val="24"/>
          <w:szCs w:val="24"/>
          <w:highlight w:val="none"/>
          <w:lang w:val="en-US" w:eastAsia="zh-CN"/>
        </w:rPr>
      </w:pPr>
      <w:r>
        <w:rPr>
          <w:rFonts w:hint="eastAsia" w:ascii="宋体" w:hAnsi="宋体" w:cs="仿宋"/>
          <w:b w:val="0"/>
          <w:bCs w:val="0"/>
          <w:sz w:val="24"/>
          <w:szCs w:val="24"/>
          <w:highlight w:val="none"/>
        </w:rPr>
        <w:t>1.采购服务的类</w:t>
      </w:r>
      <w:r>
        <w:rPr>
          <w:rFonts w:hint="eastAsia" w:ascii="宋体" w:hAnsi="宋体" w:cs="仿宋"/>
          <w:b w:val="0"/>
          <w:bCs w:val="0"/>
          <w:sz w:val="24"/>
          <w:szCs w:val="24"/>
          <w:highlight w:val="none"/>
          <w:lang w:val="en-US" w:eastAsia="zh-CN"/>
        </w:rPr>
        <w:t>:</w:t>
      </w:r>
      <w:r>
        <w:rPr>
          <w:rFonts w:hint="eastAsia" w:ascii="宋体" w:hAnsi="宋体" w:cs="仿宋"/>
          <w:b w:val="0"/>
          <w:bCs w:val="0"/>
          <w:sz w:val="24"/>
          <w:szCs w:val="24"/>
          <w:highlight w:val="none"/>
        </w:rPr>
        <w:t>根据有关法律法规编制</w:t>
      </w:r>
      <w:bookmarkStart w:id="91" w:name="OLE_LINK1"/>
      <w:r>
        <w:rPr>
          <w:rFonts w:hint="eastAsia" w:ascii="宋体" w:hAnsi="宋体" w:cs="仿宋"/>
          <w:b w:val="0"/>
          <w:bCs w:val="0"/>
          <w:sz w:val="24"/>
          <w:szCs w:val="24"/>
          <w:highlight w:val="none"/>
        </w:rPr>
        <w:t>孟州市</w:t>
      </w:r>
      <w:bookmarkEnd w:id="91"/>
      <w:r>
        <w:rPr>
          <w:rFonts w:hint="eastAsia" w:ascii="宋体" w:hAnsi="宋体" w:cs="仿宋"/>
          <w:b w:val="0"/>
          <w:bCs w:val="0"/>
          <w:sz w:val="24"/>
          <w:szCs w:val="24"/>
          <w:highlight w:val="none"/>
        </w:rPr>
        <w:t>化工园区整体性安全风险评价报告及</w:t>
      </w:r>
      <w:bookmarkStart w:id="92" w:name="OLE_LINK3"/>
      <w:r>
        <w:rPr>
          <w:rFonts w:hint="eastAsia" w:ascii="宋体" w:hAnsi="宋体" w:cs="仿宋"/>
          <w:b w:val="0"/>
          <w:bCs w:val="0"/>
          <w:sz w:val="24"/>
          <w:szCs w:val="24"/>
          <w:highlight w:val="none"/>
        </w:rPr>
        <w:t>划定</w:t>
      </w:r>
      <w:bookmarkEnd w:id="92"/>
      <w:r>
        <w:rPr>
          <w:rFonts w:hint="eastAsia" w:ascii="宋体" w:hAnsi="宋体" w:cs="仿宋"/>
          <w:b w:val="0"/>
          <w:bCs w:val="0"/>
          <w:sz w:val="24"/>
          <w:szCs w:val="24"/>
          <w:highlight w:val="none"/>
        </w:rPr>
        <w:t>化工园区周边土地规划安全控制线</w:t>
      </w:r>
      <w:r>
        <w:rPr>
          <w:rFonts w:hint="eastAsia" w:ascii="宋体" w:hAnsi="宋体" w:cs="仿宋"/>
          <w:b w:val="0"/>
          <w:bCs w:val="0"/>
          <w:sz w:val="24"/>
          <w:szCs w:val="24"/>
          <w:highlight w:val="none"/>
          <w:lang w:val="en-US" w:eastAsia="zh-CN"/>
        </w:rPr>
        <w:t>。</w:t>
      </w:r>
    </w:p>
    <w:p>
      <w:pPr>
        <w:spacing w:line="360" w:lineRule="auto"/>
        <w:ind w:firstLine="480" w:firstLineChars="200"/>
        <w:jc w:val="left"/>
        <w:rPr>
          <w:rFonts w:hint="default" w:ascii="宋体" w:hAnsi="宋体" w:cs="仿宋"/>
          <w:b w:val="0"/>
          <w:bCs w:val="0"/>
          <w:sz w:val="24"/>
          <w:szCs w:val="24"/>
          <w:highlight w:val="none"/>
          <w:lang w:val="en-US" w:eastAsia="zh-CN"/>
        </w:rPr>
      </w:pPr>
      <w:r>
        <w:rPr>
          <w:rFonts w:hint="eastAsia" w:ascii="宋体" w:hAnsi="宋体" w:cs="仿宋"/>
          <w:b w:val="0"/>
          <w:bCs w:val="0"/>
          <w:sz w:val="24"/>
          <w:szCs w:val="24"/>
          <w:highlight w:val="none"/>
          <w:lang w:val="en-US" w:eastAsia="zh-CN"/>
        </w:rPr>
        <w:t>2.服务成果及成果交付：出具符</w:t>
      </w:r>
      <w:r>
        <w:rPr>
          <w:rFonts w:hint="eastAsia" w:ascii="宋体" w:hAnsi="宋体" w:cs="仿宋"/>
          <w:b w:val="0"/>
          <w:bCs w:val="0"/>
          <w:sz w:val="24"/>
          <w:szCs w:val="24"/>
          <w:highlight w:val="none"/>
        </w:rPr>
        <w:t>合国家、行业标准</w:t>
      </w:r>
      <w:r>
        <w:rPr>
          <w:rFonts w:hint="eastAsia" w:ascii="宋体" w:hAnsi="宋体" w:cs="仿宋"/>
          <w:b w:val="0"/>
          <w:bCs w:val="0"/>
          <w:sz w:val="24"/>
          <w:szCs w:val="24"/>
          <w:highlight w:val="none"/>
          <w:lang w:val="en-US" w:eastAsia="zh-CN"/>
        </w:rPr>
        <w:t>的最终版纸质报告：《</w:t>
      </w:r>
      <w:r>
        <w:rPr>
          <w:rFonts w:hint="eastAsia" w:ascii="宋体" w:hAnsi="宋体" w:cs="仿宋"/>
          <w:b w:val="0"/>
          <w:bCs w:val="0"/>
          <w:sz w:val="24"/>
          <w:szCs w:val="24"/>
          <w:highlight w:val="none"/>
        </w:rPr>
        <w:t>孟州市化工园区</w:t>
      </w:r>
      <w:bookmarkStart w:id="93" w:name="OLE_LINK2"/>
      <w:r>
        <w:rPr>
          <w:rFonts w:hint="eastAsia" w:ascii="宋体" w:hAnsi="宋体" w:cs="仿宋"/>
          <w:b w:val="0"/>
          <w:bCs w:val="0"/>
          <w:sz w:val="24"/>
          <w:szCs w:val="24"/>
          <w:highlight w:val="none"/>
        </w:rPr>
        <w:t>整体性安全风险评价报告</w:t>
      </w:r>
      <w:bookmarkEnd w:id="93"/>
      <w:r>
        <w:rPr>
          <w:rFonts w:hint="eastAsia" w:ascii="宋体" w:hAnsi="宋体" w:cs="仿宋"/>
          <w:b w:val="0"/>
          <w:bCs w:val="0"/>
          <w:sz w:val="24"/>
          <w:szCs w:val="24"/>
          <w:highlight w:val="none"/>
          <w:lang w:val="en-US" w:eastAsia="zh-CN"/>
        </w:rPr>
        <w:t>》及《</w:t>
      </w:r>
      <w:r>
        <w:rPr>
          <w:rFonts w:hint="eastAsia" w:ascii="宋体" w:hAnsi="宋体" w:cs="仿宋"/>
          <w:b w:val="0"/>
          <w:bCs w:val="0"/>
          <w:sz w:val="24"/>
          <w:szCs w:val="24"/>
          <w:highlight w:val="none"/>
        </w:rPr>
        <w:t>孟州市化工园区周边土地规划安全控制线划定</w:t>
      </w:r>
      <w:r>
        <w:rPr>
          <w:rFonts w:hint="eastAsia" w:ascii="宋体" w:hAnsi="宋体" w:cs="仿宋"/>
          <w:b w:val="0"/>
          <w:bCs w:val="0"/>
          <w:sz w:val="24"/>
          <w:szCs w:val="24"/>
          <w:highlight w:val="none"/>
          <w:lang w:val="en-US" w:eastAsia="zh-CN"/>
        </w:rPr>
        <w:t>报告》，出版报告数量：根据甲方需求。</w:t>
      </w:r>
    </w:p>
    <w:p>
      <w:pPr>
        <w:spacing w:line="360" w:lineRule="auto"/>
        <w:ind w:firstLine="480" w:firstLineChars="200"/>
        <w:jc w:val="left"/>
        <w:rPr>
          <w:rFonts w:hint="eastAsia" w:ascii="宋体" w:hAnsi="宋体" w:cs="仿宋"/>
          <w:b w:val="0"/>
          <w:bCs w:val="0"/>
          <w:sz w:val="24"/>
          <w:szCs w:val="24"/>
          <w:highlight w:val="none"/>
        </w:rPr>
      </w:pPr>
      <w:r>
        <w:rPr>
          <w:rFonts w:hint="eastAsia" w:ascii="宋体" w:hAnsi="宋体" w:cs="仿宋"/>
          <w:b w:val="0"/>
          <w:bCs w:val="0"/>
          <w:sz w:val="24"/>
          <w:szCs w:val="24"/>
          <w:highlight w:val="none"/>
          <w:lang w:val="en-US" w:eastAsia="zh-CN"/>
        </w:rPr>
        <w:t>3</w:t>
      </w:r>
      <w:r>
        <w:rPr>
          <w:rFonts w:hint="eastAsia" w:ascii="宋体" w:hAnsi="宋体" w:cs="仿宋"/>
          <w:b w:val="0"/>
          <w:bCs w:val="0"/>
          <w:sz w:val="24"/>
          <w:szCs w:val="24"/>
          <w:highlight w:val="none"/>
        </w:rPr>
        <w:t>.服务地点：</w:t>
      </w:r>
      <w:r>
        <w:rPr>
          <w:rFonts w:hint="eastAsia" w:ascii="宋体" w:hAnsi="宋体" w:cs="仿宋"/>
          <w:b w:val="0"/>
          <w:bCs w:val="0"/>
          <w:sz w:val="24"/>
          <w:szCs w:val="24"/>
          <w:highlight w:val="none"/>
          <w:lang w:eastAsia="zh-CN"/>
        </w:rPr>
        <w:t>孟州市</w:t>
      </w:r>
    </w:p>
    <w:p>
      <w:pPr>
        <w:spacing w:line="360" w:lineRule="auto"/>
        <w:ind w:firstLine="480" w:firstLineChars="200"/>
        <w:jc w:val="left"/>
        <w:rPr>
          <w:rFonts w:hint="default" w:ascii="宋体" w:hAnsi="宋体" w:cs="仿宋"/>
          <w:b w:val="0"/>
          <w:bCs w:val="0"/>
          <w:sz w:val="24"/>
          <w:szCs w:val="24"/>
          <w:highlight w:val="none"/>
          <w:lang w:val="en-US" w:eastAsia="zh-CN"/>
        </w:rPr>
      </w:pPr>
      <w:r>
        <w:rPr>
          <w:rFonts w:hint="eastAsia" w:ascii="宋体" w:hAnsi="宋体" w:cs="仿宋"/>
          <w:b w:val="0"/>
          <w:bCs w:val="0"/>
          <w:sz w:val="24"/>
          <w:szCs w:val="24"/>
          <w:highlight w:val="none"/>
          <w:lang w:val="en-US" w:eastAsia="zh-CN"/>
        </w:rPr>
        <w:t>4</w:t>
      </w:r>
      <w:r>
        <w:rPr>
          <w:rFonts w:hint="eastAsia" w:ascii="宋体" w:hAnsi="宋体" w:cs="仿宋"/>
          <w:b w:val="0"/>
          <w:bCs w:val="0"/>
          <w:sz w:val="24"/>
          <w:szCs w:val="24"/>
          <w:highlight w:val="none"/>
        </w:rPr>
        <w:t>.服务期限：</w:t>
      </w:r>
      <w:r>
        <w:rPr>
          <w:rFonts w:hint="eastAsia" w:ascii="宋体" w:hAnsi="宋体" w:cs="仿宋"/>
          <w:b w:val="0"/>
          <w:bCs w:val="0"/>
          <w:sz w:val="24"/>
          <w:szCs w:val="24"/>
          <w:highlight w:val="none"/>
          <w:lang w:val="en-US" w:eastAsia="zh-CN"/>
        </w:rPr>
        <w:t>2年</w:t>
      </w:r>
    </w:p>
    <w:p>
      <w:pPr>
        <w:spacing w:line="360" w:lineRule="auto"/>
        <w:ind w:firstLine="480" w:firstLineChars="200"/>
        <w:jc w:val="left"/>
        <w:rPr>
          <w:rFonts w:hint="eastAsia" w:ascii="宋体" w:hAnsi="宋体" w:cs="仿宋"/>
          <w:b w:val="0"/>
          <w:bCs w:val="0"/>
          <w:sz w:val="24"/>
          <w:szCs w:val="24"/>
          <w:highlight w:val="none"/>
        </w:rPr>
      </w:pPr>
      <w:r>
        <w:rPr>
          <w:rFonts w:hint="eastAsia" w:ascii="宋体" w:hAnsi="宋体" w:cs="仿宋"/>
          <w:b w:val="0"/>
          <w:bCs w:val="0"/>
          <w:sz w:val="24"/>
          <w:szCs w:val="24"/>
          <w:highlight w:val="none"/>
          <w:lang w:val="en-US" w:eastAsia="zh-CN"/>
        </w:rPr>
        <w:t>5</w:t>
      </w:r>
      <w:r>
        <w:rPr>
          <w:rFonts w:hint="eastAsia" w:ascii="宋体" w:hAnsi="宋体" w:cs="仿宋"/>
          <w:b w:val="0"/>
          <w:bCs w:val="0"/>
          <w:sz w:val="24"/>
          <w:szCs w:val="24"/>
          <w:highlight w:val="none"/>
        </w:rPr>
        <w:t>.质量要求：符合国家、行业验收规范合格标准。</w:t>
      </w:r>
    </w:p>
    <w:p>
      <w:pPr>
        <w:spacing w:line="360" w:lineRule="auto"/>
        <w:ind w:firstLine="480" w:firstLineChars="200"/>
        <w:jc w:val="left"/>
        <w:rPr>
          <w:rFonts w:hint="default" w:ascii="宋体" w:hAnsi="宋体" w:cs="仿宋"/>
          <w:b w:val="0"/>
          <w:bCs w:val="0"/>
          <w:sz w:val="24"/>
          <w:szCs w:val="24"/>
          <w:highlight w:val="none"/>
          <w:lang w:val="en-US" w:eastAsia="zh-CN"/>
        </w:rPr>
      </w:pPr>
      <w:r>
        <w:rPr>
          <w:rFonts w:hint="eastAsia" w:ascii="宋体" w:hAnsi="宋体" w:cs="仿宋"/>
          <w:b w:val="0"/>
          <w:bCs w:val="0"/>
          <w:sz w:val="24"/>
          <w:szCs w:val="24"/>
          <w:highlight w:val="none"/>
          <w:lang w:val="en-US" w:eastAsia="zh-CN"/>
        </w:rPr>
        <w:t>6.验收要求：编制报审版《</w:t>
      </w:r>
      <w:r>
        <w:rPr>
          <w:rFonts w:hint="eastAsia" w:ascii="宋体" w:hAnsi="宋体" w:cs="仿宋"/>
          <w:b w:val="0"/>
          <w:bCs w:val="0"/>
          <w:sz w:val="24"/>
          <w:szCs w:val="24"/>
          <w:highlight w:val="none"/>
        </w:rPr>
        <w:t>孟州市化工园区整体性安全风险评价报告</w:t>
      </w:r>
      <w:r>
        <w:rPr>
          <w:rFonts w:hint="eastAsia" w:ascii="宋体" w:hAnsi="宋体" w:cs="仿宋"/>
          <w:b w:val="0"/>
          <w:bCs w:val="0"/>
          <w:sz w:val="24"/>
          <w:szCs w:val="24"/>
          <w:highlight w:val="none"/>
          <w:lang w:val="en-US" w:eastAsia="zh-CN"/>
        </w:rPr>
        <w:t>》及《</w:t>
      </w:r>
      <w:r>
        <w:rPr>
          <w:rFonts w:hint="eastAsia" w:ascii="宋体" w:hAnsi="宋体" w:cs="仿宋"/>
          <w:b w:val="0"/>
          <w:bCs w:val="0"/>
          <w:sz w:val="24"/>
          <w:szCs w:val="24"/>
          <w:highlight w:val="none"/>
        </w:rPr>
        <w:t>孟州市化工园区周边土地规划安全控制线划定</w:t>
      </w:r>
      <w:r>
        <w:rPr>
          <w:rFonts w:hint="eastAsia" w:ascii="宋体" w:hAnsi="宋体" w:cs="仿宋"/>
          <w:b w:val="0"/>
          <w:bCs w:val="0"/>
          <w:sz w:val="24"/>
          <w:szCs w:val="24"/>
          <w:highlight w:val="none"/>
          <w:lang w:val="en-US" w:eastAsia="zh-CN"/>
        </w:rPr>
        <w:t>报告》，邀请省市级行业专家进行对报告评审，并按照专家评审意见修改完善，出具最终版《</w:t>
      </w:r>
      <w:r>
        <w:rPr>
          <w:rFonts w:hint="eastAsia" w:ascii="宋体" w:hAnsi="宋体" w:cs="仿宋"/>
          <w:b w:val="0"/>
          <w:bCs w:val="0"/>
          <w:sz w:val="24"/>
          <w:szCs w:val="24"/>
          <w:highlight w:val="none"/>
        </w:rPr>
        <w:t>孟州市化工园区整体性安全风险评价报告</w:t>
      </w:r>
      <w:r>
        <w:rPr>
          <w:rFonts w:hint="eastAsia" w:ascii="宋体" w:hAnsi="宋体" w:cs="仿宋"/>
          <w:b w:val="0"/>
          <w:bCs w:val="0"/>
          <w:sz w:val="24"/>
          <w:szCs w:val="24"/>
          <w:highlight w:val="none"/>
          <w:lang w:val="en-US" w:eastAsia="zh-CN"/>
        </w:rPr>
        <w:t>》及《</w:t>
      </w:r>
      <w:r>
        <w:rPr>
          <w:rFonts w:hint="eastAsia" w:ascii="宋体" w:hAnsi="宋体" w:cs="仿宋"/>
          <w:b w:val="0"/>
          <w:bCs w:val="0"/>
          <w:sz w:val="24"/>
          <w:szCs w:val="24"/>
          <w:highlight w:val="none"/>
        </w:rPr>
        <w:t>孟州市化工园区周边土地规划安全控制线划定</w:t>
      </w:r>
      <w:r>
        <w:rPr>
          <w:rFonts w:hint="eastAsia" w:ascii="宋体" w:hAnsi="宋体" w:cs="仿宋"/>
          <w:b w:val="0"/>
          <w:bCs w:val="0"/>
          <w:sz w:val="24"/>
          <w:szCs w:val="24"/>
          <w:highlight w:val="none"/>
          <w:lang w:val="en-US" w:eastAsia="zh-CN"/>
        </w:rPr>
        <w:t>报告》。</w:t>
      </w:r>
    </w:p>
    <w:p>
      <w:pPr>
        <w:spacing w:line="360" w:lineRule="auto"/>
        <w:ind w:firstLine="643" w:firstLineChars="200"/>
        <w:jc w:val="left"/>
        <w:rPr>
          <w:rFonts w:ascii="宋体" w:hAnsi="宋体" w:cs="仿宋"/>
          <w:b/>
          <w:bCs/>
          <w:sz w:val="32"/>
          <w:szCs w:val="32"/>
          <w:highlight w:val="yellow"/>
        </w:rPr>
      </w:pPr>
    </w:p>
    <w:p>
      <w:pPr>
        <w:spacing w:line="360" w:lineRule="auto"/>
        <w:ind w:firstLine="643" w:firstLineChars="200"/>
        <w:jc w:val="left"/>
        <w:rPr>
          <w:rFonts w:ascii="宋体" w:hAnsi="宋体" w:cs="仿宋"/>
          <w:b/>
          <w:bCs/>
          <w:sz w:val="32"/>
          <w:szCs w:val="32"/>
        </w:rPr>
      </w:pPr>
    </w:p>
    <w:p>
      <w:pPr>
        <w:spacing w:line="360" w:lineRule="auto"/>
        <w:ind w:firstLine="643" w:firstLineChars="200"/>
        <w:jc w:val="left"/>
        <w:rPr>
          <w:rFonts w:ascii="宋体" w:hAnsi="宋体" w:cs="仿宋"/>
          <w:b/>
          <w:bCs/>
          <w:sz w:val="32"/>
          <w:szCs w:val="32"/>
        </w:rPr>
      </w:pPr>
    </w:p>
    <w:p>
      <w:pPr>
        <w:spacing w:line="360" w:lineRule="auto"/>
        <w:ind w:firstLine="643" w:firstLineChars="200"/>
        <w:jc w:val="left"/>
        <w:rPr>
          <w:rFonts w:ascii="宋体" w:hAnsi="宋体" w:cs="仿宋"/>
          <w:b/>
          <w:bCs/>
          <w:sz w:val="32"/>
          <w:szCs w:val="32"/>
        </w:rPr>
      </w:pPr>
    </w:p>
    <w:p>
      <w:pPr>
        <w:spacing w:line="360" w:lineRule="auto"/>
        <w:ind w:firstLine="643" w:firstLineChars="200"/>
        <w:jc w:val="left"/>
        <w:rPr>
          <w:rFonts w:ascii="宋体" w:hAnsi="宋体" w:cs="仿宋"/>
          <w:b/>
          <w:bCs/>
          <w:sz w:val="32"/>
          <w:szCs w:val="32"/>
        </w:rPr>
      </w:pPr>
    </w:p>
    <w:p>
      <w:pPr>
        <w:spacing w:line="360" w:lineRule="auto"/>
        <w:ind w:firstLine="643" w:firstLineChars="200"/>
        <w:jc w:val="left"/>
        <w:rPr>
          <w:rFonts w:ascii="宋体" w:hAnsi="宋体" w:cs="仿宋"/>
          <w:b/>
          <w:bCs/>
          <w:sz w:val="32"/>
          <w:szCs w:val="32"/>
        </w:rPr>
      </w:pPr>
    </w:p>
    <w:p>
      <w:pPr>
        <w:spacing w:line="360" w:lineRule="auto"/>
        <w:ind w:firstLine="643" w:firstLineChars="200"/>
        <w:jc w:val="left"/>
        <w:rPr>
          <w:rFonts w:ascii="宋体" w:hAnsi="宋体" w:cs="仿宋"/>
          <w:b/>
          <w:bCs/>
          <w:sz w:val="32"/>
          <w:szCs w:val="32"/>
        </w:rPr>
      </w:pPr>
    </w:p>
    <w:p>
      <w:pPr>
        <w:spacing w:line="360" w:lineRule="auto"/>
        <w:ind w:firstLine="643" w:firstLineChars="200"/>
        <w:jc w:val="left"/>
        <w:rPr>
          <w:rFonts w:ascii="宋体" w:hAnsi="宋体" w:cs="仿宋"/>
          <w:b/>
          <w:bCs/>
          <w:sz w:val="32"/>
          <w:szCs w:val="32"/>
        </w:rPr>
      </w:pPr>
      <w:r>
        <w:rPr>
          <w:rFonts w:ascii="宋体" w:hAnsi="宋体" w:cs="仿宋"/>
          <w:b/>
          <w:bCs/>
          <w:sz w:val="32"/>
          <w:szCs w:val="32"/>
        </w:rPr>
        <w:br w:type="page"/>
      </w:r>
    </w:p>
    <w:p>
      <w:pPr>
        <w:pStyle w:val="3"/>
      </w:pPr>
    </w:p>
    <w:p>
      <w:pPr>
        <w:adjustRightInd w:val="0"/>
        <w:snapToGrid w:val="0"/>
        <w:spacing w:before="100" w:beforeAutospacing="1" w:after="100" w:afterAutospacing="1"/>
        <w:jc w:val="center"/>
        <w:outlineLvl w:val="0"/>
        <w:rPr>
          <w:rFonts w:hint="eastAsia" w:ascii="宋体" w:hAnsi="宋体" w:cs="宋体"/>
          <w:b/>
          <w:bCs/>
          <w:kern w:val="0"/>
          <w:sz w:val="32"/>
          <w:szCs w:val="32"/>
          <w:highlight w:val="none"/>
        </w:rPr>
      </w:pPr>
      <w:bookmarkStart w:id="94" w:name="_Toc15681"/>
      <w:r>
        <w:rPr>
          <w:rFonts w:hint="eastAsia" w:ascii="宋体" w:hAnsi="宋体" w:cs="仿宋"/>
          <w:b/>
          <w:bCs/>
          <w:sz w:val="32"/>
          <w:szCs w:val="32"/>
        </w:rPr>
        <w:t>第</w:t>
      </w:r>
      <w:r>
        <w:rPr>
          <w:rFonts w:hint="eastAsia" w:ascii="宋体" w:hAnsi="宋体" w:cs="仿宋"/>
          <w:b/>
          <w:bCs/>
          <w:sz w:val="32"/>
          <w:szCs w:val="32"/>
          <w:lang w:eastAsia="zh-CN"/>
        </w:rPr>
        <w:t>五</w:t>
      </w:r>
      <w:r>
        <w:rPr>
          <w:rFonts w:hint="eastAsia" w:ascii="宋体" w:hAnsi="宋体" w:cs="仿宋"/>
          <w:b/>
          <w:bCs/>
          <w:sz w:val="32"/>
          <w:szCs w:val="32"/>
        </w:rPr>
        <w:t>章  合同协议书（格式）</w:t>
      </w:r>
      <w:bookmarkEnd w:id="88"/>
      <w:bookmarkEnd w:id="89"/>
      <w:bookmarkEnd w:id="90"/>
      <w:bookmarkEnd w:id="94"/>
      <w:bookmarkStart w:id="95" w:name="_Toc28131"/>
    </w:p>
    <w:p>
      <w:pPr>
        <w:spacing w:line="360" w:lineRule="auto"/>
        <w:ind w:firstLine="482" w:firstLineChars="200"/>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rPr>
        <w:t>甲方（全称）：</w:t>
      </w:r>
      <w:r>
        <w:rPr>
          <w:rFonts w:hint="eastAsia" w:asciiTheme="minorEastAsia" w:hAnsiTheme="minorEastAsia" w:eastAsiaTheme="minorEastAsia" w:cstheme="minorEastAsia"/>
          <w:b/>
          <w:sz w:val="24"/>
          <w:szCs w:val="24"/>
          <w:u w:val="single"/>
        </w:rPr>
        <w:t>                       </w:t>
      </w:r>
    </w:p>
    <w:p>
      <w:pPr>
        <w:spacing w:line="360" w:lineRule="auto"/>
        <w:ind w:firstLine="482" w:firstLineChars="200"/>
        <w:rPr>
          <w:rFonts w:hint="eastAsia" w:asciiTheme="minorEastAsia" w:hAnsiTheme="minorEastAsia" w:eastAsiaTheme="minorEastAsia" w:cstheme="minorEastAsia"/>
          <w:b/>
          <w:sz w:val="24"/>
          <w:szCs w:val="24"/>
          <w:u w:val="single"/>
        </w:rPr>
      </w:pPr>
      <w:r>
        <w:rPr>
          <w:rFonts w:hint="eastAsia" w:asciiTheme="minorEastAsia" w:hAnsiTheme="minorEastAsia" w:eastAsiaTheme="minorEastAsia" w:cstheme="minorEastAsia"/>
          <w:b/>
          <w:sz w:val="24"/>
          <w:szCs w:val="24"/>
        </w:rPr>
        <w:t>乙方（全称）：</w:t>
      </w:r>
      <w:r>
        <w:rPr>
          <w:rFonts w:hint="eastAsia" w:asciiTheme="minorEastAsia" w:hAnsiTheme="minorEastAsia" w:eastAsiaTheme="minorEastAsia" w:cstheme="minorEastAsia"/>
          <w:b/>
          <w:sz w:val="24"/>
          <w:szCs w:val="24"/>
          <w:u w:val="single"/>
        </w:rPr>
        <w:t>                      </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根据《中华人民共和国民法典》及有关法律规定，遵循平等、自愿、公平和诚实信用的原则，双方就</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项目及有关事项协商一致，共同达成如下协议：</w:t>
      </w:r>
    </w:p>
    <w:p>
      <w:pPr>
        <w:tabs>
          <w:tab w:val="left" w:pos="0"/>
        </w:tabs>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第一条  合同文件</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下列与本次采购活动有关的文件及附件是本合同不可分割的组成部分，与本合同具有同等法律效力，这些文件包括但不限于：</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1.（××号）</w:t>
      </w:r>
      <w:r>
        <w:rPr>
          <w:rFonts w:hint="eastAsia" w:asciiTheme="minorEastAsia" w:hAnsiTheme="minorEastAsia" w:eastAsiaTheme="minorEastAsia" w:cstheme="minorEastAsia"/>
          <w:sz w:val="24"/>
          <w:szCs w:val="24"/>
          <w:lang w:eastAsia="zh-CN"/>
        </w:rPr>
        <w:t>公开招标</w:t>
      </w:r>
      <w:r>
        <w:rPr>
          <w:rFonts w:hint="eastAsia" w:asciiTheme="minorEastAsia" w:hAnsiTheme="minorEastAsia" w:eastAsiaTheme="minorEastAsia" w:cstheme="minorEastAsia"/>
          <w:sz w:val="24"/>
          <w:szCs w:val="24"/>
        </w:rPr>
        <w:t>采购文件</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2.响应文件</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3.乙方在</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时的书面承诺</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4.（××号）成交通知书</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5.合同补充条款或说明</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6.保密协议或条款</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7.相关附件、图纸及电子版资料</w:t>
      </w:r>
    </w:p>
    <w:p>
      <w:pPr>
        <w:spacing w:line="360" w:lineRule="auto"/>
        <w:ind w:left="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第二条  合同内容</w:t>
      </w:r>
    </w:p>
    <w:p>
      <w:pPr>
        <w:spacing w:line="360" w:lineRule="auto"/>
        <w:ind w:firstLine="480" w:firstLineChars="2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u w:val="single"/>
        </w:rPr>
        <w:t xml:space="preserve">                                   </w:t>
      </w:r>
    </w:p>
    <w:p>
      <w:pPr>
        <w:spacing w:line="360" w:lineRule="auto"/>
        <w:ind w:left="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第三条  合同总价款</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1.本合同服务总价款：￥</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大写：</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元。</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2.分项价款在《服务一览表》中有明确规定。</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3.本合同总价款包括服务期间必须的日常物料、易耗品、采集工具、调试费、车辆、采集人员等一切费用。</w:t>
      </w:r>
    </w:p>
    <w:p>
      <w:pPr>
        <w:spacing w:line="360" w:lineRule="auto"/>
        <w:ind w:firstLine="482"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 xml:space="preserve">第四条  </w:t>
      </w:r>
      <w:r>
        <w:rPr>
          <w:rFonts w:hint="eastAsia" w:asciiTheme="minorEastAsia" w:hAnsiTheme="minorEastAsia" w:eastAsiaTheme="minorEastAsia" w:cstheme="minorEastAsia"/>
          <w:b/>
          <w:bCs/>
          <w:sz w:val="24"/>
          <w:szCs w:val="24"/>
        </w:rPr>
        <w:t>双方一般权利和义务</w:t>
      </w: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1.甲方的义务</w:t>
      </w:r>
    </w:p>
    <w:p>
      <w:pPr>
        <w:spacing w:line="360" w:lineRule="auto"/>
        <w:ind w:firstLine="360" w:firstLineChars="15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1.1 委托工作的具体范围和内容：</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 甲方应按约定的时间和要求完成下列工作：</w:t>
      </w:r>
    </w:p>
    <w:p>
      <w:pPr>
        <w:spacing w:line="360" w:lineRule="auto"/>
        <w:ind w:firstLine="480" w:firstLineChars="2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（1）向乙方提供保证履行合同所需的全部资料的时间：</w:t>
      </w:r>
      <w:r>
        <w:rPr>
          <w:rFonts w:hint="eastAsia" w:asciiTheme="minorEastAsia" w:hAnsiTheme="minorEastAsia" w:eastAsiaTheme="minorEastAsia" w:cstheme="minorEastAsia"/>
          <w:sz w:val="24"/>
          <w:szCs w:val="24"/>
          <w:u w:val="single"/>
        </w:rPr>
        <w:t xml:space="preserve">合同签订后   个工作日内 </w:t>
      </w:r>
      <w:r>
        <w:rPr>
          <w:rFonts w:hint="eastAsia" w:asciiTheme="minorEastAsia" w:hAnsiTheme="minorEastAsia" w:eastAsiaTheme="minorEastAsia" w:cstheme="minorEastAsia"/>
          <w:sz w:val="24"/>
          <w:szCs w:val="24"/>
        </w:rPr>
        <w:t>。</w:t>
      </w:r>
    </w:p>
    <w:p>
      <w:pPr>
        <w:spacing w:line="360" w:lineRule="auto"/>
        <w:ind w:firstLine="480" w:firstLineChars="200"/>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（2）向乙方提供保证履行合同顺利完成的条件：</w:t>
      </w:r>
      <w:r>
        <w:rPr>
          <w:rFonts w:hint="eastAsia" w:asciiTheme="minorEastAsia" w:hAnsiTheme="minorEastAsia" w:eastAsiaTheme="minorEastAsia" w:cstheme="minorEastAsia"/>
          <w:sz w:val="24"/>
          <w:szCs w:val="24"/>
          <w:u w:val="single"/>
          <w:lang w:val="en-US" w:eastAsia="zh-CN"/>
        </w:rPr>
        <w:t xml:space="preserve">                                。</w:t>
      </w:r>
    </w:p>
    <w:p>
      <w:pPr>
        <w:spacing w:line="360" w:lineRule="auto"/>
        <w:ind w:firstLine="480" w:firstLineChars="200"/>
        <w:rPr>
          <w:rFonts w:hint="eastAsia" w:asciiTheme="minorEastAsia" w:hAnsiTheme="minorEastAsia" w:eastAsiaTheme="minorEastAsia" w:cstheme="minorEastAsia"/>
          <w:sz w:val="24"/>
          <w:szCs w:val="24"/>
          <w:vertAlign w:val="subscript"/>
        </w:rPr>
      </w:pPr>
      <w:r>
        <w:rPr>
          <w:rFonts w:hint="eastAsia" w:asciiTheme="minorEastAsia" w:hAnsiTheme="minorEastAsia" w:eastAsiaTheme="minorEastAsia" w:cstheme="minorEastAsia"/>
          <w:sz w:val="24"/>
          <w:szCs w:val="24"/>
        </w:rPr>
        <w:t>（3）需要与第三方协调的工作：</w:t>
      </w:r>
      <w:r>
        <w:rPr>
          <w:rFonts w:hint="eastAsia" w:asciiTheme="minorEastAsia" w:hAnsiTheme="minorEastAsia" w:eastAsiaTheme="minorEastAsia" w:cstheme="minorEastAsia"/>
          <w:sz w:val="24"/>
          <w:szCs w:val="24"/>
          <w:u w:val="single"/>
        </w:rPr>
        <w:t xml:space="preserve">无 </w:t>
      </w:r>
      <w:r>
        <w:rPr>
          <w:rFonts w:hint="eastAsia" w:asciiTheme="minorEastAsia" w:hAnsiTheme="minorEastAsia" w:eastAsiaTheme="minorEastAsia" w:cstheme="minorEastAsia"/>
          <w:sz w:val="24"/>
          <w:szCs w:val="24"/>
        </w:rPr>
        <w:t>。</w:t>
      </w:r>
    </w:p>
    <w:p>
      <w:pPr>
        <w:spacing w:line="360" w:lineRule="auto"/>
        <w:ind w:firstLine="480" w:firstLineChars="200"/>
        <w:rPr>
          <w:rFonts w:hint="eastAsia" w:asciiTheme="minorEastAsia" w:hAnsiTheme="minorEastAsia" w:eastAsiaTheme="minorEastAsia" w:cstheme="minorEastAsia"/>
          <w:sz w:val="24"/>
          <w:szCs w:val="24"/>
          <w:vertAlign w:val="subscript"/>
        </w:rPr>
      </w:pPr>
      <w:r>
        <w:rPr>
          <w:rFonts w:hint="eastAsia" w:asciiTheme="minorEastAsia" w:hAnsiTheme="minorEastAsia" w:eastAsiaTheme="minorEastAsia" w:cstheme="minorEastAsia"/>
          <w:sz w:val="24"/>
          <w:szCs w:val="24"/>
        </w:rPr>
        <w:t>1.3 甲方有义务保守履约合同过程中有关的商业秘密。</w:t>
      </w: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2.乙方的义务</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 乙方应按约定的时间和要求完全下列工作：</w:t>
      </w:r>
    </w:p>
    <w:p>
      <w:pPr>
        <w:spacing w:line="360" w:lineRule="auto"/>
        <w:ind w:firstLine="480" w:firstLineChars="200"/>
        <w:rPr>
          <w:rFonts w:hint="eastAsia" w:asciiTheme="minorEastAsia" w:hAnsiTheme="minorEastAsia" w:eastAsiaTheme="minorEastAsia" w:cstheme="minorEastAsia"/>
          <w:sz w:val="24"/>
          <w:szCs w:val="24"/>
          <w:vertAlign w:val="subscript"/>
        </w:rPr>
      </w:pPr>
      <w:r>
        <w:rPr>
          <w:rFonts w:hint="eastAsia" w:asciiTheme="minorEastAsia" w:hAnsiTheme="minorEastAsia" w:eastAsiaTheme="minorEastAsia" w:cstheme="minorEastAsia"/>
          <w:sz w:val="24"/>
          <w:szCs w:val="24"/>
        </w:rPr>
        <w:t>（1）保证履行合同的内容和时间：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（2）为甲方提供的为保证履行合同的相关咨询服务：</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（3）应尽的其他义务：</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pPr>
        <w:spacing w:line="360" w:lineRule="auto"/>
        <w:ind w:firstLine="480" w:firstLineChars="200"/>
        <w:rPr>
          <w:rFonts w:hint="eastAsia" w:asciiTheme="minorEastAsia" w:hAnsiTheme="minorEastAsia" w:eastAsiaTheme="minorEastAsia" w:cstheme="minorEastAsia"/>
          <w:sz w:val="24"/>
          <w:szCs w:val="24"/>
          <w:vertAlign w:val="subscript"/>
        </w:rPr>
      </w:pPr>
      <w:r>
        <w:rPr>
          <w:rFonts w:hint="eastAsia" w:asciiTheme="minorEastAsia" w:hAnsiTheme="minorEastAsia" w:eastAsiaTheme="minorEastAsia" w:cstheme="minorEastAsia"/>
          <w:sz w:val="24"/>
          <w:szCs w:val="24"/>
        </w:rPr>
        <w:t>2.2乙方有义务保守履约合同过程中有关的商业秘密。</w:t>
      </w: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 甲方的权利</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3.1 按合同约定，接收项目成果；</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3.2 向乙方询问履行合同工作进展情况和相关内容或提出不违反法律、行政法规的建议；</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3.3与乙方协商，建议更换其不称职的工作人员；</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3.4本合同履行期间，由于乙方不履行合同约定的内容，给甲方造成损失或影响工作正常进行的，甲方有权终止本合同，并依法向乙方追索经济赔偿，直至追究法律责任；</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3.5 甲方有权利对乙方在合同履行期间的行为进行监督。</w:t>
      </w: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4. 乙方的权利</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4.1按合同约定收取报酬；</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4.2对履行合同中应由甲方做出的决定，乙方有权提出建议；</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4.3当甲方提供的资料不足或不明确时，有权要求甲方补足资料或作出明确的答复；</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4.4拒绝甲方提出的违反法律、行政法规的要求，并向甲方作出解释。</w:t>
      </w: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第五条  质量保证</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保证服务不存在危及人身及财产安全的隐患，不存在违反国家法规、法令、法律以及行业规范所要求的有关安全条款，否则应承担全部法律责任。保证所提供的服务或其任何一部分均不会侵犯任何第三方的专利权、商标权或著作权。一旦出现侵权，索赔或诉讼，乙方应承担全部责任。</w:t>
      </w:r>
    </w:p>
    <w:p>
      <w:pPr>
        <w:spacing w:line="360" w:lineRule="auto"/>
        <w:ind w:left="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第六条  付款方式</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1.本合同项下所有款项均以人民币支付。</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2.乙方向甲方提交下列文件材料，经甲方审核无误后支付采购价款：</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（1）经甲方确认的发票；</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（2）检测报告及检测明细；</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（3）经甲乙双方确认签署的《验收报告》（或按项目进度阶段性《验收报告》）；</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（4）其他材料。</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3.付款方式：成交人按照甲方要求完成</w:t>
      </w:r>
      <w:r>
        <w:rPr>
          <w:rFonts w:hint="eastAsia" w:asciiTheme="minorEastAsia" w:hAnsiTheme="minorEastAsia" w:eastAsiaTheme="minorEastAsia" w:cstheme="minorEastAsia"/>
          <w:sz w:val="24"/>
          <w:szCs w:val="24"/>
          <w:lang w:eastAsia="zh-CN"/>
        </w:rPr>
        <w:t>农村</w:t>
      </w:r>
      <w:r>
        <w:rPr>
          <w:rFonts w:hint="eastAsia" w:asciiTheme="minorEastAsia" w:hAnsiTheme="minorEastAsia" w:eastAsiaTheme="minorEastAsia" w:cstheme="minorEastAsia"/>
          <w:sz w:val="24"/>
          <w:szCs w:val="24"/>
        </w:rPr>
        <w:t>供水</w:t>
      </w:r>
      <w:r>
        <w:rPr>
          <w:rFonts w:hint="eastAsia" w:asciiTheme="minorEastAsia" w:hAnsiTheme="minorEastAsia" w:eastAsiaTheme="minorEastAsia" w:cstheme="minorEastAsia"/>
          <w:sz w:val="24"/>
          <w:szCs w:val="24"/>
          <w:lang w:eastAsia="zh-CN"/>
        </w:rPr>
        <w:t>工程</w:t>
      </w:r>
      <w:r>
        <w:rPr>
          <w:rFonts w:hint="eastAsia" w:asciiTheme="minorEastAsia" w:hAnsiTheme="minorEastAsia" w:eastAsiaTheme="minorEastAsia" w:cstheme="minorEastAsia"/>
          <w:sz w:val="24"/>
          <w:szCs w:val="24"/>
        </w:rPr>
        <w:t>水质检测项目，并出具</w:t>
      </w:r>
      <w:r>
        <w:rPr>
          <w:rFonts w:hint="eastAsia" w:asciiTheme="minorEastAsia" w:hAnsiTheme="minorEastAsia" w:eastAsiaTheme="minorEastAsia" w:cstheme="minorEastAsia"/>
          <w:sz w:val="24"/>
          <w:szCs w:val="24"/>
          <w:lang w:eastAsia="zh-CN"/>
        </w:rPr>
        <w:t>最后一次</w:t>
      </w:r>
      <w:r>
        <w:rPr>
          <w:rFonts w:hint="eastAsia" w:asciiTheme="minorEastAsia" w:hAnsiTheme="minorEastAsia" w:eastAsiaTheme="minorEastAsia" w:cstheme="minorEastAsia"/>
          <w:sz w:val="24"/>
          <w:szCs w:val="24"/>
        </w:rPr>
        <w:t>合格的水质检测报告</w:t>
      </w:r>
      <w:r>
        <w:rPr>
          <w:rFonts w:hint="eastAsia" w:asciiTheme="minorEastAsia" w:hAnsiTheme="minorEastAsia" w:eastAsiaTheme="minorEastAsia" w:cstheme="minorEastAsia"/>
          <w:sz w:val="24"/>
          <w:szCs w:val="24"/>
          <w:lang w:eastAsia="zh-CN"/>
        </w:rPr>
        <w:t>后</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一次性付清</w:t>
      </w:r>
      <w:r>
        <w:rPr>
          <w:rFonts w:hint="eastAsia" w:asciiTheme="minorEastAsia" w:hAnsiTheme="minorEastAsia" w:eastAsiaTheme="minorEastAsia" w:cstheme="minorEastAsia"/>
          <w:sz w:val="24"/>
          <w:szCs w:val="24"/>
        </w:rPr>
        <w:t>。</w:t>
      </w:r>
    </w:p>
    <w:p>
      <w:pPr>
        <w:spacing w:line="360" w:lineRule="auto"/>
        <w:ind w:left="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第七条  履约保证金</w:t>
      </w:r>
    </w:p>
    <w:p>
      <w:pPr>
        <w:spacing w:line="360" w:lineRule="auto"/>
        <w:ind w:left="4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w:t>
      </w:r>
    </w:p>
    <w:p>
      <w:pPr>
        <w:spacing w:line="360" w:lineRule="auto"/>
        <w:ind w:left="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第八条  验收</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1.提交成果文件期限：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pPr>
        <w:spacing w:line="360" w:lineRule="auto"/>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服务地点：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pPr>
        <w:spacing w:line="360" w:lineRule="auto"/>
        <w:ind w:firstLine="720" w:firstLineChars="30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 xml:space="preserve">验收时间：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pPr>
        <w:spacing w:line="360" w:lineRule="auto"/>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验收地点：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pPr>
        <w:tabs>
          <w:tab w:val="left" w:pos="0"/>
        </w:tabs>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乙方应对提供的服务成果作出全面自查和整理，并列出清单，作为甲方验收和使用的服务条件依据，清单应随提供的服务成果交给甲方。</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验收时，甲乙双方必须同时在场，乙方所提供的服务不符合合同内容规定的，甲方有权拒绝验收。乙方应及时按本合同内容规定和甲方要求免费进行再次检测，方视为乙方按本合同规定完成服务。验收合格的，由双方共同签署《验收报告》。在经过两次限期整改后，服务仍达不到合同文件规定内容的，甲方有权拒收，并可以解除合同；由此引起甲方损失及赔偿责任由乙方承担。</w:t>
      </w:r>
    </w:p>
    <w:p>
      <w:pPr>
        <w:tabs>
          <w:tab w:val="left" w:pos="0"/>
        </w:tabs>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4.甲方可以视项目规模或复杂情况聘请专业人员参与验收，大型或复杂项目，以及涉及专业服务内容的应当邀请国家认可的第三方质量检测机构参与验收。</w:t>
      </w:r>
    </w:p>
    <w:p>
      <w:pPr>
        <w:tabs>
          <w:tab w:val="left" w:pos="0"/>
        </w:tabs>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5.如根据项目实施情况需要分阶段验收，则双方分阶段签署《验收报告》。</w:t>
      </w:r>
    </w:p>
    <w:p>
      <w:pPr>
        <w:tabs>
          <w:tab w:val="left" w:pos="0"/>
        </w:tabs>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6.如果合同双方对《验收报告》有分歧，双方须于出现分歧后</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天内给对方书面声明，以陈述己方的理由及要求，并附有关证据。分歧应通过协商解决。</w:t>
      </w:r>
    </w:p>
    <w:p>
      <w:pPr>
        <w:spacing w:line="360" w:lineRule="auto"/>
        <w:ind w:left="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第九条  项目管理服务</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乙方要指定不少于一人全权全程负责本项目服务的落实，包括服务的咨询、执行和后续工作。</w:t>
      </w:r>
    </w:p>
    <w:p>
      <w:pPr>
        <w:snapToGrid w:val="0"/>
        <w:spacing w:line="360" w:lineRule="auto"/>
        <w:ind w:firstLine="481"/>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项目负责人姓名： </w:t>
      </w:r>
      <w:r>
        <w:rPr>
          <w:rFonts w:hint="eastAsia" w:asciiTheme="minorEastAsia" w:hAnsiTheme="minorEastAsia" w:eastAsiaTheme="minorEastAsia" w:cstheme="minorEastAsia"/>
          <w:sz w:val="24"/>
          <w:szCs w:val="24"/>
          <w:u w:val="single" w:color="000000"/>
        </w:rPr>
        <w:t xml:space="preserve">              </w:t>
      </w:r>
      <w:r>
        <w:rPr>
          <w:rFonts w:hint="eastAsia" w:asciiTheme="minorEastAsia" w:hAnsiTheme="minorEastAsia" w:eastAsiaTheme="minorEastAsia" w:cstheme="minorEastAsia"/>
          <w:sz w:val="24"/>
          <w:szCs w:val="24"/>
        </w:rPr>
        <w:t>； 联系电话：</w:t>
      </w:r>
      <w:r>
        <w:rPr>
          <w:rFonts w:hint="eastAsia" w:asciiTheme="minorEastAsia" w:hAnsiTheme="minorEastAsia" w:eastAsiaTheme="minorEastAsia" w:cstheme="minorEastAsia"/>
          <w:sz w:val="24"/>
          <w:szCs w:val="24"/>
          <w:u w:val="single" w:color="000000"/>
        </w:rPr>
        <w:t xml:space="preserve">                      </w:t>
      </w:r>
      <w:r>
        <w:rPr>
          <w:rFonts w:hint="eastAsia" w:asciiTheme="minorEastAsia" w:hAnsiTheme="minorEastAsia" w:eastAsiaTheme="minorEastAsia" w:cstheme="minorEastAsia"/>
          <w:sz w:val="24"/>
          <w:szCs w:val="24"/>
        </w:rPr>
        <w:t>。</w:t>
      </w:r>
    </w:p>
    <w:p>
      <w:pPr>
        <w:spacing w:line="360" w:lineRule="auto"/>
        <w:ind w:firstLine="472" w:firstLineChars="196"/>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第十条  售后服务</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1.服务期内，乙方应提供相关服务支持。对甲方所反映的任何服务问题在</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日（小时）之内做出及时响应，在</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日（小时）之内赶到现场实地解决问题。若问题在</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工作日（小时）后仍无法解决，乙方应在</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日（小时）内免费提供服务的补偿、替换方案，直至服务恢复正常。</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2.乙方必须遵守甲方的有关管理制度、操作规程。对于乙方违规操作造成甲方损失的，由乙方按照本合同第十二条的约定承担赔偿责任。</w:t>
      </w:r>
    </w:p>
    <w:p>
      <w:pPr>
        <w:spacing w:line="360" w:lineRule="auto"/>
        <w:ind w:left="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第十一条  分包和转包</w:t>
      </w:r>
    </w:p>
    <w:p>
      <w:pPr>
        <w:spacing w:line="360" w:lineRule="auto"/>
        <w:ind w:firstLine="480" w:firstLineChars="200"/>
        <w:rPr>
          <w:rFonts w:hint="eastAsia" w:asciiTheme="minorEastAsia" w:hAnsiTheme="minorEastAsia" w:eastAsiaTheme="minorEastAsia" w:cstheme="minorEastAsia"/>
          <w:strike/>
          <w:sz w:val="24"/>
          <w:szCs w:val="24"/>
        </w:rPr>
      </w:pPr>
      <w:r>
        <w:rPr>
          <w:rFonts w:hint="eastAsia" w:asciiTheme="minorEastAsia" w:hAnsiTheme="minorEastAsia" w:eastAsiaTheme="minorEastAsia" w:cstheme="minorEastAsia"/>
          <w:sz w:val="24"/>
          <w:szCs w:val="24"/>
        </w:rPr>
        <w:t>除竞争性磋商文件事先说明、且经甲方事先书面同意外，乙方不得分包、转包其应履行的合同义务。</w:t>
      </w: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第十二条  合同的生效</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1.本合同经甲乙双方或授权代表签字并加盖公章或合同专用章后生效。</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2.生效后，除《中华人民共和国政府采购法》第49条、第50条第二款规定的情形外，甲乙双方不得擅自变更、中止或终止合同。</w:t>
      </w:r>
    </w:p>
    <w:p>
      <w:pPr>
        <w:spacing w:line="360" w:lineRule="auto"/>
        <w:ind w:left="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第十三条  违约责任</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1.乙方所交付服务成果不符合本合同规定的，甲方有权拒收，乙方在得到甲方通知之日起</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个工作日内采取补救措施，逾期仍未采取有效措施的，甲方有权要求乙方赔偿因此造成的损失或扣留履约保证金；同时乙方应向甲方支付合同总价</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％的违约金。</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2.甲方无正当理由拒收服务，甲方应向乙方偿付拒付服务费用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％的违约金。</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3.乙方无正当理由逾期交付服务的，每逾期1天，乙方向甲方偿付合同总额的</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‰的违约金。如乙方逾期达</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天，甲方有权解除合同，甲方解除合同的通知自到达乙方时生效。在此情况下，乙方给甲方造成的实际损失高于违约金的，对高出违约金的部分乙方应予以赔偿。</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.因乙方原因导致违约、本合同无法履行等情形造成甲方损失的，乙方除承担违约责任外还应支付甲方一切相关费用，包括但不限于诉讼费、保全费、鉴定费、律师费、交通费。</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.其它未尽事宜，以《合同法》和《中华人民共和国政府采购法》等有关法律法规规定为准，无相关规定的，双方协商解决。</w:t>
      </w:r>
    </w:p>
    <w:p>
      <w:pPr>
        <w:spacing w:line="360" w:lineRule="auto"/>
        <w:ind w:left="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第十四条  不可抗力</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甲、乙方中任何一方，因不可抗力不能按时或完全履行合同的，应及时通知对方，并在</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个工作日内提供相应证明，结算服务费用。未履行的部分是否继续履行、如何履行等问题，可由双方初步协商，并向主管部门和政府采购管理部门报告。确定为不可抗力原因造成的损失，免予承担责任。</w:t>
      </w:r>
    </w:p>
    <w:p>
      <w:pPr>
        <w:spacing w:line="360" w:lineRule="auto"/>
        <w:ind w:left="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第十五条  争议的解决方式</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1.因服务质量问题发生争议的，应当邀请国家认可的质量检测机构对服务进行鉴定。服务符合标准的，鉴定费由甲方承担；不符合质量标准的，鉴定费由乙方承担。</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2.在解释或者执行本合同的过程中发生争议时，双方应通过协商方式解决。</w:t>
      </w:r>
    </w:p>
    <w:p>
      <w:pPr>
        <w:spacing w:line="48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3.经协商不能解决的争议，双方可选择以下第</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种方式解决：</w:t>
      </w:r>
    </w:p>
    <w:p>
      <w:pPr>
        <w:spacing w:line="48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①向</w:t>
      </w:r>
      <w:r>
        <w:rPr>
          <w:rFonts w:hint="eastAsia" w:asciiTheme="minorEastAsia" w:hAnsiTheme="minorEastAsia" w:eastAsiaTheme="minorEastAsia" w:cstheme="minorEastAsia"/>
          <w:sz w:val="24"/>
          <w:szCs w:val="24"/>
          <w:u w:val="single"/>
        </w:rPr>
        <w:t xml:space="preserve"> 甲方住所地 </w:t>
      </w:r>
      <w:r>
        <w:rPr>
          <w:rFonts w:hint="eastAsia" w:asciiTheme="minorEastAsia" w:hAnsiTheme="minorEastAsia" w:eastAsiaTheme="minorEastAsia" w:cstheme="minorEastAsia"/>
          <w:sz w:val="24"/>
          <w:szCs w:val="24"/>
        </w:rPr>
        <w:t>有管辖权的法院提起诉讼；</w:t>
      </w:r>
    </w:p>
    <w:p>
      <w:pPr>
        <w:spacing w:line="48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②向</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仲裁委员会提出仲裁。</w:t>
      </w:r>
    </w:p>
    <w:p>
      <w:pPr>
        <w:spacing w:line="480" w:lineRule="exact"/>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4.在法院审理和仲裁期间，除有争议部分外，本合同其他部分可以履行的仍应按合同条款继续履行。</w:t>
      </w:r>
    </w:p>
    <w:p>
      <w:pPr>
        <w:spacing w:line="360" w:lineRule="auto"/>
        <w:ind w:left="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第十六条  其他</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符合《中华人民共和国政府采购法》第49条规定的，经双方协商，办理政府采购手续后，可签订补充合同，所签订的补充合同与本合同具有同等法律效力。</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本合同一式</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份，甲、乙双方各执</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份。</w:t>
      </w:r>
    </w:p>
    <w:p>
      <w:pPr>
        <w:spacing w:line="360" w:lineRule="auto"/>
        <w:ind w:firstLine="480" w:firstLineChars="200"/>
        <w:textAlignment w:val="baseline"/>
        <w:outlineLvl w:val="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甲方单位：（盖章）               乙方单位：（盖章）</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法定代表人                      法定代表人</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 xml:space="preserve">或委托代理人（签字）：           或委托代理人（签字）： </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组织统一社会信用代码：          组织统一社会信用代码：</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单位性质：                      企业类型：（微型/小型/中型/大型）</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住所：                          住所：</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 xml:space="preserve">电话：                          电话： </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传真：                          传真：</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开户银行：                      开户银行：</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银行帐号：                      银行帐号：</w:t>
      </w:r>
    </w:p>
    <w:p>
      <w:pPr>
        <w:spacing w:line="360" w:lineRule="auto"/>
        <w:ind w:firstLine="480" w:firstLineChars="200"/>
        <w:rPr>
          <w:rFonts w:hint="eastAsia" w:asciiTheme="minorEastAsia" w:hAnsiTheme="minorEastAsia" w:eastAsiaTheme="minorEastAsia" w:cstheme="minorEastAsia"/>
          <w:sz w:val="24"/>
          <w:szCs w:val="24"/>
          <w:shd w:val="clear" w:color="auto" w:fill="FFFFFF"/>
        </w:rPr>
      </w:pPr>
      <w:r>
        <w:rPr>
          <w:rFonts w:hint="eastAsia" w:asciiTheme="minorEastAsia" w:hAnsiTheme="minorEastAsia" w:eastAsiaTheme="minorEastAsia" w:cstheme="minorEastAsia"/>
          <w:sz w:val="24"/>
          <w:szCs w:val="24"/>
          <w:shd w:val="clear" w:color="auto" w:fill="FFFFFF"/>
        </w:rPr>
        <w:t>日期：                          日期：</w:t>
      </w:r>
    </w:p>
    <w:p>
      <w:pPr>
        <w:pStyle w:val="5"/>
        <w:ind w:left="0" w:leftChars="0" w:firstLine="0" w:firstLineChars="0"/>
        <w:rPr>
          <w:rFonts w:hint="eastAsia"/>
        </w:rPr>
      </w:pPr>
    </w:p>
    <w:p>
      <w:pPr>
        <w:spacing w:line="460" w:lineRule="exact"/>
        <w:jc w:val="center"/>
        <w:outlineLvl w:val="0"/>
        <w:rPr>
          <w:rFonts w:ascii="宋体" w:hAnsi="宋体" w:cs="仿宋"/>
          <w:b/>
          <w:kern w:val="0"/>
          <w:sz w:val="32"/>
          <w:szCs w:val="32"/>
        </w:rPr>
      </w:pPr>
      <w:r>
        <w:rPr>
          <w:rFonts w:hint="eastAsia" w:ascii="宋体" w:hAnsi="宋体" w:cs="仿宋"/>
          <w:b/>
          <w:kern w:val="0"/>
          <w:sz w:val="32"/>
          <w:szCs w:val="32"/>
        </w:rPr>
        <w:t>第</w:t>
      </w:r>
      <w:r>
        <w:rPr>
          <w:rFonts w:hint="eastAsia" w:ascii="宋体" w:hAnsi="宋体" w:cs="仿宋"/>
          <w:b/>
          <w:kern w:val="0"/>
          <w:sz w:val="32"/>
          <w:szCs w:val="32"/>
          <w:lang w:eastAsia="zh-CN"/>
        </w:rPr>
        <w:t>六</w:t>
      </w:r>
      <w:r>
        <w:rPr>
          <w:rFonts w:hint="eastAsia" w:ascii="宋体" w:hAnsi="宋体" w:cs="仿宋"/>
          <w:b/>
          <w:kern w:val="0"/>
          <w:sz w:val="32"/>
          <w:szCs w:val="32"/>
        </w:rPr>
        <w:t>章  响应文件部分格式</w:t>
      </w:r>
      <w:bookmarkEnd w:id="95"/>
    </w:p>
    <w:p>
      <w:pPr>
        <w:widowControl/>
        <w:jc w:val="center"/>
        <w:rPr>
          <w:rFonts w:ascii="宋体" w:hAnsi="宋体" w:cs="仿宋"/>
          <w:b/>
          <w:kern w:val="0"/>
          <w:sz w:val="24"/>
        </w:rPr>
      </w:pPr>
    </w:p>
    <w:p>
      <w:pPr>
        <w:widowControl/>
        <w:jc w:val="center"/>
        <w:rPr>
          <w:rFonts w:ascii="宋体" w:hAnsi="宋体" w:cs="仿宋"/>
          <w:b/>
          <w:kern w:val="0"/>
          <w:sz w:val="24"/>
        </w:rPr>
      </w:pPr>
      <w:r>
        <w:rPr>
          <w:rFonts w:hint="eastAsia" w:ascii="宋体" w:hAnsi="宋体" w:cs="仿宋"/>
          <w:b/>
          <w:kern w:val="0"/>
          <w:sz w:val="24"/>
        </w:rPr>
        <w:t>响应文件封面格式</w:t>
      </w:r>
    </w:p>
    <w:p>
      <w:pPr>
        <w:widowControl/>
        <w:jc w:val="center"/>
        <w:rPr>
          <w:rFonts w:ascii="宋体" w:hAnsi="宋体" w:cs="仿宋"/>
          <w:kern w:val="0"/>
          <w:sz w:val="24"/>
        </w:rPr>
      </w:pPr>
    </w:p>
    <w:p>
      <w:pPr>
        <w:widowControl/>
        <w:pBdr>
          <w:top w:val="single" w:color="auto" w:sz="4" w:space="1"/>
          <w:left w:val="single" w:color="auto" w:sz="4" w:space="4"/>
          <w:bottom w:val="single" w:color="auto" w:sz="4" w:space="31"/>
          <w:right w:val="single" w:color="auto" w:sz="4" w:space="4"/>
        </w:pBdr>
        <w:spacing w:line="480" w:lineRule="auto"/>
        <w:jc w:val="right"/>
        <w:rPr>
          <w:rFonts w:ascii="宋体" w:hAnsi="宋体" w:cs="仿宋"/>
          <w:szCs w:val="21"/>
        </w:rPr>
      </w:pPr>
      <w:r>
        <w:rPr>
          <w:rFonts w:hint="eastAsia" w:ascii="宋体" w:hAnsi="宋体" w:cs="仿宋"/>
          <w:szCs w:val="21"/>
        </w:rPr>
        <w:t>正本/副本</w:t>
      </w:r>
    </w:p>
    <w:p>
      <w:pPr>
        <w:widowControl/>
        <w:pBdr>
          <w:top w:val="single" w:color="auto" w:sz="4" w:space="1"/>
          <w:left w:val="single" w:color="auto" w:sz="4" w:space="4"/>
          <w:bottom w:val="single" w:color="auto" w:sz="4" w:space="31"/>
          <w:right w:val="single" w:color="auto" w:sz="4" w:space="4"/>
        </w:pBdr>
        <w:spacing w:line="480" w:lineRule="auto"/>
        <w:jc w:val="right"/>
        <w:rPr>
          <w:rFonts w:ascii="宋体" w:hAnsi="宋体" w:cs="仿宋"/>
          <w:szCs w:val="21"/>
        </w:rPr>
      </w:pPr>
    </w:p>
    <w:p>
      <w:pPr>
        <w:widowControl/>
        <w:pBdr>
          <w:top w:val="single" w:color="auto" w:sz="4" w:space="1"/>
          <w:left w:val="single" w:color="auto" w:sz="4" w:space="4"/>
          <w:bottom w:val="single" w:color="auto" w:sz="4" w:space="31"/>
          <w:right w:val="single" w:color="auto" w:sz="4" w:space="4"/>
        </w:pBdr>
        <w:spacing w:line="480" w:lineRule="auto"/>
        <w:jc w:val="center"/>
        <w:rPr>
          <w:rFonts w:ascii="宋体" w:hAnsi="宋体" w:cs="仿宋"/>
          <w:b/>
          <w:kern w:val="0"/>
          <w:sz w:val="24"/>
        </w:rPr>
      </w:pPr>
      <w:r>
        <w:rPr>
          <w:rFonts w:hint="eastAsia" w:ascii="宋体" w:hAnsi="宋体" w:cs="仿宋"/>
          <w:b/>
          <w:kern w:val="0"/>
          <w:sz w:val="24"/>
        </w:rPr>
        <w:t>项目名称</w:t>
      </w:r>
    </w:p>
    <w:p>
      <w:pPr>
        <w:widowControl/>
        <w:pBdr>
          <w:top w:val="single" w:color="auto" w:sz="4" w:space="1"/>
          <w:left w:val="single" w:color="auto" w:sz="4" w:space="4"/>
          <w:bottom w:val="single" w:color="auto" w:sz="4" w:space="31"/>
          <w:right w:val="single" w:color="auto" w:sz="4" w:space="4"/>
        </w:pBdr>
        <w:spacing w:line="480" w:lineRule="auto"/>
        <w:jc w:val="center"/>
        <w:rPr>
          <w:rFonts w:ascii="宋体" w:hAnsi="宋体" w:cs="仿宋"/>
          <w:b/>
          <w:kern w:val="0"/>
          <w:sz w:val="24"/>
        </w:rPr>
      </w:pPr>
    </w:p>
    <w:p>
      <w:pPr>
        <w:widowControl/>
        <w:pBdr>
          <w:top w:val="single" w:color="auto" w:sz="4" w:space="1"/>
          <w:left w:val="single" w:color="auto" w:sz="4" w:space="4"/>
          <w:bottom w:val="single" w:color="auto" w:sz="4" w:space="31"/>
          <w:right w:val="single" w:color="auto" w:sz="4" w:space="4"/>
        </w:pBdr>
        <w:spacing w:line="480" w:lineRule="auto"/>
        <w:jc w:val="center"/>
        <w:rPr>
          <w:rFonts w:ascii="宋体" w:hAnsi="宋体" w:cs="仿宋"/>
          <w:b/>
          <w:kern w:val="0"/>
          <w:sz w:val="24"/>
        </w:rPr>
      </w:pPr>
      <w:r>
        <w:rPr>
          <w:rFonts w:hint="eastAsia" w:ascii="宋体" w:hAnsi="宋体" w:cs="仿宋"/>
          <w:b/>
          <w:kern w:val="0"/>
          <w:sz w:val="24"/>
        </w:rPr>
        <w:t>响应文件</w:t>
      </w:r>
    </w:p>
    <w:p>
      <w:pPr>
        <w:widowControl/>
        <w:pBdr>
          <w:top w:val="single" w:color="auto" w:sz="4" w:space="1"/>
          <w:left w:val="single" w:color="auto" w:sz="4" w:space="4"/>
          <w:bottom w:val="single" w:color="auto" w:sz="4" w:space="31"/>
          <w:right w:val="single" w:color="auto" w:sz="4" w:space="4"/>
        </w:pBdr>
        <w:spacing w:line="480" w:lineRule="auto"/>
        <w:jc w:val="center"/>
        <w:rPr>
          <w:rFonts w:ascii="宋体" w:hAnsi="宋体" w:cs="仿宋"/>
          <w:b/>
          <w:kern w:val="0"/>
          <w:sz w:val="24"/>
        </w:rPr>
      </w:pPr>
    </w:p>
    <w:p>
      <w:pPr>
        <w:widowControl/>
        <w:pBdr>
          <w:top w:val="single" w:color="auto" w:sz="4" w:space="1"/>
          <w:left w:val="single" w:color="auto" w:sz="4" w:space="4"/>
          <w:bottom w:val="single" w:color="auto" w:sz="4" w:space="31"/>
          <w:right w:val="single" w:color="auto" w:sz="4" w:space="4"/>
        </w:pBdr>
        <w:spacing w:line="480" w:lineRule="auto"/>
        <w:jc w:val="center"/>
        <w:rPr>
          <w:rFonts w:ascii="宋体" w:hAnsi="宋体" w:cs="仿宋"/>
          <w:b/>
          <w:kern w:val="0"/>
          <w:sz w:val="24"/>
        </w:rPr>
      </w:pPr>
    </w:p>
    <w:p>
      <w:pPr>
        <w:widowControl/>
        <w:pBdr>
          <w:top w:val="single" w:color="auto" w:sz="4" w:space="1"/>
          <w:left w:val="single" w:color="auto" w:sz="4" w:space="4"/>
          <w:bottom w:val="single" w:color="auto" w:sz="4" w:space="31"/>
          <w:right w:val="single" w:color="auto" w:sz="4" w:space="4"/>
        </w:pBdr>
        <w:spacing w:line="480" w:lineRule="auto"/>
        <w:jc w:val="center"/>
        <w:rPr>
          <w:rFonts w:ascii="宋体" w:hAnsi="宋体" w:cs="仿宋"/>
          <w:b/>
          <w:kern w:val="0"/>
          <w:sz w:val="24"/>
        </w:rPr>
      </w:pPr>
    </w:p>
    <w:p>
      <w:pPr>
        <w:widowControl/>
        <w:pBdr>
          <w:top w:val="single" w:color="auto" w:sz="4" w:space="1"/>
          <w:left w:val="single" w:color="auto" w:sz="4" w:space="4"/>
          <w:bottom w:val="single" w:color="auto" w:sz="4" w:space="31"/>
          <w:right w:val="single" w:color="auto" w:sz="4" w:space="4"/>
        </w:pBdr>
        <w:spacing w:line="480" w:lineRule="auto"/>
        <w:jc w:val="center"/>
        <w:rPr>
          <w:rFonts w:ascii="宋体" w:hAnsi="宋体" w:cs="仿宋"/>
          <w:b/>
          <w:kern w:val="0"/>
          <w:sz w:val="24"/>
        </w:rPr>
      </w:pPr>
    </w:p>
    <w:p>
      <w:pPr>
        <w:widowControl/>
        <w:pBdr>
          <w:top w:val="single" w:color="auto" w:sz="4" w:space="1"/>
          <w:left w:val="single" w:color="auto" w:sz="4" w:space="4"/>
          <w:bottom w:val="single" w:color="auto" w:sz="4" w:space="31"/>
          <w:right w:val="single" w:color="auto" w:sz="4" w:space="4"/>
        </w:pBdr>
        <w:spacing w:line="480" w:lineRule="auto"/>
        <w:jc w:val="center"/>
        <w:rPr>
          <w:rFonts w:ascii="宋体" w:hAnsi="宋体" w:cs="仿宋"/>
          <w:b/>
          <w:kern w:val="0"/>
          <w:sz w:val="24"/>
        </w:rPr>
      </w:pPr>
    </w:p>
    <w:p>
      <w:pPr>
        <w:widowControl/>
        <w:pBdr>
          <w:top w:val="single" w:color="auto" w:sz="4" w:space="1"/>
          <w:left w:val="single" w:color="auto" w:sz="4" w:space="4"/>
          <w:bottom w:val="single" w:color="auto" w:sz="4" w:space="31"/>
          <w:right w:val="single" w:color="auto" w:sz="4" w:space="4"/>
        </w:pBdr>
        <w:spacing w:line="480" w:lineRule="auto"/>
        <w:ind w:firstLine="1771" w:firstLineChars="735"/>
        <w:jc w:val="left"/>
        <w:rPr>
          <w:rFonts w:ascii="宋体" w:hAnsi="宋体" w:cs="仿宋"/>
          <w:b/>
          <w:kern w:val="0"/>
          <w:sz w:val="24"/>
        </w:rPr>
      </w:pPr>
      <w:r>
        <w:rPr>
          <w:rFonts w:hint="eastAsia" w:ascii="宋体" w:hAnsi="宋体" w:cs="仿宋"/>
          <w:b/>
          <w:kern w:val="0"/>
          <w:sz w:val="24"/>
          <w:lang w:eastAsia="zh-CN"/>
        </w:rPr>
        <w:t>采购</w:t>
      </w:r>
      <w:r>
        <w:rPr>
          <w:rFonts w:hint="eastAsia" w:ascii="宋体" w:hAnsi="宋体" w:cs="仿宋"/>
          <w:b/>
          <w:kern w:val="0"/>
          <w:sz w:val="24"/>
        </w:rPr>
        <w:t>编号：</w:t>
      </w:r>
    </w:p>
    <w:p>
      <w:pPr>
        <w:widowControl/>
        <w:pBdr>
          <w:top w:val="single" w:color="auto" w:sz="4" w:space="1"/>
          <w:left w:val="single" w:color="auto" w:sz="4" w:space="4"/>
          <w:bottom w:val="single" w:color="auto" w:sz="4" w:space="31"/>
          <w:right w:val="single" w:color="auto" w:sz="4" w:space="4"/>
        </w:pBdr>
        <w:spacing w:line="480" w:lineRule="auto"/>
        <w:ind w:firstLine="1771" w:firstLineChars="735"/>
        <w:jc w:val="left"/>
        <w:rPr>
          <w:rFonts w:ascii="宋体" w:hAnsi="宋体" w:cs="仿宋"/>
          <w:b/>
          <w:kern w:val="0"/>
          <w:sz w:val="24"/>
        </w:rPr>
      </w:pPr>
      <w:r>
        <w:rPr>
          <w:rFonts w:hint="eastAsia" w:ascii="宋体" w:hAnsi="宋体" w:cs="仿宋"/>
          <w:b/>
          <w:kern w:val="0"/>
          <w:sz w:val="24"/>
          <w:lang w:eastAsia="zh-CN"/>
        </w:rPr>
        <w:t>交易</w:t>
      </w:r>
      <w:r>
        <w:rPr>
          <w:rFonts w:hint="eastAsia" w:ascii="宋体" w:hAnsi="宋体" w:cs="仿宋"/>
          <w:b/>
          <w:kern w:val="0"/>
          <w:sz w:val="24"/>
        </w:rPr>
        <w:t>编号：</w:t>
      </w:r>
    </w:p>
    <w:p>
      <w:pPr>
        <w:widowControl/>
        <w:pBdr>
          <w:top w:val="single" w:color="auto" w:sz="4" w:space="1"/>
          <w:left w:val="single" w:color="auto" w:sz="4" w:space="4"/>
          <w:bottom w:val="single" w:color="auto" w:sz="4" w:space="31"/>
          <w:right w:val="single" w:color="auto" w:sz="4" w:space="4"/>
        </w:pBdr>
        <w:spacing w:line="480" w:lineRule="auto"/>
        <w:ind w:firstLine="1771" w:firstLineChars="735"/>
        <w:jc w:val="left"/>
        <w:rPr>
          <w:rFonts w:ascii="宋体" w:hAnsi="宋体" w:cs="仿宋"/>
          <w:b/>
          <w:kern w:val="0"/>
          <w:sz w:val="24"/>
        </w:rPr>
      </w:pPr>
      <w:r>
        <w:rPr>
          <w:rFonts w:hint="eastAsia" w:ascii="宋体" w:hAnsi="宋体" w:cs="仿宋"/>
          <w:b/>
          <w:kern w:val="0"/>
          <w:sz w:val="24"/>
        </w:rPr>
        <w:t>供应商名称：（盖章）</w:t>
      </w:r>
    </w:p>
    <w:p>
      <w:pPr>
        <w:widowControl/>
        <w:pBdr>
          <w:top w:val="single" w:color="auto" w:sz="4" w:space="1"/>
          <w:left w:val="single" w:color="auto" w:sz="4" w:space="4"/>
          <w:bottom w:val="single" w:color="auto" w:sz="4" w:space="31"/>
          <w:right w:val="single" w:color="auto" w:sz="4" w:space="4"/>
        </w:pBdr>
        <w:spacing w:line="480" w:lineRule="auto"/>
        <w:ind w:firstLine="1771" w:firstLineChars="735"/>
        <w:jc w:val="left"/>
        <w:rPr>
          <w:rFonts w:ascii="宋体" w:hAnsi="宋体" w:cs="仿宋"/>
          <w:b/>
          <w:kern w:val="0"/>
          <w:sz w:val="24"/>
        </w:rPr>
      </w:pPr>
      <w:r>
        <w:rPr>
          <w:rFonts w:hint="eastAsia" w:ascii="宋体" w:hAnsi="宋体" w:cs="仿宋"/>
          <w:b/>
          <w:kern w:val="0"/>
          <w:sz w:val="24"/>
        </w:rPr>
        <w:t>法定代表人（单位负责人）或委托代理人：（签字或盖章）</w:t>
      </w:r>
    </w:p>
    <w:p>
      <w:pPr>
        <w:widowControl/>
        <w:pBdr>
          <w:top w:val="single" w:color="auto" w:sz="4" w:space="1"/>
          <w:left w:val="single" w:color="auto" w:sz="4" w:space="4"/>
          <w:bottom w:val="single" w:color="auto" w:sz="4" w:space="31"/>
          <w:right w:val="single" w:color="auto" w:sz="4" w:space="4"/>
        </w:pBdr>
        <w:spacing w:line="480" w:lineRule="auto"/>
        <w:ind w:firstLine="1771" w:firstLineChars="735"/>
        <w:jc w:val="left"/>
        <w:rPr>
          <w:rFonts w:ascii="宋体" w:hAnsi="宋体" w:cs="仿宋"/>
          <w:b/>
          <w:kern w:val="0"/>
          <w:sz w:val="24"/>
        </w:rPr>
      </w:pPr>
      <w:r>
        <w:rPr>
          <w:rFonts w:hint="eastAsia" w:ascii="宋体" w:hAnsi="宋体" w:cs="仿宋"/>
          <w:b/>
          <w:kern w:val="0"/>
          <w:sz w:val="24"/>
        </w:rPr>
        <w:t>日  期：     年   月   日</w:t>
      </w:r>
    </w:p>
    <w:p>
      <w:pPr>
        <w:widowControl/>
        <w:pBdr>
          <w:top w:val="single" w:color="auto" w:sz="4" w:space="1"/>
          <w:left w:val="single" w:color="auto" w:sz="4" w:space="4"/>
          <w:bottom w:val="single" w:color="auto" w:sz="4" w:space="31"/>
          <w:right w:val="single" w:color="auto" w:sz="4" w:space="4"/>
        </w:pBdr>
        <w:spacing w:line="480" w:lineRule="auto"/>
        <w:ind w:firstLine="1771" w:firstLineChars="735"/>
        <w:jc w:val="left"/>
        <w:rPr>
          <w:rFonts w:ascii="宋体" w:hAnsi="宋体" w:cs="仿宋"/>
          <w:b/>
          <w:kern w:val="0"/>
          <w:sz w:val="24"/>
        </w:rPr>
      </w:pPr>
    </w:p>
    <w:p>
      <w:pPr>
        <w:widowControl/>
        <w:jc w:val="left"/>
        <w:rPr>
          <w:rFonts w:ascii="宋体" w:hAnsi="宋体" w:cs="仿宋"/>
          <w:b/>
          <w:sz w:val="24"/>
        </w:rPr>
      </w:pPr>
      <w:bookmarkStart w:id="96" w:name="_Toc449027487"/>
      <w:bookmarkStart w:id="97" w:name="_Toc369002845"/>
      <w:bookmarkStart w:id="98" w:name="_Toc449027573"/>
      <w:r>
        <w:rPr>
          <w:rFonts w:hint="eastAsia" w:ascii="宋体" w:hAnsi="宋体" w:cs="仿宋"/>
          <w:b/>
          <w:sz w:val="24"/>
        </w:rPr>
        <w:br w:type="page"/>
      </w:r>
    </w:p>
    <w:bookmarkEnd w:id="96"/>
    <w:bookmarkEnd w:id="97"/>
    <w:bookmarkEnd w:id="98"/>
    <w:p>
      <w:pPr>
        <w:rPr>
          <w:rFonts w:ascii="宋体" w:hAnsi="宋体" w:cs="仿宋"/>
          <w:sz w:val="20"/>
        </w:rPr>
      </w:pPr>
    </w:p>
    <w:p>
      <w:pPr>
        <w:rPr>
          <w:rFonts w:ascii="宋体" w:hAnsi="宋体" w:cs="仿宋"/>
          <w:b/>
          <w:szCs w:val="21"/>
        </w:rPr>
      </w:pPr>
      <w:bookmarkStart w:id="99" w:name="_Toc32835897"/>
      <w:r>
        <w:rPr>
          <w:rFonts w:hint="eastAsia" w:ascii="宋体" w:hAnsi="宋体" w:cs="仿宋"/>
          <w:b/>
          <w:szCs w:val="21"/>
        </w:rPr>
        <w:t>附件1</w:t>
      </w:r>
      <w:bookmarkEnd w:id="99"/>
    </w:p>
    <w:p>
      <w:pPr>
        <w:snapToGrid w:val="0"/>
        <w:spacing w:line="360" w:lineRule="auto"/>
        <w:jc w:val="center"/>
        <w:rPr>
          <w:rFonts w:ascii="宋体" w:hAnsi="宋体" w:cs="仿宋"/>
          <w:b/>
          <w:sz w:val="24"/>
          <w:szCs w:val="24"/>
        </w:rPr>
      </w:pPr>
      <w:bookmarkStart w:id="100" w:name="_Toc32835898"/>
      <w:r>
        <w:rPr>
          <w:rFonts w:hint="eastAsia" w:ascii="宋体" w:hAnsi="宋体" w:cs="仿宋"/>
          <w:b/>
          <w:sz w:val="24"/>
          <w:szCs w:val="24"/>
        </w:rPr>
        <w:t>报 价 函</w:t>
      </w:r>
      <w:bookmarkEnd w:id="100"/>
    </w:p>
    <w:p>
      <w:pPr>
        <w:snapToGrid w:val="0"/>
        <w:spacing w:line="480" w:lineRule="auto"/>
        <w:rPr>
          <w:rFonts w:ascii="宋体" w:hAnsi="宋体" w:cs="仿宋"/>
          <w:sz w:val="24"/>
          <w:szCs w:val="24"/>
        </w:rPr>
      </w:pPr>
      <w:r>
        <w:rPr>
          <w:rFonts w:hint="eastAsia" w:ascii="宋体" w:hAnsi="宋体" w:cs="仿宋"/>
          <w:sz w:val="24"/>
          <w:szCs w:val="24"/>
        </w:rPr>
        <w:t>致：</w:t>
      </w:r>
      <w:r>
        <w:rPr>
          <w:rFonts w:hint="eastAsia" w:ascii="宋体" w:hAnsi="宋体" w:cs="仿宋"/>
          <w:sz w:val="24"/>
          <w:szCs w:val="24"/>
          <w:u w:val="single"/>
        </w:rPr>
        <w:t>（采购人）</w:t>
      </w:r>
    </w:p>
    <w:p>
      <w:pPr>
        <w:snapToGrid w:val="0"/>
        <w:spacing w:line="480" w:lineRule="auto"/>
        <w:ind w:firstLine="480" w:firstLineChars="200"/>
        <w:rPr>
          <w:rFonts w:ascii="宋体" w:hAnsi="宋体" w:cs="仿宋"/>
          <w:sz w:val="24"/>
          <w:szCs w:val="24"/>
        </w:rPr>
      </w:pPr>
      <w:r>
        <w:rPr>
          <w:rFonts w:hint="eastAsia" w:ascii="宋体" w:hAnsi="宋体" w:cs="仿宋"/>
          <w:sz w:val="24"/>
          <w:szCs w:val="24"/>
        </w:rPr>
        <w:t>根据贵方为（</w:t>
      </w:r>
      <w:r>
        <w:rPr>
          <w:rFonts w:hint="eastAsia" w:ascii="宋体" w:hAnsi="宋体" w:cs="仿宋"/>
          <w:sz w:val="24"/>
          <w:szCs w:val="24"/>
          <w:u w:val="single"/>
        </w:rPr>
        <w:t>项目名称</w:t>
      </w:r>
      <w:r>
        <w:rPr>
          <w:rFonts w:hint="eastAsia" w:ascii="宋体" w:hAnsi="宋体" w:cs="仿宋"/>
          <w:sz w:val="24"/>
          <w:szCs w:val="24"/>
        </w:rPr>
        <w:t>）项目的</w:t>
      </w:r>
      <w:r>
        <w:rPr>
          <w:rFonts w:hint="eastAsia" w:ascii="宋体" w:hAnsi="宋体" w:cs="仿宋"/>
          <w:sz w:val="24"/>
          <w:szCs w:val="24"/>
          <w:lang w:eastAsia="zh-CN"/>
        </w:rPr>
        <w:t>公开招标</w:t>
      </w:r>
      <w:r>
        <w:rPr>
          <w:rFonts w:hint="eastAsia" w:ascii="宋体" w:hAnsi="宋体" w:cs="仿宋"/>
          <w:sz w:val="24"/>
          <w:szCs w:val="24"/>
        </w:rPr>
        <w:t>公告，签字代表（</w:t>
      </w:r>
      <w:r>
        <w:rPr>
          <w:rFonts w:hint="eastAsia" w:ascii="宋体" w:hAnsi="宋体" w:cs="仿宋"/>
          <w:sz w:val="24"/>
          <w:szCs w:val="24"/>
          <w:u w:val="single"/>
        </w:rPr>
        <w:t>姓名、职务</w:t>
      </w:r>
      <w:r>
        <w:rPr>
          <w:rFonts w:hint="eastAsia" w:ascii="宋体" w:hAnsi="宋体" w:cs="仿宋"/>
          <w:sz w:val="24"/>
          <w:szCs w:val="24"/>
        </w:rPr>
        <w:t>）经正式授权并代表供应商（</w:t>
      </w:r>
      <w:r>
        <w:rPr>
          <w:rFonts w:hint="eastAsia" w:ascii="宋体" w:hAnsi="宋体" w:cs="仿宋"/>
          <w:sz w:val="24"/>
          <w:szCs w:val="24"/>
          <w:u w:val="single"/>
        </w:rPr>
        <w:t>供应商名称</w:t>
      </w:r>
      <w:r>
        <w:rPr>
          <w:rFonts w:hint="eastAsia" w:ascii="宋体" w:hAnsi="宋体" w:cs="仿宋"/>
          <w:sz w:val="24"/>
          <w:szCs w:val="24"/>
        </w:rPr>
        <w:t>）提交下述文件：</w:t>
      </w:r>
    </w:p>
    <w:p>
      <w:pPr>
        <w:snapToGrid w:val="0"/>
        <w:spacing w:line="480" w:lineRule="auto"/>
        <w:ind w:firstLine="480" w:firstLineChars="200"/>
        <w:rPr>
          <w:rFonts w:ascii="宋体" w:hAnsi="宋体" w:cs="仿宋"/>
          <w:sz w:val="24"/>
          <w:szCs w:val="24"/>
          <w:u w:val="single"/>
        </w:rPr>
      </w:pPr>
      <w:r>
        <w:rPr>
          <w:rFonts w:hint="eastAsia" w:ascii="宋体" w:hAnsi="宋体" w:cs="仿宋"/>
          <w:sz w:val="24"/>
          <w:szCs w:val="24"/>
        </w:rPr>
        <w:t>1、我方总报价为</w:t>
      </w:r>
      <w:r>
        <w:rPr>
          <w:rFonts w:hint="eastAsia" w:ascii="宋体" w:hAnsi="宋体" w:cs="仿宋"/>
          <w:sz w:val="24"/>
          <w:szCs w:val="24"/>
          <w:u w:val="single"/>
        </w:rPr>
        <w:t xml:space="preserve">            元</w:t>
      </w:r>
      <w:r>
        <w:rPr>
          <w:rFonts w:hint="eastAsia" w:ascii="宋体" w:hAnsi="宋体" w:cs="仿宋"/>
          <w:sz w:val="24"/>
          <w:szCs w:val="24"/>
        </w:rPr>
        <w:t>。</w:t>
      </w:r>
    </w:p>
    <w:p>
      <w:pPr>
        <w:snapToGrid w:val="0"/>
        <w:spacing w:line="480" w:lineRule="auto"/>
        <w:ind w:firstLine="480" w:firstLineChars="200"/>
        <w:rPr>
          <w:rFonts w:ascii="宋体" w:hAnsi="宋体" w:cs="仿宋"/>
          <w:sz w:val="24"/>
          <w:szCs w:val="24"/>
        </w:rPr>
      </w:pPr>
      <w:r>
        <w:rPr>
          <w:rFonts w:hint="eastAsia" w:ascii="宋体" w:hAnsi="宋体" w:cs="仿宋"/>
          <w:sz w:val="24"/>
          <w:szCs w:val="24"/>
        </w:rPr>
        <w:t>2、供应商将按招标文件的规定履行合同责任和义务。</w:t>
      </w:r>
    </w:p>
    <w:p>
      <w:pPr>
        <w:snapToGrid w:val="0"/>
        <w:spacing w:line="480" w:lineRule="auto"/>
        <w:ind w:firstLine="480" w:firstLineChars="200"/>
        <w:rPr>
          <w:rFonts w:ascii="宋体" w:hAnsi="宋体" w:cs="仿宋"/>
          <w:sz w:val="24"/>
          <w:szCs w:val="24"/>
        </w:rPr>
      </w:pPr>
      <w:r>
        <w:rPr>
          <w:rFonts w:hint="eastAsia" w:ascii="宋体" w:hAnsi="宋体" w:cs="仿宋"/>
          <w:sz w:val="24"/>
          <w:szCs w:val="24"/>
        </w:rPr>
        <w:t>3、供应商已详细审查全部招标文件，包括补充通知(如有)。我们完全理解并同意放弃对这方面有不明及误解的权力。</w:t>
      </w:r>
    </w:p>
    <w:p>
      <w:pPr>
        <w:snapToGrid w:val="0"/>
        <w:spacing w:line="480" w:lineRule="auto"/>
        <w:ind w:firstLine="480" w:firstLineChars="200"/>
        <w:rPr>
          <w:rFonts w:ascii="宋体" w:hAnsi="宋体" w:cs="仿宋"/>
          <w:sz w:val="24"/>
          <w:szCs w:val="24"/>
        </w:rPr>
      </w:pPr>
      <w:r>
        <w:rPr>
          <w:rFonts w:hint="eastAsia" w:ascii="宋体" w:hAnsi="宋体" w:cs="仿宋"/>
          <w:sz w:val="24"/>
          <w:szCs w:val="24"/>
        </w:rPr>
        <w:t>4、本响应文件有效期</w:t>
      </w:r>
      <w:r>
        <w:rPr>
          <w:rFonts w:hint="eastAsia" w:ascii="宋体" w:hAnsi="宋体" w:cs="仿宋"/>
          <w:sz w:val="24"/>
          <w:szCs w:val="24"/>
          <w:u w:val="single"/>
        </w:rPr>
        <w:t xml:space="preserve">              </w:t>
      </w:r>
      <w:r>
        <w:rPr>
          <w:rFonts w:hint="eastAsia" w:ascii="宋体" w:hAnsi="宋体" w:cs="仿宋"/>
          <w:sz w:val="24"/>
          <w:szCs w:val="24"/>
        </w:rPr>
        <w:t>。</w:t>
      </w:r>
    </w:p>
    <w:p>
      <w:pPr>
        <w:snapToGrid w:val="0"/>
        <w:spacing w:line="480" w:lineRule="auto"/>
        <w:ind w:firstLine="480" w:firstLineChars="200"/>
        <w:rPr>
          <w:rFonts w:ascii="宋体" w:hAnsi="宋体" w:cs="仿宋"/>
          <w:sz w:val="24"/>
          <w:szCs w:val="24"/>
        </w:rPr>
      </w:pPr>
      <w:r>
        <w:rPr>
          <w:rFonts w:hint="eastAsia" w:ascii="宋体" w:hAnsi="宋体" w:cs="仿宋"/>
          <w:sz w:val="24"/>
          <w:szCs w:val="24"/>
        </w:rPr>
        <w:t>5、根据供应商须知的规定，我方承诺，与采购单位聘请的为此项目提供咨询服务的公司及任何附属机构均无关联，我方不是采购单位的附属机构。</w:t>
      </w:r>
    </w:p>
    <w:p>
      <w:pPr>
        <w:snapToGrid w:val="0"/>
        <w:spacing w:line="480" w:lineRule="auto"/>
        <w:ind w:firstLine="480" w:firstLineChars="200"/>
        <w:rPr>
          <w:rFonts w:ascii="宋体" w:hAnsi="宋体" w:cs="仿宋"/>
          <w:sz w:val="24"/>
          <w:szCs w:val="24"/>
        </w:rPr>
      </w:pPr>
      <w:r>
        <w:rPr>
          <w:rFonts w:hint="eastAsia" w:ascii="宋体" w:hAnsi="宋体" w:cs="仿宋"/>
          <w:sz w:val="24"/>
          <w:szCs w:val="24"/>
        </w:rPr>
        <w:t>6、我方同意提供按照贵方可能要求的与其响应文件有关的一切数据或资料，完全理解贵方不一定接受最低报价的响应文件或收到的任何响应文件。</w:t>
      </w:r>
    </w:p>
    <w:p>
      <w:pPr>
        <w:snapToGrid w:val="0"/>
        <w:spacing w:line="360" w:lineRule="auto"/>
        <w:rPr>
          <w:rFonts w:ascii="宋体" w:hAnsi="宋体" w:cs="仿宋"/>
          <w:sz w:val="24"/>
          <w:szCs w:val="24"/>
        </w:rPr>
      </w:pPr>
    </w:p>
    <w:p>
      <w:pPr>
        <w:snapToGrid w:val="0"/>
        <w:spacing w:line="360" w:lineRule="auto"/>
        <w:rPr>
          <w:rFonts w:ascii="宋体" w:hAnsi="宋体" w:cs="仿宋"/>
          <w:sz w:val="24"/>
          <w:szCs w:val="24"/>
        </w:rPr>
      </w:pPr>
    </w:p>
    <w:p>
      <w:pPr>
        <w:snapToGrid w:val="0"/>
        <w:spacing w:line="360" w:lineRule="auto"/>
        <w:rPr>
          <w:rFonts w:ascii="宋体" w:hAnsi="宋体" w:cs="仿宋"/>
          <w:sz w:val="24"/>
          <w:szCs w:val="24"/>
        </w:rPr>
      </w:pPr>
      <w:r>
        <w:rPr>
          <w:rFonts w:hint="eastAsia" w:ascii="宋体" w:hAnsi="宋体" w:cs="仿宋"/>
          <w:sz w:val="24"/>
          <w:szCs w:val="24"/>
        </w:rPr>
        <w:t>供应商名称（盖章）：_________________</w:t>
      </w:r>
    </w:p>
    <w:p>
      <w:pPr>
        <w:snapToGrid w:val="0"/>
        <w:spacing w:line="360" w:lineRule="auto"/>
        <w:rPr>
          <w:rFonts w:ascii="宋体" w:hAnsi="宋体" w:cs="仿宋"/>
          <w:sz w:val="24"/>
          <w:szCs w:val="24"/>
          <w:u w:val="single"/>
        </w:rPr>
      </w:pPr>
      <w:r>
        <w:rPr>
          <w:rFonts w:hint="eastAsia" w:ascii="宋体" w:hAnsi="宋体" w:cs="仿宋"/>
          <w:sz w:val="24"/>
          <w:szCs w:val="24"/>
        </w:rPr>
        <w:t>法定代表人（单位负责人）或委托代理人（签字或盖章）：_____________</w:t>
      </w:r>
    </w:p>
    <w:p>
      <w:pPr>
        <w:snapToGrid w:val="0"/>
        <w:spacing w:line="360" w:lineRule="auto"/>
        <w:rPr>
          <w:rFonts w:ascii="宋体" w:hAnsi="宋体" w:cs="仿宋"/>
          <w:sz w:val="24"/>
          <w:szCs w:val="24"/>
        </w:rPr>
      </w:pPr>
      <w:r>
        <w:rPr>
          <w:rFonts w:hint="eastAsia" w:ascii="宋体" w:hAnsi="宋体" w:cs="仿宋"/>
          <w:sz w:val="24"/>
          <w:szCs w:val="24"/>
        </w:rPr>
        <w:t>日期：</w:t>
      </w:r>
    </w:p>
    <w:p>
      <w:pPr>
        <w:rPr>
          <w:rFonts w:ascii="宋体" w:hAnsi="宋体" w:cs="仿宋"/>
          <w:b/>
          <w:bCs/>
          <w:szCs w:val="21"/>
        </w:rPr>
      </w:pPr>
      <w:r>
        <w:rPr>
          <w:rFonts w:hint="eastAsia" w:ascii="宋体" w:hAnsi="宋体" w:cs="仿宋"/>
          <w:szCs w:val="21"/>
        </w:rPr>
        <w:br w:type="page"/>
      </w:r>
      <w:bookmarkStart w:id="101" w:name="_Toc18214"/>
      <w:r>
        <w:rPr>
          <w:rFonts w:hint="eastAsia" w:ascii="宋体" w:hAnsi="宋体" w:cs="仿宋"/>
          <w:b/>
          <w:bCs/>
          <w:sz w:val="24"/>
          <w:szCs w:val="24"/>
        </w:rPr>
        <w:t>附件1.1</w:t>
      </w:r>
      <w:bookmarkEnd w:id="101"/>
    </w:p>
    <w:p>
      <w:pPr>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报价一览表</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项目名称：___________</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采购</w:t>
      </w:r>
      <w:r>
        <w:rPr>
          <w:rFonts w:hint="eastAsia" w:asciiTheme="minorEastAsia" w:hAnsiTheme="minorEastAsia" w:eastAsiaTheme="minorEastAsia" w:cstheme="minorEastAsia"/>
          <w:sz w:val="24"/>
          <w:szCs w:val="24"/>
        </w:rPr>
        <w:t>编号：___________单位：元</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6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5" w:hRule="atLeast"/>
          <w:jc w:val="center"/>
        </w:trPr>
        <w:tc>
          <w:tcPr>
            <w:tcW w:w="2448" w:type="dxa"/>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w:t>
            </w:r>
          </w:p>
        </w:tc>
        <w:tc>
          <w:tcPr>
            <w:tcW w:w="6838" w:type="dxa"/>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5" w:hRule="atLeast"/>
          <w:jc w:val="center"/>
        </w:trPr>
        <w:tc>
          <w:tcPr>
            <w:tcW w:w="2448" w:type="dxa"/>
            <w:vMerge w:val="restart"/>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总报价</w:t>
            </w:r>
          </w:p>
        </w:tc>
        <w:tc>
          <w:tcPr>
            <w:tcW w:w="6838" w:type="dxa"/>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0" w:hRule="atLeast"/>
          <w:jc w:val="center"/>
        </w:trPr>
        <w:tc>
          <w:tcPr>
            <w:tcW w:w="2448" w:type="dxa"/>
            <w:vMerge w:val="continue"/>
            <w:vAlign w:val="center"/>
          </w:tcPr>
          <w:p>
            <w:pPr>
              <w:jc w:val="center"/>
              <w:rPr>
                <w:rFonts w:hint="eastAsia" w:asciiTheme="minorEastAsia" w:hAnsiTheme="minorEastAsia" w:eastAsiaTheme="minorEastAsia" w:cstheme="minorEastAsia"/>
                <w:sz w:val="24"/>
                <w:szCs w:val="24"/>
              </w:rPr>
            </w:pPr>
          </w:p>
        </w:tc>
        <w:tc>
          <w:tcPr>
            <w:tcW w:w="6838" w:type="dxa"/>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448" w:type="dxa"/>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服务期限</w:t>
            </w:r>
          </w:p>
        </w:tc>
        <w:tc>
          <w:tcPr>
            <w:tcW w:w="6838" w:type="dxa"/>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448" w:type="dxa"/>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质量</w:t>
            </w:r>
          </w:p>
        </w:tc>
        <w:tc>
          <w:tcPr>
            <w:tcW w:w="6838" w:type="dxa"/>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448" w:type="dxa"/>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服务地点</w:t>
            </w:r>
          </w:p>
        </w:tc>
        <w:tc>
          <w:tcPr>
            <w:tcW w:w="6838" w:type="dxa"/>
            <w:vAlign w:val="center"/>
          </w:tcPr>
          <w:p>
            <w:pP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2448" w:type="dxa"/>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付款方式</w:t>
            </w:r>
          </w:p>
        </w:tc>
        <w:tc>
          <w:tcPr>
            <w:tcW w:w="6838" w:type="dxa"/>
            <w:vAlign w:val="center"/>
          </w:tcPr>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同</w:t>
            </w:r>
            <w:r>
              <w:rPr>
                <w:rFonts w:hint="eastAsia" w:asciiTheme="minorEastAsia" w:hAnsiTheme="minorEastAsia" w:eastAsiaTheme="minorEastAsia" w:cstheme="minorEastAsia"/>
                <w:sz w:val="24"/>
                <w:szCs w:val="24"/>
                <w:lang w:eastAsia="zh-CN"/>
              </w:rPr>
              <w:t>招标</w:t>
            </w:r>
            <w:r>
              <w:rPr>
                <w:rFonts w:hint="eastAsia" w:asciiTheme="minorEastAsia" w:hAnsiTheme="minorEastAsia" w:eastAsiaTheme="minorEastAsia" w:cstheme="minorEastAsia"/>
                <w:sz w:val="24"/>
                <w:szCs w:val="24"/>
              </w:rPr>
              <w:t>文件要求</w:t>
            </w:r>
          </w:p>
        </w:tc>
      </w:tr>
    </w:tbl>
    <w:p>
      <w:pPr>
        <w:rPr>
          <w:rFonts w:hint="eastAsia" w:asciiTheme="minorEastAsia" w:hAnsiTheme="minorEastAsia" w:eastAsiaTheme="minorEastAsia" w:cstheme="minorEastAsia"/>
          <w:sz w:val="24"/>
          <w:szCs w:val="24"/>
        </w:rPr>
      </w:pPr>
    </w:p>
    <w:p>
      <w:pPr>
        <w:rPr>
          <w:rFonts w:hint="eastAsia" w:asciiTheme="minorEastAsia" w:hAnsiTheme="minorEastAsia" w:eastAsiaTheme="minorEastAsia" w:cstheme="minorEastAsia"/>
          <w:sz w:val="24"/>
          <w:szCs w:val="24"/>
        </w:rPr>
      </w:pPr>
    </w:p>
    <w:p>
      <w:pPr>
        <w:snapToGrid w:val="0"/>
        <w:spacing w:line="48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供应商名称（盖章）：_________________</w:t>
      </w:r>
    </w:p>
    <w:p>
      <w:pPr>
        <w:snapToGrid w:val="0"/>
        <w:spacing w:line="480" w:lineRule="auto"/>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法定代表人（单位负责人）或委托代理人（签字或盖章）：_____________</w:t>
      </w:r>
    </w:p>
    <w:p>
      <w:pPr>
        <w:snapToGrid w:val="0"/>
        <w:spacing w:line="48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w:t>
      </w: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sz w:val="24"/>
          <w:szCs w:val="24"/>
        </w:rPr>
      </w:pPr>
    </w:p>
    <w:p>
      <w:pPr>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附件1.2  报价明细表（格式自拟）</w:t>
      </w:r>
    </w:p>
    <w:p>
      <w:pPr>
        <w:widowControl/>
        <w:jc w:val="left"/>
        <w:rPr>
          <w:rFonts w:hint="eastAsia" w:asciiTheme="minorEastAsia" w:hAnsiTheme="minorEastAsia" w:eastAsiaTheme="minorEastAsia" w:cstheme="minorEastAsia"/>
          <w:sz w:val="24"/>
          <w:szCs w:val="24"/>
        </w:rPr>
      </w:pPr>
      <w:bookmarkStart w:id="102" w:name="_Toc32835899"/>
      <w:r>
        <w:rPr>
          <w:rFonts w:hint="eastAsia" w:asciiTheme="minorEastAsia" w:hAnsiTheme="minorEastAsia" w:eastAsiaTheme="minorEastAsia" w:cstheme="minorEastAsia"/>
          <w:sz w:val="24"/>
          <w:szCs w:val="24"/>
        </w:rPr>
        <w:br w:type="page"/>
      </w:r>
    </w:p>
    <w:p>
      <w:pPr>
        <w:spacing w:line="48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附件2</w:t>
      </w:r>
      <w:bookmarkEnd w:id="102"/>
    </w:p>
    <w:p>
      <w:pP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附件2.1     </w:t>
      </w:r>
    </w:p>
    <w:p>
      <w:pPr>
        <w:jc w:val="cente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法定代表人（单位负责人）身份证明（供应商代表为法定代表人时须提供此项）</w:t>
      </w:r>
    </w:p>
    <w:p>
      <w:pPr>
        <w:rPr>
          <w:rFonts w:hint="eastAsia" w:asciiTheme="minorEastAsia" w:hAnsiTheme="minorEastAsia" w:eastAsiaTheme="minorEastAsia" w:cstheme="minorEastAsia"/>
          <w:b/>
          <w:bCs/>
          <w:sz w:val="24"/>
          <w:szCs w:val="24"/>
        </w:rPr>
      </w:pP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供应商名称：______________</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单位性质：________________</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地址：____________________</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成立时间：______年__月__日</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经营期限：________________</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姓名：_________性别：_____年龄：______职务：________</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系________________（供应商名称）的法定代表人。</w:t>
      </w:r>
    </w:p>
    <w:p>
      <w:pPr>
        <w:snapToGrid w:val="0"/>
        <w:spacing w:line="360" w:lineRule="auto"/>
        <w:ind w:firstLine="360" w:firstLineChars="150"/>
        <w:rPr>
          <w:rFonts w:hint="eastAsia" w:asciiTheme="minorEastAsia" w:hAnsiTheme="minorEastAsia" w:eastAsiaTheme="minorEastAsia" w:cstheme="minorEastAsia"/>
          <w:sz w:val="24"/>
          <w:szCs w:val="24"/>
        </w:rPr>
      </w:pPr>
    </w:p>
    <w:p>
      <w:pPr>
        <w:snapToGrid w:val="0"/>
        <w:spacing w:line="360" w:lineRule="auto"/>
        <w:ind w:firstLine="720" w:firstLine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特此证明。</w:t>
      </w:r>
    </w:p>
    <w:p>
      <w:pPr>
        <w:snapToGrid w:val="0"/>
        <w:spacing w:line="360" w:lineRule="auto"/>
        <w:rPr>
          <w:rFonts w:hint="eastAsia" w:asciiTheme="minorEastAsia" w:hAnsiTheme="minorEastAsia" w:eastAsiaTheme="minorEastAsia" w:cstheme="minorEastAsia"/>
          <w:sz w:val="24"/>
          <w:szCs w:val="24"/>
        </w:rPr>
      </w:pPr>
    </w:p>
    <w:p>
      <w:pPr>
        <w:snapToGrid w:val="0"/>
        <w:spacing w:line="360" w:lineRule="auto"/>
        <w:rPr>
          <w:rFonts w:hint="eastAsia" w:asciiTheme="minorEastAsia" w:hAnsiTheme="minorEastAsia" w:eastAsiaTheme="minorEastAsia" w:cstheme="minorEastAsia"/>
          <w:sz w:val="24"/>
          <w:szCs w:val="24"/>
        </w:rPr>
      </w:pPr>
    </w:p>
    <w:p>
      <w:pPr>
        <w:snapToGrid w:val="0"/>
        <w:spacing w:line="360" w:lineRule="auto"/>
        <w:rPr>
          <w:rFonts w:hint="eastAsia" w:asciiTheme="minorEastAsia" w:hAnsiTheme="minorEastAsia" w:eastAsiaTheme="minorEastAsia" w:cstheme="minorEastAsia"/>
          <w:sz w:val="24"/>
          <w:szCs w:val="24"/>
        </w:rPr>
      </w:pPr>
    </w:p>
    <w:p>
      <w:pPr>
        <w:snapToGrid w:val="0"/>
        <w:spacing w:line="360" w:lineRule="auto"/>
        <w:ind w:firstLine="5040" w:firstLineChars="2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供应商：________________（盖单位章）</w:t>
      </w:r>
    </w:p>
    <w:p>
      <w:pPr>
        <w:snapToGrid w:val="0"/>
        <w:spacing w:line="360" w:lineRule="auto"/>
        <w:ind w:firstLine="2880" w:firstLineChars="1200"/>
        <w:rPr>
          <w:rFonts w:hint="eastAsia" w:asciiTheme="minorEastAsia" w:hAnsiTheme="minorEastAsia" w:eastAsiaTheme="minorEastAsia" w:cstheme="minorEastAsia"/>
          <w:sz w:val="24"/>
          <w:szCs w:val="24"/>
        </w:rPr>
      </w:pPr>
    </w:p>
    <w:p>
      <w:pPr>
        <w:snapToGrid w:val="0"/>
        <w:spacing w:line="360" w:lineRule="auto"/>
        <w:ind w:firstLine="6000" w:firstLineChars="25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________年__月__日</w:t>
      </w: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附：法定代表人身份证明复印件（正反两面）</w:t>
      </w:r>
    </w:p>
    <w:p>
      <w:pPr>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br w:type="page"/>
      </w:r>
      <w:r>
        <w:rPr>
          <w:rFonts w:hint="eastAsia" w:asciiTheme="minorEastAsia" w:hAnsiTheme="minorEastAsia" w:eastAsiaTheme="minorEastAsia" w:cstheme="minorEastAsia"/>
          <w:b/>
          <w:bCs/>
          <w:sz w:val="24"/>
          <w:szCs w:val="24"/>
        </w:rPr>
        <w:t>附件2.2</w:t>
      </w:r>
    </w:p>
    <w:p>
      <w:pPr>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法定代表人（单位负责人）授权书（供应商</w:t>
      </w:r>
      <w:r>
        <w:rPr>
          <w:rFonts w:hint="eastAsia" w:asciiTheme="minorEastAsia" w:hAnsiTheme="minorEastAsia" w:eastAsiaTheme="minorEastAsia" w:cstheme="minorEastAsia"/>
          <w:b/>
          <w:bCs/>
          <w:sz w:val="24"/>
          <w:szCs w:val="24"/>
        </w:rPr>
        <w:t>代表为委托代理人时须提供此项</w:t>
      </w:r>
      <w:r>
        <w:rPr>
          <w:rFonts w:hint="eastAsia" w:asciiTheme="minorEastAsia" w:hAnsiTheme="minorEastAsia" w:eastAsiaTheme="minorEastAsia" w:cstheme="minorEastAsia"/>
          <w:b/>
          <w:sz w:val="24"/>
          <w:szCs w:val="24"/>
        </w:rPr>
        <w:t>）</w:t>
      </w:r>
    </w:p>
    <w:p>
      <w:pPr>
        <w:rPr>
          <w:rFonts w:hint="eastAsia" w:asciiTheme="minorEastAsia" w:hAnsiTheme="minorEastAsia" w:eastAsiaTheme="minorEastAsia" w:cstheme="minorEastAsia"/>
          <w:b/>
          <w:sz w:val="24"/>
          <w:szCs w:val="24"/>
        </w:rPr>
      </w:pPr>
    </w:p>
    <w:p>
      <w:pPr>
        <w:rPr>
          <w:rFonts w:hint="eastAsia" w:asciiTheme="minorEastAsia" w:hAnsiTheme="minorEastAsia" w:eastAsiaTheme="minorEastAsia" w:cstheme="minorEastAsia"/>
          <w:b/>
          <w:sz w:val="24"/>
          <w:szCs w:val="24"/>
        </w:rPr>
      </w:pPr>
    </w:p>
    <w:p>
      <w:pPr>
        <w:snapToGrid w:val="0"/>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本人________（姓名）系________________（供应商名称）的法定代表人，现委托________（姓名）为我方委托代理人。委托代理人根据授权，以我方名义签署、澄清、说明、补正、递交、撤回、修改________</w:t>
      </w:r>
      <w:r>
        <w:rPr>
          <w:rFonts w:hint="eastAsia" w:asciiTheme="minorEastAsia" w:hAnsiTheme="minorEastAsia" w:eastAsiaTheme="minorEastAsia" w:cstheme="minorEastAsia"/>
          <w:sz w:val="24"/>
          <w:szCs w:val="24"/>
          <w:u w:val="single"/>
        </w:rPr>
        <w:t>（项目名称）</w:t>
      </w:r>
      <w:r>
        <w:rPr>
          <w:rFonts w:hint="eastAsia" w:asciiTheme="minorEastAsia" w:hAnsiTheme="minorEastAsia" w:eastAsiaTheme="minorEastAsia" w:cstheme="minorEastAsia"/>
          <w:sz w:val="24"/>
          <w:szCs w:val="24"/>
        </w:rPr>
        <w:t>________的响应文件、签订合同和处理有关事宜，其法律后果由我方承担。</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委托期限：</w:t>
      </w:r>
      <w:r>
        <w:rPr>
          <w:rFonts w:hint="eastAsia" w:asciiTheme="minorEastAsia" w:hAnsiTheme="minorEastAsia" w:eastAsiaTheme="minorEastAsia" w:cstheme="minorEastAsia"/>
          <w:sz w:val="24"/>
          <w:szCs w:val="24"/>
          <w:u w:val="single"/>
        </w:rPr>
        <w:t xml:space="preserve">         _</w:t>
      </w:r>
      <w:r>
        <w:rPr>
          <w:rFonts w:hint="eastAsia" w:asciiTheme="minorEastAsia" w:hAnsiTheme="minorEastAsia" w:eastAsiaTheme="minorEastAsia" w:cstheme="minorEastAsia"/>
          <w:sz w:val="24"/>
          <w:szCs w:val="24"/>
        </w:rPr>
        <w:t>______。</w:t>
      </w: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委托代理人无转委托权。</w:t>
      </w:r>
    </w:p>
    <w:p>
      <w:pPr>
        <w:snapToGrid w:val="0"/>
        <w:spacing w:line="360" w:lineRule="auto"/>
        <w:rPr>
          <w:rFonts w:hint="eastAsia" w:asciiTheme="minorEastAsia" w:hAnsiTheme="minorEastAsia" w:eastAsiaTheme="minorEastAsia" w:cstheme="minorEastAsia"/>
          <w:sz w:val="24"/>
          <w:szCs w:val="24"/>
        </w:rPr>
      </w:pPr>
    </w:p>
    <w:p>
      <w:pPr>
        <w:snapToGrid w:val="0"/>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附：法定代表人身份证明及委托代理人身份证明复印件（正反两面）</w:t>
      </w:r>
    </w:p>
    <w:p>
      <w:pPr>
        <w:snapToGrid w:val="0"/>
        <w:spacing w:line="360" w:lineRule="auto"/>
        <w:rPr>
          <w:rFonts w:hint="eastAsia" w:asciiTheme="minorEastAsia" w:hAnsiTheme="minorEastAsia" w:eastAsiaTheme="minorEastAsia" w:cstheme="minorEastAsia"/>
          <w:sz w:val="24"/>
          <w:szCs w:val="24"/>
        </w:rPr>
      </w:pPr>
    </w:p>
    <w:p>
      <w:pPr>
        <w:spacing w:line="48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供应商：________________（盖单位章）</w:t>
      </w:r>
    </w:p>
    <w:p>
      <w:pPr>
        <w:spacing w:line="48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法定代表人（单位负责人）：________________（签字或盖章）</w:t>
      </w:r>
    </w:p>
    <w:p>
      <w:pPr>
        <w:spacing w:line="48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身份证号码：________________________</w:t>
      </w:r>
    </w:p>
    <w:p>
      <w:pPr>
        <w:spacing w:line="48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委托代理人：________________（签字或盖章）</w:t>
      </w:r>
    </w:p>
    <w:p>
      <w:pPr>
        <w:spacing w:line="48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身份证号码：________________________</w:t>
      </w:r>
    </w:p>
    <w:p>
      <w:pPr>
        <w:snapToGrid w:val="0"/>
        <w:spacing w:line="360" w:lineRule="auto"/>
        <w:rPr>
          <w:rFonts w:hint="eastAsia" w:asciiTheme="minorEastAsia" w:hAnsiTheme="minorEastAsia" w:eastAsiaTheme="minorEastAsia" w:cstheme="minorEastAsia"/>
          <w:sz w:val="24"/>
          <w:szCs w:val="24"/>
        </w:rPr>
      </w:pPr>
    </w:p>
    <w:p>
      <w:pPr>
        <w:snapToGrid w:val="0"/>
        <w:spacing w:line="360" w:lineRule="auto"/>
        <w:ind w:firstLine="5280" w:firstLineChars="2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________年__月__日</w:t>
      </w:r>
    </w:p>
    <w:p>
      <w:pPr>
        <w:snapToGrid w:val="0"/>
        <w:spacing w:line="360" w:lineRule="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注：委托期限不得少于</w:t>
      </w:r>
      <w:r>
        <w:rPr>
          <w:rFonts w:hint="eastAsia" w:asciiTheme="minorEastAsia" w:hAnsiTheme="minorEastAsia" w:eastAsiaTheme="minorEastAsia" w:cstheme="minorEastAsia"/>
          <w:b/>
          <w:bCs/>
          <w:sz w:val="24"/>
          <w:szCs w:val="24"/>
          <w:lang w:eastAsia="zh-CN"/>
        </w:rPr>
        <w:t>投标</w:t>
      </w:r>
      <w:r>
        <w:rPr>
          <w:rFonts w:hint="eastAsia" w:asciiTheme="minorEastAsia" w:hAnsiTheme="minorEastAsia" w:eastAsiaTheme="minorEastAsia" w:cstheme="minorEastAsia"/>
          <w:b/>
          <w:bCs/>
          <w:sz w:val="24"/>
          <w:szCs w:val="24"/>
        </w:rPr>
        <w:t>有效期。</w:t>
      </w:r>
    </w:p>
    <w:p>
      <w:pPr>
        <w:snapToGrid w:val="0"/>
        <w:spacing w:line="360" w:lineRule="auto"/>
        <w:rPr>
          <w:rFonts w:hint="eastAsia" w:asciiTheme="minorEastAsia" w:hAnsiTheme="minorEastAsia" w:eastAsiaTheme="minorEastAsia" w:cstheme="minorEastAsia"/>
          <w:b/>
          <w:bCs/>
          <w:sz w:val="24"/>
          <w:szCs w:val="24"/>
        </w:rPr>
      </w:pPr>
    </w:p>
    <w:p>
      <w:pPr>
        <w:rPr>
          <w:rFonts w:hint="eastAsia" w:asciiTheme="minorEastAsia" w:hAnsiTheme="minorEastAsia" w:eastAsiaTheme="minorEastAsia" w:cstheme="minorEastAsia"/>
          <w:b/>
          <w:bCs/>
          <w:sz w:val="24"/>
          <w:szCs w:val="24"/>
        </w:rPr>
      </w:pPr>
    </w:p>
    <w:p>
      <w:pPr>
        <w:rPr>
          <w:rFonts w:hint="eastAsia" w:asciiTheme="minorEastAsia" w:hAnsiTheme="minorEastAsia" w:eastAsiaTheme="minorEastAsia" w:cstheme="minorEastAsia"/>
          <w:b/>
          <w:bCs/>
          <w:sz w:val="24"/>
          <w:szCs w:val="24"/>
        </w:rPr>
      </w:pPr>
    </w:p>
    <w:p>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br w:type="page"/>
      </w:r>
    </w:p>
    <w:p>
      <w:pPr>
        <w:rPr>
          <w:rFonts w:hint="eastAsia" w:asciiTheme="minorEastAsia" w:hAnsiTheme="minorEastAsia" w:eastAsiaTheme="minorEastAsia" w:cstheme="minorEastAsia"/>
          <w:b/>
          <w:bCs/>
          <w:sz w:val="24"/>
          <w:szCs w:val="24"/>
        </w:rPr>
      </w:pPr>
      <w:bookmarkStart w:id="103" w:name="_Toc32835900"/>
      <w:r>
        <w:rPr>
          <w:rFonts w:hint="eastAsia" w:asciiTheme="minorEastAsia" w:hAnsiTheme="minorEastAsia" w:eastAsiaTheme="minorEastAsia" w:cstheme="minorEastAsia"/>
          <w:b/>
          <w:bCs/>
          <w:sz w:val="24"/>
          <w:szCs w:val="24"/>
        </w:rPr>
        <w:t>附件3</w:t>
      </w:r>
      <w:bookmarkEnd w:id="103"/>
      <w:bookmarkStart w:id="104" w:name="_Toc32835901"/>
      <w:bookmarkStart w:id="105" w:name="_Toc428782251"/>
      <w:bookmarkStart w:id="106" w:name="_Toc394334708"/>
      <w:bookmarkStart w:id="107" w:name="_Toc394334464"/>
      <w:bookmarkStart w:id="108" w:name="_Toc411427419"/>
      <w:r>
        <w:rPr>
          <w:rFonts w:hint="eastAsia" w:asciiTheme="minorEastAsia" w:hAnsiTheme="minorEastAsia" w:eastAsiaTheme="minorEastAsia" w:cstheme="minorEastAsia"/>
          <w:b/>
          <w:bCs/>
          <w:sz w:val="24"/>
          <w:szCs w:val="24"/>
        </w:rPr>
        <w:t xml:space="preserve"> 资格审查材料</w:t>
      </w:r>
      <w:bookmarkEnd w:id="104"/>
      <w:r>
        <w:rPr>
          <w:rFonts w:hint="eastAsia" w:asciiTheme="minorEastAsia" w:hAnsiTheme="minorEastAsia" w:eastAsiaTheme="minorEastAsia" w:cstheme="minorEastAsia"/>
          <w:b/>
          <w:bCs/>
          <w:sz w:val="24"/>
          <w:szCs w:val="24"/>
        </w:rPr>
        <w:t>格式要求见供应商须知前附表</w:t>
      </w:r>
    </w:p>
    <w:p>
      <w:pPr>
        <w:rPr>
          <w:rFonts w:hint="eastAsia" w:asciiTheme="minorEastAsia" w:hAnsiTheme="minorEastAsia" w:eastAsiaTheme="minorEastAsia" w:cstheme="minorEastAsia"/>
          <w:b/>
          <w:bCs/>
          <w:sz w:val="24"/>
          <w:szCs w:val="24"/>
        </w:rPr>
      </w:pPr>
    </w:p>
    <w:bookmarkEnd w:id="105"/>
    <w:bookmarkEnd w:id="106"/>
    <w:bookmarkEnd w:id="107"/>
    <w:bookmarkEnd w:id="108"/>
    <w:p>
      <w:pPr>
        <w:pStyle w:val="477"/>
        <w:rPr>
          <w:rFonts w:hint="eastAsia" w:asciiTheme="minorEastAsia" w:hAnsiTheme="minorEastAsia" w:eastAsiaTheme="minorEastAsia" w:cstheme="minorEastAsia"/>
          <w:sz w:val="24"/>
          <w:szCs w:val="24"/>
        </w:rPr>
      </w:pPr>
    </w:p>
    <w:p>
      <w:pPr>
        <w:widowControl/>
        <w:jc w:val="left"/>
        <w:rPr>
          <w:rFonts w:hint="eastAsia" w:asciiTheme="minorEastAsia" w:hAnsiTheme="minorEastAsia" w:eastAsiaTheme="minorEastAsia" w:cstheme="minorEastAsia"/>
          <w:b/>
          <w:sz w:val="24"/>
          <w:szCs w:val="24"/>
        </w:rPr>
      </w:pPr>
      <w:bookmarkStart w:id="109" w:name="_Toc32835906"/>
      <w:r>
        <w:rPr>
          <w:rFonts w:hint="eastAsia" w:asciiTheme="minorEastAsia" w:hAnsiTheme="minorEastAsia" w:eastAsiaTheme="minorEastAsia" w:cstheme="minorEastAsia"/>
          <w:b/>
          <w:sz w:val="24"/>
          <w:szCs w:val="24"/>
        </w:rPr>
        <w:t>附件4</w:t>
      </w:r>
    </w:p>
    <w:p>
      <w:pPr>
        <w:widowControl/>
        <w:jc w:val="left"/>
        <w:rPr>
          <w:rFonts w:hint="eastAsia" w:asciiTheme="minorEastAsia" w:hAnsiTheme="minorEastAsia" w:eastAsiaTheme="minorEastAsia" w:cstheme="minorEastAsia"/>
          <w:b/>
          <w:sz w:val="24"/>
          <w:szCs w:val="24"/>
        </w:rPr>
      </w:pPr>
    </w:p>
    <w:p>
      <w:pPr>
        <w:widowControl/>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业绩一览表</w:t>
      </w:r>
    </w:p>
    <w:p>
      <w:pPr>
        <w:widowControl/>
        <w:jc w:val="center"/>
        <w:rPr>
          <w:rFonts w:hint="eastAsia" w:asciiTheme="minorEastAsia" w:hAnsiTheme="minorEastAsia" w:eastAsiaTheme="minorEastAsia" w:cstheme="minorEastAsia"/>
          <w:sz w:val="24"/>
          <w:szCs w:val="24"/>
        </w:rPr>
      </w:pPr>
    </w:p>
    <w:tbl>
      <w:tblPr>
        <w:tblStyle w:val="64"/>
        <w:tblW w:w="90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3827"/>
        <w:gridCol w:w="2977"/>
        <w:gridCol w:w="14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773" w:type="dxa"/>
            <w:vAlign w:val="center"/>
          </w:tcPr>
          <w:p>
            <w:pPr>
              <w:widowControl/>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3827" w:type="dxa"/>
            <w:vAlign w:val="center"/>
          </w:tcPr>
          <w:p>
            <w:pPr>
              <w:widowControl/>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名称</w:t>
            </w:r>
          </w:p>
        </w:tc>
        <w:tc>
          <w:tcPr>
            <w:tcW w:w="2977" w:type="dxa"/>
            <w:vAlign w:val="center"/>
          </w:tcPr>
          <w:p>
            <w:pPr>
              <w:widowControl/>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时间</w:t>
            </w:r>
          </w:p>
        </w:tc>
        <w:tc>
          <w:tcPr>
            <w:tcW w:w="1451" w:type="dxa"/>
            <w:vAlign w:val="center"/>
          </w:tcPr>
          <w:p>
            <w:pPr>
              <w:widowControl/>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773" w:type="dxa"/>
            <w:vAlign w:val="center"/>
          </w:tcPr>
          <w:p>
            <w:pPr>
              <w:widowControl/>
              <w:jc w:val="center"/>
              <w:rPr>
                <w:rFonts w:hint="eastAsia" w:asciiTheme="minorEastAsia" w:hAnsiTheme="minorEastAsia" w:eastAsiaTheme="minorEastAsia" w:cstheme="minorEastAsia"/>
                <w:b/>
                <w:sz w:val="24"/>
                <w:szCs w:val="24"/>
              </w:rPr>
            </w:pPr>
          </w:p>
        </w:tc>
        <w:tc>
          <w:tcPr>
            <w:tcW w:w="3827" w:type="dxa"/>
            <w:vAlign w:val="center"/>
          </w:tcPr>
          <w:p>
            <w:pPr>
              <w:widowControl/>
              <w:jc w:val="center"/>
              <w:rPr>
                <w:rFonts w:hint="eastAsia" w:asciiTheme="minorEastAsia" w:hAnsiTheme="minorEastAsia" w:eastAsiaTheme="minorEastAsia" w:cstheme="minorEastAsia"/>
                <w:b/>
                <w:sz w:val="24"/>
                <w:szCs w:val="24"/>
              </w:rPr>
            </w:pPr>
          </w:p>
        </w:tc>
        <w:tc>
          <w:tcPr>
            <w:tcW w:w="2977" w:type="dxa"/>
            <w:vAlign w:val="center"/>
          </w:tcPr>
          <w:p>
            <w:pPr>
              <w:widowControl/>
              <w:jc w:val="center"/>
              <w:rPr>
                <w:rFonts w:hint="eastAsia" w:asciiTheme="minorEastAsia" w:hAnsiTheme="minorEastAsia" w:eastAsiaTheme="minorEastAsia" w:cstheme="minorEastAsia"/>
                <w:b/>
                <w:sz w:val="24"/>
                <w:szCs w:val="24"/>
              </w:rPr>
            </w:pPr>
          </w:p>
        </w:tc>
        <w:tc>
          <w:tcPr>
            <w:tcW w:w="1451" w:type="dxa"/>
            <w:vAlign w:val="center"/>
          </w:tcPr>
          <w:p>
            <w:pPr>
              <w:widowControl/>
              <w:jc w:val="center"/>
              <w:rPr>
                <w:rFonts w:hint="eastAsia" w:asciiTheme="minorEastAsia" w:hAnsiTheme="minorEastAsia" w:eastAsiaTheme="minorEastAsia" w:cstheme="minorEastAsia"/>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773" w:type="dxa"/>
            <w:vAlign w:val="center"/>
          </w:tcPr>
          <w:p>
            <w:pPr>
              <w:widowControl/>
              <w:jc w:val="center"/>
              <w:rPr>
                <w:rFonts w:hint="eastAsia" w:asciiTheme="minorEastAsia" w:hAnsiTheme="minorEastAsia" w:eastAsiaTheme="minorEastAsia" w:cstheme="minorEastAsia"/>
                <w:b/>
                <w:sz w:val="24"/>
                <w:szCs w:val="24"/>
              </w:rPr>
            </w:pPr>
          </w:p>
        </w:tc>
        <w:tc>
          <w:tcPr>
            <w:tcW w:w="3827" w:type="dxa"/>
            <w:vAlign w:val="center"/>
          </w:tcPr>
          <w:p>
            <w:pPr>
              <w:widowControl/>
              <w:jc w:val="center"/>
              <w:rPr>
                <w:rFonts w:hint="eastAsia" w:asciiTheme="minorEastAsia" w:hAnsiTheme="minorEastAsia" w:eastAsiaTheme="minorEastAsia" w:cstheme="minorEastAsia"/>
                <w:b/>
                <w:sz w:val="24"/>
                <w:szCs w:val="24"/>
              </w:rPr>
            </w:pPr>
          </w:p>
        </w:tc>
        <w:tc>
          <w:tcPr>
            <w:tcW w:w="2977" w:type="dxa"/>
            <w:vAlign w:val="center"/>
          </w:tcPr>
          <w:p>
            <w:pPr>
              <w:widowControl/>
              <w:jc w:val="center"/>
              <w:rPr>
                <w:rFonts w:hint="eastAsia" w:asciiTheme="minorEastAsia" w:hAnsiTheme="minorEastAsia" w:eastAsiaTheme="minorEastAsia" w:cstheme="minorEastAsia"/>
                <w:b/>
                <w:sz w:val="24"/>
                <w:szCs w:val="24"/>
              </w:rPr>
            </w:pPr>
          </w:p>
        </w:tc>
        <w:tc>
          <w:tcPr>
            <w:tcW w:w="1451" w:type="dxa"/>
            <w:vAlign w:val="center"/>
          </w:tcPr>
          <w:p>
            <w:pPr>
              <w:widowControl/>
              <w:jc w:val="center"/>
              <w:rPr>
                <w:rFonts w:hint="eastAsia" w:asciiTheme="minorEastAsia" w:hAnsiTheme="minorEastAsia" w:eastAsiaTheme="minorEastAsia" w:cstheme="minorEastAsia"/>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773" w:type="dxa"/>
            <w:vAlign w:val="center"/>
          </w:tcPr>
          <w:p>
            <w:pPr>
              <w:widowControl/>
              <w:jc w:val="center"/>
              <w:rPr>
                <w:rFonts w:hint="eastAsia" w:asciiTheme="minorEastAsia" w:hAnsiTheme="minorEastAsia" w:eastAsiaTheme="minorEastAsia" w:cstheme="minorEastAsia"/>
                <w:b/>
                <w:sz w:val="24"/>
                <w:szCs w:val="24"/>
              </w:rPr>
            </w:pPr>
          </w:p>
        </w:tc>
        <w:tc>
          <w:tcPr>
            <w:tcW w:w="3827" w:type="dxa"/>
            <w:vAlign w:val="center"/>
          </w:tcPr>
          <w:p>
            <w:pPr>
              <w:widowControl/>
              <w:jc w:val="center"/>
              <w:rPr>
                <w:rFonts w:hint="eastAsia" w:asciiTheme="minorEastAsia" w:hAnsiTheme="minorEastAsia" w:eastAsiaTheme="minorEastAsia" w:cstheme="minorEastAsia"/>
                <w:b/>
                <w:sz w:val="24"/>
                <w:szCs w:val="24"/>
              </w:rPr>
            </w:pPr>
          </w:p>
        </w:tc>
        <w:tc>
          <w:tcPr>
            <w:tcW w:w="2977" w:type="dxa"/>
            <w:vAlign w:val="center"/>
          </w:tcPr>
          <w:p>
            <w:pPr>
              <w:widowControl/>
              <w:jc w:val="center"/>
              <w:rPr>
                <w:rFonts w:hint="eastAsia" w:asciiTheme="minorEastAsia" w:hAnsiTheme="minorEastAsia" w:eastAsiaTheme="minorEastAsia" w:cstheme="minorEastAsia"/>
                <w:b/>
                <w:sz w:val="24"/>
                <w:szCs w:val="24"/>
              </w:rPr>
            </w:pPr>
          </w:p>
        </w:tc>
        <w:tc>
          <w:tcPr>
            <w:tcW w:w="1451" w:type="dxa"/>
            <w:vAlign w:val="center"/>
          </w:tcPr>
          <w:p>
            <w:pPr>
              <w:widowControl/>
              <w:jc w:val="center"/>
              <w:rPr>
                <w:rFonts w:hint="eastAsia" w:asciiTheme="minorEastAsia" w:hAnsiTheme="minorEastAsia" w:eastAsiaTheme="minorEastAsia" w:cstheme="minorEastAsia"/>
                <w:b/>
                <w:sz w:val="24"/>
                <w:szCs w:val="24"/>
              </w:rPr>
            </w:pPr>
          </w:p>
        </w:tc>
      </w:tr>
    </w:tbl>
    <w:p>
      <w:pPr>
        <w:widowControl/>
        <w:ind w:firstLine="480" w:firstLineChars="200"/>
        <w:jc w:val="left"/>
        <w:rPr>
          <w:rFonts w:hint="eastAsia" w:asciiTheme="minorEastAsia" w:hAnsiTheme="minorEastAsia" w:eastAsiaTheme="minorEastAsia" w:cstheme="minorEastAsia"/>
          <w:sz w:val="24"/>
          <w:szCs w:val="24"/>
        </w:rPr>
      </w:pPr>
    </w:p>
    <w:p>
      <w:pPr>
        <w:widowControl/>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注：附合同复印件，本表可根据情况进行扩展。</w:t>
      </w:r>
    </w:p>
    <w:p>
      <w:pPr>
        <w:widowControl/>
        <w:jc w:val="left"/>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br w:type="page"/>
      </w:r>
    </w:p>
    <w:p>
      <w:pP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附件</w:t>
      </w:r>
      <w:bookmarkEnd w:id="109"/>
      <w:bookmarkStart w:id="110" w:name="_Toc32835909"/>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项目实施方案（格式自拟）</w:t>
      </w:r>
    </w:p>
    <w:p>
      <w:pPr>
        <w:rPr>
          <w:rFonts w:hint="eastAsia" w:asciiTheme="minorEastAsia" w:hAnsiTheme="minorEastAsia" w:eastAsiaTheme="minorEastAsia" w:cstheme="minorEastAsia"/>
          <w:b/>
          <w:sz w:val="24"/>
          <w:szCs w:val="24"/>
        </w:rPr>
      </w:pPr>
    </w:p>
    <w:p>
      <w:pPr>
        <w:rPr>
          <w:rFonts w:hint="eastAsia" w:asciiTheme="minorEastAsia" w:hAnsiTheme="minorEastAsia" w:eastAsiaTheme="minorEastAsia" w:cstheme="minorEastAsia"/>
          <w:b/>
          <w:sz w:val="24"/>
          <w:szCs w:val="24"/>
        </w:rPr>
      </w:pPr>
    </w:p>
    <w:p>
      <w:pPr>
        <w:widowControl/>
        <w:jc w:val="left"/>
        <w:rPr>
          <w:rFonts w:hint="eastAsia" w:asciiTheme="minorEastAsia" w:hAnsiTheme="minorEastAsia" w:eastAsiaTheme="minorEastAsia" w:cstheme="minorEastAsia"/>
          <w:b/>
          <w:sz w:val="24"/>
          <w:szCs w:val="24"/>
        </w:rPr>
      </w:pPr>
    </w:p>
    <w:p>
      <w:pP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附件</w:t>
      </w:r>
      <w:r>
        <w:rPr>
          <w:rFonts w:hint="eastAsia" w:asciiTheme="minorEastAsia" w:hAnsiTheme="minorEastAsia" w:eastAsiaTheme="minorEastAsia" w:cstheme="minorEastAsia"/>
          <w:b/>
          <w:sz w:val="24"/>
          <w:szCs w:val="24"/>
          <w:lang w:val="en-US" w:eastAsia="zh-CN"/>
        </w:rPr>
        <w:t>6</w:t>
      </w:r>
      <w:r>
        <w:rPr>
          <w:rFonts w:hint="eastAsia" w:asciiTheme="minorEastAsia" w:hAnsiTheme="minorEastAsia" w:eastAsiaTheme="minorEastAsia" w:cstheme="minorEastAsia"/>
          <w:b/>
          <w:sz w:val="24"/>
          <w:szCs w:val="24"/>
        </w:rPr>
        <w:t xml:space="preserve"> 服务承诺（格式自拟）</w:t>
      </w:r>
    </w:p>
    <w:p>
      <w:pPr>
        <w:rPr>
          <w:rFonts w:hint="eastAsia" w:asciiTheme="minorEastAsia" w:hAnsiTheme="minorEastAsia" w:eastAsiaTheme="minorEastAsia" w:cstheme="minorEastAsia"/>
          <w:b/>
          <w:sz w:val="24"/>
          <w:szCs w:val="24"/>
        </w:rPr>
      </w:pPr>
    </w:p>
    <w:p>
      <w:pPr>
        <w:rPr>
          <w:rFonts w:hint="eastAsia" w:asciiTheme="minorEastAsia" w:hAnsiTheme="minorEastAsia" w:eastAsiaTheme="minorEastAsia" w:cstheme="minorEastAsia"/>
          <w:b/>
          <w:sz w:val="24"/>
          <w:szCs w:val="24"/>
        </w:rPr>
      </w:pPr>
    </w:p>
    <w:p>
      <w:pPr>
        <w:widowControl/>
        <w:jc w:val="left"/>
        <w:rPr>
          <w:rFonts w:hint="eastAsia" w:asciiTheme="minorEastAsia" w:hAnsiTheme="minorEastAsia" w:eastAsiaTheme="minorEastAsia" w:cstheme="minorEastAsia"/>
          <w:b/>
          <w:sz w:val="24"/>
          <w:szCs w:val="24"/>
        </w:rPr>
      </w:pPr>
    </w:p>
    <w:p>
      <w:pP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附件</w:t>
      </w:r>
      <w:bookmarkStart w:id="111" w:name="_Toc32835903"/>
      <w:r>
        <w:rPr>
          <w:rFonts w:hint="eastAsia" w:asciiTheme="minorEastAsia" w:hAnsiTheme="minorEastAsia" w:eastAsiaTheme="minorEastAsia" w:cstheme="minorEastAsia"/>
          <w:b/>
          <w:sz w:val="24"/>
          <w:szCs w:val="24"/>
          <w:lang w:val="en-US" w:eastAsia="zh-CN"/>
        </w:rPr>
        <w:t>7</w:t>
      </w:r>
      <w:r>
        <w:rPr>
          <w:rFonts w:hint="eastAsia" w:asciiTheme="minorEastAsia" w:hAnsiTheme="minorEastAsia" w:eastAsiaTheme="minorEastAsia" w:cstheme="minorEastAsia"/>
          <w:b/>
          <w:sz w:val="24"/>
          <w:szCs w:val="24"/>
        </w:rPr>
        <w:t>中小企业声明函（非中小企业可不附此表）</w:t>
      </w:r>
      <w:bookmarkEnd w:id="111"/>
    </w:p>
    <w:p>
      <w:pPr>
        <w:spacing w:line="360" w:lineRule="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w:t>
      </w:r>
    </w:p>
    <w:p>
      <w:pPr>
        <w:spacing w:line="360" w:lineRule="auto"/>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中小企业声明函</w:t>
      </w:r>
    </w:p>
    <w:p>
      <w:pPr>
        <w:spacing w:line="360" w:lineRule="auto"/>
        <w:rPr>
          <w:rFonts w:hint="eastAsia" w:asciiTheme="minorEastAsia" w:hAnsiTheme="minorEastAsia" w:eastAsiaTheme="minorEastAsia" w:cstheme="minorEastAsia"/>
          <w:b/>
          <w:sz w:val="24"/>
          <w:szCs w:val="24"/>
        </w:rPr>
      </w:pPr>
    </w:p>
    <w:p>
      <w:pPr>
        <w:spacing w:line="360" w:lineRule="auto"/>
        <w:ind w:firstLine="4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本公司（联合体）郑重声明，根据《政府采购促进中小 企业发展管理办法》（财库﹝2020﹞46 号）的规定，本公司 （联合体）参加</w:t>
      </w:r>
      <w:r>
        <w:rPr>
          <w:rFonts w:hint="eastAsia" w:asciiTheme="minorEastAsia" w:hAnsiTheme="minorEastAsia" w:eastAsiaTheme="minorEastAsia" w:cstheme="minorEastAsia"/>
          <w:sz w:val="24"/>
          <w:szCs w:val="24"/>
          <w:u w:val="single"/>
        </w:rPr>
        <w:t>（单位名称）</w:t>
      </w:r>
      <w:r>
        <w:rPr>
          <w:rFonts w:hint="eastAsia" w:asciiTheme="minorEastAsia" w:hAnsiTheme="minorEastAsia" w:eastAsiaTheme="minorEastAsia" w:cstheme="minorEastAsia"/>
          <w:sz w:val="24"/>
          <w:szCs w:val="24"/>
        </w:rPr>
        <w:t>的（项目名称）采购活动，工程的施工单位全部为符合政策要求的中小企业（或者：服务 全部由符合政策要求的中小企业承接）。相关企业（含联合 体中的中小企业、签订分包意向协议的中小企业）的具体情 况如下：</w:t>
      </w:r>
    </w:p>
    <w:p>
      <w:pPr>
        <w:spacing w:line="360" w:lineRule="auto"/>
        <w:ind w:firstLine="4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 （标的名称） ，</w:t>
      </w:r>
      <w:r>
        <w:rPr>
          <w:rFonts w:hint="eastAsia" w:asciiTheme="minorEastAsia" w:hAnsiTheme="minorEastAsia" w:eastAsiaTheme="minorEastAsia" w:cstheme="minorEastAsia"/>
          <w:sz w:val="24"/>
          <w:szCs w:val="24"/>
          <w:u w:val="single"/>
        </w:rPr>
        <w:t>属于其他未列明行业</w:t>
      </w:r>
      <w:r>
        <w:rPr>
          <w:rFonts w:hint="eastAsia" w:asciiTheme="minorEastAsia" w:hAnsiTheme="minorEastAsia" w:eastAsiaTheme="minorEastAsia" w:cstheme="minorEastAsia"/>
          <w:sz w:val="24"/>
          <w:szCs w:val="24"/>
        </w:rPr>
        <w:t>； 承建（承接）企业为（企业名称），从业人员</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人，营业收入为</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万元，资产总额为</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万元，属于（中型企业、 小型企业、微型企业）；</w:t>
      </w:r>
    </w:p>
    <w:p>
      <w:pPr>
        <w:spacing w:line="360" w:lineRule="auto"/>
        <w:ind w:firstLine="4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 （标的名称） ，属于（采购文件中明确的所属行业）；承建（承接）企业为（企业名称），从业人员</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人，营业 收入为</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万元，资产总额为</w:t>
      </w:r>
      <w:r>
        <w:rPr>
          <w:rFonts w:hint="eastAsia" w:asciiTheme="minorEastAsia" w:hAnsiTheme="minorEastAsia" w:eastAsiaTheme="minorEastAsia" w:cstheme="minorEastAsia"/>
          <w:sz w:val="24"/>
          <w:szCs w:val="24"/>
          <w:u w:val="none"/>
        </w:rPr>
        <w:t xml:space="preserve">    </w:t>
      </w:r>
      <w:r>
        <w:rPr>
          <w:rFonts w:hint="eastAsia" w:asciiTheme="minorEastAsia" w:hAnsiTheme="minorEastAsia" w:eastAsiaTheme="minorEastAsia" w:cstheme="minorEastAsia"/>
          <w:sz w:val="24"/>
          <w:szCs w:val="24"/>
        </w:rPr>
        <w:t xml:space="preserve">         万元，属于（中型企业、 小型企业、微型企业）；</w:t>
      </w:r>
    </w:p>
    <w:p>
      <w:pPr>
        <w:spacing w:line="360" w:lineRule="auto"/>
        <w:ind w:firstLine="4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u w:val="single"/>
        </w:rPr>
        <w:t xml:space="preserve"> ……</w:t>
      </w:r>
    </w:p>
    <w:p>
      <w:pPr>
        <w:spacing w:line="360" w:lineRule="auto"/>
        <w:ind w:firstLine="4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以上企业，不属于大企业的分支机构，不存在控股股东 为大企业的情形，也不存在与大企业的负责人为同一人的情形。</w:t>
      </w:r>
    </w:p>
    <w:p>
      <w:pPr>
        <w:spacing w:line="360" w:lineRule="auto"/>
        <w:ind w:firstLine="4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本企业对上述声明内容的真实性负责。如有虚假，将依 法承担相应责任。</w:t>
      </w:r>
    </w:p>
    <w:p>
      <w:pPr>
        <w:spacing w:line="360" w:lineRule="auto"/>
        <w:ind w:firstLine="482"/>
        <w:rPr>
          <w:rFonts w:hint="eastAsia" w:asciiTheme="minorEastAsia" w:hAnsiTheme="minorEastAsia" w:eastAsiaTheme="minorEastAsia" w:cstheme="minorEastAsia"/>
          <w:sz w:val="24"/>
          <w:szCs w:val="24"/>
        </w:rPr>
      </w:pPr>
    </w:p>
    <w:p>
      <w:pPr>
        <w:spacing w:line="360" w:lineRule="auto"/>
        <w:ind w:firstLine="4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企业名称（盖章）：</w:t>
      </w:r>
    </w:p>
    <w:p>
      <w:pPr>
        <w:spacing w:line="360" w:lineRule="auto"/>
        <w:ind w:firstLine="48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日 期：</w:t>
      </w:r>
    </w:p>
    <w:p>
      <w:pPr>
        <w:spacing w:line="360" w:lineRule="auto"/>
        <w:ind w:firstLine="482"/>
        <w:rPr>
          <w:rFonts w:hint="eastAsia" w:asciiTheme="minorEastAsia" w:hAnsiTheme="minorEastAsia" w:eastAsiaTheme="minorEastAsia" w:cstheme="minorEastAsia"/>
          <w:sz w:val="24"/>
          <w:szCs w:val="24"/>
        </w:rPr>
      </w:pPr>
    </w:p>
    <w:p>
      <w:pPr>
        <w:spacing w:line="360" w:lineRule="auto"/>
        <w:ind w:firstLine="482"/>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注：从业人员、营业收入、资产总额填报上一年度数据，无上一年度数据的新成立企业可不填报。</w:t>
      </w:r>
      <w:r>
        <w:rPr>
          <w:rFonts w:hint="eastAsia" w:asciiTheme="minorEastAsia" w:hAnsiTheme="minorEastAsia" w:eastAsiaTheme="minorEastAsia" w:cstheme="minorEastAsia"/>
          <w:b/>
          <w:sz w:val="24"/>
          <w:szCs w:val="24"/>
        </w:rPr>
        <w:br w:type="page"/>
      </w:r>
      <w:bookmarkStart w:id="112" w:name="_Toc32835904"/>
      <w:r>
        <w:rPr>
          <w:rFonts w:hint="eastAsia" w:asciiTheme="minorEastAsia" w:hAnsiTheme="minorEastAsia" w:eastAsiaTheme="minorEastAsia" w:cstheme="minorEastAsia"/>
          <w:b/>
          <w:sz w:val="24"/>
          <w:szCs w:val="24"/>
        </w:rPr>
        <w:t>附件</w:t>
      </w:r>
      <w:bookmarkEnd w:id="112"/>
      <w:r>
        <w:rPr>
          <w:rFonts w:hint="eastAsia" w:asciiTheme="minorEastAsia" w:hAnsiTheme="minorEastAsia" w:eastAsiaTheme="minorEastAsia" w:cstheme="minorEastAsia"/>
          <w:b/>
          <w:sz w:val="24"/>
          <w:szCs w:val="24"/>
          <w:lang w:val="en-US" w:eastAsia="zh-CN"/>
        </w:rPr>
        <w:t>8</w:t>
      </w:r>
      <w:r>
        <w:rPr>
          <w:rFonts w:hint="eastAsia" w:asciiTheme="minorEastAsia" w:hAnsiTheme="minorEastAsia" w:eastAsiaTheme="minorEastAsia" w:cstheme="minorEastAsia"/>
          <w:sz w:val="24"/>
          <w:szCs w:val="24"/>
        </w:rPr>
        <w:t xml:space="preserve"> </w:t>
      </w:r>
      <w:bookmarkStart w:id="113" w:name="_Toc32835905"/>
      <w:r>
        <w:rPr>
          <w:rFonts w:hint="eastAsia" w:asciiTheme="minorEastAsia" w:hAnsiTheme="minorEastAsia" w:eastAsiaTheme="minorEastAsia" w:cstheme="minorEastAsia"/>
          <w:b/>
          <w:sz w:val="24"/>
          <w:szCs w:val="24"/>
        </w:rPr>
        <w:t>残疾人福利性单位声明函（非残疾人福利性单位可不附此表）</w:t>
      </w:r>
      <w:bookmarkEnd w:id="113"/>
    </w:p>
    <w:p>
      <w:pPr>
        <w:pStyle w:val="23"/>
        <w:spacing w:line="360" w:lineRule="auto"/>
        <w:ind w:firstLine="0"/>
        <w:jc w:val="left"/>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z w:val="24"/>
          <w:szCs w:val="24"/>
        </w:rPr>
        <w:t xml:space="preserve">         </w:t>
      </w:r>
      <w:bookmarkStart w:id="114" w:name="OLE_LINK13"/>
      <w:r>
        <w:rPr>
          <w:rFonts w:hint="eastAsia" w:asciiTheme="minorEastAsia" w:hAnsiTheme="minorEastAsia" w:eastAsiaTheme="minorEastAsia" w:cstheme="minorEastAsia"/>
          <w:b/>
          <w:sz w:val="24"/>
          <w:szCs w:val="24"/>
        </w:rPr>
        <w:t xml:space="preserve">                         </w:t>
      </w:r>
    </w:p>
    <w:p>
      <w:pPr>
        <w:pStyle w:val="23"/>
        <w:spacing w:line="360" w:lineRule="auto"/>
        <w:ind w:firstLine="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残疾人福利性单位声明函</w:t>
      </w:r>
      <w:bookmarkEnd w:id="114"/>
    </w:p>
    <w:p>
      <w:pPr>
        <w:pStyle w:val="23"/>
        <w:spacing w:line="360" w:lineRule="auto"/>
        <w:ind w:firstLine="0"/>
        <w:jc w:val="left"/>
        <w:rPr>
          <w:rFonts w:hint="eastAsia" w:asciiTheme="minorEastAsia" w:hAnsiTheme="minorEastAsia" w:eastAsiaTheme="minorEastAsia" w:cstheme="minorEastAsia"/>
          <w:b/>
          <w:sz w:val="24"/>
          <w:szCs w:val="24"/>
        </w:rPr>
      </w:pPr>
    </w:p>
    <w:p>
      <w:pPr>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本单位对上述声明的真实性负责。如有虚假，将依法承担相应责任。</w:t>
      </w:r>
    </w:p>
    <w:p>
      <w:pPr>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p>
      <w:pPr>
        <w:spacing w:line="480" w:lineRule="auto"/>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单位名称（盖章）：</w:t>
      </w:r>
    </w:p>
    <w:p>
      <w:pP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                               日  期：</w:t>
      </w:r>
    </w:p>
    <w:p>
      <w:pPr>
        <w:rPr>
          <w:rFonts w:hint="eastAsia" w:asciiTheme="minorEastAsia" w:hAnsiTheme="minorEastAsia" w:eastAsiaTheme="minorEastAsia" w:cstheme="minorEastAsia"/>
          <w:b/>
          <w:sz w:val="24"/>
          <w:szCs w:val="24"/>
        </w:rPr>
      </w:pPr>
    </w:p>
    <w:p>
      <w:pP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w:t>
      </w:r>
    </w:p>
    <w:p>
      <w:pP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附件</w:t>
      </w:r>
      <w:r>
        <w:rPr>
          <w:rFonts w:hint="eastAsia" w:asciiTheme="minorEastAsia" w:hAnsiTheme="minorEastAsia" w:eastAsiaTheme="minorEastAsia" w:cstheme="minorEastAsia"/>
          <w:b/>
          <w:sz w:val="24"/>
          <w:szCs w:val="24"/>
          <w:lang w:val="en-US" w:eastAsia="zh-CN"/>
        </w:rPr>
        <w:t xml:space="preserve">9 </w:t>
      </w:r>
      <w:r>
        <w:rPr>
          <w:rFonts w:hint="eastAsia" w:asciiTheme="minorEastAsia" w:hAnsiTheme="minorEastAsia" w:eastAsiaTheme="minorEastAsia" w:cstheme="minorEastAsia"/>
          <w:b/>
          <w:sz w:val="24"/>
          <w:szCs w:val="24"/>
        </w:rPr>
        <w:t>供应商认为需要提交的其他证明材料</w:t>
      </w:r>
      <w:bookmarkEnd w:id="110"/>
    </w:p>
    <w:p>
      <w:pPr>
        <w:rPr>
          <w:rFonts w:ascii="仿宋" w:hAnsi="仿宋" w:eastAsia="仿宋" w:cs="仿宋"/>
          <w:b/>
          <w:szCs w:val="21"/>
        </w:rPr>
      </w:pPr>
    </w:p>
    <w:p>
      <w:pPr>
        <w:rPr>
          <w:rFonts w:ascii="仿宋" w:hAnsi="仿宋" w:eastAsia="仿宋" w:cs="仿宋"/>
          <w:b/>
          <w:szCs w:val="21"/>
        </w:rPr>
      </w:pPr>
    </w:p>
    <w:p>
      <w:pPr>
        <w:rPr>
          <w:rFonts w:ascii="宋体" w:hAnsi="仿宋" w:cs="仿宋"/>
          <w:b/>
          <w:szCs w:val="21"/>
        </w:rPr>
      </w:pPr>
    </w:p>
    <w:sectPr>
      <w:headerReference r:id="rId8" w:type="first"/>
      <w:footerReference r:id="rId9" w:type="first"/>
      <w:pgSz w:w="11906" w:h="16838"/>
      <w:pgMar w:top="1418" w:right="1304" w:bottom="1418" w:left="1418"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隶书">
    <w:altName w:val="微软雅黑"/>
    <w:panose1 w:val="02010509060101010101"/>
    <w:charset w:val="86"/>
    <w:family w:val="modern"/>
    <w:pitch w:val="default"/>
    <w:sig w:usb0="00000000" w:usb1="00000000" w:usb2="00000000" w:usb3="00000000" w:csb0="00040000" w:csb1="00000000"/>
  </w:font>
  <w:font w:name="monospace">
    <w:altName w:val="宋体"/>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Plotter">
    <w:altName w:val="宋体"/>
    <w:panose1 w:val="00000000000000000000"/>
    <w:charset w:val="00"/>
    <w:family w:val="auto"/>
    <w:pitch w:val="default"/>
    <w:sig w:usb0="00000000" w:usb1="00000000" w:usb2="00000000" w:usb3="00000000" w:csb0="00000001" w:csb1="00000000"/>
  </w:font>
  <w:font w:name="新宋体">
    <w:panose1 w:val="02010609030101010101"/>
    <w:charset w:val="86"/>
    <w:family w:val="modern"/>
    <w:pitch w:val="default"/>
    <w:sig w:usb0="00000003" w:usb1="288F0000" w:usb2="00000006" w:usb3="00000000" w:csb0="00040001" w:csb1="00000000"/>
  </w:font>
  <w:font w:name="s?">
    <w:altName w:val="Times New Roman"/>
    <w:panose1 w:val="00000000000000000000"/>
    <w:charset w:val="00"/>
    <w:family w:val="auto"/>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2000009F" w:csb1="DFD70000"/>
  </w:font>
  <w:font w:name="Tms Rmn">
    <w:altName w:val="Segoe Print"/>
    <w:panose1 w:val="02020603040505020304"/>
    <w:charset w:val="00"/>
    <w:family w:val="roman"/>
    <w:pitch w:val="default"/>
    <w:sig w:usb0="00000000" w:usb1="00000000" w:usb2="00000000" w:usb3="00000000" w:csb0="00000001" w:csb1="00000000"/>
  </w:font>
  <w:font w:name="长城楷体">
    <w:altName w:val="黑体"/>
    <w:panose1 w:val="00000000000000000000"/>
    <w:charset w:val="86"/>
    <w:family w:val="modern"/>
    <w:pitch w:val="default"/>
    <w:sig w:usb0="00000000" w:usb1="00000000" w:usb2="00000010" w:usb3="00000000" w:csb0="00040008" w:csb1="00000000"/>
  </w:font>
  <w:font w:name="长城仿宋">
    <w:altName w:val="黑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INMAB J+ Univers">
    <w:altName w:val="黑体"/>
    <w:panose1 w:val="00000000000000000000"/>
    <w:charset w:val="86"/>
    <w:family w:val="swiss"/>
    <w:pitch w:val="default"/>
    <w:sig w:usb0="00000000" w:usb1="00000000" w:usb2="00000010" w:usb3="00000000" w:csb0="00040000" w:csb1="00000000"/>
  </w:font>
  <w:font w:name="幼圆">
    <w:altName w:val="宋体"/>
    <w:panose1 w:val="02010509060101010101"/>
    <w:charset w:val="86"/>
    <w:family w:val="modern"/>
    <w:pitch w:val="default"/>
    <w:sig w:usb0="00000000" w:usb1="00000000" w:usb2="00000000" w:usb3="00000000" w:csb0="00040000" w:csb1="00000000"/>
  </w:font>
  <w:font w:name="昆仑仿宋">
    <w:altName w:val="黑体"/>
    <w:panose1 w:val="00000000000000000000"/>
    <w:charset w:val="86"/>
    <w:family w:val="auto"/>
    <w:pitch w:val="default"/>
    <w:sig w:usb0="00000000" w:usb1="00000000" w:usb2="00000010" w:usb3="00000000" w:csb0="00040000" w:csb1="00000000"/>
  </w:font>
  <w:font w:name="文鼎粗黑">
    <w:altName w:val="黑体"/>
    <w:panose1 w:val="00000000000000000000"/>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pBdr>
        <w:top w:val="single" w:color="auto" w:sz="4" w:space="1"/>
      </w:pBdr>
    </w:pPr>
  </w:p>
  <w:p>
    <w:pPr>
      <w:pStyle w:val="4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3"/>
                    </w:pPr>
                    <w:r>
                      <w:fldChar w:fldCharType="begin"/>
                    </w:r>
                    <w:r>
                      <w:instrText xml:space="preserve"> PAGE  \* MERGEFORMAT </w:instrText>
                    </w:r>
                    <w:r>
                      <w:fldChar w:fldCharType="separate"/>
                    </w:r>
                    <w:r>
                      <w:t>2</w:t>
                    </w:r>
                    <w:r>
                      <w:fldChar w:fldCharType="end"/>
                    </w:r>
                  </w:p>
                </w:txbxContent>
              </v:textbox>
            </v:shape>
          </w:pict>
        </mc:Fallback>
      </mc:AlternateContent>
    </w:r>
  </w:p>
  <w:p>
    <w:pPr>
      <w:pStyle w:val="43"/>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3"/>
      <w:pBdr>
        <w:top w:val="single" w:color="auto" w:sz="4" w:space="1"/>
      </w:pBd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3"/>
                            <w:pBdr>
                              <w:top w:val="single" w:color="auto" w:sz="4" w:space="1"/>
                            </w:pBdr>
                          </w:pPr>
                          <w:r>
                            <w:rPr>
                              <w:rFonts w:hint="eastAsia"/>
                            </w:rPr>
                            <w:t xml:space="preserve"> </w:t>
                          </w:r>
                          <w:r>
                            <w:rPr>
                              <w:lang w:val="zh-CN"/>
                            </w:rPr>
                            <w:fldChar w:fldCharType="begin"/>
                          </w:r>
                          <w:r>
                            <w:rPr>
                              <w:lang w:val="zh-CN"/>
                            </w:rPr>
                            <w:instrText xml:space="preserve"> PAGE   \* MERGEFORMAT </w:instrText>
                          </w:r>
                          <w:r>
                            <w:rPr>
                              <w:lang w:val="zh-CN"/>
                            </w:rPr>
                            <w:fldChar w:fldCharType="separate"/>
                          </w:r>
                          <w:r>
                            <w:rPr>
                              <w:lang w:val="zh-CN"/>
                            </w:rPr>
                            <w:t>-</w:t>
                          </w:r>
                          <w:r>
                            <w:t xml:space="preserve">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43"/>
                      <w:pBdr>
                        <w:top w:val="single" w:color="auto" w:sz="4" w:space="1"/>
                      </w:pBdr>
                    </w:pPr>
                    <w:r>
                      <w:rPr>
                        <w:rFonts w:hint="eastAsia"/>
                      </w:rPr>
                      <w:t xml:space="preserve"> </w:t>
                    </w:r>
                    <w:r>
                      <w:rPr>
                        <w:lang w:val="zh-CN"/>
                      </w:rPr>
                      <w:fldChar w:fldCharType="begin"/>
                    </w:r>
                    <w:r>
                      <w:rPr>
                        <w:lang w:val="zh-CN"/>
                      </w:rPr>
                      <w:instrText xml:space="preserve"> PAGE   \* MERGEFORMAT </w:instrText>
                    </w:r>
                    <w:r>
                      <w:rPr>
                        <w:lang w:val="zh-CN"/>
                      </w:rPr>
                      <w:fldChar w:fldCharType="separate"/>
                    </w:r>
                    <w:r>
                      <w:rPr>
                        <w:lang w:val="zh-CN"/>
                      </w:rPr>
                      <w:t>-</w:t>
                    </w:r>
                    <w:r>
                      <w:t xml:space="preserve"> 1 -</w:t>
                    </w:r>
                    <w:r>
                      <w:fldChar w:fldCharType="end"/>
                    </w:r>
                  </w:p>
                </w:txbxContent>
              </v:textbox>
            </v:shape>
          </w:pict>
        </mc:Fallback>
      </mc:AlternateContent>
    </w:r>
  </w:p>
  <w:p>
    <w:pPr>
      <w:pStyle w:val="4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4"/>
    </w:pPr>
    <w:r>
      <w:rPr>
        <w:rFonts w:hint="eastAsia" w:ascii="宋体" w:hAnsi="宋体"/>
        <w:bCs/>
        <w:szCs w:val="21"/>
        <w:lang w:eastAsia="zh-CN"/>
      </w:rPr>
      <w:t>孟州市 B 型保税物流中心升级改造项目代建管理服务项目</w:t>
    </w:r>
    <w:r>
      <w:rPr>
        <w:rFonts w:hint="eastAsia" w:ascii="宋体" w:hAnsi="宋体"/>
        <w:bCs/>
        <w:szCs w:val="21"/>
      </w:rPr>
      <w:t xml:space="preserve">                  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4"/>
      <w:pBdr>
        <w:bottom w:val="none" w:color="auto" w:sz="0" w:space="0"/>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4"/>
      <w:jc w:val="left"/>
    </w:pPr>
    <w:r>
      <w:rPr>
        <w:rFonts w:hint="eastAsia" w:hAnsi="宋体" w:cs="宋体"/>
        <w:sz w:val="18"/>
        <w:szCs w:val="18"/>
        <w:lang w:val="en-US" w:eastAsia="zh-CN"/>
      </w:rPr>
      <w:t xml:space="preserve">孟州市化工园区整体性安全风险评价报告及划定化工园区周边土地规划安全控制线           </w:t>
    </w:r>
    <w:r>
      <w:rPr>
        <w:rFonts w:hint="eastAsia" w:ascii="宋体" w:hAnsi="宋体" w:cs="宋体"/>
        <w:b/>
        <w:bCs/>
        <w:sz w:val="18"/>
        <w:szCs w:val="18"/>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4"/>
      <w:jc w:val="left"/>
    </w:pPr>
    <w:r>
      <w:rPr>
        <w:rFonts w:hint="eastAsia" w:hAnsi="宋体" w:cs="宋体"/>
        <w:sz w:val="18"/>
        <w:szCs w:val="18"/>
        <w:lang w:val="en-US" w:eastAsia="zh-CN"/>
      </w:rPr>
      <w:t xml:space="preserve">孟州市化工园区整体性安全风险评价报告及划定化工园区周边土地规划安全控制线 </w:t>
    </w:r>
    <w:r>
      <w:rPr>
        <w:rFonts w:hint="eastAsia" w:ascii="宋体" w:hAnsi="宋体"/>
        <w:b/>
        <w:bCs w:val="0"/>
        <w:szCs w:val="21"/>
        <w:lang w:val="en-US" w:eastAsia="zh-CN"/>
      </w:rPr>
      <w:t xml:space="preserve">                    </w:t>
    </w:r>
    <w:r>
      <w:rPr>
        <w:rFonts w:hint="eastAsia" w:ascii="宋体" w:hAnsi="宋体"/>
        <w:b/>
        <w:bCs w:val="0"/>
        <w:szCs w:val="21"/>
        <w:lang w:eastAsia="zh-CN"/>
      </w:rPr>
      <w:t>招标</w:t>
    </w:r>
    <w:r>
      <w:rPr>
        <w:rFonts w:hint="eastAsia" w:ascii="宋体" w:hAnsi="宋体"/>
        <w:b/>
        <w:bCs w:val="0"/>
        <w:szCs w:val="21"/>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182101"/>
    <w:multiLevelType w:val="singleLevel"/>
    <w:tmpl w:val="CA182101"/>
    <w:lvl w:ilvl="0" w:tentative="0">
      <w:start w:val="1"/>
      <w:numFmt w:val="decimal"/>
      <w:suff w:val="nothing"/>
      <w:lvlText w:val="（%1）"/>
      <w:lvlJc w:val="left"/>
    </w:lvl>
  </w:abstractNum>
  <w:abstractNum w:abstractNumId="1">
    <w:nsid w:val="F9E2495C"/>
    <w:multiLevelType w:val="singleLevel"/>
    <w:tmpl w:val="F9E2495C"/>
    <w:lvl w:ilvl="0" w:tentative="0">
      <w:start w:val="1"/>
      <w:numFmt w:val="chineseCounting"/>
      <w:suff w:val="space"/>
      <w:lvlText w:val="第%1章"/>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1YTI5ZjM1YzNmYWMxZWZiMDVkM2EyY2FiODg0N2UifQ=="/>
    <w:docVar w:name="KSO_WPS_MARK_KEY" w:val="eb94dfa0-ca47-48dd-92a7-6d9a7ec84806"/>
  </w:docVars>
  <w:rsids>
    <w:rsidRoot w:val="00172A27"/>
    <w:rsid w:val="0000022C"/>
    <w:rsid w:val="00000410"/>
    <w:rsid w:val="00000FF3"/>
    <w:rsid w:val="0000173D"/>
    <w:rsid w:val="00002545"/>
    <w:rsid w:val="000049B3"/>
    <w:rsid w:val="00004B32"/>
    <w:rsid w:val="00005621"/>
    <w:rsid w:val="00005F15"/>
    <w:rsid w:val="000062E1"/>
    <w:rsid w:val="00006322"/>
    <w:rsid w:val="000066CA"/>
    <w:rsid w:val="0001267D"/>
    <w:rsid w:val="00013100"/>
    <w:rsid w:val="000145C2"/>
    <w:rsid w:val="00016126"/>
    <w:rsid w:val="0002037D"/>
    <w:rsid w:val="000208ED"/>
    <w:rsid w:val="00021AD4"/>
    <w:rsid w:val="00021B9D"/>
    <w:rsid w:val="00023ADC"/>
    <w:rsid w:val="000244F4"/>
    <w:rsid w:val="00025872"/>
    <w:rsid w:val="00027CF8"/>
    <w:rsid w:val="0003118E"/>
    <w:rsid w:val="00031E76"/>
    <w:rsid w:val="000341D7"/>
    <w:rsid w:val="00036952"/>
    <w:rsid w:val="00036A09"/>
    <w:rsid w:val="00036EF2"/>
    <w:rsid w:val="00037F49"/>
    <w:rsid w:val="00040083"/>
    <w:rsid w:val="00040251"/>
    <w:rsid w:val="00040B1E"/>
    <w:rsid w:val="00042061"/>
    <w:rsid w:val="000437F4"/>
    <w:rsid w:val="000443B3"/>
    <w:rsid w:val="00044921"/>
    <w:rsid w:val="00045795"/>
    <w:rsid w:val="000463DD"/>
    <w:rsid w:val="00046AC0"/>
    <w:rsid w:val="00047746"/>
    <w:rsid w:val="00047F24"/>
    <w:rsid w:val="0005012D"/>
    <w:rsid w:val="000505CD"/>
    <w:rsid w:val="00050D6C"/>
    <w:rsid w:val="000522C8"/>
    <w:rsid w:val="00052487"/>
    <w:rsid w:val="00052AB2"/>
    <w:rsid w:val="0005355F"/>
    <w:rsid w:val="00053CE8"/>
    <w:rsid w:val="0005461F"/>
    <w:rsid w:val="00054A4B"/>
    <w:rsid w:val="0005511D"/>
    <w:rsid w:val="000553E2"/>
    <w:rsid w:val="0005648E"/>
    <w:rsid w:val="00056E07"/>
    <w:rsid w:val="000575E1"/>
    <w:rsid w:val="0006276B"/>
    <w:rsid w:val="00063D2E"/>
    <w:rsid w:val="00063DCD"/>
    <w:rsid w:val="00064563"/>
    <w:rsid w:val="00064A70"/>
    <w:rsid w:val="00065405"/>
    <w:rsid w:val="0007053F"/>
    <w:rsid w:val="000717C5"/>
    <w:rsid w:val="00072199"/>
    <w:rsid w:val="00072610"/>
    <w:rsid w:val="00073111"/>
    <w:rsid w:val="00075F1E"/>
    <w:rsid w:val="00076E90"/>
    <w:rsid w:val="00077C84"/>
    <w:rsid w:val="00081567"/>
    <w:rsid w:val="00083146"/>
    <w:rsid w:val="00083FF6"/>
    <w:rsid w:val="00085684"/>
    <w:rsid w:val="00085EAA"/>
    <w:rsid w:val="00087039"/>
    <w:rsid w:val="0008708E"/>
    <w:rsid w:val="000878CE"/>
    <w:rsid w:val="000901DE"/>
    <w:rsid w:val="000906CD"/>
    <w:rsid w:val="0009158E"/>
    <w:rsid w:val="00094BAD"/>
    <w:rsid w:val="00094CFB"/>
    <w:rsid w:val="00096445"/>
    <w:rsid w:val="00096FE1"/>
    <w:rsid w:val="000974DA"/>
    <w:rsid w:val="000A0A46"/>
    <w:rsid w:val="000A0C8D"/>
    <w:rsid w:val="000A0CE8"/>
    <w:rsid w:val="000A181C"/>
    <w:rsid w:val="000A1DB1"/>
    <w:rsid w:val="000A256F"/>
    <w:rsid w:val="000A2CE7"/>
    <w:rsid w:val="000A3594"/>
    <w:rsid w:val="000A4554"/>
    <w:rsid w:val="000A5217"/>
    <w:rsid w:val="000A5589"/>
    <w:rsid w:val="000A639C"/>
    <w:rsid w:val="000B37D4"/>
    <w:rsid w:val="000B4512"/>
    <w:rsid w:val="000B4813"/>
    <w:rsid w:val="000B5DC7"/>
    <w:rsid w:val="000B61D6"/>
    <w:rsid w:val="000B6742"/>
    <w:rsid w:val="000B6787"/>
    <w:rsid w:val="000B7D49"/>
    <w:rsid w:val="000C36FA"/>
    <w:rsid w:val="000C3CC6"/>
    <w:rsid w:val="000C49BE"/>
    <w:rsid w:val="000C5340"/>
    <w:rsid w:val="000C53A1"/>
    <w:rsid w:val="000C6301"/>
    <w:rsid w:val="000C675F"/>
    <w:rsid w:val="000C74CA"/>
    <w:rsid w:val="000C76E1"/>
    <w:rsid w:val="000D2E9D"/>
    <w:rsid w:val="000D2EE8"/>
    <w:rsid w:val="000D3159"/>
    <w:rsid w:val="000D35E5"/>
    <w:rsid w:val="000D48C6"/>
    <w:rsid w:val="000D54C9"/>
    <w:rsid w:val="000D5D67"/>
    <w:rsid w:val="000D693A"/>
    <w:rsid w:val="000E0F6A"/>
    <w:rsid w:val="000E11EB"/>
    <w:rsid w:val="000E158A"/>
    <w:rsid w:val="000E1A62"/>
    <w:rsid w:val="000E27A7"/>
    <w:rsid w:val="000E2AB9"/>
    <w:rsid w:val="000E307B"/>
    <w:rsid w:val="000E3426"/>
    <w:rsid w:val="000E443A"/>
    <w:rsid w:val="000E4E35"/>
    <w:rsid w:val="000E5F94"/>
    <w:rsid w:val="000E7013"/>
    <w:rsid w:val="000E7644"/>
    <w:rsid w:val="000E7C6C"/>
    <w:rsid w:val="000F1387"/>
    <w:rsid w:val="000F14BC"/>
    <w:rsid w:val="000F18A5"/>
    <w:rsid w:val="000F19CA"/>
    <w:rsid w:val="000F1C48"/>
    <w:rsid w:val="000F22E1"/>
    <w:rsid w:val="000F3559"/>
    <w:rsid w:val="000F38C0"/>
    <w:rsid w:val="000F417E"/>
    <w:rsid w:val="000F50A5"/>
    <w:rsid w:val="000F57F4"/>
    <w:rsid w:val="000F5918"/>
    <w:rsid w:val="000F645B"/>
    <w:rsid w:val="001005AE"/>
    <w:rsid w:val="001007A6"/>
    <w:rsid w:val="00101D90"/>
    <w:rsid w:val="00101EEF"/>
    <w:rsid w:val="00102D26"/>
    <w:rsid w:val="00102DC7"/>
    <w:rsid w:val="001048FB"/>
    <w:rsid w:val="00104E27"/>
    <w:rsid w:val="001056B3"/>
    <w:rsid w:val="001058D1"/>
    <w:rsid w:val="0010662A"/>
    <w:rsid w:val="00106836"/>
    <w:rsid w:val="00107081"/>
    <w:rsid w:val="00107127"/>
    <w:rsid w:val="00111550"/>
    <w:rsid w:val="00112BD7"/>
    <w:rsid w:val="00112C7A"/>
    <w:rsid w:val="001138F8"/>
    <w:rsid w:val="00113DDF"/>
    <w:rsid w:val="0011520D"/>
    <w:rsid w:val="0011521D"/>
    <w:rsid w:val="00115CA5"/>
    <w:rsid w:val="00116792"/>
    <w:rsid w:val="00120A2A"/>
    <w:rsid w:val="00121A37"/>
    <w:rsid w:val="0012220E"/>
    <w:rsid w:val="00122444"/>
    <w:rsid w:val="00122545"/>
    <w:rsid w:val="001231CA"/>
    <w:rsid w:val="001236B3"/>
    <w:rsid w:val="00123BE8"/>
    <w:rsid w:val="00123CB8"/>
    <w:rsid w:val="001247F1"/>
    <w:rsid w:val="00125D17"/>
    <w:rsid w:val="00125F86"/>
    <w:rsid w:val="00126E7D"/>
    <w:rsid w:val="001271B9"/>
    <w:rsid w:val="00127CB5"/>
    <w:rsid w:val="001307C1"/>
    <w:rsid w:val="00135F99"/>
    <w:rsid w:val="00141316"/>
    <w:rsid w:val="00141351"/>
    <w:rsid w:val="00141EA7"/>
    <w:rsid w:val="001423B0"/>
    <w:rsid w:val="001436E3"/>
    <w:rsid w:val="0014404A"/>
    <w:rsid w:val="0014483F"/>
    <w:rsid w:val="00144C14"/>
    <w:rsid w:val="00145FB9"/>
    <w:rsid w:val="001466FB"/>
    <w:rsid w:val="00147CAE"/>
    <w:rsid w:val="00150451"/>
    <w:rsid w:val="00150EAB"/>
    <w:rsid w:val="00151F7B"/>
    <w:rsid w:val="00155B71"/>
    <w:rsid w:val="0015660C"/>
    <w:rsid w:val="0015727A"/>
    <w:rsid w:val="00157BA1"/>
    <w:rsid w:val="00161C96"/>
    <w:rsid w:val="00162412"/>
    <w:rsid w:val="00166214"/>
    <w:rsid w:val="0016635D"/>
    <w:rsid w:val="00171088"/>
    <w:rsid w:val="00172A27"/>
    <w:rsid w:val="00174F78"/>
    <w:rsid w:val="001753F0"/>
    <w:rsid w:val="00175983"/>
    <w:rsid w:val="00175D66"/>
    <w:rsid w:val="00176316"/>
    <w:rsid w:val="00177A38"/>
    <w:rsid w:val="00177ED2"/>
    <w:rsid w:val="00180896"/>
    <w:rsid w:val="00181ACF"/>
    <w:rsid w:val="00181AFB"/>
    <w:rsid w:val="001844DD"/>
    <w:rsid w:val="0018511A"/>
    <w:rsid w:val="00185164"/>
    <w:rsid w:val="00185CCB"/>
    <w:rsid w:val="00187583"/>
    <w:rsid w:val="0018780E"/>
    <w:rsid w:val="001878AB"/>
    <w:rsid w:val="00187DED"/>
    <w:rsid w:val="0019038B"/>
    <w:rsid w:val="0019050D"/>
    <w:rsid w:val="001909B4"/>
    <w:rsid w:val="00190E72"/>
    <w:rsid w:val="0019126C"/>
    <w:rsid w:val="001919C7"/>
    <w:rsid w:val="001920B2"/>
    <w:rsid w:val="00193B0F"/>
    <w:rsid w:val="00193EC6"/>
    <w:rsid w:val="00196392"/>
    <w:rsid w:val="0019663D"/>
    <w:rsid w:val="00196678"/>
    <w:rsid w:val="00196C0E"/>
    <w:rsid w:val="00196C89"/>
    <w:rsid w:val="001971F1"/>
    <w:rsid w:val="001974B6"/>
    <w:rsid w:val="00197855"/>
    <w:rsid w:val="00197F7B"/>
    <w:rsid w:val="001A06E5"/>
    <w:rsid w:val="001A0B2C"/>
    <w:rsid w:val="001A0FC0"/>
    <w:rsid w:val="001A2274"/>
    <w:rsid w:val="001A2414"/>
    <w:rsid w:val="001A33E6"/>
    <w:rsid w:val="001A4216"/>
    <w:rsid w:val="001A4AD2"/>
    <w:rsid w:val="001A541C"/>
    <w:rsid w:val="001A5FBE"/>
    <w:rsid w:val="001A638C"/>
    <w:rsid w:val="001A6B5F"/>
    <w:rsid w:val="001B0BC2"/>
    <w:rsid w:val="001B2162"/>
    <w:rsid w:val="001B2EA2"/>
    <w:rsid w:val="001B3F9B"/>
    <w:rsid w:val="001B4573"/>
    <w:rsid w:val="001B52A0"/>
    <w:rsid w:val="001C1F34"/>
    <w:rsid w:val="001C2389"/>
    <w:rsid w:val="001C2761"/>
    <w:rsid w:val="001C2B24"/>
    <w:rsid w:val="001C2B2B"/>
    <w:rsid w:val="001C3C54"/>
    <w:rsid w:val="001C459D"/>
    <w:rsid w:val="001C7948"/>
    <w:rsid w:val="001C7FF4"/>
    <w:rsid w:val="001D0ABE"/>
    <w:rsid w:val="001D17EB"/>
    <w:rsid w:val="001D3A1D"/>
    <w:rsid w:val="001D4040"/>
    <w:rsid w:val="001D4799"/>
    <w:rsid w:val="001D4FAF"/>
    <w:rsid w:val="001D6278"/>
    <w:rsid w:val="001D6E17"/>
    <w:rsid w:val="001D6F7C"/>
    <w:rsid w:val="001D731E"/>
    <w:rsid w:val="001E059B"/>
    <w:rsid w:val="001E0BF1"/>
    <w:rsid w:val="001E0E44"/>
    <w:rsid w:val="001E1E9F"/>
    <w:rsid w:val="001E1FED"/>
    <w:rsid w:val="001E3088"/>
    <w:rsid w:val="001E5726"/>
    <w:rsid w:val="001E5D81"/>
    <w:rsid w:val="001E5FB9"/>
    <w:rsid w:val="001E6880"/>
    <w:rsid w:val="001F09DA"/>
    <w:rsid w:val="001F2361"/>
    <w:rsid w:val="001F2AFC"/>
    <w:rsid w:val="001F318C"/>
    <w:rsid w:val="001F4876"/>
    <w:rsid w:val="001F4B7C"/>
    <w:rsid w:val="001F5280"/>
    <w:rsid w:val="001F5723"/>
    <w:rsid w:val="001F68B9"/>
    <w:rsid w:val="001F7280"/>
    <w:rsid w:val="001F7C8F"/>
    <w:rsid w:val="00200228"/>
    <w:rsid w:val="0020025A"/>
    <w:rsid w:val="00202E01"/>
    <w:rsid w:val="00202F98"/>
    <w:rsid w:val="0020338C"/>
    <w:rsid w:val="00203ECE"/>
    <w:rsid w:val="0020414C"/>
    <w:rsid w:val="00205079"/>
    <w:rsid w:val="0020514C"/>
    <w:rsid w:val="00205B4E"/>
    <w:rsid w:val="00206EA7"/>
    <w:rsid w:val="00207514"/>
    <w:rsid w:val="00207986"/>
    <w:rsid w:val="00207D4B"/>
    <w:rsid w:val="00210B29"/>
    <w:rsid w:val="00210C99"/>
    <w:rsid w:val="00210D9B"/>
    <w:rsid w:val="002118FF"/>
    <w:rsid w:val="0021328A"/>
    <w:rsid w:val="002133AC"/>
    <w:rsid w:val="00213BBB"/>
    <w:rsid w:val="00214187"/>
    <w:rsid w:val="00214F02"/>
    <w:rsid w:val="00215E03"/>
    <w:rsid w:val="00216045"/>
    <w:rsid w:val="00216652"/>
    <w:rsid w:val="00216DF2"/>
    <w:rsid w:val="00216E23"/>
    <w:rsid w:val="002173EB"/>
    <w:rsid w:val="00217594"/>
    <w:rsid w:val="00217C93"/>
    <w:rsid w:val="0022029B"/>
    <w:rsid w:val="00220481"/>
    <w:rsid w:val="0022077F"/>
    <w:rsid w:val="00220951"/>
    <w:rsid w:val="00220E72"/>
    <w:rsid w:val="00221BA4"/>
    <w:rsid w:val="002227C6"/>
    <w:rsid w:val="00222BA5"/>
    <w:rsid w:val="00222E98"/>
    <w:rsid w:val="00225582"/>
    <w:rsid w:val="00227A47"/>
    <w:rsid w:val="00230BE3"/>
    <w:rsid w:val="00233370"/>
    <w:rsid w:val="00237B11"/>
    <w:rsid w:val="00240A4F"/>
    <w:rsid w:val="00240FFC"/>
    <w:rsid w:val="002421B4"/>
    <w:rsid w:val="00242AC8"/>
    <w:rsid w:val="0024301C"/>
    <w:rsid w:val="00243E22"/>
    <w:rsid w:val="00243FC4"/>
    <w:rsid w:val="00244221"/>
    <w:rsid w:val="00245399"/>
    <w:rsid w:val="00250940"/>
    <w:rsid w:val="00251335"/>
    <w:rsid w:val="00252581"/>
    <w:rsid w:val="0025394A"/>
    <w:rsid w:val="00254DFB"/>
    <w:rsid w:val="002569CB"/>
    <w:rsid w:val="00257B66"/>
    <w:rsid w:val="00257FD3"/>
    <w:rsid w:val="00261329"/>
    <w:rsid w:val="002617F2"/>
    <w:rsid w:val="00261B2C"/>
    <w:rsid w:val="00261C6B"/>
    <w:rsid w:val="002631BD"/>
    <w:rsid w:val="00266C3E"/>
    <w:rsid w:val="0027123A"/>
    <w:rsid w:val="00271A7A"/>
    <w:rsid w:val="00272077"/>
    <w:rsid w:val="002730FB"/>
    <w:rsid w:val="00273591"/>
    <w:rsid w:val="002735B9"/>
    <w:rsid w:val="0027670E"/>
    <w:rsid w:val="00276D22"/>
    <w:rsid w:val="00277655"/>
    <w:rsid w:val="00280238"/>
    <w:rsid w:val="00282201"/>
    <w:rsid w:val="002828C1"/>
    <w:rsid w:val="002839B0"/>
    <w:rsid w:val="00283BB1"/>
    <w:rsid w:val="0028465C"/>
    <w:rsid w:val="00284774"/>
    <w:rsid w:val="00284D19"/>
    <w:rsid w:val="00285717"/>
    <w:rsid w:val="0028724A"/>
    <w:rsid w:val="00287E38"/>
    <w:rsid w:val="00290D21"/>
    <w:rsid w:val="002929C8"/>
    <w:rsid w:val="00294387"/>
    <w:rsid w:val="00295FC7"/>
    <w:rsid w:val="00296622"/>
    <w:rsid w:val="00296790"/>
    <w:rsid w:val="002A0594"/>
    <w:rsid w:val="002A0A22"/>
    <w:rsid w:val="002A1DE6"/>
    <w:rsid w:val="002A1FEA"/>
    <w:rsid w:val="002A2503"/>
    <w:rsid w:val="002A2D36"/>
    <w:rsid w:val="002A37EC"/>
    <w:rsid w:val="002A41B4"/>
    <w:rsid w:val="002A5114"/>
    <w:rsid w:val="002A60D2"/>
    <w:rsid w:val="002A73E1"/>
    <w:rsid w:val="002B0D8F"/>
    <w:rsid w:val="002B185B"/>
    <w:rsid w:val="002B26E4"/>
    <w:rsid w:val="002B274E"/>
    <w:rsid w:val="002B2B27"/>
    <w:rsid w:val="002B45DF"/>
    <w:rsid w:val="002B7EB4"/>
    <w:rsid w:val="002C148E"/>
    <w:rsid w:val="002C1638"/>
    <w:rsid w:val="002C1C5A"/>
    <w:rsid w:val="002C3BE7"/>
    <w:rsid w:val="002C4422"/>
    <w:rsid w:val="002C56CD"/>
    <w:rsid w:val="002C59CC"/>
    <w:rsid w:val="002D2532"/>
    <w:rsid w:val="002D37D5"/>
    <w:rsid w:val="002D4E4B"/>
    <w:rsid w:val="002D5331"/>
    <w:rsid w:val="002D5542"/>
    <w:rsid w:val="002D6682"/>
    <w:rsid w:val="002D6D06"/>
    <w:rsid w:val="002D6F65"/>
    <w:rsid w:val="002D6F74"/>
    <w:rsid w:val="002D798A"/>
    <w:rsid w:val="002E073A"/>
    <w:rsid w:val="002E093A"/>
    <w:rsid w:val="002E0A6D"/>
    <w:rsid w:val="002E1C95"/>
    <w:rsid w:val="002E1E68"/>
    <w:rsid w:val="002E22F7"/>
    <w:rsid w:val="002E4443"/>
    <w:rsid w:val="002E4F74"/>
    <w:rsid w:val="002E5C32"/>
    <w:rsid w:val="002E6396"/>
    <w:rsid w:val="002E6700"/>
    <w:rsid w:val="002E7C11"/>
    <w:rsid w:val="002F1C17"/>
    <w:rsid w:val="002F21AA"/>
    <w:rsid w:val="002F33A7"/>
    <w:rsid w:val="002F76F1"/>
    <w:rsid w:val="00304696"/>
    <w:rsid w:val="003053A3"/>
    <w:rsid w:val="00305EAC"/>
    <w:rsid w:val="003077C8"/>
    <w:rsid w:val="003108AB"/>
    <w:rsid w:val="00310A90"/>
    <w:rsid w:val="00311B67"/>
    <w:rsid w:val="0031258B"/>
    <w:rsid w:val="00312625"/>
    <w:rsid w:val="00313950"/>
    <w:rsid w:val="00314778"/>
    <w:rsid w:val="00315148"/>
    <w:rsid w:val="003154D2"/>
    <w:rsid w:val="00315715"/>
    <w:rsid w:val="00317617"/>
    <w:rsid w:val="00317D50"/>
    <w:rsid w:val="00320B45"/>
    <w:rsid w:val="00321352"/>
    <w:rsid w:val="00321D54"/>
    <w:rsid w:val="0032295D"/>
    <w:rsid w:val="003241D7"/>
    <w:rsid w:val="00324233"/>
    <w:rsid w:val="00324D76"/>
    <w:rsid w:val="003259ED"/>
    <w:rsid w:val="003264A3"/>
    <w:rsid w:val="00326E95"/>
    <w:rsid w:val="00330AAA"/>
    <w:rsid w:val="00330DC3"/>
    <w:rsid w:val="00332D3D"/>
    <w:rsid w:val="00332E31"/>
    <w:rsid w:val="00333F58"/>
    <w:rsid w:val="00335741"/>
    <w:rsid w:val="00335ABA"/>
    <w:rsid w:val="003375EA"/>
    <w:rsid w:val="003413C8"/>
    <w:rsid w:val="00341AB6"/>
    <w:rsid w:val="00342715"/>
    <w:rsid w:val="00345609"/>
    <w:rsid w:val="00345FB0"/>
    <w:rsid w:val="00346782"/>
    <w:rsid w:val="00346988"/>
    <w:rsid w:val="00346991"/>
    <w:rsid w:val="00346A1D"/>
    <w:rsid w:val="00347A6B"/>
    <w:rsid w:val="003506F7"/>
    <w:rsid w:val="003509C8"/>
    <w:rsid w:val="00353DA9"/>
    <w:rsid w:val="00354C87"/>
    <w:rsid w:val="00355B2C"/>
    <w:rsid w:val="0035633B"/>
    <w:rsid w:val="003606AA"/>
    <w:rsid w:val="00360BD3"/>
    <w:rsid w:val="003619D8"/>
    <w:rsid w:val="0036263F"/>
    <w:rsid w:val="00364ED3"/>
    <w:rsid w:val="003671B2"/>
    <w:rsid w:val="00367B07"/>
    <w:rsid w:val="00371410"/>
    <w:rsid w:val="00372FA3"/>
    <w:rsid w:val="003730B5"/>
    <w:rsid w:val="00374465"/>
    <w:rsid w:val="00374880"/>
    <w:rsid w:val="00374EF3"/>
    <w:rsid w:val="00375760"/>
    <w:rsid w:val="003761ED"/>
    <w:rsid w:val="00377424"/>
    <w:rsid w:val="003808F9"/>
    <w:rsid w:val="00380FC1"/>
    <w:rsid w:val="00381567"/>
    <w:rsid w:val="003819C6"/>
    <w:rsid w:val="00381E17"/>
    <w:rsid w:val="0038252F"/>
    <w:rsid w:val="00384448"/>
    <w:rsid w:val="00384789"/>
    <w:rsid w:val="00384958"/>
    <w:rsid w:val="00384F93"/>
    <w:rsid w:val="003853E0"/>
    <w:rsid w:val="00385429"/>
    <w:rsid w:val="00385711"/>
    <w:rsid w:val="00386769"/>
    <w:rsid w:val="0038689F"/>
    <w:rsid w:val="00386E3B"/>
    <w:rsid w:val="00391576"/>
    <w:rsid w:val="003928C0"/>
    <w:rsid w:val="00393E6B"/>
    <w:rsid w:val="00394152"/>
    <w:rsid w:val="00395BF5"/>
    <w:rsid w:val="00395DFC"/>
    <w:rsid w:val="00396136"/>
    <w:rsid w:val="003968B1"/>
    <w:rsid w:val="003972D2"/>
    <w:rsid w:val="00397AE4"/>
    <w:rsid w:val="00397BD1"/>
    <w:rsid w:val="003A0E85"/>
    <w:rsid w:val="003A1755"/>
    <w:rsid w:val="003A233A"/>
    <w:rsid w:val="003A3169"/>
    <w:rsid w:val="003A381E"/>
    <w:rsid w:val="003A5731"/>
    <w:rsid w:val="003A65DA"/>
    <w:rsid w:val="003A745E"/>
    <w:rsid w:val="003A76A5"/>
    <w:rsid w:val="003B00AB"/>
    <w:rsid w:val="003B0580"/>
    <w:rsid w:val="003B0671"/>
    <w:rsid w:val="003B07A6"/>
    <w:rsid w:val="003B0F25"/>
    <w:rsid w:val="003B0FE8"/>
    <w:rsid w:val="003B14CB"/>
    <w:rsid w:val="003B3EBE"/>
    <w:rsid w:val="003B447A"/>
    <w:rsid w:val="003B5568"/>
    <w:rsid w:val="003B667B"/>
    <w:rsid w:val="003C01D7"/>
    <w:rsid w:val="003C0274"/>
    <w:rsid w:val="003C069F"/>
    <w:rsid w:val="003C0DE0"/>
    <w:rsid w:val="003C159B"/>
    <w:rsid w:val="003C1AE3"/>
    <w:rsid w:val="003C379D"/>
    <w:rsid w:val="003C3909"/>
    <w:rsid w:val="003C3D33"/>
    <w:rsid w:val="003C7434"/>
    <w:rsid w:val="003D1B70"/>
    <w:rsid w:val="003D2118"/>
    <w:rsid w:val="003D3D21"/>
    <w:rsid w:val="003D3D8C"/>
    <w:rsid w:val="003D6274"/>
    <w:rsid w:val="003D72DF"/>
    <w:rsid w:val="003D7679"/>
    <w:rsid w:val="003E1E37"/>
    <w:rsid w:val="003E1E59"/>
    <w:rsid w:val="003E2C2F"/>
    <w:rsid w:val="003E47D5"/>
    <w:rsid w:val="003E4AC4"/>
    <w:rsid w:val="003E4DEF"/>
    <w:rsid w:val="003E5379"/>
    <w:rsid w:val="003E5ADA"/>
    <w:rsid w:val="003E5B50"/>
    <w:rsid w:val="003E6857"/>
    <w:rsid w:val="003E6E00"/>
    <w:rsid w:val="003F0903"/>
    <w:rsid w:val="003F1F29"/>
    <w:rsid w:val="003F30D7"/>
    <w:rsid w:val="003F3B7E"/>
    <w:rsid w:val="003F4F29"/>
    <w:rsid w:val="003F7561"/>
    <w:rsid w:val="00400656"/>
    <w:rsid w:val="00400787"/>
    <w:rsid w:val="00400C22"/>
    <w:rsid w:val="00401E74"/>
    <w:rsid w:val="0040281A"/>
    <w:rsid w:val="0040291F"/>
    <w:rsid w:val="004034C5"/>
    <w:rsid w:val="00404A12"/>
    <w:rsid w:val="0040611E"/>
    <w:rsid w:val="00407799"/>
    <w:rsid w:val="0041340F"/>
    <w:rsid w:val="004141DA"/>
    <w:rsid w:val="004147B6"/>
    <w:rsid w:val="00414B22"/>
    <w:rsid w:val="0041627E"/>
    <w:rsid w:val="00416CE6"/>
    <w:rsid w:val="004179D9"/>
    <w:rsid w:val="00417A7B"/>
    <w:rsid w:val="00417F20"/>
    <w:rsid w:val="00420D76"/>
    <w:rsid w:val="004224FE"/>
    <w:rsid w:val="0042475E"/>
    <w:rsid w:val="004247F6"/>
    <w:rsid w:val="00424B0B"/>
    <w:rsid w:val="00425786"/>
    <w:rsid w:val="00431B6B"/>
    <w:rsid w:val="00432850"/>
    <w:rsid w:val="004333F6"/>
    <w:rsid w:val="004342B6"/>
    <w:rsid w:val="004345A2"/>
    <w:rsid w:val="0043695F"/>
    <w:rsid w:val="00437005"/>
    <w:rsid w:val="00437E74"/>
    <w:rsid w:val="00437F70"/>
    <w:rsid w:val="0044035E"/>
    <w:rsid w:val="0044099F"/>
    <w:rsid w:val="004412A5"/>
    <w:rsid w:val="004418A0"/>
    <w:rsid w:val="004422B5"/>
    <w:rsid w:val="0044245D"/>
    <w:rsid w:val="004427D8"/>
    <w:rsid w:val="004442CE"/>
    <w:rsid w:val="004446AD"/>
    <w:rsid w:val="00445479"/>
    <w:rsid w:val="00450619"/>
    <w:rsid w:val="0045079C"/>
    <w:rsid w:val="00451C82"/>
    <w:rsid w:val="00452EC4"/>
    <w:rsid w:val="00453B00"/>
    <w:rsid w:val="00453C61"/>
    <w:rsid w:val="0045457C"/>
    <w:rsid w:val="00454730"/>
    <w:rsid w:val="004549B3"/>
    <w:rsid w:val="0046170B"/>
    <w:rsid w:val="0046195D"/>
    <w:rsid w:val="004626DD"/>
    <w:rsid w:val="00462A4D"/>
    <w:rsid w:val="004645E2"/>
    <w:rsid w:val="0046695C"/>
    <w:rsid w:val="004720B0"/>
    <w:rsid w:val="00472B60"/>
    <w:rsid w:val="00472EC3"/>
    <w:rsid w:val="004754F1"/>
    <w:rsid w:val="0047644C"/>
    <w:rsid w:val="00477758"/>
    <w:rsid w:val="004777C2"/>
    <w:rsid w:val="004779AC"/>
    <w:rsid w:val="00477BD9"/>
    <w:rsid w:val="00480C2E"/>
    <w:rsid w:val="00480D45"/>
    <w:rsid w:val="00481C09"/>
    <w:rsid w:val="00482910"/>
    <w:rsid w:val="00483552"/>
    <w:rsid w:val="00484F79"/>
    <w:rsid w:val="00485C0C"/>
    <w:rsid w:val="00485F27"/>
    <w:rsid w:val="004866DA"/>
    <w:rsid w:val="00491050"/>
    <w:rsid w:val="004915F4"/>
    <w:rsid w:val="00492510"/>
    <w:rsid w:val="00493108"/>
    <w:rsid w:val="00494CF3"/>
    <w:rsid w:val="00495AE6"/>
    <w:rsid w:val="00495F81"/>
    <w:rsid w:val="0049680F"/>
    <w:rsid w:val="004A01C7"/>
    <w:rsid w:val="004A151F"/>
    <w:rsid w:val="004A2C4C"/>
    <w:rsid w:val="004A45F1"/>
    <w:rsid w:val="004A48A6"/>
    <w:rsid w:val="004A5D9A"/>
    <w:rsid w:val="004A6266"/>
    <w:rsid w:val="004A6774"/>
    <w:rsid w:val="004A7099"/>
    <w:rsid w:val="004A7646"/>
    <w:rsid w:val="004B01A1"/>
    <w:rsid w:val="004B08A5"/>
    <w:rsid w:val="004B2218"/>
    <w:rsid w:val="004B22C7"/>
    <w:rsid w:val="004B4D8F"/>
    <w:rsid w:val="004B6B63"/>
    <w:rsid w:val="004B70BD"/>
    <w:rsid w:val="004C0149"/>
    <w:rsid w:val="004C05BF"/>
    <w:rsid w:val="004C0FF1"/>
    <w:rsid w:val="004C19DA"/>
    <w:rsid w:val="004C1A99"/>
    <w:rsid w:val="004C2604"/>
    <w:rsid w:val="004C319A"/>
    <w:rsid w:val="004C3BCD"/>
    <w:rsid w:val="004C44D0"/>
    <w:rsid w:val="004C585D"/>
    <w:rsid w:val="004C5A99"/>
    <w:rsid w:val="004C77F1"/>
    <w:rsid w:val="004D122A"/>
    <w:rsid w:val="004D1953"/>
    <w:rsid w:val="004D1D1E"/>
    <w:rsid w:val="004D2CB9"/>
    <w:rsid w:val="004D2D50"/>
    <w:rsid w:val="004D47FC"/>
    <w:rsid w:val="004D523D"/>
    <w:rsid w:val="004D547F"/>
    <w:rsid w:val="004D5CE6"/>
    <w:rsid w:val="004D6069"/>
    <w:rsid w:val="004D6B20"/>
    <w:rsid w:val="004E18E5"/>
    <w:rsid w:val="004E2D23"/>
    <w:rsid w:val="004E3BD6"/>
    <w:rsid w:val="004E437F"/>
    <w:rsid w:val="004E4505"/>
    <w:rsid w:val="004E53FC"/>
    <w:rsid w:val="004E5639"/>
    <w:rsid w:val="004E6747"/>
    <w:rsid w:val="004F0A72"/>
    <w:rsid w:val="004F1C26"/>
    <w:rsid w:val="004F20FE"/>
    <w:rsid w:val="004F2B2F"/>
    <w:rsid w:val="004F2CDF"/>
    <w:rsid w:val="004F56CB"/>
    <w:rsid w:val="004F6027"/>
    <w:rsid w:val="004F6999"/>
    <w:rsid w:val="004F6E83"/>
    <w:rsid w:val="005029DB"/>
    <w:rsid w:val="00503B4C"/>
    <w:rsid w:val="005066AF"/>
    <w:rsid w:val="00507902"/>
    <w:rsid w:val="00512C62"/>
    <w:rsid w:val="005130DE"/>
    <w:rsid w:val="005156C9"/>
    <w:rsid w:val="00515A93"/>
    <w:rsid w:val="0051652D"/>
    <w:rsid w:val="005165B0"/>
    <w:rsid w:val="00516D7D"/>
    <w:rsid w:val="0051704B"/>
    <w:rsid w:val="005201BA"/>
    <w:rsid w:val="00521251"/>
    <w:rsid w:val="00522C79"/>
    <w:rsid w:val="00522DDC"/>
    <w:rsid w:val="00523D73"/>
    <w:rsid w:val="005249BC"/>
    <w:rsid w:val="00525801"/>
    <w:rsid w:val="00527764"/>
    <w:rsid w:val="005306D7"/>
    <w:rsid w:val="00530A7B"/>
    <w:rsid w:val="00530C25"/>
    <w:rsid w:val="00531382"/>
    <w:rsid w:val="00535596"/>
    <w:rsid w:val="00536FC3"/>
    <w:rsid w:val="00537C55"/>
    <w:rsid w:val="005401CD"/>
    <w:rsid w:val="005409C3"/>
    <w:rsid w:val="00541966"/>
    <w:rsid w:val="00541A03"/>
    <w:rsid w:val="00541B3D"/>
    <w:rsid w:val="005430E4"/>
    <w:rsid w:val="0054362D"/>
    <w:rsid w:val="00543D95"/>
    <w:rsid w:val="005449CE"/>
    <w:rsid w:val="005461A6"/>
    <w:rsid w:val="005469D5"/>
    <w:rsid w:val="00546AD0"/>
    <w:rsid w:val="00546CC8"/>
    <w:rsid w:val="00546F36"/>
    <w:rsid w:val="00551674"/>
    <w:rsid w:val="005530F5"/>
    <w:rsid w:val="00554B7C"/>
    <w:rsid w:val="00554FE3"/>
    <w:rsid w:val="005557F0"/>
    <w:rsid w:val="00555E25"/>
    <w:rsid w:val="00556786"/>
    <w:rsid w:val="005578C0"/>
    <w:rsid w:val="00557C25"/>
    <w:rsid w:val="00560BE4"/>
    <w:rsid w:val="005627A1"/>
    <w:rsid w:val="00564563"/>
    <w:rsid w:val="00564D0A"/>
    <w:rsid w:val="0057035A"/>
    <w:rsid w:val="0057043A"/>
    <w:rsid w:val="00570731"/>
    <w:rsid w:val="005710D2"/>
    <w:rsid w:val="00571FF4"/>
    <w:rsid w:val="00572A30"/>
    <w:rsid w:val="00574257"/>
    <w:rsid w:val="0057520A"/>
    <w:rsid w:val="00577593"/>
    <w:rsid w:val="00582443"/>
    <w:rsid w:val="00582580"/>
    <w:rsid w:val="00583676"/>
    <w:rsid w:val="00583AAB"/>
    <w:rsid w:val="0058630D"/>
    <w:rsid w:val="0059037C"/>
    <w:rsid w:val="00591B31"/>
    <w:rsid w:val="005926C3"/>
    <w:rsid w:val="00592D9C"/>
    <w:rsid w:val="00593DE3"/>
    <w:rsid w:val="0059409F"/>
    <w:rsid w:val="005945FC"/>
    <w:rsid w:val="00594686"/>
    <w:rsid w:val="005947C4"/>
    <w:rsid w:val="00594989"/>
    <w:rsid w:val="0059558E"/>
    <w:rsid w:val="005A0A69"/>
    <w:rsid w:val="005A1193"/>
    <w:rsid w:val="005A1CCC"/>
    <w:rsid w:val="005A22F0"/>
    <w:rsid w:val="005A2B5E"/>
    <w:rsid w:val="005A4352"/>
    <w:rsid w:val="005A69F2"/>
    <w:rsid w:val="005A6CB2"/>
    <w:rsid w:val="005A6D5E"/>
    <w:rsid w:val="005A70E5"/>
    <w:rsid w:val="005B0152"/>
    <w:rsid w:val="005B038A"/>
    <w:rsid w:val="005B05DE"/>
    <w:rsid w:val="005B29F8"/>
    <w:rsid w:val="005B2A56"/>
    <w:rsid w:val="005B3CA9"/>
    <w:rsid w:val="005B592A"/>
    <w:rsid w:val="005B5D59"/>
    <w:rsid w:val="005B7940"/>
    <w:rsid w:val="005C2543"/>
    <w:rsid w:val="005C273B"/>
    <w:rsid w:val="005C34BE"/>
    <w:rsid w:val="005C4E1F"/>
    <w:rsid w:val="005C5309"/>
    <w:rsid w:val="005C61DF"/>
    <w:rsid w:val="005C633A"/>
    <w:rsid w:val="005C689C"/>
    <w:rsid w:val="005D08B2"/>
    <w:rsid w:val="005D0CE1"/>
    <w:rsid w:val="005D227E"/>
    <w:rsid w:val="005D3801"/>
    <w:rsid w:val="005D588B"/>
    <w:rsid w:val="005D6C81"/>
    <w:rsid w:val="005E085E"/>
    <w:rsid w:val="005E0C05"/>
    <w:rsid w:val="005E1E93"/>
    <w:rsid w:val="005E2564"/>
    <w:rsid w:val="005E2B65"/>
    <w:rsid w:val="005E374F"/>
    <w:rsid w:val="005E5D62"/>
    <w:rsid w:val="005E6BA8"/>
    <w:rsid w:val="005F1AC8"/>
    <w:rsid w:val="005F1F9A"/>
    <w:rsid w:val="005F302D"/>
    <w:rsid w:val="005F3F01"/>
    <w:rsid w:val="005F41F5"/>
    <w:rsid w:val="005F58C4"/>
    <w:rsid w:val="006007F7"/>
    <w:rsid w:val="006013FD"/>
    <w:rsid w:val="006015F5"/>
    <w:rsid w:val="0060448D"/>
    <w:rsid w:val="006077F7"/>
    <w:rsid w:val="00607AEF"/>
    <w:rsid w:val="006115DD"/>
    <w:rsid w:val="00611BBF"/>
    <w:rsid w:val="00612BB3"/>
    <w:rsid w:val="00613182"/>
    <w:rsid w:val="00613608"/>
    <w:rsid w:val="0061596E"/>
    <w:rsid w:val="006164BF"/>
    <w:rsid w:val="006166E1"/>
    <w:rsid w:val="00616D53"/>
    <w:rsid w:val="00617116"/>
    <w:rsid w:val="00620231"/>
    <w:rsid w:val="006209DB"/>
    <w:rsid w:val="00621FA0"/>
    <w:rsid w:val="00622CB7"/>
    <w:rsid w:val="00622D9A"/>
    <w:rsid w:val="00622EA6"/>
    <w:rsid w:val="0062348B"/>
    <w:rsid w:val="0062384F"/>
    <w:rsid w:val="006245DB"/>
    <w:rsid w:val="006248A7"/>
    <w:rsid w:val="00624EE3"/>
    <w:rsid w:val="00624FB2"/>
    <w:rsid w:val="006318E3"/>
    <w:rsid w:val="00633340"/>
    <w:rsid w:val="006346D4"/>
    <w:rsid w:val="00635F9A"/>
    <w:rsid w:val="0063645A"/>
    <w:rsid w:val="00637369"/>
    <w:rsid w:val="00637CD7"/>
    <w:rsid w:val="0064044F"/>
    <w:rsid w:val="006407A0"/>
    <w:rsid w:val="00641B0F"/>
    <w:rsid w:val="00642921"/>
    <w:rsid w:val="00642A9E"/>
    <w:rsid w:val="00643143"/>
    <w:rsid w:val="00643315"/>
    <w:rsid w:val="00644E4B"/>
    <w:rsid w:val="00645803"/>
    <w:rsid w:val="00646B5F"/>
    <w:rsid w:val="00646BE9"/>
    <w:rsid w:val="00652ACB"/>
    <w:rsid w:val="00652CB8"/>
    <w:rsid w:val="00652F54"/>
    <w:rsid w:val="00655858"/>
    <w:rsid w:val="00657027"/>
    <w:rsid w:val="00661BBC"/>
    <w:rsid w:val="00662B77"/>
    <w:rsid w:val="00664C59"/>
    <w:rsid w:val="00664F1A"/>
    <w:rsid w:val="006661A4"/>
    <w:rsid w:val="00666274"/>
    <w:rsid w:val="00667D9C"/>
    <w:rsid w:val="00670318"/>
    <w:rsid w:val="0067184A"/>
    <w:rsid w:val="00672374"/>
    <w:rsid w:val="00672E21"/>
    <w:rsid w:val="00673C8D"/>
    <w:rsid w:val="00673DAB"/>
    <w:rsid w:val="006741A3"/>
    <w:rsid w:val="00674348"/>
    <w:rsid w:val="006764D8"/>
    <w:rsid w:val="00677246"/>
    <w:rsid w:val="00680380"/>
    <w:rsid w:val="0068298A"/>
    <w:rsid w:val="00682F13"/>
    <w:rsid w:val="00683544"/>
    <w:rsid w:val="006873FA"/>
    <w:rsid w:val="0068773C"/>
    <w:rsid w:val="00690495"/>
    <w:rsid w:val="006905EB"/>
    <w:rsid w:val="00690AB0"/>
    <w:rsid w:val="006914F2"/>
    <w:rsid w:val="00691740"/>
    <w:rsid w:val="006929F6"/>
    <w:rsid w:val="006932AB"/>
    <w:rsid w:val="006938F6"/>
    <w:rsid w:val="00693CA0"/>
    <w:rsid w:val="00694ADD"/>
    <w:rsid w:val="006959C6"/>
    <w:rsid w:val="00696010"/>
    <w:rsid w:val="00696642"/>
    <w:rsid w:val="006A2089"/>
    <w:rsid w:val="006A30DD"/>
    <w:rsid w:val="006A3BD3"/>
    <w:rsid w:val="006A4400"/>
    <w:rsid w:val="006A4629"/>
    <w:rsid w:val="006A470B"/>
    <w:rsid w:val="006A5D62"/>
    <w:rsid w:val="006A5DEB"/>
    <w:rsid w:val="006A6CAB"/>
    <w:rsid w:val="006A6F55"/>
    <w:rsid w:val="006A742E"/>
    <w:rsid w:val="006A7C6F"/>
    <w:rsid w:val="006B083C"/>
    <w:rsid w:val="006B0C8A"/>
    <w:rsid w:val="006B0E91"/>
    <w:rsid w:val="006B2338"/>
    <w:rsid w:val="006B3724"/>
    <w:rsid w:val="006B3D3D"/>
    <w:rsid w:val="006B7BE9"/>
    <w:rsid w:val="006C1BDE"/>
    <w:rsid w:val="006C4D69"/>
    <w:rsid w:val="006C50E1"/>
    <w:rsid w:val="006C641C"/>
    <w:rsid w:val="006C6E3C"/>
    <w:rsid w:val="006D135A"/>
    <w:rsid w:val="006D1952"/>
    <w:rsid w:val="006D2A01"/>
    <w:rsid w:val="006D5B64"/>
    <w:rsid w:val="006D7684"/>
    <w:rsid w:val="006E13C5"/>
    <w:rsid w:val="006E203F"/>
    <w:rsid w:val="006E234D"/>
    <w:rsid w:val="006E2875"/>
    <w:rsid w:val="006E405B"/>
    <w:rsid w:val="006E40EC"/>
    <w:rsid w:val="006E5095"/>
    <w:rsid w:val="006E51EC"/>
    <w:rsid w:val="006E73A2"/>
    <w:rsid w:val="006E7715"/>
    <w:rsid w:val="006E7B40"/>
    <w:rsid w:val="006F0096"/>
    <w:rsid w:val="006F020B"/>
    <w:rsid w:val="006F0840"/>
    <w:rsid w:val="006F0D31"/>
    <w:rsid w:val="006F1B6A"/>
    <w:rsid w:val="006F25CB"/>
    <w:rsid w:val="006F4D64"/>
    <w:rsid w:val="006F68CC"/>
    <w:rsid w:val="006F7AFE"/>
    <w:rsid w:val="006F7FB1"/>
    <w:rsid w:val="006F7FC9"/>
    <w:rsid w:val="0070035D"/>
    <w:rsid w:val="007003C2"/>
    <w:rsid w:val="00702A87"/>
    <w:rsid w:val="00702B0D"/>
    <w:rsid w:val="007041FF"/>
    <w:rsid w:val="0070440E"/>
    <w:rsid w:val="00704BE2"/>
    <w:rsid w:val="0070736C"/>
    <w:rsid w:val="00707575"/>
    <w:rsid w:val="0071015A"/>
    <w:rsid w:val="00713E93"/>
    <w:rsid w:val="0071705E"/>
    <w:rsid w:val="00717CF7"/>
    <w:rsid w:val="00720590"/>
    <w:rsid w:val="00720A27"/>
    <w:rsid w:val="00721235"/>
    <w:rsid w:val="00721609"/>
    <w:rsid w:val="00722131"/>
    <w:rsid w:val="007247A6"/>
    <w:rsid w:val="0072485C"/>
    <w:rsid w:val="007248EE"/>
    <w:rsid w:val="00724B04"/>
    <w:rsid w:val="00725341"/>
    <w:rsid w:val="00725791"/>
    <w:rsid w:val="00725A2D"/>
    <w:rsid w:val="00730015"/>
    <w:rsid w:val="00730375"/>
    <w:rsid w:val="007310BB"/>
    <w:rsid w:val="00732AD8"/>
    <w:rsid w:val="007336F7"/>
    <w:rsid w:val="007337D6"/>
    <w:rsid w:val="00735044"/>
    <w:rsid w:val="00736DDE"/>
    <w:rsid w:val="007412E4"/>
    <w:rsid w:val="007413A6"/>
    <w:rsid w:val="00744039"/>
    <w:rsid w:val="00744922"/>
    <w:rsid w:val="0074502D"/>
    <w:rsid w:val="0074508C"/>
    <w:rsid w:val="00745F9D"/>
    <w:rsid w:val="00747F27"/>
    <w:rsid w:val="00750139"/>
    <w:rsid w:val="00750289"/>
    <w:rsid w:val="00750AF5"/>
    <w:rsid w:val="00750F36"/>
    <w:rsid w:val="0075110C"/>
    <w:rsid w:val="00751F40"/>
    <w:rsid w:val="007520DB"/>
    <w:rsid w:val="0075231F"/>
    <w:rsid w:val="00752390"/>
    <w:rsid w:val="00752AEB"/>
    <w:rsid w:val="007538E2"/>
    <w:rsid w:val="0075499A"/>
    <w:rsid w:val="007556F3"/>
    <w:rsid w:val="0075749A"/>
    <w:rsid w:val="0076027E"/>
    <w:rsid w:val="00761047"/>
    <w:rsid w:val="007621CA"/>
    <w:rsid w:val="0076282F"/>
    <w:rsid w:val="00763882"/>
    <w:rsid w:val="007641F5"/>
    <w:rsid w:val="007646CD"/>
    <w:rsid w:val="0076559F"/>
    <w:rsid w:val="00765704"/>
    <w:rsid w:val="0076597C"/>
    <w:rsid w:val="0076628F"/>
    <w:rsid w:val="00766F2B"/>
    <w:rsid w:val="00767B83"/>
    <w:rsid w:val="00767F12"/>
    <w:rsid w:val="00770D39"/>
    <w:rsid w:val="00770F03"/>
    <w:rsid w:val="00771EA4"/>
    <w:rsid w:val="00774F6A"/>
    <w:rsid w:val="00775681"/>
    <w:rsid w:val="007757A4"/>
    <w:rsid w:val="00775B48"/>
    <w:rsid w:val="00775B6A"/>
    <w:rsid w:val="00776B57"/>
    <w:rsid w:val="00776B81"/>
    <w:rsid w:val="00776CD8"/>
    <w:rsid w:val="00780E70"/>
    <w:rsid w:val="007811A0"/>
    <w:rsid w:val="007815E3"/>
    <w:rsid w:val="00781F6B"/>
    <w:rsid w:val="007820A5"/>
    <w:rsid w:val="007837B7"/>
    <w:rsid w:val="007850D9"/>
    <w:rsid w:val="007853BD"/>
    <w:rsid w:val="0078638F"/>
    <w:rsid w:val="0078646B"/>
    <w:rsid w:val="007870C9"/>
    <w:rsid w:val="00790657"/>
    <w:rsid w:val="007920E1"/>
    <w:rsid w:val="0079248E"/>
    <w:rsid w:val="00793409"/>
    <w:rsid w:val="00793633"/>
    <w:rsid w:val="00794174"/>
    <w:rsid w:val="0079437B"/>
    <w:rsid w:val="007944A9"/>
    <w:rsid w:val="007947B3"/>
    <w:rsid w:val="00794C95"/>
    <w:rsid w:val="00795063"/>
    <w:rsid w:val="00795480"/>
    <w:rsid w:val="007962F1"/>
    <w:rsid w:val="00797391"/>
    <w:rsid w:val="007A0F18"/>
    <w:rsid w:val="007A26A6"/>
    <w:rsid w:val="007A2B98"/>
    <w:rsid w:val="007A516F"/>
    <w:rsid w:val="007A5D7A"/>
    <w:rsid w:val="007A61AA"/>
    <w:rsid w:val="007A637A"/>
    <w:rsid w:val="007B024F"/>
    <w:rsid w:val="007B0554"/>
    <w:rsid w:val="007B1444"/>
    <w:rsid w:val="007B1BAE"/>
    <w:rsid w:val="007B1E94"/>
    <w:rsid w:val="007B2AD4"/>
    <w:rsid w:val="007B34B1"/>
    <w:rsid w:val="007B381F"/>
    <w:rsid w:val="007B400C"/>
    <w:rsid w:val="007B47D4"/>
    <w:rsid w:val="007B4C81"/>
    <w:rsid w:val="007B5526"/>
    <w:rsid w:val="007B5A3E"/>
    <w:rsid w:val="007B5B57"/>
    <w:rsid w:val="007C0BDA"/>
    <w:rsid w:val="007C2E38"/>
    <w:rsid w:val="007C3961"/>
    <w:rsid w:val="007C3D3A"/>
    <w:rsid w:val="007C4E23"/>
    <w:rsid w:val="007C52ED"/>
    <w:rsid w:val="007C5DCF"/>
    <w:rsid w:val="007C6A8A"/>
    <w:rsid w:val="007C6C50"/>
    <w:rsid w:val="007C72DD"/>
    <w:rsid w:val="007C7783"/>
    <w:rsid w:val="007C7CB5"/>
    <w:rsid w:val="007D0707"/>
    <w:rsid w:val="007D1415"/>
    <w:rsid w:val="007D346B"/>
    <w:rsid w:val="007D4AA8"/>
    <w:rsid w:val="007D4ABA"/>
    <w:rsid w:val="007D549B"/>
    <w:rsid w:val="007D5BBB"/>
    <w:rsid w:val="007D5F38"/>
    <w:rsid w:val="007D6836"/>
    <w:rsid w:val="007D6E4F"/>
    <w:rsid w:val="007D7D6C"/>
    <w:rsid w:val="007E043C"/>
    <w:rsid w:val="007E1250"/>
    <w:rsid w:val="007E15FE"/>
    <w:rsid w:val="007E2137"/>
    <w:rsid w:val="007E2187"/>
    <w:rsid w:val="007E2817"/>
    <w:rsid w:val="007E2A14"/>
    <w:rsid w:val="007E3AA8"/>
    <w:rsid w:val="007E43BE"/>
    <w:rsid w:val="007E4EF9"/>
    <w:rsid w:val="007E51C5"/>
    <w:rsid w:val="007F0FD6"/>
    <w:rsid w:val="007F1DDC"/>
    <w:rsid w:val="007F3A4D"/>
    <w:rsid w:val="007F4FEB"/>
    <w:rsid w:val="007F6085"/>
    <w:rsid w:val="007F6873"/>
    <w:rsid w:val="007F6C8D"/>
    <w:rsid w:val="007F6D5D"/>
    <w:rsid w:val="007F7076"/>
    <w:rsid w:val="007F71B3"/>
    <w:rsid w:val="008026A9"/>
    <w:rsid w:val="00805177"/>
    <w:rsid w:val="008055B0"/>
    <w:rsid w:val="00805F88"/>
    <w:rsid w:val="00806F8F"/>
    <w:rsid w:val="00811C25"/>
    <w:rsid w:val="00812003"/>
    <w:rsid w:val="008151A5"/>
    <w:rsid w:val="00815F69"/>
    <w:rsid w:val="00817D46"/>
    <w:rsid w:val="0082284A"/>
    <w:rsid w:val="0082291C"/>
    <w:rsid w:val="008244A5"/>
    <w:rsid w:val="00824DFB"/>
    <w:rsid w:val="008251E9"/>
    <w:rsid w:val="008259EF"/>
    <w:rsid w:val="00826080"/>
    <w:rsid w:val="008266BD"/>
    <w:rsid w:val="00826B3F"/>
    <w:rsid w:val="00826FAE"/>
    <w:rsid w:val="008300D4"/>
    <w:rsid w:val="00830815"/>
    <w:rsid w:val="0083147C"/>
    <w:rsid w:val="008315B8"/>
    <w:rsid w:val="008317CA"/>
    <w:rsid w:val="00832E60"/>
    <w:rsid w:val="00833C63"/>
    <w:rsid w:val="00835F50"/>
    <w:rsid w:val="0083706D"/>
    <w:rsid w:val="008372E0"/>
    <w:rsid w:val="008379B2"/>
    <w:rsid w:val="008403B4"/>
    <w:rsid w:val="0084133A"/>
    <w:rsid w:val="0084366B"/>
    <w:rsid w:val="00846B33"/>
    <w:rsid w:val="008477F6"/>
    <w:rsid w:val="00847DB2"/>
    <w:rsid w:val="008503EA"/>
    <w:rsid w:val="00850982"/>
    <w:rsid w:val="00850A6E"/>
    <w:rsid w:val="00850C67"/>
    <w:rsid w:val="008517DF"/>
    <w:rsid w:val="00851835"/>
    <w:rsid w:val="008537BB"/>
    <w:rsid w:val="00853BE1"/>
    <w:rsid w:val="0085541C"/>
    <w:rsid w:val="0086181C"/>
    <w:rsid w:val="00861C1F"/>
    <w:rsid w:val="00861FE9"/>
    <w:rsid w:val="00862550"/>
    <w:rsid w:val="00862869"/>
    <w:rsid w:val="0086405D"/>
    <w:rsid w:val="00864E62"/>
    <w:rsid w:val="00865F8F"/>
    <w:rsid w:val="00866133"/>
    <w:rsid w:val="00866FF5"/>
    <w:rsid w:val="008671DE"/>
    <w:rsid w:val="00867391"/>
    <w:rsid w:val="0086765D"/>
    <w:rsid w:val="008702DC"/>
    <w:rsid w:val="00870353"/>
    <w:rsid w:val="00870ABA"/>
    <w:rsid w:val="00871153"/>
    <w:rsid w:val="008716F2"/>
    <w:rsid w:val="00872A28"/>
    <w:rsid w:val="00873134"/>
    <w:rsid w:val="0087346A"/>
    <w:rsid w:val="008738B6"/>
    <w:rsid w:val="0087543F"/>
    <w:rsid w:val="00876DEF"/>
    <w:rsid w:val="00877959"/>
    <w:rsid w:val="00880487"/>
    <w:rsid w:val="008806BC"/>
    <w:rsid w:val="00881537"/>
    <w:rsid w:val="00883898"/>
    <w:rsid w:val="008842E8"/>
    <w:rsid w:val="0088483F"/>
    <w:rsid w:val="0088633F"/>
    <w:rsid w:val="00886F5D"/>
    <w:rsid w:val="00887514"/>
    <w:rsid w:val="00887D36"/>
    <w:rsid w:val="008908C9"/>
    <w:rsid w:val="00890B1E"/>
    <w:rsid w:val="00893E80"/>
    <w:rsid w:val="00894415"/>
    <w:rsid w:val="00895282"/>
    <w:rsid w:val="00897019"/>
    <w:rsid w:val="008976C5"/>
    <w:rsid w:val="00897BE0"/>
    <w:rsid w:val="00897F1E"/>
    <w:rsid w:val="008A18D4"/>
    <w:rsid w:val="008A1C8D"/>
    <w:rsid w:val="008A55AA"/>
    <w:rsid w:val="008A57BE"/>
    <w:rsid w:val="008A57ED"/>
    <w:rsid w:val="008A66D2"/>
    <w:rsid w:val="008B032D"/>
    <w:rsid w:val="008B0F68"/>
    <w:rsid w:val="008B1A7B"/>
    <w:rsid w:val="008B1BC2"/>
    <w:rsid w:val="008B33B3"/>
    <w:rsid w:val="008B3FF9"/>
    <w:rsid w:val="008B42A1"/>
    <w:rsid w:val="008B4EA8"/>
    <w:rsid w:val="008B56C7"/>
    <w:rsid w:val="008B59FB"/>
    <w:rsid w:val="008B7528"/>
    <w:rsid w:val="008C0782"/>
    <w:rsid w:val="008C07B1"/>
    <w:rsid w:val="008C10E2"/>
    <w:rsid w:val="008C328A"/>
    <w:rsid w:val="008C344A"/>
    <w:rsid w:val="008C3B6F"/>
    <w:rsid w:val="008C437F"/>
    <w:rsid w:val="008C6B72"/>
    <w:rsid w:val="008D007D"/>
    <w:rsid w:val="008D037E"/>
    <w:rsid w:val="008D17DC"/>
    <w:rsid w:val="008D28B3"/>
    <w:rsid w:val="008D2BF5"/>
    <w:rsid w:val="008D2D10"/>
    <w:rsid w:val="008D31AE"/>
    <w:rsid w:val="008D4D45"/>
    <w:rsid w:val="008D5F41"/>
    <w:rsid w:val="008D746D"/>
    <w:rsid w:val="008E0D57"/>
    <w:rsid w:val="008E1E6A"/>
    <w:rsid w:val="008E36D2"/>
    <w:rsid w:val="008E5603"/>
    <w:rsid w:val="008E5E99"/>
    <w:rsid w:val="008E64EB"/>
    <w:rsid w:val="008F0509"/>
    <w:rsid w:val="008F0F12"/>
    <w:rsid w:val="008F4DDC"/>
    <w:rsid w:val="008F5C52"/>
    <w:rsid w:val="008F5E53"/>
    <w:rsid w:val="0090141A"/>
    <w:rsid w:val="00901827"/>
    <w:rsid w:val="0090194E"/>
    <w:rsid w:val="009022E3"/>
    <w:rsid w:val="009029A8"/>
    <w:rsid w:val="00903656"/>
    <w:rsid w:val="00904B69"/>
    <w:rsid w:val="00904B74"/>
    <w:rsid w:val="00904FF4"/>
    <w:rsid w:val="0090558C"/>
    <w:rsid w:val="00905C74"/>
    <w:rsid w:val="00905D4E"/>
    <w:rsid w:val="00906068"/>
    <w:rsid w:val="0090621F"/>
    <w:rsid w:val="00906BE8"/>
    <w:rsid w:val="0091014D"/>
    <w:rsid w:val="00910356"/>
    <w:rsid w:val="009121A9"/>
    <w:rsid w:val="00914CFE"/>
    <w:rsid w:val="00915190"/>
    <w:rsid w:val="0091543C"/>
    <w:rsid w:val="00917604"/>
    <w:rsid w:val="00917ED8"/>
    <w:rsid w:val="00921C80"/>
    <w:rsid w:val="00921D0E"/>
    <w:rsid w:val="0092395F"/>
    <w:rsid w:val="009239CA"/>
    <w:rsid w:val="00930890"/>
    <w:rsid w:val="00931108"/>
    <w:rsid w:val="0093297D"/>
    <w:rsid w:val="00932EFD"/>
    <w:rsid w:val="009334F6"/>
    <w:rsid w:val="00933FC7"/>
    <w:rsid w:val="009344B8"/>
    <w:rsid w:val="0093524D"/>
    <w:rsid w:val="00935ED0"/>
    <w:rsid w:val="0093603F"/>
    <w:rsid w:val="00937F1B"/>
    <w:rsid w:val="00940D06"/>
    <w:rsid w:val="009413F1"/>
    <w:rsid w:val="0094234B"/>
    <w:rsid w:val="009426EC"/>
    <w:rsid w:val="00942B9D"/>
    <w:rsid w:val="00942DA9"/>
    <w:rsid w:val="00944A80"/>
    <w:rsid w:val="00944CA7"/>
    <w:rsid w:val="00945470"/>
    <w:rsid w:val="009469EF"/>
    <w:rsid w:val="0095027B"/>
    <w:rsid w:val="00951687"/>
    <w:rsid w:val="00951852"/>
    <w:rsid w:val="0095305D"/>
    <w:rsid w:val="00953448"/>
    <w:rsid w:val="009534E9"/>
    <w:rsid w:val="009543B3"/>
    <w:rsid w:val="00954957"/>
    <w:rsid w:val="0095497A"/>
    <w:rsid w:val="00955A74"/>
    <w:rsid w:val="0095716F"/>
    <w:rsid w:val="00961F37"/>
    <w:rsid w:val="00963175"/>
    <w:rsid w:val="00964E6C"/>
    <w:rsid w:val="009703BC"/>
    <w:rsid w:val="00970AA1"/>
    <w:rsid w:val="00970EBB"/>
    <w:rsid w:val="00971F90"/>
    <w:rsid w:val="009725A3"/>
    <w:rsid w:val="00972D33"/>
    <w:rsid w:val="009737E4"/>
    <w:rsid w:val="00973A53"/>
    <w:rsid w:val="00973D41"/>
    <w:rsid w:val="009748CE"/>
    <w:rsid w:val="00974DFC"/>
    <w:rsid w:val="00975592"/>
    <w:rsid w:val="0097620E"/>
    <w:rsid w:val="00976D96"/>
    <w:rsid w:val="0097723C"/>
    <w:rsid w:val="009777D2"/>
    <w:rsid w:val="00983B23"/>
    <w:rsid w:val="00985220"/>
    <w:rsid w:val="00985AAD"/>
    <w:rsid w:val="00987313"/>
    <w:rsid w:val="00987566"/>
    <w:rsid w:val="00990D7F"/>
    <w:rsid w:val="009911B0"/>
    <w:rsid w:val="0099238D"/>
    <w:rsid w:val="00992FE1"/>
    <w:rsid w:val="00993025"/>
    <w:rsid w:val="00993218"/>
    <w:rsid w:val="0099363F"/>
    <w:rsid w:val="00993925"/>
    <w:rsid w:val="00996AAC"/>
    <w:rsid w:val="00997C8F"/>
    <w:rsid w:val="00997D0F"/>
    <w:rsid w:val="00997FCA"/>
    <w:rsid w:val="009A0046"/>
    <w:rsid w:val="009A0B03"/>
    <w:rsid w:val="009A1544"/>
    <w:rsid w:val="009A1CEC"/>
    <w:rsid w:val="009A1D29"/>
    <w:rsid w:val="009A1DF7"/>
    <w:rsid w:val="009A2269"/>
    <w:rsid w:val="009A28EB"/>
    <w:rsid w:val="009A29DF"/>
    <w:rsid w:val="009A3953"/>
    <w:rsid w:val="009A4C13"/>
    <w:rsid w:val="009B136F"/>
    <w:rsid w:val="009B1EB2"/>
    <w:rsid w:val="009B3DEA"/>
    <w:rsid w:val="009B4475"/>
    <w:rsid w:val="009B4568"/>
    <w:rsid w:val="009B458A"/>
    <w:rsid w:val="009B4D20"/>
    <w:rsid w:val="009B4F08"/>
    <w:rsid w:val="009B6489"/>
    <w:rsid w:val="009B6B3A"/>
    <w:rsid w:val="009C0D08"/>
    <w:rsid w:val="009C27AE"/>
    <w:rsid w:val="009C35C1"/>
    <w:rsid w:val="009C3FCA"/>
    <w:rsid w:val="009C440A"/>
    <w:rsid w:val="009C4567"/>
    <w:rsid w:val="009C49E7"/>
    <w:rsid w:val="009C5F51"/>
    <w:rsid w:val="009C6780"/>
    <w:rsid w:val="009C6A84"/>
    <w:rsid w:val="009C728E"/>
    <w:rsid w:val="009C78F5"/>
    <w:rsid w:val="009C7D29"/>
    <w:rsid w:val="009C7E04"/>
    <w:rsid w:val="009D20C3"/>
    <w:rsid w:val="009D2EC0"/>
    <w:rsid w:val="009D38E1"/>
    <w:rsid w:val="009D3BBE"/>
    <w:rsid w:val="009D70F7"/>
    <w:rsid w:val="009D784B"/>
    <w:rsid w:val="009E02E8"/>
    <w:rsid w:val="009E06CB"/>
    <w:rsid w:val="009E24BD"/>
    <w:rsid w:val="009E297A"/>
    <w:rsid w:val="009E75A7"/>
    <w:rsid w:val="009E762C"/>
    <w:rsid w:val="009E79D6"/>
    <w:rsid w:val="009F22E7"/>
    <w:rsid w:val="009F2CFE"/>
    <w:rsid w:val="009F30FB"/>
    <w:rsid w:val="009F378E"/>
    <w:rsid w:val="009F3EC4"/>
    <w:rsid w:val="009F7291"/>
    <w:rsid w:val="009F7719"/>
    <w:rsid w:val="00A01548"/>
    <w:rsid w:val="00A01614"/>
    <w:rsid w:val="00A01BC8"/>
    <w:rsid w:val="00A0292F"/>
    <w:rsid w:val="00A031C1"/>
    <w:rsid w:val="00A03923"/>
    <w:rsid w:val="00A03BC9"/>
    <w:rsid w:val="00A04690"/>
    <w:rsid w:val="00A05232"/>
    <w:rsid w:val="00A0557B"/>
    <w:rsid w:val="00A06549"/>
    <w:rsid w:val="00A114AE"/>
    <w:rsid w:val="00A12A25"/>
    <w:rsid w:val="00A12FAF"/>
    <w:rsid w:val="00A1473F"/>
    <w:rsid w:val="00A151CB"/>
    <w:rsid w:val="00A15971"/>
    <w:rsid w:val="00A17171"/>
    <w:rsid w:val="00A20DFC"/>
    <w:rsid w:val="00A22B25"/>
    <w:rsid w:val="00A235AD"/>
    <w:rsid w:val="00A2430A"/>
    <w:rsid w:val="00A24394"/>
    <w:rsid w:val="00A248D3"/>
    <w:rsid w:val="00A25147"/>
    <w:rsid w:val="00A25566"/>
    <w:rsid w:val="00A2595B"/>
    <w:rsid w:val="00A25C4C"/>
    <w:rsid w:val="00A25C77"/>
    <w:rsid w:val="00A30CC2"/>
    <w:rsid w:val="00A31A3F"/>
    <w:rsid w:val="00A31D64"/>
    <w:rsid w:val="00A3287A"/>
    <w:rsid w:val="00A34AFF"/>
    <w:rsid w:val="00A35B2E"/>
    <w:rsid w:val="00A37679"/>
    <w:rsid w:val="00A37CD0"/>
    <w:rsid w:val="00A400CD"/>
    <w:rsid w:val="00A40139"/>
    <w:rsid w:val="00A404CA"/>
    <w:rsid w:val="00A40DBF"/>
    <w:rsid w:val="00A4167B"/>
    <w:rsid w:val="00A44941"/>
    <w:rsid w:val="00A469E8"/>
    <w:rsid w:val="00A4748B"/>
    <w:rsid w:val="00A51A46"/>
    <w:rsid w:val="00A51B2F"/>
    <w:rsid w:val="00A51FA8"/>
    <w:rsid w:val="00A5288C"/>
    <w:rsid w:val="00A537E4"/>
    <w:rsid w:val="00A53C38"/>
    <w:rsid w:val="00A53F68"/>
    <w:rsid w:val="00A57A50"/>
    <w:rsid w:val="00A60575"/>
    <w:rsid w:val="00A60EF4"/>
    <w:rsid w:val="00A60FEF"/>
    <w:rsid w:val="00A61475"/>
    <w:rsid w:val="00A62170"/>
    <w:rsid w:val="00A622FA"/>
    <w:rsid w:val="00A62E38"/>
    <w:rsid w:val="00A63DCF"/>
    <w:rsid w:val="00A63DF5"/>
    <w:rsid w:val="00A63E7C"/>
    <w:rsid w:val="00A66877"/>
    <w:rsid w:val="00A66CB8"/>
    <w:rsid w:val="00A66D4C"/>
    <w:rsid w:val="00A671D6"/>
    <w:rsid w:val="00A67712"/>
    <w:rsid w:val="00A677DC"/>
    <w:rsid w:val="00A718FD"/>
    <w:rsid w:val="00A71A68"/>
    <w:rsid w:val="00A72800"/>
    <w:rsid w:val="00A73EC9"/>
    <w:rsid w:val="00A741A1"/>
    <w:rsid w:val="00A7592B"/>
    <w:rsid w:val="00A76EC4"/>
    <w:rsid w:val="00A82627"/>
    <w:rsid w:val="00A83811"/>
    <w:rsid w:val="00A84651"/>
    <w:rsid w:val="00A8528E"/>
    <w:rsid w:val="00A85A3B"/>
    <w:rsid w:val="00A85EA0"/>
    <w:rsid w:val="00A85F48"/>
    <w:rsid w:val="00A87179"/>
    <w:rsid w:val="00A87E58"/>
    <w:rsid w:val="00A90404"/>
    <w:rsid w:val="00A90DA9"/>
    <w:rsid w:val="00A92761"/>
    <w:rsid w:val="00A947C5"/>
    <w:rsid w:val="00A94AEF"/>
    <w:rsid w:val="00A94E33"/>
    <w:rsid w:val="00A954B8"/>
    <w:rsid w:val="00A97E61"/>
    <w:rsid w:val="00AA1ECB"/>
    <w:rsid w:val="00AA3447"/>
    <w:rsid w:val="00AA38D8"/>
    <w:rsid w:val="00AA3B20"/>
    <w:rsid w:val="00AA5143"/>
    <w:rsid w:val="00AA560F"/>
    <w:rsid w:val="00AA5E2E"/>
    <w:rsid w:val="00AB0855"/>
    <w:rsid w:val="00AB383B"/>
    <w:rsid w:val="00AB4198"/>
    <w:rsid w:val="00AB4479"/>
    <w:rsid w:val="00AB4C85"/>
    <w:rsid w:val="00AB5175"/>
    <w:rsid w:val="00AB79AB"/>
    <w:rsid w:val="00AC04EF"/>
    <w:rsid w:val="00AC31D9"/>
    <w:rsid w:val="00AC32D4"/>
    <w:rsid w:val="00AC3E97"/>
    <w:rsid w:val="00AC4821"/>
    <w:rsid w:val="00AC4843"/>
    <w:rsid w:val="00AC55EA"/>
    <w:rsid w:val="00AC628B"/>
    <w:rsid w:val="00AC6473"/>
    <w:rsid w:val="00AC769E"/>
    <w:rsid w:val="00AC7D9B"/>
    <w:rsid w:val="00AD1537"/>
    <w:rsid w:val="00AD202A"/>
    <w:rsid w:val="00AD25BC"/>
    <w:rsid w:val="00AD2A02"/>
    <w:rsid w:val="00AD4B7F"/>
    <w:rsid w:val="00AD5705"/>
    <w:rsid w:val="00AD61B7"/>
    <w:rsid w:val="00AD688F"/>
    <w:rsid w:val="00AD6A28"/>
    <w:rsid w:val="00AE0963"/>
    <w:rsid w:val="00AE0D4C"/>
    <w:rsid w:val="00AE2273"/>
    <w:rsid w:val="00AE271D"/>
    <w:rsid w:val="00AE37E9"/>
    <w:rsid w:val="00AE42D3"/>
    <w:rsid w:val="00AE48E3"/>
    <w:rsid w:val="00AE53E8"/>
    <w:rsid w:val="00AF00F4"/>
    <w:rsid w:val="00AF01C8"/>
    <w:rsid w:val="00AF098A"/>
    <w:rsid w:val="00AF0B9B"/>
    <w:rsid w:val="00AF1A42"/>
    <w:rsid w:val="00AF1E63"/>
    <w:rsid w:val="00AF2077"/>
    <w:rsid w:val="00AF5B1D"/>
    <w:rsid w:val="00AF6540"/>
    <w:rsid w:val="00AF7EDE"/>
    <w:rsid w:val="00B019BE"/>
    <w:rsid w:val="00B025A8"/>
    <w:rsid w:val="00B03B4A"/>
    <w:rsid w:val="00B057B8"/>
    <w:rsid w:val="00B06717"/>
    <w:rsid w:val="00B06BA7"/>
    <w:rsid w:val="00B07652"/>
    <w:rsid w:val="00B101C4"/>
    <w:rsid w:val="00B11DEF"/>
    <w:rsid w:val="00B12C4A"/>
    <w:rsid w:val="00B14223"/>
    <w:rsid w:val="00B15F35"/>
    <w:rsid w:val="00B15F53"/>
    <w:rsid w:val="00B1709C"/>
    <w:rsid w:val="00B20B05"/>
    <w:rsid w:val="00B20C4C"/>
    <w:rsid w:val="00B21386"/>
    <w:rsid w:val="00B227FE"/>
    <w:rsid w:val="00B23496"/>
    <w:rsid w:val="00B276F7"/>
    <w:rsid w:val="00B31A87"/>
    <w:rsid w:val="00B32D39"/>
    <w:rsid w:val="00B3399B"/>
    <w:rsid w:val="00B33A61"/>
    <w:rsid w:val="00B34CDE"/>
    <w:rsid w:val="00B34F28"/>
    <w:rsid w:val="00B35216"/>
    <w:rsid w:val="00B36ED9"/>
    <w:rsid w:val="00B40CAD"/>
    <w:rsid w:val="00B4271C"/>
    <w:rsid w:val="00B42980"/>
    <w:rsid w:val="00B42D1C"/>
    <w:rsid w:val="00B430B7"/>
    <w:rsid w:val="00B4317D"/>
    <w:rsid w:val="00B4361D"/>
    <w:rsid w:val="00B445FB"/>
    <w:rsid w:val="00B44938"/>
    <w:rsid w:val="00B44CF8"/>
    <w:rsid w:val="00B45AE8"/>
    <w:rsid w:val="00B46840"/>
    <w:rsid w:val="00B475F5"/>
    <w:rsid w:val="00B47916"/>
    <w:rsid w:val="00B5083C"/>
    <w:rsid w:val="00B50EE9"/>
    <w:rsid w:val="00B511FA"/>
    <w:rsid w:val="00B51486"/>
    <w:rsid w:val="00B526F4"/>
    <w:rsid w:val="00B52D1A"/>
    <w:rsid w:val="00B530B4"/>
    <w:rsid w:val="00B5389D"/>
    <w:rsid w:val="00B543FF"/>
    <w:rsid w:val="00B54B62"/>
    <w:rsid w:val="00B551FC"/>
    <w:rsid w:val="00B554A4"/>
    <w:rsid w:val="00B558DB"/>
    <w:rsid w:val="00B5673F"/>
    <w:rsid w:val="00B572A2"/>
    <w:rsid w:val="00B61CEC"/>
    <w:rsid w:val="00B652DB"/>
    <w:rsid w:val="00B67AEB"/>
    <w:rsid w:val="00B70984"/>
    <w:rsid w:val="00B70A81"/>
    <w:rsid w:val="00B717E2"/>
    <w:rsid w:val="00B72E3C"/>
    <w:rsid w:val="00B73524"/>
    <w:rsid w:val="00B74453"/>
    <w:rsid w:val="00B7523E"/>
    <w:rsid w:val="00B75307"/>
    <w:rsid w:val="00B76D7C"/>
    <w:rsid w:val="00B77450"/>
    <w:rsid w:val="00B8138C"/>
    <w:rsid w:val="00B822B8"/>
    <w:rsid w:val="00B8293E"/>
    <w:rsid w:val="00B86230"/>
    <w:rsid w:val="00B909B5"/>
    <w:rsid w:val="00B91570"/>
    <w:rsid w:val="00B91789"/>
    <w:rsid w:val="00B91CBB"/>
    <w:rsid w:val="00B92849"/>
    <w:rsid w:val="00B9587C"/>
    <w:rsid w:val="00B959C2"/>
    <w:rsid w:val="00B975A3"/>
    <w:rsid w:val="00BA10F3"/>
    <w:rsid w:val="00BA1603"/>
    <w:rsid w:val="00BA2F0F"/>
    <w:rsid w:val="00BA30BB"/>
    <w:rsid w:val="00BA3632"/>
    <w:rsid w:val="00BA39FF"/>
    <w:rsid w:val="00BA3B40"/>
    <w:rsid w:val="00BA5CBF"/>
    <w:rsid w:val="00BA61B1"/>
    <w:rsid w:val="00BA64F0"/>
    <w:rsid w:val="00BA6A71"/>
    <w:rsid w:val="00BB21ED"/>
    <w:rsid w:val="00BB261C"/>
    <w:rsid w:val="00BB2A6A"/>
    <w:rsid w:val="00BB2E38"/>
    <w:rsid w:val="00BB2E56"/>
    <w:rsid w:val="00BB4D5E"/>
    <w:rsid w:val="00BB5FAB"/>
    <w:rsid w:val="00BB6324"/>
    <w:rsid w:val="00BB670E"/>
    <w:rsid w:val="00BB6A7A"/>
    <w:rsid w:val="00BC176F"/>
    <w:rsid w:val="00BC1A03"/>
    <w:rsid w:val="00BC1AEB"/>
    <w:rsid w:val="00BC2A83"/>
    <w:rsid w:val="00BC3649"/>
    <w:rsid w:val="00BC3C03"/>
    <w:rsid w:val="00BC57F3"/>
    <w:rsid w:val="00BC7545"/>
    <w:rsid w:val="00BC782E"/>
    <w:rsid w:val="00BC7DF9"/>
    <w:rsid w:val="00BC7ECC"/>
    <w:rsid w:val="00BD14D1"/>
    <w:rsid w:val="00BD1692"/>
    <w:rsid w:val="00BD1CD8"/>
    <w:rsid w:val="00BD1D2D"/>
    <w:rsid w:val="00BD47C7"/>
    <w:rsid w:val="00BD55E8"/>
    <w:rsid w:val="00BD55F9"/>
    <w:rsid w:val="00BD6652"/>
    <w:rsid w:val="00BE0BAF"/>
    <w:rsid w:val="00BE11B1"/>
    <w:rsid w:val="00BE30F2"/>
    <w:rsid w:val="00BE3C9C"/>
    <w:rsid w:val="00BE3E45"/>
    <w:rsid w:val="00BE4DB4"/>
    <w:rsid w:val="00BE7144"/>
    <w:rsid w:val="00BE7858"/>
    <w:rsid w:val="00BF0EDE"/>
    <w:rsid w:val="00BF16C3"/>
    <w:rsid w:val="00BF21DF"/>
    <w:rsid w:val="00BF22C0"/>
    <w:rsid w:val="00BF2CBE"/>
    <w:rsid w:val="00BF2F84"/>
    <w:rsid w:val="00BF3C19"/>
    <w:rsid w:val="00BF5630"/>
    <w:rsid w:val="00BF5B73"/>
    <w:rsid w:val="00BF7DF7"/>
    <w:rsid w:val="00C00161"/>
    <w:rsid w:val="00C01C2A"/>
    <w:rsid w:val="00C02454"/>
    <w:rsid w:val="00C02C58"/>
    <w:rsid w:val="00C02C5E"/>
    <w:rsid w:val="00C03FD0"/>
    <w:rsid w:val="00C0434A"/>
    <w:rsid w:val="00C05484"/>
    <w:rsid w:val="00C07937"/>
    <w:rsid w:val="00C1046C"/>
    <w:rsid w:val="00C1069E"/>
    <w:rsid w:val="00C1078B"/>
    <w:rsid w:val="00C120A9"/>
    <w:rsid w:val="00C126DF"/>
    <w:rsid w:val="00C14646"/>
    <w:rsid w:val="00C14C3A"/>
    <w:rsid w:val="00C150D4"/>
    <w:rsid w:val="00C15AC6"/>
    <w:rsid w:val="00C209EC"/>
    <w:rsid w:val="00C20D12"/>
    <w:rsid w:val="00C21E13"/>
    <w:rsid w:val="00C223EE"/>
    <w:rsid w:val="00C240B0"/>
    <w:rsid w:val="00C244D6"/>
    <w:rsid w:val="00C24682"/>
    <w:rsid w:val="00C2552C"/>
    <w:rsid w:val="00C26F64"/>
    <w:rsid w:val="00C2773E"/>
    <w:rsid w:val="00C31161"/>
    <w:rsid w:val="00C31648"/>
    <w:rsid w:val="00C32856"/>
    <w:rsid w:val="00C3299E"/>
    <w:rsid w:val="00C34D09"/>
    <w:rsid w:val="00C35111"/>
    <w:rsid w:val="00C36097"/>
    <w:rsid w:val="00C403B0"/>
    <w:rsid w:val="00C40ED7"/>
    <w:rsid w:val="00C40F88"/>
    <w:rsid w:val="00C41033"/>
    <w:rsid w:val="00C41C24"/>
    <w:rsid w:val="00C41CFD"/>
    <w:rsid w:val="00C42000"/>
    <w:rsid w:val="00C42489"/>
    <w:rsid w:val="00C4386B"/>
    <w:rsid w:val="00C44894"/>
    <w:rsid w:val="00C465BA"/>
    <w:rsid w:val="00C4683F"/>
    <w:rsid w:val="00C46B97"/>
    <w:rsid w:val="00C50B4A"/>
    <w:rsid w:val="00C511B9"/>
    <w:rsid w:val="00C51929"/>
    <w:rsid w:val="00C524D4"/>
    <w:rsid w:val="00C52800"/>
    <w:rsid w:val="00C53129"/>
    <w:rsid w:val="00C53FCF"/>
    <w:rsid w:val="00C541FE"/>
    <w:rsid w:val="00C552EE"/>
    <w:rsid w:val="00C60743"/>
    <w:rsid w:val="00C62F89"/>
    <w:rsid w:val="00C64345"/>
    <w:rsid w:val="00C64507"/>
    <w:rsid w:val="00C647DB"/>
    <w:rsid w:val="00C64CC6"/>
    <w:rsid w:val="00C705FE"/>
    <w:rsid w:val="00C71523"/>
    <w:rsid w:val="00C73917"/>
    <w:rsid w:val="00C75D85"/>
    <w:rsid w:val="00C7691D"/>
    <w:rsid w:val="00C76FDA"/>
    <w:rsid w:val="00C7796F"/>
    <w:rsid w:val="00C806BA"/>
    <w:rsid w:val="00C812BC"/>
    <w:rsid w:val="00C8139A"/>
    <w:rsid w:val="00C816F1"/>
    <w:rsid w:val="00C81E66"/>
    <w:rsid w:val="00C82F34"/>
    <w:rsid w:val="00C84092"/>
    <w:rsid w:val="00C84537"/>
    <w:rsid w:val="00C8615D"/>
    <w:rsid w:val="00C86E11"/>
    <w:rsid w:val="00C86E7F"/>
    <w:rsid w:val="00C87500"/>
    <w:rsid w:val="00C87D9B"/>
    <w:rsid w:val="00C9140B"/>
    <w:rsid w:val="00C914D9"/>
    <w:rsid w:val="00C92C27"/>
    <w:rsid w:val="00C93292"/>
    <w:rsid w:val="00C9440D"/>
    <w:rsid w:val="00C94919"/>
    <w:rsid w:val="00C94A6E"/>
    <w:rsid w:val="00C94A8E"/>
    <w:rsid w:val="00C95505"/>
    <w:rsid w:val="00C977B2"/>
    <w:rsid w:val="00C97E84"/>
    <w:rsid w:val="00C97EB6"/>
    <w:rsid w:val="00CA0AC2"/>
    <w:rsid w:val="00CA3D20"/>
    <w:rsid w:val="00CA4783"/>
    <w:rsid w:val="00CA5189"/>
    <w:rsid w:val="00CA56CB"/>
    <w:rsid w:val="00CA5CA0"/>
    <w:rsid w:val="00CA6110"/>
    <w:rsid w:val="00CA6869"/>
    <w:rsid w:val="00CA739C"/>
    <w:rsid w:val="00CA7F01"/>
    <w:rsid w:val="00CB145B"/>
    <w:rsid w:val="00CB1C8B"/>
    <w:rsid w:val="00CB288A"/>
    <w:rsid w:val="00CB3DA4"/>
    <w:rsid w:val="00CB446D"/>
    <w:rsid w:val="00CB4674"/>
    <w:rsid w:val="00CB5073"/>
    <w:rsid w:val="00CB53F2"/>
    <w:rsid w:val="00CB591B"/>
    <w:rsid w:val="00CB5BFA"/>
    <w:rsid w:val="00CC0019"/>
    <w:rsid w:val="00CC0EDF"/>
    <w:rsid w:val="00CC19EE"/>
    <w:rsid w:val="00CC34B4"/>
    <w:rsid w:val="00CC3993"/>
    <w:rsid w:val="00CC4BE0"/>
    <w:rsid w:val="00CC4D72"/>
    <w:rsid w:val="00CC52B9"/>
    <w:rsid w:val="00CC5987"/>
    <w:rsid w:val="00CC755D"/>
    <w:rsid w:val="00CC7857"/>
    <w:rsid w:val="00CC7879"/>
    <w:rsid w:val="00CD104F"/>
    <w:rsid w:val="00CD1162"/>
    <w:rsid w:val="00CD3879"/>
    <w:rsid w:val="00CD3ACD"/>
    <w:rsid w:val="00CD4E86"/>
    <w:rsid w:val="00CD61E1"/>
    <w:rsid w:val="00CD6BE1"/>
    <w:rsid w:val="00CD7E63"/>
    <w:rsid w:val="00CD7FFA"/>
    <w:rsid w:val="00CE0F6C"/>
    <w:rsid w:val="00CE0F9C"/>
    <w:rsid w:val="00CE2519"/>
    <w:rsid w:val="00CE2D6F"/>
    <w:rsid w:val="00CE34CD"/>
    <w:rsid w:val="00CE3C20"/>
    <w:rsid w:val="00CE3C47"/>
    <w:rsid w:val="00CE484A"/>
    <w:rsid w:val="00CE49FB"/>
    <w:rsid w:val="00CE53FB"/>
    <w:rsid w:val="00CE687C"/>
    <w:rsid w:val="00CE71B5"/>
    <w:rsid w:val="00CE7509"/>
    <w:rsid w:val="00CE78D7"/>
    <w:rsid w:val="00CF0FEF"/>
    <w:rsid w:val="00CF177D"/>
    <w:rsid w:val="00CF1C00"/>
    <w:rsid w:val="00CF2609"/>
    <w:rsid w:val="00CF28EC"/>
    <w:rsid w:val="00CF2A2E"/>
    <w:rsid w:val="00CF2C19"/>
    <w:rsid w:val="00CF327D"/>
    <w:rsid w:val="00CF50C3"/>
    <w:rsid w:val="00CF60BF"/>
    <w:rsid w:val="00CF61C9"/>
    <w:rsid w:val="00CF69F8"/>
    <w:rsid w:val="00CF7D0F"/>
    <w:rsid w:val="00D01184"/>
    <w:rsid w:val="00D04D8F"/>
    <w:rsid w:val="00D04E4F"/>
    <w:rsid w:val="00D05922"/>
    <w:rsid w:val="00D05BE9"/>
    <w:rsid w:val="00D06611"/>
    <w:rsid w:val="00D06B34"/>
    <w:rsid w:val="00D07735"/>
    <w:rsid w:val="00D077F6"/>
    <w:rsid w:val="00D12C44"/>
    <w:rsid w:val="00D169B9"/>
    <w:rsid w:val="00D16FF6"/>
    <w:rsid w:val="00D17553"/>
    <w:rsid w:val="00D20253"/>
    <w:rsid w:val="00D206D1"/>
    <w:rsid w:val="00D2235B"/>
    <w:rsid w:val="00D22756"/>
    <w:rsid w:val="00D22A22"/>
    <w:rsid w:val="00D22F63"/>
    <w:rsid w:val="00D238E0"/>
    <w:rsid w:val="00D2518A"/>
    <w:rsid w:val="00D25E95"/>
    <w:rsid w:val="00D27B49"/>
    <w:rsid w:val="00D308C9"/>
    <w:rsid w:val="00D31732"/>
    <w:rsid w:val="00D31FB5"/>
    <w:rsid w:val="00D32048"/>
    <w:rsid w:val="00D32E13"/>
    <w:rsid w:val="00D33ECC"/>
    <w:rsid w:val="00D343C2"/>
    <w:rsid w:val="00D355B6"/>
    <w:rsid w:val="00D366E4"/>
    <w:rsid w:val="00D37D92"/>
    <w:rsid w:val="00D40BC0"/>
    <w:rsid w:val="00D40F0D"/>
    <w:rsid w:val="00D41BC0"/>
    <w:rsid w:val="00D41D60"/>
    <w:rsid w:val="00D420F7"/>
    <w:rsid w:val="00D4341D"/>
    <w:rsid w:val="00D450D8"/>
    <w:rsid w:val="00D45531"/>
    <w:rsid w:val="00D46144"/>
    <w:rsid w:val="00D466FA"/>
    <w:rsid w:val="00D476AC"/>
    <w:rsid w:val="00D47ED6"/>
    <w:rsid w:val="00D5019F"/>
    <w:rsid w:val="00D50614"/>
    <w:rsid w:val="00D51599"/>
    <w:rsid w:val="00D51CB5"/>
    <w:rsid w:val="00D527CC"/>
    <w:rsid w:val="00D547F0"/>
    <w:rsid w:val="00D55444"/>
    <w:rsid w:val="00D57607"/>
    <w:rsid w:val="00D5760B"/>
    <w:rsid w:val="00D61011"/>
    <w:rsid w:val="00D635A4"/>
    <w:rsid w:val="00D63D33"/>
    <w:rsid w:val="00D6490D"/>
    <w:rsid w:val="00D64B64"/>
    <w:rsid w:val="00D64BFD"/>
    <w:rsid w:val="00D669C4"/>
    <w:rsid w:val="00D672D1"/>
    <w:rsid w:val="00D675D1"/>
    <w:rsid w:val="00D67BA5"/>
    <w:rsid w:val="00D71EC0"/>
    <w:rsid w:val="00D71FA1"/>
    <w:rsid w:val="00D72FB9"/>
    <w:rsid w:val="00D7524E"/>
    <w:rsid w:val="00D75D91"/>
    <w:rsid w:val="00D762C9"/>
    <w:rsid w:val="00D76746"/>
    <w:rsid w:val="00D77E7C"/>
    <w:rsid w:val="00D77EA6"/>
    <w:rsid w:val="00D80C10"/>
    <w:rsid w:val="00D843FE"/>
    <w:rsid w:val="00D86E06"/>
    <w:rsid w:val="00D91009"/>
    <w:rsid w:val="00D9127F"/>
    <w:rsid w:val="00D92002"/>
    <w:rsid w:val="00D9254C"/>
    <w:rsid w:val="00D935BD"/>
    <w:rsid w:val="00D93919"/>
    <w:rsid w:val="00D96373"/>
    <w:rsid w:val="00D97B3F"/>
    <w:rsid w:val="00DA01EE"/>
    <w:rsid w:val="00DA2ACF"/>
    <w:rsid w:val="00DA5BB1"/>
    <w:rsid w:val="00DA6312"/>
    <w:rsid w:val="00DA64F5"/>
    <w:rsid w:val="00DA64FC"/>
    <w:rsid w:val="00DA673D"/>
    <w:rsid w:val="00DB0220"/>
    <w:rsid w:val="00DB04A8"/>
    <w:rsid w:val="00DB135D"/>
    <w:rsid w:val="00DB1BAF"/>
    <w:rsid w:val="00DB309C"/>
    <w:rsid w:val="00DB312F"/>
    <w:rsid w:val="00DB3359"/>
    <w:rsid w:val="00DB370A"/>
    <w:rsid w:val="00DB4975"/>
    <w:rsid w:val="00DB545C"/>
    <w:rsid w:val="00DB56B5"/>
    <w:rsid w:val="00DB6775"/>
    <w:rsid w:val="00DC04D8"/>
    <w:rsid w:val="00DC0AF3"/>
    <w:rsid w:val="00DC2FE3"/>
    <w:rsid w:val="00DC3E86"/>
    <w:rsid w:val="00DC4A8A"/>
    <w:rsid w:val="00DC4F8D"/>
    <w:rsid w:val="00DC5427"/>
    <w:rsid w:val="00DC630A"/>
    <w:rsid w:val="00DD014B"/>
    <w:rsid w:val="00DD0E5B"/>
    <w:rsid w:val="00DD0EC4"/>
    <w:rsid w:val="00DD1CB7"/>
    <w:rsid w:val="00DD3297"/>
    <w:rsid w:val="00DD3F5D"/>
    <w:rsid w:val="00DD422E"/>
    <w:rsid w:val="00DD4CD2"/>
    <w:rsid w:val="00DD5463"/>
    <w:rsid w:val="00DD5655"/>
    <w:rsid w:val="00DD5F6A"/>
    <w:rsid w:val="00DD62BE"/>
    <w:rsid w:val="00DD6328"/>
    <w:rsid w:val="00DD6E91"/>
    <w:rsid w:val="00DD727F"/>
    <w:rsid w:val="00DE04EB"/>
    <w:rsid w:val="00DE3AD4"/>
    <w:rsid w:val="00DE413B"/>
    <w:rsid w:val="00DE5E85"/>
    <w:rsid w:val="00DE6004"/>
    <w:rsid w:val="00DE6C82"/>
    <w:rsid w:val="00DF082F"/>
    <w:rsid w:val="00DF17B0"/>
    <w:rsid w:val="00DF1FA8"/>
    <w:rsid w:val="00DF2252"/>
    <w:rsid w:val="00DF343C"/>
    <w:rsid w:val="00DF34B4"/>
    <w:rsid w:val="00DF35A9"/>
    <w:rsid w:val="00DF656C"/>
    <w:rsid w:val="00E0177B"/>
    <w:rsid w:val="00E0265E"/>
    <w:rsid w:val="00E02B3F"/>
    <w:rsid w:val="00E02F5D"/>
    <w:rsid w:val="00E03E5B"/>
    <w:rsid w:val="00E06453"/>
    <w:rsid w:val="00E068CB"/>
    <w:rsid w:val="00E0766E"/>
    <w:rsid w:val="00E07842"/>
    <w:rsid w:val="00E07DDC"/>
    <w:rsid w:val="00E1107D"/>
    <w:rsid w:val="00E12181"/>
    <w:rsid w:val="00E1493D"/>
    <w:rsid w:val="00E15C0A"/>
    <w:rsid w:val="00E15C4F"/>
    <w:rsid w:val="00E1659C"/>
    <w:rsid w:val="00E168F8"/>
    <w:rsid w:val="00E16BF8"/>
    <w:rsid w:val="00E173F7"/>
    <w:rsid w:val="00E203BE"/>
    <w:rsid w:val="00E21155"/>
    <w:rsid w:val="00E21338"/>
    <w:rsid w:val="00E21EF3"/>
    <w:rsid w:val="00E223C1"/>
    <w:rsid w:val="00E22AEB"/>
    <w:rsid w:val="00E22B0B"/>
    <w:rsid w:val="00E24379"/>
    <w:rsid w:val="00E24A9A"/>
    <w:rsid w:val="00E24F03"/>
    <w:rsid w:val="00E2512C"/>
    <w:rsid w:val="00E2616C"/>
    <w:rsid w:val="00E267A0"/>
    <w:rsid w:val="00E306AB"/>
    <w:rsid w:val="00E30761"/>
    <w:rsid w:val="00E30848"/>
    <w:rsid w:val="00E30A6B"/>
    <w:rsid w:val="00E30EE0"/>
    <w:rsid w:val="00E31155"/>
    <w:rsid w:val="00E31596"/>
    <w:rsid w:val="00E31CB8"/>
    <w:rsid w:val="00E31F4F"/>
    <w:rsid w:val="00E32A29"/>
    <w:rsid w:val="00E330B3"/>
    <w:rsid w:val="00E35FCB"/>
    <w:rsid w:val="00E3680A"/>
    <w:rsid w:val="00E37A05"/>
    <w:rsid w:val="00E40880"/>
    <w:rsid w:val="00E41570"/>
    <w:rsid w:val="00E41708"/>
    <w:rsid w:val="00E424BA"/>
    <w:rsid w:val="00E431EB"/>
    <w:rsid w:val="00E4376C"/>
    <w:rsid w:val="00E44C8A"/>
    <w:rsid w:val="00E46048"/>
    <w:rsid w:val="00E46EAC"/>
    <w:rsid w:val="00E47A36"/>
    <w:rsid w:val="00E47B52"/>
    <w:rsid w:val="00E50627"/>
    <w:rsid w:val="00E50FD5"/>
    <w:rsid w:val="00E530F8"/>
    <w:rsid w:val="00E53CF1"/>
    <w:rsid w:val="00E54073"/>
    <w:rsid w:val="00E5623D"/>
    <w:rsid w:val="00E563C7"/>
    <w:rsid w:val="00E56783"/>
    <w:rsid w:val="00E57C77"/>
    <w:rsid w:val="00E60BCE"/>
    <w:rsid w:val="00E626CC"/>
    <w:rsid w:val="00E6545B"/>
    <w:rsid w:val="00E6548E"/>
    <w:rsid w:val="00E65ED1"/>
    <w:rsid w:val="00E678CB"/>
    <w:rsid w:val="00E67C70"/>
    <w:rsid w:val="00E67D72"/>
    <w:rsid w:val="00E67DE8"/>
    <w:rsid w:val="00E71324"/>
    <w:rsid w:val="00E72E7B"/>
    <w:rsid w:val="00E74064"/>
    <w:rsid w:val="00E751A0"/>
    <w:rsid w:val="00E7520B"/>
    <w:rsid w:val="00E76025"/>
    <w:rsid w:val="00E764FB"/>
    <w:rsid w:val="00E77BB4"/>
    <w:rsid w:val="00E77BDF"/>
    <w:rsid w:val="00E80216"/>
    <w:rsid w:val="00E818B7"/>
    <w:rsid w:val="00E81F0F"/>
    <w:rsid w:val="00E82225"/>
    <w:rsid w:val="00E826B4"/>
    <w:rsid w:val="00E83562"/>
    <w:rsid w:val="00E842BD"/>
    <w:rsid w:val="00E854C3"/>
    <w:rsid w:val="00E86714"/>
    <w:rsid w:val="00E86E2F"/>
    <w:rsid w:val="00E90806"/>
    <w:rsid w:val="00E91CB1"/>
    <w:rsid w:val="00E91EB2"/>
    <w:rsid w:val="00E92508"/>
    <w:rsid w:val="00E92897"/>
    <w:rsid w:val="00E93E26"/>
    <w:rsid w:val="00E94DE7"/>
    <w:rsid w:val="00E964EF"/>
    <w:rsid w:val="00E970A5"/>
    <w:rsid w:val="00E97A3A"/>
    <w:rsid w:val="00EA085D"/>
    <w:rsid w:val="00EA2B06"/>
    <w:rsid w:val="00EA2BCF"/>
    <w:rsid w:val="00EA433C"/>
    <w:rsid w:val="00EA4947"/>
    <w:rsid w:val="00EA52A6"/>
    <w:rsid w:val="00EA5BCF"/>
    <w:rsid w:val="00EA6A49"/>
    <w:rsid w:val="00EA6D09"/>
    <w:rsid w:val="00EA6F4D"/>
    <w:rsid w:val="00EA716E"/>
    <w:rsid w:val="00EA7B39"/>
    <w:rsid w:val="00EB0231"/>
    <w:rsid w:val="00EB216F"/>
    <w:rsid w:val="00EB246C"/>
    <w:rsid w:val="00EB25DC"/>
    <w:rsid w:val="00EB4A1F"/>
    <w:rsid w:val="00EB7C57"/>
    <w:rsid w:val="00EC3A5D"/>
    <w:rsid w:val="00EC4004"/>
    <w:rsid w:val="00EC464C"/>
    <w:rsid w:val="00EC5239"/>
    <w:rsid w:val="00EC688E"/>
    <w:rsid w:val="00EC6FA4"/>
    <w:rsid w:val="00EC7107"/>
    <w:rsid w:val="00ED0617"/>
    <w:rsid w:val="00ED0A28"/>
    <w:rsid w:val="00ED2054"/>
    <w:rsid w:val="00ED26BB"/>
    <w:rsid w:val="00ED3077"/>
    <w:rsid w:val="00ED32A4"/>
    <w:rsid w:val="00ED5ED6"/>
    <w:rsid w:val="00ED5EF1"/>
    <w:rsid w:val="00EE2925"/>
    <w:rsid w:val="00EE31AE"/>
    <w:rsid w:val="00EE3CE0"/>
    <w:rsid w:val="00EE4502"/>
    <w:rsid w:val="00EE4702"/>
    <w:rsid w:val="00EE50D9"/>
    <w:rsid w:val="00EE63DC"/>
    <w:rsid w:val="00EE68CE"/>
    <w:rsid w:val="00EE6B3A"/>
    <w:rsid w:val="00EE7542"/>
    <w:rsid w:val="00EE7F34"/>
    <w:rsid w:val="00EF3AE2"/>
    <w:rsid w:val="00EF3CE3"/>
    <w:rsid w:val="00EF4024"/>
    <w:rsid w:val="00EF7E60"/>
    <w:rsid w:val="00F00CD5"/>
    <w:rsid w:val="00F00D68"/>
    <w:rsid w:val="00F0176C"/>
    <w:rsid w:val="00F023C8"/>
    <w:rsid w:val="00F0367F"/>
    <w:rsid w:val="00F04F08"/>
    <w:rsid w:val="00F104D5"/>
    <w:rsid w:val="00F1152A"/>
    <w:rsid w:val="00F11B01"/>
    <w:rsid w:val="00F11CFF"/>
    <w:rsid w:val="00F12322"/>
    <w:rsid w:val="00F13AFB"/>
    <w:rsid w:val="00F13C58"/>
    <w:rsid w:val="00F13FC7"/>
    <w:rsid w:val="00F14F43"/>
    <w:rsid w:val="00F15294"/>
    <w:rsid w:val="00F179F6"/>
    <w:rsid w:val="00F179F9"/>
    <w:rsid w:val="00F17B11"/>
    <w:rsid w:val="00F20427"/>
    <w:rsid w:val="00F21B6B"/>
    <w:rsid w:val="00F21C9A"/>
    <w:rsid w:val="00F24588"/>
    <w:rsid w:val="00F2553C"/>
    <w:rsid w:val="00F2767F"/>
    <w:rsid w:val="00F30BC4"/>
    <w:rsid w:val="00F316E7"/>
    <w:rsid w:val="00F31C55"/>
    <w:rsid w:val="00F320EE"/>
    <w:rsid w:val="00F32127"/>
    <w:rsid w:val="00F328DC"/>
    <w:rsid w:val="00F32A6B"/>
    <w:rsid w:val="00F35B59"/>
    <w:rsid w:val="00F367FC"/>
    <w:rsid w:val="00F410C2"/>
    <w:rsid w:val="00F427F7"/>
    <w:rsid w:val="00F42F8C"/>
    <w:rsid w:val="00F43271"/>
    <w:rsid w:val="00F434BC"/>
    <w:rsid w:val="00F455CB"/>
    <w:rsid w:val="00F45BA2"/>
    <w:rsid w:val="00F45DAA"/>
    <w:rsid w:val="00F45F2D"/>
    <w:rsid w:val="00F462EC"/>
    <w:rsid w:val="00F47562"/>
    <w:rsid w:val="00F475B6"/>
    <w:rsid w:val="00F51509"/>
    <w:rsid w:val="00F523CA"/>
    <w:rsid w:val="00F53727"/>
    <w:rsid w:val="00F53AA6"/>
    <w:rsid w:val="00F540D3"/>
    <w:rsid w:val="00F56A02"/>
    <w:rsid w:val="00F578FE"/>
    <w:rsid w:val="00F6027C"/>
    <w:rsid w:val="00F62282"/>
    <w:rsid w:val="00F622ED"/>
    <w:rsid w:val="00F62DB3"/>
    <w:rsid w:val="00F64DA8"/>
    <w:rsid w:val="00F65A8B"/>
    <w:rsid w:val="00F66BF0"/>
    <w:rsid w:val="00F67617"/>
    <w:rsid w:val="00F676BF"/>
    <w:rsid w:val="00F7019A"/>
    <w:rsid w:val="00F70644"/>
    <w:rsid w:val="00F706AB"/>
    <w:rsid w:val="00F716DA"/>
    <w:rsid w:val="00F7267F"/>
    <w:rsid w:val="00F739D7"/>
    <w:rsid w:val="00F748F9"/>
    <w:rsid w:val="00F8028D"/>
    <w:rsid w:val="00F80EFF"/>
    <w:rsid w:val="00F816CA"/>
    <w:rsid w:val="00F83CC9"/>
    <w:rsid w:val="00F84A81"/>
    <w:rsid w:val="00F84C3D"/>
    <w:rsid w:val="00F8534D"/>
    <w:rsid w:val="00F855BB"/>
    <w:rsid w:val="00F856EE"/>
    <w:rsid w:val="00F86C08"/>
    <w:rsid w:val="00F86F06"/>
    <w:rsid w:val="00F8749D"/>
    <w:rsid w:val="00F909C3"/>
    <w:rsid w:val="00F9100A"/>
    <w:rsid w:val="00F91F26"/>
    <w:rsid w:val="00F9568A"/>
    <w:rsid w:val="00F963E4"/>
    <w:rsid w:val="00FA080F"/>
    <w:rsid w:val="00FA2B09"/>
    <w:rsid w:val="00FA4007"/>
    <w:rsid w:val="00FA564A"/>
    <w:rsid w:val="00FA6482"/>
    <w:rsid w:val="00FA6654"/>
    <w:rsid w:val="00FA78E0"/>
    <w:rsid w:val="00FB06C8"/>
    <w:rsid w:val="00FB265D"/>
    <w:rsid w:val="00FB291E"/>
    <w:rsid w:val="00FB310B"/>
    <w:rsid w:val="00FB35EB"/>
    <w:rsid w:val="00FB488F"/>
    <w:rsid w:val="00FB537B"/>
    <w:rsid w:val="00FB5FB5"/>
    <w:rsid w:val="00FB6C0A"/>
    <w:rsid w:val="00FB72C0"/>
    <w:rsid w:val="00FB78C6"/>
    <w:rsid w:val="00FB7B00"/>
    <w:rsid w:val="00FC0EEC"/>
    <w:rsid w:val="00FC0F36"/>
    <w:rsid w:val="00FC200C"/>
    <w:rsid w:val="00FC4222"/>
    <w:rsid w:val="00FC4939"/>
    <w:rsid w:val="00FC5750"/>
    <w:rsid w:val="00FC5B9C"/>
    <w:rsid w:val="00FC664E"/>
    <w:rsid w:val="00FD112F"/>
    <w:rsid w:val="00FD2CBE"/>
    <w:rsid w:val="00FD5058"/>
    <w:rsid w:val="00FD5111"/>
    <w:rsid w:val="00FE04D0"/>
    <w:rsid w:val="00FE0560"/>
    <w:rsid w:val="00FE0AFC"/>
    <w:rsid w:val="00FE0E35"/>
    <w:rsid w:val="00FE123A"/>
    <w:rsid w:val="00FE25E5"/>
    <w:rsid w:val="00FE2860"/>
    <w:rsid w:val="00FE4772"/>
    <w:rsid w:val="00FE664B"/>
    <w:rsid w:val="00FE69FD"/>
    <w:rsid w:val="00FE6FB0"/>
    <w:rsid w:val="00FF017E"/>
    <w:rsid w:val="00FF0FE2"/>
    <w:rsid w:val="00FF1249"/>
    <w:rsid w:val="00FF1C32"/>
    <w:rsid w:val="00FF276C"/>
    <w:rsid w:val="00FF3229"/>
    <w:rsid w:val="00FF3949"/>
    <w:rsid w:val="00FF3BB9"/>
    <w:rsid w:val="00FF4BBE"/>
    <w:rsid w:val="00FF587E"/>
    <w:rsid w:val="00FF6B68"/>
    <w:rsid w:val="01566E20"/>
    <w:rsid w:val="019B3634"/>
    <w:rsid w:val="02155F11"/>
    <w:rsid w:val="026E7524"/>
    <w:rsid w:val="028707BD"/>
    <w:rsid w:val="03EC4B21"/>
    <w:rsid w:val="03F06B5F"/>
    <w:rsid w:val="042744A4"/>
    <w:rsid w:val="05A20E1D"/>
    <w:rsid w:val="06325209"/>
    <w:rsid w:val="07127BC4"/>
    <w:rsid w:val="07D1557C"/>
    <w:rsid w:val="07F54DAF"/>
    <w:rsid w:val="091E4C98"/>
    <w:rsid w:val="0A264A20"/>
    <w:rsid w:val="0B593AAD"/>
    <w:rsid w:val="0B905276"/>
    <w:rsid w:val="0CC70D43"/>
    <w:rsid w:val="0CF51EEB"/>
    <w:rsid w:val="0D0429D6"/>
    <w:rsid w:val="0DD778F0"/>
    <w:rsid w:val="0F3975B4"/>
    <w:rsid w:val="0F604DF6"/>
    <w:rsid w:val="107010DE"/>
    <w:rsid w:val="10DC5582"/>
    <w:rsid w:val="129029E0"/>
    <w:rsid w:val="17E20276"/>
    <w:rsid w:val="199324D3"/>
    <w:rsid w:val="1A8A62AE"/>
    <w:rsid w:val="1CC95632"/>
    <w:rsid w:val="1D195F78"/>
    <w:rsid w:val="1DDB129B"/>
    <w:rsid w:val="20895279"/>
    <w:rsid w:val="221F615F"/>
    <w:rsid w:val="25452B05"/>
    <w:rsid w:val="25A454FC"/>
    <w:rsid w:val="26F51886"/>
    <w:rsid w:val="278D288B"/>
    <w:rsid w:val="28DD11DE"/>
    <w:rsid w:val="292017F7"/>
    <w:rsid w:val="29E474D0"/>
    <w:rsid w:val="2A3500A0"/>
    <w:rsid w:val="2AA97281"/>
    <w:rsid w:val="2C563247"/>
    <w:rsid w:val="2CA27BF7"/>
    <w:rsid w:val="2CD84297"/>
    <w:rsid w:val="2CDE56B0"/>
    <w:rsid w:val="2DC87EA1"/>
    <w:rsid w:val="2EF31921"/>
    <w:rsid w:val="309F5F6D"/>
    <w:rsid w:val="313A2409"/>
    <w:rsid w:val="3195592E"/>
    <w:rsid w:val="3242437C"/>
    <w:rsid w:val="324A3DC0"/>
    <w:rsid w:val="328A4F43"/>
    <w:rsid w:val="34B252A9"/>
    <w:rsid w:val="356414D6"/>
    <w:rsid w:val="35E541AD"/>
    <w:rsid w:val="37672A2B"/>
    <w:rsid w:val="377847B4"/>
    <w:rsid w:val="383D21FE"/>
    <w:rsid w:val="38DD4CA8"/>
    <w:rsid w:val="39D1635F"/>
    <w:rsid w:val="39DC4B42"/>
    <w:rsid w:val="3AAF794B"/>
    <w:rsid w:val="3B645765"/>
    <w:rsid w:val="3BAB5ABC"/>
    <w:rsid w:val="3C930929"/>
    <w:rsid w:val="3F48257D"/>
    <w:rsid w:val="3F78436B"/>
    <w:rsid w:val="403D7F7E"/>
    <w:rsid w:val="4238528E"/>
    <w:rsid w:val="42434556"/>
    <w:rsid w:val="425374ED"/>
    <w:rsid w:val="43473B79"/>
    <w:rsid w:val="43680C8F"/>
    <w:rsid w:val="43A97591"/>
    <w:rsid w:val="43C21E8D"/>
    <w:rsid w:val="44200ADC"/>
    <w:rsid w:val="446C2037"/>
    <w:rsid w:val="45DD3592"/>
    <w:rsid w:val="46523780"/>
    <w:rsid w:val="47544C4C"/>
    <w:rsid w:val="47E13441"/>
    <w:rsid w:val="49B332D0"/>
    <w:rsid w:val="4D2C73B1"/>
    <w:rsid w:val="4F133265"/>
    <w:rsid w:val="4F56275A"/>
    <w:rsid w:val="4F7B35B4"/>
    <w:rsid w:val="4F8B63D1"/>
    <w:rsid w:val="4FA978AB"/>
    <w:rsid w:val="503B002A"/>
    <w:rsid w:val="50FE28D3"/>
    <w:rsid w:val="514E57A5"/>
    <w:rsid w:val="51DE1040"/>
    <w:rsid w:val="523A4BE6"/>
    <w:rsid w:val="543126D9"/>
    <w:rsid w:val="54423053"/>
    <w:rsid w:val="54DE6C35"/>
    <w:rsid w:val="561A718A"/>
    <w:rsid w:val="57AF0BAE"/>
    <w:rsid w:val="5A94615A"/>
    <w:rsid w:val="5AAB6A73"/>
    <w:rsid w:val="5AF336AB"/>
    <w:rsid w:val="5B1F2E5D"/>
    <w:rsid w:val="5B613D42"/>
    <w:rsid w:val="5C6B2C70"/>
    <w:rsid w:val="5C82434A"/>
    <w:rsid w:val="5D690573"/>
    <w:rsid w:val="5F4A5652"/>
    <w:rsid w:val="5FAB060C"/>
    <w:rsid w:val="62141EE8"/>
    <w:rsid w:val="63E45623"/>
    <w:rsid w:val="646A4E7D"/>
    <w:rsid w:val="64E81A14"/>
    <w:rsid w:val="6620355C"/>
    <w:rsid w:val="678D39DD"/>
    <w:rsid w:val="682A687D"/>
    <w:rsid w:val="6A586D2B"/>
    <w:rsid w:val="6A5E3254"/>
    <w:rsid w:val="6C4510B7"/>
    <w:rsid w:val="6CB7587F"/>
    <w:rsid w:val="6CD31597"/>
    <w:rsid w:val="6E2B581F"/>
    <w:rsid w:val="6E7460DB"/>
    <w:rsid w:val="6FBB2B17"/>
    <w:rsid w:val="70F405FE"/>
    <w:rsid w:val="719B7F30"/>
    <w:rsid w:val="71E92BD1"/>
    <w:rsid w:val="724C4BD5"/>
    <w:rsid w:val="73447B2A"/>
    <w:rsid w:val="74C23A26"/>
    <w:rsid w:val="754C035F"/>
    <w:rsid w:val="76A37ECF"/>
    <w:rsid w:val="77460C51"/>
    <w:rsid w:val="798216EB"/>
    <w:rsid w:val="798C79DD"/>
    <w:rsid w:val="7991795A"/>
    <w:rsid w:val="79C50062"/>
    <w:rsid w:val="79CD1B02"/>
    <w:rsid w:val="7A311F1C"/>
    <w:rsid w:val="7A6C5B0A"/>
    <w:rsid w:val="7B506F38"/>
    <w:rsid w:val="7B7610C6"/>
    <w:rsid w:val="7D1F593F"/>
    <w:rsid w:val="7D2F6FD7"/>
    <w:rsid w:val="7D792F67"/>
    <w:rsid w:val="7EA20DF0"/>
    <w:rsid w:val="7F373053"/>
    <w:rsid w:val="7F4734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iPriority="99"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99"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
    <w:name w:val="heading 1"/>
    <w:basedOn w:val="1"/>
    <w:next w:val="1"/>
    <w:link w:val="108"/>
    <w:qFormat/>
    <w:uiPriority w:val="0"/>
    <w:pPr>
      <w:keepNext/>
      <w:keepLines/>
      <w:spacing w:before="340" w:after="330"/>
      <w:jc w:val="center"/>
      <w:outlineLvl w:val="0"/>
    </w:pPr>
    <w:rPr>
      <w:rFonts w:eastAsia="楷体_GB2312"/>
      <w:b/>
      <w:bCs/>
      <w:kern w:val="44"/>
      <w:sz w:val="32"/>
      <w:szCs w:val="44"/>
    </w:rPr>
  </w:style>
  <w:style w:type="paragraph" w:styleId="9">
    <w:name w:val="heading 2"/>
    <w:basedOn w:val="1"/>
    <w:next w:val="1"/>
    <w:link w:val="179"/>
    <w:qFormat/>
    <w:uiPriority w:val="0"/>
    <w:pPr>
      <w:keepNext/>
      <w:keepLines/>
      <w:spacing w:before="260" w:after="260" w:line="416" w:lineRule="auto"/>
      <w:outlineLvl w:val="1"/>
    </w:pPr>
    <w:rPr>
      <w:rFonts w:ascii="Arial" w:hAnsi="Arial" w:eastAsia="黑体"/>
      <w:b/>
      <w:bCs/>
      <w:sz w:val="32"/>
      <w:szCs w:val="32"/>
    </w:rPr>
  </w:style>
  <w:style w:type="paragraph" w:styleId="10">
    <w:name w:val="heading 3"/>
    <w:basedOn w:val="1"/>
    <w:next w:val="1"/>
    <w:link w:val="83"/>
    <w:qFormat/>
    <w:uiPriority w:val="0"/>
    <w:pPr>
      <w:keepNext/>
      <w:keepLines/>
      <w:spacing w:before="260" w:after="260" w:line="416" w:lineRule="auto"/>
      <w:outlineLvl w:val="2"/>
    </w:pPr>
    <w:rPr>
      <w:b/>
      <w:bCs/>
      <w:sz w:val="32"/>
      <w:szCs w:val="32"/>
    </w:rPr>
  </w:style>
  <w:style w:type="paragraph" w:styleId="11">
    <w:name w:val="heading 4"/>
    <w:basedOn w:val="1"/>
    <w:next w:val="1"/>
    <w:link w:val="99"/>
    <w:qFormat/>
    <w:uiPriority w:val="0"/>
    <w:pPr>
      <w:keepNext/>
      <w:outlineLvl w:val="3"/>
    </w:pPr>
    <w:rPr>
      <w:sz w:val="32"/>
      <w:szCs w:val="20"/>
    </w:rPr>
  </w:style>
  <w:style w:type="paragraph" w:styleId="12">
    <w:name w:val="heading 5"/>
    <w:basedOn w:val="1"/>
    <w:next w:val="1"/>
    <w:link w:val="100"/>
    <w:qFormat/>
    <w:uiPriority w:val="0"/>
    <w:pPr>
      <w:spacing w:before="120" w:line="60" w:lineRule="atLeast"/>
      <w:outlineLvl w:val="4"/>
    </w:pPr>
    <w:rPr>
      <w:rFonts w:ascii="Arial" w:hAnsi="Arial"/>
      <w:b/>
      <w:sz w:val="28"/>
      <w:szCs w:val="20"/>
    </w:rPr>
  </w:style>
  <w:style w:type="paragraph" w:styleId="13">
    <w:name w:val="heading 6"/>
    <w:basedOn w:val="1"/>
    <w:next w:val="1"/>
    <w:link w:val="101"/>
    <w:qFormat/>
    <w:uiPriority w:val="0"/>
    <w:pPr>
      <w:keepNext/>
      <w:keepLines/>
      <w:spacing w:before="240" w:after="64" w:line="320" w:lineRule="auto"/>
      <w:outlineLvl w:val="5"/>
    </w:pPr>
    <w:rPr>
      <w:rFonts w:ascii="宋体" w:hAnsi="宋体"/>
      <w:b/>
      <w:sz w:val="24"/>
      <w:szCs w:val="20"/>
    </w:rPr>
  </w:style>
  <w:style w:type="paragraph" w:styleId="14">
    <w:name w:val="heading 7"/>
    <w:basedOn w:val="1"/>
    <w:next w:val="1"/>
    <w:link w:val="102"/>
    <w:qFormat/>
    <w:uiPriority w:val="0"/>
    <w:pPr>
      <w:keepNext/>
      <w:keepLines/>
      <w:tabs>
        <w:tab w:val="left" w:pos="5040"/>
      </w:tabs>
      <w:adjustRightInd w:val="0"/>
      <w:snapToGrid w:val="0"/>
      <w:spacing w:before="240" w:after="64" w:line="320" w:lineRule="atLeast"/>
      <w:ind w:left="5040" w:hanging="360"/>
      <w:textAlignment w:val="baseline"/>
      <w:outlineLvl w:val="6"/>
    </w:pPr>
    <w:rPr>
      <w:rFonts w:ascii="宋体" w:eastAsia="仿宋_GB2312"/>
      <w:b/>
      <w:kern w:val="0"/>
      <w:sz w:val="24"/>
      <w:szCs w:val="20"/>
    </w:rPr>
  </w:style>
  <w:style w:type="paragraph" w:styleId="15">
    <w:name w:val="heading 8"/>
    <w:basedOn w:val="1"/>
    <w:next w:val="1"/>
    <w:link w:val="103"/>
    <w:qFormat/>
    <w:uiPriority w:val="0"/>
    <w:pPr>
      <w:keepNext/>
      <w:keepLines/>
      <w:tabs>
        <w:tab w:val="left" w:pos="5760"/>
      </w:tabs>
      <w:adjustRightInd w:val="0"/>
      <w:snapToGrid w:val="0"/>
      <w:spacing w:before="240" w:after="64" w:line="320" w:lineRule="atLeast"/>
      <w:ind w:left="5760" w:hanging="360"/>
      <w:textAlignment w:val="baseline"/>
      <w:outlineLvl w:val="7"/>
    </w:pPr>
    <w:rPr>
      <w:rFonts w:ascii="Arial" w:hAnsi="Arial" w:eastAsia="黑体"/>
      <w:kern w:val="0"/>
      <w:sz w:val="24"/>
      <w:szCs w:val="20"/>
    </w:rPr>
  </w:style>
  <w:style w:type="paragraph" w:styleId="16">
    <w:name w:val="heading 9"/>
    <w:basedOn w:val="1"/>
    <w:next w:val="1"/>
    <w:link w:val="104"/>
    <w:qFormat/>
    <w:uiPriority w:val="0"/>
    <w:pPr>
      <w:keepNext/>
      <w:keepLines/>
      <w:tabs>
        <w:tab w:val="left" w:pos="6480"/>
      </w:tabs>
      <w:adjustRightInd w:val="0"/>
      <w:snapToGrid w:val="0"/>
      <w:spacing w:before="240" w:after="64" w:line="320" w:lineRule="atLeast"/>
      <w:ind w:left="6480" w:hanging="360"/>
      <w:textAlignment w:val="baseline"/>
      <w:outlineLvl w:val="8"/>
    </w:pPr>
    <w:rPr>
      <w:rFonts w:ascii="Arial" w:hAnsi="Arial" w:eastAsia="黑体"/>
      <w:kern w:val="0"/>
      <w:sz w:val="28"/>
      <w:szCs w:val="20"/>
    </w:rPr>
  </w:style>
  <w:style w:type="character" w:default="1" w:styleId="65">
    <w:name w:val="Default Paragraph Font"/>
    <w:semiHidden/>
    <w:unhideWhenUsed/>
    <w:qFormat/>
    <w:uiPriority w:val="1"/>
  </w:style>
  <w:style w:type="table" w:default="1" w:styleId="6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5"/>
    <w:link w:val="167"/>
    <w:qFormat/>
    <w:uiPriority w:val="0"/>
    <w:pPr>
      <w:ind w:firstLine="420"/>
    </w:pPr>
    <w:rPr>
      <w:rFonts w:eastAsia="楷体_GB2312"/>
      <w:sz w:val="32"/>
      <w:szCs w:val="20"/>
    </w:rPr>
  </w:style>
  <w:style w:type="paragraph" w:styleId="3">
    <w:name w:val="Body Text"/>
    <w:basedOn w:val="1"/>
    <w:next w:val="4"/>
    <w:link w:val="293"/>
    <w:qFormat/>
    <w:uiPriority w:val="0"/>
    <w:pPr>
      <w:spacing w:after="120"/>
    </w:pPr>
  </w:style>
  <w:style w:type="paragraph" w:styleId="4">
    <w:name w:val="Body Text 2"/>
    <w:basedOn w:val="1"/>
    <w:link w:val="123"/>
    <w:qFormat/>
    <w:uiPriority w:val="0"/>
    <w:pPr>
      <w:jc w:val="center"/>
    </w:pPr>
    <w:rPr>
      <w:rFonts w:ascii="楷体_GB2312" w:eastAsia="楷体_GB2312"/>
      <w:b/>
      <w:sz w:val="36"/>
      <w:szCs w:val="48"/>
    </w:rPr>
  </w:style>
  <w:style w:type="paragraph" w:styleId="5">
    <w:name w:val="Body Text First Indent 2"/>
    <w:basedOn w:val="6"/>
    <w:next w:val="1"/>
    <w:link w:val="140"/>
    <w:qFormat/>
    <w:uiPriority w:val="0"/>
    <w:pPr>
      <w:ind w:firstLine="420"/>
      <w:jc w:val="left"/>
    </w:pPr>
    <w:rPr>
      <w:szCs w:val="20"/>
    </w:rPr>
  </w:style>
  <w:style w:type="paragraph" w:styleId="6">
    <w:name w:val="Body Text Indent"/>
    <w:basedOn w:val="1"/>
    <w:next w:val="7"/>
    <w:link w:val="325"/>
    <w:qFormat/>
    <w:uiPriority w:val="0"/>
    <w:pPr>
      <w:spacing w:after="120"/>
      <w:ind w:left="420" w:leftChars="200"/>
    </w:pPr>
  </w:style>
  <w:style w:type="paragraph" w:styleId="7">
    <w:name w:val="envelope return"/>
    <w:basedOn w:val="1"/>
    <w:qFormat/>
    <w:uiPriority w:val="0"/>
    <w:pPr>
      <w:snapToGrid w:val="0"/>
    </w:pPr>
    <w:rPr>
      <w:rFonts w:ascii="Arial" w:hAnsi="Arial"/>
    </w:rPr>
  </w:style>
  <w:style w:type="paragraph" w:styleId="17">
    <w:name w:val="List 3"/>
    <w:basedOn w:val="1"/>
    <w:qFormat/>
    <w:uiPriority w:val="0"/>
    <w:pPr>
      <w:ind w:left="100" w:leftChars="400" w:hanging="200" w:hangingChars="200"/>
      <w:jc w:val="left"/>
    </w:pPr>
    <w:rPr>
      <w:sz w:val="24"/>
    </w:rPr>
  </w:style>
  <w:style w:type="paragraph" w:styleId="18">
    <w:name w:val="toc 7"/>
    <w:basedOn w:val="1"/>
    <w:next w:val="1"/>
    <w:qFormat/>
    <w:uiPriority w:val="0"/>
    <w:pPr>
      <w:ind w:left="1260"/>
      <w:jc w:val="left"/>
    </w:pPr>
    <w:rPr>
      <w:sz w:val="18"/>
      <w:szCs w:val="20"/>
    </w:rPr>
  </w:style>
  <w:style w:type="paragraph" w:styleId="19">
    <w:name w:val="table of authorities"/>
    <w:basedOn w:val="1"/>
    <w:next w:val="1"/>
    <w:unhideWhenUsed/>
    <w:qFormat/>
    <w:uiPriority w:val="99"/>
    <w:pPr>
      <w:ind w:left="420" w:leftChars="200"/>
    </w:pPr>
  </w:style>
  <w:style w:type="paragraph" w:styleId="20">
    <w:name w:val="Note Heading"/>
    <w:basedOn w:val="1"/>
    <w:next w:val="1"/>
    <w:link w:val="313"/>
    <w:qFormat/>
    <w:uiPriority w:val="0"/>
    <w:pPr>
      <w:widowControl/>
      <w:spacing w:before="100" w:beforeAutospacing="1" w:after="100" w:afterAutospacing="1"/>
      <w:jc w:val="left"/>
    </w:pPr>
    <w:rPr>
      <w:rFonts w:ascii="宋体" w:hAnsi="宋体" w:cs="宋体"/>
      <w:kern w:val="0"/>
      <w:sz w:val="24"/>
    </w:rPr>
  </w:style>
  <w:style w:type="paragraph" w:styleId="21">
    <w:name w:val="List Bullet 4"/>
    <w:basedOn w:val="1"/>
    <w:qFormat/>
    <w:uiPriority w:val="0"/>
    <w:pPr>
      <w:tabs>
        <w:tab w:val="left" w:pos="435"/>
        <w:tab w:val="left" w:pos="1620"/>
      </w:tabs>
      <w:ind w:left="600" w:leftChars="600" w:hanging="200" w:hangingChars="200"/>
      <w:jc w:val="left"/>
    </w:pPr>
    <w:rPr>
      <w:sz w:val="24"/>
    </w:rPr>
  </w:style>
  <w:style w:type="paragraph" w:styleId="22">
    <w:name w:val="List Number"/>
    <w:basedOn w:val="1"/>
    <w:qFormat/>
    <w:uiPriority w:val="0"/>
    <w:pPr>
      <w:tabs>
        <w:tab w:val="left" w:pos="360"/>
        <w:tab w:val="left" w:pos="850"/>
      </w:tabs>
      <w:adjustRightInd w:val="0"/>
      <w:snapToGrid w:val="0"/>
      <w:spacing w:line="360" w:lineRule="atLeast"/>
      <w:ind w:left="850" w:hanging="389"/>
      <w:jc w:val="left"/>
    </w:pPr>
    <w:rPr>
      <w:rFonts w:ascii="宋体"/>
      <w:sz w:val="24"/>
    </w:rPr>
  </w:style>
  <w:style w:type="paragraph" w:styleId="23">
    <w:name w:val="Normal Indent"/>
    <w:basedOn w:val="1"/>
    <w:link w:val="216"/>
    <w:qFormat/>
    <w:uiPriority w:val="0"/>
    <w:pPr>
      <w:ind w:firstLine="420" w:firstLineChars="200"/>
    </w:pPr>
    <w:rPr>
      <w:szCs w:val="20"/>
    </w:rPr>
  </w:style>
  <w:style w:type="paragraph" w:styleId="24">
    <w:name w:val="caption"/>
    <w:basedOn w:val="1"/>
    <w:next w:val="1"/>
    <w:qFormat/>
    <w:uiPriority w:val="0"/>
    <w:pPr>
      <w:jc w:val="left"/>
    </w:pPr>
    <w:rPr>
      <w:rFonts w:ascii="Arial" w:hAnsi="Arial" w:eastAsia="黑体" w:cs="Arial"/>
      <w:sz w:val="20"/>
      <w:szCs w:val="20"/>
    </w:rPr>
  </w:style>
  <w:style w:type="paragraph" w:styleId="25">
    <w:name w:val="Document Map"/>
    <w:basedOn w:val="1"/>
    <w:link w:val="121"/>
    <w:qFormat/>
    <w:uiPriority w:val="0"/>
    <w:pPr>
      <w:shd w:val="clear" w:color="auto" w:fill="000080"/>
    </w:pPr>
  </w:style>
  <w:style w:type="paragraph" w:styleId="26">
    <w:name w:val="toa heading"/>
    <w:basedOn w:val="1"/>
    <w:next w:val="1"/>
    <w:qFormat/>
    <w:uiPriority w:val="0"/>
    <w:pPr>
      <w:spacing w:before="120"/>
    </w:pPr>
    <w:rPr>
      <w:rFonts w:ascii="Arial" w:hAnsi="Arial"/>
      <w:sz w:val="24"/>
      <w:szCs w:val="20"/>
    </w:rPr>
  </w:style>
  <w:style w:type="paragraph" w:styleId="27">
    <w:name w:val="annotation text"/>
    <w:basedOn w:val="1"/>
    <w:link w:val="261"/>
    <w:qFormat/>
    <w:uiPriority w:val="0"/>
    <w:pPr>
      <w:jc w:val="left"/>
    </w:pPr>
  </w:style>
  <w:style w:type="paragraph" w:styleId="28">
    <w:name w:val="Salutation"/>
    <w:basedOn w:val="1"/>
    <w:next w:val="1"/>
    <w:link w:val="180"/>
    <w:qFormat/>
    <w:uiPriority w:val="0"/>
    <w:pPr>
      <w:adjustRightInd w:val="0"/>
      <w:spacing w:line="360" w:lineRule="atLeast"/>
      <w:jc w:val="left"/>
      <w:textAlignment w:val="baseline"/>
    </w:pPr>
    <w:rPr>
      <w:rFonts w:ascii="宋体"/>
      <w:kern w:val="0"/>
      <w:sz w:val="28"/>
      <w:szCs w:val="20"/>
    </w:rPr>
  </w:style>
  <w:style w:type="paragraph" w:styleId="29">
    <w:name w:val="Body Text 3"/>
    <w:basedOn w:val="1"/>
    <w:link w:val="156"/>
    <w:qFormat/>
    <w:uiPriority w:val="0"/>
    <w:rPr>
      <w:b/>
      <w:bCs/>
      <w:sz w:val="24"/>
    </w:rPr>
  </w:style>
  <w:style w:type="paragraph" w:styleId="30">
    <w:name w:val="List Bullet 3"/>
    <w:basedOn w:val="1"/>
    <w:qFormat/>
    <w:uiPriority w:val="0"/>
    <w:pPr>
      <w:tabs>
        <w:tab w:val="left" w:pos="360"/>
        <w:tab w:val="left" w:pos="1200"/>
      </w:tabs>
      <w:ind w:left="400" w:leftChars="400" w:hanging="200" w:hangingChars="200"/>
      <w:jc w:val="left"/>
    </w:pPr>
    <w:rPr>
      <w:sz w:val="24"/>
    </w:rPr>
  </w:style>
  <w:style w:type="paragraph" w:styleId="31">
    <w:name w:val="List 2"/>
    <w:basedOn w:val="1"/>
    <w:qFormat/>
    <w:uiPriority w:val="0"/>
    <w:pPr>
      <w:widowControl/>
      <w:spacing w:before="100" w:beforeAutospacing="1" w:after="100" w:afterAutospacing="1"/>
      <w:jc w:val="left"/>
    </w:pPr>
    <w:rPr>
      <w:rFonts w:ascii="宋体" w:hAnsi="宋体" w:cs="宋体"/>
      <w:color w:val="000000"/>
      <w:kern w:val="0"/>
      <w:sz w:val="24"/>
    </w:rPr>
  </w:style>
  <w:style w:type="paragraph" w:styleId="32">
    <w:name w:val="List Continue"/>
    <w:basedOn w:val="1"/>
    <w:qFormat/>
    <w:uiPriority w:val="0"/>
    <w:pPr>
      <w:spacing w:after="120"/>
      <w:ind w:left="420"/>
    </w:pPr>
    <w:rPr>
      <w:rFonts w:eastAsia="楷体_GB2312"/>
      <w:sz w:val="32"/>
      <w:szCs w:val="20"/>
    </w:rPr>
  </w:style>
  <w:style w:type="paragraph" w:styleId="33">
    <w:name w:val="Block Text"/>
    <w:basedOn w:val="1"/>
    <w:qFormat/>
    <w:uiPriority w:val="0"/>
    <w:pPr>
      <w:spacing w:after="120"/>
      <w:ind w:left="1440" w:leftChars="700" w:right="1440" w:rightChars="700"/>
    </w:pPr>
  </w:style>
  <w:style w:type="paragraph" w:styleId="34">
    <w:name w:val="List Bullet 2"/>
    <w:basedOn w:val="1"/>
    <w:qFormat/>
    <w:uiPriority w:val="0"/>
    <w:pPr>
      <w:widowControl/>
      <w:spacing w:line="0" w:lineRule="atLeast"/>
    </w:pPr>
    <w:rPr>
      <w:rFonts w:ascii="宋体" w:hAnsi="宋体"/>
      <w:kern w:val="0"/>
      <w:sz w:val="24"/>
    </w:rPr>
  </w:style>
  <w:style w:type="paragraph" w:styleId="35">
    <w:name w:val="toc 5"/>
    <w:basedOn w:val="1"/>
    <w:next w:val="1"/>
    <w:qFormat/>
    <w:uiPriority w:val="0"/>
    <w:pPr>
      <w:ind w:left="840"/>
      <w:jc w:val="left"/>
    </w:pPr>
    <w:rPr>
      <w:sz w:val="18"/>
      <w:szCs w:val="20"/>
    </w:rPr>
  </w:style>
  <w:style w:type="paragraph" w:styleId="36">
    <w:name w:val="toc 3"/>
    <w:basedOn w:val="1"/>
    <w:next w:val="1"/>
    <w:qFormat/>
    <w:uiPriority w:val="39"/>
    <w:pPr>
      <w:ind w:left="840" w:leftChars="400"/>
    </w:pPr>
  </w:style>
  <w:style w:type="paragraph" w:styleId="37">
    <w:name w:val="Plain Text"/>
    <w:basedOn w:val="1"/>
    <w:link w:val="86"/>
    <w:qFormat/>
    <w:uiPriority w:val="0"/>
    <w:pPr>
      <w:widowControl/>
      <w:overflowPunct w:val="0"/>
      <w:autoSpaceDE w:val="0"/>
      <w:autoSpaceDN w:val="0"/>
      <w:adjustRightInd w:val="0"/>
      <w:jc w:val="left"/>
      <w:textAlignment w:val="baseline"/>
    </w:pPr>
    <w:rPr>
      <w:rFonts w:ascii="宋体" w:hAnsi="Courier New"/>
      <w:kern w:val="0"/>
      <w:szCs w:val="21"/>
    </w:rPr>
  </w:style>
  <w:style w:type="paragraph" w:styleId="38">
    <w:name w:val="toc 8"/>
    <w:basedOn w:val="1"/>
    <w:next w:val="1"/>
    <w:qFormat/>
    <w:uiPriority w:val="0"/>
    <w:pPr>
      <w:ind w:left="1470"/>
      <w:jc w:val="left"/>
    </w:pPr>
    <w:rPr>
      <w:sz w:val="18"/>
      <w:szCs w:val="20"/>
    </w:rPr>
  </w:style>
  <w:style w:type="paragraph" w:styleId="39">
    <w:name w:val="Date"/>
    <w:basedOn w:val="1"/>
    <w:next w:val="1"/>
    <w:link w:val="215"/>
    <w:qFormat/>
    <w:uiPriority w:val="0"/>
    <w:rPr>
      <w:sz w:val="24"/>
      <w:szCs w:val="20"/>
    </w:rPr>
  </w:style>
  <w:style w:type="paragraph" w:styleId="40">
    <w:name w:val="Body Text Indent 2"/>
    <w:basedOn w:val="1"/>
    <w:link w:val="181"/>
    <w:qFormat/>
    <w:uiPriority w:val="0"/>
    <w:pPr>
      <w:ind w:left="424" w:leftChars="202"/>
    </w:pPr>
    <w:rPr>
      <w:rFonts w:eastAsia="楷体_GB2312"/>
      <w:sz w:val="28"/>
    </w:rPr>
  </w:style>
  <w:style w:type="paragraph" w:styleId="41">
    <w:name w:val="endnote text"/>
    <w:basedOn w:val="1"/>
    <w:link w:val="194"/>
    <w:qFormat/>
    <w:uiPriority w:val="0"/>
    <w:pPr>
      <w:widowControl/>
      <w:snapToGrid w:val="0"/>
      <w:jc w:val="left"/>
    </w:pPr>
    <w:rPr>
      <w:kern w:val="0"/>
      <w:sz w:val="20"/>
      <w:szCs w:val="20"/>
    </w:rPr>
  </w:style>
  <w:style w:type="paragraph" w:styleId="42">
    <w:name w:val="Balloon Text"/>
    <w:basedOn w:val="1"/>
    <w:link w:val="154"/>
    <w:qFormat/>
    <w:uiPriority w:val="0"/>
    <w:rPr>
      <w:sz w:val="18"/>
      <w:szCs w:val="18"/>
    </w:rPr>
  </w:style>
  <w:style w:type="paragraph" w:styleId="43">
    <w:name w:val="footer"/>
    <w:basedOn w:val="1"/>
    <w:link w:val="174"/>
    <w:qFormat/>
    <w:uiPriority w:val="99"/>
    <w:pPr>
      <w:tabs>
        <w:tab w:val="center" w:pos="4153"/>
        <w:tab w:val="right" w:pos="8306"/>
      </w:tabs>
      <w:snapToGrid w:val="0"/>
      <w:jc w:val="left"/>
    </w:pPr>
    <w:rPr>
      <w:sz w:val="18"/>
      <w:szCs w:val="18"/>
    </w:rPr>
  </w:style>
  <w:style w:type="paragraph" w:styleId="44">
    <w:name w:val="header"/>
    <w:basedOn w:val="1"/>
    <w:link w:val="157"/>
    <w:qFormat/>
    <w:uiPriority w:val="99"/>
    <w:pPr>
      <w:pBdr>
        <w:bottom w:val="single" w:color="auto" w:sz="6" w:space="1"/>
      </w:pBdr>
      <w:tabs>
        <w:tab w:val="center" w:pos="4153"/>
        <w:tab w:val="right" w:pos="8306"/>
      </w:tabs>
      <w:snapToGrid w:val="0"/>
      <w:jc w:val="center"/>
    </w:pPr>
    <w:rPr>
      <w:sz w:val="18"/>
      <w:szCs w:val="18"/>
    </w:rPr>
  </w:style>
  <w:style w:type="paragraph" w:styleId="45">
    <w:name w:val="Signature"/>
    <w:basedOn w:val="1"/>
    <w:link w:val="149"/>
    <w:qFormat/>
    <w:uiPriority w:val="0"/>
    <w:pPr>
      <w:widowControl/>
      <w:ind w:left="100" w:leftChars="2100"/>
      <w:jc w:val="left"/>
    </w:pPr>
    <w:rPr>
      <w:kern w:val="0"/>
      <w:sz w:val="20"/>
      <w:szCs w:val="20"/>
    </w:rPr>
  </w:style>
  <w:style w:type="paragraph" w:styleId="46">
    <w:name w:val="toc 1"/>
    <w:basedOn w:val="1"/>
    <w:next w:val="1"/>
    <w:qFormat/>
    <w:uiPriority w:val="39"/>
    <w:pPr>
      <w:tabs>
        <w:tab w:val="right" w:leader="dot" w:pos="9060"/>
      </w:tabs>
      <w:spacing w:line="400" w:lineRule="exact"/>
    </w:pPr>
    <w:rPr>
      <w:rFonts w:ascii="宋体" w:hAnsi="宋体"/>
      <w:caps/>
      <w:sz w:val="24"/>
    </w:rPr>
  </w:style>
  <w:style w:type="paragraph" w:styleId="47">
    <w:name w:val="toc 4"/>
    <w:basedOn w:val="1"/>
    <w:next w:val="1"/>
    <w:qFormat/>
    <w:uiPriority w:val="0"/>
    <w:pPr>
      <w:ind w:left="630"/>
      <w:jc w:val="left"/>
    </w:pPr>
    <w:rPr>
      <w:sz w:val="18"/>
      <w:szCs w:val="20"/>
    </w:rPr>
  </w:style>
  <w:style w:type="paragraph" w:styleId="48">
    <w:name w:val="index heading"/>
    <w:basedOn w:val="1"/>
    <w:next w:val="49"/>
    <w:qFormat/>
    <w:uiPriority w:val="0"/>
    <w:rPr>
      <w:szCs w:val="20"/>
    </w:rPr>
  </w:style>
  <w:style w:type="paragraph" w:styleId="49">
    <w:name w:val="index 1"/>
    <w:basedOn w:val="1"/>
    <w:next w:val="1"/>
    <w:qFormat/>
    <w:uiPriority w:val="0"/>
    <w:rPr>
      <w:szCs w:val="20"/>
    </w:rPr>
  </w:style>
  <w:style w:type="paragraph" w:styleId="50">
    <w:name w:val="List"/>
    <w:basedOn w:val="1"/>
    <w:qFormat/>
    <w:uiPriority w:val="0"/>
    <w:pPr>
      <w:ind w:left="420" w:hanging="420"/>
    </w:pPr>
    <w:rPr>
      <w:rFonts w:eastAsia="楷体_GB2312"/>
      <w:sz w:val="32"/>
      <w:szCs w:val="20"/>
    </w:rPr>
  </w:style>
  <w:style w:type="paragraph" w:styleId="51">
    <w:name w:val="footnote text"/>
    <w:basedOn w:val="1"/>
    <w:link w:val="192"/>
    <w:qFormat/>
    <w:uiPriority w:val="0"/>
    <w:pPr>
      <w:widowControl/>
      <w:jc w:val="left"/>
    </w:pPr>
    <w:rPr>
      <w:kern w:val="0"/>
      <w:sz w:val="20"/>
      <w:szCs w:val="20"/>
      <w:lang w:eastAsia="en-US"/>
    </w:rPr>
  </w:style>
  <w:style w:type="paragraph" w:styleId="52">
    <w:name w:val="toc 6"/>
    <w:basedOn w:val="1"/>
    <w:next w:val="1"/>
    <w:qFormat/>
    <w:uiPriority w:val="0"/>
    <w:pPr>
      <w:ind w:left="1050"/>
      <w:jc w:val="left"/>
    </w:pPr>
    <w:rPr>
      <w:sz w:val="18"/>
      <w:szCs w:val="20"/>
    </w:rPr>
  </w:style>
  <w:style w:type="paragraph" w:styleId="53">
    <w:name w:val="List 5"/>
    <w:basedOn w:val="1"/>
    <w:qFormat/>
    <w:uiPriority w:val="0"/>
    <w:pPr>
      <w:ind w:left="2100" w:hanging="420"/>
    </w:pPr>
    <w:rPr>
      <w:rFonts w:eastAsia="楷体_GB2312"/>
      <w:sz w:val="32"/>
      <w:szCs w:val="20"/>
    </w:rPr>
  </w:style>
  <w:style w:type="paragraph" w:styleId="54">
    <w:name w:val="Body Text Indent 3"/>
    <w:basedOn w:val="1"/>
    <w:link w:val="193"/>
    <w:qFormat/>
    <w:uiPriority w:val="0"/>
    <w:pPr>
      <w:ind w:left="425"/>
    </w:pPr>
    <w:rPr>
      <w:rFonts w:eastAsia="楷体_GB2312"/>
      <w:sz w:val="28"/>
    </w:rPr>
  </w:style>
  <w:style w:type="paragraph" w:styleId="55">
    <w:name w:val="toc 2"/>
    <w:basedOn w:val="1"/>
    <w:next w:val="1"/>
    <w:qFormat/>
    <w:uiPriority w:val="39"/>
    <w:pPr>
      <w:ind w:left="420" w:leftChars="200"/>
    </w:pPr>
  </w:style>
  <w:style w:type="paragraph" w:styleId="56">
    <w:name w:val="toc 9"/>
    <w:basedOn w:val="1"/>
    <w:next w:val="1"/>
    <w:qFormat/>
    <w:uiPriority w:val="0"/>
    <w:pPr>
      <w:ind w:left="1680"/>
      <w:jc w:val="left"/>
    </w:pPr>
    <w:rPr>
      <w:sz w:val="18"/>
      <w:szCs w:val="20"/>
    </w:rPr>
  </w:style>
  <w:style w:type="paragraph" w:styleId="57">
    <w:name w:val="List 4"/>
    <w:basedOn w:val="1"/>
    <w:qFormat/>
    <w:uiPriority w:val="0"/>
    <w:pPr>
      <w:ind w:left="1680" w:hanging="420"/>
    </w:pPr>
    <w:rPr>
      <w:rFonts w:eastAsia="楷体_GB2312"/>
      <w:sz w:val="32"/>
      <w:szCs w:val="20"/>
    </w:rPr>
  </w:style>
  <w:style w:type="paragraph" w:styleId="58">
    <w:name w:val="List Continue 2"/>
    <w:basedOn w:val="1"/>
    <w:qFormat/>
    <w:uiPriority w:val="0"/>
    <w:pPr>
      <w:spacing w:after="120"/>
      <w:ind w:left="840" w:leftChars="400"/>
      <w:jc w:val="left"/>
    </w:pPr>
    <w:rPr>
      <w:sz w:val="24"/>
    </w:rPr>
  </w:style>
  <w:style w:type="paragraph" w:styleId="59">
    <w:name w:val="HTML Preformatted"/>
    <w:basedOn w:val="1"/>
    <w:link w:val="32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cs="Courier New"/>
      <w:kern w:val="0"/>
      <w:sz w:val="20"/>
      <w:szCs w:val="20"/>
    </w:rPr>
  </w:style>
  <w:style w:type="paragraph" w:styleId="60">
    <w:name w:val="Normal (Web)"/>
    <w:basedOn w:val="1"/>
    <w:qFormat/>
    <w:uiPriority w:val="99"/>
    <w:rPr>
      <w:rFonts w:eastAsia="仿宋_GB2312"/>
      <w:sz w:val="24"/>
    </w:rPr>
  </w:style>
  <w:style w:type="paragraph" w:styleId="61">
    <w:name w:val="Title"/>
    <w:basedOn w:val="1"/>
    <w:link w:val="223"/>
    <w:qFormat/>
    <w:uiPriority w:val="0"/>
    <w:pPr>
      <w:spacing w:before="240" w:after="60"/>
      <w:jc w:val="center"/>
      <w:outlineLvl w:val="0"/>
    </w:pPr>
    <w:rPr>
      <w:rFonts w:ascii="Arial" w:hAnsi="Arial" w:eastAsia="隶书"/>
      <w:b/>
      <w:sz w:val="32"/>
      <w:szCs w:val="20"/>
    </w:rPr>
  </w:style>
  <w:style w:type="paragraph" w:styleId="62">
    <w:name w:val="annotation subject"/>
    <w:basedOn w:val="27"/>
    <w:next w:val="27"/>
    <w:link w:val="198"/>
    <w:qFormat/>
    <w:uiPriority w:val="0"/>
    <w:rPr>
      <w:b/>
      <w:bCs/>
    </w:rPr>
  </w:style>
  <w:style w:type="table" w:styleId="64">
    <w:name w:val="Table Grid"/>
    <w:basedOn w:val="6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6">
    <w:name w:val="Strong"/>
    <w:basedOn w:val="65"/>
    <w:qFormat/>
    <w:uiPriority w:val="0"/>
    <w:rPr>
      <w:b/>
      <w:bCs/>
    </w:rPr>
  </w:style>
  <w:style w:type="character" w:styleId="67">
    <w:name w:val="endnote reference"/>
    <w:qFormat/>
    <w:uiPriority w:val="0"/>
    <w:rPr>
      <w:rFonts w:cs="Times New Roman"/>
      <w:vertAlign w:val="superscript"/>
    </w:rPr>
  </w:style>
  <w:style w:type="character" w:styleId="68">
    <w:name w:val="page number"/>
    <w:basedOn w:val="65"/>
    <w:qFormat/>
    <w:uiPriority w:val="0"/>
  </w:style>
  <w:style w:type="character" w:styleId="69">
    <w:name w:val="FollowedHyperlink"/>
    <w:basedOn w:val="65"/>
    <w:qFormat/>
    <w:uiPriority w:val="0"/>
    <w:rPr>
      <w:color w:val="800080"/>
      <w:u w:val="single"/>
    </w:rPr>
  </w:style>
  <w:style w:type="character" w:styleId="70">
    <w:name w:val="Emphasis"/>
    <w:basedOn w:val="65"/>
    <w:qFormat/>
    <w:uiPriority w:val="0"/>
    <w:rPr>
      <w:i/>
    </w:rPr>
  </w:style>
  <w:style w:type="character" w:styleId="71">
    <w:name w:val="HTML Definition"/>
    <w:basedOn w:val="65"/>
    <w:qFormat/>
    <w:uiPriority w:val="0"/>
  </w:style>
  <w:style w:type="character" w:styleId="72">
    <w:name w:val="HTML Typewriter"/>
    <w:basedOn w:val="65"/>
    <w:qFormat/>
    <w:uiPriority w:val="0"/>
    <w:rPr>
      <w:rFonts w:hint="eastAsia" w:ascii="宋体" w:hAnsi="宋体" w:eastAsia="宋体" w:cs="宋体"/>
      <w:sz w:val="18"/>
      <w:szCs w:val="18"/>
    </w:rPr>
  </w:style>
  <w:style w:type="character" w:styleId="73">
    <w:name w:val="HTML Acronym"/>
    <w:basedOn w:val="65"/>
    <w:qFormat/>
    <w:uiPriority w:val="0"/>
  </w:style>
  <w:style w:type="character" w:styleId="74">
    <w:name w:val="HTML Variable"/>
    <w:basedOn w:val="65"/>
    <w:qFormat/>
    <w:uiPriority w:val="0"/>
  </w:style>
  <w:style w:type="character" w:styleId="75">
    <w:name w:val="Hyperlink"/>
    <w:qFormat/>
    <w:uiPriority w:val="99"/>
    <w:rPr>
      <w:color w:val="0000FF"/>
      <w:u w:val="single"/>
    </w:rPr>
  </w:style>
  <w:style w:type="character" w:styleId="76">
    <w:name w:val="HTML Code"/>
    <w:basedOn w:val="65"/>
    <w:qFormat/>
    <w:uiPriority w:val="0"/>
    <w:rPr>
      <w:rFonts w:ascii="monospace" w:hAnsi="monospace" w:eastAsia="monospace" w:cs="monospace"/>
      <w:sz w:val="24"/>
      <w:szCs w:val="24"/>
    </w:rPr>
  </w:style>
  <w:style w:type="character" w:styleId="77">
    <w:name w:val="annotation reference"/>
    <w:qFormat/>
    <w:uiPriority w:val="0"/>
    <w:rPr>
      <w:sz w:val="21"/>
      <w:szCs w:val="21"/>
    </w:rPr>
  </w:style>
  <w:style w:type="character" w:styleId="78">
    <w:name w:val="HTML Cite"/>
    <w:basedOn w:val="65"/>
    <w:qFormat/>
    <w:uiPriority w:val="0"/>
  </w:style>
  <w:style w:type="character" w:styleId="79">
    <w:name w:val="footnote reference"/>
    <w:qFormat/>
    <w:uiPriority w:val="0"/>
    <w:rPr>
      <w:rFonts w:cs="Times New Roman"/>
      <w:vertAlign w:val="superscript"/>
    </w:rPr>
  </w:style>
  <w:style w:type="character" w:styleId="80">
    <w:name w:val="HTML Keyboard"/>
    <w:basedOn w:val="65"/>
    <w:qFormat/>
    <w:uiPriority w:val="0"/>
    <w:rPr>
      <w:rFonts w:hint="default" w:ascii="monospace" w:hAnsi="monospace" w:eastAsia="monospace" w:cs="monospace"/>
      <w:sz w:val="24"/>
      <w:szCs w:val="24"/>
    </w:rPr>
  </w:style>
  <w:style w:type="character" w:styleId="81">
    <w:name w:val="HTML Sample"/>
    <w:qFormat/>
    <w:uiPriority w:val="0"/>
    <w:rPr>
      <w:rFonts w:ascii="Courier New" w:hAnsi="Courier New" w:cs="Times New Roman"/>
    </w:rPr>
  </w:style>
  <w:style w:type="character" w:customStyle="1" w:styleId="82">
    <w:name w:val="ca-112"/>
    <w:basedOn w:val="65"/>
    <w:qFormat/>
    <w:uiPriority w:val="0"/>
  </w:style>
  <w:style w:type="character" w:customStyle="1" w:styleId="83">
    <w:name w:val="标题 3 Char"/>
    <w:link w:val="10"/>
    <w:qFormat/>
    <w:uiPriority w:val="0"/>
    <w:rPr>
      <w:rFonts w:eastAsia="宋体"/>
      <w:b/>
      <w:bCs/>
      <w:kern w:val="2"/>
      <w:sz w:val="32"/>
      <w:szCs w:val="32"/>
      <w:lang w:val="en-US" w:eastAsia="zh-CN" w:bidi="ar-SA"/>
    </w:rPr>
  </w:style>
  <w:style w:type="character" w:customStyle="1" w:styleId="84">
    <w:name w:val="tpc_content1"/>
    <w:qFormat/>
    <w:uiPriority w:val="0"/>
    <w:rPr>
      <w:sz w:val="20"/>
      <w:szCs w:val="20"/>
    </w:rPr>
  </w:style>
  <w:style w:type="character" w:customStyle="1" w:styleId="85">
    <w:name w:val="f141"/>
    <w:qFormat/>
    <w:uiPriority w:val="0"/>
    <w:rPr>
      <w:sz w:val="21"/>
      <w:szCs w:val="21"/>
    </w:rPr>
  </w:style>
  <w:style w:type="character" w:customStyle="1" w:styleId="86">
    <w:name w:val="纯文本 Char1"/>
    <w:basedOn w:val="65"/>
    <w:link w:val="37"/>
    <w:qFormat/>
    <w:uiPriority w:val="0"/>
    <w:rPr>
      <w:rFonts w:ascii="宋体" w:hAnsi="Courier New" w:eastAsia="宋体"/>
      <w:sz w:val="21"/>
      <w:szCs w:val="21"/>
      <w:lang w:val="en-US" w:eastAsia="zh-CN" w:bidi="ar-SA"/>
    </w:rPr>
  </w:style>
  <w:style w:type="character" w:customStyle="1" w:styleId="87">
    <w:name w:val="main_tdbg_760"/>
    <w:basedOn w:val="65"/>
    <w:qFormat/>
    <w:uiPriority w:val="0"/>
  </w:style>
  <w:style w:type="paragraph" w:customStyle="1" w:styleId="88">
    <w:name w:val="pa-34"/>
    <w:basedOn w:val="1"/>
    <w:qFormat/>
    <w:uiPriority w:val="0"/>
    <w:pPr>
      <w:widowControl/>
      <w:spacing w:before="100" w:beforeAutospacing="1" w:after="100" w:afterAutospacing="1"/>
      <w:jc w:val="left"/>
    </w:pPr>
    <w:rPr>
      <w:rFonts w:ascii="宋体" w:hAnsi="宋体" w:cs="宋体"/>
      <w:kern w:val="0"/>
      <w:sz w:val="24"/>
    </w:rPr>
  </w:style>
  <w:style w:type="paragraph" w:customStyle="1" w:styleId="89">
    <w:name w:val="标题4"/>
    <w:basedOn w:val="1"/>
    <w:qFormat/>
    <w:uiPriority w:val="0"/>
    <w:pPr>
      <w:widowControl/>
      <w:snapToGrid w:val="0"/>
      <w:spacing w:line="500" w:lineRule="exact"/>
      <w:ind w:firstLine="641"/>
      <w:jc w:val="left"/>
    </w:pPr>
    <w:rPr>
      <w:rFonts w:ascii="Verdana" w:hAnsi="Verdana" w:eastAsia="黑体"/>
      <w:b/>
      <w:kern w:val="0"/>
      <w:sz w:val="32"/>
      <w:szCs w:val="32"/>
      <w:lang w:eastAsia="en-US"/>
    </w:rPr>
  </w:style>
  <w:style w:type="paragraph" w:styleId="90">
    <w:name w:val="List Paragraph"/>
    <w:basedOn w:val="1"/>
    <w:qFormat/>
    <w:uiPriority w:val="99"/>
    <w:pPr>
      <w:ind w:firstLine="420" w:firstLineChars="200"/>
    </w:pPr>
    <w:rPr>
      <w:rFonts w:ascii="Calibri" w:hAnsi="Calibri"/>
      <w:szCs w:val="22"/>
    </w:rPr>
  </w:style>
  <w:style w:type="paragraph" w:customStyle="1" w:styleId="91">
    <w:name w:val="默认段落字体 Para Char Char Char Char Char Char Char Char Char Char"/>
    <w:basedOn w:val="25"/>
    <w:qFormat/>
    <w:uiPriority w:val="0"/>
    <w:rPr>
      <w:rFonts w:ascii="Tahoma" w:hAnsi="Tahoma"/>
      <w:sz w:val="24"/>
    </w:rPr>
  </w:style>
  <w:style w:type="paragraph" w:customStyle="1" w:styleId="92">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93">
    <w:name w:val="Char Char Char"/>
    <w:basedOn w:val="1"/>
    <w:qFormat/>
    <w:uiPriority w:val="0"/>
    <w:rPr>
      <w:rFonts w:ascii="Tahoma" w:hAnsi="Tahoma"/>
      <w:sz w:val="24"/>
      <w:szCs w:val="20"/>
    </w:rPr>
  </w:style>
  <w:style w:type="paragraph" w:customStyle="1" w:styleId="94">
    <w:name w:val="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95">
    <w:name w:val="Char121"/>
    <w:basedOn w:val="1"/>
    <w:qFormat/>
    <w:uiPriority w:val="0"/>
    <w:rPr>
      <w:rFonts w:ascii="仿宋_GB2312" w:eastAsia="仿宋_GB2312"/>
      <w:b/>
      <w:sz w:val="32"/>
      <w:szCs w:val="32"/>
    </w:rPr>
  </w:style>
  <w:style w:type="paragraph" w:customStyle="1" w:styleId="96">
    <w:name w:val="普通 (Web)"/>
    <w:basedOn w:val="1"/>
    <w:qFormat/>
    <w:uiPriority w:val="0"/>
    <w:pPr>
      <w:widowControl/>
      <w:spacing w:before="100" w:after="100"/>
      <w:jc w:val="left"/>
    </w:pPr>
    <w:rPr>
      <w:rFonts w:ascii="Arial Unicode MS" w:hAnsi="Arial Unicode MS" w:eastAsia="Arial Unicode MS"/>
      <w:kern w:val="0"/>
      <w:sz w:val="24"/>
      <w:szCs w:val="20"/>
    </w:rPr>
  </w:style>
  <w:style w:type="paragraph" w:customStyle="1" w:styleId="97">
    <w:name w:val="Char1 Char Char Char Char Char Char Char Char Char Char Char Char Char Char Char Char Char Char"/>
    <w:basedOn w:val="1"/>
    <w:qFormat/>
    <w:uiPriority w:val="0"/>
  </w:style>
  <w:style w:type="character" w:customStyle="1" w:styleId="98">
    <w:name w:val="font31"/>
    <w:basedOn w:val="65"/>
    <w:qFormat/>
    <w:uiPriority w:val="0"/>
    <w:rPr>
      <w:rFonts w:hint="eastAsia" w:ascii="宋体" w:hAnsi="宋体" w:eastAsia="宋体" w:cs="宋体"/>
      <w:color w:val="000000"/>
      <w:sz w:val="18"/>
      <w:szCs w:val="18"/>
      <w:u w:val="none"/>
    </w:rPr>
  </w:style>
  <w:style w:type="character" w:customStyle="1" w:styleId="99">
    <w:name w:val="标题 4 Char"/>
    <w:basedOn w:val="65"/>
    <w:link w:val="11"/>
    <w:qFormat/>
    <w:uiPriority w:val="0"/>
    <w:rPr>
      <w:kern w:val="2"/>
      <w:sz w:val="32"/>
    </w:rPr>
  </w:style>
  <w:style w:type="character" w:customStyle="1" w:styleId="100">
    <w:name w:val="标题 5 Char"/>
    <w:basedOn w:val="65"/>
    <w:link w:val="12"/>
    <w:qFormat/>
    <w:uiPriority w:val="0"/>
    <w:rPr>
      <w:rFonts w:ascii="Arial" w:hAnsi="Arial"/>
      <w:b/>
      <w:kern w:val="2"/>
      <w:sz w:val="28"/>
    </w:rPr>
  </w:style>
  <w:style w:type="character" w:customStyle="1" w:styleId="101">
    <w:name w:val="标题 6 Char"/>
    <w:basedOn w:val="65"/>
    <w:link w:val="13"/>
    <w:qFormat/>
    <w:uiPriority w:val="0"/>
    <w:rPr>
      <w:rFonts w:ascii="宋体" w:hAnsi="宋体"/>
      <w:b/>
      <w:kern w:val="2"/>
      <w:sz w:val="24"/>
    </w:rPr>
  </w:style>
  <w:style w:type="character" w:customStyle="1" w:styleId="102">
    <w:name w:val="标题 7 Char"/>
    <w:basedOn w:val="65"/>
    <w:link w:val="14"/>
    <w:qFormat/>
    <w:uiPriority w:val="0"/>
    <w:rPr>
      <w:rFonts w:ascii="宋体" w:eastAsia="仿宋_GB2312"/>
      <w:b/>
      <w:sz w:val="24"/>
    </w:rPr>
  </w:style>
  <w:style w:type="character" w:customStyle="1" w:styleId="103">
    <w:name w:val="标题 8 Char"/>
    <w:basedOn w:val="65"/>
    <w:link w:val="15"/>
    <w:qFormat/>
    <w:uiPriority w:val="0"/>
    <w:rPr>
      <w:rFonts w:ascii="Arial" w:hAnsi="Arial" w:eastAsia="黑体"/>
      <w:sz w:val="24"/>
    </w:rPr>
  </w:style>
  <w:style w:type="character" w:customStyle="1" w:styleId="104">
    <w:name w:val="标题 9 Char"/>
    <w:basedOn w:val="65"/>
    <w:link w:val="16"/>
    <w:qFormat/>
    <w:uiPriority w:val="0"/>
    <w:rPr>
      <w:rFonts w:ascii="Arial" w:hAnsi="Arial" w:eastAsia="黑体"/>
      <w:sz w:val="28"/>
    </w:rPr>
  </w:style>
  <w:style w:type="character" w:customStyle="1" w:styleId="105">
    <w:name w:val="称呼 Char1"/>
    <w:basedOn w:val="65"/>
    <w:qFormat/>
    <w:uiPriority w:val="0"/>
    <w:rPr>
      <w:kern w:val="2"/>
      <w:sz w:val="21"/>
      <w:szCs w:val="24"/>
    </w:rPr>
  </w:style>
  <w:style w:type="character" w:customStyle="1" w:styleId="106">
    <w:name w:val="tip8"/>
    <w:basedOn w:val="65"/>
    <w:qFormat/>
    <w:uiPriority w:val="0"/>
    <w:rPr>
      <w:vanish/>
      <w:color w:val="FF0000"/>
      <w:sz w:val="18"/>
      <w:szCs w:val="18"/>
    </w:rPr>
  </w:style>
  <w:style w:type="character" w:customStyle="1" w:styleId="107">
    <w:name w:val="标题 3 Char Char"/>
    <w:qFormat/>
    <w:uiPriority w:val="0"/>
    <w:rPr>
      <w:rFonts w:ascii="宋体" w:hAnsi="宋体" w:cs="Arial"/>
    </w:rPr>
  </w:style>
  <w:style w:type="character" w:customStyle="1" w:styleId="108">
    <w:name w:val="标题 1 Char"/>
    <w:basedOn w:val="65"/>
    <w:link w:val="8"/>
    <w:qFormat/>
    <w:uiPriority w:val="0"/>
    <w:rPr>
      <w:rFonts w:eastAsia="楷体_GB2312"/>
      <w:b/>
      <w:bCs/>
      <w:kern w:val="44"/>
      <w:sz w:val="32"/>
      <w:szCs w:val="44"/>
    </w:rPr>
  </w:style>
  <w:style w:type="character" w:customStyle="1" w:styleId="109">
    <w:name w:val="Body Text Indent 2 Char"/>
    <w:qFormat/>
    <w:locked/>
    <w:uiPriority w:val="0"/>
    <w:rPr>
      <w:rFonts w:ascii="Times New Roman" w:hAnsi="Times New Roman" w:eastAsia="宋体" w:cs="Times New Roman"/>
      <w:sz w:val="24"/>
      <w:szCs w:val="24"/>
    </w:rPr>
  </w:style>
  <w:style w:type="character" w:customStyle="1" w:styleId="110">
    <w:name w:val="text11"/>
    <w:basedOn w:val="65"/>
    <w:qFormat/>
    <w:uiPriority w:val="0"/>
    <w:rPr>
      <w:rFonts w:hint="default" w:ascii="Verdana" w:hAnsi="Verdana"/>
      <w:color w:val="4E4E4E"/>
      <w:spacing w:val="270"/>
      <w:sz w:val="18"/>
      <w:szCs w:val="18"/>
    </w:rPr>
  </w:style>
  <w:style w:type="character" w:customStyle="1" w:styleId="111">
    <w:name w:val="样式 标题 3h3Heading 3 -Level 3 HeadH + 段前: 0 磅 段后: 0 磅 Char Char"/>
    <w:link w:val="112"/>
    <w:qFormat/>
    <w:locked/>
    <w:uiPriority w:val="0"/>
    <w:rPr>
      <w:rFonts w:cs="宋体"/>
      <w:b/>
      <w:bCs/>
      <w:kern w:val="2"/>
      <w:sz w:val="24"/>
      <w:szCs w:val="24"/>
    </w:rPr>
  </w:style>
  <w:style w:type="paragraph" w:customStyle="1" w:styleId="112">
    <w:name w:val="样式 标题 3h3Heading 3 -Level 3 HeadH + 段前: 0 磅 段后: 0 磅"/>
    <w:basedOn w:val="10"/>
    <w:link w:val="111"/>
    <w:qFormat/>
    <w:uiPriority w:val="0"/>
    <w:pPr>
      <w:widowControl/>
      <w:tabs>
        <w:tab w:val="left" w:pos="735"/>
        <w:tab w:val="left" w:pos="780"/>
      </w:tabs>
      <w:adjustRightInd w:val="0"/>
      <w:spacing w:beforeLines="50" w:afterLines="50" w:line="240" w:lineRule="auto"/>
      <w:ind w:left="735" w:hanging="735"/>
      <w:jc w:val="left"/>
      <w:textAlignment w:val="baseline"/>
    </w:pPr>
    <w:rPr>
      <w:sz w:val="24"/>
      <w:szCs w:val="24"/>
    </w:rPr>
  </w:style>
  <w:style w:type="character" w:customStyle="1" w:styleId="113">
    <w:name w:val="style191"/>
    <w:qFormat/>
    <w:uiPriority w:val="0"/>
    <w:rPr>
      <w:rFonts w:ascii="Arial" w:hAnsi="Arial" w:cs="Arial"/>
      <w:b/>
      <w:bCs/>
      <w:color w:val="888888"/>
      <w:sz w:val="21"/>
      <w:szCs w:val="21"/>
    </w:rPr>
  </w:style>
  <w:style w:type="character" w:customStyle="1" w:styleId="114">
    <w:name w:val="style51"/>
    <w:basedOn w:val="65"/>
    <w:qFormat/>
    <w:uiPriority w:val="0"/>
    <w:rPr>
      <w:color w:val="000000"/>
      <w:sz w:val="18"/>
      <w:szCs w:val="18"/>
    </w:rPr>
  </w:style>
  <w:style w:type="character" w:customStyle="1" w:styleId="115">
    <w:name w:val="批注文字 Char"/>
    <w:basedOn w:val="65"/>
    <w:qFormat/>
    <w:uiPriority w:val="0"/>
    <w:rPr>
      <w:kern w:val="2"/>
      <w:sz w:val="21"/>
      <w:szCs w:val="24"/>
      <w:lang w:bidi="ar-SA"/>
    </w:rPr>
  </w:style>
  <w:style w:type="character" w:customStyle="1" w:styleId="116">
    <w:name w:val="bds_more"/>
    <w:basedOn w:val="65"/>
    <w:qFormat/>
    <w:uiPriority w:val="0"/>
  </w:style>
  <w:style w:type="character" w:customStyle="1" w:styleId="117">
    <w:name w:val="location1"/>
    <w:basedOn w:val="65"/>
    <w:qFormat/>
    <w:uiPriority w:val="0"/>
    <w:rPr>
      <w:rFonts w:hint="default" w:ascii="Verdana" w:hAnsi="Verdana"/>
      <w:sz w:val="20"/>
      <w:szCs w:val="20"/>
    </w:rPr>
  </w:style>
  <w:style w:type="character" w:customStyle="1" w:styleId="118">
    <w:name w:val="bds_nopic"/>
    <w:basedOn w:val="65"/>
    <w:qFormat/>
    <w:uiPriority w:val="0"/>
  </w:style>
  <w:style w:type="character" w:customStyle="1" w:styleId="119">
    <w:name w:val="Char Char1"/>
    <w:basedOn w:val="65"/>
    <w:qFormat/>
    <w:uiPriority w:val="0"/>
    <w:rPr>
      <w:sz w:val="18"/>
    </w:rPr>
  </w:style>
  <w:style w:type="character" w:customStyle="1" w:styleId="120">
    <w:name w:val="hui3"/>
    <w:qFormat/>
    <w:uiPriority w:val="0"/>
    <w:rPr>
      <w:color w:val="333333"/>
    </w:rPr>
  </w:style>
  <w:style w:type="character" w:customStyle="1" w:styleId="121">
    <w:name w:val="文档结构图 Char"/>
    <w:link w:val="25"/>
    <w:qFormat/>
    <w:uiPriority w:val="0"/>
    <w:rPr>
      <w:kern w:val="2"/>
      <w:sz w:val="21"/>
      <w:szCs w:val="24"/>
      <w:shd w:val="clear" w:color="auto" w:fill="000080"/>
    </w:rPr>
  </w:style>
  <w:style w:type="character" w:customStyle="1" w:styleId="122">
    <w:name w:val="Normal Indent Char"/>
    <w:qFormat/>
    <w:locked/>
    <w:uiPriority w:val="0"/>
    <w:rPr>
      <w:rFonts w:ascii="Plotter" w:hAnsi="Plotter" w:eastAsia="宋体" w:cs="Times New Roman"/>
      <w:sz w:val="24"/>
      <w:szCs w:val="24"/>
    </w:rPr>
  </w:style>
  <w:style w:type="character" w:customStyle="1" w:styleId="123">
    <w:name w:val="正文文本 2 Char"/>
    <w:link w:val="4"/>
    <w:qFormat/>
    <w:uiPriority w:val="0"/>
    <w:rPr>
      <w:rFonts w:ascii="楷体_GB2312" w:eastAsia="楷体_GB2312"/>
      <w:b/>
      <w:kern w:val="2"/>
      <w:sz w:val="36"/>
      <w:szCs w:val="48"/>
    </w:rPr>
  </w:style>
  <w:style w:type="character" w:customStyle="1" w:styleId="124">
    <w:name w:val="Heading 3 Char Char"/>
    <w:qFormat/>
    <w:locked/>
    <w:uiPriority w:val="0"/>
    <w:rPr>
      <w:rFonts w:ascii="Plotter" w:hAnsi="Plotter" w:eastAsia="宋体" w:cs="Plotter"/>
      <w:b/>
      <w:bCs/>
      <w:sz w:val="32"/>
      <w:szCs w:val="32"/>
    </w:rPr>
  </w:style>
  <w:style w:type="character" w:customStyle="1" w:styleId="125">
    <w:name w:val="Char Char Char Char Char Char Char Char Char Char Char Char Char"/>
    <w:basedOn w:val="65"/>
    <w:qFormat/>
    <w:uiPriority w:val="0"/>
    <w:rPr>
      <w:kern w:val="2"/>
      <w:sz w:val="18"/>
      <w:szCs w:val="18"/>
    </w:rPr>
  </w:style>
  <w:style w:type="character" w:customStyle="1" w:styleId="126">
    <w:name w:val="Anrede1IhrZeichen"/>
    <w:qFormat/>
    <w:uiPriority w:val="0"/>
    <w:rPr>
      <w:rFonts w:ascii="Arial" w:hAnsi="Arial"/>
      <w:sz w:val="20"/>
    </w:rPr>
  </w:style>
  <w:style w:type="character" w:customStyle="1" w:styleId="127">
    <w:name w:val="ui-bz-bg-hover1"/>
    <w:basedOn w:val="65"/>
    <w:qFormat/>
    <w:uiPriority w:val="0"/>
  </w:style>
  <w:style w:type="character" w:customStyle="1" w:styleId="128">
    <w:name w:val="font91"/>
    <w:qFormat/>
    <w:uiPriority w:val="0"/>
    <w:rPr>
      <w:rFonts w:cs="Times New Roman"/>
      <w:color w:val="000000"/>
      <w:sz w:val="18"/>
      <w:szCs w:val="18"/>
    </w:rPr>
  </w:style>
  <w:style w:type="character" w:customStyle="1" w:styleId="129">
    <w:name w:val="文字 Char Char"/>
    <w:link w:val="130"/>
    <w:qFormat/>
    <w:locked/>
    <w:uiPriority w:val="0"/>
    <w:rPr>
      <w:rFonts w:ascii="宋体" w:hAnsi="宋体"/>
      <w:sz w:val="28"/>
    </w:rPr>
  </w:style>
  <w:style w:type="paragraph" w:customStyle="1" w:styleId="130">
    <w:name w:val="文字"/>
    <w:basedOn w:val="1"/>
    <w:link w:val="129"/>
    <w:qFormat/>
    <w:uiPriority w:val="0"/>
    <w:pPr>
      <w:tabs>
        <w:tab w:val="left" w:pos="8520"/>
      </w:tabs>
      <w:spacing w:line="312" w:lineRule="auto"/>
      <w:ind w:right="-210" w:firstLine="556"/>
      <w:jc w:val="left"/>
    </w:pPr>
    <w:rPr>
      <w:rFonts w:ascii="宋体" w:hAnsi="宋体"/>
      <w:kern w:val="0"/>
      <w:sz w:val="28"/>
      <w:szCs w:val="20"/>
    </w:rPr>
  </w:style>
  <w:style w:type="character" w:customStyle="1" w:styleId="131">
    <w:name w:val="c13px1"/>
    <w:qFormat/>
    <w:uiPriority w:val="0"/>
    <w:rPr>
      <w:rFonts w:cs="Times New Roman"/>
      <w:spacing w:val="480"/>
      <w:sz w:val="20"/>
      <w:szCs w:val="20"/>
    </w:rPr>
  </w:style>
  <w:style w:type="character" w:customStyle="1" w:styleId="132">
    <w:name w:val="标题 1 Char Char"/>
    <w:qFormat/>
    <w:uiPriority w:val="0"/>
    <w:rPr>
      <w:rFonts w:hint="default" w:ascii="Times New Roman" w:hAnsi="Times New Roman" w:cs="Times New Roman"/>
      <w:b/>
      <w:kern w:val="44"/>
      <w:sz w:val="44"/>
    </w:rPr>
  </w:style>
  <w:style w:type="character" w:customStyle="1" w:styleId="133">
    <w:name w:val="正文文本缩进 Char Char"/>
    <w:qFormat/>
    <w:uiPriority w:val="0"/>
    <w:rPr>
      <w:rFonts w:eastAsia="宋体"/>
      <w:kern w:val="2"/>
      <w:sz w:val="24"/>
      <w:lang w:val="en-US" w:eastAsia="zh-CN" w:bidi="ar-SA"/>
    </w:rPr>
  </w:style>
  <w:style w:type="character" w:customStyle="1" w:styleId="134">
    <w:name w:val="no52"/>
    <w:basedOn w:val="65"/>
    <w:qFormat/>
    <w:uiPriority w:val="0"/>
  </w:style>
  <w:style w:type="character" w:customStyle="1" w:styleId="135">
    <w:name w:val="style41"/>
    <w:qFormat/>
    <w:uiPriority w:val="0"/>
    <w:rPr>
      <w:rFonts w:hint="eastAsia" w:ascii="新宋体" w:hAnsi="新宋体" w:eastAsia="新宋体"/>
      <w:sz w:val="21"/>
      <w:szCs w:val="21"/>
    </w:rPr>
  </w:style>
  <w:style w:type="character" w:customStyle="1" w:styleId="136">
    <w:name w:val="f-star"/>
    <w:basedOn w:val="65"/>
    <w:qFormat/>
    <w:uiPriority w:val="0"/>
    <w:rPr>
      <w:color w:val="999999"/>
      <w:sz w:val="21"/>
      <w:szCs w:val="21"/>
    </w:rPr>
  </w:style>
  <w:style w:type="character" w:customStyle="1" w:styleId="137">
    <w:name w:val="样式1 Char Char"/>
    <w:link w:val="138"/>
    <w:qFormat/>
    <w:locked/>
    <w:uiPriority w:val="0"/>
    <w:rPr>
      <w:kern w:val="2"/>
      <w:sz w:val="18"/>
      <w:szCs w:val="18"/>
    </w:rPr>
  </w:style>
  <w:style w:type="paragraph" w:customStyle="1" w:styleId="138">
    <w:name w:val="样式1"/>
    <w:basedOn w:val="44"/>
    <w:link w:val="137"/>
    <w:qFormat/>
    <w:uiPriority w:val="0"/>
  </w:style>
  <w:style w:type="character" w:customStyle="1" w:styleId="139">
    <w:name w:val="style61"/>
    <w:qFormat/>
    <w:uiPriority w:val="0"/>
    <w:rPr>
      <w:rFonts w:ascii="Arial" w:hAnsi="Arial" w:cs="Arial"/>
      <w:b/>
      <w:bCs/>
      <w:color w:val="888888"/>
      <w:sz w:val="21"/>
      <w:szCs w:val="21"/>
    </w:rPr>
  </w:style>
  <w:style w:type="character" w:customStyle="1" w:styleId="140">
    <w:name w:val="正文首行缩进 2 Char"/>
    <w:link w:val="5"/>
    <w:qFormat/>
    <w:uiPriority w:val="0"/>
    <w:rPr>
      <w:kern w:val="2"/>
      <w:sz w:val="21"/>
    </w:rPr>
  </w:style>
  <w:style w:type="character" w:customStyle="1" w:styleId="141">
    <w:name w:val="font1"/>
    <w:qFormat/>
    <w:uiPriority w:val="0"/>
    <w:rPr>
      <w:rFonts w:cs="Times New Roman"/>
      <w:spacing w:val="300"/>
      <w:sz w:val="18"/>
      <w:szCs w:val="18"/>
    </w:rPr>
  </w:style>
  <w:style w:type="character" w:customStyle="1" w:styleId="142">
    <w:name w:val="text_121"/>
    <w:qFormat/>
    <w:uiPriority w:val="0"/>
    <w:rPr>
      <w:rFonts w:ascii="s?" w:hAnsi="s?" w:cs="Times New Roman"/>
      <w:color w:val="000000"/>
      <w:spacing w:val="321"/>
      <w:sz w:val="15"/>
      <w:szCs w:val="15"/>
    </w:rPr>
  </w:style>
  <w:style w:type="character" w:customStyle="1" w:styleId="143">
    <w:name w:val="location"/>
    <w:basedOn w:val="65"/>
    <w:qFormat/>
    <w:uiPriority w:val="0"/>
  </w:style>
  <w:style w:type="character" w:customStyle="1" w:styleId="144">
    <w:name w:val="正文首行缩进 2 Char1"/>
    <w:basedOn w:val="145"/>
    <w:qFormat/>
    <w:uiPriority w:val="0"/>
    <w:rPr>
      <w:rFonts w:ascii="楷体_GB2312" w:eastAsia="楷体_GB2312"/>
      <w:sz w:val="28"/>
    </w:rPr>
  </w:style>
  <w:style w:type="character" w:customStyle="1" w:styleId="145">
    <w:name w:val="正文文本缩进 Char"/>
    <w:basedOn w:val="65"/>
    <w:qFormat/>
    <w:uiPriority w:val="0"/>
    <w:rPr>
      <w:rFonts w:ascii="楷体_GB2312" w:eastAsia="楷体_GB2312"/>
      <w:sz w:val="28"/>
    </w:rPr>
  </w:style>
  <w:style w:type="character" w:customStyle="1" w:styleId="146">
    <w:name w:val="样式8 Char Char"/>
    <w:qFormat/>
    <w:uiPriority w:val="0"/>
    <w:rPr>
      <w:rFonts w:ascii="宋体" w:hAnsi="宋体" w:eastAsia="宋体"/>
      <w:b/>
      <w:kern w:val="44"/>
      <w:sz w:val="32"/>
      <w:lang w:val="en-US" w:eastAsia="zh-CN" w:bidi="ar-SA"/>
    </w:rPr>
  </w:style>
  <w:style w:type="character" w:customStyle="1" w:styleId="147">
    <w:name w:val="Char Char Char Char Char"/>
    <w:basedOn w:val="65"/>
    <w:qFormat/>
    <w:uiPriority w:val="0"/>
    <w:rPr>
      <w:kern w:val="2"/>
      <w:sz w:val="18"/>
      <w:szCs w:val="18"/>
    </w:rPr>
  </w:style>
  <w:style w:type="character" w:customStyle="1" w:styleId="148">
    <w:name w:val="my-class2"/>
    <w:basedOn w:val="65"/>
    <w:qFormat/>
    <w:uiPriority w:val="0"/>
  </w:style>
  <w:style w:type="character" w:customStyle="1" w:styleId="149">
    <w:name w:val="签名 Char"/>
    <w:link w:val="45"/>
    <w:qFormat/>
    <w:uiPriority w:val="0"/>
  </w:style>
  <w:style w:type="character" w:customStyle="1" w:styleId="150">
    <w:name w:val="l151"/>
    <w:basedOn w:val="65"/>
    <w:qFormat/>
    <w:uiPriority w:val="0"/>
  </w:style>
  <w:style w:type="character" w:customStyle="1" w:styleId="151">
    <w:name w:val="org_name2"/>
    <w:basedOn w:val="65"/>
    <w:qFormat/>
    <w:uiPriority w:val="0"/>
  </w:style>
  <w:style w:type="character" w:customStyle="1" w:styleId="152">
    <w:name w:val="my-notice1"/>
    <w:basedOn w:val="65"/>
    <w:qFormat/>
    <w:uiPriority w:val="0"/>
  </w:style>
  <w:style w:type="character" w:customStyle="1" w:styleId="153">
    <w:name w:val="font61"/>
    <w:basedOn w:val="65"/>
    <w:qFormat/>
    <w:uiPriority w:val="0"/>
    <w:rPr>
      <w:rFonts w:hint="eastAsia" w:ascii="宋体" w:hAnsi="宋体" w:eastAsia="宋体" w:cs="宋体"/>
      <w:color w:val="000000"/>
      <w:sz w:val="20"/>
      <w:szCs w:val="20"/>
      <w:u w:val="none"/>
    </w:rPr>
  </w:style>
  <w:style w:type="character" w:customStyle="1" w:styleId="154">
    <w:name w:val="批注框文本 Char"/>
    <w:link w:val="42"/>
    <w:qFormat/>
    <w:uiPriority w:val="0"/>
    <w:rPr>
      <w:kern w:val="2"/>
      <w:sz w:val="18"/>
      <w:szCs w:val="18"/>
    </w:rPr>
  </w:style>
  <w:style w:type="character" w:customStyle="1" w:styleId="155">
    <w:name w:val="orange"/>
    <w:basedOn w:val="65"/>
    <w:qFormat/>
    <w:uiPriority w:val="0"/>
    <w:rPr>
      <w:color w:val="3FB58F"/>
    </w:rPr>
  </w:style>
  <w:style w:type="character" w:customStyle="1" w:styleId="156">
    <w:name w:val="正文文本 3 Char"/>
    <w:link w:val="29"/>
    <w:qFormat/>
    <w:uiPriority w:val="0"/>
    <w:rPr>
      <w:b/>
      <w:bCs/>
      <w:kern w:val="2"/>
      <w:sz w:val="24"/>
      <w:szCs w:val="24"/>
    </w:rPr>
  </w:style>
  <w:style w:type="character" w:customStyle="1" w:styleId="157">
    <w:name w:val="页眉 Char"/>
    <w:link w:val="44"/>
    <w:qFormat/>
    <w:uiPriority w:val="99"/>
    <w:rPr>
      <w:kern w:val="2"/>
      <w:sz w:val="18"/>
      <w:szCs w:val="18"/>
    </w:rPr>
  </w:style>
  <w:style w:type="character" w:customStyle="1" w:styleId="158">
    <w:name w:val="search_content1"/>
    <w:basedOn w:val="65"/>
    <w:qFormat/>
    <w:uiPriority w:val="0"/>
    <w:rPr>
      <w:sz w:val="20"/>
      <w:szCs w:val="20"/>
    </w:rPr>
  </w:style>
  <w:style w:type="character" w:customStyle="1" w:styleId="159">
    <w:name w:val="no62"/>
    <w:basedOn w:val="65"/>
    <w:qFormat/>
    <w:uiPriority w:val="0"/>
  </w:style>
  <w:style w:type="character" w:customStyle="1" w:styleId="160">
    <w:name w:val="no42"/>
    <w:basedOn w:val="65"/>
    <w:qFormat/>
    <w:uiPriority w:val="0"/>
  </w:style>
  <w:style w:type="character" w:customStyle="1" w:styleId="161">
    <w:name w:val="ca-51"/>
    <w:qFormat/>
    <w:uiPriority w:val="0"/>
    <w:rPr>
      <w:rFonts w:hint="eastAsia" w:ascii="宋体" w:hAnsi="宋体" w:eastAsia="宋体"/>
      <w:sz w:val="24"/>
      <w:szCs w:val="24"/>
    </w:rPr>
  </w:style>
  <w:style w:type="character" w:customStyle="1" w:styleId="162">
    <w:name w:val="正文（缩进） Char Char"/>
    <w:link w:val="163"/>
    <w:qFormat/>
    <w:uiPriority w:val="0"/>
    <w:rPr>
      <w:kern w:val="2"/>
      <w:sz w:val="24"/>
      <w:szCs w:val="24"/>
    </w:rPr>
  </w:style>
  <w:style w:type="paragraph" w:customStyle="1" w:styleId="163">
    <w:name w:val="正文（缩进）"/>
    <w:basedOn w:val="1"/>
    <w:link w:val="162"/>
    <w:qFormat/>
    <w:uiPriority w:val="0"/>
    <w:pPr>
      <w:spacing w:beforeLines="50" w:afterLines="50" w:line="360" w:lineRule="auto"/>
      <w:ind w:firstLine="480" w:firstLineChars="200"/>
    </w:pPr>
    <w:rPr>
      <w:sz w:val="24"/>
    </w:rPr>
  </w:style>
  <w:style w:type="character" w:customStyle="1" w:styleId="164">
    <w:name w:val="point_normal"/>
    <w:basedOn w:val="65"/>
    <w:qFormat/>
    <w:uiPriority w:val="0"/>
  </w:style>
  <w:style w:type="character" w:customStyle="1" w:styleId="165">
    <w:name w:val="f71"/>
    <w:basedOn w:val="65"/>
    <w:qFormat/>
    <w:uiPriority w:val="0"/>
    <w:rPr>
      <w:spacing w:val="375"/>
      <w:sz w:val="18"/>
      <w:szCs w:val="18"/>
    </w:rPr>
  </w:style>
  <w:style w:type="character" w:customStyle="1" w:styleId="166">
    <w:name w:val="文章标题 Char Char"/>
    <w:qFormat/>
    <w:uiPriority w:val="0"/>
    <w:rPr>
      <w:rFonts w:ascii="宋体" w:eastAsia="宋体"/>
    </w:rPr>
  </w:style>
  <w:style w:type="character" w:customStyle="1" w:styleId="167">
    <w:name w:val="正文首行缩进 Char"/>
    <w:link w:val="2"/>
    <w:qFormat/>
    <w:uiPriority w:val="0"/>
    <w:rPr>
      <w:rFonts w:eastAsia="楷体_GB2312"/>
      <w:kern w:val="2"/>
      <w:sz w:val="32"/>
    </w:rPr>
  </w:style>
  <w:style w:type="character" w:customStyle="1" w:styleId="168">
    <w:name w:val="正文-2 Char Char"/>
    <w:link w:val="169"/>
    <w:qFormat/>
    <w:uiPriority w:val="0"/>
    <w:rPr>
      <w:rFonts w:ascii="宋体"/>
      <w:kern w:val="2"/>
      <w:sz w:val="28"/>
      <w:szCs w:val="28"/>
    </w:rPr>
  </w:style>
  <w:style w:type="paragraph" w:customStyle="1" w:styleId="169">
    <w:name w:val="正文-2"/>
    <w:basedOn w:val="1"/>
    <w:link w:val="168"/>
    <w:qFormat/>
    <w:uiPriority w:val="0"/>
    <w:pPr>
      <w:spacing w:line="500" w:lineRule="exact"/>
      <w:ind w:firstLine="200" w:firstLineChars="200"/>
    </w:pPr>
    <w:rPr>
      <w:rFonts w:ascii="宋体"/>
      <w:sz w:val="28"/>
      <w:szCs w:val="28"/>
    </w:rPr>
  </w:style>
  <w:style w:type="character" w:customStyle="1" w:styleId="170">
    <w:name w:val="标五 Char Char"/>
    <w:qFormat/>
    <w:uiPriority w:val="0"/>
    <w:rPr>
      <w:rFonts w:ascii="仿宋_GB2312" w:hAnsi="Plotter" w:eastAsia="仿宋_GB2312" w:cs="Plotter"/>
      <w:kern w:val="2"/>
      <w:sz w:val="24"/>
      <w:szCs w:val="24"/>
      <w:lang w:val="en-US" w:eastAsia="zh-CN" w:bidi="ar-SA"/>
    </w:rPr>
  </w:style>
  <w:style w:type="character" w:customStyle="1" w:styleId="171">
    <w:name w:val="Para head"/>
    <w:qFormat/>
    <w:uiPriority w:val="0"/>
    <w:rPr>
      <w:rFonts w:ascii="Arial" w:hAnsi="Arial" w:cs="Times New Roman"/>
      <w:sz w:val="20"/>
    </w:rPr>
  </w:style>
  <w:style w:type="character" w:customStyle="1" w:styleId="172">
    <w:name w:val="v151"/>
    <w:qFormat/>
    <w:uiPriority w:val="0"/>
    <w:rPr>
      <w:rFonts w:cs="Times New Roman"/>
      <w:sz w:val="18"/>
      <w:szCs w:val="18"/>
    </w:rPr>
  </w:style>
  <w:style w:type="character" w:customStyle="1" w:styleId="173">
    <w:name w:val="正文文本 Char"/>
    <w:qFormat/>
    <w:uiPriority w:val="0"/>
    <w:rPr>
      <w:kern w:val="2"/>
      <w:sz w:val="21"/>
      <w:szCs w:val="24"/>
    </w:rPr>
  </w:style>
  <w:style w:type="character" w:customStyle="1" w:styleId="174">
    <w:name w:val="页脚 Char"/>
    <w:basedOn w:val="65"/>
    <w:link w:val="43"/>
    <w:qFormat/>
    <w:uiPriority w:val="99"/>
    <w:rPr>
      <w:kern w:val="2"/>
      <w:sz w:val="18"/>
      <w:szCs w:val="18"/>
    </w:rPr>
  </w:style>
  <w:style w:type="character" w:customStyle="1" w:styleId="175">
    <w:name w:val="Plain Text Char"/>
    <w:qFormat/>
    <w:locked/>
    <w:uiPriority w:val="0"/>
    <w:rPr>
      <w:rFonts w:ascii="宋体" w:hAnsi="Courier New" w:eastAsia="宋体" w:cs="Times New Roman"/>
      <w:sz w:val="20"/>
      <w:szCs w:val="20"/>
    </w:rPr>
  </w:style>
  <w:style w:type="character" w:customStyle="1" w:styleId="176">
    <w:name w:val="top-icon"/>
    <w:basedOn w:val="65"/>
    <w:qFormat/>
    <w:uiPriority w:val="0"/>
  </w:style>
  <w:style w:type="character" w:customStyle="1" w:styleId="177">
    <w:name w:val="apple-style-span"/>
    <w:basedOn w:val="65"/>
    <w:qFormat/>
    <w:uiPriority w:val="0"/>
  </w:style>
  <w:style w:type="character" w:customStyle="1" w:styleId="178">
    <w:name w:val="proshowid1"/>
    <w:qFormat/>
    <w:uiPriority w:val="0"/>
    <w:rPr>
      <w:b/>
      <w:bCs/>
      <w:color w:val="4C5D65"/>
    </w:rPr>
  </w:style>
  <w:style w:type="character" w:customStyle="1" w:styleId="179">
    <w:name w:val="标题 2 Char"/>
    <w:basedOn w:val="65"/>
    <w:link w:val="9"/>
    <w:qFormat/>
    <w:uiPriority w:val="0"/>
    <w:rPr>
      <w:rFonts w:ascii="Arial" w:hAnsi="Arial" w:eastAsia="黑体"/>
      <w:b/>
      <w:bCs/>
      <w:kern w:val="2"/>
      <w:sz w:val="32"/>
      <w:szCs w:val="32"/>
    </w:rPr>
  </w:style>
  <w:style w:type="character" w:customStyle="1" w:styleId="180">
    <w:name w:val="称呼 Char"/>
    <w:link w:val="28"/>
    <w:qFormat/>
    <w:uiPriority w:val="0"/>
    <w:rPr>
      <w:rFonts w:ascii="宋体"/>
      <w:sz w:val="28"/>
    </w:rPr>
  </w:style>
  <w:style w:type="character" w:customStyle="1" w:styleId="181">
    <w:name w:val="正文文本缩进 2 Char"/>
    <w:link w:val="40"/>
    <w:qFormat/>
    <w:uiPriority w:val="0"/>
    <w:rPr>
      <w:rFonts w:eastAsia="楷体_GB2312"/>
      <w:kern w:val="2"/>
      <w:sz w:val="28"/>
      <w:szCs w:val="24"/>
    </w:rPr>
  </w:style>
  <w:style w:type="character" w:customStyle="1" w:styleId="182">
    <w:name w:val="style141"/>
    <w:qFormat/>
    <w:uiPriority w:val="0"/>
    <w:rPr>
      <w:rFonts w:ascii="宋体" w:hAnsi="宋体" w:eastAsia="宋体" w:cs="Times New Roman"/>
      <w:b/>
      <w:bCs/>
      <w:color w:val="888888"/>
      <w:sz w:val="21"/>
      <w:szCs w:val="21"/>
    </w:rPr>
  </w:style>
  <w:style w:type="character" w:customStyle="1" w:styleId="183">
    <w:name w:val="标题 21 Char Char"/>
    <w:qFormat/>
    <w:uiPriority w:val="0"/>
    <w:rPr>
      <w:rFonts w:ascii="宋体" w:eastAsia="宋体"/>
      <w:sz w:val="24"/>
    </w:rPr>
  </w:style>
  <w:style w:type="character" w:customStyle="1" w:styleId="184">
    <w:name w:val="bds_more1"/>
    <w:basedOn w:val="65"/>
    <w:qFormat/>
    <w:uiPriority w:val="0"/>
    <w:rPr>
      <w:rFonts w:hint="eastAsia" w:ascii="宋体" w:hAnsi="宋体" w:eastAsia="宋体" w:cs="宋体"/>
    </w:rPr>
  </w:style>
  <w:style w:type="character" w:customStyle="1" w:styleId="185">
    <w:name w:val="font121"/>
    <w:qFormat/>
    <w:uiPriority w:val="0"/>
    <w:rPr>
      <w:rFonts w:cs="Times New Roman"/>
      <w:spacing w:val="330"/>
      <w:sz w:val="18"/>
      <w:szCs w:val="18"/>
      <w:u w:val="none"/>
    </w:rPr>
  </w:style>
  <w:style w:type="character" w:customStyle="1" w:styleId="186">
    <w:name w:val="style8 style20"/>
    <w:qFormat/>
    <w:uiPriority w:val="0"/>
    <w:rPr>
      <w:rFonts w:cs="Times New Roman"/>
    </w:rPr>
  </w:style>
  <w:style w:type="character" w:customStyle="1" w:styleId="187">
    <w:name w:val="hg1"/>
    <w:qFormat/>
    <w:uiPriority w:val="0"/>
    <w:rPr>
      <w:rFonts w:cs="Times New Roman"/>
      <w:spacing w:val="480"/>
      <w:sz w:val="24"/>
      <w:szCs w:val="24"/>
    </w:rPr>
  </w:style>
  <w:style w:type="character" w:customStyle="1" w:styleId="188">
    <w:name w:val="Normal Char"/>
    <w:qFormat/>
    <w:uiPriority w:val="0"/>
    <w:rPr>
      <w:rFonts w:ascii="宋体" w:eastAsia="宋体" w:cs="Times New Roman"/>
      <w:sz w:val="24"/>
      <w:lang w:val="en-US" w:eastAsia="zh-CN"/>
    </w:rPr>
  </w:style>
  <w:style w:type="character" w:customStyle="1" w:styleId="189">
    <w:name w:val="正文 1 Char Char"/>
    <w:link w:val="190"/>
    <w:qFormat/>
    <w:locked/>
    <w:uiPriority w:val="0"/>
    <w:rPr>
      <w:sz w:val="24"/>
    </w:rPr>
  </w:style>
  <w:style w:type="paragraph" w:customStyle="1" w:styleId="190">
    <w:name w:val="正文 1"/>
    <w:basedOn w:val="1"/>
    <w:link w:val="189"/>
    <w:qFormat/>
    <w:uiPriority w:val="0"/>
    <w:pPr>
      <w:autoSpaceDE w:val="0"/>
      <w:autoSpaceDN w:val="0"/>
      <w:adjustRightInd w:val="0"/>
      <w:spacing w:before="80" w:after="80"/>
      <w:ind w:left="1417"/>
      <w:jc w:val="left"/>
    </w:pPr>
    <w:rPr>
      <w:kern w:val="0"/>
      <w:sz w:val="24"/>
      <w:szCs w:val="20"/>
    </w:rPr>
  </w:style>
  <w:style w:type="character" w:customStyle="1" w:styleId="191">
    <w:name w:val="五号正文（标准） Char Char"/>
    <w:qFormat/>
    <w:uiPriority w:val="0"/>
    <w:rPr>
      <w:rFonts w:ascii="仿宋_GB2312" w:hAnsi="宋体" w:eastAsia="仿宋_GB2312" w:cs="Plotter"/>
      <w:kern w:val="2"/>
      <w:sz w:val="24"/>
      <w:szCs w:val="24"/>
      <w:lang w:val="en-US" w:eastAsia="zh-CN" w:bidi="ar-SA"/>
    </w:rPr>
  </w:style>
  <w:style w:type="character" w:customStyle="1" w:styleId="192">
    <w:name w:val="脚注文本 Char"/>
    <w:link w:val="51"/>
    <w:qFormat/>
    <w:uiPriority w:val="0"/>
    <w:rPr>
      <w:lang w:eastAsia="en-US"/>
    </w:rPr>
  </w:style>
  <w:style w:type="character" w:customStyle="1" w:styleId="193">
    <w:name w:val="正文文本缩进 3 Char"/>
    <w:link w:val="54"/>
    <w:qFormat/>
    <w:uiPriority w:val="0"/>
    <w:rPr>
      <w:rFonts w:eastAsia="楷体_GB2312"/>
      <w:kern w:val="2"/>
      <w:sz w:val="28"/>
      <w:szCs w:val="24"/>
    </w:rPr>
  </w:style>
  <w:style w:type="character" w:customStyle="1" w:styleId="194">
    <w:name w:val="尾注文本 Char"/>
    <w:link w:val="41"/>
    <w:qFormat/>
    <w:uiPriority w:val="0"/>
  </w:style>
  <w:style w:type="character" w:customStyle="1" w:styleId="195">
    <w:name w:val="indent1 Char Char"/>
    <w:basedOn w:val="65"/>
    <w:link w:val="196"/>
    <w:qFormat/>
    <w:uiPriority w:val="0"/>
    <w:rPr>
      <w:rFonts w:ascii="宋体" w:hAnsi="宋体"/>
      <w:color w:val="5E5E5E"/>
      <w:sz w:val="18"/>
      <w:szCs w:val="18"/>
    </w:rPr>
  </w:style>
  <w:style w:type="paragraph" w:customStyle="1" w:styleId="196">
    <w:name w:val="indent1"/>
    <w:basedOn w:val="1"/>
    <w:link w:val="195"/>
    <w:qFormat/>
    <w:uiPriority w:val="0"/>
    <w:pPr>
      <w:widowControl/>
      <w:spacing w:after="15" w:line="240" w:lineRule="atLeast"/>
      <w:ind w:firstLine="360"/>
      <w:jc w:val="left"/>
    </w:pPr>
    <w:rPr>
      <w:rFonts w:ascii="宋体" w:hAnsi="宋体"/>
      <w:color w:val="5E5E5E"/>
      <w:kern w:val="0"/>
      <w:sz w:val="18"/>
      <w:szCs w:val="18"/>
    </w:rPr>
  </w:style>
  <w:style w:type="character" w:customStyle="1" w:styleId="197">
    <w:name w:val="unnamed11"/>
    <w:qFormat/>
    <w:uiPriority w:val="0"/>
    <w:rPr>
      <w:rFonts w:cs="Times New Roman"/>
      <w:spacing w:val="280"/>
      <w:sz w:val="18"/>
      <w:szCs w:val="18"/>
    </w:rPr>
  </w:style>
  <w:style w:type="character" w:customStyle="1" w:styleId="198">
    <w:name w:val="批注主题 Char"/>
    <w:basedOn w:val="115"/>
    <w:link w:val="62"/>
    <w:qFormat/>
    <w:uiPriority w:val="0"/>
    <w:rPr>
      <w:b/>
      <w:bCs/>
      <w:kern w:val="2"/>
      <w:sz w:val="21"/>
      <w:szCs w:val="24"/>
      <w:lang w:bidi="ar-SA"/>
    </w:rPr>
  </w:style>
  <w:style w:type="character" w:customStyle="1" w:styleId="199">
    <w:name w:val="huei12b1"/>
    <w:basedOn w:val="65"/>
    <w:qFormat/>
    <w:uiPriority w:val="0"/>
    <w:rPr>
      <w:b/>
      <w:bCs/>
      <w:color w:val="333333"/>
      <w:sz w:val="18"/>
      <w:szCs w:val="18"/>
    </w:rPr>
  </w:style>
  <w:style w:type="character" w:customStyle="1" w:styleId="200">
    <w:name w:val="签名 Char1"/>
    <w:basedOn w:val="65"/>
    <w:qFormat/>
    <w:uiPriority w:val="0"/>
    <w:rPr>
      <w:kern w:val="2"/>
      <w:sz w:val="21"/>
      <w:szCs w:val="24"/>
    </w:rPr>
  </w:style>
  <w:style w:type="character" w:customStyle="1" w:styleId="201">
    <w:name w:val="bds_more2"/>
    <w:basedOn w:val="65"/>
    <w:qFormat/>
    <w:uiPriority w:val="0"/>
  </w:style>
  <w:style w:type="character" w:customStyle="1" w:styleId="202">
    <w:name w:val="t-tag"/>
    <w:basedOn w:val="65"/>
    <w:qFormat/>
    <w:uiPriority w:val="0"/>
    <w:rPr>
      <w:color w:val="FFFFFF"/>
      <w:sz w:val="18"/>
      <w:szCs w:val="18"/>
      <w:shd w:val="clear" w:color="auto" w:fill="FE8833"/>
    </w:rPr>
  </w:style>
  <w:style w:type="character" w:customStyle="1" w:styleId="203">
    <w:name w:val="无间隔 Char"/>
    <w:link w:val="204"/>
    <w:qFormat/>
    <w:locked/>
    <w:uiPriority w:val="0"/>
    <w:rPr>
      <w:kern w:val="2"/>
      <w:sz w:val="21"/>
      <w:szCs w:val="24"/>
      <w:lang w:val="en-US" w:eastAsia="zh-CN" w:bidi="ar-SA"/>
    </w:rPr>
  </w:style>
  <w:style w:type="paragraph" w:customStyle="1" w:styleId="204">
    <w:name w:val="No Spacing1"/>
    <w:link w:val="20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05">
    <w:name w:val="样式 小四 段前: 3 磅 段后: 3 磅 行距: 1.5 倍行距 Char Char"/>
    <w:link w:val="206"/>
    <w:qFormat/>
    <w:locked/>
    <w:uiPriority w:val="0"/>
    <w:rPr>
      <w:rFonts w:cs="宋体"/>
      <w:kern w:val="2"/>
      <w:sz w:val="24"/>
    </w:rPr>
  </w:style>
  <w:style w:type="paragraph" w:customStyle="1" w:styleId="206">
    <w:name w:val="样式 小四 段前: 3 磅 段后: 3 磅 行距: 1.5 倍行距"/>
    <w:basedOn w:val="1"/>
    <w:link w:val="205"/>
    <w:qFormat/>
    <w:uiPriority w:val="0"/>
    <w:pPr>
      <w:spacing w:before="60" w:after="60"/>
      <w:ind w:firstLine="540" w:firstLineChars="225"/>
      <w:jc w:val="left"/>
    </w:pPr>
    <w:rPr>
      <w:sz w:val="24"/>
      <w:szCs w:val="20"/>
    </w:rPr>
  </w:style>
  <w:style w:type="character" w:customStyle="1" w:styleId="207">
    <w:name w:val="Footer Char"/>
    <w:qFormat/>
    <w:locked/>
    <w:uiPriority w:val="0"/>
    <w:rPr>
      <w:rFonts w:cs="Times New Roman"/>
      <w:sz w:val="18"/>
      <w:szCs w:val="18"/>
    </w:rPr>
  </w:style>
  <w:style w:type="character" w:customStyle="1" w:styleId="208">
    <w:name w:val="font51"/>
    <w:basedOn w:val="65"/>
    <w:qFormat/>
    <w:uiPriority w:val="0"/>
    <w:rPr>
      <w:rFonts w:hint="default" w:ascii="Times New Roman" w:hAnsi="Times New Roman" w:cs="Times New Roman"/>
      <w:color w:val="000000"/>
      <w:sz w:val="20"/>
      <w:szCs w:val="20"/>
      <w:u w:val="none"/>
    </w:rPr>
  </w:style>
  <w:style w:type="character" w:customStyle="1" w:styleId="209">
    <w:name w:val="text1"/>
    <w:basedOn w:val="65"/>
    <w:qFormat/>
    <w:uiPriority w:val="0"/>
    <w:rPr>
      <w:color w:val="000000"/>
      <w:spacing w:val="432"/>
      <w:sz w:val="20"/>
      <w:szCs w:val="20"/>
    </w:rPr>
  </w:style>
  <w:style w:type="character" w:customStyle="1" w:styleId="210">
    <w:name w:val="ui-bz-bg-hover"/>
    <w:basedOn w:val="65"/>
    <w:qFormat/>
    <w:uiPriority w:val="0"/>
    <w:rPr>
      <w:shd w:val="clear" w:color="auto" w:fill="000000"/>
    </w:rPr>
  </w:style>
  <w:style w:type="character" w:customStyle="1" w:styleId="211">
    <w:name w:val="my正文 Char Char"/>
    <w:link w:val="212"/>
    <w:qFormat/>
    <w:uiPriority w:val="0"/>
    <w:rPr>
      <w:kern w:val="2"/>
      <w:sz w:val="24"/>
      <w:szCs w:val="24"/>
    </w:rPr>
  </w:style>
  <w:style w:type="paragraph" w:customStyle="1" w:styleId="212">
    <w:name w:val="my正文"/>
    <w:basedOn w:val="1"/>
    <w:link w:val="211"/>
    <w:qFormat/>
    <w:uiPriority w:val="0"/>
    <w:pPr>
      <w:spacing w:line="360" w:lineRule="auto"/>
      <w:ind w:firstLine="480" w:firstLineChars="200"/>
    </w:pPr>
    <w:rPr>
      <w:sz w:val="24"/>
    </w:rPr>
  </w:style>
  <w:style w:type="character" w:customStyle="1" w:styleId="213">
    <w:name w:val="para"/>
    <w:basedOn w:val="65"/>
    <w:qFormat/>
    <w:uiPriority w:val="0"/>
  </w:style>
  <w:style w:type="character" w:customStyle="1" w:styleId="214">
    <w:name w:val="尾注文本 Char1"/>
    <w:basedOn w:val="65"/>
    <w:qFormat/>
    <w:uiPriority w:val="0"/>
    <w:rPr>
      <w:kern w:val="2"/>
      <w:sz w:val="21"/>
      <w:szCs w:val="24"/>
    </w:rPr>
  </w:style>
  <w:style w:type="character" w:customStyle="1" w:styleId="215">
    <w:name w:val="日期 Char"/>
    <w:link w:val="39"/>
    <w:qFormat/>
    <w:uiPriority w:val="0"/>
    <w:rPr>
      <w:kern w:val="2"/>
      <w:sz w:val="24"/>
    </w:rPr>
  </w:style>
  <w:style w:type="character" w:customStyle="1" w:styleId="216">
    <w:name w:val="正文缩进 Char1"/>
    <w:link w:val="23"/>
    <w:qFormat/>
    <w:uiPriority w:val="0"/>
    <w:rPr>
      <w:kern w:val="2"/>
      <w:sz w:val="21"/>
    </w:rPr>
  </w:style>
  <w:style w:type="character" w:customStyle="1" w:styleId="217">
    <w:name w:val="正文文字 Char"/>
    <w:qFormat/>
    <w:uiPriority w:val="0"/>
    <w:rPr>
      <w:rFonts w:eastAsia="宋体" w:cs="Times New Roman"/>
      <w:kern w:val="2"/>
      <w:sz w:val="30"/>
      <w:lang w:val="en-US" w:eastAsia="zh-CN"/>
    </w:rPr>
  </w:style>
  <w:style w:type="character" w:customStyle="1" w:styleId="218">
    <w:name w:val="标三 Char Char"/>
    <w:qFormat/>
    <w:uiPriority w:val="0"/>
    <w:rPr>
      <w:rFonts w:ascii="黑体" w:hAnsi="Plotter" w:eastAsia="黑体" w:cs="Plotter"/>
      <w:b/>
      <w:bCs/>
      <w:kern w:val="2"/>
      <w:sz w:val="32"/>
      <w:szCs w:val="32"/>
      <w:lang w:val="en-US" w:eastAsia="zh-CN" w:bidi="ar-SA"/>
    </w:rPr>
  </w:style>
  <w:style w:type="character" w:customStyle="1" w:styleId="219">
    <w:name w:val="标二 Char Char"/>
    <w:qFormat/>
    <w:uiPriority w:val="0"/>
    <w:rPr>
      <w:rFonts w:ascii="黑体" w:hAnsi="Arial" w:eastAsia="黑体" w:cs="Plotter"/>
      <w:bCs/>
      <w:kern w:val="2"/>
      <w:sz w:val="30"/>
      <w:szCs w:val="30"/>
      <w:lang w:val="en-US" w:eastAsia="zh-CN" w:bidi="ar-SA"/>
    </w:rPr>
  </w:style>
  <w:style w:type="character" w:customStyle="1" w:styleId="220">
    <w:name w:val="标题 31 Char Char"/>
    <w:qFormat/>
    <w:uiPriority w:val="0"/>
    <w:rPr>
      <w:kern w:val="2"/>
    </w:rPr>
  </w:style>
  <w:style w:type="character" w:customStyle="1" w:styleId="221">
    <w:name w:val="lineitems1"/>
    <w:basedOn w:val="65"/>
    <w:qFormat/>
    <w:uiPriority w:val="0"/>
    <w:rPr>
      <w:sz w:val="17"/>
      <w:szCs w:val="17"/>
    </w:rPr>
  </w:style>
  <w:style w:type="character" w:customStyle="1" w:styleId="222">
    <w:name w:val="black1"/>
    <w:qFormat/>
    <w:uiPriority w:val="0"/>
    <w:rPr>
      <w:rFonts w:cs="Times New Roman"/>
      <w:color w:val="000000"/>
      <w:spacing w:val="330"/>
    </w:rPr>
  </w:style>
  <w:style w:type="character" w:customStyle="1" w:styleId="223">
    <w:name w:val="标题 Char"/>
    <w:link w:val="61"/>
    <w:qFormat/>
    <w:uiPriority w:val="0"/>
    <w:rPr>
      <w:rFonts w:ascii="Arial" w:hAnsi="Arial" w:eastAsia="隶书"/>
      <w:b/>
      <w:kern w:val="2"/>
      <w:sz w:val="32"/>
    </w:rPr>
  </w:style>
  <w:style w:type="character" w:customStyle="1" w:styleId="224">
    <w:name w:val="no72"/>
    <w:basedOn w:val="65"/>
    <w:qFormat/>
    <w:uiPriority w:val="0"/>
  </w:style>
  <w:style w:type="character" w:customStyle="1" w:styleId="225">
    <w:name w:val="普通文字 Char1"/>
    <w:basedOn w:val="65"/>
    <w:qFormat/>
    <w:uiPriority w:val="0"/>
    <w:rPr>
      <w:rFonts w:ascii="宋体" w:hAnsi="Courier New" w:eastAsia="宋体"/>
      <w:kern w:val="2"/>
      <w:sz w:val="24"/>
      <w:lang w:val="en-US" w:eastAsia="zh-CN" w:bidi="ar-SA"/>
    </w:rPr>
  </w:style>
  <w:style w:type="character" w:customStyle="1" w:styleId="226">
    <w:name w:val="标四 Char Char"/>
    <w:qFormat/>
    <w:uiPriority w:val="0"/>
    <w:rPr>
      <w:rFonts w:ascii="仿宋_GB2312" w:hAnsi="Plotter" w:eastAsia="仿宋_GB2312" w:cs="Plotter"/>
      <w:kern w:val="2"/>
      <w:sz w:val="24"/>
      <w:szCs w:val="24"/>
      <w:lang w:val="en-US" w:eastAsia="zh-CN" w:bidi="ar-SA"/>
    </w:rPr>
  </w:style>
  <w:style w:type="paragraph" w:customStyle="1" w:styleId="227">
    <w:name w:val="正文文本1"/>
    <w:basedOn w:val="1"/>
    <w:qFormat/>
    <w:uiPriority w:val="0"/>
    <w:pPr>
      <w:adjustRightInd w:val="0"/>
      <w:spacing w:after="120"/>
      <w:ind w:right="74" w:firstLine="482"/>
      <w:jc w:val="left"/>
      <w:textAlignment w:val="baseline"/>
    </w:pPr>
    <w:rPr>
      <w:rFonts w:cs="Plotter"/>
      <w:kern w:val="0"/>
      <w:sz w:val="24"/>
      <w:szCs w:val="20"/>
    </w:rPr>
  </w:style>
  <w:style w:type="paragraph" w:customStyle="1" w:styleId="228">
    <w:name w:val="xl50"/>
    <w:basedOn w:val="1"/>
    <w:qFormat/>
    <w:uiPriority w:val="0"/>
    <w:pPr>
      <w:keepNext/>
      <w:keepLines/>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line="400" w:lineRule="exact"/>
      <w:jc w:val="center"/>
      <w:textAlignment w:val="center"/>
    </w:pPr>
    <w:rPr>
      <w:rFonts w:ascii="宋体" w:eastAsia="楷体_GB2312"/>
      <w:b/>
      <w:bCs/>
      <w:kern w:val="0"/>
      <w:sz w:val="20"/>
      <w:szCs w:val="20"/>
    </w:rPr>
  </w:style>
  <w:style w:type="paragraph" w:customStyle="1" w:styleId="229">
    <w:name w:val="2册标题2"/>
    <w:basedOn w:val="1"/>
    <w:next w:val="1"/>
    <w:qFormat/>
    <w:uiPriority w:val="0"/>
    <w:pPr>
      <w:spacing w:beforeLines="50" w:afterLines="50" w:line="300" w:lineRule="auto"/>
      <w:outlineLvl w:val="1"/>
    </w:pPr>
    <w:rPr>
      <w:rFonts w:ascii="Arial" w:hAnsi="Arial" w:eastAsia="黑体"/>
      <w:sz w:val="30"/>
      <w:szCs w:val="20"/>
    </w:rPr>
  </w:style>
  <w:style w:type="paragraph" w:customStyle="1" w:styleId="230">
    <w:name w:val="标题2 + 居中"/>
    <w:basedOn w:val="8"/>
    <w:qFormat/>
    <w:uiPriority w:val="0"/>
    <w:pPr>
      <w:spacing w:before="0" w:after="0" w:line="360" w:lineRule="auto"/>
    </w:pPr>
    <w:rPr>
      <w:rFonts w:eastAsia="宋体"/>
      <w:b w:val="0"/>
      <w:sz w:val="44"/>
    </w:rPr>
  </w:style>
  <w:style w:type="paragraph" w:customStyle="1" w:styleId="231">
    <w:name w:val="graph"/>
    <w:basedOn w:val="3"/>
    <w:qFormat/>
    <w:uiPriority w:val="0"/>
    <w:pPr>
      <w:autoSpaceDE w:val="0"/>
      <w:autoSpaceDN w:val="0"/>
      <w:adjustRightInd w:val="0"/>
      <w:ind w:right="74"/>
      <w:jc w:val="center"/>
      <w:textAlignment w:val="baseline"/>
    </w:pPr>
    <w:rPr>
      <w:rFonts w:cs="Plotter"/>
      <w:kern w:val="0"/>
      <w:sz w:val="24"/>
      <w:szCs w:val="20"/>
    </w:rPr>
  </w:style>
  <w:style w:type="paragraph" w:customStyle="1" w:styleId="232">
    <w:name w:val="USE 4"/>
    <w:basedOn w:val="1"/>
    <w:qFormat/>
    <w:uiPriority w:val="0"/>
    <w:pPr>
      <w:tabs>
        <w:tab w:val="left" w:pos="1080"/>
      </w:tabs>
      <w:spacing w:line="360" w:lineRule="auto"/>
      <w:ind w:left="1080" w:hanging="1080"/>
      <w:jc w:val="left"/>
    </w:pPr>
    <w:rPr>
      <w:rFonts w:ascii="宋体" w:hAnsi="宋体"/>
      <w:sz w:val="24"/>
      <w:szCs w:val="20"/>
    </w:rPr>
  </w:style>
  <w:style w:type="paragraph" w:customStyle="1" w:styleId="233">
    <w:name w:val="_Style 68"/>
    <w:basedOn w:val="1"/>
    <w:next w:val="3"/>
    <w:qFormat/>
    <w:uiPriority w:val="0"/>
    <w:pPr>
      <w:spacing w:line="240" w:lineRule="atLeast"/>
      <w:jc w:val="left"/>
    </w:pPr>
    <w:rPr>
      <w:sz w:val="30"/>
      <w:szCs w:val="20"/>
    </w:rPr>
  </w:style>
  <w:style w:type="paragraph" w:customStyle="1" w:styleId="234">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4"/>
    </w:rPr>
  </w:style>
  <w:style w:type="paragraph" w:customStyle="1" w:styleId="235">
    <w:name w:val="样式 行距: 1.5 倍行距"/>
    <w:basedOn w:val="1"/>
    <w:qFormat/>
    <w:uiPriority w:val="0"/>
    <w:pPr>
      <w:spacing w:line="360" w:lineRule="auto"/>
    </w:pPr>
    <w:rPr>
      <w:rFonts w:ascii="宋体" w:hAnsi="宋体"/>
      <w:szCs w:val="20"/>
    </w:rPr>
  </w:style>
  <w:style w:type="paragraph" w:customStyle="1" w:styleId="236">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Times New Roman" w:cs="Arial"/>
      <w:kern w:val="0"/>
      <w:sz w:val="20"/>
      <w:szCs w:val="20"/>
      <w:lang w:eastAsia="en-US"/>
    </w:rPr>
  </w:style>
  <w:style w:type="paragraph" w:customStyle="1" w:styleId="237">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rPr>
  </w:style>
  <w:style w:type="paragraph" w:customStyle="1" w:styleId="23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9">
    <w:name w:val="Char1 Char Char Char"/>
    <w:basedOn w:val="1"/>
    <w:qFormat/>
    <w:uiPriority w:val="0"/>
    <w:rPr>
      <w:rFonts w:ascii="Tahoma" w:hAnsi="Tahoma"/>
      <w:sz w:val="24"/>
      <w:szCs w:val="20"/>
    </w:rPr>
  </w:style>
  <w:style w:type="paragraph" w:customStyle="1" w:styleId="240">
    <w:name w:val="Para 1"/>
    <w:basedOn w:val="3"/>
    <w:qFormat/>
    <w:uiPriority w:val="0"/>
    <w:pPr>
      <w:widowControl/>
      <w:ind w:left="720"/>
    </w:pPr>
    <w:rPr>
      <w:rFonts w:ascii="Arial" w:hAnsi="Arial"/>
      <w:kern w:val="0"/>
      <w:sz w:val="22"/>
      <w:szCs w:val="22"/>
      <w:lang w:eastAsia="en-US"/>
    </w:rPr>
  </w:style>
  <w:style w:type="paragraph" w:customStyle="1" w:styleId="241">
    <w:name w:val="xl53"/>
    <w:basedOn w:val="1"/>
    <w:qFormat/>
    <w:uiPriority w:val="0"/>
    <w:pPr>
      <w:keepNext/>
      <w:keepLines/>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line="400" w:lineRule="exact"/>
      <w:jc w:val="center"/>
      <w:textAlignment w:val="center"/>
    </w:pPr>
    <w:rPr>
      <w:rFonts w:ascii="楷体_GB2312" w:eastAsia="楷体_GB2312"/>
      <w:b/>
      <w:bCs/>
      <w:kern w:val="0"/>
      <w:sz w:val="20"/>
      <w:szCs w:val="20"/>
    </w:rPr>
  </w:style>
  <w:style w:type="paragraph" w:customStyle="1" w:styleId="242">
    <w:name w:val="xl35"/>
    <w:basedOn w:val="1"/>
    <w:qFormat/>
    <w:uiPriority w:val="0"/>
    <w:pPr>
      <w:keepNext/>
      <w:keepLines/>
      <w:widowControl/>
      <w:pBdr>
        <w:top w:val="single" w:color="auto" w:sz="4" w:space="0"/>
        <w:left w:val="single" w:color="auto" w:sz="4" w:space="0"/>
        <w:bottom w:val="single" w:color="auto" w:sz="4" w:space="0"/>
        <w:right w:val="single" w:color="auto" w:sz="4" w:space="0"/>
      </w:pBdr>
      <w:spacing w:before="100" w:beforeAutospacing="1" w:after="100" w:afterAutospacing="1" w:line="400" w:lineRule="exact"/>
      <w:jc w:val="center"/>
      <w:textAlignment w:val="center"/>
    </w:pPr>
    <w:rPr>
      <w:rFonts w:ascii="楷体_GB2312" w:eastAsia="楷体_GB2312"/>
      <w:kern w:val="0"/>
      <w:sz w:val="20"/>
      <w:szCs w:val="20"/>
    </w:rPr>
  </w:style>
  <w:style w:type="paragraph" w:customStyle="1" w:styleId="243">
    <w:name w:val="font6"/>
    <w:basedOn w:val="1"/>
    <w:qFormat/>
    <w:uiPriority w:val="0"/>
    <w:pPr>
      <w:widowControl/>
      <w:spacing w:before="100" w:beforeAutospacing="1" w:after="100" w:afterAutospacing="1"/>
      <w:jc w:val="left"/>
    </w:pPr>
    <w:rPr>
      <w:rFonts w:hint="eastAsia" w:ascii="宋体" w:hAnsi="宋体" w:cs="Arial Unicode MS"/>
      <w:kern w:val="0"/>
      <w:szCs w:val="21"/>
    </w:rPr>
  </w:style>
  <w:style w:type="paragraph" w:customStyle="1" w:styleId="244">
    <w:name w:val="正文111"/>
    <w:basedOn w:val="1"/>
    <w:qFormat/>
    <w:uiPriority w:val="0"/>
    <w:pPr>
      <w:spacing w:line="360" w:lineRule="auto"/>
      <w:ind w:left="1260" w:leftChars="600" w:firstLine="540" w:firstLineChars="257"/>
    </w:pPr>
    <w:rPr>
      <w:rFonts w:ascii="宋体" w:hAnsi="宋体"/>
    </w:rPr>
  </w:style>
  <w:style w:type="paragraph" w:customStyle="1" w:styleId="245">
    <w:name w:val="xl66"/>
    <w:basedOn w:val="1"/>
    <w:qFormat/>
    <w:uiPriority w:val="0"/>
    <w:pPr>
      <w:keepNext/>
      <w:keepLines/>
      <w:widowControl/>
      <w:pBdr>
        <w:top w:val="single" w:color="auto" w:sz="4" w:space="0"/>
        <w:left w:val="single" w:color="auto" w:sz="4" w:space="0"/>
        <w:bottom w:val="single" w:color="auto" w:sz="4" w:space="0"/>
        <w:right w:val="single" w:color="auto" w:sz="4" w:space="0"/>
      </w:pBdr>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246">
    <w:name w:val="xl36"/>
    <w:basedOn w:val="1"/>
    <w:qFormat/>
    <w:uiPriority w:val="0"/>
    <w:pPr>
      <w:widowControl/>
      <w:spacing w:before="100" w:after="100"/>
      <w:jc w:val="center"/>
    </w:pPr>
    <w:rPr>
      <w:rFonts w:ascii="宋体" w:hAnsi="宋体"/>
      <w:kern w:val="0"/>
      <w:sz w:val="24"/>
      <w:szCs w:val="20"/>
    </w:rPr>
  </w:style>
  <w:style w:type="paragraph" w:customStyle="1" w:styleId="247">
    <w:name w:val="xl61"/>
    <w:basedOn w:val="1"/>
    <w:qFormat/>
    <w:uiPriority w:val="0"/>
    <w:pPr>
      <w:keepNext/>
      <w:keepLines/>
      <w:widowControl/>
      <w:pBdr>
        <w:top w:val="single" w:color="auto" w:sz="4" w:space="0"/>
        <w:left w:val="single" w:color="auto" w:sz="4" w:space="0"/>
        <w:bottom w:val="single" w:color="auto" w:sz="4" w:space="0"/>
        <w:right w:val="single" w:color="auto" w:sz="4" w:space="0"/>
      </w:pBdr>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248">
    <w:name w:val="Default Text"/>
    <w:basedOn w:val="1"/>
    <w:qFormat/>
    <w:uiPriority w:val="0"/>
    <w:pPr>
      <w:autoSpaceDE w:val="0"/>
      <w:autoSpaceDN w:val="0"/>
      <w:adjustRightInd w:val="0"/>
      <w:jc w:val="left"/>
    </w:pPr>
    <w:rPr>
      <w:kern w:val="0"/>
      <w:sz w:val="24"/>
      <w:szCs w:val="20"/>
    </w:rPr>
  </w:style>
  <w:style w:type="paragraph" w:customStyle="1" w:styleId="249">
    <w:name w:val="p15"/>
    <w:basedOn w:val="1"/>
    <w:qFormat/>
    <w:uiPriority w:val="0"/>
    <w:pPr>
      <w:widowControl/>
      <w:ind w:firstLine="420"/>
      <w:jc w:val="left"/>
    </w:pPr>
    <w:rPr>
      <w:kern w:val="0"/>
      <w:sz w:val="20"/>
      <w:szCs w:val="20"/>
    </w:rPr>
  </w:style>
  <w:style w:type="paragraph" w:customStyle="1" w:styleId="250">
    <w:name w:val="正文列表"/>
    <w:basedOn w:val="1"/>
    <w:qFormat/>
    <w:uiPriority w:val="0"/>
    <w:pPr>
      <w:spacing w:line="360" w:lineRule="auto"/>
      <w:jc w:val="center"/>
    </w:pPr>
    <w:rPr>
      <w:rFonts w:ascii="宋体" w:hAnsi="宋体"/>
      <w:kern w:val="0"/>
      <w:position w:val="24"/>
      <w:szCs w:val="20"/>
    </w:rPr>
  </w:style>
  <w:style w:type="paragraph" w:customStyle="1" w:styleId="251">
    <w:name w:val="Char2"/>
    <w:basedOn w:val="25"/>
    <w:qFormat/>
    <w:uiPriority w:val="0"/>
    <w:rPr>
      <w:rFonts w:ascii="Tahoma" w:hAnsi="Tahoma"/>
      <w:sz w:val="24"/>
      <w:szCs w:val="20"/>
    </w:rPr>
  </w:style>
  <w:style w:type="paragraph" w:customStyle="1" w:styleId="252">
    <w:name w:val="普通正文"/>
    <w:basedOn w:val="1"/>
    <w:qFormat/>
    <w:uiPriority w:val="0"/>
    <w:pPr>
      <w:adjustRightInd w:val="0"/>
      <w:snapToGrid w:val="0"/>
      <w:spacing w:before="120" w:after="120" w:line="360" w:lineRule="auto"/>
      <w:ind w:left="480" w:leftChars="100" w:right="240" w:rightChars="100"/>
      <w:jc w:val="left"/>
    </w:pPr>
    <w:rPr>
      <w:rFonts w:ascii="宋体"/>
      <w:kern w:val="0"/>
      <w:sz w:val="24"/>
    </w:rPr>
  </w:style>
  <w:style w:type="paragraph" w:customStyle="1" w:styleId="253">
    <w:name w:val="注："/>
    <w:next w:val="254"/>
    <w:qFormat/>
    <w:uiPriority w:val="0"/>
    <w:pPr>
      <w:widowControl w:val="0"/>
      <w:tabs>
        <w:tab w:val="left" w:pos="840"/>
      </w:tabs>
      <w:autoSpaceDE w:val="0"/>
      <w:autoSpaceDN w:val="0"/>
      <w:ind w:left="840" w:hanging="840"/>
      <w:jc w:val="both"/>
    </w:pPr>
    <w:rPr>
      <w:rFonts w:ascii="宋体" w:hAnsi="Times New Roman" w:eastAsia="宋体" w:cs="Times New Roman"/>
      <w:sz w:val="18"/>
      <w:lang w:val="en-US" w:eastAsia="zh-CN" w:bidi="ar-SA"/>
    </w:rPr>
  </w:style>
  <w:style w:type="paragraph" w:customStyle="1" w:styleId="254">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5">
    <w:name w:val="三级标题"/>
    <w:basedOn w:val="1"/>
    <w:qFormat/>
    <w:uiPriority w:val="0"/>
    <w:pPr>
      <w:spacing w:line="360" w:lineRule="auto"/>
      <w:jc w:val="center"/>
    </w:pPr>
    <w:rPr>
      <w:rFonts w:eastAsia="黑体"/>
      <w:sz w:val="24"/>
      <w:szCs w:val="20"/>
    </w:rPr>
  </w:style>
  <w:style w:type="paragraph" w:customStyle="1" w:styleId="256">
    <w:name w:val="表头"/>
    <w:basedOn w:val="1"/>
    <w:qFormat/>
    <w:uiPriority w:val="0"/>
    <w:pPr>
      <w:autoSpaceDE w:val="0"/>
      <w:autoSpaceDN w:val="0"/>
      <w:adjustRightInd w:val="0"/>
      <w:spacing w:line="312" w:lineRule="atLeast"/>
      <w:jc w:val="center"/>
      <w:textAlignment w:val="baseline"/>
    </w:pPr>
    <w:rPr>
      <w:rFonts w:ascii="黑体" w:hAnsi="Tms Rmn" w:eastAsia="黑体"/>
      <w:kern w:val="0"/>
      <w:szCs w:val="20"/>
    </w:rPr>
  </w:style>
  <w:style w:type="character" w:customStyle="1" w:styleId="257">
    <w:name w:val="正文文本 3 Char1"/>
    <w:basedOn w:val="65"/>
    <w:qFormat/>
    <w:uiPriority w:val="0"/>
    <w:rPr>
      <w:kern w:val="2"/>
      <w:sz w:val="16"/>
      <w:szCs w:val="16"/>
    </w:rPr>
  </w:style>
  <w:style w:type="character" w:customStyle="1" w:styleId="258">
    <w:name w:val="称呼 Char2"/>
    <w:basedOn w:val="65"/>
    <w:qFormat/>
    <w:uiPriority w:val="0"/>
    <w:rPr>
      <w:kern w:val="2"/>
      <w:sz w:val="21"/>
      <w:szCs w:val="24"/>
    </w:rPr>
  </w:style>
  <w:style w:type="paragraph" w:customStyle="1" w:styleId="259">
    <w:name w:val="编号二"/>
    <w:basedOn w:val="1"/>
    <w:qFormat/>
    <w:uiPriority w:val="0"/>
    <w:rPr>
      <w:szCs w:val="20"/>
    </w:rPr>
  </w:style>
  <w:style w:type="paragraph" w:customStyle="1" w:styleId="260">
    <w:name w:val="正文段"/>
    <w:basedOn w:val="1"/>
    <w:qFormat/>
    <w:uiPriority w:val="0"/>
    <w:pPr>
      <w:widowControl/>
      <w:adjustRightInd w:val="0"/>
      <w:spacing w:after="240" w:line="360" w:lineRule="atLeast"/>
      <w:jc w:val="left"/>
    </w:pPr>
    <w:rPr>
      <w:rFonts w:ascii="宋体"/>
      <w:kern w:val="0"/>
      <w:sz w:val="24"/>
      <w:szCs w:val="20"/>
    </w:rPr>
  </w:style>
  <w:style w:type="character" w:customStyle="1" w:styleId="261">
    <w:name w:val="批注文字 Char1"/>
    <w:basedOn w:val="65"/>
    <w:link w:val="27"/>
    <w:qFormat/>
    <w:uiPriority w:val="0"/>
    <w:rPr>
      <w:kern w:val="2"/>
      <w:sz w:val="21"/>
      <w:szCs w:val="24"/>
    </w:rPr>
  </w:style>
  <w:style w:type="character" w:customStyle="1" w:styleId="262">
    <w:name w:val="批注主题 Char1"/>
    <w:basedOn w:val="261"/>
    <w:qFormat/>
    <w:uiPriority w:val="0"/>
    <w:rPr>
      <w:b/>
      <w:bCs/>
      <w:kern w:val="2"/>
      <w:sz w:val="21"/>
      <w:szCs w:val="24"/>
    </w:rPr>
  </w:style>
  <w:style w:type="paragraph" w:customStyle="1" w:styleId="263">
    <w:name w:val="List Paragraph1"/>
    <w:basedOn w:val="1"/>
    <w:qFormat/>
    <w:uiPriority w:val="0"/>
    <w:pPr>
      <w:widowControl/>
      <w:ind w:firstLine="420"/>
      <w:jc w:val="left"/>
    </w:pPr>
    <w:rPr>
      <w:kern w:val="0"/>
      <w:sz w:val="20"/>
      <w:szCs w:val="20"/>
    </w:rPr>
  </w:style>
  <w:style w:type="paragraph" w:customStyle="1" w:styleId="264">
    <w:name w:val="CM41"/>
    <w:basedOn w:val="1"/>
    <w:next w:val="1"/>
    <w:qFormat/>
    <w:uiPriority w:val="0"/>
    <w:pPr>
      <w:autoSpaceDE w:val="0"/>
      <w:autoSpaceDN w:val="0"/>
      <w:adjustRightInd w:val="0"/>
      <w:spacing w:line="468" w:lineRule="atLeast"/>
      <w:jc w:val="left"/>
    </w:pPr>
    <w:rPr>
      <w:rFonts w:ascii="宋体"/>
      <w:kern w:val="0"/>
      <w:sz w:val="24"/>
    </w:rPr>
  </w:style>
  <w:style w:type="paragraph" w:customStyle="1" w:styleId="265">
    <w:name w:val="样式 USE 1 + 行距: 单倍行距"/>
    <w:basedOn w:val="266"/>
    <w:qFormat/>
    <w:uiPriority w:val="0"/>
    <w:pPr>
      <w:tabs>
        <w:tab w:val="left" w:pos="435"/>
      </w:tabs>
      <w:spacing w:line="180" w:lineRule="atLeast"/>
      <w:ind w:left="435" w:hanging="435"/>
    </w:pPr>
  </w:style>
  <w:style w:type="paragraph" w:customStyle="1" w:styleId="266">
    <w:name w:val="USE 1"/>
    <w:basedOn w:val="1"/>
    <w:qFormat/>
    <w:uiPriority w:val="0"/>
    <w:pPr>
      <w:spacing w:line="200" w:lineRule="atLeast"/>
      <w:jc w:val="left"/>
    </w:pPr>
    <w:rPr>
      <w:rFonts w:ascii="宋体" w:hAnsi="宋体"/>
      <w:b/>
      <w:sz w:val="24"/>
      <w:szCs w:val="20"/>
    </w:rPr>
  </w:style>
  <w:style w:type="paragraph" w:customStyle="1" w:styleId="26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eastAsia="Arial Unicode MS"/>
      <w:kern w:val="0"/>
      <w:sz w:val="18"/>
      <w:szCs w:val="20"/>
    </w:rPr>
  </w:style>
  <w:style w:type="paragraph" w:customStyle="1" w:styleId="268">
    <w:name w:val="菲页1"/>
    <w:basedOn w:val="9"/>
    <w:qFormat/>
    <w:uiPriority w:val="0"/>
    <w:pPr>
      <w:tabs>
        <w:tab w:val="left" w:pos="840"/>
      </w:tabs>
      <w:spacing w:before="120" w:after="120" w:line="413" w:lineRule="auto"/>
      <w:jc w:val="center"/>
    </w:pPr>
    <w:rPr>
      <w:rFonts w:ascii="黑体" w:hAnsi="宋体" w:eastAsia="宋体"/>
      <w:b w:val="0"/>
      <w:bCs w:val="0"/>
      <w:kern w:val="0"/>
      <w:sz w:val="52"/>
      <w:szCs w:val="20"/>
    </w:rPr>
  </w:style>
  <w:style w:type="paragraph" w:customStyle="1" w:styleId="269">
    <w:name w:val="样式 标题 2标题 1.1H2Heading 2 HiddenHeading 2 CCBSheading 2第一章 ...1"/>
    <w:basedOn w:val="9"/>
    <w:qFormat/>
    <w:uiPriority w:val="0"/>
    <w:pPr>
      <w:tabs>
        <w:tab w:val="left" w:pos="840"/>
      </w:tabs>
      <w:spacing w:before="156" w:after="156" w:line="360" w:lineRule="auto"/>
      <w:outlineLvl w:val="9"/>
    </w:pPr>
    <w:rPr>
      <w:rFonts w:eastAsia="宋体"/>
      <w:bCs w:val="0"/>
      <w:kern w:val="0"/>
      <w:sz w:val="21"/>
      <w:szCs w:val="20"/>
    </w:rPr>
  </w:style>
  <w:style w:type="paragraph" w:customStyle="1" w:styleId="270">
    <w:name w:val="USE 2"/>
    <w:basedOn w:val="1"/>
    <w:qFormat/>
    <w:uiPriority w:val="0"/>
    <w:pPr>
      <w:tabs>
        <w:tab w:val="left" w:pos="360"/>
      </w:tabs>
      <w:spacing w:line="360" w:lineRule="auto"/>
      <w:ind w:left="360" w:hanging="360"/>
      <w:jc w:val="left"/>
    </w:pPr>
    <w:rPr>
      <w:rFonts w:ascii="宋体" w:hAnsi="宋体"/>
      <w:sz w:val="24"/>
      <w:szCs w:val="20"/>
    </w:rPr>
  </w:style>
  <w:style w:type="paragraph" w:customStyle="1" w:styleId="271">
    <w:name w:val="Char Char1 Char Char Char Char Char Char Char Char Char Char"/>
    <w:basedOn w:val="1"/>
    <w:qFormat/>
    <w:uiPriority w:val="0"/>
    <w:pPr>
      <w:jc w:val="left"/>
    </w:pPr>
    <w:rPr>
      <w:rFonts w:ascii="Tahoma" w:hAnsi="Tahoma"/>
      <w:sz w:val="24"/>
      <w:szCs w:val="20"/>
    </w:rPr>
  </w:style>
  <w:style w:type="paragraph" w:customStyle="1" w:styleId="272">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4"/>
    </w:rPr>
  </w:style>
  <w:style w:type="paragraph" w:customStyle="1" w:styleId="273">
    <w:name w:val="样式 样式 宋体 小四 行距: 1.5 倍行距 + 首行缩进:  2.25 字符"/>
    <w:basedOn w:val="1"/>
    <w:qFormat/>
    <w:uiPriority w:val="0"/>
    <w:pPr>
      <w:ind w:firstLine="540" w:firstLineChars="225"/>
      <w:jc w:val="left"/>
    </w:pPr>
    <w:rPr>
      <w:rFonts w:ascii="宋体" w:hAnsi="宋体" w:cs="宋体"/>
      <w:sz w:val="24"/>
      <w:szCs w:val="20"/>
    </w:rPr>
  </w:style>
  <w:style w:type="paragraph" w:customStyle="1" w:styleId="274">
    <w:name w:val="Bullet Level 1"/>
    <w:basedOn w:val="1"/>
    <w:qFormat/>
    <w:uiPriority w:val="0"/>
    <w:pPr>
      <w:widowControl/>
      <w:tabs>
        <w:tab w:val="left" w:pos="360"/>
        <w:tab w:val="left" w:pos="1474"/>
      </w:tabs>
      <w:spacing w:before="120"/>
      <w:ind w:left="1508" w:hanging="357"/>
      <w:jc w:val="left"/>
    </w:pPr>
    <w:rPr>
      <w:rFonts w:ascii="Verdana" w:hAnsi="Verdana"/>
      <w:kern w:val="0"/>
      <w:sz w:val="20"/>
      <w:lang w:val="en-GB"/>
    </w:rPr>
  </w:style>
  <w:style w:type="paragraph" w:customStyle="1" w:styleId="275">
    <w:name w:val="默认段落字体 Para Char Char Char Char"/>
    <w:basedOn w:val="1"/>
    <w:qFormat/>
    <w:uiPriority w:val="0"/>
    <w:rPr>
      <w:szCs w:val="20"/>
    </w:rPr>
  </w:style>
  <w:style w:type="paragraph" w:customStyle="1" w:styleId="276">
    <w:name w:val="样式 表头 + 首行缩进:  2 字符"/>
    <w:basedOn w:val="1"/>
    <w:qFormat/>
    <w:uiPriority w:val="0"/>
    <w:pPr>
      <w:spacing w:line="240" w:lineRule="atLeast"/>
      <w:ind w:firstLine="480" w:firstLineChars="100"/>
      <w:jc w:val="center"/>
    </w:pPr>
    <w:rPr>
      <w:rFonts w:ascii="宋体" w:hAnsi="宋体" w:eastAsia="黑体" w:cs="宋体"/>
      <w:color w:val="000000"/>
      <w:sz w:val="28"/>
      <w:szCs w:val="20"/>
    </w:rPr>
  </w:style>
  <w:style w:type="paragraph" w:customStyle="1" w:styleId="277">
    <w:name w:val="表格内容"/>
    <w:next w:val="1"/>
    <w:qFormat/>
    <w:uiPriority w:val="0"/>
    <w:pPr>
      <w:widowControl w:val="0"/>
      <w:adjustRightInd w:val="0"/>
      <w:snapToGrid w:val="0"/>
      <w:ind w:left="-108"/>
      <w:jc w:val="center"/>
      <w:textAlignment w:val="center"/>
    </w:pPr>
    <w:rPr>
      <w:rFonts w:ascii="Times New Roman" w:hAnsi="Times New Roman" w:eastAsia="仿宋_GB2312" w:cs="Times New Roman"/>
      <w:sz w:val="18"/>
      <w:lang w:val="en-US" w:eastAsia="zh-CN" w:bidi="ar-SA"/>
    </w:rPr>
  </w:style>
  <w:style w:type="paragraph" w:customStyle="1" w:styleId="278">
    <w:name w:val="Char Char Char11"/>
    <w:basedOn w:val="1"/>
    <w:qFormat/>
    <w:uiPriority w:val="0"/>
    <w:rPr>
      <w:rFonts w:ascii="Tahoma" w:hAnsi="Tahoma"/>
      <w:sz w:val="24"/>
      <w:szCs w:val="20"/>
    </w:rPr>
  </w:style>
  <w:style w:type="paragraph" w:customStyle="1" w:styleId="279">
    <w:name w:val="表题"/>
    <w:qFormat/>
    <w:uiPriority w:val="0"/>
    <w:pPr>
      <w:keepNext/>
      <w:keepLines/>
      <w:adjustRightInd w:val="0"/>
      <w:snapToGrid w:val="0"/>
      <w:spacing w:before="80" w:line="360" w:lineRule="auto"/>
      <w:ind w:left="680"/>
      <w:jc w:val="center"/>
    </w:pPr>
    <w:rPr>
      <w:rFonts w:ascii="Arial" w:hAnsi="Arial" w:eastAsia="黑体" w:cs="Times New Roman"/>
      <w:sz w:val="16"/>
      <w:lang w:val="en-US" w:eastAsia="zh-CN" w:bidi="ar-SA"/>
    </w:rPr>
  </w:style>
  <w:style w:type="paragraph" w:customStyle="1" w:styleId="280">
    <w:name w:val="xl63"/>
    <w:basedOn w:val="1"/>
    <w:qFormat/>
    <w:uiPriority w:val="0"/>
    <w:pPr>
      <w:keepNext/>
      <w:keepLines/>
      <w:widowControl/>
      <w:pBdr>
        <w:top w:val="single" w:color="auto" w:sz="4" w:space="0"/>
        <w:left w:val="single" w:color="auto" w:sz="4" w:space="0"/>
        <w:bottom w:val="single" w:color="auto" w:sz="4" w:space="0"/>
        <w:right w:val="single" w:color="auto" w:sz="4" w:space="0"/>
      </w:pBdr>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281">
    <w:name w:val="font8"/>
    <w:basedOn w:val="1"/>
    <w:qFormat/>
    <w:uiPriority w:val="0"/>
    <w:pPr>
      <w:keepNext/>
      <w:keepLines/>
      <w:widowControl/>
      <w:spacing w:before="100" w:beforeAutospacing="1" w:after="100" w:afterAutospacing="1" w:line="400" w:lineRule="exact"/>
      <w:jc w:val="left"/>
    </w:pPr>
    <w:rPr>
      <w:rFonts w:ascii="楷体_GB2312" w:eastAsia="楷体_GB2312"/>
      <w:b/>
      <w:bCs/>
      <w:kern w:val="0"/>
      <w:sz w:val="20"/>
      <w:szCs w:val="20"/>
    </w:rPr>
  </w:style>
  <w:style w:type="paragraph" w:customStyle="1" w:styleId="282">
    <w:name w:val="xl62"/>
    <w:basedOn w:val="1"/>
    <w:qFormat/>
    <w:uiPriority w:val="0"/>
    <w:pPr>
      <w:keepNext/>
      <w:keepLines/>
      <w:widowControl/>
      <w:pBdr>
        <w:top w:val="double" w:color="auto" w:sz="6" w:space="0"/>
        <w:left w:val="single" w:color="auto" w:sz="4" w:space="0"/>
        <w:bottom w:val="single" w:color="auto" w:sz="4" w:space="0"/>
        <w:right w:val="single" w:color="auto" w:sz="4" w:space="0"/>
      </w:pBdr>
      <w:spacing w:before="100" w:beforeAutospacing="1" w:after="100" w:afterAutospacing="1" w:line="400" w:lineRule="exact"/>
      <w:jc w:val="center"/>
      <w:textAlignment w:val="center"/>
    </w:pPr>
    <w:rPr>
      <w:rFonts w:ascii="楷体_GB2312" w:eastAsia="楷体_GB2312"/>
      <w:b/>
      <w:bCs/>
      <w:kern w:val="0"/>
      <w:sz w:val="20"/>
      <w:szCs w:val="20"/>
    </w:rPr>
  </w:style>
  <w:style w:type="paragraph" w:customStyle="1" w:styleId="283">
    <w:name w:val="xl58"/>
    <w:basedOn w:val="1"/>
    <w:qFormat/>
    <w:uiPriority w:val="0"/>
    <w:pPr>
      <w:keepNext/>
      <w:keepLines/>
      <w:widowControl/>
      <w:pBdr>
        <w:top w:val="double" w:color="auto" w:sz="6" w:space="0"/>
        <w:left w:val="single" w:color="auto" w:sz="4" w:space="0"/>
        <w:bottom w:val="single" w:color="auto" w:sz="4" w:space="0"/>
        <w:right w:val="double" w:color="auto" w:sz="6" w:space="0"/>
      </w:pBdr>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284">
    <w:name w:val="注"/>
    <w:basedOn w:val="285"/>
    <w:qFormat/>
    <w:uiPriority w:val="0"/>
    <w:rPr>
      <w:rFonts w:ascii="长城楷体" w:eastAsia="长城楷体"/>
      <w:sz w:val="21"/>
    </w:rPr>
  </w:style>
  <w:style w:type="paragraph" w:customStyle="1" w:styleId="285">
    <w:name w:val="文档正文"/>
    <w:basedOn w:val="1"/>
    <w:qFormat/>
    <w:uiPriority w:val="0"/>
    <w:pPr>
      <w:adjustRightInd w:val="0"/>
      <w:spacing w:line="312" w:lineRule="atLeast"/>
      <w:ind w:firstLine="567"/>
      <w:textAlignment w:val="baseline"/>
    </w:pPr>
    <w:rPr>
      <w:rFonts w:ascii="长城仿宋" w:eastAsia="长城仿宋"/>
      <w:kern w:val="0"/>
      <w:sz w:val="28"/>
      <w:szCs w:val="20"/>
    </w:rPr>
  </w:style>
  <w:style w:type="paragraph" w:customStyle="1" w:styleId="286">
    <w:name w:val="正文1"/>
    <w:basedOn w:val="1"/>
    <w:qFormat/>
    <w:uiPriority w:val="0"/>
    <w:pPr>
      <w:spacing w:line="360" w:lineRule="auto"/>
      <w:ind w:left="1260" w:leftChars="600" w:firstLine="540" w:firstLineChars="257"/>
    </w:pPr>
    <w:rPr>
      <w:rFonts w:ascii="宋体" w:hAnsi="宋体"/>
    </w:rPr>
  </w:style>
  <w:style w:type="paragraph" w:customStyle="1" w:styleId="287">
    <w:name w:val="USE 3"/>
    <w:basedOn w:val="1"/>
    <w:qFormat/>
    <w:uiPriority w:val="0"/>
    <w:pPr>
      <w:tabs>
        <w:tab w:val="left" w:pos="720"/>
      </w:tabs>
      <w:spacing w:line="360" w:lineRule="auto"/>
      <w:ind w:left="720" w:hanging="720"/>
      <w:jc w:val="left"/>
    </w:pPr>
    <w:rPr>
      <w:rFonts w:ascii="宋体" w:hAnsi="宋体"/>
      <w:sz w:val="24"/>
      <w:szCs w:val="20"/>
    </w:rPr>
  </w:style>
  <w:style w:type="paragraph" w:customStyle="1" w:styleId="288">
    <w:name w:val="前言、引言标题"/>
    <w:next w:val="1"/>
    <w:qFormat/>
    <w:uiPriority w:val="0"/>
    <w:pPr>
      <w:shd w:val="clear" w:color="FFFFFF" w:fill="FFFFFF"/>
      <w:tabs>
        <w:tab w:val="left" w:pos="735"/>
      </w:tabs>
      <w:spacing w:before="640" w:after="560"/>
      <w:ind w:left="735" w:hanging="735"/>
      <w:jc w:val="center"/>
      <w:outlineLvl w:val="0"/>
    </w:pPr>
    <w:rPr>
      <w:rFonts w:ascii="黑体" w:hAnsi="Times New Roman" w:eastAsia="黑体" w:cs="Times New Roman"/>
      <w:sz w:val="32"/>
      <w:lang w:val="en-US" w:eastAsia="zh-CN" w:bidi="ar-SA"/>
    </w:rPr>
  </w:style>
  <w:style w:type="paragraph" w:customStyle="1" w:styleId="289">
    <w:name w:val="样式 标题 2H2Heading 2 HiddenHeading 2 CCBS2nd levelh22Header..."/>
    <w:basedOn w:val="9"/>
    <w:qFormat/>
    <w:uiPriority w:val="0"/>
    <w:pPr>
      <w:tabs>
        <w:tab w:val="left" w:pos="840"/>
        <w:tab w:val="left" w:pos="930"/>
      </w:tabs>
      <w:spacing w:before="200" w:after="200" w:line="415" w:lineRule="auto"/>
      <w:ind w:left="930" w:hanging="240"/>
    </w:pPr>
    <w:rPr>
      <w:rFonts w:ascii="宋体" w:hAnsi="宋体" w:eastAsia="宋体" w:cs="宋体"/>
      <w:sz w:val="21"/>
      <w:szCs w:val="20"/>
    </w:rPr>
  </w:style>
  <w:style w:type="paragraph" w:customStyle="1" w:styleId="290">
    <w:name w:val="缺省文本:1"/>
    <w:basedOn w:val="1"/>
    <w:qFormat/>
    <w:uiPriority w:val="0"/>
    <w:pPr>
      <w:autoSpaceDE w:val="0"/>
      <w:autoSpaceDN w:val="0"/>
      <w:adjustRightInd w:val="0"/>
      <w:jc w:val="left"/>
    </w:pPr>
    <w:rPr>
      <w:rFonts w:ascii="宋体"/>
      <w:kern w:val="0"/>
      <w:sz w:val="24"/>
      <w:szCs w:val="20"/>
    </w:rPr>
  </w:style>
  <w:style w:type="paragraph" w:customStyle="1" w:styleId="291">
    <w:name w:val="Char2 Char Char Char"/>
    <w:basedOn w:val="1"/>
    <w:qFormat/>
    <w:uiPriority w:val="0"/>
    <w:rPr>
      <w:rFonts w:ascii="仿宋_GB2312"/>
      <w:b/>
      <w:sz w:val="30"/>
      <w:szCs w:val="32"/>
    </w:rPr>
  </w:style>
  <w:style w:type="paragraph" w:customStyle="1" w:styleId="292">
    <w:name w:val="默认段落字体 Para Char"/>
    <w:basedOn w:val="1"/>
    <w:qFormat/>
    <w:uiPriority w:val="0"/>
    <w:pPr>
      <w:tabs>
        <w:tab w:val="left" w:pos="360"/>
      </w:tabs>
      <w:ind w:left="420" w:hanging="420"/>
    </w:pPr>
    <w:rPr>
      <w:sz w:val="24"/>
    </w:rPr>
  </w:style>
  <w:style w:type="character" w:customStyle="1" w:styleId="293">
    <w:name w:val="正文文本 Char1"/>
    <w:basedOn w:val="65"/>
    <w:link w:val="3"/>
    <w:qFormat/>
    <w:uiPriority w:val="0"/>
    <w:rPr>
      <w:kern w:val="2"/>
      <w:sz w:val="21"/>
      <w:szCs w:val="24"/>
    </w:rPr>
  </w:style>
  <w:style w:type="character" w:customStyle="1" w:styleId="294">
    <w:name w:val="正文首行缩进 Char1"/>
    <w:basedOn w:val="293"/>
    <w:qFormat/>
    <w:uiPriority w:val="0"/>
    <w:rPr>
      <w:kern w:val="2"/>
      <w:sz w:val="21"/>
      <w:szCs w:val="24"/>
    </w:rPr>
  </w:style>
  <w:style w:type="paragraph" w:customStyle="1" w:styleId="295">
    <w:name w:val="font9"/>
    <w:basedOn w:val="1"/>
    <w:qFormat/>
    <w:uiPriority w:val="0"/>
    <w:pPr>
      <w:keepNext/>
      <w:keepLines/>
      <w:widowControl/>
      <w:spacing w:before="100" w:beforeAutospacing="1" w:after="100" w:afterAutospacing="1" w:line="400" w:lineRule="exact"/>
      <w:jc w:val="left"/>
    </w:pPr>
    <w:rPr>
      <w:rFonts w:ascii="Arial Narrow" w:hAnsi="Arial Narrow" w:eastAsia="楷体_GB2312"/>
      <w:kern w:val="0"/>
      <w:sz w:val="20"/>
      <w:szCs w:val="20"/>
    </w:rPr>
  </w:style>
  <w:style w:type="paragraph" w:customStyle="1" w:styleId="296">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297">
    <w:name w:val="xl42"/>
    <w:basedOn w:val="1"/>
    <w:qFormat/>
    <w:uiPriority w:val="0"/>
    <w:pPr>
      <w:keepNext/>
      <w:keepLines/>
      <w:widowControl/>
      <w:pBdr>
        <w:top w:val="single" w:color="auto" w:sz="4" w:space="0"/>
        <w:left w:val="single" w:color="auto" w:sz="4" w:space="0"/>
        <w:bottom w:val="double" w:color="auto" w:sz="6" w:space="0"/>
        <w:right w:val="single" w:color="auto" w:sz="4" w:space="0"/>
      </w:pBdr>
      <w:spacing w:before="100" w:beforeAutospacing="1" w:after="100" w:afterAutospacing="1" w:line="400" w:lineRule="exact"/>
      <w:jc w:val="left"/>
      <w:textAlignment w:val="center"/>
    </w:pPr>
    <w:rPr>
      <w:rFonts w:ascii="Arial Narrow" w:hAnsi="Arial Narrow" w:eastAsia="楷体_GB2312"/>
      <w:b/>
      <w:bCs/>
      <w:kern w:val="0"/>
      <w:sz w:val="20"/>
      <w:szCs w:val="20"/>
    </w:rPr>
  </w:style>
  <w:style w:type="paragraph" w:customStyle="1" w:styleId="298">
    <w:name w:val="Char Char Char Char Char Char1 Char Char Char Char Char1"/>
    <w:basedOn w:val="25"/>
    <w:qFormat/>
    <w:uiPriority w:val="0"/>
    <w:pPr>
      <w:jc w:val="left"/>
    </w:pPr>
    <w:rPr>
      <w:rFonts w:ascii="Tahoma" w:hAnsi="Tahoma"/>
      <w:sz w:val="24"/>
    </w:rPr>
  </w:style>
  <w:style w:type="paragraph" w:customStyle="1" w:styleId="299">
    <w:name w:val="font10"/>
    <w:basedOn w:val="1"/>
    <w:qFormat/>
    <w:uiPriority w:val="0"/>
    <w:pPr>
      <w:keepNext/>
      <w:keepLines/>
      <w:widowControl/>
      <w:spacing w:before="100" w:beforeAutospacing="1" w:after="100" w:afterAutospacing="1" w:line="400" w:lineRule="exact"/>
      <w:jc w:val="left"/>
    </w:pPr>
    <w:rPr>
      <w:rFonts w:ascii="楷体_GB2312" w:eastAsia="楷体_GB2312"/>
      <w:kern w:val="0"/>
      <w:sz w:val="20"/>
      <w:szCs w:val="20"/>
    </w:rPr>
  </w:style>
  <w:style w:type="character" w:customStyle="1" w:styleId="300">
    <w:name w:val="标题 Char1"/>
    <w:basedOn w:val="65"/>
    <w:qFormat/>
    <w:uiPriority w:val="0"/>
    <w:rPr>
      <w:rFonts w:ascii="Cambria" w:hAnsi="Cambria" w:cs="Times New Roman"/>
      <w:b/>
      <w:bCs/>
      <w:kern w:val="2"/>
      <w:sz w:val="32"/>
      <w:szCs w:val="32"/>
    </w:rPr>
  </w:style>
  <w:style w:type="paragraph" w:customStyle="1" w:styleId="301">
    <w:name w:val="xl67"/>
    <w:basedOn w:val="1"/>
    <w:qFormat/>
    <w:uiPriority w:val="0"/>
    <w:pPr>
      <w:keepNext/>
      <w:keepLines/>
      <w:widowControl/>
      <w:pBdr>
        <w:top w:val="double" w:color="auto" w:sz="6" w:space="0"/>
        <w:left w:val="single" w:color="auto" w:sz="4" w:space="0"/>
        <w:bottom w:val="single" w:color="auto" w:sz="4" w:space="0"/>
        <w:right w:val="single" w:color="auto" w:sz="4" w:space="0"/>
      </w:pBdr>
      <w:spacing w:before="100" w:beforeAutospacing="1" w:after="100" w:afterAutospacing="1" w:line="400" w:lineRule="exact"/>
      <w:jc w:val="center"/>
      <w:textAlignment w:val="center"/>
    </w:pPr>
    <w:rPr>
      <w:rFonts w:ascii="楷体_GB2312" w:eastAsia="楷体_GB2312"/>
      <w:b/>
      <w:bCs/>
      <w:kern w:val="0"/>
      <w:sz w:val="20"/>
      <w:szCs w:val="20"/>
    </w:rPr>
  </w:style>
  <w:style w:type="paragraph" w:customStyle="1" w:styleId="302">
    <w:name w:val="font5"/>
    <w:basedOn w:val="1"/>
    <w:qFormat/>
    <w:uiPriority w:val="0"/>
    <w:pPr>
      <w:widowControl/>
      <w:spacing w:before="100" w:beforeAutospacing="1" w:after="100" w:afterAutospacing="1"/>
      <w:jc w:val="left"/>
    </w:pPr>
    <w:rPr>
      <w:rFonts w:ascii="宋体" w:hAnsi="宋体"/>
      <w:kern w:val="0"/>
      <w:sz w:val="24"/>
    </w:rPr>
  </w:style>
  <w:style w:type="paragraph" w:customStyle="1" w:styleId="303">
    <w:name w:val="xl41"/>
    <w:basedOn w:val="1"/>
    <w:qFormat/>
    <w:uiPriority w:val="0"/>
    <w:pPr>
      <w:keepNext/>
      <w:keepLines/>
      <w:widowControl/>
      <w:pBdr>
        <w:top w:val="single" w:color="auto" w:sz="4" w:space="0"/>
        <w:left w:val="single" w:color="auto" w:sz="4" w:space="0"/>
        <w:bottom w:val="double" w:color="auto" w:sz="6" w:space="0"/>
        <w:right w:val="single" w:color="auto" w:sz="4" w:space="0"/>
      </w:pBdr>
      <w:spacing w:before="100" w:beforeAutospacing="1" w:after="100" w:afterAutospacing="1" w:line="400" w:lineRule="exact"/>
      <w:jc w:val="left"/>
      <w:textAlignment w:val="center"/>
    </w:pPr>
    <w:rPr>
      <w:rFonts w:ascii="Arial Narrow" w:hAnsi="Arial Narrow" w:eastAsia="楷体_GB2312"/>
      <w:i/>
      <w:iCs/>
      <w:kern w:val="0"/>
      <w:sz w:val="20"/>
      <w:szCs w:val="20"/>
    </w:rPr>
  </w:style>
  <w:style w:type="paragraph" w:customStyle="1" w:styleId="304">
    <w:name w:val="Numbered list 2.3"/>
    <w:basedOn w:val="10"/>
    <w:next w:val="1"/>
    <w:qFormat/>
    <w:uiPriority w:val="0"/>
    <w:pPr>
      <w:keepLines w:val="0"/>
      <w:widowControl/>
      <w:tabs>
        <w:tab w:val="left" w:pos="360"/>
        <w:tab w:val="left" w:pos="705"/>
        <w:tab w:val="left" w:pos="1080"/>
      </w:tabs>
      <w:spacing w:before="240" w:after="60" w:line="240" w:lineRule="auto"/>
      <w:ind w:left="720" w:hanging="720"/>
      <w:jc w:val="left"/>
    </w:pPr>
    <w:rPr>
      <w:rFonts w:ascii="Arial" w:hAnsi="Arial"/>
      <w:b w:val="0"/>
      <w:iCs/>
      <w:kern w:val="0"/>
      <w:sz w:val="28"/>
      <w:szCs w:val="24"/>
    </w:rPr>
  </w:style>
  <w:style w:type="paragraph" w:customStyle="1" w:styleId="305">
    <w:name w:val="三级条标题"/>
    <w:basedOn w:val="306"/>
    <w:next w:val="254"/>
    <w:qFormat/>
    <w:uiPriority w:val="0"/>
    <w:pPr>
      <w:tabs>
        <w:tab w:val="left" w:pos="735"/>
      </w:tabs>
      <w:outlineLvl w:val="4"/>
    </w:pPr>
  </w:style>
  <w:style w:type="paragraph" w:customStyle="1" w:styleId="306">
    <w:name w:val="二级条标题"/>
    <w:basedOn w:val="307"/>
    <w:next w:val="254"/>
    <w:qFormat/>
    <w:uiPriority w:val="0"/>
    <w:pPr>
      <w:tabs>
        <w:tab w:val="left" w:pos="735"/>
      </w:tabs>
      <w:outlineLvl w:val="3"/>
    </w:pPr>
  </w:style>
  <w:style w:type="paragraph" w:customStyle="1" w:styleId="307">
    <w:name w:val="一级条标题"/>
    <w:next w:val="254"/>
    <w:qFormat/>
    <w:uiPriority w:val="0"/>
    <w:pPr>
      <w:tabs>
        <w:tab w:val="left" w:pos="735"/>
      </w:tabs>
      <w:ind w:left="735" w:hanging="735"/>
      <w:outlineLvl w:val="2"/>
    </w:pPr>
    <w:rPr>
      <w:rFonts w:ascii="Times New Roman" w:hAnsi="Times New Roman" w:eastAsia="黑体" w:cs="Times New Roman"/>
      <w:sz w:val="21"/>
      <w:lang w:val="en-US" w:eastAsia="zh-CN" w:bidi="ar-SA"/>
    </w:rPr>
  </w:style>
  <w:style w:type="paragraph" w:customStyle="1" w:styleId="308">
    <w:name w:val="Char11"/>
    <w:basedOn w:val="25"/>
    <w:qFormat/>
    <w:uiPriority w:val="0"/>
    <w:rPr>
      <w:rFonts w:ascii="Tahoma" w:hAnsi="Tahoma"/>
      <w:sz w:val="24"/>
      <w:szCs w:val="20"/>
    </w:rPr>
  </w:style>
  <w:style w:type="paragraph" w:customStyle="1" w:styleId="309">
    <w:name w:val="标题 31"/>
    <w:basedOn w:val="286"/>
    <w:next w:val="23"/>
    <w:qFormat/>
    <w:uiPriority w:val="0"/>
    <w:pPr>
      <w:tabs>
        <w:tab w:val="left" w:pos="851"/>
        <w:tab w:val="left" w:pos="1560"/>
        <w:tab w:val="left" w:pos="2907"/>
      </w:tabs>
      <w:adjustRightInd w:val="0"/>
      <w:ind w:left="1560" w:leftChars="0" w:hanging="720" w:firstLineChars="0"/>
      <w:jc w:val="left"/>
      <w:textAlignment w:val="baseline"/>
    </w:pPr>
    <w:rPr>
      <w:rFonts w:hAnsi="Times New Roman"/>
      <w:sz w:val="24"/>
      <w:szCs w:val="20"/>
    </w:rPr>
  </w:style>
  <w:style w:type="paragraph" w:customStyle="1" w:styleId="310">
    <w:name w:val="保留正文"/>
    <w:basedOn w:val="3"/>
    <w:qFormat/>
    <w:uiPriority w:val="0"/>
    <w:pPr>
      <w:keepNext/>
      <w:spacing w:after="160"/>
    </w:pPr>
  </w:style>
  <w:style w:type="paragraph" w:customStyle="1" w:styleId="311">
    <w:name w:val="目录文字"/>
    <w:basedOn w:val="1"/>
    <w:qFormat/>
    <w:uiPriority w:val="0"/>
    <w:pPr>
      <w:widowControl/>
      <w:spacing w:line="480" w:lineRule="auto"/>
      <w:jc w:val="left"/>
    </w:pPr>
    <w:rPr>
      <w:rFonts w:ascii="宋体" w:hAnsi="宋体"/>
      <w:kern w:val="0"/>
      <w:sz w:val="24"/>
      <w:szCs w:val="20"/>
    </w:rPr>
  </w:style>
  <w:style w:type="paragraph" w:customStyle="1" w:styleId="312">
    <w:name w:val="四级条标题"/>
    <w:basedOn w:val="305"/>
    <w:next w:val="254"/>
    <w:qFormat/>
    <w:uiPriority w:val="0"/>
    <w:pPr>
      <w:outlineLvl w:val="5"/>
    </w:pPr>
  </w:style>
  <w:style w:type="character" w:customStyle="1" w:styleId="313">
    <w:name w:val="注释标题 Char"/>
    <w:basedOn w:val="65"/>
    <w:link w:val="20"/>
    <w:qFormat/>
    <w:uiPriority w:val="0"/>
    <w:rPr>
      <w:rFonts w:ascii="宋体" w:hAnsi="宋体" w:cs="宋体"/>
      <w:sz w:val="24"/>
      <w:szCs w:val="24"/>
    </w:rPr>
  </w:style>
  <w:style w:type="character" w:customStyle="1" w:styleId="314">
    <w:name w:val="签名 Char2"/>
    <w:basedOn w:val="65"/>
    <w:qFormat/>
    <w:uiPriority w:val="0"/>
    <w:rPr>
      <w:kern w:val="2"/>
      <w:sz w:val="21"/>
      <w:szCs w:val="24"/>
    </w:rPr>
  </w:style>
  <w:style w:type="paragraph" w:customStyle="1" w:styleId="315">
    <w:name w:val="Char Char Char Char Char Char1 Char Char Char Char Char"/>
    <w:basedOn w:val="25"/>
    <w:qFormat/>
    <w:uiPriority w:val="0"/>
    <w:pPr>
      <w:jc w:val="left"/>
    </w:pPr>
    <w:rPr>
      <w:rFonts w:ascii="Tahoma" w:hAnsi="Tahoma"/>
      <w:sz w:val="24"/>
    </w:rPr>
  </w:style>
  <w:style w:type="paragraph" w:customStyle="1" w:styleId="316">
    <w:name w:val="样式 (西文) 宋体 行距: 1.5 倍行距"/>
    <w:basedOn w:val="1"/>
    <w:qFormat/>
    <w:uiPriority w:val="0"/>
    <w:pPr>
      <w:spacing w:line="360" w:lineRule="auto"/>
    </w:pPr>
    <w:rPr>
      <w:rFonts w:ascii="宋体" w:hAnsi="宋体"/>
      <w:szCs w:val="20"/>
    </w:rPr>
  </w:style>
  <w:style w:type="paragraph" w:customStyle="1" w:styleId="317">
    <w:name w:val="xl69"/>
    <w:basedOn w:val="1"/>
    <w:qFormat/>
    <w:uiPriority w:val="0"/>
    <w:pPr>
      <w:keepNext/>
      <w:keepLines/>
      <w:widowControl/>
      <w:pBdr>
        <w:top w:val="single" w:color="auto" w:sz="4" w:space="0"/>
        <w:left w:val="single" w:color="auto" w:sz="4" w:space="0"/>
        <w:bottom w:val="single" w:color="auto" w:sz="4" w:space="0"/>
        <w:right w:val="double" w:color="auto" w:sz="6" w:space="0"/>
      </w:pBdr>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318">
    <w:name w:val="样式 标题 3Level 3 HeadH3Heading 3 - oldh3sect1.2.3Head33l3...2"/>
    <w:basedOn w:val="10"/>
    <w:qFormat/>
    <w:uiPriority w:val="0"/>
    <w:pPr>
      <w:spacing w:before="120" w:after="120" w:line="413" w:lineRule="auto"/>
      <w:jc w:val="center"/>
      <w:outlineLvl w:val="9"/>
    </w:pPr>
    <w:rPr>
      <w:rFonts w:ascii="宋体" w:hAnsi="宋体"/>
      <w:bCs w:val="0"/>
      <w:sz w:val="28"/>
      <w:szCs w:val="20"/>
    </w:rPr>
  </w:style>
  <w:style w:type="paragraph" w:customStyle="1" w:styleId="319">
    <w:name w:val="标四"/>
    <w:next w:val="1"/>
    <w:qFormat/>
    <w:uiPriority w:val="0"/>
    <w:pPr>
      <w:tabs>
        <w:tab w:val="left" w:pos="552"/>
        <w:tab w:val="left" w:pos="840"/>
      </w:tabs>
      <w:spacing w:line="360" w:lineRule="auto"/>
      <w:ind w:left="840" w:hanging="840"/>
      <w:outlineLvl w:val="3"/>
    </w:pPr>
    <w:rPr>
      <w:rFonts w:ascii="宋体" w:hAnsi="宋体" w:eastAsia="宋体" w:cs="Plotter"/>
      <w:sz w:val="24"/>
      <w:szCs w:val="24"/>
      <w:lang w:val="en-US" w:eastAsia="zh-CN" w:bidi="ar-SA"/>
    </w:rPr>
  </w:style>
  <w:style w:type="paragraph" w:customStyle="1" w:styleId="320">
    <w:name w:val="标三"/>
    <w:next w:val="1"/>
    <w:qFormat/>
    <w:uiPriority w:val="0"/>
    <w:pPr>
      <w:tabs>
        <w:tab w:val="left" w:pos="340"/>
        <w:tab w:val="left" w:pos="735"/>
      </w:tabs>
      <w:ind w:left="735" w:hanging="735"/>
      <w:outlineLvl w:val="2"/>
    </w:pPr>
    <w:rPr>
      <w:rFonts w:ascii="黑体" w:hAnsi="Plotter" w:eastAsia="黑体" w:cs="Plotter"/>
      <w:b/>
      <w:bCs/>
      <w:sz w:val="28"/>
      <w:szCs w:val="32"/>
      <w:lang w:val="en-US" w:eastAsia="zh-CN" w:bidi="ar-SA"/>
    </w:rPr>
  </w:style>
  <w:style w:type="character" w:customStyle="1" w:styleId="321">
    <w:name w:val="脚注文本 Char1"/>
    <w:basedOn w:val="65"/>
    <w:qFormat/>
    <w:uiPriority w:val="0"/>
    <w:rPr>
      <w:kern w:val="2"/>
      <w:sz w:val="18"/>
      <w:szCs w:val="18"/>
    </w:rPr>
  </w:style>
  <w:style w:type="paragraph" w:customStyle="1" w:styleId="322">
    <w:name w:val="表格文字"/>
    <w:basedOn w:val="1"/>
    <w:qFormat/>
    <w:uiPriority w:val="0"/>
    <w:pPr>
      <w:spacing w:line="360" w:lineRule="auto"/>
      <w:jc w:val="left"/>
    </w:pPr>
    <w:rPr>
      <w:rFonts w:ascii="Calibri" w:hAnsi="Calibri"/>
      <w:szCs w:val="21"/>
    </w:rPr>
  </w:style>
  <w:style w:type="paragraph" w:customStyle="1" w:styleId="323">
    <w:name w:val="样式 样式 (中文) 仿宋_GB2312 四号 行距: 多倍行距 1.25 字行2 + 首行缩进:  2 字符"/>
    <w:basedOn w:val="1"/>
    <w:qFormat/>
    <w:uiPriority w:val="0"/>
    <w:pPr>
      <w:snapToGrid w:val="0"/>
      <w:spacing w:line="300" w:lineRule="auto"/>
      <w:ind w:firstLine="560" w:firstLineChars="200"/>
    </w:pPr>
    <w:rPr>
      <w:rFonts w:eastAsia="仿宋_GB2312"/>
      <w:color w:val="000000"/>
      <w:kern w:val="0"/>
      <w:sz w:val="28"/>
      <w:szCs w:val="20"/>
    </w:rPr>
  </w:style>
  <w:style w:type="character" w:customStyle="1" w:styleId="324">
    <w:name w:val="尾注文本 Char2"/>
    <w:basedOn w:val="65"/>
    <w:qFormat/>
    <w:uiPriority w:val="0"/>
    <w:rPr>
      <w:kern w:val="2"/>
      <w:sz w:val="21"/>
      <w:szCs w:val="24"/>
    </w:rPr>
  </w:style>
  <w:style w:type="character" w:customStyle="1" w:styleId="325">
    <w:name w:val="正文文本缩进 Char1"/>
    <w:basedOn w:val="65"/>
    <w:link w:val="6"/>
    <w:qFormat/>
    <w:uiPriority w:val="0"/>
    <w:rPr>
      <w:kern w:val="2"/>
      <w:sz w:val="21"/>
      <w:szCs w:val="24"/>
    </w:rPr>
  </w:style>
  <w:style w:type="character" w:customStyle="1" w:styleId="326">
    <w:name w:val="正文首行缩进 2 Char2"/>
    <w:basedOn w:val="325"/>
    <w:qFormat/>
    <w:uiPriority w:val="0"/>
    <w:rPr>
      <w:kern w:val="2"/>
      <w:sz w:val="21"/>
      <w:szCs w:val="24"/>
    </w:rPr>
  </w:style>
  <w:style w:type="paragraph" w:customStyle="1" w:styleId="327">
    <w:name w:val="Char3"/>
    <w:basedOn w:val="1"/>
    <w:qFormat/>
    <w:uiPriority w:val="0"/>
    <w:rPr>
      <w:rFonts w:ascii="Tahoma" w:hAnsi="Tahoma"/>
      <w:sz w:val="24"/>
      <w:szCs w:val="20"/>
    </w:rPr>
  </w:style>
  <w:style w:type="character" w:customStyle="1" w:styleId="328">
    <w:name w:val="HTML 预设格式 Char"/>
    <w:basedOn w:val="65"/>
    <w:link w:val="59"/>
    <w:qFormat/>
    <w:uiPriority w:val="0"/>
    <w:rPr>
      <w:rFonts w:ascii="Arial Unicode MS" w:hAnsi="Arial Unicode MS" w:eastAsia="Courier New" w:cs="Courier New"/>
    </w:rPr>
  </w:style>
  <w:style w:type="paragraph" w:customStyle="1" w:styleId="329">
    <w:name w:val="Char Char Char Char Char Char Char Char Char Char Char"/>
    <w:basedOn w:val="1"/>
    <w:qFormat/>
    <w:uiPriority w:val="0"/>
    <w:rPr>
      <w:rFonts w:ascii="Tahoma" w:hAnsi="Tahoma"/>
      <w:sz w:val="24"/>
      <w:szCs w:val="20"/>
    </w:rPr>
  </w:style>
  <w:style w:type="paragraph" w:customStyle="1" w:styleId="330">
    <w:name w:val="Normal1"/>
    <w:basedOn w:val="8"/>
    <w:next w:val="8"/>
    <w:qFormat/>
    <w:uiPriority w:val="0"/>
    <w:pPr>
      <w:tabs>
        <w:tab w:val="left" w:pos="951"/>
        <w:tab w:val="left" w:pos="2907"/>
      </w:tabs>
      <w:adjustRightInd w:val="0"/>
      <w:spacing w:before="0" w:after="0"/>
      <w:ind w:left="2907" w:hanging="1755"/>
      <w:jc w:val="left"/>
      <w:textAlignment w:val="baseline"/>
    </w:pPr>
    <w:rPr>
      <w:rFonts w:ascii="宋体" w:hAnsi="宋体" w:eastAsia="宋体"/>
      <w:bCs w:val="0"/>
      <w:kern w:val="0"/>
      <w:sz w:val="24"/>
      <w:szCs w:val="20"/>
    </w:rPr>
  </w:style>
  <w:style w:type="paragraph" w:customStyle="1" w:styleId="331">
    <w:name w:val="标题 32"/>
    <w:basedOn w:val="1"/>
    <w:next w:val="23"/>
    <w:qFormat/>
    <w:uiPriority w:val="0"/>
    <w:pPr>
      <w:widowControl/>
      <w:jc w:val="left"/>
    </w:pPr>
    <w:rPr>
      <w:sz w:val="24"/>
      <w:szCs w:val="20"/>
    </w:rPr>
  </w:style>
  <w:style w:type="paragraph" w:customStyle="1" w:styleId="332">
    <w:name w:val="xl32"/>
    <w:basedOn w:val="1"/>
    <w:qFormat/>
    <w:uiPriority w:val="0"/>
    <w:pPr>
      <w:widowControl/>
      <w:pBdr>
        <w:bottom w:val="single" w:color="auto" w:sz="4" w:space="0"/>
      </w:pBdr>
      <w:spacing w:before="100" w:after="100"/>
      <w:jc w:val="center"/>
    </w:pPr>
    <w:rPr>
      <w:rFonts w:ascii="宋体" w:hAnsi="宋体"/>
      <w:kern w:val="0"/>
      <w:sz w:val="24"/>
    </w:rPr>
  </w:style>
  <w:style w:type="paragraph" w:customStyle="1" w:styleId="333">
    <w:name w:val="表项"/>
    <w:next w:val="334"/>
    <w:qFormat/>
    <w:uiPriority w:val="0"/>
    <w:pPr>
      <w:adjustRightInd w:val="0"/>
      <w:snapToGrid w:val="0"/>
      <w:spacing w:line="300" w:lineRule="auto"/>
      <w:jc w:val="center"/>
    </w:pPr>
    <w:rPr>
      <w:rFonts w:ascii="Arial" w:hAnsi="Arial" w:eastAsia="黑体" w:cs="Arial"/>
      <w:iCs/>
      <w:sz w:val="16"/>
      <w:lang w:val="en-US" w:eastAsia="zh-CN" w:bidi="ar-SA"/>
    </w:rPr>
  </w:style>
  <w:style w:type="paragraph" w:customStyle="1" w:styleId="334">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35">
    <w:name w:val="文章标题"/>
    <w:basedOn w:val="61"/>
    <w:next w:val="61"/>
    <w:qFormat/>
    <w:uiPriority w:val="0"/>
    <w:pPr>
      <w:widowControl/>
      <w:tabs>
        <w:tab w:val="left" w:pos="0"/>
      </w:tabs>
      <w:outlineLvl w:val="9"/>
    </w:pPr>
    <w:rPr>
      <w:rFonts w:ascii="宋体" w:hAnsi="宋体" w:eastAsia="宋体"/>
      <w:kern w:val="0"/>
    </w:rPr>
  </w:style>
  <w:style w:type="paragraph" w:customStyle="1" w:styleId="336">
    <w:name w:val="样式 样式 样式 样式 标题 2 + 宋体 五号 非加粗 黑色 + 段前: 6 磅 段后: 0 磅 行距: 单倍行距 + 段前:..."/>
    <w:basedOn w:val="1"/>
    <w:qFormat/>
    <w:uiPriority w:val="0"/>
    <w:pPr>
      <w:keepNext/>
      <w:keepLines/>
      <w:tabs>
        <w:tab w:val="left" w:pos="840"/>
        <w:tab w:val="left" w:pos="1080"/>
      </w:tabs>
      <w:adjustRightInd w:val="0"/>
      <w:spacing w:before="240"/>
      <w:ind w:left="1080" w:hanging="360"/>
      <w:jc w:val="left"/>
      <w:textAlignment w:val="baseline"/>
      <w:outlineLvl w:val="1"/>
    </w:pPr>
    <w:rPr>
      <w:rFonts w:ascii="宋体" w:hAnsi="宋体"/>
      <w:b/>
      <w:color w:val="000000"/>
      <w:kern w:val="0"/>
      <w:szCs w:val="20"/>
    </w:rPr>
  </w:style>
  <w:style w:type="paragraph" w:customStyle="1" w:styleId="337">
    <w:name w:val="缺省文本"/>
    <w:basedOn w:val="1"/>
    <w:qFormat/>
    <w:uiPriority w:val="0"/>
    <w:pPr>
      <w:autoSpaceDE w:val="0"/>
      <w:autoSpaceDN w:val="0"/>
      <w:adjustRightInd w:val="0"/>
      <w:jc w:val="left"/>
    </w:pPr>
    <w:rPr>
      <w:kern w:val="0"/>
      <w:sz w:val="24"/>
      <w:szCs w:val="20"/>
    </w:rPr>
  </w:style>
  <w:style w:type="paragraph" w:customStyle="1" w:styleId="338">
    <w:name w:val="样式 标题 4 + (西文) Times New Roman (中文) 宋体 (复杂脚本) Times New Roman..."/>
    <w:basedOn w:val="11"/>
    <w:qFormat/>
    <w:uiPriority w:val="0"/>
    <w:pPr>
      <w:keepLines/>
      <w:widowControl/>
      <w:tabs>
        <w:tab w:val="left" w:pos="900"/>
        <w:tab w:val="left" w:pos="1080"/>
        <w:tab w:val="left" w:pos="2907"/>
      </w:tabs>
      <w:spacing w:before="60" w:after="120" w:line="377" w:lineRule="auto"/>
      <w:ind w:left="1080" w:hanging="1080"/>
      <w:jc w:val="left"/>
    </w:pPr>
    <w:rPr>
      <w:b/>
      <w:bCs/>
      <w:sz w:val="24"/>
      <w:szCs w:val="28"/>
      <w:u w:val="single"/>
    </w:rPr>
  </w:style>
  <w:style w:type="paragraph" w:customStyle="1" w:styleId="339">
    <w:name w:val="p0"/>
    <w:basedOn w:val="1"/>
    <w:qFormat/>
    <w:uiPriority w:val="0"/>
    <w:pPr>
      <w:widowControl/>
    </w:pPr>
    <w:rPr>
      <w:rFonts w:hint="eastAsia" w:ascii="宋体" w:hAnsi="宋体"/>
      <w:kern w:val="0"/>
      <w:szCs w:val="21"/>
    </w:rPr>
  </w:style>
  <w:style w:type="paragraph" w:customStyle="1" w:styleId="340">
    <w:name w:val="font11"/>
    <w:basedOn w:val="1"/>
    <w:qFormat/>
    <w:uiPriority w:val="0"/>
    <w:pPr>
      <w:keepNext/>
      <w:keepLines/>
      <w:widowControl/>
      <w:spacing w:before="100" w:beforeAutospacing="1" w:after="100" w:afterAutospacing="1" w:line="400" w:lineRule="exact"/>
      <w:jc w:val="left"/>
    </w:pPr>
    <w:rPr>
      <w:rFonts w:ascii="Arial Narrow" w:hAnsi="Arial Narrow" w:eastAsia="楷体_GB2312"/>
      <w:kern w:val="0"/>
      <w:sz w:val="20"/>
      <w:szCs w:val="20"/>
    </w:rPr>
  </w:style>
  <w:style w:type="paragraph" w:customStyle="1" w:styleId="341">
    <w:name w:val="Char Char Char Char Char Char Char Char Char Char Char Char Char Char Char Char"/>
    <w:basedOn w:val="1"/>
    <w:qFormat/>
    <w:uiPriority w:val="0"/>
    <w:pPr>
      <w:tabs>
        <w:tab w:val="left" w:pos="360"/>
      </w:tabs>
      <w:jc w:val="left"/>
    </w:pPr>
    <w:rPr>
      <w:sz w:val="24"/>
      <w:szCs w:val="20"/>
    </w:rPr>
  </w:style>
  <w:style w:type="paragraph" w:customStyle="1" w:styleId="342">
    <w:name w:val="xl29"/>
    <w:basedOn w:val="1"/>
    <w:qFormat/>
    <w:uiPriority w:val="0"/>
    <w:pPr>
      <w:keepNext/>
      <w:keepLines/>
      <w:widowControl/>
      <w:spacing w:before="100" w:beforeAutospacing="1" w:after="100" w:afterAutospacing="1" w:line="400" w:lineRule="exact"/>
      <w:jc w:val="center"/>
      <w:textAlignment w:val="center"/>
    </w:pPr>
    <w:rPr>
      <w:rFonts w:ascii="Arial Narrow" w:hAnsi="Arial Narrow" w:eastAsia="楷体_GB2312"/>
      <w:b/>
      <w:bCs/>
      <w:kern w:val="0"/>
      <w:sz w:val="28"/>
      <w:szCs w:val="28"/>
    </w:rPr>
  </w:style>
  <w:style w:type="paragraph" w:customStyle="1" w:styleId="343">
    <w:name w:val="样式11"/>
    <w:basedOn w:val="15"/>
    <w:next w:val="1"/>
    <w:qFormat/>
    <w:uiPriority w:val="0"/>
    <w:pPr>
      <w:tabs>
        <w:tab w:val="left" w:pos="360"/>
        <w:tab w:val="left" w:pos="735"/>
        <w:tab w:val="left" w:pos="851"/>
        <w:tab w:val="clear" w:pos="5760"/>
      </w:tabs>
      <w:adjustRightInd/>
      <w:snapToGrid/>
      <w:spacing w:before="0" w:after="0" w:line="360" w:lineRule="auto"/>
      <w:ind w:left="840" w:hanging="420"/>
      <w:jc w:val="left"/>
      <w:textAlignment w:val="auto"/>
    </w:pPr>
    <w:rPr>
      <w:rFonts w:ascii="宋体" w:hAnsi="宋体" w:eastAsia="宋体"/>
      <w:sz w:val="32"/>
    </w:rPr>
  </w:style>
  <w:style w:type="paragraph" w:customStyle="1" w:styleId="344">
    <w:name w:val="正文3"/>
    <w:qFormat/>
    <w:uiPriority w:val="0"/>
    <w:pPr>
      <w:widowControl w:val="0"/>
      <w:adjustRightInd w:val="0"/>
      <w:spacing w:line="312" w:lineRule="atLeast"/>
      <w:jc w:val="both"/>
    </w:pPr>
    <w:rPr>
      <w:rFonts w:ascii="宋体" w:hAnsi="Times New Roman" w:eastAsia="宋体" w:cs="Times New Roman"/>
      <w:sz w:val="24"/>
      <w:lang w:val="en-US" w:eastAsia="zh-CN" w:bidi="ar-SA"/>
    </w:rPr>
  </w:style>
  <w:style w:type="paragraph" w:customStyle="1" w:styleId="345">
    <w:name w:val="正文1.2"/>
    <w:basedOn w:val="1"/>
    <w:qFormat/>
    <w:uiPriority w:val="0"/>
    <w:pPr>
      <w:spacing w:line="288" w:lineRule="auto"/>
      <w:jc w:val="left"/>
    </w:pPr>
    <w:rPr>
      <w:rFonts w:ascii="宋体"/>
      <w:kern w:val="0"/>
      <w:sz w:val="28"/>
      <w:szCs w:val="20"/>
      <w:lang w:eastAsia="en-US"/>
    </w:rPr>
  </w:style>
  <w:style w:type="paragraph" w:customStyle="1" w:styleId="346">
    <w:name w:val="样式4"/>
    <w:basedOn w:val="43"/>
    <w:next w:val="43"/>
    <w:qFormat/>
    <w:uiPriority w:val="0"/>
    <w:rPr>
      <w:kern w:val="0"/>
      <w:szCs w:val="20"/>
    </w:rPr>
  </w:style>
  <w:style w:type="paragraph" w:customStyle="1" w:styleId="347">
    <w:name w:val="xl49"/>
    <w:basedOn w:val="1"/>
    <w:qFormat/>
    <w:uiPriority w:val="0"/>
    <w:pPr>
      <w:keepNext/>
      <w:keepLines/>
      <w:widowControl/>
      <w:pBdr>
        <w:top w:val="single" w:color="auto" w:sz="4" w:space="0"/>
        <w:left w:val="double" w:color="auto" w:sz="6" w:space="0"/>
        <w:bottom w:val="single" w:color="auto" w:sz="4" w:space="0"/>
        <w:right w:val="single" w:color="auto" w:sz="4" w:space="0"/>
      </w:pBdr>
      <w:shd w:val="clear" w:color="auto" w:fill="C0C0C0"/>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348">
    <w:name w:val="样式 2册标题2 + 段前: 0.5 行 段后: 0.5 行"/>
    <w:basedOn w:val="229"/>
    <w:qFormat/>
    <w:uiPriority w:val="0"/>
    <w:pPr>
      <w:spacing w:beforeLines="0" w:line="240" w:lineRule="auto"/>
    </w:pPr>
    <w:rPr>
      <w:sz w:val="32"/>
    </w:rPr>
  </w:style>
  <w:style w:type="paragraph" w:customStyle="1" w:styleId="349">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350">
    <w:name w:val="标五"/>
    <w:next w:val="1"/>
    <w:qFormat/>
    <w:uiPriority w:val="0"/>
    <w:pPr>
      <w:spacing w:line="360" w:lineRule="auto"/>
      <w:ind w:firstLine="1"/>
      <w:outlineLvl w:val="4"/>
    </w:pPr>
    <w:rPr>
      <w:rFonts w:ascii="仿宋_GB2312" w:hAnsi="Plotter" w:eastAsia="仿宋_GB2312" w:cs="Plotter"/>
      <w:sz w:val="24"/>
      <w:szCs w:val="24"/>
      <w:lang w:val="en-US" w:eastAsia="zh-CN" w:bidi="ar-SA"/>
    </w:rPr>
  </w:style>
  <w:style w:type="paragraph" w:customStyle="1" w:styleId="351">
    <w:name w:val="样式 宋体 五号 行距: 单倍行距"/>
    <w:basedOn w:val="1"/>
    <w:qFormat/>
    <w:uiPriority w:val="0"/>
    <w:pPr>
      <w:adjustRightInd w:val="0"/>
      <w:jc w:val="left"/>
      <w:textAlignment w:val="baseline"/>
    </w:pPr>
    <w:rPr>
      <w:rFonts w:ascii="宋体" w:hAnsi="宋体"/>
      <w:kern w:val="0"/>
      <w:sz w:val="24"/>
      <w:szCs w:val="20"/>
    </w:rPr>
  </w:style>
  <w:style w:type="paragraph" w:customStyle="1" w:styleId="352">
    <w:name w:val="Char1 Char Char Char Char Char Char"/>
    <w:basedOn w:val="1"/>
    <w:qFormat/>
    <w:uiPriority w:val="0"/>
    <w:rPr>
      <w:rFonts w:ascii="Tahoma" w:hAnsi="Tahoma"/>
      <w:sz w:val="24"/>
      <w:szCs w:val="20"/>
    </w:rPr>
  </w:style>
  <w:style w:type="paragraph" w:customStyle="1" w:styleId="353">
    <w:name w:val="四级标题"/>
    <w:basedOn w:val="39"/>
    <w:qFormat/>
    <w:uiPriority w:val="0"/>
    <w:pPr>
      <w:spacing w:line="360" w:lineRule="auto"/>
    </w:pPr>
    <w:rPr>
      <w:rFonts w:eastAsia="黑体"/>
    </w:rPr>
  </w:style>
  <w:style w:type="paragraph" w:customStyle="1" w:styleId="354">
    <w:name w:val="列出段落1"/>
    <w:basedOn w:val="1"/>
    <w:qFormat/>
    <w:uiPriority w:val="0"/>
    <w:pPr>
      <w:ind w:firstLine="420" w:firstLineChars="200"/>
    </w:pPr>
    <w:rPr>
      <w:szCs w:val="20"/>
    </w:rPr>
  </w:style>
  <w:style w:type="paragraph" w:customStyle="1" w:styleId="355">
    <w:name w:val="xl33"/>
    <w:basedOn w:val="1"/>
    <w:qFormat/>
    <w:uiPriority w:val="0"/>
    <w:pPr>
      <w:widowControl/>
      <w:pBdr>
        <w:top w:val="single" w:color="auto" w:sz="4" w:space="0"/>
        <w:left w:val="single" w:color="auto" w:sz="4" w:space="0"/>
        <w:bottom w:val="single" w:color="auto" w:sz="4" w:space="0"/>
        <w:right w:val="double" w:color="auto" w:sz="6" w:space="0"/>
      </w:pBdr>
      <w:spacing w:before="100" w:beforeAutospacing="1" w:after="100" w:afterAutospacing="1"/>
      <w:jc w:val="left"/>
    </w:pPr>
    <w:rPr>
      <w:rFonts w:ascii="Arial Narrow" w:hAnsi="Arial Narrow"/>
      <w:kern w:val="0"/>
      <w:sz w:val="20"/>
      <w:szCs w:val="20"/>
    </w:rPr>
  </w:style>
  <w:style w:type="paragraph" w:customStyle="1" w:styleId="356">
    <w:name w:val="H-TextFormat"/>
    <w:qFormat/>
    <w:uiPriority w:val="0"/>
    <w:pPr>
      <w:autoSpaceDE w:val="0"/>
      <w:autoSpaceDN w:val="0"/>
      <w:adjustRightInd w:val="0"/>
    </w:pPr>
    <w:rPr>
      <w:rFonts w:ascii="Arial" w:hAnsi="Arial" w:eastAsia="宋体" w:cs="Arial"/>
      <w:sz w:val="22"/>
      <w:szCs w:val="22"/>
      <w:lang w:val="en-US" w:eastAsia="en-US" w:bidi="ar-SA"/>
    </w:rPr>
  </w:style>
  <w:style w:type="paragraph" w:customStyle="1" w:styleId="357">
    <w:name w:val="正文11"/>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58">
    <w:name w:val="样式 标题 2 + 宋体 五号 行距: 单倍行距"/>
    <w:basedOn w:val="9"/>
    <w:qFormat/>
    <w:uiPriority w:val="0"/>
    <w:pPr>
      <w:tabs>
        <w:tab w:val="left" w:pos="405"/>
      </w:tabs>
      <w:adjustRightInd w:val="0"/>
      <w:spacing w:line="240" w:lineRule="auto"/>
      <w:ind w:left="720"/>
      <w:jc w:val="left"/>
      <w:textAlignment w:val="baseline"/>
    </w:pPr>
    <w:rPr>
      <w:rFonts w:ascii="宋体" w:hAnsi="宋体" w:eastAsia="宋体"/>
      <w:bCs w:val="0"/>
      <w:kern w:val="0"/>
      <w:sz w:val="21"/>
      <w:szCs w:val="20"/>
    </w:rPr>
  </w:style>
  <w:style w:type="paragraph" w:customStyle="1" w:styleId="359">
    <w:name w:val="样式9"/>
    <w:basedOn w:val="8"/>
    <w:qFormat/>
    <w:uiPriority w:val="0"/>
    <w:pPr>
      <w:tabs>
        <w:tab w:val="left" w:pos="780"/>
        <w:tab w:val="left" w:pos="2000"/>
      </w:tabs>
      <w:overflowPunct w:val="0"/>
      <w:spacing w:before="0" w:after="0"/>
      <w:ind w:left="780" w:hanging="420"/>
      <w:jc w:val="left"/>
    </w:pPr>
    <w:rPr>
      <w:rFonts w:ascii="宋体" w:hAnsi="宋体" w:eastAsia="宋体"/>
      <w:bCs w:val="0"/>
      <w:kern w:val="0"/>
      <w:sz w:val="28"/>
      <w:szCs w:val="20"/>
    </w:rPr>
  </w:style>
  <w:style w:type="paragraph" w:customStyle="1" w:styleId="360">
    <w:name w:val="xl43"/>
    <w:basedOn w:val="1"/>
    <w:qFormat/>
    <w:uiPriority w:val="0"/>
    <w:pPr>
      <w:keepNext/>
      <w:keepLines/>
      <w:widowControl/>
      <w:spacing w:before="100" w:beforeAutospacing="1" w:after="100" w:afterAutospacing="1" w:line="400" w:lineRule="exact"/>
      <w:jc w:val="left"/>
    </w:pPr>
    <w:rPr>
      <w:rFonts w:ascii="宋体" w:eastAsia="楷体_GB2312"/>
      <w:b/>
      <w:bCs/>
      <w:kern w:val="0"/>
      <w:sz w:val="20"/>
      <w:szCs w:val="20"/>
    </w:rPr>
  </w:style>
  <w:style w:type="paragraph" w:customStyle="1" w:styleId="361">
    <w:name w:val="标题 3正文"/>
    <w:basedOn w:val="1"/>
    <w:qFormat/>
    <w:uiPriority w:val="0"/>
    <w:pPr>
      <w:spacing w:beforeLines="50" w:line="440" w:lineRule="exact"/>
      <w:ind w:left="900"/>
      <w:jc w:val="left"/>
    </w:pPr>
    <w:rPr>
      <w:rFonts w:ascii="宋体" w:hAnsi="宋体"/>
      <w:sz w:val="24"/>
    </w:rPr>
  </w:style>
  <w:style w:type="paragraph" w:customStyle="1" w:styleId="362">
    <w:name w:val="样式 宋体 行距: 1.5 倍行距"/>
    <w:basedOn w:val="1"/>
    <w:qFormat/>
    <w:uiPriority w:val="0"/>
    <w:pPr>
      <w:tabs>
        <w:tab w:val="left" w:pos="360"/>
        <w:tab w:val="left" w:pos="420"/>
      </w:tabs>
      <w:ind w:left="360" w:hanging="360"/>
    </w:pPr>
    <w:rPr>
      <w:szCs w:val="20"/>
    </w:rPr>
  </w:style>
  <w:style w:type="paragraph" w:customStyle="1" w:styleId="363">
    <w:name w:val="Char2 Char Char Char Char Char Char1"/>
    <w:basedOn w:val="1"/>
    <w:qFormat/>
    <w:uiPriority w:val="0"/>
    <w:rPr>
      <w:rFonts w:ascii="仿宋_GB2312"/>
      <w:b/>
      <w:sz w:val="30"/>
      <w:szCs w:val="32"/>
    </w:rPr>
  </w:style>
  <w:style w:type="paragraph" w:customStyle="1" w:styleId="364">
    <w:name w:val="样式 标题 2标题 1.1H2Heading 2 HiddenHeading 2 CCBSheading 2第一章 ..."/>
    <w:basedOn w:val="9"/>
    <w:qFormat/>
    <w:uiPriority w:val="0"/>
    <w:pPr>
      <w:tabs>
        <w:tab w:val="left" w:pos="840"/>
      </w:tabs>
      <w:spacing w:before="312" w:after="312" w:line="240" w:lineRule="auto"/>
      <w:ind w:firstLine="562" w:firstLineChars="200"/>
      <w:jc w:val="center"/>
    </w:pPr>
    <w:rPr>
      <w:rFonts w:eastAsia="宋体"/>
      <w:bCs w:val="0"/>
      <w:kern w:val="0"/>
      <w:sz w:val="28"/>
      <w:szCs w:val="20"/>
    </w:rPr>
  </w:style>
  <w:style w:type="paragraph" w:customStyle="1" w:styleId="365">
    <w:name w:val="样式 (中文) 仿宋_GB2312 四号 行距: 多倍行距 1.25 字行1"/>
    <w:basedOn w:val="1"/>
    <w:qFormat/>
    <w:uiPriority w:val="0"/>
    <w:pPr>
      <w:snapToGrid w:val="0"/>
      <w:spacing w:line="300" w:lineRule="auto"/>
      <w:ind w:firstLine="560" w:firstLineChars="200"/>
    </w:pPr>
    <w:rPr>
      <w:rFonts w:eastAsia="仿宋_GB2312"/>
      <w:color w:val="000000"/>
      <w:kern w:val="0"/>
      <w:sz w:val="28"/>
      <w:szCs w:val="20"/>
    </w:rPr>
  </w:style>
  <w:style w:type="paragraph" w:customStyle="1" w:styleId="366">
    <w:name w:val="xl71"/>
    <w:basedOn w:val="1"/>
    <w:qFormat/>
    <w:uiPriority w:val="0"/>
    <w:pPr>
      <w:widowControl/>
      <w:pBdr>
        <w:top w:val="single" w:color="auto" w:sz="4" w:space="0"/>
        <w:left w:val="single" w:color="auto" w:sz="4" w:space="18"/>
        <w:bottom w:val="single" w:color="auto" w:sz="4" w:space="0"/>
        <w:right w:val="single" w:color="auto" w:sz="4" w:space="0"/>
      </w:pBdr>
      <w:spacing w:before="100" w:beforeAutospacing="1" w:after="100" w:afterAutospacing="1"/>
      <w:ind w:firstLine="100" w:firstLineChars="100"/>
      <w:jc w:val="left"/>
      <w:textAlignment w:val="center"/>
    </w:pPr>
    <w:rPr>
      <w:rFonts w:ascii="宋体" w:hAnsi="宋体" w:cs="宋体"/>
      <w:kern w:val="0"/>
      <w:sz w:val="20"/>
      <w:szCs w:val="20"/>
    </w:rPr>
  </w:style>
  <w:style w:type="paragraph" w:customStyle="1" w:styleId="367">
    <w:name w:val="样式 标题 3Level 3 HeadH3Heading 3 - oldh3sect1.2.3Head33l3...1"/>
    <w:basedOn w:val="10"/>
    <w:qFormat/>
    <w:uiPriority w:val="0"/>
    <w:pPr>
      <w:spacing w:line="413" w:lineRule="auto"/>
      <w:jc w:val="left"/>
      <w:outlineLvl w:val="9"/>
    </w:pPr>
    <w:rPr>
      <w:rFonts w:ascii="宋体" w:hAnsi="宋体"/>
      <w:bCs w:val="0"/>
      <w:sz w:val="24"/>
      <w:szCs w:val="20"/>
    </w:rPr>
  </w:style>
  <w:style w:type="paragraph" w:customStyle="1" w:styleId="368">
    <w:name w:val="样式 标题 2【标题2】 + 宋体"/>
    <w:basedOn w:val="9"/>
    <w:qFormat/>
    <w:uiPriority w:val="0"/>
    <w:pPr>
      <w:tabs>
        <w:tab w:val="left" w:pos="425"/>
        <w:tab w:val="left" w:pos="890"/>
      </w:tabs>
      <w:spacing w:before="120" w:after="120" w:line="240" w:lineRule="auto"/>
      <w:jc w:val="left"/>
    </w:pPr>
    <w:rPr>
      <w:rFonts w:ascii="宋体" w:hAnsi="宋体" w:eastAsia="宋体" w:cs="Plotter"/>
      <w:sz w:val="30"/>
    </w:rPr>
  </w:style>
  <w:style w:type="paragraph" w:customStyle="1" w:styleId="369">
    <w:name w:val="章标题"/>
    <w:next w:val="254"/>
    <w:qFormat/>
    <w:uiPriority w:val="0"/>
    <w:pPr>
      <w:tabs>
        <w:tab w:val="left" w:pos="735"/>
      </w:tabs>
      <w:spacing w:beforeLines="50" w:afterLines="50"/>
      <w:ind w:left="735" w:hanging="735"/>
      <w:jc w:val="both"/>
      <w:outlineLvl w:val="1"/>
    </w:pPr>
    <w:rPr>
      <w:rFonts w:ascii="黑体" w:hAnsi="Times New Roman" w:eastAsia="黑体" w:cs="Times New Roman"/>
      <w:sz w:val="21"/>
      <w:lang w:val="en-US" w:eastAsia="zh-CN" w:bidi="ar-SA"/>
    </w:rPr>
  </w:style>
  <w:style w:type="paragraph" w:customStyle="1" w:styleId="370">
    <w:name w:val="Char1"/>
    <w:basedOn w:val="25"/>
    <w:qFormat/>
    <w:uiPriority w:val="0"/>
    <w:rPr>
      <w:rFonts w:ascii="Tahoma" w:hAnsi="Tahoma"/>
      <w:sz w:val="24"/>
      <w:szCs w:val="20"/>
    </w:rPr>
  </w:style>
  <w:style w:type="paragraph" w:customStyle="1" w:styleId="371">
    <w:name w:val="样式 标题 3Level 3 HeadH3Heading 3 - oldh3sect1.2.3Head33l3..."/>
    <w:basedOn w:val="10"/>
    <w:qFormat/>
    <w:uiPriority w:val="0"/>
    <w:pPr>
      <w:spacing w:line="300" w:lineRule="auto"/>
      <w:jc w:val="left"/>
      <w:outlineLvl w:val="9"/>
    </w:pPr>
    <w:rPr>
      <w:rFonts w:ascii="宋体" w:hAnsi="宋体"/>
      <w:bCs w:val="0"/>
      <w:sz w:val="28"/>
      <w:szCs w:val="20"/>
    </w:rPr>
  </w:style>
  <w:style w:type="paragraph" w:customStyle="1" w:styleId="372">
    <w:name w:val="xl40"/>
    <w:basedOn w:val="1"/>
    <w:qFormat/>
    <w:uiPriority w:val="0"/>
    <w:pPr>
      <w:keepNext/>
      <w:keepLines/>
      <w:widowControl/>
      <w:pBdr>
        <w:top w:val="single" w:color="auto" w:sz="4" w:space="0"/>
        <w:left w:val="single" w:color="auto" w:sz="4" w:space="0"/>
        <w:bottom w:val="double" w:color="auto" w:sz="6" w:space="0"/>
        <w:right w:val="single" w:color="auto" w:sz="4" w:space="0"/>
      </w:pBdr>
      <w:spacing w:before="100" w:beforeAutospacing="1" w:after="100" w:afterAutospacing="1" w:line="400" w:lineRule="exact"/>
      <w:jc w:val="left"/>
      <w:textAlignment w:val="center"/>
    </w:pPr>
    <w:rPr>
      <w:rFonts w:ascii="Arial Narrow" w:hAnsi="Arial Narrow" w:eastAsia="楷体_GB2312"/>
      <w:kern w:val="0"/>
      <w:sz w:val="20"/>
      <w:szCs w:val="20"/>
    </w:rPr>
  </w:style>
  <w:style w:type="paragraph" w:customStyle="1" w:styleId="373">
    <w:name w:val="符合标题4"/>
    <w:basedOn w:val="1"/>
    <w:qFormat/>
    <w:uiPriority w:val="0"/>
    <w:pPr>
      <w:widowControl/>
      <w:tabs>
        <w:tab w:val="left" w:pos="360"/>
        <w:tab w:val="left" w:pos="840"/>
      </w:tabs>
      <w:spacing w:before="50"/>
      <w:ind w:left="300" w:hanging="840"/>
      <w:jc w:val="left"/>
    </w:pPr>
    <w:rPr>
      <w:rFonts w:ascii="宋体" w:hAnsi="宋体"/>
      <w:kern w:val="0"/>
      <w:sz w:val="24"/>
      <w:szCs w:val="18"/>
    </w:rPr>
  </w:style>
  <w:style w:type="paragraph" w:customStyle="1" w:styleId="374">
    <w:name w:val="xl51"/>
    <w:basedOn w:val="1"/>
    <w:qFormat/>
    <w:uiPriority w:val="0"/>
    <w:pPr>
      <w:keepNext/>
      <w:keepLines/>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375">
    <w:name w:val="ÕýÎÄ"/>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zh-CN" w:bidi="ar-SA"/>
    </w:rPr>
  </w:style>
  <w:style w:type="paragraph" w:customStyle="1" w:styleId="376">
    <w:name w:val="USE 5"/>
    <w:basedOn w:val="1"/>
    <w:qFormat/>
    <w:uiPriority w:val="0"/>
    <w:pPr>
      <w:tabs>
        <w:tab w:val="left" w:pos="1080"/>
      </w:tabs>
      <w:spacing w:line="360" w:lineRule="auto"/>
      <w:ind w:left="1080" w:hanging="1080"/>
      <w:jc w:val="left"/>
    </w:pPr>
    <w:rPr>
      <w:rFonts w:ascii="宋体" w:hAnsi="宋体"/>
      <w:sz w:val="24"/>
      <w:szCs w:val="20"/>
    </w:rPr>
  </w:style>
  <w:style w:type="paragraph" w:customStyle="1" w:styleId="377">
    <w:name w:val="五号正文（标准）"/>
    <w:basedOn w:val="1"/>
    <w:qFormat/>
    <w:uiPriority w:val="0"/>
    <w:pPr>
      <w:jc w:val="left"/>
    </w:pPr>
    <w:rPr>
      <w:rFonts w:ascii="仿宋_GB2312" w:hAnsi="宋体" w:eastAsia="仿宋_GB2312" w:cs="Plotter"/>
      <w:sz w:val="24"/>
    </w:rPr>
  </w:style>
  <w:style w:type="paragraph" w:customStyle="1" w:styleId="378">
    <w:name w:val="样式 标题 2 + 左侧:  0 厘米 首行缩进:  0 厘米"/>
    <w:basedOn w:val="379"/>
    <w:qFormat/>
    <w:uiPriority w:val="0"/>
    <w:pPr>
      <w:tabs>
        <w:tab w:val="left" w:pos="425"/>
        <w:tab w:val="left" w:pos="851"/>
        <w:tab w:val="left" w:pos="1140"/>
      </w:tabs>
      <w:ind w:left="1140" w:hanging="240"/>
    </w:pPr>
  </w:style>
  <w:style w:type="paragraph" w:customStyle="1" w:styleId="379">
    <w:name w:val="标题 21"/>
    <w:basedOn w:val="1"/>
    <w:next w:val="23"/>
    <w:qFormat/>
    <w:uiPriority w:val="0"/>
    <w:pPr>
      <w:tabs>
        <w:tab w:val="left" w:pos="851"/>
      </w:tabs>
      <w:ind w:left="840" w:hanging="420"/>
      <w:jc w:val="left"/>
    </w:pPr>
    <w:rPr>
      <w:rFonts w:ascii="宋体" w:hAnsi="宋体"/>
      <w:kern w:val="0"/>
      <w:sz w:val="24"/>
      <w:szCs w:val="20"/>
    </w:rPr>
  </w:style>
  <w:style w:type="paragraph" w:customStyle="1" w:styleId="380">
    <w:name w:val="标准1 段落"/>
    <w:basedOn w:val="1"/>
    <w:qFormat/>
    <w:uiPriority w:val="0"/>
    <w:pPr>
      <w:tabs>
        <w:tab w:val="left" w:pos="360"/>
      </w:tabs>
      <w:spacing w:beforeLines="50" w:line="360" w:lineRule="auto"/>
      <w:ind w:left="360" w:hanging="360"/>
    </w:pPr>
    <w:rPr>
      <w:sz w:val="24"/>
    </w:rPr>
  </w:style>
  <w:style w:type="paragraph" w:customStyle="1" w:styleId="381">
    <w:name w:val="表身（中）"/>
    <w:basedOn w:val="334"/>
    <w:qFormat/>
    <w:uiPriority w:val="0"/>
    <w:pPr>
      <w:jc w:val="center"/>
    </w:pPr>
  </w:style>
  <w:style w:type="paragraph" w:customStyle="1" w:styleId="382">
    <w:name w:val="样式3"/>
    <w:basedOn w:val="43"/>
    <w:next w:val="43"/>
    <w:qFormat/>
    <w:uiPriority w:val="0"/>
    <w:pPr>
      <w:jc w:val="both"/>
    </w:pPr>
    <w:rPr>
      <w:kern w:val="0"/>
      <w:szCs w:val="20"/>
    </w:rPr>
  </w:style>
  <w:style w:type="paragraph" w:customStyle="1" w:styleId="383">
    <w:name w:val="xl39"/>
    <w:basedOn w:val="1"/>
    <w:qFormat/>
    <w:uiPriority w:val="0"/>
    <w:pPr>
      <w:keepNext/>
      <w:keepLines/>
      <w:widowControl/>
      <w:pBdr>
        <w:top w:val="single" w:color="auto" w:sz="4" w:space="0"/>
        <w:left w:val="double" w:color="auto" w:sz="6" w:space="0"/>
        <w:bottom w:val="double" w:color="auto" w:sz="6" w:space="0"/>
        <w:right w:val="single" w:color="auto" w:sz="4" w:space="0"/>
      </w:pBdr>
      <w:spacing w:before="100" w:beforeAutospacing="1" w:after="100" w:afterAutospacing="1" w:line="400" w:lineRule="exact"/>
      <w:jc w:val="left"/>
      <w:textAlignment w:val="center"/>
    </w:pPr>
    <w:rPr>
      <w:rFonts w:ascii="Arial Narrow" w:hAnsi="Arial Narrow" w:eastAsia="楷体_GB2312"/>
      <w:kern w:val="0"/>
      <w:sz w:val="20"/>
      <w:szCs w:val="20"/>
    </w:rPr>
  </w:style>
  <w:style w:type="paragraph" w:customStyle="1" w:styleId="384">
    <w:name w:val="我的征文"/>
    <w:basedOn w:val="1"/>
    <w:qFormat/>
    <w:uiPriority w:val="0"/>
    <w:pPr>
      <w:tabs>
        <w:tab w:val="left" w:pos="851"/>
      </w:tabs>
      <w:spacing w:before="360" w:after="360"/>
      <w:ind w:left="851" w:right="113" w:hanging="851"/>
    </w:pPr>
  </w:style>
  <w:style w:type="paragraph" w:customStyle="1" w:styleId="385">
    <w:name w:val="封面上部"/>
    <w:basedOn w:val="1"/>
    <w:qFormat/>
    <w:uiPriority w:val="0"/>
    <w:pPr>
      <w:adjustRightInd w:val="0"/>
      <w:spacing w:line="360" w:lineRule="auto"/>
      <w:jc w:val="center"/>
      <w:textAlignment w:val="baseline"/>
    </w:pPr>
    <w:rPr>
      <w:rFonts w:ascii="Arial" w:eastAsia="黑体"/>
      <w:kern w:val="0"/>
      <w:sz w:val="32"/>
      <w:szCs w:val="20"/>
    </w:rPr>
  </w:style>
  <w:style w:type="paragraph" w:customStyle="1" w:styleId="386">
    <w:name w:val="font7"/>
    <w:basedOn w:val="1"/>
    <w:qFormat/>
    <w:uiPriority w:val="0"/>
    <w:pPr>
      <w:widowControl/>
      <w:spacing w:before="100" w:beforeAutospacing="1" w:after="100" w:afterAutospacing="1"/>
      <w:jc w:val="left"/>
    </w:pPr>
    <w:rPr>
      <w:kern w:val="0"/>
      <w:sz w:val="22"/>
      <w:szCs w:val="22"/>
    </w:rPr>
  </w:style>
  <w:style w:type="paragraph" w:customStyle="1" w:styleId="387">
    <w:name w:val="CM16"/>
    <w:basedOn w:val="1"/>
    <w:next w:val="1"/>
    <w:qFormat/>
    <w:uiPriority w:val="0"/>
    <w:pPr>
      <w:autoSpaceDE w:val="0"/>
      <w:autoSpaceDN w:val="0"/>
      <w:adjustRightInd w:val="0"/>
      <w:spacing w:after="163"/>
      <w:jc w:val="left"/>
    </w:pPr>
    <w:rPr>
      <w:rFonts w:ascii="INMAB J+ Univers" w:eastAsia="INMAB J+ Univers"/>
      <w:kern w:val="0"/>
      <w:sz w:val="24"/>
    </w:rPr>
  </w:style>
  <w:style w:type="paragraph" w:customStyle="1" w:styleId="388">
    <w:name w:val="c12px"/>
    <w:basedOn w:val="1"/>
    <w:qFormat/>
    <w:uiPriority w:val="0"/>
    <w:pPr>
      <w:widowControl/>
      <w:spacing w:before="100" w:beforeAutospacing="1" w:after="100" w:afterAutospacing="1"/>
      <w:jc w:val="left"/>
    </w:pPr>
    <w:rPr>
      <w:rFonts w:ascii="Arial Unicode MS" w:hAnsi="Arial Unicode MS" w:eastAsia="Times New Roman"/>
      <w:kern w:val="0"/>
      <w:sz w:val="18"/>
      <w:szCs w:val="18"/>
    </w:rPr>
  </w:style>
  <w:style w:type="paragraph" w:customStyle="1" w:styleId="389">
    <w:name w:val="Char12"/>
    <w:basedOn w:val="1"/>
    <w:qFormat/>
    <w:uiPriority w:val="0"/>
    <w:rPr>
      <w:rFonts w:ascii="Tahoma" w:hAnsi="Tahoma"/>
      <w:sz w:val="24"/>
      <w:szCs w:val="20"/>
    </w:rPr>
  </w:style>
  <w:style w:type="paragraph" w:customStyle="1" w:styleId="390">
    <w:name w:val="菲页2"/>
    <w:basedOn w:val="10"/>
    <w:qFormat/>
    <w:uiPriority w:val="0"/>
    <w:pPr>
      <w:widowControl/>
      <w:spacing w:before="0" w:after="0" w:line="240" w:lineRule="auto"/>
      <w:jc w:val="center"/>
    </w:pPr>
    <w:rPr>
      <w:rFonts w:ascii="黑体" w:hAnsi="宋体" w:eastAsia="黑体"/>
      <w:b w:val="0"/>
      <w:bCs w:val="0"/>
      <w:sz w:val="44"/>
      <w:szCs w:val="20"/>
    </w:rPr>
  </w:style>
  <w:style w:type="paragraph" w:customStyle="1" w:styleId="391">
    <w:name w:val="xl60"/>
    <w:basedOn w:val="1"/>
    <w:qFormat/>
    <w:uiPriority w:val="0"/>
    <w:pPr>
      <w:keepNext/>
      <w:keepLines/>
      <w:widowControl/>
      <w:pBdr>
        <w:top w:val="single" w:color="auto" w:sz="4" w:space="0"/>
        <w:left w:val="double" w:color="auto" w:sz="6" w:space="0"/>
        <w:bottom w:val="single" w:color="auto" w:sz="4" w:space="0"/>
        <w:right w:val="single" w:color="auto" w:sz="4" w:space="0"/>
      </w:pBdr>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392">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4"/>
    </w:rPr>
  </w:style>
  <w:style w:type="paragraph" w:customStyle="1" w:styleId="393">
    <w:name w:val="5"/>
    <w:basedOn w:val="1"/>
    <w:next w:val="4"/>
    <w:qFormat/>
    <w:uiPriority w:val="0"/>
    <w:pPr>
      <w:jc w:val="left"/>
    </w:pPr>
    <w:rPr>
      <w:rFonts w:cs="Plotter"/>
      <w:sz w:val="28"/>
      <w:szCs w:val="20"/>
    </w:rPr>
  </w:style>
  <w:style w:type="paragraph" w:customStyle="1" w:styleId="394">
    <w:name w:val="节标题"/>
    <w:basedOn w:val="1"/>
    <w:qFormat/>
    <w:uiPriority w:val="0"/>
    <w:pPr>
      <w:ind w:firstLine="461" w:firstLineChars="192"/>
      <w:jc w:val="left"/>
    </w:pPr>
    <w:rPr>
      <w:rFonts w:ascii="黑体" w:eastAsia="黑体"/>
      <w:sz w:val="24"/>
    </w:rPr>
  </w:style>
  <w:style w:type="paragraph" w:customStyle="1" w:styleId="395">
    <w:name w:val="项目1"/>
    <w:basedOn w:val="1"/>
    <w:qFormat/>
    <w:uiPriority w:val="0"/>
    <w:pPr>
      <w:widowControl/>
      <w:tabs>
        <w:tab w:val="left" w:pos="720"/>
      </w:tabs>
      <w:autoSpaceDE w:val="0"/>
      <w:autoSpaceDN w:val="0"/>
      <w:adjustRightInd w:val="0"/>
      <w:spacing w:before="120" w:after="120" w:line="300" w:lineRule="auto"/>
      <w:ind w:left="720" w:hanging="720"/>
      <w:jc w:val="left"/>
      <w:textAlignment w:val="bottom"/>
    </w:pPr>
    <w:rPr>
      <w:rFonts w:eastAsia="楷体_GB2312"/>
      <w:kern w:val="0"/>
      <w:sz w:val="24"/>
      <w:szCs w:val="20"/>
    </w:rPr>
  </w:style>
  <w:style w:type="paragraph" w:customStyle="1" w:styleId="396">
    <w:name w:val="样式5"/>
    <w:basedOn w:val="346"/>
    <w:qFormat/>
    <w:uiPriority w:val="0"/>
    <w:pPr>
      <w:keepNext/>
      <w:keepLines/>
      <w:tabs>
        <w:tab w:val="left" w:pos="567"/>
        <w:tab w:val="left" w:pos="1200"/>
        <w:tab w:val="clear" w:pos="4153"/>
        <w:tab w:val="clear" w:pos="8306"/>
      </w:tabs>
      <w:overflowPunct w:val="0"/>
      <w:snapToGrid/>
      <w:ind w:left="1200" w:leftChars="400" w:hanging="360" w:hangingChars="200"/>
      <w:outlineLvl w:val="0"/>
    </w:pPr>
    <w:rPr>
      <w:rFonts w:ascii="宋体" w:hAnsi="宋体"/>
      <w:b/>
      <w:sz w:val="24"/>
    </w:rPr>
  </w:style>
  <w:style w:type="paragraph" w:customStyle="1" w:styleId="397">
    <w:name w:val="1 Char Char Char Char"/>
    <w:basedOn w:val="1"/>
    <w:qFormat/>
    <w:uiPriority w:val="0"/>
    <w:rPr>
      <w:rFonts w:ascii="Tahoma" w:hAnsi="Tahoma"/>
      <w:sz w:val="24"/>
      <w:szCs w:val="20"/>
    </w:rPr>
  </w:style>
  <w:style w:type="paragraph" w:customStyle="1" w:styleId="398">
    <w:name w:val="Char2 Char Char Char Char Char Char"/>
    <w:basedOn w:val="1"/>
    <w:qFormat/>
    <w:uiPriority w:val="0"/>
    <w:rPr>
      <w:rFonts w:ascii="仿宋_GB2312"/>
      <w:b/>
      <w:sz w:val="30"/>
      <w:szCs w:val="32"/>
    </w:rPr>
  </w:style>
  <w:style w:type="paragraph" w:customStyle="1" w:styleId="399">
    <w:name w:val="xl48"/>
    <w:basedOn w:val="1"/>
    <w:qFormat/>
    <w:uiPriority w:val="0"/>
    <w:pPr>
      <w:keepNext/>
      <w:keepLines/>
      <w:widowControl/>
      <w:pBdr>
        <w:top w:val="single" w:color="auto" w:sz="4" w:space="0"/>
        <w:left w:val="double" w:color="auto" w:sz="6" w:space="0"/>
        <w:bottom w:val="single" w:color="auto" w:sz="4" w:space="0"/>
        <w:right w:val="single" w:color="auto" w:sz="4" w:space="0"/>
      </w:pBdr>
      <w:spacing w:before="100" w:beforeAutospacing="1" w:after="100" w:afterAutospacing="1" w:line="400" w:lineRule="exact"/>
      <w:jc w:val="center"/>
      <w:textAlignment w:val="center"/>
    </w:pPr>
    <w:rPr>
      <w:rFonts w:ascii="楷体_GB2312" w:eastAsia="楷体_GB2312"/>
      <w:kern w:val="0"/>
      <w:sz w:val="20"/>
      <w:szCs w:val="20"/>
    </w:rPr>
  </w:style>
  <w:style w:type="paragraph" w:customStyle="1" w:styleId="400">
    <w:name w:val="样式 宋体 一号 加粗 居中 行距: 最小值 25 磅"/>
    <w:basedOn w:val="1"/>
    <w:qFormat/>
    <w:uiPriority w:val="0"/>
    <w:pPr>
      <w:spacing w:line="500" w:lineRule="atLeast"/>
      <w:jc w:val="center"/>
    </w:pPr>
    <w:rPr>
      <w:rFonts w:ascii="宋体" w:hAnsi="宋体"/>
      <w:b/>
      <w:sz w:val="52"/>
      <w:szCs w:val="20"/>
    </w:rPr>
  </w:style>
  <w:style w:type="paragraph" w:customStyle="1" w:styleId="401">
    <w:name w:val="xl59"/>
    <w:basedOn w:val="1"/>
    <w:qFormat/>
    <w:uiPriority w:val="0"/>
    <w:pPr>
      <w:keepNext/>
      <w:keepLines/>
      <w:widowControl/>
      <w:pBdr>
        <w:top w:val="double" w:color="auto" w:sz="6" w:space="0"/>
        <w:left w:val="double" w:color="auto" w:sz="6" w:space="0"/>
        <w:bottom w:val="single" w:color="auto" w:sz="4" w:space="0"/>
        <w:right w:val="single" w:color="auto" w:sz="4" w:space="0"/>
      </w:pBdr>
      <w:spacing w:before="100" w:beforeAutospacing="1" w:after="100" w:afterAutospacing="1" w:line="400" w:lineRule="exact"/>
      <w:jc w:val="center"/>
      <w:textAlignment w:val="center"/>
    </w:pPr>
    <w:rPr>
      <w:rFonts w:ascii="楷体_GB2312" w:eastAsia="楷体_GB2312"/>
      <w:b/>
      <w:bCs/>
      <w:kern w:val="0"/>
      <w:sz w:val="20"/>
      <w:szCs w:val="20"/>
    </w:rPr>
  </w:style>
  <w:style w:type="paragraph" w:customStyle="1" w:styleId="402">
    <w:name w:val="xl47"/>
    <w:basedOn w:val="1"/>
    <w:qFormat/>
    <w:uiPriority w:val="0"/>
    <w:pPr>
      <w:keepNext/>
      <w:keepLines/>
      <w:widowControl/>
      <w:spacing w:before="100" w:beforeAutospacing="1" w:after="100" w:afterAutospacing="1" w:line="400" w:lineRule="exact"/>
      <w:jc w:val="center"/>
      <w:textAlignment w:val="center"/>
    </w:pPr>
    <w:rPr>
      <w:rFonts w:ascii="Arial Narrow" w:hAnsi="Arial Narrow" w:eastAsia="楷体_GB2312"/>
      <w:i/>
      <w:iCs/>
      <w:kern w:val="0"/>
      <w:sz w:val="18"/>
      <w:szCs w:val="18"/>
    </w:rPr>
  </w:style>
  <w:style w:type="paragraph" w:customStyle="1" w:styleId="403">
    <w:name w:val="6'"/>
    <w:basedOn w:val="1"/>
    <w:qFormat/>
    <w:uiPriority w:val="0"/>
    <w:pPr>
      <w:autoSpaceDE w:val="0"/>
      <w:autoSpaceDN w:val="0"/>
      <w:adjustRightInd w:val="0"/>
      <w:snapToGrid w:val="0"/>
      <w:spacing w:line="320" w:lineRule="exact"/>
      <w:jc w:val="center"/>
      <w:textAlignment w:val="baseline"/>
    </w:pPr>
    <w:rPr>
      <w:rFonts w:cs="Plotter"/>
      <w:spacing w:val="20"/>
      <w:kern w:val="28"/>
      <w:sz w:val="24"/>
      <w:szCs w:val="20"/>
    </w:rPr>
  </w:style>
  <w:style w:type="paragraph" w:customStyle="1" w:styleId="404">
    <w:name w:val="Char Char1 Char Char Char Char Char Char Char Char"/>
    <w:basedOn w:val="1"/>
    <w:qFormat/>
    <w:uiPriority w:val="0"/>
    <w:pPr>
      <w:widowControl/>
      <w:tabs>
        <w:tab w:val="left" w:pos="1134"/>
      </w:tabs>
      <w:spacing w:after="160" w:line="240" w:lineRule="exact"/>
      <w:ind w:left="1531" w:hanging="397"/>
      <w:jc w:val="left"/>
    </w:pPr>
    <w:rPr>
      <w:rFonts w:ascii="Verdana" w:hAnsi="Verdana"/>
      <w:kern w:val="0"/>
      <w:sz w:val="20"/>
      <w:szCs w:val="20"/>
      <w:lang w:eastAsia="en-US"/>
    </w:rPr>
  </w:style>
  <w:style w:type="paragraph" w:customStyle="1" w:styleId="405">
    <w:name w:val="样式 样式 标题 2标题2H2h2Heading 2 HiddenHeading 2 CCBSheading 2第一章 ...1..."/>
    <w:basedOn w:val="1"/>
    <w:qFormat/>
    <w:uiPriority w:val="0"/>
    <w:pPr>
      <w:keepNext/>
      <w:keepLines/>
      <w:widowControl/>
      <w:tabs>
        <w:tab w:val="left" w:pos="360"/>
        <w:tab w:val="left" w:pos="2907"/>
      </w:tabs>
      <w:adjustRightInd w:val="0"/>
      <w:spacing w:beforeLines="100" w:afterLines="50"/>
      <w:ind w:left="360" w:hanging="360"/>
      <w:jc w:val="left"/>
      <w:textAlignment w:val="baseline"/>
      <w:outlineLvl w:val="1"/>
    </w:pPr>
    <w:rPr>
      <w:rFonts w:ascii="Arial" w:hAnsi="Arial" w:cs="宋体"/>
      <w:b/>
      <w:bCs/>
      <w:sz w:val="30"/>
      <w:szCs w:val="20"/>
    </w:rPr>
  </w:style>
  <w:style w:type="paragraph" w:customStyle="1" w:styleId="406">
    <w:name w:val="封面标准英文名称"/>
    <w:qFormat/>
    <w:uiPriority w:val="0"/>
    <w:pPr>
      <w:widowControl w:val="0"/>
      <w:spacing w:before="370" w:line="400" w:lineRule="exact"/>
      <w:jc w:val="center"/>
    </w:pPr>
    <w:rPr>
      <w:rFonts w:ascii="Times New Roman" w:hAnsi="Times New Roman" w:eastAsia="宋体" w:cs="Times New Roman"/>
      <w:sz w:val="28"/>
      <w:szCs w:val="28"/>
      <w:lang w:val="en-US" w:eastAsia="zh-CN" w:bidi="ar-SA"/>
    </w:rPr>
  </w:style>
  <w:style w:type="paragraph" w:customStyle="1" w:styleId="407">
    <w:name w:val="2册标题4"/>
    <w:basedOn w:val="1"/>
    <w:next w:val="1"/>
    <w:qFormat/>
    <w:uiPriority w:val="0"/>
    <w:pPr>
      <w:spacing w:beforeLines="50" w:afterLines="50" w:line="300" w:lineRule="auto"/>
      <w:ind w:left="420" w:leftChars="200"/>
      <w:outlineLvl w:val="3"/>
    </w:pPr>
    <w:rPr>
      <w:rFonts w:ascii="Arial" w:hAnsi="Arial" w:eastAsia="幼圆"/>
      <w:b/>
      <w:sz w:val="24"/>
      <w:szCs w:val="20"/>
    </w:rPr>
  </w:style>
  <w:style w:type="paragraph" w:customStyle="1" w:styleId="408">
    <w:name w:val="恒智正文"/>
    <w:basedOn w:val="1"/>
    <w:qFormat/>
    <w:uiPriority w:val="0"/>
    <w:pPr>
      <w:ind w:firstLine="540" w:firstLineChars="225"/>
      <w:jc w:val="left"/>
    </w:pPr>
    <w:rPr>
      <w:rFonts w:ascii="宋体" w:hAnsi="宋体"/>
      <w:sz w:val="24"/>
    </w:rPr>
  </w:style>
  <w:style w:type="paragraph" w:customStyle="1" w:styleId="409">
    <w:name w:val="Char Char Char1"/>
    <w:basedOn w:val="1"/>
    <w:qFormat/>
    <w:uiPriority w:val="0"/>
    <w:rPr>
      <w:rFonts w:ascii="Tahoma" w:hAnsi="Tahoma"/>
      <w:sz w:val="24"/>
      <w:szCs w:val="20"/>
    </w:rPr>
  </w:style>
  <w:style w:type="paragraph" w:customStyle="1" w:styleId="410">
    <w:name w:val="符号标题3"/>
    <w:basedOn w:val="1"/>
    <w:qFormat/>
    <w:uiPriority w:val="0"/>
    <w:pPr>
      <w:spacing w:before="50"/>
      <w:ind w:firstLine="359" w:firstLineChars="171"/>
      <w:jc w:val="left"/>
    </w:pPr>
    <w:rPr>
      <w:rFonts w:ascii="宋体" w:hAnsi="宋体"/>
      <w:sz w:val="24"/>
    </w:rPr>
  </w:style>
  <w:style w:type="paragraph" w:customStyle="1" w:styleId="411">
    <w:name w:val="2册标题3"/>
    <w:basedOn w:val="1"/>
    <w:next w:val="1"/>
    <w:qFormat/>
    <w:uiPriority w:val="0"/>
    <w:pPr>
      <w:spacing w:beforeLines="50" w:afterLines="50" w:line="300" w:lineRule="auto"/>
      <w:ind w:left="210" w:leftChars="100"/>
      <w:jc w:val="center"/>
      <w:outlineLvl w:val="2"/>
    </w:pPr>
    <w:rPr>
      <w:rFonts w:ascii="宋体" w:hAnsi="宋体"/>
      <w:b/>
      <w:sz w:val="30"/>
      <w:szCs w:val="20"/>
    </w:rPr>
  </w:style>
  <w:style w:type="paragraph" w:customStyle="1" w:styleId="412">
    <w:name w:val="style50"/>
    <w:basedOn w:val="1"/>
    <w:qFormat/>
    <w:uiPriority w:val="0"/>
    <w:pPr>
      <w:widowControl/>
      <w:spacing w:before="75" w:after="75" w:line="384" w:lineRule="auto"/>
      <w:jc w:val="left"/>
    </w:pPr>
    <w:rPr>
      <w:rFonts w:ascii="黑体" w:hAnsi="宋体" w:eastAsia="黑体" w:cs="宋体"/>
      <w:kern w:val="0"/>
      <w:sz w:val="24"/>
    </w:rPr>
  </w:style>
  <w:style w:type="paragraph" w:customStyle="1" w:styleId="413">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414">
    <w:name w:val="xl52"/>
    <w:basedOn w:val="1"/>
    <w:qFormat/>
    <w:uiPriority w:val="0"/>
    <w:pPr>
      <w:keepNext/>
      <w:keepLines/>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415">
    <w:name w:val="样式 段后: 3 磅 行距: 1.5 倍行距"/>
    <w:basedOn w:val="1"/>
    <w:qFormat/>
    <w:uiPriority w:val="0"/>
    <w:pPr>
      <w:spacing w:after="60" w:line="360" w:lineRule="auto"/>
    </w:pPr>
    <w:rPr>
      <w:szCs w:val="20"/>
    </w:rPr>
  </w:style>
  <w:style w:type="paragraph" w:customStyle="1" w:styleId="416">
    <w:name w:val="xl55"/>
    <w:basedOn w:val="1"/>
    <w:qFormat/>
    <w:uiPriority w:val="0"/>
    <w:pPr>
      <w:keepNext/>
      <w:keepLines/>
      <w:widowControl/>
      <w:spacing w:before="100" w:beforeAutospacing="1" w:after="100" w:afterAutospacing="1" w:line="400" w:lineRule="exact"/>
      <w:jc w:val="center"/>
      <w:textAlignment w:val="center"/>
    </w:pPr>
    <w:rPr>
      <w:rFonts w:ascii="隶书" w:eastAsia="隶书"/>
      <w:kern w:val="0"/>
      <w:sz w:val="48"/>
      <w:szCs w:val="48"/>
      <w:u w:val="double"/>
    </w:rPr>
  </w:style>
  <w:style w:type="paragraph" w:customStyle="1" w:styleId="417">
    <w:name w:val="Default 123  Text1"/>
    <w:basedOn w:val="1"/>
    <w:qFormat/>
    <w:uiPriority w:val="0"/>
    <w:pPr>
      <w:widowControl/>
      <w:overflowPunct w:val="0"/>
      <w:autoSpaceDE w:val="0"/>
      <w:autoSpaceDN w:val="0"/>
      <w:adjustRightInd w:val="0"/>
      <w:jc w:val="left"/>
      <w:textAlignment w:val="baseline"/>
    </w:pPr>
    <w:rPr>
      <w:rFonts w:ascii="宋体"/>
      <w:kern w:val="0"/>
      <w:sz w:val="26"/>
      <w:szCs w:val="20"/>
    </w:rPr>
  </w:style>
  <w:style w:type="paragraph" w:customStyle="1" w:styleId="418">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419">
    <w:name w:val="目录"/>
    <w:basedOn w:val="1"/>
    <w:next w:val="285"/>
    <w:qFormat/>
    <w:uiPriority w:val="0"/>
    <w:pPr>
      <w:adjustRightInd w:val="0"/>
      <w:spacing w:before="360" w:after="360" w:line="312" w:lineRule="atLeast"/>
      <w:jc w:val="center"/>
      <w:textAlignment w:val="baseline"/>
    </w:pPr>
    <w:rPr>
      <w:rFonts w:ascii="黑体" w:eastAsia="黑体"/>
      <w:spacing w:val="20"/>
      <w:kern w:val="0"/>
      <w:sz w:val="32"/>
      <w:szCs w:val="20"/>
    </w:rPr>
  </w:style>
  <w:style w:type="paragraph" w:customStyle="1" w:styleId="420">
    <w:name w:val="xl81"/>
    <w:basedOn w:val="1"/>
    <w:qFormat/>
    <w:uiPriority w:val="0"/>
    <w:pPr>
      <w:widowControl/>
      <w:spacing w:before="100" w:beforeAutospacing="1" w:after="100" w:afterAutospacing="1"/>
      <w:jc w:val="center"/>
      <w:textAlignment w:val="center"/>
    </w:pPr>
    <w:rPr>
      <w:rFonts w:ascii="宋体" w:hAnsi="宋体"/>
      <w:b/>
      <w:bCs/>
      <w:kern w:val="0"/>
      <w:sz w:val="44"/>
      <w:szCs w:val="44"/>
    </w:rPr>
  </w:style>
  <w:style w:type="paragraph" w:customStyle="1" w:styleId="421">
    <w:name w:val="样式10"/>
    <w:basedOn w:val="8"/>
    <w:next w:val="8"/>
    <w:qFormat/>
    <w:uiPriority w:val="0"/>
    <w:pPr>
      <w:tabs>
        <w:tab w:val="left" w:pos="420"/>
        <w:tab w:val="left" w:pos="567"/>
      </w:tabs>
      <w:spacing w:before="0" w:after="0"/>
      <w:ind w:left="420" w:hanging="420"/>
      <w:jc w:val="left"/>
    </w:pPr>
    <w:rPr>
      <w:rFonts w:ascii="宋体" w:hAnsi="宋体" w:eastAsia="宋体"/>
      <w:bCs w:val="0"/>
      <w:kern w:val="0"/>
      <w:sz w:val="24"/>
      <w:szCs w:val="20"/>
    </w:rPr>
  </w:style>
  <w:style w:type="paragraph" w:customStyle="1" w:styleId="422">
    <w:name w:val="xl31"/>
    <w:basedOn w:val="1"/>
    <w:qFormat/>
    <w:uiPriority w:val="0"/>
    <w:pPr>
      <w:keepNext/>
      <w:keepLines/>
      <w:widowControl/>
      <w:spacing w:before="100" w:beforeAutospacing="1" w:after="100" w:afterAutospacing="1" w:line="400" w:lineRule="exact"/>
      <w:jc w:val="center"/>
      <w:textAlignment w:val="center"/>
    </w:pPr>
    <w:rPr>
      <w:rFonts w:ascii="Arial Narrow" w:hAnsi="Arial Narrow" w:eastAsia="楷体_GB2312"/>
      <w:b/>
      <w:bCs/>
      <w:kern w:val="0"/>
      <w:sz w:val="28"/>
      <w:szCs w:val="28"/>
    </w:rPr>
  </w:style>
  <w:style w:type="paragraph" w:customStyle="1" w:styleId="423">
    <w:name w:val="xl30"/>
    <w:basedOn w:val="1"/>
    <w:qFormat/>
    <w:uiPriority w:val="0"/>
    <w:pPr>
      <w:keepNext/>
      <w:keepLines/>
      <w:widowControl/>
      <w:pBdr>
        <w:top w:val="single" w:color="auto" w:sz="4" w:space="0"/>
        <w:left w:val="single" w:color="auto" w:sz="4" w:space="0"/>
        <w:bottom w:val="single" w:color="auto" w:sz="4" w:space="0"/>
        <w:right w:val="double" w:color="auto" w:sz="6" w:space="0"/>
      </w:pBdr>
      <w:spacing w:before="100" w:beforeAutospacing="1" w:after="100" w:afterAutospacing="1" w:line="400" w:lineRule="exact"/>
      <w:jc w:val="left"/>
      <w:textAlignment w:val="center"/>
    </w:pPr>
    <w:rPr>
      <w:rFonts w:ascii="Arial Narrow" w:hAnsi="Arial Narrow" w:eastAsia="楷体_GB2312"/>
      <w:i/>
      <w:iCs/>
      <w:kern w:val="0"/>
      <w:sz w:val="20"/>
      <w:szCs w:val="20"/>
    </w:rPr>
  </w:style>
  <w:style w:type="paragraph" w:customStyle="1" w:styleId="424">
    <w:name w:val="【标题1】"/>
    <w:basedOn w:val="1"/>
    <w:qFormat/>
    <w:uiPriority w:val="0"/>
    <w:pPr>
      <w:pageBreakBefore/>
      <w:tabs>
        <w:tab w:val="left" w:pos="425"/>
        <w:tab w:val="left" w:pos="890"/>
      </w:tabs>
      <w:spacing w:beforeLines="100" w:afterLines="100"/>
      <w:ind w:left="890" w:hanging="465"/>
      <w:jc w:val="center"/>
      <w:outlineLvl w:val="0"/>
    </w:pPr>
    <w:rPr>
      <w:rFonts w:ascii="宋体" w:hAnsi="宋体" w:cs="宋体"/>
      <w:b/>
      <w:bCs/>
      <w:kern w:val="44"/>
      <w:sz w:val="36"/>
      <w:szCs w:val="20"/>
    </w:rPr>
  </w:style>
  <w:style w:type="paragraph" w:customStyle="1" w:styleId="425">
    <w:name w:val="xl37"/>
    <w:basedOn w:val="1"/>
    <w:qFormat/>
    <w:uiPriority w:val="0"/>
    <w:pPr>
      <w:widowControl/>
      <w:spacing w:before="100" w:beforeAutospacing="1" w:after="100" w:afterAutospacing="1"/>
      <w:jc w:val="center"/>
    </w:pPr>
    <w:rPr>
      <w:rFonts w:hint="eastAsia" w:ascii="仿宋_GB2312" w:hAnsi="宋体" w:eastAsia="仿宋_GB2312"/>
      <w:kern w:val="0"/>
      <w:sz w:val="24"/>
      <w:szCs w:val="20"/>
    </w:rPr>
  </w:style>
  <w:style w:type="paragraph" w:customStyle="1" w:styleId="426">
    <w:name w:val="xl44"/>
    <w:basedOn w:val="1"/>
    <w:qFormat/>
    <w:uiPriority w:val="0"/>
    <w:pPr>
      <w:keepNext/>
      <w:keepLines/>
      <w:widowControl/>
      <w:pBdr>
        <w:top w:val="single" w:color="auto" w:sz="4" w:space="0"/>
        <w:left w:val="single" w:color="auto" w:sz="4" w:space="0"/>
        <w:bottom w:val="double" w:color="auto" w:sz="6" w:space="0"/>
        <w:right w:val="single" w:color="auto" w:sz="4" w:space="0"/>
      </w:pBdr>
      <w:spacing w:before="100" w:beforeAutospacing="1" w:after="100" w:afterAutospacing="1" w:line="400" w:lineRule="exact"/>
      <w:jc w:val="center"/>
      <w:textAlignment w:val="center"/>
    </w:pPr>
    <w:rPr>
      <w:rFonts w:ascii="楷体_GB2312" w:eastAsia="楷体_GB2312"/>
      <w:b/>
      <w:bCs/>
      <w:kern w:val="0"/>
      <w:sz w:val="20"/>
      <w:szCs w:val="20"/>
    </w:rPr>
  </w:style>
  <w:style w:type="paragraph" w:customStyle="1" w:styleId="427">
    <w:name w:val="菲页(卷)"/>
    <w:basedOn w:val="8"/>
    <w:next w:val="286"/>
    <w:qFormat/>
    <w:uiPriority w:val="0"/>
    <w:pPr>
      <w:tabs>
        <w:tab w:val="left" w:pos="951"/>
        <w:tab w:val="left" w:pos="2907"/>
      </w:tabs>
      <w:spacing w:before="0" w:after="0"/>
      <w:ind w:left="2907" w:hanging="1755"/>
      <w:jc w:val="left"/>
    </w:pPr>
    <w:rPr>
      <w:rFonts w:ascii="黑体" w:hAnsi="宋体" w:eastAsia="黑体"/>
      <w:bCs w:val="0"/>
      <w:kern w:val="0"/>
      <w:sz w:val="52"/>
      <w:szCs w:val="20"/>
    </w:rPr>
  </w:style>
  <w:style w:type="paragraph" w:customStyle="1" w:styleId="428">
    <w:name w:val="xl57"/>
    <w:basedOn w:val="1"/>
    <w:qFormat/>
    <w:uiPriority w:val="0"/>
    <w:pPr>
      <w:keepNext/>
      <w:keepLines/>
      <w:widowControl/>
      <w:pBdr>
        <w:top w:val="double" w:color="auto" w:sz="6" w:space="0"/>
        <w:left w:val="single" w:color="auto" w:sz="4" w:space="0"/>
        <w:bottom w:val="single" w:color="auto" w:sz="4" w:space="0"/>
        <w:right w:val="single" w:color="auto" w:sz="4" w:space="0"/>
      </w:pBdr>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429">
    <w:name w:val="五级条标题"/>
    <w:basedOn w:val="312"/>
    <w:next w:val="254"/>
    <w:qFormat/>
    <w:uiPriority w:val="0"/>
    <w:pPr>
      <w:outlineLvl w:val="6"/>
    </w:pPr>
  </w:style>
  <w:style w:type="paragraph" w:customStyle="1" w:styleId="430">
    <w:name w:val="一般文字"/>
    <w:basedOn w:val="1"/>
    <w:qFormat/>
    <w:uiPriority w:val="0"/>
    <w:pPr>
      <w:adjustRightInd w:val="0"/>
      <w:snapToGrid w:val="0"/>
      <w:spacing w:before="100" w:beforeAutospacing="1" w:after="100" w:afterAutospacing="1"/>
      <w:ind w:left="180" w:firstLine="540" w:firstLineChars="225"/>
      <w:jc w:val="left"/>
    </w:pPr>
    <w:rPr>
      <w:rFonts w:ascii="宋体" w:hAnsi="Plotter" w:cs="Plotter"/>
      <w:sz w:val="24"/>
    </w:rPr>
  </w:style>
  <w:style w:type="paragraph" w:customStyle="1" w:styleId="431">
    <w:name w:val="Char Char Char Char Char Char1 Char"/>
    <w:basedOn w:val="1"/>
    <w:qFormat/>
    <w:uiPriority w:val="0"/>
    <w:pPr>
      <w:widowControl/>
      <w:spacing w:after="160" w:line="240" w:lineRule="exact"/>
      <w:jc w:val="left"/>
    </w:pPr>
    <w:rPr>
      <w:rFonts w:ascii="Verdana" w:hAnsi="Verdana" w:eastAsia="仿宋_GB2312"/>
      <w:kern w:val="0"/>
      <w:sz w:val="30"/>
      <w:szCs w:val="20"/>
      <w:lang w:eastAsia="en-US"/>
    </w:rPr>
  </w:style>
  <w:style w:type="paragraph" w:customStyle="1" w:styleId="432">
    <w:name w:val="样式12"/>
    <w:basedOn w:val="382"/>
    <w:qFormat/>
    <w:uiPriority w:val="0"/>
    <w:pPr>
      <w:tabs>
        <w:tab w:val="left" w:pos="0"/>
        <w:tab w:val="left" w:pos="719"/>
        <w:tab w:val="clear" w:pos="4153"/>
        <w:tab w:val="clear" w:pos="8306"/>
      </w:tabs>
      <w:autoSpaceDE w:val="0"/>
      <w:autoSpaceDN w:val="0"/>
      <w:adjustRightInd w:val="0"/>
      <w:snapToGrid/>
      <w:spacing w:line="312" w:lineRule="atLeast"/>
      <w:ind w:left="719" w:hanging="240"/>
      <w:jc w:val="center"/>
      <w:textAlignment w:val="baseline"/>
    </w:pPr>
    <w:rPr>
      <w:rFonts w:ascii="宋体" w:hAnsi="宋体" w:eastAsia="黑体"/>
      <w:sz w:val="44"/>
    </w:rPr>
  </w:style>
  <w:style w:type="paragraph" w:customStyle="1" w:styleId="433">
    <w:name w:val="标二"/>
    <w:next w:val="1"/>
    <w:qFormat/>
    <w:uiPriority w:val="0"/>
    <w:pPr>
      <w:tabs>
        <w:tab w:val="left" w:pos="719"/>
      </w:tabs>
      <w:ind w:left="719" w:hanging="240"/>
      <w:outlineLvl w:val="1"/>
    </w:pPr>
    <w:rPr>
      <w:rFonts w:ascii="黑体" w:hAnsi="Arial" w:eastAsia="黑体" w:cs="Plotter"/>
      <w:bCs/>
      <w:sz w:val="72"/>
      <w:szCs w:val="72"/>
      <w:lang w:val="en-US" w:eastAsia="zh-CN" w:bidi="ar-SA"/>
    </w:rPr>
  </w:style>
  <w:style w:type="paragraph" w:customStyle="1" w:styleId="434">
    <w:name w:val="编号1"/>
    <w:basedOn w:val="1"/>
    <w:qFormat/>
    <w:uiPriority w:val="0"/>
    <w:pPr>
      <w:tabs>
        <w:tab w:val="left" w:pos="1344"/>
      </w:tabs>
      <w:spacing w:line="360" w:lineRule="auto"/>
      <w:outlineLvl w:val="0"/>
    </w:pPr>
    <w:rPr>
      <w:rFonts w:ascii="宋体" w:hAnsi="宋体"/>
      <w:sz w:val="24"/>
      <w:szCs w:val="20"/>
    </w:rPr>
  </w:style>
  <w:style w:type="paragraph" w:customStyle="1" w:styleId="435">
    <w:name w:val="xl64"/>
    <w:basedOn w:val="1"/>
    <w:qFormat/>
    <w:uiPriority w:val="0"/>
    <w:pPr>
      <w:keepNext/>
      <w:keepLines/>
      <w:widowControl/>
      <w:pBdr>
        <w:top w:val="single" w:color="auto" w:sz="4" w:space="0"/>
        <w:left w:val="single" w:color="auto" w:sz="4" w:space="0"/>
        <w:bottom w:val="single" w:color="auto" w:sz="4" w:space="0"/>
        <w:right w:val="double" w:color="auto" w:sz="6" w:space="0"/>
      </w:pBdr>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436">
    <w:name w:val="xl46"/>
    <w:basedOn w:val="1"/>
    <w:qFormat/>
    <w:uiPriority w:val="0"/>
    <w:pPr>
      <w:keepNext/>
      <w:keepLines/>
      <w:widowControl/>
      <w:pBdr>
        <w:top w:val="single" w:color="auto" w:sz="4" w:space="0"/>
        <w:left w:val="single" w:color="auto" w:sz="4" w:space="0"/>
        <w:bottom w:val="single" w:color="auto" w:sz="4" w:space="0"/>
        <w:right w:val="double" w:color="auto" w:sz="6" w:space="0"/>
      </w:pBdr>
      <w:spacing w:before="100" w:beforeAutospacing="1" w:after="100" w:afterAutospacing="1" w:line="400" w:lineRule="exact"/>
      <w:jc w:val="center"/>
      <w:textAlignment w:val="center"/>
    </w:pPr>
    <w:rPr>
      <w:rFonts w:ascii="楷体_GB2312" w:eastAsia="楷体_GB2312"/>
      <w:b/>
      <w:bCs/>
      <w:kern w:val="0"/>
      <w:sz w:val="20"/>
      <w:szCs w:val="20"/>
    </w:rPr>
  </w:style>
  <w:style w:type="paragraph" w:customStyle="1" w:styleId="437">
    <w:name w:val="f9"/>
    <w:basedOn w:val="1"/>
    <w:qFormat/>
    <w:uiPriority w:val="0"/>
    <w:pPr>
      <w:widowControl/>
      <w:spacing w:before="100" w:beforeAutospacing="1" w:after="100" w:afterAutospacing="1" w:line="348" w:lineRule="auto"/>
      <w:jc w:val="left"/>
    </w:pPr>
    <w:rPr>
      <w:rFonts w:ascii="Arial Unicode MS" w:hAnsi="Arial Unicode MS" w:eastAsia="Times New Roman" w:cs="Arial Unicode MS"/>
      <w:color w:val="000000"/>
      <w:kern w:val="0"/>
      <w:sz w:val="18"/>
      <w:szCs w:val="18"/>
    </w:rPr>
  </w:style>
  <w:style w:type="paragraph" w:customStyle="1" w:styleId="438">
    <w:name w:val="表格"/>
    <w:basedOn w:val="1"/>
    <w:qFormat/>
    <w:uiPriority w:val="0"/>
    <w:pPr>
      <w:widowControl/>
      <w:adjustRightInd w:val="0"/>
      <w:snapToGrid w:val="0"/>
      <w:spacing w:before="100" w:beforeAutospacing="1" w:after="100" w:afterAutospacing="1"/>
      <w:jc w:val="left"/>
    </w:pPr>
    <w:rPr>
      <w:rFonts w:ascii="宋体" w:hAnsi="宋体" w:cs="宋体"/>
      <w:kern w:val="0"/>
      <w:sz w:val="24"/>
      <w:szCs w:val="20"/>
    </w:rPr>
  </w:style>
  <w:style w:type="paragraph" w:customStyle="1" w:styleId="43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b/>
      <w:bCs/>
      <w:kern w:val="0"/>
      <w:sz w:val="24"/>
    </w:rPr>
  </w:style>
  <w:style w:type="paragraph" w:customStyle="1" w:styleId="440">
    <w:name w:val="xl68"/>
    <w:basedOn w:val="1"/>
    <w:qFormat/>
    <w:uiPriority w:val="0"/>
    <w:pPr>
      <w:keepNext/>
      <w:keepLines/>
      <w:widowControl/>
      <w:pBdr>
        <w:top w:val="single" w:color="auto" w:sz="4" w:space="0"/>
        <w:left w:val="single" w:color="auto" w:sz="4" w:space="0"/>
        <w:bottom w:val="single" w:color="auto" w:sz="4" w:space="0"/>
        <w:right w:val="single" w:color="auto" w:sz="4" w:space="0"/>
      </w:pBdr>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441">
    <w:name w:val="正文文字1"/>
    <w:basedOn w:val="1"/>
    <w:next w:val="54"/>
    <w:qFormat/>
    <w:uiPriority w:val="0"/>
    <w:pPr>
      <w:adjustRightInd w:val="0"/>
      <w:ind w:left="315" w:leftChars="150" w:firstLine="403" w:firstLineChars="168"/>
      <w:jc w:val="left"/>
      <w:textAlignment w:val="baseline"/>
    </w:pPr>
    <w:rPr>
      <w:rFonts w:ascii="宋体" w:cs="Plotter"/>
      <w:color w:val="003366"/>
      <w:kern w:val="0"/>
      <w:sz w:val="24"/>
      <w:szCs w:val="20"/>
    </w:rPr>
  </w:style>
  <w:style w:type="paragraph" w:customStyle="1" w:styleId="442">
    <w:name w:val="6"/>
    <w:basedOn w:val="1"/>
    <w:next w:val="37"/>
    <w:qFormat/>
    <w:uiPriority w:val="0"/>
    <w:pPr>
      <w:jc w:val="left"/>
    </w:pPr>
    <w:rPr>
      <w:rFonts w:ascii="宋体" w:hAnsi="Courier New" w:cs="Plotter"/>
      <w:sz w:val="24"/>
      <w:szCs w:val="20"/>
    </w:rPr>
  </w:style>
  <w:style w:type="paragraph" w:customStyle="1" w:styleId="443">
    <w:name w:val="Char Char Char Char Char Char Char Char Char"/>
    <w:basedOn w:val="25"/>
    <w:qFormat/>
    <w:uiPriority w:val="0"/>
    <w:pPr>
      <w:jc w:val="left"/>
    </w:pPr>
    <w:rPr>
      <w:rFonts w:ascii="Tahoma" w:hAnsi="Tahoma"/>
      <w:sz w:val="24"/>
      <w:szCs w:val="20"/>
    </w:rPr>
  </w:style>
  <w:style w:type="paragraph" w:customStyle="1" w:styleId="444">
    <w:name w:val="xl3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Arial Unicode MS" w:hAnsi="Arial Unicode MS" w:eastAsia="Times New Roman" w:cs="Plotter"/>
      <w:kern w:val="0"/>
      <w:sz w:val="20"/>
      <w:szCs w:val="20"/>
    </w:rPr>
  </w:style>
  <w:style w:type="paragraph" w:customStyle="1" w:styleId="445">
    <w:name w:val="文章副标题"/>
    <w:basedOn w:val="1"/>
    <w:next w:val="1"/>
    <w:qFormat/>
    <w:uiPriority w:val="0"/>
    <w:pPr>
      <w:widowControl/>
      <w:spacing w:before="187" w:after="175" w:line="1870" w:lineRule="atLeast"/>
      <w:jc w:val="center"/>
      <w:textAlignment w:val="baseline"/>
    </w:pPr>
    <w:rPr>
      <w:color w:val="000000"/>
      <w:kern w:val="0"/>
      <w:sz w:val="36"/>
    </w:rPr>
  </w:style>
  <w:style w:type="paragraph" w:customStyle="1" w:styleId="446">
    <w:name w:val="标题样式"/>
    <w:basedOn w:val="1"/>
    <w:qFormat/>
    <w:uiPriority w:val="0"/>
    <w:pPr>
      <w:tabs>
        <w:tab w:val="left" w:pos="420"/>
      </w:tabs>
      <w:jc w:val="left"/>
    </w:pPr>
    <w:rPr>
      <w:rFonts w:ascii="宋体" w:hAnsi="宋体"/>
      <w:sz w:val="24"/>
    </w:rPr>
  </w:style>
  <w:style w:type="paragraph" w:customStyle="1" w:styleId="447">
    <w:name w:val="样式8"/>
    <w:basedOn w:val="1"/>
    <w:qFormat/>
    <w:uiPriority w:val="0"/>
    <w:pPr>
      <w:tabs>
        <w:tab w:val="left" w:pos="720"/>
      </w:tabs>
      <w:spacing w:line="360" w:lineRule="auto"/>
      <w:ind w:left="720" w:hanging="720"/>
      <w:jc w:val="left"/>
      <w:outlineLvl w:val="0"/>
    </w:pPr>
    <w:rPr>
      <w:szCs w:val="20"/>
    </w:rPr>
  </w:style>
  <w:style w:type="paragraph" w:customStyle="1" w:styleId="448">
    <w:name w:val="xl56"/>
    <w:basedOn w:val="1"/>
    <w:qFormat/>
    <w:uiPriority w:val="0"/>
    <w:pPr>
      <w:keepNext/>
      <w:keepLines/>
      <w:widowControl/>
      <w:pBdr>
        <w:top w:val="double" w:color="auto" w:sz="6" w:space="0"/>
        <w:left w:val="single" w:color="auto" w:sz="4" w:space="0"/>
        <w:bottom w:val="single" w:color="auto" w:sz="4" w:space="0"/>
        <w:right w:val="single" w:color="auto" w:sz="4" w:space="0"/>
      </w:pBdr>
      <w:spacing w:before="100" w:beforeAutospacing="1" w:after="100" w:afterAutospacing="1" w:line="400" w:lineRule="exact"/>
      <w:jc w:val="center"/>
      <w:textAlignment w:val="center"/>
    </w:pPr>
    <w:rPr>
      <w:rFonts w:ascii="楷体_GB2312" w:eastAsia="楷体_GB2312"/>
      <w:b/>
      <w:bCs/>
      <w:kern w:val="0"/>
      <w:sz w:val="20"/>
      <w:szCs w:val="20"/>
    </w:rPr>
  </w:style>
  <w:style w:type="paragraph" w:customStyle="1" w:styleId="449">
    <w:name w:val="xl45"/>
    <w:basedOn w:val="1"/>
    <w:qFormat/>
    <w:uiPriority w:val="0"/>
    <w:pPr>
      <w:keepNext/>
      <w:keepLines/>
      <w:widowControl/>
      <w:pBdr>
        <w:top w:val="single" w:color="auto" w:sz="4" w:space="0"/>
        <w:left w:val="single" w:color="auto" w:sz="4" w:space="0"/>
        <w:bottom w:val="double" w:color="auto" w:sz="6" w:space="0"/>
        <w:right w:val="double" w:color="auto" w:sz="6" w:space="0"/>
      </w:pBdr>
      <w:spacing w:before="100" w:beforeAutospacing="1" w:after="100" w:afterAutospacing="1" w:line="400" w:lineRule="exact"/>
      <w:jc w:val="left"/>
      <w:textAlignment w:val="center"/>
    </w:pPr>
    <w:rPr>
      <w:rFonts w:ascii="Arial Narrow" w:hAnsi="Arial Narrow" w:eastAsia="楷体_GB2312"/>
      <w:i/>
      <w:iCs/>
      <w:kern w:val="0"/>
      <w:sz w:val="20"/>
      <w:szCs w:val="20"/>
    </w:rPr>
  </w:style>
  <w:style w:type="paragraph" w:customStyle="1" w:styleId="450">
    <w:name w:val="xl25"/>
    <w:basedOn w:val="1"/>
    <w:qFormat/>
    <w:uiPriority w:val="0"/>
    <w:pPr>
      <w:widowControl/>
      <w:spacing w:before="100" w:beforeAutospacing="1" w:after="100" w:afterAutospacing="1"/>
      <w:jc w:val="center"/>
      <w:textAlignment w:val="bottom"/>
    </w:pPr>
    <w:rPr>
      <w:rFonts w:ascii="宋体" w:hAnsi="宋体"/>
      <w:kern w:val="0"/>
      <w:sz w:val="24"/>
    </w:rPr>
  </w:style>
  <w:style w:type="paragraph" w:customStyle="1" w:styleId="451">
    <w:name w:val="xl65"/>
    <w:basedOn w:val="1"/>
    <w:qFormat/>
    <w:uiPriority w:val="0"/>
    <w:pPr>
      <w:keepNext/>
      <w:keepLines/>
      <w:widowControl/>
      <w:pBdr>
        <w:top w:val="single" w:color="auto" w:sz="4" w:space="0"/>
        <w:left w:val="double" w:color="auto" w:sz="6" w:space="0"/>
        <w:bottom w:val="single" w:color="auto" w:sz="4" w:space="0"/>
        <w:right w:val="single" w:color="auto" w:sz="4" w:space="0"/>
      </w:pBdr>
      <w:spacing w:before="100" w:beforeAutospacing="1" w:after="100" w:afterAutospacing="1" w:line="400" w:lineRule="exact"/>
      <w:jc w:val="center"/>
      <w:textAlignment w:val="center"/>
    </w:pPr>
    <w:rPr>
      <w:rFonts w:ascii="Arial Narrow" w:hAnsi="Arial Narrow" w:eastAsia="楷体_GB2312"/>
      <w:b/>
      <w:bCs/>
      <w:kern w:val="0"/>
      <w:sz w:val="20"/>
      <w:szCs w:val="20"/>
    </w:rPr>
  </w:style>
  <w:style w:type="paragraph" w:customStyle="1" w:styleId="452">
    <w:name w:val="xl54"/>
    <w:basedOn w:val="1"/>
    <w:qFormat/>
    <w:uiPriority w:val="0"/>
    <w:pPr>
      <w:keepNext/>
      <w:keepLines/>
      <w:widowControl/>
      <w:pBdr>
        <w:top w:val="single" w:color="auto" w:sz="4" w:space="0"/>
        <w:left w:val="single" w:color="auto" w:sz="4" w:space="0"/>
        <w:bottom w:val="single" w:color="auto" w:sz="4" w:space="0"/>
        <w:right w:val="double" w:color="auto" w:sz="6" w:space="0"/>
      </w:pBdr>
      <w:shd w:val="clear" w:color="auto" w:fill="C0C0C0"/>
      <w:spacing w:before="100" w:beforeAutospacing="1" w:after="100" w:afterAutospacing="1" w:line="400" w:lineRule="exact"/>
      <w:jc w:val="center"/>
      <w:textAlignment w:val="center"/>
    </w:pPr>
    <w:rPr>
      <w:rFonts w:ascii="楷体_GB2312" w:eastAsia="楷体_GB2312"/>
      <w:b/>
      <w:bCs/>
      <w:kern w:val="0"/>
      <w:sz w:val="20"/>
      <w:szCs w:val="20"/>
    </w:rPr>
  </w:style>
  <w:style w:type="paragraph" w:customStyle="1" w:styleId="453">
    <w:name w:val="标题 33"/>
    <w:basedOn w:val="1"/>
    <w:qFormat/>
    <w:uiPriority w:val="0"/>
    <w:pPr>
      <w:widowControl/>
      <w:jc w:val="left"/>
    </w:pPr>
    <w:rPr>
      <w:kern w:val="0"/>
      <w:sz w:val="20"/>
      <w:szCs w:val="20"/>
    </w:rPr>
  </w:style>
  <w:style w:type="paragraph" w:customStyle="1" w:styleId="45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455">
    <w:name w:val="列表1"/>
    <w:basedOn w:val="1"/>
    <w:qFormat/>
    <w:uiPriority w:val="0"/>
    <w:pPr>
      <w:adjustRightInd w:val="0"/>
      <w:ind w:left="902" w:hanging="482"/>
      <w:jc w:val="left"/>
      <w:textAlignment w:val="baseline"/>
    </w:pPr>
    <w:rPr>
      <w:rFonts w:ascii="昆仑仿宋" w:eastAsia="昆仑仿宋" w:cs="Plotter"/>
      <w:kern w:val="0"/>
      <w:sz w:val="24"/>
      <w:szCs w:val="20"/>
    </w:rPr>
  </w:style>
  <w:style w:type="paragraph" w:customStyle="1" w:styleId="456">
    <w:name w:val="maint"/>
    <w:basedOn w:val="1"/>
    <w:qFormat/>
    <w:uiPriority w:val="0"/>
    <w:pPr>
      <w:widowControl/>
      <w:jc w:val="left"/>
    </w:pPr>
    <w:rPr>
      <w:rFonts w:ascii="宋体" w:hAnsi="宋体" w:cs="宋体"/>
      <w:kern w:val="0"/>
      <w:sz w:val="24"/>
    </w:rPr>
  </w:style>
  <w:style w:type="paragraph" w:customStyle="1" w:styleId="457">
    <w:name w:val="Char Char Char Char Char Char Char Char1"/>
    <w:basedOn w:val="1"/>
    <w:qFormat/>
    <w:uiPriority w:val="0"/>
    <w:pPr>
      <w:tabs>
        <w:tab w:val="left" w:pos="360"/>
      </w:tabs>
    </w:pPr>
    <w:rPr>
      <w:sz w:val="24"/>
    </w:rPr>
  </w:style>
  <w:style w:type="paragraph" w:customStyle="1" w:styleId="45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FF"/>
      <w:kern w:val="0"/>
      <w:sz w:val="20"/>
      <w:szCs w:val="20"/>
      <w:u w:val="single"/>
    </w:rPr>
  </w:style>
  <w:style w:type="paragraph" w:customStyle="1" w:styleId="459">
    <w:name w:val="Char Char Char Char Char Char Char"/>
    <w:basedOn w:val="1"/>
    <w:qFormat/>
    <w:uiPriority w:val="0"/>
    <w:pPr>
      <w:tabs>
        <w:tab w:val="left" w:pos="432"/>
      </w:tabs>
      <w:ind w:left="432" w:hanging="432"/>
    </w:pPr>
    <w:rPr>
      <w:rFonts w:ascii="Tahoma" w:hAnsi="Tahoma"/>
      <w:sz w:val="24"/>
      <w:szCs w:val="20"/>
    </w:rPr>
  </w:style>
  <w:style w:type="paragraph" w:customStyle="1" w:styleId="460">
    <w:name w:val="样式7"/>
    <w:basedOn w:val="8"/>
    <w:next w:val="8"/>
    <w:qFormat/>
    <w:uiPriority w:val="0"/>
    <w:pPr>
      <w:tabs>
        <w:tab w:val="left" w:pos="951"/>
        <w:tab w:val="left" w:pos="2907"/>
      </w:tabs>
      <w:spacing w:before="0" w:after="0"/>
      <w:ind w:left="2907" w:hanging="1755"/>
      <w:jc w:val="left"/>
    </w:pPr>
    <w:rPr>
      <w:rFonts w:ascii="宋体" w:hAnsi="宋体" w:eastAsia="宋体"/>
      <w:bCs w:val="0"/>
      <w:kern w:val="0"/>
      <w:sz w:val="24"/>
      <w:szCs w:val="20"/>
    </w:rPr>
  </w:style>
  <w:style w:type="paragraph" w:customStyle="1" w:styleId="461">
    <w:name w:val="列项——（一级）"/>
    <w:qFormat/>
    <w:uiPriority w:val="0"/>
    <w:pPr>
      <w:widowControl w:val="0"/>
      <w:tabs>
        <w:tab w:val="left" w:pos="854"/>
      </w:tabs>
      <w:ind w:left="200" w:leftChars="200" w:hanging="200" w:hangingChars="200"/>
      <w:jc w:val="both"/>
    </w:pPr>
    <w:rPr>
      <w:rFonts w:ascii="宋体" w:hAnsi="Times New Roman" w:eastAsia="宋体" w:cs="Times New Roman"/>
      <w:sz w:val="21"/>
      <w:lang w:val="en-US" w:eastAsia="zh-CN" w:bidi="ar-SA"/>
    </w:rPr>
  </w:style>
  <w:style w:type="paragraph" w:customStyle="1" w:styleId="462">
    <w:name w:val="样式6"/>
    <w:basedOn w:val="8"/>
    <w:qFormat/>
    <w:uiPriority w:val="0"/>
    <w:pPr>
      <w:tabs>
        <w:tab w:val="left" w:pos="780"/>
        <w:tab w:val="left" w:pos="851"/>
      </w:tabs>
      <w:spacing w:before="0" w:after="0"/>
      <w:ind w:left="840" w:hanging="840"/>
      <w:jc w:val="left"/>
    </w:pPr>
    <w:rPr>
      <w:rFonts w:ascii="宋体" w:hAnsi="宋体" w:eastAsia="宋体"/>
      <w:bCs w:val="0"/>
      <w:kern w:val="0"/>
      <w:sz w:val="28"/>
      <w:szCs w:val="20"/>
    </w:rPr>
  </w:style>
  <w:style w:type="paragraph" w:customStyle="1" w:styleId="463">
    <w:name w:val="小标题 1"/>
    <w:basedOn w:val="1"/>
    <w:qFormat/>
    <w:uiPriority w:val="0"/>
    <w:pPr>
      <w:autoSpaceDE w:val="0"/>
      <w:autoSpaceDN w:val="0"/>
      <w:adjustRightInd w:val="0"/>
      <w:spacing w:line="360" w:lineRule="atLeast"/>
      <w:jc w:val="left"/>
    </w:pPr>
    <w:rPr>
      <w:rFonts w:ascii="文鼎粗黑" w:eastAsia="文鼎粗黑"/>
      <w:kern w:val="0"/>
      <w:sz w:val="22"/>
      <w:szCs w:val="20"/>
    </w:rPr>
  </w:style>
  <w:style w:type="paragraph" w:customStyle="1" w:styleId="464">
    <w:name w:val="框下空行"/>
    <w:basedOn w:val="1"/>
    <w:next w:val="1"/>
    <w:qFormat/>
    <w:uiPriority w:val="0"/>
    <w:pPr>
      <w:widowControl/>
      <w:adjustRightInd w:val="0"/>
      <w:snapToGrid w:val="0"/>
      <w:spacing w:line="200" w:lineRule="exact"/>
      <w:ind w:left="680"/>
      <w:jc w:val="left"/>
    </w:pPr>
    <w:rPr>
      <w:sz w:val="18"/>
      <w:szCs w:val="20"/>
    </w:rPr>
  </w:style>
  <w:style w:type="paragraph" w:customStyle="1" w:styleId="465">
    <w:name w:val="默认段落"/>
    <w:basedOn w:val="1"/>
    <w:qFormat/>
    <w:uiPriority w:val="0"/>
    <w:pPr>
      <w:spacing w:after="120" w:line="360" w:lineRule="auto"/>
      <w:ind w:firstLine="480" w:firstLineChars="200"/>
    </w:pPr>
    <w:rPr>
      <w:sz w:val="24"/>
      <w:szCs w:val="20"/>
    </w:rPr>
  </w:style>
  <w:style w:type="paragraph" w:customStyle="1" w:styleId="466">
    <w:name w:val="Char Char Char Char Char Char Char Char Char Char Char Char Char Char Char Char1"/>
    <w:basedOn w:val="1"/>
    <w:qFormat/>
    <w:uiPriority w:val="0"/>
    <w:pPr>
      <w:tabs>
        <w:tab w:val="left" w:pos="360"/>
      </w:tabs>
      <w:jc w:val="left"/>
    </w:pPr>
    <w:rPr>
      <w:sz w:val="24"/>
      <w:szCs w:val="20"/>
    </w:rPr>
  </w:style>
  <w:style w:type="paragraph" w:customStyle="1" w:styleId="467">
    <w:name w:val="样式 首行缩进:  0.85 厘米"/>
    <w:basedOn w:val="1"/>
    <w:qFormat/>
    <w:uiPriority w:val="0"/>
    <w:pPr>
      <w:adjustRightInd w:val="0"/>
      <w:ind w:firstLine="480"/>
      <w:jc w:val="left"/>
      <w:textAlignment w:val="baseline"/>
    </w:pPr>
    <w:rPr>
      <w:rFonts w:ascii="Arial" w:hAnsi="Arial"/>
      <w:sz w:val="24"/>
      <w:szCs w:val="20"/>
    </w:rPr>
  </w:style>
  <w:style w:type="paragraph" w:customStyle="1" w:styleId="468">
    <w:name w:val="列出段落 Char Char"/>
    <w:basedOn w:val="1"/>
    <w:qFormat/>
    <w:uiPriority w:val="0"/>
    <w:pPr>
      <w:ind w:firstLine="420" w:firstLineChars="200"/>
    </w:pPr>
    <w:rPr>
      <w:szCs w:val="20"/>
    </w:rPr>
  </w:style>
  <w:style w:type="paragraph" w:customStyle="1" w:styleId="469">
    <w:name w:val="样式2"/>
    <w:basedOn w:val="43"/>
    <w:qFormat/>
    <w:uiPriority w:val="0"/>
    <w:pPr>
      <w:jc w:val="both"/>
    </w:pPr>
    <w:rPr>
      <w:kern w:val="0"/>
      <w:szCs w:val="20"/>
    </w:rPr>
  </w:style>
  <w:style w:type="paragraph" w:customStyle="1" w:styleId="470">
    <w:name w:val="样式 USE 2 + 行距: 单倍行距"/>
    <w:basedOn w:val="270"/>
    <w:qFormat/>
    <w:uiPriority w:val="0"/>
  </w:style>
  <w:style w:type="paragraph" w:customStyle="1" w:styleId="471">
    <w:name w:val="TOC 标题1"/>
    <w:basedOn w:val="8"/>
    <w:next w:val="1"/>
    <w:semiHidden/>
    <w:unhideWhenUsed/>
    <w:qFormat/>
    <w:uiPriority w:val="39"/>
    <w:pPr>
      <w:widowControl/>
      <w:spacing w:before="480" w:after="0" w:line="276" w:lineRule="auto"/>
      <w:jc w:val="left"/>
      <w:outlineLvl w:val="9"/>
    </w:pPr>
    <w:rPr>
      <w:rFonts w:ascii="Cambria" w:hAnsi="Cambria" w:eastAsia="宋体"/>
      <w:color w:val="365F91"/>
      <w:kern w:val="0"/>
      <w:sz w:val="28"/>
      <w:szCs w:val="28"/>
    </w:rPr>
  </w:style>
  <w:style w:type="paragraph" w:customStyle="1" w:styleId="472">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473">
    <w:name w:val="标题 331"/>
    <w:basedOn w:val="1"/>
    <w:qFormat/>
    <w:uiPriority w:val="0"/>
    <w:pPr>
      <w:widowControl/>
      <w:jc w:val="left"/>
    </w:pPr>
    <w:rPr>
      <w:kern w:val="0"/>
      <w:sz w:val="20"/>
      <w:szCs w:val="20"/>
    </w:rPr>
  </w:style>
  <w:style w:type="character" w:customStyle="1" w:styleId="474">
    <w:name w:val="Unresolved Mention"/>
    <w:basedOn w:val="65"/>
    <w:semiHidden/>
    <w:unhideWhenUsed/>
    <w:qFormat/>
    <w:uiPriority w:val="99"/>
    <w:rPr>
      <w:color w:val="605E5C"/>
      <w:shd w:val="clear" w:color="auto" w:fill="E1DFDD"/>
    </w:rPr>
  </w:style>
  <w:style w:type="character" w:customStyle="1" w:styleId="475">
    <w:name w:val="纯文本 Char"/>
    <w:qFormat/>
    <w:uiPriority w:val="0"/>
    <w:rPr>
      <w:rFonts w:ascii="宋体" w:hAnsi="Courier New" w:eastAsia="宋体"/>
      <w:kern w:val="2"/>
      <w:sz w:val="21"/>
      <w:lang w:val="en-US" w:eastAsia="zh-CN" w:bidi="ar-SA"/>
    </w:rPr>
  </w:style>
  <w:style w:type="character" w:customStyle="1" w:styleId="476">
    <w:name w:val="正文缩进 Char"/>
    <w:qFormat/>
    <w:uiPriority w:val="0"/>
    <w:rPr>
      <w:kern w:val="2"/>
      <w:sz w:val="21"/>
    </w:rPr>
  </w:style>
  <w:style w:type="paragraph" w:customStyle="1" w:styleId="477">
    <w:name w:val="样式13"/>
    <w:basedOn w:val="1"/>
    <w:qFormat/>
    <w:uiPriority w:val="0"/>
    <w:rPr>
      <w:rFonts w:ascii="仿宋" w:hAnsi="仿宋" w:cs="仿宋"/>
      <w:b/>
      <w:szCs w:val="21"/>
    </w:rPr>
  </w:style>
  <w:style w:type="character" w:customStyle="1" w:styleId="478">
    <w:name w:val="NormalCharacter_0"/>
    <w:qFormat/>
    <w:uiPriority w:val="0"/>
    <w:rPr>
      <w:rFonts w:ascii="Calibri" w:hAnsi="Calibri"/>
      <w:kern w:val="2"/>
      <w:sz w:val="21"/>
      <w:szCs w:val="22"/>
      <w:lang w:val="en-US" w:eastAsia="zh-CN" w:bidi="ar-SA"/>
    </w:rPr>
  </w:style>
  <w:style w:type="paragraph" w:customStyle="1" w:styleId="479">
    <w:name w:val="Normal_11"/>
    <w:qFormat/>
    <w:uiPriority w:val="0"/>
    <w:rPr>
      <w:rFonts w:ascii="黑体" w:hAnsi="黑体" w:eastAsia="黑体" w:cs="Times New Roman"/>
      <w:b/>
      <w:sz w:val="32"/>
      <w:szCs w:val="24"/>
      <w:lang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CD5A54-BD0A-4622-80D8-C2E252535E4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46</Pages>
  <Words>24022</Words>
  <Characters>25854</Characters>
  <Lines>38</Lines>
  <Paragraphs>56</Paragraphs>
  <TotalTime>129</TotalTime>
  <ScaleCrop>false</ScaleCrop>
  <LinksUpToDate>false</LinksUpToDate>
  <CharactersWithSpaces>27628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2018-02-22T01:08:00Z</dcterms:created>
  <dc:creator>微软用户</dc:creator>
  <cp:lastModifiedBy>园园</cp:lastModifiedBy>
  <cp:lastPrinted>2024-03-21T01:20:00Z</cp:lastPrinted>
  <dcterms:modified xsi:type="dcterms:W3CDTF">2024-04-28T07:49:36Z</dcterms:modified>
  <dc:title>郑州高新技术产业开发区  购置课桌椅、教师办公桌椅项目</dc:title>
  <cp:revision>4319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EEE7CA1A4D6B4CF0AA82837B6513812F_13</vt:lpwstr>
  </property>
</Properties>
</file>