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cs="宋体"/>
          <w:b/>
          <w:color w:val="000000"/>
          <w:w w:val="120"/>
          <w:sz w:val="52"/>
          <w:szCs w:val="52"/>
          <w:lang w:val="zh-CN" w:eastAsia="zh-CN"/>
        </w:rPr>
      </w:pP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cs="宋体"/>
          <w:b/>
          <w:color w:val="000000"/>
          <w:w w:val="120"/>
          <w:sz w:val="52"/>
          <w:szCs w:val="52"/>
          <w:lang w:val="zh-CN" w:eastAsia="zh-CN"/>
        </w:rPr>
      </w:pPr>
      <w:r>
        <w:rPr>
          <w:rFonts w:hint="eastAsia" w:ascii="宋体" w:hAnsi="宋体" w:cs="宋体"/>
          <w:b/>
          <w:color w:val="000000"/>
          <w:w w:val="120"/>
          <w:sz w:val="52"/>
          <w:szCs w:val="52"/>
          <w:lang w:val="zh-CN" w:eastAsia="zh-CN"/>
        </w:rPr>
        <w:t>水坡镇2023年沟渠治理工程</w:t>
      </w:r>
    </w:p>
    <w:p>
      <w:pPr>
        <w:spacing w:line="360" w:lineRule="auto"/>
        <w:jc w:val="center"/>
        <w:rPr>
          <w:rFonts w:ascii="宋体" w:hAnsi="宋体" w:cs="仿宋"/>
          <w:b/>
          <w:bCs/>
          <w:sz w:val="44"/>
          <w:szCs w:val="44"/>
        </w:rPr>
      </w:pPr>
    </w:p>
    <w:p>
      <w:pPr>
        <w:spacing w:line="360" w:lineRule="auto"/>
        <w:jc w:val="center"/>
        <w:rPr>
          <w:rFonts w:hint="eastAsia" w:ascii="宋体" w:hAnsi="宋体" w:eastAsia="宋体" w:cs="宋体"/>
          <w:b/>
          <w:color w:val="000000"/>
          <w:sz w:val="72"/>
          <w:szCs w:val="72"/>
          <w:lang w:val="zh-CN" w:eastAsia="zh-CN"/>
        </w:rPr>
      </w:pPr>
      <w:r>
        <w:rPr>
          <w:rFonts w:hint="eastAsia" w:ascii="宋体" w:hAnsi="宋体" w:cs="宋体"/>
          <w:b/>
          <w:color w:val="000000"/>
          <w:sz w:val="72"/>
          <w:szCs w:val="72"/>
          <w:lang w:val="en-US" w:eastAsia="zh-CN"/>
        </w:rPr>
        <w:t>资料汇编</w:t>
      </w:r>
    </w:p>
    <w:p>
      <w:pPr>
        <w:spacing w:line="360" w:lineRule="auto"/>
        <w:jc w:val="center"/>
        <w:rPr>
          <w:rFonts w:hint="default" w:ascii="宋体" w:hAnsi="宋体" w:eastAsia="宋体" w:cs="宋体"/>
          <w:b/>
          <w:sz w:val="28"/>
          <w:szCs w:val="28"/>
          <w:lang w:val="en-US" w:eastAsia="zh-CN"/>
        </w:rPr>
      </w:pPr>
      <w:r>
        <w:rPr>
          <w:rFonts w:hint="eastAsia" w:ascii="宋体" w:hAnsi="宋体" w:cs="宋体"/>
          <w:b/>
          <w:sz w:val="28"/>
          <w:szCs w:val="28"/>
        </w:rPr>
        <w:t>项目编号：</w:t>
      </w:r>
      <w:r>
        <w:rPr>
          <w:rFonts w:hint="eastAsia" w:ascii="宋体" w:hAnsi="宋体" w:cs="宋体"/>
          <w:b/>
          <w:bCs/>
          <w:sz w:val="28"/>
          <w:szCs w:val="28"/>
          <w:lang w:eastAsia="zh-CN"/>
        </w:rPr>
        <w:t>尉财谈判采购2023-6</w:t>
      </w:r>
      <w:r>
        <w:rPr>
          <w:rFonts w:hint="eastAsia" w:ascii="宋体" w:hAnsi="宋体" w:cs="宋体"/>
          <w:b/>
          <w:bCs/>
          <w:sz w:val="28"/>
          <w:szCs w:val="28"/>
          <w:lang w:val="en-US" w:eastAsia="zh-CN"/>
        </w:rPr>
        <w:t>91</w:t>
      </w:r>
    </w:p>
    <w:p>
      <w:pPr>
        <w:pStyle w:val="3"/>
        <w:jc w:val="center"/>
      </w:pPr>
    </w:p>
    <w:p>
      <w:pPr>
        <w:pStyle w:val="3"/>
        <w:jc w:val="center"/>
      </w:pPr>
    </w:p>
    <w:p>
      <w:pPr>
        <w:pStyle w:val="3"/>
        <w:jc w:val="center"/>
      </w:pPr>
    </w:p>
    <w:p>
      <w:pPr>
        <w:pStyle w:val="3"/>
        <w:jc w:val="center"/>
      </w:pPr>
    </w:p>
    <w:p>
      <w:pPr>
        <w:pStyle w:val="3"/>
        <w:jc w:val="center"/>
      </w:pPr>
    </w:p>
    <w:p>
      <w:pPr>
        <w:pStyle w:val="3"/>
        <w:jc w:val="center"/>
      </w:pPr>
    </w:p>
    <w:p>
      <w:pPr>
        <w:pStyle w:val="3"/>
        <w:jc w:val="center"/>
      </w:pPr>
    </w:p>
    <w:p>
      <w:pPr>
        <w:pStyle w:val="3"/>
        <w:jc w:val="center"/>
      </w:pPr>
    </w:p>
    <w:p>
      <w:pPr>
        <w:pStyle w:val="3"/>
        <w:jc w:val="center"/>
      </w:pPr>
    </w:p>
    <w:p>
      <w:pPr>
        <w:pStyle w:val="3"/>
        <w:jc w:val="center"/>
      </w:pPr>
    </w:p>
    <w:p>
      <w:pPr>
        <w:pStyle w:val="3"/>
        <w:jc w:val="center"/>
      </w:pPr>
    </w:p>
    <w:p>
      <w:pPr>
        <w:snapToGrid w:val="0"/>
        <w:spacing w:line="360" w:lineRule="auto"/>
        <w:ind w:firstLine="1988" w:firstLineChars="550"/>
        <w:jc w:val="left"/>
        <w:rPr>
          <w:rFonts w:ascii="宋体" w:hAnsi="宋体" w:cs="宋体"/>
          <w:b/>
          <w:color w:val="000000"/>
          <w:sz w:val="36"/>
          <w:szCs w:val="36"/>
        </w:rPr>
      </w:pPr>
    </w:p>
    <w:p>
      <w:pPr>
        <w:snapToGrid w:val="0"/>
        <w:spacing w:line="360" w:lineRule="auto"/>
        <w:ind w:firstLine="1988" w:firstLineChars="550"/>
        <w:jc w:val="left"/>
        <w:rPr>
          <w:rFonts w:ascii="宋体" w:hAnsi="宋体" w:cs="宋体"/>
          <w:b/>
          <w:color w:val="000000"/>
          <w:sz w:val="36"/>
          <w:szCs w:val="36"/>
        </w:rPr>
      </w:pPr>
    </w:p>
    <w:p>
      <w:pPr>
        <w:keepNext w:val="0"/>
        <w:keepLines w:val="0"/>
        <w:pageBreakBefore w:val="0"/>
        <w:widowControl w:val="0"/>
        <w:kinsoku/>
        <w:wordWrap/>
        <w:overflowPunct/>
        <w:topLinePunct w:val="0"/>
        <w:autoSpaceDE/>
        <w:autoSpaceDN/>
        <w:bidi w:val="0"/>
        <w:adjustRightInd w:val="0"/>
        <w:snapToGrid w:val="0"/>
        <w:spacing w:line="360" w:lineRule="auto"/>
        <w:ind w:firstLine="1807" w:firstLineChars="500"/>
        <w:jc w:val="left"/>
        <w:textAlignment w:val="auto"/>
        <w:rPr>
          <w:rFonts w:ascii="宋体" w:hAnsi="宋体"/>
          <w:b/>
          <w:sz w:val="36"/>
          <w:szCs w:val="36"/>
        </w:rPr>
      </w:pPr>
      <w:r>
        <w:rPr>
          <w:rFonts w:hint="eastAsia" w:ascii="宋体" w:hAnsi="宋体" w:cs="宋体"/>
          <w:b/>
          <w:color w:val="000000"/>
          <w:sz w:val="36"/>
          <w:szCs w:val="36"/>
        </w:rPr>
        <w:t>招 标 人：水坡镇人民政府</w:t>
      </w:r>
    </w:p>
    <w:p>
      <w:pPr>
        <w:keepNext w:val="0"/>
        <w:keepLines w:val="0"/>
        <w:pageBreakBefore w:val="0"/>
        <w:widowControl w:val="0"/>
        <w:kinsoku/>
        <w:wordWrap/>
        <w:overflowPunct/>
        <w:topLinePunct w:val="0"/>
        <w:autoSpaceDE/>
        <w:autoSpaceDN/>
        <w:bidi w:val="0"/>
        <w:adjustRightInd w:val="0"/>
        <w:snapToGrid w:val="0"/>
        <w:spacing w:line="360" w:lineRule="auto"/>
        <w:ind w:firstLine="1807" w:firstLineChars="500"/>
        <w:jc w:val="both"/>
        <w:textAlignment w:val="auto"/>
        <w:rPr>
          <w:rFonts w:hint="eastAsia" w:ascii="宋体" w:hAnsi="宋体" w:eastAsia="宋体" w:cs="宋体"/>
          <w:b/>
          <w:color w:val="000000"/>
          <w:kern w:val="0"/>
          <w:sz w:val="36"/>
          <w:szCs w:val="36"/>
          <w:lang w:eastAsia="zh-CN"/>
        </w:rPr>
      </w:pPr>
      <w:r>
        <w:rPr>
          <w:rFonts w:hint="eastAsia" w:ascii="宋体" w:hAnsi="宋体" w:cs="宋体"/>
          <w:b/>
          <w:color w:val="000000"/>
          <w:sz w:val="36"/>
          <w:szCs w:val="36"/>
        </w:rPr>
        <w:t>代理机构</w:t>
      </w:r>
      <w:r>
        <w:rPr>
          <w:rFonts w:hint="eastAsia" w:ascii="宋体" w:hAnsi="宋体" w:cs="宋体"/>
          <w:b/>
          <w:color w:val="000000"/>
          <w:kern w:val="0"/>
          <w:sz w:val="36"/>
          <w:szCs w:val="36"/>
        </w:rPr>
        <w:t>：</w:t>
      </w:r>
      <w:r>
        <w:rPr>
          <w:rFonts w:hint="eastAsia" w:ascii="宋体" w:hAnsi="宋体" w:cs="宋体"/>
          <w:b/>
          <w:color w:val="000000"/>
          <w:kern w:val="0"/>
          <w:sz w:val="36"/>
          <w:szCs w:val="36"/>
          <w:lang w:eastAsia="zh-CN"/>
        </w:rPr>
        <w:t>河南泽怀工程有限公司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1807" w:firstLineChars="500"/>
        <w:textAlignment w:val="auto"/>
      </w:pPr>
      <w:r>
        <w:rPr>
          <w:rFonts w:hint="eastAsia" w:ascii="宋体" w:hAnsi="宋体" w:cs="宋体"/>
          <w:b/>
          <w:color w:val="000000"/>
          <w:sz w:val="36"/>
          <w:szCs w:val="36"/>
        </w:rPr>
        <w:t>日    期：二</w:t>
      </w:r>
      <w:r>
        <w:rPr>
          <w:rFonts w:hint="eastAsia" w:ascii="宋体" w:hAnsi="宋体" w:cs="宋体"/>
          <w:b/>
          <w:color w:val="000000"/>
          <w:sz w:val="36"/>
          <w:szCs w:val="36"/>
          <w:lang w:val="en-US" w:eastAsia="zh-CN"/>
        </w:rPr>
        <w:t xml:space="preserve"> </w:t>
      </w:r>
      <w:r>
        <w:rPr>
          <w:rFonts w:hint="eastAsia" w:ascii="宋体" w:hAnsi="宋体" w:cs="宋体"/>
          <w:b/>
          <w:color w:val="000000"/>
          <w:sz w:val="36"/>
          <w:szCs w:val="36"/>
        </w:rPr>
        <w:t>〇</w:t>
      </w:r>
      <w:r>
        <w:rPr>
          <w:rFonts w:hint="eastAsia" w:ascii="宋体" w:hAnsi="宋体" w:cs="宋体"/>
          <w:b/>
          <w:color w:val="000000"/>
          <w:sz w:val="36"/>
          <w:szCs w:val="36"/>
          <w:lang w:val="en-US" w:eastAsia="zh-CN"/>
        </w:rPr>
        <w:t xml:space="preserve"> </w:t>
      </w:r>
      <w:r>
        <w:rPr>
          <w:rFonts w:hint="eastAsia" w:ascii="宋体" w:hAnsi="宋体" w:cs="宋体"/>
          <w:b/>
          <w:color w:val="000000"/>
          <w:sz w:val="36"/>
          <w:szCs w:val="36"/>
        </w:rPr>
        <w:t>二</w:t>
      </w:r>
      <w:r>
        <w:rPr>
          <w:rFonts w:hint="eastAsia" w:ascii="宋体" w:hAnsi="宋体" w:cs="宋体"/>
          <w:b/>
          <w:color w:val="000000"/>
          <w:sz w:val="36"/>
          <w:szCs w:val="36"/>
          <w:lang w:val="en-US" w:eastAsia="zh-CN"/>
        </w:rPr>
        <w:t xml:space="preserve"> 四 </w:t>
      </w:r>
      <w:r>
        <w:rPr>
          <w:rFonts w:hint="eastAsia" w:ascii="宋体" w:hAnsi="宋体" w:cs="宋体"/>
          <w:b/>
          <w:color w:val="000000"/>
          <w:sz w:val="36"/>
          <w:szCs w:val="36"/>
        </w:rPr>
        <w:t>年</w:t>
      </w:r>
      <w:r>
        <w:rPr>
          <w:rFonts w:hint="eastAsia" w:ascii="宋体" w:hAnsi="宋体" w:cs="宋体"/>
          <w:b/>
          <w:color w:val="000000"/>
          <w:sz w:val="36"/>
          <w:szCs w:val="36"/>
          <w:lang w:val="en-US" w:eastAsia="zh-CN"/>
        </w:rPr>
        <w:t xml:space="preserve"> 一 </w:t>
      </w:r>
      <w:r>
        <w:rPr>
          <w:rFonts w:hint="eastAsia" w:ascii="宋体" w:hAnsi="宋体" w:cs="宋体"/>
          <w:b/>
          <w:color w:val="000000"/>
          <w:sz w:val="36"/>
          <w:szCs w:val="36"/>
        </w:rPr>
        <w:t>月</w:t>
      </w:r>
    </w:p>
    <w:p>
      <w:pPr>
        <w:snapToGrid w:val="0"/>
        <w:spacing w:line="360" w:lineRule="auto"/>
      </w:pPr>
    </w:p>
    <w:p>
      <w:pPr>
        <w:widowControl/>
        <w:jc w:val="left"/>
        <w:rPr>
          <w:rFonts w:ascii="宋体" w:hAnsi="宋体"/>
          <w:caps/>
          <w:sz w:val="32"/>
          <w:szCs w:val="32"/>
        </w:rPr>
        <w:sectPr>
          <w:pgSz w:w="12240" w:h="15840"/>
          <w:pgMar w:top="1418" w:right="1325" w:bottom="1418" w:left="1418" w:header="720" w:footer="720" w:gutter="0"/>
          <w:cols w:space="720" w:num="1"/>
          <w:docGrid w:linePitch="286" w:charSpace="0"/>
        </w:sect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eastAsia="宋体"/>
          <w:b/>
          <w:sz w:val="36"/>
          <w:szCs w:val="36"/>
        </w:rPr>
      </w:pPr>
      <w:r>
        <w:rPr>
          <w:rFonts w:hint="eastAsia" w:ascii="宋体" w:eastAsia="宋体"/>
          <w:b/>
          <w:sz w:val="36"/>
          <w:szCs w:val="36"/>
          <w:lang w:val="en-US" w:eastAsia="zh-CN"/>
        </w:rPr>
        <w:t>谈判</w:t>
      </w:r>
      <w:r>
        <w:rPr>
          <w:rFonts w:hint="eastAsia" w:ascii="宋体" w:eastAsia="宋体"/>
          <w:b/>
          <w:sz w:val="36"/>
          <w:szCs w:val="36"/>
        </w:rPr>
        <w:t>文件编制的委托与批准</w:t>
      </w:r>
    </w:p>
    <w:tbl>
      <w:tblPr>
        <w:tblStyle w:val="26"/>
        <w:tblpPr w:leftFromText="180" w:rightFromText="180" w:vertAnchor="text" w:horzAnchor="margin" w:tblpXSpec="center" w:tblpY="758"/>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55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38" w:hRule="atLeast"/>
          <w:jc w:val="center"/>
        </w:trPr>
        <w:tc>
          <w:tcPr>
            <w:tcW w:w="9555" w:type="dxa"/>
            <w:noWrap w:val="0"/>
            <w:vAlign w:val="top"/>
          </w:tcPr>
          <w:p>
            <w:pPr>
              <w:shd w:val="solid" w:color="FFFFFF" w:fill="auto"/>
              <w:autoSpaceDN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   </w:t>
            </w:r>
          </w:p>
          <w:p>
            <w:pPr>
              <w:spacing w:line="360" w:lineRule="auto"/>
              <w:rPr>
                <w:rFonts w:hint="eastAsia" w:ascii="宋体" w:hAnsi="宋体" w:eastAsia="宋体" w:cs="宋体"/>
                <w:b/>
                <w:bCs/>
                <w:sz w:val="28"/>
                <w:szCs w:val="28"/>
                <w:u w:val="single"/>
              </w:rPr>
            </w:pPr>
            <w:r>
              <w:rPr>
                <w:rFonts w:hint="eastAsia" w:ascii="宋体" w:hAnsi="宋体" w:eastAsia="宋体" w:cs="宋体"/>
                <w:sz w:val="28"/>
                <w:szCs w:val="28"/>
              </w:rPr>
              <w:t xml:space="preserve">    我单位拟开展</w:t>
            </w:r>
            <w:r>
              <w:rPr>
                <w:rFonts w:hint="eastAsia" w:ascii="宋体" w:hAnsi="宋体" w:cs="宋体"/>
                <w:sz w:val="28"/>
                <w:szCs w:val="28"/>
                <w:u w:val="single"/>
                <w:lang w:eastAsia="zh-CN"/>
              </w:rPr>
              <w:t>水坡镇2023年沟渠治理工程</w:t>
            </w:r>
            <w:r>
              <w:rPr>
                <w:rFonts w:hint="eastAsia" w:ascii="宋体" w:hAnsi="宋体" w:eastAsia="宋体" w:cs="宋体"/>
                <w:sz w:val="28"/>
                <w:szCs w:val="28"/>
              </w:rPr>
              <w:t>，该项目委托</w:t>
            </w:r>
            <w:r>
              <w:rPr>
                <w:rFonts w:hint="eastAsia" w:ascii="宋体" w:hAnsi="宋体" w:eastAsia="宋体" w:cs="宋体"/>
                <w:sz w:val="28"/>
                <w:szCs w:val="28"/>
                <w:u w:val="single"/>
              </w:rPr>
              <w:t>河南泽怀工程有限公司</w:t>
            </w:r>
            <w:r>
              <w:rPr>
                <w:rFonts w:hint="eastAsia" w:ascii="宋体" w:hAnsi="宋体" w:eastAsia="宋体" w:cs="宋体"/>
                <w:sz w:val="28"/>
                <w:szCs w:val="28"/>
              </w:rPr>
              <w:t>负责组织代理招标，代理单位编制的</w:t>
            </w:r>
            <w:r>
              <w:rPr>
                <w:rFonts w:hint="eastAsia" w:ascii="宋体" w:hAnsi="宋体" w:eastAsia="宋体" w:cs="宋体"/>
                <w:sz w:val="28"/>
                <w:szCs w:val="28"/>
                <w:lang w:val="en-US" w:eastAsia="zh-CN"/>
              </w:rPr>
              <w:t>谈判文件</w:t>
            </w:r>
            <w:r>
              <w:rPr>
                <w:rFonts w:hint="eastAsia" w:ascii="宋体" w:hAnsi="宋体" w:eastAsia="宋体" w:cs="宋体"/>
                <w:sz w:val="28"/>
                <w:szCs w:val="28"/>
              </w:rPr>
              <w:t>我们确认。</w:t>
            </w:r>
          </w:p>
          <w:p>
            <w:pPr>
              <w:spacing w:line="520" w:lineRule="exact"/>
              <w:rPr>
                <w:rFonts w:hint="eastAsia" w:ascii="宋体" w:hAnsi="宋体" w:eastAsia="宋体" w:cs="宋体"/>
                <w:sz w:val="28"/>
                <w:szCs w:val="28"/>
              </w:rPr>
            </w:pPr>
          </w:p>
          <w:p>
            <w:pPr>
              <w:spacing w:line="520" w:lineRule="exact"/>
              <w:rPr>
                <w:rFonts w:hint="eastAsia" w:ascii="宋体" w:hAnsi="宋体" w:eastAsia="宋体" w:cs="宋体"/>
                <w:spacing w:val="26"/>
                <w:sz w:val="28"/>
                <w:szCs w:val="28"/>
              </w:rPr>
            </w:pPr>
          </w:p>
          <w:p>
            <w:pPr>
              <w:spacing w:line="520" w:lineRule="exact"/>
              <w:rPr>
                <w:rFonts w:hint="eastAsia" w:ascii="宋体" w:hAnsi="宋体" w:eastAsia="宋体" w:cs="宋体"/>
                <w:sz w:val="28"/>
                <w:szCs w:val="28"/>
              </w:rPr>
            </w:pPr>
            <w:r>
              <w:rPr>
                <w:rFonts w:hint="eastAsia" w:ascii="宋体" w:hAnsi="宋体" w:eastAsia="宋体" w:cs="宋体"/>
                <w:spacing w:val="26"/>
                <w:sz w:val="28"/>
                <w:szCs w:val="28"/>
              </w:rPr>
              <w:t>采购单位（业主）：</w:t>
            </w:r>
            <w:r>
              <w:rPr>
                <w:rFonts w:hint="eastAsia" w:ascii="宋体" w:hAnsi="宋体" w:eastAsia="宋体" w:cs="宋体"/>
                <w:sz w:val="28"/>
                <w:szCs w:val="28"/>
                <w:u w:val="single"/>
              </w:rPr>
              <w:t xml:space="preserve">                              </w:t>
            </w:r>
            <w:r>
              <w:rPr>
                <w:rFonts w:hint="eastAsia" w:ascii="宋体" w:hAnsi="宋体" w:eastAsia="宋体" w:cs="宋体"/>
                <w:sz w:val="28"/>
                <w:szCs w:val="28"/>
              </w:rPr>
              <w:t>（印鉴）</w:t>
            </w:r>
          </w:p>
          <w:p>
            <w:pPr>
              <w:spacing w:line="520" w:lineRule="exact"/>
              <w:rPr>
                <w:rFonts w:hint="eastAsia" w:ascii="宋体" w:hAnsi="宋体" w:eastAsia="宋体" w:cs="宋体"/>
                <w:sz w:val="28"/>
                <w:szCs w:val="28"/>
              </w:rPr>
            </w:pPr>
          </w:p>
          <w:p>
            <w:pPr>
              <w:spacing w:line="520" w:lineRule="exac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58" w:hRule="atLeast"/>
          <w:jc w:val="center"/>
        </w:trPr>
        <w:tc>
          <w:tcPr>
            <w:tcW w:w="9555" w:type="dxa"/>
            <w:noWrap w:val="0"/>
            <w:vAlign w:val="top"/>
          </w:tcPr>
          <w:p>
            <w:pPr>
              <w:spacing w:line="500" w:lineRule="exact"/>
              <w:rPr>
                <w:rFonts w:hint="eastAsia" w:ascii="宋体" w:hAnsi="宋体" w:eastAsia="宋体" w:cs="宋体"/>
                <w:spacing w:val="-10"/>
                <w:sz w:val="28"/>
                <w:szCs w:val="28"/>
              </w:rPr>
            </w:pPr>
          </w:p>
          <w:p>
            <w:pPr>
              <w:spacing w:line="360" w:lineRule="auto"/>
              <w:ind w:firstLine="520" w:firstLineChars="200"/>
              <w:rPr>
                <w:rFonts w:hint="eastAsia" w:ascii="宋体" w:hAnsi="宋体" w:eastAsia="宋体" w:cs="宋体"/>
                <w:bCs/>
                <w:sz w:val="28"/>
                <w:szCs w:val="28"/>
                <w:u w:val="single"/>
              </w:rPr>
            </w:pPr>
            <w:r>
              <w:rPr>
                <w:rFonts w:hint="eastAsia" w:ascii="宋体" w:hAnsi="宋体" w:eastAsia="宋体" w:cs="宋体"/>
                <w:spacing w:val="-10"/>
                <w:sz w:val="28"/>
                <w:szCs w:val="28"/>
              </w:rPr>
              <w:t>我单位受采购单位（业主）的委托，负责（代理）</w:t>
            </w:r>
            <w:r>
              <w:rPr>
                <w:rFonts w:hint="eastAsia" w:ascii="宋体" w:hAnsi="宋体" w:cs="宋体"/>
                <w:sz w:val="28"/>
                <w:szCs w:val="28"/>
                <w:u w:val="single"/>
                <w:lang w:eastAsia="zh-CN"/>
              </w:rPr>
              <w:t>水坡镇2023年沟渠治理工程</w:t>
            </w:r>
            <w:r>
              <w:rPr>
                <w:rFonts w:hint="eastAsia" w:ascii="宋体" w:hAnsi="宋体" w:eastAsia="宋体" w:cs="宋体"/>
                <w:bCs/>
                <w:sz w:val="28"/>
                <w:szCs w:val="28"/>
              </w:rPr>
              <w:t>的</w:t>
            </w:r>
            <w:r>
              <w:rPr>
                <w:rFonts w:hint="eastAsia" w:ascii="宋体" w:hAnsi="宋体" w:eastAsia="宋体" w:cs="宋体"/>
                <w:sz w:val="28"/>
                <w:szCs w:val="28"/>
              </w:rPr>
              <w:t>招标工作，现完成</w:t>
            </w:r>
            <w:r>
              <w:rPr>
                <w:rFonts w:hint="eastAsia" w:ascii="宋体" w:hAnsi="宋体" w:eastAsia="宋体" w:cs="宋体"/>
                <w:sz w:val="28"/>
                <w:szCs w:val="28"/>
                <w:lang w:val="en-US" w:eastAsia="zh-CN"/>
              </w:rPr>
              <w:t>谈判文件</w:t>
            </w:r>
            <w:r>
              <w:rPr>
                <w:rFonts w:hint="eastAsia" w:ascii="宋体" w:hAnsi="宋体" w:eastAsia="宋体" w:cs="宋体"/>
                <w:sz w:val="28"/>
                <w:szCs w:val="28"/>
              </w:rPr>
              <w:t>的编制工作。</w:t>
            </w:r>
          </w:p>
          <w:p>
            <w:pPr>
              <w:spacing w:line="520" w:lineRule="exact"/>
              <w:rPr>
                <w:rFonts w:hint="eastAsia" w:ascii="宋体" w:hAnsi="宋体" w:eastAsia="宋体" w:cs="宋体"/>
                <w:sz w:val="28"/>
                <w:szCs w:val="28"/>
              </w:rPr>
            </w:pPr>
          </w:p>
          <w:p>
            <w:pPr>
              <w:spacing w:line="520" w:lineRule="exact"/>
              <w:rPr>
                <w:rFonts w:hint="eastAsia" w:ascii="宋体" w:hAnsi="宋体" w:eastAsia="宋体" w:cs="宋体"/>
                <w:spacing w:val="16"/>
                <w:sz w:val="28"/>
                <w:szCs w:val="28"/>
              </w:rPr>
            </w:pPr>
          </w:p>
          <w:p>
            <w:pPr>
              <w:spacing w:line="520" w:lineRule="exact"/>
              <w:rPr>
                <w:rFonts w:hint="eastAsia" w:ascii="宋体" w:hAnsi="宋体" w:eastAsia="宋体" w:cs="宋体"/>
                <w:sz w:val="28"/>
                <w:szCs w:val="28"/>
              </w:rPr>
            </w:pPr>
            <w:r>
              <w:rPr>
                <w:rFonts w:hint="eastAsia" w:ascii="宋体" w:hAnsi="宋体" w:eastAsia="宋体" w:cs="宋体"/>
                <w:spacing w:val="16"/>
                <w:sz w:val="28"/>
                <w:szCs w:val="28"/>
              </w:rPr>
              <w:t>招标代理机构：</w:t>
            </w:r>
            <w:r>
              <w:rPr>
                <w:rFonts w:hint="eastAsia" w:ascii="宋体" w:hAnsi="宋体" w:eastAsia="宋体" w:cs="宋体"/>
                <w:sz w:val="28"/>
                <w:szCs w:val="28"/>
                <w:u w:val="single"/>
              </w:rPr>
              <w:t xml:space="preserve">                                   </w:t>
            </w:r>
            <w:r>
              <w:rPr>
                <w:rFonts w:hint="eastAsia" w:ascii="宋体" w:hAnsi="宋体" w:eastAsia="宋体" w:cs="宋体"/>
                <w:sz w:val="28"/>
                <w:szCs w:val="28"/>
              </w:rPr>
              <w:t>（印鉴）</w:t>
            </w:r>
          </w:p>
          <w:p>
            <w:pPr>
              <w:spacing w:line="520" w:lineRule="exact"/>
              <w:jc w:val="right"/>
              <w:rPr>
                <w:rFonts w:hint="eastAsia" w:ascii="宋体" w:hAnsi="宋体" w:eastAsia="宋体" w:cs="宋体"/>
                <w:sz w:val="28"/>
                <w:szCs w:val="28"/>
              </w:rPr>
            </w:pPr>
          </w:p>
        </w:tc>
      </w:tr>
    </w:tbl>
    <w:p>
      <w:pPr>
        <w:pStyle w:val="3"/>
        <w:rPr>
          <w:rFonts w:hint="eastAsia"/>
        </w:rPr>
        <w:sectPr>
          <w:footerReference r:id="rId3" w:type="default"/>
          <w:pgSz w:w="12240" w:h="15840"/>
          <w:pgMar w:top="1418" w:right="1325" w:bottom="1418" w:left="1418" w:header="720" w:footer="720" w:gutter="0"/>
          <w:pgNumType w:fmt="decimal" w:start="1"/>
          <w:cols w:space="720" w:num="1"/>
          <w:docGrid w:linePitch="286" w:charSpace="0"/>
        </w:sectPr>
      </w:pPr>
    </w:p>
    <w:p>
      <w:pPr>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360" w:lineRule="auto"/>
        <w:jc w:val="center"/>
        <w:textAlignment w:val="auto"/>
        <w:rPr>
          <w:rFonts w:hint="eastAsia" w:ascii="宋体" w:hAnsi="宋体" w:eastAsia="宋体" w:cs="宋体"/>
          <w:kern w:val="2"/>
          <w:sz w:val="32"/>
          <w:szCs w:val="32"/>
          <w:lang w:val="en-US" w:eastAsia="zh-CN" w:bidi="ar-SA"/>
        </w:rPr>
      </w:pPr>
      <w:r>
        <w:rPr>
          <w:rFonts w:hint="eastAsia" w:ascii="宋体" w:hAnsi="宋体" w:eastAsia="宋体" w:cs="宋体"/>
          <w:b/>
          <w:bCs/>
          <w:caps/>
          <w:sz w:val="30"/>
          <w:szCs w:val="30"/>
        </w:rPr>
        <w:t>目   录</w:t>
      </w:r>
      <w:bookmarkStart w:id="0" w:name="_Toc289241521"/>
      <w:bookmarkStart w:id="1" w:name="_Toc338840615"/>
      <w:bookmarkStart w:id="2" w:name="_Toc289241344"/>
      <w:bookmarkStart w:id="3" w:name="_Toc338840184"/>
      <w:bookmarkStart w:id="4" w:name="_Toc349310369"/>
      <w:bookmarkStart w:id="5" w:name="_Toc338840439"/>
      <w:bookmarkStart w:id="6" w:name="_Toc338840478"/>
      <w:bookmarkStart w:id="7" w:name="_Toc340235283"/>
      <w:r>
        <w:rPr>
          <w:rFonts w:hint="eastAsia" w:ascii="宋体" w:hAnsi="宋体" w:eastAsia="宋体" w:cs="宋体"/>
          <w:caps/>
          <w:sz w:val="32"/>
          <w:szCs w:val="32"/>
        </w:rPr>
        <w:fldChar w:fldCharType="begin"/>
      </w:r>
      <w:r>
        <w:rPr>
          <w:rFonts w:hint="eastAsia" w:ascii="宋体" w:hAnsi="宋体" w:eastAsia="宋体" w:cs="宋体"/>
          <w:caps/>
          <w:sz w:val="32"/>
          <w:szCs w:val="32"/>
        </w:rPr>
        <w:instrText xml:space="preserve"> TOC \o "1-2" \h \z \u </w:instrText>
      </w:r>
      <w:r>
        <w:rPr>
          <w:rFonts w:hint="eastAsia" w:ascii="宋体" w:hAnsi="宋体" w:eastAsia="宋体" w:cs="宋体"/>
          <w:caps/>
          <w:sz w:val="32"/>
          <w:szCs w:val="32"/>
        </w:rPr>
        <w:fldChar w:fldCharType="separate"/>
      </w:r>
    </w:p>
    <w:p>
      <w:pPr>
        <w:pStyle w:val="20"/>
        <w:keepNext w:val="0"/>
        <w:keepLines w:val="0"/>
        <w:pageBreakBefore w:val="0"/>
        <w:widowControl w:val="0"/>
        <w:tabs>
          <w:tab w:val="right" w:leader="dot" w:pos="9497"/>
        </w:tabs>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_Toc27652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 xml:space="preserve">第一章 </w:t>
      </w:r>
      <w:r>
        <w:rPr>
          <w:rFonts w:hint="eastAsia" w:ascii="宋体" w:hAnsi="宋体" w:eastAsia="宋体" w:cs="宋体"/>
          <w:b w:val="0"/>
          <w:bCs w:val="0"/>
          <w:sz w:val="24"/>
          <w:szCs w:val="24"/>
        </w:rPr>
        <w:t>谈判公告</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_Toc27652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20"/>
        <w:keepNext w:val="0"/>
        <w:keepLines w:val="0"/>
        <w:pageBreakBefore w:val="0"/>
        <w:widowControl w:val="0"/>
        <w:tabs>
          <w:tab w:val="right" w:leader="dot" w:pos="9497"/>
        </w:tabs>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_Toc22871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kern w:val="44"/>
          <w:sz w:val="24"/>
          <w:szCs w:val="24"/>
          <w:lang w:val="en-US" w:eastAsia="zh-CN" w:bidi="ar-SA"/>
        </w:rPr>
        <w:t>第二章 竞标人须知</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_Toc22871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6</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20"/>
        <w:keepNext w:val="0"/>
        <w:keepLines w:val="0"/>
        <w:pageBreakBefore w:val="0"/>
        <w:widowControl w:val="0"/>
        <w:tabs>
          <w:tab w:val="right" w:leader="dot" w:pos="9497"/>
        </w:tabs>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_Toc14989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kern w:val="44"/>
          <w:sz w:val="24"/>
          <w:szCs w:val="24"/>
          <w:lang w:val="en-US" w:eastAsia="zh-CN" w:bidi="ar-SA"/>
        </w:rPr>
        <w:t>第三章 谈判办法及前附表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_Toc14989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14</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20"/>
        <w:keepNext w:val="0"/>
        <w:keepLines w:val="0"/>
        <w:pageBreakBefore w:val="0"/>
        <w:widowControl w:val="0"/>
        <w:tabs>
          <w:tab w:val="right" w:leader="dot" w:pos="9497"/>
        </w:tabs>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_Toc17290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kern w:val="44"/>
          <w:sz w:val="24"/>
          <w:szCs w:val="24"/>
          <w:lang w:val="en-US" w:eastAsia="zh-CN" w:bidi="ar-SA"/>
        </w:rPr>
        <w:t>第四章 合同条款及格式</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_Toc17290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20"/>
        <w:keepNext w:val="0"/>
        <w:keepLines w:val="0"/>
        <w:pageBreakBefore w:val="0"/>
        <w:widowControl w:val="0"/>
        <w:tabs>
          <w:tab w:val="right" w:leader="dot" w:pos="9497"/>
        </w:tabs>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_Toc18327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第五章 谈判内容</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_Toc18327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18</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20"/>
        <w:keepNext w:val="0"/>
        <w:keepLines w:val="0"/>
        <w:pageBreakBefore w:val="0"/>
        <w:widowControl w:val="0"/>
        <w:tabs>
          <w:tab w:val="right" w:leader="dot" w:pos="9497"/>
        </w:tabs>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_Toc5524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第六章 谈判响应文件格式</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_Toc5524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19</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20"/>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360" w:lineRule="auto"/>
        <w:ind w:firstLine="3373" w:firstLineChars="1050"/>
        <w:jc w:val="center"/>
        <w:textAlignment w:val="auto"/>
        <w:rPr>
          <w:rFonts w:ascii="仿宋_GB2312" w:hAnsi="宋体" w:eastAsia="仿宋_GB2312"/>
          <w:sz w:val="32"/>
          <w:szCs w:val="32"/>
        </w:rPr>
      </w:pPr>
      <w:r>
        <w:rPr>
          <w:rFonts w:hint="eastAsia" w:ascii="宋体" w:hAnsi="宋体" w:eastAsia="宋体" w:cs="宋体"/>
          <w:sz w:val="32"/>
          <w:szCs w:val="32"/>
        </w:rPr>
        <w:fldChar w:fldCharType="end"/>
      </w:r>
    </w:p>
    <w:p>
      <w:pPr>
        <w:pStyle w:val="8"/>
        <w:pageBreakBefore w:val="0"/>
        <w:numPr>
          <w:ilvl w:val="0"/>
          <w:numId w:val="0"/>
        </w:numPr>
        <w:kinsoku/>
        <w:wordWrap/>
        <w:overflowPunct/>
        <w:topLinePunct w:val="0"/>
        <w:autoSpaceDE/>
        <w:autoSpaceDN/>
        <w:bidi w:val="0"/>
        <w:adjustRightInd w:val="0"/>
        <w:snapToGrid w:val="0"/>
        <w:spacing w:before="0" w:after="0" w:line="360" w:lineRule="auto"/>
        <w:ind w:left="0" w:leftChars="0"/>
        <w:jc w:val="center"/>
        <w:textAlignment w:val="auto"/>
        <w:rPr>
          <w:rFonts w:hint="eastAsia" w:ascii="宋体" w:hAnsi="宋体"/>
          <w:sz w:val="30"/>
          <w:szCs w:val="30"/>
        </w:rPr>
      </w:pPr>
      <w:r>
        <w:rPr>
          <w:rFonts w:ascii="仿宋_GB2312" w:hAnsi="宋体" w:eastAsia="仿宋_GB2312"/>
          <w:sz w:val="32"/>
          <w:szCs w:val="32"/>
        </w:rPr>
        <w:br w:type="page"/>
      </w:r>
      <w:bookmarkStart w:id="8" w:name="_Toc27652"/>
      <w:r>
        <w:rPr>
          <w:rFonts w:hint="eastAsia" w:ascii="宋体" w:hAnsi="宋体"/>
          <w:sz w:val="30"/>
          <w:szCs w:val="30"/>
          <w:lang w:val="en-US" w:eastAsia="zh-CN"/>
        </w:rPr>
        <w:t xml:space="preserve">第一章 </w:t>
      </w:r>
      <w:r>
        <w:rPr>
          <w:rFonts w:hint="eastAsia" w:ascii="宋体" w:hAnsi="宋体"/>
          <w:sz w:val="30"/>
          <w:szCs w:val="30"/>
        </w:rPr>
        <w:t>谈判公告</w:t>
      </w:r>
      <w:bookmarkEnd w:id="0"/>
      <w:bookmarkEnd w:id="1"/>
      <w:bookmarkEnd w:id="2"/>
      <w:bookmarkEnd w:id="3"/>
      <w:bookmarkEnd w:id="4"/>
      <w:bookmarkEnd w:id="5"/>
      <w:bookmarkEnd w:id="6"/>
      <w:bookmarkEnd w:id="7"/>
      <w:bookmarkEnd w:id="8"/>
      <w:bookmarkStart w:id="9" w:name="_Toc499134377"/>
      <w:bookmarkStart w:id="10" w:name="_Toc505356339"/>
      <w:bookmarkStart w:id="11" w:name="_Toc152045527"/>
      <w:bookmarkStart w:id="12" w:name="_Toc338840440"/>
      <w:bookmarkStart w:id="13" w:name="_Toc152042303"/>
      <w:bookmarkStart w:id="14" w:name="_Toc179632544"/>
      <w:bookmarkStart w:id="15" w:name="_Toc246996916"/>
      <w:bookmarkStart w:id="16" w:name="_Toc247085687"/>
      <w:bookmarkStart w:id="17" w:name="_Toc340235284"/>
      <w:bookmarkStart w:id="18" w:name="_Toc349310370"/>
      <w:bookmarkStart w:id="19" w:name="_Toc144974495"/>
      <w:bookmarkStart w:id="20" w:name="_Toc338840185"/>
      <w:bookmarkStart w:id="21" w:name="_Toc246996173"/>
      <w:bookmarkStart w:id="22" w:name="_Toc338840616"/>
      <w:bookmarkStart w:id="23" w:name="_Toc338840479"/>
    </w:p>
    <w:bookmarkEnd w:id="9"/>
    <w:bookmarkEnd w:id="10"/>
    <w:p>
      <w:pPr>
        <w:keepNext w:val="0"/>
        <w:keepLines w:val="0"/>
        <w:pageBreakBefore w:val="0"/>
        <w:kinsoku/>
        <w:wordWrap/>
        <w:overflowPunct/>
        <w:topLinePunct w:val="0"/>
        <w:autoSpaceDE/>
        <w:autoSpaceDN/>
        <w:bidi w:val="0"/>
        <w:adjustRightInd w:val="0"/>
        <w:snapToGrid w:val="0"/>
        <w:spacing w:line="360" w:lineRule="auto"/>
        <w:ind w:firstLine="562" w:firstLineChars="200"/>
        <w:jc w:val="center"/>
        <w:textAlignment w:val="auto"/>
        <w:rPr>
          <w:rFonts w:hint="eastAsia" w:ascii="宋体" w:hAnsi="宋体" w:cs="仿宋"/>
          <w:b/>
          <w:bCs/>
          <w:sz w:val="28"/>
          <w:szCs w:val="28"/>
          <w:lang w:eastAsia="zh-CN"/>
        </w:rPr>
      </w:pPr>
      <w:r>
        <w:rPr>
          <w:rFonts w:hint="eastAsia" w:ascii="宋体" w:hAnsi="宋体" w:cs="仿宋"/>
          <w:b/>
          <w:bCs/>
          <w:sz w:val="28"/>
          <w:szCs w:val="28"/>
          <w:lang w:eastAsia="zh-CN"/>
        </w:rPr>
        <w:t>水坡镇2023年沟渠治理工程-竞争性谈判公告</w:t>
      </w:r>
    </w:p>
    <w:p>
      <w:pPr>
        <w:keepNext w:val="0"/>
        <w:keepLines w:val="0"/>
        <w:pageBreakBefore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项目概况</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s="宋体"/>
          <w:sz w:val="21"/>
          <w:szCs w:val="21"/>
          <w:lang w:eastAsia="zh-CN"/>
        </w:rPr>
      </w:pPr>
      <w:r>
        <w:rPr>
          <w:rFonts w:hint="eastAsia" w:ascii="宋体" w:hAnsi="宋体" w:cs="宋体"/>
          <w:sz w:val="21"/>
          <w:szCs w:val="21"/>
          <w:lang w:eastAsia="zh-CN"/>
        </w:rPr>
        <w:t>水坡镇2023年沟渠治理工程招标项目的潜在投标人应在开封市祥符区中小企业孵化园获取招标文件，并于202</w:t>
      </w:r>
      <w:r>
        <w:rPr>
          <w:rFonts w:hint="eastAsia" w:ascii="宋体" w:hAnsi="宋体" w:cs="宋体"/>
          <w:sz w:val="21"/>
          <w:szCs w:val="21"/>
          <w:lang w:val="en-US" w:eastAsia="zh-CN"/>
        </w:rPr>
        <w:t>4</w:t>
      </w:r>
      <w:r>
        <w:rPr>
          <w:rFonts w:hint="eastAsia" w:ascii="宋体" w:hAnsi="宋体" w:cs="宋体"/>
          <w:sz w:val="21"/>
          <w:szCs w:val="21"/>
          <w:lang w:eastAsia="zh-CN"/>
        </w:rPr>
        <w:t>年</w:t>
      </w:r>
      <w:r>
        <w:rPr>
          <w:rFonts w:hint="eastAsia" w:ascii="宋体" w:hAnsi="宋体" w:cs="宋体"/>
          <w:sz w:val="21"/>
          <w:szCs w:val="21"/>
          <w:lang w:val="en-US" w:eastAsia="zh-CN"/>
        </w:rPr>
        <w:t>01</w:t>
      </w:r>
      <w:r>
        <w:rPr>
          <w:rFonts w:hint="eastAsia" w:ascii="宋体" w:hAnsi="宋体" w:cs="宋体"/>
          <w:sz w:val="21"/>
          <w:szCs w:val="21"/>
          <w:lang w:eastAsia="zh-CN"/>
        </w:rPr>
        <w:t>月</w:t>
      </w:r>
      <w:r>
        <w:rPr>
          <w:rFonts w:hint="eastAsia" w:ascii="宋体" w:hAnsi="宋体" w:cs="宋体"/>
          <w:sz w:val="21"/>
          <w:szCs w:val="21"/>
          <w:lang w:val="en-US" w:eastAsia="zh-CN"/>
        </w:rPr>
        <w:t>05</w:t>
      </w:r>
      <w:r>
        <w:rPr>
          <w:rFonts w:hint="eastAsia" w:ascii="宋体" w:hAnsi="宋体" w:cs="宋体"/>
          <w:sz w:val="21"/>
          <w:szCs w:val="21"/>
          <w:lang w:eastAsia="zh-CN"/>
        </w:rPr>
        <w:t>日1</w:t>
      </w:r>
      <w:r>
        <w:rPr>
          <w:rFonts w:hint="eastAsia" w:ascii="宋体" w:hAnsi="宋体" w:cs="宋体"/>
          <w:sz w:val="21"/>
          <w:szCs w:val="21"/>
          <w:lang w:val="en-US" w:eastAsia="zh-CN"/>
        </w:rPr>
        <w:t>0</w:t>
      </w:r>
      <w:r>
        <w:rPr>
          <w:rFonts w:hint="eastAsia" w:ascii="宋体" w:hAnsi="宋体" w:cs="宋体"/>
          <w:sz w:val="21"/>
          <w:szCs w:val="21"/>
          <w:lang w:eastAsia="zh-CN"/>
        </w:rPr>
        <w:t>时00分（北京时间）前递交响应文件。</w:t>
      </w:r>
    </w:p>
    <w:p>
      <w:pPr>
        <w:keepNext w:val="0"/>
        <w:keepLines w:val="0"/>
        <w:pageBreakBefore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一、项目基本情况</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color w:val="000000"/>
          <w:sz w:val="21"/>
          <w:szCs w:val="21"/>
        </w:rPr>
        <w:t>项目编号：</w:t>
      </w:r>
      <w:r>
        <w:rPr>
          <w:rFonts w:hint="eastAsia" w:ascii="宋体" w:hAnsi="宋体" w:cs="宋体"/>
          <w:color w:val="000000"/>
          <w:sz w:val="21"/>
          <w:szCs w:val="21"/>
          <w:lang w:eastAsia="zh-CN"/>
        </w:rPr>
        <w:t>尉财谈判采购2023-6</w:t>
      </w:r>
      <w:r>
        <w:rPr>
          <w:rFonts w:hint="eastAsia" w:ascii="宋体" w:hAnsi="宋体" w:cs="宋体"/>
          <w:color w:val="000000"/>
          <w:sz w:val="21"/>
          <w:szCs w:val="21"/>
          <w:lang w:val="en-US" w:eastAsia="zh-CN"/>
        </w:rPr>
        <w:t>9</w:t>
      </w:r>
      <w:r>
        <w:rPr>
          <w:rFonts w:hint="eastAsia" w:ascii="宋体" w:hAnsi="宋体" w:cs="宋体"/>
          <w:color w:val="000000"/>
          <w:sz w:val="21"/>
          <w:szCs w:val="21"/>
          <w:lang w:eastAsia="zh-CN"/>
        </w:rPr>
        <w:t>1</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2、项目名称：</w:t>
      </w:r>
      <w:r>
        <w:rPr>
          <w:rFonts w:hint="eastAsia" w:ascii="宋体" w:hAnsi="宋体" w:cs="宋体"/>
          <w:sz w:val="21"/>
          <w:szCs w:val="21"/>
          <w:lang w:eastAsia="zh-CN"/>
        </w:rPr>
        <w:t>水坡镇2023年沟渠治理工程</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3、采购方式：竞争性</w:t>
      </w:r>
      <w:r>
        <w:rPr>
          <w:rFonts w:hint="eastAsia" w:ascii="宋体" w:hAnsi="宋体" w:cs="宋体"/>
          <w:sz w:val="21"/>
          <w:szCs w:val="21"/>
          <w:lang w:val="en-US" w:eastAsia="zh-CN"/>
        </w:rPr>
        <w:t>谈判</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4、预算金额：</w:t>
      </w:r>
      <w:r>
        <w:rPr>
          <w:rFonts w:hint="eastAsia" w:ascii="宋体" w:hAnsi="宋体" w:cs="宋体"/>
          <w:sz w:val="21"/>
          <w:szCs w:val="21"/>
          <w:lang w:val="en-US" w:eastAsia="zh-CN"/>
        </w:rPr>
        <w:t>56</w:t>
      </w:r>
      <w:r>
        <w:rPr>
          <w:rFonts w:hint="eastAsia" w:ascii="宋体" w:hAnsi="宋体" w:eastAsia="宋体" w:cs="宋体"/>
          <w:sz w:val="21"/>
          <w:szCs w:val="21"/>
          <w:lang w:val="en-US" w:eastAsia="zh-CN"/>
        </w:rPr>
        <w:t>0000.00</w:t>
      </w:r>
      <w:r>
        <w:rPr>
          <w:rFonts w:hint="eastAsia" w:ascii="宋体" w:hAnsi="宋体" w:eastAsia="宋体" w:cs="宋体"/>
          <w:sz w:val="21"/>
          <w:szCs w:val="21"/>
        </w:rPr>
        <w:t>元</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   最高限价：</w:t>
      </w:r>
      <w:r>
        <w:rPr>
          <w:rFonts w:hint="eastAsia" w:ascii="宋体" w:hAnsi="宋体" w:cs="宋体"/>
          <w:sz w:val="21"/>
          <w:szCs w:val="21"/>
          <w:lang w:val="en-US" w:eastAsia="zh-CN"/>
        </w:rPr>
        <w:t>56</w:t>
      </w:r>
      <w:r>
        <w:rPr>
          <w:rFonts w:hint="eastAsia" w:ascii="宋体" w:hAnsi="宋体" w:eastAsia="宋体" w:cs="宋体"/>
          <w:sz w:val="21"/>
          <w:szCs w:val="21"/>
          <w:lang w:val="en-US" w:eastAsia="zh-CN"/>
        </w:rPr>
        <w:t>0000.00</w:t>
      </w:r>
      <w:r>
        <w:rPr>
          <w:rFonts w:hint="eastAsia" w:ascii="宋体" w:hAnsi="宋体" w:eastAsia="宋体" w:cs="宋体"/>
          <w:sz w:val="21"/>
          <w:szCs w:val="21"/>
        </w:rPr>
        <w:t>元</w:t>
      </w:r>
    </w:p>
    <w:tbl>
      <w:tblPr>
        <w:tblStyle w:val="2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88"/>
        <w:gridCol w:w="2028"/>
        <w:gridCol w:w="1316"/>
        <w:gridCol w:w="1338"/>
        <w:gridCol w:w="1373"/>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exact"/>
          <w:jc w:val="center"/>
        </w:trPr>
        <w:tc>
          <w:tcPr>
            <w:tcW w:w="7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48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包号</w:t>
            </w:r>
          </w:p>
        </w:tc>
        <w:tc>
          <w:tcPr>
            <w:tcW w:w="20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包名称</w:t>
            </w:r>
          </w:p>
        </w:tc>
        <w:tc>
          <w:tcPr>
            <w:tcW w:w="13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包预算（元）</w:t>
            </w: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包最高限价（元）</w:t>
            </w:r>
          </w:p>
        </w:tc>
        <w:tc>
          <w:tcPr>
            <w:tcW w:w="13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是否专门面向中小企业</w:t>
            </w:r>
          </w:p>
        </w:tc>
        <w:tc>
          <w:tcPr>
            <w:tcW w:w="133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48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尉财谈判采购2023-6</w:t>
            </w:r>
            <w:r>
              <w:rPr>
                <w:rFonts w:hint="eastAsia" w:ascii="宋体" w:hAnsi="宋体" w:cs="宋体"/>
                <w:color w:val="000000"/>
                <w:sz w:val="21"/>
                <w:szCs w:val="21"/>
                <w:lang w:val="en-US" w:eastAsia="zh-CN"/>
              </w:rPr>
              <w:t>9</w:t>
            </w:r>
            <w:r>
              <w:rPr>
                <w:rFonts w:hint="eastAsia" w:ascii="宋体" w:hAnsi="宋体" w:cs="宋体"/>
                <w:color w:val="000000"/>
                <w:sz w:val="21"/>
                <w:szCs w:val="21"/>
                <w:lang w:eastAsia="zh-CN"/>
              </w:rPr>
              <w:t>1</w:t>
            </w:r>
          </w:p>
        </w:tc>
        <w:tc>
          <w:tcPr>
            <w:tcW w:w="20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水坡镇2023年沟渠治理工程</w:t>
            </w:r>
          </w:p>
        </w:tc>
        <w:tc>
          <w:tcPr>
            <w:tcW w:w="13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56</w:t>
            </w:r>
            <w:r>
              <w:rPr>
                <w:rFonts w:hint="eastAsia" w:ascii="宋体" w:hAnsi="宋体" w:eastAsia="宋体" w:cs="宋体"/>
                <w:sz w:val="21"/>
                <w:szCs w:val="21"/>
                <w:lang w:val="en-US" w:eastAsia="zh-CN"/>
              </w:rPr>
              <w:t>0000.00</w:t>
            </w: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56</w:t>
            </w:r>
            <w:r>
              <w:rPr>
                <w:rFonts w:hint="eastAsia" w:ascii="宋体" w:hAnsi="宋体" w:eastAsia="宋体" w:cs="宋体"/>
                <w:sz w:val="21"/>
                <w:szCs w:val="21"/>
                <w:lang w:val="en-US" w:eastAsia="zh-CN"/>
              </w:rPr>
              <w:t>0000.00</w:t>
            </w:r>
          </w:p>
        </w:tc>
        <w:tc>
          <w:tcPr>
            <w:tcW w:w="13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w:t>
            </w:r>
          </w:p>
        </w:tc>
        <w:tc>
          <w:tcPr>
            <w:tcW w:w="133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56</w:t>
            </w:r>
            <w:r>
              <w:rPr>
                <w:rFonts w:hint="eastAsia" w:ascii="宋体" w:hAnsi="宋体" w:eastAsia="宋体" w:cs="宋体"/>
                <w:sz w:val="21"/>
                <w:szCs w:val="21"/>
                <w:lang w:val="en-US" w:eastAsia="zh-CN"/>
              </w:rPr>
              <w:t>0000.00</w:t>
            </w:r>
          </w:p>
        </w:tc>
      </w:tr>
    </w:tbl>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5、采购需求（包括但不限于标的的名称、数量、简要技术需求或服务要求等）</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5.1、</w:t>
      </w:r>
      <w:r>
        <w:rPr>
          <w:rFonts w:hint="eastAsia" w:ascii="宋体" w:hAnsi="宋体" w:cs="宋体"/>
          <w:sz w:val="21"/>
          <w:szCs w:val="21"/>
          <w:lang w:val="en-US" w:eastAsia="zh-CN"/>
        </w:rPr>
        <w:t>谈判</w:t>
      </w:r>
      <w:r>
        <w:rPr>
          <w:rFonts w:hint="eastAsia" w:ascii="宋体" w:hAnsi="宋体" w:eastAsia="宋体" w:cs="宋体"/>
          <w:sz w:val="21"/>
          <w:szCs w:val="21"/>
        </w:rPr>
        <w:t>范围：详见</w:t>
      </w:r>
      <w:r>
        <w:rPr>
          <w:rFonts w:hint="eastAsia" w:ascii="宋体" w:hAnsi="宋体" w:eastAsia="宋体" w:cs="宋体"/>
          <w:sz w:val="21"/>
          <w:szCs w:val="21"/>
          <w:lang w:val="en-US" w:eastAsia="zh-CN"/>
        </w:rPr>
        <w:t>谈判</w:t>
      </w:r>
      <w:r>
        <w:rPr>
          <w:rFonts w:hint="eastAsia" w:ascii="宋体" w:hAnsi="宋体" w:eastAsia="宋体" w:cs="宋体"/>
          <w:sz w:val="21"/>
          <w:szCs w:val="21"/>
        </w:rPr>
        <w:t>文件</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5.2、建设地点：采购人指定地点</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5.3、质量要求：合格，符合国家现行验收标准</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5.4、计划工期：</w:t>
      </w:r>
      <w:r>
        <w:rPr>
          <w:rFonts w:hint="eastAsia" w:ascii="宋体" w:hAnsi="宋体" w:eastAsia="宋体" w:cs="宋体"/>
          <w:sz w:val="21"/>
          <w:szCs w:val="21"/>
          <w:lang w:val="en-US" w:eastAsia="zh-CN"/>
        </w:rPr>
        <w:t>2</w:t>
      </w:r>
      <w:r>
        <w:rPr>
          <w:rFonts w:hint="eastAsia" w:ascii="宋体" w:hAnsi="宋体" w:eastAsia="宋体" w:cs="宋体"/>
          <w:sz w:val="21"/>
          <w:szCs w:val="21"/>
        </w:rPr>
        <w:t>0日历天</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6、合同履行期限：</w:t>
      </w:r>
      <w:r>
        <w:rPr>
          <w:rFonts w:hint="eastAsia" w:ascii="宋体" w:hAnsi="宋体" w:cs="宋体"/>
          <w:sz w:val="21"/>
          <w:szCs w:val="21"/>
          <w:lang w:val="en-US" w:eastAsia="zh-CN"/>
        </w:rPr>
        <w:t>2</w:t>
      </w:r>
      <w:r>
        <w:rPr>
          <w:rFonts w:hint="eastAsia" w:ascii="宋体" w:hAnsi="宋体" w:eastAsia="宋体" w:cs="宋体"/>
          <w:sz w:val="21"/>
          <w:szCs w:val="21"/>
        </w:rPr>
        <w:t>0日历天</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7、本项目是否接受联合体投标：否</w:t>
      </w:r>
    </w:p>
    <w:p>
      <w:pPr>
        <w:pStyle w:val="2"/>
        <w:ind w:firstLine="420" w:firstLineChars="200"/>
        <w:rPr>
          <w:rFonts w:hint="eastAsia" w:ascii="宋体" w:hAnsi="宋体" w:eastAsia="宋体" w:cs="宋体"/>
          <w:sz w:val="21"/>
          <w:szCs w:val="21"/>
        </w:rPr>
      </w:pPr>
      <w:r>
        <w:rPr>
          <w:rFonts w:hint="eastAsia" w:ascii="宋体" w:hAnsi="宋体" w:eastAsia="宋体" w:cs="宋体"/>
          <w:sz w:val="21"/>
          <w:szCs w:val="21"/>
        </w:rPr>
        <w:t>8、是否接受进口产品：否</w:t>
      </w:r>
    </w:p>
    <w:p>
      <w:pPr>
        <w:keepNext w:val="0"/>
        <w:keepLines w:val="0"/>
        <w:pageBreakBefore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二</w:t>
      </w:r>
      <w:r>
        <w:rPr>
          <w:rFonts w:hint="eastAsia" w:ascii="宋体" w:hAnsi="宋体" w:eastAsia="宋体" w:cs="宋体"/>
          <w:b/>
          <w:bCs/>
          <w:sz w:val="21"/>
          <w:szCs w:val="21"/>
        </w:rPr>
        <w:t>、申请人资格要求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1、满足《中华人民共和国政府采购法》第二十二条规定；</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2、落实政府采购政策满足的资格要求：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促进中小企业、监狱企业和残疾人福利性单位发展扶持政策；</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3、本项目的特定资格要求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3.1、符合《中华人民共和国政府采购法》第二十二条之规定：</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①有独立承担民事责任的能力(投标人需提供合法有效的营业执照）；</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②具有健全的财务会计制度；</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③具有履行合同所必需的设备和专业技术能力（提供承诺函，格式自拟）；</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④有依法缴纳税收和社会保障资金的良好记录；</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⑤参加政府采购活动前三年内，在经营活动中没有重大违法记录（提供开标前三年内无重大违法记录的书面声明）；</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信誉要求：被列入“中国执行信息公开网”（http://zxgk.court.gov.cn/）“失信被执行人”，“信用中国”网站（www.creditchina.gov.cn）“重大税收违法失信主体”，“中国政府采购网”网站（www.ccgp.gov.cn）“政府采购严重违法失信行为记录名单”的投标人，拒绝参与本项目政府采购活动；投标人须提供加盖单位公章的查询截图。（招标人或代理机构保留对投标人信用信息进行核查的权利，如有不一致以招标人或代理机构查询为准）；</w:t>
      </w:r>
    </w:p>
    <w:p>
      <w:pPr>
        <w:keepNext w:val="0"/>
        <w:keepLines w:val="0"/>
        <w:pageBreakBefore w:val="0"/>
        <w:kinsoku/>
        <w:wordWrap/>
        <w:overflowPunct/>
        <w:topLinePunct w:val="0"/>
        <w:autoSpaceDE/>
        <w:autoSpaceDN/>
        <w:bidi w:val="0"/>
        <w:adjustRightInd w:val="0"/>
        <w:snapToGrid w:val="0"/>
        <w:spacing w:line="360" w:lineRule="auto"/>
        <w:ind w:firstLine="211" w:firstLineChars="10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三、获取谈判文件</w:t>
      </w:r>
    </w:p>
    <w:p>
      <w:pPr>
        <w:keepNext w:val="0"/>
        <w:keepLines w:val="0"/>
        <w:pageBreakBefore w:val="0"/>
        <w:kinsoku/>
        <w:wordWrap/>
        <w:overflowPunct/>
        <w:topLinePunct w:val="0"/>
        <w:autoSpaceDE/>
        <w:autoSpaceDN/>
        <w:bidi w:val="0"/>
        <w:adjustRightInd w:val="0"/>
        <w:snapToGrid w:val="0"/>
        <w:spacing w:line="360" w:lineRule="auto"/>
        <w:ind w:firstLine="210" w:firstLineChars="100"/>
        <w:jc w:val="both"/>
        <w:textAlignment w:val="auto"/>
        <w:rPr>
          <w:rFonts w:hint="eastAsia" w:ascii="宋体" w:hAnsi="宋体" w:cs="宋体"/>
          <w:sz w:val="21"/>
          <w:szCs w:val="21"/>
          <w:lang w:val="en-US" w:eastAsia="zh-CN"/>
        </w:rPr>
      </w:pPr>
      <w:bookmarkStart w:id="24" w:name="_Toc35393624"/>
      <w:bookmarkStart w:id="25" w:name="_Toc35393793"/>
      <w:bookmarkStart w:id="26" w:name="_Toc28359082"/>
      <w:bookmarkStart w:id="27" w:name="_Toc28359005"/>
      <w:r>
        <w:rPr>
          <w:rFonts w:hint="eastAsia" w:ascii="宋体" w:hAnsi="宋体" w:cs="宋体"/>
          <w:sz w:val="21"/>
          <w:szCs w:val="21"/>
          <w:lang w:val="en-US" w:eastAsia="zh-CN"/>
        </w:rPr>
        <w:t>1.时间：2024年01月02日 至 2024年01月04日，每天上午09:00至12:00，下午12:00至17:00（北京时间，法定节假日除外。）</w:t>
      </w:r>
    </w:p>
    <w:p>
      <w:pPr>
        <w:keepNext w:val="0"/>
        <w:keepLines w:val="0"/>
        <w:pageBreakBefore w:val="0"/>
        <w:kinsoku/>
        <w:wordWrap/>
        <w:overflowPunct/>
        <w:topLinePunct w:val="0"/>
        <w:autoSpaceDE/>
        <w:autoSpaceDN/>
        <w:bidi w:val="0"/>
        <w:adjustRightInd w:val="0"/>
        <w:snapToGrid w:val="0"/>
        <w:spacing w:line="360" w:lineRule="auto"/>
        <w:ind w:firstLine="210" w:firstLineChars="1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2.地点：开封市祥符区中小企业孵化园</w:t>
      </w:r>
    </w:p>
    <w:p>
      <w:pPr>
        <w:keepNext w:val="0"/>
        <w:keepLines w:val="0"/>
        <w:pageBreakBefore w:val="0"/>
        <w:kinsoku/>
        <w:wordWrap/>
        <w:overflowPunct/>
        <w:topLinePunct w:val="0"/>
        <w:autoSpaceDE/>
        <w:autoSpaceDN/>
        <w:bidi w:val="0"/>
        <w:adjustRightInd w:val="0"/>
        <w:snapToGrid w:val="0"/>
        <w:spacing w:line="360" w:lineRule="auto"/>
        <w:ind w:firstLine="210" w:firstLineChars="1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3.方式：获取谈判文件需提供资料：营业执照复印件、法人授权委托书、法定代表人或委托代理人及被授权身份证复印件；竞标人需将资料递交至开封市祥符区中小企业孵化园。</w:t>
      </w:r>
    </w:p>
    <w:p>
      <w:pPr>
        <w:keepNext w:val="0"/>
        <w:keepLines w:val="0"/>
        <w:pageBreakBefore w:val="0"/>
        <w:kinsoku/>
        <w:wordWrap/>
        <w:overflowPunct/>
        <w:topLinePunct w:val="0"/>
        <w:autoSpaceDE/>
        <w:autoSpaceDN/>
        <w:bidi w:val="0"/>
        <w:adjustRightInd w:val="0"/>
        <w:snapToGrid w:val="0"/>
        <w:spacing w:line="360" w:lineRule="auto"/>
        <w:ind w:firstLine="210" w:firstLineChars="1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4.售价：0元</w:t>
      </w:r>
    </w:p>
    <w:p>
      <w:pPr>
        <w:keepNext w:val="0"/>
        <w:keepLines w:val="0"/>
        <w:pageBreakBefore w:val="0"/>
        <w:kinsoku/>
        <w:wordWrap/>
        <w:overflowPunct/>
        <w:topLinePunct w:val="0"/>
        <w:autoSpaceDE/>
        <w:autoSpaceDN/>
        <w:bidi w:val="0"/>
        <w:adjustRightInd w:val="0"/>
        <w:snapToGrid w:val="0"/>
        <w:spacing w:line="360" w:lineRule="auto"/>
        <w:ind w:firstLine="211" w:firstLineChars="10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四、响应文件提交</w:t>
      </w:r>
    </w:p>
    <w:p>
      <w:pPr>
        <w:keepNext w:val="0"/>
        <w:keepLines w:val="0"/>
        <w:pageBreakBefore w:val="0"/>
        <w:kinsoku/>
        <w:wordWrap/>
        <w:overflowPunct/>
        <w:topLinePunct w:val="0"/>
        <w:autoSpaceDE/>
        <w:autoSpaceDN/>
        <w:bidi w:val="0"/>
        <w:adjustRightInd w:val="0"/>
        <w:snapToGrid w:val="0"/>
        <w:spacing w:line="360" w:lineRule="auto"/>
        <w:ind w:firstLine="210" w:firstLineChars="100"/>
        <w:jc w:val="both"/>
        <w:textAlignment w:val="auto"/>
        <w:rPr>
          <w:rFonts w:hint="eastAsia" w:ascii="宋体" w:hAnsi="宋体" w:eastAsia="宋体" w:cs="宋体"/>
          <w:sz w:val="21"/>
          <w:szCs w:val="21"/>
          <w:lang w:val="en-US" w:eastAsia="zh-CN"/>
        </w:rPr>
      </w:pPr>
      <w:bookmarkStart w:id="28" w:name="_Toc67384457"/>
      <w:r>
        <w:rPr>
          <w:rFonts w:hint="eastAsia" w:ascii="宋体" w:hAnsi="宋体" w:eastAsia="宋体" w:cs="宋体"/>
          <w:sz w:val="21"/>
          <w:szCs w:val="21"/>
          <w:lang w:val="en-US" w:eastAsia="zh-CN"/>
        </w:rPr>
        <w:t>1.截止时间：</w:t>
      </w:r>
      <w:r>
        <w:rPr>
          <w:rFonts w:hint="eastAsia" w:ascii="宋体" w:hAnsi="宋体" w:cs="宋体"/>
          <w:sz w:val="21"/>
          <w:szCs w:val="21"/>
          <w:lang w:eastAsia="zh-CN"/>
        </w:rPr>
        <w:t>202</w:t>
      </w:r>
      <w:r>
        <w:rPr>
          <w:rFonts w:hint="eastAsia" w:ascii="宋体" w:hAnsi="宋体" w:cs="宋体"/>
          <w:sz w:val="21"/>
          <w:szCs w:val="21"/>
          <w:lang w:val="en-US" w:eastAsia="zh-CN"/>
        </w:rPr>
        <w:t>4</w:t>
      </w:r>
      <w:r>
        <w:rPr>
          <w:rFonts w:hint="eastAsia" w:ascii="宋体" w:hAnsi="宋体" w:cs="宋体"/>
          <w:sz w:val="21"/>
          <w:szCs w:val="21"/>
          <w:lang w:eastAsia="zh-CN"/>
        </w:rPr>
        <w:t>年</w:t>
      </w:r>
      <w:r>
        <w:rPr>
          <w:rFonts w:hint="eastAsia" w:ascii="宋体" w:hAnsi="宋体" w:cs="宋体"/>
          <w:sz w:val="21"/>
          <w:szCs w:val="21"/>
          <w:lang w:val="en-US" w:eastAsia="zh-CN"/>
        </w:rPr>
        <w:t>01</w:t>
      </w:r>
      <w:r>
        <w:rPr>
          <w:rFonts w:hint="eastAsia" w:ascii="宋体" w:hAnsi="宋体" w:cs="宋体"/>
          <w:sz w:val="21"/>
          <w:szCs w:val="21"/>
          <w:lang w:eastAsia="zh-CN"/>
        </w:rPr>
        <w:t>月</w:t>
      </w:r>
      <w:r>
        <w:rPr>
          <w:rFonts w:hint="eastAsia" w:ascii="宋体" w:hAnsi="宋体" w:cs="宋体"/>
          <w:sz w:val="21"/>
          <w:szCs w:val="21"/>
          <w:lang w:val="en-US" w:eastAsia="zh-CN"/>
        </w:rPr>
        <w:t>05</w:t>
      </w:r>
      <w:r>
        <w:rPr>
          <w:rFonts w:hint="eastAsia" w:ascii="宋体" w:hAnsi="宋体" w:cs="宋体"/>
          <w:sz w:val="21"/>
          <w:szCs w:val="21"/>
          <w:lang w:eastAsia="zh-CN"/>
        </w:rPr>
        <w:t>日1</w:t>
      </w:r>
      <w:r>
        <w:rPr>
          <w:rFonts w:hint="eastAsia" w:ascii="宋体" w:hAnsi="宋体" w:cs="宋体"/>
          <w:sz w:val="21"/>
          <w:szCs w:val="21"/>
          <w:lang w:val="en-US" w:eastAsia="zh-CN"/>
        </w:rPr>
        <w:t>0</w:t>
      </w:r>
      <w:r>
        <w:rPr>
          <w:rFonts w:hint="eastAsia" w:ascii="宋体" w:hAnsi="宋体" w:cs="宋体"/>
          <w:sz w:val="21"/>
          <w:szCs w:val="21"/>
          <w:lang w:eastAsia="zh-CN"/>
        </w:rPr>
        <w:t>时00分</w:t>
      </w:r>
      <w:r>
        <w:rPr>
          <w:rFonts w:hint="eastAsia" w:ascii="宋体" w:hAnsi="宋体" w:eastAsia="宋体" w:cs="宋体"/>
          <w:sz w:val="21"/>
          <w:szCs w:val="21"/>
          <w:lang w:val="en-US" w:eastAsia="zh-CN"/>
        </w:rPr>
        <w:t>（北京时间）</w:t>
      </w:r>
    </w:p>
    <w:p>
      <w:pPr>
        <w:keepNext w:val="0"/>
        <w:keepLines w:val="0"/>
        <w:pageBreakBefore w:val="0"/>
        <w:kinsoku/>
        <w:wordWrap/>
        <w:overflowPunct/>
        <w:topLinePunct w:val="0"/>
        <w:autoSpaceDE/>
        <w:autoSpaceDN/>
        <w:bidi w:val="0"/>
        <w:adjustRightInd w:val="0"/>
        <w:snapToGrid w:val="0"/>
        <w:spacing w:line="360" w:lineRule="auto"/>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2.地点：开封市祥符区中小企业孵化园</w:t>
      </w:r>
    </w:p>
    <w:p>
      <w:pPr>
        <w:keepNext w:val="0"/>
        <w:keepLines w:val="0"/>
        <w:pageBreakBefore w:val="0"/>
        <w:kinsoku/>
        <w:wordWrap/>
        <w:overflowPunct/>
        <w:topLinePunct w:val="0"/>
        <w:autoSpaceDE/>
        <w:autoSpaceDN/>
        <w:bidi w:val="0"/>
        <w:adjustRightInd w:val="0"/>
        <w:snapToGrid w:val="0"/>
        <w:spacing w:line="360" w:lineRule="auto"/>
        <w:ind w:firstLine="211" w:firstLineChars="10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五、</w:t>
      </w:r>
      <w:bookmarkEnd w:id="24"/>
      <w:bookmarkEnd w:id="25"/>
      <w:bookmarkEnd w:id="26"/>
      <w:bookmarkEnd w:id="27"/>
      <w:r>
        <w:rPr>
          <w:rFonts w:hint="eastAsia" w:ascii="宋体" w:hAnsi="宋体" w:eastAsia="宋体" w:cs="宋体"/>
          <w:b/>
          <w:bCs/>
          <w:sz w:val="21"/>
          <w:szCs w:val="21"/>
          <w:lang w:val="en-US" w:eastAsia="zh-CN"/>
        </w:rPr>
        <w:t>响应文件开启</w:t>
      </w:r>
      <w:bookmarkEnd w:id="28"/>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s="宋体"/>
          <w:sz w:val="21"/>
          <w:szCs w:val="21"/>
          <w:lang w:val="en-US" w:eastAsia="zh-CN"/>
        </w:rPr>
      </w:pPr>
      <w:bookmarkStart w:id="29" w:name="_Toc35393794"/>
      <w:bookmarkStart w:id="30" w:name="_Toc28359084"/>
      <w:bookmarkStart w:id="31" w:name="_Toc35393625"/>
      <w:bookmarkStart w:id="32" w:name="_Toc28359007"/>
      <w:r>
        <w:rPr>
          <w:rFonts w:hint="eastAsia" w:ascii="宋体" w:hAnsi="宋体" w:cs="宋体"/>
          <w:sz w:val="21"/>
          <w:szCs w:val="21"/>
          <w:lang w:val="en-US" w:eastAsia="zh-CN"/>
        </w:rPr>
        <w:t>1.截止时间：</w:t>
      </w:r>
      <w:r>
        <w:rPr>
          <w:rFonts w:hint="eastAsia" w:ascii="宋体" w:hAnsi="宋体" w:cs="宋体"/>
          <w:sz w:val="21"/>
          <w:szCs w:val="21"/>
          <w:lang w:eastAsia="zh-CN"/>
        </w:rPr>
        <w:t>202</w:t>
      </w:r>
      <w:r>
        <w:rPr>
          <w:rFonts w:hint="eastAsia" w:ascii="宋体" w:hAnsi="宋体" w:cs="宋体"/>
          <w:sz w:val="21"/>
          <w:szCs w:val="21"/>
          <w:lang w:val="en-US" w:eastAsia="zh-CN"/>
        </w:rPr>
        <w:t>4</w:t>
      </w:r>
      <w:r>
        <w:rPr>
          <w:rFonts w:hint="eastAsia" w:ascii="宋体" w:hAnsi="宋体" w:cs="宋体"/>
          <w:sz w:val="21"/>
          <w:szCs w:val="21"/>
          <w:lang w:eastAsia="zh-CN"/>
        </w:rPr>
        <w:t>年</w:t>
      </w:r>
      <w:r>
        <w:rPr>
          <w:rFonts w:hint="eastAsia" w:ascii="宋体" w:hAnsi="宋体" w:cs="宋体"/>
          <w:sz w:val="21"/>
          <w:szCs w:val="21"/>
          <w:lang w:val="en-US" w:eastAsia="zh-CN"/>
        </w:rPr>
        <w:t>01</w:t>
      </w:r>
      <w:r>
        <w:rPr>
          <w:rFonts w:hint="eastAsia" w:ascii="宋体" w:hAnsi="宋体" w:cs="宋体"/>
          <w:sz w:val="21"/>
          <w:szCs w:val="21"/>
          <w:lang w:eastAsia="zh-CN"/>
        </w:rPr>
        <w:t>月</w:t>
      </w:r>
      <w:r>
        <w:rPr>
          <w:rFonts w:hint="eastAsia" w:ascii="宋体" w:hAnsi="宋体" w:cs="宋体"/>
          <w:sz w:val="21"/>
          <w:szCs w:val="21"/>
          <w:lang w:val="en-US" w:eastAsia="zh-CN"/>
        </w:rPr>
        <w:t>05</w:t>
      </w:r>
      <w:r>
        <w:rPr>
          <w:rFonts w:hint="eastAsia" w:ascii="宋体" w:hAnsi="宋体" w:cs="宋体"/>
          <w:sz w:val="21"/>
          <w:szCs w:val="21"/>
          <w:lang w:eastAsia="zh-CN"/>
        </w:rPr>
        <w:t>日1</w:t>
      </w:r>
      <w:r>
        <w:rPr>
          <w:rFonts w:hint="eastAsia" w:ascii="宋体" w:hAnsi="宋体" w:cs="宋体"/>
          <w:sz w:val="21"/>
          <w:szCs w:val="21"/>
          <w:lang w:val="en-US" w:eastAsia="zh-CN"/>
        </w:rPr>
        <w:t>0</w:t>
      </w:r>
      <w:r>
        <w:rPr>
          <w:rFonts w:hint="eastAsia" w:ascii="宋体" w:hAnsi="宋体" w:cs="宋体"/>
          <w:sz w:val="21"/>
          <w:szCs w:val="21"/>
          <w:lang w:eastAsia="zh-CN"/>
        </w:rPr>
        <w:t>时00分</w:t>
      </w:r>
      <w:r>
        <w:rPr>
          <w:rFonts w:hint="eastAsia" w:ascii="宋体" w:hAnsi="宋体" w:cs="宋体"/>
          <w:sz w:val="21"/>
          <w:szCs w:val="21"/>
          <w:lang w:val="en-US" w:eastAsia="zh-CN"/>
        </w:rPr>
        <w:t>（北京时间）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2.地点：开封市祥符区中小企业孵化园</w:t>
      </w:r>
    </w:p>
    <w:bookmarkEnd w:id="29"/>
    <w:bookmarkEnd w:id="30"/>
    <w:bookmarkEnd w:id="31"/>
    <w:bookmarkEnd w:id="32"/>
    <w:p>
      <w:pPr>
        <w:keepNext w:val="0"/>
        <w:keepLines w:val="0"/>
        <w:pageBreakBefore w:val="0"/>
        <w:kinsoku/>
        <w:wordWrap/>
        <w:overflowPunct/>
        <w:topLinePunct w:val="0"/>
        <w:autoSpaceDE/>
        <w:autoSpaceDN/>
        <w:bidi w:val="0"/>
        <w:adjustRightInd w:val="0"/>
        <w:snapToGrid w:val="0"/>
        <w:spacing w:line="360" w:lineRule="auto"/>
        <w:ind w:firstLine="211" w:firstLineChars="100"/>
        <w:jc w:val="both"/>
        <w:textAlignment w:val="auto"/>
        <w:rPr>
          <w:rFonts w:hint="eastAsia" w:ascii="宋体" w:hAnsi="宋体" w:eastAsia="宋体" w:cs="宋体"/>
          <w:b/>
          <w:bCs/>
          <w:sz w:val="21"/>
          <w:szCs w:val="21"/>
          <w:lang w:val="en-US" w:eastAsia="zh-CN"/>
        </w:rPr>
      </w:pPr>
      <w:bookmarkStart w:id="33" w:name="_Toc35393626"/>
      <w:bookmarkStart w:id="34" w:name="_Toc67384460"/>
      <w:bookmarkStart w:id="35" w:name="_Toc35393795"/>
      <w:r>
        <w:rPr>
          <w:rFonts w:hint="eastAsia" w:ascii="宋体" w:hAnsi="宋体" w:eastAsia="宋体" w:cs="宋体"/>
          <w:b/>
          <w:bCs/>
          <w:sz w:val="21"/>
          <w:szCs w:val="21"/>
          <w:lang w:val="en-US" w:eastAsia="zh-CN"/>
        </w:rPr>
        <w:t>六、发布公告的媒介及招标公告期限</w:t>
      </w:r>
    </w:p>
    <w:p>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本次招标公告在《河南省政府采购网》《中国采购与招标网》上发布， 招标公告期限为三个工作日 。</w:t>
      </w:r>
    </w:p>
    <w:p>
      <w:pPr>
        <w:keepNext w:val="0"/>
        <w:keepLines w:val="0"/>
        <w:pageBreakBefore w:val="0"/>
        <w:kinsoku/>
        <w:wordWrap/>
        <w:overflowPunct/>
        <w:topLinePunct w:val="0"/>
        <w:autoSpaceDE/>
        <w:autoSpaceDN/>
        <w:bidi w:val="0"/>
        <w:adjustRightInd w:val="0"/>
        <w:snapToGrid w:val="0"/>
        <w:spacing w:line="360" w:lineRule="auto"/>
        <w:ind w:firstLine="211" w:firstLineChars="100"/>
        <w:jc w:val="both"/>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七</w:t>
      </w:r>
      <w:r>
        <w:rPr>
          <w:rFonts w:hint="eastAsia" w:ascii="宋体" w:hAnsi="宋体" w:eastAsia="宋体" w:cs="宋体"/>
          <w:b/>
          <w:bCs/>
          <w:sz w:val="21"/>
          <w:szCs w:val="21"/>
          <w:lang w:val="en-US" w:eastAsia="zh-CN"/>
        </w:rPr>
        <w:t>、其他补充事宜</w:t>
      </w:r>
      <w:bookmarkEnd w:id="33"/>
      <w:bookmarkEnd w:id="34"/>
      <w:bookmarkEnd w:id="35"/>
    </w:p>
    <w:p>
      <w:pPr>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w:t>
      </w:r>
    </w:p>
    <w:p>
      <w:pPr>
        <w:keepNext w:val="0"/>
        <w:keepLines w:val="0"/>
        <w:pageBreakBefore w:val="0"/>
        <w:kinsoku/>
        <w:wordWrap/>
        <w:overflowPunct/>
        <w:topLinePunct w:val="0"/>
        <w:autoSpaceDE/>
        <w:autoSpaceDN/>
        <w:bidi w:val="0"/>
        <w:adjustRightInd w:val="0"/>
        <w:snapToGrid w:val="0"/>
        <w:spacing w:line="360" w:lineRule="auto"/>
        <w:ind w:firstLine="211" w:firstLineChars="100"/>
        <w:jc w:val="both"/>
        <w:textAlignment w:val="auto"/>
        <w:rPr>
          <w:rFonts w:hint="eastAsia" w:ascii="宋体" w:hAnsi="宋体" w:eastAsia="宋体" w:cs="宋体"/>
          <w:b/>
          <w:bCs/>
          <w:sz w:val="21"/>
          <w:szCs w:val="21"/>
          <w:lang w:val="en-US" w:eastAsia="zh-CN"/>
        </w:rPr>
      </w:pPr>
      <w:bookmarkStart w:id="36" w:name="_Toc35393627"/>
      <w:bookmarkStart w:id="37" w:name="_Toc35393796"/>
      <w:bookmarkStart w:id="38" w:name="_Toc28359008"/>
      <w:bookmarkStart w:id="39" w:name="_Toc67384461"/>
      <w:bookmarkStart w:id="40" w:name="_Toc28359085"/>
      <w:r>
        <w:rPr>
          <w:rFonts w:hint="eastAsia" w:ascii="宋体" w:hAnsi="宋体" w:cs="宋体"/>
          <w:b/>
          <w:bCs/>
          <w:sz w:val="21"/>
          <w:szCs w:val="21"/>
          <w:lang w:val="en-US" w:eastAsia="zh-CN"/>
        </w:rPr>
        <w:t>八</w:t>
      </w:r>
      <w:r>
        <w:rPr>
          <w:rFonts w:hint="eastAsia" w:ascii="宋体" w:hAnsi="宋体" w:eastAsia="宋体" w:cs="宋体"/>
          <w:b/>
          <w:bCs/>
          <w:sz w:val="21"/>
          <w:szCs w:val="21"/>
          <w:lang w:val="en-US" w:eastAsia="zh-CN"/>
        </w:rPr>
        <w:t>、凡对本次招标提出询问，请按以下方式联系</w:t>
      </w:r>
      <w:bookmarkEnd w:id="36"/>
      <w:bookmarkEnd w:id="37"/>
      <w:bookmarkEnd w:id="38"/>
      <w:bookmarkEnd w:id="39"/>
      <w:bookmarkEnd w:id="40"/>
    </w:p>
    <w:p>
      <w:pPr>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1、采购人信息</w:t>
      </w:r>
    </w:p>
    <w:p>
      <w:pPr>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名称：水坡镇人民政府</w:t>
      </w:r>
    </w:p>
    <w:p>
      <w:pPr>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地址：河南省尉氏县水坡镇西水坡村</w:t>
      </w:r>
    </w:p>
    <w:p>
      <w:pPr>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联系人：</w:t>
      </w:r>
      <w:r>
        <w:rPr>
          <w:rFonts w:hint="eastAsia" w:ascii="宋体" w:hAnsi="宋体" w:cs="宋体"/>
          <w:sz w:val="21"/>
          <w:szCs w:val="21"/>
          <w:lang w:val="en-US" w:eastAsia="zh-CN"/>
        </w:rPr>
        <w:t>韩先生</w:t>
      </w:r>
    </w:p>
    <w:p>
      <w:pPr>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联系方式：13937814898</w:t>
      </w:r>
    </w:p>
    <w:p>
      <w:pPr>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2、采购代理机构信息</w:t>
      </w:r>
    </w:p>
    <w:p>
      <w:pPr>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名称：河南泽怀工程有限公司</w:t>
      </w:r>
    </w:p>
    <w:p>
      <w:pPr>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 址：开封市祥符区中小企业孵化园</w:t>
      </w:r>
    </w:p>
    <w:p>
      <w:pPr>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联系人：罗女士</w:t>
      </w:r>
      <w:bookmarkStart w:id="682" w:name="_GoBack"/>
      <w:bookmarkEnd w:id="682"/>
    </w:p>
    <w:p>
      <w:pPr>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联系方式：13343655863</w:t>
      </w:r>
    </w:p>
    <w:p>
      <w:pPr>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3、项目联系方式</w:t>
      </w:r>
    </w:p>
    <w:p>
      <w:pPr>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联系人：罗女士</w:t>
      </w:r>
    </w:p>
    <w:p>
      <w:pPr>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lang w:val="en-US" w:eastAsia="zh-CN"/>
        </w:rPr>
        <w:sectPr>
          <w:pgSz w:w="12240" w:h="15840"/>
          <w:pgMar w:top="1418" w:right="1325" w:bottom="1418" w:left="1418" w:header="720" w:footer="720" w:gutter="0"/>
          <w:pgNumType w:fmt="decimal"/>
          <w:cols w:space="720" w:num="1"/>
          <w:docGrid w:linePitch="286" w:charSpace="0"/>
        </w:sectPr>
      </w:pPr>
      <w:r>
        <w:rPr>
          <w:rFonts w:hint="eastAsia" w:ascii="宋体" w:hAnsi="宋体" w:eastAsia="宋体" w:cs="宋体"/>
          <w:sz w:val="21"/>
          <w:szCs w:val="21"/>
          <w:lang w:val="en-US" w:eastAsia="zh-CN"/>
        </w:rPr>
        <w:t>联系方式：13343655863</w:t>
      </w:r>
    </w:p>
    <w:p>
      <w:pPr>
        <w:pageBreakBefore w:val="0"/>
        <w:widowControl w:val="0"/>
        <w:kinsoku/>
        <w:wordWrap/>
        <w:overflowPunct/>
        <w:topLinePunct w:val="0"/>
        <w:autoSpaceDE/>
        <w:autoSpaceDN/>
        <w:bidi w:val="0"/>
        <w:adjustRightInd w:val="0"/>
        <w:snapToGrid w:val="0"/>
        <w:spacing w:line="360" w:lineRule="auto"/>
        <w:ind w:left="0" w:leftChars="0" w:firstLine="602" w:firstLineChars="200"/>
        <w:jc w:val="center"/>
        <w:textAlignment w:val="auto"/>
        <w:outlineLvl w:val="0"/>
        <w:rPr>
          <w:rFonts w:hint="eastAsia" w:ascii="宋体" w:hAnsi="宋体" w:eastAsia="宋体" w:cs="Times New Roman"/>
          <w:b/>
          <w:bCs/>
          <w:kern w:val="44"/>
          <w:sz w:val="30"/>
          <w:szCs w:val="30"/>
          <w:lang w:val="en-US" w:eastAsia="zh-CN" w:bidi="ar-SA"/>
        </w:rPr>
      </w:pPr>
      <w:bookmarkStart w:id="41" w:name="_Toc31124"/>
      <w:bookmarkStart w:id="42" w:name="_Toc22871"/>
      <w:r>
        <w:rPr>
          <w:rFonts w:hint="eastAsia" w:ascii="宋体" w:hAnsi="宋体" w:eastAsia="宋体" w:cs="Times New Roman"/>
          <w:b/>
          <w:bCs/>
          <w:kern w:val="44"/>
          <w:sz w:val="30"/>
          <w:szCs w:val="30"/>
          <w:lang w:val="en-US" w:eastAsia="zh-CN" w:bidi="ar-SA"/>
        </w:rPr>
        <w:t>第二章 竞标人须知</w:t>
      </w:r>
      <w:bookmarkEnd w:id="11"/>
      <w:bookmarkEnd w:id="12"/>
      <w:bookmarkEnd w:id="13"/>
      <w:bookmarkEnd w:id="14"/>
      <w:bookmarkEnd w:id="15"/>
      <w:bookmarkEnd w:id="16"/>
      <w:bookmarkEnd w:id="17"/>
      <w:bookmarkEnd w:id="18"/>
      <w:bookmarkEnd w:id="19"/>
      <w:bookmarkEnd w:id="20"/>
      <w:bookmarkEnd w:id="21"/>
      <w:bookmarkEnd w:id="22"/>
      <w:bookmarkEnd w:id="23"/>
      <w:bookmarkEnd w:id="41"/>
      <w:bookmarkEnd w:id="42"/>
    </w:p>
    <w:p>
      <w:pPr>
        <w:pStyle w:val="9"/>
        <w:pageBreakBefore w:val="0"/>
        <w:widowControl w:val="0"/>
        <w:kinsoku/>
        <w:wordWrap/>
        <w:overflowPunct/>
        <w:topLinePunct w:val="0"/>
        <w:autoSpaceDE/>
        <w:autoSpaceDN/>
        <w:bidi w:val="0"/>
        <w:adjustRightInd w:val="0"/>
        <w:snapToGrid w:val="0"/>
        <w:spacing w:before="0" w:after="0" w:line="360" w:lineRule="auto"/>
        <w:jc w:val="center"/>
        <w:textAlignment w:val="auto"/>
        <w:rPr>
          <w:rFonts w:ascii="宋体" w:hAnsi="宋体" w:eastAsia="宋体"/>
          <w:sz w:val="21"/>
          <w:szCs w:val="21"/>
        </w:rPr>
      </w:pPr>
      <w:bookmarkStart w:id="43" w:name="_Toc247085688"/>
      <w:bookmarkStart w:id="44" w:name="_Toc179632545"/>
      <w:bookmarkStart w:id="45" w:name="_Toc246996174"/>
      <w:bookmarkStart w:id="46" w:name="_Toc246996917"/>
      <w:bookmarkStart w:id="47" w:name="_Toc338840441"/>
      <w:bookmarkStart w:id="48" w:name="_Toc524537169"/>
      <w:bookmarkStart w:id="49" w:name="_Toc152042304"/>
      <w:bookmarkStart w:id="50" w:name="_Toc338840617"/>
      <w:bookmarkStart w:id="51" w:name="_Toc338840480"/>
      <w:bookmarkStart w:id="52" w:name="_Toc144974496"/>
      <w:bookmarkStart w:id="53" w:name="_Toc338840186"/>
      <w:bookmarkStart w:id="54" w:name="_Toc24698"/>
      <w:bookmarkStart w:id="55" w:name="_Toc28383"/>
      <w:bookmarkStart w:id="56" w:name="_Toc340235285"/>
      <w:bookmarkStart w:id="57" w:name="_Toc152045528"/>
      <w:bookmarkStart w:id="58" w:name="_Toc349310371"/>
      <w:bookmarkStart w:id="59" w:name="_Toc31325"/>
      <w:r>
        <w:rPr>
          <w:rFonts w:hint="eastAsia" w:ascii="宋体" w:hAnsi="宋体" w:eastAsia="宋体"/>
          <w:sz w:val="21"/>
          <w:szCs w:val="21"/>
        </w:rPr>
        <w:t>竞标人须知前附表</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pageBreakBefore w:val="0"/>
        <w:widowControl w:val="0"/>
        <w:kinsoku/>
        <w:wordWrap/>
        <w:overflowPunct/>
        <w:topLinePunct w:val="0"/>
        <w:autoSpaceDE/>
        <w:autoSpaceDN/>
        <w:bidi w:val="0"/>
        <w:adjustRightInd w:val="0"/>
        <w:snapToGrid w:val="0"/>
        <w:spacing w:line="360" w:lineRule="auto"/>
        <w:textAlignment w:val="auto"/>
        <w:rPr>
          <w:rFonts w:ascii="宋体" w:hAnsi="宋体"/>
          <w:szCs w:val="21"/>
        </w:rPr>
      </w:pPr>
      <w:r>
        <w:rPr>
          <w:rFonts w:hint="eastAsia" w:ascii="宋体" w:hAnsi="宋体"/>
          <w:szCs w:val="21"/>
        </w:rPr>
        <w:t>注：本竞标人须知前附表内容与竞标人须知正文内容不一致时以本前附表内容为准。</w:t>
      </w:r>
    </w:p>
    <w:tbl>
      <w:tblPr>
        <w:tblStyle w:val="26"/>
        <w:tblW w:w="0" w:type="auto"/>
        <w:tblInd w:w="0" w:type="dxa"/>
        <w:tblLayout w:type="fixed"/>
        <w:tblCellMar>
          <w:top w:w="0" w:type="dxa"/>
          <w:left w:w="108" w:type="dxa"/>
          <w:bottom w:w="0" w:type="dxa"/>
          <w:right w:w="108" w:type="dxa"/>
        </w:tblCellMar>
      </w:tblPr>
      <w:tblGrid>
        <w:gridCol w:w="1100"/>
        <w:gridCol w:w="2033"/>
        <w:gridCol w:w="6164"/>
      </w:tblGrid>
      <w:tr>
        <w:tblPrEx>
          <w:tblCellMar>
            <w:top w:w="0" w:type="dxa"/>
            <w:left w:w="108" w:type="dxa"/>
            <w:bottom w:w="0" w:type="dxa"/>
            <w:right w:w="108" w:type="dxa"/>
          </w:tblCellMar>
        </w:tblPrEx>
        <w:trPr>
          <w:trHeight w:val="141" w:hRule="atLeast"/>
        </w:trPr>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条款号</w:t>
            </w:r>
          </w:p>
        </w:tc>
        <w:tc>
          <w:tcPr>
            <w:tcW w:w="20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条  款  名  称</w:t>
            </w:r>
          </w:p>
        </w:tc>
        <w:tc>
          <w:tcPr>
            <w:tcW w:w="6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编  列  内  容</w:t>
            </w:r>
          </w:p>
        </w:tc>
      </w:tr>
      <w:tr>
        <w:tblPrEx>
          <w:tblCellMar>
            <w:top w:w="0" w:type="dxa"/>
            <w:left w:w="108" w:type="dxa"/>
            <w:bottom w:w="0" w:type="dxa"/>
            <w:right w:w="108" w:type="dxa"/>
          </w:tblCellMar>
        </w:tblPrEx>
        <w:trPr>
          <w:trHeight w:val="141" w:hRule="atLeast"/>
        </w:trPr>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1.1.2</w:t>
            </w:r>
          </w:p>
        </w:tc>
        <w:tc>
          <w:tcPr>
            <w:tcW w:w="20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招标人</w:t>
            </w:r>
          </w:p>
        </w:tc>
        <w:tc>
          <w:tcPr>
            <w:tcW w:w="6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bidi w:val="0"/>
              <w:adjustRightInd w:val="0"/>
              <w:snapToGrid w:val="0"/>
              <w:spacing w:line="240" w:lineRule="auto"/>
              <w:jc w:val="left"/>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名称：水坡镇人民政府</w:t>
            </w:r>
          </w:p>
          <w:p>
            <w:pPr>
              <w:keepNext w:val="0"/>
              <w:keepLines w:val="0"/>
              <w:pageBreakBefore w:val="0"/>
              <w:widowControl/>
              <w:shd w:val="clear" w:color="auto" w:fill="FFFFFF"/>
              <w:kinsoku/>
              <w:wordWrap/>
              <w:overflowPunct/>
              <w:topLinePunct w:val="0"/>
              <w:bidi w:val="0"/>
              <w:adjustRightInd w:val="0"/>
              <w:snapToGrid w:val="0"/>
              <w:spacing w:line="240" w:lineRule="auto"/>
              <w:jc w:val="left"/>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地址：河南省尉氏县水坡镇西水坡村</w:t>
            </w:r>
          </w:p>
          <w:p>
            <w:pPr>
              <w:keepNext w:val="0"/>
              <w:keepLines w:val="0"/>
              <w:pageBreakBefore w:val="0"/>
              <w:widowControl/>
              <w:shd w:val="clear" w:color="auto" w:fill="FFFFFF"/>
              <w:kinsoku/>
              <w:wordWrap/>
              <w:overflowPunct/>
              <w:topLinePunct w:val="0"/>
              <w:bidi w:val="0"/>
              <w:adjustRightInd w:val="0"/>
              <w:snapToGrid w:val="0"/>
              <w:spacing w:line="240" w:lineRule="auto"/>
              <w:jc w:val="left"/>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联系人：</w:t>
            </w:r>
            <w:r>
              <w:rPr>
                <w:rFonts w:hint="eastAsia" w:ascii="宋体" w:hAnsi="宋体" w:cs="宋体"/>
                <w:color w:val="333333"/>
                <w:kern w:val="0"/>
                <w:sz w:val="21"/>
                <w:szCs w:val="21"/>
                <w:lang w:val="en-US" w:eastAsia="zh-CN"/>
              </w:rPr>
              <w:t>韩先生</w:t>
            </w:r>
          </w:p>
          <w:p>
            <w:pPr>
              <w:keepNext w:val="0"/>
              <w:keepLines w:val="0"/>
              <w:pageBreakBefore w:val="0"/>
              <w:widowControl/>
              <w:shd w:val="clear" w:color="auto" w:fill="FFFFFF"/>
              <w:kinsoku/>
              <w:wordWrap/>
              <w:overflowPunct/>
              <w:topLinePunct w:val="0"/>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联系方式：13937814898</w:t>
            </w:r>
          </w:p>
        </w:tc>
      </w:tr>
      <w:tr>
        <w:tblPrEx>
          <w:tblCellMar>
            <w:top w:w="0" w:type="dxa"/>
            <w:left w:w="108" w:type="dxa"/>
            <w:bottom w:w="0" w:type="dxa"/>
            <w:right w:w="108" w:type="dxa"/>
          </w:tblCellMar>
        </w:tblPrEx>
        <w:trPr>
          <w:trHeight w:val="141" w:hRule="atLeast"/>
        </w:trPr>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1.1.3</w:t>
            </w:r>
          </w:p>
        </w:tc>
        <w:tc>
          <w:tcPr>
            <w:tcW w:w="20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代理机构</w:t>
            </w:r>
          </w:p>
        </w:tc>
        <w:tc>
          <w:tcPr>
            <w:tcW w:w="6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名称：河南泽怀工程有限公司</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 址：开封市祥符区中小企业孵化园</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联系人：罗女士</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联系方式：13343655863</w:t>
            </w:r>
          </w:p>
        </w:tc>
      </w:tr>
      <w:tr>
        <w:tblPrEx>
          <w:tblCellMar>
            <w:top w:w="0" w:type="dxa"/>
            <w:left w:w="108" w:type="dxa"/>
            <w:bottom w:w="0" w:type="dxa"/>
            <w:right w:w="108" w:type="dxa"/>
          </w:tblCellMar>
        </w:tblPrEx>
        <w:trPr>
          <w:trHeight w:val="634" w:hRule="atLeast"/>
        </w:trPr>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1.1.4</w:t>
            </w:r>
          </w:p>
        </w:tc>
        <w:tc>
          <w:tcPr>
            <w:tcW w:w="20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项目名称</w:t>
            </w:r>
          </w:p>
        </w:tc>
        <w:tc>
          <w:tcPr>
            <w:tcW w:w="6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bCs/>
                <w:sz w:val="21"/>
                <w:szCs w:val="21"/>
                <w:lang w:eastAsia="zh-CN"/>
              </w:rPr>
            </w:pPr>
            <w:r>
              <w:rPr>
                <w:rFonts w:hint="eastAsia" w:ascii="宋体" w:hAnsi="宋体" w:cs="宋体"/>
                <w:sz w:val="21"/>
                <w:szCs w:val="21"/>
                <w:lang w:eastAsia="zh-CN"/>
              </w:rPr>
              <w:t>水坡镇2023年沟渠治理工程</w:t>
            </w:r>
          </w:p>
        </w:tc>
      </w:tr>
      <w:tr>
        <w:tblPrEx>
          <w:tblCellMar>
            <w:top w:w="0" w:type="dxa"/>
            <w:left w:w="108" w:type="dxa"/>
            <w:bottom w:w="0" w:type="dxa"/>
            <w:right w:w="108" w:type="dxa"/>
          </w:tblCellMar>
        </w:tblPrEx>
        <w:trPr>
          <w:trHeight w:val="605" w:hRule="atLeast"/>
        </w:trPr>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1.1.5</w:t>
            </w:r>
          </w:p>
        </w:tc>
        <w:tc>
          <w:tcPr>
            <w:tcW w:w="20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建设</w:t>
            </w:r>
            <w:r>
              <w:rPr>
                <w:rFonts w:hint="eastAsia" w:ascii="宋体" w:hAnsi="宋体" w:eastAsia="宋体" w:cs="宋体"/>
                <w:sz w:val="21"/>
                <w:szCs w:val="21"/>
              </w:rPr>
              <w:t>地点</w:t>
            </w:r>
          </w:p>
        </w:tc>
        <w:tc>
          <w:tcPr>
            <w:tcW w:w="6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详见</w:t>
            </w:r>
            <w:r>
              <w:rPr>
                <w:rFonts w:hint="eastAsia" w:ascii="宋体" w:hAnsi="宋体" w:eastAsia="宋体" w:cs="宋体"/>
                <w:sz w:val="21"/>
                <w:szCs w:val="21"/>
                <w:lang w:val="en-US" w:eastAsia="zh-CN"/>
              </w:rPr>
              <w:t>谈判</w:t>
            </w:r>
            <w:r>
              <w:rPr>
                <w:rFonts w:hint="eastAsia" w:ascii="宋体" w:hAnsi="宋体" w:eastAsia="宋体" w:cs="宋体"/>
                <w:sz w:val="21"/>
                <w:szCs w:val="21"/>
              </w:rPr>
              <w:t>公告</w:t>
            </w:r>
          </w:p>
        </w:tc>
      </w:tr>
      <w:tr>
        <w:tblPrEx>
          <w:tblCellMar>
            <w:top w:w="0" w:type="dxa"/>
            <w:left w:w="108" w:type="dxa"/>
            <w:bottom w:w="0" w:type="dxa"/>
            <w:right w:w="108" w:type="dxa"/>
          </w:tblCellMar>
        </w:tblPrEx>
        <w:trPr>
          <w:trHeight w:val="569" w:hRule="atLeast"/>
        </w:trPr>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1.2.1</w:t>
            </w:r>
          </w:p>
        </w:tc>
        <w:tc>
          <w:tcPr>
            <w:tcW w:w="20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资金来源</w:t>
            </w:r>
          </w:p>
        </w:tc>
        <w:tc>
          <w:tcPr>
            <w:tcW w:w="6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财政资金</w:t>
            </w:r>
          </w:p>
        </w:tc>
      </w:tr>
      <w:tr>
        <w:tblPrEx>
          <w:tblCellMar>
            <w:top w:w="0" w:type="dxa"/>
            <w:left w:w="108" w:type="dxa"/>
            <w:bottom w:w="0" w:type="dxa"/>
            <w:right w:w="108" w:type="dxa"/>
          </w:tblCellMar>
        </w:tblPrEx>
        <w:trPr>
          <w:trHeight w:val="551" w:hRule="atLeast"/>
        </w:trPr>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1.2.2</w:t>
            </w:r>
          </w:p>
        </w:tc>
        <w:tc>
          <w:tcPr>
            <w:tcW w:w="20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资金落实情况</w:t>
            </w:r>
          </w:p>
        </w:tc>
        <w:tc>
          <w:tcPr>
            <w:tcW w:w="6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已落实</w:t>
            </w:r>
          </w:p>
        </w:tc>
      </w:tr>
      <w:tr>
        <w:tblPrEx>
          <w:tblCellMar>
            <w:top w:w="0" w:type="dxa"/>
            <w:left w:w="108" w:type="dxa"/>
            <w:bottom w:w="0" w:type="dxa"/>
            <w:right w:w="108" w:type="dxa"/>
          </w:tblCellMar>
        </w:tblPrEx>
        <w:trPr>
          <w:trHeight w:val="545" w:hRule="atLeast"/>
        </w:trPr>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1.3.1</w:t>
            </w:r>
          </w:p>
        </w:tc>
        <w:tc>
          <w:tcPr>
            <w:tcW w:w="20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谈判范围</w:t>
            </w:r>
          </w:p>
        </w:tc>
        <w:tc>
          <w:tcPr>
            <w:tcW w:w="6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详见</w:t>
            </w:r>
            <w:r>
              <w:rPr>
                <w:rFonts w:hint="eastAsia" w:ascii="宋体" w:hAnsi="宋体" w:eastAsia="宋体" w:cs="宋体"/>
                <w:sz w:val="21"/>
                <w:szCs w:val="21"/>
                <w:lang w:val="en-US" w:eastAsia="zh-CN"/>
              </w:rPr>
              <w:t>谈判</w:t>
            </w:r>
            <w:r>
              <w:rPr>
                <w:rFonts w:hint="eastAsia" w:ascii="宋体" w:hAnsi="宋体" w:eastAsia="宋体" w:cs="宋体"/>
                <w:sz w:val="21"/>
                <w:szCs w:val="21"/>
              </w:rPr>
              <w:t>公告</w:t>
            </w:r>
          </w:p>
        </w:tc>
      </w:tr>
      <w:tr>
        <w:tblPrEx>
          <w:tblCellMar>
            <w:top w:w="0" w:type="dxa"/>
            <w:left w:w="108" w:type="dxa"/>
            <w:bottom w:w="0" w:type="dxa"/>
            <w:right w:w="108" w:type="dxa"/>
          </w:tblCellMar>
        </w:tblPrEx>
        <w:trPr>
          <w:trHeight w:val="565" w:hRule="atLeast"/>
        </w:trPr>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1.3.2</w:t>
            </w:r>
          </w:p>
        </w:tc>
        <w:tc>
          <w:tcPr>
            <w:tcW w:w="20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工期</w:t>
            </w:r>
          </w:p>
        </w:tc>
        <w:tc>
          <w:tcPr>
            <w:tcW w:w="6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详见</w:t>
            </w:r>
            <w:r>
              <w:rPr>
                <w:rFonts w:hint="eastAsia" w:ascii="宋体" w:hAnsi="宋体" w:eastAsia="宋体" w:cs="宋体"/>
                <w:sz w:val="21"/>
                <w:szCs w:val="21"/>
                <w:lang w:val="en-US" w:eastAsia="zh-CN"/>
              </w:rPr>
              <w:t>谈判</w:t>
            </w:r>
            <w:r>
              <w:rPr>
                <w:rFonts w:hint="eastAsia" w:ascii="宋体" w:hAnsi="宋体" w:eastAsia="宋体" w:cs="宋体"/>
                <w:sz w:val="21"/>
                <w:szCs w:val="21"/>
              </w:rPr>
              <w:t>公告</w:t>
            </w:r>
          </w:p>
        </w:tc>
      </w:tr>
      <w:tr>
        <w:tblPrEx>
          <w:tblCellMar>
            <w:top w:w="0" w:type="dxa"/>
            <w:left w:w="108" w:type="dxa"/>
            <w:bottom w:w="0" w:type="dxa"/>
            <w:right w:w="108" w:type="dxa"/>
          </w:tblCellMar>
        </w:tblPrEx>
        <w:trPr>
          <w:trHeight w:val="556" w:hRule="atLeast"/>
        </w:trPr>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1.3.3</w:t>
            </w:r>
          </w:p>
        </w:tc>
        <w:tc>
          <w:tcPr>
            <w:tcW w:w="20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质量要求</w:t>
            </w:r>
          </w:p>
        </w:tc>
        <w:tc>
          <w:tcPr>
            <w:tcW w:w="6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详见</w:t>
            </w:r>
            <w:r>
              <w:rPr>
                <w:rFonts w:hint="eastAsia" w:ascii="宋体" w:hAnsi="宋体" w:eastAsia="宋体" w:cs="宋体"/>
                <w:sz w:val="21"/>
                <w:szCs w:val="21"/>
                <w:lang w:val="en-US" w:eastAsia="zh-CN"/>
              </w:rPr>
              <w:t>谈判</w:t>
            </w:r>
            <w:r>
              <w:rPr>
                <w:rFonts w:hint="eastAsia" w:ascii="宋体" w:hAnsi="宋体" w:eastAsia="宋体" w:cs="宋体"/>
                <w:sz w:val="21"/>
                <w:szCs w:val="21"/>
              </w:rPr>
              <w:t>公告</w:t>
            </w:r>
          </w:p>
        </w:tc>
      </w:tr>
      <w:tr>
        <w:tblPrEx>
          <w:tblCellMar>
            <w:top w:w="0" w:type="dxa"/>
            <w:left w:w="108" w:type="dxa"/>
            <w:bottom w:w="0" w:type="dxa"/>
            <w:right w:w="108" w:type="dxa"/>
          </w:tblCellMar>
        </w:tblPrEx>
        <w:trPr>
          <w:trHeight w:val="650" w:hRule="atLeast"/>
        </w:trPr>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1.4.1</w:t>
            </w:r>
          </w:p>
        </w:tc>
        <w:tc>
          <w:tcPr>
            <w:tcW w:w="20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竞标人资格要求</w:t>
            </w:r>
          </w:p>
        </w:tc>
        <w:tc>
          <w:tcPr>
            <w:tcW w:w="6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line="240" w:lineRule="auto"/>
              <w:jc w:val="left"/>
              <w:textAlignment w:val="auto"/>
              <w:rPr>
                <w:rFonts w:hint="eastAsia" w:ascii="宋体" w:hAnsi="宋体" w:eastAsia="宋体" w:cs="宋体"/>
                <w:bCs/>
                <w:sz w:val="21"/>
                <w:szCs w:val="21"/>
                <w:lang w:val="en-US" w:eastAsia="zh-CN"/>
              </w:rPr>
            </w:pPr>
            <w:r>
              <w:rPr>
                <w:rFonts w:hint="eastAsia" w:ascii="宋体" w:hAnsi="宋体" w:eastAsia="宋体" w:cs="宋体"/>
                <w:sz w:val="21"/>
                <w:szCs w:val="21"/>
              </w:rPr>
              <w:t>详见</w:t>
            </w:r>
            <w:r>
              <w:rPr>
                <w:rFonts w:hint="eastAsia" w:ascii="宋体" w:hAnsi="宋体" w:eastAsia="宋体" w:cs="宋体"/>
                <w:sz w:val="21"/>
                <w:szCs w:val="21"/>
                <w:lang w:val="en-US" w:eastAsia="zh-CN"/>
              </w:rPr>
              <w:t>谈判</w:t>
            </w:r>
            <w:r>
              <w:rPr>
                <w:rFonts w:hint="eastAsia" w:ascii="宋体" w:hAnsi="宋体" w:eastAsia="宋体" w:cs="宋体"/>
                <w:sz w:val="21"/>
                <w:szCs w:val="21"/>
              </w:rPr>
              <w:t>公告</w:t>
            </w:r>
          </w:p>
        </w:tc>
      </w:tr>
      <w:tr>
        <w:tblPrEx>
          <w:tblCellMar>
            <w:top w:w="0" w:type="dxa"/>
            <w:left w:w="108" w:type="dxa"/>
            <w:bottom w:w="0" w:type="dxa"/>
            <w:right w:w="108" w:type="dxa"/>
          </w:tblCellMar>
        </w:tblPrEx>
        <w:trPr>
          <w:trHeight w:val="535" w:hRule="atLeast"/>
        </w:trPr>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1.9.1</w:t>
            </w:r>
          </w:p>
        </w:tc>
        <w:tc>
          <w:tcPr>
            <w:tcW w:w="20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踏勘现场</w:t>
            </w:r>
          </w:p>
        </w:tc>
        <w:tc>
          <w:tcPr>
            <w:tcW w:w="6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不组织</w:t>
            </w:r>
          </w:p>
        </w:tc>
      </w:tr>
      <w:tr>
        <w:tblPrEx>
          <w:tblCellMar>
            <w:top w:w="0" w:type="dxa"/>
            <w:left w:w="108" w:type="dxa"/>
            <w:bottom w:w="0" w:type="dxa"/>
            <w:right w:w="108" w:type="dxa"/>
          </w:tblCellMar>
        </w:tblPrEx>
        <w:trPr>
          <w:trHeight w:val="543" w:hRule="atLeast"/>
        </w:trPr>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1.10.1</w:t>
            </w:r>
          </w:p>
        </w:tc>
        <w:tc>
          <w:tcPr>
            <w:tcW w:w="20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谈判预备会</w:t>
            </w:r>
          </w:p>
        </w:tc>
        <w:tc>
          <w:tcPr>
            <w:tcW w:w="6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不召开</w:t>
            </w:r>
          </w:p>
        </w:tc>
      </w:tr>
      <w:tr>
        <w:tblPrEx>
          <w:tblCellMar>
            <w:top w:w="0" w:type="dxa"/>
            <w:left w:w="108" w:type="dxa"/>
            <w:bottom w:w="0" w:type="dxa"/>
            <w:right w:w="108" w:type="dxa"/>
          </w:tblCellMar>
        </w:tblPrEx>
        <w:trPr>
          <w:trHeight w:val="141" w:hRule="atLeast"/>
        </w:trPr>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2.1</w:t>
            </w:r>
          </w:p>
        </w:tc>
        <w:tc>
          <w:tcPr>
            <w:tcW w:w="20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构成谈判文件的其他材料</w:t>
            </w:r>
          </w:p>
        </w:tc>
        <w:tc>
          <w:tcPr>
            <w:tcW w:w="6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w:t>
            </w:r>
          </w:p>
        </w:tc>
      </w:tr>
      <w:tr>
        <w:tblPrEx>
          <w:tblCellMar>
            <w:top w:w="0" w:type="dxa"/>
            <w:left w:w="108" w:type="dxa"/>
            <w:bottom w:w="0" w:type="dxa"/>
            <w:right w:w="108" w:type="dxa"/>
          </w:tblCellMar>
        </w:tblPrEx>
        <w:trPr>
          <w:trHeight w:val="141" w:hRule="atLeast"/>
        </w:trPr>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2.2.1</w:t>
            </w:r>
          </w:p>
        </w:tc>
        <w:tc>
          <w:tcPr>
            <w:tcW w:w="20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竞标人对谈判文件提出异议的时间</w:t>
            </w:r>
          </w:p>
        </w:tc>
        <w:tc>
          <w:tcPr>
            <w:tcW w:w="6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在谈判响应文件</w:t>
            </w:r>
            <w:r>
              <w:rPr>
                <w:rFonts w:hint="eastAsia" w:ascii="宋体" w:hAnsi="宋体" w:eastAsia="宋体" w:cs="宋体"/>
                <w:color w:val="000000"/>
                <w:kern w:val="0"/>
                <w:sz w:val="21"/>
                <w:szCs w:val="21"/>
                <w:lang w:val="en-US" w:eastAsia="zh-CN"/>
              </w:rPr>
              <w:t>递交</w:t>
            </w:r>
            <w:r>
              <w:rPr>
                <w:rFonts w:hint="eastAsia" w:ascii="宋体" w:hAnsi="宋体" w:eastAsia="宋体" w:cs="宋体"/>
                <w:color w:val="000000"/>
                <w:kern w:val="0"/>
                <w:sz w:val="21"/>
                <w:szCs w:val="21"/>
              </w:rPr>
              <w:t>截止时间3个工作日前提出</w:t>
            </w:r>
          </w:p>
        </w:tc>
      </w:tr>
      <w:tr>
        <w:tblPrEx>
          <w:tblCellMar>
            <w:top w:w="0" w:type="dxa"/>
            <w:left w:w="108" w:type="dxa"/>
            <w:bottom w:w="0" w:type="dxa"/>
            <w:right w:w="108" w:type="dxa"/>
          </w:tblCellMar>
        </w:tblPrEx>
        <w:trPr>
          <w:trHeight w:val="141" w:hRule="atLeast"/>
        </w:trPr>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3.1.1</w:t>
            </w:r>
          </w:p>
        </w:tc>
        <w:tc>
          <w:tcPr>
            <w:tcW w:w="20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构成谈判响应文件的其他材料</w:t>
            </w:r>
          </w:p>
        </w:tc>
        <w:tc>
          <w:tcPr>
            <w:tcW w:w="6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w:t>
            </w:r>
          </w:p>
        </w:tc>
      </w:tr>
      <w:tr>
        <w:tblPrEx>
          <w:tblCellMar>
            <w:top w:w="0" w:type="dxa"/>
            <w:left w:w="108" w:type="dxa"/>
            <w:bottom w:w="0" w:type="dxa"/>
            <w:right w:w="108" w:type="dxa"/>
          </w:tblCellMar>
        </w:tblPrEx>
        <w:trPr>
          <w:trHeight w:val="141" w:hRule="atLeast"/>
        </w:trPr>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3.2.3</w:t>
            </w:r>
          </w:p>
        </w:tc>
        <w:tc>
          <w:tcPr>
            <w:tcW w:w="20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最高限价</w:t>
            </w:r>
          </w:p>
        </w:tc>
        <w:tc>
          <w:tcPr>
            <w:tcW w:w="6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sz w:val="21"/>
                <w:szCs w:val="21"/>
                <w:u w:val="single"/>
              </w:rPr>
            </w:pPr>
            <w:r>
              <w:rPr>
                <w:rFonts w:hint="eastAsia" w:ascii="宋体" w:hAnsi="宋体" w:eastAsia="宋体" w:cs="宋体"/>
                <w:sz w:val="21"/>
                <w:szCs w:val="21"/>
              </w:rPr>
              <w:t>□不设最高投标限价。</w:t>
            </w:r>
          </w:p>
          <w:p>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sym w:font="Wingdings" w:char="F0FE"/>
            </w:r>
            <w:r>
              <w:rPr>
                <w:rFonts w:hint="eastAsia" w:ascii="宋体" w:hAnsi="宋体" w:eastAsia="宋体" w:cs="宋体"/>
                <w:sz w:val="21"/>
                <w:szCs w:val="21"/>
              </w:rPr>
              <w:t>设最高限价，最高限价</w:t>
            </w:r>
            <w:r>
              <w:rPr>
                <w:rFonts w:hint="eastAsia" w:ascii="宋体" w:hAnsi="宋体" w:eastAsia="宋体" w:cs="宋体"/>
                <w:sz w:val="21"/>
                <w:szCs w:val="21"/>
                <w:lang w:eastAsia="zh-CN"/>
              </w:rPr>
              <w:t>：</w:t>
            </w:r>
            <w:r>
              <w:rPr>
                <w:rFonts w:hint="eastAsia" w:ascii="宋体" w:hAnsi="宋体" w:cs="宋体"/>
                <w:sz w:val="21"/>
                <w:szCs w:val="21"/>
                <w:u w:val="single"/>
                <w:lang w:val="en-US" w:eastAsia="zh-CN"/>
              </w:rPr>
              <w:t>56</w:t>
            </w:r>
            <w:r>
              <w:rPr>
                <w:rFonts w:hint="eastAsia" w:ascii="宋体" w:hAnsi="宋体" w:eastAsia="宋体" w:cs="宋体"/>
                <w:sz w:val="21"/>
                <w:szCs w:val="21"/>
                <w:u w:val="single"/>
                <w:lang w:val="en-US" w:eastAsia="zh-CN"/>
              </w:rPr>
              <w:t>0000.00</w:t>
            </w:r>
            <w:r>
              <w:rPr>
                <w:rFonts w:hint="eastAsia" w:ascii="宋体" w:hAnsi="宋体" w:eastAsia="宋体" w:cs="宋体"/>
                <w:sz w:val="21"/>
                <w:szCs w:val="21"/>
                <w:u w:val="single"/>
                <w:lang w:eastAsia="zh-CN"/>
              </w:rPr>
              <w:t>元</w:t>
            </w:r>
            <w:r>
              <w:rPr>
                <w:rFonts w:hint="eastAsia" w:ascii="宋体" w:hAnsi="宋体" w:eastAsia="宋体" w:cs="宋体"/>
                <w:sz w:val="21"/>
                <w:szCs w:val="21"/>
              </w:rPr>
              <w:t>，大写：</w:t>
            </w:r>
            <w:r>
              <w:rPr>
                <w:rFonts w:hint="eastAsia" w:ascii="宋体" w:hAnsi="宋体" w:cs="宋体"/>
                <w:sz w:val="21"/>
                <w:szCs w:val="21"/>
                <w:u w:val="single"/>
                <w:lang w:val="en-US" w:eastAsia="zh-CN"/>
              </w:rPr>
              <w:t>伍拾陆</w:t>
            </w:r>
            <w:r>
              <w:rPr>
                <w:rFonts w:hint="eastAsia" w:ascii="宋体" w:hAnsi="宋体" w:eastAsia="宋体" w:cs="宋体"/>
                <w:sz w:val="21"/>
                <w:szCs w:val="21"/>
                <w:u w:val="single"/>
                <w:lang w:val="en-US" w:eastAsia="zh-CN"/>
              </w:rPr>
              <w:t>万元整</w:t>
            </w:r>
            <w:r>
              <w:rPr>
                <w:rFonts w:hint="eastAsia" w:ascii="宋体" w:hAnsi="宋体" w:eastAsia="宋体" w:cs="宋体"/>
                <w:sz w:val="21"/>
                <w:szCs w:val="21"/>
              </w:rPr>
              <w:t>。最</w:t>
            </w:r>
            <w:r>
              <w:rPr>
                <w:rFonts w:hint="eastAsia" w:ascii="宋体" w:hAnsi="宋体" w:eastAsia="宋体" w:cs="宋体"/>
                <w:sz w:val="21"/>
                <w:szCs w:val="21"/>
                <w:lang w:val="en-US" w:eastAsia="zh-CN"/>
              </w:rPr>
              <w:t>终</w:t>
            </w:r>
            <w:r>
              <w:rPr>
                <w:rFonts w:hint="eastAsia" w:ascii="宋体" w:hAnsi="宋体" w:eastAsia="宋体" w:cs="宋体"/>
                <w:sz w:val="21"/>
                <w:szCs w:val="21"/>
              </w:rPr>
              <w:t>报价高于最高限价的</w:t>
            </w:r>
            <w:r>
              <w:rPr>
                <w:rFonts w:hint="eastAsia" w:ascii="宋体" w:hAnsi="宋体" w:eastAsia="宋体" w:cs="宋体"/>
                <w:sz w:val="21"/>
                <w:szCs w:val="21"/>
                <w:lang w:val="en-US" w:eastAsia="zh-CN"/>
              </w:rPr>
              <w:t>视为</w:t>
            </w:r>
            <w:r>
              <w:rPr>
                <w:rFonts w:hint="eastAsia" w:ascii="宋体" w:hAnsi="宋体" w:eastAsia="宋体" w:cs="宋体"/>
                <w:sz w:val="21"/>
                <w:szCs w:val="21"/>
              </w:rPr>
              <w:t>无效投标。</w:t>
            </w:r>
          </w:p>
        </w:tc>
      </w:tr>
      <w:tr>
        <w:tblPrEx>
          <w:tblCellMar>
            <w:top w:w="0" w:type="dxa"/>
            <w:left w:w="108" w:type="dxa"/>
            <w:bottom w:w="0" w:type="dxa"/>
            <w:right w:w="108" w:type="dxa"/>
          </w:tblCellMar>
        </w:tblPrEx>
        <w:trPr>
          <w:trHeight w:val="141" w:hRule="atLeast"/>
        </w:trPr>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3.2.4</w:t>
            </w:r>
          </w:p>
        </w:tc>
        <w:tc>
          <w:tcPr>
            <w:tcW w:w="20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报价币种</w:t>
            </w:r>
          </w:p>
        </w:tc>
        <w:tc>
          <w:tcPr>
            <w:tcW w:w="6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全部报价均应以人民币为计量货币，并以人民币进行结算。</w:t>
            </w:r>
          </w:p>
        </w:tc>
      </w:tr>
      <w:tr>
        <w:tblPrEx>
          <w:tblCellMar>
            <w:top w:w="0" w:type="dxa"/>
            <w:left w:w="108" w:type="dxa"/>
            <w:bottom w:w="0" w:type="dxa"/>
            <w:right w:w="108" w:type="dxa"/>
          </w:tblCellMar>
        </w:tblPrEx>
        <w:trPr>
          <w:trHeight w:val="141" w:hRule="atLeast"/>
        </w:trPr>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3.3.1</w:t>
            </w:r>
          </w:p>
        </w:tc>
        <w:tc>
          <w:tcPr>
            <w:tcW w:w="20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谈判有效期</w:t>
            </w:r>
          </w:p>
        </w:tc>
        <w:tc>
          <w:tcPr>
            <w:tcW w:w="6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自谈判之日起</w:t>
            </w:r>
            <w:r>
              <w:rPr>
                <w:rFonts w:hint="eastAsia" w:ascii="宋体" w:hAnsi="宋体" w:eastAsia="宋体" w:cs="宋体"/>
                <w:sz w:val="21"/>
                <w:szCs w:val="21"/>
                <w:u w:val="single"/>
              </w:rPr>
              <w:t xml:space="preserve"> 60 </w:t>
            </w:r>
            <w:r>
              <w:rPr>
                <w:rFonts w:hint="eastAsia" w:ascii="宋体" w:hAnsi="宋体" w:eastAsia="宋体" w:cs="宋体"/>
                <w:sz w:val="21"/>
                <w:szCs w:val="21"/>
              </w:rPr>
              <w:t>日历天</w:t>
            </w:r>
          </w:p>
        </w:tc>
      </w:tr>
      <w:tr>
        <w:tblPrEx>
          <w:tblCellMar>
            <w:top w:w="0" w:type="dxa"/>
            <w:left w:w="108" w:type="dxa"/>
            <w:bottom w:w="0" w:type="dxa"/>
            <w:right w:w="108" w:type="dxa"/>
          </w:tblCellMar>
        </w:tblPrEx>
        <w:trPr>
          <w:trHeight w:val="382" w:hRule="atLeast"/>
        </w:trPr>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3.4.1</w:t>
            </w:r>
          </w:p>
        </w:tc>
        <w:tc>
          <w:tcPr>
            <w:tcW w:w="20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投标保证金</w:t>
            </w:r>
          </w:p>
        </w:tc>
        <w:tc>
          <w:tcPr>
            <w:tcW w:w="6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bCs/>
                <w:kern w:val="0"/>
                <w:sz w:val="21"/>
                <w:szCs w:val="21"/>
              </w:rPr>
              <w:t>不收取</w:t>
            </w:r>
          </w:p>
        </w:tc>
      </w:tr>
      <w:tr>
        <w:tblPrEx>
          <w:tblCellMar>
            <w:top w:w="0" w:type="dxa"/>
            <w:left w:w="108" w:type="dxa"/>
            <w:bottom w:w="0" w:type="dxa"/>
            <w:right w:w="108" w:type="dxa"/>
          </w:tblCellMar>
        </w:tblPrEx>
        <w:trPr>
          <w:trHeight w:val="141" w:hRule="atLeast"/>
        </w:trPr>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3.6.3</w:t>
            </w:r>
          </w:p>
        </w:tc>
        <w:tc>
          <w:tcPr>
            <w:tcW w:w="20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rPr>
              <w:t>签字或盖章要求</w:t>
            </w:r>
          </w:p>
        </w:tc>
        <w:tc>
          <w:tcPr>
            <w:tcW w:w="6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kern w:val="0"/>
                <w:sz w:val="21"/>
                <w:szCs w:val="21"/>
                <w:lang w:val="en-US" w:eastAsia="zh-CN"/>
              </w:rPr>
            </w:pPr>
            <w:r>
              <w:rPr>
                <w:rFonts w:hint="eastAsia" w:ascii="宋体" w:hAnsi="宋体" w:cs="宋体"/>
                <w:b/>
                <w:bCs/>
                <w:color w:val="000000"/>
                <w:kern w:val="0"/>
                <w:sz w:val="21"/>
                <w:szCs w:val="21"/>
                <w:lang w:val="en-US" w:eastAsia="zh-CN"/>
              </w:rPr>
              <w:t>谈判</w:t>
            </w:r>
            <w:r>
              <w:rPr>
                <w:rFonts w:hint="eastAsia" w:ascii="宋体" w:hAnsi="宋体" w:eastAsia="宋体" w:cs="宋体"/>
                <w:b/>
                <w:bCs/>
                <w:color w:val="000000"/>
                <w:kern w:val="0"/>
                <w:sz w:val="21"/>
                <w:szCs w:val="21"/>
              </w:rPr>
              <w:t>响应文件须按</w:t>
            </w:r>
            <w:r>
              <w:rPr>
                <w:rFonts w:hint="eastAsia" w:ascii="宋体" w:hAnsi="宋体" w:cs="宋体"/>
                <w:b/>
                <w:bCs/>
                <w:color w:val="000000"/>
                <w:kern w:val="0"/>
                <w:sz w:val="21"/>
                <w:szCs w:val="21"/>
                <w:lang w:val="en-US" w:eastAsia="zh-CN"/>
              </w:rPr>
              <w:t>谈判</w:t>
            </w:r>
            <w:r>
              <w:rPr>
                <w:rFonts w:hint="eastAsia" w:ascii="宋体" w:hAnsi="宋体" w:eastAsia="宋体" w:cs="宋体"/>
                <w:b/>
                <w:bCs/>
                <w:color w:val="000000"/>
                <w:kern w:val="0"/>
                <w:sz w:val="21"/>
                <w:szCs w:val="21"/>
              </w:rPr>
              <w:t>文件要求格式加盖供应商的公章，</w:t>
            </w:r>
            <w:r>
              <w:rPr>
                <w:rFonts w:hint="eastAsia" w:ascii="宋体" w:hAnsi="宋体" w:cs="宋体"/>
                <w:b/>
                <w:bCs/>
                <w:color w:val="000000"/>
                <w:kern w:val="0"/>
                <w:sz w:val="21"/>
                <w:szCs w:val="21"/>
                <w:lang w:eastAsia="zh-CN"/>
              </w:rPr>
              <w:t>法定代表人或委托代理人</w:t>
            </w:r>
            <w:r>
              <w:rPr>
                <w:rFonts w:hint="eastAsia" w:ascii="宋体" w:hAnsi="宋体" w:eastAsia="宋体" w:cs="宋体"/>
                <w:b/>
                <w:bCs/>
                <w:color w:val="000000"/>
                <w:kern w:val="0"/>
                <w:sz w:val="21"/>
                <w:szCs w:val="21"/>
              </w:rPr>
              <w:t>或授权代表签字或盖章。</w:t>
            </w:r>
          </w:p>
        </w:tc>
      </w:tr>
      <w:tr>
        <w:tblPrEx>
          <w:tblCellMar>
            <w:top w:w="0" w:type="dxa"/>
            <w:left w:w="108" w:type="dxa"/>
            <w:bottom w:w="0" w:type="dxa"/>
            <w:right w:w="108" w:type="dxa"/>
          </w:tblCellMar>
        </w:tblPrEx>
        <w:trPr>
          <w:trHeight w:val="2214" w:hRule="atLeast"/>
        </w:trPr>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3.6.4</w:t>
            </w:r>
          </w:p>
        </w:tc>
        <w:tc>
          <w:tcPr>
            <w:tcW w:w="20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rPr>
              <w:t>响应文件份数</w:t>
            </w:r>
          </w:p>
        </w:tc>
        <w:tc>
          <w:tcPr>
            <w:tcW w:w="6164" w:type="dxa"/>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numPr>
                <w:ilvl w:val="0"/>
                <w:numId w:val="1"/>
              </w:numPr>
              <w:kinsoku/>
              <w:wordWrap/>
              <w:overflowPunct/>
              <w:topLinePunct w:val="0"/>
              <w:bidi w:val="0"/>
              <w:adjustRightInd w:val="0"/>
              <w:snapToGrid w:val="0"/>
              <w:spacing w:line="240" w:lineRule="auto"/>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投标文件份数：正本</w:t>
            </w:r>
            <w:r>
              <w:rPr>
                <w:rFonts w:hint="eastAsia" w:ascii="宋体" w:hAnsi="宋体" w:eastAsia="宋体" w:cs="宋体"/>
                <w:bCs/>
                <w:kern w:val="0"/>
                <w:sz w:val="21"/>
                <w:szCs w:val="21"/>
                <w:u w:val="single"/>
              </w:rPr>
              <w:t xml:space="preserve"> 壹 </w:t>
            </w:r>
            <w:r>
              <w:rPr>
                <w:rFonts w:hint="eastAsia" w:ascii="宋体" w:hAnsi="宋体" w:eastAsia="宋体" w:cs="宋体"/>
                <w:bCs/>
                <w:kern w:val="0"/>
                <w:sz w:val="21"/>
                <w:szCs w:val="21"/>
              </w:rPr>
              <w:t>份，副本</w:t>
            </w:r>
            <w:r>
              <w:rPr>
                <w:rFonts w:hint="eastAsia" w:ascii="宋体" w:hAnsi="宋体" w:eastAsia="宋体" w:cs="宋体"/>
                <w:bCs/>
                <w:kern w:val="0"/>
                <w:sz w:val="21"/>
                <w:szCs w:val="21"/>
                <w:u w:val="single"/>
              </w:rPr>
              <w:t xml:space="preserve"> 贰 </w:t>
            </w:r>
            <w:r>
              <w:rPr>
                <w:rFonts w:hint="eastAsia" w:ascii="宋体" w:hAnsi="宋体" w:eastAsia="宋体" w:cs="宋体"/>
                <w:bCs/>
                <w:kern w:val="0"/>
                <w:sz w:val="21"/>
                <w:szCs w:val="21"/>
              </w:rPr>
              <w:t>份，电子版</w:t>
            </w:r>
            <w:r>
              <w:rPr>
                <w:rFonts w:hint="eastAsia" w:ascii="宋体" w:hAnsi="宋体" w:eastAsia="宋体" w:cs="宋体"/>
                <w:bCs/>
                <w:kern w:val="0"/>
                <w:sz w:val="21"/>
                <w:szCs w:val="21"/>
                <w:u w:val="single"/>
              </w:rPr>
              <w:t xml:space="preserve"> 壹 </w:t>
            </w:r>
            <w:r>
              <w:rPr>
                <w:rFonts w:hint="eastAsia" w:ascii="宋体" w:hAnsi="宋体" w:eastAsia="宋体" w:cs="宋体"/>
                <w:bCs/>
                <w:kern w:val="0"/>
                <w:sz w:val="21"/>
                <w:szCs w:val="21"/>
              </w:rPr>
              <w:t>份。（正本、副本、电子版分别制作密封，并在封面标注“正本”、“副本”、“电子版”，副本为正本的完全影印件，</w:t>
            </w:r>
            <w:r>
              <w:rPr>
                <w:rFonts w:hint="eastAsia" w:ascii="宋体" w:hAnsi="宋体" w:eastAsia="宋体" w:cs="宋体"/>
                <w:bCs/>
                <w:kern w:val="0"/>
                <w:sz w:val="21"/>
                <w:szCs w:val="21"/>
                <w:lang w:val="en-US" w:eastAsia="zh-CN"/>
              </w:rPr>
              <w:t>电子版为正本的扫描件。</w:t>
            </w:r>
            <w:r>
              <w:rPr>
                <w:rFonts w:hint="eastAsia" w:ascii="宋体" w:hAnsi="宋体" w:eastAsia="宋体" w:cs="宋体"/>
                <w:bCs/>
                <w:kern w:val="0"/>
                <w:sz w:val="21"/>
                <w:szCs w:val="21"/>
              </w:rPr>
              <w:t>正本与副本不一致，以正本为准。</w:t>
            </w:r>
          </w:p>
          <w:p>
            <w:pPr>
              <w:pStyle w:val="13"/>
              <w:keepNext w:val="0"/>
              <w:keepLines w:val="0"/>
              <w:pageBreakBefore w:val="0"/>
              <w:kinsoku/>
              <w:wordWrap/>
              <w:overflowPunct/>
              <w:topLinePunct w:val="0"/>
              <w:bidi w:val="0"/>
              <w:adjustRightInd w:val="0"/>
              <w:snapToGrid w:val="0"/>
              <w:spacing w:line="240" w:lineRule="auto"/>
              <w:jc w:val="both"/>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2、装订要求：谈判响应文件按本</w:t>
            </w:r>
            <w:r>
              <w:rPr>
                <w:rFonts w:hint="eastAsia" w:ascii="宋体" w:hAnsi="宋体" w:cs="宋体"/>
                <w:bCs/>
                <w:kern w:val="0"/>
                <w:sz w:val="21"/>
                <w:szCs w:val="21"/>
                <w:lang w:val="en-US" w:eastAsia="zh-CN"/>
              </w:rPr>
              <w:t>谈判</w:t>
            </w:r>
            <w:r>
              <w:rPr>
                <w:rFonts w:hint="eastAsia" w:ascii="宋体" w:hAnsi="宋体" w:eastAsia="宋体" w:cs="宋体"/>
                <w:bCs/>
                <w:kern w:val="0"/>
                <w:sz w:val="21"/>
                <w:szCs w:val="21"/>
              </w:rPr>
              <w:t>文件“谈判响应文件格式”中要求制作。采用简单胶装装订成册。</w:t>
            </w:r>
          </w:p>
          <w:p>
            <w:pPr>
              <w:pStyle w:val="13"/>
              <w:keepNext w:val="0"/>
              <w:keepLines w:val="0"/>
              <w:pageBreakBefore w:val="0"/>
              <w:kinsoku/>
              <w:wordWrap/>
              <w:overflowPunct/>
              <w:topLinePunct w:val="0"/>
              <w:bidi w:val="0"/>
              <w:adjustRightInd w:val="0"/>
              <w:snapToGrid w:val="0"/>
              <w:spacing w:line="240" w:lineRule="auto"/>
              <w:jc w:val="both"/>
              <w:textAlignment w:val="auto"/>
              <w:rPr>
                <w:rFonts w:hint="eastAsia" w:ascii="宋体" w:hAnsi="宋体" w:eastAsia="宋体" w:cs="宋体"/>
                <w:color w:val="000000"/>
                <w:kern w:val="0"/>
                <w:sz w:val="21"/>
                <w:szCs w:val="21"/>
              </w:rPr>
            </w:pPr>
            <w:r>
              <w:rPr>
                <w:rFonts w:hint="eastAsia" w:ascii="宋体" w:hAnsi="宋体" w:eastAsia="宋体" w:cs="宋体"/>
                <w:bCs/>
                <w:kern w:val="0"/>
                <w:sz w:val="21"/>
                <w:szCs w:val="21"/>
              </w:rPr>
              <w:t>3、谈判响应文件封套上须清楚标明竞标人名称、项目名称等，封套的封口处加贴封条，并在封套的封口处加盖竞标人单位章。</w:t>
            </w:r>
          </w:p>
        </w:tc>
      </w:tr>
      <w:tr>
        <w:tblPrEx>
          <w:tblCellMar>
            <w:top w:w="0" w:type="dxa"/>
            <w:left w:w="108" w:type="dxa"/>
            <w:bottom w:w="0" w:type="dxa"/>
            <w:right w:w="108" w:type="dxa"/>
          </w:tblCellMar>
        </w:tblPrEx>
        <w:trPr>
          <w:trHeight w:val="141" w:hRule="atLeast"/>
        </w:trPr>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4.2.2</w:t>
            </w:r>
          </w:p>
        </w:tc>
        <w:tc>
          <w:tcPr>
            <w:tcW w:w="20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上传谈判响应文件的截止时间</w:t>
            </w:r>
          </w:p>
        </w:tc>
        <w:tc>
          <w:tcPr>
            <w:tcW w:w="6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详见</w:t>
            </w:r>
            <w:r>
              <w:rPr>
                <w:rFonts w:hint="eastAsia" w:ascii="宋体" w:hAnsi="宋体" w:cs="宋体"/>
                <w:sz w:val="21"/>
                <w:szCs w:val="21"/>
                <w:lang w:val="en-US" w:eastAsia="zh-CN"/>
              </w:rPr>
              <w:t>谈判</w:t>
            </w:r>
            <w:r>
              <w:rPr>
                <w:rFonts w:hint="eastAsia" w:ascii="宋体" w:hAnsi="宋体" w:eastAsia="宋体" w:cs="宋体"/>
                <w:sz w:val="21"/>
                <w:szCs w:val="21"/>
              </w:rPr>
              <w:t>公告</w:t>
            </w:r>
          </w:p>
        </w:tc>
      </w:tr>
      <w:tr>
        <w:tblPrEx>
          <w:tblCellMar>
            <w:top w:w="0" w:type="dxa"/>
            <w:left w:w="108" w:type="dxa"/>
            <w:bottom w:w="0" w:type="dxa"/>
            <w:right w:w="108" w:type="dxa"/>
          </w:tblCellMar>
        </w:tblPrEx>
        <w:trPr>
          <w:trHeight w:val="558" w:hRule="atLeast"/>
        </w:trPr>
        <w:tc>
          <w:tcPr>
            <w:tcW w:w="110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5.1</w:t>
            </w:r>
          </w:p>
        </w:tc>
        <w:tc>
          <w:tcPr>
            <w:tcW w:w="2033"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谈判时间和地点</w:t>
            </w:r>
          </w:p>
        </w:tc>
        <w:tc>
          <w:tcPr>
            <w:tcW w:w="6164"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详见</w:t>
            </w:r>
            <w:r>
              <w:rPr>
                <w:rFonts w:hint="eastAsia" w:ascii="宋体" w:hAnsi="宋体" w:cs="宋体"/>
                <w:sz w:val="21"/>
                <w:szCs w:val="21"/>
                <w:lang w:val="en-US" w:eastAsia="zh-CN"/>
              </w:rPr>
              <w:t>谈判</w:t>
            </w:r>
            <w:r>
              <w:rPr>
                <w:rFonts w:hint="eastAsia" w:ascii="宋体" w:hAnsi="宋体" w:eastAsia="宋体" w:cs="宋体"/>
                <w:sz w:val="21"/>
                <w:szCs w:val="21"/>
              </w:rPr>
              <w:t>公告</w:t>
            </w:r>
          </w:p>
        </w:tc>
      </w:tr>
      <w:tr>
        <w:tblPrEx>
          <w:tblCellMar>
            <w:top w:w="0" w:type="dxa"/>
            <w:left w:w="108" w:type="dxa"/>
            <w:bottom w:w="0" w:type="dxa"/>
            <w:right w:w="108" w:type="dxa"/>
          </w:tblCellMar>
        </w:tblPrEx>
        <w:trPr>
          <w:trHeight w:val="1636" w:hRule="atLeast"/>
        </w:trPr>
        <w:tc>
          <w:tcPr>
            <w:tcW w:w="110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5.2</w:t>
            </w:r>
          </w:p>
        </w:tc>
        <w:tc>
          <w:tcPr>
            <w:tcW w:w="2033"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谈判程序</w:t>
            </w:r>
          </w:p>
        </w:tc>
        <w:tc>
          <w:tcPr>
            <w:tcW w:w="6164"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谈判会议由招标代理人主持并按下列程序进行开标：</w:t>
            </w:r>
          </w:p>
          <w:p>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(1)宣布开标纪律；</w:t>
            </w:r>
          </w:p>
          <w:p>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(2)公布在响应文件提交截止时间前递交响应文件的供应商名称；</w:t>
            </w:r>
          </w:p>
          <w:p>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(3)宣布招标人代表、监标人等有关人员姓名；</w:t>
            </w:r>
          </w:p>
          <w:p>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(4)各供应商、监督人检查响应文件的密封情况；</w:t>
            </w:r>
          </w:p>
          <w:p>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(5)开标结束。</w:t>
            </w:r>
          </w:p>
        </w:tc>
      </w:tr>
      <w:tr>
        <w:tblPrEx>
          <w:tblCellMar>
            <w:top w:w="0" w:type="dxa"/>
            <w:left w:w="108" w:type="dxa"/>
            <w:bottom w:w="0" w:type="dxa"/>
            <w:right w:w="108" w:type="dxa"/>
          </w:tblCellMar>
        </w:tblPrEx>
        <w:trPr>
          <w:trHeight w:val="689" w:hRule="atLeast"/>
        </w:trPr>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6.1.1</w:t>
            </w:r>
          </w:p>
        </w:tc>
        <w:tc>
          <w:tcPr>
            <w:tcW w:w="20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谈判小组的成员</w:t>
            </w:r>
          </w:p>
        </w:tc>
        <w:tc>
          <w:tcPr>
            <w:tcW w:w="6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ind w:hanging="5"/>
              <w:textAlignment w:val="auto"/>
              <w:rPr>
                <w:rFonts w:hint="eastAsia" w:ascii="宋体" w:hAnsi="宋体" w:eastAsia="宋体" w:cs="宋体"/>
                <w:sz w:val="21"/>
                <w:szCs w:val="21"/>
              </w:rPr>
            </w:pPr>
            <w:r>
              <w:rPr>
                <w:rFonts w:hint="eastAsia" w:ascii="宋体" w:hAnsi="宋体" w:eastAsia="宋体" w:cs="宋体"/>
                <w:sz w:val="21"/>
                <w:szCs w:val="21"/>
                <w:highlight w:val="none"/>
              </w:rPr>
              <w:t>谈判小组构成</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3人。其中招标人代表1人</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相关经济、技术专家2人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从</w:t>
            </w:r>
            <w:r>
              <w:rPr>
                <w:rFonts w:hint="eastAsia" w:ascii="宋体" w:hAnsi="宋体" w:cs="宋体"/>
                <w:sz w:val="21"/>
                <w:szCs w:val="21"/>
                <w:highlight w:val="none"/>
                <w:lang w:val="en-US" w:eastAsia="zh-CN"/>
              </w:rPr>
              <w:t>河南省政府采购</w:t>
            </w:r>
            <w:r>
              <w:rPr>
                <w:rFonts w:hint="eastAsia" w:ascii="宋体" w:hAnsi="宋体" w:eastAsia="宋体" w:cs="宋体"/>
                <w:sz w:val="21"/>
                <w:szCs w:val="21"/>
                <w:highlight w:val="none"/>
              </w:rPr>
              <w:t>专家库中选取。</w:t>
            </w:r>
          </w:p>
        </w:tc>
      </w:tr>
      <w:tr>
        <w:tblPrEx>
          <w:tblCellMar>
            <w:top w:w="0" w:type="dxa"/>
            <w:left w:w="108" w:type="dxa"/>
            <w:bottom w:w="0" w:type="dxa"/>
            <w:right w:w="108" w:type="dxa"/>
          </w:tblCellMar>
        </w:tblPrEx>
        <w:trPr>
          <w:trHeight w:val="586" w:hRule="atLeast"/>
        </w:trPr>
        <w:tc>
          <w:tcPr>
            <w:tcW w:w="110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7.1</w:t>
            </w:r>
          </w:p>
        </w:tc>
        <w:tc>
          <w:tcPr>
            <w:tcW w:w="2033"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rPr>
              <w:t>是否授权</w:t>
            </w:r>
            <w:r>
              <w:rPr>
                <w:rFonts w:hint="eastAsia" w:ascii="宋体" w:hAnsi="宋体" w:eastAsia="宋体" w:cs="宋体"/>
                <w:kern w:val="0"/>
                <w:sz w:val="21"/>
                <w:szCs w:val="21"/>
                <w:lang w:val="en-US" w:eastAsia="zh-CN"/>
              </w:rPr>
              <w:t>谈判小组</w:t>
            </w:r>
            <w:r>
              <w:rPr>
                <w:rFonts w:hint="eastAsia" w:ascii="宋体" w:hAnsi="宋体" w:eastAsia="宋体" w:cs="宋体"/>
                <w:kern w:val="0"/>
                <w:sz w:val="21"/>
                <w:szCs w:val="21"/>
              </w:rPr>
              <w:t>确定</w:t>
            </w:r>
            <w:r>
              <w:rPr>
                <w:rFonts w:hint="eastAsia" w:ascii="宋体" w:hAnsi="宋体" w:eastAsia="宋体" w:cs="宋体"/>
                <w:kern w:val="0"/>
                <w:sz w:val="21"/>
                <w:szCs w:val="21"/>
                <w:lang w:val="en-US" w:eastAsia="zh-CN"/>
              </w:rPr>
              <w:t>成交</w:t>
            </w:r>
            <w:r>
              <w:rPr>
                <w:rFonts w:hint="eastAsia" w:ascii="宋体" w:hAnsi="宋体" w:eastAsia="宋体" w:cs="宋体"/>
                <w:kern w:val="0"/>
                <w:sz w:val="21"/>
                <w:szCs w:val="21"/>
              </w:rPr>
              <w:t>人</w:t>
            </w:r>
          </w:p>
        </w:tc>
        <w:tc>
          <w:tcPr>
            <w:tcW w:w="6164"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kern w:val="0"/>
                <w:sz w:val="21"/>
                <w:szCs w:val="21"/>
              </w:rPr>
              <w:t>否,推荐的</w:t>
            </w:r>
            <w:r>
              <w:rPr>
                <w:rFonts w:hint="eastAsia" w:ascii="宋体" w:hAnsi="宋体" w:eastAsia="宋体" w:cs="宋体"/>
                <w:kern w:val="0"/>
                <w:sz w:val="21"/>
                <w:szCs w:val="21"/>
                <w:lang w:val="en-US" w:eastAsia="zh-CN"/>
              </w:rPr>
              <w:t>成交</w:t>
            </w:r>
            <w:r>
              <w:rPr>
                <w:rFonts w:hint="eastAsia" w:ascii="宋体" w:hAnsi="宋体" w:eastAsia="宋体" w:cs="宋体"/>
                <w:kern w:val="0"/>
                <w:sz w:val="21"/>
                <w:szCs w:val="21"/>
              </w:rPr>
              <w:t>候选人</w:t>
            </w:r>
            <w:r>
              <w:rPr>
                <w:rFonts w:hint="eastAsia" w:ascii="宋体" w:hAnsi="宋体" w:eastAsia="宋体" w:cs="宋体"/>
                <w:kern w:val="0"/>
                <w:sz w:val="21"/>
                <w:szCs w:val="21"/>
                <w:lang w:val="en-US" w:eastAsia="zh-CN"/>
              </w:rPr>
              <w:t>数</w:t>
            </w:r>
            <w:r>
              <w:rPr>
                <w:rFonts w:hint="eastAsia" w:ascii="宋体" w:hAnsi="宋体" w:eastAsia="宋体" w:cs="宋体"/>
                <w:kern w:val="0"/>
                <w:sz w:val="21"/>
                <w:szCs w:val="21"/>
              </w:rPr>
              <w:t>：1-3名</w:t>
            </w:r>
            <w:r>
              <w:rPr>
                <w:rFonts w:hint="eastAsia" w:ascii="宋体" w:hAnsi="宋体" w:eastAsia="宋体" w:cs="宋体"/>
                <w:kern w:val="0"/>
                <w:sz w:val="21"/>
                <w:szCs w:val="21"/>
                <w:lang w:eastAsia="zh-CN"/>
              </w:rPr>
              <w:t>。</w:t>
            </w:r>
          </w:p>
        </w:tc>
      </w:tr>
      <w:tr>
        <w:tblPrEx>
          <w:tblCellMar>
            <w:top w:w="0" w:type="dxa"/>
            <w:left w:w="108" w:type="dxa"/>
            <w:bottom w:w="0" w:type="dxa"/>
            <w:right w:w="108" w:type="dxa"/>
          </w:tblCellMar>
        </w:tblPrEx>
        <w:trPr>
          <w:trHeight w:val="645" w:hRule="atLeast"/>
        </w:trPr>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7.4.1</w:t>
            </w:r>
          </w:p>
        </w:tc>
        <w:tc>
          <w:tcPr>
            <w:tcW w:w="20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签订合同</w:t>
            </w:r>
          </w:p>
        </w:tc>
        <w:tc>
          <w:tcPr>
            <w:tcW w:w="6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成交人应在《成交通知书》发出后</w:t>
            </w:r>
            <w:r>
              <w:rPr>
                <w:rFonts w:hint="eastAsia" w:ascii="宋体" w:hAnsi="宋体" w:cs="宋体"/>
                <w:sz w:val="21"/>
                <w:szCs w:val="21"/>
                <w:u w:val="single"/>
                <w:lang w:val="en-US" w:eastAsia="zh-CN"/>
              </w:rPr>
              <w:t>7</w:t>
            </w:r>
            <w:r>
              <w:rPr>
                <w:rFonts w:hint="eastAsia" w:ascii="宋体" w:hAnsi="宋体" w:eastAsia="宋体" w:cs="宋体"/>
                <w:sz w:val="21"/>
                <w:szCs w:val="21"/>
              </w:rPr>
              <w:t>日内，根据谈判文件和成交人的谈判响应文件与招标人签订合同。</w:t>
            </w:r>
          </w:p>
        </w:tc>
      </w:tr>
      <w:tr>
        <w:tblPrEx>
          <w:tblCellMar>
            <w:top w:w="0" w:type="dxa"/>
            <w:left w:w="108" w:type="dxa"/>
            <w:bottom w:w="0" w:type="dxa"/>
            <w:right w:w="108" w:type="dxa"/>
          </w:tblCellMar>
        </w:tblPrEx>
        <w:trPr>
          <w:trHeight w:val="708" w:hRule="atLeast"/>
        </w:trPr>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8</w:t>
            </w:r>
          </w:p>
        </w:tc>
        <w:tc>
          <w:tcPr>
            <w:tcW w:w="81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 xml:space="preserve">质疑和投诉 </w:t>
            </w:r>
          </w:p>
        </w:tc>
      </w:tr>
      <w:tr>
        <w:tblPrEx>
          <w:tblCellMar>
            <w:top w:w="0" w:type="dxa"/>
            <w:left w:w="108" w:type="dxa"/>
            <w:bottom w:w="0" w:type="dxa"/>
            <w:right w:w="108" w:type="dxa"/>
          </w:tblCellMar>
        </w:tblPrEx>
        <w:trPr>
          <w:trHeight w:val="622" w:hRule="atLeast"/>
        </w:trPr>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8.5</w:t>
            </w:r>
          </w:p>
        </w:tc>
        <w:tc>
          <w:tcPr>
            <w:tcW w:w="81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b/>
                <w:sz w:val="21"/>
                <w:szCs w:val="21"/>
              </w:rPr>
            </w:pPr>
            <w:r>
              <w:rPr>
                <w:rFonts w:hint="eastAsia" w:ascii="宋体" w:hAnsi="宋体" w:eastAsia="宋体" w:cs="宋体"/>
                <w:sz w:val="21"/>
                <w:szCs w:val="21"/>
              </w:rPr>
              <w:t>竞标人认为谈判采购过程和成交结果使自己的权益受到损害的，可以在知道或者应知其权益受到损害之日起七个工作日内，以书面形式向招标人提出质疑。</w:t>
            </w:r>
          </w:p>
        </w:tc>
      </w:tr>
      <w:tr>
        <w:tblPrEx>
          <w:tblCellMar>
            <w:top w:w="0" w:type="dxa"/>
            <w:left w:w="108" w:type="dxa"/>
            <w:bottom w:w="0" w:type="dxa"/>
            <w:right w:w="108" w:type="dxa"/>
          </w:tblCellMar>
        </w:tblPrEx>
        <w:trPr>
          <w:trHeight w:val="427" w:hRule="atLeast"/>
        </w:trPr>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9</w:t>
            </w:r>
          </w:p>
        </w:tc>
        <w:tc>
          <w:tcPr>
            <w:tcW w:w="81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ind w:firstLine="422" w:firstLineChars="200"/>
              <w:jc w:val="center"/>
              <w:textAlignment w:val="auto"/>
              <w:rPr>
                <w:rFonts w:hint="eastAsia" w:ascii="宋体" w:hAnsi="宋体" w:eastAsia="宋体" w:cs="宋体"/>
                <w:color w:val="000000"/>
                <w:sz w:val="21"/>
                <w:szCs w:val="21"/>
              </w:rPr>
            </w:pPr>
            <w:r>
              <w:rPr>
                <w:rFonts w:hint="eastAsia" w:ascii="宋体" w:hAnsi="宋体" w:eastAsia="宋体" w:cs="宋体"/>
                <w:b/>
                <w:sz w:val="21"/>
                <w:szCs w:val="21"/>
              </w:rPr>
              <w:t>需要补充的其他内容</w:t>
            </w:r>
          </w:p>
        </w:tc>
      </w:tr>
      <w:tr>
        <w:tblPrEx>
          <w:tblCellMar>
            <w:top w:w="0" w:type="dxa"/>
            <w:left w:w="108" w:type="dxa"/>
            <w:bottom w:w="0" w:type="dxa"/>
            <w:right w:w="108" w:type="dxa"/>
          </w:tblCellMar>
        </w:tblPrEx>
        <w:trPr>
          <w:trHeight w:val="396" w:hRule="atLeast"/>
        </w:trPr>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9.1</w:t>
            </w:r>
          </w:p>
        </w:tc>
        <w:tc>
          <w:tcPr>
            <w:tcW w:w="20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付款方式</w:t>
            </w:r>
          </w:p>
        </w:tc>
        <w:tc>
          <w:tcPr>
            <w:tcW w:w="6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合同签订时与招标人另行约定。</w:t>
            </w:r>
          </w:p>
        </w:tc>
      </w:tr>
      <w:tr>
        <w:tblPrEx>
          <w:tblCellMar>
            <w:top w:w="0" w:type="dxa"/>
            <w:left w:w="108" w:type="dxa"/>
            <w:bottom w:w="0" w:type="dxa"/>
            <w:right w:w="108" w:type="dxa"/>
          </w:tblCellMar>
        </w:tblPrEx>
        <w:trPr>
          <w:trHeight w:val="343" w:hRule="atLeast"/>
        </w:trPr>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9.2</w:t>
            </w:r>
          </w:p>
        </w:tc>
        <w:tc>
          <w:tcPr>
            <w:tcW w:w="20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rPr>
              <w:t>履约保证金</w:t>
            </w:r>
          </w:p>
        </w:tc>
        <w:tc>
          <w:tcPr>
            <w:tcW w:w="6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kern w:val="0"/>
                <w:sz w:val="21"/>
                <w:szCs w:val="21"/>
              </w:rPr>
              <w:t>无</w:t>
            </w:r>
          </w:p>
        </w:tc>
      </w:tr>
      <w:tr>
        <w:tblPrEx>
          <w:tblCellMar>
            <w:top w:w="0" w:type="dxa"/>
            <w:left w:w="108" w:type="dxa"/>
            <w:bottom w:w="0" w:type="dxa"/>
            <w:right w:w="108" w:type="dxa"/>
          </w:tblCellMar>
        </w:tblPrEx>
        <w:trPr>
          <w:trHeight w:val="317" w:hRule="atLeast"/>
        </w:trPr>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9.</w:t>
            </w:r>
            <w:r>
              <w:rPr>
                <w:rFonts w:hint="eastAsia" w:ascii="宋体" w:hAnsi="宋体" w:cs="宋体"/>
                <w:sz w:val="21"/>
                <w:szCs w:val="21"/>
                <w:lang w:val="en-US" w:eastAsia="zh-CN"/>
              </w:rPr>
              <w:t>3</w:t>
            </w:r>
          </w:p>
        </w:tc>
        <w:tc>
          <w:tcPr>
            <w:tcW w:w="20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成交服务费</w:t>
            </w:r>
          </w:p>
        </w:tc>
        <w:tc>
          <w:tcPr>
            <w:tcW w:w="6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按照实际成交价的1.0%收取代理服务费，该代理服务费由成交人在领取成交通知书前以现金或转账的方式向代理机构一次性缴纳。</w:t>
            </w:r>
          </w:p>
        </w:tc>
      </w:tr>
      <w:tr>
        <w:tblPrEx>
          <w:tblCellMar>
            <w:top w:w="0" w:type="dxa"/>
            <w:left w:w="108" w:type="dxa"/>
            <w:bottom w:w="0" w:type="dxa"/>
            <w:right w:w="108" w:type="dxa"/>
          </w:tblCellMar>
        </w:tblPrEx>
        <w:trPr>
          <w:trHeight w:val="1975" w:hRule="atLeast"/>
        </w:trPr>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9.4</w:t>
            </w:r>
          </w:p>
        </w:tc>
        <w:tc>
          <w:tcPr>
            <w:tcW w:w="20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解释权</w:t>
            </w:r>
          </w:p>
        </w:tc>
        <w:tc>
          <w:tcPr>
            <w:tcW w:w="6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构成本谈判文件的各个组成部分应互为解释、互为说明，如有不明确或不一致，除谈判文件中有特别规定外，优先解释顺序如下：按谈判公告、竞标人须知、采购内容及商务技术要求、谈判响应文件格式的先后顺序解释；同一组成部分中就同一事项的规定或约定不一致的，以编排顺序在后者为准；同一组成部分不同版本之间有不一致的，以形成时间在后者为准。按本款前述规定仍不能形成结论的，由招标人或采购代理机构负责解释。</w:t>
            </w:r>
          </w:p>
        </w:tc>
      </w:tr>
    </w:tbl>
    <w:p>
      <w:pPr>
        <w:pStyle w:val="9"/>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eastAsia="宋体"/>
          <w:sz w:val="21"/>
          <w:szCs w:val="21"/>
        </w:rPr>
      </w:pPr>
      <w:bookmarkStart w:id="60" w:name="_Toc338840481"/>
      <w:bookmarkStart w:id="61" w:name="_Toc524537170"/>
      <w:bookmarkStart w:id="62" w:name="_Toc246996175"/>
      <w:bookmarkStart w:id="63" w:name="_Toc340235286"/>
      <w:bookmarkStart w:id="64" w:name="_Toc338840618"/>
      <w:bookmarkStart w:id="65" w:name="_Toc246996918"/>
      <w:bookmarkStart w:id="66" w:name="_Toc152042305"/>
      <w:bookmarkStart w:id="67" w:name="_Toc152045529"/>
      <w:bookmarkStart w:id="68" w:name="_Toc12276"/>
      <w:bookmarkStart w:id="69" w:name="_Toc338840187"/>
      <w:bookmarkStart w:id="70" w:name="_Toc2673"/>
      <w:bookmarkStart w:id="71" w:name="_Toc247085689"/>
      <w:bookmarkStart w:id="72" w:name="_Toc144974497"/>
      <w:bookmarkStart w:id="73" w:name="_Toc19234"/>
      <w:bookmarkStart w:id="74" w:name="_Toc179632546"/>
      <w:bookmarkStart w:id="75" w:name="_Toc338840442"/>
      <w:bookmarkStart w:id="76" w:name="_Toc349310372"/>
      <w:r>
        <w:rPr>
          <w:rFonts w:hint="eastAsia" w:ascii="宋体" w:hAnsi="宋体" w:eastAsia="宋体"/>
          <w:sz w:val="21"/>
          <w:szCs w:val="21"/>
        </w:rPr>
        <w:t>1. 总则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sz w:val="21"/>
          <w:szCs w:val="21"/>
        </w:rPr>
      </w:pPr>
      <w:bookmarkStart w:id="77" w:name="_Toc246996919"/>
      <w:bookmarkStart w:id="78" w:name="_Toc247085690"/>
      <w:bookmarkStart w:id="79" w:name="_Toc338840188"/>
      <w:bookmarkStart w:id="80" w:name="_Toc246996176"/>
      <w:bookmarkStart w:id="81" w:name="_Toc152042306"/>
      <w:bookmarkStart w:id="82" w:name="_Toc144974498"/>
      <w:bookmarkStart w:id="83" w:name="_Toc152045530"/>
      <w:bookmarkStart w:id="84" w:name="_Toc179632547"/>
      <w:r>
        <w:rPr>
          <w:rFonts w:hint="eastAsia" w:ascii="宋体" w:hAnsi="宋体"/>
          <w:sz w:val="21"/>
          <w:szCs w:val="21"/>
        </w:rPr>
        <w:t>1.1 项目概况</w:t>
      </w:r>
      <w:bookmarkEnd w:id="77"/>
      <w:bookmarkEnd w:id="78"/>
      <w:bookmarkEnd w:id="79"/>
      <w:bookmarkEnd w:id="80"/>
      <w:bookmarkEnd w:id="81"/>
      <w:bookmarkEnd w:id="82"/>
      <w:bookmarkEnd w:id="83"/>
      <w:bookmarkEnd w:id="84"/>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1.1.1根据</w:t>
      </w:r>
      <w:r>
        <w:rPr>
          <w:rFonts w:hint="eastAsia" w:ascii="宋体" w:hAnsi="宋体"/>
          <w:szCs w:val="21"/>
          <w:lang w:eastAsia="zh-CN"/>
        </w:rPr>
        <w:t>《</w:t>
      </w:r>
      <w:r>
        <w:rPr>
          <w:rFonts w:hint="eastAsia" w:ascii="宋体" w:hAnsi="宋体"/>
          <w:szCs w:val="21"/>
        </w:rPr>
        <w:t>中华人民共和国</w:t>
      </w:r>
      <w:r>
        <w:rPr>
          <w:rFonts w:hint="eastAsia" w:ascii="宋体" w:hAnsi="宋体"/>
          <w:szCs w:val="21"/>
          <w:lang w:val="en-US" w:eastAsia="zh-CN"/>
        </w:rPr>
        <w:t>政府采购法</w:t>
      </w:r>
      <w:r>
        <w:rPr>
          <w:rFonts w:hint="eastAsia" w:ascii="宋体" w:hAnsi="宋体"/>
          <w:szCs w:val="21"/>
          <w:lang w:eastAsia="zh-CN"/>
        </w:rPr>
        <w:t>》</w:t>
      </w:r>
      <w:r>
        <w:rPr>
          <w:rFonts w:hint="eastAsia" w:ascii="宋体" w:hAnsi="宋体"/>
          <w:szCs w:val="21"/>
        </w:rPr>
        <w:t>等有关法律、法规和规章的规定，本招标项目已具备谈判条件，现对本项目进行谈判。</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1.1.2 本招标项目招标人：见竞标人须知前附表。</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1.1.3 本招标项目代理机构：见竞标人须知前附表。</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1.1.4 本招标项目名称：见竞标人须知前附表。</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1.1.5 本招标项目</w:t>
      </w:r>
      <w:r>
        <w:rPr>
          <w:rFonts w:ascii="宋体" w:hAnsi="宋体"/>
          <w:szCs w:val="21"/>
        </w:rPr>
        <w:t>地点</w:t>
      </w:r>
      <w:r>
        <w:rPr>
          <w:rFonts w:hint="eastAsia" w:ascii="宋体" w:hAnsi="宋体"/>
          <w:szCs w:val="21"/>
        </w:rPr>
        <w:t>：见竞标人须知前附表。</w:t>
      </w:r>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sz w:val="21"/>
          <w:szCs w:val="21"/>
        </w:rPr>
      </w:pPr>
      <w:bookmarkStart w:id="85" w:name="_Toc152045531"/>
      <w:bookmarkStart w:id="86" w:name="_Toc152042307"/>
      <w:bookmarkStart w:id="87" w:name="_Toc247085691"/>
      <w:bookmarkStart w:id="88" w:name="_Toc144974499"/>
      <w:bookmarkStart w:id="89" w:name="_Toc179632548"/>
      <w:bookmarkStart w:id="90" w:name="_Toc246996920"/>
      <w:bookmarkStart w:id="91" w:name="_Toc338840189"/>
      <w:bookmarkStart w:id="92" w:name="_Toc246996177"/>
      <w:r>
        <w:rPr>
          <w:rFonts w:hint="eastAsia" w:ascii="宋体" w:hAnsi="宋体"/>
          <w:sz w:val="21"/>
          <w:szCs w:val="21"/>
        </w:rPr>
        <w:t>1.2 资金来源和落实情况</w:t>
      </w:r>
      <w:bookmarkEnd w:id="85"/>
      <w:bookmarkEnd w:id="86"/>
      <w:bookmarkEnd w:id="87"/>
      <w:bookmarkEnd w:id="88"/>
      <w:bookmarkEnd w:id="89"/>
      <w:bookmarkEnd w:id="90"/>
      <w:bookmarkEnd w:id="91"/>
      <w:bookmarkEnd w:id="92"/>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1.2.1 本招标项目的资金来源：见竞标人须知前附表。</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1.2.2 本招标项目的资金落实情况：见竞标人须知前附表。</w:t>
      </w:r>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sz w:val="21"/>
          <w:szCs w:val="21"/>
        </w:rPr>
      </w:pPr>
      <w:bookmarkStart w:id="93" w:name="_Toc246996921"/>
      <w:bookmarkStart w:id="94" w:name="_Toc246996178"/>
      <w:bookmarkStart w:id="95" w:name="_Toc152045532"/>
      <w:bookmarkStart w:id="96" w:name="_Toc152042308"/>
      <w:bookmarkStart w:id="97" w:name="_Toc179632549"/>
      <w:bookmarkStart w:id="98" w:name="_Toc338840190"/>
      <w:bookmarkStart w:id="99" w:name="_Toc247085692"/>
      <w:bookmarkStart w:id="100" w:name="_Toc144974500"/>
      <w:r>
        <w:rPr>
          <w:rFonts w:hint="eastAsia" w:ascii="宋体" w:hAnsi="宋体"/>
          <w:sz w:val="21"/>
          <w:szCs w:val="21"/>
        </w:rPr>
        <w:t>1.3 谈判范围、工期、质量要求</w:t>
      </w:r>
      <w:bookmarkEnd w:id="93"/>
      <w:bookmarkEnd w:id="94"/>
      <w:bookmarkEnd w:id="95"/>
      <w:bookmarkEnd w:id="96"/>
      <w:bookmarkEnd w:id="97"/>
      <w:bookmarkEnd w:id="98"/>
      <w:bookmarkEnd w:id="99"/>
      <w:bookmarkEnd w:id="100"/>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1.3.1 本次谈判范围：见竞标人须知前附表。</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1.3.2 本招标项目的工期：见竞标人须知前附表。</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1.3.3 本招标项目的质量要求：见竞标人须知前附表。</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1.3.4</w:t>
      </w:r>
      <w:r>
        <w:rPr>
          <w:rFonts w:hint="eastAsia" w:ascii="宋体" w:hAnsi="宋体"/>
          <w:szCs w:val="21"/>
          <w:lang w:val="en-US" w:eastAsia="zh-CN"/>
        </w:rPr>
        <w:t xml:space="preserve"> </w:t>
      </w:r>
      <w:r>
        <w:rPr>
          <w:rFonts w:hint="eastAsia" w:ascii="宋体" w:hAnsi="宋体"/>
          <w:szCs w:val="21"/>
        </w:rPr>
        <w:t>本招标项目的保修期：见竞标人须知前附表。</w:t>
      </w:r>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sz w:val="21"/>
          <w:szCs w:val="21"/>
        </w:rPr>
      </w:pPr>
      <w:bookmarkStart w:id="101" w:name="_Toc144974502"/>
      <w:bookmarkStart w:id="102" w:name="_Toc152042310"/>
      <w:bookmarkStart w:id="103" w:name="_Toc152045534"/>
      <w:bookmarkStart w:id="104" w:name="_Toc338840191"/>
      <w:bookmarkStart w:id="105" w:name="_Toc179632551"/>
      <w:bookmarkStart w:id="106" w:name="_Toc246996179"/>
      <w:bookmarkStart w:id="107" w:name="_Toc246996922"/>
      <w:bookmarkStart w:id="108" w:name="_Toc247085693"/>
      <w:r>
        <w:rPr>
          <w:rFonts w:hint="eastAsia" w:ascii="宋体" w:hAnsi="宋体"/>
          <w:sz w:val="21"/>
          <w:szCs w:val="21"/>
        </w:rPr>
        <w:t>1.4 竞标人资格要求</w:t>
      </w:r>
      <w:bookmarkEnd w:id="101"/>
      <w:bookmarkEnd w:id="102"/>
      <w:bookmarkEnd w:id="103"/>
      <w:bookmarkEnd w:id="104"/>
      <w:bookmarkEnd w:id="105"/>
      <w:bookmarkEnd w:id="106"/>
      <w:bookmarkEnd w:id="107"/>
      <w:bookmarkEnd w:id="108"/>
    </w:p>
    <w:p>
      <w:pPr>
        <w:pageBreakBefore w:val="0"/>
        <w:widowControl w:val="0"/>
        <w:kinsoku/>
        <w:wordWrap/>
        <w:overflowPunct/>
        <w:topLinePunct w:val="0"/>
        <w:autoSpaceDE/>
        <w:autoSpaceDN/>
        <w:bidi w:val="0"/>
        <w:adjustRightInd w:val="0"/>
        <w:snapToGrid w:val="0"/>
        <w:spacing w:line="360" w:lineRule="auto"/>
        <w:ind w:firstLine="359" w:firstLineChars="171"/>
        <w:textAlignment w:val="auto"/>
        <w:rPr>
          <w:rFonts w:ascii="宋体" w:hAnsi="宋体"/>
          <w:szCs w:val="21"/>
        </w:rPr>
      </w:pPr>
      <w:r>
        <w:rPr>
          <w:rFonts w:hint="eastAsia" w:ascii="宋体" w:hAnsi="宋体"/>
          <w:szCs w:val="21"/>
        </w:rPr>
        <w:t>1.4.1 竞标人应具备承担本项目的资格条件。见竞标人须知前附表；</w:t>
      </w:r>
    </w:p>
    <w:p>
      <w:pPr>
        <w:pageBreakBefore w:val="0"/>
        <w:widowControl w:val="0"/>
        <w:kinsoku/>
        <w:wordWrap/>
        <w:overflowPunct/>
        <w:topLinePunct w:val="0"/>
        <w:autoSpaceDE/>
        <w:autoSpaceDN/>
        <w:bidi w:val="0"/>
        <w:adjustRightInd w:val="0"/>
        <w:snapToGrid w:val="0"/>
        <w:spacing w:line="360" w:lineRule="auto"/>
        <w:ind w:firstLine="359" w:firstLineChars="171"/>
        <w:textAlignment w:val="auto"/>
        <w:rPr>
          <w:rFonts w:ascii="宋体" w:hAnsi="宋体"/>
          <w:szCs w:val="21"/>
        </w:rPr>
      </w:pPr>
      <w:r>
        <w:rPr>
          <w:rFonts w:hint="eastAsia" w:ascii="宋体" w:hAnsi="宋体"/>
          <w:szCs w:val="21"/>
        </w:rPr>
        <w:t>1.4.2 竞标人不得存在下列情形之一：</w:t>
      </w:r>
    </w:p>
    <w:p>
      <w:pPr>
        <w:pageBreakBefore w:val="0"/>
        <w:widowControl w:val="0"/>
        <w:kinsoku/>
        <w:wordWrap/>
        <w:overflowPunct/>
        <w:topLinePunct w:val="0"/>
        <w:autoSpaceDE/>
        <w:autoSpaceDN/>
        <w:bidi w:val="0"/>
        <w:adjustRightInd w:val="0"/>
        <w:snapToGrid w:val="0"/>
        <w:spacing w:line="360" w:lineRule="auto"/>
        <w:ind w:firstLine="359" w:firstLineChars="171"/>
        <w:textAlignment w:val="auto"/>
        <w:rPr>
          <w:rFonts w:ascii="宋体" w:hAnsi="宋体"/>
          <w:szCs w:val="21"/>
        </w:rPr>
      </w:pPr>
      <w:r>
        <w:rPr>
          <w:rFonts w:hint="eastAsia" w:ascii="宋体" w:hAnsi="宋体"/>
          <w:szCs w:val="21"/>
        </w:rPr>
        <w:t>（1）为招标人不具有独立法人资格的附属机构（单位）；</w:t>
      </w:r>
    </w:p>
    <w:p>
      <w:pPr>
        <w:pageBreakBefore w:val="0"/>
        <w:widowControl w:val="0"/>
        <w:kinsoku/>
        <w:wordWrap/>
        <w:overflowPunct/>
        <w:topLinePunct w:val="0"/>
        <w:autoSpaceDE/>
        <w:autoSpaceDN/>
        <w:bidi w:val="0"/>
        <w:adjustRightInd w:val="0"/>
        <w:snapToGrid w:val="0"/>
        <w:spacing w:line="360" w:lineRule="auto"/>
        <w:ind w:firstLine="359" w:firstLineChars="171"/>
        <w:textAlignment w:val="auto"/>
        <w:rPr>
          <w:rFonts w:ascii="宋体" w:hAnsi="宋体"/>
          <w:szCs w:val="21"/>
        </w:rPr>
      </w:pPr>
      <w:r>
        <w:rPr>
          <w:rFonts w:hint="eastAsia" w:ascii="宋体" w:hAnsi="宋体"/>
          <w:szCs w:val="21"/>
        </w:rPr>
        <w:t xml:space="preserve">（2）为本招标项目前期准备提供专业设计或咨询服务的； </w:t>
      </w:r>
    </w:p>
    <w:p>
      <w:pPr>
        <w:pageBreakBefore w:val="0"/>
        <w:widowControl w:val="0"/>
        <w:kinsoku/>
        <w:wordWrap/>
        <w:overflowPunct/>
        <w:topLinePunct w:val="0"/>
        <w:autoSpaceDE/>
        <w:autoSpaceDN/>
        <w:bidi w:val="0"/>
        <w:adjustRightInd w:val="0"/>
        <w:snapToGrid w:val="0"/>
        <w:spacing w:line="360" w:lineRule="auto"/>
        <w:ind w:firstLine="359" w:firstLineChars="171"/>
        <w:textAlignment w:val="auto"/>
        <w:rPr>
          <w:rFonts w:ascii="宋体" w:hAnsi="宋体"/>
          <w:szCs w:val="21"/>
        </w:rPr>
      </w:pPr>
      <w:r>
        <w:rPr>
          <w:rFonts w:hint="eastAsia" w:ascii="宋体" w:hAnsi="宋体"/>
          <w:szCs w:val="21"/>
        </w:rPr>
        <w:t>（3）为本招标项目提供招标代理服务的；</w:t>
      </w:r>
    </w:p>
    <w:p>
      <w:pPr>
        <w:pageBreakBefore w:val="0"/>
        <w:widowControl w:val="0"/>
        <w:kinsoku/>
        <w:wordWrap/>
        <w:overflowPunct/>
        <w:topLinePunct w:val="0"/>
        <w:autoSpaceDE/>
        <w:autoSpaceDN/>
        <w:bidi w:val="0"/>
        <w:adjustRightInd w:val="0"/>
        <w:snapToGrid w:val="0"/>
        <w:spacing w:line="360" w:lineRule="auto"/>
        <w:ind w:firstLine="359" w:firstLineChars="171"/>
        <w:textAlignment w:val="auto"/>
        <w:rPr>
          <w:rFonts w:ascii="宋体" w:hAnsi="宋体"/>
          <w:szCs w:val="21"/>
        </w:rPr>
      </w:pPr>
      <w:r>
        <w:rPr>
          <w:rFonts w:hint="eastAsia" w:ascii="宋体" w:hAnsi="宋体"/>
          <w:szCs w:val="21"/>
        </w:rPr>
        <w:t>（4）被责令停业的；</w:t>
      </w:r>
    </w:p>
    <w:p>
      <w:pPr>
        <w:pageBreakBefore w:val="0"/>
        <w:widowControl w:val="0"/>
        <w:kinsoku/>
        <w:wordWrap/>
        <w:overflowPunct/>
        <w:topLinePunct w:val="0"/>
        <w:autoSpaceDE/>
        <w:autoSpaceDN/>
        <w:bidi w:val="0"/>
        <w:adjustRightInd w:val="0"/>
        <w:snapToGrid w:val="0"/>
        <w:spacing w:line="360" w:lineRule="auto"/>
        <w:ind w:firstLine="359" w:firstLineChars="171"/>
        <w:textAlignment w:val="auto"/>
        <w:rPr>
          <w:rFonts w:ascii="宋体" w:hAnsi="宋体"/>
          <w:szCs w:val="21"/>
        </w:rPr>
      </w:pPr>
      <w:r>
        <w:rPr>
          <w:rFonts w:hint="eastAsia" w:ascii="宋体" w:hAnsi="宋体"/>
          <w:szCs w:val="21"/>
        </w:rPr>
        <w:t>（5）被暂停或取消投标资格的；</w:t>
      </w:r>
    </w:p>
    <w:p>
      <w:pPr>
        <w:pageBreakBefore w:val="0"/>
        <w:widowControl w:val="0"/>
        <w:kinsoku/>
        <w:wordWrap/>
        <w:overflowPunct/>
        <w:topLinePunct w:val="0"/>
        <w:autoSpaceDE/>
        <w:autoSpaceDN/>
        <w:bidi w:val="0"/>
        <w:adjustRightInd w:val="0"/>
        <w:snapToGrid w:val="0"/>
        <w:spacing w:line="360" w:lineRule="auto"/>
        <w:ind w:firstLine="359" w:firstLineChars="171"/>
        <w:textAlignment w:val="auto"/>
        <w:rPr>
          <w:rFonts w:ascii="宋体" w:hAnsi="宋体"/>
          <w:szCs w:val="21"/>
        </w:rPr>
      </w:pPr>
      <w:r>
        <w:rPr>
          <w:rFonts w:hint="eastAsia" w:ascii="宋体" w:hAnsi="宋体"/>
          <w:szCs w:val="21"/>
        </w:rPr>
        <w:t>（6）财产被接管或冻结的；</w:t>
      </w:r>
    </w:p>
    <w:p>
      <w:pPr>
        <w:pageBreakBefore w:val="0"/>
        <w:widowControl w:val="0"/>
        <w:kinsoku/>
        <w:wordWrap/>
        <w:overflowPunct/>
        <w:topLinePunct w:val="0"/>
        <w:autoSpaceDE/>
        <w:autoSpaceDN/>
        <w:bidi w:val="0"/>
        <w:adjustRightInd w:val="0"/>
        <w:snapToGrid w:val="0"/>
        <w:spacing w:line="360" w:lineRule="auto"/>
        <w:ind w:firstLine="359" w:firstLineChars="171"/>
        <w:textAlignment w:val="auto"/>
        <w:rPr>
          <w:rFonts w:ascii="宋体" w:hAnsi="宋体"/>
          <w:szCs w:val="21"/>
        </w:rPr>
      </w:pPr>
      <w:r>
        <w:rPr>
          <w:rFonts w:hint="eastAsia" w:ascii="宋体" w:hAnsi="宋体"/>
          <w:szCs w:val="21"/>
        </w:rPr>
        <w:t>（7）在最近三年内有骗取成交或严重违约或重大质量问题的。</w:t>
      </w:r>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sz w:val="21"/>
          <w:szCs w:val="21"/>
        </w:rPr>
      </w:pPr>
      <w:bookmarkStart w:id="109" w:name="_Toc179632552"/>
      <w:bookmarkStart w:id="110" w:name="_Toc246996180"/>
      <w:bookmarkStart w:id="111" w:name="_Toc247085694"/>
      <w:bookmarkStart w:id="112" w:name="_Toc152045535"/>
      <w:bookmarkStart w:id="113" w:name="_Toc152042311"/>
      <w:bookmarkStart w:id="114" w:name="_Toc144974503"/>
      <w:bookmarkStart w:id="115" w:name="_Toc338840192"/>
      <w:bookmarkStart w:id="116" w:name="_Toc246996923"/>
      <w:r>
        <w:rPr>
          <w:rFonts w:hint="eastAsia" w:ascii="宋体" w:hAnsi="宋体"/>
          <w:sz w:val="21"/>
          <w:szCs w:val="21"/>
        </w:rPr>
        <w:t>1.5 费用承担</w:t>
      </w:r>
      <w:bookmarkEnd w:id="109"/>
      <w:bookmarkEnd w:id="110"/>
      <w:bookmarkEnd w:id="111"/>
      <w:bookmarkEnd w:id="112"/>
      <w:bookmarkEnd w:id="113"/>
      <w:bookmarkEnd w:id="114"/>
      <w:bookmarkEnd w:id="115"/>
      <w:bookmarkEnd w:id="116"/>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竞标人准备和参加谈判活动发生的费用自理。</w:t>
      </w:r>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sz w:val="21"/>
          <w:szCs w:val="21"/>
        </w:rPr>
      </w:pPr>
      <w:bookmarkStart w:id="117" w:name="_Toc246996924"/>
      <w:bookmarkStart w:id="118" w:name="_Toc247085695"/>
      <w:bookmarkStart w:id="119" w:name="_Toc152045536"/>
      <w:bookmarkStart w:id="120" w:name="_Toc338840193"/>
      <w:bookmarkStart w:id="121" w:name="_Toc246996181"/>
      <w:bookmarkStart w:id="122" w:name="_Toc179632553"/>
      <w:bookmarkStart w:id="123" w:name="_Toc144974504"/>
      <w:bookmarkStart w:id="124" w:name="_Toc152042312"/>
      <w:r>
        <w:rPr>
          <w:rFonts w:hint="eastAsia" w:ascii="宋体" w:hAnsi="宋体"/>
          <w:sz w:val="21"/>
          <w:szCs w:val="21"/>
        </w:rPr>
        <w:t>1.6 保密</w:t>
      </w:r>
      <w:bookmarkEnd w:id="117"/>
      <w:bookmarkEnd w:id="118"/>
      <w:bookmarkEnd w:id="119"/>
      <w:bookmarkEnd w:id="120"/>
      <w:bookmarkEnd w:id="121"/>
      <w:bookmarkEnd w:id="122"/>
      <w:bookmarkEnd w:id="123"/>
      <w:bookmarkEnd w:id="124"/>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 xml:space="preserve">参与谈判采购活动的各方应对谈判文件和谈判响应文件中的商业和技术等秘密保密，违者应对由此造成的后果承担法律责任。 </w:t>
      </w:r>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b w:val="0"/>
          <w:bCs w:val="0"/>
          <w:sz w:val="21"/>
          <w:szCs w:val="21"/>
        </w:rPr>
      </w:pPr>
      <w:bookmarkStart w:id="125" w:name="_Toc144974505"/>
      <w:bookmarkStart w:id="126" w:name="_Toc152042313"/>
      <w:bookmarkStart w:id="127" w:name="_Toc179632554"/>
      <w:bookmarkStart w:id="128" w:name="_Toc338840194"/>
      <w:bookmarkStart w:id="129" w:name="_Toc246996182"/>
      <w:bookmarkStart w:id="130" w:name="_Toc247085696"/>
      <w:bookmarkStart w:id="131" w:name="_Toc246996925"/>
      <w:bookmarkStart w:id="132" w:name="_Toc152045537"/>
      <w:r>
        <w:rPr>
          <w:rFonts w:hint="eastAsia" w:ascii="宋体" w:hAnsi="宋体"/>
          <w:sz w:val="21"/>
          <w:szCs w:val="21"/>
        </w:rPr>
        <w:t>1.7 语言</w:t>
      </w:r>
      <w:bookmarkEnd w:id="125"/>
      <w:r>
        <w:rPr>
          <w:rFonts w:hint="eastAsia" w:ascii="宋体" w:hAnsi="宋体"/>
          <w:sz w:val="21"/>
          <w:szCs w:val="21"/>
        </w:rPr>
        <w:t>文字</w:t>
      </w:r>
      <w:bookmarkEnd w:id="126"/>
      <w:bookmarkEnd w:id="127"/>
      <w:bookmarkEnd w:id="128"/>
      <w:bookmarkEnd w:id="129"/>
      <w:bookmarkEnd w:id="130"/>
      <w:bookmarkEnd w:id="131"/>
      <w:bookmarkEnd w:id="132"/>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bookmarkStart w:id="133" w:name="_Toc144974506"/>
      <w:bookmarkStart w:id="134" w:name="_Toc247085697"/>
      <w:bookmarkStart w:id="135" w:name="_Toc246996183"/>
      <w:bookmarkStart w:id="136" w:name="_Toc152042314"/>
      <w:bookmarkStart w:id="137" w:name="_Toc179632555"/>
      <w:bookmarkStart w:id="138" w:name="_Toc246996926"/>
      <w:bookmarkStart w:id="139" w:name="_Toc152045538"/>
      <w:r>
        <w:rPr>
          <w:rFonts w:hint="eastAsia" w:ascii="宋体" w:hAnsi="宋体"/>
          <w:szCs w:val="21"/>
        </w:rPr>
        <w:t>谈判响应文件使用的语言文字为中文。专用术语使用外文的，应附有中文注释。证书证件应使用中文版本，无中文版本的应附相应的中文注释。</w:t>
      </w:r>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sz w:val="21"/>
          <w:szCs w:val="21"/>
        </w:rPr>
      </w:pPr>
      <w:bookmarkStart w:id="140" w:name="_Toc338840195"/>
      <w:r>
        <w:rPr>
          <w:rFonts w:hint="eastAsia" w:ascii="宋体" w:hAnsi="宋体"/>
          <w:sz w:val="21"/>
          <w:szCs w:val="21"/>
        </w:rPr>
        <w:t>1.8 计量单位</w:t>
      </w:r>
      <w:bookmarkEnd w:id="133"/>
      <w:bookmarkEnd w:id="134"/>
      <w:bookmarkEnd w:id="135"/>
      <w:bookmarkEnd w:id="136"/>
      <w:bookmarkEnd w:id="137"/>
      <w:bookmarkEnd w:id="138"/>
      <w:bookmarkEnd w:id="139"/>
      <w:bookmarkEnd w:id="140"/>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所有计量均采用中华人民共和国法定计量单位。</w:t>
      </w:r>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sz w:val="21"/>
          <w:szCs w:val="21"/>
        </w:rPr>
      </w:pPr>
      <w:bookmarkStart w:id="141" w:name="_Toc144974507"/>
      <w:bookmarkStart w:id="142" w:name="_Toc338840196"/>
      <w:bookmarkStart w:id="143" w:name="_Toc247592876"/>
      <w:bookmarkStart w:id="144" w:name="_Toc152042315"/>
      <w:bookmarkStart w:id="145" w:name="_Toc247513962"/>
      <w:bookmarkStart w:id="146" w:name="_Toc152045539"/>
      <w:bookmarkStart w:id="147" w:name="_Toc247527563"/>
      <w:r>
        <w:rPr>
          <w:rFonts w:hint="eastAsia" w:ascii="宋体" w:hAnsi="宋体"/>
          <w:sz w:val="21"/>
          <w:szCs w:val="21"/>
        </w:rPr>
        <w:t>1.9 踏勘现场</w:t>
      </w:r>
      <w:bookmarkEnd w:id="141"/>
      <w:bookmarkEnd w:id="142"/>
      <w:bookmarkEnd w:id="143"/>
      <w:bookmarkEnd w:id="144"/>
      <w:bookmarkEnd w:id="145"/>
      <w:bookmarkEnd w:id="146"/>
      <w:bookmarkEnd w:id="147"/>
      <w:r>
        <w:rPr>
          <w:rFonts w:hint="eastAsia" w:ascii="宋体" w:hAnsi="宋体"/>
          <w:sz w:val="21"/>
          <w:szCs w:val="21"/>
        </w:rPr>
        <w:t>（不组织）</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 xml:space="preserve">1.9.1 竞标人须知前附表规定组织踏勘现场的，招标人按竞标人须知前附表规定的时间、地点组织竞标人踏勘项目现场。 </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1.9.2 竞标人踏勘现场发生的费用自理。</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1.9.3 除招标人的原因外，竞标人自行负责在踏勘现场中所发生的一切事故。</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1.9.4 招标人在踏勘现场中介绍的有关情况和相关的周边环境情况，竞标人在编制谈判响应文件时参考，招标人不对竞标人据此作出的判断和决策负责。</w:t>
      </w:r>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sz w:val="21"/>
          <w:szCs w:val="21"/>
        </w:rPr>
      </w:pPr>
      <w:bookmarkStart w:id="148" w:name="_Toc144974508"/>
      <w:bookmarkStart w:id="149" w:name="_Toc152045540"/>
      <w:bookmarkStart w:id="150" w:name="_Toc247527564"/>
      <w:bookmarkStart w:id="151" w:name="_Toc247592877"/>
      <w:bookmarkStart w:id="152" w:name="_Toc338840197"/>
      <w:bookmarkStart w:id="153" w:name="_Toc247513963"/>
      <w:bookmarkStart w:id="154" w:name="_Toc152042316"/>
      <w:r>
        <w:rPr>
          <w:rFonts w:hint="eastAsia" w:ascii="宋体" w:hAnsi="宋体"/>
          <w:sz w:val="21"/>
          <w:szCs w:val="21"/>
        </w:rPr>
        <w:t>1.10 谈判预备会</w:t>
      </w:r>
      <w:bookmarkEnd w:id="148"/>
      <w:bookmarkEnd w:id="149"/>
      <w:bookmarkEnd w:id="150"/>
      <w:bookmarkEnd w:id="151"/>
      <w:bookmarkEnd w:id="152"/>
      <w:bookmarkEnd w:id="153"/>
      <w:bookmarkEnd w:id="154"/>
      <w:r>
        <w:rPr>
          <w:rFonts w:hint="eastAsia" w:ascii="宋体" w:hAnsi="宋体"/>
          <w:sz w:val="21"/>
          <w:szCs w:val="21"/>
        </w:rPr>
        <w:t>（不适用）</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1.10.1 竞标人须知前附表规定召开谈判预备会的，招标人按竞标人须知前附表规定的时间和地点召开谈判预备会，澄清竞标人提出的问题。</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1.10.2 竞标人应在竞标人须知前附表规定的时间，以书面形式将提出的问题送达招标人，以便招标人在会议期间澄清。</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1.10.3 谈判预备会后，招标人在竞标人须知前附表规定的时间内，将对竞标人所提问题的澄清，以书面形式通知所有购买谈判文件的竞标人。该澄清内容为谈判文件的组成部分。</w:t>
      </w:r>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sz w:val="21"/>
          <w:szCs w:val="21"/>
        </w:rPr>
      </w:pPr>
      <w:bookmarkStart w:id="155" w:name="_Toc338840198"/>
      <w:r>
        <w:rPr>
          <w:rFonts w:hint="eastAsia" w:ascii="宋体" w:hAnsi="宋体"/>
          <w:sz w:val="21"/>
          <w:szCs w:val="21"/>
        </w:rPr>
        <w:t>1.11 偏离</w:t>
      </w:r>
      <w:bookmarkEnd w:id="155"/>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竞标人须知前附表允许谈判响应文件偏离谈判文件某些要求的，偏离应当符合谈判文件规定的偏离范围和幅度。</w:t>
      </w:r>
    </w:p>
    <w:p>
      <w:pPr>
        <w:pStyle w:val="9"/>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eastAsia="宋体"/>
          <w:sz w:val="21"/>
          <w:szCs w:val="21"/>
        </w:rPr>
      </w:pPr>
      <w:bookmarkStart w:id="156" w:name="_Toc152045542"/>
      <w:bookmarkStart w:id="157" w:name="_Toc247085701"/>
      <w:bookmarkStart w:id="158" w:name="_Toc338840199"/>
      <w:bookmarkStart w:id="159" w:name="_Toc144974510"/>
      <w:bookmarkStart w:id="160" w:name="_Toc2246"/>
      <w:bookmarkStart w:id="161" w:name="_Toc338840619"/>
      <w:bookmarkStart w:id="162" w:name="_Toc338840482"/>
      <w:bookmarkStart w:id="163" w:name="_Toc22810"/>
      <w:bookmarkStart w:id="164" w:name="_Toc152042318"/>
      <w:bookmarkStart w:id="165" w:name="_Toc15621"/>
      <w:bookmarkStart w:id="166" w:name="_Toc338840443"/>
      <w:bookmarkStart w:id="167" w:name="_Toc349310373"/>
      <w:bookmarkStart w:id="168" w:name="_Toc246996187"/>
      <w:bookmarkStart w:id="169" w:name="_Toc340235287"/>
      <w:bookmarkStart w:id="170" w:name="_Toc179632560"/>
      <w:bookmarkStart w:id="171" w:name="_Toc246996930"/>
      <w:bookmarkStart w:id="172" w:name="_Toc524537171"/>
      <w:r>
        <w:rPr>
          <w:rFonts w:hint="eastAsia" w:ascii="宋体" w:hAnsi="宋体" w:eastAsia="宋体"/>
          <w:sz w:val="21"/>
          <w:szCs w:val="21"/>
        </w:rPr>
        <w:t>2. 谈判文件</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sz w:val="21"/>
          <w:szCs w:val="21"/>
        </w:rPr>
      </w:pPr>
      <w:bookmarkStart w:id="173" w:name="_Toc246996931"/>
      <w:bookmarkStart w:id="174" w:name="_Toc152045543"/>
      <w:bookmarkStart w:id="175" w:name="_Toc246996188"/>
      <w:bookmarkStart w:id="176" w:name="_Toc152042319"/>
      <w:bookmarkStart w:id="177" w:name="_Toc338840200"/>
      <w:bookmarkStart w:id="178" w:name="_Toc247085702"/>
      <w:bookmarkStart w:id="179" w:name="_Toc144974511"/>
      <w:bookmarkStart w:id="180" w:name="_Toc179632561"/>
      <w:r>
        <w:rPr>
          <w:rFonts w:hint="eastAsia" w:ascii="宋体" w:hAnsi="宋体"/>
          <w:sz w:val="21"/>
          <w:szCs w:val="21"/>
        </w:rPr>
        <w:t>2.1 谈判文件的组成</w:t>
      </w:r>
      <w:bookmarkEnd w:id="173"/>
      <w:bookmarkEnd w:id="174"/>
      <w:bookmarkEnd w:id="175"/>
      <w:bookmarkEnd w:id="176"/>
      <w:bookmarkEnd w:id="177"/>
      <w:bookmarkEnd w:id="178"/>
      <w:bookmarkEnd w:id="179"/>
      <w:bookmarkEnd w:id="180"/>
    </w:p>
    <w:p>
      <w:pPr>
        <w:pageBreakBefore w:val="0"/>
        <w:widowControl w:val="0"/>
        <w:kinsoku/>
        <w:wordWrap/>
        <w:overflowPunct/>
        <w:topLinePunct w:val="0"/>
        <w:autoSpaceDE/>
        <w:autoSpaceDN/>
        <w:bidi w:val="0"/>
        <w:adjustRightInd w:val="0"/>
        <w:snapToGrid w:val="0"/>
        <w:spacing w:line="360" w:lineRule="auto"/>
        <w:ind w:firstLine="525" w:firstLineChars="250"/>
        <w:textAlignment w:val="auto"/>
        <w:rPr>
          <w:rFonts w:ascii="宋体" w:hAnsi="宋体"/>
          <w:szCs w:val="21"/>
        </w:rPr>
      </w:pPr>
      <w:r>
        <w:rPr>
          <w:rFonts w:hint="eastAsia" w:ascii="宋体" w:hAnsi="宋体"/>
          <w:szCs w:val="21"/>
        </w:rPr>
        <w:t>2.1.1 本谈判文件包括：</w:t>
      </w:r>
    </w:p>
    <w:p>
      <w:pPr>
        <w:pageBreakBefore w:val="0"/>
        <w:widowControl w:val="0"/>
        <w:kinsoku/>
        <w:wordWrap/>
        <w:overflowPunct/>
        <w:topLinePunct w:val="0"/>
        <w:autoSpaceDE/>
        <w:autoSpaceDN/>
        <w:bidi w:val="0"/>
        <w:adjustRightInd w:val="0"/>
        <w:snapToGrid w:val="0"/>
        <w:spacing w:line="360" w:lineRule="auto"/>
        <w:ind w:firstLine="525" w:firstLineChars="250"/>
        <w:textAlignment w:val="auto"/>
        <w:rPr>
          <w:rFonts w:ascii="宋体" w:hAnsi="宋体"/>
          <w:szCs w:val="21"/>
        </w:rPr>
      </w:pPr>
      <w:r>
        <w:rPr>
          <w:rFonts w:hint="eastAsia" w:ascii="宋体" w:hAnsi="宋体"/>
          <w:szCs w:val="21"/>
        </w:rPr>
        <w:t>详见谈判文件目录</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2.1.2 根据本章第2.2款和第2.3款对谈判文件所作的澄清、修改，构成谈判文件的组成部分。</w:t>
      </w:r>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sz w:val="21"/>
          <w:szCs w:val="21"/>
        </w:rPr>
      </w:pPr>
      <w:bookmarkStart w:id="181" w:name="_Toc246996932"/>
      <w:bookmarkStart w:id="182" w:name="_Toc144974512"/>
      <w:bookmarkStart w:id="183" w:name="_Toc338840201"/>
      <w:bookmarkStart w:id="184" w:name="_Toc246996189"/>
      <w:bookmarkStart w:id="185" w:name="_Toc152045544"/>
      <w:bookmarkStart w:id="186" w:name="_Toc247085703"/>
      <w:bookmarkStart w:id="187" w:name="_Toc179632562"/>
      <w:bookmarkStart w:id="188" w:name="_Toc152042320"/>
      <w:r>
        <w:rPr>
          <w:rFonts w:hint="eastAsia" w:ascii="宋体" w:hAnsi="宋体"/>
          <w:sz w:val="21"/>
          <w:szCs w:val="21"/>
        </w:rPr>
        <w:t>2.2 谈判文件的澄清</w:t>
      </w:r>
      <w:bookmarkEnd w:id="181"/>
      <w:bookmarkEnd w:id="182"/>
      <w:bookmarkEnd w:id="183"/>
      <w:bookmarkEnd w:id="184"/>
      <w:bookmarkEnd w:id="185"/>
      <w:bookmarkEnd w:id="186"/>
      <w:bookmarkEnd w:id="187"/>
      <w:bookmarkEnd w:id="188"/>
      <w:r>
        <w:rPr>
          <w:rFonts w:hint="eastAsia" w:ascii="宋体" w:hAnsi="宋体"/>
          <w:sz w:val="21"/>
          <w:szCs w:val="21"/>
        </w:rPr>
        <w:t xml:space="preserve"> </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2.2.1 竞标人应仔细阅读和检查谈判文件的全部内容。如发现缺页或附件不全，应及时向招标人提出，以便补齐。如有疑问，应在竞标人须知前附表规定的时间前以书面形式（包括信函、电报、传真、电子邮件等可以有形地表现所载内容的形式，下同），要求招标人对谈判文件予以澄清。</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2.2.2 谈判文件的澄清将以公告的形式在相应网站发布，但不指明澄清问题的来源。如果澄清发出的时间距竞标人须知前附表规定的谈判时间不足3天，并且不能满足竞标人在投标截止时间前完成编制谈判响应文件的时间需要影响投标的，将相应延长投标截止时间。</w:t>
      </w:r>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sz w:val="21"/>
          <w:szCs w:val="21"/>
        </w:rPr>
      </w:pPr>
      <w:bookmarkStart w:id="189" w:name="_Toc152045545"/>
      <w:bookmarkStart w:id="190" w:name="_Toc144974513"/>
      <w:bookmarkStart w:id="191" w:name="_Toc152042321"/>
      <w:bookmarkStart w:id="192" w:name="_Toc246996933"/>
      <w:bookmarkStart w:id="193" w:name="_Toc338840202"/>
      <w:bookmarkStart w:id="194" w:name="_Toc179632563"/>
      <w:bookmarkStart w:id="195" w:name="_Toc247085704"/>
      <w:bookmarkStart w:id="196" w:name="_Toc246996190"/>
      <w:r>
        <w:rPr>
          <w:rFonts w:hint="eastAsia" w:ascii="宋体" w:hAnsi="宋体"/>
          <w:sz w:val="21"/>
          <w:szCs w:val="21"/>
        </w:rPr>
        <w:t>2.3 谈判文件的修改</w:t>
      </w:r>
      <w:bookmarkEnd w:id="189"/>
      <w:bookmarkEnd w:id="190"/>
      <w:bookmarkEnd w:id="191"/>
      <w:bookmarkEnd w:id="192"/>
      <w:bookmarkEnd w:id="193"/>
      <w:bookmarkEnd w:id="194"/>
      <w:bookmarkEnd w:id="195"/>
      <w:bookmarkEnd w:id="196"/>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2.3.1招标人可以以发布变更澄清公告的形式修改谈判文件，各竞标人应及时关注网站信息。但如果修改谈判文件的时间距谈判时间较短，并且修改内容影响谈判响应文件编制的，将相应延长谈判时间。</w:t>
      </w:r>
    </w:p>
    <w:p>
      <w:pPr>
        <w:pStyle w:val="9"/>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eastAsia="宋体"/>
          <w:sz w:val="21"/>
          <w:szCs w:val="21"/>
        </w:rPr>
      </w:pPr>
      <w:bookmarkStart w:id="197" w:name="_Toc524537172"/>
      <w:bookmarkStart w:id="198" w:name="_Toc179632564"/>
      <w:bookmarkStart w:id="199" w:name="_Toc338840483"/>
      <w:bookmarkStart w:id="200" w:name="_Toc349310374"/>
      <w:bookmarkStart w:id="201" w:name="_Toc11442"/>
      <w:bookmarkStart w:id="202" w:name="_Toc1059"/>
      <w:bookmarkStart w:id="203" w:name="_Toc338840444"/>
      <w:bookmarkStart w:id="204" w:name="_Toc4241"/>
      <w:bookmarkStart w:id="205" w:name="_Toc144974514"/>
      <w:bookmarkStart w:id="206" w:name="_Toc247085705"/>
      <w:bookmarkStart w:id="207" w:name="_Toc246996191"/>
      <w:bookmarkStart w:id="208" w:name="_Toc152042322"/>
      <w:bookmarkStart w:id="209" w:name="_Toc338840203"/>
      <w:bookmarkStart w:id="210" w:name="_Toc246996934"/>
      <w:bookmarkStart w:id="211" w:name="_Toc338840620"/>
      <w:bookmarkStart w:id="212" w:name="_Toc152045546"/>
      <w:bookmarkStart w:id="213" w:name="_Toc340235288"/>
      <w:r>
        <w:rPr>
          <w:rFonts w:hint="eastAsia" w:ascii="宋体" w:hAnsi="宋体" w:eastAsia="宋体"/>
          <w:sz w:val="21"/>
          <w:szCs w:val="21"/>
        </w:rPr>
        <w:t>3. 谈判响应文件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sz w:val="21"/>
          <w:szCs w:val="21"/>
        </w:rPr>
      </w:pPr>
      <w:bookmarkStart w:id="214" w:name="_Toc179632565"/>
      <w:bookmarkStart w:id="215" w:name="_Toc144974515"/>
      <w:bookmarkStart w:id="216" w:name="_Toc338840204"/>
      <w:bookmarkStart w:id="217" w:name="_Toc246996192"/>
      <w:bookmarkStart w:id="218" w:name="_Toc152045547"/>
      <w:bookmarkStart w:id="219" w:name="_Toc152042323"/>
      <w:bookmarkStart w:id="220" w:name="_Toc246996935"/>
      <w:bookmarkStart w:id="221" w:name="_Toc247085706"/>
      <w:r>
        <w:rPr>
          <w:rFonts w:hint="eastAsia" w:ascii="宋体" w:hAnsi="宋体"/>
          <w:sz w:val="21"/>
          <w:szCs w:val="21"/>
        </w:rPr>
        <w:t>3.1 谈判响应文件的组成</w:t>
      </w:r>
      <w:bookmarkEnd w:id="214"/>
      <w:bookmarkEnd w:id="215"/>
      <w:bookmarkEnd w:id="216"/>
      <w:bookmarkEnd w:id="217"/>
      <w:bookmarkEnd w:id="218"/>
      <w:bookmarkEnd w:id="219"/>
      <w:bookmarkEnd w:id="220"/>
      <w:bookmarkEnd w:id="221"/>
    </w:p>
    <w:p>
      <w:pPr>
        <w:pageBreakBefore w:val="0"/>
        <w:widowControl w:val="0"/>
        <w:kinsoku/>
        <w:wordWrap/>
        <w:overflowPunct/>
        <w:topLinePunct w:val="0"/>
        <w:autoSpaceDE/>
        <w:autoSpaceDN/>
        <w:bidi w:val="0"/>
        <w:adjustRightInd w:val="0"/>
        <w:snapToGrid w:val="0"/>
        <w:spacing w:line="360" w:lineRule="auto"/>
        <w:textAlignment w:val="auto"/>
        <w:rPr>
          <w:rFonts w:ascii="宋体" w:hAnsi="宋体"/>
          <w:szCs w:val="21"/>
        </w:rPr>
      </w:pPr>
      <w:r>
        <w:rPr>
          <w:rFonts w:hint="eastAsia" w:ascii="宋体" w:hAnsi="宋体"/>
          <w:szCs w:val="21"/>
        </w:rPr>
        <w:t>谈判响应文件应包括下列内容：详见谈判响应文件目录</w:t>
      </w:r>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sz w:val="21"/>
          <w:szCs w:val="21"/>
        </w:rPr>
      </w:pPr>
      <w:bookmarkStart w:id="222" w:name="_Toc338840205"/>
      <w:bookmarkStart w:id="223" w:name="_Toc179632566"/>
      <w:bookmarkStart w:id="224" w:name="_Toc152042324"/>
      <w:bookmarkStart w:id="225" w:name="_Toc246996936"/>
      <w:bookmarkStart w:id="226" w:name="_Toc144974516"/>
      <w:bookmarkStart w:id="227" w:name="_Toc246996193"/>
      <w:bookmarkStart w:id="228" w:name="_Toc152045548"/>
      <w:bookmarkStart w:id="229" w:name="_Toc247085707"/>
      <w:r>
        <w:rPr>
          <w:rFonts w:hint="eastAsia" w:ascii="宋体" w:hAnsi="宋体"/>
          <w:sz w:val="21"/>
          <w:szCs w:val="21"/>
        </w:rPr>
        <w:t>3.2报价</w:t>
      </w:r>
      <w:bookmarkEnd w:id="222"/>
      <w:bookmarkEnd w:id="223"/>
      <w:bookmarkEnd w:id="224"/>
      <w:bookmarkEnd w:id="225"/>
      <w:bookmarkEnd w:id="226"/>
      <w:bookmarkEnd w:id="227"/>
      <w:bookmarkEnd w:id="228"/>
      <w:bookmarkEnd w:id="229"/>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3.2.1 报价范围：见竞标人须知前附表。</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3.2.2竞标人应在谈判响应文件中按项目要求填写报价，谈判响应文件中的报价为第一次报价，供谈判小组评审和谈判时参考，不公开，不作为成交的依据，在谈判后按规定填写的最后报价为成交的依据，在项目评审结束后公开。本项目不接受任何有选择性的报价</w:t>
      </w:r>
      <w:bookmarkStart w:id="230" w:name="_Toc152042325"/>
      <w:bookmarkStart w:id="231" w:name="_Toc144974517"/>
      <w:bookmarkStart w:id="232" w:name="_Toc179632567"/>
      <w:bookmarkStart w:id="233" w:name="_Toc152045549"/>
      <w:r>
        <w:rPr>
          <w:rFonts w:hint="eastAsia" w:ascii="宋体" w:hAnsi="宋体"/>
          <w:szCs w:val="21"/>
        </w:rPr>
        <w:t>。</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3.2.3 招标人设有最高投标限价的，最高投标限价在竞标人须知前附表中载明。</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3.2.4报价币种：除特别约定外，均采用人民币进行报价。</w:t>
      </w:r>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sz w:val="21"/>
          <w:szCs w:val="21"/>
        </w:rPr>
      </w:pPr>
      <w:bookmarkStart w:id="234" w:name="_Toc338840206"/>
      <w:bookmarkStart w:id="235" w:name="_Toc247085708"/>
      <w:bookmarkStart w:id="236" w:name="_Toc246996937"/>
      <w:bookmarkStart w:id="237" w:name="_Toc246996194"/>
      <w:r>
        <w:rPr>
          <w:rFonts w:hint="eastAsia" w:ascii="宋体" w:hAnsi="宋体"/>
          <w:sz w:val="21"/>
          <w:szCs w:val="21"/>
        </w:rPr>
        <w:t>3.3 谈判有效期</w:t>
      </w:r>
      <w:bookmarkEnd w:id="230"/>
      <w:bookmarkEnd w:id="231"/>
      <w:bookmarkEnd w:id="232"/>
      <w:bookmarkEnd w:id="233"/>
      <w:bookmarkEnd w:id="234"/>
      <w:bookmarkEnd w:id="235"/>
      <w:bookmarkEnd w:id="236"/>
      <w:bookmarkEnd w:id="237"/>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3.3.1 除竞标人须知前附表另有规定外，自谈判之日起</w:t>
      </w:r>
      <w:r>
        <w:rPr>
          <w:rFonts w:hint="eastAsia" w:ascii="宋体" w:hAnsi="宋体"/>
          <w:szCs w:val="21"/>
          <w:u w:val="single"/>
        </w:rPr>
        <w:t xml:space="preserve"> 60 </w:t>
      </w:r>
      <w:r>
        <w:rPr>
          <w:rFonts w:hint="eastAsia" w:ascii="宋体" w:hAnsi="宋体"/>
          <w:szCs w:val="21"/>
        </w:rPr>
        <w:t>日历天。</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3.3.2在谈判有效期内，竞标人撤销或修改其谈判响应文件的，应承担谈判文件和法律规定的责任。</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3.3.3出现特殊情况需要延长谈判有效期的，招标人以书面形式通知所有竞标人延长谈判有效期。竞标人同意延长的，应相应延长其投标保证金的有效期，但不得要求或被允许修改或撤销其谈判响应文件；竞标人拒绝延长的，其投标失效，但竞标人有权收回其投标保证金。</w:t>
      </w:r>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sz w:val="21"/>
          <w:szCs w:val="21"/>
        </w:rPr>
      </w:pPr>
      <w:bookmarkStart w:id="238" w:name="_Toc179632568"/>
      <w:bookmarkStart w:id="239" w:name="_Toc338840207"/>
      <w:bookmarkStart w:id="240" w:name="_Toc152042326"/>
      <w:bookmarkStart w:id="241" w:name="_Toc144974518"/>
      <w:bookmarkStart w:id="242" w:name="_Toc152045550"/>
      <w:bookmarkStart w:id="243" w:name="_Toc246996938"/>
      <w:bookmarkStart w:id="244" w:name="_Toc246996195"/>
      <w:bookmarkStart w:id="245" w:name="_Toc247085709"/>
      <w:r>
        <w:rPr>
          <w:rFonts w:hint="eastAsia" w:ascii="宋体" w:hAnsi="宋体"/>
          <w:sz w:val="21"/>
          <w:szCs w:val="21"/>
        </w:rPr>
        <w:t>3.4 投标保证金</w:t>
      </w:r>
      <w:bookmarkEnd w:id="238"/>
      <w:bookmarkEnd w:id="239"/>
      <w:bookmarkEnd w:id="240"/>
      <w:bookmarkEnd w:id="241"/>
      <w:bookmarkEnd w:id="242"/>
      <w:bookmarkEnd w:id="243"/>
      <w:bookmarkEnd w:id="244"/>
      <w:bookmarkEnd w:id="245"/>
      <w:r>
        <w:rPr>
          <w:rFonts w:hint="eastAsia" w:ascii="宋体" w:hAnsi="宋体"/>
          <w:sz w:val="21"/>
          <w:szCs w:val="21"/>
        </w:rPr>
        <w:t>（不收取）</w:t>
      </w:r>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sz w:val="21"/>
          <w:szCs w:val="21"/>
        </w:rPr>
      </w:pPr>
      <w:bookmarkStart w:id="246" w:name="_Toc144974520"/>
      <w:bookmarkStart w:id="247" w:name="_Toc246996939"/>
      <w:bookmarkStart w:id="248" w:name="_Toc247085710"/>
      <w:bookmarkStart w:id="249" w:name="_Toc246996196"/>
      <w:bookmarkStart w:id="250" w:name="_Toc152042328"/>
      <w:bookmarkStart w:id="251" w:name="_Toc152045552"/>
      <w:bookmarkStart w:id="252" w:name="_Toc338840208"/>
      <w:bookmarkStart w:id="253" w:name="_Toc179632570"/>
      <w:r>
        <w:rPr>
          <w:rFonts w:hint="eastAsia" w:ascii="宋体" w:hAnsi="宋体"/>
          <w:sz w:val="21"/>
          <w:szCs w:val="21"/>
        </w:rPr>
        <w:t>3.5 资格审查资料</w:t>
      </w:r>
      <w:bookmarkEnd w:id="246"/>
      <w:bookmarkEnd w:id="247"/>
      <w:bookmarkEnd w:id="248"/>
      <w:bookmarkEnd w:id="249"/>
      <w:bookmarkEnd w:id="250"/>
      <w:bookmarkEnd w:id="251"/>
      <w:bookmarkEnd w:id="252"/>
      <w:bookmarkEnd w:id="253"/>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3.5.1 资格要求：见竞标人须知前附表中的‘竞标人资格要求’。</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竞标人须知前附表中要求的竞标人资格审查材料应将复印件附到谈判响应文件中。</w:t>
      </w:r>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sz w:val="21"/>
          <w:szCs w:val="21"/>
        </w:rPr>
      </w:pPr>
      <w:bookmarkStart w:id="254" w:name="_Toc338840209"/>
      <w:bookmarkStart w:id="255" w:name="_Toc152045553"/>
      <w:bookmarkStart w:id="256" w:name="_Toc144974521"/>
      <w:bookmarkStart w:id="257" w:name="_Toc152042329"/>
      <w:bookmarkStart w:id="258" w:name="_Toc179632571"/>
      <w:bookmarkStart w:id="259" w:name="_Toc247085711"/>
      <w:bookmarkStart w:id="260" w:name="_Toc246996197"/>
      <w:bookmarkStart w:id="261" w:name="_Toc246996940"/>
      <w:r>
        <w:rPr>
          <w:rFonts w:hint="eastAsia" w:ascii="宋体" w:hAnsi="宋体"/>
          <w:sz w:val="21"/>
          <w:szCs w:val="21"/>
        </w:rPr>
        <w:t>3.6谈判响应文件的编制</w:t>
      </w:r>
      <w:bookmarkEnd w:id="254"/>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3.6.1谈判响应文件应按“谈判响应文件格式”进行编写，如有必要，可以增加附页，作为谈判响应文件的组成部分。在满足谈判文件实质性要求的基础上，可以提出比谈判文件要求更有利于招标人的承诺。</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3.6.2 谈判响应文件应当对谈判文件有关工期、谈判有效期、质量要求、谈判范围等实质性内容作出响应。</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3.6.3谈判响应文件中签字盖章应符合谈判文件要求并按谈判响应文件格式签字、盖章。</w:t>
      </w:r>
    </w:p>
    <w:bookmarkEnd w:id="255"/>
    <w:bookmarkEnd w:id="256"/>
    <w:bookmarkEnd w:id="257"/>
    <w:bookmarkEnd w:id="258"/>
    <w:bookmarkEnd w:id="259"/>
    <w:bookmarkEnd w:id="260"/>
    <w:bookmarkEnd w:id="261"/>
    <w:p>
      <w:pPr>
        <w:pStyle w:val="9"/>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eastAsia="宋体"/>
          <w:sz w:val="21"/>
          <w:szCs w:val="21"/>
        </w:rPr>
      </w:pPr>
      <w:bookmarkStart w:id="262" w:name="_Toc144974523"/>
      <w:bookmarkStart w:id="263" w:name="_Toc152045555"/>
      <w:bookmarkStart w:id="264" w:name="_Toc247085713"/>
      <w:bookmarkStart w:id="265" w:name="_Toc338840484"/>
      <w:bookmarkStart w:id="266" w:name="_Toc338840210"/>
      <w:bookmarkStart w:id="267" w:name="_Toc152042331"/>
      <w:bookmarkStart w:id="268" w:name="_Toc246996942"/>
      <w:bookmarkStart w:id="269" w:name="_Toc338840621"/>
      <w:bookmarkStart w:id="270" w:name="_Toc246996199"/>
      <w:bookmarkStart w:id="271" w:name="_Toc179632573"/>
      <w:bookmarkStart w:id="272" w:name="_Toc338840445"/>
      <w:bookmarkStart w:id="273" w:name="_Toc3210"/>
      <w:bookmarkStart w:id="274" w:name="_Toc30686"/>
      <w:bookmarkStart w:id="275" w:name="_Toc340235289"/>
      <w:bookmarkStart w:id="276" w:name="_Toc524537173"/>
      <w:bookmarkStart w:id="277" w:name="_Toc19070"/>
      <w:bookmarkStart w:id="278" w:name="_Toc349310375"/>
      <w:r>
        <w:rPr>
          <w:rFonts w:hint="eastAsia" w:ascii="宋体" w:hAnsi="宋体" w:eastAsia="宋体"/>
          <w:sz w:val="21"/>
          <w:szCs w:val="21"/>
        </w:rPr>
        <w:t xml:space="preserve">4. </w:t>
      </w:r>
      <w:bookmarkEnd w:id="262"/>
      <w:bookmarkEnd w:id="263"/>
      <w:bookmarkEnd w:id="264"/>
      <w:bookmarkEnd w:id="265"/>
      <w:bookmarkEnd w:id="266"/>
      <w:bookmarkEnd w:id="267"/>
      <w:bookmarkEnd w:id="268"/>
      <w:bookmarkEnd w:id="269"/>
      <w:bookmarkEnd w:id="270"/>
      <w:bookmarkEnd w:id="271"/>
      <w:bookmarkEnd w:id="272"/>
      <w:r>
        <w:rPr>
          <w:rFonts w:hint="eastAsia" w:ascii="宋体" w:hAnsi="宋体" w:eastAsia="宋体"/>
          <w:sz w:val="21"/>
          <w:szCs w:val="21"/>
        </w:rPr>
        <w:t>谈判响应文件的递交、修改与撤回</w:t>
      </w:r>
      <w:bookmarkEnd w:id="273"/>
      <w:bookmarkEnd w:id="274"/>
      <w:bookmarkEnd w:id="275"/>
      <w:bookmarkEnd w:id="276"/>
      <w:bookmarkEnd w:id="277"/>
      <w:bookmarkEnd w:id="278"/>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sz w:val="21"/>
          <w:szCs w:val="21"/>
        </w:rPr>
      </w:pPr>
      <w:bookmarkStart w:id="279" w:name="_Toc338840212"/>
      <w:bookmarkStart w:id="280" w:name="_Toc179632575"/>
      <w:bookmarkStart w:id="281" w:name="_Toc247085715"/>
      <w:bookmarkStart w:id="282" w:name="_Toc152042333"/>
      <w:bookmarkStart w:id="283" w:name="_Toc246996201"/>
      <w:bookmarkStart w:id="284" w:name="_Toc246996944"/>
      <w:bookmarkStart w:id="285" w:name="_Toc152045557"/>
      <w:bookmarkStart w:id="286" w:name="_Toc144974525"/>
      <w:r>
        <w:rPr>
          <w:rFonts w:hint="eastAsia" w:ascii="宋体" w:hAnsi="宋体"/>
          <w:sz w:val="21"/>
          <w:szCs w:val="21"/>
        </w:rPr>
        <w:t>4.2 谈判响应文件的</w:t>
      </w:r>
      <w:bookmarkEnd w:id="279"/>
      <w:bookmarkEnd w:id="280"/>
      <w:bookmarkEnd w:id="281"/>
      <w:bookmarkEnd w:id="282"/>
      <w:bookmarkEnd w:id="283"/>
      <w:bookmarkEnd w:id="284"/>
      <w:bookmarkEnd w:id="285"/>
      <w:bookmarkEnd w:id="286"/>
      <w:r>
        <w:rPr>
          <w:rFonts w:hint="eastAsia" w:ascii="宋体" w:hAnsi="宋体"/>
          <w:sz w:val="21"/>
          <w:szCs w:val="21"/>
        </w:rPr>
        <w:t>递交</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4.2.1 竞标人应在本章规定的谈判时间前递交谈判响应文件。</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4.2.2 竞标人上传谈判响应文件的截止时间及递交地点：见竞标人须知前附表。</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4.2.3 除竞标人须知前附表另有规定外，竞标人所递交的谈判响应文件不予退还。</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4.2.4谈判响应文件逾期递交的，招标人不予受理。</w:t>
      </w:r>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sz w:val="21"/>
          <w:szCs w:val="21"/>
        </w:rPr>
      </w:pPr>
      <w:bookmarkStart w:id="287" w:name="_Toc246996202"/>
      <w:bookmarkStart w:id="288" w:name="_Toc152045558"/>
      <w:bookmarkStart w:id="289" w:name="_Toc179632576"/>
      <w:bookmarkStart w:id="290" w:name="_Toc246996945"/>
      <w:bookmarkStart w:id="291" w:name="_Toc152042334"/>
      <w:bookmarkStart w:id="292" w:name="_Toc144974526"/>
      <w:bookmarkStart w:id="293" w:name="_Toc247085716"/>
      <w:bookmarkStart w:id="294" w:name="_Toc338840213"/>
      <w:r>
        <w:rPr>
          <w:rFonts w:hint="eastAsia" w:ascii="宋体" w:hAnsi="宋体"/>
          <w:sz w:val="21"/>
          <w:szCs w:val="21"/>
        </w:rPr>
        <w:t>4.3 谈判响应文件的修改与撤回</w:t>
      </w:r>
      <w:bookmarkEnd w:id="287"/>
      <w:bookmarkEnd w:id="288"/>
      <w:bookmarkEnd w:id="289"/>
      <w:bookmarkEnd w:id="290"/>
      <w:bookmarkEnd w:id="291"/>
      <w:bookmarkEnd w:id="292"/>
      <w:bookmarkEnd w:id="293"/>
      <w:bookmarkEnd w:id="294"/>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4.3.1 已递交的响应文件在截止时间后不可修改与撤回。</w:t>
      </w:r>
    </w:p>
    <w:p>
      <w:pPr>
        <w:pStyle w:val="9"/>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eastAsia="宋体"/>
          <w:color w:val="FF00FF"/>
          <w:sz w:val="21"/>
          <w:szCs w:val="21"/>
        </w:rPr>
      </w:pPr>
      <w:bookmarkStart w:id="295" w:name="_Toc246996946"/>
      <w:bookmarkStart w:id="296" w:name="_Toc338840622"/>
      <w:bookmarkStart w:id="297" w:name="_Toc152045559"/>
      <w:bookmarkStart w:id="298" w:name="_Toc338840485"/>
      <w:bookmarkStart w:id="299" w:name="_Toc340235290"/>
      <w:bookmarkStart w:id="300" w:name="_Toc179632577"/>
      <w:bookmarkStart w:id="301" w:name="_Toc338840214"/>
      <w:bookmarkStart w:id="302" w:name="_Toc152042335"/>
      <w:bookmarkStart w:id="303" w:name="_Toc144974527"/>
      <w:bookmarkStart w:id="304" w:name="_Toc349310376"/>
      <w:bookmarkStart w:id="305" w:name="_Toc246996203"/>
      <w:bookmarkStart w:id="306" w:name="_Toc247085717"/>
      <w:bookmarkStart w:id="307" w:name="_Toc338840446"/>
      <w:bookmarkStart w:id="308" w:name="_Toc8195"/>
      <w:bookmarkStart w:id="309" w:name="_Toc23480"/>
      <w:bookmarkStart w:id="310" w:name="_Toc524537174"/>
      <w:bookmarkStart w:id="311" w:name="_Toc18739"/>
      <w:r>
        <w:rPr>
          <w:rFonts w:hint="eastAsia" w:ascii="宋体" w:hAnsi="宋体" w:eastAsia="宋体"/>
          <w:sz w:val="21"/>
          <w:szCs w:val="21"/>
        </w:rPr>
        <w:t>5. 谈判</w:t>
      </w:r>
      <w:bookmarkEnd w:id="295"/>
      <w:bookmarkEnd w:id="296"/>
      <w:bookmarkEnd w:id="297"/>
      <w:bookmarkEnd w:id="298"/>
      <w:bookmarkEnd w:id="299"/>
      <w:bookmarkEnd w:id="300"/>
      <w:bookmarkEnd w:id="301"/>
      <w:bookmarkEnd w:id="302"/>
      <w:bookmarkEnd w:id="303"/>
      <w:bookmarkEnd w:id="304"/>
      <w:bookmarkEnd w:id="305"/>
      <w:bookmarkEnd w:id="306"/>
      <w:bookmarkEnd w:id="307"/>
      <w:r>
        <w:rPr>
          <w:rFonts w:hint="eastAsia" w:ascii="宋体" w:hAnsi="宋体" w:eastAsia="宋体"/>
          <w:sz w:val="21"/>
          <w:szCs w:val="21"/>
        </w:rPr>
        <w:t>会议</w:t>
      </w:r>
      <w:bookmarkEnd w:id="308"/>
      <w:bookmarkEnd w:id="309"/>
      <w:bookmarkEnd w:id="310"/>
      <w:bookmarkEnd w:id="311"/>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sz w:val="21"/>
          <w:szCs w:val="21"/>
        </w:rPr>
      </w:pPr>
      <w:bookmarkStart w:id="312" w:name="_Toc246996204"/>
      <w:bookmarkStart w:id="313" w:name="_Toc152042336"/>
      <w:bookmarkStart w:id="314" w:name="_Toc152045560"/>
      <w:bookmarkStart w:id="315" w:name="_Toc338840215"/>
      <w:bookmarkStart w:id="316" w:name="_Toc247085718"/>
      <w:bookmarkStart w:id="317" w:name="_Toc246996947"/>
      <w:bookmarkStart w:id="318" w:name="_Toc179632578"/>
      <w:bookmarkStart w:id="319" w:name="_Toc144974528"/>
      <w:r>
        <w:rPr>
          <w:rFonts w:hint="eastAsia" w:ascii="宋体" w:hAnsi="宋体"/>
          <w:sz w:val="21"/>
          <w:szCs w:val="21"/>
        </w:rPr>
        <w:t>5.1 谈判时间和地点</w:t>
      </w:r>
      <w:bookmarkEnd w:id="312"/>
      <w:bookmarkEnd w:id="313"/>
      <w:bookmarkEnd w:id="314"/>
      <w:bookmarkEnd w:id="315"/>
      <w:bookmarkEnd w:id="316"/>
      <w:bookmarkEnd w:id="317"/>
      <w:bookmarkEnd w:id="318"/>
      <w:bookmarkEnd w:id="319"/>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招标人在公告规定的谈判时间和地点举行谈判会议仪式。</w:t>
      </w:r>
      <w:r>
        <w:rPr>
          <w:rFonts w:ascii="宋体" w:hAnsi="宋体"/>
          <w:szCs w:val="21"/>
        </w:rPr>
        <w:t xml:space="preserve"> </w:t>
      </w:r>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sz w:val="21"/>
          <w:szCs w:val="21"/>
        </w:rPr>
      </w:pPr>
      <w:bookmarkStart w:id="320" w:name="_Toc246996205"/>
      <w:bookmarkStart w:id="321" w:name="_Toc338840216"/>
      <w:bookmarkStart w:id="322" w:name="_Toc152045561"/>
      <w:bookmarkStart w:id="323" w:name="_Toc144974529"/>
      <w:bookmarkStart w:id="324" w:name="_Toc247085719"/>
      <w:bookmarkStart w:id="325" w:name="_Toc179632579"/>
      <w:bookmarkStart w:id="326" w:name="_Toc246996948"/>
      <w:bookmarkStart w:id="327" w:name="_Toc152042337"/>
      <w:r>
        <w:rPr>
          <w:rFonts w:hint="eastAsia" w:ascii="宋体" w:hAnsi="宋体"/>
          <w:sz w:val="21"/>
          <w:szCs w:val="21"/>
        </w:rPr>
        <w:t>5.2 谈判会议</w:t>
      </w:r>
      <w:bookmarkEnd w:id="320"/>
      <w:bookmarkEnd w:id="321"/>
      <w:bookmarkEnd w:id="322"/>
      <w:bookmarkEnd w:id="323"/>
      <w:bookmarkEnd w:id="324"/>
      <w:bookmarkEnd w:id="325"/>
      <w:bookmarkEnd w:id="326"/>
      <w:bookmarkEnd w:id="327"/>
      <w:r>
        <w:rPr>
          <w:rFonts w:hint="eastAsia" w:ascii="宋体" w:hAnsi="宋体"/>
          <w:sz w:val="21"/>
          <w:szCs w:val="21"/>
        </w:rPr>
        <w:t>仪式</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主持人按下列程序主持谈判会议仪式：</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（1）宣布谈判纪律；</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（2）宣布谈判响应文件收取截止时间已到，逾期送达谈判响应文件不再接收；</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（3）宣布开标人、监标人等有关信息及开标会议纪律；</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（4）启封响应文件；</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（5）开标会议结束。</w:t>
      </w:r>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sz w:val="21"/>
          <w:szCs w:val="21"/>
        </w:rPr>
      </w:pPr>
      <w:bookmarkStart w:id="328" w:name="_Toc338840217"/>
      <w:r>
        <w:rPr>
          <w:rFonts w:hint="eastAsia" w:ascii="宋体" w:hAnsi="宋体"/>
          <w:sz w:val="21"/>
          <w:szCs w:val="21"/>
        </w:rPr>
        <w:t>5.3 谈判会议异议</w:t>
      </w:r>
      <w:bookmarkEnd w:id="328"/>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竞标人对谈判会议有异议的，应当在规定时间内通过现场以纸质形式提出提出，招标人应及时作出答复，并保存记录。</w:t>
      </w:r>
    </w:p>
    <w:p>
      <w:pPr>
        <w:pStyle w:val="9"/>
        <w:pageBreakBefore w:val="0"/>
        <w:widowControl w:val="0"/>
        <w:tabs>
          <w:tab w:val="left" w:pos="1480"/>
        </w:tabs>
        <w:kinsoku/>
        <w:wordWrap/>
        <w:overflowPunct/>
        <w:topLinePunct w:val="0"/>
        <w:autoSpaceDE/>
        <w:autoSpaceDN/>
        <w:bidi w:val="0"/>
        <w:adjustRightInd w:val="0"/>
        <w:snapToGrid w:val="0"/>
        <w:spacing w:before="0" w:after="0" w:line="360" w:lineRule="auto"/>
        <w:textAlignment w:val="auto"/>
        <w:rPr>
          <w:rFonts w:ascii="宋体" w:hAnsi="宋体" w:eastAsia="宋体"/>
          <w:sz w:val="21"/>
          <w:szCs w:val="21"/>
        </w:rPr>
      </w:pPr>
      <w:bookmarkStart w:id="329" w:name="_Toc152045562"/>
      <w:bookmarkStart w:id="330" w:name="_Toc179632580"/>
      <w:bookmarkStart w:id="331" w:name="_Toc246996949"/>
      <w:bookmarkStart w:id="332" w:name="_Toc338840218"/>
      <w:bookmarkStart w:id="333" w:name="_Toc152042338"/>
      <w:bookmarkStart w:id="334" w:name="_Toc338840623"/>
      <w:bookmarkStart w:id="335" w:name="_Toc144974530"/>
      <w:bookmarkStart w:id="336" w:name="_Toc247085720"/>
      <w:bookmarkStart w:id="337" w:name="_Toc246996206"/>
      <w:bookmarkStart w:id="338" w:name="_Toc338840447"/>
      <w:bookmarkStart w:id="339" w:name="_Toc338840486"/>
      <w:bookmarkStart w:id="340" w:name="_Toc524537175"/>
      <w:bookmarkStart w:id="341" w:name="_Toc340235291"/>
      <w:bookmarkStart w:id="342" w:name="_Toc4667"/>
      <w:bookmarkStart w:id="343" w:name="_Toc17406"/>
      <w:bookmarkStart w:id="344" w:name="_Toc349310377"/>
      <w:bookmarkStart w:id="345" w:name="_Toc30803"/>
      <w:r>
        <w:rPr>
          <w:rFonts w:hint="eastAsia" w:ascii="宋体" w:hAnsi="宋体" w:eastAsia="宋体"/>
          <w:sz w:val="21"/>
          <w:szCs w:val="21"/>
        </w:rPr>
        <w:t xml:space="preserve">6. </w:t>
      </w:r>
      <w:bookmarkEnd w:id="329"/>
      <w:bookmarkEnd w:id="330"/>
      <w:bookmarkEnd w:id="331"/>
      <w:bookmarkEnd w:id="332"/>
      <w:bookmarkEnd w:id="333"/>
      <w:bookmarkEnd w:id="334"/>
      <w:bookmarkEnd w:id="335"/>
      <w:bookmarkEnd w:id="336"/>
      <w:bookmarkEnd w:id="337"/>
      <w:bookmarkEnd w:id="338"/>
      <w:bookmarkEnd w:id="339"/>
      <w:r>
        <w:rPr>
          <w:rFonts w:hint="eastAsia" w:ascii="宋体" w:hAnsi="宋体" w:eastAsia="宋体"/>
          <w:sz w:val="21"/>
          <w:szCs w:val="21"/>
        </w:rPr>
        <w:t>谈判</w:t>
      </w:r>
      <w:bookmarkEnd w:id="340"/>
      <w:bookmarkEnd w:id="341"/>
      <w:bookmarkEnd w:id="342"/>
      <w:bookmarkEnd w:id="343"/>
      <w:bookmarkEnd w:id="344"/>
      <w:bookmarkEnd w:id="345"/>
      <w:r>
        <w:rPr>
          <w:rFonts w:ascii="宋体" w:hAnsi="宋体" w:eastAsia="宋体"/>
          <w:sz w:val="21"/>
          <w:szCs w:val="21"/>
        </w:rPr>
        <w:tab/>
      </w:r>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sz w:val="21"/>
          <w:szCs w:val="21"/>
        </w:rPr>
      </w:pPr>
      <w:bookmarkStart w:id="346" w:name="_Toc144974531"/>
      <w:bookmarkStart w:id="347" w:name="_Toc152045563"/>
      <w:bookmarkStart w:id="348" w:name="_Toc246996950"/>
      <w:bookmarkStart w:id="349" w:name="_Toc247085721"/>
      <w:bookmarkStart w:id="350" w:name="_Toc246996207"/>
      <w:bookmarkStart w:id="351" w:name="_Toc338840219"/>
      <w:bookmarkStart w:id="352" w:name="_Toc152042339"/>
      <w:bookmarkStart w:id="353" w:name="_Toc179632581"/>
      <w:r>
        <w:rPr>
          <w:rFonts w:hint="eastAsia" w:ascii="宋体" w:hAnsi="宋体"/>
          <w:sz w:val="21"/>
          <w:szCs w:val="21"/>
        </w:rPr>
        <w:t>6.1 谈判小组</w:t>
      </w:r>
      <w:bookmarkEnd w:id="346"/>
      <w:bookmarkEnd w:id="347"/>
      <w:bookmarkEnd w:id="348"/>
      <w:bookmarkEnd w:id="349"/>
      <w:bookmarkEnd w:id="350"/>
      <w:bookmarkEnd w:id="351"/>
      <w:bookmarkEnd w:id="352"/>
      <w:bookmarkEnd w:id="353"/>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6.1.1 谈判由招标人依法组建的谈判小组负责。谈判小组由招标人熟悉相关业务的代表，以及有关技术、经济等方面的专家组成。谈判小组成员人数以及技术、经济等方面专家的确定方式见竞标人须知前附表。</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6.1.2 谈判小组成员有下列情形之一的，应当回避：</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（1）竞标人或竞标人主要负责人的近亲属；</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（2）与竞标人有经济利益关系；</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（3）与竞标人有其他利害关系。</w:t>
      </w:r>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sz w:val="21"/>
          <w:szCs w:val="21"/>
        </w:rPr>
      </w:pPr>
      <w:bookmarkStart w:id="354" w:name="_Toc179632582"/>
      <w:bookmarkStart w:id="355" w:name="_Toc152042340"/>
      <w:bookmarkStart w:id="356" w:name="_Toc246996208"/>
      <w:bookmarkStart w:id="357" w:name="_Toc246996951"/>
      <w:bookmarkStart w:id="358" w:name="_Toc152045564"/>
      <w:bookmarkStart w:id="359" w:name="_Toc338840220"/>
      <w:bookmarkStart w:id="360" w:name="_Toc144974532"/>
      <w:bookmarkStart w:id="361" w:name="_Toc247085722"/>
      <w:r>
        <w:rPr>
          <w:rFonts w:hint="eastAsia" w:ascii="宋体" w:hAnsi="宋体"/>
          <w:sz w:val="21"/>
          <w:szCs w:val="21"/>
        </w:rPr>
        <w:t>6.2 谈判原则</w:t>
      </w:r>
      <w:bookmarkEnd w:id="354"/>
      <w:bookmarkEnd w:id="355"/>
      <w:bookmarkEnd w:id="356"/>
      <w:bookmarkEnd w:id="357"/>
      <w:bookmarkEnd w:id="358"/>
      <w:bookmarkEnd w:id="359"/>
      <w:bookmarkEnd w:id="360"/>
      <w:bookmarkEnd w:id="361"/>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谈判活动遵循公平、公正、科学的原则。</w:t>
      </w:r>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sz w:val="21"/>
          <w:szCs w:val="21"/>
        </w:rPr>
      </w:pPr>
      <w:bookmarkStart w:id="362" w:name="_Toc247085723"/>
      <w:bookmarkStart w:id="363" w:name="_Toc246996209"/>
      <w:bookmarkStart w:id="364" w:name="_Toc152042341"/>
      <w:bookmarkStart w:id="365" w:name="_Toc246996952"/>
      <w:bookmarkStart w:id="366" w:name="_Toc179632583"/>
      <w:bookmarkStart w:id="367" w:name="_Toc338840221"/>
      <w:bookmarkStart w:id="368" w:name="_Toc152045565"/>
      <w:bookmarkStart w:id="369" w:name="_Toc144974533"/>
      <w:r>
        <w:rPr>
          <w:rFonts w:hint="eastAsia" w:ascii="宋体" w:hAnsi="宋体"/>
          <w:sz w:val="21"/>
          <w:szCs w:val="21"/>
        </w:rPr>
        <w:t>6.3 谈判</w:t>
      </w:r>
      <w:bookmarkEnd w:id="362"/>
      <w:bookmarkEnd w:id="363"/>
      <w:bookmarkEnd w:id="364"/>
      <w:bookmarkEnd w:id="365"/>
      <w:bookmarkEnd w:id="366"/>
      <w:bookmarkEnd w:id="367"/>
      <w:bookmarkEnd w:id="368"/>
      <w:bookmarkEnd w:id="369"/>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谈判小组按照第三章“谈判程序”规定的方法、因素、标准和程序对谈判响应文件进行评审、谈判。依据统一的价格要素评定最低报价，根据符合采购需求、质量和服务相等且报价最低的原则确定成交竞标人。</w:t>
      </w:r>
    </w:p>
    <w:p>
      <w:pPr>
        <w:pStyle w:val="9"/>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eastAsia="宋体"/>
          <w:sz w:val="21"/>
          <w:szCs w:val="21"/>
        </w:rPr>
      </w:pPr>
      <w:bookmarkStart w:id="370" w:name="_Toc144974534"/>
      <w:bookmarkStart w:id="371" w:name="_Toc246996953"/>
      <w:bookmarkStart w:id="372" w:name="_Toc20366"/>
      <w:bookmarkStart w:id="373" w:name="_Toc340235292"/>
      <w:bookmarkStart w:id="374" w:name="_Toc152045566"/>
      <w:bookmarkStart w:id="375" w:name="_Toc524537176"/>
      <w:bookmarkStart w:id="376" w:name="_Toc338840222"/>
      <w:bookmarkStart w:id="377" w:name="_Toc338840448"/>
      <w:bookmarkStart w:id="378" w:name="_Toc349310378"/>
      <w:bookmarkStart w:id="379" w:name="_Toc338840487"/>
      <w:bookmarkStart w:id="380" w:name="_Toc3720"/>
      <w:bookmarkStart w:id="381" w:name="_Toc179632584"/>
      <w:bookmarkStart w:id="382" w:name="_Toc338840624"/>
      <w:bookmarkStart w:id="383" w:name="_Toc246996210"/>
      <w:bookmarkStart w:id="384" w:name="_Toc31379"/>
      <w:bookmarkStart w:id="385" w:name="_Toc247085724"/>
      <w:bookmarkStart w:id="386" w:name="_Toc152042342"/>
      <w:r>
        <w:rPr>
          <w:rFonts w:hint="eastAsia" w:ascii="宋体" w:hAnsi="宋体" w:eastAsia="宋体"/>
          <w:sz w:val="21"/>
          <w:szCs w:val="21"/>
        </w:rPr>
        <w:t>7. 合同授予</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sz w:val="21"/>
          <w:szCs w:val="21"/>
        </w:rPr>
      </w:pPr>
      <w:bookmarkStart w:id="387" w:name="_Toc152042343"/>
      <w:bookmarkStart w:id="388" w:name="_Toc246996211"/>
      <w:bookmarkStart w:id="389" w:name="_Toc338840223"/>
      <w:bookmarkStart w:id="390" w:name="_Toc247085725"/>
      <w:bookmarkStart w:id="391" w:name="_Toc246996954"/>
      <w:bookmarkStart w:id="392" w:name="_Toc179632585"/>
      <w:bookmarkStart w:id="393" w:name="_Toc144974535"/>
      <w:bookmarkStart w:id="394" w:name="_Toc152045567"/>
      <w:r>
        <w:rPr>
          <w:rFonts w:hint="eastAsia" w:ascii="宋体" w:hAnsi="宋体"/>
          <w:sz w:val="21"/>
          <w:szCs w:val="21"/>
        </w:rPr>
        <w:t>7.1 定标方式</w:t>
      </w:r>
      <w:bookmarkEnd w:id="387"/>
      <w:bookmarkEnd w:id="388"/>
      <w:bookmarkEnd w:id="389"/>
      <w:bookmarkEnd w:id="390"/>
      <w:bookmarkEnd w:id="391"/>
      <w:bookmarkEnd w:id="392"/>
      <w:bookmarkEnd w:id="393"/>
      <w:bookmarkEnd w:id="394"/>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除竞标人须知前附表规定谈判小组直接确定成交人外，招标人依据谈判小组确定的成交候选人确定成交人，谈判小组推荐成交候选人的人数见竞标人须知前附表。</w:t>
      </w:r>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sz w:val="21"/>
          <w:szCs w:val="21"/>
        </w:rPr>
      </w:pPr>
      <w:bookmarkStart w:id="395" w:name="_Toc152045568"/>
      <w:bookmarkStart w:id="396" w:name="_Toc152042344"/>
      <w:bookmarkStart w:id="397" w:name="_Toc247085726"/>
      <w:bookmarkStart w:id="398" w:name="_Toc338840225"/>
      <w:bookmarkStart w:id="399" w:name="_Toc246996955"/>
      <w:bookmarkStart w:id="400" w:name="_Toc246996212"/>
      <w:bookmarkStart w:id="401" w:name="_Toc144974536"/>
      <w:bookmarkStart w:id="402" w:name="_Toc179632586"/>
      <w:r>
        <w:rPr>
          <w:rFonts w:hint="eastAsia" w:ascii="宋体" w:hAnsi="宋体"/>
          <w:sz w:val="21"/>
          <w:szCs w:val="21"/>
        </w:rPr>
        <w:t>7.2 成交通知</w:t>
      </w:r>
      <w:bookmarkEnd w:id="395"/>
      <w:bookmarkEnd w:id="396"/>
      <w:bookmarkEnd w:id="397"/>
      <w:bookmarkEnd w:id="398"/>
      <w:bookmarkEnd w:id="399"/>
      <w:bookmarkEnd w:id="400"/>
      <w:bookmarkEnd w:id="401"/>
      <w:bookmarkEnd w:id="402"/>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在谈判有效期内，招标人确定成交人后，以书面形式向成交人发出成交通知书，同时将成交结果通知未成交的竞标人。详见竞标人须知前附表。</w:t>
      </w:r>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sz w:val="21"/>
          <w:szCs w:val="21"/>
        </w:rPr>
      </w:pPr>
      <w:bookmarkStart w:id="403" w:name="_Toc152045570"/>
      <w:bookmarkStart w:id="404" w:name="_Toc247085728"/>
      <w:bookmarkStart w:id="405" w:name="_Toc152042346"/>
      <w:bookmarkStart w:id="406" w:name="_Toc338840227"/>
      <w:bookmarkStart w:id="407" w:name="_Toc179632588"/>
      <w:bookmarkStart w:id="408" w:name="_Toc144974538"/>
      <w:bookmarkStart w:id="409" w:name="_Toc246996214"/>
      <w:bookmarkStart w:id="410" w:name="_Toc246996957"/>
      <w:r>
        <w:rPr>
          <w:rFonts w:hint="eastAsia" w:ascii="宋体" w:hAnsi="宋体"/>
          <w:sz w:val="21"/>
          <w:szCs w:val="21"/>
        </w:rPr>
        <w:t>7.3 签订合同</w:t>
      </w:r>
      <w:bookmarkEnd w:id="403"/>
      <w:bookmarkEnd w:id="404"/>
      <w:bookmarkEnd w:id="405"/>
      <w:bookmarkEnd w:id="406"/>
      <w:bookmarkEnd w:id="407"/>
      <w:bookmarkEnd w:id="408"/>
      <w:bookmarkEnd w:id="409"/>
      <w:bookmarkEnd w:id="410"/>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7.5.1招标人和成交人应当自成交通知书发出之日起7日内（竞标人须知前附表或成交通知书另有规定者从其规定），根据谈判文件和成交人的谈判响应文件订立书面合同。成交人无正当理由拒签合同的，招标人取消其成交资格。</w:t>
      </w:r>
    </w:p>
    <w:p>
      <w:pPr>
        <w:pStyle w:val="9"/>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eastAsia="宋体"/>
          <w:sz w:val="21"/>
          <w:szCs w:val="21"/>
        </w:rPr>
      </w:pPr>
      <w:bookmarkStart w:id="411" w:name="_Toc338840625"/>
      <w:bookmarkStart w:id="412" w:name="_Toc349310379"/>
      <w:bookmarkStart w:id="413" w:name="_Toc338840449"/>
      <w:bookmarkStart w:id="414" w:name="_Toc340235293"/>
      <w:bookmarkStart w:id="415" w:name="_Toc524537177"/>
      <w:bookmarkStart w:id="416" w:name="_Toc20042"/>
      <w:bookmarkStart w:id="417" w:name="_Toc32409"/>
      <w:bookmarkStart w:id="418" w:name="_Toc338840488"/>
      <w:bookmarkStart w:id="419" w:name="_Toc338840228"/>
      <w:bookmarkStart w:id="420" w:name="_Toc31324"/>
      <w:r>
        <w:rPr>
          <w:rFonts w:hint="eastAsia" w:ascii="宋体" w:hAnsi="宋体" w:eastAsia="宋体"/>
          <w:sz w:val="21"/>
          <w:szCs w:val="21"/>
        </w:rPr>
        <w:t>8. 纪律和监督</w:t>
      </w:r>
      <w:bookmarkEnd w:id="411"/>
      <w:bookmarkEnd w:id="412"/>
      <w:bookmarkEnd w:id="413"/>
      <w:bookmarkEnd w:id="414"/>
      <w:bookmarkEnd w:id="415"/>
      <w:bookmarkEnd w:id="416"/>
      <w:bookmarkEnd w:id="417"/>
      <w:bookmarkEnd w:id="418"/>
      <w:bookmarkEnd w:id="419"/>
      <w:bookmarkEnd w:id="420"/>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sz w:val="21"/>
          <w:szCs w:val="21"/>
        </w:rPr>
      </w:pPr>
      <w:bookmarkStart w:id="421" w:name="_Toc246996962"/>
      <w:bookmarkStart w:id="422" w:name="_Toc152042351"/>
      <w:bookmarkStart w:id="423" w:name="_Toc144974543"/>
      <w:bookmarkStart w:id="424" w:name="_Toc179632593"/>
      <w:bookmarkStart w:id="425" w:name="_Toc247085733"/>
      <w:bookmarkStart w:id="426" w:name="_Toc246996219"/>
      <w:bookmarkStart w:id="427" w:name="_Toc152045575"/>
      <w:bookmarkStart w:id="428" w:name="_Toc296590983"/>
      <w:bookmarkStart w:id="429" w:name="_Toc338840229"/>
      <w:r>
        <w:rPr>
          <w:rFonts w:hint="eastAsia" w:ascii="宋体" w:hAnsi="宋体"/>
          <w:sz w:val="21"/>
          <w:szCs w:val="21"/>
        </w:rPr>
        <w:t>8.1 对招标人的纪律要求</w:t>
      </w:r>
      <w:bookmarkEnd w:id="421"/>
      <w:bookmarkEnd w:id="422"/>
      <w:bookmarkEnd w:id="423"/>
      <w:bookmarkEnd w:id="424"/>
      <w:bookmarkEnd w:id="425"/>
      <w:bookmarkEnd w:id="426"/>
      <w:bookmarkEnd w:id="427"/>
      <w:bookmarkEnd w:id="428"/>
      <w:bookmarkEnd w:id="429"/>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招标人不得泄漏采购活动中应当保密的情况和资料，不得与竞标人串通损害国家利益、社会公共利益或者他人合法权益。</w:t>
      </w:r>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sz w:val="21"/>
          <w:szCs w:val="21"/>
        </w:rPr>
      </w:pPr>
      <w:bookmarkStart w:id="430" w:name="_Toc179632594"/>
      <w:bookmarkStart w:id="431" w:name="_Toc338840230"/>
      <w:bookmarkStart w:id="432" w:name="_Toc152045576"/>
      <w:bookmarkStart w:id="433" w:name="_Toc246996963"/>
      <w:bookmarkStart w:id="434" w:name="_Toc247085734"/>
      <w:bookmarkStart w:id="435" w:name="_Toc246996220"/>
      <w:bookmarkStart w:id="436" w:name="_Toc144974544"/>
      <w:bookmarkStart w:id="437" w:name="_Toc152042352"/>
      <w:r>
        <w:rPr>
          <w:rFonts w:hint="eastAsia" w:ascii="宋体" w:hAnsi="宋体"/>
          <w:sz w:val="21"/>
          <w:szCs w:val="21"/>
        </w:rPr>
        <w:t>8.2 对竞标人的纪律要求</w:t>
      </w:r>
      <w:bookmarkEnd w:id="430"/>
      <w:bookmarkEnd w:id="431"/>
      <w:bookmarkEnd w:id="432"/>
      <w:bookmarkEnd w:id="433"/>
      <w:bookmarkEnd w:id="434"/>
      <w:bookmarkEnd w:id="435"/>
      <w:bookmarkEnd w:id="436"/>
      <w:bookmarkEnd w:id="437"/>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竞标人不得相互串通谈判或者与招标人串通谈判，不得向招标人或者谈判小组成员行贿谋取成交，不得以他人名义谈判或者以其他方式弄虚作假骗取成交；竞标人不得以任何方式干扰、影响谈判工作。</w:t>
      </w:r>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sz w:val="21"/>
          <w:szCs w:val="21"/>
        </w:rPr>
      </w:pPr>
      <w:bookmarkStart w:id="438" w:name="_Toc152042353"/>
      <w:bookmarkStart w:id="439" w:name="_Toc152045577"/>
      <w:bookmarkStart w:id="440" w:name="_Toc338840231"/>
      <w:bookmarkStart w:id="441" w:name="_Toc179632595"/>
      <w:bookmarkStart w:id="442" w:name="_Toc144974545"/>
      <w:bookmarkStart w:id="443" w:name="_Toc246996221"/>
      <w:bookmarkStart w:id="444" w:name="_Toc247085735"/>
      <w:bookmarkStart w:id="445" w:name="_Toc246996964"/>
      <w:r>
        <w:rPr>
          <w:rFonts w:hint="eastAsia" w:ascii="宋体" w:hAnsi="宋体"/>
          <w:sz w:val="21"/>
          <w:szCs w:val="21"/>
        </w:rPr>
        <w:t>8.3 对谈判小组成员的纪律要求</w:t>
      </w:r>
      <w:bookmarkEnd w:id="438"/>
      <w:bookmarkEnd w:id="439"/>
      <w:bookmarkEnd w:id="440"/>
      <w:bookmarkEnd w:id="441"/>
      <w:bookmarkEnd w:id="442"/>
      <w:bookmarkEnd w:id="443"/>
      <w:bookmarkEnd w:id="444"/>
      <w:bookmarkEnd w:id="445"/>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谈判小组成员不得收受他人的财物或者其他好处，不得向他人透漏对谈判响应文件的评审和比较、成交候选人的推荐情况以及谈判有关的其他情况。在谈判活动中，谈判小组成员应当客观、公正地履行职责，遵守职业道德，不得擅离职守，影响谈判程序正常进行。</w:t>
      </w:r>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sz w:val="21"/>
          <w:szCs w:val="21"/>
        </w:rPr>
      </w:pPr>
      <w:bookmarkStart w:id="446" w:name="_Toc179632596"/>
      <w:bookmarkStart w:id="447" w:name="_Toc152042354"/>
      <w:bookmarkStart w:id="448" w:name="_Toc247085736"/>
      <w:bookmarkStart w:id="449" w:name="_Toc246996965"/>
      <w:bookmarkStart w:id="450" w:name="_Toc246996222"/>
      <w:bookmarkStart w:id="451" w:name="_Toc338840232"/>
      <w:bookmarkStart w:id="452" w:name="_Toc152045578"/>
      <w:bookmarkStart w:id="453" w:name="_Toc144974546"/>
      <w:r>
        <w:rPr>
          <w:rFonts w:hint="eastAsia" w:ascii="宋体" w:hAnsi="宋体"/>
          <w:sz w:val="21"/>
          <w:szCs w:val="21"/>
        </w:rPr>
        <w:t>8.4 对与谈判活动有关的工作人员的纪律要求</w:t>
      </w:r>
      <w:bookmarkEnd w:id="446"/>
      <w:bookmarkEnd w:id="447"/>
      <w:bookmarkEnd w:id="448"/>
      <w:bookmarkEnd w:id="449"/>
      <w:bookmarkEnd w:id="450"/>
      <w:bookmarkEnd w:id="451"/>
      <w:bookmarkEnd w:id="452"/>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bookmarkStart w:id="454" w:name="_Toc152042355"/>
      <w:r>
        <w:rPr>
          <w:rFonts w:hint="eastAsia" w:ascii="宋体" w:hAnsi="宋体"/>
          <w:szCs w:val="21"/>
        </w:rPr>
        <w:t>与谈判活动有关的工作人员不得收受他人的财物或者其他好处，不得向他人透漏对谈判响应文件的评审和比较、成交候选人的推荐情况以及谈判有关的其他情况。在谈判活动中，与谈判活动有关的工作人员不得擅离职守，影响谈判程序正常进行。</w:t>
      </w:r>
      <w:bookmarkEnd w:id="454"/>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sz w:val="21"/>
          <w:szCs w:val="21"/>
        </w:rPr>
      </w:pPr>
      <w:bookmarkStart w:id="455" w:name="_Toc338840233"/>
      <w:bookmarkStart w:id="456" w:name="_Toc152045579"/>
      <w:bookmarkStart w:id="457" w:name="_Toc246996966"/>
      <w:bookmarkStart w:id="458" w:name="_Toc152042356"/>
      <w:bookmarkStart w:id="459" w:name="_Toc179632597"/>
      <w:bookmarkStart w:id="460" w:name="_Toc246996223"/>
      <w:bookmarkStart w:id="461" w:name="_Toc247085737"/>
      <w:r>
        <w:rPr>
          <w:rFonts w:hint="eastAsia" w:ascii="宋体" w:hAnsi="宋体"/>
          <w:sz w:val="21"/>
          <w:szCs w:val="21"/>
        </w:rPr>
        <w:t>8.5 质疑</w:t>
      </w:r>
      <w:bookmarkEnd w:id="455"/>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竞标人</w:t>
      </w:r>
      <w:r>
        <w:rPr>
          <w:rFonts w:ascii="宋体" w:hAnsi="宋体"/>
          <w:szCs w:val="21"/>
        </w:rPr>
        <w:t>认为</w:t>
      </w:r>
      <w:r>
        <w:rPr>
          <w:rFonts w:hint="eastAsia" w:ascii="宋体" w:hAnsi="宋体"/>
          <w:szCs w:val="21"/>
        </w:rPr>
        <w:t>谈判采购</w:t>
      </w:r>
      <w:r>
        <w:rPr>
          <w:rFonts w:ascii="宋体" w:hAnsi="宋体"/>
          <w:szCs w:val="21"/>
        </w:rPr>
        <w:t xml:space="preserve">过程和成交结果使自己的权益受到损害的，可以在知道或者应知其权益受到损害之日起七个工作日内，以书面形式向招标人提出质疑。 </w:t>
      </w:r>
    </w:p>
    <w:p>
      <w:pPr>
        <w:pStyle w:val="10"/>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sz w:val="21"/>
          <w:szCs w:val="21"/>
        </w:rPr>
      </w:pPr>
      <w:bookmarkStart w:id="462" w:name="_Toc338840234"/>
      <w:r>
        <w:rPr>
          <w:rFonts w:hint="eastAsia" w:ascii="宋体" w:hAnsi="宋体"/>
          <w:sz w:val="21"/>
          <w:szCs w:val="21"/>
        </w:rPr>
        <w:t>8.6 投诉</w:t>
      </w:r>
      <w:bookmarkEnd w:id="453"/>
      <w:bookmarkEnd w:id="456"/>
      <w:bookmarkEnd w:id="457"/>
      <w:bookmarkEnd w:id="458"/>
      <w:bookmarkEnd w:id="459"/>
      <w:bookmarkEnd w:id="460"/>
      <w:bookmarkEnd w:id="461"/>
      <w:bookmarkEnd w:id="462"/>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000000"/>
          <w:kern w:val="0"/>
          <w:szCs w:val="21"/>
        </w:rPr>
      </w:pPr>
      <w:r>
        <w:rPr>
          <w:rFonts w:ascii="宋体" w:hAnsi="宋体"/>
          <w:szCs w:val="21"/>
        </w:rPr>
        <w:t>质疑</w:t>
      </w:r>
      <w:r>
        <w:rPr>
          <w:rFonts w:hint="eastAsia" w:ascii="宋体" w:hAnsi="宋体"/>
          <w:szCs w:val="21"/>
        </w:rPr>
        <w:t>竞标人</w:t>
      </w:r>
      <w:r>
        <w:rPr>
          <w:rFonts w:ascii="宋体" w:hAnsi="宋体"/>
          <w:szCs w:val="21"/>
        </w:rPr>
        <w:t>对</w:t>
      </w:r>
      <w:r>
        <w:rPr>
          <w:rFonts w:hint="eastAsia" w:ascii="宋体" w:hAnsi="宋体"/>
          <w:szCs w:val="21"/>
        </w:rPr>
        <w:t>招标人</w:t>
      </w:r>
      <w:r>
        <w:rPr>
          <w:rFonts w:ascii="宋体" w:hAnsi="宋体"/>
          <w:szCs w:val="21"/>
        </w:rPr>
        <w:t>、</w:t>
      </w:r>
      <w:r>
        <w:rPr>
          <w:rFonts w:hint="eastAsia" w:ascii="宋体" w:hAnsi="宋体"/>
          <w:szCs w:val="21"/>
        </w:rPr>
        <w:t>采购代理机构</w:t>
      </w:r>
      <w:r>
        <w:rPr>
          <w:rFonts w:ascii="宋体" w:hAnsi="宋体"/>
          <w:szCs w:val="21"/>
        </w:rPr>
        <w:t>的答复不满意或者</w:t>
      </w:r>
      <w:r>
        <w:rPr>
          <w:rFonts w:hint="eastAsia" w:ascii="宋体" w:hAnsi="宋体"/>
          <w:szCs w:val="21"/>
        </w:rPr>
        <w:t>招标人</w:t>
      </w:r>
      <w:r>
        <w:rPr>
          <w:rFonts w:ascii="宋体" w:hAnsi="宋体"/>
          <w:szCs w:val="21"/>
        </w:rPr>
        <w:t>、</w:t>
      </w:r>
      <w:r>
        <w:rPr>
          <w:rFonts w:hint="eastAsia" w:ascii="宋体" w:hAnsi="宋体"/>
          <w:szCs w:val="21"/>
        </w:rPr>
        <w:t>采购代理机构</w:t>
      </w:r>
      <w:r>
        <w:rPr>
          <w:rFonts w:ascii="宋体" w:hAnsi="宋体"/>
          <w:szCs w:val="21"/>
        </w:rPr>
        <w:t>未在规定的时间内作出答复的，可以在答复期满后十五个工作日内向同级政府采购监督管理部门投诉。</w:t>
      </w:r>
      <w:r>
        <w:rPr>
          <w:rFonts w:ascii="宋体" w:hAnsi="宋体" w:cs="宋体"/>
          <w:color w:val="000000"/>
          <w:kern w:val="0"/>
          <w:szCs w:val="21"/>
        </w:rPr>
        <w:t xml:space="preserve"> </w:t>
      </w:r>
    </w:p>
    <w:p>
      <w:pPr>
        <w:pStyle w:val="9"/>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eastAsia="宋体"/>
          <w:sz w:val="21"/>
          <w:szCs w:val="21"/>
        </w:rPr>
      </w:pPr>
      <w:bookmarkStart w:id="463" w:name="_Toc144974547"/>
      <w:bookmarkStart w:id="464" w:name="_Toc5632"/>
      <w:bookmarkStart w:id="465" w:name="_Toc340235294"/>
      <w:bookmarkStart w:id="466" w:name="_Toc338840450"/>
      <w:bookmarkStart w:id="467" w:name="_Toc338840626"/>
      <w:bookmarkStart w:id="468" w:name="_Toc349310380"/>
      <w:bookmarkStart w:id="469" w:name="_Toc8185"/>
      <w:bookmarkStart w:id="470" w:name="_Toc152042357"/>
      <w:bookmarkStart w:id="471" w:name="_Toc247085738"/>
      <w:bookmarkStart w:id="472" w:name="_Toc338840489"/>
      <w:bookmarkStart w:id="473" w:name="_Toc152045580"/>
      <w:bookmarkStart w:id="474" w:name="_Toc246996967"/>
      <w:bookmarkStart w:id="475" w:name="_Toc524537178"/>
      <w:bookmarkStart w:id="476" w:name="_Toc246996224"/>
      <w:bookmarkStart w:id="477" w:name="_Toc179632598"/>
      <w:bookmarkStart w:id="478" w:name="_Toc22858"/>
      <w:bookmarkStart w:id="479" w:name="_Toc338840235"/>
      <w:r>
        <w:rPr>
          <w:rFonts w:hint="eastAsia" w:ascii="宋体" w:hAnsi="宋体" w:eastAsia="宋体"/>
          <w:sz w:val="21"/>
          <w:szCs w:val="21"/>
        </w:rPr>
        <w:t>9. 需要补充的其他内容</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需要补充的其他内容：见竞标人须知前附表。</w:t>
      </w:r>
      <w:bookmarkStart w:id="480" w:name="_Toc505356347"/>
      <w:bookmarkStart w:id="481" w:name="_Toc21666"/>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0"/>
        <w:rPr>
          <w:sz w:val="36"/>
        </w:rPr>
      </w:pPr>
      <w:r>
        <w:rPr>
          <w:sz w:val="36"/>
        </w:rPr>
        <w:br w:type="page"/>
      </w:r>
      <w:bookmarkStart w:id="482" w:name="_Toc14989"/>
      <w:r>
        <w:rPr>
          <w:rFonts w:hint="eastAsia" w:ascii="宋体" w:hAnsi="宋体" w:eastAsia="宋体" w:cs="Times New Roman"/>
          <w:b/>
          <w:bCs/>
          <w:kern w:val="44"/>
          <w:sz w:val="30"/>
          <w:szCs w:val="30"/>
          <w:lang w:val="en-US" w:eastAsia="zh-CN" w:bidi="ar-SA"/>
        </w:rPr>
        <w:t>第三章 谈判办法</w:t>
      </w:r>
      <w:bookmarkEnd w:id="480"/>
      <w:r>
        <w:rPr>
          <w:rFonts w:hint="eastAsia" w:ascii="宋体" w:hAnsi="宋体" w:eastAsia="宋体" w:cs="Times New Roman"/>
          <w:b/>
          <w:bCs/>
          <w:kern w:val="44"/>
          <w:sz w:val="30"/>
          <w:szCs w:val="30"/>
          <w:lang w:val="en-US" w:eastAsia="zh-CN" w:bidi="ar-SA"/>
        </w:rPr>
        <w:t>及前附表</w:t>
      </w:r>
      <w:bookmarkEnd w:id="481"/>
      <w:bookmarkEnd w:id="482"/>
    </w:p>
    <w:p>
      <w:pPr>
        <w:keepNext w:val="0"/>
        <w:keepLines w:val="0"/>
        <w:pageBreakBefore w:val="0"/>
        <w:kinsoku/>
        <w:wordWrap/>
        <w:overflowPunct/>
        <w:topLinePunct w:val="0"/>
        <w:autoSpaceDE/>
        <w:autoSpaceDN/>
        <w:bidi w:val="0"/>
        <w:adjustRightInd w:val="0"/>
        <w:snapToGrid w:val="0"/>
        <w:spacing w:line="360" w:lineRule="auto"/>
        <w:jc w:val="center"/>
        <w:textAlignment w:val="auto"/>
        <w:rPr>
          <w:b/>
          <w:bCs/>
          <w:sz w:val="28"/>
          <w:szCs w:val="28"/>
        </w:rPr>
      </w:pPr>
      <w:r>
        <w:rPr>
          <w:rFonts w:hint="eastAsia"/>
          <w:b/>
          <w:bCs/>
          <w:sz w:val="28"/>
          <w:szCs w:val="28"/>
        </w:rPr>
        <w:t>谈判办法前附表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855"/>
        <w:gridCol w:w="1607"/>
        <w:gridCol w:w="2620"/>
        <w:gridCol w:w="3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0" w:type="dxa"/>
            <w:gridSpan w:val="3"/>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条款号</w:t>
            </w:r>
          </w:p>
        </w:tc>
        <w:tc>
          <w:tcPr>
            <w:tcW w:w="2620" w:type="dxa"/>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评审因素</w:t>
            </w:r>
          </w:p>
        </w:tc>
        <w:tc>
          <w:tcPr>
            <w:tcW w:w="3832" w:type="dxa"/>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dxa"/>
            <w:vMerge w:val="restart"/>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初步评审</w:t>
            </w:r>
          </w:p>
        </w:tc>
        <w:tc>
          <w:tcPr>
            <w:tcW w:w="855" w:type="dxa"/>
            <w:vMerge w:val="restart"/>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2.1.1</w:t>
            </w:r>
          </w:p>
        </w:tc>
        <w:tc>
          <w:tcPr>
            <w:tcW w:w="1607" w:type="dxa"/>
            <w:vMerge w:val="restart"/>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资格评审标准</w:t>
            </w:r>
          </w:p>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2620" w:type="dxa"/>
            <w:vAlign w:val="center"/>
          </w:tcPr>
          <w:p>
            <w:pPr>
              <w:spacing w:line="460" w:lineRule="exact"/>
              <w:jc w:val="center"/>
              <w:rPr>
                <w:rFonts w:hint="eastAsia" w:ascii="宋体" w:hAnsi="宋体" w:eastAsia="宋体" w:cs="宋体"/>
                <w:sz w:val="21"/>
                <w:szCs w:val="21"/>
              </w:rPr>
            </w:pPr>
            <w:r>
              <w:rPr>
                <w:rFonts w:hint="eastAsia" w:ascii="宋体" w:hAnsi="宋体" w:cs="宋体"/>
                <w:szCs w:val="21"/>
              </w:rPr>
              <w:t>独立承担民事责任的能力</w:t>
            </w:r>
          </w:p>
        </w:tc>
        <w:tc>
          <w:tcPr>
            <w:tcW w:w="3832" w:type="dxa"/>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详见竞标人资格要求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dxa"/>
            <w:vMerge w:val="continue"/>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855" w:type="dxa"/>
            <w:vMerge w:val="continue"/>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1607" w:type="dxa"/>
            <w:vMerge w:val="continue"/>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2620" w:type="dxa"/>
            <w:vAlign w:val="center"/>
          </w:tcPr>
          <w:p>
            <w:pPr>
              <w:jc w:val="center"/>
              <w:rPr>
                <w:rFonts w:hint="eastAsia" w:ascii="宋体" w:hAnsi="宋体" w:eastAsia="宋体" w:cs="宋体"/>
                <w:sz w:val="21"/>
                <w:szCs w:val="21"/>
              </w:rPr>
            </w:pPr>
            <w:r>
              <w:rPr>
                <w:rFonts w:hint="eastAsia" w:ascii="宋体" w:hAnsi="宋体" w:cs="宋体"/>
                <w:kern w:val="0"/>
                <w:szCs w:val="21"/>
              </w:rPr>
              <w:t>健全的财务制度</w:t>
            </w:r>
          </w:p>
        </w:tc>
        <w:tc>
          <w:tcPr>
            <w:tcW w:w="3832" w:type="dxa"/>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详见竞标人资格要求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dxa"/>
            <w:vMerge w:val="continue"/>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855" w:type="dxa"/>
            <w:vMerge w:val="continue"/>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1607" w:type="dxa"/>
            <w:vMerge w:val="continue"/>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2620" w:type="dxa"/>
            <w:vAlign w:val="center"/>
          </w:tcPr>
          <w:p>
            <w:pPr>
              <w:jc w:val="center"/>
              <w:rPr>
                <w:rFonts w:hint="default" w:ascii="宋体" w:hAnsi="宋体" w:eastAsia="宋体" w:cs="宋体"/>
                <w:sz w:val="21"/>
                <w:szCs w:val="21"/>
                <w:lang w:val="en-US" w:eastAsia="zh-CN"/>
              </w:rPr>
            </w:pPr>
            <w:r>
              <w:rPr>
                <w:rFonts w:hint="eastAsia" w:ascii="宋体" w:hAnsi="宋体" w:cs="宋体"/>
                <w:color w:val="000000"/>
                <w:szCs w:val="21"/>
              </w:rPr>
              <w:t>具有履行合同所必需的设备和专业技术能力</w:t>
            </w:r>
          </w:p>
        </w:tc>
        <w:tc>
          <w:tcPr>
            <w:tcW w:w="38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840" w:firstLineChars="400"/>
              <w:textAlignment w:val="auto"/>
              <w:rPr>
                <w:rFonts w:hint="eastAsia" w:ascii="宋体" w:hAnsi="宋体" w:eastAsia="宋体" w:cs="宋体"/>
                <w:sz w:val="21"/>
                <w:szCs w:val="21"/>
              </w:rPr>
            </w:pPr>
            <w:r>
              <w:rPr>
                <w:rFonts w:hint="eastAsia" w:ascii="宋体" w:hAnsi="宋体" w:eastAsia="宋体" w:cs="宋体"/>
                <w:sz w:val="21"/>
                <w:szCs w:val="21"/>
              </w:rPr>
              <w:t>详见竞标人资格要求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dxa"/>
            <w:vMerge w:val="continue"/>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855" w:type="dxa"/>
            <w:vMerge w:val="continue"/>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1607" w:type="dxa"/>
            <w:vMerge w:val="continue"/>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2620" w:type="dxa"/>
            <w:vAlign w:val="center"/>
          </w:tcPr>
          <w:p>
            <w:pPr>
              <w:jc w:val="center"/>
              <w:rPr>
                <w:rFonts w:hint="eastAsia" w:ascii="宋体" w:hAnsi="宋体" w:eastAsia="宋体" w:cs="宋体"/>
                <w:bCs/>
                <w:color w:val="000000"/>
                <w:kern w:val="0"/>
                <w:sz w:val="21"/>
                <w:szCs w:val="21"/>
                <w:lang w:val="en-US" w:eastAsia="zh-CN"/>
              </w:rPr>
            </w:pPr>
            <w:r>
              <w:rPr>
                <w:rFonts w:hint="eastAsia" w:ascii="宋体" w:hAnsi="宋体" w:cs="宋体"/>
                <w:szCs w:val="21"/>
              </w:rPr>
              <w:t>纳税证明及社保证明</w:t>
            </w:r>
          </w:p>
        </w:tc>
        <w:tc>
          <w:tcPr>
            <w:tcW w:w="38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840" w:firstLineChars="400"/>
              <w:textAlignment w:val="auto"/>
              <w:rPr>
                <w:rFonts w:hint="eastAsia" w:ascii="宋体" w:hAnsi="宋体" w:eastAsia="宋体" w:cs="宋体"/>
                <w:sz w:val="21"/>
                <w:szCs w:val="21"/>
              </w:rPr>
            </w:pPr>
            <w:r>
              <w:rPr>
                <w:rFonts w:hint="eastAsia" w:ascii="宋体" w:hAnsi="宋体" w:eastAsia="宋体" w:cs="宋体"/>
                <w:sz w:val="21"/>
                <w:szCs w:val="21"/>
              </w:rPr>
              <w:t>详见竞标人资格要求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dxa"/>
            <w:vMerge w:val="continue"/>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855" w:type="dxa"/>
            <w:vMerge w:val="continue"/>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1607" w:type="dxa"/>
            <w:vMerge w:val="continue"/>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2620" w:type="dxa"/>
            <w:vAlign w:val="center"/>
          </w:tcPr>
          <w:p>
            <w:pPr>
              <w:pStyle w:val="23"/>
              <w:autoSpaceDE w:val="0"/>
              <w:autoSpaceDN w:val="0"/>
              <w:adjustRightInd w:val="0"/>
              <w:spacing w:line="360" w:lineRule="auto"/>
              <w:jc w:val="center"/>
              <w:rPr>
                <w:rFonts w:hint="eastAsia" w:ascii="宋体" w:hAnsi="宋体" w:eastAsia="宋体" w:cs="宋体"/>
                <w:bCs/>
                <w:color w:val="000000"/>
                <w:kern w:val="0"/>
                <w:sz w:val="21"/>
                <w:szCs w:val="21"/>
                <w:lang w:val="en-US" w:eastAsia="zh-CN"/>
              </w:rPr>
            </w:pPr>
            <w:r>
              <w:rPr>
                <w:rFonts w:hint="eastAsia"/>
                <w:color w:val="000000"/>
                <w:sz w:val="21"/>
                <w:szCs w:val="21"/>
                <w:lang w:bidi="ar"/>
              </w:rPr>
              <w:t>信用查询</w:t>
            </w:r>
          </w:p>
        </w:tc>
        <w:tc>
          <w:tcPr>
            <w:tcW w:w="38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840" w:firstLineChars="400"/>
              <w:textAlignment w:val="auto"/>
              <w:rPr>
                <w:rFonts w:hint="eastAsia" w:ascii="宋体" w:hAnsi="宋体" w:eastAsia="宋体" w:cs="宋体"/>
                <w:sz w:val="21"/>
                <w:szCs w:val="21"/>
              </w:rPr>
            </w:pPr>
            <w:r>
              <w:rPr>
                <w:rFonts w:hint="eastAsia" w:ascii="宋体" w:hAnsi="宋体" w:eastAsia="宋体" w:cs="宋体"/>
                <w:sz w:val="21"/>
                <w:szCs w:val="21"/>
              </w:rPr>
              <w:t>详见竞标人资格要求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dxa"/>
            <w:vMerge w:val="continue"/>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855" w:type="dxa"/>
            <w:vMerge w:val="continue"/>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1607" w:type="dxa"/>
            <w:vMerge w:val="continue"/>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2620" w:type="dxa"/>
            <w:vAlign w:val="center"/>
          </w:tcPr>
          <w:p>
            <w:pPr>
              <w:pStyle w:val="23"/>
              <w:autoSpaceDE w:val="0"/>
              <w:autoSpaceDN w:val="0"/>
              <w:adjustRightInd w:val="0"/>
              <w:spacing w:line="360" w:lineRule="auto"/>
              <w:jc w:val="center"/>
              <w:rPr>
                <w:rFonts w:hint="eastAsia" w:ascii="宋体" w:hAnsi="宋体" w:eastAsia="宋体" w:cs="宋体"/>
                <w:sz w:val="21"/>
                <w:szCs w:val="21"/>
                <w:lang w:val="en-US" w:eastAsia="zh-CN"/>
              </w:rPr>
            </w:pPr>
            <w:r>
              <w:rPr>
                <w:rFonts w:hint="eastAsia"/>
                <w:color w:val="000000"/>
                <w:sz w:val="21"/>
                <w:szCs w:val="21"/>
                <w:lang w:eastAsia="zh-CN" w:bidi="ar"/>
              </w:rPr>
              <w:t>其它</w:t>
            </w:r>
          </w:p>
        </w:tc>
        <w:tc>
          <w:tcPr>
            <w:tcW w:w="38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840" w:firstLineChars="400"/>
              <w:textAlignment w:val="auto"/>
              <w:rPr>
                <w:rFonts w:hint="eastAsia" w:ascii="宋体" w:hAnsi="宋体" w:eastAsia="宋体" w:cs="宋体"/>
                <w:sz w:val="21"/>
                <w:szCs w:val="21"/>
              </w:rPr>
            </w:pPr>
            <w:r>
              <w:rPr>
                <w:rFonts w:hint="eastAsia" w:ascii="宋体" w:hAnsi="宋体" w:eastAsia="宋体" w:cs="宋体"/>
                <w:sz w:val="21"/>
                <w:szCs w:val="21"/>
              </w:rPr>
              <w:t>详见竞标人资格要求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dxa"/>
            <w:vMerge w:val="continue"/>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855" w:type="dxa"/>
            <w:vMerge w:val="restart"/>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2.1.2</w:t>
            </w:r>
          </w:p>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1607" w:type="dxa"/>
            <w:vMerge w:val="restart"/>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符合性评审标准</w:t>
            </w:r>
          </w:p>
        </w:tc>
        <w:tc>
          <w:tcPr>
            <w:tcW w:w="2620" w:type="dxa"/>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竞标人名称</w:t>
            </w:r>
          </w:p>
        </w:tc>
        <w:tc>
          <w:tcPr>
            <w:tcW w:w="3832" w:type="dxa"/>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dxa"/>
            <w:vMerge w:val="continue"/>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855" w:type="dxa"/>
            <w:vMerge w:val="continue"/>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1607" w:type="dxa"/>
            <w:vMerge w:val="continue"/>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2620" w:type="dxa"/>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谈判</w:t>
            </w:r>
            <w:r>
              <w:rPr>
                <w:rFonts w:hint="eastAsia" w:ascii="宋体" w:hAnsi="宋体" w:eastAsia="宋体" w:cs="宋体"/>
                <w:sz w:val="21"/>
                <w:szCs w:val="21"/>
              </w:rPr>
              <w:t>响应文件签字盖章</w:t>
            </w:r>
          </w:p>
        </w:tc>
        <w:tc>
          <w:tcPr>
            <w:tcW w:w="3832" w:type="dxa"/>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符合谈判文件要求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dxa"/>
            <w:vMerge w:val="continue"/>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855" w:type="dxa"/>
            <w:vMerge w:val="continue"/>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1607" w:type="dxa"/>
            <w:vMerge w:val="continue"/>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2620" w:type="dxa"/>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谈判</w:t>
            </w:r>
            <w:r>
              <w:rPr>
                <w:rFonts w:hint="eastAsia" w:ascii="宋体" w:hAnsi="宋体" w:eastAsia="宋体" w:cs="宋体"/>
                <w:sz w:val="21"/>
                <w:szCs w:val="21"/>
              </w:rPr>
              <w:t>响应文件格式</w:t>
            </w:r>
          </w:p>
        </w:tc>
        <w:tc>
          <w:tcPr>
            <w:tcW w:w="3832" w:type="dxa"/>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符合“</w:t>
            </w:r>
            <w:r>
              <w:rPr>
                <w:rFonts w:hint="eastAsia" w:ascii="宋体" w:hAnsi="宋体" w:cs="宋体"/>
                <w:sz w:val="21"/>
                <w:szCs w:val="21"/>
                <w:lang w:val="en-US" w:eastAsia="zh-CN"/>
              </w:rPr>
              <w:t>谈判</w:t>
            </w:r>
            <w:r>
              <w:rPr>
                <w:rFonts w:hint="eastAsia" w:ascii="宋体" w:hAnsi="宋体" w:eastAsia="宋体" w:cs="宋体"/>
                <w:sz w:val="21"/>
                <w:szCs w:val="21"/>
              </w:rPr>
              <w:t>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dxa"/>
            <w:vMerge w:val="continue"/>
          </w:tcPr>
          <w:p>
            <w:pPr>
              <w:keepNext w:val="0"/>
              <w:keepLines w:val="0"/>
              <w:pageBreakBefore w:val="0"/>
              <w:widowControl w:val="0"/>
              <w:kinsoku/>
              <w:wordWrap/>
              <w:overflowPunct/>
              <w:topLinePunct w:val="0"/>
              <w:bidi w:val="0"/>
              <w:adjustRightInd w:val="0"/>
              <w:snapToGrid w:val="0"/>
              <w:spacing w:line="240" w:lineRule="auto"/>
              <w:ind w:left="0" w:leftChars="0"/>
              <w:textAlignment w:val="auto"/>
              <w:rPr>
                <w:rFonts w:hint="eastAsia" w:ascii="宋体" w:hAnsi="宋体" w:eastAsia="宋体" w:cs="宋体"/>
                <w:sz w:val="21"/>
                <w:szCs w:val="21"/>
              </w:rPr>
            </w:pPr>
          </w:p>
        </w:tc>
        <w:tc>
          <w:tcPr>
            <w:tcW w:w="855" w:type="dxa"/>
            <w:vMerge w:val="continue"/>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1607" w:type="dxa"/>
            <w:vMerge w:val="continue"/>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2620" w:type="dxa"/>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谈判内容</w:t>
            </w:r>
          </w:p>
        </w:tc>
        <w:tc>
          <w:tcPr>
            <w:tcW w:w="3832" w:type="dxa"/>
            <w:vAlign w:val="center"/>
          </w:tcPr>
          <w:p>
            <w:pPr>
              <w:keepNext w:val="0"/>
              <w:keepLines w:val="0"/>
              <w:pageBreakBefore w:val="0"/>
              <w:widowControl w:val="0"/>
              <w:kinsoku/>
              <w:wordWrap/>
              <w:overflowPunct/>
              <w:topLinePunct w:val="0"/>
              <w:bidi w:val="0"/>
              <w:adjustRightInd w:val="0"/>
              <w:snapToGrid w:val="0"/>
              <w:spacing w:line="240" w:lineRule="auto"/>
              <w:ind w:left="0" w:leftChars="0" w:firstLine="105" w:firstLineChars="50"/>
              <w:jc w:val="center"/>
              <w:textAlignment w:val="auto"/>
              <w:rPr>
                <w:rFonts w:hint="eastAsia" w:ascii="宋体" w:hAnsi="宋体" w:eastAsia="宋体" w:cs="宋体"/>
                <w:sz w:val="21"/>
                <w:szCs w:val="21"/>
              </w:rPr>
            </w:pPr>
            <w:r>
              <w:rPr>
                <w:rFonts w:hint="eastAsia" w:ascii="宋体" w:hAnsi="宋体" w:eastAsia="宋体" w:cs="宋体"/>
                <w:sz w:val="21"/>
                <w:szCs w:val="21"/>
              </w:rPr>
              <w:t>见竞标人须知前附表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dxa"/>
            <w:vMerge w:val="continue"/>
          </w:tcPr>
          <w:p>
            <w:pPr>
              <w:keepNext w:val="0"/>
              <w:keepLines w:val="0"/>
              <w:pageBreakBefore w:val="0"/>
              <w:widowControl w:val="0"/>
              <w:kinsoku/>
              <w:wordWrap/>
              <w:overflowPunct/>
              <w:topLinePunct w:val="0"/>
              <w:bidi w:val="0"/>
              <w:adjustRightInd w:val="0"/>
              <w:snapToGrid w:val="0"/>
              <w:spacing w:line="240" w:lineRule="auto"/>
              <w:ind w:left="0" w:leftChars="0"/>
              <w:textAlignment w:val="auto"/>
              <w:rPr>
                <w:rFonts w:hint="eastAsia" w:ascii="宋体" w:hAnsi="宋体" w:eastAsia="宋体" w:cs="宋体"/>
                <w:sz w:val="21"/>
                <w:szCs w:val="21"/>
              </w:rPr>
            </w:pPr>
          </w:p>
        </w:tc>
        <w:tc>
          <w:tcPr>
            <w:tcW w:w="855" w:type="dxa"/>
            <w:vMerge w:val="continue"/>
          </w:tcPr>
          <w:p>
            <w:pPr>
              <w:keepNext w:val="0"/>
              <w:keepLines w:val="0"/>
              <w:pageBreakBefore w:val="0"/>
              <w:widowControl w:val="0"/>
              <w:kinsoku/>
              <w:wordWrap/>
              <w:overflowPunct/>
              <w:topLinePunct w:val="0"/>
              <w:bidi w:val="0"/>
              <w:adjustRightInd w:val="0"/>
              <w:snapToGrid w:val="0"/>
              <w:spacing w:line="240" w:lineRule="auto"/>
              <w:ind w:left="0" w:leftChars="0"/>
              <w:textAlignment w:val="auto"/>
              <w:rPr>
                <w:rFonts w:hint="eastAsia" w:ascii="宋体" w:hAnsi="宋体" w:eastAsia="宋体" w:cs="宋体"/>
                <w:sz w:val="21"/>
                <w:szCs w:val="21"/>
              </w:rPr>
            </w:pPr>
          </w:p>
        </w:tc>
        <w:tc>
          <w:tcPr>
            <w:tcW w:w="1607" w:type="dxa"/>
            <w:vMerge w:val="continue"/>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2620" w:type="dxa"/>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工期</w:t>
            </w:r>
          </w:p>
        </w:tc>
        <w:tc>
          <w:tcPr>
            <w:tcW w:w="3832" w:type="dxa"/>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见竞标人须知前附表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dxa"/>
            <w:vMerge w:val="continue"/>
          </w:tcPr>
          <w:p>
            <w:pPr>
              <w:keepNext w:val="0"/>
              <w:keepLines w:val="0"/>
              <w:pageBreakBefore w:val="0"/>
              <w:widowControl w:val="0"/>
              <w:kinsoku/>
              <w:wordWrap/>
              <w:overflowPunct/>
              <w:topLinePunct w:val="0"/>
              <w:bidi w:val="0"/>
              <w:adjustRightInd w:val="0"/>
              <w:snapToGrid w:val="0"/>
              <w:spacing w:line="240" w:lineRule="auto"/>
              <w:ind w:left="0" w:leftChars="0"/>
              <w:textAlignment w:val="auto"/>
              <w:rPr>
                <w:rFonts w:hint="eastAsia" w:ascii="宋体" w:hAnsi="宋体" w:eastAsia="宋体" w:cs="宋体"/>
                <w:sz w:val="21"/>
                <w:szCs w:val="21"/>
              </w:rPr>
            </w:pPr>
          </w:p>
        </w:tc>
        <w:tc>
          <w:tcPr>
            <w:tcW w:w="855" w:type="dxa"/>
            <w:vMerge w:val="continue"/>
          </w:tcPr>
          <w:p>
            <w:pPr>
              <w:keepNext w:val="0"/>
              <w:keepLines w:val="0"/>
              <w:pageBreakBefore w:val="0"/>
              <w:widowControl w:val="0"/>
              <w:kinsoku/>
              <w:wordWrap/>
              <w:overflowPunct/>
              <w:topLinePunct w:val="0"/>
              <w:bidi w:val="0"/>
              <w:adjustRightInd w:val="0"/>
              <w:snapToGrid w:val="0"/>
              <w:spacing w:line="240" w:lineRule="auto"/>
              <w:ind w:left="0" w:leftChars="0"/>
              <w:textAlignment w:val="auto"/>
              <w:rPr>
                <w:rFonts w:hint="eastAsia" w:ascii="宋体" w:hAnsi="宋体" w:eastAsia="宋体" w:cs="宋体"/>
                <w:sz w:val="21"/>
                <w:szCs w:val="21"/>
              </w:rPr>
            </w:pPr>
          </w:p>
        </w:tc>
        <w:tc>
          <w:tcPr>
            <w:tcW w:w="1607" w:type="dxa"/>
            <w:vMerge w:val="continue"/>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2620" w:type="dxa"/>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质量</w:t>
            </w:r>
          </w:p>
        </w:tc>
        <w:tc>
          <w:tcPr>
            <w:tcW w:w="3832" w:type="dxa"/>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见竞标人须知前附表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dxa"/>
            <w:vMerge w:val="continue"/>
          </w:tcPr>
          <w:p>
            <w:pPr>
              <w:keepNext w:val="0"/>
              <w:keepLines w:val="0"/>
              <w:pageBreakBefore w:val="0"/>
              <w:widowControl w:val="0"/>
              <w:kinsoku/>
              <w:wordWrap/>
              <w:overflowPunct/>
              <w:topLinePunct w:val="0"/>
              <w:bidi w:val="0"/>
              <w:adjustRightInd w:val="0"/>
              <w:snapToGrid w:val="0"/>
              <w:spacing w:line="240" w:lineRule="auto"/>
              <w:ind w:left="0" w:leftChars="0"/>
              <w:textAlignment w:val="auto"/>
              <w:rPr>
                <w:rFonts w:hint="eastAsia" w:ascii="宋体" w:hAnsi="宋体" w:eastAsia="宋体" w:cs="宋体"/>
                <w:sz w:val="21"/>
                <w:szCs w:val="21"/>
              </w:rPr>
            </w:pPr>
          </w:p>
        </w:tc>
        <w:tc>
          <w:tcPr>
            <w:tcW w:w="855" w:type="dxa"/>
            <w:vMerge w:val="continue"/>
          </w:tcPr>
          <w:p>
            <w:pPr>
              <w:keepNext w:val="0"/>
              <w:keepLines w:val="0"/>
              <w:pageBreakBefore w:val="0"/>
              <w:widowControl w:val="0"/>
              <w:kinsoku/>
              <w:wordWrap/>
              <w:overflowPunct/>
              <w:topLinePunct w:val="0"/>
              <w:bidi w:val="0"/>
              <w:adjustRightInd w:val="0"/>
              <w:snapToGrid w:val="0"/>
              <w:spacing w:line="240" w:lineRule="auto"/>
              <w:ind w:left="0" w:leftChars="0"/>
              <w:textAlignment w:val="auto"/>
              <w:rPr>
                <w:rFonts w:hint="eastAsia" w:ascii="宋体" w:hAnsi="宋体" w:eastAsia="宋体" w:cs="宋体"/>
                <w:sz w:val="21"/>
                <w:szCs w:val="21"/>
              </w:rPr>
            </w:pPr>
          </w:p>
        </w:tc>
        <w:tc>
          <w:tcPr>
            <w:tcW w:w="1607" w:type="dxa"/>
            <w:vMerge w:val="continue"/>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2620" w:type="dxa"/>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谈判</w:t>
            </w:r>
            <w:r>
              <w:rPr>
                <w:rFonts w:hint="eastAsia" w:ascii="宋体" w:hAnsi="宋体" w:eastAsia="宋体" w:cs="宋体"/>
                <w:sz w:val="21"/>
                <w:szCs w:val="21"/>
              </w:rPr>
              <w:t>有效期</w:t>
            </w:r>
          </w:p>
        </w:tc>
        <w:tc>
          <w:tcPr>
            <w:tcW w:w="3832" w:type="dxa"/>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见竞标人须知前附表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dxa"/>
            <w:vMerge w:val="continue"/>
          </w:tcPr>
          <w:p>
            <w:pPr>
              <w:keepNext w:val="0"/>
              <w:keepLines w:val="0"/>
              <w:pageBreakBefore w:val="0"/>
              <w:widowControl w:val="0"/>
              <w:kinsoku/>
              <w:wordWrap/>
              <w:overflowPunct/>
              <w:topLinePunct w:val="0"/>
              <w:bidi w:val="0"/>
              <w:adjustRightInd w:val="0"/>
              <w:snapToGrid w:val="0"/>
              <w:spacing w:line="240" w:lineRule="auto"/>
              <w:ind w:left="0" w:leftChars="0"/>
              <w:textAlignment w:val="auto"/>
              <w:rPr>
                <w:rFonts w:hint="eastAsia" w:ascii="宋体" w:hAnsi="宋体" w:eastAsia="宋体" w:cs="宋体"/>
                <w:sz w:val="21"/>
                <w:szCs w:val="21"/>
              </w:rPr>
            </w:pPr>
          </w:p>
        </w:tc>
        <w:tc>
          <w:tcPr>
            <w:tcW w:w="855" w:type="dxa"/>
            <w:vMerge w:val="continue"/>
          </w:tcPr>
          <w:p>
            <w:pPr>
              <w:keepNext w:val="0"/>
              <w:keepLines w:val="0"/>
              <w:pageBreakBefore w:val="0"/>
              <w:widowControl w:val="0"/>
              <w:kinsoku/>
              <w:wordWrap/>
              <w:overflowPunct/>
              <w:topLinePunct w:val="0"/>
              <w:bidi w:val="0"/>
              <w:adjustRightInd w:val="0"/>
              <w:snapToGrid w:val="0"/>
              <w:spacing w:line="240" w:lineRule="auto"/>
              <w:ind w:left="0" w:leftChars="0"/>
              <w:textAlignment w:val="auto"/>
              <w:rPr>
                <w:rFonts w:hint="eastAsia" w:ascii="宋体" w:hAnsi="宋体" w:eastAsia="宋体" w:cs="宋体"/>
                <w:sz w:val="21"/>
                <w:szCs w:val="21"/>
              </w:rPr>
            </w:pPr>
          </w:p>
        </w:tc>
        <w:tc>
          <w:tcPr>
            <w:tcW w:w="1607" w:type="dxa"/>
            <w:vMerge w:val="continue"/>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2620" w:type="dxa"/>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谈判报价</w:t>
            </w:r>
          </w:p>
        </w:tc>
        <w:tc>
          <w:tcPr>
            <w:tcW w:w="3832" w:type="dxa"/>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不得高于最高限价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32" w:type="dxa"/>
            <w:gridSpan w:val="5"/>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left"/>
              <w:textAlignment w:val="auto"/>
              <w:rPr>
                <w:rFonts w:hint="eastAsia" w:ascii="宋体" w:hAnsi="宋体" w:eastAsia="宋体" w:cs="宋体"/>
                <w:sz w:val="21"/>
                <w:szCs w:val="21"/>
              </w:rPr>
            </w:pPr>
            <w:r>
              <w:rPr>
                <w:rFonts w:hint="eastAsia" w:ascii="宋体" w:hAnsi="宋体" w:eastAsia="宋体" w:cs="宋体"/>
                <w:b/>
                <w:sz w:val="21"/>
                <w:szCs w:val="21"/>
              </w:rPr>
              <w:t>谈判程序（初步评审合格的竞标人进入谈判部分）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3" w:type="dxa"/>
            <w:gridSpan w:val="2"/>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3．2</w:t>
            </w:r>
          </w:p>
        </w:tc>
        <w:tc>
          <w:tcPr>
            <w:tcW w:w="1607" w:type="dxa"/>
            <w:vAlign w:val="center"/>
          </w:tcPr>
          <w:p>
            <w:pPr>
              <w:keepNext w:val="0"/>
              <w:keepLines w:val="0"/>
              <w:pageBreakBefore w:val="0"/>
              <w:widowControl w:val="0"/>
              <w:kinsoku/>
              <w:wordWrap/>
              <w:overflowPunct/>
              <w:topLinePunct w:val="0"/>
              <w:bidi w:val="0"/>
              <w:adjustRightInd w:val="0"/>
              <w:snapToGrid w:val="0"/>
              <w:spacing w:line="24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谈判程序</w:t>
            </w:r>
          </w:p>
        </w:tc>
        <w:tc>
          <w:tcPr>
            <w:tcW w:w="6452" w:type="dxa"/>
            <w:gridSpan w:val="2"/>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谈判共分二次进行：响应文件中的内容为第一次谈判内容，谈判小组将根据第一次谈判的内容确定竞标人参加第二次谈判，第二次谈判内容为最终谈判内容，所有参加第二次谈判（最终）的竞标人在规定时间内进行二次报价（最终报价），谈判小组按二次报价（最终报价）从低到高排序，确定成交候选人，形成谈判报告。</w:t>
            </w:r>
          </w:p>
        </w:tc>
      </w:tr>
    </w:tbl>
    <w:p>
      <w:pPr>
        <w:keepNext w:val="0"/>
        <w:keepLines w:val="0"/>
        <w:pageBreakBefore w:val="0"/>
        <w:widowControl w:val="0"/>
        <w:kinsoku/>
        <w:wordWrap/>
        <w:overflowPunct/>
        <w:topLinePunct w:val="0"/>
        <w:bidi w:val="0"/>
        <w:adjustRightInd w:val="0"/>
        <w:snapToGrid/>
        <w:spacing w:line="360" w:lineRule="auto"/>
        <w:textAlignment w:val="auto"/>
        <w:rPr>
          <w:rFonts w:hint="eastAsia" w:ascii="宋体" w:hAnsi="宋体" w:eastAsia="宋体" w:cs="宋体"/>
          <w:sz w:val="21"/>
          <w:szCs w:val="21"/>
        </w:rPr>
      </w:pPr>
      <w:bookmarkStart w:id="483" w:name="_Toc214433919"/>
      <w:bookmarkStart w:id="484" w:name="_Toc227492276"/>
      <w:bookmarkStart w:id="485" w:name="_Toc228591689"/>
      <w:bookmarkStart w:id="486" w:name="_Toc228591541"/>
      <w:bookmarkStart w:id="487" w:name="_Toc227657519"/>
      <w:bookmarkStart w:id="488" w:name="_Toc228589195"/>
      <w:bookmarkStart w:id="489" w:name="_Toc228337130"/>
      <w:bookmarkStart w:id="490" w:name="_Toc228881193"/>
      <w:bookmarkStart w:id="491" w:name="_Toc2470"/>
      <w:bookmarkStart w:id="492" w:name="_Toc349724378"/>
      <w:bookmarkStart w:id="493" w:name="_Toc390066660"/>
      <w:bookmarkStart w:id="494" w:name="_Toc399225993"/>
      <w:r>
        <w:rPr>
          <w:rFonts w:hint="eastAsia" w:ascii="宋体" w:hAnsi="宋体" w:eastAsia="宋体" w:cs="宋体"/>
          <w:sz w:val="21"/>
          <w:szCs w:val="21"/>
        </w:rPr>
        <w:t xml:space="preserve">1. </w:t>
      </w:r>
      <w:bookmarkEnd w:id="483"/>
      <w:bookmarkEnd w:id="484"/>
      <w:bookmarkEnd w:id="485"/>
      <w:bookmarkEnd w:id="486"/>
      <w:bookmarkEnd w:id="487"/>
      <w:bookmarkEnd w:id="488"/>
      <w:bookmarkEnd w:id="489"/>
      <w:bookmarkEnd w:id="490"/>
      <w:bookmarkStart w:id="495" w:name="_Toc228881194"/>
      <w:bookmarkStart w:id="496" w:name="_Toc228589196"/>
      <w:bookmarkStart w:id="497" w:name="_Toc228337131"/>
      <w:bookmarkStart w:id="498" w:name="_Toc321472083"/>
      <w:bookmarkStart w:id="499" w:name="_Toc228591690"/>
      <w:bookmarkStart w:id="500" w:name="_Toc227492277"/>
      <w:bookmarkStart w:id="501" w:name="_Toc227657520"/>
      <w:bookmarkStart w:id="502" w:name="_Toc228591542"/>
      <w:bookmarkStart w:id="503" w:name="_Toc321472343"/>
      <w:bookmarkStart w:id="504" w:name="_Toc214433920"/>
      <w:r>
        <w:rPr>
          <w:rFonts w:hint="eastAsia" w:ascii="宋体" w:hAnsi="宋体" w:eastAsia="宋体" w:cs="宋体"/>
          <w:sz w:val="21"/>
          <w:szCs w:val="21"/>
        </w:rPr>
        <w:t>谈判内容和评审标准</w:t>
      </w:r>
      <w:bookmarkEnd w:id="491"/>
      <w:bookmarkEnd w:id="492"/>
      <w:bookmarkEnd w:id="493"/>
      <w:bookmarkEnd w:id="494"/>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1.1谈判内容</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Cs/>
          <w:kern w:val="0"/>
          <w:sz w:val="21"/>
          <w:szCs w:val="21"/>
        </w:rPr>
      </w:pPr>
      <w:r>
        <w:rPr>
          <w:rFonts w:hint="eastAsia" w:ascii="宋体" w:hAnsi="宋体" w:eastAsia="宋体" w:cs="宋体"/>
          <w:kern w:val="0"/>
          <w:sz w:val="21"/>
          <w:szCs w:val="21"/>
        </w:rPr>
        <w:t>1.1.1</w:t>
      </w:r>
      <w:r>
        <w:rPr>
          <w:rFonts w:hint="eastAsia" w:ascii="宋体" w:hAnsi="宋体" w:eastAsia="宋体" w:cs="宋体"/>
          <w:bCs/>
          <w:sz w:val="21"/>
          <w:szCs w:val="21"/>
        </w:rPr>
        <w:t>初步评审标准采用合格制，谈判小组成员独立对谈判响应文件的初步评审，如有一项内容不合格，则否决其谈判，即不能进入二次报价。</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1.2二次报价（最终报价）</w:t>
      </w:r>
    </w:p>
    <w:p>
      <w:pPr>
        <w:keepNext w:val="0"/>
        <w:keepLines w:val="0"/>
        <w:pageBreakBefore w:val="0"/>
        <w:widowControl w:val="0"/>
        <w:kinsoku/>
        <w:wordWrap/>
        <w:overflowPunct/>
        <w:topLinePunct w:val="0"/>
        <w:bidi w:val="0"/>
        <w:adjustRightInd w:val="0"/>
        <w:snapToGrid/>
        <w:spacing w:line="360" w:lineRule="auto"/>
        <w:textAlignment w:val="auto"/>
        <w:rPr>
          <w:rFonts w:hint="eastAsia" w:ascii="宋体" w:hAnsi="宋体" w:eastAsia="宋体" w:cs="宋体"/>
          <w:sz w:val="21"/>
          <w:szCs w:val="21"/>
        </w:rPr>
      </w:pPr>
      <w:bookmarkStart w:id="505" w:name="_Toc3278"/>
      <w:bookmarkStart w:id="506" w:name="_Toc327565163"/>
      <w:bookmarkStart w:id="507" w:name="_Toc349724379"/>
      <w:bookmarkStart w:id="508" w:name="_Toc399225994"/>
      <w:bookmarkStart w:id="509" w:name="_Toc390066661"/>
      <w:r>
        <w:rPr>
          <w:rFonts w:hint="eastAsia" w:ascii="宋体" w:hAnsi="宋体" w:eastAsia="宋体" w:cs="宋体"/>
          <w:sz w:val="21"/>
          <w:szCs w:val="21"/>
        </w:rPr>
        <w:t>2. 评审标准</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rPr>
      </w:pPr>
      <w:bookmarkStart w:id="510" w:name="_Toc349724380"/>
      <w:bookmarkStart w:id="511" w:name="_Toc327565164"/>
      <w:bookmarkStart w:id="512" w:name="_Toc214433921"/>
      <w:bookmarkStart w:id="513" w:name="_Toc228881195"/>
      <w:bookmarkStart w:id="514" w:name="_Toc390066662"/>
      <w:bookmarkStart w:id="515" w:name="_Toc227492278"/>
      <w:bookmarkStart w:id="516" w:name="_Toc321472084"/>
      <w:bookmarkStart w:id="517" w:name="_Toc228589197"/>
      <w:bookmarkStart w:id="518" w:name="_Toc327599888"/>
      <w:bookmarkStart w:id="519" w:name="_Toc228337132"/>
      <w:bookmarkStart w:id="520" w:name="_Toc228591543"/>
      <w:bookmarkStart w:id="521" w:name="_Toc321472344"/>
      <w:bookmarkStart w:id="522" w:name="_Toc228591691"/>
      <w:bookmarkStart w:id="523" w:name="_Toc367960452"/>
      <w:bookmarkStart w:id="524" w:name="_Toc227657521"/>
      <w:r>
        <w:rPr>
          <w:rFonts w:hint="eastAsia" w:ascii="宋体" w:hAnsi="宋体" w:eastAsia="宋体" w:cs="宋体"/>
          <w:kern w:val="0"/>
          <w:sz w:val="21"/>
          <w:szCs w:val="21"/>
        </w:rPr>
        <w:t>2.1 初步评审标准</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2.1.1资格评审标准：见评标办法前附表。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2.1.2符合性评审标准：见评标办法前附表。</w:t>
      </w:r>
    </w:p>
    <w:p>
      <w:pPr>
        <w:keepNext w:val="0"/>
        <w:keepLines w:val="0"/>
        <w:pageBreakBefore w:val="0"/>
        <w:widowControl w:val="0"/>
        <w:kinsoku/>
        <w:wordWrap/>
        <w:overflowPunct/>
        <w:topLinePunct w:val="0"/>
        <w:bidi w:val="0"/>
        <w:adjustRightInd w:val="0"/>
        <w:snapToGrid/>
        <w:spacing w:line="360" w:lineRule="auto"/>
        <w:textAlignment w:val="auto"/>
        <w:rPr>
          <w:rFonts w:hint="eastAsia" w:ascii="宋体" w:hAnsi="宋体" w:eastAsia="宋体" w:cs="宋体"/>
          <w:sz w:val="21"/>
          <w:szCs w:val="21"/>
        </w:rPr>
      </w:pPr>
      <w:bookmarkStart w:id="525" w:name="_Toc399225995"/>
      <w:bookmarkStart w:id="526" w:name="_Toc227492280"/>
      <w:bookmarkStart w:id="527" w:name="_Toc228589199"/>
      <w:bookmarkStart w:id="528" w:name="_Toc349724381"/>
      <w:bookmarkStart w:id="529" w:name="_Toc228591693"/>
      <w:bookmarkStart w:id="530" w:name="_Toc321472086"/>
      <w:bookmarkStart w:id="531" w:name="_Toc22795"/>
      <w:bookmarkStart w:id="532" w:name="_Toc214433923"/>
      <w:bookmarkStart w:id="533" w:name="_Toc227657523"/>
      <w:bookmarkStart w:id="534" w:name="_Toc327565165"/>
      <w:bookmarkStart w:id="535" w:name="_Toc321472346"/>
      <w:bookmarkStart w:id="536" w:name="_Toc228881197"/>
      <w:bookmarkStart w:id="537" w:name="_Toc390066663"/>
      <w:bookmarkStart w:id="538" w:name="_Toc228337134"/>
      <w:bookmarkStart w:id="539" w:name="_Toc228591545"/>
      <w:r>
        <w:rPr>
          <w:rFonts w:hint="eastAsia" w:ascii="宋体" w:hAnsi="宋体" w:eastAsia="宋体" w:cs="宋体"/>
          <w:sz w:val="21"/>
          <w:szCs w:val="21"/>
        </w:rPr>
        <w:t>3. 谈判程序</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3.1初步评审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3.1.1初步评审是谈判小组按照谈判文件载明的评审标准，对所有谈判响应文件进行的资格评审、符合性评审。有一项不符合评审标准的，</w:t>
      </w:r>
      <w:r>
        <w:rPr>
          <w:rFonts w:hint="eastAsia" w:ascii="宋体" w:hAnsi="宋体" w:eastAsia="宋体" w:cs="宋体"/>
          <w:bCs/>
          <w:sz w:val="21"/>
          <w:szCs w:val="21"/>
        </w:rPr>
        <w:t>作否决谈判处理</w:t>
      </w:r>
      <w:r>
        <w:rPr>
          <w:rFonts w:hint="eastAsia" w:ascii="宋体" w:hAnsi="宋体" w:eastAsia="宋体" w:cs="宋体"/>
          <w:kern w:val="0"/>
          <w:sz w:val="21"/>
          <w:szCs w:val="21"/>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3.1.2谈判响应文件有下列情形之一的，由谈判小组初审后否决其谈判：</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（1）谈判响应文件未经谈判单位盖章和授权委托人签字；</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（2）谈判联合体没有提交共同谈判协议；（本项目不适用）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（3）竞标人不符合国家或者谈判文件规定的资格条件；</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（4）同一竞标人提交两个以上不同的谈判响应文件或者谈判报价，但谈判文件要求提交备选谈判的除外；</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（5）谈判报价高于谈判文件设定的最高限价；</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（6）谈判响应文件没有对谈判文件的实质性要求和条件作出响应；</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（7）竞标人有串通谈判、弄虚作假、行贿等违法行为。</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3.1.3谈判报价有算术错误的，谈判小组按以下原则对谈判报价进行修正，修正的价格经竞标人书面确认后具有约束力。竞标人不接受修正价格的，否决其谈判。</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（1）谈判响应文件中的大写金额与小写金额不一致的，以大写金额为准；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kern w:val="0"/>
          <w:sz w:val="21"/>
          <w:szCs w:val="21"/>
        </w:rPr>
      </w:pPr>
      <w:r>
        <w:rPr>
          <w:rFonts w:hint="eastAsia" w:ascii="宋体" w:hAnsi="宋体" w:eastAsia="宋体" w:cs="宋体"/>
          <w:kern w:val="0"/>
          <w:sz w:val="21"/>
          <w:szCs w:val="21"/>
        </w:rPr>
        <w:t>3.2 二次报价（最终报价）</w:t>
      </w:r>
    </w:p>
    <w:p>
      <w:pPr>
        <w:pStyle w:val="16"/>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3.2.1、谈判小组所有成员集中与通过初步评审的谈判响应人分别进行谈判；</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3.2.2、谈判小组将要求所有谈判响应人在规定的时间内进行第二次报价（最终报价）；</w:t>
      </w:r>
    </w:p>
    <w:p>
      <w:pPr>
        <w:pStyle w:val="16"/>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3.2.3、谈判小组将推荐符合本次谈判项目需求、质量和服务相等且报价合理最低的作为第一成交候选人，如报价相等，则先以公司实力（企业资质等）高的为优先，如报价相等且技术响应标准相同的则以承诺标准高的优先作为第一成交候选人。</w:t>
      </w:r>
    </w:p>
    <w:p>
      <w:pPr>
        <w:keepNext w:val="0"/>
        <w:keepLines w:val="0"/>
        <w:pageBreakBefore w:val="0"/>
        <w:widowControl w:val="0"/>
        <w:tabs>
          <w:tab w:val="left" w:pos="350"/>
        </w:tabs>
        <w:kinsoku/>
        <w:wordWrap/>
        <w:overflowPunct/>
        <w:topLinePunct w:val="0"/>
        <w:bidi w:val="0"/>
        <w:adjustRightInd w:val="0"/>
        <w:snapToGrid/>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3.2.4、谈判小组若发现竞标人的报价明显低于其他谈判报价，或者在设有标底时明显低于标底，使得其谈判报价可能低于其个别成本的，应当要求该竞标人作出说明并提供相应的证明材料。竞标人不能合理说明或者不能提供相应证明材料的，由谈判小组认定该竞标人以低于成本报价竞标，其谈判作废标处理。</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3.3谈判响应文件的澄清说明和补正</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3.3.1在评标过程中，谈判小组可以通过电子系统要求竞标人对所提交谈判响应文件中不明确的内容进行澄清或说明，或者对细微偏差进行补正。谈判小组不接受竞标人主动提出的澄清、说明或补正。</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3.3.2澄清、说明和补正不得改变谈判响应文件的实质性内容（算术性错误修正的除外）。竞标人的书面澄清、说明和补正属于谈判响应文件的组成部分。</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b/>
          <w:kern w:val="0"/>
          <w:sz w:val="21"/>
          <w:szCs w:val="21"/>
        </w:rPr>
      </w:pPr>
      <w:r>
        <w:rPr>
          <w:rFonts w:hint="eastAsia" w:ascii="宋体" w:hAnsi="宋体" w:eastAsia="宋体" w:cs="宋体"/>
          <w:kern w:val="0"/>
          <w:sz w:val="21"/>
          <w:szCs w:val="21"/>
        </w:rPr>
        <w:t>3.3.3谈判小组对竞标人提交的澄清、说明或补正有疑问的，可以要求竞标人进一步澄清、说明或补正，直至满足谈判小组的要求。</w:t>
      </w:r>
    </w:p>
    <w:p>
      <w:pPr>
        <w:keepNext w:val="0"/>
        <w:keepLines w:val="0"/>
        <w:pageBreakBefore w:val="0"/>
        <w:widowControl w:val="0"/>
        <w:kinsoku/>
        <w:wordWrap/>
        <w:overflowPunct/>
        <w:topLinePunct w:val="0"/>
        <w:bidi w:val="0"/>
        <w:adjustRightInd w:val="0"/>
        <w:snapToGrid/>
        <w:spacing w:line="360" w:lineRule="auto"/>
        <w:jc w:val="left"/>
        <w:textAlignment w:val="auto"/>
        <w:rPr>
          <w:rFonts w:hint="eastAsia" w:ascii="宋体" w:hAnsi="宋体" w:eastAsia="宋体" w:cs="宋体"/>
          <w:b/>
          <w:kern w:val="0"/>
          <w:sz w:val="21"/>
          <w:szCs w:val="21"/>
        </w:rPr>
      </w:pPr>
      <w:bookmarkStart w:id="540" w:name="_Toc399225996"/>
      <w:bookmarkStart w:id="541" w:name="_Toc9890"/>
      <w:r>
        <w:rPr>
          <w:rFonts w:hint="eastAsia" w:ascii="宋体" w:hAnsi="宋体" w:eastAsia="宋体" w:cs="宋体"/>
          <w:b/>
          <w:kern w:val="0"/>
          <w:sz w:val="21"/>
          <w:szCs w:val="21"/>
        </w:rPr>
        <w:t>4．谈判结果</w:t>
      </w:r>
      <w:bookmarkEnd w:id="540"/>
      <w:bookmarkEnd w:id="541"/>
    </w:p>
    <w:p>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4.1谈判完成后，谈判小组应当向招标人提交评标报告。</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4.2 成交原则，招标人(业主)和谈判小组根据符合本次谈判项目需求、质量和服务相等且报价最低的原则确定成交人，如报价相等，则先以技术响应标准高的为优先，如报价相等且技术响应标准相同的则以承诺标准高的优先作为成交人，采购代理机构（或业主）将结果通知所有参加谈判的未成交的谈判响应人。</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4.3评审报告应当由谈判小组全体成员签字。对谈判结果有不同意见的谈判小组成员应当说明其不同意见和理由，评审报告应当同时注明。谈判小组成员拒绝在评审报告上签字又不说明其不同意见和理由的，视为同意谈判结果。</w:t>
      </w:r>
    </w:p>
    <w:p>
      <w:pPr>
        <w:adjustRightInd w:val="0"/>
        <w:snapToGrid w:val="0"/>
        <w:spacing w:line="440" w:lineRule="exact"/>
        <w:ind w:firstLine="480" w:firstLineChars="200"/>
        <w:rPr>
          <w:rFonts w:ascii="宋体" w:hAnsi="宋体"/>
          <w:sz w:val="24"/>
          <w:szCs w:val="21"/>
        </w:rPr>
      </w:pPr>
    </w:p>
    <w:p>
      <w:pPr>
        <w:pStyle w:val="8"/>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pPr>
      <w:bookmarkStart w:id="542" w:name="_Toc349310386"/>
      <w:bookmarkStart w:id="543" w:name="_Toc338840635"/>
      <w:bookmarkStart w:id="544" w:name="_Toc152042387"/>
      <w:bookmarkStart w:id="545" w:name="_Toc338840459"/>
      <w:bookmarkStart w:id="546" w:name="_Toc246996252"/>
      <w:bookmarkStart w:id="547" w:name="_Toc247085767"/>
      <w:bookmarkStart w:id="548" w:name="_Toc144974577"/>
      <w:bookmarkStart w:id="549" w:name="_Toc152045609"/>
      <w:bookmarkStart w:id="550" w:name="_Toc340235300"/>
      <w:bookmarkStart w:id="551" w:name="_Toc179632627"/>
      <w:bookmarkStart w:id="552" w:name="_Toc246996995"/>
      <w:bookmarkStart w:id="553" w:name="_Toc338840250"/>
      <w:bookmarkStart w:id="554" w:name="_Toc338840498"/>
      <w:r>
        <w:rPr>
          <w:sz w:val="24"/>
        </w:rPr>
        <w:br w:type="page"/>
      </w:r>
      <w:bookmarkStart w:id="555" w:name="_Toc17290"/>
      <w:r>
        <w:rPr>
          <w:rFonts w:hint="eastAsia" w:ascii="宋体" w:hAnsi="宋体" w:eastAsia="宋体" w:cs="Times New Roman"/>
          <w:b/>
          <w:bCs/>
          <w:kern w:val="44"/>
          <w:sz w:val="30"/>
          <w:szCs w:val="30"/>
          <w:lang w:val="en-US" w:eastAsia="zh-CN" w:bidi="ar-SA"/>
        </w:rPr>
        <w:t>第四章 合同条款及格式</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Start w:id="556" w:name="_Toc246996338"/>
      <w:bookmarkStart w:id="557" w:name="_Toc246997081"/>
      <w:bookmarkStart w:id="558" w:name="_Toc247085853"/>
      <w:bookmarkStart w:id="559" w:name="_Toc152042551"/>
      <w:bookmarkStart w:id="560" w:name="_Toc152045769"/>
      <w:bookmarkStart w:id="561" w:name="_Toc144974831"/>
      <w:bookmarkStart w:id="562" w:name="_Toc179632787"/>
    </w:p>
    <w:bookmarkEnd w:id="556"/>
    <w:bookmarkEnd w:id="557"/>
    <w:bookmarkEnd w:id="558"/>
    <w:bookmarkEnd w:id="559"/>
    <w:bookmarkEnd w:id="560"/>
    <w:bookmarkEnd w:id="561"/>
    <w:bookmarkEnd w:id="562"/>
    <w:p>
      <w:pPr>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9"/>
        <w:rPr>
          <w:rFonts w:hint="eastAsia"/>
          <w:b w:val="0"/>
          <w:bCs w:val="0"/>
          <w:sz w:val="24"/>
          <w:szCs w:val="24"/>
          <w:lang w:val="en-US" w:eastAsia="zh-CN"/>
        </w:rPr>
      </w:pPr>
      <w:bookmarkStart w:id="563" w:name="_Toc338840499"/>
      <w:bookmarkStart w:id="564" w:name="_Toc246997083"/>
      <w:bookmarkStart w:id="565" w:name="_Toc338840251"/>
      <w:bookmarkStart w:id="566" w:name="_Toc152042554"/>
      <w:bookmarkStart w:id="567" w:name="_Toc349310387"/>
      <w:bookmarkStart w:id="568" w:name="_Toc340235301"/>
      <w:bookmarkStart w:id="569" w:name="_Toc144974834"/>
      <w:bookmarkStart w:id="570" w:name="_Toc338840460"/>
      <w:bookmarkStart w:id="571" w:name="_Toc246996340"/>
      <w:bookmarkStart w:id="572" w:name="_Toc179632789"/>
      <w:bookmarkStart w:id="573" w:name="_Toc152045772"/>
      <w:bookmarkStart w:id="574" w:name="_Toc338840636"/>
      <w:bookmarkStart w:id="575" w:name="_Toc247085855"/>
      <w:r>
        <w:rPr>
          <w:rFonts w:hint="eastAsia"/>
          <w:b w:val="0"/>
          <w:bCs w:val="0"/>
          <w:sz w:val="24"/>
          <w:szCs w:val="24"/>
          <w:lang w:val="en-US" w:eastAsia="zh-CN"/>
        </w:rPr>
        <w:t>在符合谈判要求的前提下自行签订。</w:t>
      </w:r>
    </w:p>
    <w:p>
      <w:pPr>
        <w:pStyle w:val="8"/>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sectPr>
          <w:pgSz w:w="12240" w:h="15840"/>
          <w:pgMar w:top="1418" w:right="1325" w:bottom="1418" w:left="1418" w:header="720" w:footer="720" w:gutter="0"/>
          <w:pgNumType w:fmt="decimal"/>
          <w:cols w:space="720" w:num="1"/>
          <w:docGrid w:linePitch="286" w:charSpace="0"/>
        </w:sectPr>
      </w:pPr>
      <w:r>
        <w:br w:type="page"/>
      </w:r>
    </w:p>
    <w:p>
      <w:pPr>
        <w:pStyle w:val="8"/>
        <w:pageBreakBefore w:val="0"/>
        <w:kinsoku/>
        <w:wordWrap/>
        <w:overflowPunct/>
        <w:topLinePunct w:val="0"/>
        <w:autoSpaceDE/>
        <w:autoSpaceDN/>
        <w:bidi w:val="0"/>
        <w:adjustRightInd w:val="0"/>
        <w:snapToGrid w:val="0"/>
        <w:spacing w:before="0" w:after="0" w:line="360" w:lineRule="auto"/>
        <w:jc w:val="center"/>
        <w:textAlignment w:val="auto"/>
        <w:rPr>
          <w:sz w:val="36"/>
          <w:szCs w:val="36"/>
        </w:rPr>
      </w:pPr>
      <w:bookmarkStart w:id="576" w:name="_Toc18327"/>
      <w:r>
        <w:rPr>
          <w:rFonts w:hint="eastAsia"/>
          <w:sz w:val="36"/>
          <w:szCs w:val="36"/>
        </w:rPr>
        <w:t xml:space="preserve">第五章 </w:t>
      </w:r>
      <w:bookmarkEnd w:id="563"/>
      <w:bookmarkEnd w:id="564"/>
      <w:bookmarkEnd w:id="565"/>
      <w:bookmarkEnd w:id="566"/>
      <w:bookmarkEnd w:id="567"/>
      <w:bookmarkEnd w:id="568"/>
      <w:bookmarkEnd w:id="569"/>
      <w:bookmarkEnd w:id="570"/>
      <w:bookmarkEnd w:id="571"/>
      <w:bookmarkEnd w:id="572"/>
      <w:bookmarkEnd w:id="573"/>
      <w:bookmarkEnd w:id="574"/>
      <w:bookmarkEnd w:id="575"/>
      <w:bookmarkStart w:id="577" w:name="_Toc246996350"/>
      <w:bookmarkStart w:id="578" w:name="_Toc247096438"/>
      <w:bookmarkStart w:id="579" w:name="_Toc247085866"/>
      <w:bookmarkStart w:id="580" w:name="_Toc144974851"/>
      <w:bookmarkStart w:id="581" w:name="_Toc246997093"/>
      <w:bookmarkStart w:id="582" w:name="_Toc179632800"/>
      <w:bookmarkStart w:id="583" w:name="_Toc152045782"/>
      <w:bookmarkStart w:id="584" w:name="_Toc152042571"/>
      <w:bookmarkStart w:id="585" w:name="_Toc338840500"/>
      <w:bookmarkStart w:id="586" w:name="_Toc338840252"/>
      <w:bookmarkStart w:id="587" w:name="_Toc338840637"/>
      <w:bookmarkStart w:id="588" w:name="_Toc338840461"/>
      <w:bookmarkStart w:id="589" w:name="_Toc340235302"/>
      <w:bookmarkStart w:id="590" w:name="_Toc349310388"/>
      <w:r>
        <w:rPr>
          <w:rFonts w:hint="eastAsia"/>
          <w:sz w:val="36"/>
          <w:szCs w:val="36"/>
        </w:rPr>
        <w:t>谈判内容</w:t>
      </w:r>
      <w:bookmarkEnd w:id="576"/>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Cs w:val="21"/>
          <w:highlight w:val="yellow"/>
        </w:rPr>
      </w:pPr>
      <w:r>
        <w:rPr>
          <w:rFonts w:hint="eastAsia" w:ascii="宋体" w:hAnsi="宋体" w:eastAsia="宋体" w:cs="宋体"/>
          <w:szCs w:val="21"/>
        </w:rPr>
        <w:t>1、施工内容：</w:t>
      </w:r>
      <w:r>
        <w:rPr>
          <w:rFonts w:hint="eastAsia" w:ascii="宋体" w:hAnsi="宋体" w:cs="宋体"/>
          <w:szCs w:val="21"/>
          <w:lang w:val="en-US" w:eastAsia="zh-CN"/>
        </w:rPr>
        <w:t>沟渠</w:t>
      </w:r>
      <w:r>
        <w:rPr>
          <w:rFonts w:hint="eastAsia" w:ascii="宋体" w:hAnsi="宋体" w:eastAsia="宋体" w:cs="宋体"/>
          <w:szCs w:val="21"/>
          <w:lang w:val="en-US" w:eastAsia="zh-CN"/>
        </w:rPr>
        <w:t>清淤，垃圾外运。盆刘南地</w:t>
      </w:r>
      <w:r>
        <w:rPr>
          <w:rFonts w:hint="eastAsia" w:ascii="宋体" w:hAnsi="宋体" w:cs="宋体"/>
          <w:szCs w:val="21"/>
          <w:lang w:val="en-US" w:eastAsia="zh-CN"/>
        </w:rPr>
        <w:t xml:space="preserve"> </w:t>
      </w:r>
      <w:r>
        <w:rPr>
          <w:rFonts w:hint="eastAsia" w:ascii="宋体" w:hAnsi="宋体" w:eastAsia="宋体" w:cs="宋体"/>
          <w:szCs w:val="21"/>
          <w:lang w:val="en-US" w:eastAsia="zh-CN"/>
        </w:rPr>
        <w:t xml:space="preserve"> 长1</w:t>
      </w:r>
      <w:r>
        <w:rPr>
          <w:rFonts w:hint="eastAsia" w:ascii="宋体" w:hAnsi="宋体" w:cs="宋体"/>
          <w:szCs w:val="21"/>
          <w:lang w:val="en-US" w:eastAsia="zh-CN"/>
        </w:rPr>
        <w:t>9</w:t>
      </w:r>
      <w:r>
        <w:rPr>
          <w:rFonts w:hint="eastAsia" w:ascii="宋体" w:hAnsi="宋体" w:eastAsia="宋体" w:cs="宋体"/>
          <w:szCs w:val="21"/>
          <w:lang w:val="en-US" w:eastAsia="zh-CN"/>
        </w:rPr>
        <w:t>00米，宽4米。盆刘西地 长</w:t>
      </w:r>
      <w:r>
        <w:rPr>
          <w:rFonts w:hint="eastAsia" w:ascii="宋体" w:hAnsi="宋体" w:cs="宋体"/>
          <w:szCs w:val="21"/>
          <w:lang w:val="en-US" w:eastAsia="zh-CN"/>
        </w:rPr>
        <w:t>450</w:t>
      </w:r>
      <w:r>
        <w:rPr>
          <w:rFonts w:hint="eastAsia" w:ascii="宋体" w:hAnsi="宋体" w:eastAsia="宋体" w:cs="宋体"/>
          <w:szCs w:val="21"/>
          <w:lang w:val="en-US" w:eastAsia="zh-CN"/>
        </w:rPr>
        <w:t>米，宽4米。南闹店--李寨 长1</w:t>
      </w:r>
      <w:r>
        <w:rPr>
          <w:rFonts w:hint="eastAsia" w:ascii="宋体" w:hAnsi="宋体" w:cs="宋体"/>
          <w:szCs w:val="21"/>
          <w:lang w:val="en-US" w:eastAsia="zh-CN"/>
        </w:rPr>
        <w:t>0</w:t>
      </w:r>
      <w:r>
        <w:rPr>
          <w:rFonts w:hint="eastAsia" w:ascii="宋体" w:hAnsi="宋体" w:eastAsia="宋体" w:cs="宋体"/>
          <w:szCs w:val="21"/>
          <w:lang w:val="en-US" w:eastAsia="zh-CN"/>
        </w:rPr>
        <w:t>00米，宽</w:t>
      </w:r>
      <w:r>
        <w:rPr>
          <w:rFonts w:hint="eastAsia" w:ascii="宋体" w:hAnsi="宋体" w:cs="宋体"/>
          <w:szCs w:val="21"/>
          <w:lang w:val="en-US" w:eastAsia="zh-CN"/>
        </w:rPr>
        <w:t>5</w:t>
      </w:r>
      <w:r>
        <w:rPr>
          <w:rFonts w:hint="eastAsia" w:ascii="宋体" w:hAnsi="宋体" w:eastAsia="宋体" w:cs="宋体"/>
          <w:szCs w:val="21"/>
          <w:lang w:val="en-US" w:eastAsia="zh-CN"/>
        </w:rPr>
        <w:t>米。东水坡--彭庄 长</w:t>
      </w:r>
      <w:r>
        <w:rPr>
          <w:rFonts w:hint="eastAsia" w:ascii="宋体" w:hAnsi="宋体" w:cs="宋体"/>
          <w:szCs w:val="21"/>
          <w:lang w:val="en-US" w:eastAsia="zh-CN"/>
        </w:rPr>
        <w:t>650</w:t>
      </w:r>
      <w:r>
        <w:rPr>
          <w:rFonts w:hint="eastAsia" w:ascii="宋体" w:hAnsi="宋体" w:eastAsia="宋体" w:cs="宋体"/>
          <w:szCs w:val="21"/>
          <w:lang w:val="en-US" w:eastAsia="zh-CN"/>
        </w:rPr>
        <w:t>米，宽4米。杨店南地</w:t>
      </w:r>
      <w:r>
        <w:rPr>
          <w:rFonts w:hint="eastAsia" w:ascii="宋体" w:hAnsi="宋体" w:cs="宋体"/>
          <w:szCs w:val="21"/>
          <w:lang w:val="en-US" w:eastAsia="zh-CN"/>
        </w:rPr>
        <w:t>道路两侧各长2500米，共5000米，</w:t>
      </w:r>
      <w:r>
        <w:rPr>
          <w:rFonts w:hint="eastAsia" w:ascii="宋体" w:hAnsi="宋体" w:eastAsia="宋体" w:cs="宋体"/>
          <w:szCs w:val="21"/>
          <w:lang w:val="en-US" w:eastAsia="zh-CN"/>
        </w:rPr>
        <w:t>宽4米。</w:t>
      </w:r>
      <w:r>
        <w:rPr>
          <w:rFonts w:hint="eastAsia" w:ascii="宋体" w:hAnsi="宋体" w:eastAsia="宋体" w:cs="宋体"/>
          <w:szCs w:val="21"/>
          <w:highlight w:val="yellow"/>
          <w:lang w:val="en-US" w:eastAsia="zh-CN"/>
        </w:rPr>
        <w:t>沟底深2.5米</w:t>
      </w:r>
      <w:r>
        <w:rPr>
          <w:rFonts w:hint="eastAsia" w:ascii="宋体" w:hAnsi="宋体" w:cs="宋体"/>
          <w:szCs w:val="21"/>
          <w:highlight w:val="yellow"/>
          <w:lang w:val="en-US" w:eastAsia="zh-CN"/>
        </w:rPr>
        <w:t>，</w:t>
      </w:r>
      <w:r>
        <w:rPr>
          <w:rFonts w:hint="eastAsia" w:ascii="宋体" w:hAnsi="宋体" w:eastAsia="宋体" w:cs="宋体"/>
          <w:szCs w:val="21"/>
          <w:highlight w:val="yellow"/>
          <w:lang w:val="en-US" w:eastAsia="zh-CN"/>
        </w:rPr>
        <w:t>淤泥流沙深约0.3</w:t>
      </w:r>
      <w:r>
        <w:rPr>
          <w:rFonts w:hint="eastAsia" w:ascii="宋体" w:hAnsi="宋体" w:cs="宋体"/>
          <w:szCs w:val="21"/>
          <w:highlight w:val="yellow"/>
          <w:lang w:val="en-US" w:eastAsia="zh-CN"/>
        </w:rPr>
        <w:t>5</w:t>
      </w:r>
      <w:r>
        <w:rPr>
          <w:rFonts w:hint="eastAsia" w:ascii="宋体" w:hAnsi="宋体" w:eastAsia="宋体" w:cs="宋体"/>
          <w:szCs w:val="21"/>
          <w:highlight w:val="yellow"/>
          <w:lang w:val="en-US" w:eastAsia="zh-CN"/>
        </w:rPr>
        <w:t>米，运距10公里。</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其他内容请结合实际现场勘察情况。</w:t>
      </w:r>
    </w:p>
    <w:p>
      <w:pPr>
        <w:widowControl/>
        <w:ind w:firstLine="420" w:firstLineChars="200"/>
        <w:jc w:val="left"/>
        <w:rPr>
          <w:szCs w:val="21"/>
        </w:rPr>
      </w:pPr>
      <w:r>
        <w:rPr>
          <w:rFonts w:hint="eastAsia" w:ascii="宋体" w:hAnsi="宋体" w:eastAsia="宋体" w:cs="宋体"/>
          <w:szCs w:val="21"/>
        </w:rPr>
        <w:t>2、技术要求：本工程执行国家现行的与本工程有关的施工技术及验收规范。</w:t>
      </w:r>
    </w:p>
    <w:p>
      <w:pPr>
        <w:widowControl/>
        <w:jc w:val="left"/>
        <w:rPr>
          <w:b/>
          <w:sz w:val="36"/>
          <w:szCs w:val="36"/>
        </w:rPr>
      </w:pPr>
      <w:r>
        <w:rPr>
          <w:b/>
          <w:sz w:val="36"/>
          <w:szCs w:val="36"/>
        </w:rPr>
        <w:br w:type="page"/>
      </w:r>
    </w:p>
    <w:p>
      <w:pPr>
        <w:pStyle w:val="8"/>
        <w:pageBreakBefore w:val="0"/>
        <w:kinsoku/>
        <w:wordWrap/>
        <w:overflowPunct/>
        <w:topLinePunct w:val="0"/>
        <w:autoSpaceDE/>
        <w:autoSpaceDN/>
        <w:bidi w:val="0"/>
        <w:adjustRightInd w:val="0"/>
        <w:snapToGrid w:val="0"/>
        <w:spacing w:before="0" w:after="0" w:line="360" w:lineRule="auto"/>
        <w:jc w:val="center"/>
        <w:textAlignment w:val="auto"/>
        <w:rPr>
          <w:rFonts w:hint="eastAsia" w:eastAsia="宋体" w:cs="Times New Roman"/>
          <w:sz w:val="36"/>
          <w:szCs w:val="36"/>
        </w:rPr>
      </w:pPr>
      <w:bookmarkStart w:id="591" w:name="_Toc5524"/>
      <w:r>
        <w:rPr>
          <w:rFonts w:hint="eastAsia" w:eastAsia="宋体" w:cs="Times New Roman"/>
          <w:sz w:val="36"/>
          <w:szCs w:val="36"/>
        </w:rPr>
        <w:t xml:space="preserve">第六章 </w:t>
      </w:r>
      <w:bookmarkEnd w:id="577"/>
      <w:bookmarkEnd w:id="578"/>
      <w:bookmarkEnd w:id="579"/>
      <w:bookmarkEnd w:id="580"/>
      <w:bookmarkEnd w:id="581"/>
      <w:bookmarkEnd w:id="582"/>
      <w:bookmarkEnd w:id="583"/>
      <w:bookmarkEnd w:id="584"/>
      <w:r>
        <w:rPr>
          <w:rFonts w:hint="eastAsia" w:eastAsia="宋体" w:cs="Times New Roman"/>
          <w:sz w:val="36"/>
          <w:szCs w:val="36"/>
        </w:rPr>
        <w:t>谈判响应文件格式</w:t>
      </w:r>
      <w:bookmarkEnd w:id="585"/>
      <w:bookmarkEnd w:id="586"/>
      <w:bookmarkEnd w:id="587"/>
      <w:bookmarkEnd w:id="588"/>
      <w:bookmarkEnd w:id="589"/>
      <w:bookmarkEnd w:id="590"/>
      <w:bookmarkEnd w:id="591"/>
      <w:bookmarkStart w:id="592" w:name="_Toc338840638"/>
      <w:bookmarkStart w:id="593" w:name="_Toc338840253"/>
      <w:bookmarkStart w:id="594" w:name="_Toc340235303"/>
      <w:bookmarkStart w:id="595" w:name="_Toc338840501"/>
      <w:bookmarkStart w:id="596" w:name="_Toc338840462"/>
    </w:p>
    <w:p>
      <w:pPr>
        <w:rPr>
          <w:rFonts w:hint="eastAsia"/>
        </w:rPr>
      </w:pPr>
    </w:p>
    <w:p>
      <w:pPr>
        <w:keepNext w:val="0"/>
        <w:keepLines w:val="0"/>
        <w:pageBreakBefore w:val="0"/>
        <w:kinsoku/>
        <w:wordWrap/>
        <w:overflowPunct/>
        <w:topLinePunct w:val="0"/>
        <w:autoSpaceDE/>
        <w:autoSpaceDN/>
        <w:bidi w:val="0"/>
        <w:adjustRightInd w:val="0"/>
        <w:snapToGrid w:val="0"/>
        <w:spacing w:line="360" w:lineRule="auto"/>
        <w:ind w:right="0" w:firstLine="643" w:firstLineChars="200"/>
        <w:jc w:val="center"/>
        <w:textAlignment w:val="auto"/>
        <w:rPr>
          <w:rFonts w:ascii="宋体" w:hAnsi="宋体" w:cs="宋体"/>
          <w:sz w:val="30"/>
          <w:szCs w:val="30"/>
        </w:rPr>
      </w:pPr>
      <w:r>
        <w:rPr>
          <w:rFonts w:hint="eastAsia" w:ascii="宋体" w:hAnsi="宋体" w:cs="宋体"/>
          <w:b/>
          <w:sz w:val="32"/>
          <w:u w:val="single"/>
        </w:rPr>
        <w:t xml:space="preserve">                        </w:t>
      </w:r>
      <w:r>
        <w:rPr>
          <w:rFonts w:hint="eastAsia" w:ascii="宋体" w:hAnsi="宋体" w:cs="宋体"/>
          <w:b/>
          <w:sz w:val="32"/>
        </w:rPr>
        <w:t>（项目名称）</w:t>
      </w:r>
    </w:p>
    <w:p>
      <w:pPr>
        <w:keepNext w:val="0"/>
        <w:keepLines w:val="0"/>
        <w:pageBreakBefore w:val="0"/>
        <w:kinsoku/>
        <w:wordWrap/>
        <w:overflowPunct/>
        <w:topLinePunct w:val="0"/>
        <w:autoSpaceDE/>
        <w:autoSpaceDN/>
        <w:bidi w:val="0"/>
        <w:adjustRightInd w:val="0"/>
        <w:snapToGrid w:val="0"/>
        <w:spacing w:line="360" w:lineRule="auto"/>
        <w:ind w:right="0" w:firstLine="420" w:firstLineChars="200"/>
        <w:textAlignment w:val="auto"/>
        <w:rPr>
          <w:rFonts w:ascii="宋体" w:hAnsi="宋体" w:cs="宋体"/>
        </w:rPr>
      </w:pPr>
    </w:p>
    <w:p>
      <w:pPr>
        <w:keepNext w:val="0"/>
        <w:keepLines w:val="0"/>
        <w:pageBreakBefore w:val="0"/>
        <w:kinsoku/>
        <w:wordWrap/>
        <w:overflowPunct/>
        <w:topLinePunct w:val="0"/>
        <w:autoSpaceDE/>
        <w:autoSpaceDN/>
        <w:bidi w:val="0"/>
        <w:adjustRightInd w:val="0"/>
        <w:snapToGrid w:val="0"/>
        <w:spacing w:line="360" w:lineRule="auto"/>
        <w:ind w:right="0" w:firstLine="420" w:firstLineChars="200"/>
        <w:textAlignment w:val="auto"/>
        <w:rPr>
          <w:rFonts w:ascii="宋体" w:hAnsi="宋体" w:cs="宋体"/>
        </w:rPr>
      </w:pPr>
    </w:p>
    <w:p>
      <w:pPr>
        <w:keepNext w:val="0"/>
        <w:keepLines w:val="0"/>
        <w:pageBreakBefore w:val="0"/>
        <w:kinsoku/>
        <w:wordWrap/>
        <w:overflowPunct/>
        <w:topLinePunct w:val="0"/>
        <w:autoSpaceDE/>
        <w:autoSpaceDN/>
        <w:bidi w:val="0"/>
        <w:adjustRightInd w:val="0"/>
        <w:snapToGrid w:val="0"/>
        <w:spacing w:line="360" w:lineRule="auto"/>
        <w:ind w:right="0" w:firstLine="420" w:firstLineChars="200"/>
        <w:textAlignment w:val="auto"/>
        <w:rPr>
          <w:rFonts w:ascii="宋体" w:hAnsi="宋体" w:cs="宋体"/>
        </w:rPr>
      </w:pPr>
    </w:p>
    <w:p>
      <w:pPr>
        <w:keepNext w:val="0"/>
        <w:keepLines w:val="0"/>
        <w:pageBreakBefore w:val="0"/>
        <w:kinsoku/>
        <w:wordWrap/>
        <w:overflowPunct/>
        <w:topLinePunct w:val="0"/>
        <w:autoSpaceDE/>
        <w:autoSpaceDN/>
        <w:bidi w:val="0"/>
        <w:adjustRightInd w:val="0"/>
        <w:snapToGrid w:val="0"/>
        <w:spacing w:line="360" w:lineRule="auto"/>
        <w:ind w:right="0" w:firstLine="420" w:firstLineChars="200"/>
        <w:textAlignment w:val="auto"/>
        <w:rPr>
          <w:rFonts w:ascii="宋体" w:hAnsi="宋体" w:cs="宋体"/>
        </w:rPr>
      </w:pPr>
    </w:p>
    <w:p>
      <w:pPr>
        <w:keepNext w:val="0"/>
        <w:keepLines w:val="0"/>
        <w:pageBreakBefore w:val="0"/>
        <w:kinsoku/>
        <w:wordWrap/>
        <w:overflowPunct/>
        <w:topLinePunct w:val="0"/>
        <w:autoSpaceDE/>
        <w:autoSpaceDN/>
        <w:bidi w:val="0"/>
        <w:adjustRightInd w:val="0"/>
        <w:snapToGrid w:val="0"/>
        <w:spacing w:line="360" w:lineRule="auto"/>
        <w:ind w:right="0" w:firstLine="420" w:firstLineChars="200"/>
        <w:textAlignment w:val="auto"/>
        <w:rPr>
          <w:rFonts w:ascii="宋体" w:hAnsi="宋体" w:cs="宋体"/>
        </w:rPr>
      </w:pPr>
    </w:p>
    <w:p>
      <w:pPr>
        <w:keepNext w:val="0"/>
        <w:keepLines w:val="0"/>
        <w:pageBreakBefore w:val="0"/>
        <w:kinsoku/>
        <w:wordWrap/>
        <w:overflowPunct/>
        <w:topLinePunct w:val="0"/>
        <w:autoSpaceDE/>
        <w:autoSpaceDN/>
        <w:bidi w:val="0"/>
        <w:adjustRightInd w:val="0"/>
        <w:snapToGrid w:val="0"/>
        <w:spacing w:line="360" w:lineRule="auto"/>
        <w:ind w:right="0"/>
        <w:jc w:val="center"/>
        <w:textAlignment w:val="auto"/>
        <w:rPr>
          <w:rFonts w:ascii="宋体" w:hAnsi="宋体" w:cs="宋体"/>
          <w:b/>
          <w:sz w:val="56"/>
          <w:szCs w:val="56"/>
        </w:rPr>
      </w:pPr>
      <w:r>
        <w:rPr>
          <w:rFonts w:hint="eastAsia" w:ascii="宋体" w:hAnsi="宋体" w:cs="宋体"/>
          <w:b/>
          <w:sz w:val="56"/>
          <w:szCs w:val="56"/>
        </w:rPr>
        <w:t>谈判响应文件</w:t>
      </w:r>
    </w:p>
    <w:p>
      <w:pPr>
        <w:keepNext w:val="0"/>
        <w:keepLines w:val="0"/>
        <w:pageBreakBefore w:val="0"/>
        <w:kinsoku/>
        <w:wordWrap/>
        <w:overflowPunct/>
        <w:topLinePunct w:val="0"/>
        <w:autoSpaceDE/>
        <w:autoSpaceDN/>
        <w:bidi w:val="0"/>
        <w:adjustRightInd w:val="0"/>
        <w:snapToGrid w:val="0"/>
        <w:spacing w:line="360" w:lineRule="auto"/>
        <w:ind w:right="0"/>
        <w:jc w:val="center"/>
        <w:textAlignment w:val="auto"/>
        <w:rPr>
          <w:rFonts w:ascii="宋体" w:hAnsi="宋体" w:cs="宋体"/>
          <w:sz w:val="30"/>
          <w:szCs w:val="30"/>
        </w:rPr>
      </w:pPr>
      <w:r>
        <w:rPr>
          <w:rFonts w:hint="eastAsia" w:ascii="宋体" w:hAnsi="宋体" w:cs="宋体"/>
          <w:sz w:val="30"/>
          <w:szCs w:val="30"/>
        </w:rPr>
        <w:t>项目编号：</w:t>
      </w:r>
    </w:p>
    <w:p>
      <w:pPr>
        <w:keepNext w:val="0"/>
        <w:keepLines w:val="0"/>
        <w:pageBreakBefore w:val="0"/>
        <w:kinsoku/>
        <w:wordWrap/>
        <w:overflowPunct/>
        <w:topLinePunct w:val="0"/>
        <w:autoSpaceDE/>
        <w:autoSpaceDN/>
        <w:bidi w:val="0"/>
        <w:adjustRightInd w:val="0"/>
        <w:snapToGrid w:val="0"/>
        <w:spacing w:line="360" w:lineRule="auto"/>
        <w:ind w:right="0" w:firstLine="420" w:firstLineChars="200"/>
        <w:textAlignment w:val="auto"/>
        <w:rPr>
          <w:rFonts w:ascii="宋体" w:hAnsi="宋体" w:cs="宋体"/>
          <w:u w:val="single"/>
        </w:rPr>
      </w:pPr>
      <w:r>
        <w:rPr>
          <w:rFonts w:hint="eastAsia" w:ascii="宋体" w:hAnsi="宋体" w:cs="宋体"/>
        </w:rPr>
        <w:t xml:space="preserve">                        </w:t>
      </w:r>
    </w:p>
    <w:p>
      <w:pPr>
        <w:keepNext w:val="0"/>
        <w:keepLines w:val="0"/>
        <w:pageBreakBefore w:val="0"/>
        <w:kinsoku/>
        <w:wordWrap/>
        <w:overflowPunct/>
        <w:topLinePunct w:val="0"/>
        <w:autoSpaceDE/>
        <w:autoSpaceDN/>
        <w:bidi w:val="0"/>
        <w:adjustRightInd w:val="0"/>
        <w:snapToGrid w:val="0"/>
        <w:spacing w:line="360" w:lineRule="auto"/>
        <w:ind w:right="0"/>
        <w:textAlignment w:val="auto"/>
        <w:rPr>
          <w:rFonts w:ascii="宋体" w:hAnsi="宋体" w:cs="宋体"/>
        </w:rPr>
      </w:pPr>
    </w:p>
    <w:p>
      <w:pPr>
        <w:keepNext w:val="0"/>
        <w:keepLines w:val="0"/>
        <w:pageBreakBefore w:val="0"/>
        <w:kinsoku/>
        <w:wordWrap/>
        <w:overflowPunct/>
        <w:topLinePunct w:val="0"/>
        <w:autoSpaceDE/>
        <w:autoSpaceDN/>
        <w:bidi w:val="0"/>
        <w:adjustRightInd w:val="0"/>
        <w:snapToGrid w:val="0"/>
        <w:spacing w:line="360" w:lineRule="auto"/>
        <w:ind w:right="0" w:firstLine="420" w:firstLineChars="200"/>
        <w:textAlignment w:val="auto"/>
        <w:rPr>
          <w:rFonts w:ascii="宋体" w:hAnsi="宋体" w:cs="宋体"/>
        </w:rPr>
      </w:pPr>
    </w:p>
    <w:p>
      <w:pPr>
        <w:keepNext w:val="0"/>
        <w:keepLines w:val="0"/>
        <w:pageBreakBefore w:val="0"/>
        <w:kinsoku/>
        <w:wordWrap/>
        <w:overflowPunct/>
        <w:topLinePunct w:val="0"/>
        <w:autoSpaceDE/>
        <w:autoSpaceDN/>
        <w:bidi w:val="0"/>
        <w:adjustRightInd w:val="0"/>
        <w:snapToGrid w:val="0"/>
        <w:spacing w:line="360" w:lineRule="auto"/>
        <w:ind w:right="0" w:firstLine="420" w:firstLineChars="200"/>
        <w:textAlignment w:val="auto"/>
        <w:rPr>
          <w:rFonts w:ascii="宋体" w:hAnsi="宋体" w:cs="宋体"/>
        </w:rPr>
      </w:pPr>
    </w:p>
    <w:p>
      <w:pPr>
        <w:keepNext w:val="0"/>
        <w:keepLines w:val="0"/>
        <w:pageBreakBefore w:val="0"/>
        <w:kinsoku/>
        <w:wordWrap/>
        <w:overflowPunct/>
        <w:topLinePunct w:val="0"/>
        <w:autoSpaceDE/>
        <w:autoSpaceDN/>
        <w:bidi w:val="0"/>
        <w:adjustRightInd w:val="0"/>
        <w:snapToGrid w:val="0"/>
        <w:spacing w:line="360" w:lineRule="auto"/>
        <w:ind w:right="0" w:firstLine="420" w:firstLineChars="200"/>
        <w:textAlignment w:val="auto"/>
        <w:rPr>
          <w:rFonts w:ascii="宋体" w:hAnsi="宋体" w:cs="宋体"/>
        </w:rPr>
      </w:pPr>
    </w:p>
    <w:p>
      <w:pPr>
        <w:keepNext w:val="0"/>
        <w:keepLines w:val="0"/>
        <w:pageBreakBefore w:val="0"/>
        <w:kinsoku/>
        <w:wordWrap/>
        <w:overflowPunct/>
        <w:topLinePunct w:val="0"/>
        <w:autoSpaceDE/>
        <w:autoSpaceDN/>
        <w:bidi w:val="0"/>
        <w:adjustRightInd w:val="0"/>
        <w:snapToGrid w:val="0"/>
        <w:spacing w:line="360" w:lineRule="auto"/>
        <w:ind w:right="0" w:firstLine="420" w:firstLineChars="200"/>
        <w:textAlignment w:val="auto"/>
        <w:rPr>
          <w:rFonts w:ascii="宋体" w:hAnsi="宋体" w:cs="宋体"/>
        </w:rPr>
      </w:pPr>
    </w:p>
    <w:p>
      <w:pPr>
        <w:keepNext w:val="0"/>
        <w:keepLines w:val="0"/>
        <w:pageBreakBefore w:val="0"/>
        <w:kinsoku/>
        <w:wordWrap/>
        <w:overflowPunct/>
        <w:topLinePunct w:val="0"/>
        <w:autoSpaceDE/>
        <w:autoSpaceDN/>
        <w:bidi w:val="0"/>
        <w:adjustRightInd w:val="0"/>
        <w:snapToGrid w:val="0"/>
        <w:spacing w:line="360" w:lineRule="auto"/>
        <w:ind w:right="0" w:firstLine="420" w:firstLineChars="200"/>
        <w:textAlignment w:val="auto"/>
        <w:rPr>
          <w:rFonts w:ascii="宋体" w:hAnsi="宋体" w:cs="宋体"/>
        </w:rPr>
      </w:pPr>
    </w:p>
    <w:p>
      <w:pPr>
        <w:keepNext w:val="0"/>
        <w:keepLines w:val="0"/>
        <w:pageBreakBefore w:val="0"/>
        <w:kinsoku/>
        <w:wordWrap/>
        <w:overflowPunct/>
        <w:topLinePunct w:val="0"/>
        <w:autoSpaceDE/>
        <w:autoSpaceDN/>
        <w:bidi w:val="0"/>
        <w:adjustRightInd w:val="0"/>
        <w:snapToGrid w:val="0"/>
        <w:spacing w:line="360" w:lineRule="auto"/>
        <w:ind w:right="0" w:firstLine="420" w:firstLineChars="200"/>
        <w:textAlignment w:val="auto"/>
        <w:rPr>
          <w:rFonts w:ascii="宋体" w:hAnsi="宋体" w:cs="宋体"/>
        </w:rPr>
      </w:pPr>
    </w:p>
    <w:p>
      <w:pPr>
        <w:keepNext w:val="0"/>
        <w:keepLines w:val="0"/>
        <w:pageBreakBefore w:val="0"/>
        <w:kinsoku/>
        <w:wordWrap/>
        <w:overflowPunct/>
        <w:topLinePunct w:val="0"/>
        <w:autoSpaceDE/>
        <w:autoSpaceDN/>
        <w:bidi w:val="0"/>
        <w:adjustRightInd w:val="0"/>
        <w:snapToGrid w:val="0"/>
        <w:spacing w:line="360" w:lineRule="auto"/>
        <w:ind w:right="0"/>
        <w:textAlignment w:val="auto"/>
        <w:rPr>
          <w:rFonts w:ascii="宋体" w:hAnsi="宋体" w:cs="宋体"/>
        </w:rPr>
      </w:pPr>
    </w:p>
    <w:p>
      <w:pPr>
        <w:pStyle w:val="2"/>
      </w:pPr>
    </w:p>
    <w:p>
      <w:pPr>
        <w:keepNext w:val="0"/>
        <w:keepLines w:val="0"/>
        <w:pageBreakBefore w:val="0"/>
        <w:kinsoku/>
        <w:wordWrap/>
        <w:overflowPunct/>
        <w:topLinePunct w:val="0"/>
        <w:autoSpaceDE/>
        <w:autoSpaceDN/>
        <w:bidi w:val="0"/>
        <w:adjustRightInd w:val="0"/>
        <w:snapToGrid w:val="0"/>
        <w:spacing w:line="360" w:lineRule="auto"/>
        <w:ind w:right="0"/>
        <w:jc w:val="center"/>
        <w:textAlignment w:val="auto"/>
        <w:rPr>
          <w:rFonts w:ascii="宋体" w:hAnsi="宋体" w:cs="宋体"/>
        </w:rPr>
      </w:pPr>
    </w:p>
    <w:p>
      <w:pPr>
        <w:keepNext w:val="0"/>
        <w:keepLines w:val="0"/>
        <w:pageBreakBefore w:val="0"/>
        <w:kinsoku/>
        <w:wordWrap/>
        <w:overflowPunct/>
        <w:topLinePunct w:val="0"/>
        <w:autoSpaceDE/>
        <w:autoSpaceDN/>
        <w:bidi w:val="0"/>
        <w:adjustRightInd w:val="0"/>
        <w:snapToGrid w:val="0"/>
        <w:spacing w:line="360" w:lineRule="auto"/>
        <w:ind w:right="0"/>
        <w:jc w:val="center"/>
        <w:textAlignment w:val="auto"/>
        <w:rPr>
          <w:rFonts w:ascii="宋体" w:hAnsi="宋体" w:cs="宋体"/>
          <w:sz w:val="28"/>
        </w:rPr>
      </w:pPr>
      <w:r>
        <w:rPr>
          <w:rFonts w:hint="eastAsia" w:ascii="宋体" w:hAnsi="宋体" w:cs="宋体"/>
          <w:sz w:val="28"/>
        </w:rPr>
        <w:t>竞标人：</w:t>
      </w:r>
      <w:r>
        <w:rPr>
          <w:rFonts w:hint="eastAsia" w:ascii="宋体" w:hAnsi="宋体" w:cs="宋体"/>
          <w:sz w:val="28"/>
          <w:u w:val="single"/>
        </w:rPr>
        <w:t xml:space="preserve">                        </w:t>
      </w:r>
      <w:r>
        <w:rPr>
          <w:rFonts w:hint="eastAsia" w:ascii="宋体" w:hAnsi="宋体" w:cs="宋体"/>
          <w:sz w:val="28"/>
        </w:rPr>
        <w:t>（盖单位公章）</w:t>
      </w:r>
    </w:p>
    <w:p>
      <w:pPr>
        <w:keepNext w:val="0"/>
        <w:keepLines w:val="0"/>
        <w:pageBreakBefore w:val="0"/>
        <w:kinsoku/>
        <w:wordWrap/>
        <w:overflowPunct/>
        <w:topLinePunct w:val="0"/>
        <w:autoSpaceDE/>
        <w:autoSpaceDN/>
        <w:bidi w:val="0"/>
        <w:adjustRightInd w:val="0"/>
        <w:snapToGrid w:val="0"/>
        <w:spacing w:line="360" w:lineRule="auto"/>
        <w:ind w:right="0"/>
        <w:jc w:val="center"/>
        <w:textAlignment w:val="auto"/>
        <w:rPr>
          <w:rFonts w:ascii="宋体" w:hAnsi="宋体" w:cs="宋体"/>
          <w:sz w:val="28"/>
        </w:rPr>
      </w:pPr>
      <w:r>
        <w:rPr>
          <w:rFonts w:hint="eastAsia" w:ascii="宋体" w:hAnsi="宋体" w:cs="宋体"/>
          <w:sz w:val="28"/>
          <w:lang w:eastAsia="zh-CN"/>
        </w:rPr>
        <w:t>法定代表人或委托代理人</w:t>
      </w:r>
      <w:r>
        <w:rPr>
          <w:rFonts w:hint="eastAsia" w:ascii="宋体" w:hAnsi="宋体" w:cs="宋体"/>
          <w:sz w:val="28"/>
        </w:rPr>
        <w:t>：</w:t>
      </w:r>
      <w:r>
        <w:rPr>
          <w:rFonts w:hint="eastAsia" w:ascii="宋体" w:hAnsi="宋体" w:cs="宋体"/>
          <w:sz w:val="28"/>
          <w:u w:val="single"/>
        </w:rPr>
        <w:t xml:space="preserve">             </w:t>
      </w:r>
      <w:r>
        <w:rPr>
          <w:rFonts w:hint="eastAsia" w:ascii="宋体" w:hAnsi="宋体" w:cs="宋体"/>
          <w:sz w:val="28"/>
        </w:rPr>
        <w:t>（签字或盖章）</w:t>
      </w:r>
    </w:p>
    <w:p>
      <w:pPr>
        <w:keepNext w:val="0"/>
        <w:keepLines w:val="0"/>
        <w:pageBreakBefore w:val="0"/>
        <w:kinsoku/>
        <w:wordWrap/>
        <w:overflowPunct/>
        <w:topLinePunct w:val="0"/>
        <w:autoSpaceDE/>
        <w:autoSpaceDN/>
        <w:bidi w:val="0"/>
        <w:adjustRightInd w:val="0"/>
        <w:snapToGrid w:val="0"/>
        <w:spacing w:line="360" w:lineRule="auto"/>
        <w:ind w:right="0"/>
        <w:jc w:val="center"/>
        <w:textAlignment w:val="auto"/>
        <w:rPr>
          <w:rFonts w:ascii="宋体" w:hAnsi="宋体" w:cs="宋体"/>
          <w:sz w:val="28"/>
        </w:rPr>
      </w:pPr>
      <w:r>
        <w:rPr>
          <w:rFonts w:hint="eastAsia" w:ascii="宋体" w:hAnsi="宋体" w:cs="宋体"/>
          <w:sz w:val="28"/>
          <w:u w:val="single"/>
          <w:lang w:val="en-US" w:eastAsia="zh-CN"/>
        </w:rPr>
        <w:t xml:space="preserve">    </w:t>
      </w:r>
      <w:r>
        <w:rPr>
          <w:rFonts w:hint="eastAsia" w:ascii="宋体" w:hAnsi="宋体" w:cs="宋体"/>
          <w:sz w:val="28"/>
        </w:rPr>
        <w:t>年</w:t>
      </w:r>
      <w:r>
        <w:rPr>
          <w:rFonts w:hint="eastAsia" w:ascii="宋体" w:hAnsi="宋体" w:cs="宋体"/>
          <w:sz w:val="28"/>
          <w:u w:val="single"/>
        </w:rPr>
        <w:t xml:space="preserve">    </w:t>
      </w:r>
      <w:r>
        <w:rPr>
          <w:rFonts w:hint="eastAsia" w:ascii="宋体" w:hAnsi="宋体" w:cs="宋体"/>
          <w:sz w:val="28"/>
        </w:rPr>
        <w:t>月</w:t>
      </w:r>
      <w:r>
        <w:rPr>
          <w:rFonts w:hint="eastAsia" w:ascii="宋体" w:hAnsi="宋体" w:cs="宋体"/>
          <w:sz w:val="28"/>
          <w:u w:val="single"/>
        </w:rPr>
        <w:t xml:space="preserve">    </w:t>
      </w:r>
      <w:r>
        <w:rPr>
          <w:rFonts w:hint="eastAsia" w:ascii="宋体" w:hAnsi="宋体" w:cs="宋体"/>
          <w:sz w:val="28"/>
        </w:rPr>
        <w:t>日</w:t>
      </w:r>
    </w:p>
    <w:p>
      <w:pPr>
        <w:jc w:val="center"/>
        <w:rPr>
          <w:rFonts w:hint="eastAsia" w:ascii="仿宋_GB2312" w:hAnsi="宋体"/>
          <w:kern w:val="44"/>
          <w:sz w:val="44"/>
          <w:szCs w:val="44"/>
        </w:rPr>
        <w:sectPr>
          <w:pgSz w:w="12240" w:h="15840"/>
          <w:pgMar w:top="1418" w:right="1325" w:bottom="1418" w:left="1418" w:header="720" w:footer="720" w:gutter="0"/>
          <w:pgNumType w:fmt="decimal"/>
          <w:cols w:space="720" w:num="1"/>
          <w:docGrid w:linePitch="286" w:charSpace="0"/>
        </w:sectPr>
      </w:pPr>
    </w:p>
    <w:p>
      <w:pPr>
        <w:jc w:val="center"/>
        <w:rPr>
          <w:rFonts w:ascii="仿宋_GB2312" w:hAnsi="宋体"/>
          <w:kern w:val="44"/>
          <w:sz w:val="44"/>
          <w:szCs w:val="44"/>
        </w:rPr>
      </w:pPr>
      <w:r>
        <w:rPr>
          <w:rFonts w:hint="eastAsia" w:ascii="宋体" w:hAnsi="宋体" w:eastAsia="宋体" w:cs="宋体"/>
          <w:kern w:val="44"/>
          <w:sz w:val="30"/>
          <w:szCs w:val="30"/>
        </w:rPr>
        <w:t>目    录</w:t>
      </w:r>
      <w:bookmarkEnd w:id="592"/>
      <w:bookmarkEnd w:id="593"/>
      <w:bookmarkEnd w:id="594"/>
      <w:bookmarkEnd w:id="595"/>
      <w:bookmarkEnd w:id="596"/>
    </w:p>
    <w:p>
      <w:pPr>
        <w:rPr>
          <w:rFonts w:ascii="仿宋_GB2312"/>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_GB2312"/>
          <w:sz w:val="24"/>
          <w:szCs w:val="24"/>
        </w:rPr>
      </w:pPr>
      <w:r>
        <w:rPr>
          <w:rFonts w:hint="eastAsia" w:ascii="仿宋_GB2312"/>
          <w:sz w:val="24"/>
          <w:szCs w:val="24"/>
        </w:rPr>
        <w:t>一、谈判函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_GB2312"/>
          <w:sz w:val="24"/>
          <w:szCs w:val="24"/>
        </w:rPr>
      </w:pPr>
      <w:r>
        <w:rPr>
          <w:rFonts w:hint="eastAsia" w:ascii="仿宋_GB2312"/>
          <w:sz w:val="24"/>
          <w:szCs w:val="24"/>
        </w:rPr>
        <w:t>二、谈判函附录</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_GB2312"/>
          <w:sz w:val="24"/>
          <w:szCs w:val="24"/>
        </w:rPr>
      </w:pPr>
      <w:r>
        <w:rPr>
          <w:rFonts w:hint="eastAsia" w:ascii="仿宋_GB2312"/>
          <w:sz w:val="24"/>
          <w:szCs w:val="24"/>
        </w:rPr>
        <w:t>三、</w:t>
      </w:r>
      <w:r>
        <w:rPr>
          <w:rFonts w:hint="eastAsia" w:ascii="仿宋_GB2312"/>
          <w:sz w:val="24"/>
          <w:szCs w:val="24"/>
          <w:lang w:eastAsia="zh-CN"/>
        </w:rPr>
        <w:t>法定代表人</w:t>
      </w:r>
      <w:r>
        <w:rPr>
          <w:rFonts w:hint="eastAsia" w:ascii="仿宋_GB2312"/>
          <w:sz w:val="24"/>
          <w:szCs w:val="24"/>
          <w:lang w:val="en-US" w:eastAsia="zh-CN"/>
        </w:rPr>
        <w:t>身份证明</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_GB2312"/>
          <w:sz w:val="24"/>
          <w:szCs w:val="24"/>
        </w:rPr>
      </w:pPr>
      <w:r>
        <w:rPr>
          <w:rFonts w:hint="eastAsia" w:ascii="仿宋_GB2312"/>
          <w:sz w:val="24"/>
          <w:szCs w:val="24"/>
        </w:rPr>
        <w:t>四、法定代表人授权委托书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_GB2312"/>
          <w:sz w:val="24"/>
          <w:szCs w:val="24"/>
        </w:rPr>
      </w:pPr>
      <w:r>
        <w:rPr>
          <w:rFonts w:hint="eastAsia" w:ascii="仿宋_GB2312"/>
          <w:sz w:val="24"/>
          <w:szCs w:val="24"/>
          <w:lang w:val="en-US" w:eastAsia="zh-CN"/>
        </w:rPr>
        <w:t>五</w:t>
      </w:r>
      <w:r>
        <w:rPr>
          <w:rFonts w:hint="eastAsia" w:ascii="仿宋_GB2312"/>
          <w:sz w:val="24"/>
          <w:szCs w:val="24"/>
        </w:rPr>
        <w:t>、</w:t>
      </w:r>
      <w:r>
        <w:rPr>
          <w:rFonts w:hint="eastAsia" w:ascii="仿宋_GB2312"/>
          <w:sz w:val="24"/>
          <w:szCs w:val="24"/>
          <w:lang w:val="en-US" w:eastAsia="zh-CN"/>
        </w:rPr>
        <w:t>施工质量</w:t>
      </w:r>
      <w:r>
        <w:rPr>
          <w:rFonts w:hint="eastAsia" w:ascii="仿宋_GB2312"/>
          <w:sz w:val="24"/>
          <w:szCs w:val="24"/>
        </w:rPr>
        <w:t>承诺书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仿宋_GB2312" w:eastAsia="宋体"/>
          <w:sz w:val="24"/>
          <w:szCs w:val="24"/>
          <w:lang w:val="en-US" w:eastAsia="zh-CN"/>
        </w:rPr>
      </w:pPr>
      <w:r>
        <w:rPr>
          <w:rFonts w:hint="eastAsia" w:ascii="仿宋_GB2312"/>
          <w:sz w:val="24"/>
          <w:szCs w:val="24"/>
          <w:lang w:val="en-US" w:eastAsia="zh-CN"/>
        </w:rPr>
        <w:t>六</w:t>
      </w:r>
      <w:r>
        <w:rPr>
          <w:rFonts w:hint="eastAsia" w:ascii="仿宋_GB2312"/>
          <w:sz w:val="24"/>
          <w:szCs w:val="24"/>
        </w:rPr>
        <w:t>、</w:t>
      </w:r>
      <w:r>
        <w:rPr>
          <w:rFonts w:hint="eastAsia" w:ascii="仿宋_GB2312"/>
          <w:sz w:val="24"/>
          <w:szCs w:val="24"/>
          <w:lang w:val="en-US" w:eastAsia="zh-CN"/>
        </w:rPr>
        <w:t>资格审查资料</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eastAsia="宋体"/>
          <w:sz w:val="24"/>
          <w:szCs w:val="24"/>
          <w:lang w:eastAsia="zh-CN"/>
        </w:rPr>
      </w:pPr>
      <w:r>
        <w:rPr>
          <w:rFonts w:hint="eastAsia" w:ascii="仿宋_GB2312"/>
          <w:sz w:val="24"/>
          <w:szCs w:val="24"/>
          <w:lang w:val="en-US" w:eastAsia="zh-CN"/>
        </w:rPr>
        <w:t>七</w:t>
      </w:r>
      <w:r>
        <w:rPr>
          <w:rFonts w:hint="eastAsia" w:ascii="仿宋_GB2312"/>
          <w:sz w:val="24"/>
          <w:szCs w:val="24"/>
        </w:rPr>
        <w:t>、</w:t>
      </w:r>
      <w:r>
        <w:rPr>
          <w:rFonts w:hint="eastAsia" w:ascii="仿宋_GB2312"/>
          <w:sz w:val="24"/>
          <w:szCs w:val="24"/>
          <w:lang w:val="en-US" w:eastAsia="zh-CN"/>
        </w:rPr>
        <w:t>其他资料</w:t>
      </w:r>
    </w:p>
    <w:p>
      <w:pPr>
        <w:keepNext w:val="0"/>
        <w:keepLines w:val="0"/>
        <w:pageBreakBefore w:val="0"/>
        <w:widowControl w:val="0"/>
        <w:kinsoku/>
        <w:overflowPunct/>
        <w:topLinePunct w:val="0"/>
        <w:autoSpaceDE w:val="0"/>
        <w:autoSpaceDN w:val="0"/>
        <w:bidi w:val="0"/>
        <w:adjustRightInd w:val="0"/>
        <w:snapToGrid w:val="0"/>
        <w:spacing w:line="360" w:lineRule="auto"/>
        <w:ind w:right="0"/>
        <w:jc w:val="center"/>
        <w:textAlignment w:val="auto"/>
        <w:outlineLvl w:val="1"/>
        <w:rPr>
          <w:rFonts w:ascii="宋体" w:hAnsi="宋体" w:cs="宋体"/>
          <w:b/>
          <w:color w:val="000000"/>
          <w:sz w:val="30"/>
          <w:szCs w:val="30"/>
          <w:lang w:val="zh-CN"/>
        </w:rPr>
      </w:pPr>
      <w:r>
        <w:rPr>
          <w:rFonts w:ascii="仿宋_GB2312" w:hAnsi="宋体"/>
          <w:kern w:val="44"/>
          <w:sz w:val="44"/>
          <w:szCs w:val="44"/>
        </w:rPr>
        <w:br w:type="page"/>
      </w:r>
      <w:bookmarkStart w:id="597" w:name="_Toc14242"/>
      <w:bookmarkStart w:id="598" w:name="_Toc12011"/>
      <w:r>
        <w:rPr>
          <w:rFonts w:hint="eastAsia" w:ascii="宋体" w:hAnsi="宋体" w:eastAsia="宋体" w:cs="宋体"/>
          <w:b/>
          <w:color w:val="000000"/>
          <w:sz w:val="30"/>
          <w:szCs w:val="30"/>
          <w:lang w:val="zh-CN"/>
        </w:rPr>
        <w:t>一、谈判函</w:t>
      </w:r>
      <w:bookmarkEnd w:id="597"/>
      <w:bookmarkEnd w:id="598"/>
    </w:p>
    <w:p>
      <w:pPr>
        <w:keepNext w:val="0"/>
        <w:keepLines w:val="0"/>
        <w:pageBreakBefore w:val="0"/>
        <w:widowControl w:val="0"/>
        <w:kinsoku/>
        <w:overflowPunct/>
        <w:topLinePunct w:val="0"/>
        <w:autoSpaceDE w:val="0"/>
        <w:autoSpaceDN w:val="0"/>
        <w:bidi w:val="0"/>
        <w:adjustRightInd w:val="0"/>
        <w:snapToGrid w:val="0"/>
        <w:spacing w:line="360" w:lineRule="auto"/>
        <w:ind w:right="0"/>
        <w:jc w:val="left"/>
        <w:textAlignment w:val="auto"/>
        <w:rPr>
          <w:rFonts w:ascii="宋体" w:hAnsi="宋体"/>
          <w:b/>
          <w:bCs/>
          <w:sz w:val="24"/>
          <w:szCs w:val="24"/>
        </w:rPr>
      </w:pP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（招标人名称）：</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jc w:val="left"/>
        <w:textAlignment w:val="auto"/>
        <w:rPr>
          <w:rFonts w:ascii="宋体" w:hAnsi="宋体" w:cs="宋体"/>
          <w:color w:val="000000"/>
          <w:kern w:val="0"/>
          <w:sz w:val="24"/>
          <w:szCs w:val="24"/>
        </w:rPr>
      </w:pPr>
      <w:r>
        <w:rPr>
          <w:rFonts w:hint="eastAsia" w:ascii="宋体" w:hAnsi="宋体" w:cs="宋体"/>
          <w:color w:val="000000"/>
          <w:kern w:val="0"/>
          <w:sz w:val="24"/>
          <w:szCs w:val="24"/>
        </w:rPr>
        <w:t>1．我方已仔细研究了</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（项目名称）谈判文件的全部内容，愿意以人民币（大写）_________（小写：元）___________的投标</w:t>
      </w:r>
      <w:r>
        <w:rPr>
          <w:rFonts w:hint="eastAsia" w:ascii="宋体" w:hAnsi="宋体" w:cs="宋体"/>
          <w:color w:val="000000"/>
          <w:kern w:val="0"/>
          <w:sz w:val="24"/>
          <w:szCs w:val="24"/>
          <w:lang w:val="en-US" w:eastAsia="zh-CN"/>
        </w:rPr>
        <w:t>总价</w:t>
      </w:r>
      <w:r>
        <w:rPr>
          <w:rFonts w:hint="eastAsia" w:ascii="宋体" w:hAnsi="宋体" w:cs="宋体"/>
          <w:color w:val="000000"/>
          <w:kern w:val="0"/>
          <w:sz w:val="24"/>
          <w:szCs w:val="24"/>
        </w:rPr>
        <w:t>，工期_____，按合同约定完成本项目，质量达到___________。</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jc w:val="left"/>
        <w:textAlignment w:val="auto"/>
        <w:rPr>
          <w:rFonts w:ascii="宋体" w:hAnsi="宋体" w:cs="宋体"/>
          <w:color w:val="000000"/>
          <w:kern w:val="0"/>
          <w:sz w:val="24"/>
          <w:szCs w:val="24"/>
        </w:rPr>
      </w:pPr>
      <w:r>
        <w:rPr>
          <w:rFonts w:hint="eastAsia" w:ascii="宋体" w:hAnsi="宋体" w:cs="宋体"/>
          <w:color w:val="000000"/>
          <w:kern w:val="0"/>
          <w:sz w:val="24"/>
          <w:szCs w:val="24"/>
        </w:rPr>
        <w:t>2．我方承诺在</w:t>
      </w:r>
      <w:r>
        <w:rPr>
          <w:rFonts w:hint="eastAsia" w:ascii="宋体" w:hAnsi="宋体" w:cs="宋体"/>
          <w:color w:val="000000"/>
          <w:kern w:val="0"/>
          <w:sz w:val="24"/>
          <w:szCs w:val="24"/>
          <w:lang w:val="en-US" w:eastAsia="zh-CN"/>
        </w:rPr>
        <w:t>谈判</w:t>
      </w:r>
      <w:r>
        <w:rPr>
          <w:rFonts w:hint="eastAsia" w:ascii="宋体" w:hAnsi="宋体" w:cs="宋体"/>
          <w:color w:val="000000"/>
          <w:kern w:val="0"/>
          <w:sz w:val="24"/>
          <w:szCs w:val="24"/>
        </w:rPr>
        <w:t xml:space="preserve">有效期内不修改、撤销谈判响应文件。 </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jc w:val="left"/>
        <w:textAlignment w:val="auto"/>
        <w:rPr>
          <w:rFonts w:ascii="宋体" w:hAnsi="宋体" w:cs="宋体"/>
          <w:color w:val="000000"/>
          <w:kern w:val="0"/>
          <w:sz w:val="24"/>
          <w:szCs w:val="24"/>
        </w:rPr>
      </w:pPr>
      <w:r>
        <w:rPr>
          <w:rFonts w:hint="eastAsia" w:ascii="宋体" w:hAnsi="宋体" w:cs="宋体"/>
          <w:color w:val="000000"/>
          <w:kern w:val="0"/>
          <w:sz w:val="24"/>
          <w:szCs w:val="24"/>
        </w:rPr>
        <w:t>3．如我方成交：</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jc w:val="left"/>
        <w:textAlignment w:val="auto"/>
        <w:rPr>
          <w:rFonts w:ascii="宋体" w:hAnsi="宋体" w:cs="宋体"/>
          <w:color w:val="000000"/>
          <w:kern w:val="0"/>
          <w:sz w:val="24"/>
          <w:szCs w:val="24"/>
        </w:rPr>
      </w:pPr>
      <w:r>
        <w:rPr>
          <w:rFonts w:hint="eastAsia" w:ascii="宋体" w:hAnsi="宋体" w:cs="宋体"/>
          <w:color w:val="000000"/>
          <w:kern w:val="0"/>
          <w:sz w:val="24"/>
          <w:szCs w:val="24"/>
        </w:rPr>
        <w:t>（1）我方承诺在收到成交通知书后，在成交通知书规定的期限内与你方签订合同。</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jc w:val="left"/>
        <w:textAlignment w:val="auto"/>
        <w:rPr>
          <w:rFonts w:ascii="宋体" w:hAnsi="宋体" w:cs="宋体"/>
          <w:color w:val="000000"/>
          <w:kern w:val="0"/>
          <w:sz w:val="24"/>
          <w:szCs w:val="24"/>
        </w:rPr>
      </w:pPr>
      <w:r>
        <w:rPr>
          <w:rFonts w:hint="eastAsia" w:ascii="宋体" w:hAnsi="宋体" w:cs="宋体"/>
          <w:color w:val="000000"/>
          <w:kern w:val="0"/>
          <w:sz w:val="24"/>
          <w:szCs w:val="24"/>
        </w:rPr>
        <w:t>（2）随同本投标函上传的投标函附录属于合同文件的组成部分。</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jc w:val="left"/>
        <w:textAlignment w:val="auto"/>
        <w:rPr>
          <w:rFonts w:ascii="宋体" w:hAnsi="宋体" w:cs="宋体"/>
          <w:color w:val="000000"/>
          <w:kern w:val="0"/>
          <w:sz w:val="24"/>
          <w:szCs w:val="24"/>
        </w:rPr>
      </w:pPr>
      <w:r>
        <w:rPr>
          <w:rFonts w:hint="eastAsia" w:ascii="宋体" w:hAnsi="宋体" w:cs="宋体"/>
          <w:color w:val="000000"/>
          <w:kern w:val="0"/>
          <w:sz w:val="24"/>
          <w:szCs w:val="24"/>
        </w:rPr>
        <w:t>（3）我方承诺在合同约定的期限内完成并移交全部合同项目。</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jc w:val="left"/>
        <w:textAlignment w:val="auto"/>
        <w:rPr>
          <w:rFonts w:ascii="宋体" w:hAnsi="宋体" w:cs="宋体"/>
          <w:color w:val="000000"/>
          <w:kern w:val="0"/>
          <w:sz w:val="24"/>
          <w:szCs w:val="24"/>
        </w:rPr>
      </w:pPr>
      <w:r>
        <w:rPr>
          <w:rFonts w:hint="eastAsia" w:ascii="宋体" w:hAnsi="宋体" w:cs="宋体"/>
          <w:color w:val="000000"/>
          <w:kern w:val="0"/>
          <w:sz w:val="24"/>
          <w:szCs w:val="24"/>
        </w:rPr>
        <w:t>（4）我方承诺按招标文件规定的计费标准向招标代理机构支付代理服务费。</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jc w:val="left"/>
        <w:textAlignment w:val="auto"/>
        <w:rPr>
          <w:rFonts w:ascii="宋体" w:hAnsi="宋体" w:cs="宋体"/>
          <w:color w:val="000000"/>
          <w:kern w:val="0"/>
          <w:sz w:val="24"/>
          <w:szCs w:val="24"/>
        </w:rPr>
      </w:pPr>
      <w:r>
        <w:rPr>
          <w:rFonts w:hint="eastAsia" w:ascii="宋体" w:hAnsi="宋体" w:cs="宋体"/>
          <w:color w:val="000000"/>
          <w:kern w:val="0"/>
          <w:sz w:val="24"/>
          <w:szCs w:val="24"/>
        </w:rPr>
        <w:t xml:space="preserve">4．我方在此声明，所上传的谈判响应文件及有关资料内容完整、真实和准确。 </w:t>
      </w:r>
    </w:p>
    <w:p>
      <w:pPr>
        <w:pStyle w:val="3"/>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eastAsia="宋体"/>
          <w:sz w:val="24"/>
          <w:szCs w:val="24"/>
          <w:lang w:eastAsia="zh-CN"/>
        </w:rPr>
      </w:pPr>
      <w:r>
        <w:rPr>
          <w:rFonts w:hint="eastAsia" w:hAnsi="宋体"/>
          <w:sz w:val="24"/>
          <w:szCs w:val="24"/>
        </w:rPr>
        <w:t>5</w:t>
      </w:r>
      <w:r>
        <w:rPr>
          <w:rFonts w:hint="eastAsia" w:ascii="宋体" w:hAnsi="宋体" w:cs="宋体"/>
          <w:color w:val="000000"/>
          <w:kern w:val="0"/>
          <w:sz w:val="24"/>
          <w:szCs w:val="24"/>
        </w:rPr>
        <w:t>．</w:t>
      </w:r>
      <w:r>
        <w:rPr>
          <w:rFonts w:hint="eastAsia" w:hAnsi="宋体"/>
          <w:sz w:val="24"/>
          <w:szCs w:val="24"/>
        </w:rPr>
        <w:t>其他补充说明</w:t>
      </w:r>
      <w:r>
        <w:rPr>
          <w:rFonts w:hint="eastAsia" w:hAnsi="宋体"/>
          <w:sz w:val="24"/>
          <w:szCs w:val="24"/>
          <w:u w:val="single"/>
        </w:rPr>
        <w:t xml:space="preserve">                </w:t>
      </w:r>
      <w:r>
        <w:rPr>
          <w:rFonts w:hint="eastAsia" w:hAnsi="宋体"/>
          <w:sz w:val="24"/>
          <w:szCs w:val="24"/>
          <w:u w:val="none"/>
          <w:lang w:eastAsia="zh-CN"/>
        </w:rPr>
        <w:t>。</w:t>
      </w:r>
    </w:p>
    <w:p>
      <w:pPr>
        <w:keepNext w:val="0"/>
        <w:keepLines w:val="0"/>
        <w:pageBreakBefore w:val="0"/>
        <w:widowControl w:val="0"/>
        <w:kinsoku/>
        <w:overflowPunct/>
        <w:topLinePunct w:val="0"/>
        <w:autoSpaceDE w:val="0"/>
        <w:autoSpaceDN w:val="0"/>
        <w:bidi w:val="0"/>
        <w:adjustRightInd w:val="0"/>
        <w:snapToGrid w:val="0"/>
        <w:spacing w:line="360" w:lineRule="auto"/>
        <w:ind w:right="0"/>
        <w:jc w:val="left"/>
        <w:textAlignment w:val="auto"/>
        <w:rPr>
          <w:rFonts w:ascii="宋体" w:hAnsi="宋体" w:cs="宋体"/>
          <w:color w:val="000000"/>
          <w:kern w:val="0"/>
          <w:sz w:val="24"/>
          <w:szCs w:val="24"/>
        </w:rPr>
      </w:pPr>
    </w:p>
    <w:p>
      <w:pPr>
        <w:keepNext w:val="0"/>
        <w:keepLines w:val="0"/>
        <w:pageBreakBefore w:val="0"/>
        <w:widowControl w:val="0"/>
        <w:kinsoku/>
        <w:wordWrap w:val="0"/>
        <w:overflowPunct/>
        <w:topLinePunct w:val="0"/>
        <w:bidi w:val="0"/>
        <w:adjustRightInd w:val="0"/>
        <w:snapToGrid w:val="0"/>
        <w:spacing w:line="360" w:lineRule="auto"/>
        <w:ind w:right="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xml:space="preserve"> </w:t>
      </w:r>
    </w:p>
    <w:p>
      <w:pPr>
        <w:keepNext w:val="0"/>
        <w:keepLines w:val="0"/>
        <w:pageBreakBefore w:val="0"/>
        <w:widowControl w:val="0"/>
        <w:kinsoku/>
        <w:wordWrap w:val="0"/>
        <w:overflowPunct/>
        <w:topLinePunct w:val="0"/>
        <w:bidi w:val="0"/>
        <w:adjustRightInd w:val="0"/>
        <w:snapToGrid w:val="0"/>
        <w:spacing w:line="360" w:lineRule="auto"/>
        <w:ind w:right="0"/>
        <w:jc w:val="center"/>
        <w:textAlignment w:val="auto"/>
        <w:rPr>
          <w:rFonts w:ascii="宋体" w:hAnsi="宋体" w:cs="宋体"/>
          <w:color w:val="000000"/>
          <w:kern w:val="0"/>
          <w:sz w:val="24"/>
          <w:szCs w:val="24"/>
        </w:rPr>
      </w:pPr>
    </w:p>
    <w:p>
      <w:pPr>
        <w:keepNext w:val="0"/>
        <w:keepLines w:val="0"/>
        <w:pageBreakBefore w:val="0"/>
        <w:kinsoku/>
        <w:wordWrap/>
        <w:overflowPunct/>
        <w:topLinePunct w:val="0"/>
        <w:autoSpaceDE/>
        <w:autoSpaceDN/>
        <w:bidi w:val="0"/>
        <w:adjustRightInd w:val="0"/>
        <w:snapToGrid w:val="0"/>
        <w:spacing w:line="360" w:lineRule="auto"/>
        <w:ind w:right="0"/>
        <w:jc w:val="right"/>
        <w:textAlignment w:val="auto"/>
        <w:rPr>
          <w:rFonts w:ascii="宋体" w:hAnsi="宋体" w:cs="宋体"/>
          <w:sz w:val="24"/>
          <w:szCs w:val="24"/>
        </w:rPr>
      </w:pPr>
      <w:r>
        <w:rPr>
          <w:rFonts w:hint="eastAsia" w:ascii="宋体" w:hAnsi="宋体" w:cs="宋体"/>
          <w:color w:val="000000"/>
          <w:kern w:val="0"/>
          <w:sz w:val="24"/>
          <w:szCs w:val="24"/>
        </w:rPr>
        <w:t xml:space="preserve">                      </w:t>
      </w:r>
      <w:r>
        <w:rPr>
          <w:rFonts w:hint="eastAsia" w:ascii="宋体" w:hAnsi="宋体" w:cs="宋体"/>
          <w:sz w:val="24"/>
          <w:szCs w:val="24"/>
        </w:rPr>
        <w:t>竞标人：</w:t>
      </w:r>
      <w:r>
        <w:rPr>
          <w:rFonts w:hint="eastAsia" w:ascii="宋体" w:hAnsi="宋体" w:cs="宋体"/>
          <w:sz w:val="24"/>
          <w:szCs w:val="24"/>
          <w:u w:val="single"/>
        </w:rPr>
        <w:t xml:space="preserve">                        </w:t>
      </w:r>
      <w:r>
        <w:rPr>
          <w:rFonts w:hint="eastAsia" w:ascii="宋体" w:hAnsi="宋体" w:cs="宋体"/>
          <w:sz w:val="24"/>
          <w:szCs w:val="24"/>
        </w:rPr>
        <w:t>（盖单位公章）</w:t>
      </w:r>
    </w:p>
    <w:p>
      <w:pPr>
        <w:keepNext w:val="0"/>
        <w:keepLines w:val="0"/>
        <w:pageBreakBefore w:val="0"/>
        <w:widowControl w:val="0"/>
        <w:kinsoku/>
        <w:wordWrap w:val="0"/>
        <w:overflowPunct/>
        <w:topLinePunct w:val="0"/>
        <w:bidi w:val="0"/>
        <w:adjustRightInd w:val="0"/>
        <w:snapToGrid w:val="0"/>
        <w:spacing w:line="360" w:lineRule="auto"/>
        <w:ind w:right="0"/>
        <w:jc w:val="right"/>
        <w:textAlignment w:val="auto"/>
        <w:rPr>
          <w:sz w:val="24"/>
          <w:szCs w:val="24"/>
        </w:rPr>
      </w:pPr>
      <w:r>
        <w:rPr>
          <w:rFonts w:hint="eastAsia" w:ascii="宋体" w:hAnsi="宋体" w:cs="宋体"/>
          <w:sz w:val="24"/>
          <w:szCs w:val="24"/>
          <w:lang w:eastAsia="zh-CN"/>
        </w:rPr>
        <w:t>法定代表人或委托代理人</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（签字或盖章）</w:t>
      </w:r>
    </w:p>
    <w:p>
      <w:pPr>
        <w:keepNext w:val="0"/>
        <w:keepLines w:val="0"/>
        <w:pageBreakBefore w:val="0"/>
        <w:widowControl w:val="0"/>
        <w:kinsoku/>
        <w:overflowPunct/>
        <w:topLinePunct w:val="0"/>
        <w:autoSpaceDE w:val="0"/>
        <w:autoSpaceDN w:val="0"/>
        <w:bidi w:val="0"/>
        <w:adjustRightInd w:val="0"/>
        <w:snapToGrid w:val="0"/>
        <w:spacing w:line="360" w:lineRule="auto"/>
        <w:ind w:right="0" w:firstLine="2880" w:firstLineChars="1200"/>
        <w:jc w:val="right"/>
        <w:textAlignment w:val="auto"/>
        <w:rPr>
          <w:rFonts w:ascii="宋体" w:hAnsi="宋体"/>
          <w:b/>
          <w:bCs/>
          <w:sz w:val="24"/>
          <w:szCs w:val="24"/>
        </w:rPr>
      </w:pP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年_____ 月_____ 日</w:t>
      </w:r>
    </w:p>
    <w:p>
      <w:pPr>
        <w:spacing w:line="360" w:lineRule="auto"/>
        <w:jc w:val="center"/>
        <w:rPr>
          <w:rFonts w:ascii="宋体" w:hAnsi="宋体" w:cs="宋体"/>
          <w:b/>
          <w:color w:val="000000"/>
          <w:sz w:val="24"/>
          <w:szCs w:val="24"/>
        </w:rPr>
      </w:pPr>
    </w:p>
    <w:p>
      <w:pPr>
        <w:widowControl/>
        <w:spacing w:line="480" w:lineRule="atLeast"/>
        <w:jc w:val="center"/>
        <w:rPr>
          <w:sz w:val="24"/>
          <w:szCs w:val="24"/>
        </w:rPr>
        <w:sectPr>
          <w:pgSz w:w="12240" w:h="15840"/>
          <w:pgMar w:top="1418" w:right="1325" w:bottom="1418" w:left="1418" w:header="720" w:footer="720" w:gutter="0"/>
          <w:pgNumType w:fmt="decimal"/>
          <w:cols w:space="720" w:num="1"/>
          <w:docGrid w:linePitch="286" w:charSpace="0"/>
        </w:sectPr>
      </w:pPr>
    </w:p>
    <w:p>
      <w:pPr>
        <w:keepNext w:val="0"/>
        <w:keepLines w:val="0"/>
        <w:pageBreakBefore w:val="0"/>
        <w:widowControl w:val="0"/>
        <w:kinsoku/>
        <w:overflowPunct/>
        <w:topLinePunct w:val="0"/>
        <w:autoSpaceDE w:val="0"/>
        <w:autoSpaceDN w:val="0"/>
        <w:bidi w:val="0"/>
        <w:adjustRightInd w:val="0"/>
        <w:snapToGrid w:val="0"/>
        <w:spacing w:line="360" w:lineRule="auto"/>
        <w:ind w:right="0"/>
        <w:jc w:val="center"/>
        <w:textAlignment w:val="auto"/>
        <w:outlineLvl w:val="1"/>
        <w:rPr>
          <w:rFonts w:hint="eastAsia" w:ascii="宋体" w:hAnsi="宋体" w:eastAsia="宋体" w:cs="宋体"/>
          <w:b/>
          <w:color w:val="000000"/>
          <w:sz w:val="30"/>
          <w:szCs w:val="30"/>
          <w:lang w:val="zh-CN"/>
        </w:rPr>
      </w:pPr>
      <w:bookmarkStart w:id="599" w:name="_Toc338840255"/>
      <w:bookmarkStart w:id="600" w:name="_Toc338840503"/>
      <w:bookmarkStart w:id="601" w:name="_Toc340235305"/>
      <w:bookmarkStart w:id="602" w:name="_Toc338840640"/>
      <w:bookmarkStart w:id="603" w:name="_Toc338840464"/>
      <w:bookmarkStart w:id="604" w:name="_Toc7704"/>
      <w:bookmarkStart w:id="605" w:name="_Toc3677"/>
      <w:bookmarkStart w:id="606" w:name="_Toc288115062"/>
      <w:bookmarkStart w:id="607" w:name="_Toc288115087"/>
      <w:r>
        <w:rPr>
          <w:rFonts w:hint="eastAsia" w:ascii="宋体" w:hAnsi="宋体" w:eastAsia="宋体" w:cs="宋体"/>
          <w:b/>
          <w:color w:val="000000"/>
          <w:sz w:val="30"/>
          <w:szCs w:val="30"/>
          <w:lang w:val="zh-CN"/>
        </w:rPr>
        <w:t>二</w:t>
      </w:r>
      <w:bookmarkEnd w:id="599"/>
      <w:bookmarkEnd w:id="600"/>
      <w:bookmarkEnd w:id="601"/>
      <w:bookmarkEnd w:id="602"/>
      <w:bookmarkEnd w:id="603"/>
      <w:r>
        <w:rPr>
          <w:rFonts w:hint="eastAsia" w:ascii="宋体" w:hAnsi="宋体" w:eastAsia="宋体" w:cs="宋体"/>
          <w:b/>
          <w:color w:val="000000"/>
          <w:sz w:val="30"/>
          <w:szCs w:val="30"/>
          <w:lang w:val="zh-CN"/>
        </w:rPr>
        <w:t>、谈判函附录</w:t>
      </w:r>
      <w:bookmarkEnd w:id="604"/>
      <w:bookmarkEnd w:id="605"/>
    </w:p>
    <w:tbl>
      <w:tblPr>
        <w:tblStyle w:val="26"/>
        <w:tblW w:w="902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3"/>
        <w:gridCol w:w="2815"/>
        <w:gridCol w:w="3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303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599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303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竞标人名称</w:t>
            </w:r>
          </w:p>
        </w:tc>
        <w:tc>
          <w:tcPr>
            <w:tcW w:w="599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303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投标总价（元）</w:t>
            </w:r>
          </w:p>
        </w:tc>
        <w:tc>
          <w:tcPr>
            <w:tcW w:w="28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hanging="720" w:hangingChars="3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大写：</w:t>
            </w:r>
          </w:p>
        </w:tc>
        <w:tc>
          <w:tcPr>
            <w:tcW w:w="317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303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工期</w:t>
            </w:r>
          </w:p>
        </w:tc>
        <w:tc>
          <w:tcPr>
            <w:tcW w:w="599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303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质量</w:t>
            </w:r>
          </w:p>
        </w:tc>
        <w:tc>
          <w:tcPr>
            <w:tcW w:w="599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303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谈判有效期</w:t>
            </w:r>
          </w:p>
        </w:tc>
        <w:tc>
          <w:tcPr>
            <w:tcW w:w="599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303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其他补充说明</w:t>
            </w:r>
          </w:p>
        </w:tc>
        <w:tc>
          <w:tcPr>
            <w:tcW w:w="599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240" w:firstLineChars="100"/>
              <w:textAlignment w:val="auto"/>
              <w:rPr>
                <w:rFonts w:hint="eastAsia" w:ascii="宋体" w:hAnsi="宋体" w:eastAsia="宋体" w:cs="宋体"/>
                <w:color w:val="000000"/>
                <w:sz w:val="24"/>
                <w:szCs w:val="24"/>
              </w:rPr>
            </w:pPr>
          </w:p>
        </w:tc>
      </w:tr>
    </w:tbl>
    <w:p>
      <w:pPr>
        <w:spacing w:line="480" w:lineRule="auto"/>
        <w:rPr>
          <w:rFonts w:ascii="仿宋_GB2312" w:hAnsi="宋体"/>
          <w:sz w:val="44"/>
          <w:szCs w:val="44"/>
        </w:rPr>
      </w:pPr>
    </w:p>
    <w:p>
      <w:pPr>
        <w:spacing w:line="480" w:lineRule="auto"/>
        <w:rPr>
          <w:rFonts w:ascii="仿宋_GB2312" w:hAnsi="宋体"/>
          <w:sz w:val="24"/>
          <w:szCs w:val="32"/>
        </w:rPr>
      </w:pPr>
    </w:p>
    <w:p>
      <w:pPr>
        <w:keepNext w:val="0"/>
        <w:keepLines w:val="0"/>
        <w:pageBreakBefore w:val="0"/>
        <w:kinsoku/>
        <w:wordWrap/>
        <w:overflowPunct/>
        <w:topLinePunct w:val="0"/>
        <w:autoSpaceDE/>
        <w:autoSpaceDN/>
        <w:bidi w:val="0"/>
        <w:adjustRightInd w:val="0"/>
        <w:snapToGrid w:val="0"/>
        <w:spacing w:line="360" w:lineRule="auto"/>
        <w:ind w:right="0"/>
        <w:jc w:val="right"/>
        <w:textAlignment w:val="auto"/>
        <w:rPr>
          <w:rFonts w:ascii="宋体" w:hAnsi="宋体" w:cs="宋体"/>
          <w:sz w:val="24"/>
          <w:szCs w:val="24"/>
        </w:rPr>
      </w:pPr>
      <w:r>
        <w:rPr>
          <w:rFonts w:hint="eastAsia" w:ascii="宋体" w:hAnsi="宋体" w:cs="宋体"/>
          <w:sz w:val="24"/>
          <w:szCs w:val="24"/>
        </w:rPr>
        <w:t>竞标人：</w:t>
      </w:r>
      <w:r>
        <w:rPr>
          <w:rFonts w:hint="eastAsia" w:ascii="宋体" w:hAnsi="宋体" w:cs="宋体"/>
          <w:sz w:val="24"/>
          <w:szCs w:val="24"/>
          <w:u w:val="single"/>
        </w:rPr>
        <w:t xml:space="preserve">                        </w:t>
      </w:r>
      <w:r>
        <w:rPr>
          <w:rFonts w:hint="eastAsia" w:ascii="宋体" w:hAnsi="宋体" w:cs="宋体"/>
          <w:sz w:val="24"/>
          <w:szCs w:val="24"/>
        </w:rPr>
        <w:t>（盖单位公章）</w:t>
      </w:r>
    </w:p>
    <w:p>
      <w:pPr>
        <w:keepNext w:val="0"/>
        <w:keepLines w:val="0"/>
        <w:pageBreakBefore w:val="0"/>
        <w:widowControl w:val="0"/>
        <w:kinsoku/>
        <w:wordWrap/>
        <w:overflowPunct/>
        <w:topLinePunct w:val="0"/>
        <w:bidi w:val="0"/>
        <w:adjustRightInd w:val="0"/>
        <w:snapToGrid w:val="0"/>
        <w:spacing w:line="360" w:lineRule="auto"/>
        <w:ind w:right="0"/>
        <w:jc w:val="right"/>
        <w:textAlignment w:val="auto"/>
        <w:rPr>
          <w:sz w:val="24"/>
          <w:szCs w:val="24"/>
        </w:rPr>
      </w:pPr>
      <w:r>
        <w:rPr>
          <w:rFonts w:hint="eastAsia" w:ascii="宋体" w:hAnsi="宋体" w:cs="宋体"/>
          <w:sz w:val="24"/>
          <w:szCs w:val="24"/>
          <w:lang w:eastAsia="zh-CN"/>
        </w:rPr>
        <w:t>法定代表人或委托代理人</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（签字或盖章）</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2880" w:firstLineChars="1200"/>
        <w:jc w:val="center"/>
        <w:textAlignment w:val="auto"/>
        <w:outlineLvl w:val="9"/>
        <w:rPr>
          <w:rFonts w:hint="eastAsia" w:ascii="宋体" w:hAnsi="宋体" w:cs="宋体"/>
          <w:color w:val="000000"/>
          <w:kern w:val="0"/>
          <w:sz w:val="24"/>
          <w:szCs w:val="24"/>
        </w:rPr>
      </w:pPr>
      <w:r>
        <w:rPr>
          <w:rFonts w:hint="eastAsia" w:ascii="宋体" w:hAnsi="宋体" w:cs="宋体"/>
          <w:color w:val="000000"/>
          <w:kern w:val="0"/>
          <w:sz w:val="24"/>
          <w:szCs w:val="24"/>
          <w:u w:val="single"/>
          <w:lang w:val="en-US" w:eastAsia="zh-CN"/>
        </w:rPr>
        <w:t xml:space="preserve">      </w:t>
      </w:r>
      <w:r>
        <w:rPr>
          <w:rFonts w:hint="eastAsia" w:ascii="宋体" w:hAnsi="宋体" w:cs="宋体"/>
          <w:color w:val="000000"/>
          <w:kern w:val="0"/>
          <w:sz w:val="24"/>
          <w:szCs w:val="24"/>
        </w:rPr>
        <w:t>年_____月_____日</w:t>
      </w:r>
    </w:p>
    <w:p>
      <w:pPr>
        <w:pStyle w:val="2"/>
        <w:rPr>
          <w:rFonts w:hint="eastAsia"/>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0"/>
        <w:jc w:val="center"/>
        <w:textAlignment w:val="auto"/>
        <w:outlineLvl w:val="1"/>
        <w:rPr>
          <w:rFonts w:ascii="仿宋_GB2312" w:hAnsi="宋体"/>
          <w:sz w:val="24"/>
          <w:szCs w:val="24"/>
        </w:rPr>
      </w:pPr>
      <w:r>
        <w:rPr>
          <w:rFonts w:hint="eastAsia" w:ascii="仿宋_GB2312" w:hAnsi="宋体"/>
          <w:sz w:val="32"/>
          <w:szCs w:val="32"/>
        </w:rPr>
        <w:br w:type="page"/>
      </w:r>
      <w:bookmarkStart w:id="608" w:name="_Toc340235306"/>
      <w:bookmarkStart w:id="609" w:name="_Toc338840465"/>
      <w:bookmarkStart w:id="610" w:name="_Toc338840504"/>
      <w:bookmarkStart w:id="611" w:name="_Toc338840641"/>
      <w:bookmarkStart w:id="612" w:name="_Toc338840256"/>
      <w:bookmarkStart w:id="613" w:name="_Toc29374"/>
      <w:bookmarkStart w:id="614" w:name="_Toc15400"/>
      <w:r>
        <w:rPr>
          <w:rFonts w:hint="eastAsia" w:ascii="宋体" w:hAnsi="宋体" w:eastAsia="宋体" w:cs="宋体"/>
          <w:b/>
          <w:color w:val="000000"/>
          <w:sz w:val="30"/>
          <w:szCs w:val="30"/>
          <w:lang w:val="zh-CN"/>
        </w:rPr>
        <w:t>三</w:t>
      </w:r>
      <w:bookmarkEnd w:id="608"/>
      <w:bookmarkEnd w:id="609"/>
      <w:bookmarkEnd w:id="610"/>
      <w:bookmarkEnd w:id="611"/>
      <w:bookmarkEnd w:id="612"/>
      <w:r>
        <w:rPr>
          <w:rFonts w:hint="eastAsia" w:ascii="宋体" w:hAnsi="宋体" w:eastAsia="宋体" w:cs="宋体"/>
          <w:b/>
          <w:color w:val="000000"/>
          <w:sz w:val="30"/>
          <w:szCs w:val="30"/>
          <w:lang w:val="zh-CN"/>
        </w:rPr>
        <w:t>、法定代表人身份证明</w:t>
      </w:r>
      <w:bookmarkEnd w:id="613"/>
      <w:bookmarkEnd w:id="614"/>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仿宋_GB2312" w:hAnsi="宋体"/>
          <w:sz w:val="24"/>
          <w:szCs w:val="24"/>
        </w:rPr>
      </w:pPr>
      <w:bookmarkStart w:id="615" w:name="_Toc288114460"/>
      <w:r>
        <w:rPr>
          <w:rFonts w:hint="eastAsia" w:ascii="仿宋_GB2312" w:hAnsi="宋体"/>
          <w:sz w:val="24"/>
          <w:szCs w:val="24"/>
        </w:rPr>
        <w:t>竞标人名称：</w:t>
      </w:r>
      <w:bookmarkEnd w:id="615"/>
      <w:r>
        <w:rPr>
          <w:rFonts w:hint="eastAsia" w:ascii="仿宋_GB2312" w:hAnsi="宋体"/>
          <w:sz w:val="24"/>
          <w:szCs w:val="24"/>
          <w:u w:val="single"/>
        </w:rPr>
        <w:t xml:space="preserve">                </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仿宋_GB2312" w:hAnsi="宋体"/>
          <w:sz w:val="24"/>
          <w:szCs w:val="24"/>
          <w:u w:val="single"/>
        </w:rPr>
      </w:pPr>
      <w:bookmarkStart w:id="616" w:name="_Toc288114461"/>
      <w:r>
        <w:rPr>
          <w:rFonts w:hint="eastAsia" w:ascii="仿宋_GB2312" w:hAnsi="宋体"/>
          <w:sz w:val="24"/>
          <w:szCs w:val="24"/>
        </w:rPr>
        <w:t>单位性质：</w:t>
      </w:r>
      <w:bookmarkEnd w:id="616"/>
      <w:r>
        <w:rPr>
          <w:rFonts w:hint="eastAsia" w:ascii="仿宋_GB2312" w:hAnsi="宋体"/>
          <w:sz w:val="24"/>
          <w:szCs w:val="24"/>
          <w:u w:val="single"/>
        </w:rPr>
        <w:t xml:space="preserve">                    </w:t>
      </w:r>
      <w:bookmarkStart w:id="617" w:name="_Toc288114462"/>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仿宋_GB2312" w:hAnsi="宋体"/>
          <w:sz w:val="24"/>
          <w:szCs w:val="24"/>
        </w:rPr>
      </w:pPr>
      <w:r>
        <w:rPr>
          <w:rFonts w:hint="eastAsia" w:ascii="仿宋_GB2312" w:hAnsi="宋体"/>
          <w:sz w:val="24"/>
          <w:szCs w:val="24"/>
        </w:rPr>
        <w:t>地址：</w:t>
      </w:r>
      <w:bookmarkEnd w:id="617"/>
      <w:r>
        <w:rPr>
          <w:rFonts w:hint="eastAsia" w:ascii="仿宋_GB2312" w:hAnsi="宋体"/>
          <w:sz w:val="24"/>
          <w:szCs w:val="24"/>
          <w:u w:val="single"/>
        </w:rPr>
        <w:t xml:space="preserve">                   </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仿宋_GB2312" w:hAnsi="宋体"/>
          <w:sz w:val="24"/>
          <w:szCs w:val="24"/>
        </w:rPr>
      </w:pPr>
      <w:bookmarkStart w:id="618" w:name="_Toc288114463"/>
      <w:r>
        <w:rPr>
          <w:rFonts w:hint="eastAsia" w:ascii="仿宋_GB2312" w:hAnsi="宋体"/>
          <w:sz w:val="24"/>
          <w:szCs w:val="24"/>
        </w:rPr>
        <w:t>成立时间：</w:t>
      </w:r>
      <w:r>
        <w:rPr>
          <w:rFonts w:hint="eastAsia" w:ascii="仿宋_GB2312" w:hAnsi="宋体"/>
          <w:sz w:val="24"/>
          <w:szCs w:val="24"/>
          <w:u w:val="single"/>
        </w:rPr>
        <w:t xml:space="preserve">   </w:t>
      </w:r>
      <w:r>
        <w:rPr>
          <w:rFonts w:hint="eastAsia" w:ascii="仿宋_GB2312" w:hAnsi="宋体"/>
          <w:sz w:val="24"/>
          <w:szCs w:val="24"/>
        </w:rPr>
        <w:t>年</w:t>
      </w:r>
      <w:r>
        <w:rPr>
          <w:rFonts w:hint="eastAsia" w:ascii="仿宋_GB2312" w:hAnsi="宋体"/>
          <w:sz w:val="24"/>
          <w:szCs w:val="24"/>
          <w:u w:val="single"/>
        </w:rPr>
        <w:t xml:space="preserve">    </w:t>
      </w:r>
      <w:r>
        <w:rPr>
          <w:rFonts w:hint="eastAsia" w:ascii="仿宋_GB2312" w:hAnsi="宋体"/>
          <w:sz w:val="24"/>
          <w:szCs w:val="24"/>
        </w:rPr>
        <w:t>月</w:t>
      </w:r>
      <w:r>
        <w:rPr>
          <w:rFonts w:hint="eastAsia" w:ascii="仿宋_GB2312" w:hAnsi="宋体"/>
          <w:sz w:val="24"/>
          <w:szCs w:val="24"/>
          <w:u w:val="single"/>
        </w:rPr>
        <w:t xml:space="preserve">    </w:t>
      </w:r>
      <w:r>
        <w:rPr>
          <w:rFonts w:hint="eastAsia" w:ascii="仿宋_GB2312" w:hAnsi="宋体"/>
          <w:sz w:val="24"/>
          <w:szCs w:val="24"/>
        </w:rPr>
        <w:t>日</w:t>
      </w:r>
      <w:bookmarkEnd w:id="618"/>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仿宋_GB2312" w:hAnsi="宋体"/>
          <w:sz w:val="24"/>
          <w:szCs w:val="24"/>
          <w:u w:val="single"/>
        </w:rPr>
      </w:pPr>
      <w:bookmarkStart w:id="619" w:name="_Toc288114464"/>
      <w:r>
        <w:rPr>
          <w:rFonts w:hint="eastAsia" w:ascii="仿宋_GB2312" w:hAnsi="宋体"/>
          <w:sz w:val="24"/>
          <w:szCs w:val="24"/>
        </w:rPr>
        <w:t>经营期限：</w:t>
      </w:r>
      <w:bookmarkEnd w:id="619"/>
      <w:r>
        <w:rPr>
          <w:rFonts w:hint="eastAsia" w:ascii="仿宋_GB2312" w:hAnsi="宋体"/>
          <w:sz w:val="24"/>
          <w:szCs w:val="24"/>
          <w:u w:val="single"/>
        </w:rPr>
        <w:t xml:space="preserve">                     </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仿宋_GB2312" w:hAnsi="宋体"/>
          <w:sz w:val="24"/>
          <w:szCs w:val="24"/>
        </w:rPr>
      </w:pPr>
      <w:bookmarkStart w:id="620" w:name="_Toc288114465"/>
      <w:r>
        <w:rPr>
          <w:rFonts w:hint="eastAsia" w:ascii="仿宋_GB2312" w:hAnsi="宋体"/>
          <w:sz w:val="24"/>
          <w:szCs w:val="24"/>
        </w:rPr>
        <w:t>姓名：</w:t>
      </w:r>
      <w:r>
        <w:rPr>
          <w:rFonts w:hint="eastAsia" w:ascii="仿宋_GB2312" w:hAnsi="宋体"/>
          <w:sz w:val="24"/>
          <w:szCs w:val="24"/>
          <w:u w:val="single"/>
        </w:rPr>
        <w:t xml:space="preserve">      </w:t>
      </w:r>
      <w:r>
        <w:rPr>
          <w:rFonts w:hint="eastAsia" w:ascii="仿宋_GB2312" w:hAnsi="宋体"/>
          <w:sz w:val="24"/>
          <w:szCs w:val="24"/>
        </w:rPr>
        <w:t>性别：</w:t>
      </w:r>
      <w:r>
        <w:rPr>
          <w:rFonts w:hint="eastAsia" w:ascii="仿宋_GB2312" w:hAnsi="宋体"/>
          <w:sz w:val="24"/>
          <w:szCs w:val="24"/>
          <w:u w:val="single"/>
        </w:rPr>
        <w:t xml:space="preserve">     </w:t>
      </w:r>
      <w:r>
        <w:rPr>
          <w:rFonts w:hint="eastAsia" w:ascii="仿宋_GB2312" w:hAnsi="宋体"/>
          <w:sz w:val="24"/>
          <w:szCs w:val="24"/>
        </w:rPr>
        <w:t>年龄：</w:t>
      </w:r>
      <w:r>
        <w:rPr>
          <w:rFonts w:hint="eastAsia" w:ascii="仿宋_GB2312" w:hAnsi="宋体"/>
          <w:sz w:val="24"/>
          <w:szCs w:val="24"/>
          <w:u w:val="single"/>
        </w:rPr>
        <w:t xml:space="preserve">   　  </w:t>
      </w:r>
      <w:r>
        <w:rPr>
          <w:rFonts w:hint="eastAsia" w:ascii="仿宋_GB2312" w:hAnsi="宋体"/>
          <w:sz w:val="24"/>
          <w:szCs w:val="24"/>
        </w:rPr>
        <w:t>职务：</w:t>
      </w:r>
      <w:bookmarkEnd w:id="620"/>
      <w:r>
        <w:rPr>
          <w:rFonts w:hint="eastAsia" w:ascii="仿宋_GB2312" w:hAnsi="宋体"/>
          <w:sz w:val="24"/>
          <w:szCs w:val="24"/>
          <w:u w:val="single"/>
        </w:rPr>
        <w:t xml:space="preserve">       </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仿宋_GB2312" w:hAnsi="宋体"/>
          <w:sz w:val="24"/>
          <w:szCs w:val="24"/>
        </w:rPr>
      </w:pPr>
      <w:bookmarkStart w:id="621" w:name="_Toc288114466"/>
      <w:r>
        <w:rPr>
          <w:rFonts w:hint="eastAsia" w:ascii="仿宋_GB2312" w:hAnsi="宋体"/>
          <w:sz w:val="24"/>
          <w:szCs w:val="24"/>
        </w:rPr>
        <w:t>（身份证号：</w:t>
      </w:r>
      <w:r>
        <w:rPr>
          <w:rFonts w:hint="eastAsia" w:ascii="仿宋_GB2312" w:hAnsi="宋体"/>
          <w:sz w:val="24"/>
          <w:szCs w:val="24"/>
          <w:u w:val="single"/>
        </w:rPr>
        <w:t xml:space="preserve">　　　　　　　　 </w:t>
      </w:r>
      <w:r>
        <w:rPr>
          <w:rFonts w:hint="eastAsia" w:ascii="仿宋_GB2312" w:hAnsi="宋体"/>
          <w:sz w:val="24"/>
          <w:szCs w:val="24"/>
        </w:rPr>
        <w:t>）系</w:t>
      </w:r>
      <w:r>
        <w:rPr>
          <w:rFonts w:hint="eastAsia" w:ascii="仿宋_GB2312" w:hAnsi="宋体"/>
          <w:sz w:val="24"/>
          <w:szCs w:val="24"/>
          <w:u w:val="single"/>
        </w:rPr>
        <w:t xml:space="preserve">           </w:t>
      </w:r>
      <w:r>
        <w:rPr>
          <w:rFonts w:hint="eastAsia" w:ascii="仿宋_GB2312" w:hAnsi="宋体"/>
          <w:sz w:val="24"/>
          <w:szCs w:val="24"/>
        </w:rPr>
        <w:t>（竞标人名称）的</w:t>
      </w:r>
      <w:r>
        <w:rPr>
          <w:rFonts w:hint="eastAsia" w:ascii="仿宋_GB2312" w:hAnsi="宋体"/>
          <w:sz w:val="24"/>
          <w:szCs w:val="24"/>
          <w:lang w:eastAsia="zh-CN"/>
        </w:rPr>
        <w:t>法定代表人或委托代理人</w:t>
      </w:r>
      <w:r>
        <w:rPr>
          <w:rFonts w:hint="eastAsia" w:ascii="仿宋_GB2312" w:hAnsi="宋体"/>
          <w:sz w:val="24"/>
          <w:szCs w:val="24"/>
        </w:rPr>
        <w:t>（负责人）。</w:t>
      </w:r>
      <w:bookmarkEnd w:id="621"/>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仿宋_GB2312" w:hAnsi="宋体"/>
          <w:sz w:val="24"/>
          <w:szCs w:val="24"/>
        </w:rPr>
      </w:pPr>
      <w:r>
        <w:rPr>
          <w:rFonts w:hint="eastAsia" w:ascii="仿宋_GB2312" w:hAnsi="宋体"/>
          <w:sz w:val="24"/>
          <w:szCs w:val="24"/>
        </w:rPr>
        <w:t xml:space="preserve">    </w:t>
      </w:r>
      <w:bookmarkStart w:id="622" w:name="_Toc288114467"/>
      <w:r>
        <w:rPr>
          <w:rFonts w:hint="eastAsia" w:ascii="仿宋_GB2312" w:hAnsi="宋体"/>
          <w:sz w:val="24"/>
          <w:szCs w:val="24"/>
        </w:rPr>
        <w:t>特此证明。</w:t>
      </w:r>
      <w:bookmarkEnd w:id="622"/>
    </w:p>
    <w:p>
      <w:pPr>
        <w:keepNext w:val="0"/>
        <w:keepLines w:val="0"/>
        <w:pageBreakBefore w:val="0"/>
        <w:kinsoku/>
        <w:wordWrap/>
        <w:overflowPunct/>
        <w:topLinePunct w:val="0"/>
        <w:bidi w:val="0"/>
        <w:adjustRightInd w:val="0"/>
        <w:snapToGrid w:val="0"/>
        <w:spacing w:line="360" w:lineRule="auto"/>
        <w:textAlignment w:val="auto"/>
        <w:rPr>
          <w:rFonts w:hint="eastAsia" w:ascii="仿宋_GB2312" w:hAnsi="宋体" w:eastAsia="宋体"/>
          <w:sz w:val="24"/>
          <w:szCs w:val="24"/>
          <w:lang w:eastAsia="zh-CN"/>
        </w:rPr>
      </w:pPr>
      <w:r>
        <w:rPr>
          <w:b/>
          <w:color w:val="000000"/>
          <w:kern w:val="0"/>
          <w:sz w:val="24"/>
          <w:szCs w:val="24"/>
          <w:u w:val="single"/>
        </w:rPr>
        <w:t>此处附：</w:t>
      </w:r>
      <w:r>
        <w:rPr>
          <w:rFonts w:hint="eastAsia"/>
          <w:b/>
          <w:color w:val="000000"/>
          <w:kern w:val="0"/>
          <w:sz w:val="24"/>
          <w:szCs w:val="24"/>
          <w:u w:val="single"/>
        </w:rPr>
        <w:t>法定代表人身份证</w:t>
      </w:r>
      <w:r>
        <w:rPr>
          <w:rFonts w:hint="eastAsia"/>
          <w:b/>
          <w:color w:val="000000"/>
          <w:kern w:val="0"/>
          <w:sz w:val="24"/>
          <w:szCs w:val="24"/>
          <w:u w:val="single"/>
          <w:lang w:eastAsia="zh-CN"/>
        </w:rPr>
        <w:t>。</w:t>
      </w:r>
    </w:p>
    <w:p>
      <w:pPr>
        <w:keepNext w:val="0"/>
        <w:keepLines w:val="0"/>
        <w:pageBreakBefore w:val="0"/>
        <w:kinsoku/>
        <w:wordWrap/>
        <w:overflowPunct/>
        <w:topLinePunct w:val="0"/>
        <w:bidi w:val="0"/>
        <w:adjustRightInd w:val="0"/>
        <w:snapToGrid w:val="0"/>
        <w:spacing w:line="360" w:lineRule="auto"/>
        <w:textAlignment w:val="auto"/>
        <w:rPr>
          <w:rFonts w:ascii="仿宋_GB2312" w:hAnsi="宋体"/>
          <w:sz w:val="24"/>
          <w:szCs w:val="24"/>
        </w:rPr>
      </w:pPr>
    </w:p>
    <w:p>
      <w:pPr>
        <w:keepNext w:val="0"/>
        <w:keepLines w:val="0"/>
        <w:pageBreakBefore w:val="0"/>
        <w:kinsoku/>
        <w:wordWrap/>
        <w:overflowPunct/>
        <w:topLinePunct w:val="0"/>
        <w:bidi w:val="0"/>
        <w:adjustRightInd w:val="0"/>
        <w:snapToGrid w:val="0"/>
        <w:spacing w:line="360" w:lineRule="auto"/>
        <w:textAlignment w:val="auto"/>
        <w:rPr>
          <w:rFonts w:ascii="仿宋_GB2312" w:hAnsi="宋体"/>
          <w:sz w:val="24"/>
          <w:szCs w:val="24"/>
        </w:rPr>
      </w:pPr>
    </w:p>
    <w:p>
      <w:pPr>
        <w:keepNext w:val="0"/>
        <w:keepLines w:val="0"/>
        <w:pageBreakBefore w:val="0"/>
        <w:kinsoku/>
        <w:wordWrap/>
        <w:overflowPunct/>
        <w:topLinePunct w:val="0"/>
        <w:bidi w:val="0"/>
        <w:adjustRightInd w:val="0"/>
        <w:snapToGrid w:val="0"/>
        <w:spacing w:line="360" w:lineRule="auto"/>
        <w:textAlignment w:val="auto"/>
        <w:rPr>
          <w:rFonts w:ascii="仿宋_GB2312" w:hAnsi="宋体"/>
          <w:sz w:val="24"/>
          <w:szCs w:val="24"/>
        </w:rPr>
      </w:pPr>
    </w:p>
    <w:p>
      <w:pPr>
        <w:keepNext w:val="0"/>
        <w:keepLines w:val="0"/>
        <w:pageBreakBefore w:val="0"/>
        <w:kinsoku/>
        <w:wordWrap/>
        <w:overflowPunct/>
        <w:topLinePunct w:val="0"/>
        <w:bidi w:val="0"/>
        <w:adjustRightInd w:val="0"/>
        <w:snapToGrid w:val="0"/>
        <w:spacing w:line="360" w:lineRule="auto"/>
        <w:textAlignment w:val="auto"/>
        <w:rPr>
          <w:rFonts w:ascii="仿宋_GB2312" w:hAnsi="宋体"/>
          <w:sz w:val="24"/>
          <w:szCs w:val="24"/>
        </w:rPr>
      </w:pPr>
    </w:p>
    <w:p>
      <w:pPr>
        <w:keepNext w:val="0"/>
        <w:keepLines w:val="0"/>
        <w:pageBreakBefore w:val="0"/>
        <w:kinsoku/>
        <w:wordWrap/>
        <w:overflowPunct/>
        <w:topLinePunct w:val="0"/>
        <w:bidi w:val="0"/>
        <w:adjustRightInd w:val="0"/>
        <w:snapToGrid w:val="0"/>
        <w:spacing w:line="360" w:lineRule="auto"/>
        <w:jc w:val="right"/>
        <w:textAlignment w:val="auto"/>
        <w:rPr>
          <w:rFonts w:ascii="仿宋_GB2312" w:hAnsi="宋体"/>
          <w:sz w:val="24"/>
          <w:szCs w:val="24"/>
        </w:rPr>
      </w:pPr>
    </w:p>
    <w:p>
      <w:pPr>
        <w:keepNext w:val="0"/>
        <w:keepLines w:val="0"/>
        <w:pageBreakBefore w:val="0"/>
        <w:kinsoku/>
        <w:wordWrap/>
        <w:overflowPunct/>
        <w:topLinePunct w:val="0"/>
        <w:autoSpaceDE/>
        <w:autoSpaceDN/>
        <w:bidi w:val="0"/>
        <w:adjustRightInd w:val="0"/>
        <w:snapToGrid w:val="0"/>
        <w:spacing w:line="360" w:lineRule="auto"/>
        <w:ind w:right="0"/>
        <w:jc w:val="right"/>
        <w:textAlignment w:val="auto"/>
        <w:rPr>
          <w:rFonts w:ascii="宋体" w:hAnsi="宋体" w:cs="宋体"/>
          <w:sz w:val="24"/>
          <w:szCs w:val="24"/>
        </w:rPr>
      </w:pPr>
      <w:r>
        <w:rPr>
          <w:rFonts w:hint="eastAsia" w:ascii="宋体" w:hAnsi="宋体" w:cs="宋体"/>
          <w:sz w:val="24"/>
          <w:szCs w:val="24"/>
        </w:rPr>
        <w:t>竞标人：</w:t>
      </w:r>
      <w:r>
        <w:rPr>
          <w:rFonts w:hint="eastAsia" w:ascii="宋体" w:hAnsi="宋体" w:cs="宋体"/>
          <w:sz w:val="24"/>
          <w:szCs w:val="24"/>
          <w:u w:val="single"/>
        </w:rPr>
        <w:t xml:space="preserve">               </w:t>
      </w:r>
      <w:r>
        <w:rPr>
          <w:rFonts w:hint="eastAsia" w:ascii="宋体" w:hAnsi="宋体" w:cs="宋体"/>
          <w:sz w:val="24"/>
          <w:szCs w:val="24"/>
        </w:rPr>
        <w:t>（盖单位公章）</w:t>
      </w:r>
    </w:p>
    <w:p>
      <w:pPr>
        <w:keepNext w:val="0"/>
        <w:keepLines w:val="0"/>
        <w:pageBreakBefore w:val="0"/>
        <w:kinsoku/>
        <w:wordWrap/>
        <w:overflowPunct/>
        <w:topLinePunct w:val="0"/>
        <w:bidi w:val="0"/>
        <w:adjustRightInd w:val="0"/>
        <w:snapToGrid w:val="0"/>
        <w:spacing w:line="360" w:lineRule="auto"/>
        <w:jc w:val="right"/>
        <w:textAlignment w:val="auto"/>
        <w:rPr>
          <w:rFonts w:ascii="仿宋_GB2312" w:hAnsi="宋体"/>
          <w:sz w:val="24"/>
          <w:szCs w:val="24"/>
        </w:rPr>
      </w:pPr>
      <w:r>
        <w:rPr>
          <w:rFonts w:hint="eastAsia" w:ascii="宋体" w:hAnsi="宋体" w:cs="宋体"/>
          <w:color w:val="000000"/>
          <w:kern w:val="0"/>
          <w:sz w:val="24"/>
          <w:szCs w:val="24"/>
        </w:rPr>
        <w:t>_____年____月____日</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仿宋_GB2312" w:hAnsi="宋体"/>
          <w:kern w:val="44"/>
          <w:sz w:val="24"/>
          <w:szCs w:val="24"/>
        </w:rPr>
      </w:pPr>
      <w:bookmarkStart w:id="623" w:name="_Toc338840257"/>
      <w:bookmarkStart w:id="624" w:name="_Toc289241364"/>
      <w:bookmarkStart w:id="625" w:name="_Toc338840466"/>
      <w:bookmarkStart w:id="626" w:name="_Toc340235307"/>
      <w:bookmarkStart w:id="627" w:name="_Toc288748133"/>
      <w:bookmarkStart w:id="628" w:name="_Toc289241541"/>
      <w:bookmarkStart w:id="629" w:name="_Toc289182444"/>
      <w:bookmarkStart w:id="630" w:name="_Toc289182822"/>
      <w:bookmarkStart w:id="631" w:name="_Toc338840642"/>
      <w:bookmarkStart w:id="632" w:name="_Toc289238793"/>
      <w:bookmarkStart w:id="633" w:name="_Toc338840505"/>
      <w:bookmarkStart w:id="634" w:name="_Toc289096748"/>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仿宋_GB2312" w:hAnsi="宋体"/>
          <w:kern w:val="44"/>
          <w:sz w:val="24"/>
          <w:szCs w:val="24"/>
        </w:rPr>
      </w:pP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仿宋_GB2312" w:hAnsi="宋体"/>
          <w:kern w:val="44"/>
          <w:sz w:val="24"/>
          <w:szCs w:val="24"/>
        </w:rPr>
      </w:pPr>
    </w:p>
    <w:p>
      <w:pPr>
        <w:pStyle w:val="2"/>
        <w:rPr>
          <w:rFonts w:ascii="仿宋_GB2312" w:hAnsi="宋体"/>
          <w:kern w:val="44"/>
          <w:sz w:val="24"/>
          <w:szCs w:val="24"/>
        </w:rPr>
      </w:pPr>
    </w:p>
    <w:p>
      <w:pPr>
        <w:pStyle w:val="3"/>
        <w:rPr>
          <w:rFonts w:ascii="仿宋_GB2312" w:hAnsi="宋体"/>
          <w:kern w:val="44"/>
          <w:sz w:val="24"/>
          <w:szCs w:val="24"/>
        </w:rPr>
      </w:pPr>
    </w:p>
    <w:p>
      <w:pPr>
        <w:pStyle w:val="4"/>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仿宋_GB2312" w:hAnsi="宋体"/>
          <w:b/>
          <w:bCs/>
          <w:kern w:val="44"/>
          <w:sz w:val="24"/>
          <w:szCs w:val="24"/>
        </w:rPr>
      </w:pPr>
      <w:r>
        <w:rPr>
          <w:rFonts w:hint="eastAsia" w:ascii="仿宋_GB2312" w:hAnsi="宋体"/>
          <w:b/>
          <w:bCs/>
          <w:kern w:val="44"/>
          <w:sz w:val="24"/>
          <w:szCs w:val="24"/>
        </w:rPr>
        <w:t>注：法定代表人投标只需提供身份证明。</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仿宋_GB2312" w:hAnsi="宋体"/>
          <w:b/>
          <w:bCs/>
          <w:kern w:val="44"/>
          <w:sz w:val="24"/>
          <w:szCs w:val="24"/>
        </w:rPr>
        <w:sectPr>
          <w:headerReference r:id="rId4" w:type="default"/>
          <w:footerReference r:id="rId5" w:type="default"/>
          <w:footerReference r:id="rId6" w:type="even"/>
          <w:pgSz w:w="11906" w:h="16838"/>
          <w:pgMar w:top="1440" w:right="1418" w:bottom="1418" w:left="1418"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0"/>
        <w:jc w:val="center"/>
        <w:textAlignment w:val="auto"/>
        <w:outlineLvl w:val="1"/>
        <w:rPr>
          <w:rFonts w:hint="eastAsia" w:ascii="宋体" w:hAnsi="宋体" w:eastAsia="宋体" w:cs="宋体"/>
          <w:b/>
          <w:color w:val="000000"/>
          <w:sz w:val="30"/>
          <w:szCs w:val="30"/>
          <w:lang w:val="zh-CN"/>
        </w:rPr>
      </w:pPr>
      <w:bookmarkStart w:id="635" w:name="_Toc4694"/>
      <w:bookmarkStart w:id="636" w:name="_Toc21221"/>
      <w:r>
        <w:rPr>
          <w:rFonts w:hint="eastAsia" w:ascii="宋体" w:hAnsi="宋体" w:eastAsia="宋体" w:cs="宋体"/>
          <w:b/>
          <w:color w:val="000000"/>
          <w:sz w:val="30"/>
          <w:szCs w:val="30"/>
          <w:lang w:val="zh-CN"/>
        </w:rPr>
        <w:t>四</w:t>
      </w:r>
      <w:bookmarkEnd w:id="623"/>
      <w:bookmarkEnd w:id="624"/>
      <w:bookmarkEnd w:id="625"/>
      <w:bookmarkEnd w:id="626"/>
      <w:bookmarkEnd w:id="627"/>
      <w:bookmarkEnd w:id="628"/>
      <w:bookmarkEnd w:id="629"/>
      <w:bookmarkEnd w:id="630"/>
      <w:bookmarkEnd w:id="631"/>
      <w:bookmarkEnd w:id="632"/>
      <w:bookmarkEnd w:id="633"/>
      <w:bookmarkEnd w:id="634"/>
      <w:r>
        <w:rPr>
          <w:rFonts w:hint="eastAsia" w:ascii="宋体" w:hAnsi="宋体" w:eastAsia="宋体" w:cs="宋体"/>
          <w:b/>
          <w:color w:val="000000"/>
          <w:sz w:val="30"/>
          <w:szCs w:val="30"/>
          <w:lang w:val="zh-CN"/>
        </w:rPr>
        <w:t>、法定代表人授权委托书</w:t>
      </w:r>
      <w:bookmarkEnd w:id="635"/>
      <w:bookmarkEnd w:id="636"/>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本人</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（投标人名称）的法定代表人，现授权委托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（姓名）为我方代理人。代理人根据授权，以我方名义签署、澄清确认、递交、撤回、修改</w:t>
      </w:r>
      <w:r>
        <w:rPr>
          <w:rFonts w:hint="eastAsia" w:ascii="宋体" w:hAnsi="宋体" w:eastAsia="宋体" w:cs="宋体"/>
          <w:kern w:val="0"/>
          <w:sz w:val="24"/>
          <w:szCs w:val="24"/>
          <w:u w:val="single"/>
        </w:rPr>
        <w:t xml:space="preserve">                    </w:t>
      </w:r>
      <w:r>
        <w:rPr>
          <w:rFonts w:hint="eastAsia" w:ascii="宋体" w:hAnsi="宋体" w:eastAsia="宋体" w:cs="宋体"/>
          <w:sz w:val="24"/>
          <w:szCs w:val="24"/>
        </w:rPr>
        <w:t>（项目名称）响应文件、签订合同和处理有关事宜，其法律后果由我方承担。</w:t>
      </w:r>
    </w:p>
    <w:p>
      <w:pPr>
        <w:keepNext w:val="0"/>
        <w:keepLines w:val="0"/>
        <w:pageBreakBefore w:val="0"/>
        <w:kinsoku/>
        <w:wordWrap/>
        <w:overflowPunct/>
        <w:topLinePunct w:val="0"/>
        <w:autoSpaceDE/>
        <w:autoSpaceDN/>
        <w:bidi w:val="0"/>
        <w:adjustRightInd w:val="0"/>
        <w:snapToGrid w:val="0"/>
        <w:spacing w:line="360" w:lineRule="auto"/>
        <w:ind w:firstLine="504" w:firstLineChars="210"/>
        <w:jc w:val="left"/>
        <w:textAlignment w:val="auto"/>
        <w:rPr>
          <w:rFonts w:hint="eastAsia" w:ascii="宋体" w:hAnsi="宋体" w:eastAsia="宋体" w:cs="宋体"/>
          <w:sz w:val="24"/>
          <w:szCs w:val="24"/>
          <w:u w:val="single"/>
        </w:rPr>
      </w:pPr>
      <w:r>
        <w:rPr>
          <w:rFonts w:hint="eastAsia" w:ascii="宋体" w:hAnsi="宋体" w:eastAsia="宋体" w:cs="宋体"/>
          <w:sz w:val="24"/>
          <w:szCs w:val="24"/>
        </w:rPr>
        <w:t>委托期限：</w:t>
      </w:r>
      <w:r>
        <w:rPr>
          <w:rFonts w:hint="eastAsia" w:ascii="宋体" w:hAnsi="宋体" w:eastAsia="宋体" w:cs="宋体"/>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sz w:val="24"/>
          <w:szCs w:val="24"/>
        </w:rPr>
      </w:pPr>
      <w:r>
        <w:rPr>
          <w:rFonts w:hint="eastAsia" w:ascii="宋体" w:hAnsi="宋体" w:eastAsia="宋体" w:cs="宋体"/>
          <w:sz w:val="24"/>
          <w:szCs w:val="24"/>
        </w:rPr>
        <w:t>代理人无转委托权，特此委托。</w:t>
      </w:r>
    </w:p>
    <w:p>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sz w:val="24"/>
          <w:szCs w:val="32"/>
          <w:lang w:eastAsia="zh-CN"/>
        </w:rPr>
      </w:pPr>
      <w:r>
        <w:rPr>
          <w:rFonts w:ascii="宋体" w:hAnsi="宋体"/>
          <w:b/>
          <w:color w:val="000000"/>
          <w:kern w:val="0"/>
          <w:sz w:val="24"/>
          <w:szCs w:val="32"/>
          <w:u w:val="single"/>
        </w:rPr>
        <w:t>此处附：</w:t>
      </w:r>
      <w:r>
        <w:rPr>
          <w:rFonts w:hint="eastAsia" w:ascii="宋体" w:hAnsi="宋体"/>
          <w:b/>
          <w:color w:val="000000"/>
          <w:kern w:val="0"/>
          <w:sz w:val="24"/>
          <w:szCs w:val="32"/>
          <w:u w:val="single"/>
        </w:rPr>
        <w:t>法定代表人和授权代理人身份证</w:t>
      </w:r>
      <w:r>
        <w:rPr>
          <w:rFonts w:hint="eastAsia" w:ascii="宋体" w:hAnsi="宋体"/>
          <w:b/>
          <w:color w:val="000000"/>
          <w:kern w:val="0"/>
          <w:sz w:val="24"/>
          <w:szCs w:val="32"/>
          <w:u w:val="single"/>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sz w:val="24"/>
          <w:szCs w:val="32"/>
        </w:rPr>
      </w:pP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sz w:val="24"/>
          <w:szCs w:val="32"/>
        </w:rPr>
      </w:pP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sz w:val="24"/>
          <w:szCs w:val="32"/>
        </w:rPr>
      </w:pPr>
    </w:p>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sz w:val="24"/>
          <w:szCs w:val="32"/>
        </w:rPr>
      </w:pP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sz w:val="24"/>
          <w:szCs w:val="32"/>
        </w:rPr>
      </w:pPr>
    </w:p>
    <w:p>
      <w:pPr>
        <w:keepNext w:val="0"/>
        <w:keepLines w:val="0"/>
        <w:pageBreakBefore w:val="0"/>
        <w:kinsoku/>
        <w:wordWrap/>
        <w:overflowPunct/>
        <w:topLinePunct w:val="0"/>
        <w:autoSpaceDE/>
        <w:autoSpaceDN/>
        <w:bidi w:val="0"/>
        <w:adjustRightInd w:val="0"/>
        <w:snapToGrid w:val="0"/>
        <w:spacing w:line="360" w:lineRule="auto"/>
        <w:ind w:firstLine="4200" w:firstLineChars="1750"/>
        <w:jc w:val="left"/>
        <w:textAlignment w:val="auto"/>
        <w:rPr>
          <w:rFonts w:ascii="宋体" w:hAnsi="宋体"/>
          <w:sz w:val="24"/>
          <w:szCs w:val="32"/>
          <w:u w:val="single"/>
        </w:rPr>
      </w:pPr>
      <w:r>
        <w:rPr>
          <w:rFonts w:hint="eastAsia" w:ascii="宋体" w:hAnsi="宋体"/>
          <w:sz w:val="24"/>
          <w:szCs w:val="32"/>
        </w:rPr>
        <w:t>竞标人：</w:t>
      </w:r>
      <w:r>
        <w:rPr>
          <w:rFonts w:hint="eastAsia" w:ascii="宋体" w:hAnsi="宋体"/>
          <w:sz w:val="24"/>
          <w:szCs w:val="32"/>
          <w:u w:val="single"/>
        </w:rPr>
        <w:t>　　　　　　　　</w:t>
      </w:r>
      <w:r>
        <w:rPr>
          <w:rFonts w:hint="eastAsia" w:ascii="宋体" w:hAnsi="宋体"/>
          <w:sz w:val="24"/>
          <w:szCs w:val="32"/>
          <w:u w:val="single"/>
          <w:lang w:val="en-US" w:eastAsia="zh-CN"/>
        </w:rPr>
        <w:t xml:space="preserve"> </w:t>
      </w:r>
      <w:r>
        <w:rPr>
          <w:rFonts w:hint="eastAsia" w:ascii="宋体" w:hAnsi="宋体"/>
          <w:sz w:val="24"/>
          <w:szCs w:val="32"/>
          <w:u w:val="single"/>
        </w:rPr>
        <w:t>　</w:t>
      </w:r>
      <w:r>
        <w:rPr>
          <w:rFonts w:hint="eastAsia" w:ascii="宋体" w:hAnsi="宋体"/>
          <w:sz w:val="24"/>
          <w:szCs w:val="32"/>
          <w:u w:val="none"/>
        </w:rPr>
        <w:t>（盖单位公章）</w:t>
      </w:r>
    </w:p>
    <w:p>
      <w:pPr>
        <w:keepNext w:val="0"/>
        <w:keepLines w:val="0"/>
        <w:pageBreakBefore w:val="0"/>
        <w:kinsoku/>
        <w:wordWrap/>
        <w:overflowPunct/>
        <w:topLinePunct w:val="0"/>
        <w:autoSpaceDE/>
        <w:autoSpaceDN/>
        <w:bidi w:val="0"/>
        <w:adjustRightInd w:val="0"/>
        <w:snapToGrid w:val="0"/>
        <w:spacing w:line="360" w:lineRule="auto"/>
        <w:ind w:firstLine="4200" w:firstLineChars="1750"/>
        <w:jc w:val="left"/>
        <w:textAlignment w:val="auto"/>
        <w:rPr>
          <w:rFonts w:ascii="宋体" w:hAnsi="宋体"/>
          <w:sz w:val="24"/>
          <w:szCs w:val="32"/>
        </w:rPr>
      </w:pPr>
      <w:r>
        <w:rPr>
          <w:rFonts w:hint="eastAsia" w:ascii="宋体" w:hAnsi="宋体"/>
          <w:sz w:val="24"/>
          <w:szCs w:val="32"/>
          <w:lang w:eastAsia="zh-CN"/>
        </w:rPr>
        <w:t>法定代表人</w:t>
      </w:r>
      <w:r>
        <w:rPr>
          <w:rFonts w:hint="eastAsia" w:ascii="宋体" w:hAnsi="宋体"/>
          <w:sz w:val="24"/>
          <w:szCs w:val="32"/>
        </w:rPr>
        <w:t>：</w:t>
      </w:r>
      <w:r>
        <w:rPr>
          <w:rFonts w:hint="eastAsia" w:ascii="宋体" w:hAnsi="宋体"/>
          <w:sz w:val="24"/>
          <w:szCs w:val="32"/>
          <w:u w:val="single"/>
        </w:rPr>
        <w:t>　</w:t>
      </w:r>
      <w:r>
        <w:rPr>
          <w:rFonts w:hint="eastAsia" w:ascii="宋体" w:hAnsi="宋体"/>
          <w:sz w:val="24"/>
          <w:szCs w:val="32"/>
          <w:u w:val="single"/>
          <w:lang w:val="en-US" w:eastAsia="zh-CN"/>
        </w:rPr>
        <w:t xml:space="preserve">           </w:t>
      </w:r>
      <w:r>
        <w:rPr>
          <w:rFonts w:hint="eastAsia" w:ascii="宋体" w:hAnsi="宋体"/>
          <w:sz w:val="24"/>
          <w:szCs w:val="32"/>
          <w:u w:val="single"/>
        </w:rPr>
        <w:t>　</w:t>
      </w:r>
      <w:r>
        <w:rPr>
          <w:rFonts w:hint="eastAsia" w:ascii="宋体" w:hAnsi="宋体" w:cs="宋体"/>
          <w:sz w:val="24"/>
          <w:szCs w:val="24"/>
        </w:rPr>
        <w:t>（签字或盖章）</w:t>
      </w:r>
    </w:p>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宋体" w:hAnsi="宋体"/>
          <w:sz w:val="24"/>
          <w:szCs w:val="32"/>
          <w:lang w:val="en-US" w:eastAsia="zh-CN"/>
        </w:rPr>
      </w:pPr>
      <w:r>
        <w:rPr>
          <w:rFonts w:hint="eastAsia" w:ascii="宋体" w:hAnsi="宋体"/>
          <w:sz w:val="24"/>
          <w:szCs w:val="32"/>
        </w:rPr>
        <w:t xml:space="preserve">　　　　　　　　                  </w:t>
      </w:r>
      <w:r>
        <w:rPr>
          <w:rFonts w:hint="eastAsia" w:ascii="宋体" w:hAnsi="宋体"/>
          <w:sz w:val="24"/>
          <w:szCs w:val="32"/>
          <w:lang w:val="en-US" w:eastAsia="zh-CN"/>
        </w:rPr>
        <w:t xml:space="preserve"> 被授权人：</w:t>
      </w:r>
      <w:r>
        <w:rPr>
          <w:rFonts w:hint="eastAsia" w:ascii="宋体" w:hAnsi="宋体"/>
          <w:sz w:val="24"/>
          <w:szCs w:val="32"/>
          <w:u w:val="single"/>
        </w:rPr>
        <w:t>　</w:t>
      </w:r>
      <w:r>
        <w:rPr>
          <w:rFonts w:hint="eastAsia" w:ascii="宋体" w:hAnsi="宋体"/>
          <w:sz w:val="24"/>
          <w:szCs w:val="32"/>
          <w:u w:val="single"/>
          <w:lang w:val="en-US" w:eastAsia="zh-CN"/>
        </w:rPr>
        <w:t xml:space="preserve">               </w:t>
      </w:r>
      <w:r>
        <w:rPr>
          <w:rFonts w:hint="eastAsia" w:ascii="宋体" w:hAnsi="宋体"/>
          <w:sz w:val="24"/>
          <w:szCs w:val="32"/>
          <w:u w:val="single"/>
        </w:rPr>
        <w:t>　</w:t>
      </w:r>
      <w:r>
        <w:rPr>
          <w:rFonts w:hint="eastAsia" w:ascii="宋体" w:hAnsi="宋体" w:cs="宋体"/>
          <w:sz w:val="24"/>
          <w:szCs w:val="24"/>
        </w:rPr>
        <w:t>（签字或盖章）</w:t>
      </w: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sz w:val="24"/>
          <w:szCs w:val="32"/>
        </w:rPr>
      </w:pPr>
      <w:r>
        <w:rPr>
          <w:rFonts w:hint="eastAsia" w:ascii="宋体" w:hAnsi="宋体"/>
          <w:sz w:val="24"/>
          <w:szCs w:val="32"/>
          <w:lang w:val="en-US" w:eastAsia="zh-CN"/>
        </w:rPr>
        <w:t xml:space="preserve">    </w:t>
      </w:r>
      <w:r>
        <w:rPr>
          <w:rFonts w:hint="eastAsia" w:ascii="宋体" w:hAnsi="宋体"/>
          <w:sz w:val="24"/>
          <w:szCs w:val="32"/>
        </w:rPr>
        <w:t xml:space="preserve">                                         </w:t>
      </w:r>
      <w:r>
        <w:rPr>
          <w:rFonts w:hint="eastAsia" w:ascii="宋体" w:hAnsi="宋体"/>
          <w:sz w:val="24"/>
          <w:szCs w:val="32"/>
          <w:u w:val="single"/>
        </w:rPr>
        <w:t xml:space="preserve"> 　　 </w:t>
      </w:r>
      <w:r>
        <w:rPr>
          <w:rFonts w:hint="eastAsia" w:ascii="宋体" w:hAnsi="宋体"/>
          <w:sz w:val="24"/>
          <w:szCs w:val="32"/>
        </w:rPr>
        <w:t>年</w:t>
      </w:r>
      <w:r>
        <w:rPr>
          <w:rFonts w:hint="eastAsia" w:ascii="宋体" w:hAnsi="宋体"/>
          <w:sz w:val="24"/>
          <w:szCs w:val="32"/>
          <w:u w:val="single"/>
        </w:rPr>
        <w:t xml:space="preserve"> 　　 </w:t>
      </w:r>
      <w:r>
        <w:rPr>
          <w:rFonts w:hint="eastAsia" w:ascii="宋体" w:hAnsi="宋体"/>
          <w:sz w:val="24"/>
          <w:szCs w:val="32"/>
        </w:rPr>
        <w:t>月</w:t>
      </w:r>
      <w:r>
        <w:rPr>
          <w:rFonts w:hint="eastAsia" w:ascii="宋体" w:hAnsi="宋体"/>
          <w:sz w:val="24"/>
          <w:szCs w:val="32"/>
          <w:u w:val="single"/>
        </w:rPr>
        <w:t xml:space="preserve"> 　　 </w:t>
      </w:r>
      <w:r>
        <w:rPr>
          <w:rFonts w:hint="eastAsia" w:ascii="宋体" w:hAnsi="宋体"/>
          <w:sz w:val="24"/>
          <w:szCs w:val="32"/>
        </w:rPr>
        <w:t>日</w:t>
      </w:r>
    </w:p>
    <w:p>
      <w:pPr>
        <w:spacing w:line="480" w:lineRule="auto"/>
        <w:rPr>
          <w:rFonts w:ascii="宋体" w:hAnsi="宋体"/>
          <w:color w:val="000000"/>
          <w:kern w:val="0"/>
          <w:sz w:val="24"/>
        </w:rPr>
      </w:pPr>
    </w:p>
    <w:p>
      <w:pPr>
        <w:pStyle w:val="3"/>
        <w:rPr>
          <w:rFonts w:hAnsi="宋体"/>
        </w:rPr>
      </w:pPr>
    </w:p>
    <w:p>
      <w:pPr>
        <w:pStyle w:val="3"/>
        <w:rPr>
          <w:rFonts w:hAnsi="宋体"/>
        </w:rPr>
      </w:pPr>
    </w:p>
    <w:p>
      <w:pPr>
        <w:spacing w:line="480" w:lineRule="auto"/>
        <w:rPr>
          <w:rFonts w:ascii="宋体" w:hAnsi="宋体"/>
          <w:sz w:val="24"/>
          <w:szCs w:val="32"/>
        </w:rPr>
      </w:pPr>
    </w:p>
    <w:p>
      <w:pPr>
        <w:pStyle w:val="2"/>
        <w:rPr>
          <w:rFonts w:ascii="宋体" w:hAnsi="宋体"/>
          <w:sz w:val="24"/>
          <w:szCs w:val="32"/>
        </w:rPr>
      </w:pPr>
    </w:p>
    <w:p>
      <w:pPr>
        <w:pStyle w:val="3"/>
      </w:pPr>
    </w:p>
    <w:bookmarkEnd w:id="606"/>
    <w:bookmarkEnd w:id="607"/>
    <w:p>
      <w:pPr>
        <w:widowControl/>
        <w:spacing w:line="480" w:lineRule="atLeast"/>
        <w:jc w:val="left"/>
        <w:rPr>
          <w:rFonts w:ascii="仿宋_GB2312"/>
          <w:b/>
          <w:bCs/>
        </w:rPr>
        <w:sectPr>
          <w:pgSz w:w="11906" w:h="16838"/>
          <w:pgMar w:top="1440" w:right="1418" w:bottom="1418" w:left="1418"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0"/>
        <w:jc w:val="center"/>
        <w:textAlignment w:val="auto"/>
        <w:outlineLvl w:val="1"/>
        <w:rPr>
          <w:rFonts w:hint="default" w:ascii="宋体" w:hAnsi="宋体" w:eastAsia="宋体" w:cs="宋体"/>
          <w:b/>
          <w:color w:val="000000"/>
          <w:sz w:val="30"/>
          <w:szCs w:val="30"/>
          <w:lang w:val="en-US" w:eastAsia="zh-CN"/>
        </w:rPr>
      </w:pPr>
      <w:bookmarkStart w:id="637" w:name="_Toc289182823"/>
      <w:bookmarkStart w:id="638" w:name="_Toc289182445"/>
      <w:bookmarkStart w:id="639" w:name="_Toc288748134"/>
      <w:bookmarkStart w:id="640" w:name="_Toc340235314"/>
      <w:bookmarkStart w:id="641" w:name="_Toc289241542"/>
      <w:bookmarkStart w:id="642" w:name="_Toc338840650"/>
      <w:bookmarkStart w:id="643" w:name="_Toc338840474"/>
      <w:bookmarkStart w:id="644" w:name="_Toc289238794"/>
      <w:bookmarkStart w:id="645" w:name="_Toc338840513"/>
      <w:bookmarkStart w:id="646" w:name="_Toc289096749"/>
      <w:bookmarkStart w:id="647" w:name="_Toc289241365"/>
      <w:bookmarkStart w:id="648" w:name="_Toc338840265"/>
      <w:bookmarkStart w:id="649" w:name="_Toc30104"/>
      <w:bookmarkStart w:id="650" w:name="_Toc25934"/>
      <w:r>
        <w:rPr>
          <w:rFonts w:hint="eastAsia" w:ascii="宋体" w:hAnsi="宋体" w:eastAsia="宋体" w:cs="宋体"/>
          <w:b/>
          <w:color w:val="000000"/>
          <w:sz w:val="30"/>
          <w:szCs w:val="30"/>
          <w:lang w:val="en-US" w:eastAsia="zh-CN"/>
        </w:rPr>
        <w:t>五</w:t>
      </w:r>
      <w:bookmarkEnd w:id="637"/>
      <w:bookmarkEnd w:id="638"/>
      <w:bookmarkEnd w:id="639"/>
      <w:bookmarkEnd w:id="640"/>
      <w:bookmarkEnd w:id="641"/>
      <w:bookmarkEnd w:id="642"/>
      <w:bookmarkEnd w:id="643"/>
      <w:bookmarkEnd w:id="644"/>
      <w:bookmarkEnd w:id="645"/>
      <w:bookmarkEnd w:id="646"/>
      <w:bookmarkEnd w:id="647"/>
      <w:bookmarkEnd w:id="648"/>
      <w:r>
        <w:rPr>
          <w:rFonts w:hint="eastAsia" w:ascii="宋体" w:hAnsi="宋体" w:eastAsia="宋体" w:cs="宋体"/>
          <w:b/>
          <w:color w:val="000000"/>
          <w:sz w:val="30"/>
          <w:szCs w:val="30"/>
          <w:lang w:val="zh-CN"/>
        </w:rPr>
        <w:t>、施工质量承诺书</w:t>
      </w:r>
      <w:bookmarkEnd w:id="649"/>
      <w:bookmarkEnd w:id="650"/>
    </w:p>
    <w:p>
      <w:pPr>
        <w:spacing w:line="600" w:lineRule="exact"/>
        <w:rPr>
          <w:rFonts w:ascii="仿宋_GB2312" w:hAnsi="宋体"/>
          <w:sz w:val="44"/>
          <w:szCs w:val="44"/>
        </w:rPr>
      </w:pPr>
    </w:p>
    <w:p>
      <w:pPr>
        <w:spacing w:line="600" w:lineRule="exact"/>
        <w:rPr>
          <w:rFonts w:ascii="仿宋_GB2312" w:hAnsi="宋体"/>
          <w:sz w:val="24"/>
          <w:szCs w:val="32"/>
        </w:rPr>
      </w:pPr>
      <w:r>
        <w:rPr>
          <w:rFonts w:hint="eastAsia" w:ascii="仿宋_GB2312" w:hAnsi="宋体"/>
          <w:sz w:val="24"/>
          <w:szCs w:val="32"/>
        </w:rPr>
        <w:t>　　</w:t>
      </w:r>
      <w:bookmarkStart w:id="651" w:name="_Toc288115096"/>
      <w:bookmarkStart w:id="652" w:name="_Toc288115071"/>
    </w:p>
    <w:p>
      <w:pPr>
        <w:widowControl/>
        <w:spacing w:line="480" w:lineRule="atLeast"/>
        <w:jc w:val="center"/>
        <w:outlineLvl w:val="1"/>
        <w:rPr>
          <w:rFonts w:hint="eastAsia"/>
          <w:b/>
          <w:kern w:val="44"/>
          <w:sz w:val="32"/>
          <w:szCs w:val="44"/>
        </w:rPr>
      </w:pPr>
      <w:bookmarkStart w:id="653" w:name="_Toc289241366"/>
      <w:bookmarkStart w:id="654" w:name="_Toc289238795"/>
      <w:bookmarkStart w:id="655" w:name="_Toc289182446"/>
      <w:bookmarkStart w:id="656" w:name="_Toc289096750"/>
      <w:bookmarkStart w:id="657" w:name="_Toc289241543"/>
      <w:bookmarkStart w:id="658" w:name="_Toc289182824"/>
      <w:bookmarkStart w:id="659" w:name="_Toc288748135"/>
      <w:r>
        <w:rPr>
          <w:kern w:val="44"/>
          <w:sz w:val="44"/>
          <w:szCs w:val="44"/>
        </w:rPr>
        <w:br w:type="page"/>
      </w:r>
      <w:bookmarkEnd w:id="651"/>
      <w:bookmarkEnd w:id="652"/>
      <w:bookmarkEnd w:id="653"/>
      <w:bookmarkEnd w:id="654"/>
      <w:bookmarkEnd w:id="655"/>
      <w:bookmarkEnd w:id="656"/>
      <w:bookmarkEnd w:id="657"/>
      <w:bookmarkEnd w:id="658"/>
      <w:bookmarkEnd w:id="659"/>
      <w:bookmarkStart w:id="660" w:name="_Toc27580"/>
      <w:bookmarkStart w:id="661" w:name="_Toc20302"/>
      <w:r>
        <w:rPr>
          <w:rFonts w:hint="eastAsia" w:ascii="宋体" w:hAnsi="宋体" w:eastAsia="宋体" w:cs="宋体"/>
          <w:b/>
          <w:color w:val="000000"/>
          <w:sz w:val="30"/>
          <w:szCs w:val="30"/>
          <w:lang w:val="en-US" w:eastAsia="zh-CN"/>
        </w:rPr>
        <w:t>六</w:t>
      </w:r>
      <w:r>
        <w:rPr>
          <w:rFonts w:hint="eastAsia" w:ascii="宋体" w:hAnsi="宋体" w:eastAsia="宋体" w:cs="宋体"/>
          <w:b/>
          <w:color w:val="000000"/>
          <w:sz w:val="30"/>
          <w:szCs w:val="30"/>
          <w:lang w:val="zh-CN"/>
        </w:rPr>
        <w:t>、资格审查资料</w:t>
      </w:r>
      <w:bookmarkEnd w:id="660"/>
      <w:bookmarkEnd w:id="661"/>
    </w:p>
    <w:p>
      <w:pPr>
        <w:widowControl/>
        <w:spacing w:line="480" w:lineRule="atLeast"/>
        <w:jc w:val="center"/>
        <w:outlineLvl w:val="2"/>
      </w:pPr>
      <w:r>
        <w:rPr>
          <w:rFonts w:hint="eastAsia" w:ascii="宋体" w:hAnsi="宋体" w:eastAsia="宋体" w:cs="宋体"/>
          <w:b/>
          <w:kern w:val="0"/>
          <w:sz w:val="24"/>
          <w:szCs w:val="24"/>
          <w:lang w:val="en-US" w:eastAsia="zh-CN" w:bidi="ar-SA"/>
        </w:rPr>
        <w:t>（一）</w:t>
      </w:r>
      <w:r>
        <w:rPr>
          <w:rFonts w:hint="eastAsia" w:ascii="宋体" w:hAnsi="宋体" w:eastAsia="宋体" w:cs="宋体"/>
          <w:b/>
          <w:kern w:val="0"/>
          <w:sz w:val="24"/>
          <w:lang w:val="en-US" w:eastAsia="zh-CN"/>
        </w:rPr>
        <w:t>竞标</w:t>
      </w:r>
      <w:r>
        <w:rPr>
          <w:rFonts w:hint="eastAsia" w:ascii="宋体" w:hAnsi="宋体" w:eastAsia="宋体" w:cs="宋体"/>
          <w:b/>
          <w:kern w:val="0"/>
          <w:sz w:val="24"/>
        </w:rPr>
        <w:t>人基本情况表</w:t>
      </w:r>
    </w:p>
    <w:tbl>
      <w:tblPr>
        <w:tblStyle w:val="26"/>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1107"/>
        <w:gridCol w:w="1330"/>
        <w:gridCol w:w="1331"/>
        <w:gridCol w:w="1106"/>
        <w:gridCol w:w="225"/>
        <w:gridCol w:w="1331"/>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2"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竞标</w:t>
            </w:r>
            <w:r>
              <w:rPr>
                <w:rFonts w:hint="eastAsia" w:ascii="宋体" w:hAnsi="宋体" w:eastAsia="宋体" w:cs="宋体"/>
                <w:kern w:val="0"/>
                <w:sz w:val="24"/>
                <w:szCs w:val="24"/>
              </w:rPr>
              <w:t>人名称</w:t>
            </w:r>
          </w:p>
        </w:tc>
        <w:tc>
          <w:tcPr>
            <w:tcW w:w="7761" w:type="dxa"/>
            <w:gridSpan w:val="7"/>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2"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注册地址</w:t>
            </w:r>
          </w:p>
        </w:tc>
        <w:tc>
          <w:tcPr>
            <w:tcW w:w="3768" w:type="dxa"/>
            <w:gridSpan w:val="3"/>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p>
        </w:tc>
        <w:tc>
          <w:tcPr>
            <w:tcW w:w="1331" w:type="dxa"/>
            <w:gridSpan w:val="2"/>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邮政编码</w:t>
            </w:r>
          </w:p>
        </w:tc>
        <w:tc>
          <w:tcPr>
            <w:tcW w:w="2662" w:type="dxa"/>
            <w:gridSpan w:val="2"/>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2" w:type="dxa"/>
            <w:vMerge w:val="restart"/>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联系方式</w:t>
            </w:r>
          </w:p>
        </w:tc>
        <w:tc>
          <w:tcPr>
            <w:tcW w:w="1107"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联系人</w:t>
            </w:r>
          </w:p>
        </w:tc>
        <w:tc>
          <w:tcPr>
            <w:tcW w:w="2661" w:type="dxa"/>
            <w:gridSpan w:val="2"/>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p>
        </w:tc>
        <w:tc>
          <w:tcPr>
            <w:tcW w:w="1331" w:type="dxa"/>
            <w:gridSpan w:val="2"/>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手机号码</w:t>
            </w:r>
          </w:p>
        </w:tc>
        <w:tc>
          <w:tcPr>
            <w:tcW w:w="2662" w:type="dxa"/>
            <w:gridSpan w:val="2"/>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2" w:type="dxa"/>
            <w:vMerge w:val="continue"/>
            <w:noWrap w:val="0"/>
            <w:vAlign w:val="center"/>
          </w:tcPr>
          <w:p>
            <w:pPr>
              <w:keepNext w:val="0"/>
              <w:keepLines w:val="0"/>
              <w:pageBreakBefore w:val="0"/>
              <w:widowControl/>
              <w:kinsoku/>
              <w:wordWrap/>
              <w:overflowPunct/>
              <w:topLinePunct w:val="0"/>
              <w:bidi w:val="0"/>
              <w:adjustRightInd w:val="0"/>
              <w:snapToGrid/>
              <w:spacing w:line="240" w:lineRule="auto"/>
              <w:jc w:val="left"/>
              <w:textAlignment w:val="auto"/>
              <w:rPr>
                <w:rFonts w:hint="eastAsia" w:ascii="宋体" w:hAnsi="宋体" w:eastAsia="宋体" w:cs="宋体"/>
                <w:kern w:val="0"/>
                <w:sz w:val="24"/>
                <w:szCs w:val="24"/>
              </w:rPr>
            </w:pPr>
          </w:p>
        </w:tc>
        <w:tc>
          <w:tcPr>
            <w:tcW w:w="1107"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传  真</w:t>
            </w:r>
          </w:p>
        </w:tc>
        <w:tc>
          <w:tcPr>
            <w:tcW w:w="2661" w:type="dxa"/>
            <w:gridSpan w:val="2"/>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p>
        </w:tc>
        <w:tc>
          <w:tcPr>
            <w:tcW w:w="1331" w:type="dxa"/>
            <w:gridSpan w:val="2"/>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网 址</w:t>
            </w:r>
          </w:p>
        </w:tc>
        <w:tc>
          <w:tcPr>
            <w:tcW w:w="2662" w:type="dxa"/>
            <w:gridSpan w:val="2"/>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2"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组织结构</w:t>
            </w:r>
          </w:p>
        </w:tc>
        <w:tc>
          <w:tcPr>
            <w:tcW w:w="7761" w:type="dxa"/>
            <w:gridSpan w:val="7"/>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2"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法定代表人</w:t>
            </w:r>
          </w:p>
        </w:tc>
        <w:tc>
          <w:tcPr>
            <w:tcW w:w="1107"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姓名</w:t>
            </w:r>
          </w:p>
        </w:tc>
        <w:tc>
          <w:tcPr>
            <w:tcW w:w="1330"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p>
        </w:tc>
        <w:tc>
          <w:tcPr>
            <w:tcW w:w="1331"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技术职称</w:t>
            </w:r>
          </w:p>
        </w:tc>
        <w:tc>
          <w:tcPr>
            <w:tcW w:w="1331" w:type="dxa"/>
            <w:gridSpan w:val="2"/>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p>
        </w:tc>
        <w:tc>
          <w:tcPr>
            <w:tcW w:w="1331"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手机号码</w:t>
            </w:r>
          </w:p>
        </w:tc>
        <w:tc>
          <w:tcPr>
            <w:tcW w:w="1331"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2"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技术负责人</w:t>
            </w:r>
          </w:p>
        </w:tc>
        <w:tc>
          <w:tcPr>
            <w:tcW w:w="1107"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姓名</w:t>
            </w:r>
          </w:p>
        </w:tc>
        <w:tc>
          <w:tcPr>
            <w:tcW w:w="1330"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p>
        </w:tc>
        <w:tc>
          <w:tcPr>
            <w:tcW w:w="1331"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技术职称</w:t>
            </w:r>
          </w:p>
        </w:tc>
        <w:tc>
          <w:tcPr>
            <w:tcW w:w="1331" w:type="dxa"/>
            <w:gridSpan w:val="2"/>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p>
        </w:tc>
        <w:tc>
          <w:tcPr>
            <w:tcW w:w="1331"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手机号码</w:t>
            </w:r>
          </w:p>
        </w:tc>
        <w:tc>
          <w:tcPr>
            <w:tcW w:w="1331"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2"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成立时间</w:t>
            </w:r>
          </w:p>
        </w:tc>
        <w:tc>
          <w:tcPr>
            <w:tcW w:w="3768" w:type="dxa"/>
            <w:gridSpan w:val="3"/>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p>
        </w:tc>
        <w:tc>
          <w:tcPr>
            <w:tcW w:w="3993" w:type="dxa"/>
            <w:gridSpan w:val="4"/>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2"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企业资质等级</w:t>
            </w:r>
          </w:p>
        </w:tc>
        <w:tc>
          <w:tcPr>
            <w:tcW w:w="3768" w:type="dxa"/>
            <w:gridSpan w:val="3"/>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p>
        </w:tc>
        <w:tc>
          <w:tcPr>
            <w:tcW w:w="1106" w:type="dxa"/>
            <w:vMerge w:val="restart"/>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其中</w:t>
            </w:r>
          </w:p>
        </w:tc>
        <w:tc>
          <w:tcPr>
            <w:tcW w:w="1556" w:type="dxa"/>
            <w:gridSpan w:val="2"/>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项目经理</w:t>
            </w:r>
          </w:p>
        </w:tc>
        <w:tc>
          <w:tcPr>
            <w:tcW w:w="1331"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2"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营业执照号</w:t>
            </w:r>
          </w:p>
        </w:tc>
        <w:tc>
          <w:tcPr>
            <w:tcW w:w="3768" w:type="dxa"/>
            <w:gridSpan w:val="3"/>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p>
        </w:tc>
        <w:tc>
          <w:tcPr>
            <w:tcW w:w="1106" w:type="dxa"/>
            <w:vMerge w:val="continue"/>
            <w:noWrap w:val="0"/>
            <w:vAlign w:val="center"/>
          </w:tcPr>
          <w:p>
            <w:pPr>
              <w:keepNext w:val="0"/>
              <w:keepLines w:val="0"/>
              <w:pageBreakBefore w:val="0"/>
              <w:widowControl/>
              <w:kinsoku/>
              <w:wordWrap/>
              <w:overflowPunct/>
              <w:topLinePunct w:val="0"/>
              <w:bidi w:val="0"/>
              <w:adjustRightInd w:val="0"/>
              <w:snapToGrid/>
              <w:spacing w:line="240" w:lineRule="auto"/>
              <w:jc w:val="left"/>
              <w:textAlignment w:val="auto"/>
              <w:rPr>
                <w:rFonts w:hint="eastAsia" w:ascii="宋体" w:hAnsi="宋体" w:eastAsia="宋体" w:cs="宋体"/>
                <w:kern w:val="0"/>
                <w:sz w:val="24"/>
                <w:szCs w:val="24"/>
              </w:rPr>
            </w:pPr>
          </w:p>
        </w:tc>
        <w:tc>
          <w:tcPr>
            <w:tcW w:w="1556" w:type="dxa"/>
            <w:gridSpan w:val="2"/>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高级职称人员</w:t>
            </w:r>
          </w:p>
        </w:tc>
        <w:tc>
          <w:tcPr>
            <w:tcW w:w="1331"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2"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注册资金</w:t>
            </w:r>
          </w:p>
        </w:tc>
        <w:tc>
          <w:tcPr>
            <w:tcW w:w="3768" w:type="dxa"/>
            <w:gridSpan w:val="3"/>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p>
        </w:tc>
        <w:tc>
          <w:tcPr>
            <w:tcW w:w="1106" w:type="dxa"/>
            <w:vMerge w:val="continue"/>
            <w:noWrap w:val="0"/>
            <w:vAlign w:val="center"/>
          </w:tcPr>
          <w:p>
            <w:pPr>
              <w:keepNext w:val="0"/>
              <w:keepLines w:val="0"/>
              <w:pageBreakBefore w:val="0"/>
              <w:widowControl/>
              <w:kinsoku/>
              <w:wordWrap/>
              <w:overflowPunct/>
              <w:topLinePunct w:val="0"/>
              <w:bidi w:val="0"/>
              <w:adjustRightInd w:val="0"/>
              <w:snapToGrid/>
              <w:spacing w:line="240" w:lineRule="auto"/>
              <w:jc w:val="left"/>
              <w:textAlignment w:val="auto"/>
              <w:rPr>
                <w:rFonts w:hint="eastAsia" w:ascii="宋体" w:hAnsi="宋体" w:eastAsia="宋体" w:cs="宋体"/>
                <w:kern w:val="0"/>
                <w:sz w:val="24"/>
                <w:szCs w:val="24"/>
              </w:rPr>
            </w:pPr>
          </w:p>
        </w:tc>
        <w:tc>
          <w:tcPr>
            <w:tcW w:w="1556" w:type="dxa"/>
            <w:gridSpan w:val="2"/>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中级职称人员</w:t>
            </w:r>
          </w:p>
        </w:tc>
        <w:tc>
          <w:tcPr>
            <w:tcW w:w="1331"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2"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开户银行</w:t>
            </w:r>
          </w:p>
        </w:tc>
        <w:tc>
          <w:tcPr>
            <w:tcW w:w="3768" w:type="dxa"/>
            <w:gridSpan w:val="3"/>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p>
        </w:tc>
        <w:tc>
          <w:tcPr>
            <w:tcW w:w="1106" w:type="dxa"/>
            <w:vMerge w:val="continue"/>
            <w:noWrap w:val="0"/>
            <w:vAlign w:val="center"/>
          </w:tcPr>
          <w:p>
            <w:pPr>
              <w:keepNext w:val="0"/>
              <w:keepLines w:val="0"/>
              <w:pageBreakBefore w:val="0"/>
              <w:widowControl/>
              <w:kinsoku/>
              <w:wordWrap/>
              <w:overflowPunct/>
              <w:topLinePunct w:val="0"/>
              <w:bidi w:val="0"/>
              <w:adjustRightInd w:val="0"/>
              <w:snapToGrid/>
              <w:spacing w:line="240" w:lineRule="auto"/>
              <w:jc w:val="left"/>
              <w:textAlignment w:val="auto"/>
              <w:rPr>
                <w:rFonts w:hint="eastAsia" w:ascii="宋体" w:hAnsi="宋体" w:eastAsia="宋体" w:cs="宋体"/>
                <w:kern w:val="0"/>
                <w:sz w:val="24"/>
                <w:szCs w:val="24"/>
              </w:rPr>
            </w:pPr>
          </w:p>
        </w:tc>
        <w:tc>
          <w:tcPr>
            <w:tcW w:w="1556" w:type="dxa"/>
            <w:gridSpan w:val="2"/>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初级职称人员</w:t>
            </w:r>
          </w:p>
        </w:tc>
        <w:tc>
          <w:tcPr>
            <w:tcW w:w="1331"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2"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账号</w:t>
            </w:r>
          </w:p>
        </w:tc>
        <w:tc>
          <w:tcPr>
            <w:tcW w:w="3768" w:type="dxa"/>
            <w:gridSpan w:val="3"/>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p>
        </w:tc>
        <w:tc>
          <w:tcPr>
            <w:tcW w:w="1106" w:type="dxa"/>
            <w:vMerge w:val="continue"/>
            <w:noWrap w:val="0"/>
            <w:vAlign w:val="center"/>
          </w:tcPr>
          <w:p>
            <w:pPr>
              <w:keepNext w:val="0"/>
              <w:keepLines w:val="0"/>
              <w:pageBreakBefore w:val="0"/>
              <w:widowControl/>
              <w:kinsoku/>
              <w:wordWrap/>
              <w:overflowPunct/>
              <w:topLinePunct w:val="0"/>
              <w:bidi w:val="0"/>
              <w:adjustRightInd w:val="0"/>
              <w:snapToGrid/>
              <w:spacing w:line="240" w:lineRule="auto"/>
              <w:jc w:val="left"/>
              <w:textAlignment w:val="auto"/>
              <w:rPr>
                <w:rFonts w:hint="eastAsia" w:ascii="宋体" w:hAnsi="宋体" w:eastAsia="宋体" w:cs="宋体"/>
                <w:kern w:val="0"/>
                <w:sz w:val="24"/>
                <w:szCs w:val="24"/>
              </w:rPr>
            </w:pPr>
          </w:p>
        </w:tc>
        <w:tc>
          <w:tcPr>
            <w:tcW w:w="1556" w:type="dxa"/>
            <w:gridSpan w:val="2"/>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技 工</w:t>
            </w:r>
          </w:p>
        </w:tc>
        <w:tc>
          <w:tcPr>
            <w:tcW w:w="1331"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552"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经营范围</w:t>
            </w:r>
          </w:p>
        </w:tc>
        <w:tc>
          <w:tcPr>
            <w:tcW w:w="7761" w:type="dxa"/>
            <w:gridSpan w:val="7"/>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1552"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备注</w:t>
            </w:r>
          </w:p>
        </w:tc>
        <w:tc>
          <w:tcPr>
            <w:tcW w:w="7761" w:type="dxa"/>
            <w:gridSpan w:val="7"/>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4"/>
                <w:szCs w:val="24"/>
              </w:rPr>
            </w:pPr>
          </w:p>
        </w:tc>
      </w:tr>
    </w:tbl>
    <w:p>
      <w:pPr>
        <w:jc w:val="center"/>
        <w:rPr>
          <w:rFonts w:ascii="仿宋_GB2312" w:hAnsi="宋体"/>
          <w:kern w:val="44"/>
          <w:sz w:val="44"/>
          <w:szCs w:val="44"/>
        </w:rPr>
        <w:sectPr>
          <w:pgSz w:w="11906" w:h="16838"/>
          <w:pgMar w:top="1440" w:right="1800" w:bottom="1440" w:left="1800" w:header="851" w:footer="992" w:gutter="0"/>
          <w:pgNumType w:fmt="decimal"/>
          <w:cols w:space="425" w:num="1"/>
          <w:docGrid w:type="lines" w:linePitch="312" w:charSpace="0"/>
        </w:sectPr>
      </w:pPr>
    </w:p>
    <w:p>
      <w:pPr>
        <w:jc w:val="center"/>
        <w:outlineLvl w:val="2"/>
        <w:rPr>
          <w:rFonts w:hint="eastAsia" w:ascii="宋体" w:hAnsi="宋体" w:eastAsia="宋体" w:cs="宋体"/>
          <w:b/>
          <w:kern w:val="0"/>
          <w:sz w:val="24"/>
          <w:szCs w:val="24"/>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kern w:val="0"/>
          <w:sz w:val="24"/>
          <w:szCs w:val="24"/>
          <w:lang w:val="en-US" w:eastAsia="zh-CN" w:bidi="ar-SA"/>
        </w:rPr>
        <w:t>（二）资格审查资料</w:t>
      </w:r>
    </w:p>
    <w:p>
      <w:pPr>
        <w:pageBreakBefore w:val="0"/>
        <w:widowControl/>
        <w:kinsoku/>
        <w:wordWrap/>
        <w:overflowPunct/>
        <w:topLinePunct w:val="0"/>
        <w:autoSpaceDE/>
        <w:autoSpaceDN/>
        <w:bidi w:val="0"/>
        <w:adjustRightInd w:val="0"/>
        <w:snapToGrid w:val="0"/>
        <w:spacing w:line="360" w:lineRule="auto"/>
        <w:jc w:val="center"/>
        <w:textAlignment w:val="auto"/>
        <w:outlineLvl w:val="1"/>
        <w:rPr>
          <w:rFonts w:ascii="仿宋" w:hAnsi="仿宋" w:eastAsia="仿宋" w:cs="仿宋"/>
          <w:b/>
          <w:sz w:val="24"/>
          <w:szCs w:val="24"/>
        </w:rPr>
      </w:pPr>
      <w:bookmarkStart w:id="662" w:name="_Toc338840475"/>
      <w:bookmarkStart w:id="663" w:name="_Toc338840266"/>
      <w:bookmarkStart w:id="664" w:name="_Toc338840514"/>
      <w:bookmarkStart w:id="665" w:name="_Toc14215"/>
      <w:bookmarkStart w:id="666" w:name="_Toc32321"/>
      <w:r>
        <w:rPr>
          <w:rFonts w:hint="eastAsia" w:ascii="宋体" w:hAnsi="宋体" w:eastAsia="宋体" w:cs="宋体"/>
          <w:b/>
          <w:color w:val="000000"/>
          <w:sz w:val="30"/>
          <w:szCs w:val="30"/>
          <w:lang w:val="en-US" w:eastAsia="zh-CN"/>
        </w:rPr>
        <w:t>七</w:t>
      </w:r>
      <w:r>
        <w:rPr>
          <w:rFonts w:hint="eastAsia" w:ascii="宋体" w:hAnsi="宋体" w:eastAsia="宋体" w:cs="宋体"/>
          <w:b/>
          <w:color w:val="000000"/>
          <w:sz w:val="30"/>
          <w:szCs w:val="30"/>
          <w:lang w:val="zh-CN"/>
        </w:rPr>
        <w:t>、</w:t>
      </w:r>
      <w:r>
        <w:rPr>
          <w:rFonts w:hint="eastAsia" w:ascii="宋体" w:hAnsi="宋体" w:eastAsia="宋体" w:cs="宋体"/>
          <w:b/>
          <w:color w:val="000000"/>
          <w:sz w:val="30"/>
          <w:szCs w:val="30"/>
          <w:lang w:val="en-US" w:eastAsia="zh-CN"/>
        </w:rPr>
        <w:t>其他</w:t>
      </w:r>
      <w:bookmarkEnd w:id="662"/>
      <w:bookmarkEnd w:id="663"/>
      <w:bookmarkEnd w:id="664"/>
      <w:r>
        <w:rPr>
          <w:rFonts w:hint="eastAsia" w:ascii="宋体" w:hAnsi="宋体" w:eastAsia="宋体" w:cs="宋体"/>
          <w:b/>
          <w:color w:val="000000"/>
          <w:sz w:val="30"/>
          <w:szCs w:val="30"/>
          <w:lang w:val="en-US" w:eastAsia="zh-CN"/>
        </w:rPr>
        <w:t>资料</w:t>
      </w:r>
      <w:bookmarkEnd w:id="665"/>
      <w:bookmarkEnd w:id="666"/>
    </w:p>
    <w:p>
      <w:pPr>
        <w:spacing w:line="360" w:lineRule="auto"/>
        <w:outlineLvl w:val="9"/>
        <w:rPr>
          <w:rFonts w:ascii="仿宋" w:hAnsi="仿宋" w:eastAsia="仿宋" w:cs="仿宋"/>
          <w:sz w:val="24"/>
          <w:szCs w:val="24"/>
        </w:rPr>
      </w:pPr>
      <w:bookmarkStart w:id="667" w:name="_Toc12785"/>
      <w:bookmarkStart w:id="668" w:name="_Toc19027"/>
      <w:bookmarkStart w:id="669" w:name="_Toc11325"/>
      <w:r>
        <w:rPr>
          <w:rFonts w:hint="eastAsia" w:ascii="仿宋" w:hAnsi="仿宋" w:eastAsia="仿宋" w:cs="仿宋"/>
          <w:sz w:val="24"/>
          <w:szCs w:val="24"/>
        </w:rPr>
        <w:t>附表一：（符合政策要求，并申请按中小企业投标者提供）</w:t>
      </w:r>
      <w:bookmarkEnd w:id="667"/>
      <w:bookmarkEnd w:id="668"/>
      <w:bookmarkEnd w:id="669"/>
      <w:r>
        <w:rPr>
          <w:rFonts w:ascii="仿宋" w:hAnsi="仿宋" w:eastAsia="仿宋" w:cs="仿宋"/>
          <w:sz w:val="24"/>
          <w:szCs w:val="24"/>
        </w:rPr>
        <w:t xml:space="preserve">   </w:t>
      </w:r>
    </w:p>
    <w:p>
      <w:pPr>
        <w:spacing w:line="360" w:lineRule="auto"/>
        <w:jc w:val="center"/>
        <w:outlineLvl w:val="9"/>
        <w:rPr>
          <w:rFonts w:ascii="仿宋" w:hAnsi="仿宋" w:eastAsia="仿宋" w:cs="仿宋"/>
          <w:sz w:val="24"/>
          <w:szCs w:val="24"/>
        </w:rPr>
      </w:pPr>
      <w:bookmarkStart w:id="670" w:name="_Toc4976"/>
      <w:bookmarkStart w:id="671" w:name="_Toc16008"/>
      <w:r>
        <w:rPr>
          <w:rFonts w:hint="eastAsia" w:ascii="仿宋" w:hAnsi="仿宋" w:eastAsia="仿宋" w:cs="仿宋"/>
          <w:sz w:val="24"/>
          <w:szCs w:val="24"/>
        </w:rPr>
        <w:t>中小企业声明函（工程）</w:t>
      </w:r>
      <w:bookmarkEnd w:id="670"/>
      <w:bookmarkEnd w:id="671"/>
    </w:p>
    <w:p>
      <w:pPr>
        <w:pStyle w:val="2"/>
        <w:spacing w:after="0" w:line="360" w:lineRule="auto"/>
        <w:ind w:right="415" w:firstLine="640"/>
        <w:rPr>
          <w:rFonts w:ascii="仿宋" w:hAnsi="仿宋" w:eastAsia="仿宋" w:cs="仿宋"/>
          <w:szCs w:val="21"/>
        </w:rPr>
      </w:pPr>
      <w:r>
        <w:rPr>
          <w:rFonts w:hint="eastAsia" w:ascii="仿宋" w:hAnsi="仿宋" w:eastAsia="仿宋" w:cs="仿宋"/>
          <w:szCs w:val="21"/>
        </w:rPr>
        <w:t>本公司郑重声明，根据《政府采购促进中小企业发展管理办法》（财库﹝</w:t>
      </w:r>
      <w:r>
        <w:rPr>
          <w:rFonts w:ascii="仿宋" w:hAnsi="仿宋" w:eastAsia="仿宋" w:cs="仿宋"/>
          <w:szCs w:val="21"/>
        </w:rPr>
        <w:t>2020</w:t>
      </w:r>
      <w:r>
        <w:rPr>
          <w:rFonts w:hint="eastAsia" w:ascii="仿宋" w:hAnsi="仿宋" w:eastAsia="仿宋" w:cs="仿宋"/>
          <w:szCs w:val="21"/>
        </w:rPr>
        <w:t>﹞</w:t>
      </w:r>
      <w:r>
        <w:rPr>
          <w:rFonts w:ascii="仿宋" w:hAnsi="仿宋" w:eastAsia="仿宋" w:cs="仿宋"/>
          <w:szCs w:val="21"/>
        </w:rPr>
        <w:t xml:space="preserve">46 </w:t>
      </w:r>
      <w:r>
        <w:rPr>
          <w:rFonts w:hint="eastAsia" w:ascii="仿宋" w:hAnsi="仿宋" w:eastAsia="仿宋" w:cs="仿宋"/>
          <w:szCs w:val="21"/>
        </w:rPr>
        <w:t>号）的规定，本公司参加</w:t>
      </w:r>
      <w:r>
        <w:rPr>
          <w:rFonts w:hint="eastAsia" w:ascii="仿宋" w:hAnsi="仿宋" w:eastAsia="仿宋" w:cs="仿宋"/>
          <w:i/>
          <w:iCs/>
          <w:szCs w:val="21"/>
          <w:u w:val="single"/>
        </w:rPr>
        <w:t>（单位名称）</w:t>
      </w:r>
      <w:r>
        <w:rPr>
          <w:rFonts w:hint="eastAsia" w:ascii="仿宋" w:hAnsi="仿宋" w:eastAsia="仿宋" w:cs="仿宋"/>
          <w:szCs w:val="21"/>
        </w:rPr>
        <w:t>的</w:t>
      </w:r>
      <w:r>
        <w:rPr>
          <w:rFonts w:hint="eastAsia" w:ascii="仿宋" w:hAnsi="仿宋" w:eastAsia="仿宋" w:cs="仿宋"/>
          <w:i/>
          <w:iCs/>
          <w:szCs w:val="21"/>
          <w:u w:val="single"/>
        </w:rPr>
        <w:t>（项目名称）</w:t>
      </w:r>
      <w:r>
        <w:rPr>
          <w:rFonts w:hint="eastAsia" w:ascii="仿宋" w:hAnsi="仿宋" w:eastAsia="仿宋" w:cs="仿宋"/>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2"/>
        <w:spacing w:after="0" w:line="360" w:lineRule="auto"/>
        <w:ind w:right="415" w:firstLine="640"/>
        <w:rPr>
          <w:rFonts w:ascii="仿宋" w:hAnsi="仿宋" w:eastAsia="仿宋" w:cs="仿宋"/>
          <w:szCs w:val="21"/>
        </w:rPr>
      </w:pPr>
      <w:r>
        <w:rPr>
          <w:rFonts w:ascii="仿宋" w:hAnsi="仿宋" w:eastAsia="仿宋" w:cs="仿宋"/>
          <w:szCs w:val="21"/>
        </w:rPr>
        <w:t>1.</w:t>
      </w:r>
      <w:r>
        <w:rPr>
          <w:rFonts w:hint="eastAsia" w:ascii="仿宋" w:hAnsi="仿宋" w:eastAsia="仿宋" w:cs="仿宋"/>
          <w:i/>
          <w:iCs/>
          <w:szCs w:val="21"/>
          <w:u w:val="single"/>
        </w:rPr>
        <w:t>（标的名称）</w:t>
      </w:r>
      <w:r>
        <w:rPr>
          <w:rFonts w:hint="eastAsia" w:ascii="仿宋" w:hAnsi="仿宋" w:eastAsia="仿宋" w:cs="仿宋"/>
          <w:szCs w:val="21"/>
        </w:rPr>
        <w:t>，属于</w:t>
      </w:r>
      <w:r>
        <w:rPr>
          <w:rFonts w:hint="eastAsia" w:ascii="仿宋" w:hAnsi="仿宋" w:eastAsia="仿宋" w:cs="仿宋"/>
          <w:i/>
          <w:iCs/>
          <w:szCs w:val="21"/>
          <w:u w:val="single"/>
        </w:rPr>
        <w:t>（竞争性</w:t>
      </w:r>
      <w:r>
        <w:rPr>
          <w:rFonts w:hint="eastAsia" w:ascii="仿宋" w:hAnsi="仿宋" w:eastAsia="仿宋" w:cs="仿宋"/>
          <w:i/>
          <w:iCs/>
          <w:szCs w:val="21"/>
          <w:u w:val="single"/>
          <w:lang w:eastAsia="zh-CN"/>
        </w:rPr>
        <w:t>谈判文件</w:t>
      </w:r>
      <w:r>
        <w:rPr>
          <w:rFonts w:hint="eastAsia" w:ascii="仿宋" w:hAnsi="仿宋" w:eastAsia="仿宋" w:cs="仿宋"/>
          <w:i/>
          <w:iCs/>
          <w:szCs w:val="21"/>
          <w:u w:val="single"/>
        </w:rPr>
        <w:t>中明确的所属行业）</w:t>
      </w:r>
      <w:r>
        <w:rPr>
          <w:rFonts w:hint="eastAsia" w:ascii="仿宋" w:hAnsi="仿宋" w:eastAsia="仿宋" w:cs="仿宋"/>
          <w:szCs w:val="21"/>
        </w:rPr>
        <w:t>；承建（承接）企业为</w:t>
      </w:r>
      <w:r>
        <w:rPr>
          <w:rFonts w:hint="eastAsia" w:ascii="仿宋" w:hAnsi="仿宋" w:eastAsia="仿宋" w:cs="仿宋"/>
          <w:i/>
          <w:iCs/>
          <w:szCs w:val="21"/>
          <w:u w:val="single"/>
        </w:rPr>
        <w:t>（企业名称）</w:t>
      </w:r>
      <w:r>
        <w:rPr>
          <w:rFonts w:hint="eastAsia" w:ascii="仿宋" w:hAnsi="仿宋" w:eastAsia="仿宋" w:cs="仿宋"/>
          <w:szCs w:val="21"/>
        </w:rPr>
        <w:t>，从业人员</w:t>
      </w:r>
      <w:r>
        <w:rPr>
          <w:rFonts w:ascii="仿宋" w:hAnsi="仿宋" w:eastAsia="仿宋" w:cs="仿宋"/>
          <w:szCs w:val="21"/>
          <w:u w:val="single"/>
        </w:rPr>
        <w:t xml:space="preserve">     </w:t>
      </w:r>
      <w:r>
        <w:rPr>
          <w:rFonts w:ascii="仿宋" w:hAnsi="仿宋" w:eastAsia="仿宋" w:cs="仿宋"/>
          <w:szCs w:val="21"/>
          <w:u w:val="single"/>
        </w:rPr>
        <w:tab/>
      </w:r>
      <w:r>
        <w:rPr>
          <w:rFonts w:hint="eastAsia" w:ascii="仿宋" w:hAnsi="仿宋" w:eastAsia="仿宋" w:cs="仿宋"/>
          <w:szCs w:val="21"/>
        </w:rPr>
        <w:t>人，营业收入为</w:t>
      </w:r>
      <w:r>
        <w:rPr>
          <w:rFonts w:ascii="仿宋" w:hAnsi="仿宋" w:eastAsia="仿宋" w:cs="仿宋"/>
          <w:szCs w:val="21"/>
          <w:u w:val="single"/>
        </w:rPr>
        <w:t xml:space="preserve">     </w:t>
      </w:r>
      <w:r>
        <w:rPr>
          <w:rFonts w:ascii="仿宋" w:hAnsi="仿宋" w:eastAsia="仿宋" w:cs="仿宋"/>
          <w:szCs w:val="21"/>
          <w:u w:val="single"/>
        </w:rPr>
        <w:tab/>
      </w:r>
      <w:r>
        <w:rPr>
          <w:rFonts w:hint="eastAsia" w:ascii="仿宋" w:hAnsi="仿宋" w:eastAsia="仿宋" w:cs="仿宋"/>
          <w:szCs w:val="21"/>
        </w:rPr>
        <w:t>万元，资产总额为</w:t>
      </w:r>
      <w:r>
        <w:rPr>
          <w:rFonts w:ascii="仿宋" w:hAnsi="仿宋" w:eastAsia="仿宋" w:cs="仿宋"/>
          <w:szCs w:val="21"/>
          <w:u w:val="single"/>
        </w:rPr>
        <w:t xml:space="preserve">     </w:t>
      </w:r>
      <w:r>
        <w:rPr>
          <w:rFonts w:ascii="仿宋" w:hAnsi="仿宋" w:eastAsia="仿宋" w:cs="仿宋"/>
          <w:szCs w:val="21"/>
          <w:u w:val="single"/>
        </w:rPr>
        <w:tab/>
      </w:r>
      <w:r>
        <w:rPr>
          <w:rFonts w:hint="eastAsia" w:ascii="仿宋" w:hAnsi="仿宋" w:eastAsia="仿宋" w:cs="仿宋"/>
          <w:szCs w:val="21"/>
        </w:rPr>
        <w:t>万元</w:t>
      </w:r>
      <w:r>
        <w:fldChar w:fldCharType="begin"/>
      </w:r>
      <w:r>
        <w:instrText xml:space="preserve"> HYPERLINK \l "_bookmark1" </w:instrText>
      </w:r>
      <w:r>
        <w:fldChar w:fldCharType="separate"/>
      </w:r>
      <w:r>
        <w:rPr>
          <w:rStyle w:val="32"/>
          <w:rFonts w:ascii="仿宋" w:hAnsi="仿宋" w:eastAsia="仿宋" w:cs="仿宋"/>
          <w:szCs w:val="21"/>
        </w:rPr>
        <w:t>1</w:t>
      </w:r>
      <w:r>
        <w:rPr>
          <w:rStyle w:val="32"/>
          <w:rFonts w:ascii="仿宋" w:hAnsi="仿宋" w:eastAsia="仿宋" w:cs="仿宋"/>
          <w:szCs w:val="21"/>
        </w:rPr>
        <w:fldChar w:fldCharType="end"/>
      </w:r>
      <w:r>
        <w:rPr>
          <w:rFonts w:hint="eastAsia" w:ascii="仿宋" w:hAnsi="仿宋" w:eastAsia="仿宋" w:cs="仿宋"/>
          <w:szCs w:val="21"/>
        </w:rPr>
        <w:t>，属于</w:t>
      </w:r>
      <w:r>
        <w:rPr>
          <w:rFonts w:hint="eastAsia" w:ascii="仿宋" w:hAnsi="仿宋" w:eastAsia="仿宋" w:cs="仿宋"/>
          <w:i/>
          <w:iCs/>
          <w:szCs w:val="21"/>
          <w:u w:val="single"/>
        </w:rPr>
        <w:t>（中型企业、小型企业、微型企业）</w:t>
      </w:r>
      <w:r>
        <w:rPr>
          <w:rFonts w:hint="eastAsia" w:ascii="仿宋" w:hAnsi="仿宋" w:eastAsia="仿宋" w:cs="仿宋"/>
          <w:szCs w:val="21"/>
        </w:rPr>
        <w:t>；</w:t>
      </w:r>
    </w:p>
    <w:p>
      <w:pPr>
        <w:pStyle w:val="2"/>
        <w:spacing w:after="0" w:line="360" w:lineRule="auto"/>
        <w:ind w:right="415" w:firstLine="640"/>
        <w:rPr>
          <w:rFonts w:ascii="仿宋" w:hAnsi="仿宋" w:eastAsia="仿宋" w:cs="仿宋"/>
          <w:szCs w:val="21"/>
        </w:rPr>
      </w:pPr>
      <w:r>
        <w:rPr>
          <w:rFonts w:ascii="仿宋" w:hAnsi="仿宋" w:eastAsia="仿宋" w:cs="仿宋"/>
          <w:szCs w:val="21"/>
        </w:rPr>
        <w:t>2.</w:t>
      </w:r>
      <w:r>
        <w:rPr>
          <w:rFonts w:hint="eastAsia" w:ascii="仿宋" w:hAnsi="仿宋" w:eastAsia="仿宋" w:cs="仿宋"/>
          <w:i/>
          <w:iCs/>
          <w:szCs w:val="21"/>
          <w:u w:val="single"/>
        </w:rPr>
        <w:t>（标的名称）</w:t>
      </w:r>
      <w:r>
        <w:rPr>
          <w:rFonts w:hint="eastAsia" w:ascii="仿宋" w:hAnsi="仿宋" w:eastAsia="仿宋" w:cs="仿宋"/>
          <w:szCs w:val="21"/>
        </w:rPr>
        <w:t>，属于</w:t>
      </w:r>
      <w:r>
        <w:rPr>
          <w:rFonts w:hint="eastAsia" w:ascii="仿宋" w:hAnsi="仿宋" w:eastAsia="仿宋" w:cs="仿宋"/>
          <w:i/>
          <w:iCs/>
          <w:szCs w:val="21"/>
          <w:u w:val="single"/>
        </w:rPr>
        <w:t>（竞争性</w:t>
      </w:r>
      <w:r>
        <w:rPr>
          <w:rFonts w:hint="eastAsia" w:ascii="仿宋" w:hAnsi="仿宋" w:eastAsia="仿宋" w:cs="仿宋"/>
          <w:i/>
          <w:iCs/>
          <w:szCs w:val="21"/>
          <w:u w:val="single"/>
          <w:lang w:eastAsia="zh-CN"/>
        </w:rPr>
        <w:t>谈判文件</w:t>
      </w:r>
      <w:r>
        <w:rPr>
          <w:rFonts w:hint="eastAsia" w:ascii="仿宋" w:hAnsi="仿宋" w:eastAsia="仿宋" w:cs="仿宋"/>
          <w:i/>
          <w:iCs/>
          <w:szCs w:val="21"/>
          <w:u w:val="single"/>
        </w:rPr>
        <w:t>中明确的所属行业）</w:t>
      </w:r>
      <w:r>
        <w:rPr>
          <w:rFonts w:hint="eastAsia" w:ascii="仿宋" w:hAnsi="仿宋" w:eastAsia="仿宋" w:cs="仿宋"/>
          <w:szCs w:val="21"/>
        </w:rPr>
        <w:t>；承建（承接）企业为</w:t>
      </w:r>
      <w:r>
        <w:rPr>
          <w:rFonts w:hint="eastAsia" w:ascii="仿宋" w:hAnsi="仿宋" w:eastAsia="仿宋" w:cs="仿宋"/>
          <w:i/>
          <w:iCs/>
          <w:szCs w:val="21"/>
          <w:u w:val="single"/>
        </w:rPr>
        <w:t>（企业名称）</w:t>
      </w:r>
      <w:r>
        <w:rPr>
          <w:rFonts w:hint="eastAsia" w:ascii="仿宋" w:hAnsi="仿宋" w:eastAsia="仿宋" w:cs="仿宋"/>
          <w:szCs w:val="21"/>
        </w:rPr>
        <w:t>，从业人员</w:t>
      </w:r>
      <w:r>
        <w:rPr>
          <w:rFonts w:ascii="仿宋" w:hAnsi="仿宋" w:eastAsia="仿宋" w:cs="仿宋"/>
          <w:szCs w:val="21"/>
          <w:u w:val="single"/>
        </w:rPr>
        <w:t xml:space="preserve">     </w:t>
      </w:r>
      <w:r>
        <w:rPr>
          <w:rFonts w:ascii="仿宋" w:hAnsi="仿宋" w:eastAsia="仿宋" w:cs="仿宋"/>
          <w:szCs w:val="21"/>
          <w:u w:val="single"/>
        </w:rPr>
        <w:tab/>
      </w:r>
      <w:r>
        <w:rPr>
          <w:rFonts w:hint="eastAsia" w:ascii="仿宋" w:hAnsi="仿宋" w:eastAsia="仿宋" w:cs="仿宋"/>
          <w:szCs w:val="21"/>
        </w:rPr>
        <w:t>人，营业收入为</w:t>
      </w:r>
      <w:r>
        <w:rPr>
          <w:rFonts w:ascii="仿宋" w:hAnsi="仿宋" w:eastAsia="仿宋" w:cs="仿宋"/>
          <w:szCs w:val="21"/>
          <w:u w:val="single"/>
        </w:rPr>
        <w:t xml:space="preserve">     </w:t>
      </w:r>
      <w:r>
        <w:rPr>
          <w:rFonts w:ascii="仿宋" w:hAnsi="仿宋" w:eastAsia="仿宋" w:cs="仿宋"/>
          <w:szCs w:val="21"/>
          <w:u w:val="single"/>
        </w:rPr>
        <w:tab/>
      </w:r>
      <w:r>
        <w:rPr>
          <w:rFonts w:hint="eastAsia" w:ascii="仿宋" w:hAnsi="仿宋" w:eastAsia="仿宋" w:cs="仿宋"/>
          <w:szCs w:val="21"/>
        </w:rPr>
        <w:t>万元，资产总额为</w:t>
      </w:r>
      <w:r>
        <w:rPr>
          <w:rFonts w:ascii="仿宋" w:hAnsi="仿宋" w:eastAsia="仿宋" w:cs="仿宋"/>
          <w:szCs w:val="21"/>
          <w:u w:val="single"/>
        </w:rPr>
        <w:t xml:space="preserve">     </w:t>
      </w:r>
      <w:r>
        <w:rPr>
          <w:rFonts w:ascii="仿宋" w:hAnsi="仿宋" w:eastAsia="仿宋" w:cs="仿宋"/>
          <w:szCs w:val="21"/>
          <w:u w:val="single"/>
        </w:rPr>
        <w:tab/>
      </w:r>
      <w:r>
        <w:rPr>
          <w:rFonts w:hint="eastAsia" w:ascii="仿宋" w:hAnsi="仿宋" w:eastAsia="仿宋" w:cs="仿宋"/>
          <w:szCs w:val="21"/>
        </w:rPr>
        <w:t>万元，属于</w:t>
      </w:r>
      <w:r>
        <w:rPr>
          <w:rFonts w:hint="eastAsia" w:ascii="仿宋" w:hAnsi="仿宋" w:eastAsia="仿宋" w:cs="仿宋"/>
          <w:i/>
          <w:iCs/>
          <w:szCs w:val="21"/>
          <w:u w:val="single"/>
        </w:rPr>
        <w:t>（中型企业、小型企业、微型企业）</w:t>
      </w:r>
      <w:r>
        <w:rPr>
          <w:rFonts w:hint="eastAsia" w:ascii="仿宋" w:hAnsi="仿宋" w:eastAsia="仿宋" w:cs="仿宋"/>
          <w:szCs w:val="21"/>
        </w:rPr>
        <w:t>；</w:t>
      </w:r>
    </w:p>
    <w:p>
      <w:pPr>
        <w:pStyle w:val="2"/>
        <w:spacing w:after="0" w:line="360" w:lineRule="auto"/>
        <w:ind w:left="860"/>
        <w:rPr>
          <w:rFonts w:ascii="仿宋" w:hAnsi="仿宋" w:eastAsia="仿宋" w:cs="仿宋"/>
          <w:szCs w:val="21"/>
        </w:rPr>
      </w:pPr>
      <w:r>
        <w:rPr>
          <w:rFonts w:hint="eastAsia" w:ascii="仿宋" w:hAnsi="仿宋" w:eastAsia="仿宋" w:cs="仿宋"/>
          <w:szCs w:val="21"/>
        </w:rPr>
        <w:t>……</w:t>
      </w:r>
    </w:p>
    <w:p>
      <w:pPr>
        <w:pStyle w:val="2"/>
        <w:spacing w:after="0" w:line="360" w:lineRule="auto"/>
        <w:ind w:right="417" w:firstLine="645"/>
        <w:rPr>
          <w:rFonts w:ascii="仿宋" w:hAnsi="仿宋" w:eastAsia="仿宋" w:cs="仿宋"/>
          <w:szCs w:val="21"/>
        </w:rPr>
      </w:pPr>
      <w:r>
        <w:rPr>
          <w:rFonts w:hint="eastAsia" w:ascii="仿宋" w:hAnsi="仿宋" w:eastAsia="仿宋" w:cs="仿宋"/>
          <w:szCs w:val="21"/>
        </w:rPr>
        <w:t>以上企业，不属于大企业的分支机构，不存在控股股东为大企业的情形，也不存在与大企业的负责人为同一人的情形。</w:t>
      </w:r>
    </w:p>
    <w:p>
      <w:pPr>
        <w:pStyle w:val="2"/>
        <w:spacing w:after="0" w:line="360" w:lineRule="auto"/>
        <w:ind w:right="375" w:firstLine="640"/>
        <w:rPr>
          <w:rFonts w:ascii="仿宋" w:hAnsi="仿宋" w:eastAsia="仿宋" w:cs="仿宋"/>
          <w:szCs w:val="21"/>
        </w:rPr>
      </w:pPr>
      <w:r>
        <w:rPr>
          <w:rFonts w:hint="eastAsia" w:ascii="仿宋" w:hAnsi="仿宋" w:eastAsia="仿宋" w:cs="仿宋"/>
          <w:szCs w:val="21"/>
        </w:rPr>
        <w:t>本企业对上述声明内容的真实性负责。如有虚假，将依法承担相应责任。</w:t>
      </w:r>
    </w:p>
    <w:p>
      <w:pPr>
        <w:pStyle w:val="2"/>
        <w:spacing w:after="0" w:line="360" w:lineRule="auto"/>
        <w:ind w:left="4060" w:right="2166"/>
        <w:rPr>
          <w:rFonts w:ascii="仿宋" w:hAnsi="仿宋" w:eastAsia="仿宋" w:cs="仿宋"/>
          <w:w w:val="99"/>
          <w:szCs w:val="21"/>
        </w:rPr>
      </w:pPr>
    </w:p>
    <w:p>
      <w:pPr>
        <w:pStyle w:val="2"/>
        <w:spacing w:after="0" w:line="360" w:lineRule="auto"/>
        <w:ind w:left="4060" w:right="2166"/>
        <w:rPr>
          <w:rFonts w:ascii="仿宋" w:hAnsi="仿宋" w:eastAsia="仿宋" w:cs="仿宋"/>
          <w:w w:val="99"/>
          <w:szCs w:val="21"/>
        </w:rPr>
      </w:pPr>
      <w:r>
        <w:rPr>
          <w:rFonts w:hint="eastAsia" w:ascii="仿宋" w:hAnsi="仿宋" w:eastAsia="仿宋" w:cs="仿宋"/>
          <w:w w:val="99"/>
          <w:szCs w:val="21"/>
        </w:rPr>
        <w:t>企业名称（盖章）：</w:t>
      </w:r>
    </w:p>
    <w:p>
      <w:pPr>
        <w:pStyle w:val="2"/>
        <w:spacing w:after="0" w:line="360" w:lineRule="auto"/>
        <w:ind w:left="4060" w:right="2166"/>
        <w:rPr>
          <w:rFonts w:ascii="仿宋" w:hAnsi="仿宋" w:eastAsia="仿宋" w:cs="仿宋"/>
          <w:spacing w:val="6"/>
          <w:szCs w:val="21"/>
        </w:rPr>
      </w:pPr>
      <w:r>
        <w:rPr>
          <w:rFonts w:hint="eastAsia" w:ascii="仿宋" w:hAnsi="仿宋" w:eastAsia="仿宋" w:cs="仿宋"/>
          <w:szCs w:val="21"/>
        </w:rPr>
        <w:t>日期：</w:t>
      </w:r>
    </w:p>
    <w:p>
      <w:pPr>
        <w:adjustRightInd w:val="0"/>
        <w:snapToGrid w:val="0"/>
        <w:spacing w:line="360" w:lineRule="auto"/>
        <w:rPr>
          <w:rFonts w:ascii="仿宋" w:hAnsi="仿宋" w:eastAsia="仿宋" w:cs="仿宋"/>
          <w:szCs w:val="21"/>
        </w:rPr>
      </w:pPr>
    </w:p>
    <w:p>
      <w:pPr>
        <w:spacing w:line="360" w:lineRule="auto"/>
        <w:outlineLvl w:val="9"/>
        <w:rPr>
          <w:rFonts w:ascii="仿宋" w:hAnsi="仿宋" w:eastAsia="仿宋" w:cs="仿宋"/>
          <w:sz w:val="24"/>
          <w:szCs w:val="24"/>
        </w:rPr>
      </w:pPr>
      <w:r>
        <w:rPr>
          <w:rFonts w:ascii="仿宋" w:hAnsi="仿宋" w:eastAsia="仿宋" w:cs="仿宋"/>
          <w:b w:val="0"/>
          <w:bCs w:val="0"/>
          <w:szCs w:val="21"/>
        </w:rPr>
        <w:br w:type="page"/>
      </w:r>
      <w:bookmarkStart w:id="672" w:name="_Toc20765"/>
      <w:bookmarkStart w:id="673" w:name="_Toc28004"/>
      <w:bookmarkStart w:id="674" w:name="_Toc7305"/>
      <w:r>
        <w:rPr>
          <w:rFonts w:hint="eastAsia" w:ascii="仿宋" w:hAnsi="仿宋" w:eastAsia="仿宋" w:cs="仿宋"/>
          <w:bCs w:val="0"/>
          <w:sz w:val="24"/>
          <w:szCs w:val="24"/>
        </w:rPr>
        <w:t>附表二：</w:t>
      </w:r>
      <w:r>
        <w:rPr>
          <w:rFonts w:hint="eastAsia" w:ascii="仿宋" w:hAnsi="仿宋" w:eastAsia="仿宋" w:cs="仿宋"/>
          <w:sz w:val="24"/>
          <w:szCs w:val="24"/>
        </w:rPr>
        <w:t>（符合政策要求，并申请按残疾人福利性企业投标者提供）</w:t>
      </w:r>
      <w:bookmarkEnd w:id="672"/>
      <w:bookmarkEnd w:id="673"/>
      <w:bookmarkEnd w:id="674"/>
      <w:r>
        <w:rPr>
          <w:rFonts w:ascii="仿宋" w:hAnsi="仿宋" w:eastAsia="仿宋" w:cs="仿宋"/>
          <w:sz w:val="24"/>
          <w:szCs w:val="24"/>
        </w:rPr>
        <w:t xml:space="preserve"> </w:t>
      </w:r>
    </w:p>
    <w:p>
      <w:pPr>
        <w:spacing w:line="360" w:lineRule="auto"/>
        <w:jc w:val="center"/>
        <w:outlineLvl w:val="9"/>
        <w:rPr>
          <w:rFonts w:ascii="仿宋" w:hAnsi="仿宋" w:eastAsia="仿宋" w:cs="仿宋"/>
          <w:sz w:val="24"/>
          <w:szCs w:val="24"/>
        </w:rPr>
      </w:pPr>
      <w:bookmarkStart w:id="675" w:name="_Toc23855"/>
      <w:bookmarkStart w:id="676" w:name="_Toc22160"/>
      <w:r>
        <w:rPr>
          <w:rFonts w:hint="eastAsia" w:ascii="仿宋" w:hAnsi="仿宋" w:eastAsia="仿宋" w:cs="仿宋"/>
          <w:sz w:val="24"/>
          <w:szCs w:val="24"/>
        </w:rPr>
        <w:t>残疾人福利性单位声明函</w:t>
      </w:r>
      <w:bookmarkEnd w:id="675"/>
      <w:bookmarkEnd w:id="676"/>
    </w:p>
    <w:p>
      <w:pPr>
        <w:adjustRightInd w:val="0"/>
        <w:snapToGrid w:val="0"/>
        <w:spacing w:line="440" w:lineRule="exact"/>
        <w:rPr>
          <w:rFonts w:ascii="仿宋" w:hAnsi="仿宋" w:eastAsia="仿宋" w:cs="仿宋"/>
          <w:spacing w:val="6"/>
          <w:sz w:val="24"/>
        </w:rPr>
      </w:pPr>
    </w:p>
    <w:p>
      <w:pPr>
        <w:adjustRightInd w:val="0"/>
        <w:snapToGrid w:val="0"/>
        <w:spacing w:line="360" w:lineRule="auto"/>
        <w:ind w:firstLine="444" w:firstLineChars="200"/>
        <w:rPr>
          <w:rFonts w:ascii="仿宋" w:hAnsi="仿宋" w:eastAsia="仿宋" w:cs="仿宋"/>
          <w:spacing w:val="6"/>
          <w:szCs w:val="21"/>
        </w:rPr>
      </w:pPr>
      <w:r>
        <w:rPr>
          <w:rFonts w:hint="eastAsia" w:ascii="仿宋" w:hAnsi="仿宋" w:eastAsia="仿宋" w:cs="仿宋"/>
          <w:spacing w:val="6"/>
          <w:szCs w:val="21"/>
        </w:rPr>
        <w:t>本单位郑重声明，根据《财政部</w:t>
      </w:r>
      <w:r>
        <w:rPr>
          <w:rFonts w:ascii="仿宋" w:hAnsi="仿宋" w:eastAsia="仿宋" w:cs="仿宋"/>
          <w:spacing w:val="6"/>
          <w:szCs w:val="21"/>
        </w:rPr>
        <w:t xml:space="preserve"> </w:t>
      </w:r>
      <w:r>
        <w:rPr>
          <w:rFonts w:hint="eastAsia" w:ascii="仿宋" w:hAnsi="仿宋" w:eastAsia="仿宋" w:cs="仿宋"/>
          <w:spacing w:val="6"/>
          <w:szCs w:val="21"/>
        </w:rPr>
        <w:t>民政部</w:t>
      </w:r>
      <w:r>
        <w:rPr>
          <w:rFonts w:ascii="仿宋" w:hAnsi="仿宋" w:eastAsia="仿宋" w:cs="仿宋"/>
          <w:spacing w:val="6"/>
          <w:szCs w:val="21"/>
        </w:rPr>
        <w:t xml:space="preserve"> </w:t>
      </w:r>
      <w:r>
        <w:rPr>
          <w:rFonts w:hint="eastAsia" w:ascii="仿宋" w:hAnsi="仿宋" w:eastAsia="仿宋" w:cs="仿宋"/>
          <w:spacing w:val="6"/>
          <w:szCs w:val="21"/>
        </w:rPr>
        <w:t>中国残疾人联合会关于促进残疾人就业政府采购政策的通知》（财库</w:t>
      </w:r>
      <w:r>
        <w:rPr>
          <w:rFonts w:hint="eastAsia" w:ascii="仿宋" w:hAnsi="仿宋" w:eastAsia="仿宋" w:cs="仿宋"/>
          <w:szCs w:val="21"/>
        </w:rPr>
        <w:t>〔</w:t>
      </w:r>
      <w:r>
        <w:rPr>
          <w:rFonts w:ascii="仿宋" w:hAnsi="仿宋" w:eastAsia="仿宋" w:cs="仿宋"/>
          <w:szCs w:val="21"/>
        </w:rPr>
        <w:t>2017</w:t>
      </w:r>
      <w:r>
        <w:rPr>
          <w:rFonts w:hint="eastAsia" w:ascii="仿宋" w:hAnsi="仿宋" w:eastAsia="仿宋" w:cs="仿宋"/>
          <w:szCs w:val="21"/>
        </w:rPr>
        <w:t>〕</w:t>
      </w:r>
      <w:r>
        <w:rPr>
          <w:rFonts w:ascii="仿宋" w:hAnsi="仿宋" w:eastAsia="仿宋" w:cs="仿宋"/>
          <w:szCs w:val="21"/>
        </w:rPr>
        <w:t xml:space="preserve"> 141</w:t>
      </w:r>
      <w:r>
        <w:rPr>
          <w:rFonts w:hint="eastAsia" w:ascii="仿宋" w:hAnsi="仿宋" w:eastAsia="仿宋" w:cs="仿宋"/>
          <w:spacing w:val="6"/>
          <w:szCs w:val="21"/>
        </w:rPr>
        <w:t>号）的规定，本单位为符合条件的残疾人福利性单位，且本单位参加</w:t>
      </w:r>
      <w:r>
        <w:rPr>
          <w:rFonts w:ascii="仿宋" w:hAnsi="仿宋" w:eastAsia="仿宋" w:cs="仿宋"/>
          <w:spacing w:val="6"/>
          <w:szCs w:val="21"/>
          <w:u w:val="single"/>
        </w:rPr>
        <w:t xml:space="preserve">        </w:t>
      </w:r>
      <w:r>
        <w:rPr>
          <w:rFonts w:hint="eastAsia" w:ascii="仿宋" w:hAnsi="仿宋" w:eastAsia="仿宋" w:cs="仿宋"/>
          <w:spacing w:val="6"/>
          <w:szCs w:val="21"/>
        </w:rPr>
        <w:t>单位的</w:t>
      </w:r>
      <w:r>
        <w:rPr>
          <w:rFonts w:ascii="仿宋" w:hAnsi="仿宋" w:eastAsia="仿宋" w:cs="仿宋"/>
          <w:spacing w:val="6"/>
          <w:szCs w:val="21"/>
          <w:u w:val="single"/>
        </w:rPr>
        <w:t xml:space="preserve">        </w:t>
      </w:r>
      <w:r>
        <w:rPr>
          <w:rFonts w:hint="eastAsia" w:ascii="仿宋" w:hAnsi="仿宋" w:eastAsia="仿宋" w:cs="仿宋"/>
          <w:spacing w:val="6"/>
          <w:szCs w:val="21"/>
        </w:rPr>
        <w:t>项目采购活动提供本单位制造的货物（由本单位承担工程</w:t>
      </w:r>
      <w:r>
        <w:rPr>
          <w:rFonts w:ascii="仿宋" w:hAnsi="仿宋" w:eastAsia="仿宋" w:cs="仿宋"/>
          <w:spacing w:val="6"/>
          <w:szCs w:val="21"/>
        </w:rPr>
        <w:t>/</w:t>
      </w:r>
      <w:r>
        <w:rPr>
          <w:rFonts w:hint="eastAsia" w:ascii="仿宋" w:hAnsi="仿宋" w:eastAsia="仿宋" w:cs="仿宋"/>
          <w:spacing w:val="6"/>
          <w:szCs w:val="21"/>
        </w:rPr>
        <w:t>提供服务），或者提供其他残疾人福利性单位制造的货物（不包括使用非残疾人福利性单位注册商标的货物）。</w:t>
      </w:r>
    </w:p>
    <w:p>
      <w:pPr>
        <w:adjustRightInd w:val="0"/>
        <w:snapToGrid w:val="0"/>
        <w:spacing w:line="360" w:lineRule="auto"/>
        <w:ind w:firstLine="444" w:firstLineChars="200"/>
        <w:rPr>
          <w:rFonts w:ascii="仿宋" w:hAnsi="仿宋" w:eastAsia="仿宋" w:cs="仿宋"/>
          <w:spacing w:val="6"/>
          <w:szCs w:val="21"/>
        </w:rPr>
      </w:pPr>
      <w:r>
        <w:rPr>
          <w:rFonts w:hint="eastAsia" w:ascii="仿宋" w:hAnsi="仿宋" w:eastAsia="仿宋" w:cs="仿宋"/>
          <w:spacing w:val="6"/>
          <w:szCs w:val="21"/>
        </w:rPr>
        <w:t>本单位对上述声明的真实性负责。如有虚假，将依法承担相应责任。</w:t>
      </w:r>
    </w:p>
    <w:p>
      <w:pPr>
        <w:adjustRightInd w:val="0"/>
        <w:snapToGrid w:val="0"/>
        <w:spacing w:line="360" w:lineRule="auto"/>
        <w:ind w:firstLine="444" w:firstLineChars="200"/>
        <w:rPr>
          <w:rFonts w:ascii="仿宋" w:hAnsi="仿宋" w:eastAsia="仿宋" w:cs="仿宋"/>
          <w:spacing w:val="6"/>
          <w:szCs w:val="21"/>
        </w:rPr>
      </w:pPr>
    </w:p>
    <w:p>
      <w:pPr>
        <w:pStyle w:val="2"/>
        <w:spacing w:before="29" w:line="360" w:lineRule="auto"/>
        <w:ind w:left="4060" w:right="2166"/>
        <w:rPr>
          <w:rFonts w:ascii="仿宋" w:hAnsi="仿宋" w:eastAsia="仿宋" w:cs="仿宋"/>
          <w:w w:val="99"/>
          <w:szCs w:val="21"/>
        </w:rPr>
      </w:pPr>
      <w:r>
        <w:rPr>
          <w:rFonts w:ascii="仿宋" w:hAnsi="仿宋" w:eastAsia="仿宋" w:cs="仿宋"/>
          <w:spacing w:val="6"/>
          <w:szCs w:val="21"/>
        </w:rPr>
        <w:t xml:space="preserve">    </w:t>
      </w:r>
      <w:r>
        <w:rPr>
          <w:rFonts w:hint="eastAsia" w:ascii="仿宋" w:hAnsi="仿宋" w:eastAsia="仿宋" w:cs="仿宋"/>
          <w:w w:val="99"/>
          <w:szCs w:val="21"/>
        </w:rPr>
        <w:t>企业名称（盖章）：</w:t>
      </w:r>
    </w:p>
    <w:p>
      <w:pPr>
        <w:tabs>
          <w:tab w:val="left" w:pos="4860"/>
        </w:tabs>
        <w:adjustRightInd w:val="0"/>
        <w:snapToGrid w:val="0"/>
        <w:spacing w:line="360" w:lineRule="auto"/>
        <w:ind w:firstLine="420" w:firstLineChars="200"/>
        <w:jc w:val="center"/>
        <w:rPr>
          <w:rFonts w:ascii="仿宋" w:hAnsi="仿宋" w:eastAsia="仿宋" w:cs="仿宋"/>
          <w:spacing w:val="6"/>
          <w:szCs w:val="21"/>
          <w:u w:val="single"/>
        </w:rPr>
      </w:pPr>
      <w:r>
        <w:rPr>
          <w:rFonts w:ascii="仿宋" w:hAnsi="仿宋" w:eastAsia="仿宋" w:cs="仿宋"/>
          <w:szCs w:val="21"/>
        </w:rPr>
        <w:t xml:space="preserve">                  </w:t>
      </w:r>
      <w:r>
        <w:rPr>
          <w:rFonts w:hint="eastAsia" w:ascii="仿宋" w:hAnsi="仿宋" w:eastAsia="仿宋" w:cs="仿宋"/>
          <w:szCs w:val="21"/>
        </w:rPr>
        <w:t>日期</w:t>
      </w:r>
      <w:r>
        <w:rPr>
          <w:rFonts w:ascii="仿宋" w:hAnsi="仿宋" w:eastAsia="仿宋" w:cs="仿宋"/>
          <w:szCs w:val="21"/>
        </w:rPr>
        <w:t>:</w:t>
      </w:r>
    </w:p>
    <w:p>
      <w:pPr>
        <w:pStyle w:val="23"/>
        <w:spacing w:line="360" w:lineRule="auto"/>
        <w:ind w:left="420" w:firstLine="400"/>
        <w:rPr>
          <w:rFonts w:ascii="仿宋" w:hAnsi="仿宋" w:eastAsia="仿宋" w:cs="仿宋"/>
          <w:szCs w:val="21"/>
        </w:rPr>
      </w:pPr>
    </w:p>
    <w:p>
      <w:pPr>
        <w:widowControl/>
        <w:adjustRightInd w:val="0"/>
        <w:snapToGrid w:val="0"/>
        <w:spacing w:line="360" w:lineRule="auto"/>
        <w:ind w:firstLine="422" w:firstLineChars="200"/>
        <w:rPr>
          <w:rFonts w:ascii="仿宋" w:hAnsi="仿宋" w:eastAsia="仿宋" w:cs="仿宋"/>
          <w:b/>
          <w:szCs w:val="21"/>
        </w:rPr>
      </w:pPr>
    </w:p>
    <w:p>
      <w:pPr>
        <w:widowControl/>
        <w:adjustRightInd w:val="0"/>
        <w:snapToGrid w:val="0"/>
        <w:spacing w:line="360" w:lineRule="auto"/>
        <w:ind w:firstLine="422" w:firstLineChars="200"/>
        <w:rPr>
          <w:rFonts w:ascii="仿宋" w:hAnsi="仿宋" w:eastAsia="仿宋" w:cs="仿宋"/>
          <w:b/>
          <w:szCs w:val="21"/>
        </w:rPr>
      </w:pPr>
    </w:p>
    <w:p>
      <w:pPr>
        <w:widowControl/>
        <w:adjustRightInd w:val="0"/>
        <w:snapToGrid w:val="0"/>
        <w:spacing w:line="360" w:lineRule="auto"/>
        <w:ind w:firstLine="422" w:firstLineChars="200"/>
        <w:rPr>
          <w:rFonts w:ascii="仿宋" w:hAnsi="仿宋" w:eastAsia="仿宋" w:cs="仿宋"/>
          <w:b/>
          <w:szCs w:val="21"/>
        </w:rPr>
      </w:pPr>
    </w:p>
    <w:p>
      <w:pPr>
        <w:widowControl/>
        <w:adjustRightInd w:val="0"/>
        <w:snapToGrid w:val="0"/>
        <w:spacing w:line="360" w:lineRule="auto"/>
        <w:rPr>
          <w:rFonts w:ascii="仿宋" w:hAnsi="仿宋" w:eastAsia="仿宋" w:cs="仿宋"/>
          <w:b/>
          <w:szCs w:val="21"/>
        </w:rPr>
      </w:pPr>
      <w:r>
        <w:rPr>
          <w:rFonts w:hint="eastAsia" w:ascii="仿宋" w:hAnsi="仿宋" w:eastAsia="仿宋" w:cs="仿宋"/>
          <w:b/>
          <w:szCs w:val="21"/>
        </w:rPr>
        <w:t>提醒：中标人本声明函随中标结果同时公布，接受其他投标人和社会监督。</w:t>
      </w:r>
    </w:p>
    <w:p>
      <w:pPr>
        <w:spacing w:line="360" w:lineRule="auto"/>
        <w:rPr>
          <w:rFonts w:ascii="仿宋" w:hAnsi="仿宋" w:eastAsia="仿宋" w:cs="仿宋"/>
          <w:szCs w:val="21"/>
        </w:rPr>
      </w:pPr>
    </w:p>
    <w:p>
      <w:pPr>
        <w:spacing w:line="360" w:lineRule="auto"/>
        <w:rPr>
          <w:rFonts w:ascii="仿宋" w:hAnsi="仿宋" w:eastAsia="仿宋" w:cs="仿宋"/>
          <w:szCs w:val="21"/>
        </w:rPr>
      </w:pPr>
    </w:p>
    <w:p>
      <w:pPr>
        <w:rPr>
          <w:rFonts w:ascii="仿宋" w:hAnsi="仿宋" w:eastAsia="仿宋" w:cs="仿宋"/>
          <w:szCs w:val="21"/>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spacing w:line="588" w:lineRule="exact"/>
        <w:rPr>
          <w:rFonts w:ascii="仿宋" w:hAnsi="仿宋" w:eastAsia="仿宋" w:cs="仿宋"/>
          <w:b/>
          <w:bCs/>
        </w:rPr>
      </w:pPr>
    </w:p>
    <w:p>
      <w:pPr>
        <w:spacing w:line="360" w:lineRule="auto"/>
        <w:outlineLvl w:val="9"/>
        <w:rPr>
          <w:rFonts w:ascii="仿宋" w:hAnsi="仿宋" w:eastAsia="仿宋" w:cs="仿宋"/>
          <w:sz w:val="24"/>
          <w:szCs w:val="24"/>
        </w:rPr>
      </w:pPr>
      <w:r>
        <w:rPr>
          <w:rFonts w:ascii="仿宋" w:hAnsi="仿宋" w:eastAsia="仿宋" w:cs="仿宋"/>
          <w:b w:val="0"/>
          <w:bCs w:val="0"/>
          <w:sz w:val="24"/>
          <w:szCs w:val="24"/>
        </w:rPr>
        <w:br w:type="page"/>
      </w:r>
      <w:bookmarkStart w:id="677" w:name="_Toc31036"/>
      <w:bookmarkStart w:id="678" w:name="_Toc16728"/>
      <w:bookmarkStart w:id="679" w:name="_Toc1255"/>
      <w:r>
        <w:rPr>
          <w:rFonts w:hint="eastAsia" w:ascii="仿宋" w:hAnsi="仿宋" w:eastAsia="仿宋" w:cs="仿宋"/>
          <w:sz w:val="24"/>
          <w:szCs w:val="24"/>
        </w:rPr>
        <w:t>附表三：（符合政策要求，并申请按监狱企业投标者提供）</w:t>
      </w:r>
      <w:bookmarkEnd w:id="677"/>
      <w:bookmarkEnd w:id="678"/>
      <w:bookmarkEnd w:id="679"/>
      <w:r>
        <w:rPr>
          <w:rFonts w:ascii="仿宋" w:hAnsi="仿宋" w:eastAsia="仿宋" w:cs="仿宋"/>
          <w:sz w:val="24"/>
          <w:szCs w:val="24"/>
        </w:rPr>
        <w:t xml:space="preserve"> </w:t>
      </w:r>
    </w:p>
    <w:p>
      <w:pPr>
        <w:spacing w:line="360" w:lineRule="auto"/>
        <w:jc w:val="center"/>
        <w:outlineLvl w:val="9"/>
        <w:rPr>
          <w:rFonts w:ascii="仿宋" w:hAnsi="仿宋" w:eastAsia="仿宋" w:cs="仿宋"/>
          <w:sz w:val="24"/>
          <w:szCs w:val="24"/>
        </w:rPr>
      </w:pPr>
      <w:bookmarkStart w:id="680" w:name="_Toc3967"/>
      <w:bookmarkStart w:id="681" w:name="_Toc317"/>
      <w:r>
        <w:rPr>
          <w:rFonts w:hint="eastAsia" w:ascii="仿宋" w:hAnsi="仿宋" w:eastAsia="仿宋" w:cs="仿宋"/>
          <w:sz w:val="24"/>
          <w:szCs w:val="24"/>
        </w:rPr>
        <w:t>监狱企业证明</w:t>
      </w:r>
      <w:bookmarkEnd w:id="680"/>
      <w:bookmarkEnd w:id="681"/>
    </w:p>
    <w:p>
      <w:pPr>
        <w:spacing w:line="340" w:lineRule="exact"/>
        <w:ind w:firstLine="560" w:firstLineChars="200"/>
        <w:rPr>
          <w:rFonts w:ascii="仿宋" w:hAnsi="仿宋" w:eastAsia="仿宋" w:cs="仿宋"/>
          <w:sz w:val="28"/>
          <w:szCs w:val="28"/>
        </w:rPr>
      </w:pPr>
    </w:p>
    <w:p>
      <w:pPr>
        <w:adjustRightInd w:val="0"/>
        <w:snapToGrid w:val="0"/>
        <w:spacing w:line="360" w:lineRule="auto"/>
        <w:ind w:firstLine="444" w:firstLineChars="200"/>
        <w:rPr>
          <w:rFonts w:ascii="仿宋" w:hAnsi="仿宋" w:eastAsia="仿宋" w:cs="仿宋"/>
          <w:spacing w:val="6"/>
          <w:szCs w:val="21"/>
        </w:rPr>
      </w:pPr>
      <w:r>
        <w:rPr>
          <w:rFonts w:hint="eastAsia" w:ascii="仿宋" w:hAnsi="仿宋" w:eastAsia="仿宋" w:cs="仿宋"/>
          <w:spacing w:val="6"/>
          <w:szCs w:val="21"/>
        </w:rPr>
        <w:t>提供由省级以上监狱管理局、戒毒管理局（含新疆生产建设兵团）出具的属于监狱企业的证明文件。</w:t>
      </w:r>
    </w:p>
    <w:p>
      <w:pPr>
        <w:spacing w:line="360" w:lineRule="auto"/>
        <w:jc w:val="center"/>
        <w:rPr>
          <w:rFonts w:ascii="仿宋" w:hAnsi="仿宋" w:eastAsia="仿宋" w:cs="仿宋"/>
          <w:b/>
          <w:szCs w:val="21"/>
        </w:rPr>
      </w:pPr>
    </w:p>
    <w:p>
      <w:pPr>
        <w:spacing w:line="360" w:lineRule="auto"/>
        <w:jc w:val="center"/>
        <w:rPr>
          <w:rFonts w:ascii="仿宋" w:hAnsi="仿宋" w:eastAsia="仿宋" w:cs="仿宋"/>
          <w:b/>
          <w:szCs w:val="21"/>
        </w:rPr>
      </w:pPr>
    </w:p>
    <w:p>
      <w:pPr>
        <w:spacing w:line="360" w:lineRule="auto"/>
        <w:jc w:val="center"/>
        <w:rPr>
          <w:rFonts w:ascii="仿宋" w:hAnsi="仿宋" w:eastAsia="仿宋" w:cs="仿宋"/>
          <w:b/>
          <w:szCs w:val="21"/>
        </w:rPr>
      </w:pPr>
    </w:p>
    <w:p>
      <w:pPr>
        <w:spacing w:line="360" w:lineRule="auto"/>
        <w:jc w:val="center"/>
        <w:rPr>
          <w:rFonts w:ascii="仿宋" w:hAnsi="仿宋" w:eastAsia="仿宋" w:cs="仿宋"/>
          <w:b/>
          <w:szCs w:val="21"/>
        </w:rPr>
      </w:pPr>
    </w:p>
    <w:p>
      <w:pPr>
        <w:spacing w:line="360" w:lineRule="auto"/>
        <w:jc w:val="center"/>
        <w:rPr>
          <w:rFonts w:ascii="仿宋" w:hAnsi="仿宋" w:eastAsia="仿宋" w:cs="仿宋"/>
          <w:b/>
          <w:szCs w:val="21"/>
        </w:rPr>
      </w:pPr>
    </w:p>
    <w:p>
      <w:pPr>
        <w:spacing w:line="360" w:lineRule="auto"/>
        <w:jc w:val="center"/>
        <w:rPr>
          <w:rFonts w:ascii="仿宋" w:hAnsi="仿宋" w:eastAsia="仿宋" w:cs="仿宋"/>
          <w:b/>
          <w:szCs w:val="21"/>
        </w:rPr>
      </w:pPr>
    </w:p>
    <w:p>
      <w:pPr>
        <w:spacing w:line="360" w:lineRule="auto"/>
        <w:jc w:val="center"/>
        <w:rPr>
          <w:rFonts w:ascii="仿宋" w:hAnsi="仿宋" w:eastAsia="仿宋" w:cs="仿宋"/>
          <w:b/>
          <w:szCs w:val="21"/>
        </w:rPr>
      </w:pPr>
    </w:p>
    <w:p>
      <w:pPr>
        <w:spacing w:line="360" w:lineRule="auto"/>
        <w:jc w:val="center"/>
        <w:rPr>
          <w:rFonts w:ascii="仿宋" w:hAnsi="仿宋" w:eastAsia="仿宋" w:cs="仿宋"/>
          <w:b/>
          <w:szCs w:val="21"/>
        </w:rPr>
      </w:pPr>
    </w:p>
    <w:p>
      <w:pPr>
        <w:spacing w:line="360" w:lineRule="auto"/>
        <w:jc w:val="center"/>
        <w:rPr>
          <w:rFonts w:ascii="仿宋" w:hAnsi="仿宋" w:eastAsia="仿宋" w:cs="仿宋"/>
          <w:b/>
          <w:szCs w:val="21"/>
        </w:rPr>
      </w:pPr>
    </w:p>
    <w:p>
      <w:pPr>
        <w:widowControl/>
        <w:adjustRightInd w:val="0"/>
        <w:snapToGrid w:val="0"/>
        <w:spacing w:line="360" w:lineRule="auto"/>
        <w:rPr>
          <w:rFonts w:ascii="仿宋" w:hAnsi="仿宋" w:eastAsia="仿宋" w:cs="仿宋"/>
          <w:b/>
          <w:szCs w:val="21"/>
        </w:rPr>
      </w:pPr>
      <w:r>
        <w:rPr>
          <w:rFonts w:hint="eastAsia" w:ascii="仿宋" w:hAnsi="仿宋" w:eastAsia="仿宋" w:cs="仿宋"/>
          <w:b/>
          <w:szCs w:val="21"/>
        </w:rPr>
        <w:t>提醒：中标人本声明函随中标结果同时公布，接受其他投标人和社会监督。</w:t>
      </w:r>
    </w:p>
    <w:p>
      <w:pPr>
        <w:spacing w:line="360" w:lineRule="auto"/>
        <w:ind w:firstLine="480" w:firstLineChars="200"/>
        <w:rPr>
          <w:rFonts w:ascii="仿宋_GB2312" w:hAnsi="仿宋_GB2312" w:cs="仿宋_GB2312"/>
          <w:sz w:val="24"/>
          <w:szCs w:val="32"/>
        </w:rPr>
      </w:pPr>
    </w:p>
    <w:p>
      <w:pPr>
        <w:widowControl/>
        <w:jc w:val="left"/>
        <w:rPr>
          <w:rFonts w:ascii="仿宋_GB2312" w:hAnsi="宋体"/>
          <w:b/>
          <w:kern w:val="44"/>
          <w:sz w:val="32"/>
          <w:szCs w:val="32"/>
        </w:rPr>
      </w:pPr>
      <w:r>
        <w:rPr>
          <w:rFonts w:ascii="仿宋_GB2312" w:hAnsi="宋体"/>
          <w:b/>
          <w:kern w:val="44"/>
          <w:sz w:val="32"/>
          <w:szCs w:val="32"/>
        </w:rPr>
        <w:br w:type="page"/>
      </w:r>
    </w:p>
    <w:p>
      <w:pPr>
        <w:spacing w:before="156" w:beforeLines="50" w:after="156" w:afterLines="50" w:line="360" w:lineRule="auto"/>
        <w:rPr>
          <w:rFonts w:ascii="仿宋_GB2312" w:hAnsi="宋体"/>
          <w:kern w:val="44"/>
          <w:sz w:val="28"/>
          <w:szCs w:val="28"/>
        </w:rPr>
      </w:pPr>
      <w:r>
        <w:rPr>
          <w:rFonts w:hint="eastAsia" w:ascii="仿宋_GB2312" w:hAnsi="宋体"/>
          <w:kern w:val="44"/>
          <w:sz w:val="28"/>
          <w:szCs w:val="28"/>
        </w:rPr>
        <w:t>二次报价表格式：</w:t>
      </w:r>
    </w:p>
    <w:p>
      <w:pPr>
        <w:spacing w:before="156" w:beforeLines="50" w:after="156" w:afterLines="50" w:line="360" w:lineRule="auto"/>
        <w:jc w:val="center"/>
        <w:rPr>
          <w:rFonts w:ascii="仿宋_GB2312" w:hAnsi="宋体"/>
          <w:b/>
          <w:kern w:val="44"/>
          <w:sz w:val="32"/>
          <w:szCs w:val="32"/>
        </w:rPr>
      </w:pPr>
      <w:r>
        <w:rPr>
          <w:rFonts w:hint="eastAsia" w:ascii="仿宋_GB2312" w:hAnsi="宋体"/>
          <w:b/>
          <w:kern w:val="44"/>
          <w:sz w:val="32"/>
          <w:szCs w:val="32"/>
        </w:rPr>
        <w:t>二 次 报 价 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3"/>
        <w:gridCol w:w="3563"/>
        <w:gridCol w:w="148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3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宋体" w:hAnsi="宋体" w:eastAsia="宋体" w:cs="宋体"/>
                <w:b/>
                <w:bCs/>
                <w:kern w:val="44"/>
                <w:sz w:val="24"/>
                <w:szCs w:val="24"/>
              </w:rPr>
            </w:pPr>
            <w:r>
              <w:rPr>
                <w:rFonts w:hint="eastAsia" w:ascii="宋体" w:hAnsi="宋体" w:eastAsia="宋体" w:cs="宋体"/>
                <w:b/>
                <w:bCs/>
                <w:sz w:val="24"/>
                <w:szCs w:val="24"/>
              </w:rPr>
              <w:t>项目名称</w:t>
            </w:r>
          </w:p>
        </w:tc>
        <w:tc>
          <w:tcPr>
            <w:tcW w:w="35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宋体" w:hAnsi="宋体" w:eastAsia="宋体" w:cs="宋体"/>
                <w:b/>
                <w:kern w:val="44"/>
                <w:sz w:val="24"/>
                <w:szCs w:val="24"/>
              </w:rPr>
            </w:pPr>
          </w:p>
        </w:tc>
        <w:tc>
          <w:tcPr>
            <w:tcW w:w="148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宋体" w:hAnsi="宋体" w:eastAsia="宋体" w:cs="宋体"/>
                <w:b/>
                <w:bCs/>
                <w:kern w:val="44"/>
                <w:sz w:val="24"/>
                <w:szCs w:val="24"/>
              </w:rPr>
            </w:pPr>
            <w:r>
              <w:rPr>
                <w:rFonts w:hint="eastAsia" w:ascii="宋体" w:hAnsi="宋体" w:eastAsia="宋体" w:cs="宋体"/>
                <w:b/>
                <w:bCs/>
                <w:sz w:val="24"/>
                <w:szCs w:val="24"/>
              </w:rPr>
              <w:t>采购人</w:t>
            </w:r>
          </w:p>
        </w:tc>
        <w:tc>
          <w:tcPr>
            <w:tcW w:w="213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宋体" w:hAnsi="宋体" w:eastAsia="宋体" w:cs="宋体"/>
                <w:b/>
                <w:kern w:val="44"/>
                <w:sz w:val="24"/>
                <w:szCs w:val="24"/>
              </w:rPr>
            </w:pPr>
            <w:r>
              <w:rPr>
                <w:rFonts w:hint="eastAsia" w:ascii="宋体" w:hAnsi="宋体" w:eastAsia="宋体" w:cs="宋体"/>
                <w:sz w:val="24"/>
                <w:szCs w:val="24"/>
              </w:rPr>
              <w:t>水坡镇人民政府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8" w:hRule="atLeast"/>
        </w:trPr>
        <w:tc>
          <w:tcPr>
            <w:tcW w:w="8522" w:type="dxa"/>
            <w:gridSpan w:val="4"/>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eastAsia" w:ascii="宋体" w:hAnsi="宋体" w:eastAsia="宋体" w:cs="宋体"/>
                <w:bCs/>
                <w:kern w:val="44"/>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bCs/>
                <w:kern w:val="44"/>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bCs/>
                <w:kern w:val="44"/>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bCs/>
                <w:kern w:val="44"/>
                <w:sz w:val="24"/>
                <w:szCs w:val="24"/>
                <w:u w:val="single"/>
              </w:rPr>
            </w:pPr>
            <w:r>
              <w:rPr>
                <w:rFonts w:hint="eastAsia" w:ascii="宋体" w:hAnsi="宋体" w:eastAsia="宋体" w:cs="宋体"/>
                <w:bCs/>
                <w:kern w:val="44"/>
                <w:sz w:val="24"/>
                <w:szCs w:val="24"/>
              </w:rPr>
              <w:t>报价大写：</w:t>
            </w:r>
            <w:r>
              <w:rPr>
                <w:rFonts w:hint="eastAsia" w:ascii="宋体" w:hAnsi="宋体" w:eastAsia="宋体" w:cs="宋体"/>
                <w:bCs/>
                <w:kern w:val="44"/>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bCs/>
                <w:kern w:val="44"/>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bCs/>
                <w:kern w:val="44"/>
                <w:sz w:val="24"/>
                <w:szCs w:val="24"/>
                <w:u w:val="single"/>
              </w:rPr>
            </w:pPr>
            <w:r>
              <w:rPr>
                <w:rFonts w:hint="eastAsia" w:ascii="宋体" w:hAnsi="宋体" w:eastAsia="宋体" w:cs="宋体"/>
                <w:bCs/>
                <w:kern w:val="44"/>
                <w:sz w:val="24"/>
                <w:szCs w:val="24"/>
              </w:rPr>
              <w:t>报价小写(元)：</w:t>
            </w:r>
            <w:r>
              <w:rPr>
                <w:rFonts w:hint="eastAsia" w:ascii="宋体" w:hAnsi="宋体" w:eastAsia="宋体" w:cs="宋体"/>
                <w:bCs/>
                <w:kern w:val="44"/>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eastAsia" w:ascii="宋体" w:hAnsi="宋体" w:eastAsia="宋体" w:cs="宋体"/>
                <w:bCs/>
                <w:kern w:val="44"/>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eastAsia" w:ascii="宋体" w:hAnsi="宋体" w:eastAsia="宋体" w:cs="宋体"/>
                <w:bCs/>
                <w:kern w:val="44"/>
                <w:sz w:val="24"/>
                <w:szCs w:val="24"/>
              </w:rPr>
            </w:pPr>
            <w:r>
              <w:rPr>
                <w:rFonts w:hint="eastAsia" w:ascii="宋体" w:hAnsi="宋体" w:eastAsia="宋体" w:cs="宋体"/>
                <w:bCs/>
                <w:kern w:val="44"/>
                <w:sz w:val="24"/>
                <w:szCs w:val="24"/>
              </w:rPr>
              <w:t>　</w:t>
            </w:r>
            <w:r>
              <w:rPr>
                <w:rFonts w:hint="eastAsia" w:ascii="宋体" w:hAnsi="宋体" w:eastAsia="宋体" w:cs="宋体"/>
                <w:bCs/>
                <w:kern w:val="44"/>
                <w:sz w:val="24"/>
                <w:szCs w:val="24"/>
              </w:rPr>
              <w:tab/>
            </w:r>
          </w:p>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eastAsia" w:ascii="宋体" w:hAnsi="宋体" w:eastAsia="宋体" w:cs="宋体"/>
                <w:bCs/>
                <w:kern w:val="44"/>
                <w:sz w:val="24"/>
                <w:szCs w:val="24"/>
              </w:rPr>
            </w:pPr>
            <w:r>
              <w:rPr>
                <w:rFonts w:hint="eastAsia" w:ascii="宋体" w:hAnsi="宋体" w:eastAsia="宋体" w:cs="宋体"/>
                <w:bCs/>
                <w:kern w:val="44"/>
                <w:sz w:val="24"/>
                <w:szCs w:val="24"/>
              </w:rPr>
              <w:t>　</w:t>
            </w:r>
          </w:p>
          <w:p>
            <w:pPr>
              <w:pStyle w:val="2"/>
              <w:rPr>
                <w:rFonts w:hint="eastAsia" w:ascii="宋体" w:hAnsi="宋体" w:eastAsia="宋体" w:cs="宋体"/>
                <w:bCs/>
                <w:kern w:val="44"/>
                <w:sz w:val="24"/>
                <w:szCs w:val="24"/>
              </w:rPr>
            </w:pPr>
          </w:p>
          <w:p>
            <w:pPr>
              <w:pStyle w:val="3"/>
              <w:rPr>
                <w:rFonts w:hint="eastAsia" w:ascii="宋体" w:hAnsi="宋体" w:eastAsia="宋体" w:cs="宋体"/>
                <w:bCs/>
                <w:kern w:val="44"/>
                <w:sz w:val="24"/>
                <w:szCs w:val="24"/>
              </w:rPr>
            </w:pPr>
          </w:p>
          <w:p>
            <w:pPr>
              <w:pStyle w:val="4"/>
              <w:rPr>
                <w:rFonts w:hint="eastAsia"/>
              </w:rPr>
            </w:pPr>
          </w:p>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eastAsia" w:ascii="宋体" w:hAnsi="宋体" w:eastAsia="宋体" w:cs="宋体"/>
                <w:bCs/>
                <w:kern w:val="44"/>
                <w:sz w:val="24"/>
                <w:szCs w:val="24"/>
              </w:rPr>
            </w:pPr>
            <w:r>
              <w:rPr>
                <w:rFonts w:hint="eastAsia" w:ascii="宋体" w:hAnsi="宋体" w:eastAsia="宋体" w:cs="宋体"/>
                <w:bCs/>
                <w:kern w:val="44"/>
                <w:sz w:val="24"/>
                <w:szCs w:val="24"/>
              </w:rPr>
              <w:t>　</w:t>
            </w:r>
            <w:r>
              <w:rPr>
                <w:rFonts w:hint="eastAsia" w:ascii="宋体" w:hAnsi="宋体" w:eastAsia="宋体" w:cs="宋体"/>
                <w:bCs/>
                <w:kern w:val="44"/>
                <w:sz w:val="24"/>
                <w:szCs w:val="24"/>
              </w:rPr>
              <w:tab/>
            </w:r>
            <w:r>
              <w:rPr>
                <w:rFonts w:hint="eastAsia" w:ascii="宋体" w:hAnsi="宋体" w:eastAsia="宋体" w:cs="宋体"/>
                <w:bCs/>
                <w:kern w:val="44"/>
                <w:sz w:val="24"/>
                <w:szCs w:val="24"/>
              </w:rPr>
              <w:tab/>
            </w:r>
            <w:r>
              <w:rPr>
                <w:rFonts w:hint="eastAsia" w:ascii="宋体" w:hAnsi="宋体" w:eastAsia="宋体" w:cs="宋体"/>
                <w:bCs/>
                <w:kern w:val="44"/>
                <w:sz w:val="24"/>
                <w:szCs w:val="24"/>
              </w:rPr>
              <w:tab/>
            </w:r>
            <w:r>
              <w:rPr>
                <w:rFonts w:hint="eastAsia" w:ascii="宋体" w:hAnsi="宋体" w:eastAsia="宋体" w:cs="宋体"/>
                <w:bCs/>
                <w:kern w:val="44"/>
                <w:sz w:val="24"/>
                <w:szCs w:val="24"/>
              </w:rPr>
              <w:tab/>
            </w:r>
            <w:r>
              <w:rPr>
                <w:rFonts w:hint="eastAsia" w:ascii="宋体" w:hAnsi="宋体" w:eastAsia="宋体" w:cs="宋体"/>
                <w:bCs/>
                <w:kern w:val="44"/>
                <w:sz w:val="24"/>
                <w:szCs w:val="24"/>
              </w:rPr>
              <w:tab/>
            </w:r>
            <w:r>
              <w:rPr>
                <w:rFonts w:hint="eastAsia" w:ascii="宋体" w:hAnsi="宋体" w:eastAsia="宋体" w:cs="宋体"/>
                <w:bCs/>
                <w:kern w:val="44"/>
                <w:sz w:val="24"/>
                <w:szCs w:val="24"/>
              </w:rPr>
              <w:t>　</w:t>
            </w:r>
          </w:p>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eastAsia" w:ascii="宋体" w:hAnsi="宋体" w:eastAsia="宋体" w:cs="宋体"/>
                <w:bCs/>
                <w:kern w:val="44"/>
                <w:sz w:val="24"/>
                <w:szCs w:val="24"/>
              </w:rPr>
            </w:pPr>
            <w:r>
              <w:rPr>
                <w:rFonts w:hint="eastAsia" w:ascii="宋体" w:hAnsi="宋体" w:eastAsia="宋体" w:cs="宋体"/>
                <w:bCs/>
                <w:kern w:val="44"/>
                <w:sz w:val="24"/>
                <w:szCs w:val="24"/>
              </w:rPr>
              <w:t>　</w:t>
            </w:r>
            <w:r>
              <w:rPr>
                <w:rFonts w:hint="eastAsia" w:ascii="宋体" w:hAnsi="宋体" w:eastAsia="宋体" w:cs="宋体"/>
                <w:bCs/>
                <w:kern w:val="44"/>
                <w:sz w:val="24"/>
                <w:szCs w:val="24"/>
              </w:rPr>
              <w:tab/>
            </w:r>
            <w:r>
              <w:rPr>
                <w:rFonts w:hint="eastAsia" w:ascii="宋体" w:hAnsi="宋体" w:eastAsia="宋体" w:cs="宋体"/>
                <w:bCs/>
                <w:kern w:val="44"/>
                <w:sz w:val="24"/>
                <w:szCs w:val="24"/>
              </w:rPr>
              <w:tab/>
            </w:r>
            <w:r>
              <w:rPr>
                <w:rFonts w:hint="eastAsia" w:ascii="宋体" w:hAnsi="宋体" w:eastAsia="宋体" w:cs="宋体"/>
                <w:bCs/>
                <w:kern w:val="44"/>
                <w:sz w:val="24"/>
                <w:szCs w:val="24"/>
              </w:rPr>
              <w:tab/>
            </w:r>
            <w:r>
              <w:rPr>
                <w:rFonts w:hint="eastAsia" w:ascii="宋体" w:hAnsi="宋体" w:eastAsia="宋体" w:cs="宋体"/>
                <w:bCs/>
                <w:kern w:val="44"/>
                <w:sz w:val="24"/>
                <w:szCs w:val="24"/>
              </w:rPr>
              <w:tab/>
            </w:r>
            <w:r>
              <w:rPr>
                <w:rFonts w:hint="eastAsia" w:ascii="宋体" w:hAnsi="宋体" w:eastAsia="宋体" w:cs="宋体"/>
                <w:bCs/>
                <w:kern w:val="44"/>
                <w:sz w:val="24"/>
                <w:szCs w:val="24"/>
              </w:rPr>
              <w:tab/>
            </w:r>
            <w:r>
              <w:rPr>
                <w:rFonts w:hint="eastAsia" w:ascii="宋体" w:hAnsi="宋体" w:eastAsia="宋体" w:cs="宋体"/>
                <w:bCs/>
                <w:kern w:val="44"/>
                <w:sz w:val="24"/>
                <w:szCs w:val="24"/>
              </w:rPr>
              <w:t>　</w:t>
            </w:r>
          </w:p>
          <w:p>
            <w:pPr>
              <w:keepNext w:val="0"/>
              <w:keepLines w:val="0"/>
              <w:pageBreakBefore w:val="0"/>
              <w:widowControl w:val="0"/>
              <w:kinsoku/>
              <w:wordWrap/>
              <w:overflowPunct/>
              <w:topLinePunct w:val="0"/>
              <w:autoSpaceDE/>
              <w:autoSpaceDN/>
              <w:bidi w:val="0"/>
              <w:adjustRightInd w:val="0"/>
              <w:snapToGrid w:val="0"/>
              <w:spacing w:line="240" w:lineRule="auto"/>
              <w:ind w:right="0"/>
              <w:jc w:val="right"/>
              <w:textAlignment w:val="auto"/>
              <w:rPr>
                <w:rFonts w:hint="eastAsia" w:ascii="宋体" w:hAnsi="宋体" w:eastAsia="宋体" w:cs="宋体"/>
                <w:bCs/>
                <w:kern w:val="44"/>
                <w:sz w:val="24"/>
                <w:szCs w:val="24"/>
              </w:rPr>
            </w:pPr>
            <w:r>
              <w:rPr>
                <w:rFonts w:hint="eastAsia" w:ascii="宋体" w:hAnsi="宋体" w:eastAsia="宋体" w:cs="宋体"/>
                <w:bCs/>
                <w:kern w:val="44"/>
                <w:sz w:val="24"/>
                <w:szCs w:val="24"/>
              </w:rPr>
              <w:t>　</w:t>
            </w:r>
            <w:r>
              <w:rPr>
                <w:rFonts w:hint="eastAsia" w:ascii="宋体" w:hAnsi="宋体" w:eastAsia="宋体" w:cs="宋体"/>
                <w:bCs/>
                <w:kern w:val="44"/>
                <w:sz w:val="24"/>
                <w:szCs w:val="24"/>
              </w:rPr>
              <w:tab/>
            </w:r>
            <w:r>
              <w:rPr>
                <w:rFonts w:hint="eastAsia" w:ascii="宋体" w:hAnsi="宋体" w:eastAsia="宋体" w:cs="宋体"/>
                <w:bCs/>
                <w:kern w:val="44"/>
                <w:sz w:val="24"/>
                <w:szCs w:val="24"/>
              </w:rPr>
              <w:tab/>
            </w:r>
          </w:p>
          <w:p>
            <w:pPr>
              <w:keepNext w:val="0"/>
              <w:keepLines w:val="0"/>
              <w:pageBreakBefore w:val="0"/>
              <w:widowControl w:val="0"/>
              <w:kinsoku/>
              <w:wordWrap/>
              <w:overflowPunct/>
              <w:topLinePunct w:val="0"/>
              <w:autoSpaceDE/>
              <w:autoSpaceDN/>
              <w:bidi w:val="0"/>
              <w:adjustRightInd w:val="0"/>
              <w:snapToGrid w:val="0"/>
              <w:spacing w:line="360" w:lineRule="auto"/>
              <w:ind w:right="0"/>
              <w:jc w:val="right"/>
              <w:textAlignment w:val="auto"/>
              <w:rPr>
                <w:rFonts w:hint="eastAsia" w:ascii="宋体" w:hAnsi="宋体" w:eastAsia="宋体" w:cs="宋体"/>
                <w:bCs/>
                <w:kern w:val="44"/>
                <w:sz w:val="24"/>
                <w:szCs w:val="24"/>
                <w:u w:val="single"/>
              </w:rPr>
            </w:pPr>
            <w:r>
              <w:rPr>
                <w:rFonts w:hint="eastAsia" w:ascii="宋体" w:hAnsi="宋体" w:eastAsia="宋体" w:cs="宋体"/>
                <w:bCs/>
                <w:kern w:val="44"/>
                <w:sz w:val="24"/>
                <w:szCs w:val="24"/>
              </w:rPr>
              <w:t xml:space="preserve">                   竞标人：</w:t>
            </w:r>
            <w:r>
              <w:rPr>
                <w:rFonts w:hint="eastAsia" w:ascii="宋体" w:hAnsi="宋体" w:cs="宋体"/>
                <w:bCs/>
                <w:kern w:val="44"/>
                <w:sz w:val="24"/>
                <w:szCs w:val="24"/>
                <w:u w:val="single"/>
                <w:lang w:val="en-US" w:eastAsia="zh-CN"/>
              </w:rPr>
              <w:t xml:space="preserve">  </w:t>
            </w:r>
            <w:r>
              <w:rPr>
                <w:rFonts w:hint="eastAsia" w:ascii="宋体" w:hAnsi="宋体" w:eastAsia="宋体" w:cs="宋体"/>
                <w:bCs/>
                <w:kern w:val="44"/>
                <w:sz w:val="24"/>
                <w:szCs w:val="24"/>
                <w:u w:val="single"/>
              </w:rPr>
              <w:tab/>
            </w:r>
            <w:r>
              <w:rPr>
                <w:rFonts w:hint="eastAsia" w:ascii="宋体" w:hAnsi="宋体" w:cs="宋体"/>
                <w:bCs/>
                <w:kern w:val="44"/>
                <w:sz w:val="24"/>
                <w:szCs w:val="24"/>
                <w:u w:val="single"/>
                <w:lang w:val="en-US" w:eastAsia="zh-CN"/>
              </w:rPr>
              <w:t xml:space="preserve">           </w:t>
            </w:r>
            <w:r>
              <w:rPr>
                <w:rFonts w:hint="eastAsia" w:ascii="宋体" w:hAnsi="宋体" w:cs="宋体"/>
                <w:bCs/>
                <w:kern w:val="44"/>
                <w:sz w:val="24"/>
                <w:szCs w:val="24"/>
                <w:u w:val="none"/>
                <w:lang w:val="en-US" w:eastAsia="zh-CN"/>
              </w:rPr>
              <w:t>（盖单位公章）</w:t>
            </w:r>
          </w:p>
          <w:p>
            <w:pPr>
              <w:keepNext w:val="0"/>
              <w:keepLines w:val="0"/>
              <w:pageBreakBefore w:val="0"/>
              <w:widowControl w:val="0"/>
              <w:kinsoku/>
              <w:wordWrap/>
              <w:overflowPunct/>
              <w:topLinePunct w:val="0"/>
              <w:autoSpaceDE/>
              <w:autoSpaceDN/>
              <w:bidi w:val="0"/>
              <w:adjustRightInd w:val="0"/>
              <w:snapToGrid w:val="0"/>
              <w:spacing w:line="360" w:lineRule="auto"/>
              <w:ind w:right="0"/>
              <w:jc w:val="right"/>
              <w:textAlignment w:val="auto"/>
              <w:rPr>
                <w:rFonts w:hint="eastAsia" w:ascii="宋体" w:hAnsi="宋体" w:eastAsia="宋体" w:cs="宋体"/>
                <w:bCs/>
                <w:kern w:val="44"/>
                <w:sz w:val="24"/>
                <w:szCs w:val="24"/>
              </w:rPr>
            </w:pPr>
            <w:r>
              <w:rPr>
                <w:rFonts w:hint="eastAsia" w:ascii="宋体" w:hAnsi="宋体" w:eastAsia="宋体" w:cs="宋体"/>
                <w:bCs/>
                <w:kern w:val="44"/>
                <w:sz w:val="24"/>
                <w:szCs w:val="24"/>
              </w:rPr>
              <w:t>　</w:t>
            </w:r>
            <w:r>
              <w:rPr>
                <w:rFonts w:hint="eastAsia" w:ascii="宋体" w:hAnsi="宋体" w:eastAsia="宋体" w:cs="宋体"/>
                <w:bCs/>
                <w:kern w:val="44"/>
                <w:sz w:val="24"/>
                <w:szCs w:val="24"/>
              </w:rPr>
              <w:tab/>
            </w:r>
            <w:r>
              <w:rPr>
                <w:rFonts w:hint="eastAsia" w:ascii="宋体" w:hAnsi="宋体" w:eastAsia="宋体" w:cs="宋体"/>
                <w:bCs/>
                <w:kern w:val="44"/>
                <w:sz w:val="24"/>
                <w:szCs w:val="24"/>
              </w:rPr>
              <w:tab/>
            </w:r>
            <w:r>
              <w:rPr>
                <w:rFonts w:hint="eastAsia" w:ascii="宋体" w:hAnsi="宋体" w:eastAsia="宋体" w:cs="宋体"/>
                <w:bCs/>
                <w:kern w:val="44"/>
                <w:sz w:val="24"/>
                <w:szCs w:val="24"/>
                <w:lang w:eastAsia="zh-CN"/>
              </w:rPr>
              <w:t>法定代表人或委托代理人</w:t>
            </w:r>
            <w:r>
              <w:rPr>
                <w:rFonts w:hint="eastAsia" w:ascii="宋体" w:hAnsi="宋体" w:eastAsia="宋体" w:cs="宋体"/>
                <w:bCs/>
                <w:kern w:val="44"/>
                <w:sz w:val="24"/>
                <w:szCs w:val="24"/>
              </w:rPr>
              <w:t>：</w:t>
            </w:r>
            <w:r>
              <w:rPr>
                <w:rFonts w:hint="eastAsia" w:ascii="宋体" w:hAnsi="宋体" w:cs="宋体"/>
                <w:bCs/>
                <w:kern w:val="44"/>
                <w:sz w:val="24"/>
                <w:szCs w:val="24"/>
                <w:u w:val="single"/>
                <w:lang w:val="en-US" w:eastAsia="zh-CN"/>
              </w:rPr>
              <w:t xml:space="preserve">  </w:t>
            </w:r>
            <w:r>
              <w:rPr>
                <w:rFonts w:hint="eastAsia" w:ascii="宋体" w:hAnsi="宋体" w:eastAsia="宋体" w:cs="宋体"/>
                <w:bCs/>
                <w:kern w:val="44"/>
                <w:sz w:val="24"/>
                <w:szCs w:val="24"/>
                <w:u w:val="single"/>
              </w:rPr>
              <w:tab/>
            </w:r>
            <w:r>
              <w:rPr>
                <w:rFonts w:hint="eastAsia" w:ascii="宋体" w:hAnsi="宋体" w:eastAsia="宋体" w:cs="宋体"/>
                <w:bCs/>
                <w:kern w:val="44"/>
                <w:sz w:val="24"/>
                <w:szCs w:val="24"/>
                <w:u w:val="single"/>
              </w:rPr>
              <w:tab/>
            </w:r>
            <w:r>
              <w:rPr>
                <w:rFonts w:hint="eastAsia" w:ascii="宋体" w:hAnsi="宋体" w:eastAsia="宋体" w:cs="宋体"/>
                <w:bCs/>
                <w:kern w:val="44"/>
                <w:sz w:val="24"/>
                <w:szCs w:val="24"/>
                <w:u w:val="none"/>
                <w:lang w:eastAsia="zh-CN"/>
              </w:rPr>
              <w:t>（</w:t>
            </w:r>
            <w:r>
              <w:rPr>
                <w:rFonts w:hint="eastAsia" w:ascii="宋体" w:hAnsi="宋体" w:eastAsia="宋体" w:cs="宋体"/>
                <w:bCs/>
                <w:kern w:val="44"/>
                <w:sz w:val="24"/>
                <w:szCs w:val="24"/>
                <w:u w:val="none"/>
                <w:lang w:val="en-US" w:eastAsia="zh-CN"/>
              </w:rPr>
              <w:t>签字或盖章</w:t>
            </w:r>
            <w:r>
              <w:rPr>
                <w:rFonts w:hint="eastAsia" w:ascii="宋体" w:hAnsi="宋体" w:eastAsia="宋体" w:cs="宋体"/>
                <w:bCs/>
                <w:kern w:val="44"/>
                <w:sz w:val="24"/>
                <w:szCs w:val="24"/>
                <w:u w:val="none"/>
                <w:lang w:eastAsia="zh-CN"/>
              </w:rPr>
              <w:t>）</w:t>
            </w:r>
            <w:r>
              <w:rPr>
                <w:rFonts w:hint="eastAsia" w:ascii="宋体" w:hAnsi="宋体" w:eastAsia="宋体" w:cs="宋体"/>
                <w:bCs/>
                <w:kern w:val="44"/>
                <w:sz w:val="24"/>
                <w:szCs w:val="24"/>
              </w:rPr>
              <w:t>　</w:t>
            </w:r>
          </w:p>
          <w:p>
            <w:pPr>
              <w:keepNext w:val="0"/>
              <w:keepLines w:val="0"/>
              <w:pageBreakBefore w:val="0"/>
              <w:widowControl w:val="0"/>
              <w:kinsoku/>
              <w:wordWrap/>
              <w:overflowPunct/>
              <w:topLinePunct w:val="0"/>
              <w:autoSpaceDE/>
              <w:autoSpaceDN/>
              <w:bidi w:val="0"/>
              <w:adjustRightInd w:val="0"/>
              <w:snapToGrid w:val="0"/>
              <w:spacing w:line="360" w:lineRule="auto"/>
              <w:ind w:right="0"/>
              <w:jc w:val="right"/>
              <w:textAlignment w:val="auto"/>
              <w:rPr>
                <w:rFonts w:hint="eastAsia" w:ascii="宋体" w:hAnsi="宋体" w:eastAsia="宋体" w:cs="宋体"/>
                <w:bCs/>
                <w:kern w:val="44"/>
                <w:sz w:val="24"/>
                <w:szCs w:val="24"/>
              </w:rPr>
            </w:pPr>
            <w:r>
              <w:rPr>
                <w:rFonts w:hint="eastAsia" w:ascii="宋体" w:hAnsi="宋体" w:eastAsia="宋体" w:cs="宋体"/>
                <w:bCs/>
                <w:kern w:val="44"/>
                <w:sz w:val="24"/>
                <w:szCs w:val="24"/>
              </w:rPr>
              <w:t xml:space="preserve">                 </w:t>
            </w:r>
            <w:r>
              <w:rPr>
                <w:rFonts w:hint="eastAsia" w:ascii="宋体" w:hAnsi="宋体" w:cs="宋体"/>
                <w:bCs/>
                <w:kern w:val="44"/>
                <w:sz w:val="24"/>
                <w:szCs w:val="24"/>
                <w:u w:val="single"/>
                <w:lang w:val="en-US" w:eastAsia="zh-CN"/>
              </w:rPr>
              <w:t xml:space="preserve">    </w:t>
            </w:r>
            <w:r>
              <w:rPr>
                <w:rFonts w:hint="eastAsia" w:ascii="宋体" w:hAnsi="宋体" w:eastAsia="宋体" w:cs="宋体"/>
                <w:bCs/>
                <w:kern w:val="44"/>
                <w:sz w:val="24"/>
                <w:szCs w:val="24"/>
                <w:u w:val="single"/>
              </w:rPr>
              <w:tab/>
            </w:r>
            <w:r>
              <w:rPr>
                <w:rFonts w:hint="eastAsia" w:ascii="宋体" w:hAnsi="宋体" w:eastAsia="宋体" w:cs="宋体"/>
                <w:bCs/>
                <w:kern w:val="44"/>
                <w:sz w:val="24"/>
                <w:szCs w:val="24"/>
              </w:rPr>
              <w:t>年</w:t>
            </w:r>
            <w:r>
              <w:rPr>
                <w:rFonts w:hint="eastAsia" w:ascii="宋体" w:hAnsi="宋体" w:cs="宋体"/>
                <w:bCs/>
                <w:kern w:val="44"/>
                <w:sz w:val="24"/>
                <w:szCs w:val="24"/>
                <w:u w:val="single"/>
                <w:lang w:val="en-US" w:eastAsia="zh-CN"/>
              </w:rPr>
              <w:t xml:space="preserve">  </w:t>
            </w:r>
            <w:r>
              <w:rPr>
                <w:rFonts w:hint="eastAsia" w:ascii="宋体" w:hAnsi="宋体" w:eastAsia="宋体" w:cs="宋体"/>
                <w:bCs/>
                <w:kern w:val="44"/>
                <w:sz w:val="24"/>
                <w:szCs w:val="24"/>
                <w:u w:val="single"/>
              </w:rPr>
              <w:tab/>
            </w:r>
            <w:r>
              <w:rPr>
                <w:rFonts w:hint="eastAsia" w:ascii="宋体" w:hAnsi="宋体" w:eastAsia="宋体" w:cs="宋体"/>
                <w:bCs/>
                <w:kern w:val="44"/>
                <w:sz w:val="24"/>
                <w:szCs w:val="24"/>
              </w:rPr>
              <w:t>月</w:t>
            </w:r>
            <w:r>
              <w:rPr>
                <w:rFonts w:hint="eastAsia" w:ascii="宋体" w:hAnsi="宋体" w:cs="宋体"/>
                <w:bCs/>
                <w:kern w:val="44"/>
                <w:sz w:val="24"/>
                <w:szCs w:val="24"/>
                <w:u w:val="single"/>
                <w:lang w:val="en-US" w:eastAsia="zh-CN"/>
              </w:rPr>
              <w:t xml:space="preserve">  </w:t>
            </w:r>
            <w:r>
              <w:rPr>
                <w:rFonts w:hint="eastAsia" w:ascii="宋体" w:hAnsi="宋体" w:eastAsia="宋体" w:cs="宋体"/>
                <w:bCs/>
                <w:kern w:val="44"/>
                <w:sz w:val="24"/>
                <w:szCs w:val="24"/>
                <w:u w:val="single"/>
              </w:rPr>
              <w:tab/>
            </w:r>
            <w:r>
              <w:rPr>
                <w:rFonts w:hint="eastAsia" w:ascii="宋体" w:hAnsi="宋体" w:eastAsia="宋体" w:cs="宋体"/>
                <w:bCs/>
                <w:kern w:val="44"/>
                <w:sz w:val="24"/>
                <w:szCs w:val="24"/>
              </w:rPr>
              <w:t>日</w:t>
            </w:r>
          </w:p>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eastAsia" w:ascii="宋体" w:hAnsi="宋体" w:eastAsia="宋体" w:cs="宋体"/>
                <w:b/>
                <w:kern w:val="44"/>
                <w:sz w:val="24"/>
                <w:szCs w:val="24"/>
              </w:rPr>
            </w:pPr>
          </w:p>
        </w:tc>
      </w:tr>
    </w:tbl>
    <w:p>
      <w:pPr>
        <w:spacing w:before="156" w:beforeLines="50" w:after="156" w:afterLines="50" w:line="360" w:lineRule="auto"/>
        <w:rPr>
          <w:rFonts w:hint="default" w:ascii="仿宋_GB2312" w:hAnsi="宋体" w:eastAsia="宋体"/>
          <w:b w:val="0"/>
          <w:bCs/>
          <w:kern w:val="44"/>
          <w:sz w:val="28"/>
          <w:szCs w:val="28"/>
          <w:lang w:val="en-US" w:eastAsia="zh-CN"/>
        </w:rPr>
      </w:pPr>
      <w:r>
        <w:rPr>
          <w:rFonts w:hint="eastAsia" w:ascii="仿宋_GB2312" w:hAnsi="宋体"/>
          <w:b w:val="0"/>
          <w:bCs/>
          <w:kern w:val="44"/>
          <w:sz w:val="28"/>
          <w:szCs w:val="28"/>
          <w:lang w:val="en-US" w:eastAsia="zh-CN"/>
        </w:rPr>
        <w:t>此表应单独填写密封。</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EU-F1">
    <w:altName w:val="宋体"/>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8"/>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fldChar w:fldCharType="begin"/>
    </w:r>
    <w:r>
      <w:rPr>
        <w:rStyle w:val="29"/>
      </w:rPr>
      <w:instrText xml:space="preserve">PAGE  </w:instrText>
    </w:r>
    <w:r>
      <w:fldChar w:fldCharType="end"/>
    </w:r>
  </w:p>
  <w:p>
    <w:pPr>
      <w:pStyle w:val="1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rPr>
        <w:rFonts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5"/>
    <w:multiLevelType w:val="multilevel"/>
    <w:tmpl w:val="00000015"/>
    <w:lvl w:ilvl="0" w:tentative="0">
      <w:start w:val="1"/>
      <w:numFmt w:val="decimal"/>
      <w:suff w:val="nothing"/>
      <w:lvlText w:val="%1、"/>
      <w:lvlJc w:val="left"/>
    </w:lvl>
    <w:lvl w:ilvl="1" w:tentative="0">
      <w:start w:val="2"/>
      <w:numFmt w:val="decimal"/>
      <w:isLgl/>
      <w:lvlText w:val="%1.%2"/>
      <w:lvlJc w:val="left"/>
      <w:pPr>
        <w:ind w:left="4500" w:hanging="720"/>
      </w:pPr>
      <w:rPr>
        <w:rFonts w:hint="default" w:ascii="宋体"/>
        <w:sz w:val="30"/>
        <w:szCs w:val="30"/>
      </w:rPr>
    </w:lvl>
    <w:lvl w:ilvl="2" w:tentative="0">
      <w:start w:val="1"/>
      <w:numFmt w:val="decimal"/>
      <w:isLgl/>
      <w:lvlText w:val="%1.%2.%3"/>
      <w:lvlJc w:val="left"/>
      <w:pPr>
        <w:ind w:left="8280" w:hanging="720"/>
      </w:pPr>
      <w:rPr>
        <w:rFonts w:hint="default" w:ascii="宋体"/>
        <w:sz w:val="24"/>
      </w:rPr>
    </w:lvl>
    <w:lvl w:ilvl="3" w:tentative="0">
      <w:start w:val="1"/>
      <w:numFmt w:val="decimal"/>
      <w:isLgl/>
      <w:lvlText w:val="%1.%2.%3.%4"/>
      <w:lvlJc w:val="left"/>
      <w:pPr>
        <w:ind w:left="12420" w:hanging="1080"/>
      </w:pPr>
      <w:rPr>
        <w:rFonts w:hint="default" w:ascii="宋体"/>
        <w:sz w:val="24"/>
      </w:rPr>
    </w:lvl>
    <w:lvl w:ilvl="4" w:tentative="0">
      <w:start w:val="1"/>
      <w:numFmt w:val="decimal"/>
      <w:isLgl/>
      <w:lvlText w:val="%1.%2.%3.%4.%5"/>
      <w:lvlJc w:val="left"/>
      <w:pPr>
        <w:ind w:left="16200" w:hanging="1080"/>
      </w:pPr>
      <w:rPr>
        <w:rFonts w:hint="default" w:ascii="宋体"/>
        <w:sz w:val="24"/>
      </w:rPr>
    </w:lvl>
    <w:lvl w:ilvl="5" w:tentative="0">
      <w:start w:val="1"/>
      <w:numFmt w:val="decimal"/>
      <w:isLgl/>
      <w:lvlText w:val="%1.%2.%3.%4.%5.%6"/>
      <w:lvlJc w:val="left"/>
      <w:pPr>
        <w:ind w:left="20340" w:hanging="1440"/>
      </w:pPr>
      <w:rPr>
        <w:rFonts w:hint="default" w:ascii="宋体"/>
        <w:sz w:val="24"/>
      </w:rPr>
    </w:lvl>
    <w:lvl w:ilvl="6" w:tentative="0">
      <w:start w:val="1"/>
      <w:numFmt w:val="decimal"/>
      <w:isLgl/>
      <w:lvlText w:val="%1.%2.%3.%4.%5.%6.%7"/>
      <w:lvlJc w:val="left"/>
      <w:pPr>
        <w:ind w:left="24480" w:hanging="1800"/>
      </w:pPr>
      <w:rPr>
        <w:rFonts w:hint="default" w:ascii="宋体"/>
        <w:sz w:val="24"/>
      </w:rPr>
    </w:lvl>
    <w:lvl w:ilvl="7" w:tentative="0">
      <w:start w:val="1"/>
      <w:numFmt w:val="decimal"/>
      <w:isLgl/>
      <w:lvlText w:val="%1.%2.%3.%4.%5.%6.%7.%8"/>
      <w:lvlJc w:val="left"/>
      <w:pPr>
        <w:ind w:left="28260" w:hanging="1800"/>
      </w:pPr>
      <w:rPr>
        <w:rFonts w:hint="default" w:ascii="宋体"/>
        <w:sz w:val="24"/>
      </w:rPr>
    </w:lvl>
    <w:lvl w:ilvl="8" w:tentative="0">
      <w:start w:val="1"/>
      <w:numFmt w:val="decimal"/>
      <w:isLgl/>
      <w:lvlText w:val="%1.%2.%3.%4.%5.%6.%7.%8.%9"/>
      <w:lvlJc w:val="left"/>
      <w:pPr>
        <w:ind w:left="32400" w:hanging="2160"/>
      </w:pPr>
      <w:rPr>
        <w:rFonts w:hint="default" w:ascii="宋体"/>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iZWJhZmE1YjRmZjM2OWYwYzM2YThkNTA2ZjllZDEifQ=="/>
  </w:docVars>
  <w:rsids>
    <w:rsidRoot w:val="00051E13"/>
    <w:rsid w:val="00004C7E"/>
    <w:rsid w:val="00005D69"/>
    <w:rsid w:val="00014B6A"/>
    <w:rsid w:val="000155BB"/>
    <w:rsid w:val="00017AF7"/>
    <w:rsid w:val="0002071E"/>
    <w:rsid w:val="00024355"/>
    <w:rsid w:val="000271EB"/>
    <w:rsid w:val="0004119E"/>
    <w:rsid w:val="00041473"/>
    <w:rsid w:val="000424B7"/>
    <w:rsid w:val="00047EC9"/>
    <w:rsid w:val="00051E13"/>
    <w:rsid w:val="0006037D"/>
    <w:rsid w:val="000625D6"/>
    <w:rsid w:val="00070309"/>
    <w:rsid w:val="000877BF"/>
    <w:rsid w:val="000907ED"/>
    <w:rsid w:val="000B1EF1"/>
    <w:rsid w:val="000B44D3"/>
    <w:rsid w:val="000E0465"/>
    <w:rsid w:val="000F0242"/>
    <w:rsid w:val="000F109D"/>
    <w:rsid w:val="000F23CA"/>
    <w:rsid w:val="000F2DB7"/>
    <w:rsid w:val="000F727A"/>
    <w:rsid w:val="00100B75"/>
    <w:rsid w:val="00112474"/>
    <w:rsid w:val="00120280"/>
    <w:rsid w:val="001356A8"/>
    <w:rsid w:val="001409CB"/>
    <w:rsid w:val="0014709A"/>
    <w:rsid w:val="00157821"/>
    <w:rsid w:val="0017756C"/>
    <w:rsid w:val="001A2C80"/>
    <w:rsid w:val="001C1B43"/>
    <w:rsid w:val="001E3AA6"/>
    <w:rsid w:val="001F23FE"/>
    <w:rsid w:val="001F5EE1"/>
    <w:rsid w:val="001F666B"/>
    <w:rsid w:val="00200E1F"/>
    <w:rsid w:val="002067F2"/>
    <w:rsid w:val="00226769"/>
    <w:rsid w:val="00226D7C"/>
    <w:rsid w:val="00230B75"/>
    <w:rsid w:val="00242653"/>
    <w:rsid w:val="00245D10"/>
    <w:rsid w:val="00245E69"/>
    <w:rsid w:val="00270BE1"/>
    <w:rsid w:val="00283D62"/>
    <w:rsid w:val="002904A6"/>
    <w:rsid w:val="00294A60"/>
    <w:rsid w:val="002952A9"/>
    <w:rsid w:val="002A3AE6"/>
    <w:rsid w:val="002A7143"/>
    <w:rsid w:val="002A77A3"/>
    <w:rsid w:val="002B18A6"/>
    <w:rsid w:val="002B3D56"/>
    <w:rsid w:val="002C10BF"/>
    <w:rsid w:val="002C1E0B"/>
    <w:rsid w:val="002C337B"/>
    <w:rsid w:val="002D62AA"/>
    <w:rsid w:val="002E5A9C"/>
    <w:rsid w:val="002E65F6"/>
    <w:rsid w:val="002F147A"/>
    <w:rsid w:val="002F3D96"/>
    <w:rsid w:val="00312984"/>
    <w:rsid w:val="003317DE"/>
    <w:rsid w:val="00332C8F"/>
    <w:rsid w:val="0033414C"/>
    <w:rsid w:val="00344DCB"/>
    <w:rsid w:val="0034625B"/>
    <w:rsid w:val="003608DF"/>
    <w:rsid w:val="00363F6D"/>
    <w:rsid w:val="00377A14"/>
    <w:rsid w:val="00377FDB"/>
    <w:rsid w:val="00384FF4"/>
    <w:rsid w:val="00395B3B"/>
    <w:rsid w:val="003A629B"/>
    <w:rsid w:val="003C323E"/>
    <w:rsid w:val="003D2D57"/>
    <w:rsid w:val="003D71DE"/>
    <w:rsid w:val="003E2676"/>
    <w:rsid w:val="003F2494"/>
    <w:rsid w:val="0040652B"/>
    <w:rsid w:val="00415F12"/>
    <w:rsid w:val="00421900"/>
    <w:rsid w:val="0042569A"/>
    <w:rsid w:val="004261F1"/>
    <w:rsid w:val="00426A70"/>
    <w:rsid w:val="00431C1F"/>
    <w:rsid w:val="0043497F"/>
    <w:rsid w:val="004418A4"/>
    <w:rsid w:val="00441C6D"/>
    <w:rsid w:val="004458D0"/>
    <w:rsid w:val="004475ED"/>
    <w:rsid w:val="00450740"/>
    <w:rsid w:val="00451330"/>
    <w:rsid w:val="00451DBA"/>
    <w:rsid w:val="00457A0B"/>
    <w:rsid w:val="00470582"/>
    <w:rsid w:val="00470719"/>
    <w:rsid w:val="00477C80"/>
    <w:rsid w:val="00485029"/>
    <w:rsid w:val="0049334F"/>
    <w:rsid w:val="004A026B"/>
    <w:rsid w:val="004A5289"/>
    <w:rsid w:val="004A71F6"/>
    <w:rsid w:val="004C4265"/>
    <w:rsid w:val="004C76E9"/>
    <w:rsid w:val="004D02D2"/>
    <w:rsid w:val="004E41F3"/>
    <w:rsid w:val="004F6737"/>
    <w:rsid w:val="00500ADB"/>
    <w:rsid w:val="00512053"/>
    <w:rsid w:val="00514911"/>
    <w:rsid w:val="00527D51"/>
    <w:rsid w:val="00536B79"/>
    <w:rsid w:val="005424DC"/>
    <w:rsid w:val="00545D70"/>
    <w:rsid w:val="005817C3"/>
    <w:rsid w:val="00587222"/>
    <w:rsid w:val="00590848"/>
    <w:rsid w:val="00590A10"/>
    <w:rsid w:val="00594FBC"/>
    <w:rsid w:val="00597A62"/>
    <w:rsid w:val="005A1957"/>
    <w:rsid w:val="005A75B3"/>
    <w:rsid w:val="005A75E5"/>
    <w:rsid w:val="005D55EF"/>
    <w:rsid w:val="005E7657"/>
    <w:rsid w:val="005F4BFF"/>
    <w:rsid w:val="00601030"/>
    <w:rsid w:val="00601F73"/>
    <w:rsid w:val="006030E3"/>
    <w:rsid w:val="006168E9"/>
    <w:rsid w:val="00617FD4"/>
    <w:rsid w:val="006339B6"/>
    <w:rsid w:val="0064318E"/>
    <w:rsid w:val="006473A2"/>
    <w:rsid w:val="00651BD8"/>
    <w:rsid w:val="00655709"/>
    <w:rsid w:val="0066014D"/>
    <w:rsid w:val="0066238A"/>
    <w:rsid w:val="006739DA"/>
    <w:rsid w:val="00687B89"/>
    <w:rsid w:val="0069538D"/>
    <w:rsid w:val="006A103B"/>
    <w:rsid w:val="006A2043"/>
    <w:rsid w:val="006C3075"/>
    <w:rsid w:val="006F1020"/>
    <w:rsid w:val="00710B75"/>
    <w:rsid w:val="0071611F"/>
    <w:rsid w:val="007237BD"/>
    <w:rsid w:val="00725085"/>
    <w:rsid w:val="00734184"/>
    <w:rsid w:val="0074431B"/>
    <w:rsid w:val="00750061"/>
    <w:rsid w:val="0075174B"/>
    <w:rsid w:val="00753CC7"/>
    <w:rsid w:val="0079228F"/>
    <w:rsid w:val="00795D6B"/>
    <w:rsid w:val="0079715A"/>
    <w:rsid w:val="007C27D2"/>
    <w:rsid w:val="007C67E9"/>
    <w:rsid w:val="007C73C2"/>
    <w:rsid w:val="007D1975"/>
    <w:rsid w:val="007D4712"/>
    <w:rsid w:val="007E14A4"/>
    <w:rsid w:val="007F27CB"/>
    <w:rsid w:val="0080303D"/>
    <w:rsid w:val="00804429"/>
    <w:rsid w:val="0082054B"/>
    <w:rsid w:val="00822CF4"/>
    <w:rsid w:val="00831D97"/>
    <w:rsid w:val="008401EA"/>
    <w:rsid w:val="00844691"/>
    <w:rsid w:val="008465A1"/>
    <w:rsid w:val="0084713A"/>
    <w:rsid w:val="00853731"/>
    <w:rsid w:val="0085500D"/>
    <w:rsid w:val="00864C23"/>
    <w:rsid w:val="0088493C"/>
    <w:rsid w:val="00893F11"/>
    <w:rsid w:val="008C2D88"/>
    <w:rsid w:val="008F03C3"/>
    <w:rsid w:val="008F190E"/>
    <w:rsid w:val="008F1ED3"/>
    <w:rsid w:val="008F2066"/>
    <w:rsid w:val="0090179C"/>
    <w:rsid w:val="009049D8"/>
    <w:rsid w:val="00906F5E"/>
    <w:rsid w:val="00934067"/>
    <w:rsid w:val="009411B8"/>
    <w:rsid w:val="00950CCE"/>
    <w:rsid w:val="00967959"/>
    <w:rsid w:val="00970510"/>
    <w:rsid w:val="0097633D"/>
    <w:rsid w:val="00983FB9"/>
    <w:rsid w:val="009A4AB0"/>
    <w:rsid w:val="009B13C3"/>
    <w:rsid w:val="009D5AC7"/>
    <w:rsid w:val="009E1CDF"/>
    <w:rsid w:val="009E3B9A"/>
    <w:rsid w:val="009F0FD8"/>
    <w:rsid w:val="009F130A"/>
    <w:rsid w:val="009F3576"/>
    <w:rsid w:val="009F4F13"/>
    <w:rsid w:val="009F5610"/>
    <w:rsid w:val="00A02AB8"/>
    <w:rsid w:val="00A11FEB"/>
    <w:rsid w:val="00A25393"/>
    <w:rsid w:val="00A34FC6"/>
    <w:rsid w:val="00A472EE"/>
    <w:rsid w:val="00A67375"/>
    <w:rsid w:val="00A70F27"/>
    <w:rsid w:val="00A93608"/>
    <w:rsid w:val="00AA52C6"/>
    <w:rsid w:val="00AA6877"/>
    <w:rsid w:val="00AB2D26"/>
    <w:rsid w:val="00AB67A1"/>
    <w:rsid w:val="00AC7B9E"/>
    <w:rsid w:val="00AE684E"/>
    <w:rsid w:val="00AF4A86"/>
    <w:rsid w:val="00AF6FED"/>
    <w:rsid w:val="00B031FA"/>
    <w:rsid w:val="00B0733D"/>
    <w:rsid w:val="00B1345F"/>
    <w:rsid w:val="00B17E55"/>
    <w:rsid w:val="00B23971"/>
    <w:rsid w:val="00B30284"/>
    <w:rsid w:val="00B63099"/>
    <w:rsid w:val="00B673C8"/>
    <w:rsid w:val="00B775AA"/>
    <w:rsid w:val="00B835EB"/>
    <w:rsid w:val="00BA073B"/>
    <w:rsid w:val="00BA2A41"/>
    <w:rsid w:val="00BB2B57"/>
    <w:rsid w:val="00BB3FCE"/>
    <w:rsid w:val="00BB74CD"/>
    <w:rsid w:val="00BD6811"/>
    <w:rsid w:val="00BE4CBB"/>
    <w:rsid w:val="00BF1D6D"/>
    <w:rsid w:val="00C00C33"/>
    <w:rsid w:val="00C028F4"/>
    <w:rsid w:val="00C033D7"/>
    <w:rsid w:val="00C041FD"/>
    <w:rsid w:val="00C1034E"/>
    <w:rsid w:val="00C11B42"/>
    <w:rsid w:val="00C241AB"/>
    <w:rsid w:val="00C46211"/>
    <w:rsid w:val="00C9074D"/>
    <w:rsid w:val="00C92058"/>
    <w:rsid w:val="00C957D7"/>
    <w:rsid w:val="00CC290A"/>
    <w:rsid w:val="00CC6CDF"/>
    <w:rsid w:val="00CD7A77"/>
    <w:rsid w:val="00CE5457"/>
    <w:rsid w:val="00CF3BD0"/>
    <w:rsid w:val="00D05731"/>
    <w:rsid w:val="00D075A8"/>
    <w:rsid w:val="00D10997"/>
    <w:rsid w:val="00D118FB"/>
    <w:rsid w:val="00D14F3E"/>
    <w:rsid w:val="00D20F12"/>
    <w:rsid w:val="00D2538B"/>
    <w:rsid w:val="00D575A8"/>
    <w:rsid w:val="00D667EC"/>
    <w:rsid w:val="00D718C8"/>
    <w:rsid w:val="00D73321"/>
    <w:rsid w:val="00D743B5"/>
    <w:rsid w:val="00D76F66"/>
    <w:rsid w:val="00D80B0B"/>
    <w:rsid w:val="00D913F5"/>
    <w:rsid w:val="00D92DD0"/>
    <w:rsid w:val="00DB0B83"/>
    <w:rsid w:val="00DB36DB"/>
    <w:rsid w:val="00DC1179"/>
    <w:rsid w:val="00DC4475"/>
    <w:rsid w:val="00DD7AD3"/>
    <w:rsid w:val="00DE4740"/>
    <w:rsid w:val="00DE4F3A"/>
    <w:rsid w:val="00E00084"/>
    <w:rsid w:val="00E110C1"/>
    <w:rsid w:val="00E16E24"/>
    <w:rsid w:val="00E328ED"/>
    <w:rsid w:val="00E4191A"/>
    <w:rsid w:val="00E57C6D"/>
    <w:rsid w:val="00E667FA"/>
    <w:rsid w:val="00E916A0"/>
    <w:rsid w:val="00E91C57"/>
    <w:rsid w:val="00EA2D14"/>
    <w:rsid w:val="00EA40E8"/>
    <w:rsid w:val="00EA4E54"/>
    <w:rsid w:val="00EA7167"/>
    <w:rsid w:val="00EB09C6"/>
    <w:rsid w:val="00EB0B64"/>
    <w:rsid w:val="00ED043B"/>
    <w:rsid w:val="00ED5AA9"/>
    <w:rsid w:val="00EF24E1"/>
    <w:rsid w:val="00F00D33"/>
    <w:rsid w:val="00F11F92"/>
    <w:rsid w:val="00F224A5"/>
    <w:rsid w:val="00F43A2C"/>
    <w:rsid w:val="00F4474E"/>
    <w:rsid w:val="00F56BC3"/>
    <w:rsid w:val="00F62491"/>
    <w:rsid w:val="00F67968"/>
    <w:rsid w:val="00F72E5E"/>
    <w:rsid w:val="00F72F76"/>
    <w:rsid w:val="00F75BE1"/>
    <w:rsid w:val="00F83CE9"/>
    <w:rsid w:val="00F84490"/>
    <w:rsid w:val="00FB62F5"/>
    <w:rsid w:val="00FC4C6D"/>
    <w:rsid w:val="00FC766D"/>
    <w:rsid w:val="00FD04EE"/>
    <w:rsid w:val="00FD59DD"/>
    <w:rsid w:val="00FE4E27"/>
    <w:rsid w:val="00FE53EA"/>
    <w:rsid w:val="00FE5587"/>
    <w:rsid w:val="01066A48"/>
    <w:rsid w:val="016C0FA1"/>
    <w:rsid w:val="017112BE"/>
    <w:rsid w:val="01A56261"/>
    <w:rsid w:val="01B3097E"/>
    <w:rsid w:val="01C506B1"/>
    <w:rsid w:val="020411DA"/>
    <w:rsid w:val="02203B3A"/>
    <w:rsid w:val="026339FC"/>
    <w:rsid w:val="02862F3A"/>
    <w:rsid w:val="02B250DA"/>
    <w:rsid w:val="0314369E"/>
    <w:rsid w:val="031C07A5"/>
    <w:rsid w:val="03B44E81"/>
    <w:rsid w:val="04003C23"/>
    <w:rsid w:val="04697A1A"/>
    <w:rsid w:val="04E2157A"/>
    <w:rsid w:val="05281683"/>
    <w:rsid w:val="05383BBA"/>
    <w:rsid w:val="057A5919"/>
    <w:rsid w:val="05DC0DD7"/>
    <w:rsid w:val="05E46B90"/>
    <w:rsid w:val="067526A6"/>
    <w:rsid w:val="06B807E5"/>
    <w:rsid w:val="06E15F8D"/>
    <w:rsid w:val="072D2F81"/>
    <w:rsid w:val="076444C8"/>
    <w:rsid w:val="07654AB5"/>
    <w:rsid w:val="077C686F"/>
    <w:rsid w:val="077C7A64"/>
    <w:rsid w:val="078F59E9"/>
    <w:rsid w:val="07B611C8"/>
    <w:rsid w:val="07BE62CF"/>
    <w:rsid w:val="07E67E2B"/>
    <w:rsid w:val="0817778D"/>
    <w:rsid w:val="083420ED"/>
    <w:rsid w:val="089B03BE"/>
    <w:rsid w:val="08B43DE2"/>
    <w:rsid w:val="09153552"/>
    <w:rsid w:val="09287EA3"/>
    <w:rsid w:val="092B1742"/>
    <w:rsid w:val="0932487E"/>
    <w:rsid w:val="09BC683E"/>
    <w:rsid w:val="09C556F2"/>
    <w:rsid w:val="0A1C4869"/>
    <w:rsid w:val="0A1E12A6"/>
    <w:rsid w:val="0A31108A"/>
    <w:rsid w:val="0A4A3E4A"/>
    <w:rsid w:val="0A73514E"/>
    <w:rsid w:val="0AB15053"/>
    <w:rsid w:val="0ADD7C07"/>
    <w:rsid w:val="0B123C07"/>
    <w:rsid w:val="0B136931"/>
    <w:rsid w:val="0B8213C1"/>
    <w:rsid w:val="0B9510F4"/>
    <w:rsid w:val="0C000C64"/>
    <w:rsid w:val="0C6B6B0F"/>
    <w:rsid w:val="0C774C9E"/>
    <w:rsid w:val="0C7B478E"/>
    <w:rsid w:val="0C874EE1"/>
    <w:rsid w:val="0D1B1ACD"/>
    <w:rsid w:val="0D2766C4"/>
    <w:rsid w:val="0D3F2EDF"/>
    <w:rsid w:val="0D9D0734"/>
    <w:rsid w:val="0DDE4FD5"/>
    <w:rsid w:val="0DE95727"/>
    <w:rsid w:val="0E1171BD"/>
    <w:rsid w:val="0EB126E9"/>
    <w:rsid w:val="0EBB2F62"/>
    <w:rsid w:val="0ECA37AB"/>
    <w:rsid w:val="0EE52393"/>
    <w:rsid w:val="0EF10D38"/>
    <w:rsid w:val="0F024CF3"/>
    <w:rsid w:val="0F135152"/>
    <w:rsid w:val="0F3A448D"/>
    <w:rsid w:val="0F3D4568"/>
    <w:rsid w:val="0F501F02"/>
    <w:rsid w:val="0F5B4403"/>
    <w:rsid w:val="0FBD6E6C"/>
    <w:rsid w:val="0FC44D9A"/>
    <w:rsid w:val="0FCF491E"/>
    <w:rsid w:val="0FEE5277"/>
    <w:rsid w:val="0FFC7994"/>
    <w:rsid w:val="0FFF5B13"/>
    <w:rsid w:val="103F3D25"/>
    <w:rsid w:val="105021A1"/>
    <w:rsid w:val="1054157E"/>
    <w:rsid w:val="106F0166"/>
    <w:rsid w:val="10E548CC"/>
    <w:rsid w:val="10EF12A7"/>
    <w:rsid w:val="10F22B45"/>
    <w:rsid w:val="10F90377"/>
    <w:rsid w:val="11252F1A"/>
    <w:rsid w:val="114F7F97"/>
    <w:rsid w:val="11515ABE"/>
    <w:rsid w:val="119A7465"/>
    <w:rsid w:val="124D2729"/>
    <w:rsid w:val="12661A3D"/>
    <w:rsid w:val="12EF66BD"/>
    <w:rsid w:val="12F64B6E"/>
    <w:rsid w:val="13117BFA"/>
    <w:rsid w:val="1332191F"/>
    <w:rsid w:val="13746B01"/>
    <w:rsid w:val="13C24A51"/>
    <w:rsid w:val="13CF0748"/>
    <w:rsid w:val="14092680"/>
    <w:rsid w:val="144B0814"/>
    <w:rsid w:val="144B0EEA"/>
    <w:rsid w:val="146B50E8"/>
    <w:rsid w:val="147F6DE6"/>
    <w:rsid w:val="14CD18FF"/>
    <w:rsid w:val="15155054"/>
    <w:rsid w:val="153B6EA2"/>
    <w:rsid w:val="15BD1974"/>
    <w:rsid w:val="15DE18EA"/>
    <w:rsid w:val="15F5735F"/>
    <w:rsid w:val="15FB55F2"/>
    <w:rsid w:val="164756E1"/>
    <w:rsid w:val="166149F5"/>
    <w:rsid w:val="16663DB9"/>
    <w:rsid w:val="167D1103"/>
    <w:rsid w:val="169C3C7F"/>
    <w:rsid w:val="17037654"/>
    <w:rsid w:val="170A6E3A"/>
    <w:rsid w:val="1720040C"/>
    <w:rsid w:val="17516DD3"/>
    <w:rsid w:val="17824C23"/>
    <w:rsid w:val="179761F4"/>
    <w:rsid w:val="17AA23CB"/>
    <w:rsid w:val="17B2302E"/>
    <w:rsid w:val="17C910A8"/>
    <w:rsid w:val="17EE4066"/>
    <w:rsid w:val="17FF44C5"/>
    <w:rsid w:val="1804388A"/>
    <w:rsid w:val="18225F5E"/>
    <w:rsid w:val="183A54FD"/>
    <w:rsid w:val="18585984"/>
    <w:rsid w:val="18716A45"/>
    <w:rsid w:val="18C474BD"/>
    <w:rsid w:val="194C3D23"/>
    <w:rsid w:val="195919B3"/>
    <w:rsid w:val="198A7C88"/>
    <w:rsid w:val="19D21766"/>
    <w:rsid w:val="19D379B8"/>
    <w:rsid w:val="1A045DC3"/>
    <w:rsid w:val="1A732F49"/>
    <w:rsid w:val="1A744133"/>
    <w:rsid w:val="1ADA5DED"/>
    <w:rsid w:val="1B0B4F2F"/>
    <w:rsid w:val="1B1C713C"/>
    <w:rsid w:val="1B4548E5"/>
    <w:rsid w:val="1B7E3953"/>
    <w:rsid w:val="1BCF0653"/>
    <w:rsid w:val="1BCF2107"/>
    <w:rsid w:val="1BEF2AA3"/>
    <w:rsid w:val="1C067BE6"/>
    <w:rsid w:val="1C071B9A"/>
    <w:rsid w:val="1C0C71B1"/>
    <w:rsid w:val="1C695FA1"/>
    <w:rsid w:val="1C730FDE"/>
    <w:rsid w:val="1CC655B2"/>
    <w:rsid w:val="1CD777BF"/>
    <w:rsid w:val="1D120D0E"/>
    <w:rsid w:val="1D4604A0"/>
    <w:rsid w:val="1D596426"/>
    <w:rsid w:val="1D886D0B"/>
    <w:rsid w:val="1E092E53"/>
    <w:rsid w:val="1E194446"/>
    <w:rsid w:val="1E85324A"/>
    <w:rsid w:val="1E9B2A6E"/>
    <w:rsid w:val="1EF36F7C"/>
    <w:rsid w:val="1F6423F1"/>
    <w:rsid w:val="1F691F02"/>
    <w:rsid w:val="1F721A21"/>
    <w:rsid w:val="1F8359DC"/>
    <w:rsid w:val="1F9C084C"/>
    <w:rsid w:val="1FCA26FF"/>
    <w:rsid w:val="20014B53"/>
    <w:rsid w:val="20713A86"/>
    <w:rsid w:val="209D487B"/>
    <w:rsid w:val="20A43E5C"/>
    <w:rsid w:val="20BE2A44"/>
    <w:rsid w:val="20E00C0C"/>
    <w:rsid w:val="20EE5485"/>
    <w:rsid w:val="210448FA"/>
    <w:rsid w:val="21312B93"/>
    <w:rsid w:val="213276BA"/>
    <w:rsid w:val="21661111"/>
    <w:rsid w:val="21935C7E"/>
    <w:rsid w:val="21B52099"/>
    <w:rsid w:val="21B856E5"/>
    <w:rsid w:val="21D94134"/>
    <w:rsid w:val="21E65BE2"/>
    <w:rsid w:val="220273CF"/>
    <w:rsid w:val="22394A78"/>
    <w:rsid w:val="228A255C"/>
    <w:rsid w:val="22C5630B"/>
    <w:rsid w:val="22D402FC"/>
    <w:rsid w:val="22DB5B2F"/>
    <w:rsid w:val="22E83DA8"/>
    <w:rsid w:val="22FF3DB9"/>
    <w:rsid w:val="23411E36"/>
    <w:rsid w:val="23474F72"/>
    <w:rsid w:val="234977BA"/>
    <w:rsid w:val="235558E1"/>
    <w:rsid w:val="23812E9C"/>
    <w:rsid w:val="23A423C5"/>
    <w:rsid w:val="23E83F57"/>
    <w:rsid w:val="23E9602A"/>
    <w:rsid w:val="24092228"/>
    <w:rsid w:val="241A4EC7"/>
    <w:rsid w:val="2431439E"/>
    <w:rsid w:val="24A106B2"/>
    <w:rsid w:val="24A22F6C"/>
    <w:rsid w:val="24A361D8"/>
    <w:rsid w:val="24C62127"/>
    <w:rsid w:val="24E54A43"/>
    <w:rsid w:val="250A26FB"/>
    <w:rsid w:val="2540611D"/>
    <w:rsid w:val="25BF34E6"/>
    <w:rsid w:val="25C94365"/>
    <w:rsid w:val="25ED637C"/>
    <w:rsid w:val="26395046"/>
    <w:rsid w:val="266D4CF0"/>
    <w:rsid w:val="26955FF5"/>
    <w:rsid w:val="269B7AAF"/>
    <w:rsid w:val="26BA0A65"/>
    <w:rsid w:val="26C16DEA"/>
    <w:rsid w:val="271909D4"/>
    <w:rsid w:val="27337CE7"/>
    <w:rsid w:val="278B741B"/>
    <w:rsid w:val="27AA7E3C"/>
    <w:rsid w:val="27B70919"/>
    <w:rsid w:val="27FF406E"/>
    <w:rsid w:val="283607F3"/>
    <w:rsid w:val="284101E2"/>
    <w:rsid w:val="284D4DD9"/>
    <w:rsid w:val="288F5CD5"/>
    <w:rsid w:val="28C3509B"/>
    <w:rsid w:val="290D4568"/>
    <w:rsid w:val="29332221"/>
    <w:rsid w:val="29333C74"/>
    <w:rsid w:val="29437879"/>
    <w:rsid w:val="2948419F"/>
    <w:rsid w:val="29567CBD"/>
    <w:rsid w:val="29605F86"/>
    <w:rsid w:val="2976035F"/>
    <w:rsid w:val="29E03A2B"/>
    <w:rsid w:val="2A094D30"/>
    <w:rsid w:val="2ABA427C"/>
    <w:rsid w:val="2AEF7B58"/>
    <w:rsid w:val="2B0F5891"/>
    <w:rsid w:val="2B457FE9"/>
    <w:rsid w:val="2B522706"/>
    <w:rsid w:val="2B6F150A"/>
    <w:rsid w:val="2B942D1F"/>
    <w:rsid w:val="2BBE1B4A"/>
    <w:rsid w:val="2BD17ACF"/>
    <w:rsid w:val="2C6721E1"/>
    <w:rsid w:val="2D376058"/>
    <w:rsid w:val="2DF431D1"/>
    <w:rsid w:val="2E0E6DB8"/>
    <w:rsid w:val="2E82647A"/>
    <w:rsid w:val="2ED022C0"/>
    <w:rsid w:val="2F45680A"/>
    <w:rsid w:val="2F4D1B62"/>
    <w:rsid w:val="2F5527C5"/>
    <w:rsid w:val="2F8512FC"/>
    <w:rsid w:val="2F9B3388"/>
    <w:rsid w:val="2FC71915"/>
    <w:rsid w:val="2FDE0A0C"/>
    <w:rsid w:val="2FF26266"/>
    <w:rsid w:val="301663F8"/>
    <w:rsid w:val="301E705B"/>
    <w:rsid w:val="303D5733"/>
    <w:rsid w:val="30601421"/>
    <w:rsid w:val="309335A5"/>
    <w:rsid w:val="30BB2AFC"/>
    <w:rsid w:val="30E82555"/>
    <w:rsid w:val="313F54DB"/>
    <w:rsid w:val="314356E8"/>
    <w:rsid w:val="31570A76"/>
    <w:rsid w:val="316A07AA"/>
    <w:rsid w:val="31AA6DF8"/>
    <w:rsid w:val="31AB491E"/>
    <w:rsid w:val="31AF2660"/>
    <w:rsid w:val="31D125D7"/>
    <w:rsid w:val="32186458"/>
    <w:rsid w:val="32232529"/>
    <w:rsid w:val="323C423F"/>
    <w:rsid w:val="327B2543"/>
    <w:rsid w:val="329B4993"/>
    <w:rsid w:val="329D695D"/>
    <w:rsid w:val="32BF68D3"/>
    <w:rsid w:val="32C43EEA"/>
    <w:rsid w:val="32E0684A"/>
    <w:rsid w:val="32E60304"/>
    <w:rsid w:val="333077D1"/>
    <w:rsid w:val="334D3EDF"/>
    <w:rsid w:val="33531C09"/>
    <w:rsid w:val="33721B98"/>
    <w:rsid w:val="33775400"/>
    <w:rsid w:val="33A04957"/>
    <w:rsid w:val="33A8380B"/>
    <w:rsid w:val="33AE0859"/>
    <w:rsid w:val="33EA5BD2"/>
    <w:rsid w:val="3402116D"/>
    <w:rsid w:val="342C61EA"/>
    <w:rsid w:val="34563BB5"/>
    <w:rsid w:val="34BB131C"/>
    <w:rsid w:val="34C46423"/>
    <w:rsid w:val="34F0546A"/>
    <w:rsid w:val="352E7D40"/>
    <w:rsid w:val="35415CC5"/>
    <w:rsid w:val="3542190F"/>
    <w:rsid w:val="354E3F3E"/>
    <w:rsid w:val="35A63D7A"/>
    <w:rsid w:val="35D535A9"/>
    <w:rsid w:val="36122B89"/>
    <w:rsid w:val="361C5DEB"/>
    <w:rsid w:val="361D5962"/>
    <w:rsid w:val="361E6007"/>
    <w:rsid w:val="3632560E"/>
    <w:rsid w:val="3643781B"/>
    <w:rsid w:val="3659025D"/>
    <w:rsid w:val="36617CA1"/>
    <w:rsid w:val="369B1405"/>
    <w:rsid w:val="36B91F58"/>
    <w:rsid w:val="36C2393B"/>
    <w:rsid w:val="371A057C"/>
    <w:rsid w:val="372E4027"/>
    <w:rsid w:val="37D90437"/>
    <w:rsid w:val="37E172EC"/>
    <w:rsid w:val="37E62B54"/>
    <w:rsid w:val="37F76B0F"/>
    <w:rsid w:val="38367638"/>
    <w:rsid w:val="38623901"/>
    <w:rsid w:val="388C36FB"/>
    <w:rsid w:val="38EA21D0"/>
    <w:rsid w:val="38FB43DD"/>
    <w:rsid w:val="39161217"/>
    <w:rsid w:val="392456E2"/>
    <w:rsid w:val="393E445F"/>
    <w:rsid w:val="393F6E0B"/>
    <w:rsid w:val="39513FFD"/>
    <w:rsid w:val="39671A73"/>
    <w:rsid w:val="39B60304"/>
    <w:rsid w:val="3ACC6031"/>
    <w:rsid w:val="3B077069"/>
    <w:rsid w:val="3B4262F3"/>
    <w:rsid w:val="3B5A188F"/>
    <w:rsid w:val="3B60677A"/>
    <w:rsid w:val="3C137C90"/>
    <w:rsid w:val="3C2E6878"/>
    <w:rsid w:val="3C3814A4"/>
    <w:rsid w:val="3C4175A5"/>
    <w:rsid w:val="3C522566"/>
    <w:rsid w:val="3C5A1EBE"/>
    <w:rsid w:val="3C9F4675"/>
    <w:rsid w:val="3CB60D47"/>
    <w:rsid w:val="3CD72A6B"/>
    <w:rsid w:val="3D5140C2"/>
    <w:rsid w:val="3DD671C7"/>
    <w:rsid w:val="3DFA1107"/>
    <w:rsid w:val="3E13450B"/>
    <w:rsid w:val="3E2145BE"/>
    <w:rsid w:val="3EBB0897"/>
    <w:rsid w:val="3F1104B7"/>
    <w:rsid w:val="3F265386"/>
    <w:rsid w:val="3FEE07F8"/>
    <w:rsid w:val="401A15ED"/>
    <w:rsid w:val="403326AF"/>
    <w:rsid w:val="403C353A"/>
    <w:rsid w:val="404623E2"/>
    <w:rsid w:val="4047615A"/>
    <w:rsid w:val="40477F08"/>
    <w:rsid w:val="40580FC0"/>
    <w:rsid w:val="40610FCA"/>
    <w:rsid w:val="40DC4AF4"/>
    <w:rsid w:val="40E75EAD"/>
    <w:rsid w:val="40FC0CF2"/>
    <w:rsid w:val="413D6083"/>
    <w:rsid w:val="41766CF7"/>
    <w:rsid w:val="41847666"/>
    <w:rsid w:val="41A76EB0"/>
    <w:rsid w:val="41B810BD"/>
    <w:rsid w:val="41DB2FFE"/>
    <w:rsid w:val="42123791"/>
    <w:rsid w:val="42165DE4"/>
    <w:rsid w:val="426D634C"/>
    <w:rsid w:val="428B0805"/>
    <w:rsid w:val="42B06238"/>
    <w:rsid w:val="42C85330"/>
    <w:rsid w:val="431247FD"/>
    <w:rsid w:val="432A5FEB"/>
    <w:rsid w:val="432C24B3"/>
    <w:rsid w:val="435C3CCA"/>
    <w:rsid w:val="43EE7018"/>
    <w:rsid w:val="43F42155"/>
    <w:rsid w:val="441B1B66"/>
    <w:rsid w:val="445A46AE"/>
    <w:rsid w:val="44D3620E"/>
    <w:rsid w:val="44D53D34"/>
    <w:rsid w:val="44E81CBA"/>
    <w:rsid w:val="45124F88"/>
    <w:rsid w:val="452059D0"/>
    <w:rsid w:val="45592BAB"/>
    <w:rsid w:val="4565155C"/>
    <w:rsid w:val="458B0897"/>
    <w:rsid w:val="459B6D2C"/>
    <w:rsid w:val="459E681C"/>
    <w:rsid w:val="45B778DE"/>
    <w:rsid w:val="45CB5E48"/>
    <w:rsid w:val="46004DE1"/>
    <w:rsid w:val="460C19D8"/>
    <w:rsid w:val="46301D15"/>
    <w:rsid w:val="46386719"/>
    <w:rsid w:val="4642189D"/>
    <w:rsid w:val="46492C2C"/>
    <w:rsid w:val="465A4A0E"/>
    <w:rsid w:val="467A68CA"/>
    <w:rsid w:val="468F0ECB"/>
    <w:rsid w:val="46927A9B"/>
    <w:rsid w:val="46963997"/>
    <w:rsid w:val="46BA7686"/>
    <w:rsid w:val="46C04C97"/>
    <w:rsid w:val="46C40504"/>
    <w:rsid w:val="46CB53EF"/>
    <w:rsid w:val="46D36999"/>
    <w:rsid w:val="47095F17"/>
    <w:rsid w:val="47266AC9"/>
    <w:rsid w:val="47507491"/>
    <w:rsid w:val="47560505"/>
    <w:rsid w:val="479954ED"/>
    <w:rsid w:val="47D44777"/>
    <w:rsid w:val="47DB3D58"/>
    <w:rsid w:val="47F210A1"/>
    <w:rsid w:val="48474F49"/>
    <w:rsid w:val="48CC544E"/>
    <w:rsid w:val="49230F93"/>
    <w:rsid w:val="49641B2B"/>
    <w:rsid w:val="49E113CD"/>
    <w:rsid w:val="49E35145"/>
    <w:rsid w:val="4A007AA5"/>
    <w:rsid w:val="4A046EDC"/>
    <w:rsid w:val="4A0D5E83"/>
    <w:rsid w:val="4A8E50B1"/>
    <w:rsid w:val="4AB97C54"/>
    <w:rsid w:val="4ABD5996"/>
    <w:rsid w:val="4AF313B8"/>
    <w:rsid w:val="4B3C4B0D"/>
    <w:rsid w:val="4B6E0366"/>
    <w:rsid w:val="4BA601D9"/>
    <w:rsid w:val="4C237FED"/>
    <w:rsid w:val="4C251A45"/>
    <w:rsid w:val="4C2555A1"/>
    <w:rsid w:val="4C4D2043"/>
    <w:rsid w:val="4C7107E7"/>
    <w:rsid w:val="4CB608EF"/>
    <w:rsid w:val="4CF82CB6"/>
    <w:rsid w:val="4D0F0555"/>
    <w:rsid w:val="4D514B8C"/>
    <w:rsid w:val="4D7F6F33"/>
    <w:rsid w:val="4DA70238"/>
    <w:rsid w:val="4DD54DA5"/>
    <w:rsid w:val="4DEB45C9"/>
    <w:rsid w:val="4E451F2B"/>
    <w:rsid w:val="4E7D7917"/>
    <w:rsid w:val="4E816CDB"/>
    <w:rsid w:val="4E8D38D2"/>
    <w:rsid w:val="4EA529C9"/>
    <w:rsid w:val="4EED611E"/>
    <w:rsid w:val="4F2A749F"/>
    <w:rsid w:val="4F3A5808"/>
    <w:rsid w:val="4F477F24"/>
    <w:rsid w:val="4F716D4F"/>
    <w:rsid w:val="4FBE01E7"/>
    <w:rsid w:val="500D2D29"/>
    <w:rsid w:val="501047BA"/>
    <w:rsid w:val="50153E2C"/>
    <w:rsid w:val="50526B81"/>
    <w:rsid w:val="50574197"/>
    <w:rsid w:val="5060129E"/>
    <w:rsid w:val="508043C3"/>
    <w:rsid w:val="50A92A8E"/>
    <w:rsid w:val="50E84DEF"/>
    <w:rsid w:val="51134177"/>
    <w:rsid w:val="51316796"/>
    <w:rsid w:val="513D3172"/>
    <w:rsid w:val="51560B83"/>
    <w:rsid w:val="515801C7"/>
    <w:rsid w:val="51581F75"/>
    <w:rsid w:val="51850890"/>
    <w:rsid w:val="51A27694"/>
    <w:rsid w:val="51E952C3"/>
    <w:rsid w:val="51F33D23"/>
    <w:rsid w:val="52374280"/>
    <w:rsid w:val="52691F60"/>
    <w:rsid w:val="528154FB"/>
    <w:rsid w:val="528172AA"/>
    <w:rsid w:val="5288688A"/>
    <w:rsid w:val="52AB2578"/>
    <w:rsid w:val="52AD4542"/>
    <w:rsid w:val="52B7716F"/>
    <w:rsid w:val="533E0ACE"/>
    <w:rsid w:val="534D3DE7"/>
    <w:rsid w:val="536F17F8"/>
    <w:rsid w:val="537306FB"/>
    <w:rsid w:val="53964FD7"/>
    <w:rsid w:val="53D55AFF"/>
    <w:rsid w:val="53F4409C"/>
    <w:rsid w:val="541A79B6"/>
    <w:rsid w:val="541C372E"/>
    <w:rsid w:val="541F4FCC"/>
    <w:rsid w:val="54462559"/>
    <w:rsid w:val="545A24A8"/>
    <w:rsid w:val="545D7AF5"/>
    <w:rsid w:val="548603E2"/>
    <w:rsid w:val="54F9581D"/>
    <w:rsid w:val="55D41DE6"/>
    <w:rsid w:val="55F04E72"/>
    <w:rsid w:val="55F52488"/>
    <w:rsid w:val="561A1EEF"/>
    <w:rsid w:val="56397B3F"/>
    <w:rsid w:val="567315FF"/>
    <w:rsid w:val="570566FB"/>
    <w:rsid w:val="5737087F"/>
    <w:rsid w:val="575D3D21"/>
    <w:rsid w:val="57A06424"/>
    <w:rsid w:val="57D165DD"/>
    <w:rsid w:val="57E877CF"/>
    <w:rsid w:val="57E90669"/>
    <w:rsid w:val="57EF2F07"/>
    <w:rsid w:val="581D5CC6"/>
    <w:rsid w:val="583F5C3D"/>
    <w:rsid w:val="587A4EC7"/>
    <w:rsid w:val="5895361E"/>
    <w:rsid w:val="58FA6008"/>
    <w:rsid w:val="58FF717A"/>
    <w:rsid w:val="59554FEC"/>
    <w:rsid w:val="596E38A4"/>
    <w:rsid w:val="59835FFD"/>
    <w:rsid w:val="598F04FE"/>
    <w:rsid w:val="59967ADE"/>
    <w:rsid w:val="59D46859"/>
    <w:rsid w:val="5A074538"/>
    <w:rsid w:val="5A2F1CE1"/>
    <w:rsid w:val="5A5B03DC"/>
    <w:rsid w:val="5A736072"/>
    <w:rsid w:val="5A9658BC"/>
    <w:rsid w:val="5ABD553F"/>
    <w:rsid w:val="5AE825BC"/>
    <w:rsid w:val="5B3550D5"/>
    <w:rsid w:val="5B4F263B"/>
    <w:rsid w:val="5B5639C9"/>
    <w:rsid w:val="5B9B762E"/>
    <w:rsid w:val="5BBB382C"/>
    <w:rsid w:val="5BE32D83"/>
    <w:rsid w:val="5BFB1E7B"/>
    <w:rsid w:val="5C0F1DCA"/>
    <w:rsid w:val="5C3B2BBF"/>
    <w:rsid w:val="5C763BF7"/>
    <w:rsid w:val="5C780731"/>
    <w:rsid w:val="5C7E485A"/>
    <w:rsid w:val="5CAC13C7"/>
    <w:rsid w:val="5D3F223B"/>
    <w:rsid w:val="5D4D6706"/>
    <w:rsid w:val="5D6B3030"/>
    <w:rsid w:val="5D8B1C82"/>
    <w:rsid w:val="5DAD189A"/>
    <w:rsid w:val="5DCF4033"/>
    <w:rsid w:val="5EAE58CA"/>
    <w:rsid w:val="5EDD1D0C"/>
    <w:rsid w:val="5EE72B8A"/>
    <w:rsid w:val="5EEB4428"/>
    <w:rsid w:val="5F6D308F"/>
    <w:rsid w:val="5F8A1E93"/>
    <w:rsid w:val="5F9A7BFD"/>
    <w:rsid w:val="5FAA6092"/>
    <w:rsid w:val="5FAB2EAC"/>
    <w:rsid w:val="5FB5460B"/>
    <w:rsid w:val="5FBF6F73"/>
    <w:rsid w:val="5FFB68ED"/>
    <w:rsid w:val="601156CE"/>
    <w:rsid w:val="60254285"/>
    <w:rsid w:val="602D6CC3"/>
    <w:rsid w:val="6031230F"/>
    <w:rsid w:val="60471B32"/>
    <w:rsid w:val="60477D84"/>
    <w:rsid w:val="60673F83"/>
    <w:rsid w:val="606C70A8"/>
    <w:rsid w:val="60966616"/>
    <w:rsid w:val="60CF38D6"/>
    <w:rsid w:val="61023CAB"/>
    <w:rsid w:val="61284E94"/>
    <w:rsid w:val="613025C6"/>
    <w:rsid w:val="61412A26"/>
    <w:rsid w:val="61736957"/>
    <w:rsid w:val="61B03707"/>
    <w:rsid w:val="61C96577"/>
    <w:rsid w:val="61CE3B8D"/>
    <w:rsid w:val="61E45946"/>
    <w:rsid w:val="61E57BD0"/>
    <w:rsid w:val="62032F69"/>
    <w:rsid w:val="623A1223"/>
    <w:rsid w:val="62B92A90"/>
    <w:rsid w:val="62D26A2B"/>
    <w:rsid w:val="62EE098B"/>
    <w:rsid w:val="63027F93"/>
    <w:rsid w:val="63202A83"/>
    <w:rsid w:val="632048BD"/>
    <w:rsid w:val="633F4D43"/>
    <w:rsid w:val="63620A31"/>
    <w:rsid w:val="636E41A3"/>
    <w:rsid w:val="637C5F97"/>
    <w:rsid w:val="63A96660"/>
    <w:rsid w:val="63C82F8A"/>
    <w:rsid w:val="642F4DB7"/>
    <w:rsid w:val="64882719"/>
    <w:rsid w:val="65393A14"/>
    <w:rsid w:val="654A5C21"/>
    <w:rsid w:val="657131AE"/>
    <w:rsid w:val="65C23A09"/>
    <w:rsid w:val="65D5373C"/>
    <w:rsid w:val="65D835D0"/>
    <w:rsid w:val="662D17CA"/>
    <w:rsid w:val="664E34EF"/>
    <w:rsid w:val="666845B1"/>
    <w:rsid w:val="66860EDB"/>
    <w:rsid w:val="66A6332B"/>
    <w:rsid w:val="66C537B1"/>
    <w:rsid w:val="66D64751"/>
    <w:rsid w:val="66E321C6"/>
    <w:rsid w:val="673B7F17"/>
    <w:rsid w:val="67631A94"/>
    <w:rsid w:val="67A1421E"/>
    <w:rsid w:val="68456552"/>
    <w:rsid w:val="687731D1"/>
    <w:rsid w:val="689C6793"/>
    <w:rsid w:val="68DC1286"/>
    <w:rsid w:val="68F80968"/>
    <w:rsid w:val="692F7608"/>
    <w:rsid w:val="695232F6"/>
    <w:rsid w:val="696F5C56"/>
    <w:rsid w:val="69D33B54"/>
    <w:rsid w:val="69E95A08"/>
    <w:rsid w:val="6A040A94"/>
    <w:rsid w:val="6A885221"/>
    <w:rsid w:val="6A933BC6"/>
    <w:rsid w:val="6A9736B6"/>
    <w:rsid w:val="6AAB53B4"/>
    <w:rsid w:val="6AD95A7D"/>
    <w:rsid w:val="6B014FD4"/>
    <w:rsid w:val="6B3766F8"/>
    <w:rsid w:val="6B625A72"/>
    <w:rsid w:val="6B6317EA"/>
    <w:rsid w:val="6B856401"/>
    <w:rsid w:val="6B9875A2"/>
    <w:rsid w:val="6BAF2C82"/>
    <w:rsid w:val="6BB12556"/>
    <w:rsid w:val="6C10541C"/>
    <w:rsid w:val="6C375151"/>
    <w:rsid w:val="6C586E75"/>
    <w:rsid w:val="6C701CC0"/>
    <w:rsid w:val="6CA474B3"/>
    <w:rsid w:val="6CC4450B"/>
    <w:rsid w:val="6CF941B4"/>
    <w:rsid w:val="6CFF5543"/>
    <w:rsid w:val="6D256C11"/>
    <w:rsid w:val="6DDE15FC"/>
    <w:rsid w:val="6E0077C5"/>
    <w:rsid w:val="6E377D07"/>
    <w:rsid w:val="6E5F44EB"/>
    <w:rsid w:val="6F5E3DCA"/>
    <w:rsid w:val="6F646881"/>
    <w:rsid w:val="6F7915DC"/>
    <w:rsid w:val="6F7947F4"/>
    <w:rsid w:val="6FD607DD"/>
    <w:rsid w:val="6FDB1738"/>
    <w:rsid w:val="6FEA14DC"/>
    <w:rsid w:val="70117912"/>
    <w:rsid w:val="70231548"/>
    <w:rsid w:val="7036127C"/>
    <w:rsid w:val="70447E3C"/>
    <w:rsid w:val="7056191E"/>
    <w:rsid w:val="705A7660"/>
    <w:rsid w:val="7060279C"/>
    <w:rsid w:val="706C2EEF"/>
    <w:rsid w:val="7080699B"/>
    <w:rsid w:val="70DC62C7"/>
    <w:rsid w:val="70DE203F"/>
    <w:rsid w:val="70E46F2A"/>
    <w:rsid w:val="70EE1B56"/>
    <w:rsid w:val="71665B90"/>
    <w:rsid w:val="717B788E"/>
    <w:rsid w:val="71CA25C3"/>
    <w:rsid w:val="72473C14"/>
    <w:rsid w:val="72750AD3"/>
    <w:rsid w:val="72FC0C01"/>
    <w:rsid w:val="732301DD"/>
    <w:rsid w:val="73E91394"/>
    <w:rsid w:val="7439758C"/>
    <w:rsid w:val="74624D35"/>
    <w:rsid w:val="74942A15"/>
    <w:rsid w:val="749F1AE5"/>
    <w:rsid w:val="74AC4202"/>
    <w:rsid w:val="74B57E10"/>
    <w:rsid w:val="74C57072"/>
    <w:rsid w:val="75181898"/>
    <w:rsid w:val="753D729F"/>
    <w:rsid w:val="7544268D"/>
    <w:rsid w:val="75882579"/>
    <w:rsid w:val="75C335B1"/>
    <w:rsid w:val="7601057E"/>
    <w:rsid w:val="76404C02"/>
    <w:rsid w:val="764C17F9"/>
    <w:rsid w:val="76AF3B36"/>
    <w:rsid w:val="76CB4CC0"/>
    <w:rsid w:val="76E0760D"/>
    <w:rsid w:val="76F37EC6"/>
    <w:rsid w:val="77100A78"/>
    <w:rsid w:val="77B37656"/>
    <w:rsid w:val="77C655DB"/>
    <w:rsid w:val="77D31AA6"/>
    <w:rsid w:val="77D54725"/>
    <w:rsid w:val="77DC4DFE"/>
    <w:rsid w:val="78034139"/>
    <w:rsid w:val="78195653"/>
    <w:rsid w:val="782D10B8"/>
    <w:rsid w:val="78320EC2"/>
    <w:rsid w:val="783C3AEF"/>
    <w:rsid w:val="7844545D"/>
    <w:rsid w:val="78482494"/>
    <w:rsid w:val="78672956"/>
    <w:rsid w:val="78815467"/>
    <w:rsid w:val="78E201F2"/>
    <w:rsid w:val="78E35D19"/>
    <w:rsid w:val="791D747D"/>
    <w:rsid w:val="792417A2"/>
    <w:rsid w:val="795C61F7"/>
    <w:rsid w:val="79870D9A"/>
    <w:rsid w:val="799139C7"/>
    <w:rsid w:val="79951709"/>
    <w:rsid w:val="79AA1F97"/>
    <w:rsid w:val="79CF2884"/>
    <w:rsid w:val="79E93803"/>
    <w:rsid w:val="7A097A01"/>
    <w:rsid w:val="7A440A39"/>
    <w:rsid w:val="7A574C10"/>
    <w:rsid w:val="7A7B5376"/>
    <w:rsid w:val="7A8552D9"/>
    <w:rsid w:val="7AEE7323"/>
    <w:rsid w:val="7AF67F85"/>
    <w:rsid w:val="7B6A770C"/>
    <w:rsid w:val="7BA63759"/>
    <w:rsid w:val="7BB75B3E"/>
    <w:rsid w:val="7BD03800"/>
    <w:rsid w:val="7C2154D6"/>
    <w:rsid w:val="7C234EBD"/>
    <w:rsid w:val="7C286EE2"/>
    <w:rsid w:val="7C3A6597"/>
    <w:rsid w:val="7C3B752A"/>
    <w:rsid w:val="7C3F3BAE"/>
    <w:rsid w:val="7D8775BA"/>
    <w:rsid w:val="7D910439"/>
    <w:rsid w:val="7DE44A0D"/>
    <w:rsid w:val="7DEC566F"/>
    <w:rsid w:val="7E1211B2"/>
    <w:rsid w:val="7E4436FD"/>
    <w:rsid w:val="7E4F632A"/>
    <w:rsid w:val="7E9A331D"/>
    <w:rsid w:val="7E9E4BBC"/>
    <w:rsid w:val="7EC108AA"/>
    <w:rsid w:val="7ED405DD"/>
    <w:rsid w:val="7EE74A99"/>
    <w:rsid w:val="7EF46ED2"/>
    <w:rsid w:val="7F2D0F36"/>
    <w:rsid w:val="7F7678E7"/>
    <w:rsid w:val="7FD66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8">
    <w:name w:val="heading 1"/>
    <w:basedOn w:val="1"/>
    <w:next w:val="1"/>
    <w:link w:val="35"/>
    <w:autoRedefine/>
    <w:qFormat/>
    <w:uiPriority w:val="0"/>
    <w:pPr>
      <w:keepNext/>
      <w:keepLines/>
      <w:spacing w:before="340" w:after="330" w:line="576" w:lineRule="auto"/>
      <w:outlineLvl w:val="0"/>
    </w:pPr>
    <w:rPr>
      <w:b/>
      <w:bCs/>
      <w:kern w:val="44"/>
      <w:sz w:val="44"/>
      <w:szCs w:val="44"/>
    </w:rPr>
  </w:style>
  <w:style w:type="paragraph" w:styleId="9">
    <w:name w:val="heading 2"/>
    <w:basedOn w:val="1"/>
    <w:next w:val="1"/>
    <w:link w:val="36"/>
    <w:autoRedefine/>
    <w:qFormat/>
    <w:uiPriority w:val="0"/>
    <w:pPr>
      <w:keepNext/>
      <w:keepLines/>
      <w:spacing w:before="260" w:after="260" w:line="415" w:lineRule="auto"/>
      <w:outlineLvl w:val="1"/>
    </w:pPr>
    <w:rPr>
      <w:rFonts w:ascii="Arial" w:hAnsi="Arial" w:eastAsia="黑体"/>
      <w:b/>
      <w:bCs/>
      <w:sz w:val="32"/>
      <w:szCs w:val="32"/>
    </w:rPr>
  </w:style>
  <w:style w:type="paragraph" w:styleId="10">
    <w:name w:val="heading 3"/>
    <w:basedOn w:val="1"/>
    <w:next w:val="1"/>
    <w:link w:val="37"/>
    <w:autoRedefine/>
    <w:qFormat/>
    <w:uiPriority w:val="0"/>
    <w:pPr>
      <w:keepNext/>
      <w:keepLines/>
      <w:spacing w:before="260" w:after="260" w:line="415" w:lineRule="auto"/>
      <w:outlineLvl w:val="2"/>
    </w:pPr>
    <w:rPr>
      <w:b/>
      <w:bCs/>
      <w:sz w:val="32"/>
      <w:szCs w:val="32"/>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53"/>
    <w:autoRedefine/>
    <w:semiHidden/>
    <w:unhideWhenUsed/>
    <w:qFormat/>
    <w:uiPriority w:val="99"/>
    <w:pPr>
      <w:spacing w:after="120"/>
    </w:pPr>
  </w:style>
  <w:style w:type="paragraph" w:customStyle="1" w:styleId="3">
    <w:name w:val="Default"/>
    <w:next w:val="4"/>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
    <w:name w:val="大标题"/>
    <w:basedOn w:val="1"/>
    <w:next w:val="5"/>
    <w:autoRedefine/>
    <w:qFormat/>
    <w:uiPriority w:val="0"/>
    <w:pPr>
      <w:jc w:val="center"/>
    </w:pPr>
    <w:rPr>
      <w:rFonts w:ascii="Arial" w:hAnsi="Arial"/>
      <w:b/>
      <w:sz w:val="28"/>
      <w:szCs w:val="24"/>
    </w:rPr>
  </w:style>
  <w:style w:type="paragraph" w:styleId="5">
    <w:name w:val="Body Text First Indent 2"/>
    <w:basedOn w:val="6"/>
    <w:next w:val="1"/>
    <w:link w:val="56"/>
    <w:autoRedefine/>
    <w:unhideWhenUsed/>
    <w:qFormat/>
    <w:uiPriority w:val="99"/>
    <w:pPr>
      <w:ind w:firstLine="420" w:firstLineChars="200"/>
    </w:pPr>
  </w:style>
  <w:style w:type="paragraph" w:styleId="6">
    <w:name w:val="Body Text Indent"/>
    <w:basedOn w:val="1"/>
    <w:next w:val="7"/>
    <w:link w:val="55"/>
    <w:autoRedefine/>
    <w:semiHidden/>
    <w:unhideWhenUsed/>
    <w:qFormat/>
    <w:uiPriority w:val="99"/>
    <w:pPr>
      <w:spacing w:after="120"/>
      <w:ind w:left="420" w:leftChars="200"/>
    </w:pPr>
  </w:style>
  <w:style w:type="paragraph" w:styleId="7">
    <w:name w:val="envelope return"/>
    <w:basedOn w:val="1"/>
    <w:autoRedefine/>
    <w:qFormat/>
    <w:uiPriority w:val="0"/>
    <w:pPr>
      <w:snapToGrid w:val="0"/>
    </w:pPr>
    <w:rPr>
      <w:rFonts w:ascii="Arial" w:hAnsi="Arial"/>
    </w:rPr>
  </w:style>
  <w:style w:type="paragraph" w:styleId="11">
    <w:name w:val="Normal Indent"/>
    <w:basedOn w:val="1"/>
    <w:autoRedefine/>
    <w:qFormat/>
    <w:uiPriority w:val="0"/>
    <w:pPr>
      <w:ind w:firstLine="420"/>
    </w:pPr>
    <w:rPr>
      <w:szCs w:val="20"/>
    </w:rPr>
  </w:style>
  <w:style w:type="paragraph" w:styleId="12">
    <w:name w:val="Document Map"/>
    <w:basedOn w:val="1"/>
    <w:link w:val="48"/>
    <w:autoRedefine/>
    <w:qFormat/>
    <w:uiPriority w:val="0"/>
    <w:rPr>
      <w:rFonts w:ascii="宋体"/>
      <w:sz w:val="18"/>
      <w:szCs w:val="18"/>
    </w:rPr>
  </w:style>
  <w:style w:type="paragraph" w:styleId="13">
    <w:name w:val="annotation text"/>
    <w:basedOn w:val="1"/>
    <w:link w:val="40"/>
    <w:autoRedefine/>
    <w:qFormat/>
    <w:uiPriority w:val="0"/>
    <w:pPr>
      <w:jc w:val="left"/>
    </w:pPr>
    <w:rPr>
      <w:rFonts w:asciiTheme="minorHAnsi" w:hAnsiTheme="minorHAnsi" w:cstheme="minorBidi"/>
    </w:rPr>
  </w:style>
  <w:style w:type="paragraph" w:styleId="14">
    <w:name w:val="Body Text 3"/>
    <w:basedOn w:val="1"/>
    <w:link w:val="43"/>
    <w:autoRedefine/>
    <w:qFormat/>
    <w:uiPriority w:val="0"/>
    <w:rPr>
      <w:rFonts w:ascii="宋体"/>
      <w:sz w:val="24"/>
      <w:szCs w:val="20"/>
    </w:rPr>
  </w:style>
  <w:style w:type="paragraph" w:styleId="15">
    <w:name w:val="toc 3"/>
    <w:basedOn w:val="1"/>
    <w:next w:val="1"/>
    <w:autoRedefine/>
    <w:qFormat/>
    <w:uiPriority w:val="0"/>
    <w:pPr>
      <w:ind w:left="420"/>
      <w:jc w:val="left"/>
    </w:pPr>
    <w:rPr>
      <w:i/>
      <w:iCs/>
      <w:sz w:val="20"/>
      <w:szCs w:val="20"/>
    </w:rPr>
  </w:style>
  <w:style w:type="paragraph" w:styleId="16">
    <w:name w:val="Plain Text"/>
    <w:basedOn w:val="1"/>
    <w:link w:val="38"/>
    <w:autoRedefine/>
    <w:qFormat/>
    <w:uiPriority w:val="0"/>
    <w:rPr>
      <w:rFonts w:ascii="Courier New" w:hAnsi="Courier New" w:cstheme="minorBidi"/>
      <w:szCs w:val="22"/>
    </w:rPr>
  </w:style>
  <w:style w:type="paragraph" w:styleId="17">
    <w:name w:val="Balloon Text"/>
    <w:basedOn w:val="1"/>
    <w:link w:val="49"/>
    <w:autoRedefine/>
    <w:semiHidden/>
    <w:unhideWhenUsed/>
    <w:qFormat/>
    <w:uiPriority w:val="99"/>
    <w:rPr>
      <w:sz w:val="18"/>
      <w:szCs w:val="18"/>
    </w:rPr>
  </w:style>
  <w:style w:type="paragraph" w:styleId="18">
    <w:name w:val="footer"/>
    <w:basedOn w:val="1"/>
    <w:link w:val="34"/>
    <w:autoRedefine/>
    <w:unhideWhenUsed/>
    <w:qFormat/>
    <w:uiPriority w:val="0"/>
    <w:pPr>
      <w:tabs>
        <w:tab w:val="center" w:pos="4153"/>
        <w:tab w:val="right" w:pos="8306"/>
      </w:tabs>
      <w:snapToGrid w:val="0"/>
      <w:jc w:val="left"/>
    </w:pPr>
    <w:rPr>
      <w:sz w:val="18"/>
      <w:szCs w:val="18"/>
    </w:rPr>
  </w:style>
  <w:style w:type="paragraph" w:styleId="19">
    <w:name w:val="header"/>
    <w:basedOn w:val="1"/>
    <w:link w:val="3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0"/>
    <w:pPr>
      <w:spacing w:before="120" w:after="120"/>
      <w:jc w:val="left"/>
    </w:pPr>
    <w:rPr>
      <w:b/>
      <w:bCs/>
      <w:caps/>
      <w:sz w:val="20"/>
      <w:szCs w:val="20"/>
    </w:rPr>
  </w:style>
  <w:style w:type="paragraph" w:styleId="21">
    <w:name w:val="toc 2"/>
    <w:basedOn w:val="1"/>
    <w:next w:val="1"/>
    <w:autoRedefine/>
    <w:qFormat/>
    <w:uiPriority w:val="0"/>
    <w:pPr>
      <w:ind w:left="210"/>
      <w:jc w:val="left"/>
    </w:pPr>
    <w:rPr>
      <w:smallCaps/>
      <w:sz w:val="20"/>
      <w:szCs w:val="20"/>
    </w:rPr>
  </w:style>
  <w:style w:type="paragraph" w:styleId="22">
    <w:name w:val="Body Text 2"/>
    <w:basedOn w:val="1"/>
    <w:autoRedefine/>
    <w:qFormat/>
    <w:uiPriority w:val="0"/>
    <w:pPr>
      <w:spacing w:after="120" w:afterLines="0" w:line="480" w:lineRule="auto"/>
    </w:pPr>
    <w:rPr>
      <w:rFonts w:ascii="Times New Roman" w:hAnsi="Times New Roman" w:eastAsia="宋体" w:cs="Times New Roman"/>
      <w:color w:val="000000"/>
      <w:spacing w:val="-20"/>
      <w:w w:val="90"/>
    </w:rPr>
  </w:style>
  <w:style w:type="paragraph" w:styleId="23">
    <w:name w:val="Normal (Web)"/>
    <w:basedOn w:val="1"/>
    <w:autoRedefine/>
    <w:qFormat/>
    <w:uiPriority w:val="99"/>
    <w:pPr>
      <w:widowControl/>
      <w:spacing w:before="100" w:beforeAutospacing="1" w:after="100" w:afterAutospacing="1"/>
      <w:jc w:val="left"/>
    </w:pPr>
    <w:rPr>
      <w:rFonts w:ascii="宋体" w:hAnsi="宋体"/>
      <w:kern w:val="0"/>
      <w:sz w:val="24"/>
      <w:szCs w:val="20"/>
    </w:rPr>
  </w:style>
  <w:style w:type="paragraph" w:styleId="24">
    <w:name w:val="Title"/>
    <w:basedOn w:val="1"/>
    <w:next w:val="1"/>
    <w:link w:val="58"/>
    <w:autoRedefine/>
    <w:qFormat/>
    <w:uiPriority w:val="0"/>
    <w:pPr>
      <w:spacing w:before="240" w:after="60"/>
      <w:jc w:val="center"/>
      <w:outlineLvl w:val="0"/>
    </w:pPr>
    <w:rPr>
      <w:rFonts w:ascii="Cambria" w:hAnsi="Cambria" w:eastAsiaTheme="minorEastAsia"/>
      <w:b/>
      <w:bCs/>
      <w:sz w:val="32"/>
      <w:szCs w:val="32"/>
    </w:rPr>
  </w:style>
  <w:style w:type="paragraph" w:styleId="25">
    <w:name w:val="Body Text First Indent"/>
    <w:basedOn w:val="2"/>
    <w:link w:val="54"/>
    <w:autoRedefine/>
    <w:semiHidden/>
    <w:unhideWhenUsed/>
    <w:qFormat/>
    <w:uiPriority w:val="99"/>
    <w:pPr>
      <w:ind w:firstLine="420" w:firstLineChars="100"/>
    </w:pPr>
  </w:style>
  <w:style w:type="table" w:styleId="27">
    <w:name w:val="Table Grid"/>
    <w:basedOn w:val="2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autoRedefine/>
    <w:qFormat/>
    <w:uiPriority w:val="0"/>
  </w:style>
  <w:style w:type="character" w:styleId="30">
    <w:name w:val="FollowedHyperlink"/>
    <w:basedOn w:val="28"/>
    <w:autoRedefine/>
    <w:semiHidden/>
    <w:unhideWhenUsed/>
    <w:qFormat/>
    <w:uiPriority w:val="99"/>
    <w:rPr>
      <w:color w:val="333333"/>
      <w:u w:val="none"/>
    </w:rPr>
  </w:style>
  <w:style w:type="character" w:styleId="31">
    <w:name w:val="Emphasis"/>
    <w:basedOn w:val="28"/>
    <w:autoRedefine/>
    <w:qFormat/>
    <w:uiPriority w:val="20"/>
  </w:style>
  <w:style w:type="character" w:styleId="32">
    <w:name w:val="Hyperlink"/>
    <w:basedOn w:val="28"/>
    <w:autoRedefine/>
    <w:qFormat/>
    <w:uiPriority w:val="0"/>
    <w:rPr>
      <w:color w:val="333333"/>
      <w:u w:val="none"/>
    </w:rPr>
  </w:style>
  <w:style w:type="character" w:customStyle="1" w:styleId="33">
    <w:name w:val="页眉 字符"/>
    <w:basedOn w:val="28"/>
    <w:link w:val="19"/>
    <w:autoRedefine/>
    <w:qFormat/>
    <w:uiPriority w:val="0"/>
    <w:rPr>
      <w:sz w:val="18"/>
      <w:szCs w:val="18"/>
    </w:rPr>
  </w:style>
  <w:style w:type="character" w:customStyle="1" w:styleId="34">
    <w:name w:val="页脚 字符"/>
    <w:basedOn w:val="28"/>
    <w:link w:val="18"/>
    <w:autoRedefine/>
    <w:qFormat/>
    <w:uiPriority w:val="0"/>
    <w:rPr>
      <w:sz w:val="18"/>
      <w:szCs w:val="18"/>
    </w:rPr>
  </w:style>
  <w:style w:type="character" w:customStyle="1" w:styleId="35">
    <w:name w:val="标题 1 字符"/>
    <w:basedOn w:val="28"/>
    <w:link w:val="8"/>
    <w:autoRedefine/>
    <w:qFormat/>
    <w:uiPriority w:val="0"/>
    <w:rPr>
      <w:rFonts w:ascii="Calibri" w:hAnsi="Calibri" w:eastAsia="宋体" w:cs="Times New Roman"/>
      <w:b/>
      <w:bCs/>
      <w:kern w:val="44"/>
      <w:sz w:val="44"/>
      <w:szCs w:val="44"/>
    </w:rPr>
  </w:style>
  <w:style w:type="character" w:customStyle="1" w:styleId="36">
    <w:name w:val="标题 2 字符"/>
    <w:basedOn w:val="28"/>
    <w:link w:val="9"/>
    <w:autoRedefine/>
    <w:qFormat/>
    <w:uiPriority w:val="0"/>
    <w:rPr>
      <w:rFonts w:ascii="Arial" w:hAnsi="Arial" w:eastAsia="黑体" w:cs="Times New Roman"/>
      <w:b/>
      <w:bCs/>
      <w:sz w:val="32"/>
      <w:szCs w:val="32"/>
    </w:rPr>
  </w:style>
  <w:style w:type="character" w:customStyle="1" w:styleId="37">
    <w:name w:val="标题 3 字符"/>
    <w:basedOn w:val="28"/>
    <w:link w:val="10"/>
    <w:autoRedefine/>
    <w:qFormat/>
    <w:uiPriority w:val="0"/>
    <w:rPr>
      <w:rFonts w:ascii="Calibri" w:hAnsi="Calibri" w:eastAsia="宋体" w:cs="Times New Roman"/>
      <w:b/>
      <w:bCs/>
      <w:sz w:val="32"/>
      <w:szCs w:val="32"/>
    </w:rPr>
  </w:style>
  <w:style w:type="character" w:customStyle="1" w:styleId="38">
    <w:name w:val="纯文本 字符"/>
    <w:link w:val="16"/>
    <w:autoRedefine/>
    <w:qFormat/>
    <w:uiPriority w:val="0"/>
    <w:rPr>
      <w:rFonts w:ascii="Courier New" w:hAnsi="Courier New" w:eastAsia="宋体"/>
    </w:rPr>
  </w:style>
  <w:style w:type="character" w:customStyle="1" w:styleId="39">
    <w:name w:val="纯文本 Char1"/>
    <w:basedOn w:val="28"/>
    <w:autoRedefine/>
    <w:semiHidden/>
    <w:qFormat/>
    <w:uiPriority w:val="99"/>
    <w:rPr>
      <w:rFonts w:ascii="宋体" w:hAnsi="Courier New" w:eastAsia="宋体" w:cs="Courier New"/>
      <w:szCs w:val="21"/>
    </w:rPr>
  </w:style>
  <w:style w:type="character" w:customStyle="1" w:styleId="40">
    <w:name w:val="批注文字 字符"/>
    <w:basedOn w:val="28"/>
    <w:link w:val="13"/>
    <w:autoRedefine/>
    <w:qFormat/>
    <w:uiPriority w:val="0"/>
    <w:rPr>
      <w:rFonts w:eastAsia="宋体"/>
      <w:szCs w:val="24"/>
    </w:rPr>
  </w:style>
  <w:style w:type="character" w:customStyle="1" w:styleId="41">
    <w:name w:val="批注文字 Char1"/>
    <w:basedOn w:val="28"/>
    <w:autoRedefine/>
    <w:semiHidden/>
    <w:qFormat/>
    <w:uiPriority w:val="99"/>
    <w:rPr>
      <w:rFonts w:ascii="Calibri" w:hAnsi="Calibri" w:eastAsia="宋体" w:cs="Times New Roman"/>
      <w:szCs w:val="24"/>
    </w:rPr>
  </w:style>
  <w:style w:type="character" w:customStyle="1" w:styleId="42">
    <w:name w:val="Char Char Char"/>
    <w:basedOn w:val="28"/>
    <w:autoRedefine/>
    <w:qFormat/>
    <w:locked/>
    <w:uiPriority w:val="0"/>
    <w:rPr>
      <w:rFonts w:eastAsia="宋体"/>
      <w:b/>
      <w:bCs/>
      <w:kern w:val="44"/>
      <w:sz w:val="44"/>
      <w:szCs w:val="44"/>
      <w:lang w:val="en-US" w:eastAsia="zh-CN" w:bidi="ar-SA"/>
    </w:rPr>
  </w:style>
  <w:style w:type="character" w:customStyle="1" w:styleId="43">
    <w:name w:val="正文文本 3 字符"/>
    <w:basedOn w:val="28"/>
    <w:link w:val="14"/>
    <w:autoRedefine/>
    <w:qFormat/>
    <w:uiPriority w:val="0"/>
    <w:rPr>
      <w:rFonts w:ascii="宋体" w:hAnsi="Calibri" w:eastAsia="宋体" w:cs="Times New Roman"/>
      <w:sz w:val="24"/>
      <w:szCs w:val="20"/>
    </w:rPr>
  </w:style>
  <w:style w:type="paragraph" w:customStyle="1" w:styleId="44">
    <w:name w:val="文档正文"/>
    <w:basedOn w:val="1"/>
    <w:autoRedefine/>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45">
    <w:name w:val="列表接续1"/>
    <w:basedOn w:val="1"/>
    <w:autoRedefine/>
    <w:qFormat/>
    <w:uiPriority w:val="0"/>
    <w:pPr>
      <w:ind w:left="420"/>
    </w:pPr>
    <w:rPr>
      <w:rFonts w:eastAsia="楷体_GB2312"/>
      <w:sz w:val="32"/>
      <w:szCs w:val="20"/>
    </w:rPr>
  </w:style>
  <w:style w:type="paragraph" w:customStyle="1" w:styleId="46">
    <w:name w:val="样式 标题 2 + Times New Roman 四号 非加粗 段前: 5 磅 段后: 0 磅 行距: 固定值 20..."/>
    <w:basedOn w:val="9"/>
    <w:autoRedefine/>
    <w:qFormat/>
    <w:uiPriority w:val="0"/>
    <w:pPr>
      <w:spacing w:before="100" w:after="0" w:line="400" w:lineRule="exact"/>
    </w:pPr>
    <w:rPr>
      <w:rFonts w:ascii="Times New Roman" w:hAnsi="Times New Roman" w:cs="宋体"/>
      <w:b w:val="0"/>
      <w:bCs w:val="0"/>
      <w:sz w:val="28"/>
      <w:szCs w:val="20"/>
    </w:rPr>
  </w:style>
  <w:style w:type="paragraph" w:customStyle="1" w:styleId="47">
    <w:name w:val="2z"/>
    <w:basedOn w:val="1"/>
    <w:autoRedefine/>
    <w:qFormat/>
    <w:uiPriority w:val="0"/>
    <w:pPr>
      <w:topLinePunct/>
      <w:spacing w:line="480" w:lineRule="auto"/>
    </w:pPr>
    <w:rPr>
      <w:rFonts w:ascii="EU-F1" w:eastAsia="黑体"/>
      <w:kern w:val="21"/>
      <w:szCs w:val="20"/>
    </w:rPr>
  </w:style>
  <w:style w:type="character" w:customStyle="1" w:styleId="48">
    <w:name w:val="文档结构图 字符"/>
    <w:basedOn w:val="28"/>
    <w:link w:val="12"/>
    <w:autoRedefine/>
    <w:qFormat/>
    <w:uiPriority w:val="0"/>
    <w:rPr>
      <w:rFonts w:ascii="宋体" w:hAnsi="Calibri" w:eastAsia="宋体" w:cs="Times New Roman"/>
      <w:sz w:val="18"/>
      <w:szCs w:val="18"/>
    </w:rPr>
  </w:style>
  <w:style w:type="character" w:customStyle="1" w:styleId="49">
    <w:name w:val="批注框文本 字符"/>
    <w:basedOn w:val="28"/>
    <w:link w:val="17"/>
    <w:autoRedefine/>
    <w:semiHidden/>
    <w:qFormat/>
    <w:uiPriority w:val="99"/>
    <w:rPr>
      <w:rFonts w:ascii="Calibri" w:hAnsi="Calibri" w:eastAsia="宋体" w:cs="Times New Roman"/>
      <w:sz w:val="18"/>
      <w:szCs w:val="18"/>
    </w:rPr>
  </w:style>
  <w:style w:type="character" w:customStyle="1" w:styleId="50">
    <w:name w:val="font01"/>
    <w:basedOn w:val="28"/>
    <w:autoRedefine/>
    <w:qFormat/>
    <w:uiPriority w:val="0"/>
    <w:rPr>
      <w:rFonts w:hint="eastAsia" w:ascii="宋体" w:hAnsi="宋体" w:eastAsia="宋体" w:cs="宋体"/>
      <w:color w:val="000000"/>
      <w:sz w:val="20"/>
      <w:szCs w:val="20"/>
      <w:u w:val="none"/>
    </w:rPr>
  </w:style>
  <w:style w:type="character" w:customStyle="1" w:styleId="51">
    <w:name w:val="font21"/>
    <w:basedOn w:val="28"/>
    <w:autoRedefine/>
    <w:qFormat/>
    <w:uiPriority w:val="0"/>
    <w:rPr>
      <w:rFonts w:hint="default" w:ascii="Arial" w:hAnsi="Arial" w:cs="Arial"/>
      <w:color w:val="000000"/>
      <w:sz w:val="20"/>
      <w:szCs w:val="20"/>
      <w:u w:val="none"/>
    </w:rPr>
  </w:style>
  <w:style w:type="paragraph" w:styleId="52">
    <w:name w:val="List Paragraph"/>
    <w:basedOn w:val="1"/>
    <w:autoRedefine/>
    <w:qFormat/>
    <w:uiPriority w:val="34"/>
    <w:pPr>
      <w:ind w:firstLine="420" w:firstLineChars="200"/>
    </w:pPr>
    <w:rPr>
      <w:rFonts w:asciiTheme="minorHAnsi" w:hAnsiTheme="minorHAnsi" w:eastAsiaTheme="minorEastAsia" w:cstheme="minorBidi"/>
      <w:szCs w:val="22"/>
    </w:rPr>
  </w:style>
  <w:style w:type="character" w:customStyle="1" w:styleId="53">
    <w:name w:val="正文文本 字符"/>
    <w:basedOn w:val="28"/>
    <w:link w:val="2"/>
    <w:autoRedefine/>
    <w:semiHidden/>
    <w:qFormat/>
    <w:uiPriority w:val="99"/>
    <w:rPr>
      <w:rFonts w:ascii="Calibri" w:hAnsi="Calibri" w:eastAsia="宋体" w:cs="Times New Roman"/>
      <w:szCs w:val="24"/>
    </w:rPr>
  </w:style>
  <w:style w:type="character" w:customStyle="1" w:styleId="54">
    <w:name w:val="正文文本首行缩进 字符"/>
    <w:basedOn w:val="53"/>
    <w:link w:val="25"/>
    <w:autoRedefine/>
    <w:semiHidden/>
    <w:qFormat/>
    <w:uiPriority w:val="99"/>
    <w:rPr>
      <w:rFonts w:ascii="Calibri" w:hAnsi="Calibri" w:eastAsia="宋体" w:cs="Times New Roman"/>
      <w:szCs w:val="24"/>
    </w:rPr>
  </w:style>
  <w:style w:type="character" w:customStyle="1" w:styleId="55">
    <w:name w:val="正文文本缩进 字符"/>
    <w:basedOn w:val="28"/>
    <w:link w:val="6"/>
    <w:autoRedefine/>
    <w:semiHidden/>
    <w:qFormat/>
    <w:uiPriority w:val="99"/>
    <w:rPr>
      <w:rFonts w:ascii="Calibri" w:hAnsi="Calibri" w:eastAsia="宋体" w:cs="Times New Roman"/>
      <w:szCs w:val="24"/>
    </w:rPr>
  </w:style>
  <w:style w:type="character" w:customStyle="1" w:styleId="56">
    <w:name w:val="正文文本首行缩进 2 字符"/>
    <w:basedOn w:val="55"/>
    <w:link w:val="5"/>
    <w:autoRedefine/>
    <w:qFormat/>
    <w:uiPriority w:val="99"/>
    <w:rPr>
      <w:rFonts w:ascii="Calibri" w:hAnsi="Calibri" w:eastAsia="宋体" w:cs="Times New Roman"/>
      <w:szCs w:val="24"/>
    </w:rPr>
  </w:style>
  <w:style w:type="character" w:customStyle="1" w:styleId="57">
    <w:name w:val="标题 Char"/>
    <w:autoRedefine/>
    <w:qFormat/>
    <w:uiPriority w:val="0"/>
    <w:rPr>
      <w:rFonts w:ascii="Cambria" w:hAnsi="Cambria" w:cs="Times New Roman"/>
      <w:b/>
      <w:bCs/>
      <w:sz w:val="32"/>
      <w:szCs w:val="32"/>
    </w:rPr>
  </w:style>
  <w:style w:type="character" w:customStyle="1" w:styleId="58">
    <w:name w:val="标题 字符"/>
    <w:basedOn w:val="28"/>
    <w:link w:val="24"/>
    <w:autoRedefine/>
    <w:qFormat/>
    <w:uiPriority w:val="10"/>
    <w:rPr>
      <w:rFonts w:eastAsia="宋体" w:asciiTheme="majorHAnsi" w:hAnsiTheme="majorHAnsi" w:cstheme="majorBidi"/>
      <w:b/>
      <w:bCs/>
      <w:sz w:val="32"/>
      <w:szCs w:val="32"/>
    </w:rPr>
  </w:style>
  <w:style w:type="table" w:customStyle="1" w:styleId="59">
    <w:name w:val="网格型1"/>
    <w:basedOn w:val="26"/>
    <w:autoRedefine/>
    <w:qFormat/>
    <w:uiPriority w:val="0"/>
    <w:pPr>
      <w:widowControl w:val="0"/>
      <w:jc w:val="both"/>
    </w:pPr>
    <w:rPr>
      <w:rFonts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3"/>
    <w:basedOn w:val="26"/>
    <w:autoRedefine/>
    <w:qFormat/>
    <w:uiPriority w:val="0"/>
    <w:pPr>
      <w:widowControl w:val="0"/>
      <w:jc w:val="both"/>
    </w:pPr>
    <w:rPr>
      <w:rFonts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1">
    <w:name w:val="right"/>
    <w:basedOn w:val="28"/>
    <w:autoRedefine/>
    <w:qFormat/>
    <w:uiPriority w:val="0"/>
    <w:rPr>
      <w:color w:val="999999"/>
      <w:sz w:val="14"/>
      <w:szCs w:val="14"/>
    </w:rPr>
  </w:style>
  <w:style w:type="character" w:customStyle="1" w:styleId="62">
    <w:name w:val="right1"/>
    <w:basedOn w:val="28"/>
    <w:autoRedefine/>
    <w:qFormat/>
    <w:uiPriority w:val="0"/>
    <w:rPr>
      <w:color w:val="999999"/>
    </w:rPr>
  </w:style>
  <w:style w:type="character" w:customStyle="1" w:styleId="63">
    <w:name w:val="hover24"/>
    <w:basedOn w:val="28"/>
    <w:autoRedefine/>
    <w:qFormat/>
    <w:uiPriority w:val="0"/>
  </w:style>
  <w:style w:type="character" w:customStyle="1" w:styleId="64">
    <w:name w:val="fr4"/>
    <w:basedOn w:val="28"/>
    <w:autoRedefine/>
    <w:qFormat/>
    <w:uiPriority w:val="0"/>
  </w:style>
  <w:style w:type="character" w:customStyle="1" w:styleId="65">
    <w:name w:val="fl2"/>
    <w:basedOn w:val="28"/>
    <w:autoRedefine/>
    <w:qFormat/>
    <w:uiPriority w:val="0"/>
    <w:rPr>
      <w:color w:val="666666"/>
    </w:rPr>
  </w:style>
  <w:style w:type="character" w:customStyle="1" w:styleId="66">
    <w:name w:val="red"/>
    <w:basedOn w:val="28"/>
    <w:autoRedefine/>
    <w:qFormat/>
    <w:uiPriority w:val="0"/>
    <w:rPr>
      <w:color w:val="FF0000"/>
      <w:sz w:val="16"/>
      <w:szCs w:val="16"/>
    </w:rPr>
  </w:style>
  <w:style w:type="character" w:customStyle="1" w:styleId="67">
    <w:name w:val="red1"/>
    <w:basedOn w:val="28"/>
    <w:autoRedefine/>
    <w:qFormat/>
    <w:uiPriority w:val="0"/>
    <w:rPr>
      <w:color w:val="FF0000"/>
      <w:sz w:val="19"/>
      <w:szCs w:val="19"/>
    </w:rPr>
  </w:style>
  <w:style w:type="character" w:customStyle="1" w:styleId="68">
    <w:name w:val="green"/>
    <w:basedOn w:val="28"/>
    <w:autoRedefine/>
    <w:qFormat/>
    <w:uiPriority w:val="0"/>
    <w:rPr>
      <w:color w:val="58B200"/>
      <w:sz w:val="16"/>
      <w:szCs w:val="16"/>
    </w:rPr>
  </w:style>
  <w:style w:type="character" w:customStyle="1" w:styleId="69">
    <w:name w:val="blue"/>
    <w:basedOn w:val="28"/>
    <w:autoRedefine/>
    <w:qFormat/>
    <w:uiPriority w:val="0"/>
    <w:rPr>
      <w:color w:val="0371C6"/>
      <w:sz w:val="16"/>
      <w:szCs w:val="16"/>
    </w:rPr>
  </w:style>
  <w:style w:type="character" w:customStyle="1" w:styleId="70">
    <w:name w:val="gb-jt"/>
    <w:basedOn w:val="28"/>
    <w:autoRedefine/>
    <w:qFormat/>
    <w:uiPriority w:val="0"/>
  </w:style>
  <w:style w:type="character" w:customStyle="1" w:styleId="71">
    <w:name w:val="active3"/>
    <w:basedOn w:val="28"/>
    <w:autoRedefine/>
    <w:qFormat/>
    <w:uiPriority w:val="0"/>
    <w:rPr>
      <w:color w:val="FFFFFF"/>
      <w:shd w:val="clear" w:fill="2B7AFC"/>
    </w:rPr>
  </w:style>
  <w:style w:type="character" w:customStyle="1" w:styleId="72">
    <w:name w:val="fr"/>
    <w:basedOn w:val="28"/>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4E0D92-F280-45F7-917F-DA49216F7173}">
  <ds:schemaRefs/>
</ds:datastoreItem>
</file>

<file path=docProps/app.xml><?xml version="1.0" encoding="utf-8"?>
<Properties xmlns="http://schemas.openxmlformats.org/officeDocument/2006/extended-properties" xmlns:vt="http://schemas.openxmlformats.org/officeDocument/2006/docPropsVTypes">
  <Template>Normal</Template>
  <Pages>33</Pages>
  <Words>2516</Words>
  <Characters>14343</Characters>
  <Lines>119</Lines>
  <Paragraphs>33</Paragraphs>
  <TotalTime>49</TotalTime>
  <ScaleCrop>false</ScaleCrop>
  <LinksUpToDate>false</LinksUpToDate>
  <CharactersWithSpaces>16826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2022-03-03T01:43:00Z</dcterms:created>
  <dc:creator>河南恒华工程咨询有限公司:刘俊朝</dc:creator>
  <cp:lastModifiedBy>河南红胜火全过程项目管理有限公司:相潇楠</cp:lastModifiedBy>
  <cp:lastPrinted>2024-01-05T03:50:45Z</cp:lastPrinted>
  <dcterms:modified xsi:type="dcterms:W3CDTF">2024-01-05T04:46:38Z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D476D40C73604263AAF2BE036AB35445_13</vt:lpwstr>
  </property>
</Properties>
</file>