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单一来源采购原因及理由说明</w:t>
      </w:r>
    </w:p>
    <w:p>
      <w:pPr>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项目名称：洛阳市公共资源交易中心公共资源交易系统升级维护项目</w:t>
      </w:r>
    </w:p>
    <w:p>
      <w:pPr>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拟采购的货物或服务的说明</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主要为洛阳市公共资源交易中心公共资源交易系统升级维护项目采购。</w:t>
      </w:r>
    </w:p>
    <w:p>
      <w:pPr>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拟采购的货物或服务的预算金额：每年69万元，三年共207万元。</w:t>
      </w:r>
    </w:p>
    <w:p>
      <w:pPr>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采购模式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市级统一采购、市县（区）分别承担资金</w:t>
      </w:r>
      <w:r>
        <w:rPr>
          <w:rFonts w:hint="eastAsia" w:ascii="仿宋" w:hAnsi="仿宋" w:eastAsia="仿宋" w:cs="仿宋"/>
          <w:sz w:val="32"/>
          <w:szCs w:val="32"/>
          <w:lang w:val="en-US" w:eastAsia="zh-CN"/>
        </w:rPr>
        <w:t>（市本级、伊川县、嵩县、汝阳县、宜阳县、新安县、洛宁县、栾川县、偃师区、孟津区、涧西区），市级每年69万元，相关10个县区每年各13万元。</w:t>
      </w:r>
    </w:p>
    <w:p>
      <w:pPr>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服务周期：2024年-2026年。</w:t>
      </w:r>
    </w:p>
    <w:p>
      <w:pPr>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单一来源原因及相关说明</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系统重要性及复杂性</w:t>
      </w:r>
    </w:p>
    <w:p>
      <w:pPr>
        <w:pStyle w:val="9"/>
        <w:keepNext w:val="0"/>
        <w:keepLines w:val="0"/>
        <w:pageBreakBefore w:val="0"/>
        <w:widowControl w:val="0"/>
        <w:kinsoku/>
        <w:wordWrap/>
        <w:overflowPunct/>
        <w:topLinePunct w:val="0"/>
        <w:autoSpaceDE/>
        <w:autoSpaceDN/>
        <w:bidi w:val="0"/>
        <w:adjustRightInd/>
        <w:snapToGrid/>
        <w:spacing w:line="360" w:lineRule="auto"/>
        <w:ind w:lef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洛阳市公共资源交易中心现有信息化系统主要为洛阳市公共资源交易中心以及10个区县交易中心门户网站</w:t>
      </w:r>
      <w:r>
        <w:rPr>
          <w:rFonts w:hint="eastAsia" w:ascii="仿宋" w:hAnsi="仿宋" w:eastAsia="仿宋" w:cs="仿宋"/>
          <w:sz w:val="32"/>
          <w:szCs w:val="32"/>
          <w:lang w:eastAsia="zh-CN"/>
        </w:rPr>
        <w:t>、</w:t>
      </w:r>
      <w:r>
        <w:rPr>
          <w:rFonts w:hint="eastAsia" w:ascii="仿宋" w:hAnsi="仿宋" w:eastAsia="仿宋" w:cs="仿宋"/>
          <w:sz w:val="32"/>
          <w:szCs w:val="32"/>
        </w:rPr>
        <w:t>电子交易平台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电子竞价系统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电子开评标系统、不见面开标大厅系统、电子金融服务平台、对接行业跨区域协作平台（远程异地评标系统）。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洛阳市作为河南省副中心城市，交易</w:t>
      </w:r>
      <w:r>
        <w:rPr>
          <w:rFonts w:hint="eastAsia" w:ascii="仿宋" w:hAnsi="仿宋" w:eastAsia="仿宋" w:cs="仿宋"/>
          <w:sz w:val="32"/>
          <w:szCs w:val="32"/>
          <w:highlight w:val="none"/>
        </w:rPr>
        <w:t>系统</w:t>
      </w:r>
      <w:r>
        <w:rPr>
          <w:rFonts w:hint="eastAsia" w:ascii="仿宋" w:hAnsi="仿宋" w:eastAsia="仿宋" w:cs="仿宋"/>
          <w:sz w:val="32"/>
          <w:szCs w:val="32"/>
          <w:highlight w:val="none"/>
          <w:lang w:val="en-US" w:eastAsia="zh-CN"/>
        </w:rPr>
        <w:t>自2017年以来，</w:t>
      </w:r>
      <w:r>
        <w:rPr>
          <w:rFonts w:hint="eastAsia" w:ascii="仿宋" w:hAnsi="仿宋" w:eastAsia="仿宋" w:cs="仿宋"/>
          <w:sz w:val="32"/>
          <w:szCs w:val="32"/>
          <w:lang w:val="en-US" w:eastAsia="zh-CN"/>
        </w:rPr>
        <w:t>系统平均每日开评项目25个，其开标量在全省个交易平台仅次于省交易中心。</w:t>
      </w:r>
    </w:p>
    <w:p>
      <w:pPr>
        <w:pStyle w:val="9"/>
        <w:keepNext w:val="0"/>
        <w:keepLines w:val="0"/>
        <w:pageBreakBefore w:val="0"/>
        <w:widowControl w:val="0"/>
        <w:kinsoku/>
        <w:wordWrap/>
        <w:overflowPunct/>
        <w:topLinePunct w:val="0"/>
        <w:autoSpaceDE/>
        <w:autoSpaceDN/>
        <w:bidi w:val="0"/>
        <w:adjustRightInd/>
        <w:snapToGrid/>
        <w:spacing w:line="360" w:lineRule="auto"/>
        <w:ind w:righ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2月，洛阳市公共资源交易中心积极开展“不见面开标”工作，保障疫情防控期间公共资源交易活动的正常进行，切实解决了传统开标模式下投标人高度聚集的问题，在不见面开标系统的保障下，洛阳地区公共资源交易中心全面完成了100%项目不见面开标，大大降低了交易主体的交易成本。</w:t>
      </w:r>
    </w:p>
    <w:p>
      <w:pPr>
        <w:pageBreakBefore w:val="0"/>
        <w:widowControl w:val="0"/>
        <w:tabs>
          <w:tab w:val="left" w:pos="1860"/>
        </w:tabs>
        <w:kinsoku/>
        <w:wordWrap/>
        <w:overflowPunct/>
        <w:topLinePunct w:val="0"/>
        <w:autoSpaceDE/>
        <w:autoSpaceDN/>
        <w:bidi w:val="0"/>
        <w:adjustRightInd/>
        <w:snapToGrid/>
        <w:spacing w:line="360" w:lineRule="auto"/>
        <w:ind w:left="0" w:leftChars="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易系统的使用对象不仅有各方交易主体，还有行业监管部门以及交易中心工作人员，同时需要对接CA机构、金融保险机构、省公共服务平台、省在线监管平台、政府采购网、信用河南、省在线审批系统、洛阳市共享交换平台、电子营业执照系统等，系统极其庞大、复杂，业务依存度极高。为保证公共资源交易业务顺利开展，这就要求交易系统24小时不间断运行，严格保密交易数据，一旦服务瘫痪或信息泄露，公共资源交易业务将全面瘫痪，给各方交易主体造成难以弥补的损失，在交易</w:t>
      </w:r>
      <w:r>
        <w:rPr>
          <w:rFonts w:hint="default" w:ascii="仿宋" w:hAnsi="仿宋" w:eastAsia="仿宋" w:cs="仿宋"/>
          <w:sz w:val="32"/>
          <w:szCs w:val="32"/>
          <w:lang w:val="en-US" w:eastAsia="zh-CN"/>
        </w:rPr>
        <w:t>系统稳定运行的同时，</w:t>
      </w:r>
      <w:r>
        <w:rPr>
          <w:rFonts w:hint="eastAsia" w:ascii="仿宋" w:hAnsi="仿宋" w:eastAsia="仿宋" w:cs="仿宋"/>
          <w:sz w:val="32"/>
          <w:szCs w:val="32"/>
          <w:lang w:val="en-US" w:eastAsia="zh-CN"/>
        </w:rPr>
        <w:t>还需要</w:t>
      </w:r>
      <w:r>
        <w:rPr>
          <w:rFonts w:hint="default" w:ascii="仿宋" w:hAnsi="仿宋" w:eastAsia="仿宋" w:cs="仿宋"/>
          <w:sz w:val="32"/>
          <w:szCs w:val="32"/>
          <w:lang w:val="en-US" w:eastAsia="zh-CN"/>
        </w:rPr>
        <w:t>快速解决用户在系统使用过程中遇到的各种问题，满足</w:t>
      </w:r>
      <w:r>
        <w:rPr>
          <w:rFonts w:hint="eastAsia" w:ascii="仿宋" w:hAnsi="仿宋" w:eastAsia="仿宋" w:cs="仿宋"/>
          <w:sz w:val="32"/>
          <w:szCs w:val="32"/>
          <w:lang w:val="en-US" w:eastAsia="zh-CN"/>
        </w:rPr>
        <w:t>各交易主体能够按时参与交易活动的要求，故此需要保证交易系统持久、稳定、高效、安全地运行。</w:t>
      </w:r>
    </w:p>
    <w:p>
      <w:pPr>
        <w:pageBreakBefore w:val="0"/>
        <w:widowControl w:val="0"/>
        <w:tabs>
          <w:tab w:val="left" w:pos="1860"/>
        </w:tabs>
        <w:kinsoku/>
        <w:wordWrap/>
        <w:overflowPunct/>
        <w:topLinePunct w:val="0"/>
        <w:autoSpaceDE/>
        <w:autoSpaceDN/>
        <w:bidi w:val="0"/>
        <w:adjustRightInd/>
        <w:snapToGrid/>
        <w:spacing w:line="360" w:lineRule="auto"/>
        <w:ind w:left="0" w:leftChars="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国家发展改革委等部门关于严格执行招标投标法规制度进一步规范招标投标主体行为的若干意见》（发改法规规〔2022〕1117号）、《河南省公共资源交易平台运行服务规则》（豫发改公管〔2021〕783号）要求，系统缺失电子档案管理、数字见证、数据分析统计、智能辅助评标等功能模块，不能满足国家、省营商环境考核要求，所以需要对现有系统进行框架升级以及功能提升。</w:t>
      </w:r>
    </w:p>
    <w:p>
      <w:pPr>
        <w:pageBreakBefore w:val="0"/>
        <w:widowControl w:val="0"/>
        <w:tabs>
          <w:tab w:val="left" w:pos="1860"/>
        </w:tabs>
        <w:kinsoku/>
        <w:wordWrap/>
        <w:overflowPunct/>
        <w:topLinePunct w:val="0"/>
        <w:autoSpaceDE/>
        <w:autoSpaceDN/>
        <w:bidi w:val="0"/>
        <w:adjustRightInd/>
        <w:snapToGrid/>
        <w:spacing w:line="360" w:lineRule="auto"/>
        <w:ind w:left="0" w:leftChars="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国泰新点软件股份有限公司作为现有洛阳市公共资源交易系统的承建方，该公司是政企信息化整体解决方案提供商，为各级政府</w:t>
      </w:r>
      <w:bookmarkStart w:id="0" w:name="_GoBack"/>
      <w:bookmarkEnd w:id="0"/>
      <w:r>
        <w:rPr>
          <w:rFonts w:hint="eastAsia" w:ascii="仿宋" w:hAnsi="仿宋" w:eastAsia="仿宋" w:cs="仿宋"/>
          <w:sz w:val="32"/>
          <w:szCs w:val="32"/>
          <w:lang w:val="en-US" w:eastAsia="zh-CN"/>
        </w:rPr>
        <w:t>部门、大型集团企业及相关行业单位提供从规划咨询、软件开发与智能设备研发、实施交付到持续运营维护的全方位服务，掌握洛阳市公共资源交易系统各功能模块详细细节，能够保证洛阳市公共资源交易平台系统功能升级及运行维护的有序衔接。</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于上述系统重要性和复杂性，洛阳市公共资源交易中心公共资源交易系统升级维护项目符合《中华人民共和国政府采购法》规定的单一来源采购方式，且仅有国泰新点软件股份有限公司满足上述需求，拟对该项目采用单一来源采购方式进行。</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拟定供应商信息</w:t>
      </w:r>
    </w:p>
    <w:p>
      <w:pPr>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名称：国泰新点软件股份有限公司</w:t>
      </w:r>
    </w:p>
    <w:p>
      <w:pPr>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地址：江苏省张家港市沙洲湖科创园江帆路 8 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F89C6"/>
    <w:multiLevelType w:val="singleLevel"/>
    <w:tmpl w:val="BCDF89C6"/>
    <w:lvl w:ilvl="0" w:tentative="0">
      <w:start w:val="1"/>
      <w:numFmt w:val="decimal"/>
      <w:lvlText w:val="%1."/>
      <w:lvlJc w:val="left"/>
      <w:pPr>
        <w:tabs>
          <w:tab w:val="left" w:pos="312"/>
        </w:tabs>
      </w:pPr>
    </w:lvl>
  </w:abstractNum>
  <w:abstractNum w:abstractNumId="1">
    <w:nsid w:val="D1833BDA"/>
    <w:multiLevelType w:val="multilevel"/>
    <w:tmpl w:val="D1833BDA"/>
    <w:lvl w:ilvl="0" w:tentative="0">
      <w:start w:val="1"/>
      <w:numFmt w:val="chineseCountingThousand"/>
      <w:suff w:val="nothing"/>
      <w:lvlText w:val="%1、"/>
      <w:lvlJc w:val="left"/>
      <w:pPr>
        <w:ind w:left="425" w:hanging="425"/>
      </w:pPr>
      <w:rPr>
        <w:rFonts w:hint="eastAsia"/>
      </w:rPr>
    </w:lvl>
    <w:lvl w:ilvl="1" w:tentative="0">
      <w:start w:val="1"/>
      <w:numFmt w:val="decimal"/>
      <w:pStyle w:val="3"/>
      <w:isLgl/>
      <w:suff w:val="nothing"/>
      <w:lvlText w:val="%1.%2、"/>
      <w:lvlJc w:val="left"/>
      <w:pPr>
        <w:ind w:left="567" w:hanging="567"/>
      </w:pPr>
      <w:rPr>
        <w:rFonts w:hint="eastAsia" w:ascii="Arial" w:hAnsi="Arial" w:cs="Times New Roman"/>
      </w:rPr>
    </w:lvl>
    <w:lvl w:ilvl="2" w:tentative="0">
      <w:start w:val="1"/>
      <w:numFmt w:val="decimal"/>
      <w:isLgl/>
      <w:suff w:val="nothing"/>
      <w:lvlText w:val="%1.%2.%3、"/>
      <w:lvlJc w:val="left"/>
      <w:pPr>
        <w:ind w:left="1069" w:hanging="1069"/>
      </w:pPr>
      <w:rPr>
        <w:rFonts w:hint="eastAsia" w:ascii="Arial" w:hAnsi="Arial" w:cs="Times New Roman"/>
      </w:rPr>
    </w:lvl>
    <w:lvl w:ilvl="3" w:tentative="0">
      <w:start w:val="1"/>
      <w:numFmt w:val="decimal"/>
      <w:isLgl/>
      <w:suff w:val="nothing"/>
      <w:lvlText w:val="%1.%2.%3.%4、"/>
      <w:lvlJc w:val="left"/>
      <w:pPr>
        <w:ind w:left="851" w:hanging="851"/>
      </w:pPr>
      <w:rPr>
        <w:rFonts w:hint="eastAsia" w:ascii="Arial" w:hAnsi="Arial"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2">
    <w:nsid w:val="0E225C8E"/>
    <w:multiLevelType w:val="multilevel"/>
    <w:tmpl w:val="0E225C8E"/>
    <w:lvl w:ilvl="0" w:tentative="0">
      <w:start w:val="1"/>
      <w:numFmt w:val="chineseCountingThousand"/>
      <w:pStyle w:val="4"/>
      <w:lvlText w:val="第%1章"/>
      <w:lvlJc w:val="left"/>
      <w:pPr>
        <w:ind w:left="425" w:hanging="425"/>
      </w:pPr>
      <w:rPr>
        <w:rFonts w:hint="eastAsia"/>
      </w:rPr>
    </w:lvl>
    <w:lvl w:ilvl="1" w:tentative="0">
      <w:start w:val="1"/>
      <w:numFmt w:val="chineseCountingThousand"/>
      <w:isLgl/>
      <w:lvlText w:val="%2."/>
      <w:lvlJc w:val="left"/>
      <w:pPr>
        <w:ind w:left="992" w:hanging="567"/>
      </w:pPr>
      <w:rPr>
        <w:rFonts w:hint="default" w:ascii="黑体" w:hAnsi="黑体" w:eastAsia="黑体"/>
      </w:rPr>
    </w:lvl>
    <w:lvl w:ilvl="2" w:tentative="0">
      <w:start w:val="1"/>
      <w:numFmt w:val="decimal"/>
      <w:isLgl/>
      <w:lvlText w:val="%2.%3."/>
      <w:lvlJc w:val="left"/>
      <w:pPr>
        <w:ind w:left="1418" w:hanging="567"/>
      </w:pPr>
      <w:rPr>
        <w:rFonts w:hint="eastAsia" w:ascii="黑体" w:hAnsi="黑体" w:eastAsia="黑体"/>
        <w:sz w:val="32"/>
        <w:szCs w:val="32"/>
      </w:rPr>
    </w:lvl>
    <w:lvl w:ilvl="3" w:tentative="0">
      <w:start w:val="1"/>
      <w:numFmt w:val="decimal"/>
      <w:isLgl/>
      <w:lvlText w:val="%2.%3.%4."/>
      <w:lvlJc w:val="left"/>
      <w:pPr>
        <w:ind w:left="1984" w:hanging="708"/>
      </w:pPr>
      <w:rPr>
        <w:rFonts w:hint="default" w:ascii="黑体" w:hAnsi="黑体" w:eastAsia="黑体"/>
      </w:rPr>
    </w:lvl>
    <w:lvl w:ilvl="4" w:tentative="0">
      <w:start w:val="1"/>
      <w:numFmt w:val="decimal"/>
      <w:isLgl/>
      <w:lvlText w:val="%2.%3.%4.%5."/>
      <w:lvlJc w:val="left"/>
      <w:pPr>
        <w:ind w:left="2551" w:hanging="850"/>
      </w:pPr>
      <w:rPr>
        <w:rFonts w:hint="eastAsia" w:ascii="黑体" w:hAnsi="黑体" w:eastAsia="黑体"/>
      </w:rPr>
    </w:lvl>
    <w:lvl w:ilvl="5" w:tentative="0">
      <w:start w:val="1"/>
      <w:numFmt w:val="decimal"/>
      <w:isLgl/>
      <w:lvlText w:val="%2.%3.%4.%5.%6."/>
      <w:lvlJc w:val="left"/>
      <w:pPr>
        <w:ind w:left="3260" w:hanging="1134"/>
      </w:pPr>
      <w:rPr>
        <w:rFonts w:hint="eastAsia"/>
      </w:rPr>
    </w:lvl>
    <w:lvl w:ilvl="6" w:tentative="0">
      <w:start w:val="1"/>
      <w:numFmt w:val="decimal"/>
      <w:isLgl/>
      <w:lvlText w:val="%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06C88EB"/>
    <w:multiLevelType w:val="singleLevel"/>
    <w:tmpl w:val="706C88EB"/>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MwN2E2ZmQ0YWQ4OWUxMjczN2Y3YzFjOGU4ZDQifQ=="/>
  </w:docVars>
  <w:rsids>
    <w:rsidRoot w:val="173E0887"/>
    <w:rsid w:val="0AD0001E"/>
    <w:rsid w:val="11BC3451"/>
    <w:rsid w:val="173E0887"/>
    <w:rsid w:val="249E6E14"/>
    <w:rsid w:val="26560278"/>
    <w:rsid w:val="72756BA1"/>
    <w:rsid w:val="78AE5849"/>
    <w:rsid w:val="7A3C48C5"/>
    <w:rsid w:val="7D34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1"/>
    <w:unhideWhenUsed/>
    <w:qFormat/>
    <w:uiPriority w:val="9"/>
    <w:pPr>
      <w:keepNext/>
      <w:keepLines/>
      <w:numPr>
        <w:ilvl w:val="1"/>
        <w:numId w:val="1"/>
      </w:numPr>
      <w:spacing w:beforeLines="0" w:beforeAutospacing="0" w:afterLines="0" w:afterAutospacing="0" w:line="360" w:lineRule="auto"/>
      <w:ind w:left="0" w:firstLine="0" w:firstLineChars="0"/>
      <w:jc w:val="left"/>
      <w:outlineLvl w:val="1"/>
    </w:pPr>
    <w:rPr>
      <w:rFonts w:ascii="Arial" w:hAnsi="Arial"/>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10"/>
    <w:pPr>
      <w:numPr>
        <w:ilvl w:val="0"/>
        <w:numId w:val="2"/>
      </w:numPr>
      <w:spacing w:before="240" w:after="60"/>
      <w:jc w:val="center"/>
      <w:outlineLvl w:val="0"/>
    </w:pPr>
    <w:rPr>
      <w:rFonts w:ascii="Calibri Light" w:hAnsi="Calibri Light" w:cs="Times New Roman"/>
      <w:b/>
      <w:bCs/>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99"/>
    <w:pPr>
      <w:widowControl w:val="0"/>
      <w:ind w:firstLine="420" w:firstLineChars="200"/>
      <w:jc w:val="both"/>
    </w:pPr>
  </w:style>
  <w:style w:type="paragraph" w:customStyle="1" w:styleId="10">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2023-09-18T02:00:00Z</dcterms:created>
  <dc:creator>NTKO</dc:creator>
  <cp:lastModifiedBy>张昊</cp:lastModifiedBy>
  <dcterms:modified xsi:type="dcterms:W3CDTF">2023-12-29T01:39:20Z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0EE12136834349D894B7C2D1D0C3066D_11</vt:lpwstr>
  </property>
</Properties>
</file>