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240" w:lineRule="auto"/>
        <w:jc w:val="center"/>
        <w:rPr>
          <w:rFonts w:hint="eastAsia" w:ascii="宋体" w:hAnsi="宋体" w:eastAsia="宋体" w:cs="宋体"/>
          <w:b/>
          <w:bCs/>
          <w:color w:val="auto"/>
          <w:spacing w:val="36"/>
          <w:sz w:val="52"/>
          <w:szCs w:val="52"/>
          <w:lang w:eastAsia="zh-CN"/>
        </w:rPr>
      </w:pPr>
      <w:r>
        <w:rPr>
          <w:rFonts w:hint="eastAsia" w:ascii="宋体" w:hAnsi="宋体" w:eastAsia="宋体" w:cs="宋体"/>
          <w:b/>
          <w:bCs/>
          <w:color w:val="auto"/>
          <w:spacing w:val="36"/>
          <w:sz w:val="52"/>
          <w:szCs w:val="52"/>
          <w:lang w:eastAsia="zh-CN"/>
        </w:rPr>
        <w:drawing>
          <wp:inline distT="0" distB="0" distL="114300" distR="114300">
            <wp:extent cx="5684520" cy="8042910"/>
            <wp:effectExtent l="0" t="0" r="11430" b="15240"/>
            <wp:docPr id="1" name="图片 1" descr="文件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封面_00"/>
                    <pic:cNvPicPr>
                      <a:picLocks noChangeAspect="1"/>
                    </pic:cNvPicPr>
                  </pic:nvPicPr>
                  <pic:blipFill>
                    <a:blip r:embed="rId6"/>
                    <a:stretch>
                      <a:fillRect/>
                    </a:stretch>
                  </pic:blipFill>
                  <pic:spPr>
                    <a:xfrm>
                      <a:off x="0" y="0"/>
                      <a:ext cx="5684520" cy="8042910"/>
                    </a:xfrm>
                    <a:prstGeom prst="rect">
                      <a:avLst/>
                    </a:prstGeom>
                  </pic:spPr>
                </pic:pic>
              </a:graphicData>
            </a:graphic>
          </wp:inline>
        </w:drawing>
      </w:r>
    </w:p>
    <w:p>
      <w:pPr>
        <w:tabs>
          <w:tab w:val="left" w:pos="420"/>
        </w:tabs>
        <w:spacing w:line="240" w:lineRule="auto"/>
        <w:jc w:val="center"/>
        <w:rPr>
          <w:rFonts w:hint="eastAsia" w:ascii="宋体" w:hAnsi="宋体" w:cs="宋体"/>
          <w:b/>
          <w:bCs/>
          <w:color w:val="auto"/>
          <w:spacing w:val="36"/>
          <w:sz w:val="52"/>
          <w:szCs w:val="52"/>
        </w:rPr>
      </w:pPr>
    </w:p>
    <w:p>
      <w:pPr>
        <w:tabs>
          <w:tab w:val="left" w:pos="420"/>
        </w:tabs>
        <w:spacing w:line="240" w:lineRule="auto"/>
        <w:jc w:val="center"/>
        <w:rPr>
          <w:rFonts w:ascii="宋体" w:hAnsi="宋体" w:cs="宋体"/>
          <w:b/>
          <w:color w:val="auto"/>
          <w:spacing w:val="36"/>
          <w:sz w:val="52"/>
          <w:szCs w:val="52"/>
        </w:rPr>
      </w:pPr>
      <w:r>
        <w:rPr>
          <w:rFonts w:hint="eastAsia" w:ascii="宋体" w:hAnsi="宋体" w:cs="宋体"/>
          <w:b/>
          <w:bCs/>
          <w:color w:val="auto"/>
          <w:spacing w:val="36"/>
          <w:sz w:val="52"/>
          <w:szCs w:val="52"/>
        </w:rPr>
        <w:t>周口市公共资源交易中心</w:t>
      </w:r>
    </w:p>
    <w:p>
      <w:pPr>
        <w:tabs>
          <w:tab w:val="left" w:pos="315"/>
          <w:tab w:val="left" w:pos="8820"/>
        </w:tabs>
        <w:spacing w:line="500" w:lineRule="exact"/>
        <w:ind w:right="267" w:rightChars="127"/>
        <w:jc w:val="center"/>
        <w:rPr>
          <w:rFonts w:ascii="宋体" w:hAnsi="宋体" w:cs="宋体"/>
          <w:b/>
          <w:bCs/>
          <w:color w:val="auto"/>
          <w:sz w:val="48"/>
        </w:rPr>
      </w:pPr>
    </w:p>
    <w:p>
      <w:pPr>
        <w:tabs>
          <w:tab w:val="left" w:pos="315"/>
          <w:tab w:val="left" w:pos="8820"/>
        </w:tabs>
        <w:spacing w:line="240" w:lineRule="auto"/>
        <w:ind w:right="267" w:rightChars="127"/>
        <w:jc w:val="center"/>
        <w:rPr>
          <w:rFonts w:ascii="宋体" w:hAnsi="宋体" w:cs="宋体"/>
          <w:b/>
          <w:bCs/>
          <w:color w:val="auto"/>
          <w:sz w:val="52"/>
        </w:rPr>
      </w:pPr>
      <w:r>
        <w:rPr>
          <w:rFonts w:hint="eastAsia" w:ascii="宋体" w:hAnsi="宋体" w:cs="宋体"/>
          <w:b/>
          <w:bCs/>
          <w:color w:val="auto"/>
          <w:sz w:val="52"/>
        </w:rPr>
        <w:t>竞争性磋商文件</w:t>
      </w:r>
    </w:p>
    <w:p>
      <w:pPr>
        <w:tabs>
          <w:tab w:val="left" w:pos="315"/>
          <w:tab w:val="left" w:pos="8820"/>
        </w:tabs>
        <w:spacing w:line="500" w:lineRule="exact"/>
        <w:ind w:right="267" w:rightChars="127"/>
        <w:jc w:val="center"/>
        <w:rPr>
          <w:rFonts w:ascii="宋体" w:hAnsi="宋体" w:cs="宋体"/>
          <w:color w:val="auto"/>
          <w:sz w:val="44"/>
        </w:rPr>
      </w:pPr>
    </w:p>
    <w:p>
      <w:pPr>
        <w:tabs>
          <w:tab w:val="left" w:pos="315"/>
          <w:tab w:val="left" w:pos="8820"/>
        </w:tabs>
        <w:ind w:right="267" w:rightChars="127"/>
        <w:rPr>
          <w:rFonts w:ascii="宋体" w:hAnsi="宋体" w:cs="宋体"/>
          <w:color w:val="auto"/>
          <w:sz w:val="44"/>
        </w:rPr>
      </w:pPr>
    </w:p>
    <w:p>
      <w:pPr>
        <w:tabs>
          <w:tab w:val="left" w:pos="315"/>
          <w:tab w:val="left" w:pos="8820"/>
        </w:tabs>
        <w:spacing w:line="500" w:lineRule="exact"/>
        <w:ind w:right="267" w:rightChars="127"/>
        <w:rPr>
          <w:rFonts w:ascii="宋体" w:hAnsi="宋体" w:cs="宋体"/>
          <w:b/>
          <w:bCs/>
          <w:color w:val="auto"/>
          <w:sz w:val="28"/>
        </w:rPr>
      </w:pPr>
      <w:r>
        <w:rPr>
          <w:rFonts w:hint="eastAsia" w:ascii="宋体" w:hAnsi="宋体" w:cs="宋体"/>
          <w:color w:val="auto"/>
          <w:sz w:val="36"/>
        </w:rPr>
        <w:t xml:space="preserve">  </w:t>
      </w:r>
    </w:p>
    <w:p>
      <w:pPr>
        <w:tabs>
          <w:tab w:val="left" w:pos="315"/>
          <w:tab w:val="left" w:pos="8820"/>
        </w:tabs>
        <w:spacing w:line="500" w:lineRule="exact"/>
        <w:ind w:right="267" w:rightChars="127"/>
        <w:rPr>
          <w:rFonts w:ascii="宋体" w:hAnsi="宋体" w:cs="宋体"/>
          <w:b/>
          <w:bCs/>
          <w:color w:val="auto"/>
          <w:sz w:val="28"/>
        </w:rPr>
      </w:pPr>
    </w:p>
    <w:p>
      <w:pPr>
        <w:tabs>
          <w:tab w:val="left" w:pos="315"/>
          <w:tab w:val="left" w:pos="8820"/>
        </w:tabs>
        <w:spacing w:line="500" w:lineRule="exact"/>
        <w:ind w:right="267" w:rightChars="127"/>
        <w:jc w:val="center"/>
        <w:rPr>
          <w:rFonts w:ascii="宋体" w:hAnsi="宋体" w:cs="宋体"/>
          <w:color w:val="auto"/>
          <w:sz w:val="24"/>
        </w:rPr>
      </w:pPr>
    </w:p>
    <w:p>
      <w:pPr>
        <w:tabs>
          <w:tab w:val="left" w:pos="315"/>
          <w:tab w:val="left" w:pos="8820"/>
        </w:tabs>
        <w:spacing w:line="600" w:lineRule="exact"/>
        <w:ind w:right="267" w:rightChars="127"/>
        <w:jc w:val="left"/>
        <w:rPr>
          <w:rFonts w:hint="eastAsia" w:ascii="宋体" w:hAnsi="宋体" w:cs="宋体"/>
          <w:b/>
          <w:bCs/>
          <w:color w:val="auto"/>
          <w:sz w:val="36"/>
          <w:szCs w:val="44"/>
        </w:rPr>
      </w:pPr>
    </w:p>
    <w:p>
      <w:pPr>
        <w:tabs>
          <w:tab w:val="left" w:pos="315"/>
          <w:tab w:val="left" w:pos="8820"/>
        </w:tabs>
        <w:spacing w:line="600" w:lineRule="exact"/>
        <w:ind w:right="-57" w:rightChars="-27"/>
        <w:jc w:val="left"/>
        <w:rPr>
          <w:rFonts w:hint="eastAsia" w:ascii="宋体" w:hAnsi="宋体" w:eastAsia="宋体" w:cs="宋体"/>
          <w:b/>
          <w:bCs/>
          <w:color w:val="auto"/>
          <w:sz w:val="32"/>
          <w:szCs w:val="32"/>
          <w:lang w:eastAsia="zh-CN"/>
        </w:rPr>
      </w:pPr>
      <w:r>
        <w:rPr>
          <w:rFonts w:hint="eastAsia" w:ascii="宋体" w:hAnsi="宋体" w:cs="宋体"/>
          <w:b/>
          <w:bCs/>
          <w:color w:val="auto"/>
          <w:sz w:val="32"/>
          <w:szCs w:val="32"/>
        </w:rPr>
        <w:t xml:space="preserve">项目名称: </w:t>
      </w:r>
      <w:r>
        <w:rPr>
          <w:rFonts w:hint="eastAsia" w:ascii="宋体" w:hAnsi="宋体" w:cs="宋体"/>
          <w:b/>
          <w:bCs/>
          <w:color w:val="auto"/>
          <w:sz w:val="32"/>
          <w:szCs w:val="32"/>
          <w:lang w:eastAsia="zh-CN"/>
        </w:rPr>
        <w:t>鹿邑县林业局鹿邑县白沟河省级湿地公园保护与恢复项目</w:t>
      </w:r>
    </w:p>
    <w:p>
      <w:pPr>
        <w:tabs>
          <w:tab w:val="left" w:pos="315"/>
          <w:tab w:val="left" w:pos="8820"/>
        </w:tabs>
        <w:spacing w:line="600" w:lineRule="exact"/>
        <w:ind w:right="267" w:rightChars="127"/>
        <w:jc w:val="left"/>
        <w:rPr>
          <w:rFonts w:hint="eastAsia" w:ascii="宋体" w:hAnsi="宋体" w:eastAsia="宋体" w:cs="宋体"/>
          <w:b/>
          <w:bCs/>
          <w:color w:val="auto"/>
          <w:sz w:val="32"/>
          <w:szCs w:val="32"/>
          <w:lang w:val="en-US" w:eastAsia="zh-CN"/>
        </w:rPr>
      </w:pPr>
      <w:r>
        <w:rPr>
          <w:rFonts w:hint="eastAsia" w:ascii="宋体" w:hAnsi="宋体" w:cs="宋体"/>
          <w:b/>
          <w:bCs/>
          <w:color w:val="auto"/>
          <w:sz w:val="32"/>
          <w:szCs w:val="32"/>
        </w:rPr>
        <w:t xml:space="preserve">项目编号: </w:t>
      </w:r>
      <w:r>
        <w:rPr>
          <w:rFonts w:hint="eastAsia" w:ascii="宋体" w:hAnsi="宋体" w:cs="宋体"/>
          <w:b/>
          <w:bCs/>
          <w:color w:val="auto"/>
          <w:sz w:val="32"/>
          <w:szCs w:val="32"/>
          <w:lang w:eastAsia="zh-CN"/>
        </w:rPr>
        <w:t>鹿财竞磋</w:t>
      </w:r>
      <w:r>
        <w:rPr>
          <w:rFonts w:hint="eastAsia" w:ascii="宋体" w:hAnsi="宋体" w:cs="宋体"/>
          <w:b/>
          <w:bCs/>
          <w:color w:val="auto"/>
          <w:sz w:val="32"/>
          <w:szCs w:val="32"/>
          <w:lang w:val="en-US" w:eastAsia="zh-CN"/>
        </w:rPr>
        <w:t>-</w:t>
      </w:r>
      <w:r>
        <w:rPr>
          <w:rFonts w:hint="eastAsia" w:ascii="宋体" w:hAnsi="宋体" w:cs="宋体"/>
          <w:b/>
          <w:bCs/>
          <w:color w:val="auto"/>
          <w:sz w:val="32"/>
          <w:szCs w:val="32"/>
          <w:lang w:eastAsia="zh-CN"/>
        </w:rPr>
        <w:t>2024-7</w:t>
      </w:r>
    </w:p>
    <w:p>
      <w:pPr>
        <w:pStyle w:val="20"/>
        <w:rPr>
          <w:rFonts w:ascii="宋体" w:hAnsi="宋体" w:cs="宋体"/>
          <w:b/>
          <w:bCs/>
          <w:color w:val="auto"/>
          <w:sz w:val="52"/>
          <w:szCs w:val="24"/>
        </w:rPr>
      </w:pPr>
    </w:p>
    <w:p>
      <w:pPr>
        <w:pStyle w:val="20"/>
        <w:rPr>
          <w:rFonts w:ascii="宋体" w:hAnsi="宋体" w:cs="宋体"/>
          <w:b/>
          <w:color w:val="auto"/>
          <w:sz w:val="32"/>
        </w:rPr>
      </w:pPr>
    </w:p>
    <w:p>
      <w:pPr>
        <w:pStyle w:val="20"/>
        <w:rPr>
          <w:rFonts w:ascii="宋体" w:hAnsi="宋体" w:cs="宋体"/>
          <w:b/>
          <w:color w:val="auto"/>
          <w:sz w:val="32"/>
        </w:rPr>
      </w:pPr>
    </w:p>
    <w:p>
      <w:pPr>
        <w:pStyle w:val="20"/>
        <w:rPr>
          <w:rFonts w:ascii="宋体" w:hAnsi="宋体" w:cs="宋体"/>
          <w:b/>
          <w:color w:val="auto"/>
          <w:sz w:val="32"/>
        </w:rPr>
      </w:pPr>
    </w:p>
    <w:p>
      <w:pPr>
        <w:tabs>
          <w:tab w:val="left" w:pos="315"/>
          <w:tab w:val="left" w:pos="8820"/>
        </w:tabs>
        <w:spacing w:line="600" w:lineRule="exact"/>
        <w:ind w:right="267" w:rightChars="127"/>
        <w:jc w:val="center"/>
        <w:rPr>
          <w:rFonts w:hint="eastAsia" w:ascii="宋体" w:hAnsi="宋体" w:eastAsia="宋体" w:cs="宋体"/>
          <w:b/>
          <w:bCs/>
          <w:color w:val="auto"/>
          <w:sz w:val="36"/>
          <w:szCs w:val="44"/>
          <w:lang w:val="en-US" w:eastAsia="zh-CN"/>
        </w:rPr>
      </w:pPr>
      <w:r>
        <w:rPr>
          <w:rFonts w:hint="eastAsia" w:ascii="宋体" w:hAnsi="宋体" w:cs="宋体"/>
          <w:b/>
          <w:bCs/>
          <w:color w:val="auto"/>
          <w:sz w:val="36"/>
          <w:szCs w:val="44"/>
        </w:rPr>
        <w:t>202</w:t>
      </w:r>
      <w:r>
        <w:rPr>
          <w:rFonts w:hint="eastAsia" w:ascii="宋体" w:hAnsi="宋体" w:cs="宋体"/>
          <w:b/>
          <w:bCs/>
          <w:color w:val="auto"/>
          <w:sz w:val="36"/>
          <w:szCs w:val="44"/>
          <w:lang w:val="en-US" w:eastAsia="zh-CN"/>
        </w:rPr>
        <w:t>4</w:t>
      </w:r>
      <w:r>
        <w:rPr>
          <w:rFonts w:hint="eastAsia" w:ascii="宋体" w:hAnsi="宋体" w:cs="宋体"/>
          <w:b/>
          <w:bCs/>
          <w:color w:val="auto"/>
          <w:sz w:val="36"/>
          <w:szCs w:val="44"/>
        </w:rPr>
        <w:t>年</w:t>
      </w:r>
      <w:r>
        <w:rPr>
          <w:rFonts w:hint="eastAsia" w:ascii="宋体" w:hAnsi="宋体" w:cs="宋体"/>
          <w:b/>
          <w:bCs/>
          <w:color w:val="auto"/>
          <w:sz w:val="36"/>
          <w:szCs w:val="44"/>
          <w:lang w:val="en-US" w:eastAsia="zh-CN"/>
        </w:rPr>
        <w:t>6</w:t>
      </w:r>
      <w:r>
        <w:rPr>
          <w:rFonts w:hint="eastAsia" w:ascii="宋体" w:hAnsi="宋体" w:cs="宋体"/>
          <w:b/>
          <w:bCs/>
          <w:color w:val="auto"/>
          <w:sz w:val="36"/>
          <w:szCs w:val="44"/>
        </w:rPr>
        <w:t>月</w:t>
      </w:r>
    </w:p>
    <w:p>
      <w:pPr>
        <w:tabs>
          <w:tab w:val="left" w:pos="315"/>
          <w:tab w:val="left" w:pos="8820"/>
        </w:tabs>
        <w:spacing w:line="240" w:lineRule="auto"/>
        <w:ind w:right="267" w:rightChars="127"/>
        <w:jc w:val="center"/>
        <w:rPr>
          <w:rFonts w:hint="eastAsia" w:ascii="宋体" w:hAnsi="宋体" w:eastAsia="宋体" w:cs="宋体"/>
          <w:color w:val="auto"/>
          <w:sz w:val="44"/>
          <w:highlight w:val="none"/>
          <w:lang w:eastAsia="zh-CN"/>
        </w:rPr>
      </w:pPr>
    </w:p>
    <w:p>
      <w:pPr>
        <w:tabs>
          <w:tab w:val="left" w:pos="315"/>
          <w:tab w:val="left" w:pos="8820"/>
        </w:tabs>
        <w:ind w:right="267" w:rightChars="127"/>
        <w:rPr>
          <w:rFonts w:ascii="宋体" w:hAnsi="宋体" w:cs="宋体"/>
          <w:color w:val="auto"/>
          <w:sz w:val="44"/>
          <w:highlight w:val="none"/>
        </w:rPr>
      </w:pPr>
    </w:p>
    <w:p>
      <w:pPr>
        <w:pStyle w:val="54"/>
        <w:ind w:firstLine="210"/>
        <w:rPr>
          <w:rFonts w:hint="eastAsia" w:ascii="宋体" w:hAnsi="宋体" w:eastAsia="宋体" w:cs="宋体"/>
          <w:color w:val="auto"/>
          <w:highlight w:val="none"/>
        </w:rPr>
      </w:pPr>
      <w:r>
        <w:rPr>
          <w:rFonts w:hint="eastAsia" w:ascii="宋体" w:hAnsi="宋体" w:cs="宋体"/>
          <w:color w:val="auto"/>
          <w:sz w:val="36"/>
          <w:highlight w:val="none"/>
        </w:rPr>
        <w:t xml:space="preserve"> </w:t>
      </w:r>
    </w:p>
    <w:sdt>
      <w:sdtPr>
        <w:rPr>
          <w:rFonts w:hint="eastAsia" w:ascii="宋体" w:hAnsi="宋体" w:eastAsia="宋体" w:cs="宋体"/>
          <w:color w:val="auto"/>
          <w:kern w:val="2"/>
          <w:sz w:val="21"/>
          <w:szCs w:val="24"/>
          <w:highlight w:val="none"/>
          <w:lang w:val="zh-CN"/>
        </w:rPr>
        <w:id w:val="-975455869"/>
        <w:docPartObj>
          <w:docPartGallery w:val="Table of Contents"/>
          <w:docPartUnique/>
        </w:docPartObj>
      </w:sdtPr>
      <w:sdtEndPr>
        <w:rPr>
          <w:rFonts w:hint="eastAsia" w:ascii="宋体" w:hAnsi="宋体" w:eastAsia="宋体" w:cs="宋体"/>
          <w:b/>
          <w:bCs/>
          <w:color w:val="auto"/>
          <w:kern w:val="2"/>
          <w:sz w:val="21"/>
          <w:szCs w:val="24"/>
          <w:highlight w:val="none"/>
          <w:lang w:val="zh-CN"/>
        </w:rPr>
      </w:sdtEndPr>
      <w:sdtContent>
        <w:p>
          <w:pPr>
            <w:pStyle w:val="150"/>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目录</w:t>
          </w:r>
        </w:p>
        <w:p>
          <w:pPr>
            <w:pStyle w:val="33"/>
            <w:tabs>
              <w:tab w:val="right" w:leader="dot" w:pos="8290"/>
            </w:tabs>
            <w:rPr>
              <w:rFonts w:hint="eastAsia" w:ascii="宋体" w:hAnsi="宋体" w:eastAsia="宋体" w:cs="宋体"/>
              <w:caps w:val="0"/>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"_Toc98348544" </w:instrText>
          </w:r>
          <w:r>
            <w:rPr>
              <w:rFonts w:hint="eastAsia" w:ascii="宋体" w:hAnsi="宋体" w:eastAsia="宋体" w:cs="宋体"/>
              <w:color w:val="auto"/>
              <w:highlight w:val="none"/>
            </w:rPr>
            <w:fldChar w:fldCharType="separate"/>
          </w:r>
          <w:r>
            <w:rPr>
              <w:rStyle w:val="52"/>
              <w:rFonts w:hint="eastAsia" w:ascii="宋体" w:hAnsi="宋体" w:eastAsia="宋体" w:cs="宋体"/>
              <w:color w:val="auto"/>
              <w:highlight w:val="none"/>
            </w:rPr>
            <w:t>第一章    竞争性磋商邀请函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_Toc98348544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3"/>
            <w:tabs>
              <w:tab w:val="right" w:leader="dot" w:pos="8290"/>
            </w:tabs>
            <w:rPr>
              <w:rFonts w:hint="eastAsia" w:ascii="宋体" w:hAnsi="宋体" w:eastAsia="宋体" w:cs="宋体"/>
              <w:caps w:val="0"/>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"_Toc98348552" </w:instrText>
          </w:r>
          <w:r>
            <w:rPr>
              <w:rFonts w:hint="eastAsia" w:ascii="宋体" w:hAnsi="宋体" w:eastAsia="宋体" w:cs="宋体"/>
              <w:color w:val="auto"/>
              <w:highlight w:val="none"/>
            </w:rPr>
            <w:fldChar w:fldCharType="separate"/>
          </w:r>
          <w:r>
            <w:rPr>
              <w:rStyle w:val="52"/>
              <w:rFonts w:hint="eastAsia" w:ascii="宋体" w:hAnsi="宋体" w:eastAsia="宋体" w:cs="宋体"/>
              <w:color w:val="auto"/>
              <w:highlight w:val="none"/>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_Toc98348552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3"/>
            <w:tabs>
              <w:tab w:val="right" w:leader="dot" w:pos="8290"/>
            </w:tabs>
            <w:rPr>
              <w:rFonts w:hint="eastAsia" w:ascii="宋体" w:hAnsi="宋体" w:eastAsia="宋体" w:cs="宋体"/>
              <w:caps w:val="0"/>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"_Toc98348553" </w:instrText>
          </w:r>
          <w:r>
            <w:rPr>
              <w:rFonts w:hint="eastAsia" w:ascii="宋体" w:hAnsi="宋体" w:eastAsia="宋体" w:cs="宋体"/>
              <w:color w:val="auto"/>
              <w:highlight w:val="none"/>
            </w:rPr>
            <w:fldChar w:fldCharType="separate"/>
          </w:r>
          <w:r>
            <w:rPr>
              <w:rStyle w:val="52"/>
              <w:rFonts w:hint="eastAsia" w:ascii="宋体" w:hAnsi="宋体" w:eastAsia="宋体" w:cs="宋体"/>
              <w:color w:val="auto"/>
              <w:highlight w:val="none"/>
            </w:rPr>
            <w:t>第三章    采购项目内容及要求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_Toc98348553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3"/>
            <w:tabs>
              <w:tab w:val="right" w:leader="dot" w:pos="8290"/>
            </w:tabs>
            <w:rPr>
              <w:rFonts w:hint="eastAsia" w:ascii="宋体" w:hAnsi="宋体" w:eastAsia="宋体" w:cs="宋体"/>
              <w:caps w:val="0"/>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"_Toc98348554" </w:instrText>
          </w:r>
          <w:r>
            <w:rPr>
              <w:rFonts w:hint="eastAsia" w:ascii="宋体" w:hAnsi="宋体" w:eastAsia="宋体" w:cs="宋体"/>
              <w:color w:val="auto"/>
              <w:highlight w:val="none"/>
            </w:rPr>
            <w:fldChar w:fldCharType="separate"/>
          </w:r>
          <w:r>
            <w:rPr>
              <w:rStyle w:val="52"/>
              <w:rFonts w:hint="eastAsia" w:ascii="宋体" w:hAnsi="宋体" w:eastAsia="宋体" w:cs="宋体"/>
              <w:color w:val="auto"/>
              <w:highlight w:val="none"/>
            </w:rPr>
            <w:t>第四章    响应性文件内容及格式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_Toc98348554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3"/>
            <w:tabs>
              <w:tab w:val="right" w:leader="dot" w:pos="8290"/>
            </w:tabs>
            <w:rPr>
              <w:rFonts w:hint="eastAsia" w:ascii="宋体" w:hAnsi="宋体" w:eastAsia="宋体" w:cs="宋体"/>
              <w:caps w:val="0"/>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"_Toc98348555" </w:instrText>
          </w:r>
          <w:r>
            <w:rPr>
              <w:rFonts w:hint="eastAsia" w:ascii="宋体" w:hAnsi="宋体" w:eastAsia="宋体" w:cs="宋体"/>
              <w:color w:val="auto"/>
              <w:highlight w:val="none"/>
            </w:rPr>
            <w:fldChar w:fldCharType="separate"/>
          </w:r>
          <w:r>
            <w:rPr>
              <w:rStyle w:val="52"/>
              <w:rFonts w:hint="eastAsia" w:ascii="宋体" w:hAnsi="宋体" w:eastAsia="宋体" w:cs="宋体"/>
              <w:color w:val="auto"/>
              <w:highlight w:val="none"/>
            </w:rPr>
            <w:t>第五章    周口市政府采购合同（工程类）标准文本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_Toc98348555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rPr>
              <w:rFonts w:hint="eastAsia" w:ascii="宋体" w:hAnsi="宋体" w:eastAsia="宋体" w:cs="宋体"/>
              <w:color w:val="auto"/>
              <w:highlight w:val="none"/>
            </w:rPr>
          </w:pPr>
          <w:r>
            <w:rPr>
              <w:rFonts w:hint="eastAsia" w:ascii="宋体" w:hAnsi="宋体" w:eastAsia="宋体" w:cs="宋体"/>
              <w:b/>
              <w:bCs/>
              <w:color w:val="auto"/>
              <w:highlight w:val="none"/>
              <w:lang w:val="zh-CN"/>
            </w:rPr>
            <w:fldChar w:fldCharType="end"/>
          </w:r>
        </w:p>
      </w:sdtContent>
    </w:sdt>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6"/>
        <w:jc w:val="center"/>
        <w:rPr>
          <w:rFonts w:hint="eastAsia" w:ascii="宋体" w:hAnsi="宋体" w:eastAsia="宋体" w:cs="宋体"/>
          <w:b w:val="0"/>
          <w:color w:val="auto"/>
          <w:sz w:val="32"/>
          <w:szCs w:val="32"/>
          <w:highlight w:val="none"/>
        </w:rPr>
      </w:pPr>
      <w:bookmarkStart w:id="0" w:name="_Toc98348544"/>
      <w:r>
        <w:rPr>
          <w:rFonts w:hint="eastAsia" w:ascii="宋体" w:hAnsi="宋体" w:eastAsia="宋体" w:cs="宋体"/>
          <w:color w:val="auto"/>
          <w:sz w:val="32"/>
          <w:szCs w:val="32"/>
          <w:highlight w:val="none"/>
        </w:rPr>
        <w:t>第一章    竞争性磋商邀请函</w:t>
      </w:r>
      <w:bookmarkEnd w:id="0"/>
    </w:p>
    <w:p>
      <w:pPr>
        <w:spacing w:line="360" w:lineRule="auto"/>
        <w:ind w:firstLine="480" w:firstLineChars="200"/>
        <w:jc w:val="left"/>
        <w:rPr>
          <w:rFonts w:hint="eastAsia" w:ascii="宋体" w:hAnsi="宋体" w:eastAsia="宋体" w:cs="宋体"/>
          <w:color w:val="auto"/>
          <w:sz w:val="24"/>
          <w:highlight w:val="none"/>
        </w:rPr>
      </w:pPr>
      <w:bookmarkStart w:id="1" w:name="_Toc35393798"/>
      <w:bookmarkStart w:id="2" w:name="_Toc28359089"/>
      <w:bookmarkStart w:id="3" w:name="_Toc35393629"/>
      <w:bookmarkStart w:id="4" w:name="_Toc28359012"/>
      <w:bookmarkStart w:id="5" w:name="OLE_LINK3"/>
      <w:r>
        <w:rPr>
          <w:rFonts w:hint="eastAsia" w:ascii="宋体" w:hAnsi="宋体" w:eastAsia="宋体" w:cs="宋体"/>
          <w:color w:val="auto"/>
          <w:sz w:val="24"/>
          <w:highlight w:val="none"/>
        </w:rPr>
        <w:t>项目概况</w:t>
      </w:r>
    </w:p>
    <w:p>
      <w:pPr>
        <w:spacing w:line="360" w:lineRule="auto"/>
        <w:ind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eastAsia="zh-CN"/>
        </w:rPr>
        <w:t>鹿邑县林业局鹿邑县白沟河省级湿地公园保护与恢复项目</w:t>
      </w:r>
      <w:r>
        <w:rPr>
          <w:rFonts w:hint="eastAsia" w:ascii="宋体" w:hAnsi="宋体" w:eastAsia="宋体" w:cs="宋体"/>
          <w:color w:val="auto"/>
          <w:sz w:val="24"/>
          <w:highlight w:val="none"/>
        </w:rPr>
        <w:t>的潜在投标人应在周口市公共资源交易中心网（http://jyzx.zhoukou.gov.cn）获取招标文件，并于</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rPr>
        <w:t>分（北京时间）前递交投标文件。</w:t>
      </w:r>
    </w:p>
    <w:p>
      <w:pPr>
        <w:pStyle w:val="7"/>
        <w:autoSpaceDE w:val="0"/>
        <w:autoSpaceDN w:val="0"/>
        <w:spacing w:line="360" w:lineRule="auto"/>
        <w:jc w:val="left"/>
        <w:rPr>
          <w:rFonts w:hint="eastAsia" w:ascii="宋体" w:hAnsi="宋体" w:eastAsia="宋体" w:cs="宋体"/>
          <w:color w:val="auto"/>
          <w:sz w:val="24"/>
          <w:highlight w:val="none"/>
        </w:rPr>
      </w:pPr>
      <w:bookmarkStart w:id="6" w:name="_Toc98348545"/>
      <w:r>
        <w:rPr>
          <w:rFonts w:hint="eastAsia" w:ascii="宋体" w:hAnsi="宋体" w:eastAsia="宋体" w:cs="宋体"/>
          <w:color w:val="auto"/>
          <w:sz w:val="24"/>
          <w:highlight w:val="none"/>
        </w:rPr>
        <w:t>一、项目基本情况</w:t>
      </w:r>
      <w:bookmarkEnd w:id="1"/>
      <w:bookmarkEnd w:id="2"/>
      <w:bookmarkEnd w:id="3"/>
      <w:bookmarkEnd w:id="4"/>
      <w:bookmarkEnd w:id="6"/>
    </w:p>
    <w:p>
      <w:pPr>
        <w:autoSpaceDE w:val="0"/>
        <w:autoSpaceDN w:val="0"/>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鹿财竞磋-2024-7</w:t>
      </w:r>
    </w:p>
    <w:p>
      <w:pPr>
        <w:autoSpaceDE w:val="0"/>
        <w:autoSpaceDN w:val="0"/>
        <w:spacing w:line="360" w:lineRule="auto"/>
        <w:ind w:firstLine="240" w:firstLineChars="1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鹿邑县林业局鹿邑县白沟河省级湿地公园保护与恢复项目</w:t>
      </w:r>
    </w:p>
    <w:p>
      <w:pPr>
        <w:autoSpaceDE w:val="0"/>
        <w:autoSpaceDN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pPr>
        <w:autoSpaceDE w:val="0"/>
        <w:autoSpaceDN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预算金额：1116535.8元</w:t>
      </w:r>
    </w:p>
    <w:p>
      <w:pPr>
        <w:pStyle w:val="42"/>
        <w:snapToGrid w:val="0"/>
        <w:spacing w:before="0" w:beforeAutospacing="0" w:after="0" w:afterAutospacing="0" w:line="360" w:lineRule="auto"/>
        <w:ind w:firstLine="24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包划分：</w:t>
      </w:r>
      <w:r>
        <w:rPr>
          <w:rFonts w:hint="eastAsia" w:cs="宋体"/>
          <w:color w:val="auto"/>
          <w:highlight w:val="none"/>
          <w:lang w:val="en-US" w:eastAsia="zh-CN"/>
        </w:rPr>
        <w:t>1</w:t>
      </w:r>
      <w:r>
        <w:rPr>
          <w:rFonts w:hint="eastAsia" w:ascii="宋体" w:hAnsi="宋体" w:eastAsia="宋体" w:cs="宋体"/>
          <w:color w:val="auto"/>
          <w:highlight w:val="none"/>
        </w:rPr>
        <w:t>个包</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544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2"/>
              <w:shd w:val="clear" w:color="auto" w:fill="FFFFFF"/>
              <w:adjustRightInd w:val="0"/>
              <w:snapToGrid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kern w:val="2"/>
                <w:szCs w:val="24"/>
                <w:highlight w:val="none"/>
              </w:rPr>
              <w:t>包号</w:t>
            </w:r>
          </w:p>
        </w:tc>
        <w:tc>
          <w:tcPr>
            <w:tcW w:w="5445" w:type="dxa"/>
            <w:vAlign w:val="center"/>
          </w:tcPr>
          <w:p>
            <w:pPr>
              <w:pStyle w:val="42"/>
              <w:shd w:val="clear" w:color="auto" w:fill="FFFFFF"/>
              <w:adjustRightInd w:val="0"/>
              <w:snapToGrid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kern w:val="2"/>
                <w:szCs w:val="24"/>
                <w:highlight w:val="none"/>
              </w:rPr>
              <w:t>包名称</w:t>
            </w:r>
          </w:p>
        </w:tc>
        <w:tc>
          <w:tcPr>
            <w:tcW w:w="2205" w:type="dxa"/>
            <w:vAlign w:val="center"/>
          </w:tcPr>
          <w:p>
            <w:pPr>
              <w:pStyle w:val="42"/>
              <w:shd w:val="clear" w:color="auto" w:fill="FFFFFF"/>
              <w:adjustRightInd w:val="0"/>
              <w:snapToGrid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kern w:val="2"/>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50" w:type="dxa"/>
            <w:vAlign w:val="center"/>
          </w:tcPr>
          <w:p>
            <w:pPr>
              <w:pStyle w:val="42"/>
              <w:shd w:val="clear" w:color="auto" w:fill="FFFFFF"/>
              <w:adjustRightInd w:val="0"/>
              <w:snapToGrid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kern w:val="2"/>
                <w:szCs w:val="24"/>
                <w:highlight w:val="none"/>
              </w:rPr>
              <w:t>1</w:t>
            </w:r>
          </w:p>
        </w:tc>
        <w:tc>
          <w:tcPr>
            <w:tcW w:w="5445" w:type="dxa"/>
            <w:vAlign w:val="center"/>
          </w:tcPr>
          <w:p>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鹿邑县林业局鹿邑县白沟河省级湿地公园保护与恢复项目</w:t>
            </w:r>
          </w:p>
        </w:tc>
        <w:tc>
          <w:tcPr>
            <w:tcW w:w="2205" w:type="dxa"/>
            <w:vAlign w:val="center"/>
          </w:tcPr>
          <w:p>
            <w:pPr>
              <w:adjustRightInd w:val="0"/>
              <w:snapToGrid w:val="0"/>
              <w:spacing w:line="360" w:lineRule="auto"/>
              <w:rPr>
                <w:rFonts w:hint="default" w:ascii="宋体" w:hAnsi="宋体" w:cs="宋体"/>
                <w:color w:val="auto"/>
                <w:sz w:val="24"/>
                <w:highlight w:val="none"/>
                <w:lang w:val="en-US" w:eastAsia="zh-CN"/>
              </w:rPr>
            </w:pPr>
            <w:r>
              <w:rPr>
                <w:rFonts w:hint="eastAsia"/>
                <w:color w:val="auto"/>
              </w:rPr>
              <w:t>1116535.8</w:t>
            </w:r>
          </w:p>
        </w:tc>
      </w:tr>
    </w:tbl>
    <w:p>
      <w:pPr>
        <w:autoSpaceDE w:val="0"/>
        <w:autoSpaceDN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r>
        <w:rPr>
          <w:rFonts w:hint="eastAsia" w:ascii="宋体" w:hAnsi="宋体" w:cs="宋体"/>
          <w:color w:val="auto"/>
          <w:sz w:val="24"/>
          <w:highlight w:val="none"/>
          <w:lang w:eastAsia="zh-CN"/>
        </w:rPr>
        <w:t>鹿邑县林业局鹿邑县白沟河省级湿地公园保护与恢复项目项目</w:t>
      </w:r>
      <w:r>
        <w:rPr>
          <w:rFonts w:hint="eastAsia" w:ascii="宋体" w:hAnsi="宋体" w:eastAsia="宋体" w:cs="宋体"/>
          <w:color w:val="auto"/>
          <w:sz w:val="24"/>
          <w:highlight w:val="none"/>
        </w:rPr>
        <w:t>(数量及要求见竞争性磋商文件)</w:t>
      </w:r>
    </w:p>
    <w:p>
      <w:pPr>
        <w:pStyle w:val="54"/>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w:t>
      </w:r>
    </w:p>
    <w:p>
      <w:pPr>
        <w:autoSpaceDE w:val="0"/>
        <w:autoSpaceDN w:val="0"/>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w:t>
      </w:r>
    </w:p>
    <w:p>
      <w:pPr>
        <w:autoSpaceDE w:val="0"/>
        <w:autoSpaceDN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是否接受进口产品：否</w:t>
      </w:r>
    </w:p>
    <w:p>
      <w:pPr>
        <w:autoSpaceDE w:val="0"/>
        <w:autoSpaceDN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本项目是否接受联合体投标:否</w:t>
      </w:r>
    </w:p>
    <w:p>
      <w:pPr>
        <w:spacing w:line="360" w:lineRule="auto"/>
        <w:ind w:firstLine="480" w:firstLineChars="200"/>
        <w:jc w:val="both"/>
        <w:rPr>
          <w:rFonts w:hint="eastAsia" w:ascii="宋体" w:hAnsi="宋体" w:eastAsia="宋体" w:cs="宋体"/>
          <w:color w:val="auto"/>
          <w:sz w:val="24"/>
          <w:highlight w:val="none"/>
        </w:rPr>
      </w:pPr>
      <w:bookmarkStart w:id="7" w:name="_Toc28359090"/>
      <w:bookmarkStart w:id="8" w:name="_Toc35393799"/>
      <w:bookmarkStart w:id="9" w:name="_Toc28359013"/>
      <w:bookmarkStart w:id="10" w:name="_Toc98348546"/>
      <w:bookmarkStart w:id="11" w:name="_Toc35393630"/>
      <w:r>
        <w:rPr>
          <w:rFonts w:hint="eastAsia" w:asciiTheme="minorEastAsia" w:hAnsiTheme="minorEastAsia" w:eastAsiaTheme="minorEastAsia" w:cstheme="minorEastAsia"/>
          <w:color w:val="auto"/>
          <w:sz w:val="24"/>
          <w:szCs w:val="24"/>
        </w:rPr>
        <w:t>本项目是否为只面向中小</w:t>
      </w:r>
      <w:r>
        <w:rPr>
          <w:rFonts w:hint="eastAsia" w:ascii="宋体" w:hAnsi="宋体" w:eastAsia="宋体" w:cs="宋体"/>
          <w:color w:val="auto"/>
          <w:sz w:val="24"/>
          <w:highlight w:val="none"/>
        </w:rPr>
        <w:t>企业采购：是，采购预留金额</w:t>
      </w:r>
      <w:r>
        <w:rPr>
          <w:rFonts w:hint="eastAsia" w:ascii="宋体" w:hAnsi="宋体" w:cs="宋体"/>
          <w:color w:val="auto"/>
          <w:sz w:val="24"/>
          <w:highlight w:val="none"/>
          <w:lang w:val="en-US" w:eastAsia="zh-CN"/>
        </w:rPr>
        <w:t>1116535.8</w:t>
      </w:r>
      <w:r>
        <w:rPr>
          <w:rFonts w:hint="eastAsia" w:ascii="宋体" w:hAnsi="宋体" w:eastAsia="宋体" w:cs="宋体"/>
          <w:color w:val="auto"/>
          <w:sz w:val="24"/>
          <w:highlight w:val="none"/>
        </w:rPr>
        <w:t>元,必须提供中小企业声明函。</w:t>
      </w:r>
    </w:p>
    <w:p>
      <w:pPr>
        <w:pStyle w:val="7"/>
        <w:autoSpaceDE w:val="0"/>
        <w:autoSpaceDN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二、申请人的资格要求：</w:t>
      </w:r>
      <w:bookmarkEnd w:id="7"/>
      <w:bookmarkEnd w:id="8"/>
      <w:bookmarkEnd w:id="9"/>
      <w:bookmarkEnd w:id="10"/>
      <w:bookmarkEnd w:id="11"/>
    </w:p>
    <w:p>
      <w:pPr>
        <w:autoSpaceDE w:val="0"/>
        <w:autoSpaceDN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（1）具有独立承担民事责任的能力；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（3）具有履行合同所必需的设备和专业技术能力；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（4）有依法缴纳税收和社会保障资金的良好记录；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（5）参加政府采购活动前三年内，在经营活动中没有重大违法记录； </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（6）法律、行政法规规定的其他条件。 </w:t>
      </w:r>
    </w:p>
    <w:p>
      <w:pPr>
        <w:autoSpaceDE w:val="0"/>
        <w:autoSpaceDN w:val="0"/>
        <w:spacing w:line="360" w:lineRule="auto"/>
        <w:ind w:firstLine="540"/>
        <w:rPr>
          <w:rFonts w:hint="eastAsia" w:ascii="宋体" w:hAnsi="宋体" w:eastAsia="宋体" w:cs="宋体"/>
          <w:color w:val="auto"/>
          <w:sz w:val="24"/>
          <w:highlight w:val="none"/>
        </w:rPr>
      </w:pPr>
      <w:bookmarkStart w:id="12" w:name="_Toc28359091"/>
      <w:bookmarkStart w:id="13" w:name="_Toc28359014"/>
      <w:r>
        <w:rPr>
          <w:rFonts w:hint="eastAsia" w:ascii="宋体" w:hAnsi="宋体" w:eastAsia="宋体" w:cs="宋体"/>
          <w:color w:val="auto"/>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bookmarkStart w:id="14" w:name="_Toc35393800"/>
      <w:bookmarkStart w:id="15" w:name="_Toc35393631"/>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（1）依据财库[2016]125号文件规定，对列入失信被执行人、</w:t>
      </w:r>
      <w:r>
        <w:rPr>
          <w:rFonts w:hint="eastAsia" w:ascii="宋体" w:hAnsi="宋体" w:eastAsia="宋体" w:cs="宋体"/>
          <w:color w:val="auto"/>
          <w:sz w:val="24"/>
          <w:highlight w:val="none"/>
          <w:lang w:eastAsia="zh-CN"/>
        </w:rPr>
        <w:t>重大</w:t>
      </w:r>
      <w:r>
        <w:rPr>
          <w:rFonts w:hint="eastAsia" w:ascii="宋体" w:hAnsi="宋体" w:eastAsia="宋体" w:cs="宋体"/>
          <w:color w:val="auto"/>
          <w:sz w:val="24"/>
          <w:highlight w:val="none"/>
        </w:rPr>
        <w:t>税收违法</w:t>
      </w:r>
      <w:r>
        <w:rPr>
          <w:rFonts w:hint="eastAsia" w:ascii="宋体" w:hAnsi="宋体" w:eastAsia="宋体" w:cs="宋体"/>
          <w:color w:val="auto"/>
          <w:sz w:val="24"/>
          <w:highlight w:val="none"/>
          <w:lang w:eastAsia="zh-CN"/>
        </w:rPr>
        <w:t>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拒绝其参与本次政府采购活动。投标人需通过“信用中国”网站(www.creditchina.gov.cn)对“列入失信被执行人、</w:t>
      </w:r>
      <w:r>
        <w:rPr>
          <w:rFonts w:hint="eastAsia" w:ascii="宋体" w:hAnsi="宋体" w:eastAsia="宋体" w:cs="宋体"/>
          <w:color w:val="auto"/>
          <w:sz w:val="24"/>
          <w:highlight w:val="none"/>
          <w:lang w:eastAsia="zh-CN"/>
        </w:rPr>
        <w:t>重大</w:t>
      </w:r>
      <w:r>
        <w:rPr>
          <w:rFonts w:hint="eastAsia" w:ascii="宋体" w:hAnsi="宋体" w:eastAsia="宋体" w:cs="宋体"/>
          <w:color w:val="auto"/>
          <w:sz w:val="24"/>
          <w:highlight w:val="none"/>
        </w:rPr>
        <w:t>税收违法</w:t>
      </w:r>
      <w:r>
        <w:rPr>
          <w:rFonts w:hint="eastAsia" w:ascii="宋体" w:hAnsi="宋体" w:eastAsia="宋体" w:cs="宋体"/>
          <w:color w:val="auto"/>
          <w:sz w:val="24"/>
          <w:highlight w:val="none"/>
          <w:lang w:eastAsia="zh-CN"/>
        </w:rPr>
        <w:t>失信主体</w:t>
      </w:r>
      <w:r>
        <w:rPr>
          <w:rFonts w:hint="eastAsia" w:ascii="宋体" w:hAnsi="宋体" w:eastAsia="宋体" w:cs="宋体"/>
          <w:color w:val="auto"/>
          <w:sz w:val="24"/>
          <w:highlight w:val="none"/>
        </w:rPr>
        <w:t>、政府采购严重违法失信行为记录名单”企业和法定代表人的查询，通过中国政府采购网(www.ccgp.gov.cn)对“政府采购严重违法失信行为信息记录”企业信用记录查询（投标文件中提供网站查询截屏，查询时间公告后有效）。</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资质要求：</w:t>
      </w:r>
      <w:r>
        <w:rPr>
          <w:rFonts w:hint="eastAsia" w:ascii="宋体" w:hAnsi="宋体" w:eastAsia="宋体" w:cs="宋体"/>
          <w:color w:val="auto"/>
          <w:sz w:val="24"/>
          <w:highlight w:val="none"/>
        </w:rPr>
        <w:t>申请人须具备</w:t>
      </w:r>
      <w:r>
        <w:rPr>
          <w:rFonts w:hint="eastAsia" w:ascii="宋体" w:hAnsi="宋体" w:eastAsia="宋体" w:cs="宋体"/>
          <w:color w:val="auto"/>
          <w:sz w:val="24"/>
          <w:highlight w:val="none"/>
          <w:lang w:eastAsia="zh-CN"/>
        </w:rPr>
        <w:t>市政公用工程</w:t>
      </w:r>
      <w:r>
        <w:rPr>
          <w:rFonts w:hint="eastAsia" w:ascii="宋体" w:hAnsi="宋体" w:eastAsia="宋体" w:cs="宋体"/>
          <w:color w:val="auto"/>
          <w:sz w:val="24"/>
          <w:highlight w:val="none"/>
        </w:rPr>
        <w:t>施工总承包叁级及以上资质，并在人员、设备、资金等方面具有相应的施工能力，其中，申请人拟派项目负责人须具备</w:t>
      </w:r>
      <w:r>
        <w:rPr>
          <w:rFonts w:hint="eastAsia" w:ascii="宋体" w:hAnsi="宋体" w:eastAsia="宋体" w:cs="宋体"/>
          <w:color w:val="auto"/>
          <w:sz w:val="24"/>
          <w:highlight w:val="none"/>
          <w:lang w:eastAsia="zh-CN"/>
        </w:rPr>
        <w:t>市政公用工程</w:t>
      </w:r>
      <w:r>
        <w:rPr>
          <w:rFonts w:hint="eastAsia" w:ascii="宋体" w:hAnsi="宋体" w:eastAsia="宋体" w:cs="宋体"/>
          <w:color w:val="auto"/>
          <w:sz w:val="24"/>
          <w:highlight w:val="none"/>
        </w:rPr>
        <w:t>专业贰级（含以上）注册建造师执业资格，并持有有效的安全生产考核合格证书，且未担任其他在施建设工程项目的项目经理。</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.本项目不接受联合体投标。</w:t>
      </w:r>
    </w:p>
    <w:p>
      <w:pPr>
        <w:autoSpaceDE w:val="0"/>
        <w:autoSpaceDN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三、获取采购文件</w:t>
      </w:r>
      <w:bookmarkEnd w:id="12"/>
      <w:bookmarkEnd w:id="13"/>
      <w:bookmarkEnd w:id="14"/>
      <w:bookmarkEnd w:id="15"/>
    </w:p>
    <w:p>
      <w:pPr>
        <w:autoSpaceDE w:val="0"/>
        <w:autoSpaceDN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u w:val="single"/>
          <w:lang w:val="en-US" w:eastAsia="zh-CN"/>
        </w:rPr>
        <w:t>2024</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至</w:t>
      </w:r>
      <w:r>
        <w:rPr>
          <w:rFonts w:hint="eastAsia" w:ascii="宋体" w:hAnsi="宋体" w:cs="宋体"/>
          <w:color w:val="auto"/>
          <w:sz w:val="24"/>
          <w:highlight w:val="none"/>
          <w:u w:val="single"/>
          <w:lang w:val="en-US" w:eastAsia="zh-CN"/>
        </w:rPr>
        <w:t>2024</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13</w:t>
      </w:r>
      <w:bookmarkStart w:id="60" w:name="_GoBack"/>
      <w:bookmarkEnd w:id="60"/>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（北京时间，法定节假日除外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地点：周口市公共资源交易中心网（http://jyzx.zhoukou.gov.cn）</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方式：供应商请在网站自主注册后下载采购文件（zkzf格式）及资料，需办理CA数字证书后方可提交响应文件，具体办理事宜请查阅周口市公共资源交易中心网站。</w:t>
      </w:r>
    </w:p>
    <w:p>
      <w:pPr>
        <w:autoSpaceDE w:val="0"/>
        <w:autoSpaceDN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w:t>
      </w:r>
    </w:p>
    <w:p>
      <w:pPr>
        <w:pStyle w:val="7"/>
        <w:autoSpaceDE w:val="0"/>
        <w:autoSpaceDN w:val="0"/>
        <w:spacing w:line="360" w:lineRule="auto"/>
        <w:jc w:val="left"/>
        <w:rPr>
          <w:rFonts w:hint="eastAsia" w:ascii="宋体" w:hAnsi="宋体" w:eastAsia="宋体" w:cs="宋体"/>
          <w:color w:val="auto"/>
          <w:sz w:val="24"/>
          <w:highlight w:val="none"/>
        </w:rPr>
      </w:pPr>
      <w:bookmarkStart w:id="16" w:name="_Toc35393632"/>
      <w:bookmarkStart w:id="17" w:name="_Toc98348547"/>
      <w:bookmarkStart w:id="18" w:name="_Toc35393801"/>
      <w:bookmarkStart w:id="19" w:name="_Toc28359092"/>
      <w:bookmarkStart w:id="20" w:name="_Toc28359015"/>
      <w:r>
        <w:rPr>
          <w:rFonts w:hint="eastAsia" w:ascii="宋体" w:hAnsi="宋体" w:eastAsia="宋体" w:cs="宋体"/>
          <w:color w:val="auto"/>
          <w:sz w:val="24"/>
          <w:highlight w:val="none"/>
        </w:rPr>
        <w:t>四、响应文件提交</w:t>
      </w:r>
      <w:bookmarkEnd w:id="16"/>
      <w:bookmarkEnd w:id="17"/>
      <w:bookmarkEnd w:id="18"/>
      <w:bookmarkEnd w:id="19"/>
      <w:bookmarkEnd w:id="20"/>
    </w:p>
    <w:p>
      <w:pPr>
        <w:autoSpaceDE w:val="0"/>
        <w:autoSpaceDN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截止时间：</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rPr>
        <w:t>分</w:t>
      </w:r>
      <w:r>
        <w:rPr>
          <w:rFonts w:hint="eastAsia" w:ascii="宋体" w:hAnsi="宋体" w:eastAsia="宋体" w:cs="宋体"/>
          <w:bCs/>
          <w:color w:val="auto"/>
          <w:sz w:val="24"/>
          <w:highlight w:val="none"/>
        </w:rPr>
        <w:t>（北京时间）</w:t>
      </w:r>
    </w:p>
    <w:p>
      <w:pPr>
        <w:autoSpaceDE w:val="0"/>
        <w:autoSpaceDN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地点：加密电子响应文件须在投标截止时间前通过</w:t>
      </w:r>
      <w:r>
        <w:rPr>
          <w:rFonts w:hint="eastAsia" w:ascii="宋体" w:hAnsi="宋体" w:eastAsia="宋体" w:cs="宋体"/>
          <w:color w:val="auto"/>
          <w:spacing w:val="-6"/>
          <w:sz w:val="24"/>
          <w:highlight w:val="none"/>
        </w:rPr>
        <w:t>周口市公共资源交易中心网</w:t>
      </w:r>
      <w:r>
        <w:rPr>
          <w:rFonts w:hint="eastAsia" w:ascii="宋体" w:hAnsi="宋体" w:eastAsia="宋体" w:cs="宋体"/>
          <w:color w:val="auto"/>
          <w:sz w:val="24"/>
          <w:highlight w:val="none"/>
        </w:rPr>
        <w:t>（网址http://jyzx.zhoukou.gov.cn）。</w:t>
      </w:r>
    </w:p>
    <w:p>
      <w:pPr>
        <w:pStyle w:val="7"/>
        <w:autoSpaceDE w:val="0"/>
        <w:autoSpaceDN w:val="0"/>
        <w:spacing w:line="360" w:lineRule="auto"/>
        <w:jc w:val="left"/>
        <w:rPr>
          <w:rFonts w:hint="eastAsia" w:ascii="宋体" w:hAnsi="宋体" w:eastAsia="宋体" w:cs="宋体"/>
          <w:color w:val="auto"/>
          <w:sz w:val="24"/>
          <w:highlight w:val="none"/>
        </w:rPr>
      </w:pPr>
      <w:bookmarkStart w:id="21" w:name="_Toc28359016"/>
      <w:bookmarkStart w:id="22" w:name="_Toc35393802"/>
      <w:bookmarkStart w:id="23" w:name="_Toc28359093"/>
      <w:bookmarkStart w:id="24" w:name="_Toc98348548"/>
      <w:bookmarkStart w:id="25" w:name="_Toc35393633"/>
      <w:r>
        <w:rPr>
          <w:rFonts w:hint="eastAsia" w:ascii="宋体" w:hAnsi="宋体" w:eastAsia="宋体" w:cs="宋体"/>
          <w:color w:val="auto"/>
          <w:sz w:val="24"/>
          <w:highlight w:val="none"/>
        </w:rPr>
        <w:t>五、开启（竞争性磋商方式必须填写）</w:t>
      </w:r>
      <w:bookmarkEnd w:id="21"/>
      <w:bookmarkEnd w:id="22"/>
      <w:bookmarkEnd w:id="23"/>
      <w:bookmarkEnd w:id="24"/>
      <w:bookmarkEnd w:id="25"/>
    </w:p>
    <w:p>
      <w:pPr>
        <w:autoSpaceDE w:val="0"/>
        <w:autoSpaceDN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rPr>
        <w:t>分</w:t>
      </w:r>
      <w:r>
        <w:rPr>
          <w:rFonts w:hint="eastAsia" w:ascii="宋体" w:hAnsi="宋体" w:eastAsia="宋体" w:cs="宋体"/>
          <w:bCs/>
          <w:color w:val="auto"/>
          <w:sz w:val="24"/>
          <w:highlight w:val="none"/>
        </w:rPr>
        <w:t>（北京时间）</w:t>
      </w:r>
    </w:p>
    <w:p>
      <w:pPr>
        <w:autoSpaceDE w:val="0"/>
        <w:autoSpaceDN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地点：周口市公共资源交易中心开标室</w:t>
      </w:r>
    </w:p>
    <w:p>
      <w:pPr>
        <w:pStyle w:val="7"/>
        <w:autoSpaceDE w:val="0"/>
        <w:autoSpaceDN w:val="0"/>
        <w:spacing w:line="360" w:lineRule="auto"/>
        <w:jc w:val="left"/>
        <w:rPr>
          <w:rFonts w:hint="eastAsia" w:ascii="宋体" w:hAnsi="宋体" w:eastAsia="宋体" w:cs="宋体"/>
          <w:color w:val="auto"/>
          <w:sz w:val="24"/>
          <w:highlight w:val="none"/>
        </w:rPr>
      </w:pPr>
      <w:bookmarkStart w:id="26" w:name="_Toc98348549"/>
      <w:bookmarkStart w:id="27" w:name="_Toc35393803"/>
      <w:bookmarkStart w:id="28" w:name="_Toc28359017"/>
      <w:bookmarkStart w:id="29" w:name="_Toc28359094"/>
      <w:bookmarkStart w:id="30" w:name="_Toc35393634"/>
      <w:r>
        <w:rPr>
          <w:rFonts w:hint="eastAsia" w:ascii="宋体" w:hAnsi="宋体" w:eastAsia="宋体" w:cs="宋体"/>
          <w:color w:val="auto"/>
          <w:sz w:val="24"/>
          <w:highlight w:val="none"/>
        </w:rPr>
        <w:t>六、公告期限</w:t>
      </w:r>
      <w:bookmarkEnd w:id="26"/>
      <w:bookmarkEnd w:id="27"/>
      <w:bookmarkEnd w:id="28"/>
      <w:bookmarkEnd w:id="29"/>
      <w:bookmarkEnd w:id="30"/>
    </w:p>
    <w:p>
      <w:pPr>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pPr>
        <w:pStyle w:val="7"/>
        <w:autoSpaceDE w:val="0"/>
        <w:autoSpaceDN w:val="0"/>
        <w:spacing w:line="360" w:lineRule="auto"/>
        <w:jc w:val="left"/>
        <w:rPr>
          <w:rFonts w:hint="eastAsia" w:ascii="宋体" w:hAnsi="宋体" w:eastAsia="宋体" w:cs="宋体"/>
          <w:color w:val="auto"/>
          <w:sz w:val="24"/>
          <w:highlight w:val="none"/>
        </w:rPr>
      </w:pPr>
      <w:bookmarkStart w:id="31" w:name="_Toc35393804"/>
      <w:bookmarkStart w:id="32" w:name="_Toc35393635"/>
      <w:bookmarkStart w:id="33" w:name="_Toc98348550"/>
      <w:r>
        <w:rPr>
          <w:rFonts w:hint="eastAsia" w:ascii="宋体" w:hAnsi="宋体" w:eastAsia="宋体" w:cs="宋体"/>
          <w:color w:val="auto"/>
          <w:sz w:val="24"/>
          <w:highlight w:val="none"/>
        </w:rPr>
        <w:t>七、其他补充事宜</w:t>
      </w:r>
      <w:bookmarkEnd w:id="31"/>
      <w:bookmarkEnd w:id="32"/>
      <w:bookmarkEnd w:id="33"/>
    </w:p>
    <w:p>
      <w:pPr>
        <w:pStyle w:val="7"/>
        <w:autoSpaceDE w:val="0"/>
        <w:autoSpaceDN w:val="0"/>
        <w:spacing w:line="360" w:lineRule="auto"/>
        <w:jc w:val="left"/>
        <w:rPr>
          <w:rFonts w:hint="eastAsia" w:ascii="宋体" w:hAnsi="宋体" w:eastAsia="宋体" w:cs="宋体"/>
          <w:color w:val="auto"/>
          <w:sz w:val="24"/>
          <w:highlight w:val="none"/>
        </w:rPr>
      </w:pPr>
      <w:bookmarkStart w:id="34" w:name="_Toc98348551"/>
      <w:bookmarkStart w:id="35" w:name="_Toc35393636"/>
      <w:bookmarkStart w:id="36" w:name="_Toc28359095"/>
      <w:bookmarkStart w:id="37" w:name="_Toc35393805"/>
      <w:bookmarkStart w:id="38" w:name="_Toc28359018"/>
      <w:r>
        <w:rPr>
          <w:rFonts w:hint="eastAsia" w:ascii="宋体" w:hAnsi="宋体" w:eastAsia="宋体" w:cs="宋体"/>
          <w:color w:val="auto"/>
          <w:sz w:val="24"/>
          <w:highlight w:val="none"/>
        </w:rPr>
        <w:t>八、凡对本次采购提出询问，请按以下方式联系。</w:t>
      </w:r>
      <w:bookmarkEnd w:id="34"/>
      <w:bookmarkEnd w:id="35"/>
      <w:bookmarkEnd w:id="36"/>
      <w:bookmarkEnd w:id="37"/>
      <w:bookmarkEnd w:id="38"/>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pPr>
        <w:spacing w:line="360" w:lineRule="auto"/>
        <w:ind w:firstLine="480" w:firstLineChars="200"/>
        <w:jc w:val="left"/>
        <w:rPr>
          <w:rFonts w:hint="eastAsia" w:ascii="宋体" w:hAnsi="宋体" w:eastAsia="宋体" w:cs="宋体"/>
          <w:color w:val="auto"/>
          <w:sz w:val="24"/>
          <w:highlight w:val="none"/>
        </w:rPr>
      </w:pPr>
      <w:bookmarkStart w:id="39" w:name="_Toc28359086"/>
      <w:bookmarkStart w:id="40" w:name="_Toc28359009"/>
      <w:r>
        <w:rPr>
          <w:rFonts w:hint="eastAsia" w:ascii="宋体" w:hAnsi="宋体" w:eastAsia="宋体" w:cs="宋体"/>
          <w:color w:val="auto"/>
          <w:sz w:val="24"/>
          <w:highlight w:val="none"/>
        </w:rPr>
        <w:t>名称：鹿邑县林业局</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地址：河南省鹿邑县行政服务中心南6楼</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联系人：郭思雷</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联系方式：13603942661</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39"/>
      <w:bookmarkEnd w:id="40"/>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称：周口市公共资源交易中心政府采购中心</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址：周口市光明路与政通路交叉口向北100米路东</w:t>
      </w:r>
    </w:p>
    <w:p>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val="en-US" w:eastAsia="zh-CN"/>
        </w:rPr>
        <w:t>张光</w:t>
      </w:r>
    </w:p>
    <w:p>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bookmarkStart w:id="41" w:name="_Toc28359010"/>
      <w:bookmarkStart w:id="42" w:name="_Toc28359087"/>
      <w:r>
        <w:rPr>
          <w:rFonts w:hint="eastAsia" w:ascii="宋体" w:hAnsi="宋体" w:cs="宋体"/>
          <w:color w:val="auto"/>
          <w:sz w:val="24"/>
          <w:highlight w:val="none"/>
          <w:lang w:val="en-US" w:eastAsia="zh-CN"/>
        </w:rPr>
        <w:t>0394-8106517</w:t>
      </w:r>
    </w:p>
    <w:bookmarkEnd w:id="41"/>
    <w:bookmarkEnd w:id="42"/>
    <w:p>
      <w:pPr>
        <w:pStyle w:val="54"/>
        <w:adjustRightInd w:val="0"/>
        <w:snapToGrid w:val="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3.监督部门：鹿邑县财政局政府采购监督管理科</w:t>
      </w:r>
    </w:p>
    <w:p>
      <w:pPr>
        <w:pStyle w:val="54"/>
        <w:adjustRightInd w:val="0"/>
        <w:snapToGrid w:val="0"/>
        <w:spacing w:after="0" w:line="360" w:lineRule="auto"/>
        <w:ind w:firstLine="480" w:firstLineChars="200"/>
        <w:rPr>
          <w:color w:val="auto"/>
          <w:highlight w:val="none"/>
        </w:rPr>
      </w:pPr>
      <w:r>
        <w:rPr>
          <w:rFonts w:hint="eastAsia" w:ascii="宋体" w:hAnsi="宋体" w:cs="宋体"/>
          <w:color w:val="auto"/>
          <w:sz w:val="24"/>
          <w:highlight w:val="none"/>
        </w:rPr>
        <w:t xml:space="preserve">联系电话：0394-7181669 </w:t>
      </w:r>
    </w:p>
    <w:p>
      <w:pPr>
        <w:pStyle w:val="54"/>
        <w:ind w:firstLine="0" w:firstLineChars="0"/>
        <w:rPr>
          <w:rFonts w:hint="eastAsia" w:ascii="宋体" w:hAnsi="宋体" w:eastAsia="宋体" w:cs="宋体"/>
          <w:color w:val="auto"/>
          <w:highlight w:val="none"/>
        </w:rPr>
      </w:pPr>
    </w:p>
    <w:p>
      <w:pPr>
        <w:pStyle w:val="3"/>
        <w:adjustRightInd w:val="0"/>
        <w:snapToGrid w:val="0"/>
        <w:spacing w:line="360" w:lineRule="auto"/>
        <w:ind w:firstLine="2040" w:firstLineChars="850"/>
        <w:rPr>
          <w:rFonts w:hint="eastAsia" w:ascii="宋体" w:hAnsi="宋体" w:eastAsia="宋体" w:cs="宋体"/>
          <w:color w:val="auto"/>
          <w:sz w:val="24"/>
          <w:highlight w:val="none"/>
        </w:rPr>
      </w:pPr>
      <w:r>
        <w:rPr>
          <w:rFonts w:hint="eastAsia" w:ascii="宋体" w:hAnsi="宋体" w:eastAsia="宋体" w:cs="宋体"/>
          <w:color w:val="auto"/>
          <w:sz w:val="24"/>
          <w:highlight w:val="none"/>
        </w:rPr>
        <w:t>周口市公共资源交易中心政府采购中心</w:t>
      </w:r>
    </w:p>
    <w:p>
      <w:pPr>
        <w:pStyle w:val="42"/>
        <w:shd w:val="clear" w:color="auto" w:fill="FFFFFF"/>
        <w:adjustRightInd w:val="0"/>
        <w:snapToGrid w:val="0"/>
        <w:spacing w:before="0" w:beforeAutospacing="0" w:after="0" w:afterAutospacing="0" w:line="360" w:lineRule="auto"/>
        <w:ind w:firstLine="4080" w:firstLineChars="1700"/>
        <w:rPr>
          <w:rFonts w:hint="eastAsia" w:ascii="宋体" w:hAnsi="宋体" w:eastAsia="宋体" w:cs="宋体"/>
          <w:color w:val="auto"/>
          <w:kern w:val="2"/>
          <w:szCs w:val="24"/>
          <w:highlight w:val="none"/>
        </w:rPr>
      </w:pPr>
      <w:r>
        <w:rPr>
          <w:rFonts w:hint="eastAsia" w:cs="宋体"/>
          <w:color w:val="auto"/>
          <w:szCs w:val="24"/>
          <w:highlight w:val="none"/>
          <w:lang w:val="en-US" w:eastAsia="zh-CN"/>
        </w:rPr>
        <w:t>2024</w:t>
      </w:r>
      <w:r>
        <w:rPr>
          <w:rFonts w:hint="eastAsia" w:ascii="宋体" w:hAnsi="宋体" w:eastAsia="宋体" w:cs="宋体"/>
          <w:color w:val="auto"/>
          <w:szCs w:val="24"/>
          <w:highlight w:val="none"/>
        </w:rPr>
        <w:t>年</w:t>
      </w:r>
      <w:r>
        <w:rPr>
          <w:rFonts w:hint="eastAsia" w:cs="宋体"/>
          <w:color w:val="auto"/>
          <w:szCs w:val="24"/>
          <w:highlight w:val="none"/>
          <w:lang w:val="en-US" w:eastAsia="zh-CN"/>
        </w:rPr>
        <w:t>6</w:t>
      </w:r>
      <w:r>
        <w:rPr>
          <w:rFonts w:hint="eastAsia" w:ascii="宋体" w:hAnsi="宋体" w:eastAsia="宋体" w:cs="宋体"/>
          <w:color w:val="auto"/>
          <w:szCs w:val="24"/>
          <w:highlight w:val="none"/>
        </w:rPr>
        <w:t>月</w:t>
      </w:r>
      <w:r>
        <w:rPr>
          <w:rFonts w:hint="eastAsia" w:cs="宋体"/>
          <w:color w:val="auto"/>
          <w:szCs w:val="24"/>
          <w:highlight w:val="none"/>
          <w:lang w:val="en-US" w:eastAsia="zh-CN"/>
        </w:rPr>
        <w:t>5</w:t>
      </w:r>
      <w:r>
        <w:rPr>
          <w:rFonts w:hint="eastAsia" w:ascii="宋体" w:hAnsi="宋体" w:eastAsia="宋体" w:cs="宋体"/>
          <w:color w:val="auto"/>
          <w:szCs w:val="24"/>
          <w:highlight w:val="none"/>
        </w:rPr>
        <w:t>日</w:t>
      </w:r>
    </w:p>
    <w:bookmarkEnd w:id="5"/>
    <w:p>
      <w:pPr>
        <w:pStyle w:val="45"/>
        <w:adjustRightInd w:val="0"/>
        <w:snapToGrid w:val="0"/>
        <w:spacing w:line="360" w:lineRule="auto"/>
        <w:ind w:firstLine="0" w:firstLineChars="0"/>
        <w:rPr>
          <w:rFonts w:hint="eastAsia" w:ascii="宋体" w:hAnsi="宋体" w:eastAsia="宋体" w:cs="宋体"/>
          <w:color w:val="auto"/>
          <w:sz w:val="24"/>
          <w:highlight w:val="none"/>
        </w:rPr>
      </w:pPr>
    </w:p>
    <w:p>
      <w:pPr>
        <w:pStyle w:val="45"/>
        <w:adjustRightInd w:val="0"/>
        <w:snapToGrid w:val="0"/>
        <w:spacing w:line="360" w:lineRule="auto"/>
        <w:ind w:firstLine="0" w:firstLineChars="0"/>
        <w:rPr>
          <w:rFonts w:hint="default" w:ascii="宋体" w:hAnsi="宋体" w:eastAsia="宋体" w:cs="宋体"/>
          <w:color w:val="auto"/>
          <w:sz w:val="24"/>
          <w:highlight w:val="none"/>
          <w:lang w:val="en-US" w:eastAsia="zh-CN"/>
        </w:rPr>
      </w:pPr>
    </w:p>
    <w:p>
      <w:pPr>
        <w:pStyle w:val="45"/>
        <w:adjustRightInd w:val="0"/>
        <w:snapToGrid w:val="0"/>
        <w:spacing w:line="360" w:lineRule="auto"/>
        <w:ind w:firstLine="0" w:firstLineChars="0"/>
        <w:rPr>
          <w:rFonts w:hint="eastAsia" w:ascii="宋体" w:hAnsi="宋体" w:eastAsia="宋体" w:cs="宋体"/>
          <w:color w:val="auto"/>
          <w:sz w:val="24"/>
          <w:highlight w:val="none"/>
        </w:rPr>
      </w:pPr>
    </w:p>
    <w:p>
      <w:pPr>
        <w:pStyle w:val="45"/>
        <w:adjustRightInd w:val="0"/>
        <w:snapToGrid w:val="0"/>
        <w:spacing w:line="360" w:lineRule="auto"/>
        <w:ind w:firstLine="0" w:firstLineChars="0"/>
        <w:rPr>
          <w:rFonts w:hint="eastAsia" w:ascii="宋体" w:hAnsi="宋体" w:eastAsia="宋体" w:cs="宋体"/>
          <w:color w:val="auto"/>
          <w:sz w:val="24"/>
          <w:highlight w:val="none"/>
        </w:rPr>
      </w:pPr>
    </w:p>
    <w:p>
      <w:pPr>
        <w:pStyle w:val="45"/>
        <w:adjustRightInd w:val="0"/>
        <w:snapToGrid w:val="0"/>
        <w:spacing w:line="360" w:lineRule="auto"/>
        <w:ind w:firstLine="0" w:firstLineChars="0"/>
        <w:rPr>
          <w:rFonts w:hint="eastAsia" w:ascii="宋体" w:hAnsi="宋体" w:eastAsia="宋体" w:cs="宋体"/>
          <w:color w:val="auto"/>
          <w:sz w:val="24"/>
          <w:highlight w:val="none"/>
        </w:rPr>
      </w:pPr>
    </w:p>
    <w:p>
      <w:pPr>
        <w:pStyle w:val="2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4"/>
        <w:rPr>
          <w:rFonts w:hint="eastAsia" w:ascii="宋体" w:hAnsi="宋体" w:eastAsia="宋体" w:cs="宋体"/>
          <w:color w:val="auto"/>
          <w:sz w:val="24"/>
          <w:highlight w:val="none"/>
        </w:rPr>
      </w:pPr>
    </w:p>
    <w:p>
      <w:pPr>
        <w:pStyle w:val="45"/>
        <w:rPr>
          <w:rFonts w:hint="eastAsia"/>
          <w:color w:val="auto"/>
        </w:rPr>
      </w:pPr>
    </w:p>
    <w:p>
      <w:pPr>
        <w:pStyle w:val="45"/>
        <w:adjustRightInd w:val="0"/>
        <w:snapToGrid w:val="0"/>
        <w:spacing w:line="360" w:lineRule="auto"/>
        <w:ind w:firstLine="0" w:firstLineChars="0"/>
        <w:rPr>
          <w:rFonts w:hint="eastAsia" w:ascii="宋体" w:hAnsi="宋体" w:eastAsia="宋体" w:cs="宋体"/>
          <w:color w:val="auto"/>
          <w:sz w:val="24"/>
          <w:highlight w:val="none"/>
        </w:rPr>
      </w:pPr>
    </w:p>
    <w:p>
      <w:pPr>
        <w:pStyle w:val="6"/>
        <w:jc w:val="center"/>
        <w:rPr>
          <w:rFonts w:hint="eastAsia" w:ascii="宋体" w:hAnsi="宋体" w:eastAsia="宋体" w:cs="宋体"/>
          <w:b w:val="0"/>
          <w:color w:val="auto"/>
          <w:sz w:val="32"/>
          <w:highlight w:val="none"/>
        </w:rPr>
      </w:pPr>
      <w:bookmarkStart w:id="43" w:name="_Toc98348552"/>
      <w:r>
        <w:rPr>
          <w:rFonts w:hint="eastAsia" w:ascii="宋体" w:hAnsi="宋体" w:eastAsia="宋体" w:cs="宋体"/>
          <w:color w:val="auto"/>
          <w:sz w:val="32"/>
          <w:highlight w:val="none"/>
        </w:rPr>
        <w:t>第二章    供应商须知</w:t>
      </w:r>
      <w:bookmarkEnd w:id="43"/>
    </w:p>
    <w:tbl>
      <w:tblPr>
        <w:tblStyle w:val="46"/>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tc>
        <w:tc>
          <w:tcPr>
            <w:tcW w:w="6615" w:type="dxa"/>
            <w:vAlign w:val="center"/>
          </w:tcPr>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1）项目名称：</w:t>
            </w:r>
            <w:r>
              <w:rPr>
                <w:rFonts w:hint="eastAsia" w:ascii="宋体" w:hAnsi="宋体" w:cs="宋体"/>
                <w:color w:val="auto"/>
                <w:sz w:val="24"/>
                <w:highlight w:val="none"/>
                <w:lang w:eastAsia="zh-CN"/>
              </w:rPr>
              <w:t>鹿邑县林业局鹿邑县白沟河省级湿地公园保护与恢复项目</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2）采购内容：</w:t>
            </w:r>
            <w:r>
              <w:rPr>
                <w:rFonts w:hint="eastAsia" w:ascii="宋体" w:hAnsi="宋体" w:cs="宋体"/>
                <w:color w:val="auto"/>
                <w:sz w:val="24"/>
                <w:highlight w:val="none"/>
                <w:lang w:eastAsia="zh-CN"/>
              </w:rPr>
              <w:t>工程量清单范围内全部工程</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w:t>
            </w:r>
            <w:r>
              <w:rPr>
                <w:rFonts w:hint="eastAsia" w:ascii="宋体" w:hAnsi="宋体" w:cs="宋体"/>
                <w:color w:val="auto"/>
                <w:sz w:val="24"/>
                <w:highlight w:val="none"/>
                <w:lang w:eastAsia="zh-CN"/>
              </w:rPr>
              <w:t>鹿邑县林业局</w:t>
            </w:r>
            <w:r>
              <w:rPr>
                <w:rFonts w:hint="eastAsia" w:ascii="宋体" w:hAnsi="宋体" w:eastAsia="宋体" w:cs="宋体"/>
                <w:color w:val="auto"/>
                <w:sz w:val="24"/>
                <w:highlight w:val="none"/>
              </w:rPr>
              <w:t xml:space="preserve">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4）采购代理机构：周口市公共资源交易中心政府采购中心</w:t>
            </w:r>
          </w:p>
          <w:p>
            <w:pPr>
              <w:pStyle w:val="54"/>
              <w:ind w:firstLine="0" w:firstLineChars="0"/>
              <w:rPr>
                <w:rFonts w:hint="eastAsia" w:ascii="宋体" w:hAnsi="宋体" w:eastAsia="宋体" w:cs="宋体"/>
                <w:color w:val="auto"/>
                <w:highlight w:val="none"/>
              </w:rPr>
            </w:pPr>
            <w:r>
              <w:rPr>
                <w:rFonts w:hint="eastAsia" w:ascii="宋体" w:hAnsi="宋体" w:eastAsia="宋体" w:cs="宋体"/>
                <w:color w:val="auto"/>
                <w:sz w:val="24"/>
                <w:highlight w:val="none"/>
              </w:rPr>
              <w:t>5) 监督部门：</w:t>
            </w:r>
            <w:r>
              <w:rPr>
                <w:rFonts w:hint="eastAsia" w:ascii="宋体" w:hAnsi="宋体" w:cs="宋体"/>
                <w:color w:val="auto"/>
                <w:sz w:val="24"/>
                <w:highlight w:val="none"/>
                <w:lang w:eastAsia="zh-CN"/>
              </w:rPr>
              <w:t>鹿邑县财政局政府采购监督管理科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left="-4" w:leftChars="-4" w:hanging="4" w:hangingChars="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对供应商的资格要求</w:t>
            </w:r>
          </w:p>
        </w:tc>
        <w:tc>
          <w:tcPr>
            <w:tcW w:w="6615" w:type="dxa"/>
            <w:vAlign w:val="center"/>
          </w:tcPr>
          <w:p>
            <w:pPr>
              <w:spacing w:before="156" w:beforeLines="50"/>
              <w:ind w:left="-4" w:leftChars="-4" w:hanging="4" w:hangingChars="2"/>
              <w:rPr>
                <w:rFonts w:hint="eastAsia" w:ascii="宋体" w:hAnsi="宋体" w:eastAsia="宋体" w:cs="宋体"/>
                <w:color w:val="auto"/>
                <w:sz w:val="24"/>
                <w:highlight w:val="none"/>
              </w:rPr>
            </w:pPr>
            <w:r>
              <w:rPr>
                <w:rFonts w:hint="eastAsia" w:ascii="宋体" w:hAnsi="宋体" w:eastAsia="宋体" w:cs="宋体"/>
                <w:color w:val="auto"/>
                <w:sz w:val="24"/>
                <w:highlight w:val="none"/>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报价费用</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无论报价和磋商的过程和结果如何，供应商自行承担所有与参加报价及磋商有关活动的全部费用。评审费用由采购人自行解决。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3"/>
              </w:numPr>
              <w:spacing w:before="156" w:beforeLines="50"/>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响应文件语言</w:t>
            </w:r>
          </w:p>
        </w:tc>
        <w:tc>
          <w:tcPr>
            <w:tcW w:w="6615" w:type="dxa"/>
            <w:vAlign w:val="center"/>
          </w:tcPr>
          <w:p>
            <w:pPr>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3"/>
              </w:numPr>
              <w:spacing w:before="156" w:beforeLines="50"/>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报价货币</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响应范围</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竞争性磋商文件及工程量清单包含的全部内容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响应文件有效期</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响应文件递交截止之日起60日历天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tabs>
                <w:tab w:val="left" w:pos="8640"/>
              </w:tabs>
              <w:spacing w:before="156" w:beforeLines="50"/>
              <w:ind w:left="-2" w:leftChars="-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响应文件的组成</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tabs>
                <w:tab w:val="left" w:pos="8640"/>
              </w:tabs>
              <w:spacing w:before="156" w:beforeLines="50"/>
              <w:ind w:left="-2" w:leftChars="-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响应文件封面要求</w:t>
            </w:r>
          </w:p>
        </w:tc>
        <w:tc>
          <w:tcPr>
            <w:tcW w:w="6615" w:type="dxa"/>
            <w:vAlign w:val="center"/>
          </w:tcPr>
          <w:p>
            <w:pPr>
              <w:tabs>
                <w:tab w:val="left" w:pos="864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列明项目名称、本磋商文件编号、供应商名称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响应文件份数要求</w:t>
            </w:r>
          </w:p>
        </w:tc>
        <w:tc>
          <w:tcPr>
            <w:tcW w:w="6615" w:type="dxa"/>
            <w:vAlign w:val="center"/>
          </w:tcPr>
          <w:p>
            <w:pPr>
              <w:tabs>
                <w:tab w:val="left" w:pos="8640"/>
              </w:tabs>
              <w:ind w:left="-2" w:leftChars="-1"/>
              <w:rPr>
                <w:rFonts w:hint="eastAsia" w:ascii="宋体" w:hAnsi="宋体" w:eastAsia="宋体" w:cs="宋体"/>
                <w:color w:val="auto"/>
                <w:sz w:val="24"/>
                <w:highlight w:val="none"/>
              </w:rPr>
            </w:pPr>
            <w:r>
              <w:rPr>
                <w:rFonts w:hint="eastAsia" w:ascii="宋体" w:hAnsi="宋体" w:eastAsia="宋体" w:cs="宋体"/>
                <w:color w:val="auto"/>
                <w:sz w:val="24"/>
                <w:highlight w:val="none"/>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响应文件装订和密封要求</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竞争性磋商文件的澄清</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任何要求对竞争性磋商文件进行澄清的供应商，均应以书面形式或传真通知采购人，采购人如认为必要，将以书面形式予以答复。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响应文件递交截止时间</w:t>
            </w:r>
          </w:p>
        </w:tc>
        <w:tc>
          <w:tcPr>
            <w:tcW w:w="6615" w:type="dxa"/>
            <w:vAlign w:val="center"/>
          </w:tcPr>
          <w:p>
            <w:pPr>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rPr>
              <w:t xml:space="preserve">分（见磋商公告）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响应文件递交地点</w:t>
            </w:r>
          </w:p>
        </w:tc>
        <w:tc>
          <w:tcPr>
            <w:tcW w:w="6615" w:type="dxa"/>
            <w:vAlign w:val="center"/>
          </w:tcPr>
          <w:p>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w:t>
            </w:r>
          </w:p>
        </w:tc>
        <w:tc>
          <w:tcPr>
            <w:tcW w:w="6615" w:type="dxa"/>
            <w:vAlign w:val="center"/>
          </w:tcPr>
          <w:p>
            <w:pPr>
              <w:tabs>
                <w:tab w:val="left" w:pos="8640"/>
              </w:tabs>
              <w:ind w:left="-2" w:leftChars="-1"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rPr>
              <w:t>分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磋商程序和内容</w:t>
            </w:r>
          </w:p>
        </w:tc>
        <w:tc>
          <w:tcPr>
            <w:tcW w:w="6615" w:type="dxa"/>
            <w:vAlign w:val="center"/>
          </w:tcPr>
          <w:p>
            <w:pPr>
              <w:tabs>
                <w:tab w:val="left" w:pos="864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授予合同</w:t>
            </w:r>
          </w:p>
        </w:tc>
        <w:tc>
          <w:tcPr>
            <w:tcW w:w="6615" w:type="dxa"/>
            <w:vAlign w:val="center"/>
          </w:tcPr>
          <w:p>
            <w:pPr>
              <w:tabs>
                <w:tab w:val="left" w:pos="864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w:t>
            </w:r>
          </w:p>
        </w:tc>
        <w:tc>
          <w:tcPr>
            <w:tcW w:w="6615" w:type="dxa"/>
            <w:vAlign w:val="center"/>
          </w:tcPr>
          <w:p>
            <w:pPr>
              <w:tabs>
                <w:tab w:val="left" w:pos="8640"/>
              </w:tabs>
              <w:ind w:left="-2" w:leftChars="-1"/>
              <w:rPr>
                <w:rFonts w:hint="eastAsia" w:ascii="宋体" w:hAnsi="宋体" w:eastAsia="宋体" w:cs="宋体"/>
                <w:color w:val="auto"/>
                <w:sz w:val="24"/>
                <w:highlight w:val="none"/>
              </w:rPr>
            </w:pPr>
            <w:r>
              <w:rPr>
                <w:rFonts w:hint="eastAsia" w:ascii="宋体" w:hAnsi="宋体" w:eastAsia="宋体" w:cs="宋体"/>
                <w:color w:val="auto"/>
                <w:sz w:val="24"/>
                <w:highlight w:val="none"/>
              </w:rPr>
              <w:t>1）接到成交通知书30天内，成交供应商应与采购人签订采购合同。</w:t>
            </w:r>
          </w:p>
          <w:p>
            <w:pPr>
              <w:tabs>
                <w:tab w:val="left" w:pos="8640"/>
              </w:tabs>
              <w:ind w:left="-2" w:leftChars="-1"/>
              <w:rPr>
                <w:rFonts w:hint="eastAsia" w:ascii="宋体" w:hAnsi="宋体" w:eastAsia="宋体" w:cs="宋体"/>
                <w:color w:val="auto"/>
                <w:sz w:val="24"/>
                <w:highlight w:val="none"/>
              </w:rPr>
            </w:pPr>
            <w:r>
              <w:rPr>
                <w:rFonts w:hint="eastAsia" w:ascii="宋体" w:hAnsi="宋体" w:eastAsia="宋体" w:cs="宋体"/>
                <w:color w:val="auto"/>
                <w:sz w:val="24"/>
                <w:highlight w:val="none"/>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6615" w:type="dxa"/>
            <w:vAlign w:val="center"/>
          </w:tcPr>
          <w:p>
            <w:pPr>
              <w:tabs>
                <w:tab w:val="left" w:pos="8640"/>
              </w:tabs>
              <w:ind w:left="-2" w:leftChars="-1"/>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本项目不需要交纳投标保证金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c>
          <w:tcPr>
            <w:tcW w:w="6615" w:type="dxa"/>
            <w:vAlign w:val="center"/>
          </w:tcPr>
          <w:p>
            <w:pPr>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615" w:type="dxa"/>
            <w:vAlign w:val="center"/>
          </w:tcPr>
          <w:p>
            <w:pPr>
              <w:tabs>
                <w:tab w:val="left" w:pos="864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6615" w:type="dxa"/>
            <w:vAlign w:val="center"/>
          </w:tcPr>
          <w:p>
            <w:pPr>
              <w:tabs>
                <w:tab w:val="left" w:pos="8640"/>
              </w:tabs>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合同签订后付款30%.</w:t>
            </w:r>
            <w:r>
              <w:rPr>
                <w:rFonts w:hint="eastAsia" w:ascii="宋体" w:hAnsi="宋体" w:eastAsia="宋体" w:cs="宋体"/>
                <w:color w:val="auto"/>
                <w:sz w:val="24"/>
                <w:highlight w:val="none"/>
              </w:rPr>
              <w:t>竣工验收后付款</w:t>
            </w:r>
            <w:r>
              <w:rPr>
                <w:rFonts w:hint="eastAsia" w:ascii="宋体" w:hAnsi="宋体" w:cs="宋体"/>
                <w:color w:val="auto"/>
                <w:sz w:val="24"/>
                <w:highlight w:val="none"/>
                <w:lang w:val="en-US" w:eastAsia="zh-CN"/>
              </w:rPr>
              <w:t>至70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最终审计结算后支付至100%</w:t>
            </w:r>
            <w:r>
              <w:rPr>
                <w:rFonts w:hint="eastAsia" w:ascii="宋体" w:hAnsi="宋体" w:eastAsia="宋体" w:cs="宋体"/>
                <w:color w:val="auto"/>
                <w:sz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勘察现场</w:t>
            </w:r>
          </w:p>
        </w:tc>
        <w:tc>
          <w:tcPr>
            <w:tcW w:w="6615" w:type="dxa"/>
            <w:vAlign w:val="center"/>
          </w:tcPr>
          <w:p>
            <w:pPr>
              <w:rPr>
                <w:rFonts w:hint="eastAsia" w:cs="FangSong_GB2312" w:asciiTheme="minorEastAsia" w:hAnsiTheme="minorEastAsia" w:eastAsiaTheme="minorEastAsia"/>
                <w:color w:val="auto"/>
                <w:kern w:val="0"/>
                <w:sz w:val="24"/>
                <w:szCs w:val="24"/>
                <w:highlight w:val="none"/>
                <w:lang w:val="en-US" w:eastAsia="zh-CN" w:bidi="ar-SA"/>
              </w:rPr>
            </w:pPr>
            <w:r>
              <w:rPr>
                <w:rFonts w:hint="eastAsia" w:ascii="宋体" w:hAnsi="宋体" w:cs="宋体"/>
                <w:color w:val="auto"/>
                <w:sz w:val="24"/>
                <w:lang w:eastAsia="zh-CN"/>
              </w:rPr>
              <w:t>为确保项目顺利实施，</w:t>
            </w:r>
            <w:r>
              <w:rPr>
                <w:rFonts w:hint="eastAsia" w:ascii="宋体" w:hAnsi="宋体" w:cs="宋体"/>
                <w:color w:val="auto"/>
                <w:sz w:val="24"/>
              </w:rPr>
              <w:t>请</w:t>
            </w:r>
            <w:r>
              <w:rPr>
                <w:rFonts w:hint="eastAsia" w:ascii="宋体" w:hAnsi="宋体" w:cs="宋体"/>
                <w:color w:val="auto"/>
                <w:sz w:val="24"/>
                <w:lang w:eastAsia="zh-CN"/>
              </w:rPr>
              <w:t>潜在</w:t>
            </w:r>
            <w:r>
              <w:rPr>
                <w:rFonts w:hint="eastAsia" w:ascii="宋体" w:hAnsi="宋体" w:cs="宋体"/>
                <w:color w:val="auto"/>
                <w:sz w:val="24"/>
              </w:rPr>
              <w:t>供应商自行和项目联系人：</w:t>
            </w:r>
            <w:r>
              <w:rPr>
                <w:rFonts w:hint="eastAsia" w:ascii="宋体" w:hAnsi="宋体" w:cs="宋体"/>
                <w:color w:val="auto"/>
                <w:sz w:val="24"/>
                <w:lang w:eastAsia="zh-CN"/>
              </w:rPr>
              <w:t>郭思雷</w:t>
            </w:r>
            <w:r>
              <w:rPr>
                <w:rFonts w:hint="eastAsia" w:ascii="宋体" w:hAnsi="宋体" w:cs="宋体"/>
                <w:color w:val="auto"/>
                <w:sz w:val="24"/>
                <w:lang w:val="en-US" w:eastAsia="zh-CN"/>
              </w:rPr>
              <w:t xml:space="preserve"> </w:t>
            </w:r>
            <w:r>
              <w:rPr>
                <w:rFonts w:hint="eastAsia" w:ascii="宋体" w:hAnsi="宋体" w:cs="宋体"/>
                <w:color w:val="auto"/>
                <w:sz w:val="24"/>
              </w:rPr>
              <w:t>联系方</w:t>
            </w:r>
            <w:r>
              <w:rPr>
                <w:rFonts w:hint="eastAsia" w:ascii="宋体" w:hAnsi="宋体" w:cs="宋体"/>
                <w:color w:val="auto"/>
                <w:sz w:val="24"/>
                <w:lang w:eastAsia="zh-CN"/>
              </w:rPr>
              <w:t>式：</w:t>
            </w:r>
            <w:r>
              <w:rPr>
                <w:rFonts w:hint="eastAsia" w:ascii="宋体" w:hAnsi="宋体" w:cs="宋体"/>
                <w:color w:val="auto"/>
                <w:sz w:val="24"/>
                <w:lang w:val="en-US" w:eastAsia="zh-CN"/>
              </w:rPr>
              <w:t>13603942661</w:t>
            </w:r>
            <w:r>
              <w:rPr>
                <w:rFonts w:hint="eastAsia" w:ascii="宋体" w:hAnsi="宋体" w:cs="宋体"/>
                <w:color w:val="auto"/>
                <w:sz w:val="24"/>
                <w:lang w:eastAsia="zh-CN"/>
              </w:rPr>
              <w:t>联系，在下载</w:t>
            </w:r>
            <w:r>
              <w:rPr>
                <w:rFonts w:hint="eastAsia" w:ascii="宋体" w:hAnsi="宋体" w:cs="宋体"/>
                <w:color w:val="auto"/>
                <w:sz w:val="24"/>
                <w:lang w:val="en-US" w:eastAsia="zh-CN"/>
              </w:rPr>
              <w:t>磋商</w:t>
            </w:r>
            <w:r>
              <w:rPr>
                <w:rFonts w:hint="eastAsia" w:ascii="宋体" w:hAnsi="宋体" w:cs="宋体"/>
                <w:color w:val="auto"/>
                <w:sz w:val="24"/>
                <w:lang w:eastAsia="zh-CN"/>
              </w:rPr>
              <w:t>文件截止后第一个工作日上午9-12点，下午15-17点及时到现场进行实地勘查，</w:t>
            </w:r>
            <w:r>
              <w:rPr>
                <w:rFonts w:hint="eastAsia" w:ascii="宋体" w:hAnsi="宋体" w:cs="宋体"/>
                <w:color w:val="auto"/>
                <w:sz w:val="24"/>
              </w:rPr>
              <w:t>经采购人证实投标人已到现场</w:t>
            </w:r>
            <w:r>
              <w:rPr>
                <w:rFonts w:hint="eastAsia" w:ascii="宋体" w:hAnsi="宋体" w:cs="宋体"/>
                <w:color w:val="auto"/>
                <w:sz w:val="24"/>
                <w:lang w:eastAsia="zh-CN"/>
              </w:rPr>
              <w:t>勘察，开具加盖采购单位公章的勘察证明函，投标人将证明函原件放在投标响应文件中（电子标为原件扫描件）。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6615" w:type="dxa"/>
            <w:vAlign w:val="center"/>
          </w:tcPr>
          <w:p>
            <w:pPr>
              <w:widowControl/>
              <w:adjustRightInd w:val="0"/>
              <w:snapToGrid w:val="0"/>
              <w:spacing w:line="460" w:lineRule="exact"/>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本项目招标控制价：</w:t>
            </w:r>
            <w:r>
              <w:rPr>
                <w:rFonts w:hint="eastAsia" w:ascii="宋体" w:hAnsi="宋体" w:cs="宋体"/>
                <w:b w:val="0"/>
                <w:bCs/>
                <w:color w:val="auto"/>
                <w:sz w:val="24"/>
                <w:highlight w:val="none"/>
                <w:lang w:val="en-US" w:eastAsia="zh-CN"/>
              </w:rPr>
              <w:t>1116535.8</w:t>
            </w:r>
            <w:r>
              <w:rPr>
                <w:rFonts w:hint="eastAsia" w:ascii="宋体" w:hAnsi="宋体" w:eastAsia="宋体" w:cs="宋体"/>
                <w:b w:val="0"/>
                <w:bCs/>
                <w:color w:val="auto"/>
                <w:sz w:val="24"/>
                <w:highlight w:val="none"/>
              </w:rPr>
              <w:t>元</w:t>
            </w:r>
          </w:p>
          <w:p>
            <w:pPr>
              <w:tabs>
                <w:tab w:val="left" w:pos="8640"/>
              </w:tabs>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竞争性磋商申请报价高于招标控制价的视无效投标。</w:t>
            </w:r>
          </w:p>
        </w:tc>
      </w:tr>
    </w:tbl>
    <w:p>
      <w:pPr>
        <w:pStyle w:val="45"/>
        <w:ind w:firstLine="0" w:firstLineChars="0"/>
        <w:rPr>
          <w:rFonts w:hint="eastAsia" w:ascii="宋体" w:hAnsi="宋体" w:eastAsia="宋体" w:cs="宋体"/>
          <w:b/>
          <w:color w:val="auto"/>
          <w:sz w:val="24"/>
          <w:highlight w:val="none"/>
        </w:rPr>
      </w:pPr>
    </w:p>
    <w:p>
      <w:pPr>
        <w:spacing w:line="720" w:lineRule="auto"/>
        <w:jc w:val="center"/>
        <w:rPr>
          <w:rFonts w:hint="eastAsia" w:ascii="宋体" w:hAnsi="宋体" w:eastAsia="宋体" w:cs="宋体"/>
          <w:b/>
          <w:color w:val="auto"/>
          <w:sz w:val="24"/>
          <w:highlight w:val="none"/>
        </w:rPr>
      </w:pPr>
    </w:p>
    <w:p>
      <w:pPr>
        <w:spacing w:line="720" w:lineRule="auto"/>
        <w:jc w:val="center"/>
        <w:rPr>
          <w:rFonts w:hint="eastAsia" w:ascii="宋体" w:hAnsi="宋体" w:eastAsia="宋体" w:cs="宋体"/>
          <w:b/>
          <w:color w:val="auto"/>
          <w:sz w:val="24"/>
          <w:highlight w:val="none"/>
        </w:rPr>
      </w:pPr>
    </w:p>
    <w:p>
      <w:pPr>
        <w:pStyle w:val="44"/>
        <w:rPr>
          <w:rFonts w:hint="eastAsia"/>
          <w:color w:val="auto"/>
        </w:rPr>
      </w:pPr>
    </w:p>
    <w:p>
      <w:pPr>
        <w:spacing w:line="720" w:lineRule="auto"/>
        <w:jc w:val="center"/>
        <w:rPr>
          <w:rFonts w:hint="eastAsia" w:ascii="宋体" w:hAnsi="宋体" w:eastAsia="宋体" w:cs="宋体"/>
          <w:b/>
          <w:color w:val="auto"/>
          <w:sz w:val="24"/>
          <w:highlight w:val="none"/>
        </w:rPr>
      </w:pPr>
    </w:p>
    <w:p>
      <w:pPr>
        <w:spacing w:line="720" w:lineRule="auto"/>
        <w:jc w:val="center"/>
        <w:rPr>
          <w:rFonts w:hint="eastAsia" w:ascii="宋体" w:hAnsi="宋体" w:eastAsia="宋体" w:cs="宋体"/>
          <w:b/>
          <w:color w:val="auto"/>
          <w:sz w:val="24"/>
          <w:highlight w:val="none"/>
        </w:rPr>
      </w:pP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pPr>
        <w:spacing w:line="56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1．适用范围</w:t>
      </w:r>
    </w:p>
    <w:p>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1.1本竞争性磋商文件仅适用于本次竞争性磋商邀请函中所述</w:t>
      </w:r>
      <w:r>
        <w:rPr>
          <w:rFonts w:hint="eastAsia" w:ascii="宋体" w:hAnsi="宋体" w:eastAsia="宋体" w:cs="宋体"/>
          <w:bCs/>
          <w:color w:val="auto"/>
          <w:sz w:val="24"/>
          <w:highlight w:val="none"/>
        </w:rPr>
        <w:t>项目。</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2.1“采购代理机构”：周口市公共资源交易中心政府采购中心。</w:t>
      </w:r>
    </w:p>
    <w:p>
      <w:pPr>
        <w:tabs>
          <w:tab w:val="left" w:pos="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2.2“采购人”： </w:t>
      </w:r>
      <w:r>
        <w:rPr>
          <w:rFonts w:hint="eastAsia" w:ascii="宋体" w:hAnsi="宋体" w:cs="宋体"/>
          <w:color w:val="auto"/>
          <w:sz w:val="24"/>
          <w:highlight w:val="none"/>
          <w:lang w:eastAsia="zh-CN"/>
        </w:rPr>
        <w:t>鹿邑县林业局</w:t>
      </w:r>
      <w:r>
        <w:rPr>
          <w:rFonts w:hint="eastAsia" w:ascii="宋体" w:hAnsi="宋体" w:eastAsia="宋体" w:cs="宋体"/>
          <w:color w:val="auto"/>
          <w:sz w:val="24"/>
          <w:highlight w:val="none"/>
        </w:rPr>
        <w:t xml:space="preserve">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2.3“供应商”系指按竞争性磋商文件规定取得竞争性磋商文件并参加竞争性磋商活动的法人、其他组织或者自然人。</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2.4“供应商代表”：系指代表供应商参加本次竞争性磋商活动的供应商的法定代表人或其委托代理人。</w:t>
      </w:r>
    </w:p>
    <w:p>
      <w:pPr>
        <w:tabs>
          <w:tab w:val="left" w:pos="720"/>
          <w:tab w:val="left" w:pos="819"/>
        </w:tabs>
        <w:autoSpaceDE w:val="0"/>
        <w:autoSpaceDN w:val="0"/>
        <w:spacing w:before="194" w:line="388" w:lineRule="auto"/>
        <w:ind w:right="61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2.5“工程“：——指磋商供应商按磋商文件规定，须为采购人提供的工程施工及服务。</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2.7“重大违法记录”系指供应商因违法经营受到刑事处罚或者责令停产停业、吊销许可证或者执照、较大数额罚款等行政处罚。</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2.8“不具备良好的商业信誉”是指：</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（1）有重大违法记录的（满三年的除外）；</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（2）被各级财政部门列入政府采购严重违法失信行为信息记录的（期限已满的除外）；</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（3）被各级政府采购监督管理部门禁止在一定期限内参加政府采购活动等处罚的（期限已满的除外）；</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（4）被各级法院列入失信名单的（已依法解除的除外）；</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（5）法律法规规定的其他情形。</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3.采购预算</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3.1本次采购预算：见公告。</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4.合格的供应商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4.1.1符合供应商资格条件（详见第一部分供应商资格条件），并提供合格供应商的声明函</w:t>
      </w:r>
    </w:p>
    <w:p>
      <w:pPr>
        <w:widowControl/>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4.1.2</w:t>
      </w:r>
      <w:r>
        <w:rPr>
          <w:rFonts w:hint="eastAsia" w:ascii="宋体" w:hAnsi="宋体" w:eastAsia="宋体" w:cs="宋体"/>
          <w:color w:val="auto"/>
          <w:sz w:val="24"/>
          <w:highlight w:val="none"/>
        </w:rPr>
        <w:t>参加政府采购活动前三年内，在经营活动中没有重大违法记录</w:t>
      </w:r>
      <w:r>
        <w:rPr>
          <w:rFonts w:hint="eastAsia" w:ascii="宋体" w:hAnsi="宋体" w:eastAsia="宋体" w:cs="宋体"/>
          <w:bCs/>
          <w:color w:val="auto"/>
          <w:sz w:val="24"/>
          <w:highlight w:val="none"/>
        </w:rPr>
        <w:t>的声明函</w:t>
      </w:r>
      <w:r>
        <w:rPr>
          <w:rFonts w:hint="eastAsia" w:ascii="宋体" w:hAnsi="宋体" w:eastAsia="宋体" w:cs="宋体"/>
          <w:color w:val="auto"/>
          <w:sz w:val="24"/>
          <w:highlight w:val="none"/>
          <w:shd w:val="clear" w:color="auto" w:fill="FFFFFF"/>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 政府采购供应商诚信承诺书；</w:t>
      </w:r>
    </w:p>
    <w:p>
      <w:pPr>
        <w:pStyle w:val="2"/>
        <w:spacing w:line="360" w:lineRule="auto"/>
        <w:ind w:firstLine="480" w:firstLineChars="200"/>
        <w:rPr>
          <w:rFonts w:hint="eastAsia" w:ascii="宋体" w:hAnsi="宋体" w:eastAsia="宋体" w:cs="宋体"/>
          <w:color w:val="auto"/>
          <w:kern w:val="2"/>
          <w:sz w:val="24"/>
          <w:highlight w:val="none"/>
          <w:lang w:val="en-US"/>
        </w:rPr>
      </w:pPr>
      <w:r>
        <w:rPr>
          <w:rFonts w:hint="eastAsia" w:ascii="宋体" w:hAnsi="宋体" w:eastAsia="宋体" w:cs="宋体"/>
          <w:color w:val="auto"/>
          <w:kern w:val="2"/>
          <w:sz w:val="24"/>
          <w:highlight w:val="none"/>
          <w:lang w:val="en-US"/>
        </w:rPr>
        <w:t>4.1.4 供应商自觉抵制政府采购领域商业贿赂行为承诺书；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供应商需提供服务体系与承诺。</w:t>
      </w:r>
    </w:p>
    <w:p>
      <w:pPr>
        <w:pStyle w:val="2"/>
        <w:spacing w:line="360" w:lineRule="auto"/>
        <w:ind w:firstLine="480" w:firstLineChars="200"/>
        <w:rPr>
          <w:rFonts w:hint="eastAsia" w:ascii="宋体" w:hAnsi="宋体" w:eastAsia="宋体" w:cs="宋体"/>
          <w:color w:val="auto"/>
          <w:spacing w:val="15"/>
          <w:sz w:val="24"/>
          <w:highlight w:val="none"/>
        </w:rPr>
      </w:pPr>
      <w:r>
        <w:rPr>
          <w:rFonts w:hint="eastAsia" w:ascii="宋体" w:hAnsi="宋体" w:eastAsia="宋体" w:cs="宋体"/>
          <w:color w:val="auto"/>
          <w:kern w:val="2"/>
          <w:sz w:val="24"/>
          <w:highlight w:val="none"/>
          <w:lang w:val="en-US"/>
        </w:rPr>
        <w:t>4.3符合本竞争性磋商文件规定的供应商资格要求及</w:t>
      </w:r>
      <w:r>
        <w:rPr>
          <w:rFonts w:hint="eastAsia" w:ascii="宋体" w:hAnsi="宋体" w:eastAsia="宋体" w:cs="宋体"/>
          <w:color w:val="auto"/>
          <w:sz w:val="24"/>
          <w:highlight w:val="none"/>
        </w:rPr>
        <w:t>项目要求的其它条件，并按照要求提供相关证明材料。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4.4供应商应遵守国家法律、法规有关竞争性磋商的规定。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 凡通过磋商小组符合性审查的供应商均为合格供应商。未通过符合性审查的供应商将视为不响应本项目的竞争性磋商文件被否决。</w:t>
      </w:r>
    </w:p>
    <w:p>
      <w:pPr>
        <w:autoSpaceDE w:val="0"/>
        <w:autoSpaceDN w:val="0"/>
        <w:adjustRightInd w:val="0"/>
        <w:snapToGri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4.6 </w:t>
      </w:r>
      <w:r>
        <w:rPr>
          <w:rFonts w:hint="eastAsia" w:ascii="宋体" w:hAnsi="宋体" w:eastAsia="宋体" w:cs="宋体"/>
          <w:color w:val="auto"/>
          <w:sz w:val="24"/>
          <w:highlight w:val="none"/>
          <w:lang w:val="zh-CN"/>
        </w:rPr>
        <w:t>勘察现场：</w:t>
      </w:r>
    </w:p>
    <w:p>
      <w:pPr>
        <w:spacing w:line="560" w:lineRule="exact"/>
        <w:ind w:firstLine="480" w:firstLineChars="200"/>
        <w:rPr>
          <w:rFonts w:ascii="宋体" w:hAnsi="宋体" w:cs="宋体"/>
          <w:color w:val="auto"/>
          <w:sz w:val="24"/>
          <w:lang w:val="zh-CN"/>
        </w:rPr>
      </w:pPr>
      <w:r>
        <w:rPr>
          <w:rFonts w:hint="eastAsia" w:ascii="宋体" w:hAnsi="宋体" w:cs="宋体"/>
          <w:color w:val="auto"/>
          <w:sz w:val="24"/>
          <w:lang w:eastAsia="zh-CN"/>
        </w:rPr>
        <w:t>为确保项目顺利实施，</w:t>
      </w:r>
      <w:r>
        <w:rPr>
          <w:rFonts w:hint="eastAsia" w:ascii="宋体" w:hAnsi="宋体" w:cs="宋体"/>
          <w:color w:val="auto"/>
          <w:sz w:val="24"/>
        </w:rPr>
        <w:t>请</w:t>
      </w:r>
      <w:r>
        <w:rPr>
          <w:rFonts w:hint="eastAsia" w:ascii="宋体" w:hAnsi="宋体" w:cs="宋体"/>
          <w:color w:val="auto"/>
          <w:sz w:val="24"/>
          <w:lang w:eastAsia="zh-CN"/>
        </w:rPr>
        <w:t>潜在</w:t>
      </w:r>
      <w:r>
        <w:rPr>
          <w:rFonts w:hint="eastAsia" w:ascii="宋体" w:hAnsi="宋体" w:cs="宋体"/>
          <w:color w:val="auto"/>
          <w:sz w:val="24"/>
        </w:rPr>
        <w:t>供应商自行和项目联系人：</w:t>
      </w:r>
      <w:r>
        <w:rPr>
          <w:rFonts w:hint="eastAsia" w:ascii="宋体" w:hAnsi="宋体" w:cs="宋体"/>
          <w:color w:val="auto"/>
          <w:sz w:val="24"/>
          <w:lang w:eastAsia="zh-CN"/>
        </w:rPr>
        <w:t>赫梦想</w:t>
      </w:r>
      <w:r>
        <w:rPr>
          <w:rFonts w:hint="eastAsia" w:ascii="宋体" w:hAnsi="宋体" w:cs="宋体"/>
          <w:color w:val="auto"/>
          <w:sz w:val="24"/>
          <w:lang w:val="en-US" w:eastAsia="zh-CN"/>
        </w:rPr>
        <w:t xml:space="preserve"> </w:t>
      </w:r>
      <w:r>
        <w:rPr>
          <w:rFonts w:hint="eastAsia" w:ascii="宋体" w:hAnsi="宋体" w:cs="宋体"/>
          <w:color w:val="auto"/>
          <w:sz w:val="24"/>
        </w:rPr>
        <w:t>联系方</w:t>
      </w:r>
      <w:r>
        <w:rPr>
          <w:rFonts w:hint="eastAsia" w:ascii="宋体" w:hAnsi="宋体" w:cs="宋体"/>
          <w:color w:val="auto"/>
          <w:sz w:val="24"/>
          <w:lang w:eastAsia="zh-CN"/>
        </w:rPr>
        <w:t>式：</w:t>
      </w:r>
      <w:r>
        <w:rPr>
          <w:rFonts w:hint="eastAsia" w:ascii="宋体" w:hAnsi="宋体" w:cs="宋体"/>
          <w:color w:val="auto"/>
          <w:sz w:val="24"/>
          <w:lang w:val="en-US" w:eastAsia="zh-CN"/>
        </w:rPr>
        <w:t>15333888185</w:t>
      </w:r>
      <w:r>
        <w:rPr>
          <w:rFonts w:hint="eastAsia" w:ascii="宋体" w:hAnsi="宋体" w:cs="宋体"/>
          <w:color w:val="auto"/>
          <w:sz w:val="24"/>
          <w:lang w:eastAsia="zh-CN"/>
        </w:rPr>
        <w:t>联系，在下载招标文件截止后第一个工作日上午9-12点，下午15-17点及时到现场进行实地勘查，</w:t>
      </w:r>
      <w:r>
        <w:rPr>
          <w:rFonts w:hint="eastAsia" w:ascii="宋体" w:hAnsi="宋体" w:cs="宋体"/>
          <w:color w:val="auto"/>
          <w:sz w:val="24"/>
        </w:rPr>
        <w:t>经采购人证实投标人已到现场勘察，开具加盖采购单位公章的勘察证明函，投标人将证明函原件放在投标响应文件中（电子标为原件扫描件）。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注：单位负责人为同一人或者存在直接控股、管理关系的不同供应商，不得参加同一合同项下的政府采购活动。</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5.竞争性磋商文件的约束力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5.l供应商一旦参加竞争性磋商会，即被认为接受了本竞争性磋商文件中的所有条款和规定。</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5.3本磋商文件由采购人负责解释。</w:t>
      </w:r>
    </w:p>
    <w:p>
      <w:pPr>
        <w:pStyle w:val="45"/>
        <w:ind w:firstLine="480"/>
        <w:rPr>
          <w:rFonts w:hint="eastAsia" w:ascii="宋体" w:hAnsi="宋体" w:eastAsia="宋体" w:cs="宋体"/>
          <w:color w:val="auto"/>
          <w:sz w:val="24"/>
          <w:highlight w:val="none"/>
        </w:rPr>
      </w:pP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二、竞争性磋商文件</w:t>
      </w:r>
    </w:p>
    <w:p>
      <w:pPr>
        <w:tabs>
          <w:tab w:val="left" w:pos="632"/>
          <w:tab w:val="left" w:pos="790"/>
        </w:tabs>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6．竞争性磋商文件的组成</w:t>
      </w:r>
    </w:p>
    <w:p>
      <w:pPr>
        <w:autoSpaceDE w:val="0"/>
        <w:autoSpaceDN w:val="0"/>
        <w:adjustRightIn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6.1竞争性磋商</w:t>
      </w:r>
      <w:r>
        <w:rPr>
          <w:rFonts w:hint="eastAsia" w:ascii="宋体" w:hAnsi="宋体" w:eastAsia="宋体" w:cs="宋体"/>
          <w:color w:val="auto"/>
          <w:sz w:val="24"/>
          <w:highlight w:val="none"/>
          <w:lang w:val="zh-CN"/>
        </w:rPr>
        <w:t>文件是用以阐明的采购需求、采购程序和合同格式等的规范性文件。竞争性磋商文件主要由以下部分组成：</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（1）竞争性磋商邀请函；</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（2）供应商须知；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（3）采购项目内容及要求；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（4）响应性文件内容及格式；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（5）周口市政府采购合同（工程类）标准文本。</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7.竞争性磋商文件的澄清与修改</w:t>
      </w:r>
    </w:p>
    <w:p>
      <w:pPr>
        <w:autoSpaceDE w:val="0"/>
        <w:autoSpaceDN w:val="0"/>
        <w:adjustRightInd w:val="0"/>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三、响应性文件的编制</w:t>
      </w:r>
    </w:p>
    <w:p>
      <w:pPr>
        <w:spacing w:line="5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8.1供应商应仔细阅读、并充分理解竞争性磋商文件的所有内容，按照竞争性磋商文件的要求编制、提交响应性文件</w:t>
      </w:r>
      <w:r>
        <w:rPr>
          <w:rFonts w:hint="eastAsia" w:ascii="宋体" w:hAnsi="宋体" w:eastAsia="宋体" w:cs="宋体"/>
          <w:color w:val="auto"/>
          <w:spacing w:val="-3"/>
          <w:sz w:val="24"/>
          <w:highlight w:val="none"/>
        </w:rPr>
        <w:t>，如果有异议在规定的时间内提出，没有异议需做出“无异议”承诺书，承诺书作为响应文件的组织部分，否则为无效响应文件。</w:t>
      </w:r>
      <w:r>
        <w:rPr>
          <w:rFonts w:hint="eastAsia" w:ascii="宋体" w:hAnsi="宋体" w:eastAsia="宋体" w:cs="宋体"/>
          <w:color w:val="auto"/>
          <w:sz w:val="24"/>
          <w:highlight w:val="none"/>
        </w:rPr>
        <w:t>响应性文件应对竞争性磋商文件的要求作出实质性响应，并保证及承诺所提供的全部资料的真实性、合法性，否则其响应性文件将作为无效处理。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8.2任何对竞争性磋商文件的忽略或误解不能作为响应性文件没有完全响应竞争性磋商文件的有效理由。</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pPr>
        <w:pStyle w:val="54"/>
        <w:spacing w:line="360" w:lineRule="auto"/>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8.4 供应商需承诺自行承担参加竞争性磋商采购活动有关的全部费用，竞争性磋商组织人在任何情况下均无义务和责任承担上述费用。</w:t>
      </w:r>
    </w:p>
    <w:p>
      <w:pPr>
        <w:widowControl/>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9.响应性文件的语言及度量衡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9.1响应性文件以及供应商与采购代理机构之间的所有书面往来都应用简体中文书写。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9.2供应商使用其他语言的，以中文翻译为准。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9.4本竞争性磋商文件所表述的时间均为北京时间。</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10.响应性文件的组成</w:t>
      </w:r>
    </w:p>
    <w:p>
      <w:pPr>
        <w:widowControl/>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10.1响应性文件由资格性证明材料、符合性证明材料、其他材料等组成。具体内容和格式见竞争性磋商文件第四章。</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11.响应性文件格式</w:t>
      </w:r>
    </w:p>
    <w:p>
      <w:pPr>
        <w:widowControl/>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12.竞争性磋商报价</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12.1报价包括所投工程、税费、材料、现场落地、验收和交付后约定期限内免费维保等工作所发生的一切应有费用。确保整体通过用户方及有关主管部门验收，所发生的的验收费用由供应商承担；</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12.2经过磋商后进行的报价为供应商的最终报价。</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12.3采购人不接受有选择的报价。</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12.4最终报价不得超过采购预算。</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12.5报价均须以人民币为计算单位。</w:t>
      </w:r>
    </w:p>
    <w:p>
      <w:pPr>
        <w:spacing w:line="5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13．响应性文件有效期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13.l响应性文件有效期为响应文件递交截止之日起60日历天，有效期短于此规定的响应性文件将被视为无效。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14.响应性文件的签署、盖章</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响应文件需要供应商法定代表人或委托代理人逐页签字或盖章。</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14.3供应商提交的资料应证明其满足竞争性磋商文件要求，该文件可以是文字资料、图纸和数据等详细描述的资料。</w:t>
      </w:r>
    </w:p>
    <w:p>
      <w:pPr>
        <w:numPr>
          <w:ilvl w:val="0"/>
          <w:numId w:val="4"/>
        </w:num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响应性文件的递交</w:t>
      </w:r>
    </w:p>
    <w:p>
      <w:pPr>
        <w:spacing w:line="5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加密的电子磋商响应文件，应在磋商截止时间前通过周口市公共资源交易中心会员系统上传；本项目实行网上远程开标，未加密的电子响应文件和纸质投标文件均不再提交。在解密响应文件开始时30分钟内进行解密，超时视为放弃递交响应文件。</w:t>
      </w:r>
    </w:p>
    <w:p>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加密的电子响应文件为使用周口市公共资源交易中心提供的电子标书制作工具软件（http://jyzx.zhoukou.gov.cn网上下载）制作生成的加密版响应文件。投标人报名成功后，如未在招标文件规定的投标时间截止前上传网上响应文件，投标无效。</w:t>
      </w:r>
    </w:p>
    <w:p>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供应商须使用单位CA证书进行电子响应文件远程解密，详见周口市公共资源电子交易中心网站（网址：http://jyzx.zhoukou.gov.cn）办事指南《不见面开标远程在线解密会员端操作手册操作指南》。</w:t>
      </w:r>
    </w:p>
    <w:p>
      <w:pPr>
        <w:spacing w:line="5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16.响应性文件的递交</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16.2若采购人推迟了响应性文件接收截止时间，采购人和供应商受响应性文件接收截止时间制约的所有权利和义务均应以新的截止时间为准。 </w:t>
      </w:r>
    </w:p>
    <w:p>
      <w:pPr>
        <w:pStyle w:val="75"/>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17</w:t>
      </w:r>
      <w:r>
        <w:rPr>
          <w:rFonts w:hint="eastAsia" w:ascii="宋体" w:hAnsi="宋体" w:eastAsia="宋体" w:cs="宋体"/>
          <w:b/>
          <w:color w:val="auto"/>
          <w:sz w:val="24"/>
          <w:szCs w:val="24"/>
          <w:highlight w:val="none"/>
        </w:rPr>
        <w:t>.响应性文件的修改和撤回</w:t>
      </w:r>
    </w:p>
    <w:p>
      <w:pPr>
        <w:pStyle w:val="75"/>
        <w:spacing w:line="560" w:lineRule="exact"/>
        <w:ind w:left="279" w:leftChars="133" w:firstLine="240" w:firstLineChars="1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17.3供应商在响应性文件接收截止时间后不得修改、撤回响应性文件。供应商在响应性文件接收截止时间后修改响应性文件的，将被拒绝接受。</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17.4供应商有下列情形之一的，采购人将拒绝接受其响应性文件：</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17.4.1在竞争性磋商文件规定的响应性文件接收截止时间之后递交响应性文件的；</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17.4.2响应性文件未按竞争性磋商文件规定密封、签署、盖章的；</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17.4.3一个供应商不止递交一套响应性文件的。</w:t>
      </w: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五、竞争性磋商</w:t>
      </w:r>
    </w:p>
    <w:p>
      <w:pPr>
        <w:spacing w:line="560" w:lineRule="exact"/>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18.组建</w:t>
      </w:r>
      <w:r>
        <w:rPr>
          <w:rFonts w:hint="eastAsia" w:ascii="宋体" w:hAnsi="宋体" w:eastAsia="宋体" w:cs="宋体"/>
          <w:b/>
          <w:color w:val="auto"/>
          <w:sz w:val="24"/>
          <w:highlight w:val="none"/>
          <w:lang w:val="zh-CN"/>
        </w:rPr>
        <w:t>竞争性磋商小组</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18.1采购人根据采购项目的特点依法组建竞争性磋商小组。</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18.2竞争性磋商小组</w:t>
      </w:r>
      <w:r>
        <w:rPr>
          <w:rFonts w:hint="eastAsia" w:ascii="宋体" w:hAnsi="宋体" w:eastAsia="宋体" w:cs="宋体"/>
          <w:bCs/>
          <w:color w:val="auto"/>
          <w:kern w:val="0"/>
          <w:sz w:val="24"/>
          <w:highlight w:val="none"/>
        </w:rPr>
        <w:t>确认竞争性磋商文件，并</w:t>
      </w:r>
      <w:r>
        <w:rPr>
          <w:rFonts w:hint="eastAsia" w:ascii="宋体" w:hAnsi="宋体" w:eastAsia="宋体" w:cs="宋体"/>
          <w:color w:val="auto"/>
          <w:kern w:val="0"/>
          <w:sz w:val="24"/>
          <w:highlight w:val="none"/>
        </w:rPr>
        <w:t>负责具体评审事务，根据有关法律法规和竞争性磋商文件规定的评审程序，按照评审方法及评审标准独立履行竞争性磋商小组职责。</w:t>
      </w:r>
    </w:p>
    <w:p>
      <w:pPr>
        <w:pStyle w:val="54"/>
        <w:spacing w:line="360"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18.3投标人不得以任何方式干扰、影响评标工作。</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19.资格性和符合性审查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19.1.1资格性审查的内容包括：竞争性磋商文件规定的供应商资格条件；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19.2.1符合性审查的内容包括：</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（1）响应性文件的有效性(签署情况等)；</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（2）响应性文件的完整性；</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（3）对竞争性磋商文件的响应程度（是否存在重大负偏离等）。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以上资格性审查和符合性审查的内容只要有一条不满足，则响应性文件无效，将不进入竞争性磋商程序。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注意事项：资格性、符合性证明材料见竞争性磋商文件第四章规定。</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19.6竞争性磋商小组审定响应性文件的响应性只根据响应性文件本身的内容而不寻求外部证据。</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19.7凡有下列情况之一的，其响应性文件也被视为未实质性响应竞争性磋商文件，按照无效处理（不再参加竞争性磋商）：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19.7.1未按竞争性磋商文件规定要求</w:t>
      </w:r>
      <w:r>
        <w:rPr>
          <w:rFonts w:hint="eastAsia" w:ascii="宋体" w:hAnsi="宋体" w:eastAsia="宋体" w:cs="宋体"/>
          <w:color w:val="auto"/>
          <w:sz w:val="24"/>
          <w:highlight w:val="none"/>
          <w:lang w:val="zh-CN"/>
        </w:rPr>
        <w:t>签署、盖章的；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19.7.2资格证明文件不全的，或不符合竞争性磋商文件中规定的资格要求的；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19.7.3供应商代表未能出具有效身份证明，或与身份不符的；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19.7.4不符合竞争性磋商文件规定的实质性要求的；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19.7.5响应性文件内容不齐全或内容虚假的；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19.7.6响应性文件的实质性内容未使用中文表述；</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19.7.7响应性文件的内容修改处未按规定签名或盖章的；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19.7.8违反法律、行政法规、竞争性磋商文件规定的其他情形的。</w:t>
      </w:r>
    </w:p>
    <w:p>
      <w:pPr>
        <w:pStyle w:val="45"/>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19.7.9不同供应商在同一台计算机生成的响应文件。</w:t>
      </w:r>
    </w:p>
    <w:p>
      <w:pPr>
        <w:pStyle w:val="45"/>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19.7.10未提供经会计师事务所或审计机构审计的财务会计报表，包括资产负债表、现金流量表、利润表和财务情况说明书；</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19.8.1不同供应商的响应性文件互相混装的；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19.8.2不同供应商授权同一人作为供应商委托代理人的；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19.8.3不同供应商的响应性文件载明的项目管理成员为同一人的；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19.8.4有证据证明供应商与采购人、采购代理机构或者其他供应商串通的其他情形；</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19.8.5竞争性磋商小组认定的其他串通情形。</w:t>
      </w:r>
    </w:p>
    <w:p>
      <w:pPr>
        <w:pStyle w:val="57"/>
        <w:rPr>
          <w:rFonts w:hint="eastAsia" w:ascii="宋体" w:hAnsi="宋体" w:eastAsia="宋体" w:cs="宋体"/>
          <w:color w:val="auto"/>
          <w:sz w:val="24"/>
          <w:szCs w:val="24"/>
          <w:highlight w:val="none"/>
        </w:rPr>
      </w:pPr>
    </w:p>
    <w:tbl>
      <w:tblPr>
        <w:tblStyle w:val="4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9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665" w:type="dxa"/>
            <w:tcBorders>
              <w:bottom w:val="single" w:color="auto" w:sz="4" w:space="0"/>
            </w:tcBorders>
            <w:vAlign w:val="center"/>
          </w:tcPr>
          <w:p>
            <w:pPr>
              <w:pStyle w:val="9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指标名称</w:t>
            </w:r>
          </w:p>
        </w:tc>
        <w:tc>
          <w:tcPr>
            <w:tcW w:w="1937"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指标要求</w:t>
            </w:r>
          </w:p>
        </w:tc>
        <w:tc>
          <w:tcPr>
            <w:tcW w:w="82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通过</w:t>
            </w:r>
          </w:p>
        </w:tc>
        <w:tc>
          <w:tcPr>
            <w:tcW w:w="2371"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投标文件格式及</w:t>
            </w:r>
          </w:p>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营业执照</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65" w:type="dxa"/>
            <w:vAlign w:val="center"/>
          </w:tcPr>
          <w:p>
            <w:pPr>
              <w:spacing w:after="50" w:line="360" w:lineRule="auto"/>
              <w:ind w:right="-1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法定代表人及身份证</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665" w:type="dxa"/>
            <w:vAlign w:val="center"/>
          </w:tcPr>
          <w:p>
            <w:pPr>
              <w:spacing w:after="50" w:line="360" w:lineRule="auto"/>
              <w:ind w:right="-1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纳税凭证和社保证明</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财务审计报告</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“信用中国”“中国政府采购网”查询</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响应文件签字盖章格式</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工期</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响应文件有效期</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工程技术要求</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665" w:type="dxa"/>
            <w:vAlign w:val="center"/>
          </w:tcPr>
          <w:p>
            <w:pPr>
              <w:spacing w:after="50" w:line="360" w:lineRule="auto"/>
              <w:ind w:right="-1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其他实质性要求</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665" w:type="dxa"/>
            <w:vAlign w:val="center"/>
          </w:tcPr>
          <w:p>
            <w:pPr>
              <w:spacing w:after="50" w:line="360" w:lineRule="auto"/>
              <w:ind w:right="-1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结论</w:t>
            </w:r>
          </w:p>
        </w:tc>
        <w:tc>
          <w:tcPr>
            <w:tcW w:w="5133" w:type="dxa"/>
            <w:gridSpan w:val="3"/>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是否通过审查</w:t>
            </w:r>
          </w:p>
        </w:tc>
      </w:tr>
    </w:tbl>
    <w:p>
      <w:pPr>
        <w:pStyle w:val="57"/>
        <w:rPr>
          <w:rFonts w:hint="eastAsia" w:ascii="宋体" w:hAnsi="宋体" w:eastAsia="宋体" w:cs="宋体"/>
          <w:color w:val="auto"/>
          <w:sz w:val="24"/>
          <w:szCs w:val="24"/>
          <w:highlight w:val="none"/>
        </w:rPr>
      </w:pP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20.响应性文件的澄清</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20.4供应商的书面澄清材料作为响应性文件的补充。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20.5竞争性磋商小组不得接受供应商主动提出的澄清和解释。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20.6并非每个供应商都将被询问、澄清。</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21.竞争性磋商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21.1资格性审查和符合性审查合格的供应商，将进入本次竞争性磋商程序。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21.2竞争性磋商将按照供应商的签到顺序进行。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21.3磋商内容包括：</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21.3.1按照竞争性磋商文件中商务部分的内容，对照供应商提交的响应文件逐一进行比较各项指标和要求。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21.3.2按照竞争性磋商文件中技术部分的内容，对照供应商提交的响应文件逐一进行比较各项指标和要求。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21.3.3按照竞争性磋商文件中合同条款部分的内容，对照供应商提交的响应文件逐一进行比较各项指标和要求。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21.3.4在磋商中，磋商的任何一方不得透露与磋商有关的其他供应商的技术资料及其他信息。</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21.4</w:t>
      </w:r>
      <w:r>
        <w:rPr>
          <w:rFonts w:hint="eastAsia" w:ascii="宋体" w:hAnsi="宋体" w:eastAsia="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21.4.1</w:t>
      </w:r>
      <w:r>
        <w:rPr>
          <w:rFonts w:hint="eastAsia" w:ascii="宋体" w:hAnsi="宋体" w:eastAsia="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w:t>
      </w:r>
      <w:r>
        <w:rPr>
          <w:rFonts w:hint="eastAsia" w:ascii="宋体" w:hAnsi="宋体" w:eastAsia="宋体" w:cs="宋体"/>
          <w:color w:val="auto"/>
          <w:sz w:val="24"/>
          <w:highlight w:val="none"/>
          <w:lang w:val="zh-CN"/>
        </w:rPr>
        <w:t>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21.5本项目采取</w:t>
      </w:r>
      <w:r>
        <w:rPr>
          <w:rFonts w:hint="eastAsia" w:ascii="宋体" w:hAnsi="宋体" w:cs="宋体"/>
          <w:color w:val="auto"/>
          <w:sz w:val="24"/>
          <w:highlight w:val="none"/>
          <w:lang w:val="zh-CN"/>
        </w:rPr>
        <w:t>一</w:t>
      </w:r>
      <w:r>
        <w:rPr>
          <w:rFonts w:hint="eastAsia" w:ascii="宋体" w:hAnsi="宋体" w:eastAsia="宋体" w:cs="宋体"/>
          <w:color w:val="auto"/>
          <w:sz w:val="24"/>
          <w:highlight w:val="none"/>
          <w:lang w:val="zh-CN"/>
        </w:rPr>
        <w:t>次报价</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21.5.1. 本次竞争性磋商以</w:t>
      </w:r>
      <w:r>
        <w:rPr>
          <w:rFonts w:hint="eastAsia" w:ascii="宋体" w:hAnsi="宋体" w:cs="宋体"/>
          <w:color w:val="auto"/>
          <w:sz w:val="24"/>
          <w:highlight w:val="none"/>
          <w:lang w:val="zh-CN"/>
        </w:rPr>
        <w:t>投标函</w:t>
      </w:r>
      <w:r>
        <w:rPr>
          <w:rFonts w:hint="eastAsia" w:ascii="宋体" w:hAnsi="宋体" w:eastAsia="宋体" w:cs="宋体"/>
          <w:color w:val="auto"/>
          <w:sz w:val="24"/>
          <w:highlight w:val="none"/>
          <w:lang w:val="zh-CN"/>
        </w:rPr>
        <w:t>和开标记录上报价为</w:t>
      </w:r>
      <w:r>
        <w:rPr>
          <w:rFonts w:hint="eastAsia" w:ascii="宋体" w:hAnsi="宋体" w:cs="宋体"/>
          <w:color w:val="auto"/>
          <w:sz w:val="24"/>
          <w:highlight w:val="none"/>
          <w:lang w:val="zh-CN"/>
        </w:rPr>
        <w:t>有效报</w:t>
      </w:r>
      <w:r>
        <w:rPr>
          <w:rFonts w:hint="eastAsia" w:ascii="宋体" w:hAnsi="宋体" w:eastAsia="宋体" w:cs="宋体"/>
          <w:color w:val="auto"/>
          <w:sz w:val="24"/>
          <w:highlight w:val="none"/>
          <w:lang w:val="zh-CN"/>
        </w:rPr>
        <w:t>价。</w:t>
      </w: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六、评定标准</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22.竞争性磋商过程及保密原则</w:t>
      </w:r>
    </w:p>
    <w:p>
      <w:pPr>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pPr>
        <w:pStyle w:val="54"/>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22.1.1供应商不得相互串通投标或者与采购人串通投标，不得向采购人或者评标委员会成员行贿谋取中标。</w:t>
      </w:r>
    </w:p>
    <w:p>
      <w:pPr>
        <w:pStyle w:val="54"/>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22.1.2供应商不得妨碍其他供应商的公平竞争，不得损害采购人或其他供应商的合法权益，供应商不得采取其他不正当手段谋取中标。</w:t>
      </w:r>
    </w:p>
    <w:p>
      <w:pPr>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22.1.3采购代理机构在评标结束后2个工作日内将评标报告送采购人。采购人自收到评标报告之日起５个工作日内，在评标报告确定的中标候选人名单中确定中标人。</w:t>
      </w:r>
    </w:p>
    <w:p>
      <w:pPr>
        <w:pStyle w:val="29"/>
        <w:spacing w:after="0" w:line="560" w:lineRule="exact"/>
        <w:ind w:left="0" w:leftChars="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22.2对通过初步审查的响应文件，采用百分制综合评分法进行评价。</w:t>
      </w:r>
    </w:p>
    <w:p>
      <w:pPr>
        <w:spacing w:line="360" w:lineRule="auto"/>
        <w:ind w:right="-92" w:rightChars="-44"/>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w:t>
      </w:r>
    </w:p>
    <w:p>
      <w:pPr>
        <w:pStyle w:val="45"/>
        <w:ind w:firstLine="480"/>
        <w:rPr>
          <w:rFonts w:hint="eastAsia" w:ascii="宋体" w:hAnsi="宋体" w:eastAsia="宋体" w:cs="宋体"/>
          <w:color w:val="auto"/>
          <w:sz w:val="24"/>
          <w:highlight w:val="none"/>
        </w:rPr>
      </w:pPr>
    </w:p>
    <w:tbl>
      <w:tblPr>
        <w:tblStyle w:val="46"/>
        <w:tblW w:w="10022" w:type="dxa"/>
        <w:jc w:val="center"/>
        <w:tblLayout w:type="fixed"/>
        <w:tblCellMar>
          <w:top w:w="0" w:type="dxa"/>
          <w:left w:w="108" w:type="dxa"/>
          <w:bottom w:w="0" w:type="dxa"/>
          <w:right w:w="108" w:type="dxa"/>
        </w:tblCellMar>
      </w:tblPr>
      <w:tblGrid>
        <w:gridCol w:w="2113"/>
        <w:gridCol w:w="744"/>
        <w:gridCol w:w="1548"/>
        <w:gridCol w:w="3051"/>
        <w:gridCol w:w="2566"/>
      </w:tblGrid>
      <w:tr>
        <w:tblPrEx>
          <w:tblCellMar>
            <w:top w:w="0" w:type="dxa"/>
            <w:left w:w="108" w:type="dxa"/>
            <w:bottom w:w="0" w:type="dxa"/>
            <w:right w:w="108" w:type="dxa"/>
          </w:tblCellMar>
        </w:tblPrEx>
        <w:trPr>
          <w:trHeight w:val="252"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评分指标</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w:t>
            </w:r>
          </w:p>
        </w:tc>
        <w:tc>
          <w:tcPr>
            <w:tcW w:w="45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评分依据</w:t>
            </w:r>
          </w:p>
        </w:tc>
      </w:tr>
      <w:tr>
        <w:tblPrEx>
          <w:tblCellMar>
            <w:top w:w="0" w:type="dxa"/>
            <w:left w:w="108" w:type="dxa"/>
            <w:bottom w:w="0" w:type="dxa"/>
            <w:right w:w="108" w:type="dxa"/>
          </w:tblCellMar>
        </w:tblPrEx>
        <w:trPr>
          <w:trHeight w:val="700"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报价得分（30分）</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（30分）</w:t>
            </w:r>
          </w:p>
        </w:tc>
        <w:tc>
          <w:tcPr>
            <w:tcW w:w="7165"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uto"/>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价格分应当采用低价优先法计算，即满足招标文件要求且投标价格最低的投标报价为评标基准价，其价格分为满分。其他投标人的价格分统一按照下列公式计算：</w:t>
            </w:r>
          </w:p>
          <w:p>
            <w:pPr>
              <w:widowControl/>
              <w:spacing w:line="300" w:lineRule="auto"/>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　　投标报价得分=(评标基准价／投标报价)×</w:t>
            </w: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0</w:t>
            </w:r>
          </w:p>
          <w:p>
            <w:pPr>
              <w:widowControl/>
              <w:spacing w:line="300" w:lineRule="auto"/>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注：价格分计算保留小数点后二位。</w:t>
            </w:r>
          </w:p>
          <w:p>
            <w:pPr>
              <w:widowControl/>
              <w:spacing w:line="300" w:lineRule="auto"/>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根据财政部、工信部关于印发《政府采购促进中小企业发展管理办法》的通知（财库〔2020〕46号 ）文件规定：</w:t>
            </w:r>
          </w:p>
          <w:p>
            <w:pPr>
              <w:widowControl/>
              <w:spacing w:line="300" w:lineRule="auto"/>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（1）对小微企业报价给予</w:t>
            </w: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%扣除，请按照《政府采购促进中小企业发展管理办法》要求提供中小企业声明函。</w:t>
            </w:r>
          </w:p>
          <w:p>
            <w:pPr>
              <w:widowControl/>
              <w:spacing w:line="300" w:lineRule="auto"/>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（2）关于监狱企业：视同小微企业。须提供由省级以上监狱管理局、戒毒管理局（含新疆生产建设兵团）出具的属于监狱企业的证明文件，否则不考虑价格扣除。</w:t>
            </w:r>
          </w:p>
          <w:p>
            <w:pPr>
              <w:widowControl/>
              <w:spacing w:line="300" w:lineRule="auto"/>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（3）关于残疾人福利性单位：视同小微企业。须提供完整的“残疾人福利性单位声明函”，否则在价格评审时不予考虑价格扣除。残疾人福利性单位属于小型、微型企业的，不重复享受政策。</w:t>
            </w:r>
          </w:p>
          <w:p>
            <w:pPr>
              <w:widowControl/>
              <w:spacing w:line="300" w:lineRule="auto"/>
              <w:textAlignment w:val="center"/>
              <w:rPr>
                <w:rFonts w:hint="eastAsia" w:ascii="宋体" w:hAnsi="宋体" w:eastAsia="宋体" w:cs="宋体"/>
                <w:color w:val="auto"/>
                <w:sz w:val="24"/>
                <w:highlight w:val="none"/>
              </w:rPr>
            </w:pPr>
            <w:r>
              <w:rPr>
                <w:rFonts w:hint="eastAsia" w:ascii="宋体" w:hAnsi="宋体" w:cs="宋体"/>
                <w:color w:val="auto"/>
                <w:kern w:val="0"/>
                <w:sz w:val="22"/>
                <w:szCs w:val="22"/>
                <w:lang w:bidi="ar"/>
              </w:rPr>
              <w:t>（4）没有提供有效证明材料的供应商将被视为不接受投标总价的扣除，用原投标总价参与评审。</w:t>
            </w:r>
          </w:p>
        </w:tc>
      </w:tr>
      <w:tr>
        <w:tblPrEx>
          <w:tblCellMar>
            <w:top w:w="0" w:type="dxa"/>
            <w:left w:w="108" w:type="dxa"/>
            <w:bottom w:w="0" w:type="dxa"/>
            <w:right w:w="108" w:type="dxa"/>
          </w:tblCellMar>
        </w:tblPrEx>
        <w:trPr>
          <w:trHeight w:val="1776" w:hRule="atLeast"/>
          <w:jc w:val="center"/>
        </w:trPr>
        <w:tc>
          <w:tcPr>
            <w:tcW w:w="2113" w:type="dxa"/>
            <w:vMerge w:val="restart"/>
            <w:tcBorders>
              <w:top w:val="single" w:color="auto" w:sz="4" w:space="0"/>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r>
              <w:rPr>
                <w:rFonts w:hint="eastAsia" w:ascii="宋体" w:hAnsi="宋体" w:eastAsia="宋体" w:cs="宋体"/>
                <w:b/>
                <w:bCs/>
                <w:color w:val="auto"/>
                <w:sz w:val="24"/>
                <w:highlight w:val="none"/>
              </w:rPr>
              <w:t>技术部分(54分）</w:t>
            </w:r>
          </w:p>
        </w:tc>
        <w:tc>
          <w:tcPr>
            <w:tcW w:w="744" w:type="dxa"/>
            <w:vMerge w:val="restart"/>
            <w:tcBorders>
              <w:top w:val="single" w:color="auto" w:sz="4" w:space="0"/>
              <w:left w:val="single" w:color="auto" w:sz="4" w:space="0"/>
              <w:right w:val="single" w:color="auto" w:sz="4" w:space="0"/>
            </w:tcBorders>
            <w:vAlign w:val="center"/>
          </w:tcPr>
          <w:p>
            <w:pPr>
              <w:pStyle w:val="44"/>
              <w:ind w:right="-21" w:firstLine="0" w:firstLineChars="0"/>
              <w:rPr>
                <w:rFonts w:hint="eastAsia" w:ascii="宋体" w:hAnsi="宋体" w:eastAsia="宋体" w:cs="宋体"/>
                <w:color w:val="auto"/>
                <w:sz w:val="20"/>
                <w:szCs w:val="21"/>
                <w:highlight w:val="none"/>
              </w:rPr>
            </w:pPr>
            <w:r>
              <w:rPr>
                <w:rFonts w:hint="eastAsia" w:ascii="宋体" w:hAnsi="宋体" w:eastAsia="宋体" w:cs="宋体"/>
                <w:b/>
                <w:bCs/>
                <w:color w:val="auto"/>
                <w:sz w:val="24"/>
                <w:highlight w:val="none"/>
              </w:rPr>
              <w:t>（54分）</w:t>
            </w:r>
          </w:p>
        </w:tc>
        <w:tc>
          <w:tcPr>
            <w:tcW w:w="1548" w:type="dxa"/>
            <w:tcBorders>
              <w:top w:val="single" w:color="auto" w:sz="4" w:space="0"/>
              <w:left w:val="single" w:color="auto" w:sz="4" w:space="0"/>
              <w:right w:val="single" w:color="auto" w:sz="4" w:space="0"/>
            </w:tcBorders>
            <w:vAlign w:val="center"/>
          </w:tcPr>
          <w:p>
            <w:pPr>
              <w:pStyle w:val="54"/>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施工方案和技术措施</w:t>
            </w:r>
            <w:r>
              <w:rPr>
                <w:rFonts w:hint="eastAsia" w:ascii="宋体" w:hAnsi="宋体" w:eastAsia="宋体" w:cs="宋体"/>
                <w:color w:val="auto"/>
                <w:highlight w:val="none"/>
              </w:rPr>
              <w:t>（9分）</w:t>
            </w:r>
          </w:p>
        </w:tc>
        <w:tc>
          <w:tcPr>
            <w:tcW w:w="5617" w:type="dxa"/>
            <w:gridSpan w:val="2"/>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1、有施工方案和技术措施（含工程特点、施工重点与难点及绿色施工）得9分，缺一项扣3分扣完为止。</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449"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right w:val="single" w:color="auto" w:sz="4" w:space="0"/>
            </w:tcBorders>
            <w:vAlign w:val="center"/>
          </w:tcPr>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质量管理体系与措施（6分）</w:t>
            </w:r>
          </w:p>
        </w:tc>
        <w:tc>
          <w:tcPr>
            <w:tcW w:w="5617" w:type="dxa"/>
            <w:gridSpan w:val="2"/>
            <w:tcBorders>
              <w:top w:val="single" w:color="auto" w:sz="4" w:space="0"/>
              <w:left w:val="single" w:color="auto" w:sz="4" w:space="0"/>
              <w:right w:val="single" w:color="auto" w:sz="4" w:space="0"/>
            </w:tcBorders>
            <w:vAlign w:val="center"/>
          </w:tcPr>
          <w:p>
            <w:pPr>
              <w:pStyle w:val="44"/>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1、提供质量管理体系与保证措施得6分，</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555"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right w:val="single" w:color="auto" w:sz="4" w:space="0"/>
            </w:tcBorders>
            <w:vAlign w:val="center"/>
          </w:tcPr>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安全管理体系与措施（6分）</w:t>
            </w:r>
          </w:p>
        </w:tc>
        <w:tc>
          <w:tcPr>
            <w:tcW w:w="5617" w:type="dxa"/>
            <w:gridSpan w:val="2"/>
            <w:tcBorders>
              <w:top w:val="single" w:color="auto" w:sz="4" w:space="0"/>
              <w:left w:val="single" w:color="auto" w:sz="4" w:space="0"/>
              <w:right w:val="single" w:color="auto" w:sz="4" w:space="0"/>
            </w:tcBorders>
            <w:vAlign w:val="center"/>
          </w:tcPr>
          <w:p>
            <w:pPr>
              <w:pStyle w:val="44"/>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1、提供施工安全生产保障体系，安全管理目标</w:t>
            </w:r>
            <w:r>
              <w:rPr>
                <w:rFonts w:hint="eastAsia" w:ascii="宋体" w:hAnsi="宋体" w:cs="宋体"/>
                <w:color w:val="auto"/>
                <w:sz w:val="24"/>
                <w:highlight w:val="none"/>
                <w:lang w:eastAsia="zh-CN"/>
              </w:rPr>
              <w:t>措施</w:t>
            </w:r>
            <w:r>
              <w:rPr>
                <w:rFonts w:hint="eastAsia" w:ascii="宋体" w:hAnsi="宋体" w:eastAsia="宋体" w:cs="宋体"/>
                <w:color w:val="auto"/>
                <w:sz w:val="24"/>
                <w:highlight w:val="none"/>
              </w:rPr>
              <w:t>。根据工程特点、周边环境和施工工艺，现场重大危险源辨识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制定有关相应的安全管理措施。得6分；</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563"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right w:val="single" w:color="auto" w:sz="4" w:space="0"/>
            </w:tcBorders>
            <w:vAlign w:val="center"/>
          </w:tcPr>
          <w:p>
            <w:pPr>
              <w:pStyle w:val="44"/>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文明施工、环境保护管理体系及施工现场扬尘治理措施</w:t>
            </w:r>
          </w:p>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（6分）</w:t>
            </w:r>
          </w:p>
        </w:tc>
        <w:tc>
          <w:tcPr>
            <w:tcW w:w="5617" w:type="dxa"/>
            <w:gridSpan w:val="2"/>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1、供应商提供文明施工、环境保护管理体系、施工现场扬尘治理措施的得6分；缺一项扣2分扣完为止</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557"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right w:val="single" w:color="auto" w:sz="4" w:space="0"/>
            </w:tcBorders>
            <w:vAlign w:val="center"/>
          </w:tcPr>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工程进度计划与措施（7分）</w:t>
            </w:r>
          </w:p>
        </w:tc>
        <w:tc>
          <w:tcPr>
            <w:tcW w:w="5617" w:type="dxa"/>
            <w:gridSpan w:val="2"/>
            <w:tcBorders>
              <w:top w:val="single" w:color="auto" w:sz="4" w:space="0"/>
              <w:left w:val="single" w:color="auto" w:sz="4" w:space="0"/>
              <w:right w:val="single" w:color="auto" w:sz="4" w:space="0"/>
            </w:tcBorders>
            <w:vAlign w:val="center"/>
          </w:tcPr>
          <w:p>
            <w:pPr>
              <w:pStyle w:val="44"/>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1、工程进度计划与措施满足招标文件要求，有工期保证措施且有具体的违约责任承诺。得7分；</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551"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right w:val="single" w:color="auto" w:sz="4" w:space="0"/>
            </w:tcBorders>
            <w:vAlign w:val="center"/>
          </w:tcPr>
          <w:p>
            <w:pPr>
              <w:pStyle w:val="54"/>
              <w:adjustRightInd w:val="0"/>
              <w:snapToGrid w:val="0"/>
              <w:spacing w:after="0"/>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施工进度表或网络计划图（7分）</w:t>
            </w:r>
          </w:p>
        </w:tc>
        <w:tc>
          <w:tcPr>
            <w:tcW w:w="5617" w:type="dxa"/>
            <w:gridSpan w:val="2"/>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关键线路计划编制</w:t>
            </w:r>
            <w:r>
              <w:rPr>
                <w:rFonts w:hint="eastAsia" w:ascii="宋体" w:hAnsi="宋体" w:cs="宋体"/>
                <w:color w:val="auto"/>
                <w:sz w:val="24"/>
                <w:highlight w:val="none"/>
                <w:lang w:eastAsia="zh-CN"/>
              </w:rPr>
              <w:t>符合</w:t>
            </w:r>
            <w:r>
              <w:rPr>
                <w:rFonts w:hint="eastAsia" w:ascii="宋体" w:hAnsi="宋体" w:eastAsia="宋体" w:cs="宋体"/>
                <w:color w:val="auto"/>
                <w:sz w:val="24"/>
                <w:highlight w:val="none"/>
              </w:rPr>
              <w:t>竞争性磋商文件对工期的要求，得 7 分。不提供不得分。</w:t>
            </w:r>
          </w:p>
        </w:tc>
      </w:tr>
      <w:tr>
        <w:tblPrEx>
          <w:tblCellMar>
            <w:top w:w="0" w:type="dxa"/>
            <w:left w:w="108" w:type="dxa"/>
            <w:bottom w:w="0" w:type="dxa"/>
            <w:right w:w="108" w:type="dxa"/>
          </w:tblCellMar>
        </w:tblPrEx>
        <w:trPr>
          <w:trHeight w:val="559"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施工总平面布置图（7分）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pStyle w:val="44"/>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1、提供施工总平面布置图得7分。</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559" w:hRule="atLeast"/>
          <w:jc w:val="center"/>
        </w:trPr>
        <w:tc>
          <w:tcPr>
            <w:tcW w:w="2113" w:type="dxa"/>
            <w:vMerge w:val="continue"/>
            <w:tcBorders>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bottom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拟投入资源配备计划(6分)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（1）机械：投入计划与进度计划呼应，机械设备与本项目配置合理，满足安全技术规范和施工进度需要；</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（2）劳动力：投入计划与进度计划呼应，能满足施工需要；</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（3）主要物资供应计划：主要物资投入计划与进度计划呼应，能满足施工需要；</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满足以上条件得 6 分，缺项扣 2 分、不提供不得分。</w:t>
            </w:r>
          </w:p>
        </w:tc>
      </w:tr>
      <w:tr>
        <w:tblPrEx>
          <w:tblCellMar>
            <w:top w:w="0" w:type="dxa"/>
            <w:left w:w="108" w:type="dxa"/>
            <w:bottom w:w="0" w:type="dxa"/>
            <w:right w:w="108" w:type="dxa"/>
          </w:tblCellMar>
        </w:tblPrEx>
        <w:trPr>
          <w:trHeight w:val="414" w:hRule="atLeast"/>
          <w:jc w:val="center"/>
        </w:trPr>
        <w:tc>
          <w:tcPr>
            <w:tcW w:w="2113" w:type="dxa"/>
            <w:vMerge w:val="restart"/>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商务部分（16分）</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firstLineChars="100"/>
              <w:rPr>
                <w:rFonts w:hint="eastAsia" w:ascii="宋体" w:hAnsi="宋体" w:eastAsia="宋体" w:cs="宋体"/>
                <w:color w:val="auto"/>
                <w:kern w:val="2"/>
                <w:sz w:val="21"/>
                <w:szCs w:val="24"/>
                <w:highlight w:val="none"/>
                <w:lang w:val="en-US" w:eastAsia="zh-CN" w:bidi="ar-SA"/>
              </w:rPr>
            </w:pPr>
          </w:p>
          <w:p>
            <w:pPr>
              <w:pStyle w:val="54"/>
              <w:ind w:firstLine="210"/>
              <w:rPr>
                <w:rFonts w:hint="eastAsia" w:ascii="宋体" w:hAnsi="宋体" w:eastAsia="宋体" w:cs="宋体"/>
                <w:color w:val="auto"/>
                <w:highlight w:val="none"/>
              </w:rPr>
            </w:pPr>
          </w:p>
        </w:tc>
        <w:tc>
          <w:tcPr>
            <w:tcW w:w="74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b/>
                <w:bCs/>
                <w:color w:val="auto"/>
                <w:sz w:val="24"/>
                <w:highlight w:val="none"/>
              </w:rPr>
              <w:t>（16分）</w:t>
            </w:r>
          </w:p>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业绩（4分）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企业类似业绩，每附1个得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分（20</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年1月1日以来类似的业绩，须附合同协议书和中标通知书复印件或扫描件，资料不全不得分）最高得4分）</w:t>
            </w:r>
          </w:p>
        </w:tc>
      </w:tr>
      <w:tr>
        <w:tblPrEx>
          <w:tblCellMar>
            <w:top w:w="0" w:type="dxa"/>
            <w:left w:w="108" w:type="dxa"/>
            <w:bottom w:w="0" w:type="dxa"/>
            <w:right w:w="108" w:type="dxa"/>
          </w:tblCellMar>
        </w:tblPrEx>
        <w:trPr>
          <w:trHeight w:val="414" w:hRule="atLeast"/>
          <w:jc w:val="center"/>
        </w:trPr>
        <w:tc>
          <w:tcPr>
            <w:tcW w:w="2113" w:type="dxa"/>
            <w:vMerge w:val="continue"/>
            <w:tcBorders>
              <w:left w:val="single" w:color="auto" w:sz="4" w:space="0"/>
              <w:right w:val="single" w:color="auto" w:sz="4" w:space="0"/>
            </w:tcBorders>
            <w:vAlign w:val="center"/>
          </w:tcPr>
          <w:p>
            <w:pPr>
              <w:pStyle w:val="54"/>
              <w:ind w:firstLine="210"/>
              <w:rPr>
                <w:rFonts w:hint="eastAsia" w:ascii="宋体" w:hAnsi="宋体" w:eastAsia="宋体" w:cs="宋体"/>
                <w:color w:val="auto"/>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b/>
                <w:bCs/>
                <w:color w:val="auto"/>
                <w:sz w:val="24"/>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投标人承诺书（</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投标人应对人员、设备、安全生产目标、农民工工资、质量等方面做出承诺，得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分。缺项或不提供不得分</w:t>
            </w:r>
          </w:p>
        </w:tc>
      </w:tr>
      <w:tr>
        <w:tblPrEx>
          <w:tblCellMar>
            <w:top w:w="0" w:type="dxa"/>
            <w:left w:w="108" w:type="dxa"/>
            <w:bottom w:w="0" w:type="dxa"/>
            <w:right w:w="108" w:type="dxa"/>
          </w:tblCellMar>
        </w:tblPrEx>
        <w:trPr>
          <w:trHeight w:val="423"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现场勘察证明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提供现场勘察证明，得</w:t>
            </w:r>
            <w:r>
              <w:rPr>
                <w:rFonts w:hint="eastAsia" w:ascii="宋体" w:hAnsi="宋体" w:cs="宋体"/>
                <w:color w:val="auto"/>
                <w:sz w:val="24"/>
                <w:highlight w:val="none"/>
                <w:lang w:val="en-US" w:eastAsia="zh-CN"/>
              </w:rPr>
              <w:t>6分，</w:t>
            </w:r>
            <w:r>
              <w:rPr>
                <w:rFonts w:hint="eastAsia" w:ascii="宋体" w:hAnsi="宋体" w:eastAsia="宋体" w:cs="宋体"/>
                <w:color w:val="auto"/>
                <w:sz w:val="24"/>
                <w:highlight w:val="none"/>
              </w:rPr>
              <w:t>不提供不得分</w:t>
            </w:r>
            <w:r>
              <w:rPr>
                <w:rFonts w:hint="eastAsia" w:ascii="宋体" w:hAnsi="宋体" w:cs="宋体"/>
                <w:color w:val="auto"/>
                <w:sz w:val="24"/>
                <w:highlight w:val="none"/>
                <w:lang w:val="en-US" w:eastAsia="zh-CN"/>
              </w:rPr>
              <w:t>。</w:t>
            </w:r>
          </w:p>
        </w:tc>
      </w:tr>
    </w:tbl>
    <w:p>
      <w:pPr>
        <w:pStyle w:val="45"/>
        <w:ind w:firstLine="480"/>
        <w:rPr>
          <w:rFonts w:hint="eastAsia" w:ascii="宋体" w:hAnsi="宋体" w:eastAsia="宋体" w:cs="宋体"/>
          <w:color w:val="auto"/>
          <w:sz w:val="24"/>
          <w:highlight w:val="none"/>
        </w:rPr>
      </w:pPr>
    </w:p>
    <w:p>
      <w:pPr>
        <w:spacing w:line="5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最终得分为磋商小组所有成员计分的算术平均值，计算保留小数点两位，小数点后第三位四舍五入。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22.5若供应商的报价高于项目预算，磋商小组有权根据采购人意见及其实际情况，拒绝该报价。</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22.7在竞争性磋商期间，供应商不得向竞争性磋商小组成员询问其它供应商竞争性磋商情况，不得进行旨在影响成交结果的活动。</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22.8在竞争性磋商期间，采购人将有专门人员与供应商进行联络。</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23.竞争性磋商终止</w:t>
      </w:r>
    </w:p>
    <w:p>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23.1出现下列情形之一时，采购人有权宣布竞争性磋商终止，并将理由通知所有供应商：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（1）因情况变化，不再符合竞争性磋商适用情形的；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（3）在采购过程中符合磋商文件要求的供应商不足3家的；</w:t>
      </w:r>
    </w:p>
    <w:p>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（4）在采购活动中因重大变故，采购任务取消的；</w:t>
      </w: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七、成交通知</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24.成交通知</w:t>
      </w:r>
    </w:p>
    <w:p>
      <w:pPr>
        <w:pStyle w:val="5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24.2在发出成交公告后请采购人、中标人登录周口市公共资源交易中心网（http://jyzx.zhoukou.gov.cn）自行下载成交通知书。。</w:t>
      </w:r>
    </w:p>
    <w:p>
      <w:pPr>
        <w:tabs>
          <w:tab w:val="left" w:pos="180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24.3成交通知书对采购人和成交供应商具有同等法律效力。成交通知书发出后，采购人改变成交结果，或者成交供应商放弃成交，应当承担相应的法律责任。</w:t>
      </w:r>
    </w:p>
    <w:p>
      <w:pPr>
        <w:spacing w:line="72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八、合同授予</w:t>
      </w:r>
    </w:p>
    <w:p>
      <w:pPr>
        <w:tabs>
          <w:tab w:val="left" w:pos="1620"/>
        </w:tabs>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25.签订合同及合同的执行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25.1采购人、成交供应商在成交通知书发出之日起30日内，按照竞争性磋商文件确定的合同文本签订政府采购合同。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九、质疑处理</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26.质疑程序及处理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26.3</w:t>
      </w:r>
      <w:r>
        <w:rPr>
          <w:rFonts w:hint="eastAsia" w:ascii="宋体" w:hAnsi="宋体" w:eastAsia="宋体" w:cs="宋体"/>
          <w:bCs/>
          <w:color w:val="auto"/>
          <w:sz w:val="24"/>
          <w:highlight w:val="none"/>
        </w:rPr>
        <w:t>质疑供应商行使质疑权时，必须遵守“实事求是”和“谨慎性”原则，承担使用虚假材料或恶意方式质疑的法律责任，</w:t>
      </w:r>
      <w:r>
        <w:rPr>
          <w:rFonts w:hint="eastAsia" w:ascii="宋体" w:hAnsi="宋体" w:eastAsia="宋体" w:cs="宋体"/>
          <w:color w:val="auto"/>
          <w:sz w:val="24"/>
          <w:highlight w:val="none"/>
        </w:rPr>
        <w:t>采购人</w:t>
      </w:r>
      <w:r>
        <w:rPr>
          <w:rFonts w:hint="eastAsia" w:ascii="宋体" w:hAnsi="宋体" w:eastAsia="宋体" w:cs="宋体"/>
          <w:bCs/>
          <w:color w:val="auto"/>
          <w:sz w:val="24"/>
          <w:highlight w:val="none"/>
        </w:rPr>
        <w:t>将遵循“谁过错谁负担”的原则，由过错方提交相关的调查论证费用。</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6"/>
        <w:jc w:val="center"/>
        <w:rPr>
          <w:rFonts w:hint="eastAsia" w:ascii="宋体" w:hAnsi="宋体" w:eastAsia="宋体" w:cs="宋体"/>
          <w:b w:val="0"/>
          <w:color w:val="auto"/>
          <w:sz w:val="32"/>
          <w:highlight w:val="none"/>
        </w:rPr>
      </w:pPr>
      <w:bookmarkStart w:id="44" w:name="_Toc98348553"/>
      <w:r>
        <w:rPr>
          <w:rFonts w:hint="eastAsia" w:ascii="宋体" w:hAnsi="宋体" w:eastAsia="宋体" w:cs="宋体"/>
          <w:color w:val="auto"/>
          <w:sz w:val="32"/>
          <w:highlight w:val="none"/>
        </w:rPr>
        <w:t>第三章 采购项目内容及要求</w:t>
      </w:r>
      <w:bookmarkEnd w:id="44"/>
    </w:p>
    <w:p>
      <w:pPr>
        <w:numPr>
          <w:ilvl w:val="0"/>
          <w:numId w:val="5"/>
        </w:numPr>
        <w:adjustRightInd w:val="0"/>
        <w:snapToGrid w:val="0"/>
        <w:spacing w:line="360" w:lineRule="auto"/>
        <w:ind w:lef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本项目采购内容：</w:t>
      </w:r>
    </w:p>
    <w:p>
      <w:pPr>
        <w:pStyle w:val="3"/>
        <w:adjustRightInd w:val="0"/>
        <w:snapToGrid w:val="0"/>
        <w:spacing w:after="0" w:line="360" w:lineRule="auto"/>
        <w:ind w:left="283" w:leftChars="135"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根据本项工程采购需求，本次项目内容如下： 工程量清单及有关附表包括的全部内容。</w:t>
      </w:r>
    </w:p>
    <w:p>
      <w:pPr>
        <w:pStyle w:val="3"/>
        <w:adjustRightInd w:val="0"/>
        <w:snapToGrid w:val="0"/>
        <w:spacing w:after="0" w:line="360" w:lineRule="auto"/>
        <w:rPr>
          <w:rFonts w:hint="eastAsia" w:ascii="宋体" w:hAnsi="宋体" w:eastAsia="宋体" w:cs="宋体"/>
          <w:b/>
          <w:color w:val="auto"/>
          <w:sz w:val="24"/>
          <w:highlight w:val="none"/>
        </w:rPr>
      </w:pPr>
      <w:bookmarkStart w:id="45" w:name="_bookmark2"/>
      <w:bookmarkEnd w:id="45"/>
      <w:r>
        <w:rPr>
          <w:rFonts w:hint="eastAsia" w:ascii="宋体" w:hAnsi="宋体" w:eastAsia="宋体" w:cs="宋体"/>
          <w:b/>
          <w:color w:val="auto"/>
          <w:sz w:val="24"/>
          <w:highlight w:val="none"/>
        </w:rPr>
        <w:t>2、施工要求</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2.1承包方式：包工包料。所需材料符合国家相关标准； 整体要求结实、美观、耐用，质量优良。</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2.2质量标准：合格。</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2.3工期：</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2.4保修期：按相关行业标准或双方签订合同时约定。</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2.5提供7×12小时工程服务，接到服务请求后，1小时响应，24小时内上门并视情况解决问题。</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2.6投标人工程预算以现场勘察、工程量清单、所需材料及工期等要求综合考虑。</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2.7严格落实安全措施，周密组织，文明施工。</w:t>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3、技术标准和要求：</w:t>
      </w:r>
    </w:p>
    <w:p>
      <w:pPr>
        <w:pStyle w:val="5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3.1依据设计文件的要求，本招标工程项目的材料、设备、施工须达到现行国家、行业和河南省的工程建设标准、规范的要求。</w:t>
      </w:r>
    </w:p>
    <w:p>
      <w:pPr>
        <w:pStyle w:val="5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3.2根据工程设计要求，该工程项目的材料、施工、安全除达到以上标准规范外，如有特殊项目的施工工艺标准要求，要以现地的最新的标准规范执行。</w:t>
      </w: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ind w:firstLine="0" w:firstLineChars="0"/>
        <w:rPr>
          <w:rFonts w:hint="eastAsia" w:ascii="宋体" w:hAnsi="宋体" w:eastAsia="宋体" w:cs="宋体"/>
          <w:b/>
          <w:color w:val="auto"/>
          <w:sz w:val="24"/>
          <w:highlight w:val="none"/>
        </w:rPr>
      </w:pPr>
    </w:p>
    <w:p>
      <w:pPr>
        <w:pStyle w:val="54"/>
        <w:ind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4、工程量清单：</w:t>
      </w:r>
    </w:p>
    <w:p>
      <w:pPr>
        <w:pStyle w:val="54"/>
        <w:ind w:firstLine="0" w:firstLineChars="0"/>
        <w:rPr>
          <w:rFonts w:hint="eastAsia" w:ascii="宋体" w:hAnsi="宋体" w:eastAsia="宋体" w:cs="宋体"/>
          <w:color w:val="auto"/>
          <w:highlight w:val="none"/>
        </w:rPr>
      </w:pPr>
    </w:p>
    <w:p>
      <w:pPr>
        <w:pStyle w:val="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4.1.依据： </w:t>
      </w:r>
    </w:p>
    <w:p>
      <w:pPr>
        <w:pStyle w:val="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4.1.1 《工程量清单项目计量规范(2013-河南)》、《河南省</w:t>
      </w:r>
      <w:r>
        <w:rPr>
          <w:rFonts w:hint="eastAsia" w:ascii="宋体" w:hAnsi="宋体" w:cs="宋体"/>
          <w:color w:val="auto"/>
          <w:sz w:val="24"/>
          <w:highlight w:val="none"/>
          <w:lang w:eastAsia="zh-CN"/>
        </w:rPr>
        <w:t>建筑工程</w:t>
      </w:r>
      <w:r>
        <w:rPr>
          <w:rFonts w:hint="eastAsia" w:ascii="宋体" w:hAnsi="宋体" w:eastAsia="宋体" w:cs="宋体"/>
          <w:color w:val="auto"/>
          <w:sz w:val="24"/>
          <w:highlight w:val="none"/>
        </w:rPr>
        <w:t>预算定额(2016)》、补充定额及相关造价解释文件。</w:t>
      </w:r>
    </w:p>
    <w:p>
      <w:pPr>
        <w:pStyle w:val="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4.1.2 《周口建设工程造价信息》(2021.4)信息指导价。</w:t>
      </w:r>
    </w:p>
    <w:p>
      <w:pPr>
        <w:pStyle w:val="3"/>
        <w:adjustRightInd w:val="0"/>
        <w:snapToGrid w:val="0"/>
        <w:spacing w:after="0" w:line="360" w:lineRule="auto"/>
        <w:rPr>
          <w:rFonts w:hint="eastAsia" w:ascii="宋体" w:hAnsi="宋体" w:eastAsia="宋体" w:cs="宋体"/>
          <w:color w:val="auto"/>
          <w:sz w:val="24"/>
          <w:highlight w:val="none"/>
        </w:rPr>
      </w:pPr>
    </w:p>
    <w:p>
      <w:pPr>
        <w:pStyle w:val="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4.2.工程量清单：另附 </w:t>
      </w:r>
    </w:p>
    <w:p>
      <w:pPr>
        <w:pStyle w:val="3"/>
        <w:adjustRightInd w:val="0"/>
        <w:snapToGrid w:val="0"/>
        <w:spacing w:after="0" w:line="360" w:lineRule="auto"/>
        <w:rPr>
          <w:rFonts w:hint="eastAsia" w:ascii="宋体" w:hAnsi="宋体" w:eastAsia="宋体" w:cs="宋体"/>
          <w:color w:val="auto"/>
          <w:sz w:val="24"/>
          <w:highlight w:val="none"/>
        </w:rPr>
      </w:pPr>
    </w:p>
    <w:p>
      <w:pPr>
        <w:pStyle w:val="3"/>
        <w:adjustRightInd w:val="0"/>
        <w:snapToGrid w:val="0"/>
        <w:spacing w:after="0" w:line="360" w:lineRule="auto"/>
        <w:rPr>
          <w:rFonts w:hint="eastAsia" w:ascii="宋体" w:hAnsi="宋体" w:eastAsia="宋体" w:cs="宋体"/>
          <w:color w:val="auto"/>
          <w:sz w:val="24"/>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6"/>
        <w:jc w:val="center"/>
        <w:rPr>
          <w:rFonts w:hint="eastAsia" w:ascii="宋体" w:hAnsi="宋体" w:eastAsia="宋体" w:cs="宋体"/>
          <w:color w:val="auto"/>
          <w:sz w:val="32"/>
          <w:highlight w:val="none"/>
        </w:rPr>
      </w:pPr>
      <w:bookmarkStart w:id="46" w:name="_Toc98348554"/>
      <w:r>
        <w:rPr>
          <w:rFonts w:hint="eastAsia" w:ascii="宋体" w:hAnsi="宋体" w:eastAsia="宋体" w:cs="宋体"/>
          <w:color w:val="auto"/>
          <w:sz w:val="32"/>
          <w:highlight w:val="none"/>
        </w:rPr>
        <w:t>第四章  响应性文件内容及格式</w:t>
      </w:r>
      <w:bookmarkEnd w:id="46"/>
    </w:p>
    <w:p>
      <w:pPr>
        <w:widowControl/>
        <w:spacing w:line="520" w:lineRule="exact"/>
        <w:ind w:firstLine="480" w:firstLineChars="200"/>
        <w:jc w:val="center"/>
        <w:rPr>
          <w:rFonts w:hint="eastAsia" w:ascii="宋体" w:hAnsi="宋体" w:eastAsia="宋体" w:cs="宋体"/>
          <w:color w:val="auto"/>
          <w:sz w:val="24"/>
          <w:highlight w:val="none"/>
        </w:rPr>
      </w:pP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注：请供应商按照以下文件的要求格式、顺序制作响应性文件，并编制目录及页码，否则可能将影响对响应性文件的评价。 </w:t>
      </w:r>
    </w:p>
    <w:p>
      <w:pPr>
        <w:spacing w:line="560" w:lineRule="exact"/>
        <w:ind w:firstLine="482" w:firstLineChars="200"/>
        <w:rPr>
          <w:rFonts w:hint="eastAsia" w:ascii="宋体" w:hAnsi="宋体" w:eastAsia="宋体" w:cs="宋体"/>
          <w:b/>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重要提示：</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1.供应商提供的证明材料，除需要供应商填报或有特殊说明外，均须提供该材料的复印件或扫描件。 </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2．供应商在编制响应性文件时，对于给定格式的文件内容，应按照给定的标准格式进行填报；对于没有给定标准格式的文件内容，可以由供应商自行设计。</w:t>
      </w: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pStyle w:val="45"/>
        <w:ind w:firstLine="0" w:firstLineChars="0"/>
        <w:rPr>
          <w:rFonts w:hint="eastAsia" w:ascii="宋体" w:hAnsi="宋体" w:eastAsia="宋体" w:cs="宋体"/>
          <w:color w:val="auto"/>
          <w:sz w:val="24"/>
          <w:highlight w:val="none"/>
        </w:rPr>
      </w:pPr>
    </w:p>
    <w:p>
      <w:pPr>
        <w:pStyle w:val="45"/>
        <w:ind w:firstLine="0" w:firstLineChars="0"/>
        <w:rPr>
          <w:rFonts w:hint="eastAsia" w:ascii="宋体" w:hAnsi="宋体" w:eastAsia="宋体" w:cs="宋体"/>
          <w:color w:val="auto"/>
          <w:sz w:val="24"/>
          <w:highlight w:val="none"/>
        </w:rPr>
      </w:pPr>
    </w:p>
    <w:p>
      <w:pPr>
        <w:pStyle w:val="45"/>
        <w:ind w:firstLine="0" w:firstLineChars="0"/>
        <w:rPr>
          <w:rFonts w:hint="eastAsia" w:ascii="宋体" w:hAnsi="宋体" w:eastAsia="宋体" w:cs="宋体"/>
          <w:color w:val="auto"/>
          <w:sz w:val="24"/>
          <w:highlight w:val="none"/>
        </w:rPr>
      </w:pPr>
    </w:p>
    <w:p>
      <w:pPr>
        <w:pStyle w:val="45"/>
        <w:ind w:firstLine="0" w:firstLineChars="0"/>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格式1</w:t>
      </w:r>
    </w:p>
    <w:p>
      <w:pPr>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响应性文件目录</w:t>
      </w:r>
    </w:p>
    <w:p>
      <w:pPr>
        <w:pStyle w:val="54"/>
        <w:ind w:firstLine="210"/>
        <w:rPr>
          <w:rFonts w:hint="eastAsia" w:ascii="宋体" w:hAnsi="宋体" w:eastAsia="宋体" w:cs="宋体"/>
          <w:color w:val="auto"/>
          <w:highlight w:val="none"/>
        </w:rPr>
      </w:pPr>
      <w:r>
        <w:rPr>
          <w:rFonts w:hint="eastAsia" w:ascii="宋体" w:hAnsi="宋体" w:eastAsia="宋体" w:cs="宋体"/>
          <w:color w:val="auto"/>
          <w:highlight w:val="none"/>
        </w:rPr>
        <w:t>格式自拟</w:t>
      </w:r>
    </w:p>
    <w:p>
      <w:pPr>
        <w:widowControl/>
        <w:spacing w:line="480" w:lineRule="exac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格式2-1</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法定代表人身份证明书</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同志，系我单位法定代表人，任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附：联系地址：               </w:t>
      </w:r>
    </w:p>
    <w:p>
      <w:pPr>
        <w:spacing w:line="360" w:lineRule="auto"/>
        <w:ind w:firstLine="960" w:firstLineChars="400"/>
        <w:rPr>
          <w:rFonts w:hint="eastAsia" w:ascii="宋体" w:hAnsi="宋体" w:eastAsia="宋体" w:cs="宋体"/>
          <w:b/>
          <w:color w:val="auto"/>
          <w:sz w:val="24"/>
          <w:highlight w:val="none"/>
        </w:rPr>
      </w:pPr>
      <w:r>
        <w:rPr>
          <w:rFonts w:hint="eastAsia" w:ascii="宋体" w:hAnsi="宋体" w:eastAsia="宋体" w:cs="宋体"/>
          <w:color w:val="auto"/>
          <w:sz w:val="24"/>
          <w:highlight w:val="none"/>
        </w:rPr>
        <w:t>联系电话：</w:t>
      </w:r>
    </w:p>
    <w:tbl>
      <w:tblPr>
        <w:tblStyle w:val="46"/>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hint="eastAsia" w:ascii="宋体" w:hAnsi="宋体" w:eastAsia="宋体" w:cs="宋体"/>
                <w:b/>
                <w:bCs/>
                <w:color w:val="auto"/>
                <w:sz w:val="24"/>
                <w:highlight w:val="none"/>
              </w:rPr>
            </w:pPr>
          </w:p>
          <w:p>
            <w:pPr>
              <w:spacing w:line="480" w:lineRule="exact"/>
              <w:rPr>
                <w:rFonts w:hint="eastAsia" w:ascii="宋体" w:hAnsi="宋体" w:eastAsia="宋体" w:cs="宋体"/>
                <w:b/>
                <w:bCs/>
                <w:color w:val="auto"/>
                <w:sz w:val="24"/>
                <w:highlight w:val="none"/>
              </w:rPr>
            </w:pPr>
          </w:p>
          <w:p>
            <w:pPr>
              <w:spacing w:line="48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（※附：法定代表人身份证复印件或扫描件※）</w:t>
            </w:r>
          </w:p>
          <w:p>
            <w:pPr>
              <w:spacing w:line="480" w:lineRule="exact"/>
              <w:rPr>
                <w:rFonts w:hint="eastAsia" w:ascii="宋体" w:hAnsi="宋体" w:eastAsia="宋体" w:cs="宋体"/>
                <w:color w:val="auto"/>
                <w:sz w:val="24"/>
                <w:highlight w:val="none"/>
              </w:rPr>
            </w:pPr>
          </w:p>
          <w:p>
            <w:pPr>
              <w:spacing w:line="480" w:lineRule="exact"/>
              <w:rPr>
                <w:rFonts w:hint="eastAsia" w:ascii="宋体" w:hAnsi="宋体" w:eastAsia="宋体" w:cs="宋体"/>
                <w:color w:val="auto"/>
                <w:sz w:val="24"/>
                <w:highlight w:val="none"/>
              </w:rPr>
            </w:pPr>
          </w:p>
        </w:tc>
      </w:tr>
    </w:tbl>
    <w:p>
      <w:pPr>
        <w:spacing w:line="360" w:lineRule="auto"/>
        <w:ind w:firstLine="960" w:firstLineChars="400"/>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格式2-2</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授权委托书</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（被委托人的姓名、职务）为委托人的委托代理人，就项目编号为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的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项目及合同的执行，以本单位名义处理一切与之有关的事务。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    签字生效，特此声明。</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投标单位电子签章：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被委托人：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bl>
      <w:tblPr>
        <w:tblStyle w:val="46"/>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hint="eastAsia" w:ascii="宋体" w:hAnsi="宋体" w:eastAsia="宋体" w:cs="宋体"/>
                <w:b/>
                <w:bCs/>
                <w:color w:val="auto"/>
                <w:sz w:val="24"/>
                <w:highlight w:val="none"/>
              </w:rPr>
            </w:pPr>
          </w:p>
          <w:p>
            <w:pPr>
              <w:spacing w:line="480" w:lineRule="exact"/>
              <w:rPr>
                <w:rFonts w:hint="eastAsia" w:ascii="宋体" w:hAnsi="宋体" w:eastAsia="宋体" w:cs="宋体"/>
                <w:b/>
                <w:bCs/>
                <w:color w:val="auto"/>
                <w:sz w:val="24"/>
                <w:highlight w:val="none"/>
              </w:rPr>
            </w:pPr>
          </w:p>
          <w:p>
            <w:pPr>
              <w:spacing w:line="480" w:lineRule="exact"/>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（※附：被委托人身份证复印件或扫描件※）</w:t>
            </w:r>
          </w:p>
        </w:tc>
      </w:tr>
    </w:tbl>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920" w:firstLineChars="2050"/>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spacing w:line="360" w:lineRule="auto"/>
        <w:jc w:val="center"/>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格式3</w:t>
      </w:r>
    </w:p>
    <w:p>
      <w:pPr>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pStyle w:val="42"/>
        <w:shd w:val="clear" w:color="auto" w:fill="FFFFFF"/>
        <w:adjustRightInd w:val="0"/>
        <w:snapToGrid w:val="0"/>
        <w:spacing w:before="0" w:beforeAutospacing="0" w:after="0" w:afterAutospacing="0"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致：周口市公共资源交易中心政府采购中心</w:t>
      </w:r>
    </w:p>
    <w:p>
      <w:pPr>
        <w:pStyle w:val="75"/>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项目的竞争性磋商邀请（项目编号：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(供应商名称、地址)提交投标文件，报价为</w:t>
      </w:r>
      <w:r>
        <w:rPr>
          <w:rFonts w:hint="eastAsia" w:ascii="宋体" w:hAnsi="宋体" w:eastAsia="宋体" w:cs="宋体"/>
          <w:color w:val="auto"/>
          <w:sz w:val="24"/>
          <w:szCs w:val="24"/>
          <w:highlight w:val="none"/>
          <w:u w:val="single"/>
        </w:rPr>
        <w:t>：      元，</w:t>
      </w:r>
      <w:r>
        <w:rPr>
          <w:rFonts w:hint="eastAsia" w:ascii="宋体" w:hAnsi="宋体" w:eastAsia="宋体" w:cs="宋体"/>
          <w:color w:val="auto"/>
          <w:sz w:val="24"/>
          <w:szCs w:val="24"/>
          <w:highlight w:val="none"/>
        </w:rPr>
        <w:t>并对之负法律责任。</w:t>
      </w:r>
    </w:p>
    <w:p>
      <w:pPr>
        <w:ind w:firstLine="568" w:firstLineChars="237"/>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据此函，宣布同意如下：</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(1)我们完全理解贵方不一定要接受最低报价，并同意本文件规定的响应性文件有效期。</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(2)我们已详细审核全部竞争性磋商文件，我们知道必须放弃提出含糊不清或误解的问题的权利。</w:t>
      </w:r>
    </w:p>
    <w:p>
      <w:pPr>
        <w:numPr>
          <w:ilvl w:val="0"/>
          <w:numId w:val="6"/>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同意向贵方提供贵方可能另外要求的与其竞争性磋商有关的任何证据和资料。</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(4)一旦我们成交，我们将严格履行合同责任和义务。</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(5)我们完全理解不向未成交人解释未成交理由的义务。</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(6)与本次竞争性磋商有关的正式通讯地址为：</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邮 编：</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传 真：</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我们保证：</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(1)不提供虚假材料谋取成交；</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(2)不以不正当手段抵毁、排挤其他供应商；</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(3)不与采购人和其它供应商恶意串通；</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(4)不向采购人和采购代理机构提供不正当利益；</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(5)不拒绝有关部门监督检查或提供虚假情况。</w:t>
      </w:r>
    </w:p>
    <w:p>
      <w:pPr>
        <w:spacing w:line="560" w:lineRule="exact"/>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ind w:firstLine="3360" w:firstLineChars="1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格式4</w:t>
      </w:r>
    </w:p>
    <w:p>
      <w:pPr>
        <w:jc w:val="center"/>
        <w:rPr>
          <w:rFonts w:hint="eastAsia" w:ascii="宋体" w:hAnsi="宋体" w:eastAsia="宋体" w:cs="宋体"/>
          <w:b/>
          <w:color w:val="auto"/>
          <w:sz w:val="24"/>
          <w:highlight w:val="none"/>
        </w:rPr>
      </w:pPr>
      <w:bookmarkStart w:id="47" w:name="_Toc495414231"/>
      <w:bookmarkStart w:id="48" w:name="_Toc197934561"/>
      <w:r>
        <w:rPr>
          <w:rFonts w:hint="eastAsia" w:ascii="宋体" w:hAnsi="宋体" w:eastAsia="宋体" w:cs="宋体"/>
          <w:color w:val="auto"/>
          <w:sz w:val="24"/>
          <w:highlight w:val="none"/>
        </w:rPr>
        <w:t>一．报价一览表</w:t>
      </w:r>
      <w:bookmarkEnd w:id="47"/>
      <w:bookmarkEnd w:id="48"/>
    </w:p>
    <w:tbl>
      <w:tblPr>
        <w:tblStyle w:val="4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投标人全称</w:t>
            </w:r>
          </w:p>
        </w:tc>
        <w:tc>
          <w:tcPr>
            <w:tcW w:w="6667" w:type="dxa"/>
            <w:tcBorders>
              <w:top w:val="nil"/>
            </w:tcBorders>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w:t>
            </w:r>
          </w:p>
        </w:tc>
        <w:tc>
          <w:tcPr>
            <w:tcW w:w="6667" w:type="dxa"/>
            <w:tcBorders>
              <w:top w:val="nil"/>
            </w:tcBorders>
            <w:vAlign w:val="center"/>
          </w:tcPr>
          <w:p>
            <w:pPr>
              <w:spacing w:line="360" w:lineRule="auto"/>
              <w:ind w:right="-6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投标总价：        大写：          </w:t>
            </w:r>
          </w:p>
          <w:p>
            <w:pPr>
              <w:spacing w:line="360" w:lineRule="auto"/>
              <w:ind w:right="-6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c>
          <w:tcPr>
            <w:tcW w:w="6667" w:type="dxa"/>
            <w:tcBorders>
              <w:top w:val="nil"/>
            </w:tcBorders>
            <w:vAlign w:val="center"/>
          </w:tcPr>
          <w:p>
            <w:pPr>
              <w:spacing w:line="360" w:lineRule="auto"/>
              <w:ind w:right="-67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质量标准</w:t>
            </w:r>
          </w:p>
        </w:tc>
        <w:tc>
          <w:tcPr>
            <w:tcW w:w="6667" w:type="dxa"/>
            <w:tcBorders>
              <w:top w:val="nil"/>
            </w:tcBorders>
            <w:vAlign w:val="center"/>
          </w:tcPr>
          <w:p>
            <w:pPr>
              <w:spacing w:line="360" w:lineRule="auto"/>
              <w:ind w:right="-67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响应文件有效期</w:t>
            </w:r>
          </w:p>
        </w:tc>
        <w:tc>
          <w:tcPr>
            <w:tcW w:w="6667" w:type="dxa"/>
            <w:tcBorders>
              <w:top w:val="nil"/>
            </w:tcBorders>
            <w:vAlign w:val="center"/>
          </w:tcPr>
          <w:p>
            <w:pPr>
              <w:spacing w:line="360" w:lineRule="auto"/>
              <w:ind w:right="-67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6667" w:type="dxa"/>
            <w:tcBorders>
              <w:top w:val="nil"/>
            </w:tcBorders>
            <w:vAlign w:val="center"/>
          </w:tcPr>
          <w:p>
            <w:pPr>
              <w:spacing w:line="360" w:lineRule="auto"/>
              <w:jc w:val="left"/>
              <w:rPr>
                <w:rFonts w:hint="eastAsia" w:ascii="宋体" w:hAnsi="宋体" w:eastAsia="宋体" w:cs="宋体"/>
                <w:color w:val="auto"/>
                <w:sz w:val="24"/>
                <w:highlight w:val="none"/>
              </w:rPr>
            </w:pPr>
          </w:p>
        </w:tc>
      </w:tr>
    </w:tbl>
    <w:p>
      <w:pPr>
        <w:spacing w:before="100" w:beforeAutospacing="1" w:after="100" w:afterAutospacing="1" w:line="360" w:lineRule="auto"/>
        <w:ind w:firstLine="4920" w:firstLineChars="20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备注：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1、此表用于开标会唱标之用。</w:t>
      </w:r>
    </w:p>
    <w:p>
      <w:pPr>
        <w:spacing w:line="360" w:lineRule="auto"/>
        <w:jc w:val="left"/>
        <w:rPr>
          <w:rFonts w:hint="eastAsia" w:ascii="宋体" w:hAnsi="宋体" w:eastAsia="宋体" w:cs="宋体"/>
          <w:color w:val="auto"/>
          <w:sz w:val="24"/>
          <w:highlight w:val="none"/>
        </w:rPr>
      </w:pPr>
      <w:bookmarkStart w:id="49" w:name="_Toc495414234"/>
      <w:bookmarkStart w:id="50" w:name="_Toc220232409"/>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格式5</w:t>
      </w:r>
    </w:p>
    <w:bookmarkEnd w:id="49"/>
    <w:bookmarkEnd w:id="50"/>
    <w:p>
      <w:pPr>
        <w:pStyle w:val="3"/>
        <w:rPr>
          <w:rFonts w:hint="eastAsia" w:ascii="宋体" w:hAnsi="宋体" w:eastAsia="宋体" w:cs="宋体"/>
          <w:b/>
          <w:color w:val="auto"/>
          <w:sz w:val="20"/>
          <w:highlight w:val="none"/>
        </w:rPr>
      </w:pPr>
    </w:p>
    <w:p>
      <w:pPr>
        <w:pStyle w:val="3"/>
        <w:rPr>
          <w:rFonts w:hint="eastAsia" w:ascii="宋体" w:hAnsi="宋体" w:eastAsia="宋体" w:cs="宋体"/>
          <w:b/>
          <w:color w:val="auto"/>
          <w:sz w:val="20"/>
          <w:highlight w:val="none"/>
        </w:rPr>
      </w:pPr>
    </w:p>
    <w:p>
      <w:pPr>
        <w:spacing w:before="185"/>
        <w:ind w:left="592" w:right="985"/>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施工图预算书</w:t>
      </w:r>
    </w:p>
    <w:p>
      <w:pPr>
        <w:pStyle w:val="3"/>
        <w:spacing w:before="4"/>
        <w:rPr>
          <w:rFonts w:hint="eastAsia" w:ascii="宋体" w:hAnsi="宋体" w:eastAsia="宋体" w:cs="宋体"/>
          <w:b/>
          <w:color w:val="auto"/>
          <w:sz w:val="47"/>
          <w:highlight w:val="none"/>
        </w:rPr>
      </w:pPr>
    </w:p>
    <w:p>
      <w:pPr>
        <w:ind w:left="592" w:right="987"/>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（其格式按定额管理部门的规定）</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28"/>
        <w:spacing w:line="360" w:lineRule="auto"/>
        <w:ind w:left="525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pPr>
        <w:pStyle w:val="54"/>
        <w:ind w:firstLine="210"/>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格式6          </w:t>
      </w:r>
    </w:p>
    <w:p>
      <w:pPr>
        <w:spacing w:line="360" w:lineRule="auto"/>
        <w:ind w:firstLine="2800" w:firstLineChars="1000"/>
        <w:jc w:val="left"/>
        <w:rPr>
          <w:rFonts w:hint="eastAsia" w:ascii="宋体" w:hAnsi="宋体" w:eastAsia="宋体" w:cs="宋体"/>
          <w:color w:val="auto"/>
          <w:sz w:val="24"/>
          <w:highlight w:val="none"/>
        </w:rPr>
      </w:pPr>
      <w:r>
        <w:rPr>
          <w:rFonts w:hint="eastAsia" w:ascii="宋体" w:hAnsi="宋体" w:eastAsia="宋体" w:cs="宋体"/>
          <w:color w:val="auto"/>
          <w:kern w:val="0"/>
          <w:sz w:val="28"/>
          <w:szCs w:val="28"/>
          <w:highlight w:val="none"/>
        </w:rPr>
        <w:t>施工组织设计</w:t>
      </w:r>
    </w:p>
    <w:p>
      <w:pPr>
        <w:autoSpaceDE w:val="0"/>
        <w:autoSpaceDN w:val="0"/>
        <w:adjustRightInd w:val="0"/>
        <w:spacing w:line="420" w:lineRule="exact"/>
        <w:ind w:firstLine="539" w:firstLineChars="25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autoSpaceDE w:val="0"/>
        <w:autoSpaceDN w:val="0"/>
        <w:adjustRightInd w:val="0"/>
        <w:spacing w:line="420" w:lineRule="exact"/>
        <w:ind w:firstLine="539" w:firstLineChars="25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施工组织设计除采用文字表述外可附下列图表，图表及格式要求附后。</w:t>
      </w:r>
    </w:p>
    <w:p>
      <w:pPr>
        <w:autoSpaceDE w:val="0"/>
        <w:autoSpaceDN w:val="0"/>
        <w:adjustRightInd w:val="0"/>
        <w:spacing w:line="4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附表一拟投入本工程的主要施工设备表</w:t>
      </w:r>
    </w:p>
    <w:p>
      <w:pPr>
        <w:autoSpaceDE w:val="0"/>
        <w:autoSpaceDN w:val="0"/>
        <w:adjustRightInd w:val="0"/>
        <w:spacing w:line="4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附表二拟配备本工程的试验和检测仪器设备表</w:t>
      </w:r>
    </w:p>
    <w:p>
      <w:pPr>
        <w:autoSpaceDE w:val="0"/>
        <w:autoSpaceDN w:val="0"/>
        <w:adjustRightInd w:val="0"/>
        <w:spacing w:line="4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附表三劳动力计划表</w:t>
      </w:r>
    </w:p>
    <w:p>
      <w:pPr>
        <w:autoSpaceDE w:val="0"/>
        <w:autoSpaceDN w:val="0"/>
        <w:adjustRightInd w:val="0"/>
        <w:spacing w:line="4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附表四计划开、竣工日期和施工进度网络图</w:t>
      </w:r>
    </w:p>
    <w:p>
      <w:pPr>
        <w:autoSpaceDE w:val="0"/>
        <w:autoSpaceDN w:val="0"/>
        <w:adjustRightInd w:val="0"/>
        <w:spacing w:line="42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附表一：拟投入本工程的主要施工设备表</w:t>
      </w:r>
    </w:p>
    <w:p>
      <w:pPr>
        <w:autoSpaceDE w:val="0"/>
        <w:autoSpaceDN w:val="0"/>
        <w:adjustRightInd w:val="0"/>
        <w:spacing w:line="420" w:lineRule="exact"/>
        <w:jc w:val="left"/>
        <w:rPr>
          <w:rFonts w:hint="eastAsia" w:ascii="宋体" w:hAnsi="宋体" w:eastAsia="宋体" w:cs="宋体"/>
          <w:color w:val="auto"/>
          <w:kern w:val="0"/>
          <w:sz w:val="24"/>
          <w:highlight w:val="none"/>
        </w:rPr>
      </w:pPr>
    </w:p>
    <w:tbl>
      <w:tblPr>
        <w:tblStyle w:val="46"/>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序号</w:t>
            </w:r>
          </w:p>
        </w:tc>
        <w:tc>
          <w:tcPr>
            <w:tcW w:w="1207"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设备名称</w:t>
            </w:r>
          </w:p>
        </w:tc>
        <w:tc>
          <w:tcPr>
            <w:tcW w:w="927"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型号</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规格</w:t>
            </w:r>
          </w:p>
        </w:tc>
        <w:tc>
          <w:tcPr>
            <w:tcW w:w="927"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数量</w:t>
            </w:r>
          </w:p>
        </w:tc>
        <w:tc>
          <w:tcPr>
            <w:tcW w:w="928"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国别</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产地</w:t>
            </w:r>
          </w:p>
        </w:tc>
        <w:tc>
          <w:tcPr>
            <w:tcW w:w="928"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制造</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年份</w:t>
            </w:r>
          </w:p>
        </w:tc>
        <w:tc>
          <w:tcPr>
            <w:tcW w:w="1197"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额定功率</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KW</w:t>
            </w:r>
            <w:r>
              <w:rPr>
                <w:rFonts w:hint="eastAsia" w:ascii="宋体" w:hAnsi="宋体" w:eastAsia="宋体" w:cs="宋体"/>
                <w:color w:val="auto"/>
                <w:kern w:val="0"/>
                <w:szCs w:val="21"/>
                <w:highlight w:val="none"/>
              </w:rPr>
              <w:t>）</w:t>
            </w:r>
          </w:p>
        </w:tc>
        <w:tc>
          <w:tcPr>
            <w:tcW w:w="659"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生产</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能力</w:t>
            </w:r>
          </w:p>
        </w:tc>
        <w:tc>
          <w:tcPr>
            <w:tcW w:w="928"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用于施</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工部位</w:t>
            </w:r>
          </w:p>
        </w:tc>
        <w:tc>
          <w:tcPr>
            <w:tcW w:w="928"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0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9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65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0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9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65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0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9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65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0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9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65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0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9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65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bl>
    <w:p>
      <w:pPr>
        <w:autoSpaceDE w:val="0"/>
        <w:autoSpaceDN w:val="0"/>
        <w:adjustRightInd w:val="0"/>
        <w:spacing w:line="42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附表二：拟配备本工程的试验和检测仪器设备表</w:t>
      </w:r>
    </w:p>
    <w:p>
      <w:pPr>
        <w:autoSpaceDE w:val="0"/>
        <w:autoSpaceDN w:val="0"/>
        <w:adjustRightInd w:val="0"/>
        <w:spacing w:line="420" w:lineRule="exact"/>
        <w:jc w:val="left"/>
        <w:rPr>
          <w:rFonts w:hint="eastAsia" w:ascii="宋体" w:hAnsi="宋体" w:eastAsia="宋体" w:cs="宋体"/>
          <w:color w:val="auto"/>
          <w:kern w:val="0"/>
          <w:sz w:val="24"/>
          <w:highlight w:val="none"/>
        </w:rPr>
      </w:pPr>
    </w:p>
    <w:tbl>
      <w:tblPr>
        <w:tblStyle w:val="46"/>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228"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仪器设备</w:t>
            </w:r>
          </w:p>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026"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型号</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规格</w:t>
            </w:r>
          </w:p>
        </w:tc>
        <w:tc>
          <w:tcPr>
            <w:tcW w:w="1026"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数量</w:t>
            </w:r>
          </w:p>
        </w:tc>
        <w:tc>
          <w:tcPr>
            <w:tcW w:w="1025"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国别</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产地</w:t>
            </w:r>
          </w:p>
        </w:tc>
        <w:tc>
          <w:tcPr>
            <w:tcW w:w="884"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制造</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年份</w:t>
            </w:r>
          </w:p>
        </w:tc>
        <w:tc>
          <w:tcPr>
            <w:tcW w:w="1166"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已使用台</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时数</w:t>
            </w:r>
          </w:p>
        </w:tc>
        <w:tc>
          <w:tcPr>
            <w:tcW w:w="1026"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用途</w:t>
            </w:r>
          </w:p>
        </w:tc>
        <w:tc>
          <w:tcPr>
            <w:tcW w:w="1026"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5"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88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6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5"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88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6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5"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88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6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5"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88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6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5"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88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6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bl>
    <w:p>
      <w:pPr>
        <w:autoSpaceDE w:val="0"/>
        <w:autoSpaceDN w:val="0"/>
        <w:adjustRightInd w:val="0"/>
        <w:spacing w:line="420" w:lineRule="exact"/>
        <w:jc w:val="left"/>
        <w:rPr>
          <w:rFonts w:hint="eastAsia" w:ascii="宋体" w:hAnsi="宋体" w:eastAsia="宋体" w:cs="宋体"/>
          <w:color w:val="auto"/>
          <w:kern w:val="0"/>
          <w:sz w:val="28"/>
          <w:szCs w:val="28"/>
          <w:highlight w:val="none"/>
        </w:rPr>
      </w:pPr>
    </w:p>
    <w:p>
      <w:pPr>
        <w:autoSpaceDE w:val="0"/>
        <w:autoSpaceDN w:val="0"/>
        <w:adjustRightInd w:val="0"/>
        <w:spacing w:line="420" w:lineRule="exact"/>
        <w:jc w:val="left"/>
        <w:rPr>
          <w:rFonts w:hint="eastAsia" w:ascii="宋体" w:hAnsi="宋体" w:eastAsia="宋体" w:cs="宋体"/>
          <w:color w:val="auto"/>
          <w:kern w:val="0"/>
          <w:sz w:val="28"/>
          <w:szCs w:val="28"/>
          <w:highlight w:val="none"/>
        </w:rPr>
      </w:pPr>
    </w:p>
    <w:p>
      <w:pPr>
        <w:pStyle w:val="54"/>
        <w:ind w:firstLine="210"/>
        <w:rPr>
          <w:rFonts w:hint="eastAsia" w:ascii="宋体" w:hAnsi="宋体" w:eastAsia="宋体" w:cs="宋体"/>
          <w:color w:val="auto"/>
          <w:highlight w:val="none"/>
        </w:rPr>
      </w:pPr>
    </w:p>
    <w:p>
      <w:pPr>
        <w:autoSpaceDE w:val="0"/>
        <w:autoSpaceDN w:val="0"/>
        <w:adjustRightInd w:val="0"/>
        <w:spacing w:line="4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8"/>
          <w:szCs w:val="28"/>
          <w:highlight w:val="none"/>
        </w:rPr>
        <w:t>附表三：劳动力计划表</w:t>
      </w:r>
    </w:p>
    <w:p>
      <w:pPr>
        <w:autoSpaceDE w:val="0"/>
        <w:autoSpaceDN w:val="0"/>
        <w:adjustRightInd w:val="0"/>
        <w:spacing w:line="420" w:lineRule="exact"/>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单位：人</w:t>
      </w:r>
    </w:p>
    <w:tbl>
      <w:tblPr>
        <w:tblStyle w:val="46"/>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工种</w:t>
            </w:r>
          </w:p>
        </w:tc>
        <w:tc>
          <w:tcPr>
            <w:tcW w:w="8136" w:type="dxa"/>
            <w:gridSpan w:val="7"/>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r>
    </w:tbl>
    <w:p>
      <w:pPr>
        <w:autoSpaceDE w:val="0"/>
        <w:autoSpaceDN w:val="0"/>
        <w:adjustRightInd w:val="0"/>
        <w:spacing w:line="420" w:lineRule="exact"/>
        <w:jc w:val="left"/>
        <w:rPr>
          <w:rFonts w:hint="eastAsia" w:ascii="宋体" w:hAnsi="宋体" w:eastAsia="宋体" w:cs="宋体"/>
          <w:color w:val="auto"/>
          <w:kern w:val="0"/>
          <w:sz w:val="28"/>
          <w:szCs w:val="28"/>
          <w:highlight w:val="none"/>
        </w:rPr>
      </w:pPr>
    </w:p>
    <w:p>
      <w:pPr>
        <w:autoSpaceDE w:val="0"/>
        <w:autoSpaceDN w:val="0"/>
        <w:adjustRightInd w:val="0"/>
        <w:spacing w:line="420" w:lineRule="exact"/>
        <w:jc w:val="left"/>
        <w:rPr>
          <w:rFonts w:hint="eastAsia" w:ascii="宋体" w:hAnsi="宋体" w:eastAsia="宋体" w:cs="宋体"/>
          <w:color w:val="auto"/>
          <w:kern w:val="0"/>
          <w:sz w:val="28"/>
          <w:szCs w:val="28"/>
          <w:highlight w:val="none"/>
        </w:rPr>
      </w:pPr>
    </w:p>
    <w:p>
      <w:pPr>
        <w:autoSpaceDE w:val="0"/>
        <w:autoSpaceDN w:val="0"/>
        <w:adjustRightInd w:val="0"/>
        <w:spacing w:line="420" w:lineRule="exact"/>
        <w:jc w:val="left"/>
        <w:rPr>
          <w:rFonts w:hint="eastAsia" w:ascii="宋体" w:hAnsi="宋体" w:eastAsia="宋体" w:cs="宋体"/>
          <w:color w:val="auto"/>
          <w:kern w:val="0"/>
          <w:sz w:val="28"/>
          <w:szCs w:val="28"/>
          <w:highlight w:val="none"/>
        </w:rPr>
      </w:pPr>
    </w:p>
    <w:p>
      <w:pPr>
        <w:autoSpaceDE w:val="0"/>
        <w:autoSpaceDN w:val="0"/>
        <w:adjustRightInd w:val="0"/>
        <w:spacing w:line="42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附表四：计划开、竣工日期和施工进度网络图（或横道图）</w:t>
      </w:r>
    </w:p>
    <w:p>
      <w:pPr>
        <w:autoSpaceDE w:val="0"/>
        <w:autoSpaceDN w:val="0"/>
        <w:adjustRightInd w:val="0"/>
        <w:spacing w:line="4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投标人应递交施工进度网络图或施工进度表，说明按招标文件要求的计划工期进行施工的各个关键日期。</w:t>
      </w:r>
    </w:p>
    <w:p>
      <w:pPr>
        <w:autoSpaceDE w:val="0"/>
        <w:autoSpaceDN w:val="0"/>
        <w:adjustRightInd w:val="0"/>
        <w:spacing w:line="42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 施工进度表可采用网络图（或横道图）表示。</w:t>
      </w:r>
    </w:p>
    <w:p>
      <w:pPr>
        <w:pStyle w:val="3"/>
        <w:rPr>
          <w:rFonts w:hint="eastAsia" w:ascii="宋体" w:hAnsi="宋体" w:eastAsia="宋体" w:cs="宋体"/>
          <w:color w:val="auto"/>
          <w:sz w:val="20"/>
          <w:highlight w:val="none"/>
        </w:rPr>
      </w:pPr>
    </w:p>
    <w:p>
      <w:pPr>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3"/>
        <w:spacing w:before="5"/>
        <w:rPr>
          <w:rFonts w:hint="eastAsia" w:ascii="宋体" w:hAnsi="宋体" w:eastAsia="宋体" w:cs="宋体"/>
          <w:b/>
          <w:color w:val="auto"/>
          <w:sz w:val="20"/>
          <w:highlight w:val="none"/>
        </w:rPr>
      </w:pPr>
      <w:r>
        <w:rPr>
          <w:rFonts w:hint="eastAsia" w:ascii="宋体" w:hAnsi="宋体" w:eastAsia="宋体" w:cs="宋体"/>
          <w:color w:val="auto"/>
          <w:sz w:val="24"/>
          <w:highlight w:val="none"/>
        </w:rPr>
        <w:t xml:space="preserve">格式7                  </w:t>
      </w:r>
      <w:r>
        <w:rPr>
          <w:rFonts w:hint="eastAsia" w:ascii="宋体" w:hAnsi="宋体" w:eastAsia="宋体" w:cs="宋体"/>
          <w:color w:val="auto"/>
          <w:sz w:val="22"/>
          <w:highlight w:val="none"/>
        </w:rPr>
        <w:t xml:space="preserve">        </w:t>
      </w:r>
      <w:r>
        <w:rPr>
          <w:rFonts w:hint="eastAsia" w:ascii="宋体" w:hAnsi="宋体" w:eastAsia="宋体" w:cs="宋体"/>
          <w:color w:val="auto"/>
          <w:sz w:val="28"/>
          <w:highlight w:val="none"/>
        </w:rPr>
        <w:t xml:space="preserve"> </w:t>
      </w:r>
      <w:r>
        <w:rPr>
          <w:rFonts w:hint="eastAsia" w:ascii="宋体" w:hAnsi="宋体" w:eastAsia="宋体" w:cs="宋体"/>
          <w:b/>
          <w:color w:val="auto"/>
          <w:sz w:val="28"/>
          <w:highlight w:val="none"/>
        </w:rPr>
        <w:t>项目管理机构</w:t>
      </w:r>
    </w:p>
    <w:p>
      <w:pPr>
        <w:rPr>
          <w:rFonts w:hint="eastAsia" w:ascii="宋体" w:hAnsi="宋体" w:eastAsia="宋体" w:cs="宋体"/>
          <w:color w:val="auto"/>
          <w:sz w:val="24"/>
          <w:highlight w:val="none"/>
        </w:rPr>
      </w:pPr>
    </w:p>
    <w:p>
      <w:pPr>
        <w:rPr>
          <w:rFonts w:hint="eastAsia" w:ascii="宋体" w:hAnsi="宋体" w:eastAsia="宋体" w:cs="宋体"/>
          <w:color w:val="auto"/>
          <w:highlight w:val="none"/>
        </w:rPr>
      </w:pPr>
      <w:r>
        <w:rPr>
          <w:rFonts w:hint="eastAsia" w:ascii="宋体" w:hAnsi="宋体" w:eastAsia="宋体" w:cs="宋体"/>
          <w:color w:val="auto"/>
          <w:sz w:val="24"/>
          <w:highlight w:val="none"/>
        </w:rPr>
        <w:t>（一）项目管理机构组成表</w:t>
      </w:r>
    </w:p>
    <w:tbl>
      <w:tblPr>
        <w:tblStyle w:val="46"/>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职务</w:t>
            </w:r>
          </w:p>
        </w:tc>
        <w:tc>
          <w:tcPr>
            <w:tcW w:w="1033" w:type="dxa"/>
            <w:vMerge w:val="restart"/>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姓名</w:t>
            </w:r>
          </w:p>
        </w:tc>
        <w:tc>
          <w:tcPr>
            <w:tcW w:w="1034" w:type="dxa"/>
            <w:vMerge w:val="restart"/>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职称</w:t>
            </w:r>
          </w:p>
        </w:tc>
        <w:tc>
          <w:tcPr>
            <w:tcW w:w="4791" w:type="dxa"/>
            <w:gridSpan w:val="4"/>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执业或职业资格证明</w:t>
            </w: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Merge w:val="continue"/>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Merge w:val="continue"/>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证书名称</w:t>
            </w: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级别</w:t>
            </w: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证号</w:t>
            </w: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专业</w:t>
            </w: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（二）主要人员简历表</w:t>
      </w:r>
    </w:p>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附1：项目经理简历表</w:t>
      </w:r>
    </w:p>
    <w:p>
      <w:pPr>
        <w:spacing w:line="420" w:lineRule="exact"/>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项目经理应附建造师注册证书、安全生产考核合格证书、身份证，未担任其他在施建设工程项目项目经理的承诺书，管理过的项目业绩须附合同协议书和中标通知书复印件或扫描件。</w:t>
      </w:r>
    </w:p>
    <w:tbl>
      <w:tblPr>
        <w:tblStyle w:val="46"/>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98" w:type="dxa"/>
            <w:vAlign w:val="center"/>
          </w:tcPr>
          <w:p>
            <w:pPr>
              <w:jc w:val="center"/>
              <w:rPr>
                <w:rFonts w:hint="eastAsia" w:ascii="宋体" w:hAnsi="宋体" w:eastAsia="宋体" w:cs="宋体"/>
                <w:color w:val="auto"/>
                <w:szCs w:val="21"/>
                <w:highlight w:val="none"/>
              </w:rPr>
            </w:pPr>
          </w:p>
        </w:tc>
        <w:tc>
          <w:tcPr>
            <w:tcW w:w="120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352" w:type="dxa"/>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098" w:type="dxa"/>
            <w:vAlign w:val="center"/>
          </w:tcPr>
          <w:p>
            <w:pPr>
              <w:jc w:val="center"/>
              <w:rPr>
                <w:rFonts w:hint="eastAsia" w:ascii="宋体" w:hAnsi="宋体" w:eastAsia="宋体" w:cs="宋体"/>
                <w:color w:val="auto"/>
                <w:szCs w:val="21"/>
                <w:highlight w:val="none"/>
              </w:rPr>
            </w:pPr>
          </w:p>
        </w:tc>
        <w:tc>
          <w:tcPr>
            <w:tcW w:w="120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352" w:type="dxa"/>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拟在本工程任职</w:t>
            </w:r>
          </w:p>
        </w:tc>
        <w:tc>
          <w:tcPr>
            <w:tcW w:w="225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注册建造师执业资格等级</w:t>
            </w:r>
          </w:p>
        </w:tc>
        <w:tc>
          <w:tcPr>
            <w:tcW w:w="135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级</w:t>
            </w:r>
          </w:p>
        </w:tc>
        <w:tc>
          <w:tcPr>
            <w:tcW w:w="195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建造师专业</w:t>
            </w: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w:t>
            </w:r>
          </w:p>
        </w:tc>
        <w:tc>
          <w:tcPr>
            <w:tcW w:w="5561" w:type="dxa"/>
            <w:gridSpan w:val="3"/>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7862" w:type="dxa"/>
            <w:gridSpan w:val="5"/>
            <w:vAlign w:val="center"/>
          </w:tcPr>
          <w:p>
            <w:pPr>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653"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参加过的类似项目名称</w:t>
            </w:r>
          </w:p>
        </w:tc>
        <w:tc>
          <w:tcPr>
            <w:tcW w:w="195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工程概况说明</w:t>
            </w:r>
          </w:p>
        </w:tc>
        <w:tc>
          <w:tcPr>
            <w:tcW w:w="225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bl>
    <w:p>
      <w:pPr>
        <w:spacing w:line="420" w:lineRule="exact"/>
        <w:rPr>
          <w:rFonts w:hint="eastAsia" w:ascii="宋体" w:hAnsi="宋体" w:eastAsia="宋体" w:cs="宋体"/>
          <w:color w:val="auto"/>
          <w:szCs w:val="21"/>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附2：主要项目管理人员简历表</w:t>
      </w:r>
    </w:p>
    <w:p>
      <w:pPr>
        <w:spacing w:line="420" w:lineRule="exact"/>
        <w:ind w:firstLine="359" w:firstLineChars="171"/>
        <w:rPr>
          <w:rFonts w:hint="eastAsia" w:ascii="宋体" w:hAnsi="宋体" w:eastAsia="宋体" w:cs="宋体"/>
          <w:color w:val="auto"/>
          <w:szCs w:val="21"/>
          <w:highlight w:val="none"/>
        </w:rPr>
      </w:pPr>
    </w:p>
    <w:p>
      <w:pPr>
        <w:spacing w:line="420" w:lineRule="exact"/>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主要项目管理人员指技术负责人、专职安全生产管理人员等岗位人员。</w:t>
      </w:r>
    </w:p>
    <w:tbl>
      <w:tblPr>
        <w:tblStyle w:val="46"/>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130"/>
        <w:gridCol w:w="2601"/>
        <w:gridCol w:w="1217"/>
        <w:gridCol w:w="3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5"/>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819" w:type="dxa"/>
            <w:gridSpan w:val="2"/>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2601" w:type="dxa"/>
            <w:tcBorders>
              <w:left w:val="single" w:color="auto" w:sz="4" w:space="0"/>
            </w:tcBorders>
          </w:tcPr>
          <w:p>
            <w:pPr>
              <w:spacing w:line="420" w:lineRule="exact"/>
              <w:rPr>
                <w:rFonts w:hint="eastAsia" w:ascii="宋体" w:hAnsi="宋体" w:eastAsia="宋体" w:cs="宋体"/>
                <w:color w:val="auto"/>
                <w:szCs w:val="21"/>
                <w:highlight w:val="none"/>
              </w:rPr>
            </w:pPr>
          </w:p>
        </w:tc>
        <w:tc>
          <w:tcPr>
            <w:tcW w:w="1217" w:type="dxa"/>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3203" w:type="dxa"/>
            <w:tcBorders>
              <w:left w:val="single" w:color="auto" w:sz="4" w:space="0"/>
            </w:tcBorders>
          </w:tcPr>
          <w:p>
            <w:pPr>
              <w:spacing w:line="4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    别</w:t>
            </w:r>
          </w:p>
        </w:tc>
        <w:tc>
          <w:tcPr>
            <w:tcW w:w="2601" w:type="dxa"/>
            <w:tcBorders>
              <w:left w:val="single" w:color="auto" w:sz="4" w:space="0"/>
            </w:tcBorders>
          </w:tcPr>
          <w:p>
            <w:pPr>
              <w:spacing w:line="420" w:lineRule="exact"/>
              <w:rPr>
                <w:rFonts w:hint="eastAsia" w:ascii="宋体" w:hAnsi="宋体" w:eastAsia="宋体" w:cs="宋体"/>
                <w:color w:val="auto"/>
                <w:szCs w:val="21"/>
                <w:highlight w:val="none"/>
              </w:rPr>
            </w:pPr>
          </w:p>
        </w:tc>
        <w:tc>
          <w:tcPr>
            <w:tcW w:w="1217" w:type="dxa"/>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3203" w:type="dxa"/>
            <w:tcBorders>
              <w:left w:val="single" w:color="auto" w:sz="4" w:space="0"/>
            </w:tcBorders>
          </w:tcPr>
          <w:p>
            <w:pPr>
              <w:spacing w:line="4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学历和专业</w:t>
            </w:r>
          </w:p>
        </w:tc>
        <w:tc>
          <w:tcPr>
            <w:tcW w:w="2601" w:type="dxa"/>
            <w:tcBorders>
              <w:left w:val="single" w:color="auto" w:sz="4" w:space="0"/>
            </w:tcBorders>
          </w:tcPr>
          <w:p>
            <w:pPr>
              <w:spacing w:line="420" w:lineRule="exact"/>
              <w:rPr>
                <w:rFonts w:hint="eastAsia" w:ascii="宋体" w:hAnsi="宋体" w:eastAsia="宋体" w:cs="宋体"/>
                <w:color w:val="auto"/>
                <w:szCs w:val="21"/>
                <w:highlight w:val="none"/>
              </w:rPr>
            </w:pPr>
          </w:p>
        </w:tc>
        <w:tc>
          <w:tcPr>
            <w:tcW w:w="1217" w:type="dxa"/>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毕业时间</w:t>
            </w:r>
          </w:p>
        </w:tc>
        <w:tc>
          <w:tcPr>
            <w:tcW w:w="3203" w:type="dxa"/>
            <w:tcBorders>
              <w:left w:val="single" w:color="auto" w:sz="4" w:space="0"/>
            </w:tcBorders>
          </w:tcPr>
          <w:p>
            <w:pPr>
              <w:spacing w:line="4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819" w:type="dxa"/>
            <w:gridSpan w:val="2"/>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拥有的执业资格</w:t>
            </w:r>
          </w:p>
        </w:tc>
        <w:tc>
          <w:tcPr>
            <w:tcW w:w="2601" w:type="dxa"/>
            <w:tcBorders>
              <w:left w:val="single" w:color="auto" w:sz="4" w:space="0"/>
            </w:tcBorders>
          </w:tcPr>
          <w:p>
            <w:pPr>
              <w:spacing w:line="420" w:lineRule="exact"/>
              <w:rPr>
                <w:rFonts w:hint="eastAsia" w:ascii="宋体" w:hAnsi="宋体" w:eastAsia="宋体" w:cs="宋体"/>
                <w:color w:val="auto"/>
                <w:szCs w:val="21"/>
                <w:highlight w:val="none"/>
              </w:rPr>
            </w:pPr>
          </w:p>
        </w:tc>
        <w:tc>
          <w:tcPr>
            <w:tcW w:w="1217" w:type="dxa"/>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专业职称</w:t>
            </w:r>
          </w:p>
        </w:tc>
        <w:tc>
          <w:tcPr>
            <w:tcW w:w="3203" w:type="dxa"/>
            <w:tcBorders>
              <w:left w:val="single" w:color="auto" w:sz="4" w:space="0"/>
            </w:tcBorders>
          </w:tcPr>
          <w:p>
            <w:pPr>
              <w:spacing w:line="4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执业资格证书编号</w:t>
            </w:r>
          </w:p>
        </w:tc>
        <w:tc>
          <w:tcPr>
            <w:tcW w:w="2601" w:type="dxa"/>
            <w:tcBorders>
              <w:left w:val="single" w:color="auto" w:sz="4" w:space="0"/>
            </w:tcBorders>
          </w:tcPr>
          <w:p>
            <w:pPr>
              <w:spacing w:line="420" w:lineRule="exact"/>
              <w:rPr>
                <w:rFonts w:hint="eastAsia" w:ascii="宋体" w:hAnsi="宋体" w:eastAsia="宋体" w:cs="宋体"/>
                <w:color w:val="auto"/>
                <w:szCs w:val="21"/>
                <w:highlight w:val="none"/>
              </w:rPr>
            </w:pPr>
          </w:p>
        </w:tc>
        <w:tc>
          <w:tcPr>
            <w:tcW w:w="1217" w:type="dxa"/>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工作年限</w:t>
            </w:r>
          </w:p>
        </w:tc>
        <w:tc>
          <w:tcPr>
            <w:tcW w:w="3203" w:type="dxa"/>
            <w:tcBorders>
              <w:left w:val="single" w:color="auto" w:sz="4" w:space="0"/>
            </w:tcBorders>
          </w:tcPr>
          <w:p>
            <w:pPr>
              <w:spacing w:line="4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689" w:type="dxa"/>
            <w:tcBorders>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绩</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w:t>
            </w:r>
          </w:p>
        </w:tc>
        <w:tc>
          <w:tcPr>
            <w:tcW w:w="8151" w:type="dxa"/>
            <w:gridSpan w:val="4"/>
            <w:tcBorders>
              <w:left w:val="single" w:color="auto" w:sz="4" w:space="0"/>
            </w:tcBorders>
            <w:vAlign w:val="center"/>
          </w:tcPr>
          <w:p>
            <w:pPr>
              <w:rPr>
                <w:rFonts w:hint="eastAsia" w:ascii="宋体" w:hAnsi="宋体" w:eastAsia="宋体" w:cs="宋体"/>
                <w:color w:val="auto"/>
                <w:szCs w:val="21"/>
                <w:highlight w:val="none"/>
              </w:rPr>
            </w:pPr>
          </w:p>
        </w:tc>
      </w:tr>
    </w:tbl>
    <w:p>
      <w:pPr>
        <w:pStyle w:val="3"/>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格式8</w:t>
      </w:r>
    </w:p>
    <w:p>
      <w:pPr>
        <w:pStyle w:val="3"/>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项目管理机构配备情况辅助说明资料</w:t>
      </w:r>
    </w:p>
    <w:p>
      <w:pPr>
        <w:pStyle w:val="3"/>
        <w:spacing w:before="66"/>
        <w:ind w:left="218"/>
        <w:rPr>
          <w:rFonts w:hint="eastAsia" w:ascii="宋体" w:hAnsi="宋体" w:eastAsia="宋体" w:cs="宋体"/>
          <w:color w:val="auto"/>
          <w:highlight w:val="none"/>
        </w:rPr>
      </w:pPr>
      <w:r>
        <w:rPr>
          <w:rFonts w:hint="eastAsia" w:ascii="宋体" w:hAnsi="宋体" w:eastAsia="宋体" w:cs="宋体"/>
          <w:color w:val="auto"/>
          <w:highlight w:val="none"/>
        </w:rPr>
        <w:t>项目名称：</w:t>
      </w:r>
    </w:p>
    <w:p>
      <w:pPr>
        <w:pStyle w:val="3"/>
        <w:spacing w:before="10"/>
        <w:rPr>
          <w:rFonts w:hint="eastAsia" w:ascii="宋体" w:hAnsi="宋体" w:eastAsia="宋体" w:cs="宋体"/>
          <w:color w:val="auto"/>
          <w:sz w:val="8"/>
          <w:highlight w:val="none"/>
        </w:rPr>
      </w:pPr>
    </w:p>
    <w:p>
      <w:pPr>
        <w:pStyle w:val="3"/>
        <w:spacing w:before="67" w:line="436" w:lineRule="auto"/>
        <w:ind w:left="218" w:right="611" w:firstLine="120"/>
        <w:rPr>
          <w:rFonts w:hint="eastAsia" w:ascii="宋体" w:hAnsi="宋体" w:eastAsia="宋体" w:cs="宋体"/>
          <w:color w:val="auto"/>
          <w:highlight w:val="none"/>
        </w:rPr>
      </w:pPr>
      <w:r>
        <w:rPr>
          <w:rFonts w:hint="eastAsia" w:ascii="宋体" w:hAnsi="宋体" w:eastAsia="宋体" w:cs="宋体"/>
          <w:color w:val="auto"/>
          <w:highlight w:val="none"/>
        </w:rPr>
        <w:t>注：辅助说明资料主要包括管理机构和机构设置、职责分工有关复印资料及投标人认为有必要提供的资料。格式不做统一规定。</w:t>
      </w:r>
    </w:p>
    <w:p>
      <w:pPr>
        <w:pStyle w:val="3"/>
        <w:spacing w:before="1"/>
        <w:ind w:left="818"/>
        <w:rPr>
          <w:rFonts w:hint="eastAsia" w:ascii="宋体" w:hAnsi="宋体" w:eastAsia="宋体" w:cs="宋体"/>
          <w:color w:val="auto"/>
          <w:highlight w:val="none"/>
        </w:rPr>
      </w:pPr>
    </w:p>
    <w:p>
      <w:pPr>
        <w:pStyle w:val="45"/>
        <w:ind w:firstLine="480"/>
        <w:rPr>
          <w:rFonts w:hint="eastAsia" w:ascii="宋体" w:hAnsi="宋体" w:eastAsia="宋体" w:cs="宋体"/>
          <w:color w:val="auto"/>
          <w:sz w:val="24"/>
          <w:highlight w:val="none"/>
        </w:rPr>
      </w:pPr>
    </w:p>
    <w:p>
      <w:pPr>
        <w:pStyle w:val="45"/>
        <w:ind w:firstLine="480"/>
        <w:rPr>
          <w:rFonts w:hint="eastAsia" w:ascii="宋体" w:hAnsi="宋体" w:eastAsia="宋体" w:cs="宋体"/>
          <w:color w:val="auto"/>
          <w:sz w:val="24"/>
          <w:highlight w:val="none"/>
        </w:rPr>
      </w:pPr>
    </w:p>
    <w:p>
      <w:pPr>
        <w:spacing w:line="380" w:lineRule="exact"/>
        <w:jc w:val="center"/>
        <w:rPr>
          <w:rFonts w:hint="eastAsia" w:ascii="宋体" w:hAnsi="宋体" w:eastAsia="宋体" w:cs="宋体"/>
          <w:color w:val="auto"/>
          <w:sz w:val="24"/>
          <w:highlight w:val="none"/>
        </w:rPr>
      </w:pPr>
    </w:p>
    <w:p>
      <w:pPr>
        <w:spacing w:line="380" w:lineRule="exact"/>
        <w:jc w:val="center"/>
        <w:rPr>
          <w:rFonts w:hint="eastAsia" w:ascii="宋体" w:hAnsi="宋体" w:eastAsia="宋体" w:cs="宋体"/>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80" w:lineRule="exact"/>
        <w:jc w:val="center"/>
        <w:rPr>
          <w:rFonts w:hint="eastAsia" w:ascii="宋体" w:hAnsi="宋体" w:eastAsia="宋体" w:cs="宋体"/>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格式9</w:t>
      </w:r>
    </w:p>
    <w:p>
      <w:pPr>
        <w:spacing w:line="360" w:lineRule="auto"/>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近三年无重大违法承诺书</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注：格式自拟</w:t>
      </w:r>
    </w:p>
    <w:p>
      <w:pPr>
        <w:spacing w:line="360" w:lineRule="auto"/>
        <w:rPr>
          <w:rFonts w:hint="eastAsia" w:ascii="宋体" w:hAnsi="宋体" w:eastAsia="宋体" w:cs="宋体"/>
          <w:b/>
          <w:bCs/>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格式10</w:t>
      </w:r>
    </w:p>
    <w:p>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服务承诺</w:t>
      </w:r>
    </w:p>
    <w:p>
      <w:pPr>
        <w:spacing w:line="380" w:lineRule="exact"/>
        <w:jc w:val="center"/>
        <w:rPr>
          <w:rFonts w:hint="eastAsia" w:ascii="宋体" w:hAnsi="宋体" w:eastAsia="宋体" w:cs="宋体"/>
          <w:color w:val="auto"/>
          <w:sz w:val="24"/>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注：格式自拟</w:t>
      </w:r>
    </w:p>
    <w:p>
      <w:pPr>
        <w:spacing w:line="380" w:lineRule="exact"/>
        <w:ind w:firstLine="360" w:firstLineChars="150"/>
        <w:rPr>
          <w:rFonts w:hint="eastAsia" w:ascii="宋体" w:hAnsi="宋体" w:eastAsia="宋体" w:cs="宋体"/>
          <w:color w:val="auto"/>
          <w:sz w:val="24"/>
          <w:highlight w:val="none"/>
        </w:rPr>
      </w:pPr>
    </w:p>
    <w:p>
      <w:pPr>
        <w:pStyle w:val="57"/>
        <w:rPr>
          <w:rFonts w:hint="eastAsia" w:ascii="宋体" w:hAnsi="宋体" w:eastAsia="宋体" w:cs="宋体"/>
          <w:color w:val="auto"/>
          <w:sz w:val="24"/>
          <w:szCs w:val="24"/>
          <w:highlight w:val="none"/>
        </w:rPr>
      </w:pPr>
    </w:p>
    <w:p>
      <w:pPr>
        <w:pStyle w:val="57"/>
        <w:rPr>
          <w:rFonts w:hint="eastAsia" w:ascii="宋体" w:hAnsi="宋体" w:eastAsia="宋体" w:cs="宋体"/>
          <w:color w:val="auto"/>
          <w:sz w:val="24"/>
          <w:szCs w:val="24"/>
          <w:highlight w:val="none"/>
        </w:rPr>
      </w:pPr>
    </w:p>
    <w:p>
      <w:pPr>
        <w:pStyle w:val="57"/>
        <w:rPr>
          <w:rFonts w:hint="eastAsia" w:ascii="宋体" w:hAnsi="宋体" w:eastAsia="宋体" w:cs="宋体"/>
          <w:color w:val="auto"/>
          <w:sz w:val="24"/>
          <w:szCs w:val="24"/>
          <w:highlight w:val="none"/>
        </w:rPr>
      </w:pPr>
    </w:p>
    <w:p>
      <w:pPr>
        <w:pStyle w:val="57"/>
        <w:rPr>
          <w:rFonts w:hint="eastAsia" w:ascii="宋体" w:hAnsi="宋体" w:eastAsia="宋体" w:cs="宋体"/>
          <w:color w:val="auto"/>
          <w:sz w:val="24"/>
          <w:szCs w:val="24"/>
          <w:highlight w:val="none"/>
        </w:rPr>
      </w:pPr>
    </w:p>
    <w:p>
      <w:pPr>
        <w:pStyle w:val="57"/>
        <w:rPr>
          <w:rFonts w:hint="eastAsia" w:ascii="宋体" w:hAnsi="宋体" w:eastAsia="宋体" w:cs="宋体"/>
          <w:color w:val="auto"/>
          <w:sz w:val="24"/>
          <w:szCs w:val="24"/>
          <w:highlight w:val="none"/>
        </w:rPr>
      </w:pPr>
    </w:p>
    <w:p>
      <w:pPr>
        <w:pStyle w:val="57"/>
        <w:rPr>
          <w:rFonts w:hint="eastAsia" w:ascii="宋体" w:hAnsi="宋体" w:eastAsia="宋体" w:cs="宋体"/>
          <w:color w:val="auto"/>
          <w:sz w:val="24"/>
          <w:szCs w:val="24"/>
          <w:highlight w:val="none"/>
        </w:rPr>
      </w:pPr>
    </w:p>
    <w:p>
      <w:pPr>
        <w:spacing w:line="380" w:lineRule="exact"/>
        <w:rPr>
          <w:rFonts w:hint="eastAsia" w:ascii="宋体" w:hAnsi="宋体" w:eastAsia="宋体" w:cs="宋体"/>
          <w:color w:val="auto"/>
          <w:sz w:val="24"/>
          <w:highlight w:val="none"/>
        </w:rPr>
      </w:pPr>
    </w:p>
    <w:p>
      <w:pPr>
        <w:spacing w:line="380" w:lineRule="exact"/>
        <w:ind w:firstLine="4008" w:firstLineChars="167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pPr>
        <w:spacing w:line="380" w:lineRule="exact"/>
        <w:ind w:right="640" w:firstLine="1560" w:firstLineChars="650"/>
        <w:rPr>
          <w:rFonts w:hint="eastAsia" w:ascii="宋体" w:hAnsi="宋体" w:eastAsia="宋体" w:cs="宋体"/>
          <w:color w:val="auto"/>
          <w:sz w:val="24"/>
          <w:highlight w:val="none"/>
        </w:rPr>
      </w:pPr>
    </w:p>
    <w:p>
      <w:pPr>
        <w:spacing w:line="380" w:lineRule="exact"/>
        <w:ind w:right="640" w:firstLine="4680" w:firstLineChars="1950"/>
        <w:rPr>
          <w:rFonts w:hint="eastAsia" w:ascii="宋体" w:hAnsi="宋体" w:eastAsia="宋体" w:cs="宋体"/>
          <w:color w:val="auto"/>
          <w:sz w:val="24"/>
          <w:highlight w:val="none"/>
        </w:rPr>
      </w:pPr>
    </w:p>
    <w:p>
      <w:pPr>
        <w:spacing w:line="380" w:lineRule="exact"/>
        <w:jc w:val="center"/>
        <w:rPr>
          <w:rFonts w:hint="eastAsia" w:ascii="宋体" w:hAnsi="宋体" w:eastAsia="宋体" w:cs="宋体"/>
          <w:color w:val="auto"/>
          <w:sz w:val="24"/>
          <w:highlight w:val="none"/>
        </w:rPr>
      </w:pPr>
    </w:p>
    <w:p>
      <w:pPr>
        <w:spacing w:line="38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格式11       其他资料</w:t>
      </w:r>
    </w:p>
    <w:p>
      <w:pPr>
        <w:pStyle w:val="54"/>
        <w:ind w:firstLine="24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纳税和社保缴纳凭证、财务审计报告、信用中国、中国政府采购网查询截图等供应商认为需要提供的其他资料。</w:t>
      </w: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格式12</w:t>
      </w:r>
    </w:p>
    <w:p>
      <w:pPr>
        <w:pStyle w:val="44"/>
        <w:rPr>
          <w:rFonts w:hint="eastAsia" w:ascii="宋体" w:hAnsi="宋体" w:eastAsia="宋体" w:cs="宋体"/>
          <w:color w:val="auto"/>
          <w:sz w:val="24"/>
          <w:highlight w:val="none"/>
        </w:rPr>
      </w:pPr>
    </w:p>
    <w:p>
      <w:pPr>
        <w:numPr>
          <w:ilvl w:val="0"/>
          <w:numId w:val="0"/>
        </w:numPr>
        <w:spacing w:line="360" w:lineRule="auto"/>
        <w:jc w:val="center"/>
        <w:rPr>
          <w:b/>
          <w:bCs/>
          <w:color w:val="auto"/>
          <w:sz w:val="28"/>
          <w:szCs w:val="28"/>
        </w:rPr>
      </w:pPr>
      <w:r>
        <w:rPr>
          <w:rFonts w:hint="eastAsia"/>
          <w:b/>
          <w:bCs/>
          <w:color w:val="auto"/>
          <w:sz w:val="28"/>
          <w:szCs w:val="28"/>
        </w:rPr>
        <w:t>中小企业声明函（工程、服务）</w:t>
      </w:r>
    </w:p>
    <w:p>
      <w:pPr>
        <w:spacing w:line="360" w:lineRule="auto"/>
        <w:rPr>
          <w:b/>
          <w:bCs/>
          <w:color w:val="auto"/>
          <w:sz w:val="32"/>
          <w:szCs w:val="32"/>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本公司（联合体）郑重声明，根据《政府采购促进中小企业发展管理办法》（财库﹝2020﹞46号）的规定，本公司（联合体）参加</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采购活动，工程的施工单位全部为符合政策要求的中小企业</w:t>
      </w:r>
      <w:r>
        <w:rPr>
          <w:rFonts w:hint="eastAsia" w:ascii="宋体" w:hAnsi="宋体" w:cs="宋体"/>
          <w:color w:val="auto"/>
          <w:sz w:val="24"/>
          <w:szCs w:val="24"/>
          <w:u w:val="single"/>
        </w:rPr>
        <w:t>（或者：服务全部由符合政策要求的中小企业承接）</w:t>
      </w:r>
      <w:r>
        <w:rPr>
          <w:rFonts w:hint="eastAsia" w:ascii="宋体" w:hAnsi="宋体" w:cs="宋体"/>
          <w:color w:val="auto"/>
          <w:sz w:val="24"/>
          <w:szCs w:val="24"/>
        </w:rPr>
        <w:t>。相关企业</w:t>
      </w:r>
      <w:r>
        <w:rPr>
          <w:rFonts w:hint="eastAsia" w:ascii="宋体" w:hAnsi="宋体" w:cs="宋体"/>
          <w:color w:val="auto"/>
          <w:sz w:val="24"/>
          <w:szCs w:val="24"/>
          <w:u w:val="single"/>
        </w:rPr>
        <w:t>（含联合 体中的中小企业、签订分包意向协议的中小企业）</w:t>
      </w:r>
      <w:r>
        <w:rPr>
          <w:rFonts w:hint="eastAsia" w:ascii="宋体" w:hAnsi="宋体" w:cs="宋体"/>
          <w:color w:val="auto"/>
          <w:sz w:val="24"/>
          <w:szCs w:val="24"/>
        </w:rPr>
        <w:t>的具体情 况如下：</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 承建（承接）企业为（企业名称），从业人员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万元，属于（中型企业、小型企业、微型企业）；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 承建（承接）企业为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z w:val="24"/>
          <w:szCs w:val="24"/>
          <w:u w:val="single"/>
        </w:rPr>
        <w:t>（中型企业、 小型企业、微型企业）</w:t>
      </w:r>
      <w:r>
        <w:rPr>
          <w:rFonts w:hint="eastAsia" w:ascii="宋体" w:hAnsi="宋体" w:cs="宋体"/>
          <w:color w:val="auto"/>
          <w:sz w:val="24"/>
          <w:szCs w:val="24"/>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本企业对上述声明内容的真实性负责。如有虚假，将依法承担相应责任。 </w:t>
      </w:r>
    </w:p>
    <w:p>
      <w:pPr>
        <w:spacing w:line="360" w:lineRule="auto"/>
        <w:ind w:firstLine="3600" w:firstLineChars="1500"/>
        <w:rPr>
          <w:rFonts w:ascii="宋体" w:hAnsi="宋体" w:cs="宋体"/>
          <w:color w:val="auto"/>
          <w:sz w:val="24"/>
          <w:szCs w:val="24"/>
        </w:rPr>
      </w:pPr>
      <w:r>
        <w:rPr>
          <w:rFonts w:hint="eastAsia" w:ascii="宋体" w:hAnsi="宋体" w:cs="宋体"/>
          <w:color w:val="auto"/>
          <w:sz w:val="24"/>
          <w:szCs w:val="24"/>
        </w:rPr>
        <w:t xml:space="preserve">企业名称（盖章）： </w:t>
      </w:r>
    </w:p>
    <w:p>
      <w:pPr>
        <w:spacing w:line="360" w:lineRule="auto"/>
        <w:ind w:firstLine="4800" w:firstLineChars="2000"/>
        <w:rPr>
          <w:rFonts w:ascii="宋体" w:hAnsi="宋体" w:cs="宋体"/>
          <w:color w:val="auto"/>
          <w:sz w:val="24"/>
          <w:szCs w:val="24"/>
        </w:rPr>
      </w:pPr>
      <w:r>
        <w:rPr>
          <w:rFonts w:hint="eastAsia" w:ascii="宋体" w:hAnsi="宋体" w:cs="宋体"/>
          <w:color w:val="auto"/>
          <w:sz w:val="24"/>
          <w:szCs w:val="24"/>
        </w:rPr>
        <w:t xml:space="preserve">日 期： </w:t>
      </w:r>
    </w:p>
    <w:p>
      <w:pPr>
        <w:pStyle w:val="57"/>
        <w:rPr>
          <w:rFonts w:ascii="宋体" w:hAnsi="宋体" w:cs="宋体"/>
          <w:color w:val="auto"/>
          <w:sz w:val="24"/>
          <w:szCs w:val="24"/>
        </w:rPr>
      </w:pPr>
    </w:p>
    <w:p>
      <w:pPr>
        <w:pStyle w:val="16"/>
        <w:rPr>
          <w:rFonts w:ascii="宋体" w:hAnsi="宋体" w:eastAsia="宋体" w:cs="宋体"/>
          <w:color w:val="auto"/>
          <w:sz w:val="24"/>
          <w:szCs w:val="24"/>
        </w:rPr>
      </w:pPr>
    </w:p>
    <w:p>
      <w:pPr>
        <w:rPr>
          <w:rFonts w:ascii="宋体" w:hAnsi="宋体" w:cs="宋体"/>
          <w:color w:val="auto"/>
          <w:sz w:val="24"/>
          <w:szCs w:val="24"/>
        </w:rPr>
      </w:pPr>
    </w:p>
    <w:p>
      <w:pPr>
        <w:pStyle w:val="57"/>
        <w:rPr>
          <w:rFonts w:ascii="宋体" w:hAnsi="宋体" w:cs="宋体"/>
          <w:color w:val="auto"/>
          <w:sz w:val="24"/>
          <w:szCs w:val="24"/>
        </w:rPr>
      </w:pPr>
    </w:p>
    <w:p>
      <w:pPr>
        <w:pStyle w:val="16"/>
        <w:rPr>
          <w:color w:val="auto"/>
        </w:rPr>
      </w:pPr>
    </w:p>
    <w:p>
      <w:pPr>
        <w:spacing w:line="360" w:lineRule="auto"/>
        <w:ind w:firstLine="420" w:firstLineChars="200"/>
        <w:rPr>
          <w:color w:val="auto"/>
        </w:rPr>
      </w:pPr>
      <w:r>
        <w:rPr>
          <w:rFonts w:hint="eastAsia"/>
          <w:color w:val="auto"/>
        </w:rPr>
        <w:t>注：1.从业人员、营业收入、资产总额填报上一年度数据，无上一年度数据的新成立企业可不填报。</w:t>
      </w:r>
    </w:p>
    <w:p>
      <w:pPr>
        <w:spacing w:line="360" w:lineRule="auto"/>
        <w:ind w:firstLine="420" w:firstLineChars="200"/>
        <w:rPr>
          <w:color w:val="auto"/>
        </w:rPr>
      </w:pPr>
      <w:r>
        <w:rPr>
          <w:rFonts w:hint="eastAsia"/>
          <w:color w:val="auto"/>
        </w:rPr>
        <w:t>2.本项目如是只面向中小企业采购的应当必须提供。</w:t>
      </w:r>
    </w:p>
    <w:p>
      <w:pPr>
        <w:spacing w:line="360" w:lineRule="auto"/>
        <w:rPr>
          <w:rFonts w:ascii="宋体" w:hAnsi="宋体" w:cs="宋体"/>
          <w:color w:val="auto"/>
          <w:sz w:val="24"/>
          <w:szCs w:val="28"/>
        </w:rPr>
      </w:pPr>
    </w:p>
    <w:p>
      <w:pPr>
        <w:rPr>
          <w:rFonts w:ascii="宋体" w:hAnsi="宋体" w:cs="宋体"/>
          <w:color w:val="auto"/>
          <w:sz w:val="28"/>
          <w:szCs w:val="28"/>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格式1</w:t>
      </w:r>
      <w:r>
        <w:rPr>
          <w:rFonts w:hint="eastAsia" w:ascii="宋体" w:hAnsi="宋体" w:cs="宋体"/>
          <w:color w:val="auto"/>
          <w:sz w:val="24"/>
          <w:highlight w:val="none"/>
          <w:lang w:val="en-US" w:eastAsia="zh-CN"/>
        </w:rPr>
        <w:t>3</w:t>
      </w:r>
    </w:p>
    <w:p>
      <w:pPr>
        <w:pStyle w:val="45"/>
        <w:rPr>
          <w:rFonts w:hint="eastAsia"/>
          <w:color w:val="auto"/>
        </w:rPr>
      </w:pPr>
    </w:p>
    <w:p>
      <w:pPr>
        <w:spacing w:line="380" w:lineRule="exact"/>
        <w:jc w:val="center"/>
        <w:rPr>
          <w:rStyle w:val="87"/>
          <w:rFonts w:hint="eastAsia" w:ascii="宋体" w:hAnsi="宋体" w:eastAsia="宋体" w:cs="宋体"/>
          <w:b/>
          <w:bCs/>
          <w:color w:val="auto"/>
          <w:sz w:val="28"/>
          <w:szCs w:val="28"/>
          <w:highlight w:val="none"/>
        </w:rPr>
      </w:pPr>
      <w:r>
        <w:rPr>
          <w:rStyle w:val="87"/>
          <w:rFonts w:hint="eastAsia" w:ascii="宋体" w:hAnsi="宋体" w:eastAsia="宋体" w:cs="宋体"/>
          <w:b/>
          <w:bCs/>
          <w:color w:val="auto"/>
          <w:sz w:val="28"/>
          <w:szCs w:val="28"/>
          <w:highlight w:val="none"/>
        </w:rPr>
        <w:t>政府采购供应商诚信承诺书</w:t>
      </w:r>
    </w:p>
    <w:p>
      <w:pPr>
        <w:spacing w:line="380" w:lineRule="exact"/>
        <w:jc w:val="center"/>
        <w:rPr>
          <w:rStyle w:val="87"/>
          <w:rFonts w:hint="eastAsia" w:ascii="宋体" w:hAnsi="宋体" w:eastAsia="宋体" w:cs="宋体"/>
          <w:b/>
          <w:bCs/>
          <w:color w:val="auto"/>
          <w:sz w:val="24"/>
          <w:highlight w:val="none"/>
        </w:rPr>
      </w:pPr>
    </w:p>
    <w:p>
      <w:pPr>
        <w:spacing w:line="38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（一）提供虚假材料谋取中标;</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（二）采取不正当手段诋毁、排挤其他供应商;</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（三）与招标采购单位、其他投标人恶意串通;</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（四）向招标采购单位或提供其他不正当利益;</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（五）在招标过程中与招标采购单位进行协商谈判、不按照招标文件和投标文件订立合同，或者与采购人另立背离合同实质性内容协议;</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（六）开标后擅自撤销投标，影响招标继续进行的或领取招标文件纳投标保证金后不投标导致废标;</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（七）中标后无正当理由，在规定时间内不与采购单位签订合同;</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（八）将中标项目转让给他人或非法分包他人;</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（九）无正当理由，拒绝履行合同义务;</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（十）无正当理由放弃中标（成交）项目;</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（十二）与采购人串通，对尚未履约完毕的采购项目出具虚假验收报告；</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（十三）无不可抗力因素，拒绝提供售后服务、售后服务态度恶劣、故意提高维修配件价格（高于市场平均价）；</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（十四）开标后对招标文件的相关内容再进行质疑；</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（十五）恶意投诉的行为：投诉经查无实据的、捏造事实或者提供虚假设诉材料；</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（十六）拒绝有关部门监督检查或者提供虚假情况；</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（十七）政府采购监管部门认定的其他政府采购活动中的不诚信行为。</w:t>
      </w:r>
    </w:p>
    <w:p>
      <w:pPr>
        <w:spacing w:line="380" w:lineRule="exact"/>
        <w:ind w:firstLine="3360" w:firstLineChars="1400"/>
        <w:rPr>
          <w:rFonts w:hint="eastAsia" w:ascii="宋体" w:hAnsi="宋体" w:eastAsia="宋体" w:cs="宋体"/>
          <w:color w:val="auto"/>
          <w:sz w:val="24"/>
          <w:highlight w:val="none"/>
        </w:rPr>
      </w:pPr>
    </w:p>
    <w:p>
      <w:pPr>
        <w:spacing w:line="380" w:lineRule="exact"/>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80" w:lineRule="exact"/>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法人代表或授权委托人：（签字）</w:t>
      </w:r>
    </w:p>
    <w:p>
      <w:pPr>
        <w:spacing w:line="380" w:lineRule="exact"/>
        <w:ind w:firstLine="3360" w:firstLineChars="1400"/>
        <w:rPr>
          <w:rFonts w:hint="eastAsia" w:ascii="宋体" w:hAnsi="宋体" w:eastAsia="宋体" w:cs="宋体"/>
          <w:color w:val="auto"/>
          <w:sz w:val="24"/>
          <w:highlight w:val="none"/>
        </w:rPr>
      </w:pPr>
    </w:p>
    <w:p>
      <w:pPr>
        <w:spacing w:line="380" w:lineRule="exact"/>
        <w:ind w:firstLine="3360" w:firstLineChars="14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日期：年月日</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6"/>
        <w:jc w:val="center"/>
        <w:rPr>
          <w:rFonts w:hint="eastAsia" w:ascii="宋体" w:hAnsi="宋体" w:eastAsia="宋体" w:cs="宋体"/>
          <w:b w:val="0"/>
          <w:color w:val="auto"/>
          <w:sz w:val="28"/>
          <w:highlight w:val="none"/>
        </w:rPr>
      </w:pPr>
      <w:bookmarkStart w:id="51" w:name="_Toc98348555"/>
      <w:r>
        <w:rPr>
          <w:rFonts w:hint="eastAsia" w:ascii="宋体" w:hAnsi="宋体" w:eastAsia="宋体" w:cs="宋体"/>
          <w:color w:val="auto"/>
          <w:sz w:val="28"/>
          <w:highlight w:val="none"/>
        </w:rPr>
        <w:t>第五章  周口市政府采购合同（工程类）标准文本</w:t>
      </w:r>
      <w:bookmarkEnd w:id="51"/>
    </w:p>
    <w:p>
      <w:pPr>
        <w:pStyle w:val="54"/>
        <w:ind w:firstLine="24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（本合同版本仅供参考，最终以采购人确定的版本为准。）</w:t>
      </w:r>
    </w:p>
    <w:p>
      <w:pPr>
        <w:pStyle w:val="152"/>
        <w:spacing w:beforeLines="0" w:afterLines="0"/>
        <w:ind w:left="0" w:firstLine="640" w:firstLineChars="200"/>
        <w:rPr>
          <w:rFonts w:hint="eastAsia" w:ascii="宋体" w:hAnsi="宋体" w:eastAsia="宋体" w:cs="宋体"/>
          <w:color w:val="auto"/>
          <w:sz w:val="32"/>
          <w:szCs w:val="32"/>
          <w:highlight w:val="none"/>
        </w:rPr>
      </w:pPr>
    </w:p>
    <w:p>
      <w:pPr>
        <w:pStyle w:val="152"/>
        <w:spacing w:beforeLines="0" w:afterLines="0"/>
        <w:ind w:left="0" w:firstLine="640" w:firstLineChars="200"/>
        <w:rPr>
          <w:rFonts w:hint="eastAsia" w:ascii="宋体" w:hAnsi="宋体" w:eastAsia="宋体" w:cs="宋体"/>
          <w:color w:val="auto"/>
          <w:sz w:val="32"/>
          <w:szCs w:val="32"/>
          <w:highlight w:val="none"/>
        </w:rPr>
      </w:pPr>
    </w:p>
    <w:p>
      <w:pPr>
        <w:pStyle w:val="152"/>
        <w:spacing w:beforeLines="0" w:afterLines="0"/>
        <w:ind w:left="0" w:firstLine="640" w:firstLineChars="200"/>
        <w:rPr>
          <w:rFonts w:hint="eastAsia" w:ascii="宋体" w:hAnsi="宋体" w:eastAsia="宋体" w:cs="宋体"/>
          <w:color w:val="auto"/>
          <w:sz w:val="32"/>
          <w:szCs w:val="32"/>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政府采购项目名称：</w:t>
      </w: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政府采购项目编号：</w:t>
      </w: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采      购    人：</w:t>
      </w: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      应    商：</w:t>
      </w: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合  同  签 订 地：</w:t>
      </w: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合 同 签订 时 间：</w:t>
      </w: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line="440" w:lineRule="exact"/>
        <w:ind w:left="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合同签订指引</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一、采购人在签订合同时应提供的资料：</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1、该政府采购项目的招标采购文件（以网上发布内容为准）；</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2、该政府采购项目招标文件的澄清和修改内容（公告内容）；</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3、该政府采购项目评审报告；</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4、采购单位法人授权委托书（法人到场并签字的除外）；</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5、采购单位被授权人身份证件（法人到场并签字的除外）；</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6、采购人和中标供应商（或服务商，下同）约定的其它内容（不得超出招标采购文件实质性内容）。</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二、供应商在签订合同时应提供的资料：</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1、该政府采购项目的投标文件（纸质或DPF格式的电子投标文件）；</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2、针对该项目评审时评审委员会提出的质询答复（纸质并签章）；</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3、该政府采购项目中标通知书；</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4、供应商法人授权委托书（法人到场并签字的除外）；</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5、供应商被授权人身份证件（法人到场并签字的除外）；</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6、供应商和采购人约定的其它内容（不得超出招标采购文件实质性内容）。</w:t>
      </w:r>
    </w:p>
    <w:p>
      <w:pPr>
        <w:pStyle w:val="152"/>
        <w:spacing w:beforeLines="0" w:afterLines="0" w:line="440" w:lineRule="exact"/>
        <w:ind w:left="0" w:firstLine="420" w:firstLineChars="200"/>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t>三、本合同签订后二个工作日内有采购人在“周口市政府采购网”上进行合同公示。</w:t>
      </w:r>
    </w:p>
    <w:p>
      <w:pPr>
        <w:pStyle w:val="152"/>
        <w:spacing w:beforeLines="0" w:afterLines="0" w:line="440" w:lineRule="exact"/>
        <w:ind w:left="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供应商履约验收指引</w:t>
      </w:r>
    </w:p>
    <w:p>
      <w:pPr>
        <w:pStyle w:val="152"/>
        <w:spacing w:beforeLines="0" w:afterLines="0" w:line="440" w:lineRule="exact"/>
        <w:ind w:left="0" w:firstLine="420" w:firstLineChars="200"/>
        <w:rPr>
          <w:rFonts w:hint="eastAsia" w:ascii="宋体" w:hAnsi="宋体" w:eastAsia="宋体" w:cs="宋体"/>
          <w:color w:val="auto"/>
          <w:szCs w:val="27"/>
          <w:highlight w:val="none"/>
        </w:rPr>
      </w:pPr>
      <w:r>
        <w:rPr>
          <w:rFonts w:hint="eastAsia" w:ascii="宋体" w:hAnsi="宋体" w:eastAsia="宋体" w:cs="宋体"/>
          <w:color w:val="auto"/>
          <w:szCs w:val="21"/>
          <w:highlight w:val="none"/>
        </w:rPr>
        <w:t>1、供应商不得擅自变更合同标的服务内容；</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2、不得以次充优，随意降低服务标准和水平；</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对因客观上采购人采购需求发生变化造成的，应提供采、供双方的纸质备忘录材料；</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4、在满足验收条件5个工作日内通知采购人组织验收；</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5、供应商应提供需验收服务的清单、标准、达到的水平等量化资料；</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6、采、供双方约定的验收机构及相关人员组成情况。</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7、督促采购人在项目验收结束并达到相关要求后一个工作日内，在“周口市政府采购网”上进行“履约验收”公示。</w:t>
      </w:r>
    </w:p>
    <w:p>
      <w:pPr>
        <w:pStyle w:val="152"/>
        <w:spacing w:beforeLines="0" w:afterLines="0" w:line="440" w:lineRule="exact"/>
        <w:ind w:left="0" w:firstLine="420" w:firstLineChars="200"/>
        <w:rPr>
          <w:rFonts w:hint="eastAsia" w:ascii="宋体" w:hAnsi="宋体" w:eastAsia="宋体" w:cs="宋体"/>
          <w:color w:val="auto"/>
          <w:szCs w:val="21"/>
          <w:highlight w:val="none"/>
        </w:rPr>
      </w:pPr>
    </w:p>
    <w:p>
      <w:pPr>
        <w:pStyle w:val="152"/>
        <w:spacing w:beforeLines="0" w:afterLines="0" w:line="440" w:lineRule="exact"/>
        <w:ind w:left="0" w:firstLine="420" w:firstLineChars="200"/>
        <w:rPr>
          <w:rFonts w:hint="eastAsia" w:ascii="宋体" w:hAnsi="宋体" w:eastAsia="宋体" w:cs="宋体"/>
          <w:color w:val="auto"/>
          <w:szCs w:val="21"/>
          <w:highlight w:val="none"/>
        </w:rPr>
      </w:pPr>
    </w:p>
    <w:p>
      <w:pPr>
        <w:pStyle w:val="152"/>
        <w:spacing w:beforeLines="0" w:afterLines="0" w:line="440" w:lineRule="exact"/>
        <w:ind w:left="0" w:firstLine="420" w:firstLineChars="200"/>
        <w:rPr>
          <w:rFonts w:hint="eastAsia" w:ascii="宋体" w:hAnsi="宋体" w:eastAsia="宋体" w:cs="宋体"/>
          <w:color w:val="auto"/>
          <w:szCs w:val="21"/>
          <w:highlight w:val="none"/>
        </w:rPr>
      </w:pPr>
    </w:p>
    <w:p>
      <w:pPr>
        <w:pStyle w:val="152"/>
        <w:spacing w:beforeLines="0" w:afterLines="0" w:line="440" w:lineRule="exact"/>
        <w:ind w:left="0" w:firstLine="420" w:firstLineChars="200"/>
        <w:rPr>
          <w:rFonts w:hint="eastAsia" w:ascii="宋体" w:hAnsi="宋体" w:eastAsia="宋体" w:cs="宋体"/>
          <w:color w:val="auto"/>
          <w:szCs w:val="21"/>
          <w:highlight w:val="none"/>
        </w:rPr>
      </w:pPr>
    </w:p>
    <w:p>
      <w:pPr>
        <w:pStyle w:val="152"/>
        <w:spacing w:beforeLines="0" w:afterLines="0" w:line="60" w:lineRule="auto"/>
        <w:ind w:left="0" w:firstLine="420" w:firstLineChars="200"/>
        <w:rPr>
          <w:rFonts w:hint="eastAsia" w:ascii="宋体" w:hAnsi="宋体" w:eastAsia="宋体" w:cs="宋体"/>
          <w:color w:val="auto"/>
          <w:szCs w:val="21"/>
          <w:highlight w:val="none"/>
        </w:rPr>
      </w:pPr>
    </w:p>
    <w:p>
      <w:pPr>
        <w:jc w:val="center"/>
        <w:rPr>
          <w:rFonts w:hint="eastAsia" w:ascii="宋体" w:hAnsi="宋体" w:eastAsia="宋体" w:cs="宋体"/>
          <w:color w:val="auto"/>
          <w:sz w:val="36"/>
          <w:szCs w:val="36"/>
          <w:highlight w:val="none"/>
        </w:rPr>
      </w:pPr>
      <w:bookmarkStart w:id="52" w:name="_Toc48834555"/>
      <w:r>
        <w:rPr>
          <w:rFonts w:hint="eastAsia" w:ascii="宋体" w:hAnsi="宋体" w:eastAsia="宋体" w:cs="宋体"/>
          <w:color w:val="auto"/>
          <w:sz w:val="36"/>
          <w:szCs w:val="36"/>
          <w:highlight w:val="none"/>
        </w:rPr>
        <w:t>合同</w:t>
      </w:r>
      <w:bookmarkEnd w:id="52"/>
      <w:r>
        <w:rPr>
          <w:rFonts w:hint="eastAsia" w:ascii="宋体" w:hAnsi="宋体" w:eastAsia="宋体" w:cs="宋体"/>
          <w:color w:val="auto"/>
          <w:sz w:val="36"/>
          <w:szCs w:val="36"/>
          <w:highlight w:val="none"/>
        </w:rPr>
        <w:t>内容</w:t>
      </w:r>
    </w:p>
    <w:p>
      <w:pPr>
        <w:ind w:firstLine="420" w:firstLineChars="200"/>
        <w:rPr>
          <w:rFonts w:hint="eastAsia" w:ascii="宋体" w:hAnsi="宋体" w:eastAsia="宋体" w:cs="宋体"/>
          <w:color w:val="auto"/>
          <w:highlight w:val="none"/>
        </w:rPr>
      </w:pPr>
    </w:p>
    <w:p>
      <w:pPr>
        <w:spacing w:line="460" w:lineRule="exact"/>
        <w:jc w:val="center"/>
        <w:rPr>
          <w:rFonts w:hint="eastAsia" w:ascii="宋体" w:hAnsi="宋体" w:eastAsia="宋体" w:cs="宋体"/>
          <w:color w:val="auto"/>
          <w:sz w:val="32"/>
          <w:szCs w:val="32"/>
          <w:highlight w:val="none"/>
        </w:rPr>
      </w:pPr>
      <w:bookmarkStart w:id="53" w:name="_Toc428024701"/>
      <w:bookmarkStart w:id="54" w:name="_Toc351203494"/>
      <w:bookmarkStart w:id="55" w:name="_Toc427566452"/>
      <w:r>
        <w:rPr>
          <w:rFonts w:hint="eastAsia" w:ascii="宋体" w:hAnsi="宋体" w:eastAsia="宋体" w:cs="宋体"/>
          <w:color w:val="auto"/>
          <w:sz w:val="32"/>
          <w:szCs w:val="32"/>
          <w:highlight w:val="none"/>
        </w:rPr>
        <w:t>第一部分协议书</w:t>
      </w:r>
    </w:p>
    <w:p>
      <w:pPr>
        <w:spacing w:line="460" w:lineRule="exact"/>
        <w:ind w:firstLine="803" w:firstLineChars="200"/>
        <w:rPr>
          <w:rFonts w:hint="eastAsia" w:ascii="宋体" w:hAnsi="宋体" w:eastAsia="宋体" w:cs="宋体"/>
          <w:b/>
          <w:color w:val="auto"/>
          <w:sz w:val="40"/>
          <w:szCs w:val="32"/>
          <w:highlight w:val="none"/>
        </w:rPr>
      </w:pP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发包人（全称）：</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承包人（全称）：</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一、工程概况</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工程名称：</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工程地点：</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工程内容：</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工程立项批准文号：</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资金来源：</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二、工程承包范围</w:t>
      </w:r>
    </w:p>
    <w:p>
      <w:pPr>
        <w:spacing w:line="4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承包范围：</w:t>
      </w:r>
      <w:r>
        <w:rPr>
          <w:rFonts w:hint="eastAsia" w:ascii="宋体" w:hAnsi="宋体" w:eastAsia="宋体" w:cs="宋体"/>
          <w:color w:val="auto"/>
          <w:highlight w:val="none"/>
          <w:u w:val="single"/>
        </w:rPr>
        <w:t>工程量清单中包含的所有内容</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三、合同工期</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开工日期：年月日</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竣工日期：年月日</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合同工期总日历天数：</w:t>
      </w:r>
      <w:r>
        <w:rPr>
          <w:rFonts w:hint="eastAsia" w:ascii="宋体" w:hAnsi="宋体" w:eastAsia="宋体" w:cs="宋体"/>
          <w:color w:val="auto"/>
          <w:highlight w:val="none"/>
          <w:u w:val="single"/>
        </w:rPr>
        <w:t>日历</w:t>
      </w:r>
      <w:r>
        <w:rPr>
          <w:rFonts w:hint="eastAsia" w:ascii="宋体" w:hAnsi="宋体" w:eastAsia="宋体" w:cs="宋体"/>
          <w:color w:val="auto"/>
          <w:highlight w:val="none"/>
        </w:rPr>
        <w:t>天（有效工期）</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四、质量标准</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工程质量标准：</w:t>
      </w:r>
      <w:r>
        <w:rPr>
          <w:rFonts w:hint="eastAsia" w:ascii="宋体" w:hAnsi="宋体" w:eastAsia="宋体" w:cs="宋体"/>
          <w:color w:val="auto"/>
          <w:highlight w:val="none"/>
          <w:u w:val="single"/>
        </w:rPr>
        <w:t>合格</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五、合同价款</w:t>
      </w:r>
    </w:p>
    <w:p>
      <w:pPr>
        <w:spacing w:line="4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金额（大写）：(人民币)  </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￥：元(人民币)  </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六、组成合同的文件</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组成本合同的文件包括：</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1.本合同协议书</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3.投标书及其附件</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4.本合同专用条款</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5.本合同通用条款</w:t>
      </w:r>
    </w:p>
    <w:p>
      <w:pPr>
        <w:tabs>
          <w:tab w:val="left" w:pos="6345"/>
        </w:tabs>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6.标准、规范及有关技术文件</w:t>
      </w:r>
      <w:r>
        <w:rPr>
          <w:rFonts w:hint="eastAsia" w:ascii="宋体" w:hAnsi="宋体" w:eastAsia="宋体" w:cs="宋体"/>
          <w:color w:val="auto"/>
          <w:highlight w:val="none"/>
        </w:rPr>
        <w:tab/>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7.图纸（含图纸会审纪要、路灯效果图及技术参数）</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8.工程量清单</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9.工程报价单或预算书</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双方有关工程的洽商、变更等书面协议或文件视为本合同的组成部分。</w:t>
      </w:r>
    </w:p>
    <w:p>
      <w:pPr>
        <w:spacing w:line="46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七、本协议书中有关词语含义与本合同第二部分《通用条款》中分别赋予它们的定义相同。</w:t>
      </w:r>
    </w:p>
    <w:p>
      <w:pPr>
        <w:spacing w:line="46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八、承包人向发包人承诺按照合同约定进行施工、竣工并在质量保修期内承担工程质量保修责任。</w:t>
      </w:r>
    </w:p>
    <w:p>
      <w:pPr>
        <w:spacing w:line="46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九、发包人向承包人承诺按照合同约定的期限和支付方式支付合同价款及其他应当支付的款项。</w:t>
      </w:r>
    </w:p>
    <w:p>
      <w:pPr>
        <w:spacing w:line="46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十、合同生效</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合同订立时间：年月日</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合同订立地点：</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本合同双方约定：</w:t>
      </w:r>
      <w:r>
        <w:rPr>
          <w:rFonts w:hint="eastAsia" w:ascii="宋体" w:hAnsi="宋体" w:eastAsia="宋体" w:cs="宋体"/>
          <w:color w:val="auto"/>
          <w:highlight w:val="none"/>
          <w:u w:val="single"/>
        </w:rPr>
        <w:t>双方签字盖章后生效</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发包人：（公章）承包人：（公章）</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住所：住所：</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法定代表人：法定代表人：</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委托代理人：委托代理人：</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电话：电话：</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传真：传真：</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开户银行：开户银行：</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账号：账号：</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邮政编码：邮政编码：</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color w:val="auto"/>
          <w:highlight w:val="none"/>
        </w:rPr>
      </w:pPr>
      <w:bookmarkStart w:id="56" w:name="_Toc48834557"/>
      <w:r>
        <w:rPr>
          <w:rFonts w:hint="eastAsia" w:ascii="宋体" w:hAnsi="宋体" w:eastAsia="宋体" w:cs="宋体"/>
          <w:color w:val="auto"/>
          <w:sz w:val="32"/>
          <w:highlight w:val="none"/>
        </w:rPr>
        <w:t>第二部分 通用合同条款</w:t>
      </w:r>
      <w:bookmarkEnd w:id="53"/>
      <w:bookmarkEnd w:id="54"/>
      <w:bookmarkEnd w:id="55"/>
      <w:bookmarkEnd w:id="56"/>
    </w:p>
    <w:p>
      <w:pPr>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（根据国家相关示范文本）</w:t>
      </w:r>
    </w:p>
    <w:p>
      <w:pPr>
        <w:pStyle w:val="75"/>
        <w:spacing w:line="360" w:lineRule="auto"/>
        <w:ind w:firstLine="105" w:firstLineChars="50"/>
        <w:rPr>
          <w:rFonts w:hint="eastAsia" w:ascii="宋体" w:hAnsi="宋体" w:eastAsia="宋体" w:cs="宋体"/>
          <w:color w:val="auto"/>
          <w:highlight w:val="none"/>
        </w:rPr>
      </w:pPr>
    </w:p>
    <w:p>
      <w:pPr>
        <w:pStyle w:val="7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参见建设工程施工合同</w:t>
      </w:r>
    </w:p>
    <w:p>
      <w:pPr>
        <w:pStyle w:val="7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"http://www.mohurd.gov.cn/wjfb/201710/W020171030112646.doc" \t "_blank"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建设工程施工合同（示范文本）》（GF-2017-0201）</w:t>
      </w:r>
      <w:r>
        <w:rPr>
          <w:rFonts w:hint="eastAsia" w:ascii="宋体" w:hAnsi="宋体" w:eastAsia="宋体" w:cs="宋体"/>
          <w:color w:val="auto"/>
          <w:highlight w:val="none"/>
        </w:rPr>
        <w:fldChar w:fldCharType="end"/>
      </w:r>
    </w:p>
    <w:p>
      <w:pPr>
        <w:pStyle w:val="7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通用合同条款内容。</w:t>
      </w:r>
    </w:p>
    <w:p>
      <w:pPr>
        <w:spacing w:line="360" w:lineRule="auto"/>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jc w:val="center"/>
        <w:rPr>
          <w:rFonts w:hint="eastAsia" w:ascii="宋体" w:hAnsi="宋体" w:eastAsia="宋体" w:cs="宋体"/>
          <w:color w:val="auto"/>
          <w:highlight w:val="none"/>
        </w:rPr>
      </w:pPr>
      <w:bookmarkStart w:id="57" w:name="_Toc48834558"/>
      <w:bookmarkStart w:id="58" w:name="_Toc428024702"/>
      <w:bookmarkStart w:id="59" w:name="_Toc427566453"/>
      <w:r>
        <w:rPr>
          <w:rFonts w:hint="eastAsia" w:ascii="宋体" w:hAnsi="宋体" w:eastAsia="宋体" w:cs="宋体"/>
          <w:color w:val="auto"/>
          <w:sz w:val="32"/>
          <w:highlight w:val="none"/>
        </w:rPr>
        <w:t>第三部分 专用合同条款</w:t>
      </w:r>
      <w:bookmarkEnd w:id="57"/>
      <w:bookmarkEnd w:id="58"/>
      <w:bookmarkEnd w:id="59"/>
    </w:p>
    <w:p>
      <w:pPr>
        <w:jc w:val="center"/>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（根据国家相关示范文本）</w:t>
      </w:r>
    </w:p>
    <w:p>
      <w:pPr>
        <w:spacing w:line="460" w:lineRule="exact"/>
        <w:rPr>
          <w:rFonts w:hint="eastAsia" w:ascii="宋体" w:hAnsi="宋体" w:eastAsia="宋体" w:cs="宋体"/>
          <w:b/>
          <w:bCs/>
          <w:color w:val="auto"/>
          <w:highlight w:val="none"/>
        </w:rPr>
      </w:pP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一、词语定义及合同文件</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 合同文件及解释顺序</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合同文件组成及解释顺序</w:t>
      </w:r>
      <w:r>
        <w:rPr>
          <w:rFonts w:hint="eastAsia" w:ascii="宋体" w:hAnsi="宋体" w:eastAsia="宋体" w:cs="宋体"/>
          <w:color w:val="auto"/>
          <w:highlight w:val="none"/>
          <w:u w:val="single"/>
        </w:rPr>
        <w:t>执行通用条款第2. 1、2.2条</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3．语言文字和适用法律、标准及规范</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3.1本合同除使用汉语外，还使用</w:t>
      </w:r>
      <w:r>
        <w:rPr>
          <w:rFonts w:hint="eastAsia" w:ascii="宋体" w:hAnsi="宋体" w:eastAsia="宋体" w:cs="宋体"/>
          <w:color w:val="auto"/>
          <w:highlight w:val="none"/>
          <w:u w:val="single"/>
        </w:rPr>
        <w:t>/</w:t>
      </w:r>
      <w:r>
        <w:rPr>
          <w:rFonts w:hint="eastAsia" w:ascii="宋体" w:hAnsi="宋体" w:eastAsia="宋体" w:cs="宋体"/>
          <w:color w:val="auto"/>
          <w:highlight w:val="none"/>
        </w:rPr>
        <w:t>语言文字。</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3.2适用法律和法规</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需要明示的法律、行政法规：</w:t>
      </w:r>
      <w:r>
        <w:rPr>
          <w:rFonts w:hint="eastAsia" w:ascii="宋体" w:hAnsi="宋体" w:eastAsia="宋体" w:cs="宋体"/>
          <w:color w:val="auto"/>
          <w:highlight w:val="none"/>
          <w:u w:val="single"/>
        </w:rPr>
        <w:t>现行的国家或地方有关</w:t>
      </w:r>
      <w:r>
        <w:rPr>
          <w:rFonts w:hint="eastAsia" w:ascii="宋体" w:hAnsi="宋体" w:cs="宋体"/>
          <w:color w:val="auto"/>
          <w:highlight w:val="none"/>
          <w:u w:val="single"/>
          <w:lang w:eastAsia="zh-CN"/>
        </w:rPr>
        <w:t>市政公用工程</w:t>
      </w:r>
      <w:r>
        <w:rPr>
          <w:rFonts w:hint="eastAsia" w:ascii="宋体" w:hAnsi="宋体" w:eastAsia="宋体" w:cs="宋体"/>
          <w:color w:val="auto"/>
          <w:highlight w:val="none"/>
          <w:u w:val="single"/>
        </w:rPr>
        <w:t>的法律、法规。</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3.3适用标准、规范</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适用标准、规范的名称：</w:t>
      </w:r>
      <w:r>
        <w:rPr>
          <w:rFonts w:hint="eastAsia" w:ascii="宋体" w:hAnsi="宋体" w:eastAsia="宋体" w:cs="宋体"/>
          <w:color w:val="auto"/>
          <w:highlight w:val="none"/>
          <w:u w:val="single"/>
        </w:rPr>
        <w:t>除招标文件、工程设计罗列部分外，国家、河南省及周口市现行与本工程建设相关的标准和规范。</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发包人提供标准、规范的时间：</w:t>
      </w:r>
      <w:r>
        <w:rPr>
          <w:rFonts w:hint="eastAsia" w:ascii="宋体" w:hAnsi="宋体" w:eastAsia="宋体" w:cs="宋体"/>
          <w:color w:val="auto"/>
          <w:highlight w:val="none"/>
          <w:u w:val="single"/>
        </w:rPr>
        <w:t>/</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国内没有相应标准、规范时的约定：</w:t>
      </w:r>
      <w:r>
        <w:rPr>
          <w:rFonts w:hint="eastAsia" w:ascii="宋体" w:hAnsi="宋体" w:eastAsia="宋体" w:cs="宋体"/>
          <w:color w:val="auto"/>
          <w:highlight w:val="none"/>
          <w:u w:val="single"/>
        </w:rPr>
        <w:t>由发包人拟派工程师解决。</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4.图纸</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4.1发包人向承包人提供图纸日期和套数：</w:t>
      </w:r>
      <w:r>
        <w:rPr>
          <w:rFonts w:hint="eastAsia" w:ascii="宋体" w:hAnsi="宋体" w:eastAsia="宋体" w:cs="宋体"/>
          <w:color w:val="auto"/>
          <w:highlight w:val="none"/>
          <w:u w:val="single"/>
        </w:rPr>
        <w:t>合同签订后   天内提供施工图2套</w:t>
      </w:r>
      <w:r>
        <w:rPr>
          <w:rFonts w:hint="eastAsia" w:ascii="宋体" w:hAnsi="宋体" w:eastAsia="宋体" w:cs="宋体"/>
          <w:color w:val="auto"/>
          <w:highlight w:val="none"/>
        </w:rPr>
        <w:t>发包人对图纸的保密要求：</w:t>
      </w:r>
      <w:r>
        <w:rPr>
          <w:rFonts w:hint="eastAsia" w:ascii="宋体" w:hAnsi="宋体" w:eastAsia="宋体" w:cs="宋体"/>
          <w:color w:val="auto"/>
          <w:highlight w:val="none"/>
          <w:u w:val="single"/>
        </w:rPr>
        <w:t>不准向本工程外的工程提供图纸或图纸复印件</w:t>
      </w:r>
      <w:r>
        <w:rPr>
          <w:rFonts w:hint="eastAsia" w:ascii="宋体" w:hAnsi="宋体" w:eastAsia="宋体" w:cs="宋体"/>
          <w:color w:val="auto"/>
          <w:highlight w:val="none"/>
        </w:rPr>
        <w:t>使用国外图纸的要求及费用承担</w:t>
      </w:r>
      <w:r>
        <w:rPr>
          <w:rFonts w:hint="eastAsia" w:ascii="宋体" w:hAnsi="宋体" w:eastAsia="宋体" w:cs="宋体"/>
          <w:color w:val="auto"/>
          <w:highlight w:val="none"/>
          <w:u w:val="single"/>
        </w:rPr>
        <w:t xml:space="preserve">：    </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二、双方一般权利和义务</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5.工程师</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5.2监理单位委派的工程师</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总监理工程师</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发包人委托的职权：</w:t>
      </w:r>
      <w:r>
        <w:rPr>
          <w:rFonts w:hint="eastAsia" w:ascii="宋体" w:hAnsi="宋体" w:eastAsia="宋体" w:cs="宋体"/>
          <w:color w:val="auto"/>
          <w:highlight w:val="none"/>
          <w:u w:val="single"/>
        </w:rPr>
        <w:t>施工组织设计及方案审批，质量监督权，工程量签认权，进出厂材料、设备检验及批准使用权，监理合同中赋予的职权。</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需要取得发包人批准才能行使的职权</w:t>
      </w:r>
      <w:r>
        <w:rPr>
          <w:rFonts w:hint="eastAsia" w:ascii="宋体" w:hAnsi="宋体" w:eastAsia="宋体" w:cs="宋体"/>
          <w:color w:val="auto"/>
          <w:highlight w:val="none"/>
          <w:u w:val="single"/>
        </w:rPr>
        <w:t>：发布开（停）工令，工期顺延签认，不称职人员撤换建议权。</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5.3发包人派驻的工程师</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工程师</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职权：</w:t>
      </w:r>
      <w:r>
        <w:rPr>
          <w:rFonts w:hint="eastAsia" w:ascii="宋体" w:hAnsi="宋体" w:eastAsia="宋体" w:cs="宋体"/>
          <w:color w:val="auto"/>
          <w:highlight w:val="none"/>
          <w:u w:val="single"/>
        </w:rPr>
        <w:t>作为发包方代表处理与本工程建设相关的一切事宜。</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5.6不实行监理的，工程师的职权：</w:t>
      </w:r>
      <w:r>
        <w:rPr>
          <w:rFonts w:hint="eastAsia" w:ascii="宋体" w:hAnsi="宋体" w:eastAsia="宋体" w:cs="宋体"/>
          <w:color w:val="auto"/>
          <w:highlight w:val="none"/>
          <w:u w:val="single"/>
        </w:rPr>
        <w:t xml:space="preserve">/    </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6.项目经理</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项目经理</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7.发包人工作</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7.1发包人应按约定的时间和要求完成以下工作：</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（1）施工场地具备施工条件的要求及完成的时间：</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已具备开工条件</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（2）将施工所需的水、电、电讯线路接至施工场地的时间、地点和供应要求：</w:t>
      </w:r>
      <w:r>
        <w:rPr>
          <w:rFonts w:hint="eastAsia" w:ascii="宋体" w:hAnsi="宋体" w:eastAsia="宋体" w:cs="宋体"/>
          <w:color w:val="auto"/>
          <w:highlight w:val="none"/>
          <w:u w:val="single"/>
        </w:rPr>
        <w:t>已具备</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（3）施工场地与公共道路的开通时间和要求：</w:t>
      </w:r>
      <w:r>
        <w:rPr>
          <w:rFonts w:hint="eastAsia" w:ascii="宋体" w:hAnsi="宋体" w:eastAsia="宋体" w:cs="宋体"/>
          <w:color w:val="auto"/>
          <w:highlight w:val="none"/>
          <w:u w:val="single"/>
        </w:rPr>
        <w:t>已开通</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（4）工程地质和地下管线资料的提供时间：</w:t>
      </w:r>
      <w:r>
        <w:rPr>
          <w:rFonts w:hint="eastAsia" w:ascii="宋体" w:hAnsi="宋体" w:eastAsia="宋体" w:cs="宋体"/>
          <w:color w:val="auto"/>
          <w:highlight w:val="none"/>
          <w:u w:val="single"/>
        </w:rPr>
        <w:t>开工前 天</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（5）由发包人办理的施工所需证件、批件的名称和完成时间：</w:t>
      </w:r>
      <w:r>
        <w:rPr>
          <w:rFonts w:hint="eastAsia" w:ascii="宋体" w:hAnsi="宋体" w:eastAsia="宋体" w:cs="宋体"/>
          <w:color w:val="auto"/>
          <w:highlight w:val="none"/>
          <w:u w:val="single"/>
        </w:rPr>
        <w:t>开工前 天（因施工单位的原因导致所需证件不能及时办理的，施工单位不得因此要求顺延工期）</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（6）水准点与坐标控制点交验要求：</w:t>
      </w:r>
      <w:r>
        <w:rPr>
          <w:rFonts w:hint="eastAsia" w:ascii="宋体" w:hAnsi="宋体" w:eastAsia="宋体" w:cs="宋体"/>
          <w:color w:val="auto"/>
          <w:highlight w:val="none"/>
          <w:u w:val="single"/>
        </w:rPr>
        <w:t>按照发包方提供的资料及现场交点进行校验</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（7）图纸会审和设计交底时间：</w:t>
      </w:r>
      <w:r>
        <w:rPr>
          <w:rFonts w:hint="eastAsia" w:ascii="宋体" w:hAnsi="宋体" w:eastAsia="宋体" w:cs="宋体"/>
          <w:color w:val="auto"/>
          <w:highlight w:val="none"/>
          <w:u w:val="single"/>
        </w:rPr>
        <w:t>开工前 天</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（8）协调处理施工场地周围地下管线和邻近建筑物、构筑物（含文物保护建筑）、古树名木的保护：</w:t>
      </w:r>
      <w:r>
        <w:rPr>
          <w:rFonts w:hint="eastAsia" w:ascii="宋体" w:hAnsi="宋体" w:eastAsia="宋体" w:cs="宋体"/>
          <w:color w:val="auto"/>
          <w:highlight w:val="none"/>
          <w:u w:val="single"/>
        </w:rPr>
        <w:t>承包方按照发包方要求和有关规定做好保护工作</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（9）双方约定发包人应做的其他工作：</w:t>
      </w:r>
      <w:r>
        <w:rPr>
          <w:rFonts w:hint="eastAsia" w:ascii="宋体" w:hAnsi="宋体" w:eastAsia="宋体" w:cs="宋体"/>
          <w:color w:val="auto"/>
          <w:highlight w:val="none"/>
          <w:u w:val="single"/>
        </w:rPr>
        <w:t>双方协商</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7.2发包人委托承包人办理的工作：</w:t>
      </w:r>
      <w:r>
        <w:rPr>
          <w:rFonts w:hint="eastAsia" w:ascii="宋体" w:hAnsi="宋体" w:eastAsia="宋体" w:cs="宋体"/>
          <w:color w:val="auto"/>
          <w:highlight w:val="none"/>
          <w:u w:val="single"/>
        </w:rPr>
        <w:t>承包方协助发包方做好施工期间与周边关系的协调工作。</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8.承包人工作</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8.1承包人应按约定时间和要求，完成以下工作：</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（1）需由设计资质等级和业务范围允许的承包人完成的设计文件提交时间：</w:t>
      </w:r>
      <w:r>
        <w:rPr>
          <w:rFonts w:hint="eastAsia" w:ascii="宋体" w:hAnsi="宋体" w:eastAsia="宋体" w:cs="宋体"/>
          <w:color w:val="auto"/>
          <w:highlight w:val="none"/>
          <w:u w:val="single"/>
        </w:rPr>
        <w:t>无</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（2）应提供计划、报表的名称及完成时间：</w:t>
      </w:r>
      <w:r>
        <w:rPr>
          <w:rFonts w:hint="eastAsia" w:ascii="宋体" w:hAnsi="宋体" w:eastAsia="宋体" w:cs="宋体"/>
          <w:color w:val="auto"/>
          <w:highlight w:val="none"/>
          <w:u w:val="single"/>
        </w:rPr>
        <w:t>开工前 日提供正式总进度计划表、详细的分部工程施工计划、资金使用计划等一式三份，每月 日提供当月实际完成工程量，报当月签证、变更和下月施工计划表。以上计划必须经过监理工程师签字认可后报发包人。</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（3）承担施工安全保卫工作及非夜间施工照明的责任和要求：</w:t>
      </w:r>
      <w:r>
        <w:rPr>
          <w:rFonts w:hint="eastAsia" w:ascii="宋体" w:hAnsi="宋体" w:eastAsia="宋体" w:cs="宋体"/>
          <w:color w:val="auto"/>
          <w:highlight w:val="none"/>
          <w:u w:val="single"/>
        </w:rPr>
        <w:t>负责施工现场的日夜值班保卫及夜间照明，对施工中的安全负全责。</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（4）向发包人提供的办公和生活房屋及设施的要求：</w:t>
      </w:r>
      <w:r>
        <w:rPr>
          <w:rFonts w:hint="eastAsia" w:ascii="宋体" w:hAnsi="宋体" w:eastAsia="宋体" w:cs="宋体"/>
          <w:color w:val="auto"/>
          <w:highlight w:val="none"/>
          <w:u w:val="single"/>
        </w:rPr>
        <w:t>双方协商。</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（5）需承包人办理的有关施工场地交通、环卫和施工噪音管理等手续：</w:t>
      </w:r>
      <w:r>
        <w:rPr>
          <w:rFonts w:hint="eastAsia" w:ascii="宋体" w:hAnsi="宋体" w:eastAsia="宋体" w:cs="宋体"/>
          <w:color w:val="auto"/>
          <w:highlight w:val="none"/>
          <w:u w:val="single"/>
        </w:rPr>
        <w:t>由施工单位掌握办理时间，以不影响施工正常进行为原则，并承担因此发生的费用。</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（6）已完工程成品保护的特殊要求及费用承担：</w:t>
      </w:r>
      <w:r>
        <w:rPr>
          <w:rFonts w:hint="eastAsia" w:ascii="宋体" w:hAnsi="宋体" w:eastAsia="宋体" w:cs="宋体"/>
          <w:color w:val="auto"/>
          <w:highlight w:val="none"/>
          <w:u w:val="single"/>
        </w:rPr>
        <w:t>施工期间的成品保护由承包方负责，质保期满、竣工综合移交验收后由发包方负责。</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（7）施工场地周围地下管线和邻近建筑物、构筑物（含文物保护建筑）、古树名木的保护要求及费用承担：</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（8）施工场地清洁卫生的要求：</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（9）双方约定承包人应做的其他工作：</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三、施工组织设计和工期</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9.进度计划</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9.1承包人提供施工组织设计（施工方案）和进度计划的时间：</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实施前 天提交施工组织设计（施工方案）和进度计划（含时标网络计划）</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工程师确认的时间</w:t>
      </w:r>
      <w:r>
        <w:rPr>
          <w:rFonts w:hint="eastAsia" w:ascii="宋体" w:hAnsi="宋体" w:eastAsia="宋体" w:cs="宋体"/>
          <w:color w:val="auto"/>
          <w:highlight w:val="none"/>
          <w:u w:val="single"/>
        </w:rPr>
        <w:t>：收到后 个工作日</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9.2群体工程中有关进度计划的要求：</w:t>
      </w:r>
      <w:r>
        <w:rPr>
          <w:rFonts w:hint="eastAsia" w:ascii="宋体" w:hAnsi="宋体" w:eastAsia="宋体" w:cs="宋体"/>
          <w:color w:val="auto"/>
          <w:highlight w:val="none"/>
          <w:u w:val="single"/>
        </w:rPr>
        <w:t>无</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13.工期延误</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13.1双方约定工期顺延的其他情况：</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四、质量与验收</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17.隐蔽工程和中间验收</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17.1双约定中间验收部位：</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19.工程试车</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19.5试车费用地承担：</w:t>
      </w:r>
      <w:r>
        <w:rPr>
          <w:rFonts w:hint="eastAsia" w:ascii="宋体" w:hAnsi="宋体" w:eastAsia="宋体" w:cs="宋体"/>
          <w:color w:val="auto"/>
          <w:highlight w:val="none"/>
          <w:u w:val="single"/>
        </w:rPr>
        <w:t>无</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五、安全施工：</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遵照国家、建设部、河南省及周口市现行有关规定执行。</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六、合同价款及调整</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23. 合同价款及调整</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23.2本合同价款采用</w:t>
      </w:r>
      <w:r>
        <w:rPr>
          <w:rFonts w:hint="eastAsia" w:ascii="宋体" w:hAnsi="宋体" w:eastAsia="宋体" w:cs="宋体"/>
          <w:color w:val="auto"/>
          <w:highlight w:val="none"/>
          <w:u w:val="single"/>
        </w:rPr>
        <w:t>（1）</w:t>
      </w:r>
      <w:r>
        <w:rPr>
          <w:rFonts w:hint="eastAsia" w:ascii="宋体" w:hAnsi="宋体" w:eastAsia="宋体" w:cs="宋体"/>
          <w:color w:val="auto"/>
          <w:highlight w:val="none"/>
        </w:rPr>
        <w:t>方式确定。</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（1）采用固定价格合同，合同价款中包括：</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除下列原因外合同的固定总价均不得改变：</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②如果直接取消某分部分项工程量清单项目，则该项目价款不予支付。</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③措施费均为税后的包干价，不因设计变更而调增。</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（2）采用可调价格合同，合同价款调整方法：</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（3）采用成本加酬金合同，有关成本和酬金的约定：</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23.3双方约定合同价款的其他调整因素：</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24.工程预付款</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发包人向承包人预付工程款的时间和金额或占合同价款总额的比例：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扣回工程款的时间、比例：</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25.工程量确认</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25.1承包人向工程师提交已完工程量报告的时间：</w:t>
      </w:r>
      <w:r>
        <w:rPr>
          <w:rFonts w:hint="eastAsia" w:ascii="宋体" w:hAnsi="宋体" w:eastAsia="宋体" w:cs="宋体"/>
          <w:color w:val="auto"/>
          <w:highlight w:val="none"/>
          <w:u w:val="single"/>
        </w:rPr>
        <w:t>每月 日前提供当月已完工程量报表三份，监理工程师在收到后 个工作日内审查完毕并报发包人审核，发包人在收到后 天内审核完毕。</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26. 工程款支付</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双方约定的工程款（进度款）支付的方式和时间：中标后双方协商。</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七、材料设备供应</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27.发包人供应材料设备</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27.4发包人供应的材料设备与一览表不符时，双方约定发包人承担责任如下：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（1）材料设备单价与一览表不符：</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（2）材料设备的品种、规格、型号、质量等级与一览表不符：</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（3）承包人可代为调剂串换的材料：</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（4）到货地点与一览表不符：</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（5）供应数量与一览表不符：</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（6）到货时间与一览表不符：</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27.6发包人供应材料设备的结算方法：</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28.承包人采购材料设备</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28．1承包人采购材料设备的约定：</w:t>
      </w:r>
      <w:r>
        <w:rPr>
          <w:rFonts w:hint="eastAsia" w:ascii="宋体" w:hAnsi="宋体" w:eastAsia="宋体" w:cs="宋体"/>
          <w:color w:val="auto"/>
          <w:highlight w:val="none"/>
          <w:u w:val="single"/>
        </w:rPr>
        <w:t>执行通用条款</w:t>
      </w:r>
    </w:p>
    <w:p>
      <w:pPr>
        <w:spacing w:line="480" w:lineRule="exact"/>
        <w:ind w:firstLine="422" w:firstLineChars="200"/>
        <w:rPr>
          <w:rFonts w:hint="eastAsia" w:ascii="宋体" w:hAnsi="宋体" w:eastAsia="宋体" w:cs="宋体"/>
          <w:b/>
          <w:color w:val="auto"/>
          <w:highlight w:val="none"/>
          <w:u w:val="single"/>
        </w:rPr>
      </w:pPr>
      <w:r>
        <w:rPr>
          <w:rFonts w:hint="eastAsia" w:ascii="宋体" w:hAnsi="宋体" w:eastAsia="宋体" w:cs="宋体"/>
          <w:b/>
          <w:color w:val="auto"/>
          <w:highlight w:val="none"/>
        </w:rPr>
        <w:t>八、工程变更</w:t>
      </w:r>
      <w:r>
        <w:rPr>
          <w:rFonts w:hint="eastAsia" w:ascii="宋体" w:hAnsi="宋体" w:eastAsia="宋体" w:cs="宋体"/>
          <w:color w:val="auto"/>
          <w:highlight w:val="none"/>
          <w:u w:val="single"/>
        </w:rPr>
        <w:t>执行通用条款</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九、竣工验收与结算</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32.竣工验收</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32.1承包人提供竣工图的约定：</w:t>
      </w:r>
      <w:r>
        <w:rPr>
          <w:rFonts w:hint="eastAsia" w:ascii="宋体" w:hAnsi="宋体" w:eastAsia="宋体" w:cs="宋体"/>
          <w:color w:val="auto"/>
          <w:highlight w:val="none"/>
          <w:u w:val="single"/>
        </w:rPr>
        <w:t>提交竣工报告的同时提交竣工图 套</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32.6中间交工工程的范围和竣工时间：</w:t>
      </w:r>
      <w:r>
        <w:rPr>
          <w:rFonts w:hint="eastAsia" w:ascii="宋体" w:hAnsi="宋体" w:eastAsia="宋体" w:cs="宋体"/>
          <w:color w:val="auto"/>
          <w:highlight w:val="none"/>
          <w:u w:val="single"/>
        </w:rPr>
        <w:t>发包方和承包方协商</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十、违约、索赔和争议</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35.违约</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35.1本合同中关于发包人违约的具体责任如下：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本合同通用条款第24条约定发包人违约应承担的违约责任：</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本合同通用条款第26.4款约定发包人违约应承担的违约责任：</w:t>
      </w:r>
      <w:r>
        <w:rPr>
          <w:rFonts w:hint="eastAsia" w:ascii="宋体" w:hAnsi="宋体" w:eastAsia="宋体" w:cs="宋体"/>
          <w:color w:val="auto"/>
          <w:highlight w:val="none"/>
          <w:u w:val="single"/>
        </w:rPr>
        <w:t xml:space="preserve">    /                    </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本合同通用条款第33.3款约定发包人违约应承担的违约责任：</w:t>
      </w:r>
      <w:r>
        <w:rPr>
          <w:rFonts w:hint="eastAsia" w:ascii="宋体" w:hAnsi="宋体" w:eastAsia="宋体" w:cs="宋体"/>
          <w:color w:val="auto"/>
          <w:highlight w:val="none"/>
          <w:u w:val="single"/>
        </w:rPr>
        <w:t xml:space="preserve">          /                                      </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双方约定的发包人其他违约责任：</w:t>
      </w:r>
      <w:r>
        <w:rPr>
          <w:rFonts w:hint="eastAsia" w:ascii="宋体" w:hAnsi="宋体" w:eastAsia="宋体" w:cs="宋体"/>
          <w:color w:val="auto"/>
          <w:highlight w:val="none"/>
          <w:u w:val="single"/>
        </w:rPr>
        <w:t>双方协商解决</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35.2本合同中关于承包人违约的具体责任如下：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本合同通用条款第14.2款约定承包人违约应承担的违约责任：</w:t>
      </w:r>
      <w:r>
        <w:rPr>
          <w:rFonts w:hint="eastAsia" w:ascii="宋体" w:hAnsi="宋体" w:eastAsia="宋体" w:cs="宋体"/>
          <w:color w:val="auto"/>
          <w:highlight w:val="none"/>
          <w:u w:val="single"/>
        </w:rPr>
        <w:t>承包人不能按约定的竣工日期或监理工程师同意顺延的工期竣工的，每延期一天承包人应向发包人支付合同价款 ‰的违约金，并承担因此给发包方造成的其它经济损失。</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本合同通用条款第15.1条约定承包人违约应承担的违约责任：</w:t>
      </w:r>
      <w:r>
        <w:rPr>
          <w:rFonts w:hint="eastAsia" w:ascii="宋体" w:hAnsi="宋体" w:eastAsia="宋体" w:cs="宋体"/>
          <w:color w:val="auto"/>
          <w:highlight w:val="none"/>
          <w:u w:val="single"/>
        </w:rPr>
        <w:t>工程质量达不到约定的标准，承包人应承担因此导致的鉴定、检验及返工、拆除重建等费用，工期不予顺延，并向发包人支付合同总价 %的违约金</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双方约定的承包人其他违约责任：</w:t>
      </w:r>
      <w:r>
        <w:rPr>
          <w:rFonts w:hint="eastAsia" w:ascii="宋体" w:hAnsi="宋体" w:eastAsia="宋体" w:cs="宋体"/>
          <w:color w:val="auto"/>
          <w:highlight w:val="none"/>
          <w:u w:val="single"/>
        </w:rPr>
        <w:t>双方协商解决</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37.争议</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37.1双方约定，在履行合同过程中产生争议时：</w:t>
      </w:r>
    </w:p>
    <w:p>
      <w:pPr>
        <w:numPr>
          <w:ilvl w:val="0"/>
          <w:numId w:val="7"/>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color w:val="auto"/>
          <w:highlight w:val="none"/>
          <w:u w:val="single"/>
        </w:rPr>
        <w:t>周口仲裁委员会</w:t>
      </w:r>
      <w:r>
        <w:rPr>
          <w:rFonts w:hint="eastAsia" w:ascii="宋体" w:hAnsi="宋体" w:eastAsia="宋体" w:cs="宋体"/>
          <w:color w:val="auto"/>
          <w:highlight w:val="none"/>
        </w:rPr>
        <w:t>申请仲裁。②向合同签订地有级别管辖权的人民法院起诉。</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（3）甲、乙双方均有权利向本项目具有监管职能的政府采购监督管理部门举报反映对方在合同履约中的违法违纪行为。</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十一、其他</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 工程分包</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38.1本工程发包人同意承包人分包的工程：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分包施工单位为：</w:t>
      </w:r>
      <w:r>
        <w:rPr>
          <w:rFonts w:hint="eastAsia" w:ascii="宋体" w:hAnsi="宋体" w:eastAsia="宋体" w:cs="宋体"/>
          <w:color w:val="auto"/>
          <w:highlight w:val="none"/>
          <w:u w:val="single"/>
        </w:rPr>
        <w:t xml:space="preserve">                /                                                         </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39.不可抗力</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39.1双方关于不可抗力的约定：</w:t>
      </w:r>
      <w:r>
        <w:rPr>
          <w:rFonts w:hint="eastAsia" w:ascii="宋体" w:hAnsi="宋体" w:eastAsia="宋体" w:cs="宋体"/>
          <w:color w:val="auto"/>
          <w:highlight w:val="none"/>
          <w:u w:val="single"/>
        </w:rPr>
        <w:t>执行通用条款</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40.保险</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40.6本工程双方约定投保内容如下：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（1）发包人投保内容：</w:t>
      </w:r>
      <w:r>
        <w:rPr>
          <w:rFonts w:hint="eastAsia" w:ascii="宋体" w:hAnsi="宋体" w:eastAsia="宋体" w:cs="宋体"/>
          <w:color w:val="auto"/>
          <w:highlight w:val="none"/>
          <w:u w:val="single"/>
        </w:rPr>
        <w:t>执行通用条款</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发包人委托承包人办理的保险事项：</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（2）承包人的投保内容：</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41.担保</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41.3本工程双方承包人提供履约担保，担保事项如下：</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（1）发包人向承包人提供履约担保，担保方式为：</w:t>
      </w:r>
      <w:r>
        <w:rPr>
          <w:rFonts w:hint="eastAsia" w:ascii="宋体" w:hAnsi="宋体" w:eastAsia="宋体" w:cs="宋体"/>
          <w:color w:val="auto"/>
          <w:highlight w:val="none"/>
          <w:u w:val="single"/>
        </w:rPr>
        <w:t>无</w:t>
      </w:r>
      <w:r>
        <w:rPr>
          <w:rFonts w:hint="eastAsia" w:ascii="宋体" w:hAnsi="宋体" w:eastAsia="宋体" w:cs="宋体"/>
          <w:color w:val="auto"/>
          <w:highlight w:val="none"/>
        </w:rPr>
        <w:t>担保合同作为本合同附件。</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（2）承包人向发包人提供履约担保，担保方式为：</w:t>
      </w:r>
      <w:r>
        <w:rPr>
          <w:rFonts w:hint="eastAsia" w:ascii="宋体" w:hAnsi="宋体" w:eastAsia="宋体" w:cs="宋体"/>
          <w:color w:val="auto"/>
          <w:highlight w:val="none"/>
          <w:u w:val="single"/>
        </w:rPr>
        <w:t>无</w:t>
      </w:r>
      <w:r>
        <w:rPr>
          <w:rFonts w:hint="eastAsia" w:ascii="宋体" w:hAnsi="宋体" w:eastAsia="宋体" w:cs="宋体"/>
          <w:color w:val="auto"/>
          <w:highlight w:val="none"/>
        </w:rPr>
        <w:t>担保合同作为本合同附件。</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（3）双方约定的其他担保事项：</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46.合同份数</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46.1双方约定合同份数：</w:t>
      </w:r>
      <w:r>
        <w:rPr>
          <w:rFonts w:hint="eastAsia" w:ascii="宋体" w:hAnsi="宋体" w:eastAsia="宋体" w:cs="宋体"/>
          <w:color w:val="auto"/>
          <w:highlight w:val="none"/>
          <w:u w:val="single"/>
        </w:rPr>
        <w:t>一式陆份，正本贰份，副本肆份。</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47.补充条款</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1、有关工程量清单缺漏项的处理方法：根据实际情况，视情节由发包人、监理人、承包人三方协商解决，并由发包人、监理人、承包人三方核实确定后据实调整。</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  元违约金，项目经理和技术负责人与投标文件不一致时，每发现一人，承包人应向发包人支付违约金 元。承包人必须在发包人指定的时间内安排原计划配备人员到场，否则，发包人有权终止合同，承包人赔偿因此给发包人带来的损失。</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3、承包人派驻施工现场的项目经理每周应有 个工作日在施工现场，特殊原因应向监理工程师及发包方派驻工地代表请假，无故不到施工现场或请假但未被批准仍不到施工现场按缺席处理，每发现项目经理或技术负责人一天不到施工现场的，承包方应向发包方支付 元违约金。</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4、因发包人拆迁等原因长期不能提供施工场地导致无法组织施工的工程，不影响已完工程的竣工验收和工程款的支付。</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5、人工费按国家和地方有关文件规定执行。</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6、施工过程中如遇国家、地方等政策性调整，按规定执行。</w:t>
      </w:r>
    </w:p>
    <w:p>
      <w:pPr>
        <w:spacing w:line="4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7、在保修期内给水工程的维护和维修，由承包方负责并承担全部费用。</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本合同未尽事宜，双方另行协商，协商内容作为本合同的附件，与本合同具有同等法律效力。</w:t>
      </w:r>
    </w:p>
    <w:p>
      <w:pPr>
        <w:spacing w:line="360" w:lineRule="auto"/>
        <w:ind w:firstLine="420" w:firstLineChars="200"/>
        <w:rPr>
          <w:rFonts w:hint="eastAsia" w:ascii="宋体" w:hAnsi="宋体" w:eastAsia="宋体" w:cs="宋体"/>
          <w:color w:val="auto"/>
          <w:szCs w:val="21"/>
          <w:highlight w:val="none"/>
          <w:u w:val="single"/>
        </w:rPr>
      </w:pPr>
    </w:p>
    <w:p>
      <w:pPr>
        <w:spacing w:line="360" w:lineRule="auto"/>
        <w:ind w:firstLine="422" w:firstLineChars="200"/>
        <w:rPr>
          <w:rFonts w:hint="eastAsia" w:ascii="宋体" w:hAnsi="宋体" w:eastAsia="宋体" w:cs="宋体"/>
          <w:b/>
          <w:color w:val="auto"/>
          <w:szCs w:val="21"/>
          <w:highlight w:val="none"/>
        </w:rPr>
      </w:pPr>
    </w:p>
    <w:p>
      <w:pPr>
        <w:spacing w:line="360" w:lineRule="auto"/>
        <w:ind w:firstLine="422" w:firstLineChars="200"/>
        <w:rPr>
          <w:rFonts w:hint="eastAsia" w:ascii="宋体" w:hAnsi="宋体" w:eastAsia="宋体" w:cs="宋体"/>
          <w:b/>
          <w:color w:val="auto"/>
          <w:szCs w:val="21"/>
          <w:highlight w:val="none"/>
        </w:rPr>
      </w:pPr>
    </w:p>
    <w:p>
      <w:pPr>
        <w:spacing w:line="360" w:lineRule="auto"/>
        <w:ind w:firstLine="422" w:firstLineChars="200"/>
        <w:rPr>
          <w:rFonts w:hint="eastAsia" w:ascii="宋体" w:hAnsi="宋体" w:eastAsia="宋体" w:cs="宋体"/>
          <w:b/>
          <w:color w:val="auto"/>
          <w:szCs w:val="21"/>
          <w:highlight w:val="none"/>
        </w:rPr>
      </w:pPr>
    </w:p>
    <w:p>
      <w:pPr>
        <w:spacing w:line="360" w:lineRule="auto"/>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附件1：</w:t>
      </w:r>
    </w:p>
    <w:p>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承包人承揽工程项目一览表</w:t>
      </w:r>
    </w:p>
    <w:tbl>
      <w:tblPr>
        <w:tblStyle w:val="46"/>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单位工程名称</w:t>
            </w:r>
          </w:p>
        </w:tc>
        <w:tc>
          <w:tcPr>
            <w:tcW w:w="90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规模</w:t>
            </w:r>
          </w:p>
        </w:tc>
        <w:tc>
          <w:tcPr>
            <w:tcW w:w="131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682" w:type="dxa"/>
            <w:vAlign w:val="center"/>
          </w:tcPr>
          <w:p>
            <w:pPr>
              <w:spacing w:line="360" w:lineRule="auto"/>
              <w:ind w:right="-78" w:rightChars="-3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w:t>
            </w:r>
          </w:p>
        </w:tc>
        <w:tc>
          <w:tcPr>
            <w:tcW w:w="70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层数</w:t>
            </w:r>
          </w:p>
        </w:tc>
        <w:tc>
          <w:tcPr>
            <w:tcW w:w="87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跨度</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80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85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70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70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hint="eastAsia" w:ascii="宋体" w:hAnsi="宋体" w:eastAsia="宋体" w:cs="宋体"/>
                <w:color w:val="auto"/>
                <w:szCs w:val="21"/>
                <w:highlight w:val="none"/>
              </w:rPr>
            </w:pPr>
          </w:p>
        </w:tc>
        <w:tc>
          <w:tcPr>
            <w:tcW w:w="900" w:type="dxa"/>
            <w:vAlign w:val="center"/>
          </w:tcPr>
          <w:p>
            <w:pPr>
              <w:spacing w:line="360" w:lineRule="auto"/>
              <w:ind w:firstLine="420" w:firstLineChars="200"/>
              <w:rPr>
                <w:rFonts w:hint="eastAsia" w:ascii="宋体" w:hAnsi="宋体" w:eastAsia="宋体" w:cs="宋体"/>
                <w:color w:val="auto"/>
                <w:szCs w:val="21"/>
                <w:highlight w:val="none"/>
              </w:rPr>
            </w:pPr>
          </w:p>
        </w:tc>
        <w:tc>
          <w:tcPr>
            <w:tcW w:w="1319" w:type="dxa"/>
            <w:vAlign w:val="center"/>
          </w:tcPr>
          <w:p>
            <w:pPr>
              <w:spacing w:line="360" w:lineRule="auto"/>
              <w:ind w:firstLine="420" w:firstLineChars="200"/>
              <w:rPr>
                <w:rFonts w:hint="eastAsia" w:ascii="宋体" w:hAnsi="宋体" w:eastAsia="宋体" w:cs="宋体"/>
                <w:color w:val="auto"/>
                <w:szCs w:val="21"/>
                <w:highlight w:val="none"/>
              </w:rPr>
            </w:pPr>
          </w:p>
        </w:tc>
        <w:tc>
          <w:tcPr>
            <w:tcW w:w="682"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877" w:type="dxa"/>
            <w:vAlign w:val="center"/>
          </w:tcPr>
          <w:p>
            <w:pPr>
              <w:spacing w:line="360" w:lineRule="auto"/>
              <w:ind w:firstLine="420" w:firstLineChars="200"/>
              <w:rPr>
                <w:rFonts w:hint="eastAsia" w:ascii="宋体" w:hAnsi="宋体" w:eastAsia="宋体" w:cs="宋体"/>
                <w:color w:val="auto"/>
                <w:szCs w:val="21"/>
                <w:highlight w:val="none"/>
              </w:rPr>
            </w:pPr>
          </w:p>
        </w:tc>
        <w:tc>
          <w:tcPr>
            <w:tcW w:w="800" w:type="dxa"/>
            <w:vAlign w:val="center"/>
          </w:tcPr>
          <w:p>
            <w:pPr>
              <w:spacing w:line="360" w:lineRule="auto"/>
              <w:ind w:firstLine="420" w:firstLineChars="200"/>
              <w:rPr>
                <w:rFonts w:hint="eastAsia" w:ascii="宋体" w:hAnsi="宋体" w:eastAsia="宋体" w:cs="宋体"/>
                <w:color w:val="auto"/>
                <w:szCs w:val="21"/>
                <w:highlight w:val="none"/>
              </w:rPr>
            </w:pPr>
          </w:p>
        </w:tc>
        <w:tc>
          <w:tcPr>
            <w:tcW w:w="850"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hint="eastAsia" w:ascii="宋体" w:hAnsi="宋体" w:eastAsia="宋体" w:cs="宋体"/>
                <w:color w:val="auto"/>
                <w:szCs w:val="21"/>
                <w:highlight w:val="none"/>
              </w:rPr>
            </w:pPr>
          </w:p>
        </w:tc>
        <w:tc>
          <w:tcPr>
            <w:tcW w:w="900" w:type="dxa"/>
            <w:vAlign w:val="center"/>
          </w:tcPr>
          <w:p>
            <w:pPr>
              <w:spacing w:line="360" w:lineRule="auto"/>
              <w:ind w:firstLine="420" w:firstLineChars="200"/>
              <w:rPr>
                <w:rFonts w:hint="eastAsia" w:ascii="宋体" w:hAnsi="宋体" w:eastAsia="宋体" w:cs="宋体"/>
                <w:color w:val="auto"/>
                <w:szCs w:val="21"/>
                <w:highlight w:val="none"/>
              </w:rPr>
            </w:pPr>
          </w:p>
        </w:tc>
        <w:tc>
          <w:tcPr>
            <w:tcW w:w="1319" w:type="dxa"/>
            <w:vAlign w:val="center"/>
          </w:tcPr>
          <w:p>
            <w:pPr>
              <w:spacing w:line="360" w:lineRule="auto"/>
              <w:ind w:firstLine="420" w:firstLineChars="200"/>
              <w:rPr>
                <w:rFonts w:hint="eastAsia" w:ascii="宋体" w:hAnsi="宋体" w:eastAsia="宋体" w:cs="宋体"/>
                <w:color w:val="auto"/>
                <w:szCs w:val="21"/>
                <w:highlight w:val="none"/>
              </w:rPr>
            </w:pPr>
          </w:p>
        </w:tc>
        <w:tc>
          <w:tcPr>
            <w:tcW w:w="682"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877" w:type="dxa"/>
            <w:vAlign w:val="center"/>
          </w:tcPr>
          <w:p>
            <w:pPr>
              <w:spacing w:line="360" w:lineRule="auto"/>
              <w:ind w:firstLine="420" w:firstLineChars="200"/>
              <w:rPr>
                <w:rFonts w:hint="eastAsia" w:ascii="宋体" w:hAnsi="宋体" w:eastAsia="宋体" w:cs="宋体"/>
                <w:color w:val="auto"/>
                <w:szCs w:val="21"/>
                <w:highlight w:val="none"/>
              </w:rPr>
            </w:pPr>
          </w:p>
        </w:tc>
        <w:tc>
          <w:tcPr>
            <w:tcW w:w="800" w:type="dxa"/>
            <w:vAlign w:val="center"/>
          </w:tcPr>
          <w:p>
            <w:pPr>
              <w:spacing w:line="360" w:lineRule="auto"/>
              <w:ind w:firstLine="420" w:firstLineChars="200"/>
              <w:rPr>
                <w:rFonts w:hint="eastAsia" w:ascii="宋体" w:hAnsi="宋体" w:eastAsia="宋体" w:cs="宋体"/>
                <w:color w:val="auto"/>
                <w:szCs w:val="21"/>
                <w:highlight w:val="none"/>
              </w:rPr>
            </w:pPr>
          </w:p>
        </w:tc>
        <w:tc>
          <w:tcPr>
            <w:tcW w:w="850"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hint="eastAsia" w:ascii="宋体" w:hAnsi="宋体" w:eastAsia="宋体" w:cs="宋体"/>
                <w:color w:val="auto"/>
                <w:szCs w:val="21"/>
                <w:highlight w:val="none"/>
              </w:rPr>
            </w:pPr>
          </w:p>
        </w:tc>
        <w:tc>
          <w:tcPr>
            <w:tcW w:w="900" w:type="dxa"/>
            <w:vAlign w:val="center"/>
          </w:tcPr>
          <w:p>
            <w:pPr>
              <w:spacing w:line="360" w:lineRule="auto"/>
              <w:ind w:firstLine="420" w:firstLineChars="200"/>
              <w:rPr>
                <w:rFonts w:hint="eastAsia" w:ascii="宋体" w:hAnsi="宋体" w:eastAsia="宋体" w:cs="宋体"/>
                <w:color w:val="auto"/>
                <w:szCs w:val="21"/>
                <w:highlight w:val="none"/>
              </w:rPr>
            </w:pPr>
          </w:p>
        </w:tc>
        <w:tc>
          <w:tcPr>
            <w:tcW w:w="1319" w:type="dxa"/>
            <w:vAlign w:val="center"/>
          </w:tcPr>
          <w:p>
            <w:pPr>
              <w:spacing w:line="360" w:lineRule="auto"/>
              <w:ind w:firstLine="420" w:firstLineChars="200"/>
              <w:rPr>
                <w:rFonts w:hint="eastAsia" w:ascii="宋体" w:hAnsi="宋体" w:eastAsia="宋体" w:cs="宋体"/>
                <w:color w:val="auto"/>
                <w:szCs w:val="21"/>
                <w:highlight w:val="none"/>
              </w:rPr>
            </w:pPr>
          </w:p>
        </w:tc>
        <w:tc>
          <w:tcPr>
            <w:tcW w:w="682"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877" w:type="dxa"/>
            <w:vAlign w:val="center"/>
          </w:tcPr>
          <w:p>
            <w:pPr>
              <w:spacing w:line="360" w:lineRule="auto"/>
              <w:ind w:firstLine="420" w:firstLineChars="200"/>
              <w:rPr>
                <w:rFonts w:hint="eastAsia" w:ascii="宋体" w:hAnsi="宋体" w:eastAsia="宋体" w:cs="宋体"/>
                <w:color w:val="auto"/>
                <w:szCs w:val="21"/>
                <w:highlight w:val="none"/>
              </w:rPr>
            </w:pPr>
          </w:p>
        </w:tc>
        <w:tc>
          <w:tcPr>
            <w:tcW w:w="800" w:type="dxa"/>
            <w:vAlign w:val="center"/>
          </w:tcPr>
          <w:p>
            <w:pPr>
              <w:spacing w:line="360" w:lineRule="auto"/>
              <w:ind w:firstLine="420" w:firstLineChars="200"/>
              <w:rPr>
                <w:rFonts w:hint="eastAsia" w:ascii="宋体" w:hAnsi="宋体" w:eastAsia="宋体" w:cs="宋体"/>
                <w:color w:val="auto"/>
                <w:szCs w:val="21"/>
                <w:highlight w:val="none"/>
              </w:rPr>
            </w:pPr>
          </w:p>
        </w:tc>
        <w:tc>
          <w:tcPr>
            <w:tcW w:w="850"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bl>
    <w:p>
      <w:pPr>
        <w:spacing w:line="360" w:lineRule="auto"/>
        <w:ind w:firstLine="643" w:firstLineChars="200"/>
        <w:rPr>
          <w:rFonts w:hint="eastAsia" w:ascii="宋体" w:hAnsi="宋体" w:eastAsia="宋体" w:cs="宋体"/>
          <w:b/>
          <w:color w:val="auto"/>
          <w:sz w:val="32"/>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w:t>
      </w:r>
    </w:p>
    <w:p>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主要材料设备一览表</w:t>
      </w:r>
    </w:p>
    <w:tbl>
      <w:tblPr>
        <w:tblStyle w:val="46"/>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4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品种</w:t>
            </w:r>
          </w:p>
        </w:tc>
        <w:tc>
          <w:tcPr>
            <w:tcW w:w="85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70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1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5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7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c>
          <w:tcPr>
            <w:tcW w:w="91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108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送达</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87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bl>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附件3：</w:t>
      </w:r>
    </w:p>
    <w:p>
      <w:pPr>
        <w:spacing w:line="360" w:lineRule="auto"/>
        <w:rPr>
          <w:rFonts w:hint="eastAsia" w:ascii="宋体" w:hAnsi="宋体" w:eastAsia="宋体" w:cs="宋体"/>
          <w:b/>
          <w:bCs/>
          <w:color w:val="auto"/>
          <w:sz w:val="32"/>
          <w:highlight w:val="none"/>
        </w:rPr>
      </w:pPr>
    </w:p>
    <w:p>
      <w:pPr>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工程质量保修书</w:t>
      </w:r>
    </w:p>
    <w:p>
      <w:pPr>
        <w:spacing w:line="360" w:lineRule="auto"/>
        <w:ind w:firstLine="361" w:firstLineChars="200"/>
        <w:rPr>
          <w:rFonts w:hint="eastAsia" w:ascii="宋体" w:hAnsi="宋体" w:eastAsia="宋体" w:cs="宋体"/>
          <w:b/>
          <w:bCs/>
          <w:color w:val="auto"/>
          <w:sz w:val="18"/>
          <w:szCs w:val="18"/>
          <w:highlight w:val="none"/>
        </w:rPr>
      </w:pP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为保证（工程名称）在合理使用期限内正常使用，发包人承包人协商一致签订工程质量保修书。承包人在质量保修期内按照有关管理规定及双方约定承担工程质量保修责任。</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一、工程质量保修范围和内容</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二、质量保修期</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质量保修期从工程实际竣工之日算起。分单项竣工验收的工程，按单项工程分别计算质量保修期。</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质量保修期自竣工验收合格之日起计算。</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三、质量保修责任</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3、在保修期内，无论发包方是否进入、占用或使用本工程，承包方均应继续承担合同中规定的责任及义务，直到合同终止。</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5、监理单位在工程质量保修期内的工作</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①、执行监理合同的约定，监督、检查承包方的工作，发现承包方未履行保修义务，除书面通知承包方，还应书面上报发包方。</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②、审批承包方编制的工程质量缺陷修整方案。</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③、承包方完成工程质量缺陷的修整后，组织有关部门进行验收，并将结果书面上报发包方。</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6、质量保修完成后，由发包人组织验收。</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四、保修费用</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五、其他</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双方约定的其他工程质量保修事项：</w:t>
      </w:r>
      <w:r>
        <w:rPr>
          <w:rFonts w:hint="eastAsia" w:ascii="宋体" w:hAnsi="宋体" w:eastAsia="宋体" w:cs="宋体"/>
          <w:color w:val="auto"/>
          <w:szCs w:val="21"/>
          <w:highlight w:val="none"/>
          <w:u w:val="single"/>
        </w:rPr>
        <w:t>若承包方不能按期约定期限内履行保修责任，发包方有权自行维修，所产生的费用从质量保证金中扣除。</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本工程质量保修书，由施工合同发包人、承包人双方在竣工验收前共同签署，作为施工合同附件，其有效期限至保修期满。</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发包人（公章）：                       承包人（公章）：</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                           法定代表人或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                    委托代理人（签字）：</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1785" w:firstLineChars="850"/>
        <w:rPr>
          <w:rFonts w:hint="eastAsia" w:ascii="宋体" w:hAnsi="宋体" w:eastAsia="宋体" w:cs="宋体"/>
          <w:color w:val="auto"/>
          <w:highlight w:val="none"/>
        </w:rPr>
      </w:pPr>
      <w:r>
        <w:rPr>
          <w:rFonts w:hint="eastAsia" w:ascii="宋体" w:hAnsi="宋体" w:eastAsia="宋体" w:cs="宋体"/>
          <w:color w:val="auto"/>
          <w:szCs w:val="21"/>
          <w:highlight w:val="none"/>
        </w:rPr>
        <w:t>年   月   日                         年   月   日</w:t>
      </w:r>
    </w:p>
    <w:p>
      <w:pPr>
        <w:ind w:firstLine="420" w:firstLineChars="200"/>
        <w:rPr>
          <w:rFonts w:hint="eastAsia" w:ascii="宋体" w:hAnsi="宋体" w:eastAsia="宋体" w:cs="宋体"/>
          <w:color w:val="auto"/>
          <w:highlight w:val="none"/>
        </w:rPr>
      </w:pPr>
    </w:p>
    <w:p>
      <w:pPr>
        <w:jc w:val="center"/>
        <w:rPr>
          <w:rFonts w:hint="eastAsia" w:ascii="宋体" w:hAnsi="宋体" w:eastAsia="宋体" w:cs="宋体"/>
          <w:b/>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321"/>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周口市政府采购合同融资政策告知函</w:t>
      </w: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各供应商：</w:t>
      </w:r>
    </w:p>
    <w:p>
      <w:pPr>
        <w:pStyle w:val="54"/>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欢迎贵公司参与周口市政府采购活动！</w:t>
      </w:r>
    </w:p>
    <w:p>
      <w:pPr>
        <w:pStyle w:val="54"/>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54"/>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贷款渠道和提供贷款的金融机构，可在河南省政府采购网“河南省政府采购合同融资平台”查询联系。</w:t>
      </w:r>
    </w:p>
    <w:p>
      <w:pPr>
        <w:spacing w:line="360" w:lineRule="auto"/>
        <w:rPr>
          <w:rFonts w:hint="eastAsia" w:ascii="宋体" w:hAnsi="宋体" w:eastAsia="宋体" w:cs="宋体"/>
          <w:b/>
          <w:bCs/>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sectPr>
      <w:footerReference r:id="rId4" w:type="first"/>
      <w:footerReference r:id="rId3" w:type="default"/>
      <w:pgSz w:w="11906" w:h="16838"/>
      <w:pgMar w:top="1474" w:right="1474" w:bottom="1474" w:left="1474" w:header="851" w:footer="743"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angSong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KaiTi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8548390"/>
      <w:docPartObj>
        <w:docPartGallery w:val="autotext"/>
      </w:docPartObj>
    </w:sdtPr>
    <w:sdtContent>
      <w:p>
        <w:pPr>
          <w:pStyle w:val="31"/>
          <w:jc w:val="center"/>
        </w:pPr>
        <w:r>
          <w:fldChar w:fldCharType="begin"/>
        </w:r>
        <w:r>
          <w:instrText xml:space="preserve">PAGE   \* MERGEFORMAT</w:instrText>
        </w:r>
        <w:r>
          <w:fldChar w:fldCharType="separate"/>
        </w:r>
        <w:r>
          <w:rPr>
            <w:lang w:val="zh-CN"/>
          </w:rPr>
          <w:t>10</w:t>
        </w:r>
        <w:r>
          <w:fldChar w:fldCharType="end"/>
        </w:r>
      </w:p>
    </w:sdtContent>
  </w:sdt>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437766"/>
      <w:docPartObj>
        <w:docPartGallery w:val="autotext"/>
      </w:docPartObj>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B7C487B"/>
    <w:multiLevelType w:val="multilevel"/>
    <w:tmpl w:val="3B7C487B"/>
    <w:lvl w:ilvl="0" w:tentative="0">
      <w:start w:val="1"/>
      <w:numFmt w:val="decimal"/>
      <w:pStyle w:val="13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582276"/>
    <w:multiLevelType w:val="singleLevel"/>
    <w:tmpl w:val="5A582276"/>
    <w:lvl w:ilvl="0" w:tentative="0">
      <w:start w:val="1"/>
      <w:numFmt w:val="decimal"/>
      <w:suff w:val="nothing"/>
      <w:lvlText w:val="%1、"/>
      <w:lvlJc w:val="left"/>
      <w:pPr>
        <w:ind w:left="284" w:firstLine="0"/>
      </w:pPr>
    </w:lvl>
  </w:abstractNum>
  <w:abstractNum w:abstractNumId="6">
    <w:nsid w:val="6FE15701"/>
    <w:multiLevelType w:val="multilevel"/>
    <w:tmpl w:val="6FE15701"/>
    <w:lvl w:ilvl="0" w:tentative="0">
      <w:start w:val="1"/>
      <w:numFmt w:val="japaneseCounting"/>
      <w:pStyle w:val="17"/>
      <w:lvlText w:val="第%1章"/>
      <w:lvlJc w:val="left"/>
      <w:pPr>
        <w:tabs>
          <w:tab w:val="left" w:pos="3630"/>
        </w:tabs>
        <w:ind w:left="3630" w:hanging="11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ZTI5OWQ4NDQ5ZWE1OGEyZGYyMmUxNGJiZTRhOWQifQ=="/>
  </w:docVars>
  <w:rsids>
    <w:rsidRoot w:val="00172A27"/>
    <w:rsid w:val="00000473"/>
    <w:rsid w:val="00000EB7"/>
    <w:rsid w:val="00000EF8"/>
    <w:rsid w:val="00003AB0"/>
    <w:rsid w:val="000041E8"/>
    <w:rsid w:val="00006762"/>
    <w:rsid w:val="00006828"/>
    <w:rsid w:val="000102C8"/>
    <w:rsid w:val="00010B80"/>
    <w:rsid w:val="00010D52"/>
    <w:rsid w:val="000116EC"/>
    <w:rsid w:val="000129DA"/>
    <w:rsid w:val="00013396"/>
    <w:rsid w:val="0001390F"/>
    <w:rsid w:val="00013D3C"/>
    <w:rsid w:val="000144E9"/>
    <w:rsid w:val="00014E7F"/>
    <w:rsid w:val="000166DF"/>
    <w:rsid w:val="000176E7"/>
    <w:rsid w:val="000213BA"/>
    <w:rsid w:val="000225D9"/>
    <w:rsid w:val="00023585"/>
    <w:rsid w:val="000240DE"/>
    <w:rsid w:val="000247DD"/>
    <w:rsid w:val="00024866"/>
    <w:rsid w:val="00024C10"/>
    <w:rsid w:val="00027E59"/>
    <w:rsid w:val="0003097C"/>
    <w:rsid w:val="00032D0E"/>
    <w:rsid w:val="00034FFE"/>
    <w:rsid w:val="000353DA"/>
    <w:rsid w:val="00035478"/>
    <w:rsid w:val="00037C3B"/>
    <w:rsid w:val="00037CD1"/>
    <w:rsid w:val="0004092B"/>
    <w:rsid w:val="000410D0"/>
    <w:rsid w:val="0004275F"/>
    <w:rsid w:val="000428C3"/>
    <w:rsid w:val="00044123"/>
    <w:rsid w:val="00044689"/>
    <w:rsid w:val="000449D3"/>
    <w:rsid w:val="00045FE3"/>
    <w:rsid w:val="000462F8"/>
    <w:rsid w:val="00050196"/>
    <w:rsid w:val="000511E4"/>
    <w:rsid w:val="00052DCC"/>
    <w:rsid w:val="00053904"/>
    <w:rsid w:val="0005462A"/>
    <w:rsid w:val="000554ED"/>
    <w:rsid w:val="0005550A"/>
    <w:rsid w:val="00057B77"/>
    <w:rsid w:val="00057BB8"/>
    <w:rsid w:val="00064DFD"/>
    <w:rsid w:val="00072E3B"/>
    <w:rsid w:val="00074154"/>
    <w:rsid w:val="00074405"/>
    <w:rsid w:val="000829BC"/>
    <w:rsid w:val="00085194"/>
    <w:rsid w:val="00086641"/>
    <w:rsid w:val="00086B9C"/>
    <w:rsid w:val="00090B04"/>
    <w:rsid w:val="00091B49"/>
    <w:rsid w:val="00092032"/>
    <w:rsid w:val="000928CD"/>
    <w:rsid w:val="00094BB5"/>
    <w:rsid w:val="000972A7"/>
    <w:rsid w:val="000A1990"/>
    <w:rsid w:val="000A26CA"/>
    <w:rsid w:val="000A2A0D"/>
    <w:rsid w:val="000A31BC"/>
    <w:rsid w:val="000A3450"/>
    <w:rsid w:val="000A44B1"/>
    <w:rsid w:val="000A4727"/>
    <w:rsid w:val="000A5315"/>
    <w:rsid w:val="000A5910"/>
    <w:rsid w:val="000A6D57"/>
    <w:rsid w:val="000B3B85"/>
    <w:rsid w:val="000B63FB"/>
    <w:rsid w:val="000B7098"/>
    <w:rsid w:val="000B7DCA"/>
    <w:rsid w:val="000C0E0E"/>
    <w:rsid w:val="000C6D87"/>
    <w:rsid w:val="000D1060"/>
    <w:rsid w:val="000D13CD"/>
    <w:rsid w:val="000D2221"/>
    <w:rsid w:val="000D2F55"/>
    <w:rsid w:val="000D2FDB"/>
    <w:rsid w:val="000D565E"/>
    <w:rsid w:val="000D5EE1"/>
    <w:rsid w:val="000D6875"/>
    <w:rsid w:val="000D7821"/>
    <w:rsid w:val="000E2676"/>
    <w:rsid w:val="000E2AFD"/>
    <w:rsid w:val="000E397E"/>
    <w:rsid w:val="000E6798"/>
    <w:rsid w:val="000E6816"/>
    <w:rsid w:val="000F00E0"/>
    <w:rsid w:val="000F1943"/>
    <w:rsid w:val="000F1C54"/>
    <w:rsid w:val="000F24C7"/>
    <w:rsid w:val="000F2895"/>
    <w:rsid w:val="000F2C10"/>
    <w:rsid w:val="000F4217"/>
    <w:rsid w:val="000F4829"/>
    <w:rsid w:val="000F528F"/>
    <w:rsid w:val="000F7A85"/>
    <w:rsid w:val="00101C3F"/>
    <w:rsid w:val="0010437E"/>
    <w:rsid w:val="00105318"/>
    <w:rsid w:val="00105AF5"/>
    <w:rsid w:val="001066EA"/>
    <w:rsid w:val="00110380"/>
    <w:rsid w:val="00111435"/>
    <w:rsid w:val="00112A3E"/>
    <w:rsid w:val="001141BD"/>
    <w:rsid w:val="001148DF"/>
    <w:rsid w:val="00114EC3"/>
    <w:rsid w:val="0011768E"/>
    <w:rsid w:val="00117E49"/>
    <w:rsid w:val="00117FA8"/>
    <w:rsid w:val="00120244"/>
    <w:rsid w:val="00121C11"/>
    <w:rsid w:val="00123AA2"/>
    <w:rsid w:val="00124AA7"/>
    <w:rsid w:val="00125D09"/>
    <w:rsid w:val="001302F5"/>
    <w:rsid w:val="00130C9E"/>
    <w:rsid w:val="001337D6"/>
    <w:rsid w:val="00135212"/>
    <w:rsid w:val="001359F5"/>
    <w:rsid w:val="001360DB"/>
    <w:rsid w:val="00136327"/>
    <w:rsid w:val="00142AE8"/>
    <w:rsid w:val="00142C35"/>
    <w:rsid w:val="00144E58"/>
    <w:rsid w:val="00146C5A"/>
    <w:rsid w:val="00150D42"/>
    <w:rsid w:val="00151055"/>
    <w:rsid w:val="001554F0"/>
    <w:rsid w:val="00156E7B"/>
    <w:rsid w:val="00157047"/>
    <w:rsid w:val="00163FD1"/>
    <w:rsid w:val="00164517"/>
    <w:rsid w:val="001670CA"/>
    <w:rsid w:val="00170FFC"/>
    <w:rsid w:val="001722BF"/>
    <w:rsid w:val="00172A27"/>
    <w:rsid w:val="001740C8"/>
    <w:rsid w:val="001741A6"/>
    <w:rsid w:val="0017512B"/>
    <w:rsid w:val="00176151"/>
    <w:rsid w:val="0018079E"/>
    <w:rsid w:val="00184381"/>
    <w:rsid w:val="00184875"/>
    <w:rsid w:val="00186974"/>
    <w:rsid w:val="00187487"/>
    <w:rsid w:val="00190D28"/>
    <w:rsid w:val="00191897"/>
    <w:rsid w:val="00192F31"/>
    <w:rsid w:val="00195842"/>
    <w:rsid w:val="00195D4F"/>
    <w:rsid w:val="00196563"/>
    <w:rsid w:val="00196EC8"/>
    <w:rsid w:val="001A0695"/>
    <w:rsid w:val="001A0CE2"/>
    <w:rsid w:val="001A0E62"/>
    <w:rsid w:val="001A0FE9"/>
    <w:rsid w:val="001A26F3"/>
    <w:rsid w:val="001A346F"/>
    <w:rsid w:val="001A520E"/>
    <w:rsid w:val="001A59B6"/>
    <w:rsid w:val="001A5BD3"/>
    <w:rsid w:val="001A6651"/>
    <w:rsid w:val="001A6D2E"/>
    <w:rsid w:val="001A7DA5"/>
    <w:rsid w:val="001B18CC"/>
    <w:rsid w:val="001B3F2E"/>
    <w:rsid w:val="001B4945"/>
    <w:rsid w:val="001B4FAB"/>
    <w:rsid w:val="001B571F"/>
    <w:rsid w:val="001B576E"/>
    <w:rsid w:val="001B5FA9"/>
    <w:rsid w:val="001B65B0"/>
    <w:rsid w:val="001B7F67"/>
    <w:rsid w:val="001C1F3C"/>
    <w:rsid w:val="001C28FB"/>
    <w:rsid w:val="001C2A62"/>
    <w:rsid w:val="001C391D"/>
    <w:rsid w:val="001C5595"/>
    <w:rsid w:val="001C5B45"/>
    <w:rsid w:val="001C621E"/>
    <w:rsid w:val="001C7991"/>
    <w:rsid w:val="001C79AA"/>
    <w:rsid w:val="001D0EBF"/>
    <w:rsid w:val="001D309F"/>
    <w:rsid w:val="001D45CF"/>
    <w:rsid w:val="001D7BCE"/>
    <w:rsid w:val="001F07C6"/>
    <w:rsid w:val="001F1738"/>
    <w:rsid w:val="001F191D"/>
    <w:rsid w:val="001F2CA7"/>
    <w:rsid w:val="001F403F"/>
    <w:rsid w:val="001F441B"/>
    <w:rsid w:val="001F75F5"/>
    <w:rsid w:val="001F7C6C"/>
    <w:rsid w:val="00200168"/>
    <w:rsid w:val="002010D8"/>
    <w:rsid w:val="002025C2"/>
    <w:rsid w:val="002025CC"/>
    <w:rsid w:val="002029AD"/>
    <w:rsid w:val="00202EE5"/>
    <w:rsid w:val="00203F54"/>
    <w:rsid w:val="00204EA2"/>
    <w:rsid w:val="00206F03"/>
    <w:rsid w:val="00207987"/>
    <w:rsid w:val="00207D67"/>
    <w:rsid w:val="002111C1"/>
    <w:rsid w:val="00212001"/>
    <w:rsid w:val="00213C32"/>
    <w:rsid w:val="00213E36"/>
    <w:rsid w:val="0021469A"/>
    <w:rsid w:val="0021478A"/>
    <w:rsid w:val="00214FEB"/>
    <w:rsid w:val="00215559"/>
    <w:rsid w:val="002156E9"/>
    <w:rsid w:val="002176AB"/>
    <w:rsid w:val="0022038E"/>
    <w:rsid w:val="0022145E"/>
    <w:rsid w:val="00222214"/>
    <w:rsid w:val="00222577"/>
    <w:rsid w:val="00224F94"/>
    <w:rsid w:val="00225936"/>
    <w:rsid w:val="002277F6"/>
    <w:rsid w:val="00232939"/>
    <w:rsid w:val="0023359F"/>
    <w:rsid w:val="002341E1"/>
    <w:rsid w:val="00234457"/>
    <w:rsid w:val="00234D41"/>
    <w:rsid w:val="002355EF"/>
    <w:rsid w:val="00243775"/>
    <w:rsid w:val="002446C0"/>
    <w:rsid w:val="00245892"/>
    <w:rsid w:val="00246082"/>
    <w:rsid w:val="00247A19"/>
    <w:rsid w:val="0025069C"/>
    <w:rsid w:val="002511C6"/>
    <w:rsid w:val="00251777"/>
    <w:rsid w:val="00251AE3"/>
    <w:rsid w:val="00254718"/>
    <w:rsid w:val="00257C62"/>
    <w:rsid w:val="0026070B"/>
    <w:rsid w:val="00260A3D"/>
    <w:rsid w:val="00260F31"/>
    <w:rsid w:val="0026275C"/>
    <w:rsid w:val="00263270"/>
    <w:rsid w:val="00265597"/>
    <w:rsid w:val="00265B18"/>
    <w:rsid w:val="00270508"/>
    <w:rsid w:val="00270AB4"/>
    <w:rsid w:val="00273A99"/>
    <w:rsid w:val="00277094"/>
    <w:rsid w:val="00277E93"/>
    <w:rsid w:val="00280A38"/>
    <w:rsid w:val="00281907"/>
    <w:rsid w:val="00282FBE"/>
    <w:rsid w:val="0028315B"/>
    <w:rsid w:val="002833BA"/>
    <w:rsid w:val="00287C15"/>
    <w:rsid w:val="00292F1F"/>
    <w:rsid w:val="002935B7"/>
    <w:rsid w:val="002941D9"/>
    <w:rsid w:val="0029693F"/>
    <w:rsid w:val="002A078A"/>
    <w:rsid w:val="002A134F"/>
    <w:rsid w:val="002A2FB3"/>
    <w:rsid w:val="002A33CC"/>
    <w:rsid w:val="002A4502"/>
    <w:rsid w:val="002A6593"/>
    <w:rsid w:val="002A6941"/>
    <w:rsid w:val="002A76FC"/>
    <w:rsid w:val="002B0969"/>
    <w:rsid w:val="002B201C"/>
    <w:rsid w:val="002B29FD"/>
    <w:rsid w:val="002B4CF0"/>
    <w:rsid w:val="002B5ACA"/>
    <w:rsid w:val="002B7671"/>
    <w:rsid w:val="002B76E6"/>
    <w:rsid w:val="002B7726"/>
    <w:rsid w:val="002B7AB2"/>
    <w:rsid w:val="002C00CD"/>
    <w:rsid w:val="002C24BA"/>
    <w:rsid w:val="002C440E"/>
    <w:rsid w:val="002C50EE"/>
    <w:rsid w:val="002C5F9A"/>
    <w:rsid w:val="002C650A"/>
    <w:rsid w:val="002D29C5"/>
    <w:rsid w:val="002D2A87"/>
    <w:rsid w:val="002D2DA6"/>
    <w:rsid w:val="002D2E96"/>
    <w:rsid w:val="002D5F6C"/>
    <w:rsid w:val="002D6658"/>
    <w:rsid w:val="002D6811"/>
    <w:rsid w:val="002D7BB8"/>
    <w:rsid w:val="002E0264"/>
    <w:rsid w:val="002E0464"/>
    <w:rsid w:val="002E1413"/>
    <w:rsid w:val="002E3325"/>
    <w:rsid w:val="002E43AE"/>
    <w:rsid w:val="002E69A5"/>
    <w:rsid w:val="002F0758"/>
    <w:rsid w:val="002F1354"/>
    <w:rsid w:val="002F3064"/>
    <w:rsid w:val="002F60DD"/>
    <w:rsid w:val="002F678F"/>
    <w:rsid w:val="002F68A9"/>
    <w:rsid w:val="00300553"/>
    <w:rsid w:val="00300BC8"/>
    <w:rsid w:val="00304C09"/>
    <w:rsid w:val="00306083"/>
    <w:rsid w:val="00310468"/>
    <w:rsid w:val="00310CDB"/>
    <w:rsid w:val="00315AD3"/>
    <w:rsid w:val="00317937"/>
    <w:rsid w:val="00321519"/>
    <w:rsid w:val="00322F75"/>
    <w:rsid w:val="0032356A"/>
    <w:rsid w:val="00326B7A"/>
    <w:rsid w:val="00327B1D"/>
    <w:rsid w:val="00331FBF"/>
    <w:rsid w:val="003323F4"/>
    <w:rsid w:val="00335643"/>
    <w:rsid w:val="00336797"/>
    <w:rsid w:val="00336C0C"/>
    <w:rsid w:val="003370FE"/>
    <w:rsid w:val="00337E02"/>
    <w:rsid w:val="00341B57"/>
    <w:rsid w:val="0034239E"/>
    <w:rsid w:val="00342B36"/>
    <w:rsid w:val="00342B7F"/>
    <w:rsid w:val="00344594"/>
    <w:rsid w:val="0034643C"/>
    <w:rsid w:val="003475B1"/>
    <w:rsid w:val="00347673"/>
    <w:rsid w:val="00347F63"/>
    <w:rsid w:val="00350318"/>
    <w:rsid w:val="00350EC5"/>
    <w:rsid w:val="0035425B"/>
    <w:rsid w:val="003611A2"/>
    <w:rsid w:val="0036629C"/>
    <w:rsid w:val="003664DE"/>
    <w:rsid w:val="00367065"/>
    <w:rsid w:val="00381FD5"/>
    <w:rsid w:val="0038214C"/>
    <w:rsid w:val="00385D0F"/>
    <w:rsid w:val="00386520"/>
    <w:rsid w:val="00390DBE"/>
    <w:rsid w:val="0039109A"/>
    <w:rsid w:val="003922B1"/>
    <w:rsid w:val="00393A6E"/>
    <w:rsid w:val="00397A34"/>
    <w:rsid w:val="003A363F"/>
    <w:rsid w:val="003A3D7E"/>
    <w:rsid w:val="003A4ABC"/>
    <w:rsid w:val="003A66D2"/>
    <w:rsid w:val="003B01DE"/>
    <w:rsid w:val="003B488B"/>
    <w:rsid w:val="003B49C7"/>
    <w:rsid w:val="003B4BC8"/>
    <w:rsid w:val="003B50AF"/>
    <w:rsid w:val="003B7EF7"/>
    <w:rsid w:val="003C0583"/>
    <w:rsid w:val="003C21D6"/>
    <w:rsid w:val="003C2A5C"/>
    <w:rsid w:val="003C4372"/>
    <w:rsid w:val="003C550C"/>
    <w:rsid w:val="003C5B13"/>
    <w:rsid w:val="003D1D7E"/>
    <w:rsid w:val="003D1ED8"/>
    <w:rsid w:val="003D40FA"/>
    <w:rsid w:val="003D68C0"/>
    <w:rsid w:val="003D6FEA"/>
    <w:rsid w:val="003D7330"/>
    <w:rsid w:val="003E24C0"/>
    <w:rsid w:val="003E271B"/>
    <w:rsid w:val="003E6408"/>
    <w:rsid w:val="003E7C35"/>
    <w:rsid w:val="003F033C"/>
    <w:rsid w:val="003F065F"/>
    <w:rsid w:val="003F0BE5"/>
    <w:rsid w:val="003F2257"/>
    <w:rsid w:val="003F2C02"/>
    <w:rsid w:val="003F2CB2"/>
    <w:rsid w:val="003F3167"/>
    <w:rsid w:val="003F43A3"/>
    <w:rsid w:val="003F5341"/>
    <w:rsid w:val="003F5858"/>
    <w:rsid w:val="004000D2"/>
    <w:rsid w:val="00400FC6"/>
    <w:rsid w:val="00400FE3"/>
    <w:rsid w:val="00405529"/>
    <w:rsid w:val="004060DB"/>
    <w:rsid w:val="004077E6"/>
    <w:rsid w:val="00410646"/>
    <w:rsid w:val="0041112D"/>
    <w:rsid w:val="00412000"/>
    <w:rsid w:val="00412743"/>
    <w:rsid w:val="004144EF"/>
    <w:rsid w:val="00415C0A"/>
    <w:rsid w:val="00415E9C"/>
    <w:rsid w:val="00416396"/>
    <w:rsid w:val="00417D8B"/>
    <w:rsid w:val="00421E87"/>
    <w:rsid w:val="00425844"/>
    <w:rsid w:val="00427E1C"/>
    <w:rsid w:val="00430E50"/>
    <w:rsid w:val="00432B6E"/>
    <w:rsid w:val="00432C59"/>
    <w:rsid w:val="00435EF8"/>
    <w:rsid w:val="00436E1E"/>
    <w:rsid w:val="00436E31"/>
    <w:rsid w:val="00436E32"/>
    <w:rsid w:val="0044054C"/>
    <w:rsid w:val="00440598"/>
    <w:rsid w:val="00442325"/>
    <w:rsid w:val="00443C04"/>
    <w:rsid w:val="004441AE"/>
    <w:rsid w:val="004471E9"/>
    <w:rsid w:val="00450272"/>
    <w:rsid w:val="00451260"/>
    <w:rsid w:val="00451694"/>
    <w:rsid w:val="004534B7"/>
    <w:rsid w:val="004546C0"/>
    <w:rsid w:val="0045493B"/>
    <w:rsid w:val="00455899"/>
    <w:rsid w:val="0045594A"/>
    <w:rsid w:val="004568D7"/>
    <w:rsid w:val="00457F72"/>
    <w:rsid w:val="0046099F"/>
    <w:rsid w:val="00460BD0"/>
    <w:rsid w:val="00462B32"/>
    <w:rsid w:val="00464C5B"/>
    <w:rsid w:val="00464E23"/>
    <w:rsid w:val="00464F7F"/>
    <w:rsid w:val="00467BD4"/>
    <w:rsid w:val="00472EE4"/>
    <w:rsid w:val="00474866"/>
    <w:rsid w:val="00474C0A"/>
    <w:rsid w:val="00475851"/>
    <w:rsid w:val="00480775"/>
    <w:rsid w:val="00480D31"/>
    <w:rsid w:val="00483975"/>
    <w:rsid w:val="00484B9E"/>
    <w:rsid w:val="00487991"/>
    <w:rsid w:val="0049136B"/>
    <w:rsid w:val="00491ED5"/>
    <w:rsid w:val="00492A0C"/>
    <w:rsid w:val="00493EBA"/>
    <w:rsid w:val="00495DFE"/>
    <w:rsid w:val="00495EFB"/>
    <w:rsid w:val="004964AD"/>
    <w:rsid w:val="00497790"/>
    <w:rsid w:val="004A2891"/>
    <w:rsid w:val="004A2F6F"/>
    <w:rsid w:val="004A35A6"/>
    <w:rsid w:val="004A669D"/>
    <w:rsid w:val="004A6966"/>
    <w:rsid w:val="004B0282"/>
    <w:rsid w:val="004B253B"/>
    <w:rsid w:val="004B5809"/>
    <w:rsid w:val="004B6352"/>
    <w:rsid w:val="004B735C"/>
    <w:rsid w:val="004B7594"/>
    <w:rsid w:val="004B7D95"/>
    <w:rsid w:val="004C0209"/>
    <w:rsid w:val="004C23F8"/>
    <w:rsid w:val="004C2474"/>
    <w:rsid w:val="004C4124"/>
    <w:rsid w:val="004C4A46"/>
    <w:rsid w:val="004C5947"/>
    <w:rsid w:val="004C63B3"/>
    <w:rsid w:val="004D3555"/>
    <w:rsid w:val="004D63CD"/>
    <w:rsid w:val="004E01F6"/>
    <w:rsid w:val="004E0905"/>
    <w:rsid w:val="004E0E11"/>
    <w:rsid w:val="004E192B"/>
    <w:rsid w:val="004E2817"/>
    <w:rsid w:val="004E29E2"/>
    <w:rsid w:val="004E3B3D"/>
    <w:rsid w:val="004E3C63"/>
    <w:rsid w:val="004E5127"/>
    <w:rsid w:val="004E5BBD"/>
    <w:rsid w:val="004E5BF2"/>
    <w:rsid w:val="004F1798"/>
    <w:rsid w:val="004F1BB3"/>
    <w:rsid w:val="004F2FE1"/>
    <w:rsid w:val="004F3E35"/>
    <w:rsid w:val="004F400C"/>
    <w:rsid w:val="004F589F"/>
    <w:rsid w:val="004F613D"/>
    <w:rsid w:val="004F622A"/>
    <w:rsid w:val="004F6756"/>
    <w:rsid w:val="004F7D22"/>
    <w:rsid w:val="00500B54"/>
    <w:rsid w:val="00503834"/>
    <w:rsid w:val="00503FE1"/>
    <w:rsid w:val="00504C28"/>
    <w:rsid w:val="0050669F"/>
    <w:rsid w:val="00506ADF"/>
    <w:rsid w:val="005071E8"/>
    <w:rsid w:val="005101D3"/>
    <w:rsid w:val="00510C03"/>
    <w:rsid w:val="00512575"/>
    <w:rsid w:val="00513D0B"/>
    <w:rsid w:val="00520620"/>
    <w:rsid w:val="00521922"/>
    <w:rsid w:val="00522CAA"/>
    <w:rsid w:val="00522FAF"/>
    <w:rsid w:val="00526086"/>
    <w:rsid w:val="005269CB"/>
    <w:rsid w:val="005301E0"/>
    <w:rsid w:val="0053098E"/>
    <w:rsid w:val="00534938"/>
    <w:rsid w:val="00535274"/>
    <w:rsid w:val="00540C4C"/>
    <w:rsid w:val="00540C9B"/>
    <w:rsid w:val="005419CB"/>
    <w:rsid w:val="005429D6"/>
    <w:rsid w:val="00546FA3"/>
    <w:rsid w:val="005507A4"/>
    <w:rsid w:val="005513EA"/>
    <w:rsid w:val="00551E36"/>
    <w:rsid w:val="005530C9"/>
    <w:rsid w:val="00553A8B"/>
    <w:rsid w:val="00556822"/>
    <w:rsid w:val="005569F0"/>
    <w:rsid w:val="00557571"/>
    <w:rsid w:val="00560794"/>
    <w:rsid w:val="00560F1D"/>
    <w:rsid w:val="00561699"/>
    <w:rsid w:val="005643AA"/>
    <w:rsid w:val="00566AFD"/>
    <w:rsid w:val="00567DAF"/>
    <w:rsid w:val="005707F0"/>
    <w:rsid w:val="00572306"/>
    <w:rsid w:val="00572FC3"/>
    <w:rsid w:val="005745F5"/>
    <w:rsid w:val="005746FF"/>
    <w:rsid w:val="00575B7A"/>
    <w:rsid w:val="00576301"/>
    <w:rsid w:val="00581398"/>
    <w:rsid w:val="005822B2"/>
    <w:rsid w:val="00586720"/>
    <w:rsid w:val="0058696C"/>
    <w:rsid w:val="00586B26"/>
    <w:rsid w:val="00586EB2"/>
    <w:rsid w:val="00587249"/>
    <w:rsid w:val="00591E69"/>
    <w:rsid w:val="00593E58"/>
    <w:rsid w:val="00594975"/>
    <w:rsid w:val="00594DBC"/>
    <w:rsid w:val="005959B4"/>
    <w:rsid w:val="005973B0"/>
    <w:rsid w:val="005A0AEF"/>
    <w:rsid w:val="005A1487"/>
    <w:rsid w:val="005A272A"/>
    <w:rsid w:val="005A497C"/>
    <w:rsid w:val="005A5948"/>
    <w:rsid w:val="005A60F7"/>
    <w:rsid w:val="005B0990"/>
    <w:rsid w:val="005B35EA"/>
    <w:rsid w:val="005B3A63"/>
    <w:rsid w:val="005B3AC1"/>
    <w:rsid w:val="005B3DA9"/>
    <w:rsid w:val="005B7620"/>
    <w:rsid w:val="005C0C3F"/>
    <w:rsid w:val="005C0FE1"/>
    <w:rsid w:val="005C1BEF"/>
    <w:rsid w:val="005C3659"/>
    <w:rsid w:val="005C374C"/>
    <w:rsid w:val="005C4554"/>
    <w:rsid w:val="005C627C"/>
    <w:rsid w:val="005C7D4D"/>
    <w:rsid w:val="005D0C84"/>
    <w:rsid w:val="005D1CE5"/>
    <w:rsid w:val="005D40FE"/>
    <w:rsid w:val="005D4762"/>
    <w:rsid w:val="005D58A2"/>
    <w:rsid w:val="005D69B1"/>
    <w:rsid w:val="005D69B6"/>
    <w:rsid w:val="005D6ACD"/>
    <w:rsid w:val="005D71B0"/>
    <w:rsid w:val="005E0004"/>
    <w:rsid w:val="005E260C"/>
    <w:rsid w:val="005E2F05"/>
    <w:rsid w:val="005E3A60"/>
    <w:rsid w:val="005E43B1"/>
    <w:rsid w:val="005E7502"/>
    <w:rsid w:val="005F1777"/>
    <w:rsid w:val="005F4D02"/>
    <w:rsid w:val="005F4D43"/>
    <w:rsid w:val="00600707"/>
    <w:rsid w:val="0060143F"/>
    <w:rsid w:val="00601BF7"/>
    <w:rsid w:val="006029E1"/>
    <w:rsid w:val="00607654"/>
    <w:rsid w:val="00607C8D"/>
    <w:rsid w:val="00610992"/>
    <w:rsid w:val="006112F2"/>
    <w:rsid w:val="006113CF"/>
    <w:rsid w:val="00611BEA"/>
    <w:rsid w:val="00611C60"/>
    <w:rsid w:val="006158DC"/>
    <w:rsid w:val="0061645A"/>
    <w:rsid w:val="0062126D"/>
    <w:rsid w:val="0062277C"/>
    <w:rsid w:val="006227BE"/>
    <w:rsid w:val="00624028"/>
    <w:rsid w:val="0062535E"/>
    <w:rsid w:val="00626882"/>
    <w:rsid w:val="0063018F"/>
    <w:rsid w:val="00630996"/>
    <w:rsid w:val="00632A25"/>
    <w:rsid w:val="00632C77"/>
    <w:rsid w:val="00634D4B"/>
    <w:rsid w:val="006362B0"/>
    <w:rsid w:val="00637EBB"/>
    <w:rsid w:val="00640BE6"/>
    <w:rsid w:val="0064221D"/>
    <w:rsid w:val="00642ED2"/>
    <w:rsid w:val="006436E1"/>
    <w:rsid w:val="0064576F"/>
    <w:rsid w:val="00645D29"/>
    <w:rsid w:val="0064691E"/>
    <w:rsid w:val="00650ECD"/>
    <w:rsid w:val="006547BF"/>
    <w:rsid w:val="00664807"/>
    <w:rsid w:val="00665625"/>
    <w:rsid w:val="00666403"/>
    <w:rsid w:val="00666412"/>
    <w:rsid w:val="00666A24"/>
    <w:rsid w:val="00670265"/>
    <w:rsid w:val="00671CF7"/>
    <w:rsid w:val="006736EC"/>
    <w:rsid w:val="00675ACB"/>
    <w:rsid w:val="0067712E"/>
    <w:rsid w:val="0067790A"/>
    <w:rsid w:val="00677BEF"/>
    <w:rsid w:val="00682861"/>
    <w:rsid w:val="006828EF"/>
    <w:rsid w:val="00683330"/>
    <w:rsid w:val="00684046"/>
    <w:rsid w:val="00685DDD"/>
    <w:rsid w:val="00690481"/>
    <w:rsid w:val="00690661"/>
    <w:rsid w:val="00691B46"/>
    <w:rsid w:val="0069402B"/>
    <w:rsid w:val="0069638C"/>
    <w:rsid w:val="006A1EA6"/>
    <w:rsid w:val="006A3E62"/>
    <w:rsid w:val="006A4ACB"/>
    <w:rsid w:val="006A62A7"/>
    <w:rsid w:val="006A7C4C"/>
    <w:rsid w:val="006B09AC"/>
    <w:rsid w:val="006B3C32"/>
    <w:rsid w:val="006B3DB8"/>
    <w:rsid w:val="006B3EA5"/>
    <w:rsid w:val="006B41DC"/>
    <w:rsid w:val="006B59CE"/>
    <w:rsid w:val="006B70D2"/>
    <w:rsid w:val="006C1791"/>
    <w:rsid w:val="006C212D"/>
    <w:rsid w:val="006C36CA"/>
    <w:rsid w:val="006C4E8E"/>
    <w:rsid w:val="006C631F"/>
    <w:rsid w:val="006C7AB6"/>
    <w:rsid w:val="006D09EA"/>
    <w:rsid w:val="006D3E28"/>
    <w:rsid w:val="006D4773"/>
    <w:rsid w:val="006D4FBE"/>
    <w:rsid w:val="006D5251"/>
    <w:rsid w:val="006D5E9F"/>
    <w:rsid w:val="006D6E7A"/>
    <w:rsid w:val="006E33F1"/>
    <w:rsid w:val="006E430F"/>
    <w:rsid w:val="006E6C71"/>
    <w:rsid w:val="006E7B1A"/>
    <w:rsid w:val="006F1520"/>
    <w:rsid w:val="006F2521"/>
    <w:rsid w:val="006F3DCD"/>
    <w:rsid w:val="006F5446"/>
    <w:rsid w:val="006F66A7"/>
    <w:rsid w:val="006F68AD"/>
    <w:rsid w:val="006F6E79"/>
    <w:rsid w:val="007011CC"/>
    <w:rsid w:val="00702C0E"/>
    <w:rsid w:val="00702EE4"/>
    <w:rsid w:val="0070528D"/>
    <w:rsid w:val="0070566E"/>
    <w:rsid w:val="007057AF"/>
    <w:rsid w:val="00706198"/>
    <w:rsid w:val="00712DBF"/>
    <w:rsid w:val="007132E3"/>
    <w:rsid w:val="00713B99"/>
    <w:rsid w:val="00714C4C"/>
    <w:rsid w:val="00715BAF"/>
    <w:rsid w:val="00715F43"/>
    <w:rsid w:val="00725103"/>
    <w:rsid w:val="00726195"/>
    <w:rsid w:val="007268FD"/>
    <w:rsid w:val="007308EF"/>
    <w:rsid w:val="00731000"/>
    <w:rsid w:val="00731B66"/>
    <w:rsid w:val="00732671"/>
    <w:rsid w:val="00733E0E"/>
    <w:rsid w:val="007353E7"/>
    <w:rsid w:val="00741235"/>
    <w:rsid w:val="00741DF3"/>
    <w:rsid w:val="0074387E"/>
    <w:rsid w:val="00746210"/>
    <w:rsid w:val="00750540"/>
    <w:rsid w:val="007506F8"/>
    <w:rsid w:val="00750C72"/>
    <w:rsid w:val="0075240B"/>
    <w:rsid w:val="007547F4"/>
    <w:rsid w:val="007573BB"/>
    <w:rsid w:val="00757BE8"/>
    <w:rsid w:val="00760021"/>
    <w:rsid w:val="0076057D"/>
    <w:rsid w:val="00760FA4"/>
    <w:rsid w:val="0076290F"/>
    <w:rsid w:val="00762B8F"/>
    <w:rsid w:val="007635E7"/>
    <w:rsid w:val="00763D00"/>
    <w:rsid w:val="00764780"/>
    <w:rsid w:val="00764CC5"/>
    <w:rsid w:val="00766947"/>
    <w:rsid w:val="00767862"/>
    <w:rsid w:val="00770850"/>
    <w:rsid w:val="00771B3B"/>
    <w:rsid w:val="007721BC"/>
    <w:rsid w:val="00772250"/>
    <w:rsid w:val="007729F2"/>
    <w:rsid w:val="00773D00"/>
    <w:rsid w:val="0077769A"/>
    <w:rsid w:val="00777F77"/>
    <w:rsid w:val="00781022"/>
    <w:rsid w:val="00781772"/>
    <w:rsid w:val="0078269B"/>
    <w:rsid w:val="0078354C"/>
    <w:rsid w:val="00784605"/>
    <w:rsid w:val="00785043"/>
    <w:rsid w:val="007865D6"/>
    <w:rsid w:val="00787659"/>
    <w:rsid w:val="00790254"/>
    <w:rsid w:val="0079197B"/>
    <w:rsid w:val="007940C5"/>
    <w:rsid w:val="00794935"/>
    <w:rsid w:val="00796F78"/>
    <w:rsid w:val="007A02D3"/>
    <w:rsid w:val="007A168C"/>
    <w:rsid w:val="007A1F1A"/>
    <w:rsid w:val="007A40EE"/>
    <w:rsid w:val="007A4956"/>
    <w:rsid w:val="007A6607"/>
    <w:rsid w:val="007A6ABB"/>
    <w:rsid w:val="007A759A"/>
    <w:rsid w:val="007B0228"/>
    <w:rsid w:val="007B26AB"/>
    <w:rsid w:val="007B3282"/>
    <w:rsid w:val="007B32BF"/>
    <w:rsid w:val="007B7DCC"/>
    <w:rsid w:val="007C0BDE"/>
    <w:rsid w:val="007C0E29"/>
    <w:rsid w:val="007C29C3"/>
    <w:rsid w:val="007C2E93"/>
    <w:rsid w:val="007C3B27"/>
    <w:rsid w:val="007C4817"/>
    <w:rsid w:val="007C5B30"/>
    <w:rsid w:val="007C66B3"/>
    <w:rsid w:val="007C6869"/>
    <w:rsid w:val="007C6B7C"/>
    <w:rsid w:val="007D4305"/>
    <w:rsid w:val="007D4614"/>
    <w:rsid w:val="007D68B2"/>
    <w:rsid w:val="007D7B48"/>
    <w:rsid w:val="007E1DC9"/>
    <w:rsid w:val="007E2C31"/>
    <w:rsid w:val="007E3F22"/>
    <w:rsid w:val="007E4794"/>
    <w:rsid w:val="007E5862"/>
    <w:rsid w:val="007E7BEB"/>
    <w:rsid w:val="007F01C0"/>
    <w:rsid w:val="007F0F99"/>
    <w:rsid w:val="007F1626"/>
    <w:rsid w:val="007F3259"/>
    <w:rsid w:val="007F3768"/>
    <w:rsid w:val="007F4E78"/>
    <w:rsid w:val="007F5265"/>
    <w:rsid w:val="007F56FF"/>
    <w:rsid w:val="007F68B3"/>
    <w:rsid w:val="007F6A57"/>
    <w:rsid w:val="007F7BCC"/>
    <w:rsid w:val="007F7E0C"/>
    <w:rsid w:val="00802CDB"/>
    <w:rsid w:val="008037C7"/>
    <w:rsid w:val="0080554F"/>
    <w:rsid w:val="00806276"/>
    <w:rsid w:val="00807AF7"/>
    <w:rsid w:val="00807CAF"/>
    <w:rsid w:val="00810DA9"/>
    <w:rsid w:val="008127E6"/>
    <w:rsid w:val="0081290A"/>
    <w:rsid w:val="008154F8"/>
    <w:rsid w:val="00820071"/>
    <w:rsid w:val="00820E85"/>
    <w:rsid w:val="00821A98"/>
    <w:rsid w:val="00823371"/>
    <w:rsid w:val="008235B8"/>
    <w:rsid w:val="008244E4"/>
    <w:rsid w:val="008249A0"/>
    <w:rsid w:val="008256E0"/>
    <w:rsid w:val="00826FE4"/>
    <w:rsid w:val="00827BA7"/>
    <w:rsid w:val="008300B9"/>
    <w:rsid w:val="00831307"/>
    <w:rsid w:val="008349B9"/>
    <w:rsid w:val="00834ADC"/>
    <w:rsid w:val="00834FC2"/>
    <w:rsid w:val="00840B58"/>
    <w:rsid w:val="008449D1"/>
    <w:rsid w:val="008452AB"/>
    <w:rsid w:val="00845AE3"/>
    <w:rsid w:val="008510EC"/>
    <w:rsid w:val="00852238"/>
    <w:rsid w:val="00852B11"/>
    <w:rsid w:val="00854EFA"/>
    <w:rsid w:val="008556E9"/>
    <w:rsid w:val="008567B8"/>
    <w:rsid w:val="00856F2B"/>
    <w:rsid w:val="0085795D"/>
    <w:rsid w:val="0086118F"/>
    <w:rsid w:val="00862964"/>
    <w:rsid w:val="0086356B"/>
    <w:rsid w:val="00863BAA"/>
    <w:rsid w:val="0086450E"/>
    <w:rsid w:val="00864AFB"/>
    <w:rsid w:val="008674B1"/>
    <w:rsid w:val="0087215E"/>
    <w:rsid w:val="00873150"/>
    <w:rsid w:val="00876055"/>
    <w:rsid w:val="008773D9"/>
    <w:rsid w:val="00877A82"/>
    <w:rsid w:val="00880C7C"/>
    <w:rsid w:val="00884033"/>
    <w:rsid w:val="008852EB"/>
    <w:rsid w:val="0088598F"/>
    <w:rsid w:val="00885D9E"/>
    <w:rsid w:val="00886122"/>
    <w:rsid w:val="0089021D"/>
    <w:rsid w:val="008947FA"/>
    <w:rsid w:val="008950FC"/>
    <w:rsid w:val="00895142"/>
    <w:rsid w:val="008972C2"/>
    <w:rsid w:val="008A0C51"/>
    <w:rsid w:val="008A22AC"/>
    <w:rsid w:val="008A2589"/>
    <w:rsid w:val="008A3440"/>
    <w:rsid w:val="008A3491"/>
    <w:rsid w:val="008A4F0E"/>
    <w:rsid w:val="008A50C8"/>
    <w:rsid w:val="008A57B7"/>
    <w:rsid w:val="008B0347"/>
    <w:rsid w:val="008B2E36"/>
    <w:rsid w:val="008B7EB7"/>
    <w:rsid w:val="008C0144"/>
    <w:rsid w:val="008C0B9D"/>
    <w:rsid w:val="008C1874"/>
    <w:rsid w:val="008C6665"/>
    <w:rsid w:val="008C6680"/>
    <w:rsid w:val="008C6860"/>
    <w:rsid w:val="008D05AD"/>
    <w:rsid w:val="008D064F"/>
    <w:rsid w:val="008D14C4"/>
    <w:rsid w:val="008D2636"/>
    <w:rsid w:val="008D2DED"/>
    <w:rsid w:val="008D4262"/>
    <w:rsid w:val="008D4286"/>
    <w:rsid w:val="008D4A74"/>
    <w:rsid w:val="008D4D85"/>
    <w:rsid w:val="008D5140"/>
    <w:rsid w:val="008D565A"/>
    <w:rsid w:val="008E00BA"/>
    <w:rsid w:val="008E0610"/>
    <w:rsid w:val="008E2171"/>
    <w:rsid w:val="008E6951"/>
    <w:rsid w:val="008F025C"/>
    <w:rsid w:val="008F0C14"/>
    <w:rsid w:val="008F0F1E"/>
    <w:rsid w:val="008F0F72"/>
    <w:rsid w:val="008F3065"/>
    <w:rsid w:val="008F565D"/>
    <w:rsid w:val="008F5994"/>
    <w:rsid w:val="008F6198"/>
    <w:rsid w:val="008F65DF"/>
    <w:rsid w:val="008F6672"/>
    <w:rsid w:val="00900148"/>
    <w:rsid w:val="009002BC"/>
    <w:rsid w:val="009042B7"/>
    <w:rsid w:val="00905099"/>
    <w:rsid w:val="0090553D"/>
    <w:rsid w:val="00907285"/>
    <w:rsid w:val="009103B2"/>
    <w:rsid w:val="009141DA"/>
    <w:rsid w:val="0091594C"/>
    <w:rsid w:val="00915AAD"/>
    <w:rsid w:val="0091644E"/>
    <w:rsid w:val="009202CA"/>
    <w:rsid w:val="00923FD9"/>
    <w:rsid w:val="00925B3E"/>
    <w:rsid w:val="00925D64"/>
    <w:rsid w:val="009262A0"/>
    <w:rsid w:val="0092693A"/>
    <w:rsid w:val="00927212"/>
    <w:rsid w:val="0093017D"/>
    <w:rsid w:val="00933328"/>
    <w:rsid w:val="00933FF5"/>
    <w:rsid w:val="0094012B"/>
    <w:rsid w:val="009405C8"/>
    <w:rsid w:val="00940FB5"/>
    <w:rsid w:val="00942BDD"/>
    <w:rsid w:val="00942F13"/>
    <w:rsid w:val="00945398"/>
    <w:rsid w:val="00945CE4"/>
    <w:rsid w:val="009469B0"/>
    <w:rsid w:val="0095083A"/>
    <w:rsid w:val="00950DCC"/>
    <w:rsid w:val="00950E27"/>
    <w:rsid w:val="00950FF4"/>
    <w:rsid w:val="009521AA"/>
    <w:rsid w:val="00952D1B"/>
    <w:rsid w:val="00953737"/>
    <w:rsid w:val="00953A24"/>
    <w:rsid w:val="009559DE"/>
    <w:rsid w:val="00956F75"/>
    <w:rsid w:val="0096129A"/>
    <w:rsid w:val="00963E56"/>
    <w:rsid w:val="00970EA1"/>
    <w:rsid w:val="0097211C"/>
    <w:rsid w:val="00972DC8"/>
    <w:rsid w:val="00973AAE"/>
    <w:rsid w:val="00973CFC"/>
    <w:rsid w:val="00974D61"/>
    <w:rsid w:val="00976F18"/>
    <w:rsid w:val="00981EA7"/>
    <w:rsid w:val="009826D9"/>
    <w:rsid w:val="009833E8"/>
    <w:rsid w:val="00983ADF"/>
    <w:rsid w:val="0098423E"/>
    <w:rsid w:val="00984562"/>
    <w:rsid w:val="00985B87"/>
    <w:rsid w:val="00986993"/>
    <w:rsid w:val="009875D3"/>
    <w:rsid w:val="00990950"/>
    <w:rsid w:val="00991912"/>
    <w:rsid w:val="00994C52"/>
    <w:rsid w:val="00994E2B"/>
    <w:rsid w:val="0099617E"/>
    <w:rsid w:val="00997D7A"/>
    <w:rsid w:val="009A32D5"/>
    <w:rsid w:val="009A371D"/>
    <w:rsid w:val="009A5344"/>
    <w:rsid w:val="009A613A"/>
    <w:rsid w:val="009B067B"/>
    <w:rsid w:val="009B3CDE"/>
    <w:rsid w:val="009B4F49"/>
    <w:rsid w:val="009B640D"/>
    <w:rsid w:val="009B69A0"/>
    <w:rsid w:val="009C0A79"/>
    <w:rsid w:val="009C0C58"/>
    <w:rsid w:val="009C1641"/>
    <w:rsid w:val="009C1815"/>
    <w:rsid w:val="009C1E45"/>
    <w:rsid w:val="009C460A"/>
    <w:rsid w:val="009C4A93"/>
    <w:rsid w:val="009C4F37"/>
    <w:rsid w:val="009C7212"/>
    <w:rsid w:val="009D02F1"/>
    <w:rsid w:val="009D07AB"/>
    <w:rsid w:val="009D1DE2"/>
    <w:rsid w:val="009D1DF4"/>
    <w:rsid w:val="009D26B5"/>
    <w:rsid w:val="009D2780"/>
    <w:rsid w:val="009D3861"/>
    <w:rsid w:val="009D3CC0"/>
    <w:rsid w:val="009D43AA"/>
    <w:rsid w:val="009D5101"/>
    <w:rsid w:val="009D5275"/>
    <w:rsid w:val="009D6873"/>
    <w:rsid w:val="009D6E5C"/>
    <w:rsid w:val="009D7296"/>
    <w:rsid w:val="009D7626"/>
    <w:rsid w:val="009E120A"/>
    <w:rsid w:val="009E2358"/>
    <w:rsid w:val="009E3A35"/>
    <w:rsid w:val="009E48A6"/>
    <w:rsid w:val="009E61BA"/>
    <w:rsid w:val="009E720B"/>
    <w:rsid w:val="009E7F94"/>
    <w:rsid w:val="009F1296"/>
    <w:rsid w:val="009F498F"/>
    <w:rsid w:val="009F5158"/>
    <w:rsid w:val="009F59A9"/>
    <w:rsid w:val="009F7573"/>
    <w:rsid w:val="009F7B3A"/>
    <w:rsid w:val="00A05FC7"/>
    <w:rsid w:val="00A06048"/>
    <w:rsid w:val="00A07E95"/>
    <w:rsid w:val="00A10509"/>
    <w:rsid w:val="00A124AD"/>
    <w:rsid w:val="00A12A23"/>
    <w:rsid w:val="00A1483B"/>
    <w:rsid w:val="00A14CF1"/>
    <w:rsid w:val="00A14DB9"/>
    <w:rsid w:val="00A16B9A"/>
    <w:rsid w:val="00A17357"/>
    <w:rsid w:val="00A17904"/>
    <w:rsid w:val="00A21007"/>
    <w:rsid w:val="00A212E5"/>
    <w:rsid w:val="00A214DD"/>
    <w:rsid w:val="00A21FFC"/>
    <w:rsid w:val="00A248DE"/>
    <w:rsid w:val="00A37833"/>
    <w:rsid w:val="00A37B0D"/>
    <w:rsid w:val="00A37EC9"/>
    <w:rsid w:val="00A37FA9"/>
    <w:rsid w:val="00A41658"/>
    <w:rsid w:val="00A42D6A"/>
    <w:rsid w:val="00A43278"/>
    <w:rsid w:val="00A51635"/>
    <w:rsid w:val="00A51B1C"/>
    <w:rsid w:val="00A52293"/>
    <w:rsid w:val="00A54E30"/>
    <w:rsid w:val="00A55AEF"/>
    <w:rsid w:val="00A56791"/>
    <w:rsid w:val="00A57D6E"/>
    <w:rsid w:val="00A6243A"/>
    <w:rsid w:val="00A63352"/>
    <w:rsid w:val="00A65C90"/>
    <w:rsid w:val="00A66E27"/>
    <w:rsid w:val="00A672F3"/>
    <w:rsid w:val="00A71698"/>
    <w:rsid w:val="00A720FE"/>
    <w:rsid w:val="00A74266"/>
    <w:rsid w:val="00A76220"/>
    <w:rsid w:val="00A77C8F"/>
    <w:rsid w:val="00A82462"/>
    <w:rsid w:val="00A82800"/>
    <w:rsid w:val="00A83EC2"/>
    <w:rsid w:val="00A84318"/>
    <w:rsid w:val="00A85BCD"/>
    <w:rsid w:val="00A86E65"/>
    <w:rsid w:val="00A904CC"/>
    <w:rsid w:val="00A9111B"/>
    <w:rsid w:val="00A92B9A"/>
    <w:rsid w:val="00A94C34"/>
    <w:rsid w:val="00A96B4F"/>
    <w:rsid w:val="00AA128B"/>
    <w:rsid w:val="00AA3F38"/>
    <w:rsid w:val="00AA40C5"/>
    <w:rsid w:val="00AA5AED"/>
    <w:rsid w:val="00AA68A2"/>
    <w:rsid w:val="00AA77DD"/>
    <w:rsid w:val="00AB1BAE"/>
    <w:rsid w:val="00AB1EF8"/>
    <w:rsid w:val="00AB2081"/>
    <w:rsid w:val="00AB384C"/>
    <w:rsid w:val="00AB3E61"/>
    <w:rsid w:val="00AB40DB"/>
    <w:rsid w:val="00AB4E0E"/>
    <w:rsid w:val="00AB6952"/>
    <w:rsid w:val="00AB7180"/>
    <w:rsid w:val="00AC28E3"/>
    <w:rsid w:val="00AC342B"/>
    <w:rsid w:val="00AC68FB"/>
    <w:rsid w:val="00AD09E9"/>
    <w:rsid w:val="00AD1707"/>
    <w:rsid w:val="00AD1889"/>
    <w:rsid w:val="00AD4CA5"/>
    <w:rsid w:val="00AD6594"/>
    <w:rsid w:val="00AE0466"/>
    <w:rsid w:val="00AE701D"/>
    <w:rsid w:val="00AF7CA7"/>
    <w:rsid w:val="00B0044A"/>
    <w:rsid w:val="00B00A00"/>
    <w:rsid w:val="00B04D77"/>
    <w:rsid w:val="00B04FFA"/>
    <w:rsid w:val="00B055B2"/>
    <w:rsid w:val="00B07437"/>
    <w:rsid w:val="00B109E2"/>
    <w:rsid w:val="00B14206"/>
    <w:rsid w:val="00B21FB5"/>
    <w:rsid w:val="00B222CB"/>
    <w:rsid w:val="00B2244A"/>
    <w:rsid w:val="00B22C29"/>
    <w:rsid w:val="00B22DDD"/>
    <w:rsid w:val="00B23B8D"/>
    <w:rsid w:val="00B261F9"/>
    <w:rsid w:val="00B266B2"/>
    <w:rsid w:val="00B30BB6"/>
    <w:rsid w:val="00B31937"/>
    <w:rsid w:val="00B321E2"/>
    <w:rsid w:val="00B353DE"/>
    <w:rsid w:val="00B359BB"/>
    <w:rsid w:val="00B405D0"/>
    <w:rsid w:val="00B45D5D"/>
    <w:rsid w:val="00B46D0E"/>
    <w:rsid w:val="00B46DA0"/>
    <w:rsid w:val="00B50285"/>
    <w:rsid w:val="00B50E69"/>
    <w:rsid w:val="00B55E4E"/>
    <w:rsid w:val="00B61578"/>
    <w:rsid w:val="00B61579"/>
    <w:rsid w:val="00B61C0F"/>
    <w:rsid w:val="00B61F5C"/>
    <w:rsid w:val="00B61F6A"/>
    <w:rsid w:val="00B63E2D"/>
    <w:rsid w:val="00B63E3B"/>
    <w:rsid w:val="00B65B2B"/>
    <w:rsid w:val="00B66284"/>
    <w:rsid w:val="00B713D7"/>
    <w:rsid w:val="00B71CB8"/>
    <w:rsid w:val="00B720D3"/>
    <w:rsid w:val="00B74DF6"/>
    <w:rsid w:val="00B75770"/>
    <w:rsid w:val="00B75844"/>
    <w:rsid w:val="00B80066"/>
    <w:rsid w:val="00B810FF"/>
    <w:rsid w:val="00B813C9"/>
    <w:rsid w:val="00B819C0"/>
    <w:rsid w:val="00B826BB"/>
    <w:rsid w:val="00B832B4"/>
    <w:rsid w:val="00B85DD7"/>
    <w:rsid w:val="00B86982"/>
    <w:rsid w:val="00B91E50"/>
    <w:rsid w:val="00B97072"/>
    <w:rsid w:val="00BA1264"/>
    <w:rsid w:val="00BA1C36"/>
    <w:rsid w:val="00BA1DD0"/>
    <w:rsid w:val="00BA3F05"/>
    <w:rsid w:val="00BA4044"/>
    <w:rsid w:val="00BA51CB"/>
    <w:rsid w:val="00BA57F7"/>
    <w:rsid w:val="00BA6403"/>
    <w:rsid w:val="00BA6DA3"/>
    <w:rsid w:val="00BA7189"/>
    <w:rsid w:val="00BA73A5"/>
    <w:rsid w:val="00BB16AB"/>
    <w:rsid w:val="00BB17CD"/>
    <w:rsid w:val="00BB245D"/>
    <w:rsid w:val="00BB665F"/>
    <w:rsid w:val="00BC0324"/>
    <w:rsid w:val="00BC2E98"/>
    <w:rsid w:val="00BC3750"/>
    <w:rsid w:val="00BC57A1"/>
    <w:rsid w:val="00BC5DDA"/>
    <w:rsid w:val="00BD0FEA"/>
    <w:rsid w:val="00BD0FFD"/>
    <w:rsid w:val="00BD26E0"/>
    <w:rsid w:val="00BD293D"/>
    <w:rsid w:val="00BD31FB"/>
    <w:rsid w:val="00BD5BC7"/>
    <w:rsid w:val="00BE1722"/>
    <w:rsid w:val="00BE2735"/>
    <w:rsid w:val="00BE48BE"/>
    <w:rsid w:val="00BE4B5D"/>
    <w:rsid w:val="00BE627F"/>
    <w:rsid w:val="00BF01C3"/>
    <w:rsid w:val="00BF02C3"/>
    <w:rsid w:val="00BF0839"/>
    <w:rsid w:val="00BF0FC6"/>
    <w:rsid w:val="00BF1E0F"/>
    <w:rsid w:val="00BF2095"/>
    <w:rsid w:val="00BF28DE"/>
    <w:rsid w:val="00BF2DA5"/>
    <w:rsid w:val="00BF3AD5"/>
    <w:rsid w:val="00BF4AE4"/>
    <w:rsid w:val="00BF5086"/>
    <w:rsid w:val="00BF58F2"/>
    <w:rsid w:val="00BF5F55"/>
    <w:rsid w:val="00BF6296"/>
    <w:rsid w:val="00BF7723"/>
    <w:rsid w:val="00BF79CB"/>
    <w:rsid w:val="00BF7F74"/>
    <w:rsid w:val="00C04B47"/>
    <w:rsid w:val="00C04B68"/>
    <w:rsid w:val="00C060D6"/>
    <w:rsid w:val="00C11967"/>
    <w:rsid w:val="00C11BA9"/>
    <w:rsid w:val="00C11CE1"/>
    <w:rsid w:val="00C14919"/>
    <w:rsid w:val="00C1493E"/>
    <w:rsid w:val="00C15294"/>
    <w:rsid w:val="00C163FF"/>
    <w:rsid w:val="00C1797A"/>
    <w:rsid w:val="00C21039"/>
    <w:rsid w:val="00C22871"/>
    <w:rsid w:val="00C2478C"/>
    <w:rsid w:val="00C24E27"/>
    <w:rsid w:val="00C25084"/>
    <w:rsid w:val="00C255D0"/>
    <w:rsid w:val="00C26042"/>
    <w:rsid w:val="00C266F1"/>
    <w:rsid w:val="00C31016"/>
    <w:rsid w:val="00C33B9D"/>
    <w:rsid w:val="00C3407A"/>
    <w:rsid w:val="00C34E55"/>
    <w:rsid w:val="00C355B0"/>
    <w:rsid w:val="00C35ACF"/>
    <w:rsid w:val="00C3660B"/>
    <w:rsid w:val="00C37B59"/>
    <w:rsid w:val="00C409A3"/>
    <w:rsid w:val="00C4116C"/>
    <w:rsid w:val="00C43594"/>
    <w:rsid w:val="00C45DB9"/>
    <w:rsid w:val="00C45DEF"/>
    <w:rsid w:val="00C4680C"/>
    <w:rsid w:val="00C46CF6"/>
    <w:rsid w:val="00C474B8"/>
    <w:rsid w:val="00C50887"/>
    <w:rsid w:val="00C51177"/>
    <w:rsid w:val="00C521E9"/>
    <w:rsid w:val="00C537EC"/>
    <w:rsid w:val="00C53E01"/>
    <w:rsid w:val="00C543C0"/>
    <w:rsid w:val="00C54C0B"/>
    <w:rsid w:val="00C5522C"/>
    <w:rsid w:val="00C61556"/>
    <w:rsid w:val="00C6454E"/>
    <w:rsid w:val="00C66D1E"/>
    <w:rsid w:val="00C6787E"/>
    <w:rsid w:val="00C710DD"/>
    <w:rsid w:val="00C71746"/>
    <w:rsid w:val="00C7200E"/>
    <w:rsid w:val="00C7318C"/>
    <w:rsid w:val="00C74533"/>
    <w:rsid w:val="00C74B91"/>
    <w:rsid w:val="00C75BB6"/>
    <w:rsid w:val="00C762CB"/>
    <w:rsid w:val="00C77074"/>
    <w:rsid w:val="00C82739"/>
    <w:rsid w:val="00C82C11"/>
    <w:rsid w:val="00C82CEC"/>
    <w:rsid w:val="00C8321C"/>
    <w:rsid w:val="00C83BC9"/>
    <w:rsid w:val="00C83D2E"/>
    <w:rsid w:val="00C83F3D"/>
    <w:rsid w:val="00C8432B"/>
    <w:rsid w:val="00C86968"/>
    <w:rsid w:val="00C86A7C"/>
    <w:rsid w:val="00C870AF"/>
    <w:rsid w:val="00C87F63"/>
    <w:rsid w:val="00C9135D"/>
    <w:rsid w:val="00C91671"/>
    <w:rsid w:val="00C919E2"/>
    <w:rsid w:val="00C932FC"/>
    <w:rsid w:val="00C9550F"/>
    <w:rsid w:val="00C95727"/>
    <w:rsid w:val="00C95793"/>
    <w:rsid w:val="00C97E4E"/>
    <w:rsid w:val="00CA0847"/>
    <w:rsid w:val="00CA0D11"/>
    <w:rsid w:val="00CA0D50"/>
    <w:rsid w:val="00CA170A"/>
    <w:rsid w:val="00CA17D5"/>
    <w:rsid w:val="00CA4004"/>
    <w:rsid w:val="00CA596C"/>
    <w:rsid w:val="00CB02EF"/>
    <w:rsid w:val="00CB095C"/>
    <w:rsid w:val="00CB0EEF"/>
    <w:rsid w:val="00CB78A2"/>
    <w:rsid w:val="00CB7A49"/>
    <w:rsid w:val="00CC18F5"/>
    <w:rsid w:val="00CC21DA"/>
    <w:rsid w:val="00CC2B06"/>
    <w:rsid w:val="00CC2BBE"/>
    <w:rsid w:val="00CC781E"/>
    <w:rsid w:val="00CC7E9F"/>
    <w:rsid w:val="00CD31C4"/>
    <w:rsid w:val="00CD3C39"/>
    <w:rsid w:val="00CD3FC8"/>
    <w:rsid w:val="00CD469E"/>
    <w:rsid w:val="00CD54AB"/>
    <w:rsid w:val="00CD56D5"/>
    <w:rsid w:val="00CD5743"/>
    <w:rsid w:val="00CD6D58"/>
    <w:rsid w:val="00CD6E77"/>
    <w:rsid w:val="00CD709E"/>
    <w:rsid w:val="00CD76A3"/>
    <w:rsid w:val="00CE0057"/>
    <w:rsid w:val="00CE70B2"/>
    <w:rsid w:val="00CF032F"/>
    <w:rsid w:val="00CF08E5"/>
    <w:rsid w:val="00CF09ED"/>
    <w:rsid w:val="00CF0BA0"/>
    <w:rsid w:val="00CF20C5"/>
    <w:rsid w:val="00CF3A78"/>
    <w:rsid w:val="00CF598B"/>
    <w:rsid w:val="00CF6597"/>
    <w:rsid w:val="00CF7273"/>
    <w:rsid w:val="00CF7C4A"/>
    <w:rsid w:val="00D02838"/>
    <w:rsid w:val="00D02BC5"/>
    <w:rsid w:val="00D03761"/>
    <w:rsid w:val="00D03E71"/>
    <w:rsid w:val="00D044F5"/>
    <w:rsid w:val="00D04593"/>
    <w:rsid w:val="00D06518"/>
    <w:rsid w:val="00D075D0"/>
    <w:rsid w:val="00D118AE"/>
    <w:rsid w:val="00D11EED"/>
    <w:rsid w:val="00D13B6C"/>
    <w:rsid w:val="00D156DA"/>
    <w:rsid w:val="00D15B53"/>
    <w:rsid w:val="00D162A9"/>
    <w:rsid w:val="00D16ED7"/>
    <w:rsid w:val="00D17F09"/>
    <w:rsid w:val="00D20A9F"/>
    <w:rsid w:val="00D20C0E"/>
    <w:rsid w:val="00D21691"/>
    <w:rsid w:val="00D23640"/>
    <w:rsid w:val="00D25D99"/>
    <w:rsid w:val="00D26C7D"/>
    <w:rsid w:val="00D26D91"/>
    <w:rsid w:val="00D27725"/>
    <w:rsid w:val="00D27894"/>
    <w:rsid w:val="00D27ED4"/>
    <w:rsid w:val="00D36A3A"/>
    <w:rsid w:val="00D40CCC"/>
    <w:rsid w:val="00D44A26"/>
    <w:rsid w:val="00D4556E"/>
    <w:rsid w:val="00D46839"/>
    <w:rsid w:val="00D514B2"/>
    <w:rsid w:val="00D524B3"/>
    <w:rsid w:val="00D52EE1"/>
    <w:rsid w:val="00D5419F"/>
    <w:rsid w:val="00D54ECD"/>
    <w:rsid w:val="00D573D6"/>
    <w:rsid w:val="00D57B5A"/>
    <w:rsid w:val="00D60773"/>
    <w:rsid w:val="00D635C8"/>
    <w:rsid w:val="00D63A97"/>
    <w:rsid w:val="00D63B3F"/>
    <w:rsid w:val="00D64888"/>
    <w:rsid w:val="00D64902"/>
    <w:rsid w:val="00D64EC3"/>
    <w:rsid w:val="00D64FC3"/>
    <w:rsid w:val="00D6634D"/>
    <w:rsid w:val="00D66ECF"/>
    <w:rsid w:val="00D722E5"/>
    <w:rsid w:val="00D735D6"/>
    <w:rsid w:val="00D7488B"/>
    <w:rsid w:val="00D74F81"/>
    <w:rsid w:val="00D762DE"/>
    <w:rsid w:val="00D77CDB"/>
    <w:rsid w:val="00D839B6"/>
    <w:rsid w:val="00D83E37"/>
    <w:rsid w:val="00D87443"/>
    <w:rsid w:val="00D90069"/>
    <w:rsid w:val="00D90654"/>
    <w:rsid w:val="00D90954"/>
    <w:rsid w:val="00D90B54"/>
    <w:rsid w:val="00D917A4"/>
    <w:rsid w:val="00D9417A"/>
    <w:rsid w:val="00D96C15"/>
    <w:rsid w:val="00D97AF9"/>
    <w:rsid w:val="00DA2BD6"/>
    <w:rsid w:val="00DA4DD3"/>
    <w:rsid w:val="00DA5339"/>
    <w:rsid w:val="00DA5EE4"/>
    <w:rsid w:val="00DA7CB3"/>
    <w:rsid w:val="00DB019A"/>
    <w:rsid w:val="00DB2611"/>
    <w:rsid w:val="00DB3160"/>
    <w:rsid w:val="00DB3311"/>
    <w:rsid w:val="00DB5086"/>
    <w:rsid w:val="00DB5854"/>
    <w:rsid w:val="00DB6E55"/>
    <w:rsid w:val="00DB7C7E"/>
    <w:rsid w:val="00DB7DBA"/>
    <w:rsid w:val="00DC0D21"/>
    <w:rsid w:val="00DC1488"/>
    <w:rsid w:val="00DC178C"/>
    <w:rsid w:val="00DC41FE"/>
    <w:rsid w:val="00DC4C8F"/>
    <w:rsid w:val="00DC5D2B"/>
    <w:rsid w:val="00DC6EA7"/>
    <w:rsid w:val="00DD0C58"/>
    <w:rsid w:val="00DD12BC"/>
    <w:rsid w:val="00DD2277"/>
    <w:rsid w:val="00DD31D1"/>
    <w:rsid w:val="00DD366D"/>
    <w:rsid w:val="00DD41FE"/>
    <w:rsid w:val="00DD4886"/>
    <w:rsid w:val="00DD4AFD"/>
    <w:rsid w:val="00DD4BBD"/>
    <w:rsid w:val="00DD5603"/>
    <w:rsid w:val="00DD58EC"/>
    <w:rsid w:val="00DE0F00"/>
    <w:rsid w:val="00DE1FEB"/>
    <w:rsid w:val="00DE2836"/>
    <w:rsid w:val="00DE2A82"/>
    <w:rsid w:val="00DE3EA2"/>
    <w:rsid w:val="00DE7963"/>
    <w:rsid w:val="00DF124E"/>
    <w:rsid w:val="00DF1E65"/>
    <w:rsid w:val="00DF24B3"/>
    <w:rsid w:val="00DF24CD"/>
    <w:rsid w:val="00DF2BF0"/>
    <w:rsid w:val="00DF3324"/>
    <w:rsid w:val="00DF4A2A"/>
    <w:rsid w:val="00DF50DE"/>
    <w:rsid w:val="00DF6901"/>
    <w:rsid w:val="00DF7061"/>
    <w:rsid w:val="00E00A65"/>
    <w:rsid w:val="00E00C9B"/>
    <w:rsid w:val="00E03A80"/>
    <w:rsid w:val="00E042AE"/>
    <w:rsid w:val="00E047A6"/>
    <w:rsid w:val="00E0485B"/>
    <w:rsid w:val="00E061E2"/>
    <w:rsid w:val="00E10368"/>
    <w:rsid w:val="00E10BED"/>
    <w:rsid w:val="00E10EB8"/>
    <w:rsid w:val="00E11C9B"/>
    <w:rsid w:val="00E13A83"/>
    <w:rsid w:val="00E14A71"/>
    <w:rsid w:val="00E14B1F"/>
    <w:rsid w:val="00E16030"/>
    <w:rsid w:val="00E171CE"/>
    <w:rsid w:val="00E17B44"/>
    <w:rsid w:val="00E20091"/>
    <w:rsid w:val="00E20C65"/>
    <w:rsid w:val="00E21A25"/>
    <w:rsid w:val="00E22A5A"/>
    <w:rsid w:val="00E23044"/>
    <w:rsid w:val="00E23C7A"/>
    <w:rsid w:val="00E25F34"/>
    <w:rsid w:val="00E265D8"/>
    <w:rsid w:val="00E26EE5"/>
    <w:rsid w:val="00E27D7E"/>
    <w:rsid w:val="00E301BA"/>
    <w:rsid w:val="00E30C83"/>
    <w:rsid w:val="00E30EDE"/>
    <w:rsid w:val="00E312AE"/>
    <w:rsid w:val="00E33415"/>
    <w:rsid w:val="00E3379B"/>
    <w:rsid w:val="00E34F1B"/>
    <w:rsid w:val="00E3560E"/>
    <w:rsid w:val="00E35BF3"/>
    <w:rsid w:val="00E37B8C"/>
    <w:rsid w:val="00E40F02"/>
    <w:rsid w:val="00E43ED6"/>
    <w:rsid w:val="00E4462C"/>
    <w:rsid w:val="00E46EEB"/>
    <w:rsid w:val="00E50376"/>
    <w:rsid w:val="00E5324F"/>
    <w:rsid w:val="00E54944"/>
    <w:rsid w:val="00E54D06"/>
    <w:rsid w:val="00E55B32"/>
    <w:rsid w:val="00E564E0"/>
    <w:rsid w:val="00E64BEF"/>
    <w:rsid w:val="00E64C3A"/>
    <w:rsid w:val="00E70704"/>
    <w:rsid w:val="00E7135C"/>
    <w:rsid w:val="00E7173C"/>
    <w:rsid w:val="00E724AA"/>
    <w:rsid w:val="00E73041"/>
    <w:rsid w:val="00E748A8"/>
    <w:rsid w:val="00E84744"/>
    <w:rsid w:val="00E85EA8"/>
    <w:rsid w:val="00E863BB"/>
    <w:rsid w:val="00E907A9"/>
    <w:rsid w:val="00E91015"/>
    <w:rsid w:val="00E91F2D"/>
    <w:rsid w:val="00E92384"/>
    <w:rsid w:val="00E94E14"/>
    <w:rsid w:val="00E95208"/>
    <w:rsid w:val="00E96497"/>
    <w:rsid w:val="00EA3647"/>
    <w:rsid w:val="00EA5650"/>
    <w:rsid w:val="00EA5ADE"/>
    <w:rsid w:val="00EA7B9E"/>
    <w:rsid w:val="00EB04EC"/>
    <w:rsid w:val="00EB0ADA"/>
    <w:rsid w:val="00EB10E5"/>
    <w:rsid w:val="00EB48A6"/>
    <w:rsid w:val="00EB7E8A"/>
    <w:rsid w:val="00EC1EF0"/>
    <w:rsid w:val="00EC1F8A"/>
    <w:rsid w:val="00EC4E17"/>
    <w:rsid w:val="00EC5126"/>
    <w:rsid w:val="00EC59D5"/>
    <w:rsid w:val="00EC5DB1"/>
    <w:rsid w:val="00ED04BC"/>
    <w:rsid w:val="00ED32AA"/>
    <w:rsid w:val="00ED65A6"/>
    <w:rsid w:val="00EE0F5B"/>
    <w:rsid w:val="00EE287D"/>
    <w:rsid w:val="00EE2AA0"/>
    <w:rsid w:val="00EE325B"/>
    <w:rsid w:val="00EE44DC"/>
    <w:rsid w:val="00EE4EC9"/>
    <w:rsid w:val="00EE597B"/>
    <w:rsid w:val="00EE6BE3"/>
    <w:rsid w:val="00EE6D3D"/>
    <w:rsid w:val="00EF4DD9"/>
    <w:rsid w:val="00EF684D"/>
    <w:rsid w:val="00EF701E"/>
    <w:rsid w:val="00F0030F"/>
    <w:rsid w:val="00F009EE"/>
    <w:rsid w:val="00F062CA"/>
    <w:rsid w:val="00F06E68"/>
    <w:rsid w:val="00F1059F"/>
    <w:rsid w:val="00F10EB7"/>
    <w:rsid w:val="00F10F55"/>
    <w:rsid w:val="00F12AF6"/>
    <w:rsid w:val="00F14F84"/>
    <w:rsid w:val="00F152B4"/>
    <w:rsid w:val="00F15662"/>
    <w:rsid w:val="00F15FAA"/>
    <w:rsid w:val="00F176C8"/>
    <w:rsid w:val="00F21A58"/>
    <w:rsid w:val="00F21D64"/>
    <w:rsid w:val="00F22A96"/>
    <w:rsid w:val="00F249A7"/>
    <w:rsid w:val="00F25AF5"/>
    <w:rsid w:val="00F26376"/>
    <w:rsid w:val="00F275C0"/>
    <w:rsid w:val="00F27870"/>
    <w:rsid w:val="00F30298"/>
    <w:rsid w:val="00F3029E"/>
    <w:rsid w:val="00F31675"/>
    <w:rsid w:val="00F32031"/>
    <w:rsid w:val="00F37124"/>
    <w:rsid w:val="00F371CA"/>
    <w:rsid w:val="00F373CB"/>
    <w:rsid w:val="00F37939"/>
    <w:rsid w:val="00F379B7"/>
    <w:rsid w:val="00F400A4"/>
    <w:rsid w:val="00F4118D"/>
    <w:rsid w:val="00F41E1F"/>
    <w:rsid w:val="00F4577C"/>
    <w:rsid w:val="00F50AF4"/>
    <w:rsid w:val="00F50EE6"/>
    <w:rsid w:val="00F5202A"/>
    <w:rsid w:val="00F5206F"/>
    <w:rsid w:val="00F521CE"/>
    <w:rsid w:val="00F52853"/>
    <w:rsid w:val="00F52EE4"/>
    <w:rsid w:val="00F534CD"/>
    <w:rsid w:val="00F53DBE"/>
    <w:rsid w:val="00F5698F"/>
    <w:rsid w:val="00F61537"/>
    <w:rsid w:val="00F64511"/>
    <w:rsid w:val="00F649F8"/>
    <w:rsid w:val="00F66FB2"/>
    <w:rsid w:val="00F72488"/>
    <w:rsid w:val="00F7269B"/>
    <w:rsid w:val="00F729A5"/>
    <w:rsid w:val="00F72E61"/>
    <w:rsid w:val="00F731CE"/>
    <w:rsid w:val="00F73484"/>
    <w:rsid w:val="00F75564"/>
    <w:rsid w:val="00F75D1D"/>
    <w:rsid w:val="00F7612C"/>
    <w:rsid w:val="00F81216"/>
    <w:rsid w:val="00F816B6"/>
    <w:rsid w:val="00F8251B"/>
    <w:rsid w:val="00F842CC"/>
    <w:rsid w:val="00F85715"/>
    <w:rsid w:val="00F8641B"/>
    <w:rsid w:val="00F877F7"/>
    <w:rsid w:val="00F90285"/>
    <w:rsid w:val="00F907E3"/>
    <w:rsid w:val="00F93A94"/>
    <w:rsid w:val="00F96BA6"/>
    <w:rsid w:val="00FA1603"/>
    <w:rsid w:val="00FA1668"/>
    <w:rsid w:val="00FA27DC"/>
    <w:rsid w:val="00FA2AB7"/>
    <w:rsid w:val="00FA4263"/>
    <w:rsid w:val="00FA4425"/>
    <w:rsid w:val="00FB0D46"/>
    <w:rsid w:val="00FB185F"/>
    <w:rsid w:val="00FB1D44"/>
    <w:rsid w:val="00FB21C7"/>
    <w:rsid w:val="00FB2488"/>
    <w:rsid w:val="00FB3753"/>
    <w:rsid w:val="00FB4DA2"/>
    <w:rsid w:val="00FB5C5D"/>
    <w:rsid w:val="00FB6072"/>
    <w:rsid w:val="00FB768D"/>
    <w:rsid w:val="00FB7BB8"/>
    <w:rsid w:val="00FC0509"/>
    <w:rsid w:val="00FC5B15"/>
    <w:rsid w:val="00FC7204"/>
    <w:rsid w:val="00FD1919"/>
    <w:rsid w:val="00FD2012"/>
    <w:rsid w:val="00FD440F"/>
    <w:rsid w:val="00FD52EF"/>
    <w:rsid w:val="00FD5C00"/>
    <w:rsid w:val="00FD7284"/>
    <w:rsid w:val="00FE176F"/>
    <w:rsid w:val="00FE22B3"/>
    <w:rsid w:val="00FE2EE0"/>
    <w:rsid w:val="00FE4DA6"/>
    <w:rsid w:val="00FE6ED6"/>
    <w:rsid w:val="00FF110C"/>
    <w:rsid w:val="00FF17BA"/>
    <w:rsid w:val="00FF26A5"/>
    <w:rsid w:val="00FF309F"/>
    <w:rsid w:val="00FF4BB3"/>
    <w:rsid w:val="017C3055"/>
    <w:rsid w:val="03733BDF"/>
    <w:rsid w:val="04176582"/>
    <w:rsid w:val="04A40E8E"/>
    <w:rsid w:val="05024D23"/>
    <w:rsid w:val="051259ED"/>
    <w:rsid w:val="07041580"/>
    <w:rsid w:val="089510EA"/>
    <w:rsid w:val="0A9E30AD"/>
    <w:rsid w:val="0AE61576"/>
    <w:rsid w:val="0B557793"/>
    <w:rsid w:val="0BEB3B44"/>
    <w:rsid w:val="0C0644C0"/>
    <w:rsid w:val="0C996B28"/>
    <w:rsid w:val="0CEF3D77"/>
    <w:rsid w:val="11280188"/>
    <w:rsid w:val="115549BF"/>
    <w:rsid w:val="13793DF7"/>
    <w:rsid w:val="14677422"/>
    <w:rsid w:val="16D17434"/>
    <w:rsid w:val="177A220A"/>
    <w:rsid w:val="18D74DC1"/>
    <w:rsid w:val="1AED58EF"/>
    <w:rsid w:val="1E18657E"/>
    <w:rsid w:val="1E9B6F8B"/>
    <w:rsid w:val="1F381552"/>
    <w:rsid w:val="1F3A0BB5"/>
    <w:rsid w:val="1FA92FCB"/>
    <w:rsid w:val="20193BC8"/>
    <w:rsid w:val="207E09A3"/>
    <w:rsid w:val="20FA0231"/>
    <w:rsid w:val="21E64A07"/>
    <w:rsid w:val="220D398C"/>
    <w:rsid w:val="2301566F"/>
    <w:rsid w:val="24296703"/>
    <w:rsid w:val="24D70B68"/>
    <w:rsid w:val="252C5D6F"/>
    <w:rsid w:val="255C6408"/>
    <w:rsid w:val="27EB05C2"/>
    <w:rsid w:val="28270350"/>
    <w:rsid w:val="292511A5"/>
    <w:rsid w:val="2A397C18"/>
    <w:rsid w:val="2A5015D5"/>
    <w:rsid w:val="2C562123"/>
    <w:rsid w:val="2D57343B"/>
    <w:rsid w:val="2D7A3266"/>
    <w:rsid w:val="2DAA4424"/>
    <w:rsid w:val="30542428"/>
    <w:rsid w:val="312513B2"/>
    <w:rsid w:val="31B042BF"/>
    <w:rsid w:val="32035D60"/>
    <w:rsid w:val="33523A32"/>
    <w:rsid w:val="355901E9"/>
    <w:rsid w:val="36D12F43"/>
    <w:rsid w:val="376940D0"/>
    <w:rsid w:val="383348DB"/>
    <w:rsid w:val="384F0E4D"/>
    <w:rsid w:val="3850234F"/>
    <w:rsid w:val="39E946FE"/>
    <w:rsid w:val="3BF71088"/>
    <w:rsid w:val="3C3000ED"/>
    <w:rsid w:val="3D31181A"/>
    <w:rsid w:val="3DC87CB2"/>
    <w:rsid w:val="3EB23B3A"/>
    <w:rsid w:val="3F4F365B"/>
    <w:rsid w:val="4033588E"/>
    <w:rsid w:val="41415EFF"/>
    <w:rsid w:val="41D026B4"/>
    <w:rsid w:val="43210EE4"/>
    <w:rsid w:val="4CE54712"/>
    <w:rsid w:val="4F723AF3"/>
    <w:rsid w:val="542F765C"/>
    <w:rsid w:val="554D13F6"/>
    <w:rsid w:val="563F39C5"/>
    <w:rsid w:val="5644192B"/>
    <w:rsid w:val="567E247E"/>
    <w:rsid w:val="59DA41E0"/>
    <w:rsid w:val="5A3906A0"/>
    <w:rsid w:val="5A9919E3"/>
    <w:rsid w:val="5AA61331"/>
    <w:rsid w:val="5B2A7B0A"/>
    <w:rsid w:val="5B54373E"/>
    <w:rsid w:val="5CE1749F"/>
    <w:rsid w:val="5EE21916"/>
    <w:rsid w:val="5F392F29"/>
    <w:rsid w:val="5F4417E0"/>
    <w:rsid w:val="5F88669E"/>
    <w:rsid w:val="60014888"/>
    <w:rsid w:val="622F04A1"/>
    <w:rsid w:val="62CC631F"/>
    <w:rsid w:val="64741C1C"/>
    <w:rsid w:val="648C064A"/>
    <w:rsid w:val="65377536"/>
    <w:rsid w:val="65554D27"/>
    <w:rsid w:val="656B3097"/>
    <w:rsid w:val="66424F96"/>
    <w:rsid w:val="687951D6"/>
    <w:rsid w:val="689F0967"/>
    <w:rsid w:val="6A072332"/>
    <w:rsid w:val="6A9C2D8E"/>
    <w:rsid w:val="6D3654A5"/>
    <w:rsid w:val="6E3A4187"/>
    <w:rsid w:val="70B412F1"/>
    <w:rsid w:val="71E05719"/>
    <w:rsid w:val="72B56DCF"/>
    <w:rsid w:val="72C715E2"/>
    <w:rsid w:val="740D7DDB"/>
    <w:rsid w:val="74170E85"/>
    <w:rsid w:val="75DB4D9F"/>
    <w:rsid w:val="75DC35E9"/>
    <w:rsid w:val="75F04BA0"/>
    <w:rsid w:val="77C66D83"/>
    <w:rsid w:val="789E6834"/>
    <w:rsid w:val="79EE7A9E"/>
    <w:rsid w:val="7A9B0A7A"/>
    <w:rsid w:val="7AE91D0C"/>
    <w:rsid w:val="7E543E84"/>
    <w:rsid w:val="7EAE75AD"/>
    <w:rsid w:val="7EC90255"/>
    <w:rsid w:val="7ED500D8"/>
    <w:rsid w:val="7FA745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11"/>
    <w:autoRedefine/>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112"/>
    <w:autoRedefine/>
    <w:qFormat/>
    <w:uiPriority w:val="0"/>
    <w:pPr>
      <w:spacing w:line="0" w:lineRule="atLeast"/>
      <w:jc w:val="center"/>
      <w:outlineLvl w:val="1"/>
    </w:pPr>
    <w:rPr>
      <w:kern w:val="0"/>
      <w:sz w:val="28"/>
    </w:rPr>
  </w:style>
  <w:style w:type="paragraph" w:styleId="8">
    <w:name w:val="heading 3"/>
    <w:basedOn w:val="1"/>
    <w:next w:val="1"/>
    <w:link w:val="58"/>
    <w:autoRedefine/>
    <w:qFormat/>
    <w:uiPriority w:val="0"/>
    <w:pPr>
      <w:keepNext/>
      <w:keepLines/>
      <w:spacing w:before="260" w:after="260" w:line="416" w:lineRule="auto"/>
      <w:outlineLvl w:val="2"/>
    </w:pPr>
    <w:rPr>
      <w:b/>
      <w:bCs/>
      <w:sz w:val="32"/>
      <w:szCs w:val="32"/>
    </w:rPr>
  </w:style>
  <w:style w:type="paragraph" w:styleId="9">
    <w:name w:val="heading 4"/>
    <w:basedOn w:val="1"/>
    <w:next w:val="1"/>
    <w:link w:val="100"/>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0">
    <w:name w:val="heading 5"/>
    <w:basedOn w:val="1"/>
    <w:next w:val="1"/>
    <w:link w:val="104"/>
    <w:autoRedefine/>
    <w:semiHidden/>
    <w:unhideWhenUsed/>
    <w:qFormat/>
    <w:uiPriority w:val="9"/>
    <w:pPr>
      <w:keepNext/>
      <w:keepLines/>
      <w:spacing w:before="280" w:after="290" w:line="376" w:lineRule="auto"/>
      <w:outlineLvl w:val="4"/>
    </w:pPr>
    <w:rPr>
      <w:b/>
      <w:bCs/>
      <w:sz w:val="28"/>
      <w:szCs w:val="28"/>
    </w:rPr>
  </w:style>
  <w:style w:type="paragraph" w:styleId="11">
    <w:name w:val="heading 6"/>
    <w:basedOn w:val="1"/>
    <w:next w:val="1"/>
    <w:link w:val="105"/>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0"/>
    </w:rPr>
  </w:style>
  <w:style w:type="paragraph" w:styleId="12">
    <w:name w:val="heading 7"/>
    <w:basedOn w:val="1"/>
    <w:next w:val="1"/>
    <w:link w:val="106"/>
    <w:autoRedefine/>
    <w:qFormat/>
    <w:uiPriority w:val="0"/>
    <w:pPr>
      <w:keepNext/>
      <w:keepLines/>
      <w:widowControl/>
      <w:tabs>
        <w:tab w:val="left" w:pos="2520"/>
      </w:tabs>
      <w:spacing w:before="240" w:after="64" w:line="320" w:lineRule="auto"/>
      <w:ind w:left="1296" w:hanging="1296"/>
      <w:jc w:val="left"/>
      <w:outlineLvl w:val="6"/>
    </w:pPr>
    <w:rPr>
      <w:b/>
      <w:bCs/>
      <w:kern w:val="0"/>
      <w:sz w:val="24"/>
      <w:szCs w:val="20"/>
    </w:rPr>
  </w:style>
  <w:style w:type="paragraph" w:styleId="13">
    <w:name w:val="heading 8"/>
    <w:basedOn w:val="1"/>
    <w:next w:val="1"/>
    <w:link w:val="10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0"/>
    </w:rPr>
  </w:style>
  <w:style w:type="paragraph" w:styleId="14">
    <w:name w:val="heading 9"/>
    <w:basedOn w:val="1"/>
    <w:next w:val="1"/>
    <w:link w:val="108"/>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autoSpaceDE w:val="0"/>
      <w:autoSpaceDN w:val="0"/>
      <w:ind w:firstLine="420" w:firstLineChars="100"/>
      <w:jc w:val="left"/>
    </w:pPr>
    <w:rPr>
      <w:rFonts w:ascii="宋体" w:hAnsi="等线" w:eastAsia="等线" w:cs="宋体"/>
      <w:kern w:val="0"/>
      <w:lang w:val="zh-CN"/>
    </w:rPr>
  </w:style>
  <w:style w:type="paragraph" w:styleId="3">
    <w:name w:val="Body Text"/>
    <w:basedOn w:val="1"/>
    <w:next w:val="1"/>
    <w:link w:val="63"/>
    <w:autoRedefine/>
    <w:qFormat/>
    <w:uiPriority w:val="0"/>
    <w:pPr>
      <w:spacing w:after="120"/>
    </w:pPr>
  </w:style>
  <w:style w:type="paragraph" w:customStyle="1" w:styleId="4">
    <w:name w:val="Body Text First Indent 21"/>
    <w:basedOn w:val="5"/>
    <w:autoRedefine/>
    <w:qFormat/>
    <w:uiPriority w:val="0"/>
    <w:pPr>
      <w:ind w:firstLine="420" w:firstLineChars="200"/>
    </w:pPr>
  </w:style>
  <w:style w:type="paragraph" w:customStyle="1" w:styleId="5">
    <w:name w:val="Body Text Indent1"/>
    <w:basedOn w:val="1"/>
    <w:autoRedefine/>
    <w:qFormat/>
    <w:uiPriority w:val="0"/>
    <w:pPr>
      <w:spacing w:after="120"/>
      <w:ind w:left="420" w:leftChars="200"/>
    </w:pPr>
  </w:style>
  <w:style w:type="paragraph" w:styleId="15">
    <w:name w:val="Normal Indent"/>
    <w:basedOn w:val="1"/>
    <w:autoRedefine/>
    <w:qFormat/>
    <w:uiPriority w:val="0"/>
    <w:pPr>
      <w:ind w:firstLine="420"/>
    </w:pPr>
    <w:rPr>
      <w:szCs w:val="20"/>
    </w:rPr>
  </w:style>
  <w:style w:type="paragraph" w:styleId="16">
    <w:name w:val="caption"/>
    <w:basedOn w:val="1"/>
    <w:next w:val="1"/>
    <w:autoRedefine/>
    <w:qFormat/>
    <w:uiPriority w:val="0"/>
    <w:rPr>
      <w:rFonts w:ascii="Cambria" w:hAnsi="Cambria" w:eastAsia="黑体"/>
      <w:sz w:val="20"/>
    </w:rPr>
  </w:style>
  <w:style w:type="paragraph" w:styleId="17">
    <w:name w:val="List Bullet"/>
    <w:basedOn w:val="1"/>
    <w:autoRedefine/>
    <w:qFormat/>
    <w:uiPriority w:val="0"/>
    <w:pPr>
      <w:numPr>
        <w:ilvl w:val="0"/>
        <w:numId w:val="1"/>
      </w:numPr>
    </w:pPr>
    <w:rPr>
      <w:szCs w:val="20"/>
    </w:rPr>
  </w:style>
  <w:style w:type="paragraph" w:styleId="18">
    <w:name w:val="Document Map"/>
    <w:basedOn w:val="1"/>
    <w:link w:val="66"/>
    <w:autoRedefine/>
    <w:qFormat/>
    <w:uiPriority w:val="0"/>
    <w:rPr>
      <w:rFonts w:ascii="宋体"/>
      <w:sz w:val="18"/>
      <w:szCs w:val="18"/>
    </w:rPr>
  </w:style>
  <w:style w:type="paragraph" w:styleId="19">
    <w:name w:val="annotation text"/>
    <w:basedOn w:val="1"/>
    <w:link w:val="65"/>
    <w:autoRedefine/>
    <w:qFormat/>
    <w:uiPriority w:val="0"/>
    <w:pPr>
      <w:jc w:val="left"/>
    </w:pPr>
  </w:style>
  <w:style w:type="paragraph" w:styleId="20">
    <w:name w:val="Body Text 3"/>
    <w:basedOn w:val="1"/>
    <w:link w:val="127"/>
    <w:autoRedefine/>
    <w:qFormat/>
    <w:uiPriority w:val="0"/>
    <w:pPr>
      <w:spacing w:after="120"/>
    </w:pPr>
    <w:rPr>
      <w:sz w:val="16"/>
      <w:szCs w:val="16"/>
    </w:rPr>
  </w:style>
  <w:style w:type="paragraph" w:styleId="21">
    <w:name w:val="Body Text Indent"/>
    <w:basedOn w:val="1"/>
    <w:next w:val="22"/>
    <w:link w:val="113"/>
    <w:autoRedefine/>
    <w:qFormat/>
    <w:uiPriority w:val="0"/>
    <w:pPr>
      <w:ind w:firstLine="632" w:firstLineChars="200"/>
    </w:pPr>
    <w:rPr>
      <w:rFonts w:ascii="FangSong_GB2312" w:hAnsi="华文楷体" w:eastAsia="FangSong_GB2312"/>
      <w:sz w:val="32"/>
    </w:rPr>
  </w:style>
  <w:style w:type="paragraph" w:styleId="22">
    <w:name w:val="envelope return"/>
    <w:basedOn w:val="1"/>
    <w:autoRedefine/>
    <w:qFormat/>
    <w:uiPriority w:val="99"/>
    <w:pPr>
      <w:snapToGrid w:val="0"/>
    </w:pPr>
    <w:rPr>
      <w:rFonts w:ascii="Arial" w:hAnsi="Arial"/>
    </w:rPr>
  </w:style>
  <w:style w:type="paragraph" w:styleId="23">
    <w:name w:val="List 2"/>
    <w:basedOn w:val="1"/>
    <w:autoRedefine/>
    <w:qFormat/>
    <w:uiPriority w:val="0"/>
    <w:pPr>
      <w:ind w:left="400" w:leftChars="200" w:hanging="200" w:hangingChars="200"/>
    </w:pPr>
  </w:style>
  <w:style w:type="paragraph" w:styleId="24">
    <w:name w:val="List Continue"/>
    <w:basedOn w:val="1"/>
    <w:autoRedefine/>
    <w:qFormat/>
    <w:uiPriority w:val="0"/>
    <w:pPr>
      <w:spacing w:after="120"/>
      <w:ind w:left="420"/>
    </w:pPr>
    <w:rPr>
      <w:rFonts w:eastAsia="KaiTi_GB2312"/>
      <w:sz w:val="32"/>
      <w:szCs w:val="20"/>
    </w:rPr>
  </w:style>
  <w:style w:type="paragraph" w:styleId="25">
    <w:name w:val="Block Text"/>
    <w:basedOn w:val="1"/>
    <w:autoRedefine/>
    <w:qFormat/>
    <w:uiPriority w:val="0"/>
    <w:pPr>
      <w:adjustRightInd w:val="0"/>
      <w:ind w:left="420" w:right="33"/>
      <w:jc w:val="left"/>
      <w:textAlignment w:val="baseline"/>
    </w:pPr>
    <w:rPr>
      <w:kern w:val="0"/>
      <w:sz w:val="24"/>
      <w:szCs w:val="20"/>
    </w:rPr>
  </w:style>
  <w:style w:type="paragraph" w:styleId="26">
    <w:name w:val="toc 3"/>
    <w:basedOn w:val="1"/>
    <w:next w:val="1"/>
    <w:autoRedefine/>
    <w:qFormat/>
    <w:uiPriority w:val="39"/>
    <w:pPr>
      <w:ind w:left="420"/>
      <w:jc w:val="left"/>
    </w:pPr>
    <w:rPr>
      <w:i/>
      <w:iCs/>
      <w:sz w:val="20"/>
      <w:szCs w:val="20"/>
    </w:rPr>
  </w:style>
  <w:style w:type="paragraph" w:styleId="27">
    <w:name w:val="Plain Text"/>
    <w:basedOn w:val="1"/>
    <w:link w:val="71"/>
    <w:autoRedefine/>
    <w:qFormat/>
    <w:uiPriority w:val="0"/>
    <w:rPr>
      <w:rFonts w:ascii="宋体" w:hAnsi="Courier New"/>
      <w:szCs w:val="20"/>
    </w:rPr>
  </w:style>
  <w:style w:type="paragraph" w:styleId="28">
    <w:name w:val="Date"/>
    <w:basedOn w:val="1"/>
    <w:next w:val="1"/>
    <w:link w:val="67"/>
    <w:autoRedefine/>
    <w:qFormat/>
    <w:uiPriority w:val="0"/>
    <w:pPr>
      <w:ind w:left="100" w:leftChars="2500"/>
    </w:pPr>
  </w:style>
  <w:style w:type="paragraph" w:styleId="29">
    <w:name w:val="Body Text Indent 2"/>
    <w:basedOn w:val="1"/>
    <w:link w:val="114"/>
    <w:autoRedefine/>
    <w:qFormat/>
    <w:uiPriority w:val="0"/>
    <w:pPr>
      <w:spacing w:after="120" w:line="480" w:lineRule="auto"/>
      <w:ind w:left="420" w:leftChars="200"/>
    </w:pPr>
  </w:style>
  <w:style w:type="paragraph" w:styleId="30">
    <w:name w:val="Balloon Text"/>
    <w:basedOn w:val="1"/>
    <w:link w:val="117"/>
    <w:autoRedefine/>
    <w:qFormat/>
    <w:uiPriority w:val="0"/>
    <w:rPr>
      <w:sz w:val="18"/>
      <w:szCs w:val="18"/>
    </w:rPr>
  </w:style>
  <w:style w:type="paragraph" w:styleId="31">
    <w:name w:val="footer"/>
    <w:basedOn w:val="1"/>
    <w:link w:val="89"/>
    <w:autoRedefine/>
    <w:qFormat/>
    <w:uiPriority w:val="99"/>
    <w:pPr>
      <w:tabs>
        <w:tab w:val="center" w:pos="4153"/>
        <w:tab w:val="right" w:pos="8306"/>
      </w:tabs>
      <w:snapToGrid w:val="0"/>
      <w:jc w:val="left"/>
    </w:pPr>
    <w:rPr>
      <w:sz w:val="18"/>
      <w:szCs w:val="18"/>
    </w:rPr>
  </w:style>
  <w:style w:type="paragraph" w:styleId="32">
    <w:name w:val="header"/>
    <w:basedOn w:val="1"/>
    <w:link w:val="88"/>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spacing w:before="120" w:after="120"/>
      <w:jc w:val="left"/>
    </w:pPr>
    <w:rPr>
      <w:caps/>
    </w:rPr>
  </w:style>
  <w:style w:type="paragraph" w:styleId="34">
    <w:name w:val="toc 4"/>
    <w:basedOn w:val="1"/>
    <w:next w:val="1"/>
    <w:autoRedefine/>
    <w:qFormat/>
    <w:uiPriority w:val="39"/>
    <w:pPr>
      <w:ind w:left="630"/>
      <w:jc w:val="left"/>
    </w:pPr>
    <w:rPr>
      <w:sz w:val="18"/>
      <w:szCs w:val="18"/>
    </w:rPr>
  </w:style>
  <w:style w:type="paragraph" w:styleId="35">
    <w:name w:val="List"/>
    <w:basedOn w:val="1"/>
    <w:autoRedefine/>
    <w:qFormat/>
    <w:uiPriority w:val="0"/>
    <w:pPr>
      <w:ind w:left="420" w:hanging="420"/>
    </w:pPr>
    <w:rPr>
      <w:rFonts w:eastAsia="KaiTi_GB2312"/>
      <w:sz w:val="32"/>
      <w:szCs w:val="20"/>
    </w:rPr>
  </w:style>
  <w:style w:type="paragraph" w:styleId="36">
    <w:name w:val="footnote text"/>
    <w:basedOn w:val="1"/>
    <w:link w:val="153"/>
    <w:autoRedefine/>
    <w:qFormat/>
    <w:uiPriority w:val="99"/>
    <w:pPr>
      <w:autoSpaceDE w:val="0"/>
      <w:autoSpaceDN w:val="0"/>
      <w:snapToGrid w:val="0"/>
      <w:jc w:val="left"/>
    </w:pPr>
    <w:rPr>
      <w:rFonts w:ascii="宋体" w:hAnsi="宋体" w:cs="宋体"/>
      <w:kern w:val="0"/>
      <w:sz w:val="18"/>
      <w:szCs w:val="18"/>
      <w:lang w:val="zh-CN" w:bidi="zh-CN"/>
    </w:rPr>
  </w:style>
  <w:style w:type="paragraph" w:styleId="37">
    <w:name w:val="Body Text Indent 3"/>
    <w:basedOn w:val="1"/>
    <w:link w:val="109"/>
    <w:autoRedefine/>
    <w:qFormat/>
    <w:uiPriority w:val="0"/>
    <w:pPr>
      <w:spacing w:line="500" w:lineRule="exact"/>
      <w:ind w:firstLine="660"/>
    </w:pPr>
    <w:rPr>
      <w:rFonts w:ascii="FangSong_GB2312" w:hAnsi="宋体" w:eastAsia="FangSong_GB2312"/>
      <w:color w:val="000000"/>
      <w:sz w:val="28"/>
    </w:rPr>
  </w:style>
  <w:style w:type="paragraph" w:styleId="38">
    <w:name w:val="toc 2"/>
    <w:basedOn w:val="1"/>
    <w:next w:val="1"/>
    <w:autoRedefine/>
    <w:qFormat/>
    <w:uiPriority w:val="39"/>
    <w:pPr>
      <w:tabs>
        <w:tab w:val="right" w:leader="dot" w:pos="9628"/>
      </w:tabs>
      <w:ind w:left="210"/>
      <w:jc w:val="left"/>
    </w:pPr>
    <w:rPr>
      <w:rFonts w:ascii="宋体" w:hAnsi="宋体"/>
      <w:smallCaps/>
      <w:sz w:val="20"/>
      <w:szCs w:val="20"/>
    </w:rPr>
  </w:style>
  <w:style w:type="paragraph" w:styleId="39">
    <w:name w:val="Body Text 2"/>
    <w:basedOn w:val="1"/>
    <w:link w:val="86"/>
    <w:autoRedefine/>
    <w:qFormat/>
    <w:uiPriority w:val="0"/>
    <w:pPr>
      <w:spacing w:after="120" w:line="480" w:lineRule="auto"/>
    </w:pPr>
  </w:style>
  <w:style w:type="paragraph" w:styleId="40">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41">
    <w:name w:val="HTML Preformatted"/>
    <w:basedOn w:val="1"/>
    <w:link w:val="11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43">
    <w:name w:val="annotation subject"/>
    <w:basedOn w:val="19"/>
    <w:next w:val="19"/>
    <w:link w:val="103"/>
    <w:autoRedefine/>
    <w:unhideWhenUsed/>
    <w:qFormat/>
    <w:uiPriority w:val="99"/>
    <w:rPr>
      <w:b/>
      <w:bCs/>
    </w:rPr>
  </w:style>
  <w:style w:type="paragraph" w:styleId="44">
    <w:name w:val="Body Text First Indent"/>
    <w:basedOn w:val="3"/>
    <w:next w:val="45"/>
    <w:link w:val="62"/>
    <w:autoRedefine/>
    <w:qFormat/>
    <w:uiPriority w:val="0"/>
    <w:pPr>
      <w:ind w:firstLine="420" w:firstLineChars="100"/>
    </w:pPr>
  </w:style>
  <w:style w:type="paragraph" w:styleId="45">
    <w:name w:val="Body Text First Indent 2"/>
    <w:basedOn w:val="21"/>
    <w:next w:val="28"/>
    <w:link w:val="101"/>
    <w:autoRedefine/>
    <w:qFormat/>
    <w:uiPriority w:val="99"/>
    <w:pPr>
      <w:tabs>
        <w:tab w:val="left" w:pos="0"/>
        <w:tab w:val="left" w:pos="993"/>
        <w:tab w:val="left" w:pos="1134"/>
      </w:tabs>
      <w:ind w:firstLine="420"/>
    </w:pPr>
  </w:style>
  <w:style w:type="table" w:styleId="47">
    <w:name w:val="Table Grid"/>
    <w:basedOn w:val="4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basedOn w:val="48"/>
    <w:autoRedefine/>
    <w:qFormat/>
    <w:uiPriority w:val="0"/>
    <w:rPr>
      <w:color w:val="000000"/>
      <w:u w:val="none"/>
    </w:rPr>
  </w:style>
  <w:style w:type="character" w:styleId="52">
    <w:name w:val="Hyperlink"/>
    <w:autoRedefine/>
    <w:qFormat/>
    <w:uiPriority w:val="99"/>
    <w:rPr>
      <w:color w:val="333333"/>
      <w:u w:val="none"/>
    </w:rPr>
  </w:style>
  <w:style w:type="character" w:styleId="53">
    <w:name w:val="annotation reference"/>
    <w:autoRedefine/>
    <w:qFormat/>
    <w:uiPriority w:val="99"/>
    <w:rPr>
      <w:sz w:val="21"/>
    </w:rPr>
  </w:style>
  <w:style w:type="paragraph" w:customStyle="1" w:styleId="54">
    <w:name w:val="BodyText1I"/>
    <w:basedOn w:val="55"/>
    <w:autoRedefine/>
    <w:qFormat/>
    <w:uiPriority w:val="99"/>
    <w:pPr>
      <w:ind w:firstLine="420" w:firstLineChars="100"/>
    </w:pPr>
  </w:style>
  <w:style w:type="paragraph" w:customStyle="1" w:styleId="55">
    <w:name w:val="BodyText"/>
    <w:basedOn w:val="1"/>
    <w:next w:val="56"/>
    <w:autoRedefine/>
    <w:qFormat/>
    <w:uiPriority w:val="99"/>
    <w:pPr>
      <w:spacing w:after="120"/>
    </w:pPr>
  </w:style>
  <w:style w:type="paragraph" w:customStyle="1" w:styleId="56">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57">
    <w:name w:val="无间隔1"/>
    <w:next w:val="16"/>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标题 3 字符"/>
    <w:link w:val="8"/>
    <w:autoRedefine/>
    <w:qFormat/>
    <w:uiPriority w:val="0"/>
    <w:rPr>
      <w:b/>
      <w:bCs/>
      <w:kern w:val="2"/>
      <w:sz w:val="32"/>
      <w:szCs w:val="32"/>
    </w:rPr>
  </w:style>
  <w:style w:type="character" w:customStyle="1" w:styleId="59">
    <w:name w:val="font231"/>
    <w:autoRedefine/>
    <w:qFormat/>
    <w:uiPriority w:val="0"/>
    <w:rPr>
      <w:rFonts w:hint="eastAsia" w:ascii="宋体" w:hAnsi="宋体" w:eastAsia="宋体" w:cs="宋体"/>
      <w:color w:val="000000"/>
      <w:sz w:val="22"/>
      <w:szCs w:val="22"/>
      <w:u w:val="none"/>
    </w:rPr>
  </w:style>
  <w:style w:type="character" w:customStyle="1" w:styleId="60">
    <w:name w:val="font11"/>
    <w:autoRedefine/>
    <w:qFormat/>
    <w:uiPriority w:val="0"/>
    <w:rPr>
      <w:rFonts w:hint="default" w:ascii="Times New Roman" w:hAnsi="Times New Roman" w:cs="Times New Roman"/>
      <w:color w:val="000000"/>
      <w:sz w:val="18"/>
      <w:szCs w:val="18"/>
      <w:u w:val="none"/>
    </w:rPr>
  </w:style>
  <w:style w:type="character" w:customStyle="1" w:styleId="61">
    <w:name w:val="font191"/>
    <w:autoRedefine/>
    <w:qFormat/>
    <w:uiPriority w:val="0"/>
    <w:rPr>
      <w:rFonts w:hint="default" w:ascii="Calibri" w:hAnsi="Calibri" w:cs="Calibri"/>
      <w:color w:val="000000"/>
      <w:sz w:val="22"/>
      <w:szCs w:val="22"/>
      <w:u w:val="none"/>
    </w:rPr>
  </w:style>
  <w:style w:type="character" w:customStyle="1" w:styleId="62">
    <w:name w:val="正文首行缩进 字符"/>
    <w:link w:val="44"/>
    <w:autoRedefine/>
    <w:qFormat/>
    <w:uiPriority w:val="0"/>
    <w:rPr>
      <w:kern w:val="2"/>
      <w:sz w:val="21"/>
      <w:szCs w:val="24"/>
    </w:rPr>
  </w:style>
  <w:style w:type="character" w:customStyle="1" w:styleId="63">
    <w:name w:val="正文文本 字符"/>
    <w:link w:val="3"/>
    <w:autoRedefine/>
    <w:qFormat/>
    <w:uiPriority w:val="0"/>
    <w:rPr>
      <w:kern w:val="2"/>
      <w:sz w:val="21"/>
      <w:szCs w:val="24"/>
    </w:rPr>
  </w:style>
  <w:style w:type="character" w:customStyle="1" w:styleId="64">
    <w:name w:val="font151"/>
    <w:autoRedefine/>
    <w:qFormat/>
    <w:uiPriority w:val="0"/>
    <w:rPr>
      <w:rFonts w:hint="default" w:ascii="Calibri" w:hAnsi="Calibri" w:cs="Calibri"/>
      <w:color w:val="000000"/>
      <w:sz w:val="22"/>
      <w:szCs w:val="22"/>
      <w:u w:val="none"/>
    </w:rPr>
  </w:style>
  <w:style w:type="character" w:customStyle="1" w:styleId="65">
    <w:name w:val="批注文字 字符"/>
    <w:link w:val="19"/>
    <w:autoRedefine/>
    <w:qFormat/>
    <w:uiPriority w:val="0"/>
    <w:rPr>
      <w:kern w:val="2"/>
      <w:sz w:val="21"/>
      <w:szCs w:val="24"/>
    </w:rPr>
  </w:style>
  <w:style w:type="character" w:customStyle="1" w:styleId="66">
    <w:name w:val="文档结构图 字符"/>
    <w:link w:val="18"/>
    <w:autoRedefine/>
    <w:qFormat/>
    <w:uiPriority w:val="0"/>
    <w:rPr>
      <w:rFonts w:ascii="宋体"/>
      <w:kern w:val="2"/>
      <w:sz w:val="18"/>
      <w:szCs w:val="18"/>
    </w:rPr>
  </w:style>
  <w:style w:type="character" w:customStyle="1" w:styleId="67">
    <w:name w:val="日期 字符"/>
    <w:link w:val="28"/>
    <w:autoRedefine/>
    <w:qFormat/>
    <w:uiPriority w:val="0"/>
    <w:rPr>
      <w:kern w:val="2"/>
      <w:sz w:val="21"/>
      <w:szCs w:val="24"/>
    </w:rPr>
  </w:style>
  <w:style w:type="character" w:customStyle="1" w:styleId="68">
    <w:name w:val="font221"/>
    <w:autoRedefine/>
    <w:qFormat/>
    <w:uiPriority w:val="0"/>
    <w:rPr>
      <w:rFonts w:hint="eastAsia" w:ascii="宋体" w:hAnsi="宋体" w:eastAsia="宋体" w:cs="宋体"/>
      <w:color w:val="000000"/>
      <w:sz w:val="20"/>
      <w:szCs w:val="20"/>
      <w:u w:val="none"/>
    </w:rPr>
  </w:style>
  <w:style w:type="character" w:customStyle="1" w:styleId="69">
    <w:name w:val="font61"/>
    <w:autoRedefine/>
    <w:qFormat/>
    <w:uiPriority w:val="0"/>
    <w:rPr>
      <w:rFonts w:hint="eastAsia" w:ascii="宋体" w:hAnsi="宋体" w:eastAsia="宋体" w:cs="宋体"/>
      <w:color w:val="FF0000"/>
      <w:sz w:val="22"/>
      <w:szCs w:val="22"/>
      <w:u w:val="none"/>
    </w:rPr>
  </w:style>
  <w:style w:type="character" w:customStyle="1" w:styleId="70">
    <w:name w:val="font31"/>
    <w:autoRedefine/>
    <w:qFormat/>
    <w:uiPriority w:val="0"/>
    <w:rPr>
      <w:rFonts w:hint="eastAsia" w:ascii="宋体" w:hAnsi="宋体" w:eastAsia="宋体" w:cs="宋体"/>
      <w:color w:val="000000"/>
      <w:sz w:val="18"/>
      <w:szCs w:val="18"/>
      <w:u w:val="none"/>
    </w:rPr>
  </w:style>
  <w:style w:type="character" w:customStyle="1" w:styleId="71">
    <w:name w:val="纯文本 字符"/>
    <w:link w:val="27"/>
    <w:autoRedefine/>
    <w:qFormat/>
    <w:uiPriority w:val="0"/>
    <w:rPr>
      <w:rFonts w:ascii="宋体" w:hAnsi="Courier New"/>
      <w:kern w:val="2"/>
      <w:sz w:val="21"/>
    </w:rPr>
  </w:style>
  <w:style w:type="character" w:customStyle="1" w:styleId="72">
    <w:name w:val="访问过的超链接1"/>
    <w:autoRedefine/>
    <w:qFormat/>
    <w:uiPriority w:val="0"/>
    <w:rPr>
      <w:color w:val="333333"/>
      <w:u w:val="none"/>
    </w:rPr>
  </w:style>
  <w:style w:type="character" w:customStyle="1" w:styleId="73">
    <w:name w:val="font01"/>
    <w:autoRedefine/>
    <w:qFormat/>
    <w:uiPriority w:val="0"/>
    <w:rPr>
      <w:rFonts w:hint="eastAsia" w:ascii="宋体" w:hAnsi="宋体" w:eastAsia="宋体" w:cs="宋体"/>
      <w:color w:val="000000"/>
      <w:sz w:val="22"/>
      <w:szCs w:val="22"/>
      <w:u w:val="none"/>
    </w:rPr>
  </w:style>
  <w:style w:type="character" w:customStyle="1" w:styleId="74">
    <w:name w:val="font21"/>
    <w:autoRedefine/>
    <w:qFormat/>
    <w:uiPriority w:val="0"/>
    <w:rPr>
      <w:rFonts w:hint="default" w:ascii="Times New Roman" w:hAnsi="Times New Roman" w:cs="Times New Roman"/>
      <w:color w:val="000000"/>
      <w:sz w:val="18"/>
      <w:szCs w:val="18"/>
      <w:u w:val="none"/>
    </w:rPr>
  </w:style>
  <w:style w:type="paragraph" w:customStyle="1" w:styleId="75">
    <w:name w:val="p0"/>
    <w:basedOn w:val="1"/>
    <w:autoRedefine/>
    <w:qFormat/>
    <w:uiPriority w:val="0"/>
    <w:pPr>
      <w:widowControl/>
    </w:pPr>
    <w:rPr>
      <w:rFonts w:ascii="Calibri" w:hAnsi="Calibri" w:cs="宋体"/>
      <w:kern w:val="0"/>
      <w:szCs w:val="21"/>
    </w:rPr>
  </w:style>
  <w:style w:type="paragraph" w:customStyle="1" w:styleId="76">
    <w:name w:val="List Paragraph1"/>
    <w:basedOn w:val="1"/>
    <w:autoRedefine/>
    <w:qFormat/>
    <w:uiPriority w:val="0"/>
    <w:pPr>
      <w:ind w:firstLine="420" w:firstLineChars="200"/>
    </w:pPr>
  </w:style>
  <w:style w:type="paragraph" w:customStyle="1" w:styleId="77">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78">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79">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8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81">
    <w:name w:val="Char Char Char Char Char Char Char1 Char"/>
    <w:basedOn w:val="1"/>
    <w:autoRedefine/>
    <w:qFormat/>
    <w:uiPriority w:val="0"/>
    <w:rPr>
      <w:rFonts w:ascii="Tahoma" w:hAnsi="Tahoma"/>
      <w:sz w:val="24"/>
      <w:szCs w:val="20"/>
    </w:rPr>
  </w:style>
  <w:style w:type="paragraph" w:styleId="82">
    <w:name w:val="List Paragraph"/>
    <w:basedOn w:val="1"/>
    <w:autoRedefine/>
    <w:qFormat/>
    <w:uiPriority w:val="1"/>
    <w:pPr>
      <w:ind w:firstLine="420" w:firstLineChars="200"/>
    </w:pPr>
  </w:style>
  <w:style w:type="paragraph" w:customStyle="1" w:styleId="83">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84">
    <w:name w:val="默认段落字体 Para Char Char Char Char Char Char Char Char Char Char"/>
    <w:basedOn w:val="1"/>
    <w:autoRedefine/>
    <w:qFormat/>
    <w:uiPriority w:val="0"/>
    <w:pPr>
      <w:tabs>
        <w:tab w:val="right" w:pos="-2120"/>
      </w:tabs>
      <w:snapToGrid w:val="0"/>
    </w:pPr>
  </w:style>
  <w:style w:type="character" w:customStyle="1" w:styleId="85">
    <w:name w:val="generalinfo-address-text"/>
    <w:basedOn w:val="48"/>
    <w:autoRedefine/>
    <w:qFormat/>
    <w:uiPriority w:val="0"/>
  </w:style>
  <w:style w:type="character" w:customStyle="1" w:styleId="86">
    <w:name w:val="正文文本 2 字符"/>
    <w:link w:val="39"/>
    <w:autoRedefine/>
    <w:qFormat/>
    <w:uiPriority w:val="0"/>
    <w:rPr>
      <w:kern w:val="2"/>
      <w:sz w:val="21"/>
      <w:szCs w:val="24"/>
    </w:rPr>
  </w:style>
  <w:style w:type="character" w:customStyle="1" w:styleId="87">
    <w:name w:val="NormalCharacter"/>
    <w:autoRedefine/>
    <w:qFormat/>
    <w:uiPriority w:val="0"/>
  </w:style>
  <w:style w:type="character" w:customStyle="1" w:styleId="88">
    <w:name w:val="页眉 字符"/>
    <w:link w:val="32"/>
    <w:autoRedefine/>
    <w:qFormat/>
    <w:uiPriority w:val="0"/>
    <w:rPr>
      <w:kern w:val="2"/>
      <w:sz w:val="18"/>
      <w:szCs w:val="18"/>
    </w:rPr>
  </w:style>
  <w:style w:type="character" w:customStyle="1" w:styleId="89">
    <w:name w:val="页脚 字符"/>
    <w:link w:val="31"/>
    <w:autoRedefine/>
    <w:qFormat/>
    <w:uiPriority w:val="99"/>
    <w:rPr>
      <w:kern w:val="2"/>
      <w:sz w:val="18"/>
      <w:szCs w:val="18"/>
    </w:rPr>
  </w:style>
  <w:style w:type="paragraph" w:customStyle="1" w:styleId="90">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91">
    <w:name w:val="contentlabel"/>
    <w:autoRedefine/>
    <w:qFormat/>
    <w:uiPriority w:val="0"/>
  </w:style>
  <w:style w:type="paragraph" w:customStyle="1" w:styleId="92">
    <w:name w:val="D&amp;L"/>
    <w:basedOn w:val="32"/>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93">
    <w:name w:val="first-child"/>
    <w:basedOn w:val="48"/>
    <w:autoRedefine/>
    <w:qFormat/>
    <w:uiPriority w:val="0"/>
    <w:rPr>
      <w:color w:val="1F3149"/>
      <w:sz w:val="24"/>
      <w:szCs w:val="24"/>
    </w:rPr>
  </w:style>
  <w:style w:type="character" w:customStyle="1" w:styleId="94">
    <w:name w:val="first-child1"/>
    <w:basedOn w:val="48"/>
    <w:autoRedefine/>
    <w:qFormat/>
    <w:uiPriority w:val="0"/>
    <w:rPr>
      <w:color w:val="1F3149"/>
      <w:sz w:val="24"/>
      <w:szCs w:val="24"/>
    </w:rPr>
  </w:style>
  <w:style w:type="character" w:customStyle="1" w:styleId="95">
    <w:name w:val="icon_ds"/>
    <w:basedOn w:val="48"/>
    <w:autoRedefine/>
    <w:qFormat/>
    <w:uiPriority w:val="0"/>
  </w:style>
  <w:style w:type="character" w:customStyle="1" w:styleId="96">
    <w:name w:val="icon_ds1"/>
    <w:basedOn w:val="48"/>
    <w:autoRedefine/>
    <w:qFormat/>
    <w:uiPriority w:val="0"/>
    <w:rPr>
      <w:sz w:val="21"/>
      <w:szCs w:val="21"/>
    </w:rPr>
  </w:style>
  <w:style w:type="character" w:customStyle="1" w:styleId="97">
    <w:name w:val="icon_gys"/>
    <w:basedOn w:val="48"/>
    <w:autoRedefine/>
    <w:qFormat/>
    <w:uiPriority w:val="0"/>
    <w:rPr>
      <w:sz w:val="21"/>
      <w:szCs w:val="21"/>
    </w:rPr>
  </w:style>
  <w:style w:type="character" w:customStyle="1" w:styleId="98">
    <w:name w:val="xiadan"/>
    <w:basedOn w:val="48"/>
    <w:autoRedefine/>
    <w:qFormat/>
    <w:uiPriority w:val="0"/>
    <w:rPr>
      <w:shd w:val="clear" w:color="auto" w:fill="E4393C"/>
    </w:rPr>
  </w:style>
  <w:style w:type="character" w:customStyle="1" w:styleId="99">
    <w:name w:val="fr"/>
    <w:basedOn w:val="48"/>
    <w:autoRedefine/>
    <w:qFormat/>
    <w:uiPriority w:val="0"/>
  </w:style>
  <w:style w:type="character" w:customStyle="1" w:styleId="100">
    <w:name w:val="标题 4 字符"/>
    <w:basedOn w:val="48"/>
    <w:link w:val="9"/>
    <w:autoRedefine/>
    <w:qFormat/>
    <w:uiPriority w:val="0"/>
    <w:rPr>
      <w:rFonts w:asciiTheme="majorHAnsi" w:hAnsiTheme="majorHAnsi" w:eastAsiaTheme="majorEastAsia" w:cstheme="majorBidi"/>
      <w:b/>
      <w:bCs/>
      <w:kern w:val="2"/>
      <w:sz w:val="28"/>
      <w:szCs w:val="28"/>
    </w:rPr>
  </w:style>
  <w:style w:type="character" w:customStyle="1" w:styleId="101">
    <w:name w:val="正文首行缩进 2 字符"/>
    <w:basedOn w:val="48"/>
    <w:link w:val="45"/>
    <w:autoRedefine/>
    <w:qFormat/>
    <w:uiPriority w:val="99"/>
    <w:rPr>
      <w:rFonts w:ascii="FangSong_GB2312" w:hAnsi="华文楷体" w:eastAsia="FangSong_GB2312"/>
      <w:kern w:val="2"/>
      <w:sz w:val="32"/>
      <w:szCs w:val="24"/>
    </w:rPr>
  </w:style>
  <w:style w:type="character" w:customStyle="1" w:styleId="102">
    <w:name w:val="正文文本 Char1"/>
    <w:basedOn w:val="48"/>
    <w:autoRedefine/>
    <w:semiHidden/>
    <w:qFormat/>
    <w:locked/>
    <w:uiPriority w:val="0"/>
    <w:rPr>
      <w:kern w:val="2"/>
      <w:sz w:val="21"/>
      <w:szCs w:val="24"/>
    </w:rPr>
  </w:style>
  <w:style w:type="character" w:customStyle="1" w:styleId="103">
    <w:name w:val="批注主题 字符"/>
    <w:basedOn w:val="65"/>
    <w:link w:val="43"/>
    <w:autoRedefine/>
    <w:qFormat/>
    <w:uiPriority w:val="99"/>
    <w:rPr>
      <w:b/>
      <w:bCs/>
      <w:kern w:val="2"/>
      <w:sz w:val="21"/>
      <w:szCs w:val="24"/>
    </w:rPr>
  </w:style>
  <w:style w:type="character" w:customStyle="1" w:styleId="104">
    <w:name w:val="标题 5 字符"/>
    <w:basedOn w:val="48"/>
    <w:link w:val="10"/>
    <w:autoRedefine/>
    <w:semiHidden/>
    <w:qFormat/>
    <w:uiPriority w:val="9"/>
    <w:rPr>
      <w:b/>
      <w:bCs/>
      <w:kern w:val="2"/>
      <w:sz w:val="28"/>
      <w:szCs w:val="28"/>
    </w:rPr>
  </w:style>
  <w:style w:type="character" w:customStyle="1" w:styleId="105">
    <w:name w:val="标题 6 字符"/>
    <w:basedOn w:val="48"/>
    <w:link w:val="11"/>
    <w:autoRedefine/>
    <w:qFormat/>
    <w:uiPriority w:val="0"/>
    <w:rPr>
      <w:rFonts w:ascii="Arial" w:hAnsi="Arial" w:eastAsia="黑体"/>
      <w:b/>
      <w:bCs/>
      <w:sz w:val="24"/>
    </w:rPr>
  </w:style>
  <w:style w:type="character" w:customStyle="1" w:styleId="106">
    <w:name w:val="标题 7 字符"/>
    <w:basedOn w:val="48"/>
    <w:link w:val="12"/>
    <w:autoRedefine/>
    <w:qFormat/>
    <w:uiPriority w:val="0"/>
    <w:rPr>
      <w:b/>
      <w:bCs/>
      <w:sz w:val="24"/>
    </w:rPr>
  </w:style>
  <w:style w:type="character" w:customStyle="1" w:styleId="107">
    <w:name w:val="标题 8 字符"/>
    <w:basedOn w:val="48"/>
    <w:link w:val="13"/>
    <w:autoRedefine/>
    <w:qFormat/>
    <w:uiPriority w:val="0"/>
    <w:rPr>
      <w:rFonts w:ascii="Arial" w:hAnsi="Arial" w:eastAsia="黑体"/>
      <w:sz w:val="24"/>
    </w:rPr>
  </w:style>
  <w:style w:type="character" w:customStyle="1" w:styleId="108">
    <w:name w:val="标题 9 字符"/>
    <w:basedOn w:val="48"/>
    <w:link w:val="14"/>
    <w:autoRedefine/>
    <w:qFormat/>
    <w:uiPriority w:val="0"/>
    <w:rPr>
      <w:rFonts w:ascii="Arial" w:hAnsi="Arial" w:eastAsia="黑体"/>
      <w:sz w:val="21"/>
      <w:szCs w:val="21"/>
    </w:rPr>
  </w:style>
  <w:style w:type="character" w:customStyle="1" w:styleId="109">
    <w:name w:val="正文文本缩进 3 字符"/>
    <w:basedOn w:val="48"/>
    <w:link w:val="37"/>
    <w:autoRedefine/>
    <w:qFormat/>
    <w:uiPriority w:val="0"/>
    <w:rPr>
      <w:rFonts w:ascii="FangSong_GB2312" w:hAnsi="宋体" w:eastAsia="FangSong_GB2312"/>
      <w:color w:val="000000"/>
      <w:kern w:val="2"/>
      <w:sz w:val="28"/>
      <w:szCs w:val="24"/>
    </w:rPr>
  </w:style>
  <w:style w:type="character" w:customStyle="1" w:styleId="110">
    <w:name w:val="HTML 预设格式 字符"/>
    <w:basedOn w:val="48"/>
    <w:link w:val="41"/>
    <w:autoRedefine/>
    <w:qFormat/>
    <w:uiPriority w:val="0"/>
    <w:rPr>
      <w:rFonts w:ascii="宋体" w:hAnsi="宋体" w:cs="宋体"/>
      <w:sz w:val="24"/>
      <w:szCs w:val="24"/>
    </w:rPr>
  </w:style>
  <w:style w:type="character" w:customStyle="1" w:styleId="111">
    <w:name w:val="标题 1 字符"/>
    <w:basedOn w:val="48"/>
    <w:link w:val="6"/>
    <w:autoRedefine/>
    <w:qFormat/>
    <w:uiPriority w:val="0"/>
    <w:rPr>
      <w:b/>
      <w:bCs/>
      <w:kern w:val="44"/>
      <w:sz w:val="44"/>
      <w:szCs w:val="44"/>
    </w:rPr>
  </w:style>
  <w:style w:type="character" w:customStyle="1" w:styleId="112">
    <w:name w:val="标题 2 字符"/>
    <w:basedOn w:val="48"/>
    <w:link w:val="7"/>
    <w:autoRedefine/>
    <w:qFormat/>
    <w:uiPriority w:val="0"/>
    <w:rPr>
      <w:sz w:val="28"/>
      <w:szCs w:val="24"/>
    </w:rPr>
  </w:style>
  <w:style w:type="character" w:customStyle="1" w:styleId="113">
    <w:name w:val="正文文本缩进 字符"/>
    <w:basedOn w:val="48"/>
    <w:link w:val="21"/>
    <w:autoRedefine/>
    <w:qFormat/>
    <w:uiPriority w:val="0"/>
    <w:rPr>
      <w:rFonts w:ascii="FangSong_GB2312" w:hAnsi="华文楷体" w:eastAsia="FangSong_GB2312"/>
      <w:kern w:val="2"/>
      <w:sz w:val="32"/>
      <w:szCs w:val="24"/>
    </w:rPr>
  </w:style>
  <w:style w:type="character" w:customStyle="1" w:styleId="114">
    <w:name w:val="正文文本缩进 2 字符"/>
    <w:basedOn w:val="48"/>
    <w:link w:val="29"/>
    <w:autoRedefine/>
    <w:qFormat/>
    <w:uiPriority w:val="0"/>
    <w:rPr>
      <w:kern w:val="2"/>
      <w:sz w:val="21"/>
      <w:szCs w:val="24"/>
    </w:rPr>
  </w:style>
  <w:style w:type="paragraph" w:customStyle="1" w:styleId="115">
    <w:name w:val="Char Char Char Char Char Char Char Char Char Char Char Char"/>
    <w:basedOn w:val="1"/>
    <w:autoRedefine/>
    <w:qFormat/>
    <w:uiPriority w:val="0"/>
    <w:pPr>
      <w:snapToGrid w:val="0"/>
      <w:spacing w:line="360" w:lineRule="auto"/>
      <w:ind w:firstLine="200" w:firstLineChars="200"/>
    </w:pPr>
    <w:rPr>
      <w:rFonts w:eastAsia="FangSong_GB2312"/>
      <w:sz w:val="24"/>
    </w:rPr>
  </w:style>
  <w:style w:type="paragraph" w:customStyle="1" w:styleId="116">
    <w:name w:val="Char"/>
    <w:basedOn w:val="1"/>
    <w:autoRedefine/>
    <w:qFormat/>
    <w:uiPriority w:val="0"/>
    <w:pPr>
      <w:snapToGrid w:val="0"/>
      <w:spacing w:line="360" w:lineRule="auto"/>
      <w:ind w:firstLine="200" w:firstLineChars="200"/>
    </w:pPr>
    <w:rPr>
      <w:rFonts w:eastAsia="FangSong_GB2312"/>
      <w:sz w:val="24"/>
    </w:rPr>
  </w:style>
  <w:style w:type="character" w:customStyle="1" w:styleId="117">
    <w:name w:val="批注框文本 字符"/>
    <w:basedOn w:val="48"/>
    <w:link w:val="30"/>
    <w:autoRedefine/>
    <w:qFormat/>
    <w:uiPriority w:val="0"/>
    <w:rPr>
      <w:kern w:val="2"/>
      <w:sz w:val="18"/>
      <w:szCs w:val="18"/>
    </w:rPr>
  </w:style>
  <w:style w:type="paragraph" w:customStyle="1" w:styleId="118">
    <w:name w:val="正文2"/>
    <w:basedOn w:val="1"/>
    <w:autoRedefine/>
    <w:qFormat/>
    <w:uiPriority w:val="0"/>
    <w:pPr>
      <w:spacing w:line="420" w:lineRule="auto"/>
      <w:jc w:val="left"/>
    </w:pPr>
    <w:rPr>
      <w:rFonts w:ascii="宋体" w:hAnsi="宋体" w:cs="宋体"/>
      <w:bCs/>
      <w:sz w:val="24"/>
      <w:szCs w:val="20"/>
    </w:rPr>
  </w:style>
  <w:style w:type="character" w:customStyle="1" w:styleId="119">
    <w:name w:val="Char Char"/>
    <w:basedOn w:val="48"/>
    <w:autoRedefine/>
    <w:qFormat/>
    <w:uiPriority w:val="0"/>
    <w:rPr>
      <w:rFonts w:ascii="宋体" w:hAnsi="Courier New" w:eastAsia="宋体" w:cs="Courier New"/>
      <w:kern w:val="2"/>
      <w:sz w:val="21"/>
      <w:szCs w:val="21"/>
      <w:lang w:val="en-US" w:eastAsia="zh-CN" w:bidi="ar-SA"/>
    </w:rPr>
  </w:style>
  <w:style w:type="character" w:customStyle="1" w:styleId="120">
    <w:name w:val="批注文字 Char"/>
    <w:autoRedefine/>
    <w:qFormat/>
    <w:uiPriority w:val="0"/>
    <w:rPr>
      <w:kern w:val="2"/>
      <w:sz w:val="21"/>
      <w:szCs w:val="24"/>
    </w:rPr>
  </w:style>
  <w:style w:type="character" w:customStyle="1" w:styleId="121">
    <w:name w:val="样式 标题 2H2Heading 2 HiddenHeading 2 CCBS2nd levelh22Header... Char"/>
    <w:basedOn w:val="112"/>
    <w:autoRedefine/>
    <w:qFormat/>
    <w:uiPriority w:val="0"/>
    <w:rPr>
      <w:sz w:val="28"/>
      <w:szCs w:val="24"/>
    </w:rPr>
  </w:style>
  <w:style w:type="character" w:customStyle="1" w:styleId="122">
    <w:name w:val="普通文字1 Char"/>
    <w:basedOn w:val="48"/>
    <w:autoRedefine/>
    <w:qFormat/>
    <w:uiPriority w:val="0"/>
    <w:rPr>
      <w:rFonts w:ascii="宋体" w:hAnsi="Courier New"/>
      <w:kern w:val="2"/>
      <w:sz w:val="21"/>
      <w:lang w:bidi="ar-SA"/>
    </w:rPr>
  </w:style>
  <w:style w:type="character" w:customStyle="1" w:styleId="123">
    <w:name w:val="dzgg1"/>
    <w:basedOn w:val="48"/>
    <w:autoRedefine/>
    <w:qFormat/>
    <w:uiPriority w:val="0"/>
  </w:style>
  <w:style w:type="character" w:customStyle="1" w:styleId="124">
    <w:name w:val="pp-headline-item pp-headline-address"/>
    <w:basedOn w:val="48"/>
    <w:autoRedefine/>
    <w:qFormat/>
    <w:uiPriority w:val="0"/>
  </w:style>
  <w:style w:type="character" w:customStyle="1" w:styleId="125">
    <w:name w:val="标题 2用 Char Char"/>
    <w:basedOn w:val="121"/>
    <w:autoRedefine/>
    <w:qFormat/>
    <w:uiPriority w:val="0"/>
    <w:rPr>
      <w:rFonts w:eastAsia="黑体" w:cs="宋体"/>
      <w:b/>
      <w:bCs/>
      <w:kern w:val="2"/>
      <w:sz w:val="44"/>
      <w:szCs w:val="44"/>
      <w:lang w:val="en-US" w:eastAsia="zh-CN" w:bidi="ar-SA"/>
    </w:rPr>
  </w:style>
  <w:style w:type="character" w:customStyle="1" w:styleId="126">
    <w:name w:val="批注文字 Char2"/>
    <w:basedOn w:val="48"/>
    <w:autoRedefine/>
    <w:semiHidden/>
    <w:qFormat/>
    <w:uiPriority w:val="99"/>
  </w:style>
  <w:style w:type="character" w:customStyle="1" w:styleId="127">
    <w:name w:val="正文文本 3 字符"/>
    <w:basedOn w:val="48"/>
    <w:link w:val="20"/>
    <w:autoRedefine/>
    <w:qFormat/>
    <w:uiPriority w:val="0"/>
    <w:rPr>
      <w:kern w:val="2"/>
      <w:sz w:val="16"/>
      <w:szCs w:val="16"/>
    </w:rPr>
  </w:style>
  <w:style w:type="paragraph" w:customStyle="1" w:styleId="128">
    <w:name w:val="Char Char Char Char"/>
    <w:basedOn w:val="1"/>
    <w:autoRedefine/>
    <w:qFormat/>
    <w:uiPriority w:val="0"/>
    <w:rPr>
      <w:sz w:val="32"/>
      <w:szCs w:val="32"/>
    </w:rPr>
  </w:style>
  <w:style w:type="paragraph" w:customStyle="1" w:styleId="129">
    <w:name w:val="Char1"/>
    <w:basedOn w:val="1"/>
    <w:autoRedefine/>
    <w:qFormat/>
    <w:uiPriority w:val="0"/>
    <w:pPr>
      <w:adjustRightInd w:val="0"/>
      <w:spacing w:line="600" w:lineRule="exact"/>
      <w:ind w:firstLine="560" w:firstLineChars="200"/>
      <w:jc w:val="center"/>
    </w:pPr>
    <w:rPr>
      <w:kern w:val="0"/>
      <w:sz w:val="28"/>
      <w:szCs w:val="28"/>
    </w:rPr>
  </w:style>
  <w:style w:type="paragraph" w:customStyle="1" w:styleId="130">
    <w:name w:val="表文字"/>
    <w:basedOn w:val="27"/>
    <w:autoRedefine/>
    <w:qFormat/>
    <w:uiPriority w:val="0"/>
    <w:pPr>
      <w:adjustRightInd w:val="0"/>
      <w:snapToGrid w:val="0"/>
      <w:spacing w:before="100" w:beforeAutospacing="1" w:after="100" w:afterAutospacing="1" w:line="300" w:lineRule="atLeast"/>
      <w:ind w:firstLine="200" w:firstLineChars="200"/>
    </w:pPr>
    <w:rPr>
      <w:sz w:val="24"/>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标题 2用"/>
    <w:basedOn w:val="1"/>
    <w:autoRedefine/>
    <w:qFormat/>
    <w:uiPriority w:val="0"/>
    <w:pPr>
      <w:spacing w:line="360" w:lineRule="auto"/>
      <w:jc w:val="center"/>
      <w:outlineLvl w:val="1"/>
    </w:pPr>
    <w:rPr>
      <w:rFonts w:ascii="宋体" w:hAnsi="宋体" w:eastAsia="黑体" w:cs="宋体"/>
      <w:b/>
      <w:bCs/>
      <w:sz w:val="44"/>
      <w:szCs w:val="44"/>
    </w:rPr>
  </w:style>
  <w:style w:type="paragraph" w:customStyle="1" w:styleId="133">
    <w:name w:val="样式 标题 2H2Heading 2 HiddenHeading 2 CCBS2nd levelh22Header..."/>
    <w:basedOn w:val="7"/>
    <w:autoRedefine/>
    <w:qFormat/>
    <w:uiPriority w:val="0"/>
    <w:pPr>
      <w:keepNext/>
      <w:keepLines/>
      <w:spacing w:line="460" w:lineRule="exact"/>
      <w:jc w:val="both"/>
    </w:pPr>
    <w:rPr>
      <w:rFonts w:ascii="Arial" w:hAnsi="Arial" w:eastAsia="黑体" w:cs="宋体"/>
      <w:b/>
      <w:bCs/>
      <w:kern w:val="2"/>
      <w:sz w:val="44"/>
      <w:szCs w:val="20"/>
    </w:rPr>
  </w:style>
  <w:style w:type="paragraph" w:customStyle="1" w:styleId="134">
    <w:name w:val="样式 楷体_GB2312 加粗 左 段前: 7.8 磅"/>
    <w:basedOn w:val="1"/>
    <w:autoRedefine/>
    <w:qFormat/>
    <w:uiPriority w:val="0"/>
    <w:pPr>
      <w:spacing w:before="156"/>
      <w:ind w:left="-359" w:leftChars="-171"/>
      <w:jc w:val="center"/>
    </w:pPr>
    <w:rPr>
      <w:rFonts w:ascii="KaiTi_GB2312" w:hAnsi="TimesNewRomanPSMT" w:eastAsia="KaiTi_GB2312"/>
      <w:b/>
      <w:kern w:val="0"/>
      <w:sz w:val="32"/>
      <w:szCs w:val="20"/>
    </w:rPr>
  </w:style>
  <w:style w:type="paragraph" w:customStyle="1" w:styleId="135">
    <w:name w:val="样式 标题 2H2Heading 2 HiddenHeading 2 CCBS2nd levelh22Header...1"/>
    <w:basedOn w:val="7"/>
    <w:autoRedefine/>
    <w:qFormat/>
    <w:uiPriority w:val="0"/>
    <w:pPr>
      <w:keepNext/>
      <w:keepLines/>
      <w:spacing w:before="120" w:after="120" w:line="415" w:lineRule="auto"/>
    </w:pPr>
    <w:rPr>
      <w:rFonts w:ascii="黑体" w:hAnsi="黑体" w:eastAsia="黑体"/>
      <w:kern w:val="2"/>
      <w:sz w:val="36"/>
      <w:szCs w:val="20"/>
    </w:rPr>
  </w:style>
  <w:style w:type="paragraph" w:customStyle="1" w:styleId="136">
    <w:name w:val="标题3-2"/>
    <w:basedOn w:val="8"/>
    <w:autoRedefine/>
    <w:qFormat/>
    <w:uiPriority w:val="0"/>
    <w:pPr>
      <w:widowControl/>
      <w:numPr>
        <w:ilvl w:val="0"/>
        <w:numId w:val="2"/>
      </w:numPr>
      <w:adjustRightInd w:val="0"/>
      <w:spacing w:before="120" w:after="120" w:line="460" w:lineRule="exact"/>
      <w:jc w:val="left"/>
    </w:pPr>
    <w:rPr>
      <w:bCs w:val="0"/>
      <w:kern w:val="0"/>
      <w:sz w:val="28"/>
      <w:szCs w:val="28"/>
    </w:rPr>
  </w:style>
  <w:style w:type="paragraph" w:customStyle="1" w:styleId="13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38">
    <w:name w:val="首行缩进两字 Char1"/>
    <w:link w:val="139"/>
    <w:autoRedefine/>
    <w:qFormat/>
    <w:uiPriority w:val="0"/>
    <w:rPr>
      <w:rFonts w:ascii="宋体" w:hAnsi="宋体"/>
      <w:color w:val="000000"/>
      <w:sz w:val="28"/>
    </w:rPr>
  </w:style>
  <w:style w:type="paragraph" w:customStyle="1" w:styleId="139">
    <w:name w:val="首行缩进两字"/>
    <w:basedOn w:val="1"/>
    <w:link w:val="138"/>
    <w:autoRedefine/>
    <w:qFormat/>
    <w:uiPriority w:val="0"/>
    <w:pPr>
      <w:ind w:firstLine="549" w:firstLineChars="200"/>
      <w:jc w:val="left"/>
    </w:pPr>
    <w:rPr>
      <w:rFonts w:ascii="宋体" w:hAnsi="宋体"/>
      <w:color w:val="000000"/>
      <w:kern w:val="0"/>
      <w:sz w:val="28"/>
      <w:szCs w:val="20"/>
    </w:rPr>
  </w:style>
  <w:style w:type="character" w:customStyle="1" w:styleId="140">
    <w:name w:val="Char Char3"/>
    <w:autoRedefine/>
    <w:qFormat/>
    <w:uiPriority w:val="0"/>
    <w:rPr>
      <w:rFonts w:ascii="Arial" w:hAnsi="Arial" w:eastAsia="黑体"/>
      <w:b/>
      <w:bCs/>
      <w:kern w:val="2"/>
      <w:sz w:val="32"/>
      <w:szCs w:val="32"/>
      <w:lang w:val="en-US" w:eastAsia="zh-CN" w:bidi="ar-SA"/>
    </w:rPr>
  </w:style>
  <w:style w:type="paragraph" w:customStyle="1" w:styleId="141">
    <w:name w:val="0"/>
    <w:basedOn w:val="1"/>
    <w:autoRedefine/>
    <w:qFormat/>
    <w:uiPriority w:val="0"/>
    <w:pPr>
      <w:widowControl/>
      <w:snapToGrid w:val="0"/>
    </w:pPr>
    <w:rPr>
      <w:kern w:val="0"/>
      <w:szCs w:val="20"/>
    </w:rPr>
  </w:style>
  <w:style w:type="paragraph" w:customStyle="1" w:styleId="142">
    <w:name w:val="_Style 1"/>
    <w:basedOn w:val="1"/>
    <w:autoRedefine/>
    <w:qFormat/>
    <w:uiPriority w:val="0"/>
    <w:pPr>
      <w:ind w:firstLine="420" w:firstLineChars="200"/>
    </w:pPr>
    <w:rPr>
      <w:rFonts w:ascii="Calibri" w:hAnsi="Calibri"/>
      <w:szCs w:val="22"/>
    </w:rPr>
  </w:style>
  <w:style w:type="paragraph" w:customStyle="1" w:styleId="143">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144">
    <w:name w:val="列出段落1"/>
    <w:basedOn w:val="1"/>
    <w:autoRedefine/>
    <w:qFormat/>
    <w:uiPriority w:val="0"/>
    <w:pPr>
      <w:ind w:firstLine="420" w:firstLineChars="200"/>
    </w:pPr>
    <w:rPr>
      <w:rFonts w:ascii="Calibri" w:hAnsi="Calibri"/>
      <w:szCs w:val="22"/>
    </w:rPr>
  </w:style>
  <w:style w:type="paragraph" w:customStyle="1" w:styleId="145">
    <w:name w:val="样式3"/>
    <w:basedOn w:val="27"/>
    <w:autoRedefine/>
    <w:qFormat/>
    <w:uiPriority w:val="0"/>
    <w:pPr>
      <w:spacing w:line="0" w:lineRule="atLeast"/>
      <w:outlineLvl w:val="0"/>
    </w:pPr>
    <w:rPr>
      <w:sz w:val="28"/>
    </w:rPr>
  </w:style>
  <w:style w:type="paragraph" w:customStyle="1" w:styleId="146">
    <w:name w:val="正文文本缩进1"/>
    <w:basedOn w:val="1"/>
    <w:autoRedefine/>
    <w:qFormat/>
    <w:uiPriority w:val="0"/>
    <w:pPr>
      <w:tabs>
        <w:tab w:val="center" w:pos="4153"/>
      </w:tabs>
      <w:ind w:firstLine="560" w:firstLineChars="200"/>
    </w:pPr>
    <w:rPr>
      <w:rFonts w:eastAsia="FangSong_GB2312"/>
      <w:sz w:val="28"/>
      <w:szCs w:val="20"/>
    </w:rPr>
  </w:style>
  <w:style w:type="paragraph" w:customStyle="1" w:styleId="147">
    <w:name w:val="WPSOffice手动目录 1"/>
    <w:autoRedefine/>
    <w:qFormat/>
    <w:uiPriority w:val="0"/>
    <w:rPr>
      <w:rFonts w:ascii="Times New Roman" w:hAnsi="Times New Roman" w:eastAsia="宋体" w:cs="Times New Roman"/>
      <w:lang w:val="en-US" w:eastAsia="zh-CN" w:bidi="ar-SA"/>
    </w:rPr>
  </w:style>
  <w:style w:type="paragraph" w:customStyle="1" w:styleId="14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4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0">
    <w:name w:val="TOC Heading"/>
    <w:basedOn w:val="6"/>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51">
    <w:name w:val="日期 Char"/>
    <w:autoRedefine/>
    <w:qFormat/>
    <w:uiPriority w:val="0"/>
    <w:rPr>
      <w:rFonts w:ascii="Times New Roman" w:hAnsi="Times New Roman" w:eastAsia="宋体" w:cs="Times New Roman"/>
      <w:szCs w:val="24"/>
    </w:rPr>
  </w:style>
  <w:style w:type="paragraph" w:customStyle="1" w:styleId="152">
    <w:name w:val="正文1"/>
    <w:basedOn w:val="1"/>
    <w:autoRedefine/>
    <w:qFormat/>
    <w:uiPriority w:val="0"/>
    <w:pPr>
      <w:widowControl/>
      <w:topLinePunct/>
      <w:spacing w:beforeLines="50" w:afterLines="50" w:line="300" w:lineRule="auto"/>
      <w:ind w:left="420"/>
    </w:pPr>
  </w:style>
  <w:style w:type="character" w:customStyle="1" w:styleId="153">
    <w:name w:val="脚注文本 字符"/>
    <w:basedOn w:val="48"/>
    <w:link w:val="36"/>
    <w:autoRedefine/>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4AA06E-597C-49C5-9835-5492FFD359BF}">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22080</Words>
  <Characters>23161</Characters>
  <Lines>186</Lines>
  <Paragraphs>52</Paragraphs>
  <TotalTime>5</TotalTime>
  <ScaleCrop>false</ScaleCrop>
  <LinksUpToDate>false</LinksUpToDate>
  <CharactersWithSpaces>24092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2021-05-07T04:19:00Z</dcterms:created>
  <dc:creator>gg1</dc:creator>
  <cp:lastModifiedBy>user</cp:lastModifiedBy>
  <cp:lastPrinted>2022-03-16T10:36:00Z</cp:lastPrinted>
  <dcterms:modified xsi:type="dcterms:W3CDTF">2024-06-05T02:54:56Z</dcterms:modified>
  <cp:revision>702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E1D4B1D665D44C2793DF27DC04884751</vt:lpwstr>
  </property>
</Properties>
</file>