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00" w:lineRule="exact"/>
        <w:ind w:firstLine="434"/>
        <w:jc w:val="center"/>
        <w:rPr>
          <w:rFonts w:hint="eastAsia" w:ascii="仿宋" w:hAnsi="仿宋" w:eastAsia="仿宋" w:cs="仿宋"/>
          <w:b/>
          <w:bCs/>
          <w:spacing w:val="14"/>
          <w:sz w:val="24"/>
          <w:szCs w:val="24"/>
          <w:lang w:eastAsia="zh-CN"/>
        </w:rPr>
      </w:pPr>
      <w:r>
        <w:rPr>
          <w:rFonts w:hint="eastAsia" w:ascii="仿宋" w:hAnsi="仿宋" w:eastAsia="仿宋" w:cs="仿宋"/>
          <w:b/>
          <w:bCs/>
          <w:spacing w:val="14"/>
          <w:sz w:val="24"/>
          <w:szCs w:val="24"/>
          <w:lang w:eastAsia="zh-CN"/>
        </w:rPr>
        <w:t>嵩县城市管理局侧挂桶式垃圾清运车购置项目</w:t>
      </w:r>
    </w:p>
    <w:p>
      <w:pPr>
        <w:pStyle w:val="4"/>
        <w:spacing w:before="0" w:beforeAutospacing="0" w:after="0" w:afterAutospacing="0" w:line="500" w:lineRule="exact"/>
        <w:ind w:left="0" w:leftChars="0" w:firstLine="0" w:firstLineChars="0"/>
        <w:jc w:val="both"/>
        <w:rPr>
          <w:rFonts w:hint="eastAsia" w:ascii="仿宋" w:hAnsi="仿宋" w:eastAsia="仿宋" w:cs="仿宋"/>
          <w:spacing w:val="14"/>
          <w:sz w:val="22"/>
          <w:szCs w:val="22"/>
          <w:lang w:val="en-US" w:eastAsia="zh-CN" w:bidi="ar-SA"/>
        </w:rPr>
      </w:pPr>
      <w:r>
        <w:rPr>
          <w:rFonts w:hint="eastAsia" w:ascii="仿宋" w:hAnsi="仿宋" w:eastAsia="仿宋" w:cs="仿宋"/>
          <w:b/>
          <w:bCs/>
          <w:spacing w:val="14"/>
          <w:sz w:val="24"/>
          <w:szCs w:val="24"/>
          <w:lang w:val="en-US" w:eastAsia="zh-CN"/>
        </w:rPr>
        <w:t xml:space="preserve">                         竞争性谈判公告</w:t>
      </w:r>
    </w:p>
    <w:p>
      <w:pPr>
        <w:pStyle w:val="4"/>
        <w:spacing w:before="0" w:beforeAutospacing="0" w:after="0" w:afterAutospacing="0" w:line="500" w:lineRule="exact"/>
        <w:ind w:firstLine="434"/>
        <w:jc w:val="both"/>
        <w:rPr>
          <w:rFonts w:hint="eastAsia" w:ascii="仿宋" w:hAnsi="仿宋" w:eastAsia="仿宋" w:cs="仿宋"/>
          <w:spacing w:val="14"/>
          <w:sz w:val="22"/>
          <w:szCs w:val="22"/>
          <w:lang w:val="en-US" w:eastAsia="zh-CN" w:bidi="ar-SA"/>
        </w:rPr>
      </w:pPr>
      <w:r>
        <w:rPr>
          <w:rFonts w:hint="eastAsia" w:ascii="仿宋" w:hAnsi="仿宋" w:eastAsia="仿宋" w:cs="仿宋"/>
          <w:spacing w:val="14"/>
          <w:sz w:val="22"/>
          <w:szCs w:val="22"/>
          <w:lang w:val="en-US" w:eastAsia="zh-CN" w:bidi="ar-SA"/>
        </w:rPr>
        <w:t>嵩县城市管理局侧挂桶式垃圾清运车购置项目的潜在供应商应在洛阳市公共资源交易中心网站（61.168.99.35）获取采购文件，并于2024年03月28日09时30分（北京时间）前递交响应文件。</w:t>
      </w:r>
    </w:p>
    <w:p>
      <w:pPr>
        <w:pStyle w:val="4"/>
        <w:tabs>
          <w:tab w:val="left" w:pos="786"/>
        </w:tabs>
        <w:spacing w:before="0" w:beforeAutospacing="0" w:after="0" w:afterAutospacing="0" w:line="500" w:lineRule="exact"/>
        <w:ind w:firstLine="0" w:firstLineChars="0"/>
        <w:jc w:val="both"/>
        <w:outlineLvl w:val="1"/>
        <w:rPr>
          <w:rFonts w:hint="eastAsia" w:ascii="仿宋" w:hAnsi="仿宋" w:eastAsia="仿宋" w:cs="仿宋"/>
          <w:b/>
          <w:bCs/>
          <w:spacing w:val="14"/>
          <w:sz w:val="22"/>
          <w:szCs w:val="22"/>
          <w:lang w:eastAsia="zh-CN"/>
        </w:rPr>
      </w:pPr>
      <w:bookmarkStart w:id="0" w:name="_Toc12015"/>
      <w:bookmarkStart w:id="1" w:name="_Toc14492"/>
      <w:bookmarkStart w:id="2" w:name="_Toc256000008"/>
      <w:bookmarkStart w:id="3" w:name="_Toc14433"/>
      <w:bookmarkStart w:id="4" w:name="_Toc1241"/>
      <w:bookmarkStart w:id="5" w:name="_Toc256000006"/>
      <w:bookmarkStart w:id="6" w:name="_Toc256000042"/>
      <w:bookmarkStart w:id="7" w:name="_Toc28175"/>
      <w:r>
        <w:rPr>
          <w:rFonts w:hint="eastAsia" w:ascii="仿宋" w:hAnsi="仿宋" w:eastAsia="仿宋" w:cs="仿宋"/>
          <w:b/>
          <w:bCs/>
          <w:spacing w:val="14"/>
          <w:sz w:val="22"/>
          <w:szCs w:val="22"/>
          <w:lang w:eastAsia="zh-CN"/>
        </w:rPr>
        <w:t>一、项目基本情况</w:t>
      </w:r>
      <w:bookmarkEnd w:id="0"/>
      <w:bookmarkEnd w:id="1"/>
      <w:bookmarkEnd w:id="2"/>
      <w:bookmarkEnd w:id="3"/>
      <w:bookmarkEnd w:id="4"/>
      <w:bookmarkEnd w:id="5"/>
      <w:bookmarkEnd w:id="6"/>
      <w:bookmarkEnd w:id="7"/>
    </w:p>
    <w:p>
      <w:pPr>
        <w:pStyle w:val="4"/>
        <w:spacing w:before="0" w:beforeAutospacing="0" w:after="0" w:afterAutospacing="0" w:line="500" w:lineRule="exact"/>
        <w:ind w:firstLine="434"/>
        <w:jc w:val="both"/>
        <w:rPr>
          <w:rFonts w:hint="eastAsia" w:ascii="仿宋" w:hAnsi="仿宋" w:eastAsia="仿宋" w:cs="仿宋"/>
          <w:spacing w:val="14"/>
          <w:sz w:val="22"/>
          <w:szCs w:val="22"/>
          <w:lang w:val="en-US" w:eastAsia="zh-CN"/>
        </w:rPr>
      </w:pPr>
      <w:r>
        <w:rPr>
          <w:rFonts w:hint="eastAsia" w:ascii="仿宋" w:hAnsi="仿宋" w:eastAsia="仿宋" w:cs="仿宋"/>
          <w:spacing w:val="14"/>
          <w:sz w:val="22"/>
          <w:szCs w:val="22"/>
          <w:lang w:val="en-US" w:eastAsia="zh-CN"/>
        </w:rPr>
        <w:t xml:space="preserve">1、项目编号：嵩政采竞谈-2024-5 </w:t>
      </w:r>
    </w:p>
    <w:p>
      <w:pPr>
        <w:pStyle w:val="4"/>
        <w:spacing w:before="0" w:beforeAutospacing="0" w:after="0" w:afterAutospacing="0" w:line="500" w:lineRule="exact"/>
        <w:ind w:firstLine="434"/>
        <w:jc w:val="both"/>
        <w:rPr>
          <w:rFonts w:hint="eastAsia" w:ascii="仿宋" w:hAnsi="仿宋" w:eastAsia="仿宋" w:cs="仿宋"/>
          <w:spacing w:val="14"/>
          <w:sz w:val="22"/>
          <w:szCs w:val="22"/>
          <w:lang w:eastAsia="zh-CN"/>
        </w:rPr>
      </w:pPr>
      <w:r>
        <w:rPr>
          <w:rFonts w:hint="eastAsia" w:ascii="仿宋" w:hAnsi="仿宋" w:eastAsia="仿宋" w:cs="仿宋"/>
          <w:spacing w:val="14"/>
          <w:sz w:val="22"/>
          <w:szCs w:val="22"/>
          <w:lang w:eastAsia="zh-CN"/>
        </w:rPr>
        <w:t xml:space="preserve">2、项目名称：嵩县城市管理局侧挂桶式垃圾清运车购置项目 </w:t>
      </w:r>
    </w:p>
    <w:p>
      <w:pPr>
        <w:pStyle w:val="4"/>
        <w:spacing w:before="0" w:beforeAutospacing="0" w:after="0" w:afterAutospacing="0" w:line="500" w:lineRule="exact"/>
        <w:ind w:firstLine="434"/>
        <w:jc w:val="both"/>
        <w:rPr>
          <w:rFonts w:hint="eastAsia" w:ascii="仿宋" w:hAnsi="仿宋" w:eastAsia="仿宋" w:cs="仿宋"/>
          <w:spacing w:val="14"/>
          <w:sz w:val="22"/>
          <w:szCs w:val="22"/>
          <w:lang w:eastAsia="zh-CN"/>
        </w:rPr>
      </w:pPr>
      <w:r>
        <w:rPr>
          <w:rFonts w:hint="eastAsia" w:ascii="仿宋" w:hAnsi="仿宋" w:eastAsia="仿宋" w:cs="仿宋"/>
          <w:spacing w:val="14"/>
          <w:sz w:val="22"/>
          <w:szCs w:val="22"/>
          <w:lang w:eastAsia="zh-CN"/>
        </w:rPr>
        <w:t>3、采购方式：竞争性谈判</w:t>
      </w:r>
    </w:p>
    <w:p>
      <w:pPr>
        <w:pStyle w:val="4"/>
        <w:spacing w:before="0" w:beforeAutospacing="0" w:after="0" w:afterAutospacing="0" w:line="500" w:lineRule="exact"/>
        <w:ind w:firstLine="434"/>
        <w:jc w:val="both"/>
        <w:rPr>
          <w:rFonts w:hint="eastAsia" w:ascii="仿宋" w:hAnsi="仿宋" w:eastAsia="仿宋" w:cs="仿宋"/>
          <w:spacing w:val="14"/>
          <w:sz w:val="22"/>
          <w:szCs w:val="22"/>
          <w:lang w:eastAsia="zh-CN"/>
        </w:rPr>
      </w:pPr>
      <w:r>
        <w:rPr>
          <w:rFonts w:hint="eastAsia" w:ascii="仿宋" w:hAnsi="仿宋" w:eastAsia="仿宋" w:cs="仿宋"/>
          <w:spacing w:val="14"/>
          <w:sz w:val="22"/>
          <w:szCs w:val="22"/>
          <w:lang w:eastAsia="zh-CN"/>
        </w:rPr>
        <w:t>4、预算金额：</w:t>
      </w:r>
      <w:r>
        <w:rPr>
          <w:rFonts w:hint="eastAsia" w:ascii="仿宋" w:hAnsi="仿宋" w:eastAsia="仿宋" w:cs="仿宋"/>
          <w:spacing w:val="14"/>
          <w:sz w:val="22"/>
          <w:szCs w:val="22"/>
          <w:lang w:val="en-US" w:eastAsia="zh-CN"/>
        </w:rPr>
        <w:t>840000.00元</w:t>
      </w:r>
    </w:p>
    <w:p>
      <w:pPr>
        <w:pStyle w:val="4"/>
        <w:spacing w:before="0" w:beforeAutospacing="0" w:after="0" w:afterAutospacing="0" w:line="500" w:lineRule="exact"/>
        <w:ind w:firstLine="992" w:firstLineChars="400"/>
        <w:jc w:val="both"/>
        <w:rPr>
          <w:rFonts w:hint="eastAsia" w:ascii="仿宋" w:hAnsi="仿宋" w:eastAsia="仿宋" w:cs="仿宋"/>
          <w:spacing w:val="14"/>
          <w:kern w:val="2"/>
          <w:sz w:val="22"/>
          <w:szCs w:val="22"/>
          <w:lang w:val="en-US" w:eastAsia="zh-CN"/>
        </w:rPr>
      </w:pPr>
      <w:r>
        <w:rPr>
          <w:rFonts w:hint="eastAsia" w:ascii="仿宋" w:hAnsi="仿宋" w:eastAsia="仿宋" w:cs="仿宋"/>
          <w:spacing w:val="14"/>
          <w:sz w:val="22"/>
          <w:szCs w:val="22"/>
          <w:lang w:eastAsia="zh-CN"/>
        </w:rPr>
        <w:t>最高限价：</w:t>
      </w:r>
      <w:r>
        <w:rPr>
          <w:rFonts w:hint="eastAsia" w:ascii="仿宋" w:hAnsi="仿宋" w:eastAsia="仿宋" w:cs="仿宋"/>
          <w:spacing w:val="14"/>
          <w:sz w:val="22"/>
          <w:szCs w:val="22"/>
          <w:lang w:val="en-US" w:eastAsia="zh-CN"/>
        </w:rPr>
        <w:t>840000.00元</w:t>
      </w:r>
    </w:p>
    <w:tbl>
      <w:tblPr>
        <w:tblStyle w:val="2"/>
        <w:tblW w:w="9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593"/>
        <w:gridCol w:w="1833"/>
        <w:gridCol w:w="1928"/>
        <w:gridCol w:w="1511"/>
        <w:gridCol w:w="1219"/>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549" w:type="dxa"/>
            <w:noWrap w:val="0"/>
            <w:vAlign w:val="center"/>
          </w:tcPr>
          <w:p>
            <w:pPr>
              <w:pStyle w:val="4"/>
              <w:spacing w:before="0" w:beforeAutospacing="0" w:after="0" w:afterAutospacing="0" w:line="500" w:lineRule="exact"/>
              <w:ind w:firstLine="0" w:firstLineChars="0"/>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序号</w:t>
            </w:r>
          </w:p>
        </w:tc>
        <w:tc>
          <w:tcPr>
            <w:tcW w:w="1593" w:type="dxa"/>
            <w:noWrap w:val="0"/>
            <w:vAlign w:val="center"/>
          </w:tcPr>
          <w:p>
            <w:pPr>
              <w:pStyle w:val="4"/>
              <w:spacing w:before="0" w:beforeAutospacing="0" w:after="0" w:afterAutospacing="0" w:line="500" w:lineRule="exact"/>
              <w:ind w:firstLine="0" w:firstLineChars="0"/>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包号</w:t>
            </w:r>
          </w:p>
        </w:tc>
        <w:tc>
          <w:tcPr>
            <w:tcW w:w="1833" w:type="dxa"/>
            <w:noWrap w:val="0"/>
            <w:vAlign w:val="center"/>
          </w:tcPr>
          <w:p>
            <w:pPr>
              <w:pStyle w:val="4"/>
              <w:spacing w:before="0" w:beforeAutospacing="0" w:after="0" w:afterAutospacing="0" w:line="500" w:lineRule="exact"/>
              <w:ind w:firstLine="0" w:firstLineChars="0"/>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包名称</w:t>
            </w:r>
          </w:p>
        </w:tc>
        <w:tc>
          <w:tcPr>
            <w:tcW w:w="1928" w:type="dxa"/>
            <w:noWrap w:val="0"/>
            <w:vAlign w:val="center"/>
          </w:tcPr>
          <w:p>
            <w:pPr>
              <w:pStyle w:val="4"/>
              <w:spacing w:before="0" w:beforeAutospacing="0" w:after="0" w:afterAutospacing="0" w:line="500" w:lineRule="exact"/>
              <w:ind w:firstLine="0" w:firstLineChars="0"/>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包预算（元）</w:t>
            </w:r>
          </w:p>
        </w:tc>
        <w:tc>
          <w:tcPr>
            <w:tcW w:w="1511" w:type="dxa"/>
            <w:noWrap w:val="0"/>
            <w:vAlign w:val="center"/>
          </w:tcPr>
          <w:p>
            <w:pPr>
              <w:pStyle w:val="4"/>
              <w:spacing w:before="0" w:beforeAutospacing="0" w:after="0" w:afterAutospacing="0" w:line="500" w:lineRule="exact"/>
              <w:ind w:firstLine="0" w:firstLineChars="0"/>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包最高限价（元）</w:t>
            </w:r>
          </w:p>
        </w:tc>
        <w:tc>
          <w:tcPr>
            <w:tcW w:w="1219" w:type="dxa"/>
            <w:noWrap w:val="0"/>
            <w:vAlign w:val="center"/>
          </w:tcPr>
          <w:p>
            <w:pPr>
              <w:pStyle w:val="4"/>
              <w:spacing w:before="0" w:beforeAutospacing="0" w:after="0" w:afterAutospacing="0" w:line="500" w:lineRule="exact"/>
              <w:ind w:firstLine="0" w:firstLineChars="0"/>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是否专门面向中小企业</w:t>
            </w:r>
          </w:p>
        </w:tc>
        <w:tc>
          <w:tcPr>
            <w:tcW w:w="1344" w:type="dxa"/>
            <w:noWrap w:val="0"/>
            <w:vAlign w:val="center"/>
          </w:tcPr>
          <w:p>
            <w:pPr>
              <w:pStyle w:val="4"/>
              <w:spacing w:before="0" w:beforeAutospacing="0" w:after="0" w:afterAutospacing="0" w:line="500" w:lineRule="exact"/>
              <w:ind w:firstLine="0" w:firstLineChars="0"/>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549" w:type="dxa"/>
            <w:noWrap w:val="0"/>
            <w:vAlign w:val="center"/>
          </w:tcPr>
          <w:p>
            <w:pPr>
              <w:pStyle w:val="4"/>
              <w:spacing w:before="0" w:beforeAutospacing="0" w:after="0" w:afterAutospacing="0" w:line="500" w:lineRule="exact"/>
              <w:ind w:firstLine="0" w:firstLineChars="0"/>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w:t>
            </w:r>
          </w:p>
        </w:tc>
        <w:tc>
          <w:tcPr>
            <w:tcW w:w="1593" w:type="dxa"/>
            <w:noWrap w:val="0"/>
            <w:vAlign w:val="center"/>
          </w:tcPr>
          <w:p>
            <w:pPr>
              <w:pStyle w:val="4"/>
              <w:spacing w:before="0" w:beforeAutospacing="0" w:after="0" w:afterAutospacing="0" w:line="500" w:lineRule="exact"/>
              <w:ind w:firstLine="0" w:firstLineChars="0"/>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嵩县政采谈判(2024)0041号</w:t>
            </w:r>
          </w:p>
        </w:tc>
        <w:tc>
          <w:tcPr>
            <w:tcW w:w="1833" w:type="dxa"/>
            <w:noWrap w:val="0"/>
            <w:vAlign w:val="center"/>
          </w:tcPr>
          <w:p>
            <w:pPr>
              <w:pStyle w:val="4"/>
              <w:spacing w:before="0" w:beforeAutospacing="0" w:after="0" w:afterAutospacing="0" w:line="500" w:lineRule="exact"/>
              <w:ind w:firstLine="0" w:firstLineChars="0"/>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 xml:space="preserve">嵩县城市管理局侧挂桶式垃圾清运车购置项目 </w:t>
            </w:r>
          </w:p>
        </w:tc>
        <w:tc>
          <w:tcPr>
            <w:tcW w:w="1928" w:type="dxa"/>
            <w:noWrap w:val="0"/>
            <w:vAlign w:val="center"/>
          </w:tcPr>
          <w:p>
            <w:pPr>
              <w:pStyle w:val="4"/>
              <w:spacing w:before="0" w:beforeAutospacing="0" w:after="0" w:afterAutospacing="0" w:line="500" w:lineRule="exact"/>
              <w:ind w:firstLine="0" w:firstLineChars="0"/>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840000.00</w:t>
            </w:r>
          </w:p>
        </w:tc>
        <w:tc>
          <w:tcPr>
            <w:tcW w:w="1511" w:type="dxa"/>
            <w:noWrap w:val="0"/>
            <w:vAlign w:val="center"/>
          </w:tcPr>
          <w:p>
            <w:pPr>
              <w:pStyle w:val="4"/>
              <w:spacing w:before="0" w:beforeAutospacing="0" w:after="0" w:afterAutospacing="0" w:line="500" w:lineRule="exact"/>
              <w:ind w:firstLine="0" w:firstLineChars="0"/>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840000.00</w:t>
            </w:r>
          </w:p>
        </w:tc>
        <w:tc>
          <w:tcPr>
            <w:tcW w:w="1219" w:type="dxa"/>
            <w:noWrap w:val="0"/>
            <w:vAlign w:val="center"/>
          </w:tcPr>
          <w:p>
            <w:pPr>
              <w:pStyle w:val="4"/>
              <w:spacing w:before="0" w:beforeAutospacing="0" w:after="0" w:afterAutospacing="0" w:line="500" w:lineRule="exact"/>
              <w:ind w:firstLine="0" w:firstLineChars="0"/>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 xml:space="preserve">是 </w:t>
            </w:r>
          </w:p>
        </w:tc>
        <w:tc>
          <w:tcPr>
            <w:tcW w:w="1344" w:type="dxa"/>
            <w:noWrap w:val="0"/>
            <w:vAlign w:val="center"/>
          </w:tcPr>
          <w:p>
            <w:pPr>
              <w:pStyle w:val="4"/>
              <w:spacing w:before="0" w:beforeAutospacing="0" w:after="0" w:afterAutospacing="0" w:line="500" w:lineRule="exact"/>
              <w:ind w:firstLine="0" w:firstLineChars="0"/>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840000.00</w:t>
            </w:r>
          </w:p>
        </w:tc>
      </w:tr>
    </w:tbl>
    <w:p>
      <w:pPr>
        <w:pStyle w:val="4"/>
        <w:spacing w:before="0" w:beforeAutospacing="0" w:after="0" w:afterAutospacing="0" w:line="500" w:lineRule="exact"/>
        <w:ind w:firstLine="434"/>
        <w:jc w:val="both"/>
        <w:rPr>
          <w:rFonts w:hint="eastAsia" w:ascii="仿宋" w:hAnsi="仿宋" w:eastAsia="仿宋" w:cs="仿宋"/>
          <w:spacing w:val="14"/>
          <w:sz w:val="22"/>
          <w:szCs w:val="22"/>
          <w:lang w:val="en-US" w:eastAsia="zh-CN"/>
        </w:rPr>
      </w:pPr>
      <w:r>
        <w:rPr>
          <w:rFonts w:hint="eastAsia" w:ascii="仿宋" w:hAnsi="仿宋" w:eastAsia="仿宋" w:cs="仿宋"/>
          <w:spacing w:val="14"/>
          <w:sz w:val="22"/>
          <w:szCs w:val="22"/>
          <w:lang w:val="en-US" w:eastAsia="zh-CN"/>
        </w:rPr>
        <w:t>5、采购需求（包括但不限于标的的名称、数量、简要技术需求或服务要求等） ：</w:t>
      </w:r>
    </w:p>
    <w:p>
      <w:pPr>
        <w:pStyle w:val="4"/>
        <w:spacing w:before="0" w:beforeAutospacing="0" w:after="0" w:afterAutospacing="0" w:line="500" w:lineRule="exact"/>
        <w:ind w:firstLine="992" w:firstLineChars="400"/>
        <w:jc w:val="both"/>
        <w:rPr>
          <w:rFonts w:hint="eastAsia" w:ascii="仿宋" w:hAnsi="仿宋" w:eastAsia="仿宋" w:cs="仿宋"/>
          <w:spacing w:val="14"/>
          <w:sz w:val="22"/>
          <w:szCs w:val="22"/>
          <w:lang w:val="en-US" w:eastAsia="zh-CN"/>
        </w:rPr>
      </w:pPr>
      <w:r>
        <w:rPr>
          <w:rFonts w:hint="eastAsia" w:ascii="仿宋" w:hAnsi="仿宋" w:eastAsia="仿宋" w:cs="仿宋"/>
          <w:spacing w:val="14"/>
          <w:sz w:val="22"/>
          <w:szCs w:val="22"/>
          <w:lang w:val="en-US" w:eastAsia="zh-CN"/>
        </w:rPr>
        <w:t>（1）项目概况：本项目为嵩县城市管理局侧挂桶式垃圾清运车购置项目 ；</w:t>
      </w:r>
    </w:p>
    <w:p>
      <w:pPr>
        <w:pStyle w:val="4"/>
        <w:spacing w:before="0" w:beforeAutospacing="0" w:after="0" w:afterAutospacing="0" w:line="500" w:lineRule="exact"/>
        <w:ind w:firstLine="992" w:firstLineChars="400"/>
        <w:jc w:val="both"/>
        <w:rPr>
          <w:rFonts w:hint="eastAsia" w:ascii="仿宋" w:hAnsi="仿宋" w:eastAsia="仿宋" w:cs="仿宋"/>
          <w:spacing w:val="14"/>
          <w:sz w:val="22"/>
          <w:szCs w:val="22"/>
          <w:lang w:val="en-US" w:eastAsia="zh-CN"/>
        </w:rPr>
      </w:pPr>
      <w:r>
        <w:rPr>
          <w:rFonts w:hint="eastAsia" w:ascii="仿宋" w:hAnsi="仿宋" w:eastAsia="仿宋" w:cs="仿宋"/>
          <w:spacing w:val="14"/>
          <w:sz w:val="22"/>
          <w:szCs w:val="22"/>
          <w:lang w:val="en-US" w:eastAsia="zh-CN"/>
        </w:rPr>
        <w:t>（2）资金来源：财政资金</w:t>
      </w:r>
    </w:p>
    <w:p>
      <w:pPr>
        <w:pStyle w:val="4"/>
        <w:spacing w:before="0" w:beforeAutospacing="0" w:after="0" w:afterAutospacing="0" w:line="500" w:lineRule="exact"/>
        <w:ind w:firstLine="992" w:firstLineChars="400"/>
        <w:jc w:val="both"/>
        <w:rPr>
          <w:rFonts w:hint="eastAsia" w:ascii="仿宋" w:hAnsi="仿宋" w:eastAsia="仿宋" w:cs="仿宋"/>
          <w:spacing w:val="14"/>
          <w:sz w:val="22"/>
          <w:szCs w:val="22"/>
          <w:lang w:val="en-US" w:eastAsia="zh-CN"/>
        </w:rPr>
      </w:pPr>
      <w:r>
        <w:rPr>
          <w:rFonts w:hint="eastAsia" w:ascii="仿宋" w:hAnsi="仿宋" w:eastAsia="仿宋" w:cs="仿宋"/>
          <w:spacing w:val="14"/>
          <w:sz w:val="22"/>
          <w:szCs w:val="22"/>
          <w:lang w:val="en-US" w:eastAsia="zh-CN"/>
        </w:rPr>
        <w:t>（3）交货期：15日历天</w:t>
      </w:r>
    </w:p>
    <w:p>
      <w:pPr>
        <w:pStyle w:val="4"/>
        <w:spacing w:before="0" w:beforeAutospacing="0" w:after="0" w:afterAutospacing="0" w:line="500" w:lineRule="exact"/>
        <w:ind w:firstLine="992" w:firstLineChars="400"/>
        <w:jc w:val="both"/>
        <w:rPr>
          <w:rFonts w:hint="eastAsia" w:ascii="仿宋" w:hAnsi="仿宋" w:eastAsia="仿宋" w:cs="仿宋"/>
          <w:spacing w:val="14"/>
          <w:sz w:val="22"/>
          <w:szCs w:val="22"/>
          <w:lang w:val="en-US" w:eastAsia="zh-CN"/>
        </w:rPr>
      </w:pPr>
      <w:r>
        <w:rPr>
          <w:rFonts w:hint="eastAsia" w:ascii="仿宋" w:hAnsi="仿宋" w:eastAsia="仿宋" w:cs="仿宋"/>
          <w:spacing w:val="14"/>
          <w:sz w:val="22"/>
          <w:szCs w:val="22"/>
          <w:lang w:val="en-US" w:eastAsia="zh-CN"/>
        </w:rPr>
        <w:t xml:space="preserve">（4）交货地点：采购人所在地，具体地点为采购人指定地点； </w:t>
      </w:r>
    </w:p>
    <w:p>
      <w:pPr>
        <w:pStyle w:val="4"/>
        <w:spacing w:before="0" w:beforeAutospacing="0" w:after="0" w:afterAutospacing="0" w:line="500" w:lineRule="exact"/>
        <w:ind w:firstLine="992" w:firstLineChars="400"/>
        <w:jc w:val="both"/>
        <w:rPr>
          <w:rFonts w:hint="eastAsia" w:ascii="仿宋" w:hAnsi="仿宋" w:eastAsia="仿宋" w:cs="仿宋"/>
          <w:spacing w:val="14"/>
          <w:sz w:val="22"/>
          <w:szCs w:val="22"/>
          <w:lang w:val="en-US" w:eastAsia="zh-CN"/>
        </w:rPr>
      </w:pPr>
      <w:r>
        <w:rPr>
          <w:rFonts w:hint="eastAsia" w:ascii="仿宋" w:hAnsi="仿宋" w:eastAsia="仿宋" w:cs="仿宋"/>
          <w:spacing w:val="14"/>
          <w:sz w:val="22"/>
          <w:szCs w:val="22"/>
          <w:lang w:val="en-US" w:eastAsia="zh-CN"/>
        </w:rPr>
        <w:t>（5）质量标准：合格</w:t>
      </w:r>
    </w:p>
    <w:p>
      <w:pPr>
        <w:pStyle w:val="4"/>
        <w:spacing w:before="0" w:beforeAutospacing="0" w:after="0" w:afterAutospacing="0" w:line="500" w:lineRule="exact"/>
        <w:ind w:firstLine="992" w:firstLineChars="400"/>
        <w:jc w:val="both"/>
        <w:rPr>
          <w:rFonts w:hint="eastAsia" w:ascii="仿宋" w:hAnsi="仿宋" w:eastAsia="仿宋" w:cs="仿宋"/>
          <w:spacing w:val="14"/>
          <w:sz w:val="22"/>
          <w:szCs w:val="22"/>
          <w:lang w:val="en-US" w:eastAsia="zh-CN"/>
        </w:rPr>
      </w:pPr>
      <w:r>
        <w:rPr>
          <w:rFonts w:hint="eastAsia" w:ascii="仿宋" w:hAnsi="仿宋" w:eastAsia="仿宋" w:cs="仿宋"/>
          <w:spacing w:val="14"/>
          <w:sz w:val="22"/>
          <w:szCs w:val="22"/>
          <w:lang w:val="en-US" w:eastAsia="zh-CN"/>
        </w:rPr>
        <w:t>（6）质保期：3年</w:t>
      </w:r>
    </w:p>
    <w:p>
      <w:pPr>
        <w:pStyle w:val="4"/>
        <w:spacing w:before="0" w:beforeAutospacing="0" w:after="0" w:afterAutospacing="0" w:line="500" w:lineRule="exact"/>
        <w:ind w:firstLine="992" w:firstLineChars="400"/>
        <w:jc w:val="both"/>
        <w:rPr>
          <w:rFonts w:hint="eastAsia" w:ascii="仿宋" w:hAnsi="仿宋" w:eastAsia="仿宋" w:cs="仿宋"/>
          <w:spacing w:val="14"/>
          <w:sz w:val="22"/>
          <w:szCs w:val="22"/>
          <w:lang w:val="en-US" w:eastAsia="zh-CN"/>
        </w:rPr>
      </w:pPr>
      <w:r>
        <w:rPr>
          <w:rFonts w:hint="eastAsia" w:ascii="仿宋" w:hAnsi="仿宋" w:eastAsia="仿宋" w:cs="仿宋"/>
          <w:spacing w:val="14"/>
          <w:sz w:val="22"/>
          <w:szCs w:val="22"/>
          <w:lang w:val="en-US" w:eastAsia="zh-CN"/>
        </w:rPr>
        <w:t>（7）标段划分：本项目共划分为1个标段</w:t>
      </w:r>
    </w:p>
    <w:p>
      <w:pPr>
        <w:pStyle w:val="4"/>
        <w:spacing w:before="0" w:beforeAutospacing="0" w:after="0" w:afterAutospacing="0" w:line="500" w:lineRule="exact"/>
        <w:ind w:firstLine="434"/>
        <w:jc w:val="both"/>
        <w:rPr>
          <w:rFonts w:hint="eastAsia" w:ascii="仿宋" w:hAnsi="仿宋" w:eastAsia="仿宋" w:cs="仿宋"/>
          <w:spacing w:val="14"/>
          <w:sz w:val="22"/>
          <w:szCs w:val="22"/>
          <w:lang w:val="en-US" w:eastAsia="zh-CN"/>
        </w:rPr>
      </w:pPr>
      <w:r>
        <w:rPr>
          <w:rFonts w:hint="eastAsia" w:ascii="仿宋" w:hAnsi="仿宋" w:eastAsia="仿宋" w:cs="仿宋"/>
          <w:spacing w:val="14"/>
          <w:sz w:val="22"/>
          <w:szCs w:val="22"/>
          <w:lang w:val="en-US" w:eastAsia="zh-CN"/>
        </w:rPr>
        <w:t>6、合同履行期限：自合同签订之日起，合同履行完毕止。</w:t>
      </w:r>
    </w:p>
    <w:p>
      <w:pPr>
        <w:pStyle w:val="4"/>
        <w:spacing w:before="0" w:beforeAutospacing="0" w:after="0" w:afterAutospacing="0" w:line="500" w:lineRule="exact"/>
        <w:ind w:firstLine="434"/>
        <w:jc w:val="both"/>
        <w:rPr>
          <w:rFonts w:hint="eastAsia" w:ascii="仿宋" w:hAnsi="仿宋" w:eastAsia="仿宋" w:cs="仿宋"/>
          <w:spacing w:val="14"/>
          <w:sz w:val="22"/>
          <w:szCs w:val="22"/>
          <w:lang w:val="en-US" w:eastAsia="zh-CN"/>
        </w:rPr>
      </w:pPr>
      <w:r>
        <w:rPr>
          <w:rFonts w:hint="eastAsia" w:ascii="仿宋" w:hAnsi="仿宋" w:eastAsia="仿宋" w:cs="仿宋"/>
          <w:spacing w:val="14"/>
          <w:sz w:val="22"/>
          <w:szCs w:val="22"/>
          <w:lang w:val="en-US" w:eastAsia="zh-CN"/>
        </w:rPr>
        <w:t>7、本项目是否接受联合体投标：否</w:t>
      </w:r>
    </w:p>
    <w:p>
      <w:pPr>
        <w:pStyle w:val="4"/>
        <w:spacing w:before="0" w:beforeAutospacing="0" w:after="0" w:afterAutospacing="0" w:line="500" w:lineRule="exact"/>
        <w:ind w:firstLine="434"/>
        <w:jc w:val="both"/>
        <w:rPr>
          <w:rFonts w:hint="eastAsia" w:ascii="仿宋" w:hAnsi="仿宋" w:eastAsia="仿宋" w:cs="仿宋"/>
          <w:spacing w:val="14"/>
          <w:sz w:val="22"/>
          <w:szCs w:val="22"/>
          <w:lang w:val="en-US" w:eastAsia="zh-CN"/>
        </w:rPr>
      </w:pPr>
      <w:r>
        <w:rPr>
          <w:rFonts w:hint="eastAsia" w:ascii="仿宋" w:hAnsi="仿宋" w:eastAsia="仿宋" w:cs="仿宋"/>
          <w:spacing w:val="14"/>
          <w:sz w:val="22"/>
          <w:szCs w:val="22"/>
          <w:lang w:val="en-US" w:eastAsia="zh-CN"/>
        </w:rPr>
        <w:t>8、是否接受进口产品：否</w:t>
      </w:r>
    </w:p>
    <w:p>
      <w:pPr>
        <w:pStyle w:val="4"/>
        <w:spacing w:before="0" w:beforeAutospacing="0" w:after="0" w:afterAutospacing="0" w:line="500" w:lineRule="exact"/>
        <w:ind w:firstLine="434"/>
        <w:jc w:val="both"/>
        <w:rPr>
          <w:rFonts w:hint="eastAsia" w:ascii="仿宋" w:hAnsi="仿宋" w:eastAsia="仿宋" w:cs="仿宋"/>
          <w:spacing w:val="14"/>
          <w:sz w:val="22"/>
          <w:szCs w:val="22"/>
          <w:lang w:val="en-US" w:eastAsia="zh-CN"/>
        </w:rPr>
      </w:pPr>
      <w:r>
        <w:rPr>
          <w:rFonts w:hint="eastAsia" w:ascii="仿宋" w:hAnsi="仿宋" w:eastAsia="仿宋" w:cs="仿宋"/>
          <w:spacing w:val="14"/>
          <w:sz w:val="22"/>
          <w:szCs w:val="22"/>
          <w:lang w:val="en-US" w:eastAsia="zh-CN"/>
        </w:rPr>
        <w:t>9.是否专门面向中小企业：是</w:t>
      </w:r>
    </w:p>
    <w:p>
      <w:pPr>
        <w:pStyle w:val="4"/>
        <w:spacing w:before="0" w:beforeAutospacing="0" w:after="0" w:afterAutospacing="0" w:line="500" w:lineRule="exact"/>
        <w:ind w:firstLine="0" w:firstLineChars="0"/>
        <w:jc w:val="both"/>
        <w:outlineLvl w:val="1"/>
        <w:rPr>
          <w:rFonts w:hint="eastAsia" w:ascii="仿宋" w:hAnsi="仿宋" w:eastAsia="仿宋" w:cs="仿宋"/>
          <w:spacing w:val="14"/>
          <w:sz w:val="22"/>
          <w:szCs w:val="22"/>
          <w:lang w:val="en-US" w:eastAsia="zh-CN"/>
        </w:rPr>
      </w:pPr>
      <w:bookmarkStart w:id="8" w:name="_Toc256000007"/>
      <w:bookmarkStart w:id="9" w:name="_Toc24888"/>
      <w:bookmarkStart w:id="10" w:name="_Toc2178"/>
      <w:bookmarkStart w:id="11" w:name="_Toc256000009"/>
      <w:bookmarkStart w:id="12" w:name="_Toc19362"/>
      <w:bookmarkStart w:id="13" w:name="_Toc29481"/>
      <w:bookmarkStart w:id="14" w:name="_Toc256000043"/>
      <w:bookmarkStart w:id="15" w:name="_Toc1640"/>
      <w:r>
        <w:rPr>
          <w:rFonts w:hint="eastAsia" w:ascii="仿宋" w:hAnsi="仿宋" w:eastAsia="仿宋" w:cs="仿宋"/>
          <w:b/>
          <w:bCs/>
          <w:spacing w:val="14"/>
          <w:sz w:val="22"/>
          <w:szCs w:val="22"/>
          <w:lang w:val="en-US" w:eastAsia="zh-CN"/>
        </w:rPr>
        <w:t>二、供应商资格条件</w:t>
      </w:r>
      <w:bookmarkEnd w:id="8"/>
      <w:bookmarkEnd w:id="9"/>
      <w:bookmarkEnd w:id="10"/>
      <w:bookmarkEnd w:id="11"/>
      <w:bookmarkEnd w:id="12"/>
      <w:bookmarkEnd w:id="13"/>
      <w:bookmarkEnd w:id="14"/>
      <w:bookmarkEnd w:id="15"/>
    </w:p>
    <w:p>
      <w:pPr>
        <w:pStyle w:val="4"/>
        <w:spacing w:before="0" w:beforeAutospacing="0" w:after="0" w:afterAutospacing="0" w:line="500" w:lineRule="exact"/>
        <w:ind w:firstLine="358"/>
        <w:jc w:val="both"/>
        <w:rPr>
          <w:rFonts w:hint="eastAsia" w:ascii="仿宋" w:hAnsi="仿宋" w:eastAsia="仿宋" w:cs="仿宋"/>
          <w:color w:val="000000"/>
          <w:kern w:val="2"/>
          <w:sz w:val="21"/>
          <w:szCs w:val="21"/>
          <w:lang w:val="en-US" w:eastAsia="zh-CN"/>
        </w:rPr>
      </w:pPr>
      <w:r>
        <w:rPr>
          <w:rFonts w:hint="eastAsia" w:ascii="仿宋" w:hAnsi="仿宋" w:eastAsia="仿宋" w:cs="仿宋"/>
          <w:color w:val="000000"/>
          <w:kern w:val="2"/>
          <w:sz w:val="21"/>
          <w:szCs w:val="21"/>
          <w:lang w:val="en-US" w:eastAsia="zh-CN"/>
        </w:rPr>
        <w:t>1、满足《中华人民共和国政府采购法》第二十二条规定；</w:t>
      </w:r>
    </w:p>
    <w:p>
      <w:pPr>
        <w:pStyle w:val="4"/>
        <w:spacing w:before="0" w:beforeAutospacing="0" w:after="0" w:afterAutospacing="0" w:line="500" w:lineRule="exact"/>
        <w:ind w:firstLine="358"/>
        <w:jc w:val="both"/>
        <w:rPr>
          <w:rFonts w:hint="eastAsia" w:ascii="仿宋" w:hAnsi="仿宋" w:eastAsia="仿宋" w:cs="仿宋"/>
          <w:color w:val="000000"/>
          <w:kern w:val="2"/>
          <w:sz w:val="21"/>
          <w:szCs w:val="21"/>
          <w:lang w:val="en-US" w:eastAsia="zh-CN"/>
        </w:rPr>
      </w:pPr>
      <w:r>
        <w:rPr>
          <w:rFonts w:hint="eastAsia" w:ascii="仿宋" w:hAnsi="仿宋" w:eastAsia="仿宋" w:cs="仿宋"/>
          <w:color w:val="000000"/>
          <w:kern w:val="2"/>
          <w:sz w:val="21"/>
          <w:szCs w:val="21"/>
          <w:lang w:val="en-US" w:eastAsia="zh-CN"/>
        </w:rPr>
        <w:t>2、落实政府采购政策满足的资格要求：</w:t>
      </w:r>
    </w:p>
    <w:p>
      <w:pPr>
        <w:pStyle w:val="4"/>
        <w:spacing w:before="0" w:beforeAutospacing="0" w:after="0" w:afterAutospacing="0" w:line="500" w:lineRule="exact"/>
        <w:ind w:firstLine="358"/>
        <w:jc w:val="both"/>
        <w:rPr>
          <w:rFonts w:hint="eastAsia" w:ascii="仿宋" w:hAnsi="仿宋" w:eastAsia="仿宋" w:cs="仿宋"/>
          <w:color w:val="000000"/>
          <w:kern w:val="2"/>
          <w:sz w:val="21"/>
          <w:szCs w:val="21"/>
          <w:lang w:val="en-US" w:eastAsia="zh-CN"/>
        </w:rPr>
      </w:pPr>
      <w:r>
        <w:rPr>
          <w:rFonts w:hint="eastAsia" w:ascii="仿宋" w:hAnsi="仿宋" w:eastAsia="仿宋" w:cs="仿宋"/>
          <w:color w:val="000000"/>
          <w:kern w:val="2"/>
          <w:sz w:val="21"/>
          <w:szCs w:val="21"/>
          <w:lang w:val="en-US" w:eastAsia="zh-CN"/>
        </w:rPr>
        <w:t>本项目面向中小微（含监狱、残疾人福利性单位）企业，节能环保产品优先采购，执行节约能源、保护环境、促进中小企业发展、扶持不发达地区和少数民族地区等政府采购政策。</w:t>
      </w:r>
    </w:p>
    <w:p>
      <w:pPr>
        <w:pStyle w:val="4"/>
        <w:spacing w:before="0" w:beforeAutospacing="0" w:after="0" w:afterAutospacing="0" w:line="500" w:lineRule="exact"/>
        <w:ind w:firstLine="358"/>
        <w:jc w:val="both"/>
        <w:rPr>
          <w:rFonts w:hint="eastAsia" w:ascii="仿宋" w:hAnsi="仿宋" w:eastAsia="仿宋" w:cs="仿宋"/>
          <w:color w:val="000000"/>
          <w:kern w:val="2"/>
          <w:sz w:val="21"/>
          <w:szCs w:val="21"/>
          <w:lang w:val="en-US" w:eastAsia="zh-CN"/>
        </w:rPr>
      </w:pPr>
      <w:r>
        <w:rPr>
          <w:rFonts w:hint="eastAsia" w:ascii="仿宋" w:hAnsi="仿宋" w:eastAsia="仿宋" w:cs="仿宋"/>
          <w:color w:val="000000"/>
          <w:kern w:val="2"/>
          <w:sz w:val="21"/>
          <w:szCs w:val="21"/>
          <w:lang w:val="en-US" w:eastAsia="zh-CN"/>
        </w:rPr>
        <w:t>3、本项目的特定资格要求：</w:t>
      </w:r>
    </w:p>
    <w:p>
      <w:pPr>
        <w:pStyle w:val="18"/>
        <w:spacing w:line="380" w:lineRule="exact"/>
        <w:ind w:firstLine="420" w:firstLineChars="200"/>
        <w:rPr>
          <w:rFonts w:hint="eastAsia" w:ascii="仿宋" w:hAnsi="仿宋" w:eastAsia="仿宋" w:cs="仿宋"/>
          <w:color w:val="000000"/>
          <w:szCs w:val="21"/>
        </w:rPr>
      </w:pPr>
      <w:bookmarkStart w:id="16" w:name="_Toc7204"/>
      <w:bookmarkStart w:id="17" w:name="_Toc18785"/>
      <w:bookmarkStart w:id="18" w:name="_Toc16552"/>
      <w:bookmarkStart w:id="19" w:name="_Toc6632"/>
      <w:bookmarkStart w:id="20" w:name="_Toc1838"/>
      <w:r>
        <w:rPr>
          <w:rFonts w:hint="eastAsia" w:ascii="仿宋" w:hAnsi="仿宋" w:eastAsia="仿宋" w:cs="仿宋"/>
          <w:color w:val="000000"/>
          <w:szCs w:val="21"/>
        </w:rPr>
        <w:t>3.1、供应商应具备有效的营业执照；</w:t>
      </w:r>
    </w:p>
    <w:p>
      <w:pPr>
        <w:pStyle w:val="18"/>
        <w:spacing w:line="38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3.2、供应商须提供“洛阳市政府采购供应商信用承诺函” (详见响应文件格式) ，采购人有权在签订合同前要求成交供应商提供相关证明材料以核实成交供应商承诺事项的真实性；</w:t>
      </w:r>
    </w:p>
    <w:p>
      <w:pPr>
        <w:pStyle w:val="18"/>
        <w:spacing w:line="38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3.3、本项目不接受联合体响应，实行资格后审，资格后审不合格的供应商的响应文件将不被接受。</w:t>
      </w:r>
    </w:p>
    <w:bookmarkEnd w:id="16"/>
    <w:bookmarkEnd w:id="17"/>
    <w:bookmarkEnd w:id="18"/>
    <w:bookmarkEnd w:id="19"/>
    <w:bookmarkEnd w:id="20"/>
    <w:p>
      <w:pPr>
        <w:pStyle w:val="7"/>
        <w:spacing w:line="380" w:lineRule="exact"/>
        <w:rPr>
          <w:rFonts w:hint="eastAsia" w:ascii="仿宋" w:hAnsi="仿宋" w:eastAsia="仿宋" w:cs="仿宋"/>
          <w:b/>
          <w:bCs/>
          <w:spacing w:val="14"/>
          <w:kern w:val="0"/>
          <w:sz w:val="22"/>
        </w:rPr>
      </w:pPr>
      <w:bookmarkStart w:id="21" w:name="_Toc18102"/>
      <w:bookmarkStart w:id="22" w:name="_Toc20047"/>
      <w:bookmarkStart w:id="23" w:name="_Toc21591"/>
      <w:bookmarkStart w:id="24" w:name="_Toc8636"/>
      <w:bookmarkStart w:id="25" w:name="_Toc5532"/>
      <w:r>
        <w:rPr>
          <w:rFonts w:hint="eastAsia" w:ascii="仿宋" w:hAnsi="仿宋" w:eastAsia="仿宋" w:cs="仿宋"/>
          <w:b/>
          <w:bCs/>
          <w:spacing w:val="14"/>
          <w:kern w:val="0"/>
          <w:sz w:val="22"/>
        </w:rPr>
        <w:t>三、获取采购文件</w:t>
      </w:r>
    </w:p>
    <w:p>
      <w:pPr>
        <w:pStyle w:val="7"/>
        <w:spacing w:line="380" w:lineRule="exact"/>
        <w:ind w:firstLine="420" w:firstLineChars="200"/>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2"/>
          <w:sz w:val="21"/>
          <w:szCs w:val="21"/>
          <w:lang w:val="en-US" w:eastAsia="zh-CN" w:bidi="ar-SA"/>
        </w:rPr>
        <w:t>1.时间：2024年03月25日至2024年03月27日，每天上午00:00至12:00，下午12:00至23:59（北京时间，法定节假日除外。）</w:t>
      </w:r>
    </w:p>
    <w:p>
      <w:pPr>
        <w:pStyle w:val="7"/>
        <w:spacing w:line="38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2.地点：洛阳市公共资源交易中心网站（http://61.168.99.35/）</w:t>
      </w:r>
    </w:p>
    <w:p>
      <w:pPr>
        <w:pStyle w:val="7"/>
        <w:spacing w:line="38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方式：洛阳市公共资源交易中心网站（http://61.168.99.35/）上获取。请在“洛阳市电子招投标交易平台”进行用户注册，办理数字证书后下载招标（采购）文件。如投多个标段（包），则应就所投每个标段（包）分别下载。联合体投标的，由联合体牵头人完成招标（采购）文件下载。详见洛阳市公共资源交易中心网站—办事指南内的“主体注册CA办理”和“洛阳政府采购系统操作手册（供应商用）”。</w:t>
      </w:r>
    </w:p>
    <w:p>
      <w:pPr>
        <w:pStyle w:val="7"/>
        <w:spacing w:line="38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4.售价：0元</w:t>
      </w:r>
    </w:p>
    <w:p>
      <w:pPr>
        <w:pStyle w:val="7"/>
        <w:spacing w:line="380" w:lineRule="exact"/>
        <w:rPr>
          <w:rFonts w:hint="eastAsia" w:ascii="仿宋" w:hAnsi="仿宋" w:eastAsia="仿宋" w:cs="仿宋"/>
          <w:b/>
          <w:bCs/>
          <w:spacing w:val="14"/>
          <w:kern w:val="0"/>
          <w:sz w:val="22"/>
        </w:rPr>
      </w:pPr>
      <w:r>
        <w:rPr>
          <w:rFonts w:hint="eastAsia" w:ascii="仿宋" w:hAnsi="仿宋" w:eastAsia="仿宋" w:cs="仿宋"/>
          <w:b/>
          <w:bCs/>
          <w:spacing w:val="14"/>
          <w:kern w:val="0"/>
          <w:sz w:val="22"/>
        </w:rPr>
        <w:t>四、响应文件提交</w:t>
      </w:r>
    </w:p>
    <w:p>
      <w:pPr>
        <w:pStyle w:val="7"/>
        <w:spacing w:line="38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1.时间：202</w:t>
      </w:r>
      <w:r>
        <w:rPr>
          <w:rFonts w:hint="eastAsia" w:ascii="仿宋" w:hAnsi="仿宋" w:eastAsia="仿宋" w:cs="仿宋"/>
          <w:color w:val="000000" w:themeColor="text1"/>
          <w:szCs w:val="21"/>
          <w:lang w:val="en-US" w:eastAsia="zh-CN"/>
          <w14:textFill>
            <w14:solidFill>
              <w14:schemeClr w14:val="tx1"/>
            </w14:solidFill>
          </w14:textFill>
        </w:rPr>
        <w:t>4</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lang w:val="en-US" w:eastAsia="zh-CN"/>
          <w14:textFill>
            <w14:solidFill>
              <w14:schemeClr w14:val="tx1"/>
            </w14:solidFill>
          </w14:textFill>
        </w:rPr>
        <w:t>03</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lang w:val="en-US" w:eastAsia="zh-CN"/>
          <w14:textFill>
            <w14:solidFill>
              <w14:schemeClr w14:val="tx1"/>
            </w14:solidFill>
          </w14:textFill>
        </w:rPr>
        <w:t>28</w:t>
      </w:r>
      <w:r>
        <w:rPr>
          <w:rFonts w:hint="eastAsia" w:ascii="仿宋" w:hAnsi="仿宋" w:eastAsia="仿宋" w:cs="仿宋"/>
          <w:color w:val="000000" w:themeColor="text1"/>
          <w:szCs w:val="21"/>
          <w14:textFill>
            <w14:solidFill>
              <w14:schemeClr w14:val="tx1"/>
            </w14:solidFill>
          </w14:textFill>
        </w:rPr>
        <w:t>日 09时30分（北京时间）</w:t>
      </w:r>
    </w:p>
    <w:p>
      <w:pPr>
        <w:pStyle w:val="7"/>
        <w:spacing w:line="38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地点：洛阳市公共资源交易中心网站（http://61.168.99.35/）。获取招标（采购）文件后，请下载并安装最新版本投标文件制作工具，制作电子投标（响应）文件，在投标截止时间前，上传加密的投标（响应）文件。供应商未在投标截止时间前完成上传的，视为逾期送达，洛阳市电子招投标交易平台将拒绝接收。</w:t>
      </w:r>
    </w:p>
    <w:p>
      <w:pPr>
        <w:pStyle w:val="7"/>
        <w:spacing w:line="380" w:lineRule="exact"/>
        <w:rPr>
          <w:rFonts w:hint="eastAsia" w:ascii="仿宋" w:hAnsi="仿宋" w:eastAsia="仿宋" w:cs="仿宋"/>
          <w:b/>
          <w:bCs/>
          <w:spacing w:val="14"/>
          <w:kern w:val="0"/>
          <w:sz w:val="22"/>
        </w:rPr>
      </w:pPr>
      <w:r>
        <w:rPr>
          <w:rFonts w:hint="eastAsia" w:ascii="仿宋" w:hAnsi="仿宋" w:eastAsia="仿宋" w:cs="仿宋"/>
          <w:b/>
          <w:bCs/>
          <w:spacing w:val="14"/>
          <w:kern w:val="0"/>
          <w:sz w:val="22"/>
        </w:rPr>
        <w:t>五、响应文件开启</w:t>
      </w:r>
    </w:p>
    <w:p>
      <w:pPr>
        <w:pStyle w:val="7"/>
        <w:spacing w:line="380" w:lineRule="exact"/>
        <w:ind w:firstLine="420" w:firstLineChars="200"/>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1.时间：202</w:t>
      </w:r>
      <w:r>
        <w:rPr>
          <w:rFonts w:hint="eastAsia" w:ascii="仿宋" w:hAnsi="仿宋" w:eastAsia="仿宋" w:cs="仿宋"/>
          <w:color w:val="000000" w:themeColor="text1"/>
          <w:szCs w:val="21"/>
          <w:lang w:val="en-US" w:eastAsia="zh-CN"/>
          <w14:textFill>
            <w14:solidFill>
              <w14:schemeClr w14:val="tx1"/>
            </w14:solidFill>
          </w14:textFill>
        </w:rPr>
        <w:t>4</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lang w:val="en-US" w:eastAsia="zh-CN"/>
          <w14:textFill>
            <w14:solidFill>
              <w14:schemeClr w14:val="tx1"/>
            </w14:solidFill>
          </w14:textFill>
        </w:rPr>
        <w:t>03</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lang w:val="en-US" w:eastAsia="zh-CN"/>
          <w14:textFill>
            <w14:solidFill>
              <w14:schemeClr w14:val="tx1"/>
            </w14:solidFill>
          </w14:textFill>
        </w:rPr>
        <w:t>28</w:t>
      </w:r>
      <w:r>
        <w:rPr>
          <w:rFonts w:hint="eastAsia" w:ascii="仿宋" w:hAnsi="仿宋" w:eastAsia="仿宋" w:cs="仿宋"/>
          <w:color w:val="000000" w:themeColor="text1"/>
          <w:szCs w:val="21"/>
          <w14:textFill>
            <w14:solidFill>
              <w14:schemeClr w14:val="tx1"/>
            </w14:solidFill>
          </w14:textFill>
        </w:rPr>
        <w:t>日 09时30分（北京时间）</w:t>
      </w:r>
    </w:p>
    <w:p>
      <w:pPr>
        <w:pStyle w:val="7"/>
        <w:spacing w:line="380" w:lineRule="exact"/>
        <w:ind w:firstLine="420" w:firstLineChars="200"/>
        <w:rPr>
          <w:rFonts w:hint="eastAsia" w:ascii="仿宋" w:hAnsi="仿宋" w:eastAsia="仿宋" w:cs="仿宋"/>
          <w:color w:val="000000"/>
          <w:szCs w:val="21"/>
        </w:rPr>
      </w:pPr>
      <w:r>
        <w:rPr>
          <w:rFonts w:hint="eastAsia" w:ascii="仿宋" w:hAnsi="仿宋" w:eastAsia="仿宋" w:cs="仿宋"/>
          <w:color w:val="000000" w:themeColor="text1"/>
          <w:szCs w:val="21"/>
          <w14:textFill>
            <w14:solidFill>
              <w14:schemeClr w14:val="tx1"/>
            </w14:solidFill>
          </w14:textFill>
        </w:rPr>
        <w:t>2.地点：嵩县公共资源交易中心开标</w:t>
      </w:r>
      <w:r>
        <w:rPr>
          <w:rFonts w:hint="eastAsia" w:ascii="仿宋" w:hAnsi="仿宋" w:eastAsia="仿宋" w:cs="仿宋"/>
          <w:color w:val="000000" w:themeColor="text1"/>
          <w:szCs w:val="21"/>
          <w:lang w:val="en-US" w:eastAsia="zh-CN"/>
          <w14:textFill>
            <w14:solidFill>
              <w14:schemeClr w14:val="tx1"/>
            </w14:solidFill>
          </w14:textFill>
        </w:rPr>
        <w:t>三</w:t>
      </w:r>
      <w:r>
        <w:rPr>
          <w:rFonts w:hint="eastAsia" w:ascii="仿宋" w:hAnsi="仿宋" w:eastAsia="仿宋" w:cs="仿宋"/>
          <w:color w:val="000000" w:themeColor="text1"/>
          <w:szCs w:val="21"/>
          <w14:textFill>
            <w14:solidFill>
              <w14:schemeClr w14:val="tx1"/>
            </w14:solidFill>
          </w14:textFill>
        </w:rPr>
        <w:t>室（嵩县嵩</w:t>
      </w:r>
      <w:r>
        <w:rPr>
          <w:rFonts w:hint="eastAsia" w:ascii="仿宋" w:hAnsi="仿宋" w:eastAsia="仿宋" w:cs="仿宋"/>
          <w:color w:val="000000"/>
          <w:szCs w:val="21"/>
        </w:rPr>
        <w:t>州路450号东段负一号嵩县公共资源交易中心四楼）。本项目采用远程不见面交易的模式，开标当日，供应商无需到现场参加开标会议，应在投标截止时间前，登录“不见面开标大厅”，在线准时参加开标活动并进行投标（响应）文件解密等。因供应商原因未能解密或解密失败的将被拒绝。详见洛阳市公共资源交易中心网站-办事指南内的“洛阳市公共资源交易中心不见面开标大厅操作手册（投标人）”。除电子投标（响应）文件外，投标时不再接受任何纸质文件、资料等。</w:t>
      </w:r>
    </w:p>
    <w:p>
      <w:pPr>
        <w:pStyle w:val="7"/>
        <w:spacing w:line="380" w:lineRule="exact"/>
        <w:rPr>
          <w:rFonts w:hint="eastAsia" w:ascii="仿宋" w:hAnsi="仿宋" w:eastAsia="仿宋" w:cs="仿宋"/>
          <w:b/>
          <w:bCs/>
          <w:spacing w:val="14"/>
          <w:kern w:val="0"/>
          <w:sz w:val="22"/>
        </w:rPr>
      </w:pPr>
      <w:r>
        <w:rPr>
          <w:rFonts w:hint="eastAsia" w:ascii="仿宋" w:hAnsi="仿宋" w:eastAsia="仿宋" w:cs="仿宋"/>
          <w:b/>
          <w:bCs/>
          <w:spacing w:val="14"/>
          <w:kern w:val="0"/>
          <w:sz w:val="22"/>
        </w:rPr>
        <w:t>六、发布公告的媒介及采购公告期限</w:t>
      </w:r>
    </w:p>
    <w:p>
      <w:pPr>
        <w:pStyle w:val="7"/>
        <w:spacing w:line="38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本次</w:t>
      </w:r>
      <w:r>
        <w:rPr>
          <w:rFonts w:hint="eastAsia" w:ascii="仿宋" w:hAnsi="仿宋" w:eastAsia="仿宋" w:cs="仿宋"/>
          <w:color w:val="000000"/>
          <w:szCs w:val="21"/>
          <w:lang w:val="en-US" w:eastAsia="zh-CN"/>
        </w:rPr>
        <w:t>采购</w:t>
      </w:r>
      <w:bookmarkStart w:id="26" w:name="_GoBack"/>
      <w:bookmarkEnd w:id="26"/>
      <w:r>
        <w:rPr>
          <w:rFonts w:hint="eastAsia" w:ascii="仿宋" w:hAnsi="仿宋" w:eastAsia="仿宋" w:cs="仿宋"/>
          <w:color w:val="000000"/>
          <w:szCs w:val="21"/>
        </w:rPr>
        <w:t>公告在河南省政府采购网、洛阳市公共资源交易中心网站上发布。采购公告期限为三个工作日</w:t>
      </w:r>
    </w:p>
    <w:p>
      <w:pPr>
        <w:pStyle w:val="7"/>
        <w:spacing w:line="380" w:lineRule="exact"/>
        <w:rPr>
          <w:rFonts w:hint="eastAsia" w:ascii="仿宋" w:hAnsi="仿宋" w:eastAsia="仿宋" w:cs="仿宋"/>
          <w:b/>
          <w:bCs/>
          <w:spacing w:val="14"/>
          <w:kern w:val="0"/>
          <w:sz w:val="22"/>
        </w:rPr>
      </w:pPr>
      <w:r>
        <w:rPr>
          <w:rFonts w:hint="eastAsia" w:ascii="仿宋" w:hAnsi="仿宋" w:eastAsia="仿宋" w:cs="仿宋"/>
          <w:b/>
          <w:bCs/>
          <w:spacing w:val="14"/>
          <w:kern w:val="0"/>
          <w:sz w:val="22"/>
        </w:rPr>
        <w:t>七、其他补充事宜</w:t>
      </w:r>
    </w:p>
    <w:p>
      <w:pPr>
        <w:pStyle w:val="7"/>
        <w:spacing w:line="38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1.供应商在参与本项目招标采购活动期间应及时关注本网站获取相关澄清或变更等信息（如有）。</w:t>
      </w:r>
    </w:p>
    <w:p>
      <w:pPr>
        <w:pStyle w:val="8"/>
        <w:spacing w:line="380" w:lineRule="exact"/>
        <w:ind w:left="0" w:leftChars="0" w:right="54" w:firstLine="358"/>
        <w:jc w:val="left"/>
        <w:rPr>
          <w:rFonts w:hint="eastAsia" w:ascii="仿宋" w:hAnsi="仿宋" w:eastAsia="仿宋" w:cs="仿宋"/>
          <w:color w:val="000000"/>
          <w:kern w:val="2"/>
          <w:sz w:val="21"/>
          <w:szCs w:val="21"/>
          <w:lang w:val="en-US" w:eastAsia="zh-CN"/>
        </w:rPr>
      </w:pPr>
      <w:r>
        <w:rPr>
          <w:rFonts w:hint="eastAsia" w:ascii="仿宋" w:hAnsi="仿宋" w:eastAsia="仿宋" w:cs="仿宋"/>
          <w:color w:val="000000"/>
          <w:kern w:val="2"/>
          <w:sz w:val="21"/>
          <w:szCs w:val="21"/>
          <w:lang w:val="en-US" w:eastAsia="zh-CN"/>
        </w:rPr>
        <w:t>2.监管部门、联系人和联系方式：</w:t>
      </w:r>
    </w:p>
    <w:p>
      <w:pPr>
        <w:pStyle w:val="8"/>
        <w:spacing w:line="380" w:lineRule="exact"/>
        <w:ind w:left="54" w:right="54" w:firstLine="358"/>
        <w:jc w:val="left"/>
        <w:rPr>
          <w:rFonts w:hint="eastAsia" w:ascii="仿宋" w:hAnsi="仿宋" w:eastAsia="仿宋" w:cs="仿宋"/>
          <w:color w:val="000000"/>
          <w:kern w:val="2"/>
          <w:sz w:val="21"/>
          <w:szCs w:val="21"/>
          <w:lang w:val="en-US" w:eastAsia="zh-CN"/>
        </w:rPr>
      </w:pPr>
      <w:r>
        <w:rPr>
          <w:rFonts w:hint="eastAsia" w:ascii="仿宋" w:hAnsi="仿宋" w:eastAsia="仿宋" w:cs="仿宋"/>
          <w:color w:val="000000"/>
          <w:kern w:val="2"/>
          <w:sz w:val="21"/>
          <w:szCs w:val="21"/>
          <w:lang w:val="en-US" w:eastAsia="zh-CN"/>
        </w:rPr>
        <w:t>监管部门：嵩县财政局</w:t>
      </w:r>
    </w:p>
    <w:p>
      <w:pPr>
        <w:pStyle w:val="8"/>
        <w:spacing w:line="380" w:lineRule="exact"/>
        <w:ind w:left="54" w:right="54" w:firstLine="358"/>
        <w:jc w:val="left"/>
        <w:rPr>
          <w:rFonts w:hint="eastAsia" w:ascii="仿宋" w:hAnsi="仿宋" w:eastAsia="仿宋" w:cs="仿宋"/>
          <w:color w:val="000000"/>
          <w:kern w:val="2"/>
          <w:sz w:val="21"/>
          <w:szCs w:val="21"/>
          <w:lang w:val="en-US" w:eastAsia="zh-CN"/>
        </w:rPr>
      </w:pPr>
      <w:r>
        <w:rPr>
          <w:rFonts w:hint="eastAsia" w:ascii="仿宋" w:hAnsi="仿宋" w:eastAsia="仿宋" w:cs="仿宋"/>
          <w:color w:val="000000"/>
          <w:kern w:val="2"/>
          <w:sz w:val="21"/>
          <w:szCs w:val="21"/>
          <w:lang w:val="en-US" w:eastAsia="zh-CN"/>
        </w:rPr>
        <w:t xml:space="preserve">监管部门联系人：嵩县财政局采购办 </w:t>
      </w:r>
    </w:p>
    <w:p>
      <w:pPr>
        <w:pStyle w:val="8"/>
        <w:spacing w:line="380" w:lineRule="exact"/>
        <w:ind w:left="54" w:right="54" w:firstLine="358"/>
        <w:jc w:val="left"/>
        <w:rPr>
          <w:rFonts w:hint="eastAsia" w:ascii="仿宋" w:hAnsi="仿宋" w:eastAsia="仿宋" w:cs="仿宋"/>
          <w:color w:val="000000"/>
          <w:kern w:val="2"/>
          <w:sz w:val="21"/>
          <w:szCs w:val="21"/>
          <w:lang w:val="en-US" w:eastAsia="zh-CN"/>
        </w:rPr>
      </w:pPr>
      <w:r>
        <w:rPr>
          <w:rFonts w:hint="eastAsia" w:ascii="仿宋" w:hAnsi="仿宋" w:eastAsia="仿宋" w:cs="仿宋"/>
          <w:color w:val="000000"/>
          <w:kern w:val="2"/>
          <w:sz w:val="21"/>
          <w:szCs w:val="21"/>
          <w:lang w:val="en-US" w:eastAsia="zh-CN"/>
        </w:rPr>
        <w:t>监管部门联系方式：0379-60301028</w:t>
      </w:r>
    </w:p>
    <w:p>
      <w:pPr>
        <w:pStyle w:val="7"/>
        <w:spacing w:line="380" w:lineRule="exact"/>
        <w:rPr>
          <w:rFonts w:hint="eastAsia" w:ascii="仿宋" w:hAnsi="仿宋" w:eastAsia="仿宋" w:cs="仿宋"/>
          <w:b/>
          <w:bCs/>
          <w:spacing w:val="14"/>
          <w:kern w:val="0"/>
          <w:sz w:val="22"/>
        </w:rPr>
      </w:pPr>
      <w:r>
        <w:rPr>
          <w:rFonts w:hint="eastAsia" w:ascii="仿宋" w:hAnsi="仿宋" w:eastAsia="仿宋" w:cs="仿宋"/>
          <w:b/>
          <w:bCs/>
          <w:spacing w:val="14"/>
          <w:kern w:val="0"/>
          <w:sz w:val="22"/>
        </w:rPr>
        <w:t>八、凡是对本次招标提出询问，请按照以下方式联系</w:t>
      </w:r>
    </w:p>
    <w:p>
      <w:pPr>
        <w:pStyle w:val="7"/>
        <w:spacing w:line="38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1.采购人信息</w:t>
      </w:r>
    </w:p>
    <w:p>
      <w:pPr>
        <w:pStyle w:val="7"/>
        <w:spacing w:line="38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名称：嵩县城市管理局</w:t>
      </w:r>
    </w:p>
    <w:p>
      <w:pPr>
        <w:pStyle w:val="7"/>
        <w:spacing w:line="38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地址：嵩县白云大道1号</w:t>
      </w:r>
    </w:p>
    <w:p>
      <w:pPr>
        <w:pStyle w:val="7"/>
        <w:spacing w:line="38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联系人：马先生</w:t>
      </w:r>
    </w:p>
    <w:p>
      <w:pPr>
        <w:pStyle w:val="7"/>
        <w:spacing w:line="38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联系方式：0379-65200098</w:t>
      </w:r>
    </w:p>
    <w:p>
      <w:pPr>
        <w:pStyle w:val="7"/>
        <w:spacing w:line="38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2.采购代理机构信息（如有）</w:t>
      </w:r>
    </w:p>
    <w:p>
      <w:pPr>
        <w:pStyle w:val="7"/>
        <w:spacing w:line="38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代理机构：荣达工程咨询有限公司</w:t>
      </w:r>
    </w:p>
    <w:p>
      <w:pPr>
        <w:pStyle w:val="7"/>
        <w:spacing w:line="38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地    址：洛阳市西工区中迈红东方商务楼1602室</w:t>
      </w:r>
    </w:p>
    <w:p>
      <w:pPr>
        <w:pStyle w:val="7"/>
        <w:spacing w:line="38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联 系 人：郭先生</w:t>
      </w:r>
    </w:p>
    <w:p>
      <w:pPr>
        <w:pStyle w:val="7"/>
        <w:spacing w:line="38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电    话：18624879555</w:t>
      </w:r>
    </w:p>
    <w:p>
      <w:pPr>
        <w:pStyle w:val="7"/>
        <w:spacing w:line="38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3.项目联系方式</w:t>
      </w:r>
    </w:p>
    <w:bookmarkEnd w:id="21"/>
    <w:bookmarkEnd w:id="22"/>
    <w:bookmarkEnd w:id="23"/>
    <w:bookmarkEnd w:id="24"/>
    <w:bookmarkEnd w:id="25"/>
    <w:p>
      <w:pPr>
        <w:pStyle w:val="7"/>
        <w:spacing w:line="38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联 系 人：郭先生</w:t>
      </w:r>
    </w:p>
    <w:p>
      <w:pPr>
        <w:pStyle w:val="7"/>
        <w:spacing w:line="380" w:lineRule="exact"/>
        <w:ind w:firstLine="420" w:firstLineChars="200"/>
        <w:rPr>
          <w:rFonts w:hint="eastAsia" w:ascii="仿宋" w:hAnsi="仿宋" w:eastAsia="仿宋" w:cs="仿宋"/>
          <w:color w:val="000000"/>
          <w:szCs w:val="21"/>
        </w:rPr>
      </w:pPr>
      <w:r>
        <w:rPr>
          <w:rFonts w:hint="eastAsia" w:ascii="仿宋" w:hAnsi="仿宋" w:eastAsia="仿宋" w:cs="仿宋"/>
          <w:color w:val="000000"/>
          <w:szCs w:val="21"/>
        </w:rPr>
        <w:t>电    话：18624879555</w:t>
      </w:r>
    </w:p>
    <w:p>
      <w:pPr>
        <w:pStyle w:val="18"/>
        <w:spacing w:line="500" w:lineRule="exact"/>
        <w:ind w:firstLine="420" w:firstLineChars="200"/>
        <w:jc w:val="right"/>
        <w:rPr>
          <w:rFonts w:hint="eastAsia"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202</w:t>
      </w:r>
      <w:r>
        <w:rPr>
          <w:rFonts w:hint="eastAsia" w:ascii="仿宋" w:hAnsi="仿宋" w:eastAsia="仿宋" w:cs="仿宋"/>
          <w:color w:val="000000" w:themeColor="text1"/>
          <w:szCs w:val="21"/>
          <w:lang w:val="en-US" w:eastAsia="zh-CN"/>
          <w14:textFill>
            <w14:solidFill>
              <w14:schemeClr w14:val="tx1"/>
            </w14:solidFill>
          </w14:textFill>
        </w:rPr>
        <w:t>4</w:t>
      </w:r>
      <w:r>
        <w:rPr>
          <w:rFonts w:hint="eastAsia" w:ascii="仿宋" w:hAnsi="仿宋" w:eastAsia="仿宋" w:cs="仿宋"/>
          <w:color w:val="000000" w:themeColor="text1"/>
          <w:szCs w:val="21"/>
          <w14:textFill>
            <w14:solidFill>
              <w14:schemeClr w14:val="tx1"/>
            </w14:solidFill>
          </w14:textFill>
        </w:rPr>
        <w:t>年</w:t>
      </w:r>
      <w:r>
        <w:rPr>
          <w:rFonts w:hint="eastAsia" w:ascii="仿宋" w:hAnsi="仿宋" w:eastAsia="仿宋" w:cs="仿宋"/>
          <w:color w:val="000000" w:themeColor="text1"/>
          <w:szCs w:val="21"/>
          <w:lang w:val="en-US" w:eastAsia="zh-CN"/>
          <w14:textFill>
            <w14:solidFill>
              <w14:schemeClr w14:val="tx1"/>
            </w14:solidFill>
          </w14:textFill>
        </w:rPr>
        <w:t>03</w:t>
      </w:r>
      <w:r>
        <w:rPr>
          <w:rFonts w:hint="eastAsia" w:ascii="仿宋" w:hAnsi="仿宋" w:eastAsia="仿宋" w:cs="仿宋"/>
          <w:color w:val="000000" w:themeColor="text1"/>
          <w:szCs w:val="21"/>
          <w14:textFill>
            <w14:solidFill>
              <w14:schemeClr w14:val="tx1"/>
            </w14:solidFill>
          </w14:textFill>
        </w:rPr>
        <w:t>月</w:t>
      </w:r>
      <w:r>
        <w:rPr>
          <w:rFonts w:hint="eastAsia" w:ascii="仿宋" w:hAnsi="仿宋" w:eastAsia="仿宋" w:cs="仿宋"/>
          <w:color w:val="000000" w:themeColor="text1"/>
          <w:szCs w:val="21"/>
          <w:lang w:val="en-US" w:eastAsia="zh-CN"/>
          <w14:textFill>
            <w14:solidFill>
              <w14:schemeClr w14:val="tx1"/>
            </w14:solidFill>
          </w14:textFill>
        </w:rPr>
        <w:t>22</w:t>
      </w:r>
      <w:r>
        <w:rPr>
          <w:rFonts w:hint="eastAsia" w:ascii="仿宋" w:hAnsi="仿宋" w:eastAsia="仿宋" w:cs="仿宋"/>
          <w:color w:val="000000" w:themeColor="text1"/>
          <w:szCs w:val="21"/>
          <w14:textFill>
            <w14:solidFill>
              <w14:schemeClr w14:val="tx1"/>
            </w14:solidFill>
          </w14:textFill>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1ZWYzYWZlZjEwNTVhOTJhZDMyYjhhZTRmNjE4ZjkifQ=="/>
  </w:docVars>
  <w:rsids>
    <w:rsidRoot w:val="00000000"/>
    <w:rsid w:val="135B3F29"/>
    <w:rsid w:val="29755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普通(网站)_0"/>
    <w:basedOn w:val="5"/>
    <w:autoRedefine/>
    <w:unhideWhenUsed/>
    <w:qFormat/>
    <w:uiPriority w:val="99"/>
    <w:pPr>
      <w:widowControl/>
      <w:spacing w:before="100" w:beforeAutospacing="1" w:after="100" w:afterAutospacing="1" w:line="320" w:lineRule="atLeast"/>
      <w:ind w:firstLine="200" w:firstLineChars="200"/>
      <w:jc w:val="left"/>
    </w:pPr>
    <w:rPr>
      <w:rFonts w:ascii="宋体" w:hAnsi="宋体"/>
      <w:kern w:val="0"/>
      <w:sz w:val="18"/>
      <w:szCs w:val="18"/>
    </w:rPr>
  </w:style>
  <w:style w:type="paragraph" w:customStyle="1" w:styleId="5">
    <w:name w:val="正文_1"/>
    <w:next w:val="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正文文本_1"/>
    <w:basedOn w:val="7"/>
    <w:next w:val="12"/>
    <w:autoRedefine/>
    <w:unhideWhenUsed/>
    <w:qFormat/>
    <w:uiPriority w:val="0"/>
    <w:pPr>
      <w:widowControl/>
      <w:adjustRightInd w:val="0"/>
      <w:spacing w:after="60" w:line="360" w:lineRule="atLeast"/>
      <w:ind w:left="72" w:leftChars="30" w:right="30" w:rightChars="30" w:firstLine="200" w:firstLineChars="200"/>
      <w:jc w:val="center"/>
    </w:pPr>
    <w:rPr>
      <w:rFonts w:ascii="Calibri" w:hAnsi="Calibri"/>
      <w:kern w:val="0"/>
      <w:sz w:val="20"/>
      <w:szCs w:val="20"/>
    </w:rPr>
  </w:style>
  <w:style w:type="paragraph" w:customStyle="1" w:styleId="7">
    <w:name w:val="正文_1_2"/>
    <w:next w:val="8"/>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
    <w:name w:val="正文首行缩进_1"/>
    <w:basedOn w:val="6"/>
    <w:next w:val="9"/>
    <w:autoRedefine/>
    <w:unhideWhenUsed/>
    <w:qFormat/>
    <w:uiPriority w:val="0"/>
    <w:pPr>
      <w:spacing w:line="312" w:lineRule="auto"/>
      <w:ind w:firstLine="420"/>
    </w:pPr>
    <w:rPr>
      <w:rFonts w:ascii="Times New Roman" w:hAnsi="Times New Roman"/>
      <w:szCs w:val="24"/>
    </w:rPr>
  </w:style>
  <w:style w:type="paragraph" w:customStyle="1" w:styleId="9">
    <w:name w:val="正文首行缩进 2_1"/>
    <w:basedOn w:val="10"/>
    <w:next w:val="7"/>
    <w:autoRedefine/>
    <w:qFormat/>
    <w:uiPriority w:val="0"/>
    <w:pPr>
      <w:ind w:firstLine="420" w:firstLineChars="200"/>
    </w:pPr>
    <w:rPr>
      <w:rFonts w:ascii="Calibri" w:hAnsi="Calibri"/>
    </w:rPr>
  </w:style>
  <w:style w:type="paragraph" w:customStyle="1" w:styleId="10">
    <w:name w:val="正文文本缩进_1"/>
    <w:basedOn w:val="7"/>
    <w:next w:val="11"/>
    <w:autoRedefine/>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 w:type="paragraph" w:customStyle="1" w:styleId="11">
    <w:name w:val="toc 51_0"/>
    <w:next w:val="7"/>
    <w:autoRedefine/>
    <w:qFormat/>
    <w:uiPriority w:val="0"/>
    <w:pPr>
      <w:wordWrap w:val="0"/>
      <w:ind w:left="1700"/>
      <w:jc w:val="both"/>
    </w:pPr>
    <w:rPr>
      <w:rFonts w:ascii="Calibri" w:hAnsi="Calibri" w:eastAsia="Calibri" w:cs="Times New Roman"/>
      <w:sz w:val="21"/>
      <w:lang w:val="en-US" w:eastAsia="zh-CN" w:bidi="ar-SA"/>
    </w:rPr>
  </w:style>
  <w:style w:type="paragraph" w:customStyle="1" w:styleId="12">
    <w:name w:val="Default_0"/>
    <w:basedOn w:val="13"/>
    <w:next w:val="17"/>
    <w:autoRedefine/>
    <w:qFormat/>
    <w:uiPriority w:val="0"/>
    <w:pPr>
      <w:widowControl w:val="0"/>
      <w:autoSpaceDE w:val="0"/>
      <w:autoSpaceDN w:val="0"/>
      <w:adjustRightInd w:val="0"/>
    </w:pPr>
    <w:rPr>
      <w:rFonts w:ascii="宋体" w:hAnsi="Calibri" w:cs="宋体"/>
      <w:color w:val="000000"/>
      <w:sz w:val="24"/>
      <w:szCs w:val="24"/>
      <w:lang w:val="en-US" w:eastAsia="zh-CN" w:bidi="ar-SA"/>
    </w:rPr>
  </w:style>
  <w:style w:type="paragraph" w:customStyle="1" w:styleId="13">
    <w:name w:val="正文_0_0_0_0"/>
    <w:next w:val="1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正文文本_0_0"/>
    <w:basedOn w:val="15"/>
    <w:next w:val="16"/>
    <w:autoRedefine/>
    <w:qFormat/>
    <w:uiPriority w:val="0"/>
    <w:rPr>
      <w:rFonts w:eastAsia="仿宋_GB2312"/>
      <w:kern w:val="2"/>
      <w:sz w:val="28"/>
      <w:szCs w:val="30"/>
    </w:rPr>
  </w:style>
  <w:style w:type="paragraph" w:customStyle="1" w:styleId="15">
    <w:name w:val="正文_5_0"/>
    <w:next w:val="1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正文文本 2_0_0"/>
    <w:autoRedefine/>
    <w:unhideWhenUsed/>
    <w:qFormat/>
    <w:uiPriority w:val="0"/>
    <w:pPr>
      <w:widowControl w:val="0"/>
      <w:spacing w:after="120" w:line="480" w:lineRule="auto"/>
      <w:jc w:val="both"/>
    </w:pPr>
    <w:rPr>
      <w:rFonts w:ascii="Times New Roman" w:hAnsi="Times New Roman" w:eastAsia="宋体" w:cs="Times New Roman"/>
      <w:kern w:val="2"/>
      <w:sz w:val="21"/>
      <w:szCs w:val="24"/>
      <w:lang w:val="en-US" w:eastAsia="zh-CN" w:bidi="ar-SA"/>
    </w:rPr>
  </w:style>
  <w:style w:type="paragraph" w:customStyle="1" w:styleId="17">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正文_2"/>
    <w:next w:val="1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正文首行缩进 2_2"/>
    <w:basedOn w:val="20"/>
    <w:autoRedefine/>
    <w:qFormat/>
    <w:uiPriority w:val="0"/>
    <w:pPr>
      <w:spacing w:after="120" w:afterLines="0" w:line="240" w:lineRule="auto"/>
      <w:ind w:left="200" w:leftChars="200" w:firstLine="200" w:firstLineChars="200"/>
    </w:pPr>
  </w:style>
  <w:style w:type="paragraph" w:customStyle="1" w:styleId="20">
    <w:name w:val="正文文本缩进_2"/>
    <w:basedOn w:val="18"/>
    <w:unhideWhenUsed/>
    <w:qFormat/>
    <w:uiPriority w:val="0"/>
    <w:pPr>
      <w:widowControl/>
      <w:overflowPunct w:val="0"/>
      <w:autoSpaceDE w:val="0"/>
      <w:autoSpaceDN w:val="0"/>
      <w:adjustRightInd w:val="0"/>
      <w:spacing w:line="360" w:lineRule="auto"/>
      <w:ind w:firstLine="540"/>
    </w:pPr>
    <w:rPr>
      <w:rFonts w:ascii="宋体" w:hAnsi="MS Sans Serif"/>
      <w:spacing w:val="12"/>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2024-03-22T01:34:00Z</dcterms:created>
  <dc:creator>Administrator</dc:creator>
  <cp:lastModifiedBy>recl</cp:lastModifiedBy>
  <dcterms:modified xsi:type="dcterms:W3CDTF">2024-03-22T02:00:38Z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8A740D7CD47043AC85146F474CCDC88F_12</vt:lpwstr>
  </property>
</Properties>
</file>