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cs="仿宋"/>
          <w:b/>
          <w:bCs/>
          <w:color w:val="auto"/>
          <w:spacing w:val="-6"/>
          <w:sz w:val="56"/>
          <w:szCs w:val="52"/>
          <w:lang w:val="en-US" w:eastAsia="zh-CN"/>
        </w:rPr>
      </w:pPr>
      <w:bookmarkStart w:id="0" w:name="_Toc8792"/>
      <w:bookmarkStart w:id="1" w:name="_Toc2970"/>
      <w:bookmarkStart w:id="2" w:name="_Toc14461"/>
      <w:bookmarkStart w:id="3" w:name="_Toc31147"/>
      <w:r>
        <w:rPr>
          <w:rFonts w:hint="eastAsia" w:ascii="仿宋" w:hAnsi="仿宋" w:cs="仿宋"/>
          <w:b/>
          <w:bCs/>
          <w:color w:val="auto"/>
          <w:spacing w:val="-6"/>
          <w:sz w:val="56"/>
          <w:szCs w:val="52"/>
          <w:lang w:val="en-US" w:eastAsia="zh-CN"/>
        </w:rPr>
        <w:t>唐河县昝岗乡乡村振兴产业发展项目</w:t>
      </w:r>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4"/>
        <w:rPr>
          <w:b/>
          <w:bCs/>
          <w:color w:val="auto"/>
          <w:sz w:val="56"/>
          <w:szCs w:val="52"/>
        </w:rPr>
      </w:pPr>
    </w:p>
    <w:p>
      <w:pPr>
        <w:ind w:firstLine="1928" w:firstLineChars="6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唐财采购竞争性磋商-2023-</w:t>
      </w:r>
      <w:r>
        <w:rPr>
          <w:rFonts w:hint="eastAsia"/>
          <w:b/>
          <w:bCs/>
          <w:color w:val="auto"/>
          <w:sz w:val="32"/>
          <w:szCs w:val="28"/>
          <w:lang w:val="en-US" w:eastAsia="zh-CN"/>
        </w:rPr>
        <w:t xml:space="preserve">249 </w:t>
      </w:r>
    </w:p>
    <w:p>
      <w:pPr>
        <w:rPr>
          <w:color w:val="auto"/>
        </w:rPr>
      </w:pPr>
    </w:p>
    <w:p>
      <w:pPr>
        <w:jc w:val="center"/>
        <w:rPr>
          <w:color w:val="auto"/>
        </w:rPr>
      </w:pPr>
    </w:p>
    <w:p>
      <w:pPr>
        <w:pStyle w:val="3"/>
        <w:rPr>
          <w:color w:val="auto"/>
        </w:rPr>
      </w:pPr>
    </w:p>
    <w:p>
      <w:pPr>
        <w:pStyle w:val="36"/>
        <w:rPr>
          <w:color w:val="auto"/>
        </w:rPr>
      </w:pPr>
    </w:p>
    <w:p>
      <w:pPr>
        <w:pStyle w:val="37"/>
        <w:rPr>
          <w:rFonts w:hint="eastAsia" w:eastAsia="宋体"/>
          <w:color w:val="auto"/>
          <w:lang w:val="en-US" w:eastAsia="zh-CN"/>
        </w:rPr>
      </w:pPr>
      <w:r>
        <w:rPr>
          <w:rFonts w:hint="eastAsia"/>
          <w:color w:val="auto"/>
          <w:lang w:val="en-US" w:eastAsia="zh-CN"/>
        </w:rPr>
        <w:t xml:space="preserve"> </w:t>
      </w:r>
    </w:p>
    <w:p>
      <w:pPr>
        <w:rPr>
          <w:color w:val="auto"/>
        </w:rPr>
      </w:pPr>
    </w:p>
    <w:p>
      <w:pPr>
        <w:pStyle w:val="3"/>
        <w:rPr>
          <w:color w:val="auto"/>
        </w:rPr>
      </w:pPr>
    </w:p>
    <w:p>
      <w:pPr>
        <w:rPr>
          <w:color w:val="auto"/>
        </w:rPr>
      </w:pPr>
    </w:p>
    <w:p>
      <w:pPr>
        <w:pStyle w:val="3"/>
        <w:rPr>
          <w:color w:val="auto"/>
        </w:rPr>
      </w:pPr>
    </w:p>
    <w:p>
      <w:pPr>
        <w:rPr>
          <w:color w:val="auto"/>
        </w:rPr>
      </w:pPr>
    </w:p>
    <w:p>
      <w:pPr>
        <w:rPr>
          <w:color w:val="auto"/>
        </w:rPr>
      </w:pPr>
    </w:p>
    <w:p>
      <w:pPr>
        <w:rPr>
          <w:color w:val="auto"/>
        </w:rPr>
      </w:pPr>
    </w:p>
    <w:p>
      <w:pPr>
        <w:rPr>
          <w:color w:val="auto"/>
        </w:rPr>
      </w:pPr>
    </w:p>
    <w:p>
      <w:pPr>
        <w:rPr>
          <w:color w:val="auto"/>
        </w:rPr>
      </w:pPr>
    </w:p>
    <w:p>
      <w:pPr>
        <w:pStyle w:val="35"/>
        <w:rPr>
          <w:color w:val="auto"/>
        </w:rPr>
      </w:pPr>
    </w:p>
    <w:p>
      <w:pPr>
        <w:pStyle w:val="35"/>
        <w:rPr>
          <w:color w:val="auto"/>
        </w:rPr>
      </w:pPr>
    </w:p>
    <w:p>
      <w:pPr>
        <w:rPr>
          <w:color w:val="auto"/>
        </w:rPr>
      </w:pPr>
    </w:p>
    <w:p>
      <w:pPr>
        <w:pStyle w:val="35"/>
        <w:rPr>
          <w:color w:val="auto"/>
        </w:rPr>
      </w:pPr>
    </w:p>
    <w:p>
      <w:pPr>
        <w:pStyle w:val="35"/>
        <w:rPr>
          <w:color w:val="auto"/>
        </w:rPr>
      </w:pPr>
    </w:p>
    <w:p>
      <w:pPr>
        <w:rPr>
          <w:color w:val="auto"/>
        </w:rPr>
      </w:pPr>
    </w:p>
    <w:p>
      <w:pPr>
        <w:pStyle w:val="3"/>
        <w:rPr>
          <w:color w:val="auto"/>
        </w:rPr>
      </w:pPr>
    </w:p>
    <w:p>
      <w:pPr>
        <w:rPr>
          <w:color w:val="auto"/>
        </w:rPr>
      </w:pPr>
    </w:p>
    <w:p>
      <w:pPr>
        <w:jc w:val="center"/>
        <w:rPr>
          <w:rFonts w:hint="eastAsia"/>
          <w:b/>
          <w:bCs/>
          <w:color w:val="auto"/>
          <w:spacing w:val="17"/>
          <w:sz w:val="40"/>
          <w:szCs w:val="40"/>
          <w:lang w:eastAsia="zh-CN"/>
        </w:rPr>
      </w:pPr>
      <w:r>
        <w:rPr>
          <w:rFonts w:hint="eastAsia"/>
          <w:b/>
          <w:bCs/>
          <w:color w:val="auto"/>
          <w:sz w:val="40"/>
          <w:szCs w:val="40"/>
          <w:lang w:val="en-US" w:eastAsia="zh-CN"/>
        </w:rPr>
        <w:t xml:space="preserve">   </w:t>
      </w:r>
      <w:r>
        <w:rPr>
          <w:b/>
          <w:bCs/>
          <w:color w:val="auto"/>
          <w:sz w:val="40"/>
          <w:szCs w:val="40"/>
        </w:rPr>
        <w:t>采购人：</w:t>
      </w:r>
      <w:r>
        <w:rPr>
          <w:rFonts w:hint="eastAsia"/>
          <w:b/>
          <w:bCs/>
          <w:color w:val="auto"/>
          <w:spacing w:val="17"/>
          <w:sz w:val="40"/>
          <w:szCs w:val="40"/>
          <w:lang w:eastAsia="zh-CN"/>
        </w:rPr>
        <w:t>唐河县昝岗乡人民政府</w:t>
      </w:r>
    </w:p>
    <w:p>
      <w:pPr>
        <w:jc w:val="center"/>
        <w:rPr>
          <w:b/>
          <w:bCs/>
          <w:color w:val="auto"/>
          <w:sz w:val="40"/>
          <w:szCs w:val="40"/>
        </w:rPr>
      </w:pPr>
      <w:r>
        <w:rPr>
          <w:rFonts w:hint="eastAsia"/>
          <w:b/>
          <w:bCs/>
          <w:color w:val="auto"/>
          <w:sz w:val="40"/>
          <w:szCs w:val="40"/>
          <w:lang w:val="en-US" w:eastAsia="zh-CN"/>
        </w:rPr>
        <w:t xml:space="preserve">     </w:t>
      </w: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17" w:right="1020" w:bottom="1417" w:left="964" w:header="720" w:footer="720" w:gutter="0"/>
          <w:pgNumType w:fmt="decimal"/>
          <w:cols w:space="720" w:num="1"/>
        </w:sectPr>
      </w:pPr>
      <w:r>
        <w:rPr>
          <w:rFonts w:hint="eastAsia"/>
          <w:b/>
          <w:bCs/>
          <w:color w:val="auto"/>
          <w:sz w:val="40"/>
          <w:szCs w:val="40"/>
          <w:lang w:eastAsia="zh-CN"/>
        </w:rPr>
        <w:t>2023年</w:t>
      </w:r>
      <w:r>
        <w:rPr>
          <w:rFonts w:hint="eastAsia"/>
          <w:b/>
          <w:bCs/>
          <w:color w:val="auto"/>
          <w:sz w:val="40"/>
          <w:szCs w:val="40"/>
          <w:lang w:val="en-US" w:eastAsia="zh-CN"/>
        </w:rPr>
        <w:t>12</w:t>
      </w:r>
      <w:r>
        <w:rPr>
          <w:rFonts w:hint="eastAsia"/>
          <w:b/>
          <w:bCs/>
          <w:color w:val="auto"/>
          <w:sz w:val="40"/>
          <w:szCs w:val="40"/>
          <w:lang w:eastAsia="zh-CN"/>
        </w:rPr>
        <w:t>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7"/>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5</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12</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43</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45</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46</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46</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47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48</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49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50</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51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51</w:t>
      </w:r>
      <w:r>
        <w:rPr>
          <w:color w:val="auto"/>
        </w:rPr>
        <w:fldChar w:fldCharType="end"/>
      </w:r>
      <w:r>
        <w:rPr>
          <w:color w:val="auto"/>
        </w:rPr>
        <w:fldChar w:fldCharType="end"/>
      </w:r>
    </w:p>
    <w:p>
      <w:pPr>
        <w:pStyle w:val="17"/>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52</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53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54</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55</w:t>
      </w:r>
      <w:r>
        <w:rPr>
          <w:color w:val="auto"/>
        </w:rPr>
        <w:fldChar w:fldCharType="end"/>
      </w:r>
      <w:r>
        <w:rPr>
          <w:color w:val="auto"/>
        </w:rPr>
        <w:fldChar w:fldCharType="end"/>
      </w:r>
    </w:p>
    <w:p>
      <w:pPr>
        <w:pStyle w:val="17"/>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59</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61</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63</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66</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67</w:t>
      </w:r>
      <w:r>
        <w:rPr>
          <w:color w:val="auto"/>
        </w:rPr>
        <w:fldChar w:fldCharType="end"/>
      </w:r>
      <w:r>
        <w:rPr>
          <w:color w:val="auto"/>
        </w:rPr>
        <w:fldChar w:fldCharType="end"/>
      </w:r>
    </w:p>
    <w:p>
      <w:pPr>
        <w:pStyle w:val="16"/>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70</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29165"/>
      <w:bookmarkStart w:id="5" w:name="_Toc9471"/>
    </w:p>
    <w:p>
      <w:pPr>
        <w:pStyle w:val="7"/>
        <w:rPr>
          <w:b/>
          <w:bCs/>
          <w:color w:val="auto"/>
        </w:rPr>
        <w:sectPr>
          <w:headerReference r:id="rId5" w:type="default"/>
          <w:footerReference r:id="rId6" w:type="default"/>
          <w:pgSz w:w="11910" w:h="16840"/>
          <w:pgMar w:top="1380" w:right="880" w:bottom="1100" w:left="880" w:header="888" w:footer="910" w:gutter="0"/>
          <w:pgNumType w:fmt="decimal"/>
          <w:cols w:space="720" w:num="1"/>
        </w:sectPr>
      </w:pPr>
      <w:bookmarkStart w:id="6" w:name="_Toc5263"/>
    </w:p>
    <w:p>
      <w:pPr>
        <w:pStyle w:val="7"/>
        <w:keepNext w:val="0"/>
        <w:keepLines w:val="0"/>
        <w:pageBreakBefore w:val="0"/>
        <w:kinsoku/>
        <w:wordWrap/>
        <w:overflowPunct/>
        <w:topLinePunct w:val="0"/>
        <w:autoSpaceDE w:val="0"/>
        <w:autoSpaceDN w:val="0"/>
        <w:bidi w:val="0"/>
        <w:adjustRightInd/>
        <w:snapToGrid/>
        <w:spacing w:line="400" w:lineRule="exact"/>
        <w:textAlignment w:val="auto"/>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pacing w:val="6"/>
          <w:sz w:val="36"/>
          <w:szCs w:val="44"/>
        </w:rPr>
      </w:pPr>
      <w:r>
        <w:rPr>
          <w:rFonts w:hint="eastAsia"/>
          <w:b/>
          <w:bCs/>
          <w:color w:val="auto"/>
          <w:spacing w:val="6"/>
          <w:sz w:val="36"/>
          <w:szCs w:val="44"/>
          <w:lang w:val="en-US" w:eastAsia="zh-CN"/>
        </w:rPr>
        <w:t>唐河县昝岗乡乡村振兴产业发展项目</w:t>
      </w:r>
      <w:r>
        <w:rPr>
          <w:rFonts w:hint="eastAsia"/>
          <w:b/>
          <w:bCs/>
          <w:color w:val="auto"/>
          <w:spacing w:val="6"/>
          <w:sz w:val="36"/>
          <w:szCs w:val="44"/>
        </w:rPr>
        <w:t>-</w:t>
      </w:r>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z w:val="28"/>
          <w:szCs w:val="36"/>
        </w:rPr>
      </w:pPr>
      <w:r>
        <w:rPr>
          <w:rFonts w:hint="eastAsia"/>
          <w:b/>
          <w:bCs/>
          <w:color w:val="auto"/>
          <w:spacing w:val="6"/>
          <w:sz w:val="36"/>
          <w:szCs w:val="44"/>
        </w:rPr>
        <w:t>竞争性磋商公告</w:t>
      </w:r>
    </w:p>
    <w:p>
      <w:pPr>
        <w:pStyle w:val="7"/>
        <w:jc w:val="both"/>
        <w:outlineLvl w:val="0"/>
        <w:rPr>
          <w:rFonts w:hint="eastAsia"/>
          <w:b/>
          <w:bCs/>
          <w:color w:val="auto"/>
          <w:sz w:val="28"/>
          <w:szCs w:val="36"/>
        </w:rPr>
      </w:pPr>
      <w:bookmarkStart w:id="7" w:name="_Toc23066"/>
      <w:bookmarkStart w:id="8" w:name="_Toc32681"/>
      <w:bookmarkStart w:id="9" w:name="_Toc25278"/>
    </w:p>
    <w:p>
      <w:pPr>
        <w:pStyle w:val="7"/>
        <w:jc w:val="left"/>
        <w:outlineLvl w:val="0"/>
        <w:rPr>
          <w:rFonts w:hint="eastAsia"/>
          <w:b/>
          <w:bCs/>
          <w:color w:val="auto"/>
          <w:sz w:val="28"/>
          <w:szCs w:val="36"/>
        </w:rPr>
      </w:pPr>
      <w:r>
        <w:rPr>
          <w:rFonts w:hint="eastAsia"/>
          <w:b/>
          <w:bCs/>
          <w:color w:val="auto"/>
          <w:sz w:val="28"/>
          <w:szCs w:val="36"/>
        </w:rPr>
        <w:t>项目概况</w:t>
      </w:r>
    </w:p>
    <w:p>
      <w:pPr>
        <w:pStyle w:val="7"/>
        <w:jc w:val="left"/>
        <w:outlineLvl w:val="0"/>
        <w:rPr>
          <w:rFonts w:hint="eastAsia"/>
          <w:color w:val="auto"/>
          <w:sz w:val="28"/>
          <w:szCs w:val="36"/>
        </w:rPr>
      </w:pPr>
      <w:r>
        <w:rPr>
          <w:rFonts w:hint="eastAsia"/>
          <w:color w:val="auto"/>
          <w:sz w:val="28"/>
          <w:szCs w:val="36"/>
          <w:lang w:eastAsia="zh-CN"/>
        </w:rPr>
        <w:t>唐河县昝岗乡乡村振兴产业发展项目</w:t>
      </w:r>
      <w:r>
        <w:rPr>
          <w:rFonts w:hint="eastAsia"/>
          <w:color w:val="auto"/>
          <w:sz w:val="28"/>
          <w:szCs w:val="36"/>
        </w:rPr>
        <w:t>招标项目的潜在投标人应在唐河县公共资源交易中心网站（http://www.thggzy.cn）获取招标文件，并于202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01</w:t>
      </w:r>
      <w:r>
        <w:rPr>
          <w:rFonts w:hint="eastAsia"/>
          <w:color w:val="auto"/>
          <w:sz w:val="28"/>
          <w:szCs w:val="36"/>
        </w:rPr>
        <w:t>月</w:t>
      </w:r>
      <w:r>
        <w:rPr>
          <w:rFonts w:hint="eastAsia"/>
          <w:color w:val="auto"/>
          <w:sz w:val="28"/>
          <w:szCs w:val="36"/>
          <w:lang w:val="en-US" w:eastAsia="zh-CN"/>
        </w:rPr>
        <w:t>09</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40</w:t>
      </w:r>
      <w:r>
        <w:rPr>
          <w:rFonts w:hint="eastAsia"/>
          <w:color w:val="auto"/>
          <w:sz w:val="28"/>
          <w:szCs w:val="36"/>
        </w:rPr>
        <w:t>分（北京时间）前递交响应文件。</w:t>
      </w:r>
    </w:p>
    <w:p>
      <w:pPr>
        <w:pStyle w:val="7"/>
        <w:jc w:val="left"/>
        <w:outlineLvl w:val="0"/>
        <w:rPr>
          <w:rFonts w:hint="eastAsia"/>
          <w:color w:val="auto"/>
          <w:sz w:val="28"/>
          <w:szCs w:val="36"/>
        </w:rPr>
      </w:pPr>
      <w:r>
        <w:rPr>
          <w:rFonts w:hint="eastAsia"/>
          <w:b/>
          <w:bCs/>
          <w:color w:val="auto"/>
          <w:sz w:val="28"/>
          <w:szCs w:val="36"/>
        </w:rPr>
        <w:t>一、项目基本情况</w:t>
      </w:r>
      <w:r>
        <w:rPr>
          <w:rFonts w:hint="eastAsia"/>
          <w:color w:val="auto"/>
          <w:sz w:val="28"/>
          <w:szCs w:val="36"/>
        </w:rPr>
        <w:t xml:space="preserve"> </w:t>
      </w:r>
    </w:p>
    <w:p>
      <w:pPr>
        <w:pStyle w:val="7"/>
        <w:jc w:val="left"/>
        <w:outlineLvl w:val="0"/>
        <w:rPr>
          <w:rFonts w:hint="default" w:eastAsia="仿宋"/>
          <w:color w:val="auto"/>
          <w:sz w:val="28"/>
          <w:szCs w:val="36"/>
          <w:lang w:val="en-US" w:eastAsia="zh-CN"/>
        </w:rPr>
      </w:pPr>
      <w:r>
        <w:rPr>
          <w:rFonts w:hint="eastAsia"/>
          <w:color w:val="auto"/>
          <w:sz w:val="28"/>
          <w:szCs w:val="36"/>
        </w:rPr>
        <w:t>1、项目编号：</w:t>
      </w:r>
      <w:r>
        <w:rPr>
          <w:rFonts w:hint="eastAsia"/>
          <w:color w:val="auto"/>
          <w:sz w:val="28"/>
          <w:szCs w:val="36"/>
          <w:lang w:eastAsia="zh-CN"/>
        </w:rPr>
        <w:t>唐财采购竞争性磋商-2023-</w:t>
      </w:r>
      <w:r>
        <w:rPr>
          <w:rFonts w:hint="eastAsia"/>
          <w:color w:val="auto"/>
          <w:sz w:val="28"/>
          <w:szCs w:val="36"/>
          <w:lang w:val="en-US" w:eastAsia="zh-CN"/>
        </w:rPr>
        <w:t xml:space="preserve">249 </w:t>
      </w:r>
    </w:p>
    <w:p>
      <w:pPr>
        <w:pStyle w:val="7"/>
        <w:jc w:val="left"/>
        <w:outlineLvl w:val="0"/>
        <w:rPr>
          <w:rFonts w:hint="eastAsia"/>
          <w:color w:val="auto"/>
          <w:sz w:val="28"/>
          <w:szCs w:val="36"/>
          <w:lang w:eastAsia="zh-CN"/>
        </w:rPr>
      </w:pPr>
      <w:r>
        <w:rPr>
          <w:rFonts w:hint="eastAsia"/>
          <w:color w:val="auto"/>
          <w:sz w:val="28"/>
          <w:szCs w:val="36"/>
        </w:rPr>
        <w:t>2、项目名称：</w:t>
      </w:r>
      <w:r>
        <w:rPr>
          <w:rFonts w:hint="eastAsia"/>
          <w:color w:val="auto"/>
          <w:sz w:val="28"/>
          <w:szCs w:val="36"/>
          <w:lang w:eastAsia="zh-CN"/>
        </w:rPr>
        <w:t>唐河县昝岗乡乡村振兴产业发展项目</w:t>
      </w:r>
    </w:p>
    <w:p>
      <w:pPr>
        <w:pStyle w:val="7"/>
        <w:jc w:val="left"/>
        <w:outlineLvl w:val="0"/>
        <w:rPr>
          <w:rFonts w:hint="eastAsia"/>
          <w:color w:val="auto"/>
          <w:sz w:val="28"/>
          <w:szCs w:val="36"/>
        </w:rPr>
      </w:pPr>
      <w:r>
        <w:rPr>
          <w:rFonts w:hint="eastAsia"/>
          <w:color w:val="auto"/>
          <w:sz w:val="28"/>
          <w:szCs w:val="36"/>
        </w:rPr>
        <w:t xml:space="preserve">3、采购方式：竞争性磋商 </w:t>
      </w:r>
    </w:p>
    <w:p>
      <w:pPr>
        <w:pStyle w:val="7"/>
        <w:jc w:val="left"/>
        <w:outlineLvl w:val="0"/>
        <w:rPr>
          <w:rFonts w:hint="eastAsia"/>
          <w:color w:val="auto"/>
          <w:sz w:val="28"/>
          <w:szCs w:val="36"/>
        </w:rPr>
      </w:pPr>
      <w:r>
        <w:rPr>
          <w:rFonts w:hint="eastAsia"/>
          <w:color w:val="auto"/>
          <w:sz w:val="28"/>
          <w:szCs w:val="36"/>
        </w:rPr>
        <w:t>4、预算金额：</w:t>
      </w:r>
      <w:r>
        <w:rPr>
          <w:rFonts w:hint="eastAsia"/>
          <w:color w:val="auto"/>
          <w:sz w:val="28"/>
          <w:szCs w:val="36"/>
          <w:lang w:eastAsia="zh-CN"/>
        </w:rPr>
        <w:t>802255.97</w:t>
      </w:r>
      <w:r>
        <w:rPr>
          <w:rFonts w:hint="eastAsia"/>
          <w:color w:val="auto"/>
          <w:sz w:val="28"/>
          <w:szCs w:val="36"/>
        </w:rPr>
        <w:t xml:space="preserve">元 </w:t>
      </w:r>
    </w:p>
    <w:p>
      <w:pPr>
        <w:pStyle w:val="7"/>
        <w:jc w:val="left"/>
        <w:outlineLvl w:val="0"/>
        <w:rPr>
          <w:rFonts w:hint="eastAsia"/>
          <w:color w:val="auto"/>
          <w:sz w:val="28"/>
          <w:szCs w:val="36"/>
        </w:rPr>
      </w:pPr>
      <w:r>
        <w:rPr>
          <w:rFonts w:hint="eastAsia"/>
          <w:color w:val="auto"/>
          <w:sz w:val="28"/>
          <w:szCs w:val="36"/>
        </w:rPr>
        <w:t>最高限价：</w:t>
      </w:r>
      <w:r>
        <w:rPr>
          <w:rFonts w:hint="eastAsia"/>
          <w:color w:val="auto"/>
          <w:sz w:val="28"/>
          <w:szCs w:val="36"/>
          <w:lang w:eastAsia="zh-CN"/>
        </w:rPr>
        <w:t>802255.97</w:t>
      </w:r>
      <w:r>
        <w:rPr>
          <w:rFonts w:hint="eastAsia"/>
          <w:color w:val="auto"/>
          <w:sz w:val="28"/>
          <w:szCs w:val="36"/>
        </w:rPr>
        <w:t xml:space="preserve">元  </w:t>
      </w:r>
    </w:p>
    <w:tbl>
      <w:tblPr>
        <w:tblStyle w:val="2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4"/>
        <w:gridCol w:w="1685"/>
        <w:gridCol w:w="1616"/>
        <w:gridCol w:w="1616"/>
        <w:gridCol w:w="1010"/>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序号</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包号</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包名称</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包预算（元）</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包最高限价（元）</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是否专门面向中小企业</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ind w:firstLine="560" w:firstLineChars="200"/>
              <w:jc w:val="center"/>
              <w:textAlignment w:val="auto"/>
              <w:rPr>
                <w:rFonts w:hint="eastAsia"/>
                <w:color w:val="auto"/>
                <w:sz w:val="28"/>
                <w:szCs w:val="36"/>
                <w:lang w:eastAsia="zh-CN"/>
              </w:rPr>
            </w:pPr>
            <w:r>
              <w:rPr>
                <w:rFonts w:hint="eastAsia"/>
                <w:color w:val="auto"/>
                <w:sz w:val="28"/>
                <w:szCs w:val="36"/>
                <w:lang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1</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default"/>
                <w:lang w:val="en-US" w:eastAsia="zh-CN"/>
              </w:rPr>
            </w:pPr>
            <w:r>
              <w:rPr>
                <w:rFonts w:hint="eastAsia"/>
                <w:lang w:eastAsia="zh-CN"/>
              </w:rPr>
              <w:t>唐财采购竞争性磋商-2023-</w:t>
            </w:r>
            <w:r>
              <w:rPr>
                <w:rFonts w:hint="eastAsia"/>
                <w:lang w:val="en-US" w:eastAsia="zh-CN"/>
              </w:rPr>
              <w:t xml:space="preserve">249 </w:t>
            </w:r>
            <w:bookmarkStart w:id="83" w:name="_GoBack"/>
            <w:bookmarkEnd w:id="83"/>
            <w:r>
              <w:rPr>
                <w:rFonts w:hint="eastAsia"/>
                <w:color w:val="auto"/>
                <w:sz w:val="28"/>
                <w:szCs w:val="36"/>
                <w:lang w:val="en-US" w:eastAsia="zh-CN"/>
              </w:rPr>
              <w:t>-1</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唐河县昝岗乡乡村振兴产业发展项目</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802255.97</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802255.97</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是</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color w:val="auto"/>
                <w:sz w:val="28"/>
                <w:szCs w:val="36"/>
                <w:lang w:eastAsia="zh-CN"/>
              </w:rPr>
              <w:t>802255.97</w:t>
            </w:r>
          </w:p>
        </w:tc>
      </w:tr>
    </w:tbl>
    <w:p>
      <w:pPr>
        <w:bidi w:val="0"/>
        <w:rPr>
          <w:rFonts w:hint="eastAsia"/>
        </w:rPr>
      </w:pPr>
    </w:p>
    <w:p>
      <w:pPr>
        <w:pStyle w:val="7"/>
        <w:jc w:val="left"/>
        <w:outlineLvl w:val="0"/>
        <w:rPr>
          <w:rFonts w:hint="eastAsia"/>
          <w:color w:val="auto"/>
          <w:sz w:val="28"/>
          <w:szCs w:val="36"/>
        </w:rPr>
      </w:pPr>
      <w:r>
        <w:rPr>
          <w:rFonts w:hint="eastAsia"/>
          <w:color w:val="auto"/>
          <w:sz w:val="28"/>
          <w:szCs w:val="36"/>
        </w:rPr>
        <w:t xml:space="preserve">5、采购需求（包括但不限于标的的名称、数量、简要技术需求或服务要求等） </w:t>
      </w:r>
    </w:p>
    <w:p>
      <w:pPr>
        <w:pStyle w:val="7"/>
        <w:jc w:val="left"/>
        <w:outlineLvl w:val="0"/>
        <w:rPr>
          <w:rFonts w:hint="eastAsia"/>
          <w:color w:val="auto"/>
          <w:sz w:val="28"/>
          <w:szCs w:val="36"/>
          <w:lang w:eastAsia="zh-CN"/>
        </w:rPr>
      </w:pPr>
      <w:r>
        <w:rPr>
          <w:rFonts w:hint="eastAsia"/>
          <w:color w:val="auto"/>
          <w:sz w:val="28"/>
          <w:szCs w:val="36"/>
        </w:rPr>
        <w:t>（1）项目名称：</w:t>
      </w:r>
      <w:r>
        <w:rPr>
          <w:rFonts w:hint="eastAsia"/>
          <w:color w:val="auto"/>
          <w:sz w:val="28"/>
          <w:szCs w:val="36"/>
          <w:lang w:eastAsia="zh-CN"/>
        </w:rPr>
        <w:t>唐河县昝岗乡乡村振兴产业发展项目</w:t>
      </w:r>
    </w:p>
    <w:p>
      <w:pPr>
        <w:pStyle w:val="7"/>
        <w:jc w:val="left"/>
        <w:outlineLvl w:val="0"/>
        <w:rPr>
          <w:rFonts w:hint="eastAsia"/>
          <w:color w:val="auto"/>
          <w:sz w:val="28"/>
          <w:szCs w:val="36"/>
        </w:rPr>
      </w:pPr>
      <w:r>
        <w:rPr>
          <w:rFonts w:hint="eastAsia"/>
          <w:color w:val="auto"/>
          <w:sz w:val="28"/>
          <w:szCs w:val="36"/>
        </w:rPr>
        <w:t>（2）项目实施地点：唐河县昝岗乡；</w:t>
      </w:r>
    </w:p>
    <w:p>
      <w:pPr>
        <w:pStyle w:val="7"/>
        <w:jc w:val="left"/>
        <w:outlineLvl w:val="0"/>
        <w:rPr>
          <w:rFonts w:hint="eastAsia"/>
          <w:color w:val="auto"/>
          <w:sz w:val="28"/>
          <w:szCs w:val="36"/>
        </w:rPr>
      </w:pPr>
      <w:r>
        <w:rPr>
          <w:rFonts w:hint="eastAsia"/>
          <w:color w:val="auto"/>
          <w:sz w:val="28"/>
          <w:szCs w:val="36"/>
        </w:rPr>
        <w:t>（3）资金来源：</w:t>
      </w:r>
      <w:r>
        <w:rPr>
          <w:rFonts w:hint="eastAsia"/>
          <w:color w:val="auto"/>
          <w:sz w:val="28"/>
          <w:szCs w:val="36"/>
          <w:lang w:eastAsia="zh-CN"/>
        </w:rPr>
        <w:t>财政资金</w:t>
      </w:r>
      <w:r>
        <w:rPr>
          <w:rFonts w:hint="eastAsia"/>
          <w:color w:val="auto"/>
          <w:sz w:val="28"/>
          <w:szCs w:val="36"/>
        </w:rPr>
        <w:t>，已落实；</w:t>
      </w:r>
    </w:p>
    <w:p>
      <w:pPr>
        <w:pStyle w:val="7"/>
        <w:jc w:val="left"/>
        <w:outlineLvl w:val="0"/>
        <w:rPr>
          <w:rFonts w:hint="eastAsia"/>
          <w:color w:val="auto"/>
          <w:sz w:val="28"/>
          <w:szCs w:val="36"/>
        </w:rPr>
      </w:pPr>
      <w:r>
        <w:rPr>
          <w:rFonts w:hint="eastAsia"/>
          <w:color w:val="auto"/>
          <w:sz w:val="28"/>
          <w:szCs w:val="36"/>
        </w:rPr>
        <w:t>（4）采购内容：</w:t>
      </w:r>
      <w:r>
        <w:rPr>
          <w:rFonts w:hint="eastAsia"/>
          <w:color w:val="auto"/>
          <w:sz w:val="28"/>
          <w:szCs w:val="36"/>
          <w:lang w:val="en-US" w:eastAsia="zh-CN"/>
        </w:rPr>
        <w:t>唐河县昝岗乡乡村振兴产业发展项目详见本项目采购文件、工程量清单及施工图纸范围内的所有工程施工（以清单为准）。</w:t>
      </w:r>
    </w:p>
    <w:p>
      <w:pPr>
        <w:pStyle w:val="7"/>
        <w:jc w:val="left"/>
        <w:outlineLvl w:val="0"/>
        <w:rPr>
          <w:rFonts w:hint="eastAsia"/>
          <w:color w:val="auto"/>
          <w:sz w:val="28"/>
          <w:szCs w:val="36"/>
        </w:rPr>
      </w:pPr>
      <w:r>
        <w:rPr>
          <w:rFonts w:hint="eastAsia"/>
          <w:color w:val="auto"/>
          <w:sz w:val="28"/>
          <w:szCs w:val="36"/>
        </w:rPr>
        <w:t>（5）标段划分：本项目划分一个标段；</w:t>
      </w:r>
    </w:p>
    <w:p>
      <w:pPr>
        <w:pStyle w:val="7"/>
        <w:jc w:val="left"/>
        <w:outlineLvl w:val="0"/>
        <w:rPr>
          <w:rFonts w:hint="eastAsia"/>
          <w:color w:val="auto"/>
          <w:sz w:val="28"/>
          <w:szCs w:val="36"/>
        </w:rPr>
      </w:pPr>
      <w:r>
        <w:rPr>
          <w:rFonts w:hint="eastAsia"/>
          <w:color w:val="auto"/>
          <w:sz w:val="28"/>
          <w:szCs w:val="36"/>
        </w:rPr>
        <w:t xml:space="preserve">（6）质量要求：合格； </w:t>
      </w:r>
    </w:p>
    <w:p>
      <w:pPr>
        <w:pStyle w:val="7"/>
        <w:jc w:val="left"/>
        <w:outlineLvl w:val="0"/>
        <w:rPr>
          <w:rFonts w:hint="eastAsia"/>
          <w:color w:val="auto"/>
          <w:sz w:val="28"/>
          <w:szCs w:val="36"/>
        </w:rPr>
      </w:pPr>
      <w:r>
        <w:rPr>
          <w:rFonts w:hint="eastAsia"/>
          <w:color w:val="auto"/>
          <w:sz w:val="28"/>
          <w:szCs w:val="36"/>
        </w:rPr>
        <w:t>6、合同履行期限：合同签订后</w:t>
      </w:r>
      <w:r>
        <w:rPr>
          <w:rFonts w:hint="eastAsia"/>
          <w:color w:val="auto"/>
          <w:sz w:val="28"/>
          <w:szCs w:val="36"/>
          <w:lang w:val="en-US" w:eastAsia="zh-CN"/>
        </w:rPr>
        <w:t>45</w:t>
      </w:r>
      <w:r>
        <w:rPr>
          <w:rFonts w:hint="eastAsia"/>
          <w:color w:val="auto"/>
          <w:sz w:val="28"/>
          <w:szCs w:val="36"/>
        </w:rPr>
        <w:t xml:space="preserve">日历天内 </w:t>
      </w:r>
    </w:p>
    <w:p>
      <w:pPr>
        <w:pStyle w:val="7"/>
        <w:jc w:val="left"/>
        <w:outlineLvl w:val="0"/>
        <w:rPr>
          <w:rFonts w:hint="eastAsia"/>
          <w:color w:val="auto"/>
          <w:sz w:val="28"/>
          <w:szCs w:val="36"/>
        </w:rPr>
      </w:pPr>
      <w:r>
        <w:rPr>
          <w:rFonts w:hint="eastAsia"/>
          <w:color w:val="auto"/>
          <w:sz w:val="28"/>
          <w:szCs w:val="36"/>
        </w:rPr>
        <w:t xml:space="preserve">7、本项目是否接受联合体投标：否 </w:t>
      </w:r>
    </w:p>
    <w:p>
      <w:pPr>
        <w:pStyle w:val="7"/>
        <w:jc w:val="left"/>
        <w:outlineLvl w:val="0"/>
        <w:rPr>
          <w:rFonts w:hint="eastAsia"/>
          <w:color w:val="auto"/>
          <w:sz w:val="28"/>
          <w:szCs w:val="36"/>
        </w:rPr>
      </w:pPr>
      <w:r>
        <w:rPr>
          <w:rFonts w:hint="eastAsia"/>
          <w:color w:val="auto"/>
          <w:sz w:val="28"/>
          <w:szCs w:val="36"/>
        </w:rPr>
        <w:t xml:space="preserve">8、是否接受进口产品：否 </w:t>
      </w:r>
    </w:p>
    <w:p>
      <w:pPr>
        <w:pStyle w:val="7"/>
        <w:jc w:val="left"/>
        <w:outlineLvl w:val="0"/>
        <w:rPr>
          <w:rFonts w:hint="eastAsia"/>
          <w:color w:val="auto"/>
          <w:sz w:val="28"/>
          <w:szCs w:val="36"/>
        </w:rPr>
      </w:pPr>
      <w:r>
        <w:rPr>
          <w:rFonts w:hint="eastAsia"/>
          <w:color w:val="auto"/>
          <w:sz w:val="28"/>
          <w:szCs w:val="36"/>
        </w:rPr>
        <w:t xml:space="preserve">9、是否专门面向中小企业：是 </w:t>
      </w:r>
    </w:p>
    <w:p>
      <w:pPr>
        <w:pStyle w:val="7"/>
        <w:jc w:val="left"/>
        <w:outlineLvl w:val="0"/>
        <w:rPr>
          <w:rFonts w:hint="eastAsia"/>
          <w:b/>
          <w:bCs/>
          <w:color w:val="auto"/>
          <w:sz w:val="28"/>
          <w:szCs w:val="36"/>
        </w:rPr>
      </w:pPr>
      <w:r>
        <w:rPr>
          <w:rFonts w:hint="eastAsia"/>
          <w:b/>
          <w:bCs/>
          <w:color w:val="auto"/>
          <w:sz w:val="28"/>
          <w:szCs w:val="36"/>
        </w:rPr>
        <w:t xml:space="preserve">二、申请人资格要求： </w:t>
      </w:r>
    </w:p>
    <w:p>
      <w:pPr>
        <w:pStyle w:val="7"/>
        <w:jc w:val="left"/>
        <w:outlineLvl w:val="0"/>
        <w:rPr>
          <w:rFonts w:hint="eastAsia"/>
          <w:color w:val="auto"/>
          <w:sz w:val="28"/>
          <w:szCs w:val="36"/>
        </w:rPr>
      </w:pPr>
      <w:r>
        <w:rPr>
          <w:rFonts w:hint="eastAsia"/>
          <w:color w:val="auto"/>
          <w:sz w:val="28"/>
          <w:szCs w:val="36"/>
        </w:rPr>
        <w:t xml:space="preserve">1、满足《中华人民共和国政府采购法》第二十二条规定； </w:t>
      </w:r>
    </w:p>
    <w:p>
      <w:pPr>
        <w:pStyle w:val="7"/>
        <w:jc w:val="left"/>
        <w:outlineLvl w:val="0"/>
        <w:rPr>
          <w:rFonts w:hint="eastAsia"/>
          <w:color w:val="auto"/>
          <w:sz w:val="28"/>
          <w:szCs w:val="36"/>
        </w:rPr>
      </w:pPr>
      <w:r>
        <w:rPr>
          <w:rFonts w:hint="eastAsia"/>
          <w:color w:val="auto"/>
          <w:sz w:val="28"/>
          <w:szCs w:val="36"/>
        </w:rPr>
        <w:t xml:space="preserve">2、落实政府采购政策满足的资格要求： </w:t>
      </w:r>
    </w:p>
    <w:p>
      <w:pPr>
        <w:pStyle w:val="7"/>
        <w:jc w:val="left"/>
        <w:outlineLvl w:val="0"/>
        <w:rPr>
          <w:rFonts w:hint="eastAsia"/>
          <w:color w:val="auto"/>
          <w:sz w:val="28"/>
          <w:szCs w:val="36"/>
        </w:rPr>
      </w:pPr>
      <w:r>
        <w:rPr>
          <w:rFonts w:hint="eastAsia"/>
          <w:color w:val="auto"/>
          <w:sz w:val="28"/>
          <w:szCs w:val="36"/>
        </w:rPr>
        <w:t xml:space="preserve">本项目执行扶持中小企业、监狱企业和残疾人福利性单位发展的政策。 </w:t>
      </w:r>
    </w:p>
    <w:p>
      <w:pPr>
        <w:pStyle w:val="7"/>
        <w:jc w:val="left"/>
        <w:outlineLvl w:val="0"/>
        <w:rPr>
          <w:rFonts w:hint="eastAsia"/>
          <w:color w:val="auto"/>
          <w:sz w:val="28"/>
          <w:szCs w:val="36"/>
        </w:rPr>
      </w:pPr>
      <w:r>
        <w:rPr>
          <w:rFonts w:hint="eastAsia"/>
          <w:color w:val="auto"/>
          <w:sz w:val="28"/>
          <w:szCs w:val="36"/>
        </w:rPr>
        <w:t xml:space="preserve">3、本项目的特定资格要求 </w:t>
      </w:r>
    </w:p>
    <w:p>
      <w:pPr>
        <w:pStyle w:val="7"/>
        <w:jc w:val="left"/>
        <w:outlineLvl w:val="0"/>
        <w:rPr>
          <w:rFonts w:hint="eastAsia"/>
          <w:color w:val="auto"/>
          <w:sz w:val="28"/>
          <w:szCs w:val="36"/>
        </w:rPr>
      </w:pPr>
      <w:r>
        <w:rPr>
          <w:rFonts w:hint="eastAsia"/>
          <w:color w:val="auto"/>
          <w:sz w:val="28"/>
          <w:szCs w:val="36"/>
        </w:rPr>
        <w:t>3.1供应商具有独立法人资格，具有有效的营业执照、税务登记证、组织机构代码证（或三证合一）；</w:t>
      </w:r>
    </w:p>
    <w:p>
      <w:pPr>
        <w:pStyle w:val="7"/>
        <w:jc w:val="left"/>
        <w:outlineLvl w:val="0"/>
        <w:rPr>
          <w:rFonts w:hint="eastAsia"/>
          <w:color w:val="auto"/>
          <w:sz w:val="28"/>
          <w:szCs w:val="36"/>
        </w:rPr>
      </w:pPr>
      <w:r>
        <w:rPr>
          <w:rFonts w:hint="eastAsia"/>
          <w:color w:val="auto"/>
          <w:sz w:val="28"/>
          <w:szCs w:val="36"/>
        </w:rPr>
        <w:t>3.2</w:t>
      </w:r>
      <w:r>
        <w:rPr>
          <w:rFonts w:hint="eastAsia"/>
          <w:color w:val="auto"/>
          <w:sz w:val="28"/>
          <w:szCs w:val="36"/>
          <w:lang w:val="en-US" w:eastAsia="zh-CN"/>
        </w:rPr>
        <w:t>供应商须具有建筑工程施工总承包叁级及以上资质等级，且具有有效的安全生产许可证，并在人员、设备、资金等方面具有相应的施工能力；</w:t>
      </w:r>
    </w:p>
    <w:p>
      <w:pPr>
        <w:pStyle w:val="7"/>
        <w:jc w:val="left"/>
        <w:outlineLvl w:val="0"/>
        <w:rPr>
          <w:rFonts w:hint="eastAsia"/>
          <w:color w:val="auto"/>
          <w:sz w:val="28"/>
          <w:szCs w:val="36"/>
        </w:rPr>
      </w:pPr>
      <w:r>
        <w:rPr>
          <w:rFonts w:hint="eastAsia"/>
          <w:color w:val="auto"/>
          <w:sz w:val="28"/>
          <w:szCs w:val="36"/>
        </w:rPr>
        <w:t>3.3拟派项目经理须具备相关专业贰级及以上注册建造师资格证书及有效的安全生产考核合格证，且未担任其他在建工程的项目经理并作出承诺；技术负责人具有相关专业中级及以上工程技术职称；</w:t>
      </w:r>
    </w:p>
    <w:p>
      <w:pPr>
        <w:pStyle w:val="7"/>
        <w:jc w:val="left"/>
        <w:outlineLvl w:val="0"/>
        <w:rPr>
          <w:rFonts w:hint="eastAsia"/>
          <w:color w:val="auto"/>
          <w:sz w:val="28"/>
          <w:szCs w:val="36"/>
        </w:rPr>
      </w:pPr>
      <w:r>
        <w:rPr>
          <w:rFonts w:hint="eastAsia"/>
          <w:color w:val="auto"/>
          <w:sz w:val="28"/>
          <w:szCs w:val="36"/>
        </w:rPr>
        <w:t>3.4参加本次政府采购活动前三年内，在经营活动中没有重大违法犯罪记录；</w:t>
      </w:r>
    </w:p>
    <w:p>
      <w:pPr>
        <w:pStyle w:val="7"/>
        <w:jc w:val="left"/>
        <w:outlineLvl w:val="0"/>
        <w:rPr>
          <w:rFonts w:hint="eastAsia"/>
          <w:color w:val="auto"/>
          <w:sz w:val="28"/>
          <w:szCs w:val="36"/>
        </w:rPr>
      </w:pPr>
      <w:r>
        <w:rPr>
          <w:rFonts w:hint="eastAsia"/>
          <w:color w:val="auto"/>
          <w:sz w:val="28"/>
          <w:szCs w:val="36"/>
        </w:rPr>
        <w:t>3.5财务状况良好，没有处于被责令停业、破产状态，各投标人须提供具有近三年（20</w:t>
      </w:r>
      <w:r>
        <w:rPr>
          <w:rFonts w:hint="eastAsia"/>
          <w:color w:val="auto"/>
          <w:sz w:val="28"/>
          <w:szCs w:val="36"/>
          <w:lang w:val="en-US" w:eastAsia="zh-CN"/>
        </w:rPr>
        <w:t>20</w:t>
      </w:r>
      <w:r>
        <w:rPr>
          <w:rFonts w:hint="eastAsia"/>
          <w:color w:val="auto"/>
          <w:sz w:val="28"/>
          <w:szCs w:val="36"/>
        </w:rPr>
        <w:t>年度、202</w:t>
      </w:r>
      <w:r>
        <w:rPr>
          <w:rFonts w:hint="eastAsia"/>
          <w:color w:val="auto"/>
          <w:sz w:val="28"/>
          <w:szCs w:val="36"/>
          <w:lang w:val="en-US" w:eastAsia="zh-CN"/>
        </w:rPr>
        <w:t>1</w:t>
      </w:r>
      <w:r>
        <w:rPr>
          <w:rFonts w:hint="eastAsia"/>
          <w:color w:val="auto"/>
          <w:sz w:val="28"/>
          <w:szCs w:val="36"/>
        </w:rPr>
        <w:t>年度、202</w:t>
      </w:r>
      <w:r>
        <w:rPr>
          <w:rFonts w:hint="eastAsia"/>
          <w:color w:val="auto"/>
          <w:sz w:val="28"/>
          <w:szCs w:val="36"/>
          <w:lang w:val="en-US" w:eastAsia="zh-CN"/>
        </w:rPr>
        <w:t>2</w:t>
      </w:r>
      <w:r>
        <w:rPr>
          <w:rFonts w:hint="eastAsia"/>
          <w:color w:val="auto"/>
          <w:sz w:val="28"/>
          <w:szCs w:val="36"/>
        </w:rPr>
        <w:t>年度）经审计的财务报告，信誉良好（成立不足三年的企业，从成立之日算起）。</w:t>
      </w:r>
    </w:p>
    <w:p>
      <w:pPr>
        <w:pStyle w:val="7"/>
        <w:jc w:val="left"/>
        <w:outlineLvl w:val="0"/>
        <w:rPr>
          <w:rFonts w:hint="eastAsia"/>
          <w:color w:val="auto"/>
          <w:sz w:val="28"/>
          <w:szCs w:val="36"/>
        </w:rPr>
      </w:pPr>
      <w:r>
        <w:rPr>
          <w:rFonts w:hint="eastAsia"/>
          <w:color w:val="auto"/>
          <w:sz w:val="28"/>
          <w:szCs w:val="36"/>
        </w:rPr>
        <w:t>3.6供应商依法缴纳税收（提供202</w:t>
      </w:r>
      <w:r>
        <w:rPr>
          <w:rFonts w:hint="eastAsia"/>
          <w:color w:val="auto"/>
          <w:sz w:val="28"/>
          <w:szCs w:val="36"/>
          <w:lang w:val="en-US" w:eastAsia="zh-CN"/>
        </w:rPr>
        <w:t>3</w:t>
      </w:r>
      <w:r>
        <w:rPr>
          <w:rFonts w:hint="eastAsia"/>
          <w:color w:val="auto"/>
          <w:sz w:val="28"/>
          <w:szCs w:val="36"/>
        </w:rPr>
        <w:t>年1月1日以来任意三个月完税证明或缴税凭证）和社会保障资金（提供202</w:t>
      </w:r>
      <w:r>
        <w:rPr>
          <w:rFonts w:hint="eastAsia"/>
          <w:color w:val="auto"/>
          <w:sz w:val="28"/>
          <w:szCs w:val="36"/>
          <w:lang w:val="en-US" w:eastAsia="zh-CN"/>
        </w:rPr>
        <w:t>3</w:t>
      </w:r>
      <w:r>
        <w:rPr>
          <w:rFonts w:hint="eastAsia"/>
          <w:color w:val="auto"/>
          <w:sz w:val="28"/>
          <w:szCs w:val="36"/>
        </w:rPr>
        <w:t>年1月1日以来任意三个月的社保缴纳凭证或社保缴费记录)。依法免税或不需要缴纳社会保障资金的供应商，应提供相应证明文件。</w:t>
      </w:r>
    </w:p>
    <w:p>
      <w:pPr>
        <w:pStyle w:val="7"/>
        <w:jc w:val="left"/>
        <w:outlineLvl w:val="0"/>
        <w:rPr>
          <w:rFonts w:hint="eastAsia"/>
          <w:color w:val="auto"/>
          <w:sz w:val="28"/>
          <w:szCs w:val="36"/>
        </w:rPr>
      </w:pPr>
      <w:r>
        <w:rPr>
          <w:rFonts w:hint="eastAsia"/>
          <w:color w:val="auto"/>
          <w:sz w:val="28"/>
          <w:szCs w:val="36"/>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pStyle w:val="7"/>
        <w:jc w:val="left"/>
        <w:outlineLvl w:val="0"/>
        <w:rPr>
          <w:rFonts w:hint="eastAsia"/>
          <w:color w:val="auto"/>
          <w:sz w:val="28"/>
          <w:szCs w:val="36"/>
        </w:rPr>
      </w:pPr>
      <w:r>
        <w:rPr>
          <w:rFonts w:hint="eastAsia"/>
          <w:color w:val="auto"/>
          <w:sz w:val="28"/>
          <w:szCs w:val="36"/>
        </w:rPr>
        <w:t>3.8本次招标不接受联合体投标，不允许分包和转包。</w:t>
      </w:r>
    </w:p>
    <w:p>
      <w:pPr>
        <w:pStyle w:val="7"/>
        <w:jc w:val="left"/>
        <w:outlineLvl w:val="0"/>
        <w:rPr>
          <w:rFonts w:hint="eastAsia"/>
          <w:color w:val="auto"/>
          <w:sz w:val="28"/>
          <w:szCs w:val="36"/>
        </w:rPr>
      </w:pPr>
      <w:r>
        <w:rPr>
          <w:rFonts w:hint="eastAsia"/>
          <w:color w:val="auto"/>
          <w:sz w:val="28"/>
          <w:szCs w:val="36"/>
        </w:rPr>
        <w:t>3.9满足法律、行政法规及本项目磋商文件规定的其他条件。</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按照唐河县财政局《关于在政府采购活动中试行供应商资格信用承</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诺制的通知》唐财购[2021]18号的要求，供应商在投标(响应)时，</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按照规定提供“投标承诺函”(详见采购文件)的，无需再提交上</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述（3.5）（3.6）的证明材料。供应商在中标(成交)后，应将上</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述由投标承诺函替代的证明材料提交采购人、采购代理机构，证明</w:t>
      </w:r>
    </w:p>
    <w:p>
      <w:pPr>
        <w:rPr>
          <w:rFonts w:hint="eastAsia" w:ascii="宋体" w:hAnsi="宋体" w:eastAsia="仿宋" w:cs="宋体"/>
          <w:color w:val="auto"/>
          <w:kern w:val="44"/>
          <w:sz w:val="28"/>
          <w:szCs w:val="36"/>
          <w:lang w:val="zh-CN" w:eastAsia="zh-CN" w:bidi="zh-CN"/>
        </w:rPr>
      </w:pPr>
      <w:r>
        <w:rPr>
          <w:rFonts w:hint="eastAsia" w:ascii="宋体" w:hAnsi="宋体" w:eastAsia="仿宋" w:cs="宋体"/>
          <w:color w:val="auto"/>
          <w:kern w:val="44"/>
          <w:sz w:val="28"/>
          <w:szCs w:val="36"/>
          <w:lang w:val="zh-CN" w:eastAsia="zh-CN" w:bidi="zh-CN"/>
        </w:rPr>
        <w:t>材料将随公告一并公示。</w:t>
      </w:r>
    </w:p>
    <w:p>
      <w:pPr>
        <w:pStyle w:val="7"/>
        <w:jc w:val="left"/>
        <w:outlineLvl w:val="0"/>
        <w:rPr>
          <w:rFonts w:hint="eastAsia"/>
          <w:color w:val="auto"/>
          <w:sz w:val="28"/>
          <w:szCs w:val="36"/>
        </w:rPr>
      </w:pPr>
      <w:r>
        <w:rPr>
          <w:rFonts w:hint="eastAsia"/>
          <w:color w:val="auto"/>
          <w:sz w:val="28"/>
          <w:szCs w:val="36"/>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pStyle w:val="7"/>
        <w:jc w:val="left"/>
        <w:outlineLvl w:val="0"/>
        <w:rPr>
          <w:rFonts w:hint="eastAsia"/>
          <w:b/>
          <w:bCs/>
          <w:color w:val="auto"/>
          <w:sz w:val="28"/>
          <w:szCs w:val="36"/>
        </w:rPr>
      </w:pPr>
      <w:r>
        <w:rPr>
          <w:rFonts w:hint="eastAsia"/>
          <w:b/>
          <w:bCs/>
          <w:color w:val="auto"/>
          <w:sz w:val="28"/>
          <w:szCs w:val="36"/>
        </w:rPr>
        <w:t xml:space="preserve">三、获取采购文件 </w:t>
      </w:r>
    </w:p>
    <w:p>
      <w:pPr>
        <w:pStyle w:val="7"/>
        <w:jc w:val="left"/>
        <w:outlineLvl w:val="0"/>
        <w:rPr>
          <w:rFonts w:hint="eastAsia"/>
          <w:color w:val="auto"/>
          <w:sz w:val="28"/>
          <w:szCs w:val="36"/>
        </w:rPr>
      </w:pPr>
      <w:r>
        <w:rPr>
          <w:rFonts w:hint="eastAsia"/>
          <w:color w:val="auto"/>
          <w:sz w:val="28"/>
          <w:szCs w:val="36"/>
        </w:rPr>
        <w:t>1.时间：2023年</w:t>
      </w:r>
      <w:r>
        <w:rPr>
          <w:rFonts w:hint="eastAsia"/>
          <w:color w:val="auto"/>
          <w:sz w:val="28"/>
          <w:szCs w:val="36"/>
          <w:lang w:val="en-US" w:eastAsia="zh-CN"/>
        </w:rPr>
        <w:t>12</w:t>
      </w:r>
      <w:r>
        <w:rPr>
          <w:rFonts w:hint="eastAsia"/>
          <w:color w:val="auto"/>
          <w:sz w:val="28"/>
          <w:szCs w:val="36"/>
        </w:rPr>
        <w:t>月</w:t>
      </w:r>
      <w:r>
        <w:rPr>
          <w:rFonts w:hint="eastAsia"/>
          <w:color w:val="auto"/>
          <w:sz w:val="28"/>
          <w:szCs w:val="36"/>
          <w:lang w:val="en-US" w:eastAsia="zh-CN"/>
        </w:rPr>
        <w:t>25</w:t>
      </w:r>
      <w:r>
        <w:rPr>
          <w:rFonts w:hint="eastAsia"/>
          <w:color w:val="auto"/>
          <w:sz w:val="28"/>
          <w:szCs w:val="36"/>
        </w:rPr>
        <w:t>日 至 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01</w:t>
      </w:r>
      <w:r>
        <w:rPr>
          <w:rFonts w:hint="eastAsia"/>
          <w:color w:val="auto"/>
          <w:sz w:val="28"/>
          <w:szCs w:val="36"/>
        </w:rPr>
        <w:t>月</w:t>
      </w:r>
      <w:r>
        <w:rPr>
          <w:rFonts w:hint="eastAsia"/>
          <w:color w:val="auto"/>
          <w:sz w:val="28"/>
          <w:szCs w:val="36"/>
          <w:lang w:val="en-US" w:eastAsia="zh-CN"/>
        </w:rPr>
        <w:t>02</w:t>
      </w:r>
      <w:r>
        <w:rPr>
          <w:rFonts w:hint="eastAsia"/>
          <w:color w:val="auto"/>
          <w:sz w:val="28"/>
          <w:szCs w:val="36"/>
        </w:rPr>
        <w:t xml:space="preserve">日，每天上午09:30至12:00，下午12:00至18:00（北京时间，法定节假日除外。） </w:t>
      </w:r>
    </w:p>
    <w:p>
      <w:pPr>
        <w:pStyle w:val="7"/>
        <w:jc w:val="left"/>
        <w:outlineLvl w:val="0"/>
        <w:rPr>
          <w:rFonts w:hint="eastAsia"/>
          <w:color w:val="auto"/>
          <w:sz w:val="28"/>
          <w:szCs w:val="36"/>
        </w:rPr>
      </w:pPr>
      <w:r>
        <w:rPr>
          <w:rFonts w:hint="eastAsia"/>
          <w:color w:val="auto"/>
          <w:sz w:val="28"/>
          <w:szCs w:val="36"/>
        </w:rPr>
        <w:t xml:space="preserve">2.地点：唐河县公共资源交易中心网站（http://www.thggzy.cn） </w:t>
      </w:r>
    </w:p>
    <w:p>
      <w:pPr>
        <w:pStyle w:val="7"/>
        <w:jc w:val="left"/>
        <w:outlineLvl w:val="0"/>
        <w:rPr>
          <w:rFonts w:hint="eastAsia"/>
          <w:color w:val="auto"/>
          <w:sz w:val="28"/>
          <w:szCs w:val="36"/>
        </w:rPr>
      </w:pPr>
      <w:r>
        <w:rPr>
          <w:rFonts w:hint="eastAsia"/>
          <w:color w:val="auto"/>
          <w:sz w:val="28"/>
          <w:szCs w:val="36"/>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pStyle w:val="7"/>
        <w:jc w:val="left"/>
        <w:outlineLvl w:val="0"/>
        <w:rPr>
          <w:rFonts w:hint="eastAsia"/>
          <w:color w:val="auto"/>
          <w:sz w:val="28"/>
          <w:szCs w:val="36"/>
        </w:rPr>
      </w:pPr>
      <w:r>
        <w:rPr>
          <w:rFonts w:hint="eastAsia"/>
          <w:color w:val="auto"/>
          <w:sz w:val="28"/>
          <w:szCs w:val="36"/>
        </w:rPr>
        <w:t xml:space="preserve">4.售价：0元 </w:t>
      </w:r>
    </w:p>
    <w:p>
      <w:pPr>
        <w:pStyle w:val="7"/>
        <w:jc w:val="left"/>
        <w:outlineLvl w:val="0"/>
        <w:rPr>
          <w:rFonts w:hint="eastAsia"/>
          <w:b/>
          <w:bCs/>
          <w:color w:val="auto"/>
          <w:sz w:val="28"/>
          <w:szCs w:val="36"/>
        </w:rPr>
      </w:pPr>
      <w:r>
        <w:rPr>
          <w:rFonts w:hint="eastAsia"/>
          <w:b/>
          <w:bCs/>
          <w:color w:val="auto"/>
          <w:sz w:val="28"/>
          <w:szCs w:val="36"/>
        </w:rPr>
        <w:t xml:space="preserve">四、响应文件提交 </w:t>
      </w:r>
    </w:p>
    <w:p>
      <w:pPr>
        <w:pStyle w:val="7"/>
        <w:jc w:val="left"/>
        <w:outlineLvl w:val="0"/>
        <w:rPr>
          <w:rFonts w:hint="eastAsia"/>
          <w:color w:val="auto"/>
          <w:sz w:val="28"/>
          <w:szCs w:val="36"/>
        </w:rPr>
      </w:pPr>
      <w:r>
        <w:rPr>
          <w:rFonts w:hint="eastAsia"/>
          <w:color w:val="auto"/>
          <w:sz w:val="28"/>
          <w:szCs w:val="36"/>
        </w:rPr>
        <w:t>1.截止时间：202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01</w:t>
      </w:r>
      <w:r>
        <w:rPr>
          <w:rFonts w:hint="eastAsia"/>
          <w:color w:val="auto"/>
          <w:sz w:val="28"/>
          <w:szCs w:val="36"/>
        </w:rPr>
        <w:t>月</w:t>
      </w:r>
      <w:r>
        <w:rPr>
          <w:rFonts w:hint="eastAsia"/>
          <w:color w:val="auto"/>
          <w:sz w:val="28"/>
          <w:szCs w:val="36"/>
          <w:lang w:val="en-US" w:eastAsia="zh-CN"/>
        </w:rPr>
        <w:t>09</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40</w:t>
      </w:r>
      <w:r>
        <w:rPr>
          <w:rFonts w:hint="eastAsia"/>
          <w:color w:val="auto"/>
          <w:sz w:val="28"/>
          <w:szCs w:val="36"/>
        </w:rPr>
        <w:t xml:space="preserve">分（北京时间） </w:t>
      </w:r>
    </w:p>
    <w:p>
      <w:pPr>
        <w:pStyle w:val="7"/>
        <w:jc w:val="left"/>
        <w:outlineLvl w:val="0"/>
        <w:rPr>
          <w:rFonts w:hint="eastAsia"/>
          <w:color w:val="auto"/>
          <w:sz w:val="28"/>
          <w:szCs w:val="36"/>
        </w:rPr>
      </w:pPr>
      <w:r>
        <w:rPr>
          <w:rFonts w:hint="eastAsia"/>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pStyle w:val="7"/>
        <w:jc w:val="left"/>
        <w:outlineLvl w:val="0"/>
        <w:rPr>
          <w:rFonts w:hint="eastAsia"/>
          <w:color w:val="auto"/>
          <w:sz w:val="28"/>
          <w:szCs w:val="36"/>
        </w:rPr>
      </w:pPr>
      <w:r>
        <w:rPr>
          <w:rFonts w:hint="eastAsia"/>
          <w:b/>
          <w:bCs/>
          <w:color w:val="auto"/>
          <w:sz w:val="28"/>
          <w:szCs w:val="36"/>
        </w:rPr>
        <w:t>五、响应文件开启</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01</w:t>
      </w:r>
      <w:r>
        <w:rPr>
          <w:rFonts w:hint="eastAsia"/>
          <w:color w:val="auto"/>
          <w:sz w:val="28"/>
          <w:szCs w:val="36"/>
        </w:rPr>
        <w:t>月</w:t>
      </w:r>
      <w:r>
        <w:rPr>
          <w:rFonts w:hint="eastAsia"/>
          <w:color w:val="auto"/>
          <w:sz w:val="28"/>
          <w:szCs w:val="36"/>
          <w:lang w:val="en-US" w:eastAsia="zh-CN"/>
        </w:rPr>
        <w:t>09</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40</w:t>
      </w:r>
      <w:r>
        <w:rPr>
          <w:rFonts w:hint="eastAsia"/>
          <w:color w:val="auto"/>
          <w:sz w:val="28"/>
          <w:szCs w:val="36"/>
        </w:rPr>
        <w:t xml:space="preserve">分（北京时间） </w:t>
      </w:r>
    </w:p>
    <w:p>
      <w:pPr>
        <w:pStyle w:val="7"/>
        <w:jc w:val="left"/>
        <w:outlineLvl w:val="0"/>
        <w:rPr>
          <w:rFonts w:hint="eastAsia"/>
          <w:color w:val="auto"/>
          <w:sz w:val="28"/>
          <w:szCs w:val="36"/>
        </w:rPr>
      </w:pPr>
      <w:r>
        <w:rPr>
          <w:rFonts w:hint="eastAsia"/>
          <w:color w:val="auto"/>
          <w:sz w:val="28"/>
          <w:szCs w:val="36"/>
        </w:rPr>
        <w:t>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w:t>
      </w:r>
      <w:r>
        <w:rPr>
          <w:rFonts w:hint="eastAsia"/>
          <w:color w:val="auto"/>
          <w:sz w:val="28"/>
          <w:szCs w:val="36"/>
          <w:lang w:val="en-US" w:eastAsia="zh-CN"/>
        </w:rPr>
        <w:t>30</w:t>
      </w:r>
      <w:r>
        <w:rPr>
          <w:rFonts w:hint="eastAsia"/>
          <w:color w:val="auto"/>
          <w:sz w:val="28"/>
          <w:szCs w:val="36"/>
        </w:rPr>
        <w:t xml:space="preserve">分钟内）将被退回响应文件；附件：操作手册在下载中心或办事指南中自行下载，不见面开标大厅地址：唐河县公共资源交易中心网站首页“不见面开标大厅”模块。 </w:t>
      </w:r>
    </w:p>
    <w:p>
      <w:pPr>
        <w:rPr>
          <w:rFonts w:hint="eastAsia"/>
          <w:color w:val="auto"/>
          <w:sz w:val="28"/>
          <w:szCs w:val="36"/>
        </w:rPr>
      </w:pPr>
    </w:p>
    <w:p>
      <w:pPr>
        <w:pStyle w:val="2"/>
        <w:rPr>
          <w:rFonts w:hint="eastAsia"/>
        </w:rPr>
      </w:pPr>
    </w:p>
    <w:p>
      <w:pPr>
        <w:pStyle w:val="7"/>
        <w:jc w:val="left"/>
        <w:outlineLvl w:val="0"/>
        <w:rPr>
          <w:rFonts w:hint="eastAsia"/>
          <w:color w:val="auto"/>
          <w:sz w:val="28"/>
          <w:szCs w:val="36"/>
        </w:rPr>
      </w:pPr>
      <w:r>
        <w:rPr>
          <w:rFonts w:hint="eastAsia"/>
          <w:b/>
          <w:bCs/>
          <w:color w:val="auto"/>
          <w:sz w:val="28"/>
          <w:szCs w:val="36"/>
        </w:rPr>
        <w:t>六、发布公告的媒介及招标公告期限</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 xml:space="preserve">本次招标公告在《河南省政府采购网》、《中国政府采购网》、《中国招标投标公共服务平台》、《唐河县公共资源交易中心》上发布，招标公告期限为三个工作日 。  </w:t>
      </w:r>
    </w:p>
    <w:p>
      <w:pPr>
        <w:pStyle w:val="7"/>
        <w:jc w:val="left"/>
        <w:outlineLvl w:val="0"/>
        <w:rPr>
          <w:rFonts w:hint="eastAsia"/>
          <w:color w:val="auto"/>
          <w:sz w:val="28"/>
          <w:szCs w:val="36"/>
        </w:rPr>
      </w:pPr>
      <w:r>
        <w:rPr>
          <w:rFonts w:hint="eastAsia"/>
          <w:b/>
          <w:bCs/>
          <w:color w:val="auto"/>
          <w:sz w:val="28"/>
          <w:szCs w:val="36"/>
        </w:rPr>
        <w:t>七、其他补充事宜</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 xml:space="preserve">无 </w:t>
      </w:r>
    </w:p>
    <w:p>
      <w:pPr>
        <w:pStyle w:val="7"/>
        <w:jc w:val="left"/>
        <w:outlineLvl w:val="0"/>
        <w:rPr>
          <w:rFonts w:hint="eastAsia"/>
          <w:color w:val="auto"/>
          <w:sz w:val="28"/>
          <w:szCs w:val="36"/>
        </w:rPr>
      </w:pPr>
      <w:r>
        <w:rPr>
          <w:rFonts w:hint="eastAsia"/>
          <w:b/>
          <w:bCs/>
          <w:color w:val="auto"/>
          <w:sz w:val="28"/>
          <w:szCs w:val="36"/>
        </w:rPr>
        <w:t>八、凡对本次招标提出询问，请按照以下方式联系</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 xml:space="preserve">1. 采购人信息 </w:t>
      </w:r>
    </w:p>
    <w:p>
      <w:pPr>
        <w:pStyle w:val="7"/>
        <w:jc w:val="left"/>
        <w:outlineLvl w:val="0"/>
        <w:rPr>
          <w:rFonts w:hint="eastAsia"/>
          <w:color w:val="auto"/>
          <w:sz w:val="28"/>
          <w:szCs w:val="36"/>
        </w:rPr>
      </w:pPr>
      <w:r>
        <w:rPr>
          <w:rFonts w:hint="eastAsia"/>
          <w:color w:val="auto"/>
          <w:sz w:val="28"/>
          <w:szCs w:val="36"/>
        </w:rPr>
        <w:t>名称：</w:t>
      </w:r>
      <w:r>
        <w:rPr>
          <w:rFonts w:hint="eastAsia"/>
          <w:color w:val="auto"/>
          <w:sz w:val="28"/>
          <w:szCs w:val="36"/>
          <w:lang w:eastAsia="zh-CN"/>
        </w:rPr>
        <w:t>唐河县昝岗乡人民政府</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地址：</w:t>
      </w:r>
      <w:r>
        <w:rPr>
          <w:rFonts w:hint="eastAsia"/>
          <w:color w:val="auto"/>
          <w:sz w:val="28"/>
          <w:szCs w:val="36"/>
          <w:lang w:val="en-US" w:eastAsia="zh-CN"/>
        </w:rPr>
        <w:t>唐河县昝岗乡</w:t>
      </w:r>
      <w:r>
        <w:rPr>
          <w:rFonts w:hint="eastAsia"/>
          <w:color w:val="auto"/>
          <w:sz w:val="28"/>
          <w:szCs w:val="36"/>
        </w:rPr>
        <w:t xml:space="preserve"> </w:t>
      </w:r>
    </w:p>
    <w:p>
      <w:pPr>
        <w:pStyle w:val="7"/>
        <w:jc w:val="left"/>
        <w:outlineLvl w:val="0"/>
        <w:rPr>
          <w:rFonts w:hint="eastAsia"/>
          <w:color w:val="auto"/>
          <w:sz w:val="28"/>
          <w:szCs w:val="36"/>
        </w:rPr>
      </w:pPr>
      <w:r>
        <w:rPr>
          <w:rFonts w:hint="eastAsia"/>
          <w:color w:val="auto"/>
          <w:sz w:val="28"/>
          <w:szCs w:val="36"/>
        </w:rPr>
        <w:t>联系人：</w:t>
      </w:r>
      <w:r>
        <w:rPr>
          <w:rFonts w:hint="eastAsia"/>
          <w:color w:val="auto"/>
          <w:sz w:val="28"/>
          <w:szCs w:val="36"/>
          <w:lang w:eastAsia="zh-CN"/>
        </w:rPr>
        <w:t>赵先生</w:t>
      </w:r>
    </w:p>
    <w:p>
      <w:pPr>
        <w:pStyle w:val="7"/>
        <w:jc w:val="left"/>
        <w:outlineLvl w:val="0"/>
        <w:rPr>
          <w:rFonts w:hint="eastAsia" w:eastAsia="仿宋"/>
          <w:color w:val="auto"/>
          <w:sz w:val="28"/>
          <w:szCs w:val="36"/>
          <w:lang w:val="en-US" w:eastAsia="zh-CN"/>
        </w:rPr>
      </w:pPr>
      <w:r>
        <w:rPr>
          <w:rFonts w:hint="eastAsia"/>
          <w:color w:val="auto"/>
          <w:sz w:val="28"/>
          <w:szCs w:val="36"/>
        </w:rPr>
        <w:t>联系方式：</w:t>
      </w:r>
      <w:r>
        <w:rPr>
          <w:rFonts w:hint="eastAsia"/>
          <w:color w:val="auto"/>
          <w:sz w:val="28"/>
          <w:szCs w:val="36"/>
          <w:lang w:eastAsia="zh-CN"/>
        </w:rPr>
        <w:t>19913628708</w:t>
      </w:r>
    </w:p>
    <w:p>
      <w:pPr>
        <w:pStyle w:val="7"/>
        <w:jc w:val="left"/>
        <w:outlineLvl w:val="0"/>
        <w:rPr>
          <w:rFonts w:hint="eastAsia"/>
          <w:color w:val="auto"/>
          <w:sz w:val="28"/>
          <w:szCs w:val="36"/>
        </w:rPr>
      </w:pPr>
      <w:r>
        <w:rPr>
          <w:rFonts w:hint="eastAsia"/>
          <w:color w:val="auto"/>
          <w:sz w:val="28"/>
          <w:szCs w:val="36"/>
        </w:rPr>
        <w:t xml:space="preserve">2.采购代理机构信息（如有） </w:t>
      </w:r>
    </w:p>
    <w:p>
      <w:pPr>
        <w:pStyle w:val="7"/>
        <w:jc w:val="left"/>
        <w:outlineLvl w:val="0"/>
        <w:rPr>
          <w:rFonts w:hint="eastAsia"/>
          <w:color w:val="auto"/>
          <w:sz w:val="28"/>
          <w:szCs w:val="36"/>
        </w:rPr>
      </w:pPr>
      <w:r>
        <w:rPr>
          <w:rFonts w:hint="eastAsia"/>
          <w:color w:val="auto"/>
          <w:sz w:val="28"/>
          <w:szCs w:val="36"/>
        </w:rPr>
        <w:t xml:space="preserve">名称：唐河县龙建工程管理有限公司 </w:t>
      </w:r>
    </w:p>
    <w:p>
      <w:pPr>
        <w:pStyle w:val="7"/>
        <w:jc w:val="left"/>
        <w:outlineLvl w:val="0"/>
        <w:rPr>
          <w:rFonts w:hint="eastAsia"/>
          <w:color w:val="auto"/>
          <w:sz w:val="28"/>
          <w:szCs w:val="36"/>
        </w:rPr>
      </w:pPr>
      <w:r>
        <w:rPr>
          <w:rFonts w:hint="eastAsia"/>
          <w:color w:val="auto"/>
          <w:sz w:val="28"/>
          <w:szCs w:val="36"/>
        </w:rPr>
        <w:t xml:space="preserve">地址：唐河县文峰街道飞凤路飞凤游园管理楼二楼 </w:t>
      </w:r>
    </w:p>
    <w:p>
      <w:pPr>
        <w:pStyle w:val="7"/>
        <w:jc w:val="left"/>
        <w:outlineLvl w:val="0"/>
        <w:rPr>
          <w:rFonts w:hint="eastAsia"/>
          <w:color w:val="auto"/>
          <w:sz w:val="28"/>
          <w:szCs w:val="36"/>
        </w:rPr>
      </w:pPr>
      <w:r>
        <w:rPr>
          <w:rFonts w:hint="eastAsia"/>
          <w:color w:val="auto"/>
          <w:sz w:val="28"/>
          <w:szCs w:val="36"/>
        </w:rPr>
        <w:t xml:space="preserve">联系人：白萨 </w:t>
      </w:r>
    </w:p>
    <w:p>
      <w:pPr>
        <w:pStyle w:val="7"/>
        <w:jc w:val="left"/>
        <w:outlineLvl w:val="0"/>
        <w:rPr>
          <w:rFonts w:hint="eastAsia"/>
          <w:color w:val="auto"/>
          <w:sz w:val="28"/>
          <w:szCs w:val="36"/>
        </w:rPr>
      </w:pPr>
      <w:r>
        <w:rPr>
          <w:rFonts w:hint="eastAsia"/>
          <w:color w:val="auto"/>
          <w:sz w:val="28"/>
          <w:szCs w:val="36"/>
        </w:rPr>
        <w:t xml:space="preserve">联系方式：0377-60888961 </w:t>
      </w:r>
    </w:p>
    <w:p>
      <w:pPr>
        <w:pStyle w:val="7"/>
        <w:jc w:val="left"/>
        <w:outlineLvl w:val="0"/>
        <w:rPr>
          <w:rFonts w:hint="eastAsia"/>
          <w:color w:val="auto"/>
          <w:sz w:val="28"/>
          <w:szCs w:val="36"/>
        </w:rPr>
      </w:pPr>
      <w:r>
        <w:rPr>
          <w:rFonts w:hint="eastAsia"/>
          <w:color w:val="auto"/>
          <w:sz w:val="28"/>
          <w:szCs w:val="36"/>
        </w:rPr>
        <w:t xml:space="preserve">3.项目联系方式 </w:t>
      </w:r>
    </w:p>
    <w:p>
      <w:pPr>
        <w:pStyle w:val="7"/>
        <w:jc w:val="left"/>
        <w:outlineLvl w:val="0"/>
        <w:rPr>
          <w:rFonts w:hint="eastAsia"/>
          <w:color w:val="auto"/>
          <w:sz w:val="28"/>
          <w:szCs w:val="36"/>
        </w:rPr>
      </w:pPr>
      <w:r>
        <w:rPr>
          <w:rFonts w:hint="eastAsia"/>
          <w:color w:val="auto"/>
          <w:sz w:val="28"/>
          <w:szCs w:val="36"/>
        </w:rPr>
        <w:t xml:space="preserve">项目联系人：白萨 </w:t>
      </w:r>
    </w:p>
    <w:p>
      <w:pPr>
        <w:pStyle w:val="7"/>
        <w:jc w:val="left"/>
        <w:outlineLvl w:val="0"/>
        <w:rPr>
          <w:rFonts w:hint="eastAsia"/>
          <w:color w:val="auto"/>
          <w:sz w:val="28"/>
          <w:szCs w:val="36"/>
        </w:rPr>
      </w:pPr>
      <w:r>
        <w:rPr>
          <w:rFonts w:hint="eastAsia"/>
          <w:color w:val="auto"/>
          <w:sz w:val="28"/>
          <w:szCs w:val="36"/>
        </w:rPr>
        <w:t xml:space="preserve">联系方式：15203806912 </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pStyle w:val="2"/>
        <w:rPr>
          <w:rFonts w:hint="eastAsia"/>
        </w:rPr>
      </w:pPr>
    </w:p>
    <w:p>
      <w:pPr>
        <w:pStyle w:val="4"/>
        <w:rPr>
          <w:rFonts w:hint="eastAsia"/>
        </w:rPr>
      </w:pPr>
    </w:p>
    <w:p>
      <w:pPr>
        <w:rPr>
          <w:rFonts w:hint="eastAsia"/>
        </w:rPr>
      </w:pPr>
    </w:p>
    <w:p>
      <w:pPr>
        <w:bidi w:val="0"/>
        <w:rPr>
          <w:rFonts w:hint="eastAsia"/>
        </w:rPr>
      </w:pPr>
    </w:p>
    <w:p>
      <w:pPr>
        <w:rPr>
          <w:rFonts w:hint="eastAsia"/>
          <w:color w:val="auto"/>
        </w:rPr>
      </w:pPr>
    </w:p>
    <w:p>
      <w:pPr>
        <w:pStyle w:val="7"/>
        <w:outlineLvl w:val="0"/>
        <w:rPr>
          <w:rFonts w:hint="eastAsia"/>
          <w:color w:val="auto"/>
        </w:rPr>
      </w:pPr>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19"/>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唐河县昝岗乡乡村振兴产业发展项目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w:t>
            </w:r>
            <w:r>
              <w:rPr>
                <w:rFonts w:hint="eastAsia" w:ascii="仿宋" w:hAnsi="仿宋" w:cs="仿宋"/>
                <w:color w:val="auto"/>
                <w:sz w:val="28"/>
                <w:szCs w:val="28"/>
                <w:lang w:eastAsia="zh-CN"/>
              </w:rPr>
              <w:t>人</w:t>
            </w:r>
            <w:r>
              <w:rPr>
                <w:rFonts w:hint="eastAsia" w:ascii="仿宋" w:hAnsi="仿宋" w:eastAsia="仿宋" w:cs="仿宋"/>
                <w:color w:val="auto"/>
                <w:sz w:val="28"/>
                <w:szCs w:val="28"/>
              </w:rPr>
              <w:t>）</w:t>
            </w:r>
          </w:p>
        </w:tc>
        <w:tc>
          <w:tcPr>
            <w:tcW w:w="6599" w:type="dxa"/>
            <w:vAlign w:val="center"/>
          </w:tcPr>
          <w:p>
            <w:pPr>
              <w:spacing w:line="360" w:lineRule="auto"/>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唐河县昝岗乡人民政府</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cs="仿宋"/>
                <w:color w:val="auto"/>
                <w:sz w:val="28"/>
                <w:szCs w:val="28"/>
                <w:lang w:val="en-US" w:eastAsia="zh-CN"/>
              </w:rPr>
              <w:t>唐河县新春路北段</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联系人：</w:t>
            </w:r>
            <w:r>
              <w:rPr>
                <w:rFonts w:hint="eastAsia"/>
                <w:color w:val="auto"/>
                <w:sz w:val="28"/>
                <w:szCs w:val="36"/>
                <w:lang w:eastAsia="zh-CN"/>
              </w:rPr>
              <w:t>赵先生</w:t>
            </w:r>
            <w:r>
              <w:rPr>
                <w:rFonts w:hint="eastAsia" w:ascii="仿宋" w:hAnsi="仿宋" w:cs="仿宋"/>
                <w:color w:val="auto"/>
                <w:sz w:val="28"/>
                <w:szCs w:val="28"/>
                <w:lang w:val="en-US" w:eastAsia="zh-CN"/>
              </w:rPr>
              <w:t xml:space="preserve">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eastAsia="zh-CN"/>
              </w:rPr>
              <w:t>19913628708</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15203806912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45</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《中国招标投标公共服务平台》、《中国政府采购网》、《河南省政府采购网》和《唐河县公共资源交易中心》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仿宋" w:hAnsi="仿宋" w:cs="仿宋"/>
                <w:color w:val="auto"/>
                <w:sz w:val="28"/>
                <w:szCs w:val="28"/>
                <w:lang w:val="en-US" w:eastAsia="zh-CN"/>
              </w:rPr>
              <w:t xml:space="preserve">802255.97元 </w:t>
            </w:r>
          </w:p>
          <w:p>
            <w:pPr>
              <w:spacing w:line="360" w:lineRule="auto"/>
              <w:jc w:val="both"/>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捌拾万零贰仟贰佰伍拾伍元玖角柒分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 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1"/>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是否采用电子招投标</w:t>
            </w:r>
          </w:p>
        </w:tc>
        <w:tc>
          <w:tcPr>
            <w:tcW w:w="6599" w:type="dxa"/>
            <w:vAlign w:val="center"/>
          </w:tcPr>
          <w:p>
            <w:pPr>
              <w:numPr>
                <w:ilvl w:val="0"/>
                <w:numId w:val="0"/>
              </w:numPr>
              <w:spacing w:line="360" w:lineRule="auto"/>
              <w:ind w:left="0" w:leftChars="0" w:right="0" w:rightChars="0" w:firstLine="0" w:firstLineChars="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是，本项目实行电子招投标，供应商需编制电子响应文件，并按电子响应文件递交要求上传电子响应文件。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人组成；采购人</w:t>
            </w:r>
            <w:r>
              <w:rPr>
                <w:rFonts w:hint="eastAsia" w:ascii="仿宋" w:hAnsi="仿宋" w:cs="仿宋"/>
                <w:color w:val="auto"/>
                <w:sz w:val="28"/>
                <w:szCs w:val="28"/>
                <w:lang w:val="en-US" w:eastAsia="zh-CN"/>
              </w:rPr>
              <w:t>1</w:t>
            </w:r>
            <w:r>
              <w:rPr>
                <w:rFonts w:hint="eastAsia" w:ascii="仿宋" w:hAnsi="仿宋" w:eastAsia="仿宋" w:cs="仿宋"/>
                <w:color w:val="auto"/>
                <w:sz w:val="28"/>
                <w:szCs w:val="28"/>
              </w:rPr>
              <w:t>人，专家</w:t>
            </w:r>
            <w:r>
              <w:rPr>
                <w:rFonts w:hint="eastAsia" w:ascii="仿宋" w:hAnsi="仿宋" w:cs="仿宋"/>
                <w:color w:val="auto"/>
                <w:sz w:val="28"/>
                <w:szCs w:val="28"/>
                <w:lang w:val="en-US" w:eastAsia="zh-CN"/>
              </w:rPr>
              <w:t>2</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17"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eastAsia="仿宋" w:cs="仿宋"/>
                <w:color w:val="auto"/>
                <w:sz w:val="28"/>
                <w:szCs w:val="28"/>
                <w:lang w:val="en-US" w:eastAsia="zh-CN"/>
              </w:rPr>
              <w:t>预付</w:t>
            </w:r>
            <w:r>
              <w:rPr>
                <w:rFonts w:hint="eastAsia" w:ascii="仿宋" w:hAnsi="仿宋" w:eastAsia="仿宋" w:cs="仿宋"/>
                <w:color w:val="auto"/>
                <w:sz w:val="28"/>
                <w:szCs w:val="28"/>
              </w:rPr>
              <w:t>合同总价的 30 %，完成工程量清单 80 %工作量支付至合同总价的 70 %，竣工验收合格后支付至结算总价的</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74"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1、供应商代表持本单位CA数字证书需提前登录不见面开标系统。</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代表持本单位CA数字证书需提前登录不见面</w:t>
            </w:r>
            <w:r>
              <w:rPr>
                <w:rFonts w:hint="eastAsia" w:ascii="仿宋" w:hAnsi="仿宋" w:eastAsia="仿宋" w:cs="仿宋"/>
                <w:color w:val="auto"/>
                <w:sz w:val="28"/>
                <w:szCs w:val="28"/>
                <w:lang w:val="en-US" w:eastAsia="zh-CN"/>
              </w:rPr>
              <w:t>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jc w:val="both"/>
              <w:rPr>
                <w:rFonts w:hint="eastAsia" w:ascii="仿宋" w:hAnsi="仿宋" w:eastAsia="仿宋" w:cs="仿宋"/>
                <w:color w:val="auto"/>
                <w:sz w:val="28"/>
                <w:szCs w:val="28"/>
              </w:rPr>
            </w:pP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14930"/>
            <w:bookmarkStart w:id="12" w:name="_Toc4198"/>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ascii="宋体" w:hAnsi="宋体" w:eastAsia="宋体" w:cs="宋体"/>
          <w:color w:val="auto"/>
          <w:sz w:val="24"/>
          <w:szCs w:val="24"/>
        </w:rPr>
      </w:pPr>
      <w:r>
        <w:rPr>
          <w:rFonts w:hint="eastAsia"/>
          <w:color w:val="auto"/>
        </w:rPr>
        <w:br w:type="page"/>
      </w:r>
    </w:p>
    <w:p>
      <w:pPr>
        <w:bidi w:val="0"/>
        <w:rPr>
          <w:rFonts w:hint="eastAsia"/>
          <w:lang w:val="en-US" w:eastAsia="zh-CN"/>
        </w:rPr>
      </w:pPr>
    </w:p>
    <w:p>
      <w:pPr>
        <w:spacing w:line="360" w:lineRule="auto"/>
        <w:jc w:val="center"/>
        <w:rPr>
          <w:rFonts w:hint="eastAsia"/>
          <w:b/>
          <w:bCs/>
          <w:color w:val="auto"/>
          <w:sz w:val="32"/>
          <w:szCs w:val="32"/>
          <w:lang w:val="en-US" w:eastAsia="zh-CN"/>
        </w:rPr>
      </w:pPr>
      <w:r>
        <w:rPr>
          <w:rFonts w:hint="eastAsia"/>
          <w:b/>
          <w:bCs/>
          <w:color w:val="auto"/>
          <w:sz w:val="32"/>
          <w:szCs w:val="32"/>
          <w:lang w:val="en-US" w:eastAsia="zh-CN"/>
        </w:rPr>
        <w:t>唐河县昝岗乡乡村振兴产业发展项目</w:t>
      </w:r>
    </w:p>
    <w:p>
      <w:pPr>
        <w:spacing w:line="360" w:lineRule="auto"/>
        <w:jc w:val="center"/>
        <w:rPr>
          <w:rFonts w:hint="eastAsia"/>
          <w:b/>
          <w:bCs/>
          <w:color w:val="auto"/>
          <w:sz w:val="32"/>
          <w:szCs w:val="32"/>
          <w:lang w:val="en-US" w:eastAsia="zh-CN"/>
        </w:rPr>
      </w:pPr>
      <w:r>
        <w:rPr>
          <w:rFonts w:hint="eastAsia"/>
          <w:b/>
          <w:bCs/>
          <w:color w:val="auto"/>
          <w:sz w:val="32"/>
          <w:szCs w:val="32"/>
          <w:lang w:val="en-US" w:eastAsia="zh-CN"/>
        </w:rPr>
        <w:t>情况说明及采购人商务要求</w:t>
      </w:r>
    </w:p>
    <w:p>
      <w:pPr>
        <w:spacing w:line="360" w:lineRule="auto"/>
        <w:ind w:firstLine="280" w:firstLineChars="1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我单位就唐河县昝岗乡乡村振兴产业发展项目进行竞争性磋商采购，该项目共分为一个标段，总预算金额：802255.97元。</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具体采购参数及需求如下：唐河县昝岗乡乡村振兴产业发展项目详见本项目采购文件、工程量清单及施工图纸范围内的所有工程施工（以清单为准）。</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1、供应商具有独立法人资格，具有有效的营业执照、税务登记证、组织机构代码证（或三证合一）；</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2、供应商须具有建筑工程施工总承包叁级及以上资质等级，且具有有效的安全生产许可证，并在人员、设备、资金等方面具有相应的施工能力；</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3、拟派项目经理须具备相关专业贰级及以上注册建造师资格证书及有效的安全生产考核合格证，且未担任其他在建工程的项目经理并作出承诺；技术负责人具有相关专业中级及以上工程技术职称；</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4、参加本次政府采购活动前三年内，在经营活动中没有重大违法犯罪记录；</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5、财务状况良好，没有处于被责令停业、破产状态，各投标人须提供具有近三年（2020年度、2021年度、2022年度）经审计的财务报告，信誉良好（成立不足三年的企业，从成立之日算起）。</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pStyle w:val="34"/>
        <w:rPr>
          <w:rFonts w:hint="eastAsia"/>
          <w:color w:val="auto"/>
          <w:lang w:val="en-US" w:eastAsia="zh-CN"/>
        </w:rPr>
      </w:pPr>
    </w:p>
    <w:p>
      <w:pPr>
        <w:rPr>
          <w:rFonts w:hint="eastAsia"/>
          <w:lang w:val="en-US" w:eastAsia="zh-CN"/>
        </w:rPr>
      </w:pPr>
    </w:p>
    <w:p>
      <w:pPr>
        <w:spacing w:line="360" w:lineRule="auto"/>
        <w:jc w:val="left"/>
        <w:rPr>
          <w:rFonts w:hint="eastAsia" w:ascii="仿宋" w:hAnsi="仿宋" w:cs="仿宋"/>
          <w:b w:val="0"/>
          <w:bCs w:val="0"/>
          <w:color w:val="auto"/>
          <w:sz w:val="28"/>
          <w:szCs w:val="28"/>
          <w:lang w:val="en-US" w:eastAsia="zh-CN"/>
        </w:rPr>
      </w:pPr>
    </w:p>
    <w:p>
      <w:pPr>
        <w:spacing w:line="360" w:lineRule="auto"/>
        <w:jc w:val="left"/>
        <w:rPr>
          <w:rFonts w:hint="eastAsia" w:ascii="仿宋" w:hAnsi="仿宋" w:cs="仿宋"/>
          <w:b w:val="0"/>
          <w:bCs w:val="0"/>
          <w:color w:val="auto"/>
          <w:sz w:val="28"/>
          <w:szCs w:val="28"/>
          <w:lang w:val="en-US" w:eastAsia="zh-CN"/>
        </w:rPr>
      </w:pPr>
      <w:r>
        <w:rPr>
          <w:rFonts w:hint="eastAsia" w:ascii="仿宋" w:hAnsi="仿宋" w:cs="仿宋"/>
          <w:b w:val="0"/>
          <w:bCs w:val="0"/>
          <w:color w:val="auto"/>
          <w:sz w:val="28"/>
          <w:szCs w:val="28"/>
          <w:lang w:val="en-US" w:eastAsia="zh-CN"/>
        </w:rPr>
        <w:t>工程量清单</w:t>
      </w:r>
      <w:bookmarkStart w:id="13" w:name="_Toc11661"/>
      <w:r>
        <w:rPr>
          <w:rFonts w:hint="eastAsia" w:ascii="仿宋" w:hAnsi="仿宋" w:cs="仿宋"/>
          <w:b w:val="0"/>
          <w:bCs w:val="0"/>
          <w:color w:val="auto"/>
          <w:sz w:val="28"/>
          <w:szCs w:val="28"/>
          <w:lang w:val="en-US" w:eastAsia="zh-CN"/>
        </w:rPr>
        <w:t>：详见系统附件，自行下载。</w:t>
      </w:r>
    </w:p>
    <w:p>
      <w:pPr>
        <w:pStyle w:val="4"/>
        <w:ind w:left="0" w:leftChars="0" w:firstLine="0" w:firstLineChars="0"/>
        <w:rPr>
          <w:rFonts w:hint="default"/>
          <w:lang w:val="en-US" w:eastAsia="zh-CN"/>
        </w:rPr>
      </w:pPr>
      <w:r>
        <w:rPr>
          <w:rFonts w:hint="eastAsia"/>
          <w:lang w:val="en-US" w:eastAsia="zh-CN"/>
        </w:rPr>
        <w:t xml:space="preserve">         </w:t>
      </w: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3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pStyle w:val="2"/>
        <w:rPr>
          <w:rFonts w:hint="eastAsia"/>
          <w:lang w:val="en-US" w:eastAsia="zh-CN"/>
        </w:rPr>
      </w:pPr>
    </w:p>
    <w:p>
      <w:pPr>
        <w:pStyle w:val="4"/>
        <w:rPr>
          <w:rFonts w:hint="eastAsia"/>
          <w:lang w:val="en-US" w:eastAsia="zh-CN"/>
        </w:rPr>
      </w:pPr>
    </w:p>
    <w:p>
      <w:pPr>
        <w:rPr>
          <w:rFonts w:hint="eastAsia"/>
          <w:lang w:val="en-US" w:eastAsia="zh-CN"/>
        </w:rPr>
      </w:pPr>
    </w:p>
    <w:p>
      <w:pPr>
        <w:rPr>
          <w:rFonts w:hint="eastAsia"/>
          <w:lang w:val="en-US" w:eastAsia="zh-CN"/>
        </w:rPr>
      </w:pPr>
    </w:p>
    <w:p>
      <w:pPr>
        <w:rPr>
          <w:rFonts w:hint="eastAsia"/>
          <w:lang w:val="en-US" w:eastAsia="zh-CN"/>
        </w:rPr>
      </w:pPr>
    </w:p>
    <w:p>
      <w:pPr>
        <w:pStyle w:val="2"/>
        <w:rPr>
          <w:rFonts w:hint="eastAsia"/>
          <w:lang w:val="en-US" w:eastAsia="zh-CN"/>
        </w:rPr>
      </w:pPr>
    </w:p>
    <w:p>
      <w:pPr>
        <w:jc w:val="center"/>
        <w:rPr>
          <w:rFonts w:hint="eastAsia"/>
          <w:color w:val="auto"/>
        </w:rPr>
      </w:pPr>
      <w:r>
        <w:rPr>
          <w:rFonts w:hint="eastAsia"/>
          <w:color w:val="auto"/>
        </w:rPr>
        <w:t>第三部分</w:t>
      </w:r>
      <w:r>
        <w:rPr>
          <w:rFonts w:hint="eastAsia"/>
          <w:color w:val="auto"/>
        </w:rPr>
        <w:tab/>
      </w:r>
      <w:r>
        <w:rPr>
          <w:rFonts w:hint="eastAsia"/>
          <w:color w:val="auto"/>
        </w:rPr>
        <w:t>供应商须知正文部分</w:t>
      </w:r>
      <w:bookmarkEnd w:id="11"/>
      <w:bookmarkEnd w:id="12"/>
      <w:bookmarkEnd w:id="13"/>
    </w:p>
    <w:p>
      <w:pPr>
        <w:pStyle w:val="8"/>
        <w:rPr>
          <w:rFonts w:hint="eastAsia"/>
          <w:color w:val="auto"/>
        </w:rPr>
      </w:pPr>
      <w:bookmarkStart w:id="14" w:name="一、总则"/>
      <w:bookmarkEnd w:id="14"/>
      <w:bookmarkStart w:id="15" w:name="_Toc13555"/>
      <w:bookmarkStart w:id="16" w:name="_Toc21660"/>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对于小型项目，如按本指导意见计算出的代理服务费，明显低于代理机构代理成本时，招标人与招标代理机构约定招标代理服务费不足1万元的按1万元收取。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8"/>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15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8"/>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2"/>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2"/>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8"/>
        <w:rPr>
          <w:rFonts w:hint="eastAsia"/>
          <w:color w:val="auto"/>
        </w:rPr>
      </w:pPr>
      <w:bookmarkStart w:id="19" w:name="四、投标"/>
      <w:bookmarkEnd w:id="19"/>
      <w:bookmarkStart w:id="20" w:name="_Toc1371"/>
      <w:bookmarkStart w:id="21" w:name="_Toc22577"/>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8"/>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采购人将按供应商须知前附表的时间和地点举行开标会议，参加开标的供应商应使用本企业CA数字证书，在投标截止时间前登录不见面开标系统。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5.3_开标异议"/>
      <w:bookmarkEnd w:id="26"/>
      <w:bookmarkStart w:id="27" w:name="_bookmark35"/>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④随机抽取参数（K值，如有）。</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⑤采购人、监督人等相关人员在开标记录表上（可进入原评标系统直接打印）签字确认。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⑥采购代理机构宣布开标结束，在评标系统中点击“开标结束”，并进行“采购文件导入”或“控制价文件导入”。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按照《中华人民共和国招标投标法》和《评标委员会评标办法暂行规定》的规定，磋商由依法组建的磋商小组负责。磋商小组由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5"/>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5.3.4</w:t>
      </w:r>
      <w:r>
        <w:rPr>
          <w:rFonts w:hint="eastAsia" w:ascii="仿宋" w:hAnsi="仿宋" w:eastAsia="仿宋" w:cs="仿宋"/>
          <w:color w:val="auto"/>
          <w:sz w:val="28"/>
          <w:szCs w:val="28"/>
        </w:rPr>
        <w:t xml:space="preserve">采购人、监督部门将列席并监督开标的全过程。 </w:t>
      </w:r>
    </w:p>
    <w:p>
      <w:pPr>
        <w:spacing w:line="360" w:lineRule="auto"/>
        <w:rPr>
          <w:rFonts w:hint="eastAsia" w:ascii="仿宋" w:hAnsi="仿宋" w:cs="仿宋"/>
          <w:b/>
          <w:bCs/>
          <w:color w:val="auto"/>
          <w:sz w:val="28"/>
          <w:szCs w:val="28"/>
          <w:lang w:val="en-US" w:eastAsia="zh-CN"/>
        </w:rPr>
      </w:pPr>
      <w:bookmarkStart w:id="29" w:name="5.4磋商程序"/>
      <w:bookmarkEnd w:id="29"/>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6"/>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6"/>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7"/>
        <w:rPr>
          <w:rFonts w:hint="eastAsia" w:ascii="仿宋" w:hAnsi="仿宋" w:eastAsia="仿宋" w:cs="仿宋"/>
          <w:color w:val="auto"/>
          <w:kern w:val="0"/>
          <w:sz w:val="28"/>
          <w:szCs w:val="28"/>
          <w:lang w:val="zh-CN" w:eastAsia="zh-CN" w:bidi="zh-CN"/>
        </w:rPr>
      </w:pPr>
    </w:p>
    <w:p>
      <w:pPr>
        <w:rPr>
          <w:rFonts w:hint="eastAsia"/>
        </w:rPr>
      </w:pPr>
    </w:p>
    <w:p>
      <w:pPr>
        <w:pStyle w:val="8"/>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01"/>
        <w:gridCol w:w="873"/>
        <w:gridCol w:w="72"/>
        <w:gridCol w:w="2042"/>
        <w:gridCol w:w="178"/>
        <w:gridCol w:w="5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gridSpan w:val="4"/>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099"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3" w:type="pct"/>
            <w:gridSpan w:val="2"/>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3" w:type="pct"/>
            <w:gridSpan w:val="2"/>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符合第二章“</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3" w:type="pct"/>
            <w:gridSpan w:val="2"/>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符合第二章“</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符合第二章“</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9"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3" w:type="pct"/>
            <w:gridSpan w:val="2"/>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234"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747"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234" w:type="pct"/>
            <w:gridSpan w:val="3"/>
            <w:noWrap w:val="0"/>
            <w:vAlign w:val="center"/>
          </w:tcPr>
          <w:p>
            <w:pPr>
              <w:pStyle w:val="34"/>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4"/>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747"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4"/>
              <w:spacing w:line="240" w:lineRule="atLeast"/>
              <w:jc w:val="both"/>
              <w:rPr>
                <w:rFonts w:hint="eastAsia" w:ascii="宋体" w:hAnsi="宋体" w:eastAsia="仿宋" w:cs="宋体"/>
                <w:color w:val="auto"/>
                <w:kern w:val="0"/>
                <w:sz w:val="24"/>
                <w:szCs w:val="21"/>
                <w:highlight w:val="none"/>
                <w:lang w:val="zh-CN"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234"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747" w:type="pct"/>
            <w:noWrap w:val="0"/>
            <w:vAlign w:val="center"/>
          </w:tcPr>
          <w:p>
            <w:pPr>
              <w:pStyle w:val="34"/>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578" w:type="pct"/>
            <w:gridSpan w:val="2"/>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 5-8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 3-5 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 0-3 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 xml:space="preserve">得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w:t>
            </w:r>
            <w:r>
              <w:rPr>
                <w:rFonts w:hint="eastAsia" w:ascii="宋体" w:hAnsi="宋体" w:eastAsia="仿宋" w:cs="宋体"/>
                <w:color w:val="auto"/>
                <w:kern w:val="0"/>
                <w:sz w:val="24"/>
                <w:szCs w:val="21"/>
                <w:highlight w:val="none"/>
                <w:lang w:val="en-US" w:eastAsia="zh-CN" w:bidi="zh-CN"/>
              </w:rPr>
              <w:t xml:space="preserve"> 5-8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二档：资源计划和成员配备较合理，较符合项目实际，较完整</w:t>
            </w:r>
            <w:r>
              <w:rPr>
                <w:rFonts w:hint="eastAsia" w:ascii="宋体" w:hAnsi="宋体" w:eastAsia="仿宋" w:cs="宋体"/>
                <w:color w:val="auto"/>
                <w:kern w:val="0"/>
                <w:sz w:val="24"/>
                <w:szCs w:val="21"/>
                <w:highlight w:val="none"/>
                <w:lang w:val="en-US" w:eastAsia="zh-CN" w:bidi="zh-CN"/>
              </w:rPr>
              <w:t xml:space="preserve"> 3-5 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三档：资源计划和成员配备欠合理，基本符合项目实际，不完整</w:t>
            </w:r>
            <w:r>
              <w:rPr>
                <w:rFonts w:hint="eastAsia" w:ascii="宋体" w:hAnsi="宋体" w:eastAsia="仿宋" w:cs="宋体"/>
                <w:color w:val="auto"/>
                <w:kern w:val="0"/>
                <w:sz w:val="24"/>
                <w:szCs w:val="21"/>
                <w:highlight w:val="none"/>
                <w:lang w:val="en-US" w:eastAsia="zh-CN" w:bidi="zh-CN"/>
              </w:rPr>
              <w:t xml:space="preserve"> 0-3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 4-5 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 2-4分；</w:t>
            </w:r>
          </w:p>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 0-1 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578"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234" w:type="pct"/>
            <w:gridSpan w:val="3"/>
            <w:shd w:val="clear" w:color="auto" w:fill="auto"/>
            <w:noWrap w:val="0"/>
            <w:vAlign w:val="center"/>
          </w:tcPr>
          <w:p>
            <w:pPr>
              <w:pStyle w:val="7"/>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投标人的业绩、类似工程经历0-2分</w:t>
            </w:r>
          </w:p>
        </w:tc>
        <w:tc>
          <w:tcPr>
            <w:tcW w:w="2747" w:type="pct"/>
            <w:shd w:val="clear" w:color="auto" w:fill="auto"/>
            <w:noWrap w:val="0"/>
            <w:vAlign w:val="center"/>
          </w:tcPr>
          <w:p>
            <w:pPr>
              <w:pStyle w:val="7"/>
              <w:bidi w:val="0"/>
              <w:ind w:left="0" w:leftChars="0" w:right="854" w:rightChars="0"/>
              <w:jc w:val="lef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20</w:t>
            </w:r>
            <w:r>
              <w:rPr>
                <w:rFonts w:hint="eastAsia" w:cs="宋体"/>
                <w:color w:val="auto"/>
                <w:kern w:val="0"/>
                <w:sz w:val="24"/>
                <w:szCs w:val="21"/>
                <w:highlight w:val="none"/>
                <w:lang w:val="en-US" w:eastAsia="zh-CN" w:bidi="zh-CN"/>
              </w:rPr>
              <w:t>20</w:t>
            </w:r>
            <w:r>
              <w:rPr>
                <w:rFonts w:hint="eastAsia" w:ascii="宋体" w:hAnsi="宋体" w:eastAsia="仿宋" w:cs="宋体"/>
                <w:color w:val="auto"/>
                <w:kern w:val="0"/>
                <w:sz w:val="24"/>
                <w:szCs w:val="21"/>
                <w:highlight w:val="none"/>
                <w:lang w:val="en-US" w:eastAsia="zh-CN" w:bidi="zh-CN"/>
              </w:rPr>
              <w:t>年1月1日（合同签订时间）以来，承担过类似工程施工，每有1项得0.5分，最多得2分。否则不计分。投标文件中提供中标通知书、合同复印件，否则不得分；</w:t>
            </w:r>
          </w:p>
          <w:p>
            <w:pPr>
              <w:pStyle w:val="7"/>
              <w:bidi w:val="0"/>
              <w:ind w:left="0" w:leftChars="0" w:right="854" w:rightChars="0"/>
              <w:jc w:val="left"/>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shd w:val="clear" w:color="auto" w:fill="auto"/>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747" w:type="pct"/>
            <w:shd w:val="clear" w:color="auto" w:fill="auto"/>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tabs>
                <w:tab w:val="left" w:pos="223"/>
                <w:tab w:val="center" w:pos="1247"/>
              </w:tabs>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响应文件总体评价</w:t>
            </w:r>
          </w:p>
          <w:p>
            <w:pPr>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w:t>
            </w:r>
            <w:r>
              <w:rPr>
                <w:rFonts w:hint="eastAsia"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w:t>
            </w:r>
            <w:r>
              <w:rPr>
                <w:rFonts w:hint="eastAsia" w:cs="宋体"/>
                <w:color w:val="auto"/>
                <w:kern w:val="0"/>
                <w:sz w:val="24"/>
                <w:szCs w:val="24"/>
                <w:highlight w:val="none"/>
                <w:lang w:val="en-US" w:eastAsia="zh-CN" w:bidi="zh-CN"/>
              </w:rPr>
              <w:t>5-8</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w:t>
            </w:r>
            <w:r>
              <w:rPr>
                <w:rFonts w:hint="eastAsia" w:cs="宋体"/>
                <w:color w:val="auto"/>
                <w:kern w:val="0"/>
                <w:sz w:val="24"/>
                <w:szCs w:val="24"/>
                <w:highlight w:val="none"/>
                <w:lang w:val="en-US" w:eastAsia="zh-CN" w:bidi="zh-CN"/>
              </w:rPr>
              <w:t>2-4</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w:t>
            </w:r>
            <w:r>
              <w:rPr>
                <w:rFonts w:hint="eastAsia" w:cs="宋体"/>
                <w:color w:val="auto"/>
                <w:kern w:val="0"/>
                <w:sz w:val="24"/>
                <w:szCs w:val="24"/>
                <w:highlight w:val="none"/>
                <w:lang w:val="en-US" w:eastAsia="zh-CN" w:bidi="zh-CN"/>
              </w:rPr>
              <w:t>0-1</w:t>
            </w:r>
            <w:r>
              <w:rPr>
                <w:rFonts w:hint="eastAsia" w:ascii="宋体" w:hAnsi="宋体" w:eastAsia="仿宋" w:cs="宋体"/>
                <w:color w:val="auto"/>
                <w:kern w:val="0"/>
                <w:sz w:val="24"/>
                <w:szCs w:val="24"/>
                <w:highlight w:val="none"/>
                <w:lang w:val="en-US" w:eastAsia="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4999" w:type="pct"/>
            <w:gridSpan w:val="7"/>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4"/>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6"/>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3"/>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6"/>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6"/>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6"/>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6"/>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6"/>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6"/>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6"/>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6"/>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6"/>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6"/>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6"/>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6"/>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6"/>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6"/>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6"/>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3"/>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6"/>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3"/>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6"/>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3"/>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6"/>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3"/>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6"/>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6"/>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6"/>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27915"/>
      <w:bookmarkStart w:id="38" w:name="_Toc17172"/>
      <w:r>
        <w:rPr>
          <w:rFonts w:hint="eastAsia"/>
          <w:color w:val="auto"/>
        </w:rPr>
        <w:br w:type="page"/>
      </w:r>
    </w:p>
    <w:p>
      <w:pPr>
        <w:pStyle w:val="7"/>
        <w:outlineLvl w:val="0"/>
        <w:rPr>
          <w:rFonts w:hint="eastAsia"/>
          <w:color w:val="auto"/>
        </w:rPr>
      </w:pPr>
      <w:bookmarkStart w:id="39" w:name="_Toc14137"/>
      <w:r>
        <w:rPr>
          <w:rFonts w:hint="eastAsia"/>
          <w:color w:val="auto"/>
        </w:rPr>
        <w:t>第四部分</w:t>
      </w:r>
      <w:r>
        <w:rPr>
          <w:rFonts w:hint="eastAsia"/>
          <w:color w:val="auto"/>
        </w:rPr>
        <w:tab/>
      </w:r>
      <w:r>
        <w:rPr>
          <w:rFonts w:hint="eastAsia"/>
          <w:color w:val="auto"/>
        </w:rPr>
        <w:t>合同格式</w:t>
      </w:r>
      <w:bookmarkEnd w:id="37"/>
      <w:bookmarkEnd w:id="38"/>
      <w:bookmarkEnd w:id="39"/>
      <w:r>
        <w:rPr>
          <w:rFonts w:hint="eastAsia"/>
          <w:color w:val="auto"/>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2"/>
      <w:bookmarkStart w:id="43" w:name="bookmark164"/>
      <w:bookmarkStart w:id="44" w:name="bookmark163"/>
      <w:bookmarkStart w:id="45" w:name="_Toc13065"/>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7"/>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7"/>
        <w:outlineLvl w:val="0"/>
        <w:rPr>
          <w:rFonts w:hint="eastAsia" w:ascii="仿宋" w:hAnsi="仿宋" w:eastAsia="仿宋" w:cs="仿宋"/>
          <w:color w:val="auto"/>
          <w:szCs w:val="28"/>
        </w:rPr>
      </w:pPr>
      <w:bookmarkStart w:id="46" w:name="第五部分  电子标响应文件格式"/>
      <w:bookmarkEnd w:id="46"/>
      <w:bookmarkStart w:id="47" w:name="_Toc21407"/>
      <w:bookmarkStart w:id="48" w:name="_Toc11"/>
      <w:bookmarkStart w:id="49" w:name="_Toc29534"/>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3"/>
        <w:ind w:left="0"/>
        <w:rPr>
          <w:b/>
          <w:color w:val="auto"/>
          <w:sz w:val="48"/>
        </w:rPr>
      </w:pPr>
    </w:p>
    <w:p>
      <w:pPr>
        <w:pStyle w:val="3"/>
        <w:ind w:left="0"/>
        <w:rPr>
          <w:b/>
          <w:color w:val="auto"/>
          <w:sz w:val="48"/>
        </w:rPr>
      </w:pPr>
    </w:p>
    <w:p>
      <w:pPr>
        <w:pStyle w:val="3"/>
        <w:ind w:left="0"/>
        <w:rPr>
          <w:b/>
          <w:color w:val="auto"/>
          <w:sz w:val="48"/>
        </w:rPr>
      </w:pPr>
    </w:p>
    <w:p>
      <w:pPr>
        <w:pStyle w:val="3"/>
        <w:spacing w:before="11"/>
        <w:ind w:left="0"/>
        <w:rPr>
          <w:b/>
          <w:color w:val="auto"/>
          <w:sz w:val="54"/>
        </w:rPr>
      </w:pPr>
    </w:p>
    <w:p>
      <w:pPr>
        <w:spacing w:before="0"/>
        <w:ind w:left="531" w:right="542" w:firstLine="0"/>
        <w:jc w:val="center"/>
        <w:outlineLvl w:val="0"/>
        <w:rPr>
          <w:b/>
          <w:color w:val="auto"/>
          <w:sz w:val="72"/>
        </w:rPr>
      </w:pPr>
      <w:bookmarkStart w:id="51" w:name="_Toc1586"/>
      <w:bookmarkStart w:id="52" w:name="_Toc26469"/>
      <w:r>
        <w:rPr>
          <w:b/>
          <w:color w:val="auto"/>
          <w:sz w:val="72"/>
        </w:rPr>
        <w:t>竞争性磋商响应文件</w:t>
      </w:r>
      <w:bookmarkEnd w:id="51"/>
      <w:bookmarkEnd w:id="52"/>
    </w:p>
    <w:p>
      <w:pPr>
        <w:pStyle w:val="3"/>
        <w:ind w:left="0"/>
        <w:rPr>
          <w:b/>
          <w:color w:val="auto"/>
          <w:sz w:val="72"/>
        </w:rPr>
      </w:pPr>
    </w:p>
    <w:p>
      <w:pPr>
        <w:pStyle w:val="3"/>
        <w:ind w:left="0"/>
        <w:rPr>
          <w:b/>
          <w:color w:val="auto"/>
          <w:sz w:val="72"/>
        </w:rPr>
      </w:pPr>
    </w:p>
    <w:p>
      <w:pPr>
        <w:pStyle w:val="3"/>
        <w:ind w:left="0"/>
        <w:rPr>
          <w:b/>
          <w:color w:val="auto"/>
          <w:sz w:val="72"/>
        </w:rPr>
      </w:pPr>
    </w:p>
    <w:p>
      <w:pPr>
        <w:pStyle w:val="3"/>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1606" w:firstLineChars="5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417" w:right="1417" w:bottom="1417" w:left="1417"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10"/>
        <w:spacing w:before="242"/>
        <w:ind w:left="1105"/>
        <w:outlineLvl w:val="1"/>
        <w:rPr>
          <w:color w:val="auto"/>
        </w:rPr>
      </w:pPr>
      <w:bookmarkStart w:id="54" w:name="_Toc29018"/>
      <w:r>
        <w:rPr>
          <w:color w:val="auto"/>
        </w:rPr>
        <w:t>（一）报价函</w:t>
      </w:r>
      <w:bookmarkEnd w:id="54"/>
    </w:p>
    <w:p>
      <w:pPr>
        <w:pStyle w:val="3"/>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8"/>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rFonts w:hint="eastAsia"/>
          <w:color w:val="auto"/>
          <w:spacing w:val="0"/>
          <w:w w:val="100"/>
          <w:position w:val="0"/>
          <w:sz w:val="22"/>
          <w:szCs w:val="22"/>
          <w:u w:val="single"/>
          <w:lang w:val="en-US" w:eastAsia="zh-CN"/>
        </w:rPr>
        <w:t xml:space="preserve">    </w:t>
      </w:r>
      <w:r>
        <w:rPr>
          <w:color w:val="auto"/>
          <w:sz w:val="22"/>
          <w:szCs w:val="22"/>
          <w:u w:val="single"/>
        </w:rPr>
        <w:tab/>
      </w:r>
      <w:r>
        <w:rPr>
          <w:rFonts w:hint="eastAsia"/>
          <w:color w:val="auto"/>
          <w:sz w:val="22"/>
          <w:szCs w:val="22"/>
          <w:u w:val="none"/>
          <w:lang w:eastAsia="zh-CN"/>
        </w:rPr>
        <w:t>。</w:t>
      </w:r>
    </w:p>
    <w:p>
      <w:pPr>
        <w:pStyle w:val="53"/>
        <w:keepNext w:val="0"/>
        <w:keepLines w:val="0"/>
        <w:widowControl w:val="0"/>
        <w:numPr>
          <w:ilvl w:val="0"/>
          <w:numId w:val="8"/>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8"/>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8"/>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8"/>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rFonts w:hint="eastAsia"/>
          <w:color w:val="auto"/>
          <w:spacing w:val="0"/>
          <w:w w:val="100"/>
          <w:position w:val="0"/>
          <w:lang w:val="en-US" w:eastAsia="zh-CN"/>
        </w:rPr>
        <w:t>邮</w:t>
      </w: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10"/>
        <w:ind w:left="1105"/>
        <w:outlineLvl w:val="1"/>
        <w:rPr>
          <w:color w:val="auto"/>
        </w:rPr>
      </w:pPr>
      <w:bookmarkStart w:id="64" w:name="_Toc4075"/>
      <w:r>
        <w:rPr>
          <w:color w:val="auto"/>
        </w:rPr>
        <w:t>（二）磋商报价表</w:t>
      </w:r>
      <w:bookmarkEnd w:id="64"/>
    </w:p>
    <w:p>
      <w:pPr>
        <w:pStyle w:val="3"/>
        <w:spacing w:before="4"/>
        <w:ind w:left="0"/>
        <w:rPr>
          <w:b/>
          <w:color w:val="auto"/>
          <w:sz w:val="10"/>
        </w:rPr>
      </w:pPr>
    </w:p>
    <w:tbl>
      <w:tblPr>
        <w:tblStyle w:val="19"/>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2"/>
        <w:rPr>
          <w:color w:val="auto"/>
        </w:rPr>
      </w:pPr>
    </w:p>
    <w:p>
      <w:pPr>
        <w:pStyle w:val="2"/>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3"/>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3"/>
        <w:ind w:left="0"/>
        <w:rPr>
          <w:b/>
          <w:color w:val="auto"/>
          <w:sz w:val="32"/>
        </w:rPr>
      </w:pPr>
    </w:p>
    <w:p>
      <w:pPr>
        <w:pStyle w:val="3"/>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3"/>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3"/>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3"/>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3"/>
        <w:ind w:left="0"/>
        <w:rPr>
          <w:rFonts w:hint="eastAsia" w:ascii="仿宋" w:hAnsi="仿宋" w:eastAsia="仿宋" w:cs="仿宋"/>
          <w:color w:val="auto"/>
          <w:sz w:val="28"/>
          <w:szCs w:val="28"/>
        </w:rPr>
      </w:pPr>
    </w:p>
    <w:p>
      <w:pPr>
        <w:pStyle w:val="3"/>
        <w:ind w:left="0"/>
        <w:rPr>
          <w:rFonts w:hint="eastAsia" w:ascii="仿宋" w:hAnsi="仿宋" w:eastAsia="仿宋" w:cs="仿宋"/>
          <w:color w:val="auto"/>
          <w:sz w:val="28"/>
          <w:szCs w:val="28"/>
        </w:rPr>
      </w:pPr>
    </w:p>
    <w:p>
      <w:pPr>
        <w:pStyle w:val="3"/>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3"/>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ind w:left="0"/>
        <w:rPr>
          <w:color w:val="auto"/>
          <w:sz w:val="20"/>
        </w:rPr>
      </w:pPr>
    </w:p>
    <w:p>
      <w:pPr>
        <w:pStyle w:val="3"/>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3"/>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3"/>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3"/>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3"/>
        <w:ind w:left="0"/>
        <w:rPr>
          <w:rFonts w:hint="eastAsia" w:ascii="仿宋" w:hAnsi="仿宋" w:eastAsia="仿宋" w:cs="仿宋"/>
          <w:color w:val="auto"/>
          <w:sz w:val="28"/>
          <w:szCs w:val="28"/>
        </w:rPr>
      </w:pPr>
    </w:p>
    <w:p>
      <w:pPr>
        <w:pStyle w:val="3"/>
        <w:spacing w:before="9"/>
        <w:ind w:left="0"/>
        <w:rPr>
          <w:rFonts w:hint="eastAsia" w:ascii="仿宋" w:hAnsi="仿宋" w:eastAsia="仿宋" w:cs="仿宋"/>
          <w:color w:val="auto"/>
          <w:sz w:val="28"/>
          <w:szCs w:val="28"/>
        </w:rPr>
      </w:pP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3"/>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3"/>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3"/>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3"/>
        <w:ind w:left="0"/>
        <w:rPr>
          <w:color w:val="auto"/>
          <w:sz w:val="20"/>
        </w:rPr>
      </w:pPr>
    </w:p>
    <w:p>
      <w:pPr>
        <w:pStyle w:val="3"/>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3"/>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10"/>
        <w:spacing w:before="242"/>
        <w:ind w:right="536"/>
        <w:outlineLvl w:val="1"/>
        <w:rPr>
          <w:color w:val="auto"/>
        </w:rPr>
      </w:pPr>
      <w:bookmarkStart w:id="69" w:name="_Toc17662"/>
      <w:r>
        <w:rPr>
          <w:color w:val="auto"/>
        </w:rPr>
        <w:t>（一）项目人员组成表</w:t>
      </w:r>
      <w:bookmarkEnd w:id="69"/>
    </w:p>
    <w:p>
      <w:pPr>
        <w:pStyle w:val="3"/>
        <w:spacing w:before="4"/>
        <w:ind w:left="0"/>
        <w:rPr>
          <w:b/>
          <w:color w:val="auto"/>
          <w:sz w:val="10"/>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10"/>
        <w:ind w:left="1103"/>
        <w:outlineLvl w:val="1"/>
        <w:rPr>
          <w:color w:val="auto"/>
        </w:rPr>
      </w:pPr>
      <w:bookmarkStart w:id="70" w:name="_Toc24225"/>
      <w:r>
        <w:rPr>
          <w:color w:val="auto"/>
        </w:rPr>
        <w:t>（二）项目负责人简历表</w:t>
      </w:r>
      <w:bookmarkEnd w:id="70"/>
    </w:p>
    <w:p>
      <w:pPr>
        <w:pStyle w:val="3"/>
        <w:spacing w:before="4"/>
        <w:ind w:left="0"/>
        <w:rPr>
          <w:b/>
          <w:color w:val="auto"/>
          <w:sz w:val="10"/>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3"/>
        <w:spacing w:before="6"/>
        <w:ind w:left="0"/>
        <w:rPr>
          <w:b/>
          <w:color w:val="auto"/>
          <w:sz w:val="8"/>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3"/>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ind w:left="0"/>
        <w:rPr>
          <w:color w:val="auto"/>
        </w:rPr>
      </w:pPr>
    </w:p>
    <w:p>
      <w:pPr>
        <w:pStyle w:val="3"/>
        <w:spacing w:before="1"/>
        <w:ind w:left="0"/>
        <w:rPr>
          <w:color w:val="auto"/>
          <w:sz w:val="34"/>
        </w:rPr>
      </w:pPr>
    </w:p>
    <w:p>
      <w:pPr>
        <w:rPr>
          <w:b/>
          <w:color w:val="auto"/>
          <w:sz w:val="32"/>
        </w:rPr>
      </w:pPr>
      <w:bookmarkStart w:id="73" w:name="_Toc21953"/>
      <w:r>
        <w:rPr>
          <w:b/>
          <w:color w:val="auto"/>
          <w:sz w:val="32"/>
        </w:rPr>
        <w:br w:type="page"/>
      </w:r>
    </w:p>
    <w:p>
      <w:pPr>
        <w:spacing w:before="0"/>
        <w:ind w:left="538" w:right="541" w:firstLine="0"/>
        <w:jc w:val="center"/>
        <w:outlineLvl w:val="0"/>
        <w:rPr>
          <w:b/>
          <w:color w:val="auto"/>
          <w:sz w:val="32"/>
        </w:rPr>
      </w:pPr>
      <w:r>
        <w:rPr>
          <w:b/>
          <w:color w:val="auto"/>
          <w:sz w:val="32"/>
        </w:rPr>
        <w:t>八、</w:t>
      </w:r>
      <w:bookmarkEnd w:id="73"/>
      <w:r>
        <w:rPr>
          <w:rFonts w:hint="eastAsia"/>
          <w:b/>
          <w:color w:val="auto"/>
          <w:sz w:val="32"/>
          <w:lang w:val="en-US" w:eastAsia="zh-CN"/>
        </w:rPr>
        <w:t>已标价工程量清单</w:t>
      </w:r>
    </w:p>
    <w:p>
      <w:pPr>
        <w:rPr>
          <w:color w:val="auto"/>
        </w:rPr>
      </w:pPr>
      <w:r>
        <w:rPr>
          <w:color w:val="auto"/>
        </w:rPr>
        <w:br w:type="page"/>
      </w:r>
    </w:p>
    <w:p>
      <w:pPr>
        <w:pStyle w:val="7"/>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80" w:lineRule="exact"/>
        <w:ind w:left="0" w:right="0" w:firstLine="0"/>
        <w:jc w:val="center"/>
        <w:textAlignment w:val="auto"/>
        <w:rPr>
          <w:rFonts w:hint="eastAsia" w:ascii="宋体" w:hAnsi="宋体" w:eastAsia="宋体" w:cs="宋体"/>
          <w:b/>
          <w:bCs/>
          <w:color w:val="auto"/>
          <w:spacing w:val="0"/>
          <w:w w:val="100"/>
          <w:kern w:val="0"/>
          <w:position w:val="0"/>
          <w:sz w:val="36"/>
          <w:szCs w:val="36"/>
          <w:lang w:eastAsia="zh-CN"/>
        </w:rPr>
      </w:pPr>
      <w:r>
        <w:rPr>
          <w:rFonts w:hint="eastAsia" w:ascii="宋体" w:hAnsi="宋体" w:eastAsia="宋体" w:cs="宋体"/>
          <w:b/>
          <w:bCs/>
          <w:color w:val="auto"/>
          <w:spacing w:val="0"/>
          <w:w w:val="100"/>
          <w:kern w:val="0"/>
          <w:position w:val="0"/>
          <w:sz w:val="36"/>
          <w:szCs w:val="36"/>
          <w:lang w:eastAsia="zh-CN"/>
        </w:rPr>
        <w:t>信用承诺书</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（四）本单位及项目经办人员信用状况良好，未被列为失信惩戒对象或"老赖""，符合参与公共资源交易活动的相关要求。</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（六）若中标，本单位将在规定的时间内与招标人签订合同并自觉履行合同义务，不转包或违法分包中标项目。</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（七）自觉接受政府、行业组织、社会公众、新闻舆论的监督。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32"/>
          <w:szCs w:val="32"/>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32"/>
          <w:szCs w:val="32"/>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（九）本人已认真阅读了上述承诺，并向本单位员工作了宣传教育。</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1280" w:firstLineChars="4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法定代表人或（委托代理人）签字∶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520" w:firstLineChars="11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企业名称（盖章）∶ </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200" w:firstLineChars="10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项目负责人（签字）∶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jc w:val="right"/>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 年   月   日</w:t>
      </w:r>
    </w:p>
    <w:p>
      <w:pPr>
        <w:autoSpaceDE/>
        <w:autoSpaceDN/>
        <w:spacing w:before="0" w:after="0" w:line="240" w:lineRule="auto"/>
        <w:ind w:left="0" w:right="0"/>
        <w:rPr>
          <w:rFonts w:hint="eastAsia" w:ascii="宋体" w:hAnsi="宋体" w:eastAsia="宋体" w:cs="宋体"/>
          <w:color w:val="auto"/>
          <w:kern w:val="0"/>
          <w:sz w:val="36"/>
          <w:szCs w:val="36"/>
          <w:u w:val="none"/>
          <w:shd w:val="clear" w:color="auto" w:fill="auto"/>
          <w:lang w:val="en-US" w:eastAsia="zh-CN" w:bidi="zh-TW"/>
        </w:rPr>
      </w:pPr>
    </w:p>
    <w:p>
      <w:pPr>
        <w:keepNext w:val="0"/>
        <w:keepLines w:val="0"/>
        <w:widowControl/>
        <w:suppressLineNumbers w:val="0"/>
        <w:jc w:val="center"/>
      </w:pPr>
      <w:bookmarkStart w:id="74" w:name="_TOC_250000"/>
      <w:bookmarkEnd w:id="74"/>
      <w:bookmarkStart w:id="75" w:name="_Toc21842"/>
      <w:r>
        <w:rPr>
          <w:rFonts w:hint="eastAsia" w:ascii="仿宋" w:hAnsi="仿宋" w:eastAsia="仿宋" w:cs="仿宋"/>
          <w:b/>
          <w:bCs/>
          <w:color w:val="000000"/>
          <w:kern w:val="0"/>
          <w:sz w:val="32"/>
          <w:szCs w:val="32"/>
          <w:lang w:val="en-US" w:eastAsia="zh-CN" w:bidi="ar"/>
        </w:rPr>
        <w:t>十、投标承诺函</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投标承诺函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致（采购人及采购代理机构）：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我公司作为本次采购项目的供应商，严格遵守政府采购相关法律法规的规定，根据竞争性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磋商文件要求，现郑重承诺如下：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一、具备《中华人民共和国政府采购法》第二十二条第一款和本项目规定的条件：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（一）具有独立承担民事责任的能力；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（二）具有良好的商业信誉和健全的财务会计制度；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（三）具有履行合同所必需的设备和专业技术能力；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（四）有依法缴纳税收和社会保障资金的良好记录；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（五）参加政府采购活动前三年内，在经营活动中没有重大违法记录；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（六）法律、行政法规规定的其他条件；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（七）根据采购项目提出的特殊条件。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二、完全接受和满足本项目竞争性磋商文件中规定的实质性要求，如对竞争性磋商文件有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异议，已经在投标截止时间届满前依法进行维权救济，不存在对竞争性磋商文件有异议的同时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又参加投标以求侥幸中标或者为实现其他非法目的的行为。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三、参加本次招标采购活动，不存在与单位负责人为同一人或者存在直接控股、管理关系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的其他供应商参与同一合同项下的政府采购活动的行为。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四、参加本次招标采购活动，不存在为采购项目提供整体设计、规范编制或者项目管理、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监理、检测等服务的行为。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五、参加本次招标采购活动，不存在和其他供应商在同一合同项下的采购项目中，同时委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托同一个自然人、同一家庭的人员、同一单位的人员作为代理人的行为。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六、参加本次政府采购活动要求在近三年内供应商和其法定代表人没有行贿犯罪行为。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七、参加本次招标采购活动，不存在联合体投标。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八、投标文件中提供的能够给予我公司带来优惠、好处的任何材料资料和技术、服务、商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务等响应承诺情况都是真实的、有效的、合法的。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九、如本项目评标过程中需要提供样品，则我公司提供的样品即为中标后将要提供的中标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产品，我公司对提供样品的性能和质量负责，因样品存在缺陷或者不符合竞争性磋商文件要求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导致未能中标的，我公司愿意承担相应不利后果。（如提供样品）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十、存在以下行为之一的愿意接受相关部门的处理：</w:t>
      </w:r>
      <w:r>
        <w:rPr>
          <w:rFonts w:hint="eastAsia" w:ascii="宋体" w:hAnsi="宋体" w:eastAsia="宋体" w:cs="宋体"/>
          <w:b/>
          <w:bCs/>
          <w:color w:val="000000"/>
          <w:kern w:val="0"/>
          <w:sz w:val="24"/>
          <w:szCs w:val="24"/>
          <w:lang w:val="en-US" w:eastAsia="zh-CN" w:bidi="ar"/>
        </w:rPr>
        <w:t xml:space="preserve">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（一）投标有效期内撤销投标文件的；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（二）在采购人确定中标人以前放弃中标候选资格的；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（三）由于中标人的原因未能按照竞争性磋商文件的规定与采购人签订合同；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（四）在响应文件中提供虚假材料谋取中标；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（五）采取不正当手段诋毁、排挤其他供应商；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（六）与采购人、其他供应商或者采购代理机构恶意串通的；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（七）投标有效期内，供应商在政府采购活动中有违法、违规、违纪行为。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由此产生的一切法律后果和责任由我公司承担。我公司声明放弃对此提出任何异议和追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索的权利。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本公司对上述承诺的内容事项真实性负责。如经查实上述承诺的内容事项存在虚假，我公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司愿意接受以提供虚假材料谋取中标追究法律责任。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供应商名称：（电子签章） </w:t>
      </w:r>
    </w:p>
    <w:p>
      <w:pPr>
        <w:keepNext w:val="0"/>
        <w:keepLines w:val="0"/>
        <w:widowControl/>
        <w:suppressLineNumbers w:val="0"/>
        <w:jc w:val="left"/>
        <w:rPr>
          <w:rFonts w:hint="eastAsia" w:ascii="宋体" w:hAnsi="宋体" w:eastAsia="宋体" w:cs="宋体"/>
          <w:sz w:val="24"/>
          <w:szCs w:val="24"/>
        </w:rPr>
      </w:pPr>
      <w:r>
        <w:rPr>
          <w:rFonts w:hint="eastAsia" w:ascii="宋体" w:hAnsi="宋体" w:eastAsia="宋体" w:cs="宋体"/>
          <w:color w:val="000000"/>
          <w:kern w:val="0"/>
          <w:sz w:val="24"/>
          <w:szCs w:val="24"/>
          <w:lang w:val="en-US" w:eastAsia="zh-CN" w:bidi="ar"/>
        </w:rPr>
        <w:t xml:space="preserve">法定代表人或授权代表：（电子签章） </w:t>
      </w:r>
    </w:p>
    <w:p>
      <w:pPr>
        <w:keepNext w:val="0"/>
        <w:keepLines w:val="0"/>
        <w:widowControl/>
        <w:suppressLineNumbers w:val="0"/>
        <w:jc w:val="left"/>
        <w:rPr>
          <w:rFonts w:hint="eastAsia" w:ascii="新宋体" w:hAnsi="新宋体" w:eastAsia="新宋体" w:cs="新宋体"/>
        </w:rPr>
      </w:pPr>
      <w:r>
        <w:rPr>
          <w:rFonts w:hint="eastAsia" w:ascii="宋体" w:hAnsi="宋体" w:eastAsia="宋体" w:cs="宋体"/>
          <w:color w:val="000000"/>
          <w:kern w:val="0"/>
          <w:sz w:val="24"/>
          <w:szCs w:val="24"/>
          <w:lang w:val="en-US" w:eastAsia="zh-CN" w:bidi="ar"/>
        </w:rPr>
        <w:t>日期：</w:t>
      </w:r>
      <w:r>
        <w:rPr>
          <w:rFonts w:hint="eastAsia" w:ascii="新宋体" w:hAnsi="新宋体" w:eastAsia="新宋体" w:cs="新宋体"/>
          <w:color w:val="000000"/>
          <w:kern w:val="0"/>
          <w:sz w:val="24"/>
          <w:szCs w:val="24"/>
          <w:lang w:val="en-US" w:eastAsia="zh-CN" w:bidi="ar"/>
        </w:rPr>
        <w:t xml:space="preserve"> </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十一、供应商认为需附的其他资</w:t>
      </w:r>
      <w:r>
        <w:rPr>
          <w:rFonts w:hint="eastAsia" w:eastAsia="宋体" w:cs="宋体"/>
          <w:b/>
          <w:bCs/>
          <w:color w:val="000000"/>
          <w:kern w:val="0"/>
          <w:sz w:val="28"/>
          <w:szCs w:val="28"/>
          <w:lang w:val="en-US" w:eastAsia="zh-CN" w:bidi="ar"/>
        </w:rPr>
        <w:t>料</w:t>
      </w: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widowControl w:val="0"/>
        <w:tabs>
          <w:tab w:val="left" w:pos="1291"/>
        </w:tabs>
        <w:autoSpaceDE w:val="0"/>
        <w:autoSpaceDN w:val="0"/>
        <w:spacing w:before="17" w:after="0" w:line="240" w:lineRule="auto"/>
        <w:ind w:left="4" w:right="854"/>
        <w:jc w:val="center"/>
        <w:outlineLvl w:val="0"/>
        <w:rPr>
          <w:rFonts w:hint="eastAsia" w:ascii="宋体" w:hAnsi="宋体" w:eastAsia="仿宋" w:cs="宋体"/>
          <w:color w:val="auto"/>
          <w:kern w:val="44"/>
          <w:sz w:val="28"/>
          <w:szCs w:val="22"/>
          <w:lang w:val="en-US" w:eastAsia="zh-CN" w:bidi="zh-CN"/>
        </w:rPr>
      </w:pPr>
    </w:p>
    <w:p>
      <w:pPr>
        <w:pStyle w:val="7"/>
        <w:tabs>
          <w:tab w:val="left" w:pos="1291"/>
        </w:tabs>
        <w:jc w:val="center"/>
        <w:outlineLvl w:val="0"/>
        <w:rPr>
          <w:color w:val="auto"/>
        </w:rPr>
      </w:pPr>
    </w:p>
    <w:p>
      <w:pPr>
        <w:rPr>
          <w:color w:val="auto"/>
        </w:rPr>
      </w:pPr>
    </w:p>
    <w:p>
      <w:pPr>
        <w:pStyle w:val="2"/>
        <w:rPr>
          <w:color w:val="auto"/>
        </w:rPr>
      </w:pPr>
    </w:p>
    <w:p>
      <w:pPr>
        <w:pStyle w:val="4"/>
        <w:ind w:firstLine="2811" w:firstLineChars="1000"/>
        <w:jc w:val="both"/>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十二、中小企业声明函</w:t>
      </w: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pStyle w:val="4"/>
        <w:rPr>
          <w:color w:val="auto"/>
        </w:rPr>
      </w:pPr>
    </w:p>
    <w:p>
      <w:pPr>
        <w:rPr>
          <w:color w:val="auto"/>
        </w:rPr>
      </w:pPr>
    </w:p>
    <w:p>
      <w:pPr>
        <w:pStyle w:val="2"/>
        <w:rPr>
          <w:color w:val="auto"/>
        </w:rPr>
      </w:pPr>
    </w:p>
    <w:p>
      <w:pPr>
        <w:rPr>
          <w:color w:val="auto"/>
        </w:rPr>
      </w:pPr>
    </w:p>
    <w:p>
      <w:pPr>
        <w:pStyle w:val="2"/>
      </w:pPr>
    </w:p>
    <w:p>
      <w:pPr>
        <w:keepNext w:val="0"/>
        <w:keepLines w:val="0"/>
        <w:widowControl/>
        <w:suppressLineNumbers w:val="0"/>
        <w:shd w:val="clear" w:fill="FFFFFF"/>
        <w:bidi w:val="0"/>
        <w:spacing w:before="15" w:beforeAutospacing="0" w:line="15" w:lineRule="atLeast"/>
        <w:ind w:left="0" w:right="0"/>
        <w:jc w:val="center"/>
        <w:rPr>
          <w:rFonts w:hint="default"/>
          <w:color w:val="auto"/>
        </w:rPr>
      </w:pP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bookmarkEnd w:id="75"/>
      <w:r>
        <w:rPr>
          <w:rFonts w:hint="default" w:ascii="sans-serif" w:hAnsi="sans-serif" w:eastAsia="sans-serif" w:cs="sans-serif"/>
          <w:kern w:val="0"/>
          <w:sz w:val="28"/>
          <w:szCs w:val="28"/>
          <w:shd w:val="clear" w:fill="FFFFFF"/>
          <w:lang w:val="en-US" w:eastAsia="zh-CN" w:bidi="ar"/>
        </w:rPr>
        <w:t>（</w:t>
      </w:r>
      <w:r>
        <w:rPr>
          <w:rFonts w:hint="default"/>
          <w:color w:val="auto"/>
          <w:lang w:val="en-US" w:eastAsia="zh-CN"/>
        </w:rPr>
        <w:t>本章非响应文件格式，符合则提供，否则不提供）</w:t>
      </w:r>
    </w:p>
    <w:p>
      <w:pPr>
        <w:pStyle w:val="7"/>
        <w:tabs>
          <w:tab w:val="left" w:pos="1291"/>
        </w:tabs>
        <w:jc w:val="center"/>
        <w:outlineLvl w:val="0"/>
        <w:rPr>
          <w:color w:val="auto"/>
        </w:rPr>
      </w:pPr>
    </w:p>
    <w:p>
      <w:pPr>
        <w:pStyle w:val="3"/>
        <w:spacing w:before="1"/>
        <w:ind w:left="0"/>
        <w:rPr>
          <w:b/>
          <w:color w:val="auto"/>
          <w:sz w:val="14"/>
        </w:rPr>
      </w:pPr>
    </w:p>
    <w:p>
      <w:pPr>
        <w:pStyle w:val="11"/>
        <w:spacing w:before="61"/>
        <w:outlineLvl w:val="0"/>
        <w:rPr>
          <w:color w:val="auto"/>
        </w:rPr>
      </w:pPr>
      <w:bookmarkStart w:id="76" w:name="_Toc1959"/>
      <w:r>
        <w:rPr>
          <w:color w:val="auto"/>
        </w:rPr>
        <w:t>附件一</w:t>
      </w:r>
      <w:bookmarkEnd w:id="76"/>
    </w:p>
    <w:p>
      <w:pPr>
        <w:pStyle w:val="3"/>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3"/>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本公司（联合体）郑重声明，根据《关于进一步加大政府采购支持中小企业力度的通知》（财库【2022】19号）的规定，本公司（联合体）参加</w:t>
      </w:r>
      <w:r>
        <w:rPr>
          <w:rFonts w:hint="eastAsia" w:ascii="宋体" w:hAnsi="宋体" w:cs="宋体"/>
          <w:color w:val="auto"/>
          <w:sz w:val="24"/>
          <w:szCs w:val="28"/>
          <w:u w:val="single"/>
        </w:rPr>
        <w:t>    （单位名称）</w:t>
      </w:r>
      <w:r>
        <w:rPr>
          <w:rFonts w:hint="eastAsia" w:ascii="宋体" w:hAnsi="宋体" w:cs="宋体"/>
          <w:color w:val="auto"/>
          <w:sz w:val="24"/>
          <w:szCs w:val="28"/>
        </w:rPr>
        <w:t>的</w:t>
      </w:r>
      <w:r>
        <w:rPr>
          <w:rFonts w:hint="eastAsia" w:ascii="宋体" w:hAnsi="宋体" w:cs="宋体"/>
          <w:color w:val="auto"/>
          <w:sz w:val="24"/>
          <w:szCs w:val="28"/>
          <w:u w:val="single"/>
        </w:rPr>
        <w:t>（项目名称）</w:t>
      </w:r>
      <w:r>
        <w:rPr>
          <w:rFonts w:hint="eastAsia" w:ascii="宋体" w:hAnsi="宋体" w:cs="宋体"/>
          <w:color w:val="auto"/>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；承建（承接）企业为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u w:val="single"/>
        </w:rPr>
        <w:t>（中型企业、小型企业、微型企业）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lang w:val="en-US" w:eastAsia="zh-CN"/>
        </w:rPr>
      </w:pPr>
      <w:r>
        <w:rPr>
          <w:rFonts w:hint="eastAsia" w:ascii="宋体" w:hAnsi="宋体" w:cs="宋体"/>
          <w:color w:val="auto"/>
          <w:sz w:val="24"/>
          <w:szCs w:val="28"/>
        </w:rPr>
        <w:t>2.</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行业；制造商为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color w:val="auto"/>
          <w:sz w:val="24"/>
          <w:szCs w:val="28"/>
        </w:rPr>
      </w:pP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rPr>
        <w:t>     （中型企业、小型企业、微型企业）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color w:val="auto"/>
          <w:sz w:val="24"/>
          <w:szCs w:val="28"/>
        </w:rPr>
      </w:pPr>
    </w:p>
    <w:p>
      <w:pPr>
        <w:spacing w:line="360" w:lineRule="auto"/>
        <w:ind w:firstLine="4800" w:firstLineChars="2000"/>
        <w:jc w:val="left"/>
        <w:rPr>
          <w:rFonts w:hint="eastAsia" w:ascii="宋体" w:hAnsi="宋体" w:cs="宋体"/>
          <w:color w:val="auto"/>
          <w:sz w:val="24"/>
          <w:szCs w:val="28"/>
        </w:rPr>
      </w:pPr>
      <w:r>
        <w:rPr>
          <w:rFonts w:hint="eastAsia" w:ascii="宋体" w:hAnsi="宋体" w:cs="宋体"/>
          <w:color w:val="auto"/>
          <w:sz w:val="24"/>
          <w:szCs w:val="28"/>
        </w:rPr>
        <w:t>企业名称（盖章）：</w:t>
      </w:r>
    </w:p>
    <w:p>
      <w:pPr>
        <w:spacing w:line="360" w:lineRule="auto"/>
        <w:ind w:firstLine="5280" w:firstLineChars="2200"/>
        <w:jc w:val="left"/>
        <w:rPr>
          <w:rFonts w:hint="eastAsia" w:ascii="宋体" w:hAnsi="宋体" w:cs="宋体"/>
          <w:color w:val="auto"/>
          <w:sz w:val="24"/>
          <w:szCs w:val="28"/>
        </w:rPr>
      </w:pPr>
      <w:r>
        <w:rPr>
          <w:rFonts w:hint="eastAsia" w:ascii="宋体" w:hAnsi="宋体" w:cs="宋体"/>
          <w:color w:val="auto"/>
          <w:sz w:val="24"/>
          <w:szCs w:val="28"/>
        </w:rPr>
        <w:t>日 期：</w:t>
      </w: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p>
    <w:p>
      <w:pPr>
        <w:pStyle w:val="11"/>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3"/>
        <w:spacing w:before="1"/>
        <w:ind w:left="356" w:right="542"/>
        <w:jc w:val="center"/>
        <w:rPr>
          <w:color w:val="auto"/>
        </w:rPr>
      </w:pPr>
      <w:r>
        <w:rPr>
          <w:color w:val="auto"/>
        </w:rPr>
        <w:t>各省、自治区、直辖市人民政府，国务院各部委、各直属机构及有关单位：</w:t>
      </w:r>
    </w:p>
    <w:p>
      <w:pPr>
        <w:pStyle w:val="3"/>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3"/>
        <w:spacing w:before="3"/>
        <w:ind w:left="0" w:right="534"/>
        <w:jc w:val="right"/>
        <w:rPr>
          <w:color w:val="auto"/>
        </w:rPr>
      </w:pPr>
      <w:r>
        <w:rPr>
          <w:color w:val="auto"/>
        </w:rPr>
        <w:t>工业和信息化部 国家统计局 国家发展和改革委员会 财政部</w:t>
      </w:r>
    </w:p>
    <w:p>
      <w:pPr>
        <w:pStyle w:val="3"/>
        <w:spacing w:before="161"/>
        <w:ind w:left="0" w:right="535"/>
        <w:jc w:val="right"/>
        <w:rPr>
          <w:color w:val="auto"/>
        </w:rPr>
      </w:pPr>
      <w:r>
        <w:rPr>
          <w:color w:val="auto"/>
        </w:rPr>
        <w:t>二○一一年六月十八日</w:t>
      </w:r>
    </w:p>
    <w:p>
      <w:pPr>
        <w:pStyle w:val="3"/>
        <w:spacing w:before="160"/>
        <w:ind w:left="4113"/>
        <w:rPr>
          <w:color w:val="auto"/>
        </w:rPr>
      </w:pPr>
      <w:r>
        <w:rPr>
          <w:color w:val="auto"/>
        </w:rPr>
        <w:t>中小企业划型标准规定</w:t>
      </w:r>
    </w:p>
    <w:p>
      <w:pPr>
        <w:pStyle w:val="3"/>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3"/>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3"/>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3"/>
        <w:spacing w:before="4"/>
        <w:ind w:firstLine="420" w:firstLineChars="200"/>
        <w:rPr>
          <w:color w:val="auto"/>
        </w:rPr>
      </w:pPr>
      <w:r>
        <w:rPr>
          <w:color w:val="auto"/>
        </w:rPr>
        <w:t>四、各</w:t>
      </w:r>
      <w:r>
        <w:rPr>
          <w:color w:val="auto"/>
          <w:highlight w:val="none"/>
        </w:rPr>
        <w:t>行业划</w:t>
      </w:r>
      <w:r>
        <w:rPr>
          <w:color w:val="auto"/>
        </w:rPr>
        <w:t>型标准为：详见下表</w:t>
      </w:r>
    </w:p>
    <w:p>
      <w:pPr>
        <w:pStyle w:val="3"/>
        <w:spacing w:before="160"/>
        <w:ind w:firstLine="420" w:firstLineChars="200"/>
        <w:rPr>
          <w:color w:val="auto"/>
        </w:rPr>
      </w:pPr>
      <w:r>
        <w:rPr>
          <w:color w:val="auto"/>
        </w:rPr>
        <w:t>五、企业类型的划分以统计部门的统计数据为依据。</w:t>
      </w:r>
    </w:p>
    <w:p>
      <w:pPr>
        <w:pStyle w:val="3"/>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3"/>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3"/>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3"/>
        <w:spacing w:before="1"/>
        <w:ind w:firstLine="420" w:firstLineChars="200"/>
        <w:rPr>
          <w:color w:val="auto"/>
        </w:rPr>
      </w:pPr>
      <w:r>
        <w:rPr>
          <w:color w:val="auto"/>
        </w:rPr>
        <w:t>九、本规定由工业和信息化部、国家统计局会同有关部门负责解释。</w:t>
      </w:r>
    </w:p>
    <w:p>
      <w:pPr>
        <w:pStyle w:val="3"/>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3"/>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3"/>
                        <w:ind w:left="0"/>
                      </w:pPr>
                    </w:p>
                  </w:txbxContent>
                </v:textbox>
              </v:rect>
            </w:pict>
          </mc:Fallback>
        </mc:AlternateContent>
      </w:r>
      <w:r>
        <w:rPr>
          <w:b/>
          <w:bCs/>
          <w:color w:val="auto"/>
        </w:rPr>
        <w:t xml:space="preserve">《关于政府采购促进小型微型企业发展的实施意见》（豫财购[2013]14 号） </w:t>
      </w:r>
    </w:p>
    <w:tbl>
      <w:tblPr>
        <w:tblStyle w:val="19"/>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color w:val="auto"/>
                <w:sz w:val="24"/>
              </w:rPr>
            </w:pPr>
            <w:r>
              <w:rPr>
                <w:b/>
                <w:color w:val="auto"/>
                <w:sz w:val="24"/>
              </w:rPr>
              <w:t>行业类</w:t>
            </w:r>
          </w:p>
          <w:p>
            <w:pPr>
              <w:pStyle w:val="46"/>
              <w:spacing w:before="160"/>
              <w:ind w:left="12"/>
              <w:jc w:val="center"/>
              <w:rPr>
                <w:b/>
                <w:color w:val="auto"/>
                <w:sz w:val="24"/>
              </w:rPr>
            </w:pPr>
            <w:r>
              <w:rPr>
                <w:b/>
                <w:color w:val="auto"/>
                <w:w w:val="99"/>
                <w:sz w:val="24"/>
              </w:rPr>
              <w:t>型</w:t>
            </w:r>
          </w:p>
        </w:tc>
        <w:tc>
          <w:tcPr>
            <w:tcW w:w="732" w:type="pct"/>
            <w:vMerge w:val="restart"/>
            <w:vAlign w:val="top"/>
          </w:tcPr>
          <w:p>
            <w:pPr>
              <w:pStyle w:val="46"/>
              <w:spacing w:before="79"/>
              <w:ind w:left="101" w:right="95"/>
              <w:jc w:val="center"/>
              <w:rPr>
                <w:b/>
                <w:color w:val="auto"/>
                <w:sz w:val="24"/>
              </w:rPr>
            </w:pPr>
            <w:r>
              <w:rPr>
                <w:b/>
                <w:color w:val="auto"/>
                <w:sz w:val="24"/>
              </w:rPr>
              <w:t>中小微型企</w:t>
            </w:r>
          </w:p>
          <w:p>
            <w:pPr>
              <w:pStyle w:val="46"/>
              <w:spacing w:before="160"/>
              <w:ind w:left="7"/>
              <w:jc w:val="center"/>
              <w:rPr>
                <w:b/>
                <w:color w:val="auto"/>
                <w:sz w:val="24"/>
              </w:rPr>
            </w:pPr>
            <w:r>
              <w:rPr>
                <w:b/>
                <w:color w:val="auto"/>
                <w:w w:val="99"/>
                <w:sz w:val="24"/>
              </w:rPr>
              <w:t>业</w:t>
            </w:r>
          </w:p>
        </w:tc>
        <w:tc>
          <w:tcPr>
            <w:tcW w:w="1277" w:type="pct"/>
            <w:gridSpan w:val="3"/>
            <w:vAlign w:val="top"/>
          </w:tcPr>
          <w:p>
            <w:pPr>
              <w:pStyle w:val="46"/>
              <w:spacing w:before="79"/>
              <w:ind w:left="782"/>
              <w:rPr>
                <w:b/>
                <w:color w:val="auto"/>
                <w:sz w:val="24"/>
              </w:rPr>
            </w:pPr>
            <w:r>
              <w:rPr>
                <w:b/>
                <w:color w:val="auto"/>
                <w:sz w:val="24"/>
              </w:rPr>
              <w:t>营业收入</w:t>
            </w:r>
          </w:p>
        </w:tc>
        <w:tc>
          <w:tcPr>
            <w:tcW w:w="1227" w:type="pct"/>
            <w:gridSpan w:val="3"/>
            <w:vAlign w:val="top"/>
          </w:tcPr>
          <w:p>
            <w:pPr>
              <w:pStyle w:val="46"/>
              <w:spacing w:before="79"/>
              <w:ind w:left="733"/>
              <w:rPr>
                <w:b/>
                <w:color w:val="auto"/>
                <w:sz w:val="24"/>
              </w:rPr>
            </w:pPr>
            <w:r>
              <w:rPr>
                <w:b/>
                <w:color w:val="auto"/>
                <w:sz w:val="24"/>
              </w:rPr>
              <w:t>从业人员</w:t>
            </w:r>
          </w:p>
        </w:tc>
        <w:tc>
          <w:tcPr>
            <w:tcW w:w="1280" w:type="pct"/>
            <w:gridSpan w:val="3"/>
            <w:vAlign w:val="top"/>
          </w:tcPr>
          <w:p>
            <w:pPr>
              <w:pStyle w:val="46"/>
              <w:spacing w:before="79"/>
              <w:ind w:left="783"/>
              <w:rPr>
                <w:b/>
                <w:color w:val="auto"/>
                <w:sz w:val="24"/>
              </w:rPr>
            </w:pPr>
            <w:r>
              <w:rPr>
                <w:b/>
                <w:color w:val="auto"/>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color w:val="auto"/>
                <w:sz w:val="2"/>
                <w:szCs w:val="2"/>
              </w:rPr>
            </w:pPr>
          </w:p>
        </w:tc>
        <w:tc>
          <w:tcPr>
            <w:tcW w:w="732" w:type="pct"/>
            <w:vMerge w:val="continue"/>
            <w:tcBorders>
              <w:top w:val="nil"/>
            </w:tcBorders>
            <w:vAlign w:val="top"/>
          </w:tcPr>
          <w:p>
            <w:pPr>
              <w:rPr>
                <w:color w:val="auto"/>
                <w:sz w:val="2"/>
                <w:szCs w:val="2"/>
              </w:rPr>
            </w:pPr>
          </w:p>
        </w:tc>
        <w:tc>
          <w:tcPr>
            <w:tcW w:w="425" w:type="pct"/>
            <w:vAlign w:val="top"/>
          </w:tcPr>
          <w:p>
            <w:pPr>
              <w:pStyle w:val="46"/>
              <w:spacing w:before="79"/>
              <w:ind w:left="10"/>
              <w:jc w:val="center"/>
              <w:rPr>
                <w:b/>
                <w:color w:val="auto"/>
                <w:sz w:val="24"/>
              </w:rPr>
            </w:pPr>
            <w:r>
              <w:rPr>
                <w:b/>
                <w:color w:val="auto"/>
                <w:w w:val="99"/>
                <w:sz w:val="24"/>
              </w:rPr>
              <w:t>中</w:t>
            </w:r>
          </w:p>
        </w:tc>
        <w:tc>
          <w:tcPr>
            <w:tcW w:w="425" w:type="pct"/>
            <w:vAlign w:val="top"/>
          </w:tcPr>
          <w:p>
            <w:pPr>
              <w:pStyle w:val="46"/>
              <w:spacing w:before="79"/>
              <w:ind w:left="11"/>
              <w:jc w:val="center"/>
              <w:rPr>
                <w:b/>
                <w:color w:val="auto"/>
                <w:sz w:val="24"/>
              </w:rPr>
            </w:pPr>
            <w:r>
              <w:rPr>
                <w:b/>
                <w:color w:val="auto"/>
                <w:w w:val="99"/>
                <w:sz w:val="24"/>
              </w:rPr>
              <w:t>小</w:t>
            </w:r>
          </w:p>
        </w:tc>
        <w:tc>
          <w:tcPr>
            <w:tcW w:w="427" w:type="pct"/>
            <w:vAlign w:val="top"/>
          </w:tcPr>
          <w:p>
            <w:pPr>
              <w:pStyle w:val="46"/>
              <w:spacing w:before="79"/>
              <w:ind w:left="14"/>
              <w:jc w:val="center"/>
              <w:rPr>
                <w:b/>
                <w:color w:val="auto"/>
                <w:sz w:val="24"/>
              </w:rPr>
            </w:pPr>
            <w:r>
              <w:rPr>
                <w:b/>
                <w:color w:val="auto"/>
                <w:w w:val="99"/>
                <w:sz w:val="24"/>
              </w:rPr>
              <w:t>微</w:t>
            </w:r>
          </w:p>
        </w:tc>
        <w:tc>
          <w:tcPr>
            <w:tcW w:w="425" w:type="pct"/>
            <w:vAlign w:val="top"/>
          </w:tcPr>
          <w:p>
            <w:pPr>
              <w:pStyle w:val="46"/>
              <w:spacing w:before="79"/>
              <w:ind w:left="13"/>
              <w:jc w:val="center"/>
              <w:rPr>
                <w:b/>
                <w:color w:val="auto"/>
                <w:sz w:val="24"/>
              </w:rPr>
            </w:pPr>
            <w:r>
              <w:rPr>
                <w:b/>
                <w:color w:val="auto"/>
                <w:w w:val="99"/>
                <w:sz w:val="24"/>
              </w:rPr>
              <w:t>中</w:t>
            </w:r>
          </w:p>
        </w:tc>
        <w:tc>
          <w:tcPr>
            <w:tcW w:w="425" w:type="pct"/>
            <w:vAlign w:val="top"/>
          </w:tcPr>
          <w:p>
            <w:pPr>
              <w:pStyle w:val="46"/>
              <w:spacing w:before="79"/>
              <w:ind w:left="13"/>
              <w:jc w:val="center"/>
              <w:rPr>
                <w:b/>
                <w:color w:val="auto"/>
                <w:sz w:val="24"/>
              </w:rPr>
            </w:pPr>
            <w:r>
              <w:rPr>
                <w:b/>
                <w:color w:val="auto"/>
                <w:w w:val="99"/>
                <w:sz w:val="24"/>
              </w:rPr>
              <w:t>小</w:t>
            </w:r>
          </w:p>
        </w:tc>
        <w:tc>
          <w:tcPr>
            <w:tcW w:w="377" w:type="pct"/>
            <w:vAlign w:val="top"/>
          </w:tcPr>
          <w:p>
            <w:pPr>
              <w:pStyle w:val="46"/>
              <w:spacing w:before="79"/>
              <w:ind w:left="250"/>
              <w:rPr>
                <w:b/>
                <w:color w:val="auto"/>
                <w:sz w:val="24"/>
              </w:rPr>
            </w:pPr>
            <w:r>
              <w:rPr>
                <w:b/>
                <w:color w:val="auto"/>
                <w:w w:val="99"/>
                <w:sz w:val="24"/>
              </w:rPr>
              <w:t>微</w:t>
            </w:r>
          </w:p>
        </w:tc>
        <w:tc>
          <w:tcPr>
            <w:tcW w:w="425" w:type="pct"/>
            <w:vAlign w:val="top"/>
          </w:tcPr>
          <w:p>
            <w:pPr>
              <w:pStyle w:val="46"/>
              <w:spacing w:before="79"/>
              <w:ind w:left="10"/>
              <w:jc w:val="center"/>
              <w:rPr>
                <w:b/>
                <w:color w:val="auto"/>
                <w:sz w:val="24"/>
              </w:rPr>
            </w:pPr>
            <w:r>
              <w:rPr>
                <w:b/>
                <w:color w:val="auto"/>
                <w:w w:val="99"/>
                <w:sz w:val="24"/>
              </w:rPr>
              <w:t>中</w:t>
            </w:r>
          </w:p>
        </w:tc>
        <w:tc>
          <w:tcPr>
            <w:tcW w:w="426" w:type="pct"/>
            <w:vAlign w:val="top"/>
          </w:tcPr>
          <w:p>
            <w:pPr>
              <w:pStyle w:val="46"/>
              <w:spacing w:before="79"/>
              <w:ind w:left="11"/>
              <w:jc w:val="center"/>
              <w:rPr>
                <w:b/>
                <w:color w:val="auto"/>
                <w:sz w:val="24"/>
              </w:rPr>
            </w:pPr>
            <w:r>
              <w:rPr>
                <w:b/>
                <w:color w:val="auto"/>
                <w:w w:val="99"/>
                <w:sz w:val="24"/>
              </w:rPr>
              <w:t>小</w:t>
            </w:r>
          </w:p>
        </w:tc>
        <w:tc>
          <w:tcPr>
            <w:tcW w:w="429" w:type="pct"/>
            <w:vAlign w:val="top"/>
          </w:tcPr>
          <w:p>
            <w:pPr>
              <w:pStyle w:val="46"/>
              <w:spacing w:before="79"/>
              <w:ind w:left="11"/>
              <w:jc w:val="center"/>
              <w:rPr>
                <w:b/>
                <w:color w:val="auto"/>
                <w:sz w:val="24"/>
              </w:rPr>
            </w:pPr>
            <w:r>
              <w:rPr>
                <w:b/>
                <w:color w:val="auto"/>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color w:val="auto"/>
                <w:sz w:val="24"/>
              </w:rPr>
            </w:pPr>
            <w:r>
              <w:rPr>
                <w:color w:val="auto"/>
                <w:spacing w:val="-28"/>
                <w:sz w:val="24"/>
              </w:rPr>
              <w:t>农、林、</w:t>
            </w:r>
            <w:r>
              <w:rPr>
                <w:color w:val="auto"/>
                <w:sz w:val="24"/>
              </w:rPr>
              <w:t>牧、渔业</w:t>
            </w:r>
          </w:p>
        </w:tc>
        <w:tc>
          <w:tcPr>
            <w:tcW w:w="732" w:type="pct"/>
            <w:vAlign w:val="top"/>
          </w:tcPr>
          <w:p>
            <w:pPr>
              <w:pStyle w:val="46"/>
              <w:spacing w:line="242" w:lineRule="auto"/>
              <w:ind w:left="101" w:right="92"/>
              <w:jc w:val="center"/>
              <w:rPr>
                <w:color w:val="auto"/>
                <w:sz w:val="24"/>
              </w:rPr>
            </w:pPr>
            <w:r>
              <w:rPr>
                <w:color w:val="auto"/>
                <w:sz w:val="24"/>
              </w:rPr>
              <w:t>营业收入20000 万元</w:t>
            </w:r>
          </w:p>
          <w:p>
            <w:pPr>
              <w:pStyle w:val="46"/>
              <w:spacing w:before="3"/>
              <w:ind w:left="101" w:right="94"/>
              <w:jc w:val="center"/>
              <w:rPr>
                <w:color w:val="auto"/>
                <w:sz w:val="24"/>
              </w:rPr>
            </w:pPr>
            <w:r>
              <w:rPr>
                <w:color w:val="auto"/>
                <w:sz w:val="24"/>
              </w:rPr>
              <w:t>以下</w:t>
            </w:r>
          </w:p>
        </w:tc>
        <w:tc>
          <w:tcPr>
            <w:tcW w:w="425" w:type="pct"/>
            <w:vAlign w:val="top"/>
          </w:tcPr>
          <w:p>
            <w:pPr>
              <w:pStyle w:val="46"/>
              <w:ind w:left="107"/>
              <w:rPr>
                <w:color w:val="auto"/>
                <w:sz w:val="24"/>
              </w:rPr>
            </w:pPr>
            <w:r>
              <w:rPr>
                <w:color w:val="auto"/>
                <w:sz w:val="24"/>
              </w:rPr>
              <w:t>500</w:t>
            </w:r>
          </w:p>
          <w:p>
            <w:pPr>
              <w:pStyle w:val="46"/>
              <w:spacing w:before="4"/>
              <w:ind w:left="107"/>
              <w:rPr>
                <w:color w:val="auto"/>
                <w:sz w:val="24"/>
              </w:rPr>
            </w:pPr>
            <w:r>
              <w:rPr>
                <w:color w:val="auto"/>
                <w:sz w:val="24"/>
              </w:rPr>
              <w:t>万 元</w:t>
            </w:r>
          </w:p>
          <w:p>
            <w:pPr>
              <w:pStyle w:val="46"/>
              <w:spacing w:before="2" w:line="310" w:lineRule="atLeast"/>
              <w:ind w:left="107" w:right="96"/>
              <w:rPr>
                <w:color w:val="auto"/>
                <w:sz w:val="24"/>
              </w:rPr>
            </w:pPr>
            <w:r>
              <w:rPr>
                <w:color w:val="auto"/>
                <w:sz w:val="24"/>
              </w:rPr>
              <w:t>及 以上</w:t>
            </w:r>
          </w:p>
        </w:tc>
        <w:tc>
          <w:tcPr>
            <w:tcW w:w="425" w:type="pct"/>
            <w:vAlign w:val="top"/>
          </w:tcPr>
          <w:p>
            <w:pPr>
              <w:pStyle w:val="46"/>
              <w:spacing w:line="242" w:lineRule="auto"/>
              <w:ind w:left="182" w:right="109" w:hanging="60"/>
              <w:jc w:val="both"/>
              <w:rPr>
                <w:color w:val="auto"/>
                <w:sz w:val="24"/>
              </w:rPr>
            </w:pPr>
            <w:r>
              <w:rPr>
                <w:color w:val="auto"/>
                <w:sz w:val="24"/>
              </w:rPr>
              <w:t>50 万元及以上</w:t>
            </w:r>
          </w:p>
        </w:tc>
        <w:tc>
          <w:tcPr>
            <w:tcW w:w="427" w:type="pct"/>
            <w:vAlign w:val="top"/>
          </w:tcPr>
          <w:p>
            <w:pPr>
              <w:pStyle w:val="46"/>
              <w:spacing w:line="242" w:lineRule="auto"/>
              <w:ind w:left="183" w:right="106" w:hanging="60"/>
              <w:jc w:val="both"/>
              <w:rPr>
                <w:color w:val="auto"/>
                <w:sz w:val="24"/>
              </w:rPr>
            </w:pPr>
            <w:r>
              <w:rPr>
                <w:color w:val="auto"/>
                <w:sz w:val="24"/>
              </w:rPr>
              <w:t>50 万元以下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color w:val="auto"/>
                <w:sz w:val="24"/>
              </w:rPr>
            </w:pPr>
          </w:p>
          <w:p>
            <w:pPr>
              <w:pStyle w:val="46"/>
              <w:spacing w:before="160"/>
              <w:ind w:left="96" w:right="84"/>
              <w:jc w:val="center"/>
              <w:rPr>
                <w:color w:val="auto"/>
                <w:sz w:val="24"/>
              </w:rPr>
            </w:pPr>
            <w:r>
              <w:rPr>
                <w:color w:val="auto"/>
                <w:sz w:val="24"/>
              </w:rPr>
              <w:t>工业</w:t>
            </w:r>
          </w:p>
        </w:tc>
        <w:tc>
          <w:tcPr>
            <w:tcW w:w="732" w:type="pct"/>
            <w:vAlign w:val="top"/>
          </w:tcPr>
          <w:p>
            <w:pPr>
              <w:pStyle w:val="46"/>
              <w:spacing w:line="242" w:lineRule="auto"/>
              <w:ind w:left="124" w:right="115" w:firstLine="60"/>
              <w:jc w:val="both"/>
              <w:rPr>
                <w:color w:val="auto"/>
                <w:sz w:val="24"/>
              </w:rPr>
            </w:pPr>
            <w:r>
              <w:rPr>
                <w:color w:val="auto"/>
                <w:sz w:val="24"/>
              </w:rPr>
              <w:t>1000 人以</w:t>
            </w:r>
            <w:r>
              <w:rPr>
                <w:color w:val="auto"/>
                <w:spacing w:val="-4"/>
                <w:sz w:val="24"/>
              </w:rPr>
              <w:t>下或营业收</w:t>
            </w:r>
            <w:r>
              <w:rPr>
                <w:color w:val="auto"/>
                <w:sz w:val="24"/>
              </w:rPr>
              <w:t>入 40000</w:t>
            </w:r>
          </w:p>
          <w:p>
            <w:pPr>
              <w:pStyle w:val="46"/>
              <w:spacing w:before="4" w:line="292" w:lineRule="exact"/>
              <w:ind w:left="244"/>
              <w:rPr>
                <w:color w:val="auto"/>
                <w:sz w:val="24"/>
              </w:rPr>
            </w:pPr>
            <w:r>
              <w:rPr>
                <w:color w:val="auto"/>
                <w:sz w:val="24"/>
              </w:rPr>
              <w:t>万元以下</w:t>
            </w:r>
          </w:p>
        </w:tc>
        <w:tc>
          <w:tcPr>
            <w:tcW w:w="425" w:type="pct"/>
            <w:vAlign w:val="top"/>
          </w:tcPr>
          <w:p>
            <w:pPr>
              <w:pStyle w:val="46"/>
              <w:spacing w:line="307" w:lineRule="exact"/>
              <w:ind w:left="182"/>
              <w:rPr>
                <w:color w:val="auto"/>
                <w:sz w:val="24"/>
              </w:rPr>
            </w:pPr>
            <w:r>
              <w:rPr>
                <w:color w:val="auto"/>
                <w:sz w:val="24"/>
              </w:rPr>
              <w:t>2000</w:t>
            </w:r>
          </w:p>
          <w:p>
            <w:pPr>
              <w:pStyle w:val="46"/>
              <w:spacing w:before="2" w:line="310" w:lineRule="atLeast"/>
              <w:ind w:left="182" w:right="170"/>
              <w:jc w:val="both"/>
              <w:rPr>
                <w:color w:val="auto"/>
                <w:sz w:val="24"/>
              </w:rPr>
            </w:pPr>
            <w:r>
              <w:rPr>
                <w:color w:val="auto"/>
                <w:sz w:val="24"/>
              </w:rPr>
              <w:t>万元及以上</w:t>
            </w:r>
          </w:p>
        </w:tc>
        <w:tc>
          <w:tcPr>
            <w:tcW w:w="425" w:type="pct"/>
            <w:vAlign w:val="top"/>
          </w:tcPr>
          <w:p>
            <w:pPr>
              <w:pStyle w:val="46"/>
              <w:spacing w:line="307" w:lineRule="exact"/>
              <w:ind w:left="242"/>
              <w:rPr>
                <w:color w:val="auto"/>
                <w:sz w:val="24"/>
              </w:rPr>
            </w:pPr>
            <w:r>
              <w:rPr>
                <w:color w:val="auto"/>
                <w:sz w:val="24"/>
              </w:rPr>
              <w:t>300</w:t>
            </w:r>
          </w:p>
          <w:p>
            <w:pPr>
              <w:pStyle w:val="46"/>
              <w:spacing w:before="2" w:line="310" w:lineRule="atLeast"/>
              <w:ind w:left="182" w:right="169"/>
              <w:jc w:val="both"/>
              <w:rPr>
                <w:color w:val="auto"/>
                <w:sz w:val="24"/>
              </w:rPr>
            </w:pPr>
            <w:r>
              <w:rPr>
                <w:color w:val="auto"/>
                <w:sz w:val="24"/>
              </w:rPr>
              <w:t>万元及以上</w:t>
            </w:r>
          </w:p>
        </w:tc>
        <w:tc>
          <w:tcPr>
            <w:tcW w:w="427" w:type="pct"/>
            <w:vAlign w:val="top"/>
          </w:tcPr>
          <w:p>
            <w:pPr>
              <w:pStyle w:val="46"/>
              <w:spacing w:line="307" w:lineRule="exact"/>
              <w:ind w:left="243"/>
              <w:rPr>
                <w:color w:val="auto"/>
                <w:sz w:val="24"/>
              </w:rPr>
            </w:pPr>
            <w:r>
              <w:rPr>
                <w:color w:val="auto"/>
                <w:sz w:val="24"/>
              </w:rPr>
              <w:t>300</w:t>
            </w:r>
          </w:p>
          <w:p>
            <w:pPr>
              <w:pStyle w:val="46"/>
              <w:spacing w:before="2" w:line="310" w:lineRule="atLeast"/>
              <w:ind w:left="183" w:right="166"/>
              <w:jc w:val="both"/>
              <w:rPr>
                <w:color w:val="auto"/>
                <w:sz w:val="24"/>
              </w:rPr>
            </w:pPr>
            <w:r>
              <w:rPr>
                <w:color w:val="auto"/>
                <w:sz w:val="24"/>
              </w:rPr>
              <w:t>万元及以上</w:t>
            </w:r>
          </w:p>
        </w:tc>
        <w:tc>
          <w:tcPr>
            <w:tcW w:w="425" w:type="pct"/>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425" w:type="pct"/>
            <w:vAlign w:val="top"/>
          </w:tcPr>
          <w:p>
            <w:pPr>
              <w:pStyle w:val="46"/>
              <w:spacing w:line="242" w:lineRule="auto"/>
              <w:ind w:left="183" w:right="110" w:hanging="60"/>
              <w:jc w:val="both"/>
              <w:rPr>
                <w:color w:val="auto"/>
                <w:sz w:val="24"/>
              </w:rPr>
            </w:pPr>
            <w:r>
              <w:rPr>
                <w:color w:val="auto"/>
                <w:sz w:val="24"/>
              </w:rPr>
              <w:t>20 人及以上</w:t>
            </w:r>
          </w:p>
        </w:tc>
        <w:tc>
          <w:tcPr>
            <w:tcW w:w="377" w:type="pct"/>
            <w:vAlign w:val="top"/>
          </w:tcPr>
          <w:p>
            <w:pPr>
              <w:pStyle w:val="46"/>
              <w:spacing w:line="307" w:lineRule="exact"/>
              <w:ind w:left="130" w:right="120"/>
              <w:jc w:val="center"/>
              <w:rPr>
                <w:color w:val="auto"/>
                <w:sz w:val="24"/>
              </w:rPr>
            </w:pPr>
            <w:r>
              <w:rPr>
                <w:color w:val="auto"/>
                <w:sz w:val="24"/>
              </w:rPr>
              <w:t>20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color w:val="auto"/>
                <w:sz w:val="24"/>
              </w:rPr>
            </w:pPr>
          </w:p>
          <w:p>
            <w:pPr>
              <w:pStyle w:val="46"/>
              <w:spacing w:before="160"/>
              <w:ind w:left="96" w:right="85"/>
              <w:jc w:val="center"/>
              <w:rPr>
                <w:color w:val="auto"/>
                <w:sz w:val="24"/>
              </w:rPr>
            </w:pPr>
            <w:r>
              <w:rPr>
                <w:color w:val="auto"/>
                <w:sz w:val="24"/>
              </w:rPr>
              <w:t>建筑业</w:t>
            </w:r>
          </w:p>
        </w:tc>
        <w:tc>
          <w:tcPr>
            <w:tcW w:w="732" w:type="pct"/>
            <w:vAlign w:val="top"/>
          </w:tcPr>
          <w:p>
            <w:pPr>
              <w:pStyle w:val="46"/>
              <w:spacing w:line="307" w:lineRule="exact"/>
              <w:ind w:left="124"/>
              <w:rPr>
                <w:color w:val="auto"/>
                <w:sz w:val="24"/>
              </w:rPr>
            </w:pPr>
            <w:r>
              <w:rPr>
                <w:color w:val="auto"/>
                <w:sz w:val="24"/>
              </w:rPr>
              <w:t>收入 80000</w:t>
            </w:r>
          </w:p>
          <w:p>
            <w:pPr>
              <w:pStyle w:val="46"/>
              <w:spacing w:before="4" w:line="242" w:lineRule="auto"/>
              <w:ind w:left="244" w:right="115" w:hanging="120"/>
              <w:rPr>
                <w:color w:val="auto"/>
                <w:sz w:val="24"/>
              </w:rPr>
            </w:pPr>
            <w:r>
              <w:rPr>
                <w:color w:val="auto"/>
                <w:spacing w:val="-4"/>
                <w:sz w:val="24"/>
              </w:rPr>
              <w:t>万元以下或</w:t>
            </w:r>
            <w:r>
              <w:rPr>
                <w:color w:val="auto"/>
                <w:sz w:val="24"/>
              </w:rPr>
              <w:t>资产总额</w:t>
            </w:r>
          </w:p>
          <w:p>
            <w:pPr>
              <w:pStyle w:val="46"/>
              <w:spacing w:before="4" w:line="292" w:lineRule="exact"/>
              <w:ind w:left="124"/>
              <w:rPr>
                <w:color w:val="auto"/>
                <w:sz w:val="24"/>
              </w:rPr>
            </w:pPr>
            <w:r>
              <w:rPr>
                <w:color w:val="auto"/>
                <w:sz w:val="24"/>
              </w:rPr>
              <w:t>80000 万元</w:t>
            </w:r>
          </w:p>
        </w:tc>
        <w:tc>
          <w:tcPr>
            <w:tcW w:w="425" w:type="pct"/>
            <w:vAlign w:val="top"/>
          </w:tcPr>
          <w:p>
            <w:pPr>
              <w:pStyle w:val="46"/>
              <w:spacing w:line="307" w:lineRule="exact"/>
              <w:ind w:left="162" w:right="153"/>
              <w:jc w:val="center"/>
              <w:rPr>
                <w:color w:val="auto"/>
                <w:sz w:val="24"/>
              </w:rPr>
            </w:pPr>
            <w:r>
              <w:rPr>
                <w:color w:val="auto"/>
                <w:sz w:val="24"/>
              </w:rPr>
              <w:t>6000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5" w:type="pct"/>
            <w:vAlign w:val="top"/>
          </w:tcPr>
          <w:p>
            <w:pPr>
              <w:pStyle w:val="46"/>
              <w:spacing w:line="307" w:lineRule="exact"/>
              <w:ind w:left="180" w:right="169"/>
              <w:jc w:val="center"/>
              <w:rPr>
                <w:color w:val="auto"/>
                <w:sz w:val="24"/>
              </w:rPr>
            </w:pPr>
            <w:r>
              <w:rPr>
                <w:color w:val="auto"/>
                <w:sz w:val="24"/>
              </w:rPr>
              <w:t>300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7" w:type="pct"/>
            <w:vAlign w:val="top"/>
          </w:tcPr>
          <w:p>
            <w:pPr>
              <w:pStyle w:val="46"/>
              <w:spacing w:line="307" w:lineRule="exact"/>
              <w:ind w:left="180" w:right="166"/>
              <w:jc w:val="center"/>
              <w:rPr>
                <w:color w:val="auto"/>
                <w:sz w:val="24"/>
              </w:rPr>
            </w:pPr>
            <w:r>
              <w:rPr>
                <w:color w:val="auto"/>
                <w:sz w:val="24"/>
              </w:rPr>
              <w:t>300</w:t>
            </w:r>
          </w:p>
          <w:p>
            <w:pPr>
              <w:pStyle w:val="46"/>
              <w:spacing w:before="4" w:line="242" w:lineRule="auto"/>
              <w:ind w:left="183" w:right="166"/>
              <w:jc w:val="center"/>
              <w:rPr>
                <w:color w:val="auto"/>
                <w:sz w:val="24"/>
              </w:rPr>
            </w:pPr>
            <w:r>
              <w:rPr>
                <w:color w:val="auto"/>
                <w:spacing w:val="-9"/>
                <w:sz w:val="24"/>
              </w:rPr>
              <w:t>万元及以</w:t>
            </w:r>
          </w:p>
          <w:p>
            <w:pPr>
              <w:pStyle w:val="46"/>
              <w:spacing w:before="4" w:line="292" w:lineRule="exact"/>
              <w:ind w:left="14"/>
              <w:jc w:val="center"/>
              <w:rPr>
                <w:color w:val="auto"/>
                <w:sz w:val="24"/>
              </w:rPr>
            </w:pPr>
            <w:r>
              <w:rPr>
                <w:color w:val="auto"/>
                <w:sz w:val="24"/>
              </w:rPr>
              <w:t>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spacing w:line="307" w:lineRule="exact"/>
              <w:ind w:left="161" w:right="151"/>
              <w:jc w:val="center"/>
              <w:rPr>
                <w:color w:val="auto"/>
                <w:sz w:val="24"/>
              </w:rPr>
            </w:pPr>
            <w:r>
              <w:rPr>
                <w:color w:val="auto"/>
                <w:sz w:val="24"/>
              </w:rPr>
              <w:t>5000</w:t>
            </w:r>
          </w:p>
          <w:p>
            <w:pPr>
              <w:pStyle w:val="46"/>
              <w:spacing w:before="4" w:line="242" w:lineRule="auto"/>
              <w:ind w:left="181" w:right="169"/>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6"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9"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批发业</w:t>
            </w:r>
          </w:p>
        </w:tc>
        <w:tc>
          <w:tcPr>
            <w:tcW w:w="732" w:type="pct"/>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业收入40000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425" w:type="pct"/>
            <w:vAlign w:val="top"/>
          </w:tcPr>
          <w:p>
            <w:pPr>
              <w:pStyle w:val="46"/>
              <w:spacing w:line="307" w:lineRule="exact"/>
              <w:ind w:left="182"/>
              <w:rPr>
                <w:color w:val="auto"/>
                <w:sz w:val="24"/>
              </w:rPr>
            </w:pPr>
            <w:r>
              <w:rPr>
                <w:color w:val="auto"/>
                <w:sz w:val="24"/>
              </w:rPr>
              <w:t>5000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spacing w:line="307" w:lineRule="exact"/>
              <w:ind w:left="182"/>
              <w:rPr>
                <w:color w:val="auto"/>
                <w:sz w:val="24"/>
              </w:rPr>
            </w:pPr>
            <w:r>
              <w:rPr>
                <w:color w:val="auto"/>
                <w:sz w:val="24"/>
              </w:rPr>
              <w:t>1000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spacing w:line="307" w:lineRule="exact"/>
              <w:ind w:left="183"/>
              <w:rPr>
                <w:color w:val="auto"/>
                <w:sz w:val="24"/>
              </w:rPr>
            </w:pPr>
            <w:r>
              <w:rPr>
                <w:color w:val="auto"/>
                <w:sz w:val="24"/>
              </w:rPr>
              <w:t>1000</w:t>
            </w:r>
          </w:p>
          <w:p>
            <w:pPr>
              <w:pStyle w:val="46"/>
              <w:spacing w:before="4" w:line="242" w:lineRule="auto"/>
              <w:ind w:left="183" w:right="166"/>
              <w:jc w:val="both"/>
              <w:rPr>
                <w:color w:val="auto"/>
                <w:sz w:val="24"/>
              </w:rPr>
            </w:pPr>
            <w:r>
              <w:rPr>
                <w:color w:val="auto"/>
                <w:sz w:val="24"/>
              </w:rPr>
              <w:t>万元及以下</w:t>
            </w:r>
          </w:p>
        </w:tc>
        <w:tc>
          <w:tcPr>
            <w:tcW w:w="425" w:type="pct"/>
            <w:vAlign w:val="top"/>
          </w:tcPr>
          <w:p>
            <w:pPr>
              <w:pStyle w:val="46"/>
              <w:spacing w:line="242" w:lineRule="auto"/>
              <w:ind w:left="184" w:right="108" w:hanging="60"/>
              <w:jc w:val="both"/>
              <w:rPr>
                <w:color w:val="auto"/>
                <w:sz w:val="24"/>
              </w:rPr>
            </w:pPr>
            <w:r>
              <w:rPr>
                <w:color w:val="auto"/>
                <w:sz w:val="24"/>
              </w:rPr>
              <w:t>20 人及以上</w:t>
            </w:r>
          </w:p>
        </w:tc>
        <w:tc>
          <w:tcPr>
            <w:tcW w:w="425" w:type="pct"/>
            <w:vAlign w:val="top"/>
          </w:tcPr>
          <w:p>
            <w:pPr>
              <w:pStyle w:val="46"/>
              <w:spacing w:line="242" w:lineRule="auto"/>
              <w:ind w:left="183" w:right="170" w:firstLine="28"/>
              <w:jc w:val="both"/>
              <w:rPr>
                <w:color w:val="auto"/>
                <w:sz w:val="24"/>
              </w:rPr>
            </w:pPr>
            <w:r>
              <w:rPr>
                <w:color w:val="auto"/>
                <w:sz w:val="24"/>
              </w:rPr>
              <w:t>5</w:t>
            </w:r>
            <w:r>
              <w:rPr>
                <w:color w:val="auto"/>
                <w:spacing w:val="-30"/>
                <w:sz w:val="24"/>
              </w:rPr>
              <w:t xml:space="preserve"> 人</w:t>
            </w:r>
            <w:r>
              <w:rPr>
                <w:color w:val="auto"/>
                <w:spacing w:val="-24"/>
                <w:sz w:val="24"/>
              </w:rPr>
              <w:t>及以</w:t>
            </w:r>
            <w:r>
              <w:rPr>
                <w:color w:val="auto"/>
                <w:sz w:val="24"/>
              </w:rPr>
              <w:t>上</w:t>
            </w:r>
          </w:p>
        </w:tc>
        <w:tc>
          <w:tcPr>
            <w:tcW w:w="377" w:type="pct"/>
            <w:vAlign w:val="top"/>
          </w:tcPr>
          <w:p>
            <w:pPr>
              <w:pStyle w:val="46"/>
              <w:spacing w:line="242" w:lineRule="auto"/>
              <w:ind w:left="130" w:right="120"/>
              <w:rPr>
                <w:color w:val="auto"/>
                <w:sz w:val="24"/>
              </w:rPr>
            </w:pPr>
            <w:r>
              <w:rPr>
                <w:color w:val="auto"/>
                <w:sz w:val="24"/>
              </w:rPr>
              <w:t>5 人以下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color w:val="auto"/>
                <w:sz w:val="24"/>
              </w:rPr>
            </w:pPr>
          </w:p>
          <w:p>
            <w:pPr>
              <w:pStyle w:val="46"/>
              <w:spacing w:before="8"/>
              <w:rPr>
                <w:b/>
                <w:color w:val="auto"/>
                <w:sz w:val="24"/>
              </w:rPr>
            </w:pPr>
          </w:p>
          <w:p>
            <w:pPr>
              <w:pStyle w:val="46"/>
              <w:spacing w:before="1"/>
              <w:ind w:left="96" w:right="85"/>
              <w:jc w:val="center"/>
              <w:rPr>
                <w:color w:val="auto"/>
                <w:sz w:val="24"/>
              </w:rPr>
            </w:pPr>
            <w:r>
              <w:rPr>
                <w:color w:val="auto"/>
                <w:sz w:val="24"/>
              </w:rPr>
              <w:t>零售业</w:t>
            </w:r>
          </w:p>
        </w:tc>
        <w:tc>
          <w:tcPr>
            <w:tcW w:w="732" w:type="pct"/>
            <w:vAlign w:val="top"/>
          </w:tcPr>
          <w:p>
            <w:pPr>
              <w:pStyle w:val="46"/>
              <w:spacing w:line="242" w:lineRule="auto"/>
              <w:ind w:left="124" w:right="115"/>
              <w:jc w:val="center"/>
              <w:rPr>
                <w:color w:val="auto"/>
                <w:sz w:val="24"/>
              </w:rPr>
            </w:pPr>
            <w:r>
              <w:rPr>
                <w:color w:val="auto"/>
                <w:sz w:val="24"/>
              </w:rPr>
              <w:t xml:space="preserve">人员 300 </w:t>
            </w:r>
            <w:r>
              <w:rPr>
                <w:color w:val="auto"/>
                <w:spacing w:val="-4"/>
                <w:sz w:val="24"/>
              </w:rPr>
              <w:t>人以下或营</w:t>
            </w:r>
            <w:r>
              <w:rPr>
                <w:color w:val="auto"/>
                <w:sz w:val="24"/>
              </w:rPr>
              <w:t>业收入20000</w:t>
            </w:r>
            <w:r>
              <w:rPr>
                <w:color w:val="auto"/>
                <w:spacing w:val="-20"/>
                <w:sz w:val="24"/>
              </w:rPr>
              <w:t xml:space="preserve"> 万元</w:t>
            </w:r>
          </w:p>
          <w:p>
            <w:pPr>
              <w:pStyle w:val="46"/>
              <w:spacing w:before="6" w:line="292" w:lineRule="exact"/>
              <w:ind w:left="101" w:right="94"/>
              <w:jc w:val="center"/>
              <w:rPr>
                <w:color w:val="auto"/>
                <w:sz w:val="24"/>
              </w:rPr>
            </w:pPr>
            <w:r>
              <w:rPr>
                <w:color w:val="auto"/>
                <w:sz w:val="24"/>
              </w:rPr>
              <w:t>以下</w:t>
            </w:r>
          </w:p>
        </w:tc>
        <w:tc>
          <w:tcPr>
            <w:tcW w:w="425" w:type="pct"/>
            <w:vAlign w:val="top"/>
          </w:tcPr>
          <w:p>
            <w:pPr>
              <w:pStyle w:val="46"/>
              <w:ind w:left="242"/>
              <w:rPr>
                <w:color w:val="auto"/>
                <w:sz w:val="24"/>
              </w:rPr>
            </w:pPr>
            <w:r>
              <w:rPr>
                <w:color w:val="auto"/>
                <w:sz w:val="24"/>
              </w:rPr>
              <w:t>500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425" w:type="pct"/>
            <w:vAlign w:val="top"/>
          </w:tcPr>
          <w:p>
            <w:pPr>
              <w:pStyle w:val="46"/>
              <w:spacing w:line="242" w:lineRule="auto"/>
              <w:ind w:left="184" w:right="108" w:hanging="60"/>
              <w:jc w:val="both"/>
              <w:rPr>
                <w:color w:val="auto"/>
                <w:sz w:val="24"/>
              </w:rPr>
            </w:pPr>
            <w:r>
              <w:rPr>
                <w:color w:val="auto"/>
                <w:sz w:val="24"/>
              </w:rPr>
              <w:t>50 人及以上</w:t>
            </w:r>
          </w:p>
        </w:tc>
        <w:tc>
          <w:tcPr>
            <w:tcW w:w="425" w:type="pct"/>
            <w:vAlign w:val="top"/>
          </w:tcPr>
          <w:p>
            <w:pPr>
              <w:pStyle w:val="46"/>
              <w:spacing w:line="242" w:lineRule="auto"/>
              <w:ind w:left="183" w:right="110" w:hanging="60"/>
              <w:jc w:val="both"/>
              <w:rPr>
                <w:color w:val="auto"/>
                <w:sz w:val="24"/>
              </w:rPr>
            </w:pPr>
            <w:r>
              <w:rPr>
                <w:color w:val="auto"/>
                <w:sz w:val="24"/>
              </w:rPr>
              <w:t>10 人及以上</w:t>
            </w:r>
          </w:p>
        </w:tc>
        <w:tc>
          <w:tcPr>
            <w:tcW w:w="377" w:type="pct"/>
            <w:vAlign w:val="top"/>
          </w:tcPr>
          <w:p>
            <w:pPr>
              <w:pStyle w:val="46"/>
              <w:ind w:left="130" w:right="120"/>
              <w:jc w:val="center"/>
              <w:rPr>
                <w:color w:val="auto"/>
                <w:sz w:val="24"/>
              </w:rPr>
            </w:pPr>
            <w:r>
              <w:rPr>
                <w:color w:val="auto"/>
                <w:sz w:val="24"/>
              </w:rPr>
              <w:t>10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ind w:left="-240" w:leftChars="-100" w:right="118" w:rightChars="49" w:firstLine="240" w:firstLineChars="100"/>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color w:val="auto"/>
                <w:sz w:val="24"/>
              </w:rPr>
            </w:pPr>
            <w:r>
              <w:rPr>
                <w:color w:val="auto"/>
                <w:sz w:val="24"/>
              </w:rPr>
              <w:t>交通运</w:t>
            </w:r>
          </w:p>
          <w:p>
            <w:pPr>
              <w:pStyle w:val="46"/>
              <w:spacing w:before="4" w:line="292" w:lineRule="exact"/>
              <w:ind w:left="96" w:right="84"/>
              <w:jc w:val="center"/>
              <w:rPr>
                <w:color w:val="auto"/>
                <w:sz w:val="24"/>
              </w:rPr>
            </w:pPr>
            <w:r>
              <w:rPr>
                <w:color w:val="auto"/>
                <w:sz w:val="24"/>
              </w:rPr>
              <w:t>输业</w:t>
            </w:r>
          </w:p>
        </w:tc>
        <w:tc>
          <w:tcPr>
            <w:tcW w:w="732" w:type="pct"/>
            <w:vAlign w:val="top"/>
          </w:tcPr>
          <w:p>
            <w:pPr>
              <w:pStyle w:val="46"/>
              <w:spacing w:before="2"/>
              <w:ind w:left="184"/>
              <w:rPr>
                <w:color w:val="auto"/>
                <w:sz w:val="24"/>
              </w:rPr>
            </w:pPr>
            <w:r>
              <w:rPr>
                <w:color w:val="auto"/>
                <w:sz w:val="24"/>
              </w:rPr>
              <w:t>人员 1000</w:t>
            </w:r>
          </w:p>
          <w:p>
            <w:pPr>
              <w:pStyle w:val="46"/>
              <w:spacing w:before="4" w:line="292" w:lineRule="exact"/>
              <w:ind w:left="124"/>
              <w:rPr>
                <w:color w:val="auto"/>
                <w:sz w:val="24"/>
              </w:rPr>
            </w:pPr>
            <w:r>
              <w:rPr>
                <w:color w:val="auto"/>
                <w:sz w:val="24"/>
              </w:rPr>
              <w:t>人以下或营</w:t>
            </w:r>
          </w:p>
        </w:tc>
        <w:tc>
          <w:tcPr>
            <w:tcW w:w="425" w:type="pct"/>
            <w:vAlign w:val="top"/>
          </w:tcPr>
          <w:p>
            <w:pPr>
              <w:pStyle w:val="46"/>
              <w:spacing w:before="2"/>
              <w:ind w:left="182"/>
              <w:rPr>
                <w:color w:val="auto"/>
                <w:sz w:val="24"/>
              </w:rPr>
            </w:pPr>
            <w:r>
              <w:rPr>
                <w:color w:val="auto"/>
                <w:sz w:val="24"/>
              </w:rPr>
              <w:t>3000</w:t>
            </w:r>
          </w:p>
          <w:p>
            <w:pPr>
              <w:pStyle w:val="46"/>
              <w:spacing w:before="4" w:line="292" w:lineRule="exact"/>
              <w:ind w:left="182"/>
              <w:rPr>
                <w:color w:val="auto"/>
                <w:sz w:val="24"/>
              </w:rPr>
            </w:pPr>
            <w:r>
              <w:rPr>
                <w:color w:val="auto"/>
                <w:sz w:val="24"/>
              </w:rPr>
              <w:t>万元</w:t>
            </w:r>
          </w:p>
        </w:tc>
        <w:tc>
          <w:tcPr>
            <w:tcW w:w="425" w:type="pct"/>
            <w:vAlign w:val="top"/>
          </w:tcPr>
          <w:p>
            <w:pPr>
              <w:pStyle w:val="46"/>
              <w:spacing w:before="2"/>
              <w:ind w:left="242"/>
              <w:rPr>
                <w:color w:val="auto"/>
                <w:sz w:val="24"/>
              </w:rPr>
            </w:pPr>
            <w:r>
              <w:rPr>
                <w:color w:val="auto"/>
                <w:sz w:val="24"/>
              </w:rPr>
              <w:t>200</w:t>
            </w:r>
          </w:p>
          <w:p>
            <w:pPr>
              <w:pStyle w:val="46"/>
              <w:spacing w:before="4" w:line="292" w:lineRule="exact"/>
              <w:ind w:left="182"/>
              <w:rPr>
                <w:color w:val="auto"/>
                <w:sz w:val="24"/>
              </w:rPr>
            </w:pPr>
            <w:r>
              <w:rPr>
                <w:color w:val="auto"/>
                <w:sz w:val="24"/>
              </w:rPr>
              <w:t>万元</w:t>
            </w:r>
          </w:p>
        </w:tc>
        <w:tc>
          <w:tcPr>
            <w:tcW w:w="427" w:type="pct"/>
            <w:vAlign w:val="top"/>
          </w:tcPr>
          <w:p>
            <w:pPr>
              <w:pStyle w:val="46"/>
              <w:spacing w:before="2"/>
              <w:ind w:left="243"/>
              <w:rPr>
                <w:color w:val="auto"/>
                <w:sz w:val="24"/>
              </w:rPr>
            </w:pPr>
            <w:r>
              <w:rPr>
                <w:color w:val="auto"/>
                <w:sz w:val="24"/>
              </w:rPr>
              <w:t>200</w:t>
            </w:r>
          </w:p>
          <w:p>
            <w:pPr>
              <w:pStyle w:val="46"/>
              <w:spacing w:before="4" w:line="292" w:lineRule="exact"/>
              <w:ind w:left="183"/>
              <w:rPr>
                <w:color w:val="auto"/>
                <w:sz w:val="24"/>
              </w:rPr>
            </w:pPr>
            <w:r>
              <w:rPr>
                <w:color w:val="auto"/>
                <w:sz w:val="24"/>
              </w:rPr>
              <w:t>万元</w:t>
            </w:r>
          </w:p>
        </w:tc>
        <w:tc>
          <w:tcPr>
            <w:tcW w:w="425" w:type="pct"/>
            <w:vAlign w:val="top"/>
          </w:tcPr>
          <w:p>
            <w:pPr>
              <w:pStyle w:val="46"/>
              <w:spacing w:before="2"/>
              <w:ind w:left="244"/>
              <w:rPr>
                <w:color w:val="auto"/>
                <w:sz w:val="24"/>
              </w:rPr>
            </w:pPr>
            <w:r>
              <w:rPr>
                <w:color w:val="auto"/>
                <w:sz w:val="24"/>
              </w:rPr>
              <w:t>300</w:t>
            </w:r>
          </w:p>
          <w:p>
            <w:pPr>
              <w:pStyle w:val="46"/>
              <w:spacing w:before="4" w:line="292" w:lineRule="exact"/>
              <w:ind w:left="184"/>
              <w:rPr>
                <w:color w:val="auto"/>
                <w:sz w:val="24"/>
              </w:rPr>
            </w:pPr>
            <w:r>
              <w:rPr>
                <w:color w:val="auto"/>
                <w:sz w:val="24"/>
              </w:rPr>
              <w:t>人及</w:t>
            </w:r>
          </w:p>
        </w:tc>
        <w:tc>
          <w:tcPr>
            <w:tcW w:w="425" w:type="pct"/>
            <w:vAlign w:val="top"/>
          </w:tcPr>
          <w:p>
            <w:pPr>
              <w:pStyle w:val="46"/>
              <w:spacing w:before="2"/>
              <w:ind w:left="152"/>
              <w:rPr>
                <w:color w:val="auto"/>
                <w:sz w:val="24"/>
              </w:rPr>
            </w:pPr>
            <w:r>
              <w:rPr>
                <w:color w:val="auto"/>
                <w:sz w:val="24"/>
              </w:rPr>
              <w:t>20</w:t>
            </w:r>
            <w:r>
              <w:rPr>
                <w:color w:val="auto"/>
                <w:spacing w:val="-30"/>
                <w:sz w:val="24"/>
              </w:rPr>
              <w:t xml:space="preserve"> 人</w:t>
            </w:r>
          </w:p>
          <w:p>
            <w:pPr>
              <w:pStyle w:val="46"/>
              <w:spacing w:before="4" w:line="292" w:lineRule="exact"/>
              <w:ind w:left="183"/>
              <w:rPr>
                <w:color w:val="auto"/>
                <w:sz w:val="24"/>
              </w:rPr>
            </w:pPr>
            <w:r>
              <w:rPr>
                <w:color w:val="auto"/>
                <w:sz w:val="24"/>
              </w:rPr>
              <w:t>及以</w:t>
            </w:r>
          </w:p>
        </w:tc>
        <w:tc>
          <w:tcPr>
            <w:tcW w:w="377" w:type="pct"/>
            <w:vAlign w:val="top"/>
          </w:tcPr>
          <w:p>
            <w:pPr>
              <w:pStyle w:val="46"/>
              <w:spacing w:before="2"/>
              <w:ind w:left="109"/>
              <w:rPr>
                <w:color w:val="auto"/>
                <w:sz w:val="24"/>
              </w:rPr>
            </w:pPr>
            <w:r>
              <w:rPr>
                <w:color w:val="auto"/>
                <w:sz w:val="24"/>
              </w:rPr>
              <w:t>20</w:t>
            </w:r>
            <w:r>
              <w:rPr>
                <w:color w:val="auto"/>
                <w:spacing w:val="-38"/>
                <w:sz w:val="24"/>
              </w:rPr>
              <w:t xml:space="preserve"> 人</w:t>
            </w:r>
          </w:p>
          <w:p>
            <w:pPr>
              <w:pStyle w:val="46"/>
              <w:spacing w:before="4" w:line="292" w:lineRule="exact"/>
              <w:ind w:left="130"/>
              <w:rPr>
                <w:color w:val="auto"/>
                <w:sz w:val="24"/>
              </w:rPr>
            </w:pPr>
            <w:r>
              <w:rPr>
                <w:color w:val="auto"/>
                <w:sz w:val="24"/>
              </w:rPr>
              <w:t>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19"/>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3"/>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3"/>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3"/>
        <w:spacing w:before="2"/>
        <w:ind w:firstLine="630" w:firstLineChars="300"/>
        <w:rPr>
          <w:color w:val="auto"/>
        </w:rPr>
      </w:pPr>
      <w:r>
        <w:rPr>
          <w:color w:val="auto"/>
        </w:rPr>
        <w:t>一、享受政府采购支持政策的残疾人福利性单位应当同时满足以下条件：</w:t>
      </w:r>
    </w:p>
    <w:p>
      <w:pPr>
        <w:pStyle w:val="3"/>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3"/>
        <w:spacing w:before="1"/>
        <w:ind w:firstLine="420" w:firstLineChars="200"/>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3"/>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3"/>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3"/>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3"/>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3"/>
        <w:spacing w:before="2"/>
        <w:ind w:firstLine="420" w:firstLineChars="200"/>
        <w:rPr>
          <w:color w:val="auto"/>
        </w:rPr>
      </w:pPr>
      <w:r>
        <w:rPr>
          <w:color w:val="auto"/>
        </w:rPr>
        <w:t>二、符合条件的残疾人福利性单位在参加政府采购活动时，应当提供本通知规定的</w:t>
      </w:r>
    </w:p>
    <w:p>
      <w:pPr>
        <w:pStyle w:val="3"/>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3"/>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3"/>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3"/>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3"/>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3"/>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3"/>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3"/>
        <w:spacing w:before="2"/>
        <w:ind w:left="1018"/>
        <w:jc w:val="both"/>
        <w:rPr>
          <w:color w:val="auto"/>
        </w:rPr>
      </w:pPr>
      <w:r>
        <w:rPr>
          <w:color w:val="auto"/>
        </w:rPr>
        <w:t>七、本通知自 2017 年 10 月 1 日起执行。</w:t>
      </w:r>
    </w:p>
    <w:p>
      <w:pPr>
        <w:pStyle w:val="3"/>
        <w:spacing w:before="161" w:line="364" w:lineRule="auto"/>
        <w:ind w:left="8890" w:right="534"/>
        <w:jc w:val="right"/>
        <w:rPr>
          <w:color w:val="auto"/>
        </w:rPr>
      </w:pPr>
      <w:r>
        <w:rPr>
          <w:color w:val="auto"/>
          <w:spacing w:val="-7"/>
        </w:rPr>
        <w:t>财政部民政部</w:t>
      </w:r>
    </w:p>
    <w:p>
      <w:pPr>
        <w:pStyle w:val="3"/>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color w:val="auto"/>
        </w:rPr>
        <w:t>8</w:t>
      </w:r>
      <w:r>
        <w:rPr>
          <w:color w:val="auto"/>
          <w:spacing w:val="-40"/>
        </w:rPr>
        <w:t xml:space="preserve"> 月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3"/>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3"/>
        <w:ind w:left="0"/>
        <w:rPr>
          <w:b/>
          <w:color w:val="auto"/>
          <w:sz w:val="32"/>
        </w:rPr>
      </w:pPr>
    </w:p>
    <w:p>
      <w:pPr>
        <w:pStyle w:val="3"/>
        <w:spacing w:before="5"/>
        <w:ind w:left="0"/>
        <w:rPr>
          <w:b/>
          <w:color w:val="auto"/>
          <w:sz w:val="29"/>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3"/>
        <w:spacing w:before="84" w:line="364" w:lineRule="auto"/>
        <w:ind w:right="416" w:firstLine="480"/>
        <w:rPr>
          <w:color w:val="auto"/>
        </w:rPr>
      </w:pPr>
      <w:r>
        <w:rPr>
          <w:color w:val="auto"/>
          <w:spacing w:val="-5"/>
        </w:rPr>
        <w:t>党中央有关部门，国务院各部委、各直属机构，全国人大常委会办公厅，全国政协</w:t>
      </w:r>
      <w:r>
        <w:rPr>
          <w:color w:val="auto"/>
          <w:spacing w:val="-9"/>
        </w:rPr>
        <w:t>办公厅，高法院，高检院，有关人民团体，中央国家机关政府采购中心，中共中央直属</w:t>
      </w:r>
      <w:r>
        <w:rPr>
          <w:color w:val="auto"/>
          <w:spacing w:val="-29"/>
        </w:rPr>
        <w:t>机关采购中心，全国人大机关采购中心，各省、自治区、直辖市、计划单列市财政厅</w:t>
      </w:r>
      <w:r>
        <w:rPr>
          <w:color w:val="auto"/>
        </w:rPr>
        <w:t>（局</w:t>
      </w:r>
      <w:r>
        <w:rPr>
          <w:color w:val="auto"/>
          <w:spacing w:val="-94"/>
        </w:rPr>
        <w:t>）</w:t>
      </w:r>
      <w:r>
        <w:rPr>
          <w:color w:val="auto"/>
          <w:spacing w:val="-14"/>
        </w:rPr>
        <w:t>、</w:t>
      </w:r>
      <w:r>
        <w:rPr>
          <w:color w:val="auto"/>
        </w:rPr>
        <w:t>司法厅（局），新疆生产建设兵团财务局、司法局、监狱管理局：</w:t>
      </w:r>
    </w:p>
    <w:p>
      <w:pPr>
        <w:pStyle w:val="3"/>
        <w:spacing w:before="3" w:line="364" w:lineRule="auto"/>
        <w:ind w:right="534" w:firstLine="480"/>
        <w:jc w:val="both"/>
        <w:rPr>
          <w:color w:val="auto"/>
        </w:rPr>
      </w:pPr>
      <w:r>
        <w:rPr>
          <w:color w:val="auto"/>
          <w:spacing w:val="-2"/>
        </w:rPr>
        <w:t>政府采购支持监狱和戒毒企业</w:t>
      </w:r>
      <w:r>
        <w:rPr>
          <w:color w:val="auto"/>
        </w:rPr>
        <w:t>（以下简称监狱企业</w:t>
      </w:r>
      <w:r>
        <w:rPr>
          <w:color w:val="auto"/>
          <w:spacing w:val="-17"/>
        </w:rPr>
        <w:t>）</w:t>
      </w:r>
      <w:r>
        <w:rPr>
          <w:color w:val="auto"/>
          <w:spacing w:val="-3"/>
        </w:rPr>
        <w:t>发展对稳定监狱企业生产，提</w:t>
      </w:r>
      <w:r>
        <w:rPr>
          <w:color w:val="auto"/>
          <w:spacing w:val="-5"/>
        </w:rPr>
        <w:t>高</w:t>
      </w:r>
      <w:r>
        <w:rPr>
          <w:rFonts w:hint="eastAsia"/>
          <w:color w:val="auto"/>
          <w:spacing w:val="-5"/>
          <w:lang w:eastAsia="zh-CN"/>
        </w:rPr>
        <w:t>单位自筹</w:t>
      </w:r>
      <w:r>
        <w:rPr>
          <w:color w:val="auto"/>
          <w:spacing w:val="-5"/>
        </w:rPr>
        <w:t>使用效益，为罪犯和戒毒人员提供长期可靠的劳动岗位，提高罪犯和戒毒人</w:t>
      </w:r>
      <w:r>
        <w:rPr>
          <w:color w:val="auto"/>
          <w:spacing w:val="-6"/>
        </w:rPr>
        <w:t>员的教育改造质量，减少重新违法犯罪，确保监狱、戒毒场所安全稳定，促进社会和谐</w:t>
      </w:r>
      <w:r>
        <w:rPr>
          <w:color w:val="auto"/>
          <w:spacing w:val="-4"/>
        </w:rPr>
        <w:t>稳定具有十分重要的意义。为进一步贯彻落实国务院《关于解决监狱企业困难的实施方</w:t>
      </w:r>
      <w:r>
        <w:rPr>
          <w:color w:val="auto"/>
        </w:rPr>
        <w:t>案的通知》（国发[2003]7</w:t>
      </w:r>
      <w:r>
        <w:rPr>
          <w:color w:val="auto"/>
          <w:spacing w:val="-26"/>
        </w:rPr>
        <w:t xml:space="preserve"> 号</w:t>
      </w:r>
      <w:r>
        <w:rPr>
          <w:color w:val="auto"/>
        </w:rPr>
        <w:t>）</w:t>
      </w:r>
      <w:r>
        <w:rPr>
          <w:color w:val="auto"/>
          <w:spacing w:val="-1"/>
        </w:rPr>
        <w:t>文件精神，发挥政府采购支持监狱企业发展的作用，现</w:t>
      </w:r>
      <w:r>
        <w:rPr>
          <w:color w:val="auto"/>
        </w:rPr>
        <w:t>就有关事项通知如下：</w:t>
      </w:r>
    </w:p>
    <w:p>
      <w:pPr>
        <w:pStyle w:val="3"/>
        <w:spacing w:before="4" w:line="364" w:lineRule="auto"/>
        <w:ind w:right="413" w:firstLine="480"/>
        <w:rPr>
          <w:color w:val="auto"/>
        </w:rPr>
      </w:pPr>
      <w:r>
        <w:rPr>
          <w:color w:val="auto"/>
          <w:spacing w:val="-6"/>
        </w:rPr>
        <w:t>一、监狱企业是指由司法部认定的为罪犯、戒毒人员提供生产项目和劳动对象，且</w:t>
      </w:r>
      <w:r>
        <w:rPr>
          <w:color w:val="auto"/>
          <w:spacing w:val="-10"/>
        </w:rPr>
        <w:t xml:space="preserve">全部产权属于司法部监狱管理局、戒毒管理局、直属煤矿管理局，各省、自治区、直辖市监狱管理局、戒毒管理局，各地（设区的市）监狱、强制隔离戒毒所、戒毒康复所， </w:t>
      </w:r>
      <w:r>
        <w:rPr>
          <w:color w:val="auto"/>
          <w:spacing w:val="-18"/>
        </w:rPr>
        <w:t xml:space="preserve">以及新疆生产建设兵团监狱管理局、戒毒管理局的企业。监狱企业参加政府采购活动时， </w:t>
      </w:r>
      <w:r>
        <w:rPr>
          <w:color w:val="auto"/>
          <w:spacing w:val="-3"/>
        </w:rPr>
        <w:t>应当提供由省级以上监狱管理局、戒毒管理局</w:t>
      </w:r>
      <w:r>
        <w:rPr>
          <w:color w:val="auto"/>
        </w:rPr>
        <w:t>（含新疆生产建设兵团</w:t>
      </w:r>
      <w:r>
        <w:rPr>
          <w:color w:val="auto"/>
          <w:spacing w:val="-17"/>
        </w:rPr>
        <w:t>）</w:t>
      </w:r>
      <w:r>
        <w:rPr>
          <w:color w:val="auto"/>
        </w:rPr>
        <w:t>出具的属于监狱企业的证明文件。</w:t>
      </w:r>
    </w:p>
    <w:p>
      <w:pPr>
        <w:pStyle w:val="3"/>
        <w:spacing w:before="3" w:line="364" w:lineRule="auto"/>
        <w:ind w:right="533" w:firstLine="480"/>
        <w:jc w:val="both"/>
        <w:rPr>
          <w:color w:val="auto"/>
        </w:rPr>
      </w:pPr>
      <w:r>
        <w:rPr>
          <w:color w:val="auto"/>
          <w:spacing w:val="-8"/>
        </w:rPr>
        <w:t>二、在政府采购活动中，监狱企业视同小型、微型企业，享受预留份额、评审中价</w:t>
      </w:r>
      <w:r>
        <w:rPr>
          <w:color w:val="auto"/>
          <w:spacing w:val="-3"/>
        </w:rPr>
        <w:t>格扣除等政府采购促进中小企业发展的政府采购政策。向监狱企业采购的金额，计入面</w:t>
      </w:r>
      <w:r>
        <w:rPr>
          <w:color w:val="auto"/>
        </w:rPr>
        <w:t>向中小企业采购的统计数据。</w:t>
      </w:r>
    </w:p>
    <w:p>
      <w:pPr>
        <w:pStyle w:val="3"/>
        <w:spacing w:before="3" w:line="364" w:lineRule="auto"/>
        <w:ind w:right="413" w:firstLine="480"/>
        <w:rPr>
          <w:color w:val="auto"/>
        </w:rPr>
      </w:pPr>
      <w:r>
        <w:rPr>
          <w:color w:val="auto"/>
          <w:spacing w:val="-7"/>
        </w:rPr>
        <w:t>三、各地区、各部门要积极通过预留采购份额支持监狱企业。有制服采购项目的部门，应加强对政府采购预算和计划编制工作的统筹，预留本部门制服采购项目预算总额</w:t>
      </w:r>
      <w:r>
        <w:rPr>
          <w:color w:val="auto"/>
          <w:spacing w:val="-34"/>
        </w:rPr>
        <w:t xml:space="preserve">的 </w:t>
      </w:r>
      <w:r>
        <w:rPr>
          <w:color w:val="auto"/>
        </w:rPr>
        <w:t>30</w:t>
      </w:r>
      <w:r>
        <w:rPr>
          <w:color w:val="auto"/>
          <w:spacing w:val="-10"/>
        </w:rPr>
        <w:t>%以上，专门面向监狱企业采购。省级以上政府部门组织的公务员考试、招生考试、</w:t>
      </w:r>
      <w:r>
        <w:rPr>
          <w:color w:val="auto"/>
          <w:spacing w:val="3"/>
        </w:rPr>
        <w:t>等级考试、资格考试的试卷印刷项目原则上应当在符合有关资质的监狱企业范围内采</w:t>
      </w:r>
      <w:r>
        <w:rPr>
          <w:color w:val="auto"/>
          <w:spacing w:val="-16"/>
        </w:rPr>
        <w:t xml:space="preserve">购。各地在免费教科书政府采购工作中，应当根据符合教科书印制资质的监狱企业情况， </w:t>
      </w:r>
      <w:r>
        <w:rPr>
          <w:color w:val="auto"/>
        </w:rPr>
        <w:t>提出由监狱企业印刷的比例要求。</w:t>
      </w:r>
    </w:p>
    <w:p>
      <w:pPr>
        <w:pStyle w:val="3"/>
        <w:spacing w:before="4"/>
        <w:ind w:firstLine="420" w:firstLineChars="200"/>
        <w:rPr>
          <w:color w:val="auto"/>
        </w:rPr>
      </w:pPr>
      <w:r>
        <w:rPr>
          <w:color w:val="auto"/>
        </w:rPr>
        <w:t>四、各地区可以结合本地区实际，对监狱企业生产的办公用品、家具用具、车辆维</w:t>
      </w:r>
      <w:r>
        <w:rPr>
          <w:color w:val="auto"/>
          <w:spacing w:val="-5"/>
        </w:rPr>
        <w:t>修和提供的保养服务、消防设备等，提出预留份额等政府采购支持措施，加大对监狱企</w:t>
      </w:r>
      <w:r>
        <w:rPr>
          <w:color w:val="auto"/>
        </w:rPr>
        <w:t>业产品的采购力度。</w:t>
      </w:r>
    </w:p>
    <w:p>
      <w:pPr>
        <w:pStyle w:val="3"/>
        <w:spacing w:before="1" w:line="364" w:lineRule="auto"/>
        <w:ind w:right="413" w:firstLine="480"/>
        <w:rPr>
          <w:color w:val="auto"/>
        </w:rPr>
      </w:pPr>
      <w:r>
        <w:rPr>
          <w:color w:val="auto"/>
          <w:spacing w:val="-7"/>
        </w:rPr>
        <w:t>五、各地区、各部门要高度重视，加强组织管理和监督，做好政府采购支持监狱企</w:t>
      </w:r>
      <w:r>
        <w:rPr>
          <w:color w:val="auto"/>
          <w:spacing w:val="-17"/>
        </w:rPr>
        <w:t>业发展的相关工作。有关部门要加强监管，确保面向监狱企业采购的工作依法依规进行。</w:t>
      </w:r>
      <w:r>
        <w:rPr>
          <w:color w:val="auto"/>
          <w:spacing w:val="-3"/>
        </w:rPr>
        <w:t>各监狱企业要不断提高监狱企业产品的质量和服务水平，为做好监狱企业产品政府采购工作提供有力保障。</w:t>
      </w:r>
    </w:p>
    <w:p>
      <w:pPr>
        <w:pStyle w:val="3"/>
        <w:spacing w:before="11"/>
        <w:ind w:left="0"/>
        <w:rPr>
          <w:color w:val="auto"/>
          <w:sz w:val="25"/>
        </w:rPr>
      </w:pPr>
    </w:p>
    <w:p>
      <w:pPr>
        <w:pStyle w:val="3"/>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11"/>
        <w:outlineLvl w:val="0"/>
        <w:rPr>
          <w:color w:val="auto"/>
        </w:rPr>
      </w:pPr>
      <w:bookmarkStart w:id="81" w:name="_Toc9526"/>
      <w:r>
        <w:rPr>
          <w:color w:val="auto"/>
        </w:rPr>
        <w:t>附件六</w:t>
      </w:r>
      <w:bookmarkEnd w:id="81"/>
    </w:p>
    <w:p>
      <w:pPr>
        <w:pStyle w:val="3"/>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3"/>
        <w:ind w:left="0"/>
        <w:rPr>
          <w:color w:val="auto"/>
        </w:rPr>
      </w:pPr>
    </w:p>
    <w:p>
      <w:pPr>
        <w:pStyle w:val="3"/>
        <w:spacing w:before="1"/>
        <w:ind w:left="0"/>
        <w:rPr>
          <w:color w:val="auto"/>
          <w:sz w:val="19"/>
        </w:rPr>
      </w:pPr>
    </w:p>
    <w:p>
      <w:pPr>
        <w:pStyle w:val="3"/>
        <w:spacing w:line="364" w:lineRule="auto"/>
        <w:ind w:right="472"/>
        <w:rPr>
          <w:color w:val="auto"/>
        </w:rPr>
      </w:pPr>
      <w:r>
        <w:rPr>
          <w:color w:val="auto"/>
        </w:rPr>
        <w:t>各省辖市、省直管县（市）住房和城乡建设局（委），郑州航空港经济综合实验区市政建设环保局，林州市住房城乡建设主管部门：</w:t>
      </w:r>
    </w:p>
    <w:p>
      <w:pPr>
        <w:pStyle w:val="3"/>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3"/>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3"/>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3"/>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3"/>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3"/>
        <w:spacing w:before="1"/>
        <w:ind w:left="1018"/>
        <w:rPr>
          <w:color w:val="auto"/>
        </w:rPr>
      </w:pPr>
      <w:r>
        <w:rPr>
          <w:color w:val="auto"/>
        </w:rPr>
        <w:t>（一）擅自设置任何审批、备案事项或者告知条件；</w:t>
      </w:r>
    </w:p>
    <w:p>
      <w:pPr>
        <w:pStyle w:val="3"/>
        <w:spacing w:before="161"/>
        <w:ind w:left="1018"/>
        <w:rPr>
          <w:color w:val="auto"/>
        </w:rPr>
      </w:pPr>
      <w:r>
        <w:rPr>
          <w:color w:val="auto"/>
        </w:rPr>
        <w:t>（二）收取没有法律法规依据的任何费用等；</w:t>
      </w:r>
    </w:p>
    <w:p>
      <w:pPr>
        <w:pStyle w:val="3"/>
        <w:spacing w:before="160"/>
        <w:ind w:left="1018"/>
        <w:rPr>
          <w:color w:val="auto"/>
        </w:rPr>
      </w:pPr>
      <w:r>
        <w:rPr>
          <w:color w:val="auto"/>
        </w:rPr>
        <w:t>（三）要求外地企业在本地区注册设立独立子公司或分公司；</w:t>
      </w:r>
    </w:p>
    <w:p>
      <w:pPr>
        <w:pStyle w:val="3"/>
        <w:spacing w:before="161"/>
        <w:ind w:left="1018"/>
        <w:rPr>
          <w:color w:val="auto"/>
        </w:rPr>
      </w:pPr>
      <w:r>
        <w:rPr>
          <w:color w:val="auto"/>
        </w:rPr>
        <w:t>（四）强制扣押外地企业和人员的相关证照资料；</w:t>
      </w:r>
    </w:p>
    <w:p>
      <w:pPr>
        <w:pStyle w:val="3"/>
        <w:spacing w:before="161" w:line="364" w:lineRule="auto"/>
        <w:ind w:right="535" w:firstLine="1050" w:firstLineChars="50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3"/>
        <w:spacing w:before="1"/>
        <w:ind w:left="1018"/>
        <w:rPr>
          <w:color w:val="auto"/>
        </w:rPr>
      </w:pPr>
      <w:r>
        <w:rPr>
          <w:color w:val="auto"/>
        </w:rPr>
        <w:t>（六）将资质资格等级作为外地企业进入本地区承揽业务的条件；</w:t>
      </w:r>
    </w:p>
    <w:p>
      <w:pPr>
        <w:pStyle w:val="3"/>
        <w:spacing w:before="161"/>
        <w:ind w:left="1018"/>
        <w:rPr>
          <w:color w:val="auto"/>
        </w:rPr>
      </w:pPr>
      <w:r>
        <w:rPr>
          <w:color w:val="auto"/>
        </w:rPr>
        <w:t>（七）以本地区承揽工程业绩、本地区获奖情况作为企业进入本地市场条件；</w:t>
      </w:r>
    </w:p>
    <w:p>
      <w:pPr>
        <w:pStyle w:val="3"/>
        <w:spacing w:before="160"/>
        <w:ind w:left="1018"/>
        <w:rPr>
          <w:color w:val="auto"/>
        </w:rPr>
      </w:pPr>
      <w:r>
        <w:rPr>
          <w:color w:val="auto"/>
        </w:rPr>
        <w:t>（八）要求企业法定代表人到场办理入省（市）手续；</w:t>
      </w:r>
    </w:p>
    <w:p>
      <w:pPr>
        <w:pStyle w:val="3"/>
        <w:spacing w:before="161"/>
        <w:ind w:left="1018"/>
        <w:rPr>
          <w:color w:val="auto"/>
        </w:rPr>
      </w:pPr>
      <w:r>
        <w:rPr>
          <w:color w:val="auto"/>
        </w:rPr>
        <w:t>（九）其他妨碍企业自主经营、公平竞争的行为。</w:t>
      </w:r>
    </w:p>
    <w:p>
      <w:pPr>
        <w:pStyle w:val="3"/>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3"/>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3"/>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3"/>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3"/>
        <w:spacing w:before="1" w:line="364" w:lineRule="auto"/>
        <w:ind w:right="532" w:firstLine="719"/>
        <w:jc w:val="both"/>
        <w:rPr>
          <w:color w:val="auto"/>
        </w:rPr>
      </w:pPr>
      <w:r>
        <w:rPr>
          <w:color w:val="auto"/>
          <w:spacing w:val="32"/>
        </w:rPr>
        <w:t xml:space="preserve">省厅举报投诉受理邮箱： </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8"/>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jc w:val="right"/>
        <w:rPr>
          <w:rFonts w:hint="eastAsia"/>
          <w:lang w:val="zh-CN" w:eastAsia="zh-CN"/>
        </w:rPr>
      </w:pPr>
      <w:r>
        <w:rPr>
          <w:rFonts w:hint="eastAsia"/>
          <w:lang w:val="zh-CN" w:eastAsia="zh-CN"/>
        </w:rPr>
        <w:drawing>
          <wp:inline distT="0" distB="0" distL="114300" distR="114300">
            <wp:extent cx="6180455" cy="8401050"/>
            <wp:effectExtent l="0" t="0" r="10795" b="0"/>
            <wp:docPr id="3" name="图片 3" descr="告知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告知函"/>
                    <pic:cNvPicPr>
                      <a:picLocks noChangeAspect="1"/>
                    </pic:cNvPicPr>
                  </pic:nvPicPr>
                  <pic:blipFill>
                    <a:blip r:embed="rId9"/>
                    <a:stretch>
                      <a:fillRect/>
                    </a:stretch>
                  </pic:blipFill>
                  <pic:spPr>
                    <a:xfrm>
                      <a:off x="0" y="0"/>
                      <a:ext cx="6180455" cy="8401050"/>
                    </a:xfrm>
                    <a:prstGeom prst="rect">
                      <a:avLst/>
                    </a:prstGeom>
                  </pic:spPr>
                </pic:pic>
              </a:graphicData>
            </a:graphic>
          </wp:inline>
        </w:drawing>
      </w:r>
    </w:p>
    <w:sectPr>
      <w:pgSz w:w="11910" w:h="16840"/>
      <w:pgMar w:top="1417" w:right="1080" w:bottom="1440"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 w:name="新宋体">
    <w:panose1 w:val="02010609030101010101"/>
    <w:charset w:val="86"/>
    <w:family w:val="auto"/>
    <w:pitch w:val="default"/>
    <w:sig w:usb0="00000283" w:usb1="288F0000" w:usb2="0000000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4"/>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唐河县昝岗乡乡村振兴产业发展项目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唐河县昝岗乡乡村振兴产业发展项目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535EFCA"/>
    <w:multiLevelType w:val="singleLevel"/>
    <w:tmpl w:val="A535EFCA"/>
    <w:lvl w:ilvl="0" w:tentative="0">
      <w:start w:val="4"/>
      <w:numFmt w:val="chineseCounting"/>
      <w:suff w:val="nothing"/>
      <w:lvlText w:val="%1、"/>
      <w:lvlJc w:val="left"/>
      <w:rPr>
        <w:rFonts w:hint="eastAsia"/>
      </w:rPr>
    </w:lvl>
  </w:abstractNum>
  <w:abstractNum w:abstractNumId="1">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2">
    <w:nsid w:val="00000011"/>
    <w:multiLevelType w:val="singleLevel"/>
    <w:tmpl w:val="00000011"/>
    <w:lvl w:ilvl="0" w:tentative="0">
      <w:start w:val="1"/>
      <w:numFmt w:val="decimal"/>
      <w:suff w:val="nothing"/>
      <w:lvlText w:val="（%1）"/>
      <w:lvlJc w:val="left"/>
    </w:lvl>
  </w:abstractNum>
  <w:abstractNum w:abstractNumId="3">
    <w:nsid w:val="00000012"/>
    <w:multiLevelType w:val="singleLevel"/>
    <w:tmpl w:val="00000012"/>
    <w:lvl w:ilvl="0" w:tentative="0">
      <w:start w:val="1"/>
      <w:numFmt w:val="decimal"/>
      <w:suff w:val="nothing"/>
      <w:lvlText w:val="（%1）"/>
      <w:lvlJc w:val="left"/>
    </w:lvl>
  </w:abstractNum>
  <w:abstractNum w:abstractNumId="4">
    <w:nsid w:val="00000015"/>
    <w:multiLevelType w:val="singleLevel"/>
    <w:tmpl w:val="00000015"/>
    <w:lvl w:ilvl="0" w:tentative="0">
      <w:start w:val="1"/>
      <w:numFmt w:val="decimal"/>
      <w:suff w:val="nothing"/>
      <w:lvlText w:val="（%1）"/>
      <w:lvlJc w:val="left"/>
    </w:lvl>
  </w:abstractNum>
  <w:abstractNum w:abstractNumId="5">
    <w:nsid w:val="00000016"/>
    <w:multiLevelType w:val="singleLevel"/>
    <w:tmpl w:val="00000016"/>
    <w:lvl w:ilvl="0" w:tentative="0">
      <w:start w:val="1"/>
      <w:numFmt w:val="decimal"/>
      <w:suff w:val="nothing"/>
      <w:lvlText w:val="%1、"/>
      <w:lvlJc w:val="left"/>
    </w:lvl>
  </w:abstractNum>
  <w:abstractNum w:abstractNumId="6">
    <w:nsid w:val="00000019"/>
    <w:multiLevelType w:val="singleLevel"/>
    <w:tmpl w:val="00000019"/>
    <w:lvl w:ilvl="0" w:tentative="0">
      <w:start w:val="1"/>
      <w:numFmt w:val="decimal"/>
      <w:suff w:val="nothing"/>
      <w:lvlText w:val="（%1）"/>
      <w:lvlJc w:val="left"/>
    </w:lvl>
  </w:abstractNum>
  <w:abstractNum w:abstractNumId="7">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5"/>
  </w:num>
  <w:num w:numId="2">
    <w:abstractNumId w:val="2"/>
  </w:num>
  <w:num w:numId="3">
    <w:abstractNumId w:val="3"/>
  </w:num>
  <w:num w:numId="4">
    <w:abstractNumId w:val="4"/>
  </w:num>
  <w:num w:numId="5">
    <w:abstractNumId w:val="6"/>
  </w:num>
  <w:num w:numId="6">
    <w:abstractNumId w:val="1"/>
  </w:num>
  <w:num w:numId="7">
    <w:abstractNumId w:val="0"/>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kyOWFhY2UyZmUzYTNlODJjOWZiMDc3Y2MwNGEwOTAifQ=="/>
  </w:docVars>
  <w:rsids>
    <w:rsidRoot w:val="00000000"/>
    <w:rsid w:val="00710E82"/>
    <w:rsid w:val="008E0C60"/>
    <w:rsid w:val="00FE1942"/>
    <w:rsid w:val="0149039A"/>
    <w:rsid w:val="01C773D1"/>
    <w:rsid w:val="01CA4D42"/>
    <w:rsid w:val="01DF713D"/>
    <w:rsid w:val="01E47C09"/>
    <w:rsid w:val="01EC20E2"/>
    <w:rsid w:val="02105DD0"/>
    <w:rsid w:val="021F7E80"/>
    <w:rsid w:val="02906F11"/>
    <w:rsid w:val="02917E56"/>
    <w:rsid w:val="02B05AF3"/>
    <w:rsid w:val="03074478"/>
    <w:rsid w:val="030A361A"/>
    <w:rsid w:val="031856ED"/>
    <w:rsid w:val="037E320E"/>
    <w:rsid w:val="03B804CE"/>
    <w:rsid w:val="03C71EFB"/>
    <w:rsid w:val="03CC5D27"/>
    <w:rsid w:val="04212517"/>
    <w:rsid w:val="043B4C5B"/>
    <w:rsid w:val="04553F6E"/>
    <w:rsid w:val="04CE66EF"/>
    <w:rsid w:val="05516106"/>
    <w:rsid w:val="055D468D"/>
    <w:rsid w:val="057661EC"/>
    <w:rsid w:val="05CD5D86"/>
    <w:rsid w:val="062108F7"/>
    <w:rsid w:val="066F1DC0"/>
    <w:rsid w:val="06BF7045"/>
    <w:rsid w:val="07011FB6"/>
    <w:rsid w:val="071018DF"/>
    <w:rsid w:val="071D20E5"/>
    <w:rsid w:val="078023DD"/>
    <w:rsid w:val="07897C63"/>
    <w:rsid w:val="08260F42"/>
    <w:rsid w:val="08793FA4"/>
    <w:rsid w:val="08B04F3D"/>
    <w:rsid w:val="08CB2FA7"/>
    <w:rsid w:val="090B10A0"/>
    <w:rsid w:val="090D65BE"/>
    <w:rsid w:val="090F532B"/>
    <w:rsid w:val="099E571B"/>
    <w:rsid w:val="09C000DC"/>
    <w:rsid w:val="0A240688"/>
    <w:rsid w:val="0A6E7AE5"/>
    <w:rsid w:val="0A9D666F"/>
    <w:rsid w:val="0AA51B26"/>
    <w:rsid w:val="0ACC30D9"/>
    <w:rsid w:val="0AE95411"/>
    <w:rsid w:val="0B393908"/>
    <w:rsid w:val="0B725406"/>
    <w:rsid w:val="0BAB4364"/>
    <w:rsid w:val="0BE6062F"/>
    <w:rsid w:val="0C292CDB"/>
    <w:rsid w:val="0C2F32F7"/>
    <w:rsid w:val="0C430B50"/>
    <w:rsid w:val="0CBF0B1F"/>
    <w:rsid w:val="0CC872A8"/>
    <w:rsid w:val="0D52231F"/>
    <w:rsid w:val="0D6B0B10"/>
    <w:rsid w:val="0D94532F"/>
    <w:rsid w:val="0DC00324"/>
    <w:rsid w:val="0DF91E0E"/>
    <w:rsid w:val="0DFC5153"/>
    <w:rsid w:val="0E1A3B33"/>
    <w:rsid w:val="0E1F54EC"/>
    <w:rsid w:val="0E356BBF"/>
    <w:rsid w:val="0E4312DC"/>
    <w:rsid w:val="0E5E1C72"/>
    <w:rsid w:val="0F2F562C"/>
    <w:rsid w:val="0F7B4AA5"/>
    <w:rsid w:val="0FB56209"/>
    <w:rsid w:val="0FDF5034"/>
    <w:rsid w:val="0FF66EF1"/>
    <w:rsid w:val="10096FFD"/>
    <w:rsid w:val="101A606C"/>
    <w:rsid w:val="107B5D70"/>
    <w:rsid w:val="10F675C6"/>
    <w:rsid w:val="11281B40"/>
    <w:rsid w:val="116457F1"/>
    <w:rsid w:val="117874CF"/>
    <w:rsid w:val="117D03A2"/>
    <w:rsid w:val="117E6780"/>
    <w:rsid w:val="118F4078"/>
    <w:rsid w:val="11A46535"/>
    <w:rsid w:val="11C42733"/>
    <w:rsid w:val="11E948E9"/>
    <w:rsid w:val="11F50B3F"/>
    <w:rsid w:val="12395E8B"/>
    <w:rsid w:val="12774E25"/>
    <w:rsid w:val="128868DB"/>
    <w:rsid w:val="12E004CC"/>
    <w:rsid w:val="12EB5610"/>
    <w:rsid w:val="130059ED"/>
    <w:rsid w:val="13385187"/>
    <w:rsid w:val="136F66CF"/>
    <w:rsid w:val="13DD188A"/>
    <w:rsid w:val="13E26EA1"/>
    <w:rsid w:val="14382F65"/>
    <w:rsid w:val="14517654"/>
    <w:rsid w:val="146401FE"/>
    <w:rsid w:val="14B66628"/>
    <w:rsid w:val="14BA7E1E"/>
    <w:rsid w:val="14E03F5A"/>
    <w:rsid w:val="15155054"/>
    <w:rsid w:val="15191E2C"/>
    <w:rsid w:val="151B6B0E"/>
    <w:rsid w:val="152E4A94"/>
    <w:rsid w:val="154871D8"/>
    <w:rsid w:val="1594241D"/>
    <w:rsid w:val="15A765F4"/>
    <w:rsid w:val="15AA1C40"/>
    <w:rsid w:val="15EE4223"/>
    <w:rsid w:val="16467E24"/>
    <w:rsid w:val="165027E8"/>
    <w:rsid w:val="165E3157"/>
    <w:rsid w:val="16A9375F"/>
    <w:rsid w:val="16E6394C"/>
    <w:rsid w:val="17343EB7"/>
    <w:rsid w:val="17377504"/>
    <w:rsid w:val="17467FB8"/>
    <w:rsid w:val="17A315A4"/>
    <w:rsid w:val="17B62B1E"/>
    <w:rsid w:val="17E01949"/>
    <w:rsid w:val="17E928DD"/>
    <w:rsid w:val="181810E3"/>
    <w:rsid w:val="183C18FA"/>
    <w:rsid w:val="183F48C2"/>
    <w:rsid w:val="18497A67"/>
    <w:rsid w:val="18585984"/>
    <w:rsid w:val="188D1AD1"/>
    <w:rsid w:val="18DD16A5"/>
    <w:rsid w:val="190D35BA"/>
    <w:rsid w:val="192F3F45"/>
    <w:rsid w:val="197C4F53"/>
    <w:rsid w:val="19B446D1"/>
    <w:rsid w:val="19CE6735"/>
    <w:rsid w:val="19D76D7C"/>
    <w:rsid w:val="19FE07AD"/>
    <w:rsid w:val="1A271AB1"/>
    <w:rsid w:val="1AC31CB7"/>
    <w:rsid w:val="1ADD03C2"/>
    <w:rsid w:val="1AE77CB7"/>
    <w:rsid w:val="1B140288"/>
    <w:rsid w:val="1B2D30F7"/>
    <w:rsid w:val="1B7A009C"/>
    <w:rsid w:val="1B7C7C0C"/>
    <w:rsid w:val="1B8E56A2"/>
    <w:rsid w:val="1BA333BA"/>
    <w:rsid w:val="1BB92278"/>
    <w:rsid w:val="1BBD6B0A"/>
    <w:rsid w:val="1C054074"/>
    <w:rsid w:val="1C454471"/>
    <w:rsid w:val="1C5E596F"/>
    <w:rsid w:val="1C626DD1"/>
    <w:rsid w:val="1C654B13"/>
    <w:rsid w:val="1C931EA4"/>
    <w:rsid w:val="1CD53A47"/>
    <w:rsid w:val="1CD6467C"/>
    <w:rsid w:val="1D417C5F"/>
    <w:rsid w:val="1D5A219E"/>
    <w:rsid w:val="1D9C616E"/>
    <w:rsid w:val="1DCF0496"/>
    <w:rsid w:val="1E503D12"/>
    <w:rsid w:val="1E8C2412"/>
    <w:rsid w:val="1F242A63"/>
    <w:rsid w:val="1F4E7AE0"/>
    <w:rsid w:val="1F5E41C7"/>
    <w:rsid w:val="1F6C4B85"/>
    <w:rsid w:val="204C04C4"/>
    <w:rsid w:val="20691C80"/>
    <w:rsid w:val="20D455FD"/>
    <w:rsid w:val="21016F40"/>
    <w:rsid w:val="211F5E02"/>
    <w:rsid w:val="21742E3A"/>
    <w:rsid w:val="217D46AD"/>
    <w:rsid w:val="21B87493"/>
    <w:rsid w:val="21C2502F"/>
    <w:rsid w:val="22095ED5"/>
    <w:rsid w:val="221768AF"/>
    <w:rsid w:val="22656D3C"/>
    <w:rsid w:val="22C00CF5"/>
    <w:rsid w:val="22C97BAA"/>
    <w:rsid w:val="230B4487"/>
    <w:rsid w:val="23244062"/>
    <w:rsid w:val="23322807"/>
    <w:rsid w:val="23AA26DF"/>
    <w:rsid w:val="23D92C08"/>
    <w:rsid w:val="243948BB"/>
    <w:rsid w:val="244866A5"/>
    <w:rsid w:val="244D0366"/>
    <w:rsid w:val="24C31057"/>
    <w:rsid w:val="24F5557D"/>
    <w:rsid w:val="251F61A7"/>
    <w:rsid w:val="2524556B"/>
    <w:rsid w:val="253454E6"/>
    <w:rsid w:val="254E25E8"/>
    <w:rsid w:val="26011A9E"/>
    <w:rsid w:val="26091D60"/>
    <w:rsid w:val="26AB75C6"/>
    <w:rsid w:val="26D22ABE"/>
    <w:rsid w:val="26FB67A0"/>
    <w:rsid w:val="27211BDC"/>
    <w:rsid w:val="27942908"/>
    <w:rsid w:val="27B34984"/>
    <w:rsid w:val="27EA7D61"/>
    <w:rsid w:val="27F21951"/>
    <w:rsid w:val="27FC27CF"/>
    <w:rsid w:val="27FD20A3"/>
    <w:rsid w:val="280E42B1"/>
    <w:rsid w:val="287C121A"/>
    <w:rsid w:val="2887771E"/>
    <w:rsid w:val="28915180"/>
    <w:rsid w:val="28936755"/>
    <w:rsid w:val="28AB6DE9"/>
    <w:rsid w:val="28BA0971"/>
    <w:rsid w:val="292B46A4"/>
    <w:rsid w:val="29567CBD"/>
    <w:rsid w:val="29863660"/>
    <w:rsid w:val="29AC3E9C"/>
    <w:rsid w:val="2A1C1510"/>
    <w:rsid w:val="2A2F70CB"/>
    <w:rsid w:val="2A44220C"/>
    <w:rsid w:val="2A4D10C0"/>
    <w:rsid w:val="2A513C53"/>
    <w:rsid w:val="2A944F41"/>
    <w:rsid w:val="2AE31A25"/>
    <w:rsid w:val="2AE5579D"/>
    <w:rsid w:val="2B395781"/>
    <w:rsid w:val="2B406E77"/>
    <w:rsid w:val="2B6162ED"/>
    <w:rsid w:val="2B973590"/>
    <w:rsid w:val="2B980A61"/>
    <w:rsid w:val="2C460866"/>
    <w:rsid w:val="2C9F3729"/>
    <w:rsid w:val="2CA62D0A"/>
    <w:rsid w:val="2CAF69EA"/>
    <w:rsid w:val="2CDE6947"/>
    <w:rsid w:val="2D11683F"/>
    <w:rsid w:val="2D1F486A"/>
    <w:rsid w:val="2D214A86"/>
    <w:rsid w:val="2D55028C"/>
    <w:rsid w:val="2E093550"/>
    <w:rsid w:val="2E1910A5"/>
    <w:rsid w:val="2E260E45"/>
    <w:rsid w:val="2E334A71"/>
    <w:rsid w:val="2E3A7BAD"/>
    <w:rsid w:val="2E4E5407"/>
    <w:rsid w:val="2EA66FF1"/>
    <w:rsid w:val="2EE10029"/>
    <w:rsid w:val="2EE61BB9"/>
    <w:rsid w:val="2F002EDD"/>
    <w:rsid w:val="2F191EB9"/>
    <w:rsid w:val="2F4E4940"/>
    <w:rsid w:val="2F94153F"/>
    <w:rsid w:val="2FB76FDC"/>
    <w:rsid w:val="2FCA0BBC"/>
    <w:rsid w:val="2FCA6D0F"/>
    <w:rsid w:val="30274D50"/>
    <w:rsid w:val="306C7DC6"/>
    <w:rsid w:val="3072522F"/>
    <w:rsid w:val="307A6987"/>
    <w:rsid w:val="3082583C"/>
    <w:rsid w:val="30A92DC8"/>
    <w:rsid w:val="30B73737"/>
    <w:rsid w:val="30E16A06"/>
    <w:rsid w:val="312D14E5"/>
    <w:rsid w:val="31501CF3"/>
    <w:rsid w:val="31850012"/>
    <w:rsid w:val="31945827"/>
    <w:rsid w:val="319C46DB"/>
    <w:rsid w:val="31A07466"/>
    <w:rsid w:val="31EF784A"/>
    <w:rsid w:val="32286157"/>
    <w:rsid w:val="32625925"/>
    <w:rsid w:val="32915FF8"/>
    <w:rsid w:val="32A40EA1"/>
    <w:rsid w:val="32ED6CBC"/>
    <w:rsid w:val="33025085"/>
    <w:rsid w:val="330469DC"/>
    <w:rsid w:val="332E6A40"/>
    <w:rsid w:val="3355548A"/>
    <w:rsid w:val="336E4E5A"/>
    <w:rsid w:val="337150BC"/>
    <w:rsid w:val="33797BAA"/>
    <w:rsid w:val="340D18C0"/>
    <w:rsid w:val="34144B2B"/>
    <w:rsid w:val="34EC63F1"/>
    <w:rsid w:val="34F53267"/>
    <w:rsid w:val="35332511"/>
    <w:rsid w:val="358562DD"/>
    <w:rsid w:val="35C214D6"/>
    <w:rsid w:val="3633334C"/>
    <w:rsid w:val="369260AD"/>
    <w:rsid w:val="36EF01B4"/>
    <w:rsid w:val="36F65259"/>
    <w:rsid w:val="36FF3742"/>
    <w:rsid w:val="37074CED"/>
    <w:rsid w:val="371436B9"/>
    <w:rsid w:val="3718735B"/>
    <w:rsid w:val="37271D49"/>
    <w:rsid w:val="37357164"/>
    <w:rsid w:val="37405600"/>
    <w:rsid w:val="379A346B"/>
    <w:rsid w:val="37A21963"/>
    <w:rsid w:val="37A367C3"/>
    <w:rsid w:val="37A97B52"/>
    <w:rsid w:val="3865611B"/>
    <w:rsid w:val="38A3781B"/>
    <w:rsid w:val="39072D82"/>
    <w:rsid w:val="390D4C7D"/>
    <w:rsid w:val="39241B86"/>
    <w:rsid w:val="39CB4D94"/>
    <w:rsid w:val="39CD3978"/>
    <w:rsid w:val="39CE38A0"/>
    <w:rsid w:val="3A2D05C6"/>
    <w:rsid w:val="3A461688"/>
    <w:rsid w:val="3A4A4173"/>
    <w:rsid w:val="3A643816"/>
    <w:rsid w:val="3A647D60"/>
    <w:rsid w:val="3A72247D"/>
    <w:rsid w:val="3A742699"/>
    <w:rsid w:val="3AA60379"/>
    <w:rsid w:val="3AB6680E"/>
    <w:rsid w:val="3AC30802"/>
    <w:rsid w:val="3BCB3B36"/>
    <w:rsid w:val="3BD170E3"/>
    <w:rsid w:val="3C101F4E"/>
    <w:rsid w:val="3C2B6D87"/>
    <w:rsid w:val="3C803E06"/>
    <w:rsid w:val="3C94492D"/>
    <w:rsid w:val="3CA35DC3"/>
    <w:rsid w:val="3CE84C78"/>
    <w:rsid w:val="3D634797"/>
    <w:rsid w:val="3D897C60"/>
    <w:rsid w:val="3DDF7E2A"/>
    <w:rsid w:val="3E636CAD"/>
    <w:rsid w:val="3E7871A0"/>
    <w:rsid w:val="3EAB0654"/>
    <w:rsid w:val="3ECB0F13"/>
    <w:rsid w:val="3EED7D06"/>
    <w:rsid w:val="3F7B15A7"/>
    <w:rsid w:val="3F7F390B"/>
    <w:rsid w:val="40053A0C"/>
    <w:rsid w:val="40460634"/>
    <w:rsid w:val="408B18AC"/>
    <w:rsid w:val="40F0234E"/>
    <w:rsid w:val="40F328E0"/>
    <w:rsid w:val="40FC6F44"/>
    <w:rsid w:val="415519C2"/>
    <w:rsid w:val="41797FF3"/>
    <w:rsid w:val="417D2D3B"/>
    <w:rsid w:val="41A75102"/>
    <w:rsid w:val="41FB6FC0"/>
    <w:rsid w:val="426B68F2"/>
    <w:rsid w:val="42B75819"/>
    <w:rsid w:val="430F11B1"/>
    <w:rsid w:val="43482915"/>
    <w:rsid w:val="435D4053"/>
    <w:rsid w:val="43762FDE"/>
    <w:rsid w:val="43DD305D"/>
    <w:rsid w:val="44476729"/>
    <w:rsid w:val="44782D86"/>
    <w:rsid w:val="44803468"/>
    <w:rsid w:val="44913C79"/>
    <w:rsid w:val="44986F84"/>
    <w:rsid w:val="44C24DAC"/>
    <w:rsid w:val="44FF0DB1"/>
    <w:rsid w:val="45094B04"/>
    <w:rsid w:val="4532272F"/>
    <w:rsid w:val="454C6909"/>
    <w:rsid w:val="45835E86"/>
    <w:rsid w:val="4585575A"/>
    <w:rsid w:val="45A858ED"/>
    <w:rsid w:val="45BB4BD4"/>
    <w:rsid w:val="45E22BAD"/>
    <w:rsid w:val="463A0490"/>
    <w:rsid w:val="467F2785"/>
    <w:rsid w:val="46A2233C"/>
    <w:rsid w:val="46FC1A4C"/>
    <w:rsid w:val="46FE3A16"/>
    <w:rsid w:val="471843AC"/>
    <w:rsid w:val="47757CD5"/>
    <w:rsid w:val="47AA76FA"/>
    <w:rsid w:val="47CA149D"/>
    <w:rsid w:val="47E425E8"/>
    <w:rsid w:val="47ED3A8B"/>
    <w:rsid w:val="482F5E51"/>
    <w:rsid w:val="48B56357"/>
    <w:rsid w:val="48B71CDF"/>
    <w:rsid w:val="48B75074"/>
    <w:rsid w:val="4900334A"/>
    <w:rsid w:val="495711BC"/>
    <w:rsid w:val="4968786D"/>
    <w:rsid w:val="49FC7FB5"/>
    <w:rsid w:val="4AC72371"/>
    <w:rsid w:val="4ACF1226"/>
    <w:rsid w:val="4AE20F59"/>
    <w:rsid w:val="4B0709C0"/>
    <w:rsid w:val="4B2B2900"/>
    <w:rsid w:val="4B2B35CB"/>
    <w:rsid w:val="4B857608"/>
    <w:rsid w:val="4BB9400E"/>
    <w:rsid w:val="4C211991"/>
    <w:rsid w:val="4C215AB1"/>
    <w:rsid w:val="4C63431C"/>
    <w:rsid w:val="4C6D6F48"/>
    <w:rsid w:val="4C6F3A23"/>
    <w:rsid w:val="4C951AAA"/>
    <w:rsid w:val="4C9777EB"/>
    <w:rsid w:val="4C9E35A6"/>
    <w:rsid w:val="4CD27B31"/>
    <w:rsid w:val="4CE6440D"/>
    <w:rsid w:val="4CF874F8"/>
    <w:rsid w:val="4D090380"/>
    <w:rsid w:val="4D4952BF"/>
    <w:rsid w:val="4D901140"/>
    <w:rsid w:val="4E013DEC"/>
    <w:rsid w:val="4E477E4B"/>
    <w:rsid w:val="4E7F7D86"/>
    <w:rsid w:val="4EBE09A2"/>
    <w:rsid w:val="4ED212E5"/>
    <w:rsid w:val="4EDE6966"/>
    <w:rsid w:val="4EE148F5"/>
    <w:rsid w:val="4EEC05F8"/>
    <w:rsid w:val="4F06759F"/>
    <w:rsid w:val="4F7B372A"/>
    <w:rsid w:val="505857BC"/>
    <w:rsid w:val="50D779E5"/>
    <w:rsid w:val="511B51C5"/>
    <w:rsid w:val="513636F5"/>
    <w:rsid w:val="514F4E6E"/>
    <w:rsid w:val="51B01DB1"/>
    <w:rsid w:val="51B12DBD"/>
    <w:rsid w:val="51FE0D6E"/>
    <w:rsid w:val="52020133"/>
    <w:rsid w:val="52224331"/>
    <w:rsid w:val="52244F2D"/>
    <w:rsid w:val="52527FCE"/>
    <w:rsid w:val="528A1B8D"/>
    <w:rsid w:val="52E361B6"/>
    <w:rsid w:val="52F26C48"/>
    <w:rsid w:val="534053B7"/>
    <w:rsid w:val="53683689"/>
    <w:rsid w:val="537806AC"/>
    <w:rsid w:val="53C90F08"/>
    <w:rsid w:val="53E54848"/>
    <w:rsid w:val="540B32CF"/>
    <w:rsid w:val="54311393"/>
    <w:rsid w:val="543A1E06"/>
    <w:rsid w:val="54587433"/>
    <w:rsid w:val="54681529"/>
    <w:rsid w:val="54A51975"/>
    <w:rsid w:val="54AB2576"/>
    <w:rsid w:val="54BD0350"/>
    <w:rsid w:val="54E26510"/>
    <w:rsid w:val="550146D2"/>
    <w:rsid w:val="55805F3E"/>
    <w:rsid w:val="5588094F"/>
    <w:rsid w:val="559918C3"/>
    <w:rsid w:val="55AC0AE1"/>
    <w:rsid w:val="55DB6699"/>
    <w:rsid w:val="55EC16BA"/>
    <w:rsid w:val="56254FAC"/>
    <w:rsid w:val="56573C61"/>
    <w:rsid w:val="56CE3A56"/>
    <w:rsid w:val="56D7393C"/>
    <w:rsid w:val="571046EE"/>
    <w:rsid w:val="5774562F"/>
    <w:rsid w:val="577B076B"/>
    <w:rsid w:val="58096242"/>
    <w:rsid w:val="582F3AC0"/>
    <w:rsid w:val="58600A56"/>
    <w:rsid w:val="589C308F"/>
    <w:rsid w:val="58B02697"/>
    <w:rsid w:val="58E2788E"/>
    <w:rsid w:val="58EA2085"/>
    <w:rsid w:val="593E7CA2"/>
    <w:rsid w:val="594912F5"/>
    <w:rsid w:val="59736B5E"/>
    <w:rsid w:val="59934492"/>
    <w:rsid w:val="59D913C3"/>
    <w:rsid w:val="59E545C2"/>
    <w:rsid w:val="5A1D5B0A"/>
    <w:rsid w:val="5A557852"/>
    <w:rsid w:val="5AA00F2F"/>
    <w:rsid w:val="5AC70B15"/>
    <w:rsid w:val="5AD92379"/>
    <w:rsid w:val="5AF45B16"/>
    <w:rsid w:val="5B8809E0"/>
    <w:rsid w:val="5BA51D69"/>
    <w:rsid w:val="5BD40D92"/>
    <w:rsid w:val="5BD62414"/>
    <w:rsid w:val="5BD94AC9"/>
    <w:rsid w:val="5C1E58B2"/>
    <w:rsid w:val="5C8A0E89"/>
    <w:rsid w:val="5CBF2CDE"/>
    <w:rsid w:val="5CC63C7D"/>
    <w:rsid w:val="5CD54DC2"/>
    <w:rsid w:val="5CED1D24"/>
    <w:rsid w:val="5CFF599B"/>
    <w:rsid w:val="5D310D71"/>
    <w:rsid w:val="5D4C6E3D"/>
    <w:rsid w:val="5D551EE5"/>
    <w:rsid w:val="5D7C24D2"/>
    <w:rsid w:val="5DF93E7C"/>
    <w:rsid w:val="5E176D14"/>
    <w:rsid w:val="5E385608"/>
    <w:rsid w:val="5E7D46AF"/>
    <w:rsid w:val="5F066402"/>
    <w:rsid w:val="5F1D47FE"/>
    <w:rsid w:val="5F1E5230"/>
    <w:rsid w:val="5F3A7BFC"/>
    <w:rsid w:val="5F630463"/>
    <w:rsid w:val="5F8921AB"/>
    <w:rsid w:val="5FAB005C"/>
    <w:rsid w:val="5FAF18FA"/>
    <w:rsid w:val="5FB24F46"/>
    <w:rsid w:val="5FC86518"/>
    <w:rsid w:val="5FFC2665"/>
    <w:rsid w:val="602E24CA"/>
    <w:rsid w:val="604B7E61"/>
    <w:rsid w:val="607C1D25"/>
    <w:rsid w:val="609805E0"/>
    <w:rsid w:val="609D79A4"/>
    <w:rsid w:val="60B131B2"/>
    <w:rsid w:val="60C82547"/>
    <w:rsid w:val="610E43FE"/>
    <w:rsid w:val="612E4AA0"/>
    <w:rsid w:val="61A44D62"/>
    <w:rsid w:val="62251C02"/>
    <w:rsid w:val="626C14F9"/>
    <w:rsid w:val="630C0E11"/>
    <w:rsid w:val="631A20E1"/>
    <w:rsid w:val="63604CB9"/>
    <w:rsid w:val="636A1976"/>
    <w:rsid w:val="63D86709"/>
    <w:rsid w:val="63D87AEE"/>
    <w:rsid w:val="64356146"/>
    <w:rsid w:val="6474167A"/>
    <w:rsid w:val="64A5151D"/>
    <w:rsid w:val="64CB73E7"/>
    <w:rsid w:val="64ED3136"/>
    <w:rsid w:val="650D67AB"/>
    <w:rsid w:val="655B398A"/>
    <w:rsid w:val="658749FF"/>
    <w:rsid w:val="65B3111C"/>
    <w:rsid w:val="65BC6B1F"/>
    <w:rsid w:val="65C07C91"/>
    <w:rsid w:val="65C90A5C"/>
    <w:rsid w:val="65D73958"/>
    <w:rsid w:val="6605398E"/>
    <w:rsid w:val="66E91188"/>
    <w:rsid w:val="67B627BC"/>
    <w:rsid w:val="67EF064F"/>
    <w:rsid w:val="682B7F8C"/>
    <w:rsid w:val="685F7C35"/>
    <w:rsid w:val="68BF709D"/>
    <w:rsid w:val="68D0643D"/>
    <w:rsid w:val="68D7170C"/>
    <w:rsid w:val="68D80676"/>
    <w:rsid w:val="68DE0B5A"/>
    <w:rsid w:val="69033469"/>
    <w:rsid w:val="69077737"/>
    <w:rsid w:val="69087F0D"/>
    <w:rsid w:val="6917406C"/>
    <w:rsid w:val="692218F0"/>
    <w:rsid w:val="692F585A"/>
    <w:rsid w:val="695B21AB"/>
    <w:rsid w:val="696A41E7"/>
    <w:rsid w:val="6970482D"/>
    <w:rsid w:val="699102C2"/>
    <w:rsid w:val="69967687"/>
    <w:rsid w:val="69E06B54"/>
    <w:rsid w:val="6A003194"/>
    <w:rsid w:val="6A2133F4"/>
    <w:rsid w:val="6A266D8A"/>
    <w:rsid w:val="6A8B4D12"/>
    <w:rsid w:val="6A9C2A7B"/>
    <w:rsid w:val="6AC36259"/>
    <w:rsid w:val="6AD35AF7"/>
    <w:rsid w:val="6B4A24D7"/>
    <w:rsid w:val="6B583911"/>
    <w:rsid w:val="6B757229"/>
    <w:rsid w:val="6B8F0831"/>
    <w:rsid w:val="6BF306DC"/>
    <w:rsid w:val="6BFB5EC7"/>
    <w:rsid w:val="6C044D7B"/>
    <w:rsid w:val="6C4F33A4"/>
    <w:rsid w:val="6C81017A"/>
    <w:rsid w:val="6CEB00DF"/>
    <w:rsid w:val="6CFA617E"/>
    <w:rsid w:val="6D066B1B"/>
    <w:rsid w:val="6D613A27"/>
    <w:rsid w:val="6D717BC2"/>
    <w:rsid w:val="6D77332B"/>
    <w:rsid w:val="6D800432"/>
    <w:rsid w:val="6DF5300B"/>
    <w:rsid w:val="6E166FE8"/>
    <w:rsid w:val="6E2E7E40"/>
    <w:rsid w:val="6E5D50E6"/>
    <w:rsid w:val="6E802F39"/>
    <w:rsid w:val="6E980156"/>
    <w:rsid w:val="6E9C545B"/>
    <w:rsid w:val="6F0D2199"/>
    <w:rsid w:val="6F1352D6"/>
    <w:rsid w:val="6F1C4459"/>
    <w:rsid w:val="6F2179F2"/>
    <w:rsid w:val="6F23376B"/>
    <w:rsid w:val="70413805"/>
    <w:rsid w:val="70585696"/>
    <w:rsid w:val="707D6EAA"/>
    <w:rsid w:val="707F70C6"/>
    <w:rsid w:val="70AB3A18"/>
    <w:rsid w:val="71526589"/>
    <w:rsid w:val="71AF4EEA"/>
    <w:rsid w:val="71D6119C"/>
    <w:rsid w:val="722F1B2A"/>
    <w:rsid w:val="724D00A1"/>
    <w:rsid w:val="726227FC"/>
    <w:rsid w:val="726E5E8A"/>
    <w:rsid w:val="73247AB1"/>
    <w:rsid w:val="73612AB3"/>
    <w:rsid w:val="736C572D"/>
    <w:rsid w:val="73BB169B"/>
    <w:rsid w:val="73C03C7E"/>
    <w:rsid w:val="73CF2113"/>
    <w:rsid w:val="73D74B24"/>
    <w:rsid w:val="74365CEE"/>
    <w:rsid w:val="7447614D"/>
    <w:rsid w:val="746C6120"/>
    <w:rsid w:val="749B262E"/>
    <w:rsid w:val="74EE481B"/>
    <w:rsid w:val="74FB2A94"/>
    <w:rsid w:val="750162FC"/>
    <w:rsid w:val="75232716"/>
    <w:rsid w:val="754F41F8"/>
    <w:rsid w:val="755F74C6"/>
    <w:rsid w:val="757271FA"/>
    <w:rsid w:val="762F50EB"/>
    <w:rsid w:val="763B3A90"/>
    <w:rsid w:val="764F7806"/>
    <w:rsid w:val="769764FC"/>
    <w:rsid w:val="76E43A02"/>
    <w:rsid w:val="77166A61"/>
    <w:rsid w:val="77204A34"/>
    <w:rsid w:val="773B6796"/>
    <w:rsid w:val="77572DB1"/>
    <w:rsid w:val="778C41E0"/>
    <w:rsid w:val="779C0467"/>
    <w:rsid w:val="77A02069"/>
    <w:rsid w:val="77B5517C"/>
    <w:rsid w:val="78210451"/>
    <w:rsid w:val="782F3180"/>
    <w:rsid w:val="785E1CB7"/>
    <w:rsid w:val="786C17B3"/>
    <w:rsid w:val="7872306D"/>
    <w:rsid w:val="788A621A"/>
    <w:rsid w:val="78B4504A"/>
    <w:rsid w:val="790466A9"/>
    <w:rsid w:val="791F1447"/>
    <w:rsid w:val="792151BF"/>
    <w:rsid w:val="794E1F94"/>
    <w:rsid w:val="798647BC"/>
    <w:rsid w:val="79AF69BA"/>
    <w:rsid w:val="79B07F8E"/>
    <w:rsid w:val="79E57AF6"/>
    <w:rsid w:val="7A392094"/>
    <w:rsid w:val="7A434CC1"/>
    <w:rsid w:val="7A4D1FE3"/>
    <w:rsid w:val="7A5C5D83"/>
    <w:rsid w:val="7AC676A0"/>
    <w:rsid w:val="7ACC3889"/>
    <w:rsid w:val="7B1D4882"/>
    <w:rsid w:val="7B9E4654"/>
    <w:rsid w:val="7BCB51C2"/>
    <w:rsid w:val="7BEC5F56"/>
    <w:rsid w:val="7BFC781D"/>
    <w:rsid w:val="7C047AE7"/>
    <w:rsid w:val="7C536024"/>
    <w:rsid w:val="7C620B8F"/>
    <w:rsid w:val="7C727ADF"/>
    <w:rsid w:val="7C7A6862"/>
    <w:rsid w:val="7CA0464C"/>
    <w:rsid w:val="7CAA7279"/>
    <w:rsid w:val="7CFE6908"/>
    <w:rsid w:val="7D0821F2"/>
    <w:rsid w:val="7D172435"/>
    <w:rsid w:val="7D627B54"/>
    <w:rsid w:val="7D8F021D"/>
    <w:rsid w:val="7EA700ED"/>
    <w:rsid w:val="7F0B7D77"/>
    <w:rsid w:val="7FFD3B64"/>
    <w:rsid w:val="7FFF168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7">
    <w:name w:val="heading 1"/>
    <w:basedOn w:val="1"/>
    <w:next w:val="1"/>
    <w:link w:val="50"/>
    <w:autoRedefine/>
    <w:qFormat/>
    <w:uiPriority w:val="0"/>
    <w:pPr>
      <w:spacing w:before="17"/>
      <w:ind w:right="854"/>
      <w:jc w:val="center"/>
      <w:outlineLvl w:val="1"/>
    </w:pPr>
    <w:rPr>
      <w:rFonts w:eastAsia="仿宋"/>
      <w:kern w:val="44"/>
      <w:sz w:val="28"/>
    </w:rPr>
  </w:style>
  <w:style w:type="paragraph" w:styleId="8">
    <w:name w:val="heading 2"/>
    <w:basedOn w:val="1"/>
    <w:next w:val="1"/>
    <w:link w:val="40"/>
    <w:qFormat/>
    <w:uiPriority w:val="0"/>
    <w:pPr>
      <w:ind w:left="537" w:hanging="318"/>
      <w:outlineLvl w:val="2"/>
    </w:pPr>
    <w:rPr>
      <w:rFonts w:ascii="宋体" w:hAnsi="宋体" w:eastAsia="宋体" w:cs="宋体"/>
      <w:b/>
      <w:bCs/>
      <w:sz w:val="21"/>
      <w:szCs w:val="21"/>
      <w:lang w:val="zh-CN" w:eastAsia="zh-CN" w:bidi="zh-CN"/>
    </w:rPr>
  </w:style>
  <w:style w:type="paragraph" w:styleId="9">
    <w:name w:val="heading 3"/>
    <w:basedOn w:val="1"/>
    <w:next w:val="1"/>
    <w:qFormat/>
    <w:uiPriority w:val="0"/>
    <w:pPr>
      <w:ind w:left="538" w:right="428" w:firstLine="623"/>
      <w:outlineLvl w:val="3"/>
    </w:pPr>
    <w:rPr>
      <w:rFonts w:ascii="仿宋" w:hAnsi="仿宋" w:eastAsia="仿宋" w:cs="仿宋"/>
      <w:sz w:val="30"/>
      <w:szCs w:val="30"/>
      <w:lang w:val="zh-CN" w:eastAsia="zh-CN" w:bidi="zh-CN"/>
    </w:rPr>
  </w:style>
  <w:style w:type="paragraph" w:styleId="10">
    <w:name w:val="heading 4"/>
    <w:basedOn w:val="1"/>
    <w:next w:val="1"/>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11">
    <w:name w:val="heading 5"/>
    <w:basedOn w:val="1"/>
    <w:next w:val="1"/>
    <w:qFormat/>
    <w:uiPriority w:val="0"/>
    <w:pPr>
      <w:spacing w:before="153"/>
      <w:ind w:left="1098"/>
      <w:outlineLvl w:val="5"/>
    </w:pPr>
    <w:rPr>
      <w:rFonts w:ascii="仿宋" w:hAnsi="仿宋" w:eastAsia="仿宋" w:cs="仿宋"/>
      <w:sz w:val="28"/>
      <w:szCs w:val="28"/>
      <w:lang w:val="zh-CN" w:eastAsia="zh-CN" w:bidi="zh-CN"/>
    </w:rPr>
  </w:style>
  <w:style w:type="paragraph" w:styleId="12">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1">
    <w:name w:val="Default Paragraph Font"/>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4"/>
    <w:autoRedefine/>
    <w:qFormat/>
    <w:uiPriority w:val="0"/>
    <w:pPr>
      <w:ind w:firstLine="420" w:firstLineChars="100"/>
    </w:pPr>
  </w:style>
  <w:style w:type="paragraph" w:styleId="3">
    <w:name w:val="Body Text"/>
    <w:basedOn w:val="1"/>
    <w:next w:val="1"/>
    <w:autoRedefine/>
    <w:qFormat/>
    <w:uiPriority w:val="0"/>
    <w:rPr>
      <w:rFonts w:ascii="宋体" w:hAnsi="宋体" w:eastAsia="宋体" w:cs="宋体"/>
      <w:sz w:val="21"/>
      <w:szCs w:val="21"/>
      <w:lang w:val="zh-CN" w:eastAsia="zh-CN" w:bidi="zh-CN"/>
    </w:rPr>
  </w:style>
  <w:style w:type="paragraph" w:styleId="4">
    <w:name w:val="Body Text First Indent 2"/>
    <w:basedOn w:val="5"/>
    <w:next w:val="1"/>
    <w:qFormat/>
    <w:uiPriority w:val="0"/>
    <w:pPr>
      <w:ind w:firstLine="420" w:firstLineChars="200"/>
    </w:pPr>
  </w:style>
  <w:style w:type="paragraph" w:styleId="5">
    <w:name w:val="Body Text Indent"/>
    <w:basedOn w:val="1"/>
    <w:next w:val="6"/>
    <w:autoRedefine/>
    <w:unhideWhenUsed/>
    <w:qFormat/>
    <w:uiPriority w:val="99"/>
    <w:pPr>
      <w:spacing w:before="100" w:beforeAutospacing="1"/>
      <w:ind w:left="420" w:leftChars="200"/>
    </w:pPr>
    <w:rPr>
      <w:rFonts w:ascii="Calibri" w:hAnsi="Calibri"/>
      <w:kern w:val="0"/>
      <w:sz w:val="20"/>
      <w:szCs w:val="21"/>
    </w:rPr>
  </w:style>
  <w:style w:type="paragraph" w:styleId="6">
    <w:name w:val="envelope return"/>
    <w:basedOn w:val="1"/>
    <w:autoRedefine/>
    <w:qFormat/>
    <w:uiPriority w:val="0"/>
    <w:pPr>
      <w:snapToGrid w:val="0"/>
    </w:pPr>
    <w:rPr>
      <w:rFonts w:ascii="Arial" w:hAnsi="Arial"/>
    </w:rPr>
  </w:style>
  <w:style w:type="paragraph" w:styleId="13">
    <w:name w:val="toc 3"/>
    <w:basedOn w:val="1"/>
    <w:next w:val="1"/>
    <w:autoRedefine/>
    <w:qFormat/>
    <w:uiPriority w:val="0"/>
    <w:pPr>
      <w:ind w:left="840" w:leftChars="400"/>
    </w:pPr>
  </w:style>
  <w:style w:type="paragraph" w:styleId="14">
    <w:name w:val="footer"/>
    <w:basedOn w:val="1"/>
    <w:qFormat/>
    <w:uiPriority w:val="0"/>
    <w:pPr>
      <w:tabs>
        <w:tab w:val="center" w:pos="4153"/>
        <w:tab w:val="right" w:pos="8306"/>
      </w:tabs>
      <w:snapToGrid w:val="0"/>
      <w:jc w:val="left"/>
    </w:pPr>
    <w:rPr>
      <w:sz w:val="18"/>
    </w:rPr>
  </w:style>
  <w:style w:type="paragraph" w:styleId="15">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6">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7">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8">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qFormat/>
    <w:uiPriority w:val="0"/>
    <w:rPr>
      <w:rFonts w:hint="default" w:ascii="monospace" w:hAnsi="monospace" w:eastAsia="monospace" w:cs="monospace"/>
      <w:sz w:val="20"/>
    </w:rPr>
  </w:style>
  <w:style w:type="character" w:styleId="27">
    <w:name w:val="HTML Acronym"/>
    <w:basedOn w:val="21"/>
    <w:qFormat/>
    <w:uiPriority w:val="0"/>
  </w:style>
  <w:style w:type="character" w:styleId="28">
    <w:name w:val="HTML Variable"/>
    <w:basedOn w:val="21"/>
    <w:qFormat/>
    <w:uiPriority w:val="0"/>
  </w:style>
  <w:style w:type="character" w:styleId="29">
    <w:name w:val="Hyperlink"/>
    <w:basedOn w:val="21"/>
    <w:qFormat/>
    <w:uiPriority w:val="0"/>
    <w:rPr>
      <w:color w:val="0000FF"/>
      <w:u w:val="none"/>
    </w:rPr>
  </w:style>
  <w:style w:type="character" w:styleId="30">
    <w:name w:val="HTML Code"/>
    <w:basedOn w:val="21"/>
    <w:qFormat/>
    <w:uiPriority w:val="0"/>
    <w:rPr>
      <w:rFonts w:ascii="monospace" w:hAnsi="monospace" w:eastAsia="monospace" w:cs="monospace"/>
      <w:sz w:val="20"/>
    </w:rPr>
  </w:style>
  <w:style w:type="character" w:styleId="31">
    <w:name w:val="HTML Cite"/>
    <w:basedOn w:val="21"/>
    <w:qFormat/>
    <w:uiPriority w:val="0"/>
  </w:style>
  <w:style w:type="character" w:styleId="32">
    <w:name w:val="HTML Keyboard"/>
    <w:basedOn w:val="21"/>
    <w:qFormat/>
    <w:uiPriority w:val="0"/>
    <w:rPr>
      <w:rFonts w:hint="default" w:ascii="monospace" w:hAnsi="monospace" w:eastAsia="monospace" w:cs="monospace"/>
      <w:sz w:val="20"/>
    </w:rPr>
  </w:style>
  <w:style w:type="character" w:styleId="33">
    <w:name w:val="HTML Sample"/>
    <w:basedOn w:val="21"/>
    <w:qFormat/>
    <w:uiPriority w:val="0"/>
    <w:rPr>
      <w:rFonts w:hint="default" w:ascii="monospace" w:hAnsi="monospace" w:eastAsia="monospace" w:cs="monospace"/>
    </w:rPr>
  </w:style>
  <w:style w:type="paragraph" w:customStyle="1" w:styleId="34">
    <w:name w:val="Default"/>
    <w:next w:val="1"/>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BodyText"/>
    <w:basedOn w:val="1"/>
    <w:qFormat/>
    <w:uiPriority w:val="0"/>
    <w:pPr>
      <w:widowControl/>
      <w:spacing w:after="120" w:line="259" w:lineRule="auto"/>
      <w:jc w:val="left"/>
    </w:pPr>
    <w:rPr>
      <w:rFonts w:ascii="FuturaA Bk BT" w:hAnsi="FuturaA Bk BT" w:eastAsia="仿宋_GB2312"/>
      <w:kern w:val="0"/>
      <w:sz w:val="20"/>
      <w:szCs w:val="20"/>
    </w:rPr>
  </w:style>
  <w:style w:type="paragraph" w:customStyle="1" w:styleId="36">
    <w:name w:val="style4"/>
    <w:basedOn w:val="1"/>
    <w:next w:val="37"/>
    <w:qFormat/>
    <w:uiPriority w:val="0"/>
    <w:pPr>
      <w:widowControl/>
      <w:spacing w:before="100" w:beforeAutospacing="1" w:after="100" w:afterAutospacing="1"/>
      <w:jc w:val="left"/>
    </w:pPr>
    <w:rPr>
      <w:rFonts w:hint="eastAsia" w:ascii="宋体" w:hAnsi="宋体"/>
      <w:kern w:val="0"/>
      <w:sz w:val="18"/>
    </w:rPr>
  </w:style>
  <w:style w:type="paragraph" w:customStyle="1" w:styleId="37">
    <w:name w:val="2"/>
    <w:next w:val="1"/>
    <w:qFormat/>
    <w:uiPriority w:val="0"/>
    <w:pPr>
      <w:widowControl w:val="0"/>
      <w:jc w:val="both"/>
    </w:pPr>
    <w:rPr>
      <w:rFonts w:ascii="Times New Roman" w:hAnsi="Times New Roman" w:eastAsia="宋体" w:cs="Times New Roman"/>
      <w:sz w:val="21"/>
      <w:lang w:val="en-US" w:eastAsia="zh-CN" w:bidi="ar-SA"/>
    </w:rPr>
  </w:style>
  <w:style w:type="character" w:customStyle="1" w:styleId="38">
    <w:name w:val="标题 1 Char"/>
    <w:link w:val="7"/>
    <w:semiHidden/>
    <w:qFormat/>
    <w:uiPriority w:val="0"/>
    <w:rPr>
      <w:rFonts w:ascii="黑体" w:hAnsi="黑体" w:eastAsia="黑体" w:cs="黑体"/>
      <w:sz w:val="40"/>
      <w:szCs w:val="40"/>
      <w:lang w:val="zh-CN" w:eastAsia="zh-CN" w:bidi="zh-CN"/>
    </w:rPr>
  </w:style>
  <w:style w:type="paragraph" w:customStyle="1" w:styleId="39">
    <w:name w:val="无间隔1"/>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8"/>
    <w:semiHidden/>
    <w:qFormat/>
    <w:uiPriority w:val="0"/>
    <w:rPr>
      <w:rFonts w:ascii="宋体" w:hAnsi="宋体" w:eastAsia="宋体" w:cs="宋体"/>
      <w:b/>
      <w:bCs/>
      <w:sz w:val="21"/>
      <w:szCs w:val="21"/>
      <w:lang w:val="zh-CN" w:eastAsia="zh-CN" w:bidi="zh-CN"/>
    </w:rPr>
  </w:style>
  <w:style w:type="paragraph" w:customStyle="1" w:styleId="41">
    <w:name w:val="Body Text Indent"/>
    <w:basedOn w:val="1"/>
    <w:qFormat/>
    <w:uiPriority w:val="0"/>
    <w:pPr>
      <w:ind w:left="2481" w:hanging="2481" w:hangingChars="700"/>
    </w:pPr>
    <w:rPr>
      <w:rFonts w:ascii="宋体" w:hAnsi="宋体" w:eastAsia="宋体" w:cs="Times New Roman"/>
      <w:b/>
      <w:bCs/>
      <w:sz w:val="36"/>
    </w:rPr>
  </w:style>
  <w:style w:type="paragraph" w:customStyle="1" w:styleId="42">
    <w:name w:val="Normal (Web)"/>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3"/>
    <w:next w:val="44"/>
    <w:qFormat/>
    <w:uiPriority w:val="0"/>
    <w:pPr>
      <w:ind w:firstLine="420" w:firstLineChars="100"/>
    </w:pPr>
  </w:style>
  <w:style w:type="paragraph" w:customStyle="1" w:styleId="44">
    <w:name w:val="Body Text First Indent 2"/>
    <w:basedOn w:val="41"/>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qFormat/>
    <w:uiPriority w:val="0"/>
    <w:pPr>
      <w:ind w:left="220" w:hanging="530"/>
    </w:pPr>
    <w:rPr>
      <w:rFonts w:ascii="宋体" w:hAnsi="宋体" w:eastAsia="宋体" w:cs="宋体"/>
      <w:lang w:val="zh-CN" w:eastAsia="zh-CN" w:bidi="zh-CN"/>
    </w:rPr>
  </w:style>
  <w:style w:type="paragraph" w:customStyle="1" w:styleId="46">
    <w:name w:val="Table Paragraph"/>
    <w:basedOn w:val="1"/>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7"/>
    <w:semiHidden/>
    <w:qFormat/>
    <w:uiPriority w:val="0"/>
    <w:rPr>
      <w:rFonts w:eastAsia="仿宋"/>
      <w:kern w:val="44"/>
      <w:sz w:val="28"/>
    </w:rPr>
  </w:style>
  <w:style w:type="paragraph" w:customStyle="1" w:styleId="51">
    <w:name w:val="Body text|3"/>
    <w:basedOn w:val="1"/>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 w:type="character" w:customStyle="1" w:styleId="57">
    <w:name w:val="toolbarlabel2"/>
    <w:basedOn w:val="21"/>
    <w:autoRedefine/>
    <w:qFormat/>
    <w:uiPriority w:val="0"/>
  </w:style>
</w:styles>
</file>

<file path=word/_rels/document.xml.rels><?xml version="1.0" encoding="UTF-8" standalone="yes"?>
<Relationships xmlns="http://schemas.openxmlformats.org/package/2006/relationships"><Relationship Id="rId9" Type="http://schemas.openxmlformats.org/officeDocument/2006/relationships/image" Target="media/image1.jpe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140</Pages>
  <Words>27567</Words>
  <Characters>29755</Characters>
  <Lines>1</Lines>
  <Paragraphs>1</Paragraphs>
  <TotalTime>16</TotalTime>
  <ScaleCrop>false</ScaleCrop>
  <LinksUpToDate>false</LinksUpToDate>
  <CharactersWithSpaces>31032</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2023-03-22T07:42:00Z</cp:lastPrinted>
  <dcterms:modified xsi:type="dcterms:W3CDTF">2023-12-21T08:18:07Z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2052-12.1.0.16120</vt:lpwstr>
  </property>
  <property fmtid="{D5CDD505-2E9C-101B-9397-08002B2CF9AE}" pid="6" name="ICV">
    <vt:lpwstr>8C04E7B4EB9440EEA76004E32AE818D8</vt:lpwstr>
  </property>
</Properties>
</file>