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56"/>
          <w:lang w:eastAsia="zh-CN"/>
        </w:rPr>
      </w:pPr>
    </w:p>
    <w:p>
      <w:pPr>
        <w:jc w:val="center"/>
        <w:rPr>
          <w:rFonts w:hint="eastAsia" w:eastAsia="宋体"/>
          <w:sz w:val="52"/>
          <w:szCs w:val="72"/>
          <w:lang w:eastAsia="zh-CN"/>
        </w:rPr>
      </w:pPr>
      <w:r>
        <w:rPr>
          <w:rFonts w:hint="eastAsia"/>
          <w:b/>
          <w:bCs/>
          <w:sz w:val="52"/>
          <w:szCs w:val="72"/>
          <w:lang w:eastAsia="zh-CN"/>
        </w:rPr>
        <w:drawing>
          <wp:inline distT="0" distB="0" distL="114300" distR="114300">
            <wp:extent cx="5867400" cy="8293100"/>
            <wp:effectExtent l="0" t="0" r="0" b="12700"/>
            <wp:docPr id="1" name="图片 1" descr="SKM_2872312271213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_28723122712131_00"/>
                    <pic:cNvPicPr>
                      <a:picLocks noChangeAspect="1"/>
                    </pic:cNvPicPr>
                  </pic:nvPicPr>
                  <pic:blipFill>
                    <a:blip r:embed="rId5"/>
                    <a:stretch>
                      <a:fillRect/>
                    </a:stretch>
                  </pic:blipFill>
                  <pic:spPr>
                    <a:xfrm>
                      <a:off x="0" y="0"/>
                      <a:ext cx="5867400" cy="8293100"/>
                    </a:xfrm>
                    <a:prstGeom prst="rect">
                      <a:avLst/>
                    </a:prstGeom>
                  </pic:spPr>
                </pic:pic>
              </a:graphicData>
            </a:graphic>
          </wp:inline>
        </w:drawing>
      </w:r>
      <w:r>
        <w:rPr>
          <w:rFonts w:hint="eastAsia"/>
          <w:b/>
          <w:bCs/>
          <w:sz w:val="52"/>
          <w:szCs w:val="72"/>
          <w:lang w:eastAsia="zh-CN"/>
        </w:rPr>
        <w:t>社旗县教育体育局社旗县县直第二幼儿园厕所工程项目</w:t>
      </w:r>
    </w:p>
    <w:p>
      <w:pPr>
        <w:jc w:val="center"/>
        <w:rPr>
          <w:sz w:val="28"/>
          <w:szCs w:val="28"/>
        </w:rPr>
      </w:pPr>
    </w:p>
    <w:p>
      <w:pPr>
        <w:pStyle w:val="2"/>
        <w:rPr>
          <w:sz w:val="28"/>
          <w:szCs w:val="28"/>
        </w:rPr>
      </w:pPr>
    </w:p>
    <w:p>
      <w:pPr>
        <w:rPr>
          <w:sz w:val="28"/>
          <w:szCs w:val="28"/>
        </w:rPr>
      </w:pPr>
    </w:p>
    <w:p>
      <w:pPr>
        <w:pStyle w:val="2"/>
        <w:rPr>
          <w:sz w:val="28"/>
          <w:szCs w:val="28"/>
        </w:rPr>
      </w:pPr>
    </w:p>
    <w:p/>
    <w:p/>
    <w:p>
      <w:pPr>
        <w:jc w:val="center"/>
        <w:rPr>
          <w:color w:val="00B0F0"/>
          <w:sz w:val="72"/>
          <w:szCs w:val="72"/>
        </w:rPr>
      </w:pPr>
      <w:r>
        <w:rPr>
          <w:rFonts w:hint="eastAsia"/>
          <w:color w:val="000000" w:themeColor="text1"/>
          <w:sz w:val="72"/>
          <w:szCs w:val="72"/>
        </w:rPr>
        <w:t>竞争性磋商文件</w:t>
      </w:r>
    </w:p>
    <w:p>
      <w:pPr>
        <w:rPr>
          <w:sz w:val="28"/>
          <w:szCs w:val="28"/>
        </w:rPr>
      </w:pPr>
    </w:p>
    <w:p>
      <w:pPr>
        <w:jc w:val="center"/>
        <w:rPr>
          <w:sz w:val="28"/>
          <w:szCs w:val="28"/>
        </w:rPr>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firstLine="210"/>
      </w:pPr>
    </w:p>
    <w:p>
      <w:pPr>
        <w:pStyle w:val="21"/>
        <w:ind w:left="0" w:leftChars="0" w:firstLine="0" w:firstLineChars="0"/>
      </w:pPr>
    </w:p>
    <w:p>
      <w:pPr>
        <w:pStyle w:val="21"/>
        <w:ind w:left="0" w:leftChars="0" w:firstLine="0" w:firstLineChars="0"/>
      </w:pPr>
    </w:p>
    <w:p>
      <w:pPr>
        <w:jc w:val="center"/>
        <w:rPr>
          <w:sz w:val="28"/>
          <w:szCs w:val="28"/>
        </w:rPr>
      </w:pPr>
    </w:p>
    <w:p>
      <w:pPr>
        <w:ind w:firstLine="1400" w:firstLineChars="500"/>
        <w:jc w:val="both"/>
        <w:rPr>
          <w:rFonts w:hint="default" w:eastAsia="宋体"/>
          <w:sz w:val="28"/>
          <w:szCs w:val="28"/>
          <w:lang w:val="en-US" w:eastAsia="zh-CN"/>
        </w:rPr>
      </w:pPr>
      <w:r>
        <w:rPr>
          <w:rFonts w:hint="eastAsia"/>
          <w:sz w:val="28"/>
          <w:szCs w:val="28"/>
        </w:rPr>
        <w:t>采</w:t>
      </w:r>
      <w:r>
        <w:rPr>
          <w:rFonts w:hint="eastAsia"/>
          <w:sz w:val="28"/>
          <w:szCs w:val="28"/>
          <w:lang w:val="en-US" w:eastAsia="zh-CN"/>
        </w:rPr>
        <w:t xml:space="preserve">   </w:t>
      </w:r>
      <w:r>
        <w:rPr>
          <w:rFonts w:hint="eastAsia"/>
          <w:sz w:val="28"/>
          <w:szCs w:val="28"/>
        </w:rPr>
        <w:t>购</w:t>
      </w:r>
      <w:r>
        <w:rPr>
          <w:rFonts w:hint="eastAsia"/>
          <w:sz w:val="28"/>
          <w:szCs w:val="28"/>
          <w:lang w:val="en-US" w:eastAsia="zh-CN"/>
        </w:rPr>
        <w:t xml:space="preserve">   </w:t>
      </w:r>
      <w:r>
        <w:rPr>
          <w:rFonts w:hint="eastAsia"/>
          <w:sz w:val="28"/>
          <w:szCs w:val="28"/>
        </w:rPr>
        <w:t>人：</w:t>
      </w:r>
      <w:r>
        <w:rPr>
          <w:rFonts w:hint="eastAsia"/>
          <w:sz w:val="28"/>
          <w:szCs w:val="28"/>
          <w:u w:val="single"/>
          <w:lang w:eastAsia="zh-CN"/>
        </w:rPr>
        <w:t>社旗县教育体育局</w:t>
      </w:r>
    </w:p>
    <w:p>
      <w:pPr>
        <w:ind w:firstLine="1400" w:firstLineChars="500"/>
        <w:jc w:val="both"/>
        <w:rPr>
          <w:rFonts w:hint="eastAsia" w:eastAsia="宋体"/>
          <w:sz w:val="28"/>
          <w:szCs w:val="28"/>
          <w:lang w:eastAsia="zh-CN"/>
        </w:rPr>
      </w:pPr>
      <w:r>
        <w:rPr>
          <w:rFonts w:hint="eastAsia"/>
          <w:sz w:val="28"/>
          <w:szCs w:val="28"/>
        </w:rPr>
        <w:t>采购代理机构：</w:t>
      </w:r>
      <w:r>
        <w:rPr>
          <w:rFonts w:hint="eastAsia"/>
          <w:sz w:val="28"/>
          <w:szCs w:val="28"/>
          <w:u w:val="single"/>
          <w:lang w:eastAsia="zh-CN"/>
        </w:rPr>
        <w:t>河南首泰工程咨询有限公司</w:t>
      </w:r>
    </w:p>
    <w:p>
      <w:pPr>
        <w:ind w:firstLine="1400" w:firstLineChars="500"/>
        <w:jc w:val="both"/>
        <w:rPr>
          <w:sz w:val="28"/>
          <w:szCs w:val="28"/>
        </w:rPr>
      </w:pPr>
      <w:r>
        <w:rPr>
          <w:rFonts w:hint="eastAsia"/>
          <w:sz w:val="28"/>
          <w:szCs w:val="28"/>
        </w:rPr>
        <w:t>日</w:t>
      </w:r>
      <w:r>
        <w:rPr>
          <w:rFonts w:hint="eastAsia"/>
          <w:sz w:val="28"/>
          <w:szCs w:val="28"/>
          <w:lang w:val="en-US" w:eastAsia="zh-CN"/>
        </w:rPr>
        <w:t xml:space="preserve">        </w:t>
      </w:r>
      <w:r>
        <w:rPr>
          <w:rFonts w:hint="eastAsia"/>
          <w:sz w:val="28"/>
          <w:szCs w:val="28"/>
        </w:rPr>
        <w:t>期：</w:t>
      </w:r>
      <w:r>
        <w:rPr>
          <w:rFonts w:hint="eastAsia"/>
          <w:sz w:val="28"/>
          <w:szCs w:val="28"/>
          <w:u w:val="single"/>
        </w:rPr>
        <w:t>二〇二</w:t>
      </w:r>
      <w:r>
        <w:rPr>
          <w:rFonts w:hint="eastAsia"/>
          <w:sz w:val="28"/>
          <w:szCs w:val="28"/>
          <w:u w:val="single"/>
          <w:lang w:eastAsia="zh-CN"/>
        </w:rPr>
        <w:t>三</w:t>
      </w:r>
      <w:r>
        <w:rPr>
          <w:rFonts w:hint="eastAsia"/>
          <w:sz w:val="28"/>
          <w:szCs w:val="28"/>
          <w:u w:val="single"/>
        </w:rPr>
        <w:t>年</w:t>
      </w:r>
      <w:r>
        <w:rPr>
          <w:rFonts w:hint="eastAsia"/>
          <w:sz w:val="28"/>
          <w:szCs w:val="28"/>
          <w:u w:val="single"/>
          <w:lang w:val="en-US" w:eastAsia="zh-CN"/>
        </w:rPr>
        <w:t>十二</w:t>
      </w:r>
      <w:r>
        <w:rPr>
          <w:rFonts w:hint="eastAsia"/>
          <w:sz w:val="28"/>
          <w:szCs w:val="28"/>
          <w:u w:val="single"/>
        </w:rPr>
        <w:t>月</w:t>
      </w: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hint="eastAsia" w:ascii="宋体" w:hAnsi="宋体"/>
          <w:sz w:val="44"/>
          <w:szCs w:val="44"/>
        </w:rPr>
      </w:pPr>
    </w:p>
    <w:p>
      <w:pPr>
        <w:pStyle w:val="38"/>
        <w:tabs>
          <w:tab w:val="right" w:leader="dot" w:pos="8788"/>
        </w:tabs>
        <w:spacing w:line="360" w:lineRule="auto"/>
        <w:jc w:val="center"/>
        <w:rPr>
          <w:rFonts w:ascii="宋体" w:hAnsi="宋体"/>
          <w:sz w:val="44"/>
          <w:szCs w:val="44"/>
        </w:rPr>
      </w:pPr>
      <w:r>
        <w:rPr>
          <w:rFonts w:hint="eastAsia" w:ascii="宋体" w:hAnsi="宋体"/>
          <w:sz w:val="44"/>
          <w:szCs w:val="44"/>
        </w:rPr>
        <w:t>目  录</w:t>
      </w:r>
    </w:p>
    <w:p>
      <w:pPr>
        <w:pStyle w:val="38"/>
        <w:tabs>
          <w:tab w:val="right" w:leader="dot" w:pos="8788"/>
        </w:tabs>
        <w:spacing w:line="360" w:lineRule="auto"/>
        <w:jc w:val="center"/>
        <w:rPr>
          <w:rFonts w:ascii="宋体" w:hAnsi="宋体"/>
          <w:sz w:val="44"/>
          <w:szCs w:val="44"/>
        </w:rPr>
      </w:pPr>
    </w:p>
    <w:p>
      <w:pPr>
        <w:pStyle w:val="17"/>
        <w:tabs>
          <w:tab w:val="right" w:leader="dot" w:pos="8778"/>
        </w:tabs>
        <w:spacing w:line="360" w:lineRule="auto"/>
        <w:rPr>
          <w:rFonts w:ascii="宋体" w:hAnsi="宋体" w:cstheme="minorBidi"/>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fldChar w:fldCharType="begin"/>
      </w:r>
      <w:r>
        <w:instrText xml:space="preserve"> HYPERLINK \l "_Toc72695356" </w:instrText>
      </w:r>
      <w:r>
        <w:fldChar w:fldCharType="separate"/>
      </w:r>
      <w:r>
        <w:rPr>
          <w:rStyle w:val="31"/>
          <w:rFonts w:hint="eastAsia" w:ascii="宋体" w:hAnsi="宋体"/>
          <w:b/>
          <w:color w:val="auto"/>
          <w:sz w:val="28"/>
          <w:szCs w:val="28"/>
        </w:rPr>
        <w:t>第一章  竞争性磋商公告</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_Toc72695356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"_Toc72695357" </w:instrText>
      </w:r>
      <w:r>
        <w:fldChar w:fldCharType="separate"/>
      </w:r>
      <w:r>
        <w:rPr>
          <w:rStyle w:val="31"/>
          <w:rFonts w:hint="eastAsia" w:ascii="宋体" w:hAnsi="宋体"/>
          <w:b/>
          <w:color w:val="auto"/>
          <w:sz w:val="28"/>
          <w:szCs w:val="28"/>
        </w:rPr>
        <w:t>第二章  响应人须知</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_Toc72695357 \h</w:instrText>
      </w:r>
      <w:r>
        <w:rPr>
          <w:rFonts w:hint="eastAsia"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"_Toc72695358" </w:instrText>
      </w:r>
      <w:r>
        <w:fldChar w:fldCharType="separate"/>
      </w:r>
      <w:r>
        <w:rPr>
          <w:rStyle w:val="31"/>
          <w:rFonts w:hint="eastAsia" w:ascii="宋体" w:hAnsi="宋体"/>
          <w:b/>
          <w:color w:val="auto"/>
          <w:sz w:val="28"/>
          <w:szCs w:val="28"/>
        </w:rPr>
        <w:t>第三章  评审办法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_Toc72695358 \h</w:instrText>
      </w:r>
      <w:r>
        <w:rPr>
          <w:rFonts w:hint="eastAsia" w:ascii="宋体" w:hAnsi="宋体"/>
          <w:sz w:val="28"/>
          <w:szCs w:val="28"/>
        </w:rPr>
        <w:fldChar w:fldCharType="separate"/>
      </w:r>
      <w:r>
        <w:rPr>
          <w:rFonts w:ascii="宋体" w:hAnsi="宋体"/>
          <w:sz w:val="28"/>
          <w:szCs w:val="28"/>
        </w:rPr>
        <w:t>23</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"_Toc72695359" </w:instrText>
      </w:r>
      <w:r>
        <w:fldChar w:fldCharType="separate"/>
      </w:r>
      <w:r>
        <w:rPr>
          <w:rStyle w:val="31"/>
          <w:rFonts w:hint="eastAsia" w:ascii="宋体" w:hAnsi="宋体"/>
          <w:b/>
          <w:color w:val="auto"/>
          <w:sz w:val="28"/>
          <w:szCs w:val="28"/>
        </w:rPr>
        <w:t>第四章  合同</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_Toc72695359 \h</w:instrText>
      </w:r>
      <w:r>
        <w:rPr>
          <w:rFonts w:hint="eastAsia" w:ascii="宋体" w:hAnsi="宋体"/>
          <w:sz w:val="28"/>
          <w:szCs w:val="28"/>
        </w:rPr>
        <w:fldChar w:fldCharType="separate"/>
      </w:r>
      <w:r>
        <w:rPr>
          <w:rFonts w:ascii="宋体" w:hAnsi="宋体"/>
          <w:sz w:val="28"/>
          <w:szCs w:val="28"/>
        </w:rPr>
        <w:t>30</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"_Toc72695360" </w:instrText>
      </w:r>
      <w:r>
        <w:fldChar w:fldCharType="separate"/>
      </w:r>
      <w:r>
        <w:rPr>
          <w:rStyle w:val="31"/>
          <w:rFonts w:hint="eastAsia" w:ascii="宋体" w:hAnsi="宋体"/>
          <w:b/>
          <w:color w:val="auto"/>
          <w:sz w:val="28"/>
          <w:szCs w:val="28"/>
        </w:rPr>
        <w:t>第五章  工程量清单</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_Toc72695360 \h</w:instrText>
      </w:r>
      <w:r>
        <w:rPr>
          <w:rFonts w:hint="eastAsia" w:ascii="宋体" w:hAnsi="宋体"/>
          <w:sz w:val="28"/>
          <w:szCs w:val="28"/>
        </w:rPr>
        <w:fldChar w:fldCharType="separate"/>
      </w:r>
      <w:r>
        <w:rPr>
          <w:rFonts w:ascii="宋体" w:hAnsi="宋体"/>
          <w:sz w:val="28"/>
          <w:szCs w:val="28"/>
        </w:rPr>
        <w:t>35</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"_Toc72695361" </w:instrText>
      </w:r>
      <w:r>
        <w:fldChar w:fldCharType="separate"/>
      </w:r>
      <w:r>
        <w:rPr>
          <w:rStyle w:val="31"/>
          <w:rFonts w:hint="eastAsia" w:ascii="宋体" w:hAnsi="宋体"/>
          <w:b/>
          <w:color w:val="auto"/>
          <w:sz w:val="28"/>
          <w:szCs w:val="28"/>
        </w:rPr>
        <w:t>第六章  图纸</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_Toc72695361 \h</w:instrText>
      </w:r>
      <w:r>
        <w:rPr>
          <w:rFonts w:hint="eastAsia" w:ascii="宋体" w:hAnsi="宋体"/>
          <w:sz w:val="28"/>
          <w:szCs w:val="28"/>
        </w:rPr>
        <w:fldChar w:fldCharType="separate"/>
      </w:r>
      <w:r>
        <w:rPr>
          <w:rFonts w:ascii="宋体" w:hAnsi="宋体"/>
          <w:sz w:val="28"/>
          <w:szCs w:val="28"/>
        </w:rPr>
        <w:t>36</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"_Toc72695362" </w:instrText>
      </w:r>
      <w:r>
        <w:fldChar w:fldCharType="separate"/>
      </w:r>
      <w:r>
        <w:rPr>
          <w:rStyle w:val="31"/>
          <w:rFonts w:hint="eastAsia" w:ascii="宋体" w:hAnsi="宋体"/>
          <w:b/>
          <w:color w:val="auto"/>
          <w:sz w:val="28"/>
          <w:szCs w:val="28"/>
        </w:rPr>
        <w:t>第七章  技术标准和要求</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_Toc72695362 \h</w:instrText>
      </w:r>
      <w:r>
        <w:rPr>
          <w:rFonts w:hint="eastAsia" w:ascii="宋体" w:hAnsi="宋体"/>
          <w:sz w:val="28"/>
          <w:szCs w:val="28"/>
        </w:rPr>
        <w:fldChar w:fldCharType="separate"/>
      </w:r>
      <w:r>
        <w:rPr>
          <w:rFonts w:ascii="宋体" w:hAnsi="宋体"/>
          <w:sz w:val="28"/>
          <w:szCs w:val="28"/>
        </w:rPr>
        <w:t>37</w:t>
      </w:r>
      <w:r>
        <w:rPr>
          <w:rFonts w:hint="eastAsia" w:ascii="宋体" w:hAnsi="宋体"/>
          <w:sz w:val="28"/>
          <w:szCs w:val="28"/>
        </w:rPr>
        <w:fldChar w:fldCharType="end"/>
      </w:r>
      <w:r>
        <w:rPr>
          <w:rFonts w:hint="eastAsia" w:ascii="宋体" w:hAnsi="宋体"/>
          <w:sz w:val="28"/>
          <w:szCs w:val="28"/>
        </w:rPr>
        <w:fldChar w:fldCharType="end"/>
      </w:r>
    </w:p>
    <w:p>
      <w:pPr>
        <w:pStyle w:val="17"/>
        <w:tabs>
          <w:tab w:val="right" w:leader="dot" w:pos="8778"/>
        </w:tabs>
        <w:spacing w:line="360" w:lineRule="auto"/>
        <w:rPr>
          <w:rFonts w:ascii="宋体" w:hAnsi="宋体" w:cstheme="minorBidi"/>
          <w:sz w:val="28"/>
          <w:szCs w:val="28"/>
        </w:rPr>
      </w:pPr>
      <w:r>
        <w:fldChar w:fldCharType="begin"/>
      </w:r>
      <w:r>
        <w:instrText xml:space="preserve"> HYPERLINK \l "_Toc72695363" </w:instrText>
      </w:r>
      <w:r>
        <w:fldChar w:fldCharType="separate"/>
      </w:r>
      <w:r>
        <w:rPr>
          <w:rStyle w:val="31"/>
          <w:rFonts w:hint="eastAsia" w:ascii="宋体" w:hAnsi="宋体"/>
          <w:b/>
          <w:color w:val="auto"/>
          <w:sz w:val="28"/>
          <w:szCs w:val="28"/>
        </w:rPr>
        <w:t>第八章  磋商响应文件格式</w:t>
      </w:r>
      <w:r>
        <w:rPr>
          <w:rFonts w:hint="eastAsia" w:ascii="宋体" w:hAnsi="宋体"/>
          <w:sz w:val="28"/>
          <w:szCs w:val="28"/>
        </w:rPr>
        <w:tab/>
      </w:r>
      <w:r>
        <w:rPr>
          <w:rFonts w:hint="eastAsia" w:ascii="宋体" w:hAnsi="宋体"/>
          <w:sz w:val="28"/>
          <w:szCs w:val="28"/>
        </w:rPr>
        <w:fldChar w:fldCharType="begin"/>
      </w:r>
      <w:r>
        <w:rPr>
          <w:rFonts w:ascii="宋体" w:hAnsi="宋体"/>
          <w:sz w:val="28"/>
          <w:szCs w:val="28"/>
        </w:rPr>
        <w:instrText xml:space="preserve">PAGEREF _Toc72695363 \h</w:instrText>
      </w:r>
      <w:r>
        <w:rPr>
          <w:rFonts w:hint="eastAsia" w:ascii="宋体" w:hAnsi="宋体"/>
          <w:sz w:val="28"/>
          <w:szCs w:val="28"/>
        </w:rPr>
        <w:fldChar w:fldCharType="separate"/>
      </w:r>
      <w:r>
        <w:rPr>
          <w:rFonts w:ascii="宋体" w:hAnsi="宋体"/>
          <w:sz w:val="28"/>
          <w:szCs w:val="28"/>
        </w:rPr>
        <w:t>38</w:t>
      </w:r>
      <w:r>
        <w:rPr>
          <w:rFonts w:hint="eastAsia" w:ascii="宋体" w:hAnsi="宋体"/>
          <w:sz w:val="28"/>
          <w:szCs w:val="28"/>
        </w:rPr>
        <w:fldChar w:fldCharType="end"/>
      </w:r>
      <w:r>
        <w:rPr>
          <w:rFonts w:hint="eastAsia" w:ascii="宋体" w:hAnsi="宋体"/>
          <w:sz w:val="28"/>
          <w:szCs w:val="28"/>
        </w:rPr>
        <w:fldChar w:fldCharType="end"/>
      </w:r>
    </w:p>
    <w:p>
      <w:pPr>
        <w:pStyle w:val="38"/>
        <w:tabs>
          <w:tab w:val="right" w:leader="dot" w:pos="8788"/>
        </w:tabs>
        <w:spacing w:line="360" w:lineRule="auto"/>
        <w:rPr>
          <w:rFonts w:ascii="宋体" w:hAnsi="宋体"/>
          <w:sz w:val="24"/>
          <w:szCs w:val="24"/>
        </w:rPr>
      </w:pPr>
      <w:r>
        <w:rPr>
          <w:rFonts w:ascii="宋体" w:hAnsi="宋体"/>
          <w:sz w:val="28"/>
          <w:szCs w:val="28"/>
        </w:rPr>
        <w:fldChar w:fldCharType="end"/>
      </w: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pStyle w:val="38"/>
        <w:tabs>
          <w:tab w:val="right" w:leader="dot" w:pos="8788"/>
        </w:tabs>
        <w:spacing w:line="360" w:lineRule="auto"/>
        <w:rPr>
          <w:rFonts w:ascii="宋体" w:hAnsi="宋体"/>
          <w:sz w:val="28"/>
          <w:szCs w:val="28"/>
        </w:rPr>
      </w:pPr>
    </w:p>
    <w:p>
      <w:pPr>
        <w:spacing w:line="360" w:lineRule="auto"/>
        <w:jc w:val="both"/>
        <w:outlineLvl w:val="0"/>
        <w:rPr>
          <w:rFonts w:hint="eastAsia"/>
          <w:b/>
          <w:sz w:val="32"/>
          <w:szCs w:val="32"/>
        </w:rPr>
      </w:pPr>
      <w:bookmarkStart w:id="0" w:name="_Toc72695356"/>
      <w:bookmarkStart w:id="1" w:name="_Toc72694684"/>
    </w:p>
    <w:p>
      <w:pPr>
        <w:spacing w:line="360" w:lineRule="auto"/>
        <w:jc w:val="center"/>
        <w:outlineLvl w:val="0"/>
        <w:rPr>
          <w:b/>
          <w:sz w:val="32"/>
          <w:szCs w:val="32"/>
        </w:rPr>
      </w:pPr>
      <w:r>
        <w:rPr>
          <w:rFonts w:hint="eastAsia"/>
          <w:b/>
          <w:sz w:val="32"/>
          <w:szCs w:val="32"/>
        </w:rPr>
        <w:t>第一章  竞争性磋商公告</w:t>
      </w:r>
      <w:bookmarkEnd w:id="0"/>
      <w:bookmarkEnd w:id="1"/>
    </w:p>
    <w:p>
      <w:pPr>
        <w:pStyle w:val="20"/>
        <w:spacing w:before="0" w:beforeAutospacing="0" w:after="0" w:afterAutospacing="0" w:line="360" w:lineRule="auto"/>
        <w:jc w:val="center"/>
        <w:rPr>
          <w:rFonts w:hint="eastAsia" w:cs="宋体"/>
          <w:b/>
          <w:bCs/>
          <w:kern w:val="2"/>
          <w:sz w:val="28"/>
          <w:szCs w:val="28"/>
          <w:lang w:eastAsia="zh-CN"/>
        </w:rPr>
      </w:pPr>
      <w:bookmarkStart w:id="2" w:name="_Toc28007"/>
      <w:bookmarkStart w:id="3" w:name="_Toc72695357"/>
      <w:bookmarkStart w:id="4" w:name="_Toc1254"/>
      <w:r>
        <w:rPr>
          <w:rFonts w:hint="eastAsia" w:cs="宋体"/>
          <w:b/>
          <w:bCs/>
          <w:kern w:val="2"/>
          <w:sz w:val="28"/>
          <w:szCs w:val="28"/>
          <w:lang w:eastAsia="zh-CN"/>
        </w:rPr>
        <w:t>社旗县教育体育局社旗县县直第二幼儿园厕所工程项目</w:t>
      </w:r>
    </w:p>
    <w:p>
      <w:pPr>
        <w:pStyle w:val="20"/>
        <w:spacing w:before="0" w:beforeAutospacing="0" w:after="0" w:afterAutospacing="0" w:line="360" w:lineRule="auto"/>
        <w:jc w:val="center"/>
        <w:rPr>
          <w:rFonts w:cs="宋体"/>
          <w:b/>
          <w:bCs/>
          <w:kern w:val="2"/>
          <w:sz w:val="24"/>
          <w:szCs w:val="24"/>
        </w:rPr>
      </w:pPr>
      <w:r>
        <w:rPr>
          <w:rFonts w:hint="eastAsia" w:cs="宋体"/>
          <w:b/>
          <w:bCs/>
          <w:kern w:val="2"/>
          <w:sz w:val="28"/>
          <w:szCs w:val="28"/>
        </w:rPr>
        <w:t>竞争性磋商公告</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项目概况：</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社旗县教育体育局社旗县县直第二幼儿园厕所工程项目的潜在供应商应在社旗县公共资源交易中心网站（http://ggzyjy.nanyang.gov.cn/SQXWeb/）获取采购文件，并于</w:t>
      </w:r>
      <w:r>
        <w:rPr>
          <w:rFonts w:hint="eastAsia" w:cs="宋体"/>
          <w:sz w:val="24"/>
          <w:szCs w:val="24"/>
          <w:highlight w:val="none"/>
          <w:shd w:val="clear" w:color="auto" w:fill="FFFFFF"/>
          <w:lang w:val="en-US" w:eastAsia="zh-CN"/>
        </w:rPr>
        <w:t xml:space="preserve">  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w:t>
      </w:r>
      <w:r>
        <w:rPr>
          <w:rFonts w:hint="eastAsia" w:cs="宋体"/>
          <w:sz w:val="24"/>
          <w:szCs w:val="24"/>
          <w:shd w:val="clear" w:color="auto" w:fill="FFFFFF"/>
          <w:lang w:eastAsia="zh-CN"/>
        </w:rPr>
        <w:t>（北京时间）前递交响应文件。本次招标采用全流程电子辅助招投标。</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一、项目基本情况</w:t>
      </w:r>
    </w:p>
    <w:p>
      <w:pPr>
        <w:pStyle w:val="20"/>
        <w:shd w:val="clear" w:color="auto" w:fill="FFFFFF"/>
        <w:snapToGrid w:val="0"/>
        <w:spacing w:before="0" w:beforeAutospacing="0" w:after="0" w:afterAutospacing="0" w:line="360" w:lineRule="auto"/>
        <w:ind w:firstLine="480" w:firstLineChars="200"/>
        <w:rPr>
          <w:rFonts w:hint="default" w:eastAsia="宋体" w:cs="宋体"/>
          <w:sz w:val="24"/>
          <w:szCs w:val="24"/>
          <w:highlight w:val="none"/>
          <w:shd w:val="clear" w:color="auto" w:fill="FFFFFF"/>
          <w:lang w:val="en-US" w:eastAsia="zh-CN"/>
        </w:rPr>
      </w:pPr>
      <w:r>
        <w:rPr>
          <w:rFonts w:hint="eastAsia" w:cs="宋体"/>
          <w:sz w:val="24"/>
          <w:szCs w:val="24"/>
          <w:shd w:val="clear" w:color="auto" w:fill="FFFFFF"/>
        </w:rPr>
        <w:t>1.项目编号</w:t>
      </w:r>
      <w:r>
        <w:rPr>
          <w:rFonts w:hint="eastAsia" w:cs="宋体"/>
          <w:sz w:val="24"/>
          <w:szCs w:val="24"/>
          <w:highlight w:val="none"/>
          <w:shd w:val="clear" w:color="auto" w:fill="FFFFFF"/>
        </w:rPr>
        <w:t>：社财采购竞争性磋商-2023-110</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2.项目名称：</w:t>
      </w:r>
      <w:r>
        <w:rPr>
          <w:rFonts w:hint="eastAsia" w:cs="宋体"/>
          <w:sz w:val="24"/>
          <w:szCs w:val="24"/>
          <w:shd w:val="clear" w:color="auto" w:fill="FFFFFF"/>
          <w:lang w:eastAsia="zh-CN"/>
        </w:rPr>
        <w:t>社旗县教育体育局社旗县县直第二幼儿园厕所工程项目</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3.采购方式：竞争性磋商</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4.预算金额：</w:t>
      </w:r>
      <w:r>
        <w:rPr>
          <w:rFonts w:hint="eastAsia" w:cs="宋体"/>
          <w:sz w:val="24"/>
          <w:szCs w:val="24"/>
          <w:highlight w:val="none"/>
          <w:shd w:val="clear" w:color="auto" w:fill="FFFFFF"/>
          <w:lang w:val="en-US" w:eastAsia="zh-CN"/>
        </w:rPr>
        <w:t xml:space="preserve">729321.66元   </w:t>
      </w:r>
    </w:p>
    <w:p>
      <w:pPr>
        <w:pStyle w:val="20"/>
        <w:shd w:val="clear" w:color="auto" w:fill="FFFFFF"/>
        <w:snapToGrid w:val="0"/>
        <w:spacing w:before="0" w:beforeAutospacing="0" w:after="0" w:afterAutospacing="0" w:line="360" w:lineRule="auto"/>
        <w:ind w:firstLine="720" w:firstLineChars="300"/>
        <w:rPr>
          <w:rFonts w:cs="宋体"/>
          <w:sz w:val="24"/>
          <w:szCs w:val="24"/>
          <w:highlight w:val="none"/>
          <w:shd w:val="clear" w:color="auto" w:fill="FFFFFF"/>
        </w:rPr>
      </w:pPr>
      <w:r>
        <w:rPr>
          <w:rFonts w:hint="eastAsia" w:cs="宋体"/>
          <w:sz w:val="24"/>
          <w:szCs w:val="24"/>
          <w:highlight w:val="none"/>
          <w:shd w:val="clear" w:color="auto" w:fill="FFFFFF"/>
          <w:lang w:eastAsia="zh-CN"/>
        </w:rPr>
        <w:t>最高限价：</w:t>
      </w:r>
      <w:r>
        <w:rPr>
          <w:rFonts w:hint="eastAsia" w:cs="宋体"/>
          <w:sz w:val="24"/>
          <w:szCs w:val="24"/>
          <w:highlight w:val="none"/>
          <w:shd w:val="clear" w:color="auto" w:fill="FFFFFF"/>
          <w:lang w:val="en-US" w:eastAsia="zh-CN"/>
        </w:rPr>
        <w:t xml:space="preserve">729321.66元    </w:t>
      </w:r>
    </w:p>
    <w:tbl>
      <w:tblPr>
        <w:tblStyle w:val="23"/>
        <w:tblW w:w="9813" w:type="dxa"/>
        <w:tblInd w:w="-33"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3"/>
        <w:gridCol w:w="1975"/>
        <w:gridCol w:w="3513"/>
        <w:gridCol w:w="1524"/>
        <w:gridCol w:w="21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6" w:hRule="atLeast"/>
        </w:trPr>
        <w:tc>
          <w:tcPr>
            <w:tcW w:w="663"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序号</w:t>
            </w:r>
          </w:p>
        </w:tc>
        <w:tc>
          <w:tcPr>
            <w:tcW w:w="1975"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包号</w:t>
            </w:r>
          </w:p>
        </w:tc>
        <w:tc>
          <w:tcPr>
            <w:tcW w:w="3513"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包名称</w:t>
            </w:r>
          </w:p>
        </w:tc>
        <w:tc>
          <w:tcPr>
            <w:tcW w:w="1524"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包预算（元）</w:t>
            </w:r>
          </w:p>
        </w:tc>
        <w:tc>
          <w:tcPr>
            <w:tcW w:w="21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rPr>
              <w:t>包最高限价（元）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5" w:hRule="atLeast"/>
        </w:trPr>
        <w:tc>
          <w:tcPr>
            <w:tcW w:w="663"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firstLine="240" w:firstLineChars="100"/>
              <w:jc w:val="left"/>
              <w:rPr>
                <w:rFonts w:cs="宋体"/>
                <w:sz w:val="24"/>
                <w:szCs w:val="24"/>
                <w:highlight w:val="none"/>
                <w:shd w:val="clear" w:color="auto" w:fill="FFFFFF"/>
              </w:rPr>
            </w:pPr>
            <w:r>
              <w:rPr>
                <w:rFonts w:hint="eastAsia" w:ascii="宋体" w:hAnsi="宋体" w:eastAsia="宋体" w:cs="宋体"/>
                <w:i w:val="0"/>
                <w:iCs w:val="0"/>
                <w:caps w:val="0"/>
                <w:color w:val="333333"/>
                <w:spacing w:val="0"/>
                <w:sz w:val="24"/>
                <w:szCs w:val="24"/>
                <w:highlight w:val="none"/>
                <w:shd w:val="clear" w:color="auto" w:fill="FFFFFF"/>
              </w:rPr>
              <w:t>1</w:t>
            </w:r>
          </w:p>
        </w:tc>
        <w:tc>
          <w:tcPr>
            <w:tcW w:w="1975"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eastAsia="宋体" w:cs="宋体"/>
                <w:sz w:val="24"/>
                <w:szCs w:val="24"/>
                <w:highlight w:val="none"/>
                <w:lang w:val="en-US" w:eastAsia="zh-CN"/>
              </w:rPr>
            </w:pPr>
            <w:r>
              <w:rPr>
                <w:rFonts w:hint="eastAsia" w:cs="宋体"/>
                <w:sz w:val="24"/>
                <w:szCs w:val="24"/>
                <w:highlight w:val="none"/>
              </w:rPr>
              <w:t>社财采购竞争性磋商-2023-110</w:t>
            </w:r>
            <w:r>
              <w:rPr>
                <w:rFonts w:hint="eastAsia" w:cs="宋体"/>
                <w:sz w:val="24"/>
                <w:szCs w:val="24"/>
                <w:highlight w:val="none"/>
                <w:lang w:val="en-US" w:eastAsia="zh-CN"/>
              </w:rPr>
              <w:t>-1</w:t>
            </w:r>
          </w:p>
        </w:tc>
        <w:tc>
          <w:tcPr>
            <w:tcW w:w="3513" w:type="dxa"/>
            <w:tcBorders>
              <w:top w:val="outset" w:color="auto" w:sz="6" w:space="0"/>
              <w:left w:val="outset" w:color="auto" w:sz="6" w:space="0"/>
              <w:bottom w:val="outset" w:color="auto" w:sz="6" w:space="0"/>
              <w:right w:val="outset" w:color="auto" w:sz="6" w:space="0"/>
            </w:tcBorders>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rightChars="0"/>
              <w:jc w:val="left"/>
              <w:rPr>
                <w:rFonts w:hint="default" w:eastAsia="宋体" w:cs="宋体"/>
                <w:sz w:val="24"/>
                <w:szCs w:val="24"/>
                <w:highlight w:val="none"/>
                <w:lang w:val="en-US" w:eastAsia="zh-CN"/>
              </w:rPr>
            </w:pPr>
            <w:r>
              <w:rPr>
                <w:rFonts w:hint="eastAsia" w:cs="宋体"/>
                <w:i w:val="0"/>
                <w:iCs w:val="0"/>
                <w:caps w:val="0"/>
                <w:color w:val="333333"/>
                <w:spacing w:val="0"/>
                <w:sz w:val="24"/>
                <w:szCs w:val="24"/>
                <w:highlight w:val="none"/>
                <w:shd w:val="clear" w:color="auto" w:fill="FFFFFF"/>
                <w:lang w:eastAsia="zh-CN"/>
              </w:rPr>
              <w:t>社旗县教育体育局社旗县县直第二幼儿园厕所工程项目一标段</w:t>
            </w:r>
          </w:p>
        </w:tc>
        <w:tc>
          <w:tcPr>
            <w:tcW w:w="1524"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hint="default" w:cs="宋体"/>
                <w:sz w:val="24"/>
                <w:szCs w:val="24"/>
                <w:highlight w:val="none"/>
                <w:lang w:val="en-US" w:eastAsia="zh-CN"/>
              </w:rPr>
            </w:pPr>
            <w:r>
              <w:rPr>
                <w:rFonts w:hint="eastAsia" w:cs="宋体"/>
                <w:sz w:val="24"/>
                <w:szCs w:val="24"/>
                <w:highlight w:val="none"/>
                <w:shd w:val="clear" w:color="auto" w:fill="FFFFFF"/>
                <w:lang w:eastAsia="zh-CN"/>
              </w:rPr>
              <w:t>729321.66</w:t>
            </w:r>
          </w:p>
        </w:tc>
        <w:tc>
          <w:tcPr>
            <w:tcW w:w="2138" w:type="dxa"/>
            <w:tcBorders>
              <w:top w:val="outset" w:color="auto" w:sz="6" w:space="0"/>
              <w:left w:val="outset" w:color="auto" w:sz="6" w:space="0"/>
              <w:bottom w:val="outset" w:color="auto" w:sz="6" w:space="0"/>
              <w:right w:val="outset" w:color="auto" w:sz="6" w:space="0"/>
            </w:tcBorders>
            <w:vAlign w:val="center"/>
          </w:tcPr>
          <w:p>
            <w:pPr>
              <w:pStyle w:val="20"/>
              <w:spacing w:before="0" w:beforeAutospacing="0" w:after="0" w:afterAutospacing="0" w:line="360" w:lineRule="auto"/>
              <w:jc w:val="center"/>
              <w:rPr>
                <w:rFonts w:cs="宋体"/>
                <w:sz w:val="24"/>
                <w:szCs w:val="24"/>
                <w:highlight w:val="none"/>
              </w:rPr>
            </w:pPr>
            <w:r>
              <w:rPr>
                <w:rFonts w:hint="eastAsia" w:cs="宋体"/>
                <w:sz w:val="24"/>
                <w:szCs w:val="24"/>
                <w:highlight w:val="none"/>
                <w:shd w:val="clear" w:color="auto" w:fill="FFFFFF"/>
                <w:lang w:eastAsia="zh-CN"/>
              </w:rPr>
              <w:t>729321.66</w:t>
            </w:r>
          </w:p>
        </w:tc>
      </w:tr>
    </w:tbl>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5、采购需求（包括但不限于标的的名称、数量、简要技术需求或服务要求等）</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5.1、采购需求：工程量清单与磋商文件内全部内容。</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5.2、标段划分：本项目划分为一个标段</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5.3、质量：合格</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5.4、工期：合同签订后20日历天内</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6、合同履行期限：合同签订后20日历天内</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7、本项目（是/否）接受联合体：否</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8、是否接受进口产品：否</w:t>
      </w:r>
    </w:p>
    <w:p>
      <w:pPr>
        <w:pStyle w:val="20"/>
        <w:keepNext w:val="0"/>
        <w:keepLines w:val="0"/>
        <w:pageBreakBefore w:val="0"/>
        <w:shd w:val="clear" w:color="auto" w:fill="FFFFFF"/>
        <w:kinsoku/>
        <w:overflowPunct/>
        <w:autoSpaceDE/>
        <w:autoSpaceDN/>
        <w:bidi w:val="0"/>
        <w:adjustRightInd/>
        <w:snapToGrid w:val="0"/>
        <w:spacing w:before="0" w:beforeAutospacing="0" w:after="0" w:afterAutospacing="0" w:line="448" w:lineRule="exact"/>
        <w:ind w:firstLine="480" w:firstLineChars="200"/>
        <w:textAlignment w:val="auto"/>
        <w:rPr>
          <w:rFonts w:hint="eastAsia" w:cs="宋体"/>
          <w:sz w:val="24"/>
          <w:szCs w:val="24"/>
          <w:shd w:val="clear" w:color="auto" w:fill="FFFFFF"/>
          <w:lang w:val="en-US" w:eastAsia="zh-CN"/>
        </w:rPr>
      </w:pPr>
      <w:r>
        <w:rPr>
          <w:rFonts w:hint="eastAsia" w:cs="宋体"/>
          <w:sz w:val="24"/>
          <w:szCs w:val="24"/>
          <w:shd w:val="clear" w:color="auto" w:fill="FFFFFF"/>
          <w:lang w:val="en-US" w:eastAsia="zh-CN"/>
        </w:rPr>
        <w:t>9、是否专门面向中小企业：是</w:t>
      </w:r>
    </w:p>
    <w:p>
      <w:pPr>
        <w:pStyle w:val="20"/>
        <w:shd w:val="clear" w:color="auto" w:fill="FFFFFF"/>
        <w:snapToGrid w:val="0"/>
        <w:spacing w:before="0" w:beforeAutospacing="0" w:after="0" w:afterAutospacing="0" w:line="360" w:lineRule="auto"/>
        <w:ind w:firstLine="482" w:firstLineChars="200"/>
        <w:rPr>
          <w:rFonts w:cs="宋体"/>
          <w:b/>
          <w:sz w:val="24"/>
          <w:szCs w:val="24"/>
        </w:rPr>
      </w:pPr>
      <w:r>
        <w:rPr>
          <w:rFonts w:hint="eastAsia" w:cs="宋体"/>
          <w:b/>
          <w:sz w:val="24"/>
          <w:szCs w:val="24"/>
        </w:rPr>
        <w:t>二、申请人资格要求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1、符合《政府采购法》第二十二条之规定；</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（1）具有独立承担民事责任的能力；</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（2）具有良好的商业信誉和健全的财务会计制度；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（3）具有履行合同所必需的设备和专业技术能力（提供承诺书，格式自拟）；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（4）有依法缴纳税收和社会保障资金的良好记录</w:t>
      </w:r>
      <w:r>
        <w:rPr>
          <w:rFonts w:hint="eastAsia" w:cs="宋体"/>
          <w:sz w:val="24"/>
          <w:szCs w:val="24"/>
          <w:shd w:val="clear" w:color="auto" w:fill="FFFFFF"/>
          <w:lang w:eastAsia="zh-CN"/>
        </w:rPr>
        <w:t>（提供近期任意</w:t>
      </w:r>
      <w:r>
        <w:rPr>
          <w:rFonts w:hint="eastAsia" w:cs="宋体"/>
          <w:sz w:val="24"/>
          <w:szCs w:val="24"/>
          <w:shd w:val="clear" w:color="auto" w:fill="FFFFFF"/>
          <w:lang w:val="en-US" w:eastAsia="zh-CN"/>
        </w:rPr>
        <w:t>1</w:t>
      </w:r>
      <w:r>
        <w:rPr>
          <w:rFonts w:hint="eastAsia" w:cs="宋体"/>
          <w:sz w:val="24"/>
          <w:szCs w:val="24"/>
          <w:shd w:val="clear" w:color="auto" w:fill="FFFFFF"/>
          <w:lang w:eastAsia="zh-CN"/>
        </w:rPr>
        <w:t>个月依法缴纳税收和社会保障资金证明材料）</w:t>
      </w:r>
      <w:r>
        <w:rPr>
          <w:rFonts w:hint="eastAsia" w:cs="宋体"/>
          <w:sz w:val="24"/>
          <w:szCs w:val="24"/>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（5）参加政府采购活动前三年内，在经营活动中没有重大违法记录（提供承诺书，格式自拟）；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（6）法律、行政法规规定的其他条件。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2.落实政府采购政策需满足的资格要求：</w:t>
      </w:r>
      <w:r>
        <w:rPr>
          <w:rFonts w:hint="eastAsia" w:cs="宋体"/>
          <w:sz w:val="24"/>
          <w:szCs w:val="24"/>
          <w:shd w:val="clear" w:color="auto" w:fill="FFFFFF"/>
          <w:lang w:eastAsia="zh-CN"/>
        </w:rPr>
        <w:t>本项目执行优先采购节能产品、环境标志产品，扶持中小企业、监狱企业、残疾人福利性单位发展政策。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3、本项目的特定资格要求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3.1独立法人资格，提供有效的营业执照；</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3.2投标人须具备</w:t>
      </w:r>
      <w:r>
        <w:rPr>
          <w:rFonts w:hint="eastAsia" w:cs="宋体"/>
          <w:sz w:val="24"/>
          <w:szCs w:val="24"/>
          <w:highlight w:val="none"/>
          <w:shd w:val="clear" w:color="auto" w:fill="FFFFFF"/>
          <w:lang w:val="en-US" w:eastAsia="zh-CN"/>
        </w:rPr>
        <w:t>建筑工程施工总承包叁级及以上资质</w:t>
      </w:r>
      <w:r>
        <w:rPr>
          <w:rFonts w:hint="eastAsia" w:cs="宋体"/>
          <w:sz w:val="24"/>
          <w:szCs w:val="24"/>
          <w:shd w:val="clear" w:color="auto" w:fill="FFFFFF"/>
          <w:lang w:val="en-US" w:eastAsia="zh-CN"/>
        </w:rPr>
        <w:t>，</w:t>
      </w:r>
      <w:r>
        <w:rPr>
          <w:rFonts w:hint="default" w:cs="宋体"/>
          <w:sz w:val="24"/>
          <w:szCs w:val="24"/>
          <w:shd w:val="clear" w:color="auto" w:fill="FFFFFF"/>
          <w:lang w:val="en-US" w:eastAsia="zh-CN"/>
        </w:rPr>
        <w:t>并</w:t>
      </w:r>
      <w:r>
        <w:rPr>
          <w:rFonts w:hint="eastAsia" w:cs="宋体"/>
          <w:sz w:val="24"/>
          <w:szCs w:val="24"/>
          <w:shd w:val="clear" w:color="auto" w:fill="FFFFFF"/>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3.4</w:t>
      </w:r>
      <w:r>
        <w:rPr>
          <w:rFonts w:hint="eastAsia" w:cs="宋体"/>
          <w:sz w:val="24"/>
          <w:szCs w:val="24"/>
          <w:shd w:val="clear" w:color="auto" w:fill="FFFFFF"/>
        </w:rPr>
        <w:t>供应商需提供无行贿犯罪记录承诺函（承诺对象包括：供应商、法定代表人、授权委托人）,并对其真实性负责，若承诺不实，造成的后果由供应商自行负责；</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3.5</w:t>
      </w:r>
      <w:r>
        <w:rPr>
          <w:rFonts w:hint="eastAsia" w:cs="宋体"/>
          <w:sz w:val="24"/>
          <w:szCs w:val="24"/>
          <w:shd w:val="clear" w:color="auto" w:fill="FFFFFF"/>
        </w:rPr>
        <w:t>本项目不接受联合体投标，不得分包转包；</w:t>
      </w:r>
    </w:p>
    <w:p>
      <w:pPr>
        <w:pStyle w:val="20"/>
        <w:shd w:val="clear" w:color="auto" w:fill="FFFFFF"/>
        <w:snapToGrid w:val="0"/>
        <w:spacing w:before="0" w:beforeAutospacing="0" w:after="0" w:afterAutospacing="0" w:line="360" w:lineRule="auto"/>
        <w:ind w:firstLine="480" w:firstLineChars="200"/>
        <w:rPr>
          <w:rFonts w:cs="宋体"/>
          <w:sz w:val="24"/>
          <w:szCs w:val="24"/>
          <w:shd w:val="clear" w:color="auto" w:fill="FFFFFF"/>
        </w:rPr>
      </w:pPr>
      <w:r>
        <w:rPr>
          <w:rFonts w:hint="eastAsia" w:cs="宋体"/>
          <w:sz w:val="24"/>
          <w:szCs w:val="24"/>
          <w:shd w:val="clear" w:color="auto" w:fill="FFFFFF"/>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eastAsia="zh-CN"/>
        </w:rPr>
        <w:t>三</w:t>
      </w:r>
      <w:r>
        <w:rPr>
          <w:rFonts w:hint="eastAsia" w:cs="宋体"/>
          <w:sz w:val="24"/>
          <w:szCs w:val="24"/>
          <w:shd w:val="clear" w:color="auto" w:fill="FFFFFF"/>
        </w:rPr>
        <w:t>、获取</w:t>
      </w:r>
      <w:r>
        <w:rPr>
          <w:rFonts w:hint="eastAsia" w:cs="宋体"/>
          <w:sz w:val="24"/>
          <w:szCs w:val="24"/>
          <w:shd w:val="clear" w:color="auto" w:fill="FFFFFF"/>
          <w:lang w:eastAsia="zh-CN"/>
        </w:rPr>
        <w:t>竞争性磋商</w:t>
      </w:r>
      <w:r>
        <w:rPr>
          <w:rFonts w:hint="eastAsia" w:cs="宋体"/>
          <w:sz w:val="24"/>
          <w:szCs w:val="24"/>
          <w:shd w:val="clear" w:color="auto" w:fill="FFFFFF"/>
        </w:rPr>
        <w:t>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.1企业诚信库注册</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本项目只接受南阳市公共资源电子交易平台中已加入企业诚信库的企业,未入库的投标人请及时办理入库手续。入库办理请参见南阳市公共资源交易中心网站https://ggzyjy.nanyang.gov.cn/TPFRONT下载专区《诚信库申报操作手册》，企业办理诚信库不收取任何费用，不需携带原件到南阳市公共资源交易中心进行审核。因未及时办理入库手续导致的责任自负。</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.2办理CA数字证书</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rPr>
      </w:pPr>
      <w:r>
        <w:rPr>
          <w:rFonts w:hint="eastAsia" w:cs="宋体"/>
          <w:sz w:val="24"/>
          <w:szCs w:val="24"/>
          <w:shd w:val="clear" w:color="auto" w:fill="FFFFFF"/>
        </w:rPr>
        <w:t>投标企业完成企业诚信库注册后，必须办理CA数字证书方可在网上办理招投标相关业务。CA数字证书办理请参见南阳公共资源交易中心网站下载专区《CA办理所需资料》。</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shd w:val="clear" w:color="auto" w:fill="FFFFFF"/>
          <w:lang w:val="en-US" w:eastAsia="zh-CN"/>
        </w:rPr>
        <w:t>3</w:t>
      </w:r>
      <w:r>
        <w:rPr>
          <w:rFonts w:hint="eastAsia" w:cs="宋体"/>
          <w:sz w:val="24"/>
          <w:szCs w:val="24"/>
          <w:shd w:val="clear" w:color="auto" w:fill="FFFFFF"/>
        </w:rPr>
        <w:t>.3</w:t>
      </w:r>
      <w:r>
        <w:rPr>
          <w:rFonts w:hint="eastAsia" w:cs="宋体"/>
          <w:sz w:val="24"/>
          <w:szCs w:val="24"/>
          <w:shd w:val="clear" w:color="auto" w:fill="FFFFFF"/>
          <w:lang w:eastAsia="zh-CN"/>
        </w:rPr>
        <w:t>竞争性磋商</w:t>
      </w:r>
      <w:r>
        <w:rPr>
          <w:rFonts w:hint="eastAsia" w:cs="宋体"/>
          <w:sz w:val="24"/>
          <w:szCs w:val="24"/>
          <w:shd w:val="clear" w:color="auto" w:fill="FFFFFF"/>
        </w:rPr>
        <w:t>文件的获取</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rPr>
      </w:pPr>
      <w:r>
        <w:rPr>
          <w:rFonts w:hint="eastAsia" w:cs="宋体"/>
          <w:sz w:val="24"/>
          <w:szCs w:val="24"/>
          <w:highlight w:val="none"/>
          <w:shd w:val="clear" w:color="auto" w:fill="FFFFFF"/>
          <w:lang w:eastAsia="zh-CN"/>
        </w:rPr>
        <w:t>竞争性磋商</w:t>
      </w:r>
      <w:r>
        <w:rPr>
          <w:rFonts w:hint="eastAsia" w:cs="宋体"/>
          <w:sz w:val="24"/>
          <w:szCs w:val="24"/>
          <w:highlight w:val="none"/>
          <w:shd w:val="clear" w:color="auto" w:fill="FFFFFF"/>
        </w:rPr>
        <w:t>文件的获取时间：</w:t>
      </w:r>
      <w:r>
        <w:rPr>
          <w:rFonts w:hint="eastAsia" w:cs="宋体"/>
          <w:sz w:val="24"/>
          <w:szCs w:val="24"/>
          <w:highlight w:val="none"/>
          <w:shd w:val="clear" w:color="auto" w:fill="FFFFFF"/>
          <w:lang w:val="en-US" w:eastAsia="zh-CN"/>
        </w:rPr>
        <w:t xml:space="preserve"> 2023</w:t>
      </w:r>
      <w:r>
        <w:rPr>
          <w:rFonts w:hint="eastAsia" w:cs="宋体"/>
          <w:sz w:val="24"/>
          <w:szCs w:val="24"/>
          <w:highlight w:val="none"/>
          <w:shd w:val="clear" w:color="auto" w:fill="FFFFFF"/>
        </w:rPr>
        <w:t>年</w:t>
      </w:r>
      <w:r>
        <w:rPr>
          <w:rFonts w:hint="eastAsia" w:cs="宋体"/>
          <w:sz w:val="24"/>
          <w:szCs w:val="24"/>
          <w:highlight w:val="none"/>
          <w:shd w:val="clear" w:color="auto" w:fill="FFFFFF"/>
          <w:lang w:val="en-US" w:eastAsia="zh-CN"/>
        </w:rPr>
        <w:t>12</w:t>
      </w:r>
      <w:r>
        <w:rPr>
          <w:rFonts w:hint="eastAsia" w:cs="宋体"/>
          <w:sz w:val="24"/>
          <w:szCs w:val="24"/>
          <w:highlight w:val="none"/>
          <w:shd w:val="clear" w:color="auto" w:fill="FFFFFF"/>
        </w:rPr>
        <w:t>月</w:t>
      </w:r>
      <w:r>
        <w:rPr>
          <w:rFonts w:hint="eastAsia" w:cs="宋体"/>
          <w:sz w:val="24"/>
          <w:szCs w:val="24"/>
          <w:highlight w:val="none"/>
          <w:shd w:val="clear" w:color="auto" w:fill="FFFFFF"/>
          <w:lang w:val="en-US" w:eastAsia="zh-CN"/>
        </w:rPr>
        <w:t>28</w:t>
      </w:r>
      <w:r>
        <w:rPr>
          <w:rFonts w:hint="eastAsia" w:cs="宋体"/>
          <w:sz w:val="24"/>
          <w:szCs w:val="24"/>
          <w:highlight w:val="none"/>
          <w:shd w:val="clear" w:color="auto" w:fill="FFFFFF"/>
        </w:rPr>
        <w:t>日</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rPr>
        <w:t>00</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至</w:t>
      </w:r>
      <w:r>
        <w:rPr>
          <w:rFonts w:hint="eastAsia" w:cs="宋体"/>
          <w:sz w:val="24"/>
          <w:szCs w:val="24"/>
          <w:highlight w:val="none"/>
          <w:shd w:val="clear" w:color="auto" w:fill="FFFFFF"/>
          <w:lang w:val="en-US" w:eastAsia="zh-CN"/>
        </w:rPr>
        <w:t>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5</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23</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59</w:t>
      </w:r>
      <w:r>
        <w:rPr>
          <w:rFonts w:hint="eastAsia" w:cs="宋体"/>
          <w:sz w:val="24"/>
          <w:szCs w:val="24"/>
          <w:highlight w:val="none"/>
          <w:shd w:val="clear" w:color="auto" w:fill="FFFFFF"/>
          <w:lang w:eastAsia="zh-CN"/>
        </w:rPr>
        <w:t>分</w:t>
      </w:r>
      <w:r>
        <w:rPr>
          <w:rFonts w:hint="eastAsia" w:cs="宋体"/>
          <w:sz w:val="24"/>
          <w:szCs w:val="24"/>
          <w:highlight w:val="none"/>
          <w:shd w:val="clear" w:color="auto" w:fill="FFFFFF"/>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竞争性磋商文件获取方法：</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潜在供应商网上自行登录社旗县公共资源交易系统（从社旗县公共资源交易中心网站http://ggzyjy.nanyang.gov.cn/SQXWeb/左侧“投标单位登录”入口进入）下载采购/磋商文件，若因为自身原因错过文件下载时间，造成损失由潜在供应商自行承担。（操作过程中，请务必保持CA证书在电脑端的正常接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竞争性磋商文件费用：不收取。</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本项目投标保证金不再缴纳。</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四、响应文件提交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 截止时间：</w:t>
      </w:r>
      <w:r>
        <w:rPr>
          <w:rFonts w:hint="eastAsia" w:cs="宋体"/>
          <w:sz w:val="24"/>
          <w:szCs w:val="24"/>
          <w:highlight w:val="none"/>
          <w:shd w:val="clear" w:color="auto" w:fill="FFFFFF"/>
          <w:lang w:val="en-US" w:eastAsia="zh-CN"/>
        </w:rPr>
        <w:t xml:space="preserve"> 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地点：本项目使用不见面开标，投标人无需前往现场来参与投标。具体操作流程详见南阳市公共资源交易中心下载专区栏发布的南阳不见面开标-操作手册（投标人）http://ggzyjy.nanyang.gov.cn/TPFront/xzzq/。</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五、响应文件开启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yellow"/>
          <w:shd w:val="clear" w:color="auto" w:fill="FFFFFF"/>
          <w:lang w:eastAsia="zh-CN"/>
        </w:rPr>
      </w:pPr>
      <w:r>
        <w:rPr>
          <w:rFonts w:hint="eastAsia" w:cs="宋体"/>
          <w:sz w:val="24"/>
          <w:szCs w:val="24"/>
          <w:highlight w:val="none"/>
          <w:shd w:val="clear" w:color="auto" w:fill="FFFFFF"/>
          <w:lang w:eastAsia="zh-CN"/>
        </w:rPr>
        <w:t>开启时间：</w:t>
      </w:r>
      <w:r>
        <w:rPr>
          <w:rFonts w:hint="eastAsia" w:cs="宋体"/>
          <w:sz w:val="24"/>
          <w:szCs w:val="24"/>
          <w:highlight w:val="none"/>
          <w:shd w:val="clear" w:color="auto" w:fill="FFFFFF"/>
          <w:lang w:val="en-US" w:eastAsia="zh-CN"/>
        </w:rPr>
        <w:t xml:space="preserve"> 2024</w:t>
      </w:r>
      <w:r>
        <w:rPr>
          <w:rFonts w:hint="eastAsia" w:cs="宋体"/>
          <w:sz w:val="24"/>
          <w:szCs w:val="24"/>
          <w:highlight w:val="none"/>
          <w:shd w:val="clear" w:color="auto" w:fill="FFFFFF"/>
          <w:lang w:eastAsia="zh-CN"/>
        </w:rPr>
        <w:t>年</w:t>
      </w:r>
      <w:r>
        <w:rPr>
          <w:rFonts w:hint="eastAsia" w:cs="宋体"/>
          <w:sz w:val="24"/>
          <w:szCs w:val="24"/>
          <w:highlight w:val="none"/>
          <w:shd w:val="clear" w:color="auto" w:fill="FFFFFF"/>
          <w:lang w:val="en-US" w:eastAsia="zh-CN"/>
        </w:rPr>
        <w:t>1</w:t>
      </w:r>
      <w:r>
        <w:rPr>
          <w:rFonts w:hint="eastAsia" w:cs="宋体"/>
          <w:sz w:val="24"/>
          <w:szCs w:val="24"/>
          <w:highlight w:val="none"/>
          <w:shd w:val="clear" w:color="auto" w:fill="FFFFFF"/>
          <w:lang w:eastAsia="zh-CN"/>
        </w:rPr>
        <w:t>月</w:t>
      </w:r>
      <w:r>
        <w:rPr>
          <w:rFonts w:hint="eastAsia" w:cs="宋体"/>
          <w:sz w:val="24"/>
          <w:szCs w:val="24"/>
          <w:highlight w:val="none"/>
          <w:shd w:val="clear" w:color="auto" w:fill="FFFFFF"/>
          <w:lang w:val="en-US" w:eastAsia="zh-CN"/>
        </w:rPr>
        <w:t>9</w:t>
      </w:r>
      <w:r>
        <w:rPr>
          <w:rFonts w:hint="eastAsia" w:cs="宋体"/>
          <w:sz w:val="24"/>
          <w:szCs w:val="24"/>
          <w:highlight w:val="none"/>
          <w:shd w:val="clear" w:color="auto" w:fill="FFFFFF"/>
          <w:lang w:eastAsia="zh-CN"/>
        </w:rPr>
        <w:t>日</w:t>
      </w:r>
      <w:r>
        <w:rPr>
          <w:rFonts w:hint="eastAsia" w:cs="宋体"/>
          <w:sz w:val="24"/>
          <w:szCs w:val="24"/>
          <w:highlight w:val="none"/>
          <w:shd w:val="clear" w:color="auto" w:fill="FFFFFF"/>
          <w:lang w:val="en-US" w:eastAsia="zh-CN"/>
        </w:rPr>
        <w:t>11</w:t>
      </w:r>
      <w:r>
        <w:rPr>
          <w:rFonts w:hint="eastAsia" w:cs="宋体"/>
          <w:sz w:val="24"/>
          <w:szCs w:val="24"/>
          <w:highlight w:val="none"/>
          <w:shd w:val="clear" w:color="auto" w:fill="FFFFFF"/>
          <w:lang w:eastAsia="zh-CN"/>
        </w:rPr>
        <w:t>时</w:t>
      </w:r>
      <w:r>
        <w:rPr>
          <w:rFonts w:hint="eastAsia" w:cs="宋体"/>
          <w:sz w:val="24"/>
          <w:szCs w:val="24"/>
          <w:highlight w:val="none"/>
          <w:shd w:val="clear" w:color="auto" w:fill="FFFFFF"/>
          <w:lang w:val="en-US" w:eastAsia="zh-CN"/>
        </w:rPr>
        <w:t>00</w:t>
      </w:r>
      <w:r>
        <w:rPr>
          <w:rFonts w:hint="eastAsia" w:cs="宋体"/>
          <w:sz w:val="24"/>
          <w:szCs w:val="24"/>
          <w:highlight w:val="none"/>
          <w:shd w:val="clear" w:color="auto" w:fill="FFFFFF"/>
          <w:lang w:eastAsia="zh-CN"/>
        </w:rPr>
        <w:t>分（北京时间）</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地点：http://ggzyjy.nanyang.gov.cn/SQXWeb/</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六、公告期限及发布公告的媒介</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自本公告发布之日起</w:t>
      </w:r>
      <w:r>
        <w:rPr>
          <w:rFonts w:hint="eastAsia" w:cs="宋体"/>
          <w:sz w:val="24"/>
          <w:szCs w:val="24"/>
          <w:shd w:val="clear" w:color="auto" w:fill="FFFFFF"/>
          <w:lang w:val="en-US" w:eastAsia="zh-CN"/>
        </w:rPr>
        <w:t>5</w:t>
      </w:r>
      <w:r>
        <w:rPr>
          <w:rFonts w:hint="eastAsia" w:cs="宋体"/>
          <w:sz w:val="24"/>
          <w:szCs w:val="24"/>
          <w:shd w:val="clear" w:color="auto" w:fill="FFFFFF"/>
          <w:lang w:eastAsia="zh-CN"/>
        </w:rPr>
        <w:t>个工作日。</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本次公告在《中国招标投标公共服务平台》、《河南省政府采购网》和《社旗县公共资源交易中心》网上同时发布。</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七、其他补充事宜</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w:t>
      </w:r>
      <w:r>
        <w:rPr>
          <w:rFonts w:hint="eastAsia" w:cs="宋体"/>
          <w:sz w:val="24"/>
          <w:szCs w:val="24"/>
          <w:shd w:val="clear" w:color="auto" w:fill="FFFFFF"/>
          <w:lang w:eastAsia="zh-CN"/>
        </w:rPr>
        <w:t>本次招标采用全流程电子辅助招投标。</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2</w:t>
      </w:r>
      <w:r>
        <w:rPr>
          <w:rFonts w:hint="eastAsia" w:cs="宋体"/>
          <w:sz w:val="24"/>
          <w:szCs w:val="24"/>
          <w:shd w:val="clear" w:color="auto" w:fill="FFFFFF"/>
          <w:lang w:eastAsia="zh-CN"/>
        </w:rPr>
        <w:t>、本项目为电子评标项目，投标人须提供电子响应文件，电子响应文件需要使用投标文件制作工具制作，制作工具及操作手册可登录社旗县公共资源交易系统（网址：http://ggzyjy.nanyang.gov.cn/SQXWeb），在“下载专区”中下载。</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3</w:t>
      </w:r>
      <w:r>
        <w:rPr>
          <w:rFonts w:hint="eastAsia" w:cs="宋体"/>
          <w:sz w:val="24"/>
          <w:szCs w:val="24"/>
          <w:shd w:val="clear" w:color="auto" w:fill="FFFFFF"/>
          <w:lang w:eastAsia="zh-CN"/>
        </w:rPr>
        <w:t>、下载文件及制作电子响应文件，务必使用同一CA数字证书进行操作，在开标之前确保CA数字证书有效，且不能进行续费延期、更换或重新绑定等操作。 若因CA数字证书问题、文件未及时下载或损坏丢失等原因造成无法投标的，责任由投标人自行承担。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4</w:t>
      </w:r>
      <w:r>
        <w:rPr>
          <w:rFonts w:hint="eastAsia" w:cs="宋体"/>
          <w:sz w:val="24"/>
          <w:szCs w:val="24"/>
          <w:shd w:val="clear" w:color="auto" w:fill="FFFFFF"/>
          <w:lang w:eastAsia="zh-CN"/>
        </w:rPr>
        <w:t>、该项目需要使用不见面开标，投标人无需前往现场参与投标。各投标人根据手册要求，提前做好相关准备工作。附件：操作手册地址(下载专区中自行下载)、不见面开标大厅地</w:t>
      </w:r>
      <w:r>
        <w:rPr>
          <w:rFonts w:hint="default" w:cs="宋体"/>
          <w:sz w:val="24"/>
          <w:szCs w:val="24"/>
          <w:shd w:val="clear" w:color="auto" w:fill="FFFFFF"/>
          <w:lang w:eastAsia="zh-CN"/>
        </w:rPr>
        <w:t>https://ggzyjy.nanyang.gov.cn/BidOpening/bidopeninghallaction/hall/login</w:t>
      </w:r>
      <w:r>
        <w:rPr>
          <w:rFonts w:hint="eastAsia" w:cs="宋体"/>
          <w:sz w:val="24"/>
          <w:szCs w:val="24"/>
          <w:shd w:val="clear" w:color="auto" w:fill="FFFFFF"/>
          <w:lang w:eastAsia="zh-CN"/>
        </w:rPr>
        <w:t>；</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5</w:t>
      </w:r>
      <w:r>
        <w:rPr>
          <w:rFonts w:hint="eastAsia" w:cs="宋体"/>
          <w:sz w:val="24"/>
          <w:szCs w:val="24"/>
          <w:shd w:val="clear" w:color="auto" w:fill="FFFFFF"/>
          <w:lang w:eastAsia="zh-CN"/>
        </w:rPr>
        <w:t>、该项目自行上传响应文件，无需寄送和递交非加密响应文件光盘等。需要注意开标前登录不见面系统进行签到；</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6</w:t>
      </w:r>
      <w:r>
        <w:rPr>
          <w:rFonts w:hint="eastAsia" w:cs="宋体"/>
          <w:sz w:val="24"/>
          <w:szCs w:val="24"/>
          <w:shd w:val="clear" w:color="auto" w:fill="FFFFFF"/>
          <w:lang w:eastAsia="zh-CN"/>
        </w:rPr>
        <w:t>、因投标人无需现场参与开标，所有准备工作需要自行到位。开标过程中如遇到紧急事项，可在不见面开标大厅中进行提出异议或文字交流，严重问题可拨打技术支持电话400-998-0000。</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7</w:t>
      </w:r>
      <w:r>
        <w:rPr>
          <w:rFonts w:hint="eastAsia" w:cs="宋体"/>
          <w:sz w:val="24"/>
          <w:szCs w:val="24"/>
          <w:shd w:val="clear" w:color="auto" w:fill="FFFFFF"/>
          <w:lang w:eastAsia="zh-CN"/>
        </w:rPr>
        <w:t>、不见面开标过程中，如投标人准备不到位，造成无法及时解密、网络问题等情况造成开标无法继续的，视为该投标人自动放弃投标（30分钟内），将被退回响应文件。</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8</w:t>
      </w:r>
      <w:r>
        <w:rPr>
          <w:rFonts w:hint="eastAsia" w:cs="宋体"/>
          <w:sz w:val="24"/>
          <w:szCs w:val="24"/>
          <w:shd w:val="clear" w:color="auto" w:fill="FFFFFF"/>
          <w:lang w:eastAsia="zh-CN"/>
        </w:rPr>
        <w:t>、响应文件递交、解密完成后，投标人需继续等待，并登录会员系统，在评审结束前保持在线状态，确保可以及时接收竞争性磋商小组提出的磋商及最终报价要求。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9</w:t>
      </w:r>
      <w:r>
        <w:rPr>
          <w:rFonts w:hint="eastAsia" w:cs="宋体"/>
          <w:sz w:val="24"/>
          <w:szCs w:val="24"/>
          <w:shd w:val="clear" w:color="auto" w:fill="FFFFFF"/>
          <w:lang w:eastAsia="zh-CN"/>
        </w:rPr>
        <w:t>、投标人应时刻关注会员系统消息提醒，在规定时间内及时回应竞争性磋商小组提出的磋商及最终报价要求。</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val="en-US" w:eastAsia="zh-CN"/>
        </w:rPr>
        <w:t>10</w:t>
      </w:r>
      <w:r>
        <w:rPr>
          <w:rFonts w:hint="eastAsia" w:cs="宋体"/>
          <w:sz w:val="24"/>
          <w:szCs w:val="24"/>
          <w:shd w:val="clear" w:color="auto" w:fill="FFFFFF"/>
          <w:lang w:eastAsia="zh-CN"/>
        </w:rPr>
        <w:t>、未按上述要求操作，造成不能参加磋商及最终报价的，后果由相关投标人自行承担。</w:t>
      </w:r>
    </w:p>
    <w:p>
      <w:pPr>
        <w:pStyle w:val="20"/>
        <w:shd w:val="clear" w:color="auto" w:fill="FFFFFF"/>
        <w:snapToGrid w:val="0"/>
        <w:spacing w:before="0" w:beforeAutospacing="0" w:after="0" w:afterAutospacing="0" w:line="360" w:lineRule="auto"/>
        <w:ind w:firstLine="480" w:firstLineChars="200"/>
        <w:rPr>
          <w:rFonts w:hint="eastAsia" w:cs="宋体"/>
          <w:sz w:val="24"/>
          <w:szCs w:val="24"/>
          <w:shd w:val="clear" w:color="auto" w:fill="FFFFFF"/>
          <w:lang w:eastAsia="zh-CN"/>
        </w:rPr>
      </w:pPr>
      <w:r>
        <w:rPr>
          <w:rFonts w:hint="eastAsia" w:cs="宋体"/>
          <w:sz w:val="24"/>
          <w:szCs w:val="24"/>
          <w:shd w:val="clear" w:color="auto" w:fill="FFFFFF"/>
          <w:lang w:eastAsia="zh-CN"/>
        </w:rPr>
        <w:t>八、凡对本次采购提出询问，请按以下方式联系</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1.采购人信息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名    称：社旗县教育体育局</w:t>
      </w:r>
      <w:r>
        <w:rPr>
          <w:rFonts w:hint="eastAsia" w:cs="宋体"/>
          <w:sz w:val="24"/>
          <w:szCs w:val="24"/>
          <w:highlight w:val="none"/>
          <w:shd w:val="clear" w:color="auto" w:fill="FFFFFF"/>
          <w:lang w:val="en-US" w:eastAsia="zh-CN"/>
        </w:rPr>
        <w:t xml:space="preserve">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地</w:t>
      </w:r>
      <w:r>
        <w:rPr>
          <w:rFonts w:hint="eastAsia" w:cs="宋体"/>
          <w:sz w:val="24"/>
          <w:szCs w:val="24"/>
          <w:highlight w:val="none"/>
          <w:shd w:val="clear" w:color="auto" w:fill="FFFFFF"/>
          <w:lang w:val="en-US" w:eastAsia="zh-CN"/>
        </w:rPr>
        <w:t xml:space="preserve">    </w:t>
      </w:r>
      <w:r>
        <w:rPr>
          <w:rFonts w:hint="eastAsia" w:cs="宋体"/>
          <w:sz w:val="24"/>
          <w:szCs w:val="24"/>
          <w:highlight w:val="none"/>
          <w:shd w:val="clear" w:color="auto" w:fill="FFFFFF"/>
          <w:lang w:eastAsia="zh-CN"/>
        </w:rPr>
        <w:t>址：社旗县</w:t>
      </w:r>
      <w:r>
        <w:rPr>
          <w:rFonts w:hint="eastAsia" w:cs="宋体"/>
          <w:sz w:val="24"/>
          <w:szCs w:val="24"/>
          <w:highlight w:val="none"/>
          <w:shd w:val="clear" w:color="auto" w:fill="FFFFFF"/>
          <w:lang w:val="en-US" w:eastAsia="zh-CN"/>
        </w:rPr>
        <w:t>红旗路中段</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eastAsia="zh-CN"/>
        </w:rPr>
      </w:pPr>
      <w:r>
        <w:rPr>
          <w:rFonts w:hint="eastAsia" w:cs="宋体"/>
          <w:sz w:val="24"/>
          <w:szCs w:val="24"/>
          <w:highlight w:val="none"/>
          <w:shd w:val="clear" w:color="auto" w:fill="FFFFFF"/>
          <w:lang w:eastAsia="zh-CN"/>
        </w:rPr>
        <w:t>联</w:t>
      </w:r>
      <w:r>
        <w:rPr>
          <w:rFonts w:hint="eastAsia" w:cs="宋体"/>
          <w:sz w:val="24"/>
          <w:szCs w:val="24"/>
          <w:highlight w:val="none"/>
          <w:shd w:val="clear" w:color="auto" w:fill="FFFFFF"/>
          <w:lang w:val="en-US" w:eastAsia="zh-CN"/>
        </w:rPr>
        <w:t xml:space="preserve"> </w:t>
      </w:r>
      <w:r>
        <w:rPr>
          <w:rFonts w:hint="eastAsia" w:cs="宋体"/>
          <w:sz w:val="24"/>
          <w:szCs w:val="24"/>
          <w:highlight w:val="none"/>
          <w:shd w:val="clear" w:color="auto" w:fill="FFFFFF"/>
          <w:lang w:eastAsia="zh-CN"/>
        </w:rPr>
        <w:t>系</w:t>
      </w:r>
      <w:r>
        <w:rPr>
          <w:rFonts w:hint="eastAsia" w:cs="宋体"/>
          <w:sz w:val="24"/>
          <w:szCs w:val="24"/>
          <w:highlight w:val="none"/>
          <w:shd w:val="clear" w:color="auto" w:fill="FFFFFF"/>
          <w:lang w:val="en-US" w:eastAsia="zh-CN"/>
        </w:rPr>
        <w:t xml:space="preserve"> </w:t>
      </w:r>
      <w:r>
        <w:rPr>
          <w:rFonts w:hint="eastAsia" w:cs="宋体"/>
          <w:sz w:val="24"/>
          <w:szCs w:val="24"/>
          <w:highlight w:val="none"/>
          <w:shd w:val="clear" w:color="auto" w:fill="FFFFFF"/>
          <w:lang w:eastAsia="zh-CN"/>
        </w:rPr>
        <w:t>人</w:t>
      </w:r>
      <w:r>
        <w:rPr>
          <w:rFonts w:hint="eastAsia" w:cs="宋体"/>
          <w:sz w:val="24"/>
          <w:szCs w:val="24"/>
          <w:highlight w:val="none"/>
          <w:shd w:val="clear" w:color="auto" w:fill="FFFFFF"/>
          <w:lang w:val="en-US" w:eastAsia="zh-CN"/>
        </w:rPr>
        <w:t>: 李贺</w:t>
      </w:r>
      <w:r>
        <w:rPr>
          <w:rFonts w:hint="eastAsia" w:cs="宋体"/>
          <w:sz w:val="24"/>
          <w:szCs w:val="24"/>
          <w:highlight w:val="none"/>
          <w:shd w:val="clear" w:color="auto" w:fill="FFFFFF"/>
          <w:lang w:eastAsia="zh-CN"/>
        </w:rPr>
        <w:tab/>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eastAsia="zh-CN"/>
        </w:rPr>
        <w:t>电</w:t>
      </w:r>
      <w:r>
        <w:rPr>
          <w:rFonts w:hint="eastAsia" w:cs="宋体"/>
          <w:sz w:val="24"/>
          <w:szCs w:val="24"/>
          <w:highlight w:val="none"/>
          <w:shd w:val="clear" w:color="auto" w:fill="FFFFFF"/>
          <w:lang w:val="en-US" w:eastAsia="zh-CN"/>
        </w:rPr>
        <w:t xml:space="preserve">    </w:t>
      </w:r>
      <w:r>
        <w:rPr>
          <w:rFonts w:hint="eastAsia" w:cs="宋体"/>
          <w:sz w:val="24"/>
          <w:szCs w:val="24"/>
          <w:highlight w:val="none"/>
          <w:shd w:val="clear" w:color="auto" w:fill="FFFFFF"/>
          <w:lang w:eastAsia="zh-CN"/>
        </w:rPr>
        <w:t>话：</w:t>
      </w:r>
      <w:r>
        <w:rPr>
          <w:rFonts w:hint="eastAsia" w:cs="宋体"/>
          <w:sz w:val="24"/>
          <w:szCs w:val="24"/>
          <w:highlight w:val="none"/>
          <w:shd w:val="clear" w:color="auto" w:fill="FFFFFF"/>
          <w:lang w:val="en-US" w:eastAsia="zh-CN"/>
        </w:rPr>
        <w:t>15937704718</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2.采购代理机构信息</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招标代理机构：河南首泰工程咨询有限公司</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地    址：河南省南阳市宛城区孔明南路建业凯旋广场B座20号楼1109室</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联 系 人：吴禹              </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联系电话：15688197631</w:t>
      </w:r>
    </w:p>
    <w:p>
      <w:pPr>
        <w:pStyle w:val="20"/>
        <w:shd w:val="clear" w:color="auto" w:fill="FFFFFF"/>
        <w:snapToGrid w:val="0"/>
        <w:spacing w:before="0" w:beforeAutospacing="0" w:after="0" w:afterAutospacing="0" w:line="360" w:lineRule="auto"/>
        <w:ind w:firstLine="480" w:firstLineChars="200"/>
        <w:rPr>
          <w:rFonts w:hint="eastAsia"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3.项目监督部门</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监督部门：社旗县财政局</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 系 人：赵云</w:t>
      </w:r>
    </w:p>
    <w:p>
      <w:pPr>
        <w:pStyle w:val="20"/>
        <w:shd w:val="clear" w:color="auto" w:fill="FFFFFF"/>
        <w:snapToGrid w:val="0"/>
        <w:spacing w:before="0" w:beforeAutospacing="0" w:after="0" w:afterAutospacing="0" w:line="360" w:lineRule="auto"/>
        <w:ind w:firstLine="480" w:firstLineChars="200"/>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联系方式：</w:t>
      </w:r>
      <w:r>
        <w:rPr>
          <w:rFonts w:hint="eastAsia" w:ascii="宋体" w:hAnsi="宋体" w:eastAsia="宋体" w:cs="宋体"/>
          <w:b w:val="0"/>
          <w:bCs w:val="0"/>
          <w:i w:val="0"/>
          <w:iCs w:val="0"/>
          <w:color w:val="000000"/>
          <w:kern w:val="0"/>
          <w:sz w:val="24"/>
          <w:szCs w:val="24"/>
          <w:highlight w:val="none"/>
          <w:lang w:val="en-US" w:eastAsia="zh-CN" w:bidi="ar"/>
        </w:rPr>
        <w:t>0377-83978058</w:t>
      </w: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eastAsia" w:cs="宋体"/>
          <w:sz w:val="24"/>
          <w:szCs w:val="24"/>
          <w:highlight w:val="none"/>
          <w:shd w:val="clear" w:color="auto" w:fill="FFFFFF"/>
          <w:lang w:val="en-US" w:eastAsia="zh-CN"/>
        </w:rPr>
      </w:pPr>
    </w:p>
    <w:p>
      <w:pPr>
        <w:pStyle w:val="20"/>
        <w:shd w:val="clear" w:color="auto" w:fill="FFFFFF"/>
        <w:snapToGrid w:val="0"/>
        <w:spacing w:before="0" w:beforeAutospacing="0" w:after="0" w:afterAutospacing="0" w:line="360" w:lineRule="auto"/>
        <w:ind w:firstLine="480" w:firstLineChars="200"/>
        <w:jc w:val="right"/>
        <w:rPr>
          <w:rFonts w:hint="default" w:cs="宋体"/>
          <w:sz w:val="24"/>
          <w:szCs w:val="24"/>
          <w:highlight w:val="none"/>
          <w:shd w:val="clear" w:color="auto" w:fill="FFFFFF"/>
          <w:lang w:val="en-US" w:eastAsia="zh-CN"/>
        </w:rPr>
      </w:pPr>
      <w:r>
        <w:rPr>
          <w:rFonts w:hint="eastAsia" w:cs="宋体"/>
          <w:sz w:val="24"/>
          <w:szCs w:val="24"/>
          <w:highlight w:val="none"/>
          <w:shd w:val="clear" w:color="auto" w:fill="FFFFFF"/>
          <w:lang w:val="en-US" w:eastAsia="zh-CN"/>
        </w:rPr>
        <w:t xml:space="preserve"> 2023年12 月 27日</w:t>
      </w:r>
    </w:p>
    <w:p>
      <w:pPr>
        <w:jc w:val="center"/>
        <w:outlineLvl w:val="0"/>
        <w:rPr>
          <w:rFonts w:hint="eastAsia"/>
          <w:b/>
          <w:sz w:val="32"/>
          <w:szCs w:val="32"/>
          <w:highlight w:val="none"/>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center"/>
        <w:outlineLvl w:val="0"/>
        <w:rPr>
          <w:rFonts w:hint="eastAsia"/>
          <w:b/>
          <w:sz w:val="32"/>
          <w:szCs w:val="32"/>
        </w:rPr>
      </w:pPr>
    </w:p>
    <w:p>
      <w:pPr>
        <w:jc w:val="both"/>
        <w:outlineLvl w:val="0"/>
        <w:rPr>
          <w:rFonts w:hint="eastAsia"/>
          <w:b/>
          <w:sz w:val="32"/>
          <w:szCs w:val="32"/>
        </w:rPr>
      </w:pPr>
    </w:p>
    <w:p>
      <w:pPr>
        <w:pStyle w:val="2"/>
        <w:rPr>
          <w:rFonts w:hint="eastAsia"/>
          <w:b/>
          <w:sz w:val="32"/>
          <w:szCs w:val="32"/>
        </w:rPr>
      </w:pPr>
    </w:p>
    <w:p>
      <w:pPr>
        <w:rPr>
          <w:rFonts w:hint="eastAsia"/>
          <w:b/>
          <w:sz w:val="32"/>
          <w:szCs w:val="32"/>
        </w:rPr>
      </w:pPr>
    </w:p>
    <w:p>
      <w:pPr>
        <w:pStyle w:val="7"/>
        <w:rPr>
          <w:rFonts w:hint="eastAsia"/>
          <w:b/>
          <w:sz w:val="32"/>
          <w:szCs w:val="32"/>
        </w:rPr>
      </w:pPr>
    </w:p>
    <w:p>
      <w:pPr>
        <w:pStyle w:val="8"/>
        <w:numPr>
          <w:ilvl w:val="1"/>
          <w:numId w:val="0"/>
        </w:numPr>
        <w:ind w:leftChars="0"/>
        <w:rPr>
          <w:rFonts w:hint="eastAsia"/>
        </w:rPr>
      </w:pPr>
    </w:p>
    <w:p>
      <w:pPr>
        <w:jc w:val="both"/>
        <w:outlineLvl w:val="0"/>
        <w:rPr>
          <w:rFonts w:hint="eastAsia"/>
          <w:b/>
          <w:sz w:val="32"/>
          <w:szCs w:val="32"/>
        </w:rPr>
      </w:pPr>
    </w:p>
    <w:p>
      <w:pPr>
        <w:spacing w:afterAutospacing="0" w:line="240" w:lineRule="auto"/>
        <w:jc w:val="both"/>
        <w:outlineLvl w:val="0"/>
        <w:rPr>
          <w:rFonts w:hint="eastAsia"/>
          <w:b/>
          <w:sz w:val="32"/>
          <w:szCs w:val="32"/>
        </w:rPr>
      </w:pPr>
    </w:p>
    <w:p>
      <w:pPr>
        <w:spacing w:afterAutospacing="0" w:line="240" w:lineRule="auto"/>
        <w:jc w:val="center"/>
        <w:outlineLvl w:val="0"/>
        <w:rPr>
          <w:b/>
          <w:sz w:val="32"/>
          <w:szCs w:val="32"/>
        </w:rPr>
      </w:pPr>
      <w:r>
        <w:rPr>
          <w:rFonts w:hint="eastAsia"/>
          <w:b/>
          <w:sz w:val="32"/>
          <w:szCs w:val="32"/>
        </w:rPr>
        <w:t>第二章  响应人须知</w:t>
      </w:r>
      <w:bookmarkEnd w:id="2"/>
      <w:bookmarkEnd w:id="3"/>
      <w:bookmarkEnd w:id="4"/>
    </w:p>
    <w:p>
      <w:pPr>
        <w:pStyle w:val="13"/>
        <w:wordWrap/>
        <w:topLinePunct w:val="0"/>
        <w:spacing w:beforeAutospacing="0" w:after="96" w:afterLines="30" w:afterAutospacing="0" w:line="240" w:lineRule="auto"/>
        <w:jc w:val="center"/>
        <w:outlineLvl w:val="1"/>
        <w:rPr>
          <w:rFonts w:hAnsi="宋体"/>
          <w:b/>
          <w:bCs/>
          <w:sz w:val="32"/>
          <w:szCs w:val="32"/>
        </w:rPr>
      </w:pPr>
      <w:bookmarkStart w:id="5" w:name="_Toc72694685"/>
      <w:r>
        <w:rPr>
          <w:rFonts w:hint="eastAsia" w:hAnsi="宋体"/>
          <w:b/>
          <w:bCs/>
          <w:sz w:val="32"/>
          <w:szCs w:val="32"/>
        </w:rPr>
        <w:t>响应人须知前附表</w:t>
      </w:r>
      <w:bookmarkEnd w:id="5"/>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682"/>
        <w:gridCol w:w="6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beforeAutospacing="0" w:line="360" w:lineRule="auto"/>
              <w:jc w:val="center"/>
              <w:rPr>
                <w:b/>
                <w:bCs/>
              </w:rPr>
            </w:pPr>
            <w:r>
              <w:rPr>
                <w:rFonts w:hint="eastAsia"/>
                <w:b/>
                <w:bCs/>
              </w:rPr>
              <w:t>序号</w:t>
            </w:r>
          </w:p>
        </w:tc>
        <w:tc>
          <w:tcPr>
            <w:tcW w:w="2682" w:type="dxa"/>
            <w:noWrap/>
            <w:vAlign w:val="center"/>
          </w:tcPr>
          <w:p>
            <w:pPr>
              <w:wordWrap/>
              <w:topLinePunct w:val="0"/>
              <w:spacing w:line="360" w:lineRule="auto"/>
              <w:jc w:val="center"/>
              <w:rPr>
                <w:b/>
                <w:bCs/>
              </w:rPr>
            </w:pPr>
            <w:r>
              <w:rPr>
                <w:rFonts w:hint="eastAsia"/>
                <w:b/>
                <w:bCs/>
              </w:rPr>
              <w:t>条款名称</w:t>
            </w:r>
          </w:p>
        </w:tc>
        <w:tc>
          <w:tcPr>
            <w:tcW w:w="6163" w:type="dxa"/>
            <w:noWrap/>
            <w:vAlign w:val="center"/>
          </w:tcPr>
          <w:p>
            <w:pPr>
              <w:wordWrap/>
              <w:topLinePunct w:val="0"/>
              <w:spacing w:line="360" w:lineRule="auto"/>
              <w:jc w:val="center"/>
              <w:rPr>
                <w:b/>
                <w:bCs/>
              </w:rPr>
            </w:pPr>
            <w:r>
              <w:rPr>
                <w:rFonts w:hint="eastAsia"/>
                <w:b/>
                <w:bC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autoSpaceDE w:val="0"/>
              <w:autoSpaceDN w:val="0"/>
              <w:adjustRightInd w:val="0"/>
              <w:spacing w:line="360" w:lineRule="auto"/>
              <w:jc w:val="center"/>
              <w:rPr>
                <w:rFonts w:cs="黑体"/>
                <w:kern w:val="0"/>
              </w:rPr>
            </w:pPr>
            <w:r>
              <w:rPr>
                <w:rFonts w:hint="eastAsia" w:cs="TimesNewRomanPSMT"/>
                <w:kern w:val="0"/>
              </w:rPr>
              <w:t>1</w:t>
            </w:r>
          </w:p>
        </w:tc>
        <w:tc>
          <w:tcPr>
            <w:tcW w:w="2682" w:type="dxa"/>
            <w:noWrap/>
            <w:vAlign w:val="center"/>
          </w:tcPr>
          <w:p>
            <w:pPr>
              <w:wordWrap/>
              <w:autoSpaceDE w:val="0"/>
              <w:autoSpaceDN w:val="0"/>
              <w:adjustRightInd w:val="0"/>
              <w:spacing w:line="360" w:lineRule="auto"/>
              <w:jc w:val="center"/>
              <w:rPr>
                <w:rFonts w:cs="黑体"/>
                <w:kern w:val="0"/>
              </w:rPr>
            </w:pPr>
            <w:r>
              <w:rPr>
                <w:rFonts w:hint="eastAsia" w:cs="FangSong_GB2312"/>
                <w:kern w:val="0"/>
              </w:rPr>
              <w:t>采购人</w:t>
            </w:r>
          </w:p>
        </w:tc>
        <w:tc>
          <w:tcPr>
            <w:tcW w:w="6163" w:type="dxa"/>
            <w:noWrap/>
            <w:vAlign w:val="center"/>
          </w:tcPr>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名    称：社旗县教育体育局</w:t>
            </w:r>
            <w:r>
              <w:rPr>
                <w:rFonts w:hint="eastAsia"/>
                <w:sz w:val="21"/>
                <w:szCs w:val="21"/>
                <w:lang w:val="en-US" w:eastAsia="zh-CN"/>
              </w:rPr>
              <w:t xml:space="preserve"> </w:t>
            </w:r>
          </w:p>
          <w:p>
            <w:pPr>
              <w:wordWrap/>
              <w:autoSpaceDE w:val="0"/>
              <w:autoSpaceDN w:val="0"/>
              <w:adjustRightInd w:val="0"/>
              <w:spacing w:line="360" w:lineRule="auto"/>
              <w:jc w:val="left"/>
              <w:rPr>
                <w:rFonts w:hint="eastAsia"/>
                <w:sz w:val="21"/>
                <w:szCs w:val="21"/>
                <w:lang w:val="en-US" w:eastAsia="zh-CN"/>
              </w:rPr>
            </w:pPr>
            <w:r>
              <w:rPr>
                <w:rFonts w:hint="eastAsia"/>
                <w:sz w:val="21"/>
                <w:szCs w:val="21"/>
                <w:lang w:eastAsia="zh-CN"/>
              </w:rPr>
              <w:t>地</w:t>
            </w:r>
            <w:r>
              <w:rPr>
                <w:rFonts w:hint="eastAsia"/>
                <w:sz w:val="21"/>
                <w:szCs w:val="21"/>
                <w:lang w:val="en-US" w:eastAsia="zh-CN"/>
              </w:rPr>
              <w:t xml:space="preserve">    </w:t>
            </w:r>
            <w:r>
              <w:rPr>
                <w:rFonts w:hint="eastAsia"/>
                <w:sz w:val="21"/>
                <w:szCs w:val="21"/>
                <w:lang w:eastAsia="zh-CN"/>
              </w:rPr>
              <w:t>址：社旗县</w:t>
            </w:r>
            <w:r>
              <w:rPr>
                <w:rFonts w:hint="eastAsia"/>
                <w:sz w:val="21"/>
                <w:szCs w:val="21"/>
                <w:lang w:val="en-US" w:eastAsia="zh-CN"/>
              </w:rPr>
              <w:t>红旗路中段</w:t>
            </w:r>
          </w:p>
          <w:p>
            <w:pPr>
              <w:wordWrap/>
              <w:autoSpaceDE w:val="0"/>
              <w:autoSpaceDN w:val="0"/>
              <w:adjustRightInd w:val="0"/>
              <w:spacing w:line="360" w:lineRule="auto"/>
              <w:jc w:val="left"/>
              <w:rPr>
                <w:rFonts w:hint="eastAsia"/>
                <w:sz w:val="21"/>
                <w:szCs w:val="21"/>
                <w:lang w:eastAsia="zh-CN"/>
              </w:rPr>
            </w:pPr>
            <w:r>
              <w:rPr>
                <w:rFonts w:hint="eastAsia"/>
                <w:sz w:val="21"/>
                <w:szCs w:val="21"/>
                <w:lang w:eastAsia="zh-CN"/>
              </w:rPr>
              <w:t>联</w:t>
            </w:r>
            <w:r>
              <w:rPr>
                <w:rFonts w:hint="eastAsia"/>
                <w:sz w:val="21"/>
                <w:szCs w:val="21"/>
                <w:lang w:val="en-US" w:eastAsia="zh-CN"/>
              </w:rPr>
              <w:t xml:space="preserve"> </w:t>
            </w:r>
            <w:r>
              <w:rPr>
                <w:rFonts w:hint="eastAsia"/>
                <w:sz w:val="21"/>
                <w:szCs w:val="21"/>
                <w:lang w:eastAsia="zh-CN"/>
              </w:rPr>
              <w:t>系</w:t>
            </w:r>
            <w:r>
              <w:rPr>
                <w:rFonts w:hint="eastAsia"/>
                <w:sz w:val="21"/>
                <w:szCs w:val="21"/>
                <w:lang w:val="en-US" w:eastAsia="zh-CN"/>
              </w:rPr>
              <w:t xml:space="preserve"> </w:t>
            </w:r>
            <w:r>
              <w:rPr>
                <w:rFonts w:hint="eastAsia"/>
                <w:sz w:val="21"/>
                <w:szCs w:val="21"/>
                <w:lang w:eastAsia="zh-CN"/>
              </w:rPr>
              <w:t>人</w:t>
            </w:r>
            <w:r>
              <w:rPr>
                <w:rFonts w:hint="eastAsia"/>
                <w:sz w:val="21"/>
                <w:szCs w:val="21"/>
                <w:lang w:val="en-US" w:eastAsia="zh-CN"/>
              </w:rPr>
              <w:t>:李贺</w:t>
            </w:r>
            <w:r>
              <w:rPr>
                <w:rFonts w:hint="eastAsia"/>
                <w:sz w:val="21"/>
                <w:szCs w:val="21"/>
                <w:lang w:eastAsia="zh-CN"/>
              </w:rPr>
              <w:tab/>
            </w:r>
          </w:p>
          <w:p>
            <w:pPr>
              <w:wordWrap/>
              <w:autoSpaceDE w:val="0"/>
              <w:autoSpaceDN w:val="0"/>
              <w:adjustRightInd w:val="0"/>
              <w:spacing w:line="360" w:lineRule="auto"/>
              <w:jc w:val="left"/>
              <w:rPr>
                <w:sz w:val="21"/>
                <w:szCs w:val="21"/>
              </w:rPr>
            </w:pPr>
            <w:r>
              <w:rPr>
                <w:rFonts w:hint="eastAsia"/>
                <w:sz w:val="21"/>
                <w:szCs w:val="21"/>
                <w:lang w:eastAsia="zh-CN"/>
              </w:rPr>
              <w:t>电</w:t>
            </w:r>
            <w:r>
              <w:rPr>
                <w:rFonts w:hint="eastAsia"/>
                <w:sz w:val="21"/>
                <w:szCs w:val="21"/>
                <w:lang w:val="en-US" w:eastAsia="zh-CN"/>
              </w:rPr>
              <w:t xml:space="preserve">    </w:t>
            </w:r>
            <w:r>
              <w:rPr>
                <w:rFonts w:hint="eastAsia"/>
                <w:sz w:val="21"/>
                <w:szCs w:val="21"/>
                <w:lang w:eastAsia="zh-CN"/>
              </w:rPr>
              <w:t>话：</w:t>
            </w:r>
            <w:r>
              <w:rPr>
                <w:rFonts w:hint="eastAsia"/>
                <w:sz w:val="21"/>
                <w:szCs w:val="21"/>
                <w:lang w:val="en-US" w:eastAsia="zh-CN"/>
              </w:rPr>
              <w:t>15937704718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48" w:type="dxa"/>
            <w:noWrap/>
            <w:vAlign w:val="center"/>
          </w:tcPr>
          <w:p>
            <w:pPr>
              <w:wordWrap/>
              <w:autoSpaceDE w:val="0"/>
              <w:autoSpaceDN w:val="0"/>
              <w:adjustRightInd w:val="0"/>
              <w:spacing w:line="360" w:lineRule="auto"/>
              <w:jc w:val="center"/>
              <w:rPr>
                <w:rFonts w:cs="TimesNewRomanPSMT"/>
                <w:kern w:val="0"/>
              </w:rPr>
            </w:pPr>
            <w:r>
              <w:rPr>
                <w:rFonts w:hint="eastAsia" w:cs="黑体"/>
                <w:kern w:val="0"/>
              </w:rPr>
              <w:t>2</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采购代理机构</w:t>
            </w:r>
          </w:p>
        </w:tc>
        <w:tc>
          <w:tcPr>
            <w:tcW w:w="6163" w:type="dxa"/>
            <w:noWrap/>
            <w:vAlign w:val="center"/>
          </w:tcPr>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招标代理机构：河南首泰工程咨询有限公司</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地    址：河南省南阳市宛城区孔明南路建业凯旋广场B座20号楼1109室</w:t>
            </w:r>
          </w:p>
          <w:p>
            <w:pPr>
              <w:wordWrap/>
              <w:autoSpaceDE w:val="0"/>
              <w:autoSpaceDN w:val="0"/>
              <w:adjustRightInd w:val="0"/>
              <w:spacing w:line="360" w:lineRule="auto"/>
              <w:jc w:val="left"/>
              <w:rPr>
                <w:rFonts w:hint="eastAsia" w:eastAsia="宋体"/>
                <w:lang w:val="en-US" w:eastAsia="zh-CN"/>
              </w:rPr>
            </w:pPr>
            <w:r>
              <w:rPr>
                <w:rFonts w:hint="eastAsia" w:eastAsia="宋体"/>
                <w:lang w:val="en-US" w:eastAsia="zh-CN"/>
              </w:rPr>
              <w:t xml:space="preserve">联系 人：吴禹              </w:t>
            </w:r>
          </w:p>
          <w:p>
            <w:pPr>
              <w:wordWrap/>
              <w:autoSpaceDE w:val="0"/>
              <w:autoSpaceDN w:val="0"/>
              <w:adjustRightInd w:val="0"/>
              <w:spacing w:line="360" w:lineRule="auto"/>
              <w:jc w:val="left"/>
              <w:rPr>
                <w:rFonts w:hint="eastAsia" w:eastAsia="宋体"/>
                <w:lang w:eastAsia="zh-CN"/>
              </w:rPr>
            </w:pPr>
            <w:r>
              <w:rPr>
                <w:rFonts w:hint="eastAsia" w:eastAsia="宋体"/>
                <w:lang w:val="en-US" w:eastAsia="zh-CN"/>
              </w:rPr>
              <w:t>联系电话：15688197631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8" w:type="dxa"/>
            <w:noWrap/>
            <w:vAlign w:val="center"/>
          </w:tcPr>
          <w:p>
            <w:pPr>
              <w:wordWrap/>
              <w:topLinePunct w:val="0"/>
              <w:spacing w:line="360" w:lineRule="auto"/>
              <w:jc w:val="center"/>
            </w:pPr>
            <w:r>
              <w:rPr>
                <w:rFonts w:hint="eastAsia"/>
              </w:rPr>
              <w:t>3</w:t>
            </w:r>
          </w:p>
        </w:tc>
        <w:tc>
          <w:tcPr>
            <w:tcW w:w="2682" w:type="dxa"/>
            <w:noWrap/>
            <w:vAlign w:val="center"/>
          </w:tcPr>
          <w:p>
            <w:pPr>
              <w:wordWrap/>
              <w:topLinePunct w:val="0"/>
              <w:spacing w:line="360" w:lineRule="auto"/>
              <w:jc w:val="center"/>
            </w:pPr>
            <w:r>
              <w:rPr>
                <w:rFonts w:hint="eastAsia"/>
              </w:rPr>
              <w:t>采购方式</w:t>
            </w:r>
          </w:p>
        </w:tc>
        <w:tc>
          <w:tcPr>
            <w:tcW w:w="6163" w:type="dxa"/>
            <w:noWrap/>
            <w:vAlign w:val="center"/>
          </w:tcPr>
          <w:p>
            <w:pPr>
              <w:wordWrap/>
              <w:topLinePunct w:val="0"/>
              <w:spacing w:line="360" w:lineRule="auto"/>
            </w:pPr>
            <w:r>
              <w:rPr>
                <w:rFonts w:hint="eastAsia"/>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8" w:type="dxa"/>
            <w:noWrap/>
            <w:vAlign w:val="center"/>
          </w:tcPr>
          <w:p>
            <w:pPr>
              <w:wordWrap/>
              <w:topLinePunct w:val="0"/>
              <w:spacing w:line="360" w:lineRule="auto"/>
              <w:jc w:val="center"/>
            </w:pPr>
            <w:r>
              <w:rPr>
                <w:rFonts w:hint="eastAsia"/>
              </w:rPr>
              <w:t>4</w:t>
            </w:r>
          </w:p>
        </w:tc>
        <w:tc>
          <w:tcPr>
            <w:tcW w:w="2682" w:type="dxa"/>
            <w:noWrap/>
            <w:vAlign w:val="center"/>
          </w:tcPr>
          <w:p>
            <w:pPr>
              <w:wordWrap/>
              <w:topLinePunct w:val="0"/>
              <w:spacing w:line="360" w:lineRule="auto"/>
              <w:jc w:val="center"/>
            </w:pPr>
            <w:r>
              <w:rPr>
                <w:rFonts w:hint="eastAsia"/>
              </w:rPr>
              <w:t>项目名称及采购编号</w:t>
            </w:r>
          </w:p>
        </w:tc>
        <w:tc>
          <w:tcPr>
            <w:tcW w:w="6163" w:type="dxa"/>
            <w:noWrap/>
            <w:vAlign w:val="center"/>
          </w:tcPr>
          <w:p>
            <w:pPr>
              <w:wordWrap/>
              <w:spacing w:line="360" w:lineRule="auto"/>
              <w:jc w:val="left"/>
              <w:rPr>
                <w:shd w:val="clear" w:color="auto" w:fill="FFFFFF"/>
              </w:rPr>
            </w:pPr>
            <w:r>
              <w:rPr>
                <w:rFonts w:hint="eastAsia"/>
                <w:b/>
              </w:rPr>
              <w:t>项目名称：</w:t>
            </w:r>
            <w:r>
              <w:rPr>
                <w:rFonts w:hint="eastAsia"/>
                <w:shd w:val="clear" w:color="auto" w:fill="FFFFFF"/>
                <w:lang w:eastAsia="zh-CN"/>
              </w:rPr>
              <w:t>社旗县教育体育局社旗县县直第二幼儿园厕所工程项目</w:t>
            </w:r>
          </w:p>
          <w:p>
            <w:pPr>
              <w:wordWrap/>
              <w:spacing w:line="360" w:lineRule="auto"/>
              <w:jc w:val="left"/>
              <w:rPr>
                <w:rFonts w:hint="eastAsia" w:eastAsia="宋体"/>
                <w:lang w:val="en-US" w:eastAsia="zh-CN"/>
              </w:rPr>
            </w:pPr>
            <w:r>
              <w:rPr>
                <w:rFonts w:hint="eastAsia"/>
                <w:b/>
                <w:color w:val="auto"/>
                <w:highlight w:val="none"/>
                <w:shd w:val="clear" w:fill="FFFFFF" w:themeFill="background1"/>
              </w:rPr>
              <w:t>项目编号：社财采购竞争性磋商-2023-110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5</w:t>
            </w:r>
          </w:p>
        </w:tc>
        <w:tc>
          <w:tcPr>
            <w:tcW w:w="2682" w:type="dxa"/>
            <w:noWrap/>
            <w:vAlign w:val="center"/>
          </w:tcPr>
          <w:p>
            <w:pPr>
              <w:wordWrap/>
              <w:topLinePunct w:val="0"/>
              <w:spacing w:line="360" w:lineRule="auto"/>
              <w:jc w:val="center"/>
            </w:pPr>
            <w:r>
              <w:rPr>
                <w:rFonts w:hint="eastAsia"/>
              </w:rPr>
              <w:t>建设地点</w:t>
            </w:r>
          </w:p>
        </w:tc>
        <w:tc>
          <w:tcPr>
            <w:tcW w:w="6163" w:type="dxa"/>
            <w:noWrap/>
            <w:vAlign w:val="center"/>
          </w:tcPr>
          <w:p>
            <w:pPr>
              <w:wordWrap/>
              <w:topLinePunct w:val="0"/>
              <w:spacing w:line="360" w:lineRule="auto"/>
            </w:pPr>
            <w:r>
              <w:rPr>
                <w:rFonts w:hint="eastAsia"/>
                <w:shd w:val="clear" w:color="auto" w:fill="FFFFFF"/>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8" w:type="dxa"/>
            <w:noWrap/>
            <w:vAlign w:val="center"/>
          </w:tcPr>
          <w:p>
            <w:pPr>
              <w:wordWrap/>
              <w:topLinePunct w:val="0"/>
              <w:spacing w:line="360" w:lineRule="auto"/>
              <w:jc w:val="center"/>
            </w:pPr>
            <w:r>
              <w:rPr>
                <w:rFonts w:hint="eastAsia"/>
              </w:rPr>
              <w:t>6</w:t>
            </w:r>
          </w:p>
        </w:tc>
        <w:tc>
          <w:tcPr>
            <w:tcW w:w="2682" w:type="dxa"/>
            <w:noWrap/>
            <w:vAlign w:val="center"/>
          </w:tcPr>
          <w:p>
            <w:pPr>
              <w:wordWrap/>
              <w:topLinePunct w:val="0"/>
              <w:spacing w:line="360" w:lineRule="auto"/>
              <w:jc w:val="center"/>
            </w:pPr>
            <w:r>
              <w:rPr>
                <w:rFonts w:hint="eastAsia"/>
              </w:rPr>
              <w:t>资金来源</w:t>
            </w:r>
          </w:p>
        </w:tc>
        <w:tc>
          <w:tcPr>
            <w:tcW w:w="6163" w:type="dxa"/>
            <w:noWrap/>
            <w:vAlign w:val="center"/>
          </w:tcPr>
          <w:p>
            <w:pPr>
              <w:wordWrap/>
              <w:topLinePunct w:val="0"/>
              <w:spacing w:line="360" w:lineRule="auto"/>
            </w:pPr>
            <w:r>
              <w:rPr>
                <w:rFonts w:hint="eastAsia"/>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7</w:t>
            </w:r>
          </w:p>
        </w:tc>
        <w:tc>
          <w:tcPr>
            <w:tcW w:w="2682" w:type="dxa"/>
            <w:noWrap/>
            <w:vAlign w:val="center"/>
          </w:tcPr>
          <w:p>
            <w:pPr>
              <w:wordWrap/>
              <w:topLinePunct w:val="0"/>
              <w:spacing w:line="360" w:lineRule="auto"/>
              <w:jc w:val="center"/>
            </w:pPr>
            <w:r>
              <w:rPr>
                <w:rFonts w:hint="eastAsia"/>
              </w:rPr>
              <w:t>采购预算金额</w:t>
            </w:r>
          </w:p>
        </w:tc>
        <w:tc>
          <w:tcPr>
            <w:tcW w:w="6163" w:type="dxa"/>
            <w:noWrap/>
            <w:vAlign w:val="center"/>
          </w:tcPr>
          <w:p>
            <w:pPr>
              <w:wordWrap/>
              <w:spacing w:line="360" w:lineRule="auto"/>
              <w:jc w:val="left"/>
              <w:rPr>
                <w:rFonts w:hint="eastAsia"/>
                <w:b/>
                <w:bCs/>
                <w:highlight w:val="none"/>
                <w:shd w:val="clear" w:color="auto" w:fill="FFFFFF"/>
              </w:rPr>
            </w:pPr>
            <w:r>
              <w:rPr>
                <w:rFonts w:hint="eastAsia"/>
                <w:b/>
                <w:bCs/>
                <w:highlight w:val="none"/>
                <w:shd w:val="clear" w:color="auto" w:fill="FFFFFF"/>
              </w:rPr>
              <w:t>招标控制价：</w:t>
            </w:r>
            <w:r>
              <w:rPr>
                <w:rFonts w:hint="eastAsia"/>
                <w:b/>
                <w:bCs/>
                <w:highlight w:val="none"/>
                <w:shd w:val="clear" w:color="auto" w:fill="FFFFFF"/>
                <w:lang w:val="en-US" w:eastAsia="zh-CN"/>
              </w:rPr>
              <w:t>729321.66</w:t>
            </w:r>
            <w:r>
              <w:rPr>
                <w:rFonts w:hint="eastAsia"/>
                <w:b/>
                <w:bCs/>
                <w:highlight w:val="none"/>
                <w:shd w:val="clear" w:color="auto" w:fill="FFFFFF"/>
              </w:rPr>
              <w:t>元。</w:t>
            </w:r>
          </w:p>
          <w:p>
            <w:pPr>
              <w:wordWrap/>
              <w:topLinePunct w:val="0"/>
              <w:spacing w:line="360" w:lineRule="auto"/>
              <w:rPr>
                <w:highlight w:val="none"/>
              </w:rPr>
            </w:pPr>
            <w:r>
              <w:rPr>
                <w:rFonts w:hint="eastAsia"/>
                <w:kern w:val="0"/>
                <w:highlight w:val="none"/>
                <w:shd w:val="clear" w:color="auto" w:fill="FFFFFF"/>
              </w:rPr>
              <w:t>响应人的投标报价超出采购预算价的视为无效报价，其投标按废标处理。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8</w:t>
            </w:r>
          </w:p>
        </w:tc>
        <w:tc>
          <w:tcPr>
            <w:tcW w:w="2682" w:type="dxa"/>
            <w:noWrap/>
            <w:vAlign w:val="center"/>
          </w:tcPr>
          <w:p>
            <w:pPr>
              <w:wordWrap/>
              <w:topLinePunct w:val="0"/>
              <w:spacing w:line="360" w:lineRule="auto"/>
              <w:jc w:val="center"/>
            </w:pPr>
            <w:r>
              <w:rPr>
                <w:rFonts w:hint="eastAsia"/>
              </w:rPr>
              <w:t>采购项目性质</w:t>
            </w:r>
          </w:p>
        </w:tc>
        <w:tc>
          <w:tcPr>
            <w:tcW w:w="6163" w:type="dxa"/>
            <w:noWrap/>
          </w:tcPr>
          <w:p>
            <w:pPr>
              <w:wordWrap/>
              <w:topLinePunct w:val="0"/>
              <w:spacing w:line="360" w:lineRule="auto"/>
            </w:pPr>
            <w:r>
              <w:rPr>
                <w:rFonts w:hint="eastAsia"/>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9</w:t>
            </w:r>
          </w:p>
        </w:tc>
        <w:tc>
          <w:tcPr>
            <w:tcW w:w="2682" w:type="dxa"/>
            <w:noWrap/>
            <w:vAlign w:val="center"/>
          </w:tcPr>
          <w:p>
            <w:pPr>
              <w:wordWrap/>
              <w:topLinePunct w:val="0"/>
              <w:spacing w:line="360" w:lineRule="auto"/>
              <w:jc w:val="center"/>
            </w:pPr>
            <w:r>
              <w:rPr>
                <w:rFonts w:hint="eastAsia"/>
              </w:rPr>
              <w:t>资金落实情况</w:t>
            </w:r>
          </w:p>
        </w:tc>
        <w:tc>
          <w:tcPr>
            <w:tcW w:w="6163" w:type="dxa"/>
            <w:noWrap/>
          </w:tcPr>
          <w:p>
            <w:pPr>
              <w:wordWrap/>
              <w:topLinePunct w:val="0"/>
              <w:spacing w:line="360" w:lineRule="auto"/>
            </w:pPr>
            <w:r>
              <w:rPr>
                <w:rFonts w:hint="eastAsi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10</w:t>
            </w:r>
          </w:p>
        </w:tc>
        <w:tc>
          <w:tcPr>
            <w:tcW w:w="2682" w:type="dxa"/>
            <w:noWrap/>
            <w:vAlign w:val="center"/>
          </w:tcPr>
          <w:p>
            <w:pPr>
              <w:wordWrap/>
              <w:topLinePunct w:val="0"/>
              <w:spacing w:line="360" w:lineRule="auto"/>
              <w:jc w:val="center"/>
            </w:pPr>
            <w:r>
              <w:rPr>
                <w:rFonts w:hint="eastAsia"/>
              </w:rPr>
              <w:t>采购范围</w:t>
            </w:r>
          </w:p>
        </w:tc>
        <w:tc>
          <w:tcPr>
            <w:tcW w:w="6163" w:type="dxa"/>
            <w:noWrap/>
          </w:tcPr>
          <w:p>
            <w:pPr>
              <w:wordWrap/>
              <w:topLinePunct w:val="0"/>
              <w:spacing w:line="360" w:lineRule="auto"/>
            </w:pPr>
            <w:r>
              <w:rPr>
                <w:rFonts w:hint="eastAsia"/>
                <w:shd w:val="clear" w:color="auto" w:fill="FFFFFF"/>
              </w:rPr>
              <w:t>工程量清单中的全部内容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11</w:t>
            </w:r>
          </w:p>
        </w:tc>
        <w:tc>
          <w:tcPr>
            <w:tcW w:w="2682" w:type="dxa"/>
            <w:noWrap/>
            <w:vAlign w:val="center"/>
          </w:tcPr>
          <w:p>
            <w:pPr>
              <w:wordWrap/>
              <w:topLinePunct w:val="0"/>
              <w:spacing w:line="360" w:lineRule="auto"/>
              <w:jc w:val="center"/>
              <w:rPr>
                <w:highlight w:val="none"/>
              </w:rPr>
            </w:pPr>
            <w:r>
              <w:rPr>
                <w:rFonts w:hint="eastAsia"/>
                <w:highlight w:val="none"/>
              </w:rPr>
              <w:t>工期</w:t>
            </w:r>
          </w:p>
        </w:tc>
        <w:tc>
          <w:tcPr>
            <w:tcW w:w="6163" w:type="dxa"/>
            <w:noWrap/>
          </w:tcPr>
          <w:p>
            <w:pPr>
              <w:wordWrap/>
              <w:topLinePunct w:val="0"/>
              <w:spacing w:line="360" w:lineRule="auto"/>
              <w:rPr>
                <w:highlight w:val="none"/>
              </w:rPr>
            </w:pPr>
            <w:r>
              <w:rPr>
                <w:rFonts w:hint="eastAsia"/>
                <w:highlight w:val="none"/>
                <w:lang w:val="en-US" w:eastAsia="zh-CN"/>
              </w:rPr>
              <w:t>合同签订后20日历天内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48" w:type="dxa"/>
            <w:noWrap/>
            <w:vAlign w:val="center"/>
          </w:tcPr>
          <w:p>
            <w:pPr>
              <w:wordWrap/>
              <w:topLinePunct w:val="0"/>
              <w:spacing w:line="360" w:lineRule="auto"/>
              <w:jc w:val="center"/>
            </w:pPr>
            <w:r>
              <w:rPr>
                <w:rFonts w:hint="eastAsia"/>
              </w:rPr>
              <w:t>12</w:t>
            </w:r>
          </w:p>
        </w:tc>
        <w:tc>
          <w:tcPr>
            <w:tcW w:w="2682" w:type="dxa"/>
            <w:noWrap/>
            <w:vAlign w:val="center"/>
          </w:tcPr>
          <w:p>
            <w:pPr>
              <w:wordWrap/>
              <w:topLinePunct w:val="0"/>
              <w:spacing w:line="360" w:lineRule="auto"/>
              <w:jc w:val="center"/>
            </w:pPr>
            <w:r>
              <w:rPr>
                <w:rFonts w:hint="eastAsia"/>
              </w:rPr>
              <w:t>质量标准</w:t>
            </w:r>
          </w:p>
        </w:tc>
        <w:tc>
          <w:tcPr>
            <w:tcW w:w="6163" w:type="dxa"/>
            <w:noWrap/>
            <w:vAlign w:val="bottom"/>
          </w:tcPr>
          <w:p>
            <w:pPr>
              <w:wordWrap/>
              <w:topLinePunct w:val="0"/>
              <w:spacing w:line="360" w:lineRule="auto"/>
            </w:pPr>
            <w:r>
              <w:rPr>
                <w:rFonts w:hint="eastAsia" w:cs="黑体"/>
                <w:kern w:val="0"/>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13</w:t>
            </w:r>
          </w:p>
        </w:tc>
        <w:tc>
          <w:tcPr>
            <w:tcW w:w="2682" w:type="dxa"/>
            <w:noWrap/>
            <w:vAlign w:val="center"/>
          </w:tcPr>
          <w:p>
            <w:pPr>
              <w:wordWrap/>
              <w:topLinePunct w:val="0"/>
              <w:spacing w:line="360" w:lineRule="auto"/>
              <w:jc w:val="center"/>
            </w:pPr>
            <w:r>
              <w:rPr>
                <w:rFonts w:hint="eastAsia"/>
              </w:rPr>
              <w:t>※响应人资质要求</w:t>
            </w:r>
          </w:p>
        </w:tc>
        <w:tc>
          <w:tcPr>
            <w:tcW w:w="6163" w:type="dxa"/>
            <w:noWrap/>
          </w:tcPr>
          <w:p>
            <w:pPr>
              <w:rPr>
                <w:rFonts w:hint="eastAsia"/>
              </w:rPr>
            </w:pPr>
            <w:r>
              <w:rPr>
                <w:rFonts w:hint="eastAsia"/>
              </w:rPr>
              <w:t>1、符合《政府采购法》第二十二条之规定；</w:t>
            </w:r>
          </w:p>
          <w:p>
            <w:pPr>
              <w:rPr>
                <w:rFonts w:hint="eastAsia"/>
              </w:rPr>
            </w:pPr>
            <w:r>
              <w:rPr>
                <w:rFonts w:hint="eastAsia"/>
              </w:rPr>
              <w:t>（1）具有独立承担民事责任的能力；</w:t>
            </w:r>
          </w:p>
          <w:p>
            <w:pPr>
              <w:rPr>
                <w:rFonts w:hint="eastAsia"/>
              </w:rPr>
            </w:pPr>
            <w:r>
              <w:rPr>
                <w:rFonts w:hint="eastAsia"/>
              </w:rPr>
              <w:t>（2）具有良好的商业信誉和健全的财务会计制度；</w:t>
            </w:r>
          </w:p>
          <w:p>
            <w:pPr>
              <w:rPr>
                <w:rFonts w:hint="eastAsia"/>
              </w:rPr>
            </w:pPr>
            <w:r>
              <w:rPr>
                <w:rFonts w:hint="eastAsia"/>
              </w:rPr>
              <w:t>（3）具有履行合同所必需的设备和专业技术能力（提供承诺书，格式自拟）；</w:t>
            </w:r>
          </w:p>
          <w:p>
            <w:pPr>
              <w:rPr>
                <w:rFonts w:hint="eastAsia"/>
              </w:rPr>
            </w:pPr>
            <w:r>
              <w:rPr>
                <w:rFonts w:hint="eastAsia"/>
              </w:rPr>
              <w:t>（4）有依法缴纳税收和社会保障资金的良好记录</w:t>
            </w:r>
            <w:r>
              <w:rPr>
                <w:rFonts w:hint="eastAsia"/>
                <w:lang w:eastAsia="zh-CN"/>
              </w:rPr>
              <w:t>（提供近期任意</w:t>
            </w:r>
            <w:r>
              <w:rPr>
                <w:rFonts w:hint="eastAsia"/>
                <w:lang w:val="en-US" w:eastAsia="zh-CN"/>
              </w:rPr>
              <w:t>1</w:t>
            </w:r>
            <w:r>
              <w:rPr>
                <w:rFonts w:hint="eastAsia"/>
                <w:lang w:eastAsia="zh-CN"/>
              </w:rPr>
              <w:t>个月依法缴纳税收和社会保障资金证明材料）</w:t>
            </w:r>
            <w:r>
              <w:rPr>
                <w:rFonts w:hint="eastAsia"/>
              </w:rPr>
              <w:t>；</w:t>
            </w:r>
          </w:p>
          <w:p>
            <w:pPr>
              <w:rPr>
                <w:rFonts w:hint="eastAsia"/>
              </w:rPr>
            </w:pPr>
            <w:r>
              <w:rPr>
                <w:rFonts w:hint="eastAsia"/>
              </w:rPr>
              <w:t>（5）参加政府采购活动前三年内，在经营活动中没有重大违法记录（提供承诺书，格式自拟）；</w:t>
            </w:r>
          </w:p>
          <w:p>
            <w:pPr>
              <w:rPr>
                <w:rFonts w:hint="eastAsia"/>
              </w:rPr>
            </w:pPr>
            <w:r>
              <w:rPr>
                <w:rFonts w:hint="eastAsia"/>
              </w:rPr>
              <w:t>（6）法律、行政法规规定的其他条件。</w:t>
            </w:r>
          </w:p>
          <w:p>
            <w:pPr>
              <w:rPr>
                <w:rFonts w:hint="eastAsia"/>
              </w:rPr>
            </w:pPr>
            <w:r>
              <w:rPr>
                <w:rFonts w:hint="eastAsia"/>
              </w:rPr>
              <w:t>2.落实政府采购政策需满足的资格要求：</w:t>
            </w:r>
            <w:r>
              <w:rPr>
                <w:rFonts w:hint="eastAsia"/>
                <w:lang w:eastAsia="zh-CN"/>
              </w:rPr>
              <w:t>本项目执行优先采购节能产品、环境标志产品，扶持中小企业、监狱企业、残疾人福利性单位发展政策。</w:t>
            </w:r>
          </w:p>
          <w:p>
            <w:pPr>
              <w:rPr>
                <w:rFonts w:hint="eastAsia"/>
                <w:lang w:val="en-US" w:eastAsia="zh-CN"/>
              </w:rPr>
            </w:pPr>
            <w:r>
              <w:rPr>
                <w:rFonts w:hint="eastAsia"/>
                <w:lang w:val="en-US" w:eastAsia="zh-CN"/>
              </w:rPr>
              <w:t>3、本项目的特定资格要求</w:t>
            </w:r>
          </w:p>
          <w:p>
            <w:pPr>
              <w:rPr>
                <w:rFonts w:hint="eastAsia"/>
                <w:lang w:val="en-US" w:eastAsia="zh-CN"/>
              </w:rPr>
            </w:pPr>
            <w:r>
              <w:rPr>
                <w:rFonts w:hint="eastAsia"/>
                <w:lang w:val="en-US" w:eastAsia="zh-CN"/>
              </w:rPr>
              <w:t>3.1独立法人资格，提供有效的营业执照；</w:t>
            </w:r>
          </w:p>
          <w:p>
            <w:pPr>
              <w:rPr>
                <w:rFonts w:hint="eastAsia"/>
                <w:lang w:val="en-US" w:eastAsia="zh-CN"/>
              </w:rPr>
            </w:pPr>
            <w:r>
              <w:rPr>
                <w:rFonts w:hint="eastAsia"/>
                <w:lang w:val="en-US" w:eastAsia="zh-CN"/>
              </w:rPr>
              <w:t>3.2投标人须具备建筑工程施工总承包叁级及以上资质，</w:t>
            </w:r>
            <w:r>
              <w:rPr>
                <w:rFonts w:hint="default"/>
                <w:lang w:val="en-US" w:eastAsia="zh-CN"/>
              </w:rPr>
              <w:t>并</w:t>
            </w:r>
            <w:r>
              <w:rPr>
                <w:rFonts w:hint="eastAsia"/>
                <w:lang w:val="en-US" w:eastAsia="zh-CN"/>
              </w:rPr>
              <w:t>具有有效的安全生产许可证；拟任项目经理须具备相关专业贰级及以上注册建造师执业资格（不含临时执业证），具备有效的安全生产考核合格证书，且项目经理不得在其他在建项目中担任职务；</w:t>
            </w:r>
          </w:p>
          <w:p>
            <w:pPr>
              <w:rPr>
                <w:rFonts w:hint="eastAsia"/>
                <w:lang w:val="en-US" w:eastAsia="zh-CN"/>
              </w:rPr>
            </w:pPr>
            <w:r>
              <w:rPr>
                <w:rFonts w:hint="eastAsia"/>
                <w:lang w:val="en-US" w:eastAsia="zh-CN"/>
              </w:rPr>
              <w:t>3.3依据财库[2016]125号文件规定，对列入失信被执行人、重大税收违法失信主体、政府采购严重违法失信行为记录名单的供应商，拒绝其参与本项目招投标活动。响应人需提供规范的信用报告，信用报告应通过“信用中国”网站(www.creditchina.gov.cn)下载，生成日期不得早于公告发布日期，中国政府采购网(www.ccgp.gov.cn)查询政府采购严重违法失信行为记录名单（提供招标公告发布之后的网站查询结果截图）</w:t>
            </w:r>
          </w:p>
          <w:p>
            <w:pPr>
              <w:rPr>
                <w:rFonts w:hint="eastAsia"/>
              </w:rPr>
            </w:pPr>
            <w:r>
              <w:rPr>
                <w:rFonts w:hint="eastAsia"/>
                <w:lang w:val="en-US" w:eastAsia="zh-CN"/>
              </w:rPr>
              <w:t>3.4</w:t>
            </w:r>
            <w:r>
              <w:rPr>
                <w:rFonts w:hint="eastAsia"/>
              </w:rPr>
              <w:t>供应商需提供无行贿犯罪记录承诺函（承诺对象包括：供应商、法定代表人、授权委托人）,并对其真实性负责，若承诺不实，造成的后果由供应商自行负责；</w:t>
            </w:r>
          </w:p>
          <w:p>
            <w:pPr>
              <w:rPr>
                <w:rFonts w:hint="eastAsia"/>
              </w:rPr>
            </w:pPr>
            <w:r>
              <w:rPr>
                <w:rFonts w:hint="eastAsia"/>
                <w:lang w:val="en-US" w:eastAsia="zh-CN"/>
              </w:rPr>
              <w:t>3.5</w:t>
            </w:r>
            <w:r>
              <w:rPr>
                <w:rFonts w:hint="eastAsia"/>
              </w:rPr>
              <w:t>本项目不接受联合体投标，不得分包转包；</w:t>
            </w:r>
          </w:p>
          <w:p>
            <w:r>
              <w:rPr>
                <w:rFonts w:hint="eastAsia"/>
              </w:rPr>
              <w:t>本项目采用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648" w:type="dxa"/>
            <w:noWrap/>
            <w:vAlign w:val="center"/>
          </w:tcPr>
          <w:p>
            <w:pPr>
              <w:wordWrap/>
              <w:topLinePunct w:val="0"/>
              <w:spacing w:line="360" w:lineRule="auto"/>
              <w:jc w:val="center"/>
            </w:pPr>
            <w:r>
              <w:rPr>
                <w:rFonts w:hint="eastAsia"/>
              </w:rPr>
              <w:t>14</w:t>
            </w:r>
          </w:p>
        </w:tc>
        <w:tc>
          <w:tcPr>
            <w:tcW w:w="2682" w:type="dxa"/>
            <w:noWrap/>
            <w:vAlign w:val="center"/>
          </w:tcPr>
          <w:p>
            <w:pPr>
              <w:wordWrap/>
              <w:topLinePunct w:val="0"/>
              <w:spacing w:line="360" w:lineRule="auto"/>
              <w:jc w:val="center"/>
            </w:pPr>
            <w:r>
              <w:rPr>
                <w:rFonts w:hint="eastAsia"/>
              </w:rPr>
              <w:t>是否接受联合体参加磋商</w:t>
            </w:r>
          </w:p>
        </w:tc>
        <w:tc>
          <w:tcPr>
            <w:tcW w:w="6163" w:type="dxa"/>
            <w:noWrap/>
          </w:tcPr>
          <w:p>
            <w:pPr>
              <w:wordWrap/>
              <w:topLinePunct w:val="0"/>
              <w:spacing w:line="360" w:lineRule="auto"/>
            </w:pPr>
            <w:r>
              <w:rPr>
                <w:rFonts w:hint="eastAsi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48" w:type="dxa"/>
            <w:noWrap/>
            <w:vAlign w:val="center"/>
          </w:tcPr>
          <w:p>
            <w:pPr>
              <w:wordWrap/>
              <w:topLinePunct w:val="0"/>
              <w:spacing w:line="360" w:lineRule="auto"/>
              <w:jc w:val="center"/>
            </w:pPr>
            <w:r>
              <w:rPr>
                <w:rFonts w:hint="eastAsia"/>
              </w:rPr>
              <w:t>15</w:t>
            </w:r>
          </w:p>
        </w:tc>
        <w:tc>
          <w:tcPr>
            <w:tcW w:w="2682" w:type="dxa"/>
            <w:noWrap/>
            <w:vAlign w:val="center"/>
          </w:tcPr>
          <w:p>
            <w:pPr>
              <w:wordWrap/>
              <w:topLinePunct w:val="0"/>
              <w:spacing w:line="360" w:lineRule="auto"/>
              <w:jc w:val="center"/>
            </w:pPr>
            <w:r>
              <w:rPr>
                <w:rFonts w:hint="eastAsia"/>
              </w:rPr>
              <w:t>现场考察</w:t>
            </w:r>
          </w:p>
        </w:tc>
        <w:tc>
          <w:tcPr>
            <w:tcW w:w="6163" w:type="dxa"/>
            <w:noWrap/>
            <w:vAlign w:val="center"/>
          </w:tcPr>
          <w:p>
            <w:pPr>
              <w:wordWrap/>
              <w:topLinePunct w:val="0"/>
              <w:spacing w:line="360" w:lineRule="auto"/>
            </w:pPr>
            <w:r>
              <w:rPr>
                <w:rFonts w:hint="eastAsi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8" w:type="dxa"/>
            <w:noWrap/>
            <w:vAlign w:val="center"/>
          </w:tcPr>
          <w:p>
            <w:pPr>
              <w:wordWrap/>
              <w:topLinePunct w:val="0"/>
              <w:spacing w:line="360" w:lineRule="auto"/>
              <w:jc w:val="center"/>
            </w:pPr>
            <w:r>
              <w:rPr>
                <w:rFonts w:hint="eastAsia"/>
              </w:rPr>
              <w:t>16</w:t>
            </w:r>
          </w:p>
        </w:tc>
        <w:tc>
          <w:tcPr>
            <w:tcW w:w="2682" w:type="dxa"/>
            <w:noWrap/>
            <w:vAlign w:val="center"/>
          </w:tcPr>
          <w:p>
            <w:pPr>
              <w:wordWrap/>
              <w:topLinePunct w:val="0"/>
              <w:spacing w:line="360" w:lineRule="auto"/>
              <w:ind w:left="38" w:leftChars="18"/>
              <w:jc w:val="center"/>
            </w:pPr>
            <w:r>
              <w:rPr>
                <w:rFonts w:hint="eastAsia"/>
              </w:rPr>
              <w:t>答 疑 会</w:t>
            </w:r>
          </w:p>
        </w:tc>
        <w:tc>
          <w:tcPr>
            <w:tcW w:w="6163" w:type="dxa"/>
            <w:noWrap/>
            <w:vAlign w:val="center"/>
          </w:tcPr>
          <w:p>
            <w:pPr>
              <w:tabs>
                <w:tab w:val="left" w:pos="720"/>
                <w:tab w:val="left" w:pos="1904"/>
              </w:tabs>
              <w:wordWrap/>
              <w:topLinePunct w:val="0"/>
              <w:spacing w:line="360" w:lineRule="auto"/>
            </w:pPr>
            <w:r>
              <w:rPr>
                <w:rFonts w:hint="eastAsia"/>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8" w:type="dxa"/>
            <w:noWrap/>
            <w:vAlign w:val="center"/>
          </w:tcPr>
          <w:p>
            <w:pPr>
              <w:wordWrap/>
              <w:topLinePunct w:val="0"/>
              <w:spacing w:line="360" w:lineRule="auto"/>
              <w:jc w:val="center"/>
            </w:pPr>
            <w:r>
              <w:rPr>
                <w:rFonts w:hint="eastAsia"/>
              </w:rPr>
              <w:t>17</w:t>
            </w:r>
          </w:p>
        </w:tc>
        <w:tc>
          <w:tcPr>
            <w:tcW w:w="2682" w:type="dxa"/>
            <w:noWrap/>
            <w:vAlign w:val="center"/>
          </w:tcPr>
          <w:p>
            <w:pPr>
              <w:wordWrap/>
              <w:topLinePunct w:val="0"/>
              <w:spacing w:line="360" w:lineRule="auto"/>
              <w:jc w:val="center"/>
            </w:pPr>
            <w:r>
              <w:rPr>
                <w:rFonts w:hint="eastAsia"/>
              </w:rPr>
              <w:t>分包</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18</w:t>
            </w:r>
          </w:p>
        </w:tc>
        <w:tc>
          <w:tcPr>
            <w:tcW w:w="2682" w:type="dxa"/>
            <w:noWrap/>
            <w:vAlign w:val="center"/>
          </w:tcPr>
          <w:p>
            <w:pPr>
              <w:wordWrap/>
              <w:topLinePunct w:val="0"/>
              <w:spacing w:line="360" w:lineRule="auto"/>
              <w:jc w:val="center"/>
            </w:pPr>
            <w:r>
              <w:rPr>
                <w:rFonts w:hint="eastAsia"/>
                <w:kern w:val="0"/>
              </w:rPr>
              <w:t>实质性偏差</w:t>
            </w:r>
          </w:p>
        </w:tc>
        <w:tc>
          <w:tcPr>
            <w:tcW w:w="6163" w:type="dxa"/>
            <w:noWrap/>
            <w:vAlign w:val="center"/>
          </w:tcPr>
          <w:p>
            <w:pPr>
              <w:wordWrap/>
              <w:topLinePunct w:val="0"/>
              <w:spacing w:line="360" w:lineRule="auto"/>
            </w:pPr>
            <w:r>
              <w:rPr>
                <w:rFonts w:hint="eastAsia"/>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19</w:t>
            </w:r>
          </w:p>
        </w:tc>
        <w:tc>
          <w:tcPr>
            <w:tcW w:w="2682" w:type="dxa"/>
            <w:noWrap/>
            <w:vAlign w:val="center"/>
          </w:tcPr>
          <w:p>
            <w:pPr>
              <w:wordWrap/>
              <w:topLinePunct w:val="0"/>
              <w:spacing w:line="360" w:lineRule="auto"/>
              <w:jc w:val="center"/>
            </w:pPr>
            <w:r>
              <w:rPr>
                <w:rFonts w:hint="eastAsia"/>
              </w:rPr>
              <w:t>是否接受选择性报价方案</w:t>
            </w:r>
          </w:p>
        </w:tc>
        <w:tc>
          <w:tcPr>
            <w:tcW w:w="6163" w:type="dxa"/>
            <w:noWrap/>
            <w:vAlign w:val="center"/>
          </w:tcPr>
          <w:p>
            <w:pPr>
              <w:wordWrap/>
              <w:topLinePunct w:val="0"/>
              <w:spacing w:line="360" w:lineRule="auto"/>
            </w:pPr>
            <w:r>
              <w:rPr>
                <w:rFonts w:hint="eastAsia"/>
              </w:rPr>
              <w:t>不接受：首次响应文件只允许一个报价方案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48" w:type="dxa"/>
            <w:noWrap/>
            <w:vAlign w:val="center"/>
          </w:tcPr>
          <w:p>
            <w:pPr>
              <w:wordWrap/>
              <w:topLinePunct w:val="0"/>
              <w:spacing w:line="360" w:lineRule="auto"/>
              <w:jc w:val="center"/>
            </w:pPr>
            <w:r>
              <w:rPr>
                <w:rFonts w:hint="eastAsia"/>
              </w:rPr>
              <w:t>20</w:t>
            </w:r>
          </w:p>
        </w:tc>
        <w:tc>
          <w:tcPr>
            <w:tcW w:w="2682" w:type="dxa"/>
            <w:noWrap/>
            <w:vAlign w:val="center"/>
          </w:tcPr>
          <w:p>
            <w:pPr>
              <w:wordWrap/>
              <w:topLinePunct w:val="0"/>
              <w:spacing w:line="360" w:lineRule="auto"/>
              <w:jc w:val="center"/>
            </w:pPr>
            <w:r>
              <w:rPr>
                <w:rFonts w:hint="eastAsia"/>
              </w:rPr>
              <w:t>构成竞争性磋商文件的其他材料</w:t>
            </w:r>
          </w:p>
        </w:tc>
        <w:tc>
          <w:tcPr>
            <w:tcW w:w="6163" w:type="dxa"/>
            <w:noWrap/>
            <w:vAlign w:val="center"/>
          </w:tcPr>
          <w:p>
            <w:pPr>
              <w:wordWrap/>
              <w:topLinePunct w:val="0"/>
              <w:spacing w:line="360" w:lineRule="auto"/>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21</w:t>
            </w:r>
          </w:p>
        </w:tc>
        <w:tc>
          <w:tcPr>
            <w:tcW w:w="2682" w:type="dxa"/>
            <w:noWrap/>
            <w:vAlign w:val="center"/>
          </w:tcPr>
          <w:p>
            <w:pPr>
              <w:spacing w:before="156" w:beforeLines="50"/>
              <w:jc w:val="center"/>
              <w:rPr>
                <w:highlight w:val="none"/>
              </w:rPr>
            </w:pPr>
            <w:r>
              <w:rPr>
                <w:rFonts w:ascii="宋体" w:hAnsi="宋体"/>
                <w:color w:val="auto"/>
                <w:sz w:val="21"/>
                <w:szCs w:val="21"/>
                <w:highlight w:val="none"/>
              </w:rPr>
              <w:t>竞争性磋商文件的澄清</w:t>
            </w:r>
          </w:p>
        </w:tc>
        <w:tc>
          <w:tcPr>
            <w:tcW w:w="6163" w:type="dxa"/>
            <w:noWrap/>
            <w:vAlign w:val="center"/>
          </w:tcPr>
          <w:p>
            <w:pPr>
              <w:rPr>
                <w:rFonts w:ascii="宋体" w:hAnsi="宋体"/>
                <w:color w:val="auto"/>
                <w:sz w:val="21"/>
                <w:szCs w:val="21"/>
                <w:highlight w:val="none"/>
              </w:rPr>
            </w:pPr>
            <w:r>
              <w:rPr>
                <w:rFonts w:ascii="宋体" w:hAnsi="宋体"/>
                <w:color w:val="auto"/>
                <w:sz w:val="21"/>
                <w:szCs w:val="21"/>
                <w:highlight w:val="none"/>
              </w:rPr>
              <w:t>1.若供应商对磋商文件有疑点或异议，可在响应文件提交截止时间两个工作日前通知采购人，采购人将予以答复。</w:t>
            </w:r>
          </w:p>
          <w:p>
            <w:pPr>
              <w:rPr>
                <w:rFonts w:ascii="宋体" w:hAnsi="宋体"/>
                <w:color w:val="auto"/>
                <w:sz w:val="21"/>
                <w:szCs w:val="21"/>
                <w:highlight w:val="none"/>
              </w:rPr>
            </w:pPr>
            <w:r>
              <w:rPr>
                <w:rFonts w:ascii="宋体" w:hAnsi="宋体"/>
                <w:color w:val="auto"/>
                <w:sz w:val="21"/>
                <w:szCs w:val="21"/>
                <w:highlight w:val="none"/>
              </w:rPr>
              <w:t>2.提交响应文件截止时间前，采购人可以对磋商文件进行澄清或者修改，澄清或者修改的内容可能影响响应文件编制的，在提交响应文件截止之</w:t>
            </w:r>
            <w:r>
              <w:rPr>
                <w:rFonts w:hint="eastAsia" w:ascii="宋体" w:hAnsi="宋体"/>
                <w:color w:val="auto"/>
                <w:sz w:val="21"/>
                <w:szCs w:val="21"/>
                <w:highlight w:val="none"/>
              </w:rPr>
              <w:t>日</w:t>
            </w:r>
            <w:r>
              <w:rPr>
                <w:rFonts w:ascii="宋体" w:hAnsi="宋体"/>
                <w:color w:val="auto"/>
                <w:sz w:val="21"/>
                <w:szCs w:val="21"/>
                <w:highlight w:val="none"/>
              </w:rPr>
              <w:t>5日前，以公告形式通知所有获取磋商文件的供应商，供应商及时下载更正或补充文件，不足5日的，将顺延提交响应文件截止时间。更正或补充文件将作为磋商文件的组成部分，对所有供应商有约束力。</w:t>
            </w:r>
          </w:p>
          <w:p>
            <w:pPr>
              <w:rPr>
                <w:highlight w:val="none"/>
              </w:rPr>
            </w:pPr>
            <w:r>
              <w:rPr>
                <w:rFonts w:ascii="宋体" w:hAnsi="宋体"/>
                <w:color w:val="auto"/>
                <w:sz w:val="21"/>
                <w:szCs w:val="21"/>
                <w:highlight w:val="none"/>
              </w:rPr>
              <w:t>当磋商文件与更正或补充文件相矛盾时，以最后发出的更正或补充文件为准。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648" w:type="dxa"/>
            <w:noWrap/>
            <w:vAlign w:val="center"/>
          </w:tcPr>
          <w:p>
            <w:pPr>
              <w:wordWrap/>
              <w:topLinePunct w:val="0"/>
              <w:spacing w:line="360" w:lineRule="auto"/>
              <w:jc w:val="center"/>
            </w:pPr>
            <w:r>
              <w:rPr>
                <w:rFonts w:hint="eastAsia"/>
              </w:rPr>
              <w:t>22</w:t>
            </w:r>
          </w:p>
        </w:tc>
        <w:tc>
          <w:tcPr>
            <w:tcW w:w="2682" w:type="dxa"/>
            <w:noWrap/>
            <w:vAlign w:val="center"/>
          </w:tcPr>
          <w:p>
            <w:pPr>
              <w:wordWrap/>
              <w:topLinePunct w:val="0"/>
              <w:spacing w:line="360" w:lineRule="auto"/>
              <w:jc w:val="center"/>
            </w:pPr>
            <w:r>
              <w:rPr>
                <w:rFonts w:hint="eastAsia"/>
              </w:rPr>
              <w:t>竞争性磋商文件澄清发出的形式</w:t>
            </w:r>
          </w:p>
        </w:tc>
        <w:tc>
          <w:tcPr>
            <w:tcW w:w="6163" w:type="dxa"/>
            <w:noWrap/>
            <w:vAlign w:val="center"/>
          </w:tcPr>
          <w:p>
            <w:pPr>
              <w:wordWrap/>
              <w:topLinePunct w:val="0"/>
              <w:spacing w:line="360" w:lineRule="auto"/>
            </w:pPr>
            <w:r>
              <w:rPr>
                <w:rFonts w:hint="eastAsia"/>
                <w:highlight w:val="none"/>
                <w:lang w:val="en-US" w:eastAsia="zh-CN"/>
              </w:rPr>
              <w:t>公告</w:t>
            </w:r>
            <w:r>
              <w:rPr>
                <w:rFonts w:hint="eastAsia"/>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23</w:t>
            </w:r>
          </w:p>
        </w:tc>
        <w:tc>
          <w:tcPr>
            <w:tcW w:w="2682" w:type="dxa"/>
            <w:noWrap/>
            <w:vAlign w:val="center"/>
          </w:tcPr>
          <w:p>
            <w:pPr>
              <w:wordWrap/>
              <w:topLinePunct w:val="0"/>
              <w:spacing w:line="360" w:lineRule="auto"/>
              <w:jc w:val="center"/>
            </w:pPr>
            <w:r>
              <w:rPr>
                <w:rFonts w:hint="eastAsia"/>
              </w:rPr>
              <w:t>响应人确认收到竞争性磋商文件澄清的时间</w:t>
            </w:r>
          </w:p>
        </w:tc>
        <w:tc>
          <w:tcPr>
            <w:tcW w:w="6163" w:type="dxa"/>
            <w:noWrap/>
            <w:vAlign w:val="center"/>
          </w:tcPr>
          <w:p>
            <w:pPr>
              <w:wordWrap/>
              <w:topLinePunct w:val="0"/>
              <w:spacing w:line="360" w:lineRule="auto"/>
            </w:pPr>
            <w:r>
              <w:rPr>
                <w:rFonts w:hint="eastAsia"/>
              </w:rPr>
              <w:t>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8" w:type="dxa"/>
            <w:noWrap/>
            <w:vAlign w:val="center"/>
          </w:tcPr>
          <w:p>
            <w:pPr>
              <w:wordWrap/>
              <w:topLinePunct w:val="0"/>
              <w:spacing w:line="360" w:lineRule="auto"/>
              <w:jc w:val="center"/>
            </w:pPr>
            <w:r>
              <w:rPr>
                <w:rFonts w:hint="eastAsia"/>
              </w:rPr>
              <w:t>24</w:t>
            </w:r>
          </w:p>
        </w:tc>
        <w:tc>
          <w:tcPr>
            <w:tcW w:w="2682" w:type="dxa"/>
            <w:noWrap/>
            <w:vAlign w:val="center"/>
          </w:tcPr>
          <w:p>
            <w:pPr>
              <w:wordWrap/>
              <w:topLinePunct w:val="0"/>
              <w:spacing w:line="360" w:lineRule="auto"/>
              <w:jc w:val="center"/>
            </w:pPr>
            <w:r>
              <w:rPr>
                <w:rFonts w:hint="eastAsia"/>
              </w:rPr>
              <w:t>竞争性磋商文件修改发出的形式</w:t>
            </w:r>
          </w:p>
        </w:tc>
        <w:tc>
          <w:tcPr>
            <w:tcW w:w="6163" w:type="dxa"/>
            <w:noWrap/>
            <w:vAlign w:val="center"/>
          </w:tcPr>
          <w:p>
            <w:pPr>
              <w:wordWrap/>
              <w:topLinePunct w:val="0"/>
              <w:spacing w:line="360" w:lineRule="auto"/>
            </w:pPr>
            <w:r>
              <w:rPr>
                <w:rFonts w:hint="eastAsia"/>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48" w:type="dxa"/>
            <w:noWrap/>
            <w:vAlign w:val="center"/>
          </w:tcPr>
          <w:p>
            <w:pPr>
              <w:wordWrap/>
              <w:topLinePunct w:val="0"/>
              <w:spacing w:line="360" w:lineRule="auto"/>
              <w:jc w:val="center"/>
            </w:pPr>
            <w:r>
              <w:rPr>
                <w:rFonts w:hint="eastAsia"/>
              </w:rPr>
              <w:t>25</w:t>
            </w:r>
          </w:p>
        </w:tc>
        <w:tc>
          <w:tcPr>
            <w:tcW w:w="2682" w:type="dxa"/>
            <w:noWrap/>
            <w:vAlign w:val="center"/>
          </w:tcPr>
          <w:p>
            <w:pPr>
              <w:wordWrap/>
              <w:topLinePunct w:val="0"/>
              <w:spacing w:line="360" w:lineRule="auto"/>
              <w:jc w:val="center"/>
            </w:pPr>
            <w:r>
              <w:rPr>
                <w:rFonts w:hint="eastAsia"/>
              </w:rPr>
              <w:t>响应人确认收到竞争性磋商文件修改的时间</w:t>
            </w:r>
          </w:p>
        </w:tc>
        <w:tc>
          <w:tcPr>
            <w:tcW w:w="6163" w:type="dxa"/>
            <w:noWrap/>
            <w:vAlign w:val="center"/>
          </w:tcPr>
          <w:p>
            <w:pPr>
              <w:wordWrap/>
              <w:topLinePunct w:val="0"/>
              <w:spacing w:line="360" w:lineRule="auto"/>
            </w:pPr>
            <w:r>
              <w:rPr>
                <w:rFonts w:hint="eastAsia"/>
              </w:rPr>
              <w:t>时间：在收到相应修改文件后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noWrap/>
            <w:vAlign w:val="center"/>
          </w:tcPr>
          <w:p>
            <w:pPr>
              <w:wordWrap/>
              <w:topLinePunct w:val="0"/>
              <w:spacing w:line="360" w:lineRule="auto"/>
              <w:jc w:val="center"/>
            </w:pPr>
            <w:r>
              <w:rPr>
                <w:rFonts w:hint="eastAsia"/>
              </w:rPr>
              <w:t>26</w:t>
            </w:r>
          </w:p>
        </w:tc>
        <w:tc>
          <w:tcPr>
            <w:tcW w:w="2682" w:type="dxa"/>
            <w:noWrap/>
            <w:vAlign w:val="center"/>
          </w:tcPr>
          <w:p>
            <w:pPr>
              <w:wordWrap/>
              <w:topLinePunct w:val="0"/>
              <w:spacing w:line="360" w:lineRule="auto"/>
              <w:jc w:val="center"/>
            </w:pPr>
            <w:r>
              <w:rPr>
                <w:rFonts w:hint="eastAsia"/>
              </w:rPr>
              <w:t>磋商有效期</w:t>
            </w:r>
          </w:p>
        </w:tc>
        <w:tc>
          <w:tcPr>
            <w:tcW w:w="6163" w:type="dxa"/>
            <w:noWrap/>
          </w:tcPr>
          <w:p>
            <w:pPr>
              <w:wordWrap/>
              <w:topLinePunct w:val="0"/>
              <w:spacing w:line="360" w:lineRule="auto"/>
            </w:pPr>
            <w:r>
              <w:rPr>
                <w:rFonts w:hint="eastAsia"/>
              </w:rPr>
              <w:t>响应文件递交截止之日起</w:t>
            </w:r>
            <w:r>
              <w:rPr>
                <w:rFonts w:hint="eastAsia"/>
                <w:u w:val="single"/>
              </w:rPr>
              <w:t xml:space="preserve">  60  </w:t>
            </w:r>
            <w:r>
              <w:rPr>
                <w:rFonts w:hint="eastAsi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8" w:type="dxa"/>
            <w:noWrap/>
            <w:vAlign w:val="center"/>
          </w:tcPr>
          <w:p>
            <w:pPr>
              <w:wordWrap/>
              <w:topLinePunct w:val="0"/>
              <w:spacing w:line="360" w:lineRule="auto"/>
              <w:jc w:val="center"/>
            </w:pPr>
            <w:r>
              <w:rPr>
                <w:rFonts w:hint="eastAsia"/>
              </w:rPr>
              <w:t>27</w:t>
            </w:r>
          </w:p>
        </w:tc>
        <w:tc>
          <w:tcPr>
            <w:tcW w:w="2682" w:type="dxa"/>
            <w:noWrap/>
            <w:vAlign w:val="center"/>
          </w:tcPr>
          <w:p>
            <w:pPr>
              <w:wordWrap/>
              <w:autoSpaceDE w:val="0"/>
              <w:autoSpaceDN w:val="0"/>
              <w:adjustRightInd w:val="0"/>
              <w:spacing w:line="360" w:lineRule="auto"/>
              <w:jc w:val="center"/>
              <w:rPr>
                <w:rFonts w:cs="FangSong_GB2312"/>
                <w:kern w:val="0"/>
              </w:rPr>
            </w:pPr>
            <w:r>
              <w:rPr>
                <w:rFonts w:hint="eastAsia" w:cs="FangSong_GB2312"/>
                <w:kern w:val="0"/>
              </w:rPr>
              <w:t>*磋商保证金</w:t>
            </w:r>
          </w:p>
        </w:tc>
        <w:tc>
          <w:tcPr>
            <w:tcW w:w="6163" w:type="dxa"/>
            <w:noWrap/>
            <w:vAlign w:val="center"/>
          </w:tcPr>
          <w:p>
            <w:pPr>
              <w:wordWrap/>
              <w:spacing w:line="360" w:lineRule="auto"/>
              <w:rPr>
                <w:rFonts w:cs="FangSong_GB2312"/>
                <w:kern w:val="0"/>
              </w:rPr>
            </w:pPr>
            <w:r>
              <w:rPr>
                <w:rFonts w:hint="eastAsia" w:cs="FangSong_GB2312"/>
                <w:kern w:val="0"/>
              </w:rPr>
              <w:t>本项目不缴纳磋商保证金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28</w:t>
            </w:r>
          </w:p>
        </w:tc>
        <w:tc>
          <w:tcPr>
            <w:tcW w:w="2682" w:type="dxa"/>
            <w:noWrap/>
            <w:vAlign w:val="center"/>
          </w:tcPr>
          <w:p>
            <w:pPr>
              <w:widowControl/>
              <w:shd w:val="clear" w:color="auto" w:fill="FFFFFF"/>
              <w:wordWrap/>
              <w:spacing w:line="360" w:lineRule="auto"/>
              <w:jc w:val="center"/>
            </w:pPr>
            <w:r>
              <w:rPr>
                <w:rFonts w:hint="eastAsia"/>
                <w:kern w:val="0"/>
                <w:shd w:val="clear" w:color="auto" w:fill="FFFFFF"/>
              </w:rPr>
              <w:t>电子响应文件签名或盖章要求</w:t>
            </w:r>
          </w:p>
        </w:tc>
        <w:tc>
          <w:tcPr>
            <w:tcW w:w="6163" w:type="dxa"/>
            <w:noWrap/>
            <w:vAlign w:val="center"/>
          </w:tcPr>
          <w:p>
            <w:pPr>
              <w:widowControl/>
              <w:shd w:val="clear" w:color="auto" w:fill="FFFFFF"/>
              <w:wordWrap/>
              <w:spacing w:line="360" w:lineRule="auto"/>
              <w:jc w:val="left"/>
            </w:pPr>
            <w:r>
              <w:rPr>
                <w:rFonts w:hint="eastAsia"/>
                <w:kern w:val="0"/>
                <w:shd w:val="clear" w:color="auto" w:fill="FFFFFF"/>
              </w:rPr>
              <w:t>投标文件格式中规定需加盖电子签章的页面要求，供应商须加盖供应商电子公章或法定代表人电子签名。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48" w:type="dxa"/>
            <w:noWrap/>
            <w:vAlign w:val="center"/>
          </w:tcPr>
          <w:p>
            <w:pPr>
              <w:wordWrap/>
              <w:topLinePunct w:val="0"/>
              <w:spacing w:line="360" w:lineRule="auto"/>
              <w:jc w:val="center"/>
            </w:pPr>
            <w:r>
              <w:rPr>
                <w:rFonts w:hint="eastAsia"/>
              </w:rPr>
              <w:t>29</w:t>
            </w:r>
          </w:p>
        </w:tc>
        <w:tc>
          <w:tcPr>
            <w:tcW w:w="2682" w:type="dxa"/>
            <w:noWrap/>
          </w:tcPr>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rPr>
                <w:b/>
                <w:sz w:val="20"/>
              </w:rPr>
            </w:pPr>
          </w:p>
          <w:p>
            <w:pPr>
              <w:pStyle w:val="39"/>
              <w:spacing w:before="6"/>
              <w:rPr>
                <w:b/>
                <w:sz w:val="25"/>
              </w:rPr>
            </w:pPr>
          </w:p>
          <w:p>
            <w:pPr>
              <w:pStyle w:val="39"/>
              <w:ind w:left="102" w:right="93"/>
              <w:jc w:val="center"/>
            </w:pPr>
            <w:r>
              <w:t>递交响应文件方式及地点</w:t>
            </w:r>
          </w:p>
        </w:tc>
        <w:tc>
          <w:tcPr>
            <w:tcW w:w="6163" w:type="dxa"/>
            <w:noWrap/>
          </w:tcPr>
          <w:p>
            <w:pPr>
              <w:pStyle w:val="39"/>
              <w:spacing w:before="131"/>
              <w:ind w:left="106" w:right="-15"/>
            </w:pPr>
            <w:r>
              <w:rPr>
                <w:rFonts w:hint="eastAsia"/>
              </w:rPr>
              <w:t>1、</w:t>
            </w:r>
            <w:r>
              <w:rPr>
                <w:rFonts w:hint="eastAsia"/>
                <w:lang w:val="en-US"/>
              </w:rPr>
              <w:t>响应</w:t>
            </w:r>
            <w:r>
              <w:rPr>
                <w:rFonts w:hint="eastAsia"/>
              </w:rPr>
              <w:t>文件递交</w:t>
            </w:r>
          </w:p>
          <w:p>
            <w:pPr>
              <w:pStyle w:val="39"/>
              <w:spacing w:before="131"/>
              <w:ind w:left="106" w:right="-15"/>
            </w:pPr>
            <w:r>
              <w:rPr>
                <w:rFonts w:hint="eastAsia"/>
                <w:lang w:val="en-US"/>
              </w:rPr>
              <w:t>供应商</w:t>
            </w:r>
            <w:r>
              <w:rPr>
                <w:rFonts w:hint="eastAsia"/>
              </w:rPr>
              <w:t>应在规定的</w:t>
            </w:r>
            <w:r>
              <w:rPr>
                <w:rFonts w:hint="eastAsia"/>
                <w:lang w:val="en-US"/>
              </w:rPr>
              <w:t>响应</w:t>
            </w:r>
            <w:r>
              <w:rPr>
                <w:rFonts w:hint="eastAsia"/>
              </w:rPr>
              <w:t>截止时间前完成</w:t>
            </w:r>
            <w:r>
              <w:rPr>
                <w:rFonts w:hint="eastAsia"/>
                <w:lang w:val="en-US"/>
              </w:rPr>
              <w:t>响应</w:t>
            </w:r>
            <w:r>
              <w:rPr>
                <w:rFonts w:hint="eastAsia"/>
              </w:rPr>
              <w:t>文件的递交。电子</w:t>
            </w:r>
            <w:r>
              <w:rPr>
                <w:rFonts w:hint="eastAsia"/>
                <w:lang w:val="en-US"/>
              </w:rPr>
              <w:t>响应</w:t>
            </w:r>
            <w:r>
              <w:rPr>
                <w:rFonts w:hint="eastAsia"/>
              </w:rPr>
              <w:t>文件（格式为:.</w:t>
            </w:r>
            <w:r>
              <w:rPr>
                <w:rFonts w:hint="eastAsia"/>
                <w:lang w:val="en-US" w:eastAsia="zh-CN"/>
              </w:rPr>
              <w:t>NYTF</w:t>
            </w:r>
            <w:r>
              <w:rPr>
                <w:rFonts w:hint="eastAsia"/>
              </w:rPr>
              <w:t>），</w:t>
            </w:r>
            <w:r>
              <w:rPr>
                <w:rFonts w:hint="eastAsia"/>
                <w:lang w:val="en-US"/>
              </w:rPr>
              <w:t>供应商</w:t>
            </w:r>
            <w:r>
              <w:rPr>
                <w:rFonts w:hint="eastAsia"/>
              </w:rPr>
              <w:t>上传时必须得到系统“上传成功”的确认回复，并认真检查电子</w:t>
            </w:r>
            <w:r>
              <w:rPr>
                <w:rFonts w:hint="eastAsia"/>
                <w:lang w:val="en-US"/>
              </w:rPr>
              <w:t>响应</w:t>
            </w:r>
            <w:r>
              <w:rPr>
                <w:rFonts w:hint="eastAsia"/>
              </w:rPr>
              <w:t>文件是否完整、正确。</w:t>
            </w:r>
          </w:p>
          <w:p>
            <w:pPr>
              <w:pStyle w:val="39"/>
              <w:spacing w:before="131"/>
              <w:ind w:left="106" w:right="-15"/>
            </w:pPr>
            <w:r>
              <w:rPr>
                <w:rFonts w:hint="eastAsia"/>
              </w:rPr>
              <w:t>2、</w:t>
            </w:r>
            <w:r>
              <w:rPr>
                <w:rFonts w:hint="eastAsia"/>
                <w:lang w:val="en-US"/>
              </w:rPr>
              <w:t>供应商</w:t>
            </w:r>
            <w:r>
              <w:rPr>
                <w:rFonts w:hint="eastAsia"/>
              </w:rPr>
              <w:t>的电子</w:t>
            </w:r>
            <w:r>
              <w:rPr>
                <w:rFonts w:hint="eastAsia"/>
                <w:lang w:val="en-US"/>
              </w:rPr>
              <w:t>响应</w:t>
            </w:r>
            <w:r>
              <w:rPr>
                <w:rFonts w:hint="eastAsia"/>
              </w:rPr>
              <w:t>文件应在采购文件规定的投标截止时间前到达交易系统。逾期到达交易系统的电子</w:t>
            </w:r>
            <w:r>
              <w:rPr>
                <w:rFonts w:hint="eastAsia"/>
                <w:lang w:val="en-US"/>
              </w:rPr>
              <w:t>响应</w:t>
            </w:r>
            <w:r>
              <w:rPr>
                <w:rFonts w:hint="eastAsia"/>
              </w:rPr>
              <w:t>文件视为放弃本</w:t>
            </w:r>
            <w:r>
              <w:rPr>
                <w:rFonts w:hint="eastAsia"/>
                <w:lang w:val="en-US"/>
              </w:rPr>
              <w:t>次投标</w:t>
            </w:r>
            <w:r>
              <w:rPr>
                <w:rFonts w:hint="eastAsia"/>
              </w:rPr>
              <w:t>。</w:t>
            </w:r>
            <w:r>
              <w:rPr>
                <w:rFonts w:hint="eastAsia"/>
                <w:lang w:val="en-US"/>
              </w:rPr>
              <w:t>网址：https://ggzyjy.nanyang.gov.cn/WCQWEB/</w:t>
            </w:r>
            <w:r>
              <w:rPr>
                <w:rFonts w:hint="eastAsia"/>
              </w:rPr>
              <w:t>。</w:t>
            </w:r>
          </w:p>
          <w:p>
            <w:pPr>
              <w:pStyle w:val="39"/>
              <w:spacing w:before="131"/>
              <w:ind w:left="106" w:right="-15"/>
            </w:pPr>
            <w:r>
              <w:rPr>
                <w:rFonts w:hint="eastAsia"/>
              </w:rPr>
              <w:t>3、</w:t>
            </w:r>
            <w:r>
              <w:rPr>
                <w:rFonts w:hint="eastAsia"/>
                <w:lang w:val="en-US"/>
              </w:rPr>
              <w:t>供应商</w:t>
            </w:r>
            <w:r>
              <w:rPr>
                <w:rFonts w:hint="eastAsia"/>
              </w:rPr>
              <w:t>应按时</w:t>
            </w:r>
            <w:r>
              <w:rPr>
                <w:rFonts w:hint="eastAsia"/>
                <w:lang w:val="en-US"/>
              </w:rPr>
              <w:t>登录不见面开标大厅参加</w:t>
            </w:r>
            <w:r>
              <w:rPr>
                <w:rFonts w:hint="eastAsia"/>
              </w:rPr>
              <w:t>开标会议，并进行</w:t>
            </w:r>
            <w:r>
              <w:rPr>
                <w:rFonts w:hint="eastAsia"/>
                <w:lang w:val="en-US"/>
              </w:rPr>
              <w:t>响应</w:t>
            </w:r>
            <w:r>
              <w:rPr>
                <w:rFonts w:hint="eastAsia"/>
              </w:rPr>
              <w:t>文件解密、答疑澄清等。</w:t>
            </w:r>
          </w:p>
          <w:p>
            <w:pPr>
              <w:pStyle w:val="39"/>
              <w:spacing w:before="131"/>
              <w:ind w:left="106" w:right="-15"/>
            </w:pPr>
            <w:r>
              <w:rPr>
                <w:rFonts w:hint="eastAsia"/>
              </w:rPr>
              <w:t>4、</w:t>
            </w:r>
            <w:r>
              <w:rPr>
                <w:rFonts w:hint="eastAsia"/>
                <w:lang w:val="en-US"/>
              </w:rPr>
              <w:t>供应商</w:t>
            </w:r>
            <w:r>
              <w:rPr>
                <w:rFonts w:hint="eastAsia"/>
              </w:rPr>
              <w:t>所上传的电子</w:t>
            </w:r>
            <w:r>
              <w:rPr>
                <w:rFonts w:hint="eastAsia"/>
                <w:lang w:val="en-US"/>
              </w:rPr>
              <w:t>响应</w:t>
            </w:r>
            <w:r>
              <w:rPr>
                <w:rFonts w:hint="eastAsia"/>
              </w:rPr>
              <w:t>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noWrap/>
            <w:vAlign w:val="center"/>
          </w:tcPr>
          <w:p>
            <w:pPr>
              <w:wordWrap/>
              <w:topLinePunct w:val="0"/>
              <w:spacing w:line="360" w:lineRule="auto"/>
              <w:jc w:val="center"/>
            </w:pPr>
            <w:r>
              <w:rPr>
                <w:rFonts w:hint="eastAsia"/>
              </w:rPr>
              <w:t>30</w:t>
            </w:r>
          </w:p>
        </w:tc>
        <w:tc>
          <w:tcPr>
            <w:tcW w:w="2682" w:type="dxa"/>
            <w:noWrap/>
            <w:vAlign w:val="center"/>
          </w:tcPr>
          <w:p>
            <w:pPr>
              <w:wordWrap/>
              <w:topLinePunct w:val="0"/>
              <w:spacing w:line="360" w:lineRule="auto"/>
              <w:jc w:val="center"/>
            </w:pPr>
            <w:r>
              <w:rPr>
                <w:rFonts w:hint="eastAsia"/>
              </w:rPr>
              <w:t>电子投标文件递交</w:t>
            </w:r>
          </w:p>
        </w:tc>
        <w:tc>
          <w:tcPr>
            <w:tcW w:w="6163" w:type="dxa"/>
            <w:noWrap/>
            <w:vAlign w:val="center"/>
          </w:tcPr>
          <w:p>
            <w:pPr>
              <w:wordWrap/>
              <w:topLinePunct w:val="0"/>
              <w:spacing w:line="360" w:lineRule="auto"/>
            </w:pPr>
            <w:r>
              <w:t>1</w:t>
            </w:r>
            <w:r>
              <w:rPr>
                <w:rFonts w:hint="eastAsia"/>
              </w:rPr>
              <w:t>、该项目自行上传投标文件，无需寄送和递交非加密投标文件光盘等。需要注意开标前登录不见面系统进行签到；电子投标文件应在采购文件规定的投标截止时间前到达交易系统。逾期到达交易系统的电子投标文件视为放弃本次投标，采购人不予受理。</w:t>
            </w:r>
          </w:p>
          <w:p>
            <w:pPr>
              <w:wordWrap/>
              <w:topLinePunct w:val="0"/>
              <w:spacing w:line="360" w:lineRule="auto"/>
            </w:pPr>
            <w:r>
              <w:t>2</w:t>
            </w:r>
            <w:r>
              <w:rPr>
                <w:rFonts w:hint="eastAsia"/>
              </w:rPr>
              <w:t>、供应商所递交的电子投标文件在投标截止时间之后不予退回。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48" w:type="dxa"/>
            <w:noWrap/>
            <w:vAlign w:val="center"/>
          </w:tcPr>
          <w:p>
            <w:pPr>
              <w:wordWrap/>
              <w:topLinePunct w:val="0"/>
              <w:spacing w:line="360" w:lineRule="auto"/>
              <w:jc w:val="center"/>
            </w:pPr>
            <w:r>
              <w:rPr>
                <w:rFonts w:hint="eastAsia"/>
              </w:rPr>
              <w:t>31</w:t>
            </w:r>
          </w:p>
        </w:tc>
        <w:tc>
          <w:tcPr>
            <w:tcW w:w="2682" w:type="dxa"/>
            <w:noWrap/>
          </w:tcPr>
          <w:p>
            <w:pPr>
              <w:pStyle w:val="39"/>
              <w:rPr>
                <w:b/>
                <w:sz w:val="20"/>
              </w:rPr>
            </w:pPr>
          </w:p>
          <w:p>
            <w:pPr>
              <w:pStyle w:val="39"/>
              <w:spacing w:before="1"/>
              <w:ind w:left="102" w:right="93"/>
              <w:jc w:val="center"/>
            </w:pPr>
            <w:r>
              <w:t>响应文件的份数</w:t>
            </w:r>
          </w:p>
        </w:tc>
        <w:tc>
          <w:tcPr>
            <w:tcW w:w="6163" w:type="dxa"/>
            <w:noWrap/>
          </w:tcPr>
          <w:p>
            <w:pPr>
              <w:pStyle w:val="39"/>
              <w:spacing w:before="156"/>
              <w:rPr>
                <w:rFonts w:hint="eastAsia" w:eastAsia="宋体"/>
                <w:lang w:val="en-US" w:eastAsia="zh-CN" w:bidi="ar-SA"/>
              </w:rPr>
            </w:pPr>
            <w:r>
              <w:rPr>
                <w:rFonts w:hint="eastAsia"/>
                <w:lang w:val="en-US" w:bidi="ar-SA"/>
              </w:rPr>
              <w:t>供应商需在开标截止前上传一份符合要求的响应文件至社旗县公共资源交易中心系统</w:t>
            </w:r>
            <w:r>
              <w:rPr>
                <w:rFonts w:hint="eastAsia"/>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32</w:t>
            </w:r>
          </w:p>
        </w:tc>
        <w:tc>
          <w:tcPr>
            <w:tcW w:w="2682" w:type="dxa"/>
            <w:noWrap/>
            <w:vAlign w:val="center"/>
          </w:tcPr>
          <w:p>
            <w:pPr>
              <w:wordWrap/>
              <w:topLinePunct w:val="0"/>
              <w:spacing w:line="360" w:lineRule="auto"/>
              <w:jc w:val="center"/>
            </w:pPr>
            <w:r>
              <w:rPr>
                <w:rFonts w:hint="eastAsia"/>
              </w:rPr>
              <w:t>开标程序</w:t>
            </w:r>
          </w:p>
        </w:tc>
        <w:tc>
          <w:tcPr>
            <w:tcW w:w="6163" w:type="dxa"/>
            <w:noWrap/>
            <w:vAlign w:val="center"/>
          </w:tcPr>
          <w:p>
            <w:pPr>
              <w:spacing w:line="360" w:lineRule="auto"/>
            </w:pPr>
            <w:r>
              <w:t>本项目采用“远程不见面”开标方式，不见面开标大厅地址</w:t>
            </w:r>
            <w:r>
              <w:rPr>
                <w:rFonts w:hint="eastAsia"/>
                <w:lang w:eastAsia="zh-CN"/>
              </w:rPr>
              <w:t>https://ggzyjy.nanyang.gov.cn/BidOpening/bidopeninghallaction/hall/login</w:t>
            </w:r>
            <w:r>
              <w:t>，供应商无需到南阳市</w:t>
            </w:r>
            <w:r>
              <w:rPr>
                <w:rFonts w:hint="eastAsia"/>
                <w:lang w:val="en-US" w:eastAsia="zh-CN"/>
              </w:rPr>
              <w:t>社旗县</w:t>
            </w:r>
            <w:r>
              <w:t>公共资源交易中心现场参加开标会议，无需到达现场提交原件资料。供应商应当在投标截止时间前，登录远程开标大厅，在线准时参加开标活动并进行文件解密、答疑澄清等。各供应商应在规定时间内对本单位的</w:t>
            </w:r>
            <w:r>
              <w:rPr>
                <w:rFonts w:hint="eastAsia"/>
              </w:rPr>
              <w:t>响应文件</w:t>
            </w:r>
            <w:r>
              <w:t>现场解密，因加密电子</w:t>
            </w:r>
            <w:r>
              <w:rPr>
                <w:rFonts w:hint="eastAsia"/>
              </w:rPr>
              <w:t>响应文件</w:t>
            </w:r>
            <w:r>
              <w:t>未能成功上传或误传而导致的解密失败，投标将被拒绝。</w:t>
            </w:r>
          </w:p>
          <w:p>
            <w:pPr>
              <w:spacing w:line="360" w:lineRule="auto"/>
            </w:pPr>
            <w:r>
              <w:t>1、</w:t>
            </w:r>
            <w:r>
              <w:rPr>
                <w:rFonts w:hint="eastAsia"/>
              </w:rPr>
              <w:t>供应商</w:t>
            </w:r>
            <w:r>
              <w:t>代表持本单位CA数字证书提前登录不见面开标系统。</w:t>
            </w:r>
          </w:p>
          <w:p>
            <w:pPr>
              <w:spacing w:line="360" w:lineRule="auto"/>
            </w:pPr>
            <w:r>
              <w:t>2、开标时间到，在线公布</w:t>
            </w:r>
            <w:r>
              <w:rPr>
                <w:rFonts w:hint="eastAsia"/>
              </w:rPr>
              <w:t>供应商</w:t>
            </w:r>
            <w:r>
              <w:t>、</w:t>
            </w:r>
            <w:r>
              <w:rPr>
                <w:rFonts w:hint="eastAsia"/>
              </w:rPr>
              <w:t>采购人</w:t>
            </w:r>
            <w:r>
              <w:t>代表、监标人等有关名单。并退回不符合要求的</w:t>
            </w:r>
            <w:r>
              <w:rPr>
                <w:rFonts w:hint="eastAsia"/>
              </w:rPr>
              <w:t>响应文件</w:t>
            </w:r>
            <w:r>
              <w:t>。</w:t>
            </w:r>
          </w:p>
          <w:p>
            <w:pPr>
              <w:spacing w:line="360" w:lineRule="auto"/>
            </w:pPr>
            <w:r>
              <w:t xml:space="preserve">3、开标顺序： </w:t>
            </w:r>
          </w:p>
          <w:p>
            <w:pPr>
              <w:spacing w:line="360" w:lineRule="auto"/>
            </w:pPr>
            <w:r>
              <w:t>①</w:t>
            </w:r>
            <w:r>
              <w:rPr>
                <w:rFonts w:hint="eastAsia"/>
              </w:rPr>
              <w:t>供应商</w:t>
            </w:r>
            <w:r>
              <w:t>解密：投标企业制作电子</w:t>
            </w:r>
            <w:r>
              <w:rPr>
                <w:rFonts w:hint="eastAsia"/>
              </w:rPr>
              <w:t>响应文件</w:t>
            </w:r>
            <w:r>
              <w:t>时，必须使用本单位企业数字证书进行加密，投标企业在开标前须自行检查数字证书有效性。在解密时间到达后，系统做出解密提示，请各</w:t>
            </w:r>
            <w:r>
              <w:rPr>
                <w:rFonts w:hint="eastAsia"/>
              </w:rPr>
              <w:t>供应商</w:t>
            </w:r>
            <w:r>
              <w:t>自行解密即可。开标解密时未解密成功的视为撤销其</w:t>
            </w:r>
            <w:r>
              <w:rPr>
                <w:rFonts w:hint="eastAsia"/>
              </w:rPr>
              <w:t>响应文件</w:t>
            </w:r>
            <w:r>
              <w:t>（因电子开标系统原因除外）。</w:t>
            </w:r>
          </w:p>
          <w:p>
            <w:pPr>
              <w:spacing w:line="360" w:lineRule="auto"/>
              <w:rPr>
                <w:rFonts w:hint="eastAsia" w:eastAsia="宋体"/>
                <w:lang w:eastAsia="zh-CN"/>
              </w:rPr>
            </w:pPr>
            <w:r>
              <w:t>②唱标。查看唱标信息（系统不提供语音在线播放，该页面停留5分钟供</w:t>
            </w:r>
            <w:r>
              <w:rPr>
                <w:rFonts w:hint="eastAsia"/>
              </w:rPr>
              <w:t>供应商</w:t>
            </w:r>
            <w:r>
              <w:t>查看，如</w:t>
            </w:r>
            <w:bookmarkStart w:id="748" w:name="_GoBack"/>
            <w:bookmarkEnd w:id="748"/>
            <w:r>
              <w:t>无异议视为同意）。</w:t>
            </w:r>
            <w:r>
              <w:rPr>
                <w:rFonts w:hint="eastAsia"/>
              </w:rPr>
              <w:t>采购人</w:t>
            </w:r>
            <w:r>
              <w:t>、监督人需要关注开标过程中，</w:t>
            </w:r>
            <w:r>
              <w:rPr>
                <w:rFonts w:hint="eastAsia"/>
              </w:rPr>
              <w:t>供应商</w:t>
            </w:r>
            <w:r>
              <w:t>随时在线提出的异议、问题沟通等信息，并做好及时回复</w:t>
            </w:r>
            <w:r>
              <w:rPr>
                <w:rFonts w:hint="eastAsia"/>
                <w:lang w:eastAsia="zh-CN"/>
              </w:rPr>
              <w:t>。</w:t>
            </w:r>
          </w:p>
          <w:p>
            <w:pPr>
              <w:spacing w:line="360" w:lineRule="auto"/>
            </w:pPr>
            <w:r>
              <w:t>③</w:t>
            </w:r>
            <w:r>
              <w:rPr>
                <w:rFonts w:hint="eastAsia"/>
              </w:rPr>
              <w:t>采购人</w:t>
            </w:r>
            <w:r>
              <w:t>、监督人等相关人员在开标记录表上（可进入原评标系统直接打印）签字确认。</w:t>
            </w:r>
          </w:p>
          <w:p>
            <w:pPr>
              <w:spacing w:line="360" w:lineRule="auto"/>
            </w:pPr>
            <w:r>
              <w:t>④招标代理机构宣布开标结束，在评标系统中点击“开标结束”，并进行“招标文件导入”、“控制价文件导入”。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48" w:type="dxa"/>
            <w:noWrap/>
            <w:vAlign w:val="center"/>
          </w:tcPr>
          <w:p>
            <w:pPr>
              <w:wordWrap/>
              <w:topLinePunct w:val="0"/>
              <w:spacing w:line="360" w:lineRule="auto"/>
              <w:jc w:val="center"/>
            </w:pPr>
            <w:r>
              <w:rPr>
                <w:rFonts w:hint="eastAsia"/>
              </w:rPr>
              <w:t>33</w:t>
            </w:r>
          </w:p>
        </w:tc>
        <w:tc>
          <w:tcPr>
            <w:tcW w:w="2682" w:type="dxa"/>
            <w:noWrap/>
            <w:vAlign w:val="center"/>
          </w:tcPr>
          <w:p>
            <w:pPr>
              <w:wordWrap/>
              <w:topLinePunct w:val="0"/>
              <w:spacing w:line="360" w:lineRule="auto"/>
              <w:jc w:val="center"/>
              <w:rPr>
                <w:highlight w:val="none"/>
              </w:rPr>
            </w:pPr>
            <w:r>
              <w:rPr>
                <w:rFonts w:hint="eastAsia"/>
                <w:highlight w:val="none"/>
              </w:rPr>
              <w:t>提交首次响应文件</w:t>
            </w:r>
          </w:p>
          <w:p>
            <w:pPr>
              <w:wordWrap/>
              <w:topLinePunct w:val="0"/>
              <w:spacing w:line="360" w:lineRule="auto"/>
              <w:jc w:val="center"/>
              <w:rPr>
                <w:highlight w:val="none"/>
              </w:rPr>
            </w:pPr>
            <w:r>
              <w:rPr>
                <w:rFonts w:hint="eastAsia"/>
                <w:highlight w:val="none"/>
              </w:rPr>
              <w:t>截止时间</w:t>
            </w:r>
          </w:p>
        </w:tc>
        <w:tc>
          <w:tcPr>
            <w:tcW w:w="6163" w:type="dxa"/>
            <w:noWrap/>
            <w:vAlign w:val="center"/>
          </w:tcPr>
          <w:p>
            <w:pPr>
              <w:wordWrap/>
              <w:topLinePunct w:val="0"/>
              <w:spacing w:line="360" w:lineRule="auto"/>
              <w:rPr>
                <w:highlight w:val="none"/>
              </w:rPr>
            </w:pPr>
            <w:r>
              <w:rPr>
                <w:rFonts w:hint="eastAsia"/>
                <w:highlight w:val="none"/>
                <w:lang w:val="en-US" w:eastAsia="zh-CN"/>
              </w:rPr>
              <w:t xml:space="preserve"> 2024年1月9日11时00分</w:t>
            </w:r>
            <w:r>
              <w:rPr>
                <w:rFonts w:hint="eastAsia"/>
                <w:highlight w:val="none"/>
                <w:lang w:eastAsia="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48" w:type="dxa"/>
            <w:noWrap/>
            <w:vAlign w:val="center"/>
          </w:tcPr>
          <w:p>
            <w:pPr>
              <w:wordWrap/>
              <w:topLinePunct w:val="0"/>
              <w:spacing w:line="360" w:lineRule="auto"/>
              <w:jc w:val="center"/>
            </w:pPr>
            <w:r>
              <w:rPr>
                <w:rFonts w:hint="eastAsia"/>
              </w:rPr>
              <w:t>34</w:t>
            </w:r>
          </w:p>
        </w:tc>
        <w:tc>
          <w:tcPr>
            <w:tcW w:w="2682" w:type="dxa"/>
            <w:noWrap/>
            <w:vAlign w:val="center"/>
          </w:tcPr>
          <w:p>
            <w:pPr>
              <w:wordWrap/>
              <w:topLinePunct w:val="0"/>
              <w:spacing w:line="360" w:lineRule="auto"/>
              <w:jc w:val="center"/>
              <w:rPr>
                <w:highlight w:val="yellow"/>
              </w:rPr>
            </w:pPr>
            <w:r>
              <w:rPr>
                <w:rFonts w:hint="eastAsia"/>
              </w:rPr>
              <w:t>提交首次响应文件地点</w:t>
            </w:r>
          </w:p>
        </w:tc>
        <w:tc>
          <w:tcPr>
            <w:tcW w:w="6163" w:type="dxa"/>
            <w:noWrap/>
            <w:vAlign w:val="center"/>
          </w:tcPr>
          <w:p>
            <w:pPr>
              <w:wordWrap/>
              <w:topLinePunct w:val="0"/>
              <w:spacing w:line="360" w:lineRule="auto"/>
              <w:jc w:val="left"/>
              <w:rPr>
                <w:rFonts w:hint="eastAsia" w:eastAsia="宋体"/>
                <w:highlight w:val="yellow"/>
                <w:lang w:eastAsia="zh-CN"/>
              </w:rPr>
            </w:pPr>
            <w:r>
              <w:rPr>
                <w:rFonts w:hint="eastAsia" w:eastAsia="宋体"/>
                <w:highlight w:val="none"/>
                <w:lang w:eastAsia="zh-CN"/>
              </w:rPr>
              <w:t>社旗县公共资源交易中心系统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48" w:type="dxa"/>
            <w:noWrap/>
            <w:vAlign w:val="center"/>
          </w:tcPr>
          <w:p>
            <w:pPr>
              <w:wordWrap/>
              <w:topLinePunct w:val="0"/>
              <w:spacing w:line="360" w:lineRule="auto"/>
              <w:jc w:val="center"/>
            </w:pPr>
            <w:r>
              <w:rPr>
                <w:rFonts w:hint="eastAsia"/>
              </w:rPr>
              <w:t>35</w:t>
            </w:r>
          </w:p>
        </w:tc>
        <w:tc>
          <w:tcPr>
            <w:tcW w:w="2682" w:type="dxa"/>
            <w:noWrap/>
            <w:vAlign w:val="center"/>
          </w:tcPr>
          <w:p>
            <w:pPr>
              <w:wordWrap/>
              <w:topLinePunct w:val="0"/>
              <w:spacing w:line="360" w:lineRule="auto"/>
              <w:jc w:val="center"/>
            </w:pPr>
            <w:r>
              <w:rPr>
                <w:rFonts w:hint="eastAsia"/>
              </w:rPr>
              <w:t>是否退还磋商响应文件</w:t>
            </w:r>
          </w:p>
        </w:tc>
        <w:tc>
          <w:tcPr>
            <w:tcW w:w="6163" w:type="dxa"/>
            <w:noWrap/>
            <w:vAlign w:val="center"/>
          </w:tcPr>
          <w:p>
            <w:pPr>
              <w:wordWrap/>
              <w:topLinePunct w:val="0"/>
              <w:spacing w:line="360" w:lineRule="auto"/>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460" w:lineRule="exact"/>
              <w:jc w:val="center"/>
            </w:pPr>
            <w:r>
              <w:rPr>
                <w:rFonts w:hint="eastAsia"/>
              </w:rPr>
              <w:t>36</w:t>
            </w:r>
          </w:p>
        </w:tc>
        <w:tc>
          <w:tcPr>
            <w:tcW w:w="2682" w:type="dxa"/>
            <w:noWrap/>
            <w:vAlign w:val="center"/>
          </w:tcPr>
          <w:p>
            <w:pPr>
              <w:wordWrap/>
              <w:topLinePunct w:val="0"/>
              <w:spacing w:line="360" w:lineRule="auto"/>
              <w:jc w:val="center"/>
            </w:pPr>
            <w:r>
              <w:rPr>
                <w:rFonts w:hint="eastAsia"/>
              </w:rPr>
              <w:t>磋商小组的组建</w:t>
            </w:r>
          </w:p>
        </w:tc>
        <w:tc>
          <w:tcPr>
            <w:tcW w:w="6163" w:type="dxa"/>
            <w:noWrap/>
          </w:tcPr>
          <w:p>
            <w:pPr>
              <w:wordWrap/>
              <w:topLinePunct w:val="0"/>
              <w:spacing w:line="360" w:lineRule="auto"/>
            </w:pPr>
            <w:r>
              <w:rPr>
                <w:rFonts w:hint="eastAsia"/>
              </w:rPr>
              <w:t>磋商小组由采购人代表1人和</w:t>
            </w:r>
            <w:r>
              <w:rPr>
                <w:rFonts w:hint="eastAsia"/>
                <w:lang w:val="en-US" w:eastAsia="zh-CN"/>
              </w:rPr>
              <w:t>评标</w:t>
            </w:r>
            <w:r>
              <w:rPr>
                <w:rFonts w:hint="eastAsia"/>
              </w:rPr>
              <w:t>专家2人组成，成员人数共3人，</w:t>
            </w:r>
            <w:r>
              <w:rPr>
                <w:rFonts w:hint="eastAsia"/>
                <w:lang w:val="en-US" w:eastAsia="zh-CN"/>
              </w:rPr>
              <w:t>评标</w:t>
            </w:r>
            <w:r>
              <w:rPr>
                <w:rFonts w:hint="eastAsia"/>
              </w:rPr>
              <w:t>专家确定方式：从相关专家库中随机抽取。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48" w:type="dxa"/>
            <w:noWrap/>
            <w:vAlign w:val="center"/>
          </w:tcPr>
          <w:p>
            <w:pPr>
              <w:wordWrap/>
              <w:topLinePunct w:val="0"/>
              <w:spacing w:line="360" w:lineRule="auto"/>
              <w:jc w:val="center"/>
            </w:pPr>
            <w:r>
              <w:rPr>
                <w:rFonts w:hint="eastAsia"/>
              </w:rPr>
              <w:t>37</w:t>
            </w:r>
          </w:p>
        </w:tc>
        <w:tc>
          <w:tcPr>
            <w:tcW w:w="2682" w:type="dxa"/>
            <w:noWrap/>
            <w:vAlign w:val="center"/>
          </w:tcPr>
          <w:p>
            <w:pPr>
              <w:wordWrap/>
              <w:topLinePunct w:val="0"/>
              <w:spacing w:line="360" w:lineRule="auto"/>
              <w:jc w:val="center"/>
            </w:pPr>
            <w:r>
              <w:rPr>
                <w:rFonts w:hint="eastAsia"/>
              </w:rPr>
              <w:t>是否授权磋商小组确定</w:t>
            </w:r>
          </w:p>
          <w:p>
            <w:pPr>
              <w:wordWrap/>
              <w:topLinePunct w:val="0"/>
              <w:spacing w:line="360" w:lineRule="auto"/>
              <w:jc w:val="center"/>
            </w:pPr>
            <w:r>
              <w:rPr>
                <w:rFonts w:hint="eastAsia"/>
              </w:rPr>
              <w:t>成交人</w:t>
            </w:r>
          </w:p>
        </w:tc>
        <w:tc>
          <w:tcPr>
            <w:tcW w:w="6163" w:type="dxa"/>
            <w:noWrap/>
            <w:vAlign w:val="center"/>
          </w:tcPr>
          <w:p>
            <w:pPr>
              <w:wordWrap/>
              <w:topLinePunct w:val="0"/>
              <w:spacing w:line="360" w:lineRule="auto"/>
            </w:pPr>
            <w:r>
              <w:rPr>
                <w:rFonts w:hint="eastAsia"/>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48" w:type="dxa"/>
            <w:noWrap/>
            <w:vAlign w:val="center"/>
          </w:tcPr>
          <w:p>
            <w:pPr>
              <w:wordWrap/>
              <w:topLinePunct w:val="0"/>
              <w:spacing w:line="360" w:lineRule="auto"/>
              <w:jc w:val="center"/>
            </w:pPr>
            <w:r>
              <w:rPr>
                <w:rFonts w:hint="eastAsia"/>
              </w:rPr>
              <w:t>38</w:t>
            </w:r>
          </w:p>
        </w:tc>
        <w:tc>
          <w:tcPr>
            <w:tcW w:w="2682" w:type="dxa"/>
            <w:noWrap/>
            <w:vAlign w:val="center"/>
          </w:tcPr>
          <w:p>
            <w:pPr>
              <w:wordWrap/>
              <w:topLinePunct w:val="0"/>
              <w:spacing w:line="360" w:lineRule="auto"/>
              <w:jc w:val="center"/>
            </w:pPr>
            <w:r>
              <w:rPr>
                <w:rFonts w:hint="eastAsia"/>
              </w:rPr>
              <w:t>履约保证金</w:t>
            </w:r>
          </w:p>
        </w:tc>
        <w:tc>
          <w:tcPr>
            <w:tcW w:w="6163" w:type="dxa"/>
            <w:noWrap/>
            <w:vAlign w:val="center"/>
          </w:tcPr>
          <w:p>
            <w:pPr>
              <w:wordWrap/>
              <w:spacing w:line="360" w:lineRule="auto"/>
            </w:pPr>
            <w:r>
              <w:rPr>
                <w:rFonts w:hint="eastAsia"/>
              </w:rPr>
              <w:t>本项目不缴纳履约保证金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noWrap/>
            <w:vAlign w:val="center"/>
          </w:tcPr>
          <w:p>
            <w:pPr>
              <w:wordWrap/>
              <w:topLinePunct w:val="0"/>
              <w:spacing w:line="360" w:lineRule="auto"/>
              <w:jc w:val="center"/>
            </w:pPr>
            <w:r>
              <w:rPr>
                <w:rFonts w:hint="eastAsia"/>
              </w:rPr>
              <w:t>39</w:t>
            </w:r>
          </w:p>
        </w:tc>
        <w:tc>
          <w:tcPr>
            <w:tcW w:w="2682" w:type="dxa"/>
            <w:noWrap/>
            <w:vAlign w:val="center"/>
          </w:tcPr>
          <w:p>
            <w:pPr>
              <w:wordWrap/>
              <w:topLinePunct w:val="0"/>
              <w:spacing w:line="360" w:lineRule="auto"/>
              <w:jc w:val="center"/>
            </w:pPr>
            <w:r>
              <w:rPr>
                <w:rFonts w:hint="eastAsia"/>
              </w:rPr>
              <w:t>代理费用收取方式及标准</w:t>
            </w:r>
          </w:p>
        </w:tc>
        <w:tc>
          <w:tcPr>
            <w:tcW w:w="6163" w:type="dxa"/>
            <w:noWrap/>
            <w:vAlign w:val="center"/>
          </w:tcPr>
          <w:p>
            <w:pPr>
              <w:wordWrap/>
              <w:topLinePunct w:val="0"/>
              <w:spacing w:line="360" w:lineRule="auto"/>
            </w:pPr>
            <w:r>
              <w:rPr>
                <w:rFonts w:hint="eastAsia"/>
                <w:lang w:val="en-US" w:eastAsia="zh-CN"/>
              </w:rPr>
              <w:t>参照河南省招标投标协会《河南省招标代理服务收费指导意见》豫招协〔2023〕002号文件规定</w:t>
            </w:r>
            <w:r>
              <w:rPr>
                <w:rFonts w:hint="eastAsia"/>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648" w:type="dxa"/>
            <w:noWrap/>
            <w:vAlign w:val="center"/>
          </w:tcPr>
          <w:p>
            <w:pPr>
              <w:wordWrap/>
              <w:topLinePunct w:val="0"/>
              <w:spacing w:line="360" w:lineRule="auto"/>
              <w:jc w:val="center"/>
            </w:pPr>
            <w:r>
              <w:rPr>
                <w:rFonts w:hint="eastAsia"/>
              </w:rPr>
              <w:t>40</w:t>
            </w:r>
          </w:p>
        </w:tc>
        <w:tc>
          <w:tcPr>
            <w:tcW w:w="2682" w:type="dxa"/>
            <w:noWrap/>
            <w:vAlign w:val="center"/>
          </w:tcPr>
          <w:p>
            <w:pPr>
              <w:wordWrap/>
              <w:topLinePunct w:val="0"/>
              <w:spacing w:line="360" w:lineRule="auto"/>
              <w:jc w:val="center"/>
            </w:pPr>
            <w:r>
              <w:rPr>
                <w:rFonts w:hint="eastAsia"/>
              </w:rPr>
              <w:t>采购程序</w:t>
            </w:r>
          </w:p>
        </w:tc>
        <w:tc>
          <w:tcPr>
            <w:tcW w:w="6163" w:type="dxa"/>
            <w:noWrap/>
            <w:vAlign w:val="center"/>
          </w:tcPr>
          <w:p>
            <w:pPr>
              <w:wordWrap/>
              <w:topLinePunct w:val="0"/>
              <w:spacing w:line="360" w:lineRule="auto"/>
            </w:pPr>
            <w:r>
              <w:rPr>
                <w:rFonts w:hint="eastAsia"/>
              </w:rPr>
              <w:t>1.成立磋商小组</w:t>
            </w:r>
          </w:p>
          <w:p>
            <w:pPr>
              <w:wordWrap/>
              <w:topLinePunct w:val="0"/>
              <w:spacing w:line="360" w:lineRule="auto"/>
            </w:pPr>
            <w:r>
              <w:rPr>
                <w:rFonts w:hint="eastAsia"/>
              </w:rPr>
              <w:t>2.制定或确认竞争性磋商文件</w:t>
            </w:r>
          </w:p>
          <w:p>
            <w:pPr>
              <w:wordWrap/>
              <w:topLinePunct w:val="0"/>
              <w:spacing w:line="360" w:lineRule="auto"/>
            </w:pPr>
            <w:r>
              <w:rPr>
                <w:rFonts w:hint="eastAsia"/>
              </w:rPr>
              <w:t>3.确定不少于3家的响应人参加磋商</w:t>
            </w:r>
          </w:p>
          <w:p>
            <w:pPr>
              <w:wordWrap/>
              <w:topLinePunct w:val="0"/>
              <w:spacing w:line="360" w:lineRule="auto"/>
            </w:pPr>
            <w:r>
              <w:rPr>
                <w:rFonts w:hint="eastAsia"/>
              </w:rPr>
              <w:t>4.磋商</w:t>
            </w:r>
          </w:p>
          <w:p>
            <w:pPr>
              <w:wordWrap/>
              <w:topLinePunct w:val="0"/>
              <w:spacing w:line="360" w:lineRule="auto"/>
            </w:pPr>
            <w:r>
              <w:rPr>
                <w:rFonts w:hint="eastAsia"/>
              </w:rPr>
              <w:t>5.确定响应人</w:t>
            </w:r>
          </w:p>
          <w:p>
            <w:pPr>
              <w:wordWrap/>
              <w:topLinePunct w:val="0"/>
              <w:spacing w:line="360" w:lineRule="auto"/>
            </w:pPr>
            <w:r>
              <w:rPr>
                <w:rFonts w:hint="eastAsia"/>
              </w:rPr>
              <w:t>6.在指定媒体公布结果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93" w:type="dxa"/>
            <w:gridSpan w:val="3"/>
            <w:noWrap/>
            <w:vAlign w:val="center"/>
          </w:tcPr>
          <w:p>
            <w:pPr>
              <w:widowControl/>
              <w:shd w:val="clear" w:color="auto" w:fill="FFFFFF"/>
              <w:spacing w:line="360" w:lineRule="auto"/>
              <w:jc w:val="center"/>
              <w:rPr>
                <w:kern w:val="0"/>
                <w:shd w:val="clear" w:color="auto" w:fill="FFFFFF"/>
              </w:rPr>
            </w:pPr>
            <w:r>
              <w:rPr>
                <w:rFonts w:hint="eastAsia"/>
                <w:b/>
                <w:bCs/>
                <w:sz w:val="24"/>
              </w:rPr>
              <w:t xml:space="preserve">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48" w:type="dxa"/>
            <w:noWrap/>
            <w:vAlign w:val="center"/>
          </w:tcPr>
          <w:p>
            <w:pPr>
              <w:wordWrap/>
              <w:topLinePunct w:val="0"/>
              <w:spacing w:line="360" w:lineRule="auto"/>
              <w:jc w:val="center"/>
            </w:pPr>
            <w:r>
              <w:rPr>
                <w:rFonts w:hint="eastAsia"/>
              </w:rPr>
              <w:t>41</w:t>
            </w:r>
          </w:p>
        </w:tc>
        <w:tc>
          <w:tcPr>
            <w:tcW w:w="2682" w:type="dxa"/>
            <w:noWrap/>
            <w:vAlign w:val="center"/>
          </w:tcPr>
          <w:p>
            <w:pPr>
              <w:autoSpaceDE w:val="0"/>
              <w:autoSpaceDN w:val="0"/>
              <w:spacing w:line="360" w:lineRule="auto"/>
              <w:jc w:val="center"/>
            </w:pPr>
            <w:r>
              <w:rPr>
                <w:rFonts w:hint="eastAsia" w:ascii="宋体" w:hAnsi="宋体" w:cs="宋体"/>
                <w:szCs w:val="21"/>
              </w:rPr>
              <w:t>政府采购政策支持</w:t>
            </w:r>
          </w:p>
        </w:tc>
        <w:tc>
          <w:tcPr>
            <w:tcW w:w="6163" w:type="dxa"/>
            <w:noWrap/>
            <w:vAlign w:val="center"/>
          </w:tcPr>
          <w:p>
            <w:pPr>
              <w:widowControl w:val="0"/>
              <w:tabs>
                <w:tab w:val="left" w:pos="1005"/>
              </w:tabs>
              <w:spacing w:line="360" w:lineRule="auto"/>
              <w:rPr>
                <w:rFonts w:ascii="宋体" w:hAnsi="宋体" w:cs="宋体"/>
                <w:b/>
                <w:bCs/>
                <w:color w:val="auto"/>
                <w:szCs w:val="21"/>
              </w:rPr>
            </w:pPr>
            <w:r>
              <w:rPr>
                <w:rFonts w:hint="eastAsia" w:ascii="宋体" w:hAnsi="宋体" w:cs="宋体"/>
                <w:b/>
                <w:color w:val="auto"/>
                <w:szCs w:val="21"/>
              </w:rPr>
              <w:t>（一）促进中小企业发展和</w:t>
            </w:r>
            <w:r>
              <w:rPr>
                <w:rFonts w:hint="eastAsia" w:ascii="宋体" w:hAnsi="宋体" w:cs="宋体"/>
                <w:b/>
                <w:bCs/>
                <w:color w:val="auto"/>
                <w:szCs w:val="21"/>
              </w:rPr>
              <w:t>支持监狱企业发展</w:t>
            </w:r>
            <w:r>
              <w:rPr>
                <w:rFonts w:hint="eastAsia" w:ascii="宋体" w:hAnsi="宋体" w:cs="宋体"/>
                <w:b/>
                <w:color w:val="auto"/>
                <w:szCs w:val="21"/>
              </w:rPr>
              <w:t>：</w:t>
            </w:r>
          </w:p>
          <w:p>
            <w:pPr>
              <w:widowControl w:val="0"/>
              <w:numPr>
                <w:ilvl w:val="0"/>
                <w:numId w:val="3"/>
              </w:numPr>
              <w:tabs>
                <w:tab w:val="left" w:pos="1005"/>
              </w:tabs>
              <w:spacing w:line="360" w:lineRule="auto"/>
              <w:rPr>
                <w:rFonts w:ascii="宋体" w:hAnsi="宋体" w:cs="宋体"/>
                <w:b/>
                <w:bCs/>
                <w:color w:val="auto"/>
                <w:szCs w:val="21"/>
              </w:rPr>
            </w:pPr>
            <w:r>
              <w:rPr>
                <w:rFonts w:hint="eastAsia" w:ascii="宋体" w:hAnsi="宋体" w:cs="宋体"/>
                <w:bCs/>
                <w:szCs w:val="21"/>
              </w:rPr>
              <w:t>根据《政府采购促进中小企业发展管理办法》（财库（20</w:t>
            </w:r>
            <w:r>
              <w:rPr>
                <w:rFonts w:ascii="宋体" w:hAnsi="宋体" w:cs="宋体"/>
                <w:bCs/>
                <w:szCs w:val="21"/>
              </w:rPr>
              <w:t>20</w:t>
            </w:r>
            <w:r>
              <w:rPr>
                <w:rFonts w:hint="eastAsia" w:ascii="宋体" w:hAnsi="宋体" w:cs="宋体"/>
                <w:bCs/>
                <w:szCs w:val="21"/>
              </w:rPr>
              <w:t>）</w:t>
            </w:r>
            <w:r>
              <w:rPr>
                <w:rFonts w:ascii="宋体" w:hAnsi="宋体" w:cs="宋体"/>
                <w:bCs/>
                <w:szCs w:val="21"/>
              </w:rPr>
              <w:t>46</w:t>
            </w:r>
            <w:r>
              <w:rPr>
                <w:rFonts w:hint="eastAsia" w:ascii="宋体" w:hAnsi="宋体" w:cs="宋体"/>
                <w:bCs/>
                <w:szCs w:val="21"/>
              </w:rPr>
              <w:t>号）和《财政部司法部关于政府采购支持监狱企业发展有关问题的通知》（财库（2014）68号）的规定</w:t>
            </w:r>
            <w:r>
              <w:rPr>
                <w:rFonts w:hint="eastAsia" w:ascii="宋体" w:hAnsi="宋体" w:cs="宋体"/>
                <w:bCs/>
                <w:color w:val="auto"/>
                <w:szCs w:val="21"/>
              </w:rPr>
              <w:t>，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ascii="宋体" w:hAnsi="宋体" w:cs="宋体"/>
                <w:bCs/>
                <w:color w:val="auto"/>
                <w:szCs w:val="21"/>
                <w:lang w:val="en-US" w:eastAsia="zh-CN"/>
              </w:rPr>
              <w:t>5</w:t>
            </w:r>
            <w:r>
              <w:rPr>
                <w:rFonts w:hint="eastAsia" w:ascii="宋体" w:hAnsi="宋体" w:cs="宋体"/>
                <w:bCs/>
                <w:color w:val="auto"/>
                <w:szCs w:val="21"/>
              </w:rPr>
              <w:t>%后参与评审。</w:t>
            </w:r>
            <w:r>
              <w:rPr>
                <w:rFonts w:hint="eastAsia" w:ascii="宋体" w:hAnsi="宋体" w:cs="宋体"/>
                <w:b/>
                <w:bCs/>
                <w:color w:val="auto"/>
                <w:szCs w:val="21"/>
              </w:rPr>
              <w:t>（注：多品目投标时所有产品的生产企业须同时为小型、微型企业才能享受价格扣除政策）</w:t>
            </w:r>
          </w:p>
          <w:p>
            <w:pPr>
              <w:widowControl w:val="0"/>
              <w:numPr>
                <w:ilvl w:val="0"/>
                <w:numId w:val="3"/>
              </w:numPr>
              <w:tabs>
                <w:tab w:val="left" w:pos="1005"/>
              </w:tabs>
              <w:spacing w:line="360" w:lineRule="auto"/>
              <w:rPr>
                <w:rFonts w:ascii="宋体" w:hAnsi="宋体" w:cs="宋体"/>
                <w:bCs/>
                <w:color w:val="auto"/>
                <w:szCs w:val="21"/>
              </w:rPr>
            </w:pPr>
            <w:r>
              <w:rPr>
                <w:rFonts w:hint="eastAsia" w:ascii="宋体" w:hAnsi="宋体" w:cs="宋体"/>
                <w:bCs/>
                <w:color w:val="auto"/>
                <w:szCs w:val="21"/>
              </w:rPr>
              <w:t>中小企业划分标准以工信部联企业【2011】300号《工业和信息化部国家统计局国家发展和改革委财政部关于印发中小企业划型标准规定的通知》为依据。</w:t>
            </w:r>
          </w:p>
          <w:p>
            <w:pPr>
              <w:widowControl w:val="0"/>
              <w:tabs>
                <w:tab w:val="left" w:pos="1005"/>
              </w:tabs>
              <w:spacing w:line="360" w:lineRule="auto"/>
              <w:rPr>
                <w:rFonts w:ascii="宋体" w:hAnsi="宋体" w:cs="宋体"/>
                <w:bCs/>
                <w:color w:val="auto"/>
                <w:szCs w:val="21"/>
              </w:rPr>
            </w:pPr>
            <w:r>
              <w:rPr>
                <w:rFonts w:hint="eastAsia" w:ascii="宋体" w:hAnsi="宋体" w:cs="宋体"/>
                <w:b/>
                <w:color w:val="auto"/>
                <w:szCs w:val="21"/>
              </w:rPr>
              <w:t>（二）强制采购节能产品、信息安全产品，优先采购环境标志产品政策。</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val="0"/>
              <w:numPr>
                <w:ilvl w:val="1"/>
                <w:numId w:val="4"/>
              </w:numPr>
              <w:tabs>
                <w:tab w:val="left" w:pos="1005"/>
              </w:tabs>
              <w:spacing w:line="360" w:lineRule="auto"/>
              <w:ind w:left="29" w:hanging="29"/>
              <w:rPr>
                <w:rFonts w:ascii="宋体" w:hAnsi="宋体" w:cs="宋体"/>
                <w:bCs/>
                <w:color w:val="auto"/>
                <w:szCs w:val="21"/>
              </w:rPr>
            </w:pPr>
            <w:r>
              <w:rPr>
                <w:rFonts w:hint="eastAsia" w:ascii="宋体" w:hAnsi="宋体" w:cs="宋体"/>
                <w:bCs/>
                <w:color w:val="auto"/>
                <w:szCs w:val="21"/>
              </w:rPr>
              <w:t>提供的产品属于信息安全产品的，供应商应当选择经国家认证的信息安全产品投标，并提供由中国信息安全认证中心按国家标准认证颁发的有效认证证书复印件。</w:t>
            </w:r>
          </w:p>
          <w:p>
            <w:pPr>
              <w:numPr>
                <w:ilvl w:val="0"/>
                <w:numId w:val="3"/>
              </w:numPr>
              <w:tabs>
                <w:tab w:val="left" w:pos="1005"/>
              </w:tabs>
              <w:spacing w:line="360" w:lineRule="auto"/>
            </w:pPr>
            <w:r>
              <w:rPr>
                <w:rFonts w:hint="eastAsia" w:ascii="宋体" w:hAnsi="宋体" w:cs="宋体"/>
                <w:bCs/>
                <w:color w:val="auto"/>
                <w:szCs w:val="21"/>
              </w:rPr>
              <w:t>提供的产品属于政府强制采购节能产品的，供应商应当选择《节能产品政府采购清单》中的产品投标，并提供有效的节能产品认证证书复印件。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eastAsia" w:eastAsia="宋体"/>
                <w:lang w:eastAsia="zh-CN"/>
              </w:rPr>
            </w:pPr>
            <w:r>
              <w:rPr>
                <w:rFonts w:hint="eastAsia"/>
              </w:rPr>
              <w:t>4</w:t>
            </w:r>
            <w:r>
              <w:rPr>
                <w:rFonts w:hint="eastAsia"/>
                <w:lang w:val="en-US" w:eastAsia="zh-CN"/>
              </w:rPr>
              <w:t>2</w:t>
            </w:r>
          </w:p>
        </w:tc>
        <w:tc>
          <w:tcPr>
            <w:tcW w:w="2682" w:type="dxa"/>
            <w:noWrap/>
            <w:vAlign w:val="center"/>
          </w:tcPr>
          <w:p>
            <w:pPr>
              <w:widowControl/>
              <w:shd w:val="clear" w:color="auto" w:fill="FFFFFF"/>
              <w:spacing w:line="360" w:lineRule="auto"/>
              <w:jc w:val="center"/>
            </w:pPr>
            <w:r>
              <w:rPr>
                <w:rFonts w:hint="eastAsia"/>
                <w:kern w:val="0"/>
                <w:shd w:val="clear" w:color="auto" w:fill="FFFFFF"/>
              </w:rPr>
              <w:t>解释权</w:t>
            </w:r>
          </w:p>
        </w:tc>
        <w:tc>
          <w:tcPr>
            <w:tcW w:w="6163" w:type="dxa"/>
            <w:noWrap/>
            <w:vAlign w:val="center"/>
          </w:tcPr>
          <w:p>
            <w:pPr>
              <w:spacing w:line="360" w:lineRule="auto"/>
            </w:pPr>
            <w:r>
              <w:rPr>
                <w:rFonts w:hint="eastAsia"/>
              </w:rPr>
              <w:t>竞争性磋商文件未尽事宜按现行采购的有关法律法规和规定执行。竞争性磋商文件解释权归采购人和采购代理机构。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eastAsia="宋体"/>
                <w:lang w:val="en-US" w:eastAsia="zh-CN"/>
              </w:rPr>
            </w:pPr>
            <w:r>
              <w:rPr>
                <w:rFonts w:hint="eastAsia"/>
                <w:lang w:val="en-US" w:eastAsia="zh-CN"/>
              </w:rPr>
              <w:t>43</w:t>
            </w:r>
          </w:p>
        </w:tc>
        <w:tc>
          <w:tcPr>
            <w:tcW w:w="8845" w:type="dxa"/>
            <w:gridSpan w:val="2"/>
            <w:noWrap/>
            <w:vAlign w:val="center"/>
          </w:tcPr>
          <w:p>
            <w:pPr>
              <w:spacing w:line="360" w:lineRule="auto"/>
              <w:rPr>
                <w:rFonts w:hint="eastAsia"/>
              </w:rPr>
            </w:pPr>
            <w:r>
              <w:rPr>
                <w:rStyle w:val="44"/>
                <w:rFonts w:hint="eastAsia" w:ascii="宋体" w:hAnsi="宋体" w:eastAsia="宋体" w:cs="Times New Roman"/>
                <w:szCs w:val="21"/>
                <w:lang w:val="en-US" w:eastAsia="zh-CN"/>
              </w:rPr>
              <w:t>各供应商在编制电子投标文件时，应避免因使用同一台计算机制作或同一台计算机上传或相同企业秘钥（CA）上传电子投标文件等其他人为因素，造成投标文件制作机器码一致的，其投标将被否决。由此造成的其他不良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8" w:type="dxa"/>
            <w:noWrap/>
            <w:vAlign w:val="center"/>
          </w:tcPr>
          <w:p>
            <w:pPr>
              <w:wordWrap/>
              <w:topLinePunct w:val="0"/>
              <w:spacing w:line="360" w:lineRule="auto"/>
              <w:jc w:val="center"/>
              <w:rPr>
                <w:rFonts w:hint="default"/>
                <w:lang w:val="en-US" w:eastAsia="zh-CN"/>
              </w:rPr>
            </w:pPr>
            <w:bookmarkStart w:id="6" w:name="_Toc30815"/>
            <w:bookmarkStart w:id="7" w:name="_Toc12193"/>
            <w:r>
              <w:rPr>
                <w:rFonts w:hint="eastAsia"/>
                <w:lang w:val="en-US" w:eastAsia="zh-CN"/>
              </w:rPr>
              <w:t>44</w:t>
            </w:r>
          </w:p>
        </w:tc>
        <w:tc>
          <w:tcPr>
            <w:tcW w:w="8845" w:type="dxa"/>
            <w:gridSpan w:val="2"/>
            <w:noWrap/>
            <w:vAlign w:val="center"/>
          </w:tcPr>
          <w:p>
            <w:pPr>
              <w:spacing w:line="360" w:lineRule="auto"/>
              <w:rPr>
                <w:rStyle w:val="44"/>
                <w:rFonts w:hint="default" w:ascii="宋体" w:hAnsi="宋体" w:eastAsia="宋体" w:cs="Times New Roman"/>
                <w:szCs w:val="21"/>
                <w:lang w:val="en-US" w:eastAsia="zh-CN"/>
              </w:rPr>
            </w:pPr>
            <w:r>
              <w:rPr>
                <w:rStyle w:val="44"/>
                <w:rFonts w:hint="eastAsia" w:ascii="宋体" w:hAnsi="宋体" w:eastAsia="宋体" w:cs="Times New Roman"/>
                <w:szCs w:val="21"/>
                <w:lang w:val="en-US" w:eastAsia="zh-CN"/>
              </w:rPr>
              <w:t>质量缺陷期：12个月</w:t>
            </w:r>
          </w:p>
        </w:tc>
      </w:tr>
    </w:tbl>
    <w:p>
      <w:pPr>
        <w:pStyle w:val="8"/>
        <w:numPr>
          <w:ilvl w:val="0"/>
          <w:numId w:val="5"/>
        </w:numPr>
        <w:tabs>
          <w:tab w:val="left" w:pos="360"/>
          <w:tab w:val="clear" w:pos="425"/>
        </w:tabs>
        <w:spacing w:line="360" w:lineRule="auto"/>
        <w:jc w:val="both"/>
        <w:outlineLvl w:val="1"/>
        <w:rPr>
          <w:rFonts w:hAnsi="宋体" w:cs="黑体"/>
          <w:b/>
          <w:color w:val="auto"/>
        </w:rPr>
      </w:pPr>
      <w:r>
        <w:rPr>
          <w:rFonts w:hint="eastAsia" w:hAnsi="宋体" w:cs="黑体"/>
          <w:b/>
          <w:color w:val="auto"/>
        </w:rPr>
        <w:t>总则</w:t>
      </w:r>
      <w:bookmarkEnd w:id="6"/>
      <w:bookmarkEnd w:id="7"/>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 w:name="_Toc455678100"/>
      <w:bookmarkStart w:id="9" w:name="_Toc428276569"/>
      <w:bookmarkStart w:id="10" w:name="_Toc463011253"/>
      <w:bookmarkStart w:id="11" w:name="_Toc428351629"/>
      <w:bookmarkStart w:id="12" w:name="_Toc277149365"/>
      <w:bookmarkStart w:id="13" w:name="_Toc462934274"/>
      <w:bookmarkStart w:id="14" w:name="_Toc454788009"/>
      <w:bookmarkStart w:id="15" w:name="_Toc27089"/>
      <w:bookmarkStart w:id="16" w:name="_Toc13394"/>
      <w:bookmarkStart w:id="17" w:name="_Toc25531"/>
      <w:r>
        <w:rPr>
          <w:rFonts w:hint="eastAsia" w:hAnsi="宋体" w:cs="黑体"/>
          <w:b/>
          <w:color w:val="auto"/>
          <w:sz w:val="21"/>
          <w:szCs w:val="21"/>
        </w:rPr>
        <w:t>项目概况</w:t>
      </w:r>
      <w:bookmarkEnd w:id="8"/>
      <w:bookmarkEnd w:id="9"/>
      <w:bookmarkEnd w:id="10"/>
      <w:bookmarkEnd w:id="11"/>
      <w:bookmarkEnd w:id="12"/>
      <w:bookmarkEnd w:id="13"/>
      <w:bookmarkEnd w:id="14"/>
      <w:bookmarkEnd w:id="15"/>
      <w:bookmarkEnd w:id="16"/>
      <w:bookmarkEnd w:id="17"/>
    </w:p>
    <w:p>
      <w:pPr>
        <w:wordWrap/>
        <w:topLinePunct w:val="0"/>
        <w:spacing w:line="360" w:lineRule="auto"/>
        <w:ind w:firstLine="420" w:firstLineChars="200"/>
        <w:rPr>
          <w:rFonts w:cs="Times New Roman"/>
        </w:rPr>
      </w:pPr>
      <w:r>
        <w:rPr>
          <w:rFonts w:hint="eastAsia" w:cs="Times New Roman"/>
        </w:rPr>
        <w:t>根据《中华人民共和国政府采购法》《中华人民共和国政府采购法实施条例》等有关法律、法规和规章的规定，本采购项目已具备竞争性磋商条件，现对本项目进行竞争性磋商。</w:t>
      </w:r>
    </w:p>
    <w:p>
      <w:pPr>
        <w:pStyle w:val="8"/>
        <w:numPr>
          <w:ilvl w:val="2"/>
          <w:numId w:val="5"/>
        </w:numPr>
        <w:tabs>
          <w:tab w:val="left" w:pos="0"/>
          <w:tab w:val="clear" w:pos="1418"/>
        </w:tabs>
        <w:spacing w:line="360" w:lineRule="auto"/>
        <w:ind w:left="420" w:leftChars="200" w:firstLine="0"/>
        <w:rPr>
          <w:rFonts w:hAnsi="宋体" w:cs="黑体"/>
          <w:color w:val="auto"/>
          <w:sz w:val="21"/>
          <w:szCs w:val="21"/>
        </w:rPr>
      </w:pPr>
      <w:r>
        <w:rPr>
          <w:rFonts w:hint="eastAsia" w:hAnsi="宋体" w:cs="黑体"/>
          <w:color w:val="auto"/>
          <w:sz w:val="21"/>
          <w:szCs w:val="21"/>
        </w:rPr>
        <w:t>采购人：《响应人须知前附表》中所述的，依法进行政府采购的国家机关、事业单位、团体组织。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采购代理机构：受采购人委托组织采购活动，在采购过程中负有相应责任的社会中介组织。</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采购方式：见《响应人须知前附表》。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项目名称及采购编号：见《响应人须知前附表》。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建设地点：见《响应人须知前附表》。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 w:name="_Toc270604804"/>
      <w:bookmarkStart w:id="19" w:name="_Toc462934275"/>
      <w:bookmarkStart w:id="20" w:name="_Toc277149366"/>
      <w:bookmarkStart w:id="21" w:name="_Toc454788010"/>
      <w:bookmarkStart w:id="22" w:name="_Toc29176"/>
      <w:bookmarkStart w:id="23" w:name="_Toc428351630"/>
      <w:bookmarkStart w:id="24" w:name="_Toc463011254"/>
      <w:bookmarkStart w:id="25" w:name="_Toc428276570"/>
      <w:bookmarkStart w:id="26" w:name="_Toc455678101"/>
      <w:bookmarkStart w:id="27" w:name="_Toc13259"/>
      <w:bookmarkStart w:id="28" w:name="_Toc269470296"/>
      <w:bookmarkStart w:id="29" w:name="_Toc270604577"/>
      <w:bookmarkStart w:id="30" w:name="_Toc19738"/>
      <w:r>
        <w:rPr>
          <w:rFonts w:hint="eastAsia" w:hAnsi="宋体" w:cs="黑体"/>
          <w:b/>
          <w:color w:val="auto"/>
          <w:sz w:val="21"/>
          <w:szCs w:val="21"/>
        </w:rPr>
        <w:t>资金来源和落实情况</w:t>
      </w:r>
      <w:bookmarkEnd w:id="18"/>
      <w:bookmarkEnd w:id="19"/>
      <w:bookmarkEnd w:id="20"/>
      <w:bookmarkEnd w:id="21"/>
      <w:bookmarkEnd w:id="22"/>
      <w:bookmarkEnd w:id="23"/>
      <w:bookmarkEnd w:id="24"/>
      <w:bookmarkEnd w:id="25"/>
      <w:bookmarkEnd w:id="26"/>
      <w:bookmarkEnd w:id="27"/>
      <w:bookmarkEnd w:id="28"/>
      <w:bookmarkEnd w:id="29"/>
      <w:bookmarkEnd w:id="3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资金来源：见《响应人须知前附表》。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采购预算金额：见《响应人须知前附表》。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采购项目性质：见《响应人须知前附表》。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资金落实情况：见《响应人须知前附表》。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 w:name="_Toc454788011"/>
      <w:bookmarkStart w:id="32" w:name="_Toc20155"/>
      <w:bookmarkStart w:id="33" w:name="_Toc270604578"/>
      <w:bookmarkStart w:id="34" w:name="_Toc463011255"/>
      <w:bookmarkStart w:id="35" w:name="_Toc428276571"/>
      <w:bookmarkStart w:id="36" w:name="_Toc74"/>
      <w:bookmarkStart w:id="37" w:name="_Toc455678102"/>
      <w:bookmarkStart w:id="38" w:name="_Toc9637"/>
      <w:bookmarkStart w:id="39" w:name="_Toc428351631"/>
      <w:bookmarkStart w:id="40" w:name="_Toc269470297"/>
      <w:bookmarkStart w:id="41" w:name="_Toc462934276"/>
      <w:bookmarkStart w:id="42" w:name="_Toc277149367"/>
      <w:bookmarkStart w:id="43" w:name="_Toc270604805"/>
      <w:r>
        <w:rPr>
          <w:rFonts w:hint="eastAsia" w:hAnsi="宋体" w:cs="黑体"/>
          <w:b/>
          <w:color w:val="auto"/>
          <w:sz w:val="21"/>
          <w:szCs w:val="21"/>
        </w:rPr>
        <w:t>采购范围、计划工期和质量</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hAnsi="宋体" w:cs="黑体"/>
          <w:b/>
          <w:color w:val="auto"/>
          <w:sz w:val="21"/>
          <w:szCs w:val="21"/>
        </w:rPr>
        <w:t>标准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采购范围：见《响应人须知前附表》。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计划工期：见《响应人须知前附表》。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质量标准：见《响应人须知前附表》。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 w:name="_Toc463011256"/>
      <w:bookmarkStart w:id="45" w:name="_Toc270604579"/>
      <w:bookmarkStart w:id="46" w:name="_Toc6648"/>
      <w:bookmarkStart w:id="47" w:name="_Toc269470298"/>
      <w:bookmarkStart w:id="48" w:name="_Toc428276572"/>
      <w:bookmarkStart w:id="49" w:name="_Toc454788012"/>
      <w:bookmarkStart w:id="50" w:name="_Toc462934277"/>
      <w:bookmarkStart w:id="51" w:name="_Toc11519"/>
      <w:bookmarkStart w:id="52" w:name="_Toc455678103"/>
      <w:bookmarkStart w:id="53" w:name="_Toc270604806"/>
      <w:bookmarkStart w:id="54" w:name="_Toc277149368"/>
      <w:bookmarkStart w:id="55" w:name="_Toc428351632"/>
      <w:bookmarkStart w:id="56" w:name="_Toc16958"/>
      <w:r>
        <w:rPr>
          <w:rFonts w:hint="eastAsia" w:hAnsi="宋体" w:cs="黑体"/>
          <w:b/>
          <w:color w:val="auto"/>
          <w:sz w:val="21"/>
          <w:szCs w:val="21"/>
        </w:rPr>
        <w:t>响应人资格要求</w:t>
      </w:r>
      <w:bookmarkEnd w:id="44"/>
      <w:bookmarkEnd w:id="45"/>
      <w:bookmarkEnd w:id="46"/>
      <w:bookmarkEnd w:id="47"/>
      <w:bookmarkEnd w:id="48"/>
      <w:bookmarkEnd w:id="49"/>
      <w:bookmarkEnd w:id="50"/>
      <w:bookmarkEnd w:id="51"/>
      <w:bookmarkEnd w:id="52"/>
      <w:bookmarkEnd w:id="53"/>
      <w:bookmarkEnd w:id="54"/>
      <w:bookmarkEnd w:id="55"/>
      <w:bookmarkEnd w:id="56"/>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响应人应具备的资格条件：见《响应人须知前附表》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响应人不得存在下列情形之一：</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bookmarkStart w:id="57" w:name="_Toc270604580"/>
      <w:bookmarkStart w:id="58" w:name="_Toc463011257"/>
      <w:bookmarkStart w:id="59" w:name="_Toc454788013"/>
      <w:bookmarkStart w:id="60" w:name="_Toc270604807"/>
      <w:bookmarkStart w:id="61" w:name="_Toc19948"/>
      <w:bookmarkStart w:id="62" w:name="_Toc277149369"/>
      <w:bookmarkStart w:id="63" w:name="_Toc269470299"/>
      <w:bookmarkStart w:id="64" w:name="_Toc462934278"/>
      <w:bookmarkStart w:id="65" w:name="_Toc455678104"/>
      <w:bookmarkStart w:id="66" w:name="_Toc428351633"/>
      <w:bookmarkStart w:id="67" w:name="_Toc14128"/>
      <w:bookmarkStart w:id="68" w:name="_Toc428276573"/>
      <w:bookmarkStart w:id="69" w:name="_Toc28593"/>
      <w:r>
        <w:rPr>
          <w:rFonts w:hint="eastAsia" w:cs="微软雅黑"/>
          <w:kern w:val="0"/>
        </w:rPr>
        <w:t>与采购人存在利害关系且可能影响磋商公正性；</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与本磋商项目的其他响应人为同一个单位负责人；</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与本磋商项目的其他响应人存在控股、管理关系；</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为本磋商项目提供过整体设计、规范编制或者项目管理、监理、检测等服务；</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为本磋商项目的采购代理机构；</w:t>
      </w:r>
    </w:p>
    <w:p>
      <w:pPr>
        <w:numPr>
          <w:ilvl w:val="0"/>
          <w:numId w:val="6"/>
        </w:numPr>
        <w:wordWrap/>
        <w:topLinePunct w:val="0"/>
        <w:autoSpaceDE w:val="0"/>
        <w:autoSpaceDN w:val="0"/>
        <w:adjustRightInd w:val="0"/>
        <w:spacing w:line="360" w:lineRule="auto"/>
        <w:ind w:left="0" w:right="40" w:firstLine="420" w:firstLineChars="200"/>
        <w:jc w:val="left"/>
        <w:rPr>
          <w:rFonts w:cs="微软雅黑"/>
          <w:kern w:val="0"/>
        </w:rPr>
      </w:pPr>
      <w:r>
        <w:rPr>
          <w:rFonts w:hint="eastAsia" w:cs="微软雅黑"/>
          <w:kern w:val="0"/>
        </w:rPr>
        <w:t>响应人以他人名义投标、串通投标、以行贿手段牟取中标，或在投标中弄虚作假的；</w:t>
      </w:r>
    </w:p>
    <w:p>
      <w:pPr>
        <w:numPr>
          <w:ilvl w:val="0"/>
          <w:numId w:val="6"/>
        </w:numPr>
        <w:wordWrap/>
        <w:topLinePunct w:val="0"/>
        <w:autoSpaceDE w:val="0"/>
        <w:autoSpaceDN w:val="0"/>
        <w:adjustRightInd w:val="0"/>
        <w:spacing w:line="360" w:lineRule="auto"/>
        <w:ind w:left="0" w:right="40" w:firstLine="420" w:firstLineChars="200"/>
        <w:jc w:val="left"/>
      </w:pPr>
      <w:r>
        <w:rPr>
          <w:rFonts w:hint="eastAsia" w:cs="微软雅黑"/>
          <w:kern w:val="0"/>
        </w:rPr>
        <w:t>法律法规规定的其他情形。</w:t>
      </w:r>
    </w:p>
    <w:bookmarkEnd w:id="57"/>
    <w:bookmarkEnd w:id="58"/>
    <w:bookmarkEnd w:id="59"/>
    <w:bookmarkEnd w:id="60"/>
    <w:bookmarkEnd w:id="61"/>
    <w:bookmarkEnd w:id="62"/>
    <w:bookmarkEnd w:id="63"/>
    <w:bookmarkEnd w:id="64"/>
    <w:bookmarkEnd w:id="65"/>
    <w:bookmarkEnd w:id="66"/>
    <w:bookmarkEnd w:id="67"/>
    <w:bookmarkEnd w:id="68"/>
    <w:bookmarkEnd w:id="69"/>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70" w:name="_Toc32336"/>
      <w:r>
        <w:rPr>
          <w:rFonts w:hint="eastAsia" w:hAnsi="宋体" w:cs="黑体"/>
          <w:b/>
          <w:color w:val="auto"/>
          <w:sz w:val="21"/>
          <w:szCs w:val="21"/>
        </w:rPr>
        <w:t>费用承担</w:t>
      </w:r>
    </w:p>
    <w:p>
      <w:pPr>
        <w:wordWrap/>
        <w:topLinePunct w:val="0"/>
        <w:spacing w:line="360" w:lineRule="auto"/>
        <w:ind w:left="420" w:leftChars="200"/>
      </w:pPr>
      <w:r>
        <w:rPr>
          <w:rFonts w:hint="eastAsia"/>
        </w:rPr>
        <w:t>响应人准备和参加竞争性磋商活动发生的费用自理。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保密</w:t>
      </w:r>
      <w:bookmarkEnd w:id="70"/>
    </w:p>
    <w:p>
      <w:pPr>
        <w:wordWrap/>
        <w:topLinePunct w:val="0"/>
        <w:spacing w:line="360" w:lineRule="auto"/>
        <w:ind w:firstLine="420" w:firstLineChars="200"/>
      </w:pPr>
      <w:bookmarkStart w:id="71" w:name="_Toc428351635"/>
      <w:bookmarkStart w:id="72" w:name="_Toc462934280"/>
      <w:bookmarkStart w:id="73" w:name="_Toc463011259"/>
      <w:bookmarkStart w:id="74" w:name="_Toc19438"/>
      <w:bookmarkStart w:id="75" w:name="_Toc269470301"/>
      <w:bookmarkStart w:id="76" w:name="_Toc455678106"/>
      <w:bookmarkStart w:id="77" w:name="_Toc277149371"/>
      <w:bookmarkStart w:id="78" w:name="_Toc7606"/>
      <w:bookmarkStart w:id="79" w:name="_Toc428276575"/>
      <w:bookmarkStart w:id="80" w:name="_Toc270604582"/>
      <w:bookmarkStart w:id="81" w:name="_Toc270604809"/>
      <w:bookmarkStart w:id="82" w:name="_Toc454788015"/>
      <w:r>
        <w:rPr>
          <w:rFonts w:hint="eastAsia"/>
        </w:rPr>
        <w:t>参与竞争性磋商活动的各方应对竞争性磋商文件和响应文件中的商业和技术等秘密保密，否则应承担相应的法律责任。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83" w:name="_Toc25734"/>
      <w:r>
        <w:rPr>
          <w:rFonts w:hint="eastAsia" w:hAnsi="宋体" w:cs="黑体"/>
          <w:b/>
          <w:color w:val="auto"/>
          <w:sz w:val="21"/>
          <w:szCs w:val="21"/>
        </w:rPr>
        <w:t>语言文字</w:t>
      </w:r>
      <w:bookmarkEnd w:id="71"/>
      <w:bookmarkEnd w:id="72"/>
      <w:bookmarkEnd w:id="73"/>
      <w:bookmarkEnd w:id="74"/>
      <w:bookmarkEnd w:id="75"/>
      <w:bookmarkEnd w:id="76"/>
      <w:bookmarkEnd w:id="77"/>
      <w:bookmarkEnd w:id="78"/>
      <w:bookmarkEnd w:id="79"/>
      <w:bookmarkEnd w:id="80"/>
      <w:bookmarkEnd w:id="81"/>
      <w:bookmarkEnd w:id="82"/>
      <w:bookmarkEnd w:id="83"/>
    </w:p>
    <w:p>
      <w:pPr>
        <w:wordWrap/>
        <w:topLinePunct w:val="0"/>
        <w:spacing w:line="360" w:lineRule="auto"/>
        <w:ind w:firstLine="420" w:firstLineChars="200"/>
      </w:pPr>
      <w:bookmarkStart w:id="84" w:name="_Toc9894"/>
      <w:bookmarkStart w:id="85" w:name="_Toc463011260"/>
      <w:bookmarkStart w:id="86" w:name="_Toc428351636"/>
      <w:bookmarkStart w:id="87" w:name="_Toc455678107"/>
      <w:bookmarkStart w:id="88" w:name="_Toc277149372"/>
      <w:bookmarkStart w:id="89" w:name="_Toc462934281"/>
      <w:bookmarkStart w:id="90" w:name="_Toc428276576"/>
      <w:bookmarkStart w:id="91" w:name="_Toc454788016"/>
      <w:bookmarkStart w:id="92" w:name="_Toc270604583"/>
      <w:bookmarkStart w:id="93" w:name="_Toc270604810"/>
      <w:bookmarkStart w:id="94" w:name="_Toc269470302"/>
      <w:bookmarkStart w:id="95" w:name="_Toc29299"/>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6" w:name="_Toc30996"/>
      <w:r>
        <w:rPr>
          <w:rFonts w:hint="eastAsia" w:hAnsi="宋体" w:cs="黑体"/>
          <w:b/>
          <w:color w:val="auto"/>
          <w:sz w:val="21"/>
          <w:szCs w:val="21"/>
        </w:rPr>
        <w:t>计量单位</w:t>
      </w:r>
      <w:bookmarkEnd w:id="84"/>
      <w:bookmarkEnd w:id="85"/>
      <w:bookmarkEnd w:id="86"/>
      <w:bookmarkEnd w:id="87"/>
      <w:bookmarkEnd w:id="88"/>
      <w:bookmarkEnd w:id="89"/>
      <w:bookmarkEnd w:id="90"/>
      <w:bookmarkEnd w:id="91"/>
      <w:bookmarkEnd w:id="92"/>
      <w:bookmarkEnd w:id="93"/>
      <w:bookmarkEnd w:id="94"/>
      <w:bookmarkEnd w:id="95"/>
      <w:bookmarkEnd w:id="96"/>
    </w:p>
    <w:p>
      <w:pPr>
        <w:wordWrap/>
        <w:topLinePunct w:val="0"/>
        <w:spacing w:line="360" w:lineRule="auto"/>
        <w:ind w:left="420" w:leftChars="200"/>
      </w:pPr>
      <w:r>
        <w:rPr>
          <w:rFonts w:hint="eastAsia"/>
        </w:rPr>
        <w:t>所有计量均采用中华人民共和国法定计量标准单位。</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97" w:name="_Toc7491"/>
      <w:bookmarkStart w:id="98" w:name="_Toc428276577"/>
      <w:bookmarkStart w:id="99" w:name="_Toc11248"/>
      <w:bookmarkStart w:id="100" w:name="_Toc455678108"/>
      <w:bookmarkStart w:id="101" w:name="_Toc454788017"/>
      <w:bookmarkStart w:id="102" w:name="_Toc462934282"/>
      <w:bookmarkStart w:id="103" w:name="_Toc463011261"/>
      <w:bookmarkStart w:id="104" w:name="_Toc270604584"/>
      <w:bookmarkStart w:id="105" w:name="_Toc269470303"/>
      <w:bookmarkStart w:id="106" w:name="_Toc270604811"/>
      <w:bookmarkStart w:id="107" w:name="_Toc277149373"/>
      <w:bookmarkStart w:id="108" w:name="_Toc428351637"/>
      <w:bookmarkStart w:id="109" w:name="_Toc14349"/>
      <w:r>
        <w:rPr>
          <w:rFonts w:hint="eastAsia" w:hAnsi="宋体" w:cs="黑体"/>
          <w:b/>
          <w:color w:val="auto"/>
          <w:sz w:val="21"/>
          <w:szCs w:val="21"/>
        </w:rPr>
        <w:t>现场</w:t>
      </w:r>
      <w:bookmarkEnd w:id="97"/>
      <w:bookmarkEnd w:id="98"/>
      <w:bookmarkEnd w:id="99"/>
      <w:bookmarkEnd w:id="100"/>
      <w:bookmarkEnd w:id="101"/>
      <w:bookmarkEnd w:id="102"/>
      <w:bookmarkEnd w:id="103"/>
      <w:bookmarkEnd w:id="104"/>
      <w:bookmarkEnd w:id="105"/>
      <w:bookmarkEnd w:id="106"/>
      <w:bookmarkEnd w:id="107"/>
      <w:bookmarkEnd w:id="108"/>
      <w:r>
        <w:rPr>
          <w:rFonts w:hint="eastAsia" w:hAnsi="宋体" w:cs="黑体"/>
          <w:b/>
          <w:color w:val="auto"/>
          <w:sz w:val="21"/>
          <w:szCs w:val="21"/>
        </w:rPr>
        <w:t>考察</w:t>
      </w:r>
      <w:bookmarkEnd w:id="109"/>
      <w:r>
        <w:rPr>
          <w:rFonts w:hint="eastAsia" w:hAnsi="宋体" w:cs="黑体"/>
          <w:b/>
          <w:color w:val="auto"/>
          <w:sz w:val="21"/>
          <w:szCs w:val="21"/>
        </w:rPr>
        <w:t>或答疑会</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现场考察：响应人须知前附表规定组织现场考察的，采购人按《响应人须知前附表》规定的时间、地点组织响应人考察项目现场。部分响应人未按时参加现场考察的，不影响现场考察的正常进行。</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响应人现场考察发生的费用自理。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除采购人的原因外，响应人自行负责在现场考察中所发生的人员伤亡和财产损失。</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采购人在现场考察中介绍的项目场地和相关的周边环境情况，供响应人在编制响应文件时参考，采购人不对响应人据此作出的判断和决策负责。</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答疑会：见《响应人须知前附表》。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10" w:name="_Toc428276579"/>
      <w:bookmarkStart w:id="111" w:name="_Toc455678110"/>
      <w:bookmarkStart w:id="112" w:name="_Toc428351639"/>
      <w:bookmarkStart w:id="113" w:name="_Toc24091"/>
      <w:bookmarkStart w:id="114" w:name="_Toc20135"/>
      <w:bookmarkStart w:id="115" w:name="_Toc269470305"/>
      <w:bookmarkStart w:id="116" w:name="_Toc8646"/>
      <w:bookmarkStart w:id="117" w:name="_Toc270604813"/>
      <w:bookmarkStart w:id="118" w:name="_Toc277149375"/>
      <w:bookmarkStart w:id="119" w:name="_Toc454788019"/>
      <w:bookmarkStart w:id="120" w:name="_Toc462934284"/>
      <w:bookmarkStart w:id="121" w:name="_Toc463011263"/>
      <w:bookmarkStart w:id="122" w:name="_Toc270604586"/>
      <w:r>
        <w:rPr>
          <w:rFonts w:hint="eastAsia" w:hAnsi="宋体" w:cs="黑体"/>
          <w:b/>
          <w:color w:val="auto"/>
          <w:sz w:val="21"/>
          <w:szCs w:val="21"/>
        </w:rPr>
        <w:t>分包</w:t>
      </w:r>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23" w:name="_Toc270604587"/>
      <w:bookmarkStart w:id="124" w:name="_Toc10220"/>
      <w:bookmarkStart w:id="125" w:name="_Toc462934285"/>
      <w:bookmarkStart w:id="126" w:name="_Toc269470306"/>
      <w:bookmarkStart w:id="127" w:name="_Toc277149376"/>
      <w:bookmarkStart w:id="128" w:name="_Toc463011264"/>
      <w:bookmarkStart w:id="129" w:name="_Toc29688"/>
      <w:bookmarkStart w:id="130" w:name="_Toc454788020"/>
      <w:bookmarkStart w:id="131" w:name="_Toc428351640"/>
      <w:bookmarkStart w:id="132" w:name="_Toc455678111"/>
      <w:bookmarkStart w:id="133" w:name="_Toc270604814"/>
      <w:bookmarkStart w:id="134" w:name="_Toc8513"/>
      <w:bookmarkStart w:id="135" w:name="_Toc428276580"/>
      <w:r>
        <w:rPr>
          <w:rFonts w:hint="eastAsia" w:hAnsi="宋体" w:cs="黑体"/>
          <w:color w:val="auto"/>
          <w:sz w:val="21"/>
          <w:szCs w:val="21"/>
        </w:rPr>
        <w:t>响应人拟在成交后将成交项目的非主体、非关键性工作进行分包的，应符合《响应人须知前附表》规定的分包内容、分包金额和资质要求等限制性条件，除《响应人须知前附表》规定的非主体、非关键性工作外，其他工作不得分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成交人不得向他人转让成交项目，接受分包的人不得再次分包。成交人应当就分包项目向采购人负责，接受分包的人就分包项目承担连带责任。</w:t>
      </w:r>
    </w:p>
    <w:bookmarkEnd w:id="123"/>
    <w:bookmarkEnd w:id="124"/>
    <w:bookmarkEnd w:id="125"/>
    <w:bookmarkEnd w:id="126"/>
    <w:bookmarkEnd w:id="127"/>
    <w:bookmarkEnd w:id="128"/>
    <w:bookmarkEnd w:id="129"/>
    <w:bookmarkEnd w:id="130"/>
    <w:bookmarkEnd w:id="131"/>
    <w:bookmarkEnd w:id="132"/>
    <w:bookmarkEnd w:id="133"/>
    <w:bookmarkEnd w:id="134"/>
    <w:bookmarkEnd w:id="13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响应和偏差</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响应文件应当对竞争性磋商文件的实质性要求和条件作出满足性或更有利于采购人的响应，否则，响应人的响应文件将被否决。实质性要求和条件见《响应人须知前附表》。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允许响应文件偏离竞争性磋商文件某些要求的，偏差应当符合竞争性磋商文件规定的偏差范围和幅度。</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响应文件对竞争性磋商文件的全部偏差，均应在响应文件的商务和技术偏差表中列明，除列明的内容外，视为响应人响应竞争性磋商文件的全部要求。</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36" w:name="_Toc455678112"/>
      <w:bookmarkStart w:id="137" w:name="_Toc462934286"/>
      <w:bookmarkStart w:id="138" w:name="_Toc23956"/>
      <w:bookmarkStart w:id="139" w:name="_Toc463011265"/>
      <w:bookmarkStart w:id="140" w:name="_Toc11809"/>
      <w:bookmarkStart w:id="141" w:name="_Toc17145"/>
      <w:r>
        <w:rPr>
          <w:rFonts w:hint="eastAsia" w:hAnsi="宋体" w:cs="黑体"/>
          <w:b/>
          <w:color w:val="auto"/>
          <w:sz w:val="21"/>
          <w:szCs w:val="21"/>
        </w:rPr>
        <w:t>选择性报价方案</w:t>
      </w:r>
      <w:bookmarkEnd w:id="136"/>
      <w:bookmarkEnd w:id="137"/>
      <w:bookmarkEnd w:id="138"/>
      <w:bookmarkEnd w:id="139"/>
      <w:bookmarkEnd w:id="140"/>
      <w:bookmarkEnd w:id="141"/>
    </w:p>
    <w:p>
      <w:pPr>
        <w:tabs>
          <w:tab w:val="left" w:pos="720"/>
          <w:tab w:val="left" w:pos="1320"/>
        </w:tabs>
        <w:snapToGrid w:val="0"/>
        <w:spacing w:line="360" w:lineRule="auto"/>
        <w:ind w:firstLine="420" w:firstLineChars="200"/>
        <w:contextualSpacing/>
      </w:pPr>
      <w:r>
        <w:rPr>
          <w:rFonts w:hint="eastAsia" w:cs="黑体"/>
        </w:rPr>
        <w:t>选择性报价方案：见响应人须知前附表。</w:t>
      </w:r>
    </w:p>
    <w:p>
      <w:pPr>
        <w:pStyle w:val="8"/>
        <w:numPr>
          <w:ilvl w:val="0"/>
          <w:numId w:val="5"/>
        </w:numPr>
        <w:tabs>
          <w:tab w:val="left" w:pos="360"/>
          <w:tab w:val="clear" w:pos="425"/>
        </w:tabs>
        <w:spacing w:line="360" w:lineRule="auto"/>
        <w:jc w:val="both"/>
        <w:outlineLvl w:val="1"/>
        <w:rPr>
          <w:rFonts w:hAnsi="宋体" w:cs="黑体"/>
          <w:b/>
          <w:color w:val="auto"/>
        </w:rPr>
      </w:pPr>
      <w:bookmarkStart w:id="142" w:name="_Toc270604588"/>
      <w:bookmarkStart w:id="143" w:name="_Toc9724"/>
      <w:bookmarkStart w:id="144" w:name="_Toc5446"/>
      <w:bookmarkStart w:id="145" w:name="_Toc6260"/>
      <w:r>
        <w:rPr>
          <w:rFonts w:hint="eastAsia" w:hAnsi="宋体" w:cs="黑体"/>
          <w:b/>
          <w:color w:val="auto"/>
        </w:rPr>
        <w:t>竞争性磋商文件</w:t>
      </w:r>
      <w:bookmarkEnd w:id="142"/>
      <w:bookmarkEnd w:id="143"/>
      <w:bookmarkEnd w:id="144"/>
      <w:bookmarkEnd w:id="1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46" w:name="_Toc428276582"/>
      <w:bookmarkStart w:id="147" w:name="_Toc428351642"/>
      <w:bookmarkStart w:id="148" w:name="_Toc27664"/>
      <w:bookmarkStart w:id="149" w:name="_Toc454788022"/>
      <w:bookmarkStart w:id="150" w:name="_Toc270604589"/>
      <w:bookmarkStart w:id="151" w:name="_Toc19729"/>
      <w:bookmarkStart w:id="152" w:name="_Toc270604816"/>
      <w:bookmarkStart w:id="153" w:name="_Toc455678114"/>
      <w:bookmarkStart w:id="154" w:name="_Toc10962"/>
      <w:bookmarkStart w:id="155" w:name="_Toc462934288"/>
      <w:bookmarkStart w:id="156" w:name="_Toc269470308"/>
      <w:bookmarkStart w:id="157" w:name="_Toc463011267"/>
      <w:bookmarkStart w:id="158" w:name="_Toc277149378"/>
      <w:r>
        <w:rPr>
          <w:rFonts w:hint="eastAsia" w:hAnsi="宋体" w:cs="黑体"/>
          <w:b/>
          <w:color w:val="auto"/>
          <w:sz w:val="21"/>
          <w:szCs w:val="21"/>
        </w:rPr>
        <w:t>竞争性磋商文件的组成</w:t>
      </w:r>
      <w:bookmarkEnd w:id="146"/>
      <w:bookmarkEnd w:id="147"/>
      <w:bookmarkEnd w:id="148"/>
      <w:bookmarkEnd w:id="149"/>
      <w:bookmarkEnd w:id="150"/>
      <w:bookmarkEnd w:id="151"/>
      <w:bookmarkEnd w:id="152"/>
      <w:bookmarkEnd w:id="153"/>
      <w:bookmarkEnd w:id="154"/>
      <w:bookmarkEnd w:id="155"/>
      <w:bookmarkEnd w:id="156"/>
      <w:bookmarkEnd w:id="157"/>
      <w:bookmarkEnd w:id="158"/>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本竞争性磋商文件包括：</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竞争性磋商公告</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响应人须知</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评审办法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合同</w:t>
      </w:r>
    </w:p>
    <w:p>
      <w:pPr>
        <w:numPr>
          <w:ilvl w:val="0"/>
          <w:numId w:val="7"/>
        </w:numPr>
        <w:wordWrap/>
        <w:topLinePunct w:val="0"/>
        <w:autoSpaceDE w:val="0"/>
        <w:autoSpaceDN w:val="0"/>
        <w:adjustRightInd w:val="0"/>
        <w:spacing w:line="360" w:lineRule="auto"/>
        <w:ind w:left="987" w:leftChars="200" w:right="40" w:hanging="567"/>
        <w:jc w:val="left"/>
      </w:pPr>
      <w:r>
        <w:rPr>
          <w:rFonts w:hint="eastAsia" w:cs="微软雅黑"/>
          <w:kern w:val="0"/>
        </w:rPr>
        <w:t>工程量清单</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图纸</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技术标准和要求</w:t>
      </w:r>
    </w:p>
    <w:p>
      <w:pPr>
        <w:numPr>
          <w:ilvl w:val="0"/>
          <w:numId w:val="7"/>
        </w:numPr>
        <w:wordWrap/>
        <w:topLinePunct w:val="0"/>
        <w:autoSpaceDE w:val="0"/>
        <w:autoSpaceDN w:val="0"/>
        <w:adjustRightInd w:val="0"/>
        <w:spacing w:line="360" w:lineRule="auto"/>
        <w:ind w:left="987" w:leftChars="200" w:right="40" w:hanging="567"/>
        <w:jc w:val="left"/>
        <w:rPr>
          <w:rFonts w:cs="微软雅黑"/>
          <w:kern w:val="0"/>
        </w:rPr>
      </w:pPr>
      <w:r>
        <w:rPr>
          <w:rFonts w:hint="eastAsia" w:cs="微软雅黑"/>
          <w:kern w:val="0"/>
        </w:rPr>
        <w:t>磋商响应文件格式</w:t>
      </w:r>
    </w:p>
    <w:p>
      <w:pPr>
        <w:tabs>
          <w:tab w:val="left" w:pos="1260"/>
        </w:tabs>
        <w:autoSpaceDE w:val="0"/>
        <w:autoSpaceDN w:val="0"/>
        <w:adjustRightInd w:val="0"/>
        <w:snapToGrid w:val="0"/>
        <w:spacing w:line="360" w:lineRule="auto"/>
        <w:ind w:firstLine="472" w:firstLineChars="225"/>
        <w:contextualSpacing/>
        <w:jc w:val="left"/>
        <w:rPr>
          <w:rFonts w:cs="FangSong_GB2312"/>
          <w:kern w:val="0"/>
        </w:rPr>
      </w:pPr>
      <w:r>
        <w:rPr>
          <w:rFonts w:hint="eastAsia" w:cs="FangSong_GB2312"/>
          <w:kern w:val="0"/>
        </w:rPr>
        <w:t>根据本章第</w:t>
      </w:r>
      <w:r>
        <w:rPr>
          <w:rFonts w:cs="TimesNewRomanPSMT"/>
          <w:kern w:val="0"/>
        </w:rPr>
        <w:t>1.</w:t>
      </w:r>
      <w:r>
        <w:rPr>
          <w:rFonts w:hint="eastAsia" w:cs="TimesNewRomanPSMT"/>
          <w:kern w:val="0"/>
        </w:rPr>
        <w:t>9</w:t>
      </w:r>
      <w:r>
        <w:rPr>
          <w:rFonts w:hint="eastAsia" w:cs="FangSong_GB2312"/>
          <w:kern w:val="0"/>
        </w:rPr>
        <w:t>款、第</w:t>
      </w:r>
      <w:r>
        <w:rPr>
          <w:rFonts w:cs="TimesNewRomanPSMT"/>
          <w:kern w:val="0"/>
        </w:rPr>
        <w:t xml:space="preserve">2.2 </w:t>
      </w:r>
      <w:r>
        <w:rPr>
          <w:rFonts w:hint="eastAsia" w:cs="FangSong_GB2312"/>
          <w:kern w:val="0"/>
        </w:rPr>
        <w:t>款和第</w:t>
      </w:r>
      <w:r>
        <w:rPr>
          <w:rFonts w:cs="TimesNewRomanPSMT"/>
          <w:kern w:val="0"/>
        </w:rPr>
        <w:t xml:space="preserve">2.3 </w:t>
      </w:r>
      <w:r>
        <w:rPr>
          <w:rFonts w:hint="eastAsia" w:cs="FangSong_GB2312"/>
          <w:kern w:val="0"/>
        </w:rPr>
        <w:t>款对竞争性磋商文件所作的澄清、修改，构成竞争性磋商文件的组成部分。</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59" w:name="_Toc277149379"/>
      <w:bookmarkStart w:id="160" w:name="_Toc463011268"/>
      <w:bookmarkStart w:id="161" w:name="_Toc462934289"/>
      <w:bookmarkStart w:id="162" w:name="_Toc270604817"/>
      <w:bookmarkStart w:id="163" w:name="_Toc13094"/>
      <w:bookmarkStart w:id="164" w:name="_Toc454788023"/>
      <w:bookmarkStart w:id="165" w:name="_Toc428276583"/>
      <w:bookmarkStart w:id="166" w:name="_Toc11511"/>
      <w:bookmarkStart w:id="167" w:name="_Toc269470309"/>
      <w:bookmarkStart w:id="168" w:name="_Toc455678115"/>
      <w:bookmarkStart w:id="169" w:name="_Toc5047"/>
      <w:bookmarkStart w:id="170" w:name="_Toc270604590"/>
      <w:bookmarkStart w:id="171" w:name="_Toc428351643"/>
      <w:r>
        <w:rPr>
          <w:rFonts w:hint="eastAsia" w:hAnsi="宋体" w:cs="黑体"/>
          <w:b/>
          <w:color w:val="auto"/>
          <w:sz w:val="21"/>
          <w:szCs w:val="21"/>
        </w:rPr>
        <w:t>竞争性磋商文件的澄清</w:t>
      </w:r>
      <w:bookmarkEnd w:id="159"/>
      <w:bookmarkEnd w:id="160"/>
      <w:bookmarkEnd w:id="161"/>
      <w:bookmarkEnd w:id="162"/>
      <w:bookmarkEnd w:id="163"/>
      <w:bookmarkEnd w:id="164"/>
      <w:bookmarkEnd w:id="165"/>
      <w:bookmarkEnd w:id="166"/>
      <w:bookmarkEnd w:id="167"/>
      <w:bookmarkEnd w:id="168"/>
      <w:bookmarkEnd w:id="169"/>
      <w:bookmarkEnd w:id="170"/>
      <w:bookmarkEnd w:id="1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72" w:name="_Toc463011269"/>
      <w:bookmarkStart w:id="173" w:name="_Toc454788024"/>
      <w:bookmarkStart w:id="174" w:name="_Toc455678116"/>
      <w:bookmarkStart w:id="175" w:name="_Toc428276584"/>
      <w:bookmarkStart w:id="176" w:name="_Toc462934290"/>
      <w:bookmarkStart w:id="177" w:name="_Toc20316"/>
      <w:bookmarkStart w:id="178" w:name="_Toc277149380"/>
      <w:bookmarkStart w:id="179" w:name="_Toc269470310"/>
      <w:bookmarkStart w:id="180" w:name="_Toc270604591"/>
      <w:bookmarkStart w:id="181" w:name="_Toc428351644"/>
      <w:bookmarkStart w:id="182" w:name="_Toc270604818"/>
      <w:bookmarkStart w:id="183" w:name="_Toc400"/>
      <w:r>
        <w:rPr>
          <w:rFonts w:hint="eastAsia" w:hAnsi="宋体" w:cs="黑体"/>
          <w:color w:val="auto"/>
          <w:sz w:val="21"/>
          <w:szCs w:val="21"/>
        </w:rPr>
        <w:t>响应人应仔细阅读和检查竞争性磋商文件的全部内容。如发现缺页或附件不全，应及时向采购人提出，以便补齐。如有疑问，应按《响应人须知前附表》规定的时间和形式将提出的问题送达采购人，要求采购人对竞争性磋商文件予以澄清。</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竞争性磋商文件的澄清以《响应人须知前附表》规定的形式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除非采购人认为确有必要答复，否则，采购人有权拒绝回复响应人在本章第2.2.1项规定的时间后的任何澄清要求。在规定的时间内未提出疑问的，将被视为对竞争性磋商文件完全认可。</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4" w:name="_Toc5535"/>
      <w:r>
        <w:rPr>
          <w:rFonts w:hint="eastAsia" w:hAnsi="宋体" w:cs="黑体"/>
          <w:b/>
          <w:color w:val="auto"/>
          <w:sz w:val="21"/>
          <w:szCs w:val="21"/>
        </w:rPr>
        <w:t>竞争性磋商文件的修改</w:t>
      </w:r>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185" w:name="_Toc270604592"/>
      <w:bookmarkStart w:id="186" w:name="_Toc12045"/>
      <w:r>
        <w:rPr>
          <w:rFonts w:hint="eastAsia" w:hAnsi="宋体" w:cs="黑体"/>
          <w:color w:val="auto"/>
          <w:sz w:val="21"/>
          <w:szCs w:val="21"/>
        </w:rPr>
        <w:t>采购人或者采购代理机构可以对已发出的竞争性磋商文件进行必要的修改，但不得改变采购标的和资格条件，修改的内容为竞争性磋商文件的组成部分。</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采购代理机构以《响应人须知前附表》规定的形式修改竞争性磋商文件，同时在原公告媒体发布变更公告。修改竞争性磋商文件的时间距本章第4.2.1项规定的提交首次响应文件截止时间不足5日的，并且修改内容可能影响响应文件编制的，将相应延长提交首次响应文件截止时间。</w:t>
      </w:r>
    </w:p>
    <w:p>
      <w:pPr>
        <w:pStyle w:val="8"/>
        <w:numPr>
          <w:ilvl w:val="0"/>
          <w:numId w:val="5"/>
        </w:numPr>
        <w:tabs>
          <w:tab w:val="left" w:pos="360"/>
          <w:tab w:val="clear" w:pos="425"/>
        </w:tabs>
        <w:spacing w:line="360" w:lineRule="auto"/>
        <w:jc w:val="both"/>
        <w:outlineLvl w:val="1"/>
        <w:rPr>
          <w:rFonts w:hAnsi="宋体" w:cs="黑体"/>
          <w:b/>
          <w:color w:val="auto"/>
        </w:rPr>
      </w:pPr>
      <w:bookmarkStart w:id="187" w:name="_Toc9050"/>
      <w:bookmarkStart w:id="188" w:name="_Toc28297"/>
      <w:r>
        <w:rPr>
          <w:rFonts w:hint="eastAsia" w:hAnsi="宋体" w:cs="黑体"/>
          <w:b/>
          <w:color w:val="auto"/>
        </w:rPr>
        <w:t>磋商响应文件</w:t>
      </w:r>
      <w:bookmarkEnd w:id="185"/>
      <w:bookmarkEnd w:id="186"/>
      <w:r>
        <w:rPr>
          <w:rFonts w:hint="eastAsia" w:hAnsi="宋体" w:cs="黑体"/>
          <w:b/>
          <w:color w:val="auto"/>
        </w:rPr>
        <w:t>编写</w:t>
      </w:r>
      <w:bookmarkEnd w:id="187"/>
      <w:bookmarkEnd w:id="1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189" w:name="_Toc463011271"/>
      <w:bookmarkStart w:id="190" w:name="_Toc462934292"/>
      <w:bookmarkStart w:id="191" w:name="_Toc26455"/>
      <w:bookmarkStart w:id="192" w:name="_Toc270604820"/>
      <w:bookmarkStart w:id="193" w:name="_Toc20143"/>
      <w:bookmarkStart w:id="194" w:name="_Toc454788026"/>
      <w:bookmarkStart w:id="195" w:name="_Toc455678118"/>
      <w:bookmarkStart w:id="196" w:name="_Toc277149382"/>
      <w:bookmarkStart w:id="197" w:name="_Toc270604593"/>
      <w:bookmarkStart w:id="198" w:name="_Toc428276586"/>
      <w:bookmarkStart w:id="199" w:name="_Toc12181"/>
      <w:bookmarkStart w:id="200" w:name="_Toc269470312"/>
      <w:bookmarkStart w:id="201" w:name="_Toc428351646"/>
      <w:r>
        <w:rPr>
          <w:rFonts w:hint="eastAsia" w:hAnsi="宋体" w:cs="黑体"/>
          <w:b/>
          <w:color w:val="auto"/>
          <w:sz w:val="21"/>
          <w:szCs w:val="21"/>
        </w:rPr>
        <w:t>磋商响应文件的组成</w:t>
      </w:r>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8"/>
        <w:numPr>
          <w:ilvl w:val="0"/>
          <w:numId w:val="0"/>
        </w:numPr>
        <w:snapToGrid w:val="0"/>
        <w:spacing w:line="360" w:lineRule="auto"/>
        <w:ind w:left="540"/>
        <w:contextualSpacing/>
        <w:jc w:val="both"/>
        <w:rPr>
          <w:rFonts w:hAnsi="宋体" w:cs="黑体"/>
          <w:color w:val="auto"/>
          <w:sz w:val="21"/>
          <w:szCs w:val="21"/>
        </w:rPr>
      </w:pPr>
      <w:r>
        <w:rPr>
          <w:rFonts w:hint="eastAsia" w:hAnsi="宋体" w:cs="黑体"/>
          <w:color w:val="auto"/>
          <w:sz w:val="21"/>
          <w:szCs w:val="21"/>
        </w:rPr>
        <w:t>磋商响应文件应包括下列内容：</w:t>
      </w:r>
    </w:p>
    <w:p>
      <w:pPr>
        <w:wordWrap/>
        <w:topLinePunct w:val="0"/>
        <w:autoSpaceDE w:val="0"/>
        <w:autoSpaceDN w:val="0"/>
        <w:adjustRightInd w:val="0"/>
        <w:spacing w:line="360" w:lineRule="auto"/>
        <w:ind w:right="40" w:firstLine="420" w:firstLineChars="200"/>
        <w:jc w:val="left"/>
        <w:rPr>
          <w:rFonts w:cs="微软雅黑"/>
          <w:kern w:val="0"/>
        </w:rPr>
      </w:pPr>
      <w:bookmarkStart w:id="202" w:name="_Toc455678119"/>
      <w:bookmarkStart w:id="203" w:name="_Toc462934293"/>
      <w:bookmarkStart w:id="204" w:name="_Toc4803"/>
      <w:bookmarkStart w:id="205" w:name="_Toc463011272"/>
      <w:bookmarkStart w:id="206" w:name="_Toc22898"/>
      <w:bookmarkStart w:id="207" w:name="_Toc21496"/>
      <w:bookmarkStart w:id="208" w:name="_Toc270604595"/>
      <w:bookmarkStart w:id="209" w:name="_Toc277149384"/>
      <w:bookmarkStart w:id="210" w:name="_Toc270604822"/>
      <w:bookmarkStart w:id="211" w:name="_Toc269470314"/>
      <w:r>
        <w:rPr>
          <w:rFonts w:hint="eastAsia"/>
        </w:rPr>
        <w:t>（1）</w:t>
      </w:r>
      <w:r>
        <w:rPr>
          <w:rFonts w:hint="eastAsia" w:cs="微软雅黑"/>
          <w:kern w:val="0"/>
        </w:rPr>
        <w:t>报价函及报价函附录</w:t>
      </w:r>
    </w:p>
    <w:p>
      <w:pPr>
        <w:wordWrap/>
        <w:topLinePunct w:val="0"/>
        <w:spacing w:line="360" w:lineRule="auto"/>
        <w:ind w:firstLine="420" w:firstLineChars="200"/>
      </w:pPr>
      <w:r>
        <w:rPr>
          <w:rFonts w:hint="eastAsia"/>
        </w:rPr>
        <w:t>（2）法定代表人身份证明</w:t>
      </w:r>
      <w:r>
        <w:rPr>
          <w:rFonts w:hint="eastAsia" w:cs="微软雅黑"/>
          <w:kern w:val="0"/>
        </w:rPr>
        <w:t>或授权委托书</w:t>
      </w:r>
    </w:p>
    <w:p>
      <w:pPr>
        <w:wordWrap/>
        <w:topLinePunct w:val="0"/>
        <w:spacing w:line="360" w:lineRule="auto"/>
        <w:ind w:firstLine="420" w:firstLineChars="200"/>
      </w:pPr>
      <w:r>
        <w:rPr>
          <w:rFonts w:hint="eastAsia"/>
        </w:rPr>
        <w:t>（3）响应人资格审查资料</w:t>
      </w:r>
    </w:p>
    <w:p>
      <w:pPr>
        <w:wordWrap/>
        <w:topLinePunct w:val="0"/>
        <w:spacing w:line="360" w:lineRule="auto"/>
        <w:ind w:firstLine="420" w:firstLineChars="200"/>
      </w:pPr>
      <w:r>
        <w:rPr>
          <w:rFonts w:hint="eastAsia"/>
        </w:rPr>
        <w:t>（4）已标价工程量清单</w:t>
      </w:r>
    </w:p>
    <w:p>
      <w:pPr>
        <w:wordWrap/>
        <w:topLinePunct w:val="0"/>
        <w:spacing w:line="360" w:lineRule="auto"/>
        <w:ind w:firstLine="420" w:firstLineChars="200"/>
      </w:pPr>
      <w:r>
        <w:rPr>
          <w:rFonts w:hint="eastAsia"/>
        </w:rPr>
        <w:t>（5）施工组织设计</w:t>
      </w:r>
    </w:p>
    <w:p>
      <w:pPr>
        <w:wordWrap/>
        <w:topLinePunct w:val="0"/>
        <w:spacing w:line="360" w:lineRule="auto"/>
        <w:ind w:firstLine="420" w:firstLineChars="200"/>
      </w:pPr>
      <w:r>
        <w:rPr>
          <w:rFonts w:hint="eastAsia"/>
        </w:rPr>
        <w:t>（6）项目管理机构</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7</w:t>
      </w:r>
      <w:r>
        <w:rPr>
          <w:rFonts w:hint="eastAsia"/>
        </w:rPr>
        <w:t>）</w:t>
      </w:r>
      <w:r>
        <w:rPr>
          <w:rFonts w:hint="eastAsia" w:cs="微软雅黑"/>
          <w:kern w:val="0"/>
        </w:rPr>
        <w:t>服务承诺</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8</w:t>
      </w:r>
      <w:r>
        <w:rPr>
          <w:rFonts w:hint="eastAsia"/>
        </w:rPr>
        <w:t>）</w:t>
      </w:r>
      <w:r>
        <w:rPr>
          <w:rFonts w:hint="eastAsia" w:cs="微软雅黑"/>
          <w:kern w:val="0"/>
        </w:rPr>
        <w:t>反商业贿赂承诺书</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w:t>
      </w:r>
      <w:r>
        <w:rPr>
          <w:rFonts w:hint="eastAsia"/>
          <w:lang w:val="en-US" w:eastAsia="zh-CN"/>
        </w:rPr>
        <w:t>9</w:t>
      </w:r>
      <w:r>
        <w:rPr>
          <w:rFonts w:hint="eastAsia"/>
        </w:rPr>
        <w:t>）</w:t>
      </w:r>
      <w:r>
        <w:rPr>
          <w:rFonts w:hint="eastAsia" w:cs="微软雅黑"/>
          <w:kern w:val="0"/>
        </w:rPr>
        <w:t>中小企业声明函</w:t>
      </w:r>
    </w:p>
    <w:p>
      <w:pPr>
        <w:wordWrap/>
        <w:topLinePunct w:val="0"/>
        <w:autoSpaceDE w:val="0"/>
        <w:autoSpaceDN w:val="0"/>
        <w:adjustRightInd w:val="0"/>
        <w:spacing w:line="360" w:lineRule="auto"/>
        <w:ind w:right="40" w:firstLine="420" w:firstLineChars="200"/>
        <w:jc w:val="left"/>
      </w:pPr>
      <w:r>
        <w:rPr>
          <w:rFonts w:hint="eastAsia" w:cs="微软雅黑"/>
          <w:kern w:val="0"/>
        </w:rPr>
        <w:t>（1</w:t>
      </w:r>
      <w:r>
        <w:rPr>
          <w:rFonts w:hint="eastAsia" w:cs="微软雅黑"/>
          <w:kern w:val="0"/>
          <w:lang w:val="en-US" w:eastAsia="zh-CN"/>
        </w:rPr>
        <w:t>0</w:t>
      </w:r>
      <w:r>
        <w:rPr>
          <w:rFonts w:hint="eastAsia" w:cs="微软雅黑"/>
          <w:kern w:val="0"/>
        </w:rPr>
        <w:t>）残疾人福利性单位声明函</w:t>
      </w:r>
    </w:p>
    <w:p>
      <w:pPr>
        <w:wordWrap/>
        <w:topLinePunct w:val="0"/>
        <w:autoSpaceDE w:val="0"/>
        <w:autoSpaceDN w:val="0"/>
        <w:adjustRightInd w:val="0"/>
        <w:spacing w:line="360" w:lineRule="auto"/>
        <w:ind w:right="40" w:firstLine="420" w:firstLineChars="200"/>
        <w:jc w:val="left"/>
        <w:rPr>
          <w:rFonts w:cs="微软雅黑"/>
          <w:kern w:val="0"/>
        </w:rPr>
      </w:pPr>
      <w:r>
        <w:rPr>
          <w:rFonts w:hint="eastAsia"/>
        </w:rPr>
        <w:t>（1</w:t>
      </w:r>
      <w:r>
        <w:rPr>
          <w:rFonts w:hint="eastAsia"/>
          <w:lang w:val="en-US" w:eastAsia="zh-CN"/>
        </w:rPr>
        <w:t>1</w:t>
      </w:r>
      <w:r>
        <w:rPr>
          <w:rFonts w:hint="eastAsia"/>
        </w:rPr>
        <w:t>）</w:t>
      </w:r>
      <w:r>
        <w:rPr>
          <w:rFonts w:hint="eastAsia" w:cs="微软雅黑"/>
          <w:kern w:val="0"/>
        </w:rPr>
        <w:t>其他资料</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磋商价格构成及报价要求</w:t>
      </w:r>
      <w:bookmarkEnd w:id="202"/>
      <w:bookmarkEnd w:id="203"/>
      <w:bookmarkEnd w:id="204"/>
      <w:bookmarkEnd w:id="205"/>
      <w:bookmarkEnd w:id="206"/>
      <w:bookmarkEnd w:id="20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212" w:name="_Toc463011273"/>
      <w:bookmarkStart w:id="213" w:name="_Toc428351648"/>
      <w:bookmarkStart w:id="214" w:name="_Toc58"/>
      <w:bookmarkStart w:id="215" w:name="_Toc17969"/>
      <w:bookmarkStart w:id="216" w:name="_Toc455678120"/>
      <w:bookmarkStart w:id="217" w:name="_Toc454788028"/>
      <w:bookmarkStart w:id="218" w:name="_Toc9193"/>
      <w:bookmarkStart w:id="219" w:name="_Toc462934294"/>
      <w:bookmarkStart w:id="220" w:name="_Toc428276588"/>
      <w:r>
        <w:rPr>
          <w:rFonts w:hint="eastAsia" w:hAnsi="宋体" w:cs="黑体"/>
          <w:color w:val="auto"/>
          <w:sz w:val="21"/>
          <w:szCs w:val="21"/>
        </w:rPr>
        <w:t>响应人应按第五章“工程量清单”的要求编制“已标价工程量清单”。</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采购人设有最高采购限价的，响应人的报价不得超过最高采购限价，最高采购限价或其计算方法在响应人须知前附表中载明。</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磋商报价应包括施工设备、劳务、管理、材料、维护、利润、税金、政策性文件规定及合同中包含的风险、责任以及投标人认为与工程有关的其他费用。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非本磋商文件对工程量清单编制和报价另有说明的，否则，响应人应按采购人给出的工程量清单中的项目和数量进行报价，不得做任何修改(主要材料价表格、单位工程主材表除外），投标人依据投标人自身的技术装备、施工经验、企业成本、管理水平和现行市场价格信息，合理自主报价。分两次报价：第一次报价必须按照磋商文件的报价格式填报，第二次报价在磋商中填报，第二次报价（不得高于一次报价）即为最终报价。</w:t>
      </w:r>
    </w:p>
    <w:p>
      <w:pPr>
        <w:rPr>
          <w:rFonts w:hint="eastAsia" w:eastAsia="宋体"/>
          <w:lang w:val="en-US" w:eastAsia="zh-CN"/>
        </w:rPr>
      </w:pPr>
      <w:r>
        <w:rPr>
          <w:rFonts w:hint="eastAsia" w:cs="黑体"/>
          <w:b/>
          <w:bCs/>
          <w:color w:val="auto"/>
          <w:sz w:val="24"/>
          <w:szCs w:val="24"/>
          <w:lang w:val="en-US" w:eastAsia="zh-CN"/>
        </w:rPr>
        <w:t>注：</w:t>
      </w:r>
      <w:r>
        <w:rPr>
          <w:rFonts w:hint="eastAsia" w:ascii="宋体" w:hAnsi="宋体" w:cs="宋体"/>
          <w:b/>
          <w:bCs/>
          <w:color w:val="000000"/>
          <w:spacing w:val="4"/>
          <w:sz w:val="24"/>
          <w:highlight w:val="none"/>
        </w:rPr>
        <w:t>请各</w:t>
      </w:r>
      <w:r>
        <w:rPr>
          <w:rFonts w:hint="eastAsia" w:ascii="宋体" w:hAnsi="宋体" w:cs="宋体"/>
          <w:b/>
          <w:bCs/>
          <w:color w:val="000000"/>
          <w:spacing w:val="4"/>
          <w:sz w:val="24"/>
          <w:highlight w:val="none"/>
          <w:lang w:eastAsia="zh-CN"/>
        </w:rPr>
        <w:t>投标人</w:t>
      </w:r>
      <w:r>
        <w:rPr>
          <w:rFonts w:hint="eastAsia" w:ascii="宋体" w:hAnsi="宋体" w:cs="宋体"/>
          <w:b/>
          <w:bCs/>
          <w:color w:val="000000"/>
          <w:spacing w:val="4"/>
          <w:sz w:val="24"/>
          <w:highlight w:val="none"/>
        </w:rPr>
        <w:t>各自在规定时间内进行网上二次报价</w:t>
      </w:r>
      <w:r>
        <w:rPr>
          <w:rFonts w:hint="eastAsia" w:cs="宋体"/>
          <w:b/>
          <w:bCs/>
          <w:color w:val="000000"/>
          <w:spacing w:val="4"/>
          <w:sz w:val="24"/>
          <w:highlight w:val="none"/>
          <w:lang w:eastAsia="zh-CN"/>
        </w:rPr>
        <w:t>，</w:t>
      </w:r>
      <w:r>
        <w:rPr>
          <w:rFonts w:hint="eastAsia" w:cs="宋体"/>
          <w:b/>
          <w:bCs/>
          <w:color w:val="000000"/>
          <w:spacing w:val="4"/>
          <w:sz w:val="24"/>
          <w:highlight w:val="none"/>
          <w:lang w:val="en-US" w:eastAsia="zh-CN"/>
        </w:rPr>
        <w:t>未在规定时间内进行二次报价的投标人，应做废标处理。</w:t>
      </w:r>
      <w:r>
        <w:rPr>
          <w:rFonts w:hint="eastAsia" w:ascii="宋体" w:hAnsi="宋体" w:cs="宋体"/>
          <w:b/>
          <w:bCs/>
          <w:color w:val="000000"/>
          <w:spacing w:val="4"/>
          <w:sz w:val="24"/>
          <w:highlight w:val="none"/>
          <w:lang w:eastAsia="zh-CN"/>
        </w:rPr>
        <w:t>（注：</w:t>
      </w:r>
      <w:r>
        <w:rPr>
          <w:rFonts w:hint="eastAsia" w:ascii="宋体" w:hAnsi="宋体" w:cs="宋体"/>
          <w:b/>
          <w:bCs/>
          <w:sz w:val="24"/>
          <w:highlight w:val="none"/>
          <w:lang w:eastAsia="zh-CN"/>
        </w:rPr>
        <w:t>二次</w:t>
      </w:r>
      <w:r>
        <w:rPr>
          <w:rFonts w:hint="eastAsia" w:ascii="宋体" w:hAnsi="宋体" w:cs="宋体"/>
          <w:b/>
          <w:bCs/>
          <w:sz w:val="24"/>
          <w:highlight w:val="none"/>
        </w:rPr>
        <w:t>报价</w:t>
      </w:r>
      <w:r>
        <w:rPr>
          <w:rFonts w:hint="eastAsia" w:ascii="宋体" w:hAnsi="宋体" w:cs="宋体"/>
          <w:b/>
          <w:bCs/>
          <w:sz w:val="24"/>
          <w:highlight w:val="none"/>
          <w:lang w:eastAsia="zh-CN"/>
        </w:rPr>
        <w:t>不得高于</w:t>
      </w:r>
      <w:r>
        <w:rPr>
          <w:rFonts w:hint="eastAsia" w:ascii="宋体" w:hAnsi="宋体" w:cs="宋体"/>
          <w:b/>
          <w:bCs/>
          <w:sz w:val="24"/>
          <w:highlight w:val="none"/>
        </w:rPr>
        <w:t>一次报价</w:t>
      </w:r>
      <w:r>
        <w:rPr>
          <w:rFonts w:hint="eastAsia" w:ascii="宋体" w:hAnsi="宋体" w:cs="宋体"/>
          <w:b/>
          <w:bCs/>
          <w:color w:val="000000"/>
          <w:spacing w:val="4"/>
          <w:sz w:val="24"/>
          <w:highlight w:val="none"/>
          <w:lang w:eastAsia="zh-CN"/>
        </w:rPr>
        <w:t>）</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本项目的磋商报价应按照竞争性磋商文件、补充通知、答疑纪要、现场情况、承包范围，并充分考虑供货及服务期间各类市场风险和国家政策性调整等风险系数，由各响应人根据自身情况，在合理范围内，自主考虑、优惠报价，但不得低于企业成本。</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r>
        <w:rPr>
          <w:rFonts w:hint="eastAsia" w:hAnsi="宋体" w:cs="黑体"/>
          <w:b/>
          <w:color w:val="auto"/>
          <w:sz w:val="21"/>
          <w:szCs w:val="21"/>
        </w:rPr>
        <w:t>磋商有效期</w:t>
      </w:r>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磋商有效期见《响应人须知前附表》，从提交首次响应文件的截止之日起算。</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在磋商有效期内，响应人撤销响应文件的，应承担竞争性磋商文件和法律规定的责任。</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21" w:name="_Toc462934295"/>
      <w:bookmarkStart w:id="222" w:name="_Toc463011274"/>
      <w:bookmarkStart w:id="223" w:name="_Toc25039"/>
      <w:bookmarkStart w:id="224" w:name="_Toc15074"/>
      <w:bookmarkStart w:id="225" w:name="_Toc455678121"/>
      <w:bookmarkStart w:id="226" w:name="_Toc454788029"/>
      <w:bookmarkStart w:id="227" w:name="_Toc23856"/>
      <w:bookmarkStart w:id="228" w:name="_Toc428276589"/>
      <w:bookmarkStart w:id="229" w:name="_Toc428351649"/>
      <w:r>
        <w:rPr>
          <w:rFonts w:hint="eastAsia" w:hAnsi="宋体" w:cs="黑体"/>
          <w:b/>
          <w:color w:val="auto"/>
          <w:sz w:val="21"/>
          <w:szCs w:val="21"/>
        </w:rPr>
        <w:t>磋商保证金</w:t>
      </w:r>
      <w:bookmarkEnd w:id="221"/>
      <w:bookmarkEnd w:id="222"/>
      <w:bookmarkEnd w:id="223"/>
      <w:bookmarkEnd w:id="224"/>
      <w:bookmarkEnd w:id="225"/>
      <w:bookmarkEnd w:id="226"/>
      <w:bookmarkEnd w:id="227"/>
      <w:bookmarkEnd w:id="228"/>
      <w:bookmarkEnd w:id="229"/>
    </w:p>
    <w:p>
      <w:pPr>
        <w:pStyle w:val="8"/>
        <w:numPr>
          <w:ilvl w:val="0"/>
          <w:numId w:val="0"/>
        </w:numPr>
        <w:tabs>
          <w:tab w:val="left" w:pos="425"/>
          <w:tab w:val="left" w:pos="540"/>
        </w:tabs>
        <w:spacing w:line="360" w:lineRule="auto"/>
        <w:ind w:left="540"/>
        <w:jc w:val="both"/>
        <w:outlineLvl w:val="1"/>
        <w:rPr>
          <w:rFonts w:hAnsi="宋体" w:cs="黑体"/>
          <w:b/>
          <w:color w:val="auto"/>
          <w:sz w:val="21"/>
          <w:szCs w:val="21"/>
        </w:rPr>
      </w:pPr>
      <w:r>
        <w:rPr>
          <w:rFonts w:hint="eastAsia" w:hAnsi="宋体" w:cs="黑体"/>
          <w:b/>
          <w:color w:val="auto"/>
          <w:sz w:val="21"/>
          <w:szCs w:val="21"/>
        </w:rPr>
        <w:t>本项目不缴纳磋商保证金</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30" w:name="_Toc4446"/>
      <w:bookmarkStart w:id="231" w:name="_Toc462934296"/>
      <w:bookmarkStart w:id="232" w:name="_Toc269470318"/>
      <w:bookmarkStart w:id="233" w:name="_Toc428351650"/>
      <w:bookmarkStart w:id="234" w:name="_Toc32308"/>
      <w:bookmarkStart w:id="235" w:name="_Toc270604823"/>
      <w:bookmarkStart w:id="236" w:name="_Toc428276590"/>
      <w:bookmarkStart w:id="237" w:name="_Toc454788030"/>
      <w:bookmarkStart w:id="238" w:name="_Toc277149385"/>
      <w:bookmarkStart w:id="239" w:name="_Toc455678122"/>
      <w:bookmarkStart w:id="240" w:name="_Toc463011275"/>
      <w:bookmarkStart w:id="241" w:name="_Toc7919"/>
      <w:bookmarkStart w:id="242" w:name="_Toc270604596"/>
      <w:r>
        <w:rPr>
          <w:rFonts w:hint="eastAsia" w:hAnsi="宋体" w:cs="黑体"/>
          <w:b/>
          <w:color w:val="auto"/>
          <w:sz w:val="21"/>
          <w:szCs w:val="21"/>
        </w:rPr>
        <w:t>磋商响应文件的编制</w:t>
      </w:r>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按第八章磋商响应文件格式进行编写，如有必要，可以增加附页，作为磋商响应文件的组成部分。其中，报价函附录在满足竞争性磋商文件实质性要求的基础上，可以提出比竞争性磋商文件要求更有利于采购人的承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磋商响应文件应当对竞争性磋商文件有关磋商报价、计划工期、磋商有效期、质量标准等实质性内容作出响应。</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（1）磋商响应文件应按第八章磋商响应文件格式进行编写，并由响应人的法定代表人或其委托代理人签字或盖单位章。委托代理人签字的，磋商响应文件应附法定代表人签字的授权委托书。</w:t>
      </w:r>
    </w:p>
    <w:p>
      <w:pPr>
        <w:pStyle w:val="8"/>
        <w:numPr>
          <w:ilvl w:val="0"/>
          <w:numId w:val="5"/>
        </w:numPr>
        <w:tabs>
          <w:tab w:val="left" w:pos="360"/>
          <w:tab w:val="clear" w:pos="425"/>
        </w:tabs>
        <w:spacing w:line="360" w:lineRule="auto"/>
        <w:jc w:val="both"/>
        <w:outlineLvl w:val="1"/>
        <w:rPr>
          <w:rFonts w:hAnsi="宋体" w:cs="黑体"/>
          <w:b/>
          <w:color w:val="auto"/>
        </w:rPr>
      </w:pPr>
      <w:bookmarkStart w:id="243" w:name="_Toc12187"/>
      <w:bookmarkStart w:id="244" w:name="_Toc6530"/>
      <w:bookmarkStart w:id="245" w:name="_Toc13452"/>
      <w:r>
        <w:rPr>
          <w:rFonts w:hint="eastAsia" w:hAnsi="宋体" w:cs="黑体"/>
          <w:b/>
          <w:color w:val="auto"/>
        </w:rPr>
        <w:t>响应文件的递交</w:t>
      </w:r>
      <w:bookmarkEnd w:id="243"/>
      <w:bookmarkEnd w:id="244"/>
      <w:bookmarkEnd w:id="245"/>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46" w:name="_Toc27477"/>
      <w:bookmarkStart w:id="247" w:name="_Toc270604825"/>
      <w:bookmarkStart w:id="248" w:name="_Toc428276592"/>
      <w:bookmarkStart w:id="249" w:name="_Toc463011277"/>
      <w:bookmarkStart w:id="250" w:name="_Toc277149387"/>
      <w:bookmarkStart w:id="251" w:name="_Toc462934298"/>
      <w:bookmarkStart w:id="252" w:name="_Toc428351652"/>
      <w:bookmarkStart w:id="253" w:name="_Toc269470320"/>
      <w:bookmarkStart w:id="254" w:name="_Toc31608"/>
      <w:bookmarkStart w:id="255" w:name="_Toc21528"/>
      <w:bookmarkStart w:id="256" w:name="_Toc270604598"/>
      <w:bookmarkStart w:id="257" w:name="_Toc455678124"/>
      <w:bookmarkStart w:id="258" w:name="_Toc454788032"/>
      <w:r>
        <w:rPr>
          <w:rFonts w:hint="eastAsia" w:hAnsi="宋体" w:cs="黑体"/>
          <w:b/>
          <w:color w:val="auto"/>
          <w:sz w:val="21"/>
          <w:szCs w:val="21"/>
        </w:rPr>
        <w:t>响应文件的密封和标记</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8"/>
        <w:numPr>
          <w:ilvl w:val="1"/>
          <w:numId w:val="0"/>
        </w:numPr>
        <w:tabs>
          <w:tab w:val="left" w:pos="0"/>
        </w:tabs>
        <w:spacing w:line="360" w:lineRule="auto"/>
        <w:ind w:left="420" w:leftChars="200"/>
        <w:jc w:val="both"/>
        <w:rPr>
          <w:rFonts w:hAnsi="宋体"/>
          <w:color w:val="auto"/>
          <w:szCs w:val="21"/>
        </w:rPr>
      </w:pPr>
      <w:r>
        <w:rPr>
          <w:rFonts w:hint="eastAsia" w:hAnsi="宋体" w:cs="黑体"/>
          <w:color w:val="auto"/>
          <w:sz w:val="21"/>
          <w:szCs w:val="21"/>
        </w:rPr>
        <w:t>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59" w:name="_Toc277149388"/>
      <w:bookmarkStart w:id="260" w:name="_Toc20197"/>
      <w:bookmarkStart w:id="261" w:name="_Toc463011278"/>
      <w:bookmarkStart w:id="262" w:name="_Toc269470321"/>
      <w:bookmarkStart w:id="263" w:name="_Toc270604826"/>
      <w:bookmarkStart w:id="264" w:name="_Toc29167"/>
      <w:bookmarkStart w:id="265" w:name="_Toc5938"/>
      <w:bookmarkStart w:id="266" w:name="_Toc270604599"/>
      <w:bookmarkStart w:id="267" w:name="_Toc455678125"/>
      <w:bookmarkStart w:id="268" w:name="_Toc428276593"/>
      <w:bookmarkStart w:id="269" w:name="_Toc454788033"/>
      <w:bookmarkStart w:id="270" w:name="_Toc462934299"/>
      <w:bookmarkStart w:id="271" w:name="_Toc428351653"/>
      <w:r>
        <w:rPr>
          <w:rFonts w:hint="eastAsia" w:hAnsi="宋体" w:cs="黑体"/>
          <w:b/>
          <w:color w:val="auto"/>
          <w:sz w:val="21"/>
          <w:szCs w:val="21"/>
        </w:rPr>
        <w:t>磋商响应文件的递交</w:t>
      </w:r>
      <w:bookmarkEnd w:id="259"/>
      <w:bookmarkEnd w:id="260"/>
      <w:bookmarkEnd w:id="261"/>
      <w:bookmarkEnd w:id="262"/>
      <w:bookmarkEnd w:id="263"/>
      <w:bookmarkEnd w:id="264"/>
      <w:bookmarkEnd w:id="265"/>
      <w:bookmarkEnd w:id="266"/>
      <w:bookmarkEnd w:id="267"/>
      <w:bookmarkEnd w:id="268"/>
      <w:bookmarkEnd w:id="269"/>
      <w:bookmarkEnd w:id="270"/>
      <w:bookmarkEnd w:id="27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响应人应在《响应人须知前附表》规定的提交首次响应文件截止时间前递交响应文件。</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响应人递交响应文件的地点：见《响应人须知前附表》。</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除《响应人须知前附表》另有规定外响应人所递交的响应文件不予退还。</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逾期送达的响应文件，采购人将予以拒收。</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72" w:name="_Toc463011279"/>
      <w:bookmarkStart w:id="273" w:name="_Toc454788034"/>
      <w:bookmarkStart w:id="274" w:name="_Toc26556"/>
      <w:bookmarkStart w:id="275" w:name="_Toc269470322"/>
      <w:bookmarkStart w:id="276" w:name="_Toc29096"/>
      <w:bookmarkStart w:id="277" w:name="_Toc428276594"/>
      <w:bookmarkStart w:id="278" w:name="_Toc270604600"/>
      <w:bookmarkStart w:id="279" w:name="_Toc462934300"/>
      <w:bookmarkStart w:id="280" w:name="_Toc455678126"/>
      <w:bookmarkStart w:id="281" w:name="_Toc428351654"/>
      <w:bookmarkStart w:id="282" w:name="_Toc270604827"/>
      <w:bookmarkStart w:id="283" w:name="_Toc27108"/>
      <w:bookmarkStart w:id="284" w:name="_Toc277149389"/>
      <w:r>
        <w:rPr>
          <w:rFonts w:hint="eastAsia" w:hAnsi="宋体" w:cs="黑体"/>
          <w:b/>
          <w:color w:val="auto"/>
          <w:sz w:val="21"/>
          <w:szCs w:val="21"/>
        </w:rPr>
        <w:t>磋商响应文件的补充、修改与撤回</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在本章第4.2.1项规定的递交首次磋商截止时间前，响应人可以补充、修改或撤回已递交的磋商响应文件。</w:t>
      </w:r>
    </w:p>
    <w:p>
      <w:pPr>
        <w:pStyle w:val="8"/>
        <w:numPr>
          <w:ilvl w:val="0"/>
          <w:numId w:val="5"/>
        </w:numPr>
        <w:tabs>
          <w:tab w:val="left" w:pos="360"/>
          <w:tab w:val="clear" w:pos="425"/>
        </w:tabs>
        <w:spacing w:line="360" w:lineRule="auto"/>
        <w:jc w:val="both"/>
        <w:outlineLvl w:val="1"/>
        <w:rPr>
          <w:rFonts w:hAnsi="宋体" w:cs="黑体"/>
          <w:b/>
          <w:color w:val="auto"/>
        </w:rPr>
      </w:pPr>
      <w:bookmarkStart w:id="285" w:name="_Toc270604601"/>
      <w:bookmarkStart w:id="286" w:name="_Toc20799"/>
      <w:bookmarkStart w:id="287" w:name="_Toc5800"/>
      <w:bookmarkStart w:id="288" w:name="_Toc5513"/>
      <w:r>
        <w:rPr>
          <w:rFonts w:hint="eastAsia" w:hAnsi="宋体" w:cs="黑体"/>
          <w:b/>
          <w:color w:val="auto"/>
        </w:rPr>
        <w:t>竞争性</w:t>
      </w:r>
      <w:bookmarkEnd w:id="285"/>
      <w:r>
        <w:rPr>
          <w:rFonts w:hint="eastAsia" w:hAnsi="宋体" w:cs="黑体"/>
          <w:b/>
          <w:color w:val="auto"/>
        </w:rPr>
        <w:t>磋商</w:t>
      </w:r>
      <w:bookmarkEnd w:id="286"/>
      <w:bookmarkEnd w:id="287"/>
      <w:bookmarkEnd w:id="288"/>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289" w:name="_Toc29475"/>
      <w:bookmarkStart w:id="290" w:name="_Toc462934302"/>
      <w:bookmarkStart w:id="291" w:name="_Toc463011281"/>
      <w:bookmarkStart w:id="292" w:name="_Toc270604829"/>
      <w:bookmarkStart w:id="293" w:name="_Toc428351656"/>
      <w:bookmarkStart w:id="294" w:name="_Toc269470324"/>
      <w:bookmarkStart w:id="295" w:name="_Toc277149391"/>
      <w:bookmarkStart w:id="296" w:name="_Toc455678128"/>
      <w:bookmarkStart w:id="297" w:name="_Toc27501"/>
      <w:bookmarkStart w:id="298" w:name="_Toc454788036"/>
      <w:bookmarkStart w:id="299" w:name="_Toc270604602"/>
      <w:bookmarkStart w:id="300" w:name="_Toc10079"/>
      <w:bookmarkStart w:id="301" w:name="_Toc428276596"/>
      <w:r>
        <w:rPr>
          <w:rFonts w:hint="eastAsia" w:hAnsi="宋体" w:cs="黑体"/>
          <w:b/>
          <w:color w:val="auto"/>
          <w:sz w:val="21"/>
          <w:szCs w:val="21"/>
        </w:rPr>
        <w:t>开启时间和地点</w:t>
      </w:r>
      <w:bookmarkEnd w:id="289"/>
      <w:bookmarkEnd w:id="290"/>
      <w:bookmarkEnd w:id="291"/>
      <w:bookmarkEnd w:id="292"/>
      <w:bookmarkEnd w:id="293"/>
      <w:bookmarkEnd w:id="294"/>
      <w:bookmarkEnd w:id="295"/>
      <w:bookmarkEnd w:id="296"/>
      <w:bookmarkEnd w:id="297"/>
      <w:bookmarkEnd w:id="298"/>
      <w:bookmarkEnd w:id="299"/>
      <w:bookmarkEnd w:id="300"/>
      <w:bookmarkEnd w:id="301"/>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采购人在本章第</w:t>
      </w:r>
      <w:r>
        <w:rPr>
          <w:rFonts w:cs="TimesNewRomanPSMT"/>
          <w:kern w:val="0"/>
        </w:rPr>
        <w:t>4.2.1</w:t>
      </w:r>
      <w:r>
        <w:rPr>
          <w:rFonts w:hint="eastAsia" w:cs="FangSong_GB2312"/>
          <w:kern w:val="0"/>
        </w:rPr>
        <w:t>项规定的提交首次响应文件截止时间（开启时间）和</w:t>
      </w:r>
      <w:r>
        <w:rPr>
          <w:rFonts w:hint="eastAsia" w:cs="黑体"/>
        </w:rPr>
        <w:t>《响应人须知前附表》</w:t>
      </w:r>
      <w:r>
        <w:rPr>
          <w:rFonts w:hint="eastAsia" w:cs="FangSong_GB2312"/>
          <w:kern w:val="0"/>
        </w:rPr>
        <w:t>规定的地点进行竞争性磋商，并邀请所有响应人的法定代表人或其委托代理人准时参加。</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02" w:name="_Toc277149392"/>
      <w:bookmarkStart w:id="303" w:name="_Toc14109"/>
      <w:bookmarkStart w:id="304" w:name="_Toc12033"/>
      <w:bookmarkStart w:id="305" w:name="_Toc428276597"/>
      <w:bookmarkStart w:id="306" w:name="_Toc455678129"/>
      <w:bookmarkStart w:id="307" w:name="_Toc462934303"/>
      <w:bookmarkStart w:id="308" w:name="_Toc270604603"/>
      <w:bookmarkStart w:id="309" w:name="_Toc463011282"/>
      <w:bookmarkStart w:id="310" w:name="_Toc428351657"/>
      <w:bookmarkStart w:id="311" w:name="_Toc21367"/>
      <w:bookmarkStart w:id="312" w:name="_Toc269470325"/>
      <w:bookmarkStart w:id="313" w:name="_Toc454788037"/>
      <w:bookmarkStart w:id="314" w:name="_Toc270604830"/>
      <w:r>
        <w:rPr>
          <w:rFonts w:hint="eastAsia" w:hAnsi="宋体" w:cs="黑体"/>
          <w:b/>
          <w:color w:val="auto"/>
          <w:sz w:val="21"/>
          <w:szCs w:val="21"/>
        </w:rPr>
        <w:t>磋商程序</w:t>
      </w:r>
      <w:bookmarkEnd w:id="302"/>
      <w:bookmarkEnd w:id="303"/>
      <w:bookmarkEnd w:id="304"/>
      <w:bookmarkEnd w:id="305"/>
      <w:bookmarkEnd w:id="306"/>
      <w:bookmarkEnd w:id="307"/>
      <w:bookmarkEnd w:id="308"/>
      <w:bookmarkEnd w:id="309"/>
      <w:bookmarkEnd w:id="310"/>
      <w:bookmarkEnd w:id="311"/>
      <w:bookmarkEnd w:id="312"/>
      <w:bookmarkEnd w:id="313"/>
      <w:bookmarkEnd w:id="314"/>
    </w:p>
    <w:p>
      <w:pPr>
        <w:wordWrap/>
        <w:topLinePunct w:val="0"/>
        <w:spacing w:line="360" w:lineRule="auto"/>
        <w:rPr>
          <w:highlight w:val="yellow"/>
        </w:rPr>
      </w:pPr>
      <w:bookmarkStart w:id="315" w:name="_Toc269470330"/>
      <w:r>
        <w:t>1</w:t>
      </w:r>
      <w:r>
        <w:rPr>
          <w:rFonts w:hint="eastAsia"/>
        </w:rPr>
        <w:t>、供应商代表持本单位</w:t>
      </w:r>
      <w:r>
        <w:t xml:space="preserve">CA </w:t>
      </w:r>
      <w:r>
        <w:rPr>
          <w:rFonts w:hint="eastAsia"/>
        </w:rPr>
        <w:t>数字证书提前登录不见面开标系统并在线</w:t>
      </w:r>
    </w:p>
    <w:p>
      <w:pPr>
        <w:wordWrap/>
        <w:topLinePunct w:val="0"/>
        <w:spacing w:line="360" w:lineRule="auto"/>
        <w:rPr>
          <w:highlight w:val="yellow"/>
        </w:rPr>
      </w:pPr>
      <w:r>
        <w:t>2</w:t>
      </w:r>
      <w:r>
        <w:rPr>
          <w:rFonts w:hint="eastAsia"/>
        </w:rPr>
        <w:t>、开标时间到，在线公布供应商、采购人代表、监标人等有关名单。</w:t>
      </w:r>
    </w:p>
    <w:p>
      <w:pPr>
        <w:wordWrap/>
        <w:topLinePunct w:val="0"/>
        <w:spacing w:line="360" w:lineRule="auto"/>
      </w:pPr>
      <w:r>
        <w:t>3</w:t>
      </w:r>
      <w:r>
        <w:rPr>
          <w:rFonts w:hint="eastAsia"/>
        </w:rPr>
        <w:t>、开标顺序：</w:t>
      </w:r>
    </w:p>
    <w:p>
      <w:pPr>
        <w:pStyle w:val="37"/>
        <w:ind w:firstLine="0"/>
        <w:rPr>
          <w:kern w:val="2"/>
          <w:szCs w:val="21"/>
          <w:lang w:val="en-US"/>
        </w:rPr>
      </w:pPr>
      <w:r>
        <w:rPr>
          <w:rFonts w:hint="eastAsia"/>
          <w:kern w:val="2"/>
          <w:szCs w:val="21"/>
          <w:lang w:val="en-US"/>
        </w:rPr>
        <w:t>①供应商解密：投标企业制作电子投标文件时，必须使用本单位企业数字证书进行加密，投标企业在开标前须自行检查数字证书有效性。在解密时间到达后，系统做出解密提示，请各供应商自行解密即可。开标解密时未解密成功的视为撤销其投标文件（因电子开标系统原因除外）。</w:t>
      </w:r>
    </w:p>
    <w:p>
      <w:pPr>
        <w:pStyle w:val="37"/>
        <w:ind w:firstLine="0"/>
        <w:rPr>
          <w:kern w:val="2"/>
          <w:szCs w:val="21"/>
          <w:lang w:val="en-US"/>
        </w:rPr>
      </w:pPr>
      <w:r>
        <w:rPr>
          <w:rFonts w:hint="default"/>
          <w:kern w:val="2"/>
          <w:szCs w:val="21"/>
          <w:lang w:val="en-US"/>
        </w:rPr>
        <w:t>②</w:t>
      </w:r>
      <w:r>
        <w:rPr>
          <w:rFonts w:hint="eastAsia"/>
          <w:kern w:val="2"/>
          <w:szCs w:val="21"/>
          <w:lang w:val="en-US"/>
        </w:rPr>
        <w:t>唱标。查看唱标信息（系统不提供语音在线播放，该页面停留</w:t>
      </w:r>
      <w:r>
        <w:rPr>
          <w:kern w:val="2"/>
          <w:szCs w:val="21"/>
          <w:lang w:val="en-US"/>
        </w:rPr>
        <w:t xml:space="preserve">5 </w:t>
      </w:r>
      <w:r>
        <w:rPr>
          <w:rFonts w:hint="eastAsia"/>
          <w:kern w:val="2"/>
          <w:szCs w:val="21"/>
          <w:lang w:val="en-US"/>
        </w:rPr>
        <w:t>分钟供供应商查看，如无异议视为同意）。采购人、监督人需要关注开标过程中，供应商随时在线提出的异议、问题沟通等信息，并做好及时回复；</w:t>
      </w:r>
    </w:p>
    <w:p>
      <w:pPr>
        <w:pStyle w:val="37"/>
        <w:ind w:firstLine="0"/>
        <w:rPr>
          <w:lang w:val="en-US"/>
        </w:rPr>
      </w:pPr>
      <w:r>
        <w:rPr>
          <w:rFonts w:hint="eastAsia"/>
          <w:kern w:val="2"/>
          <w:szCs w:val="21"/>
          <w:lang w:val="en-US"/>
        </w:rPr>
        <w:t>③采购人、监督人等相关人员在开标记录表上（可进入原评标系统直接打印）签字确认。⑤采购代理机构宣布开标结束，在评标系统中点击“开标结束”，并进行“采购文件导入”、“控制价文件导入”。</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16" w:name="_Toc2705"/>
      <w:bookmarkStart w:id="317" w:name="_Toc455678130"/>
      <w:bookmarkStart w:id="318" w:name="_Toc8282"/>
      <w:bookmarkStart w:id="319" w:name="_Toc31993"/>
      <w:bookmarkStart w:id="320" w:name="_Toc462934304"/>
      <w:bookmarkStart w:id="321" w:name="_Toc463011283"/>
      <w:r>
        <w:rPr>
          <w:rFonts w:hint="eastAsia" w:hAnsi="宋体" w:cs="黑体"/>
          <w:b/>
          <w:color w:val="auto"/>
          <w:sz w:val="21"/>
          <w:szCs w:val="21"/>
        </w:rPr>
        <w:t>磋商</w:t>
      </w:r>
      <w:bookmarkEnd w:id="316"/>
      <w:bookmarkEnd w:id="317"/>
      <w:bookmarkEnd w:id="318"/>
      <w:bookmarkEnd w:id="319"/>
      <w:bookmarkEnd w:id="320"/>
      <w:bookmarkEnd w:id="321"/>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磋商小组</w:t>
      </w:r>
    </w:p>
    <w:p>
      <w:pPr>
        <w:numPr>
          <w:ilvl w:val="0"/>
          <w:numId w:val="8"/>
        </w:numPr>
        <w:snapToGrid w:val="0"/>
        <w:spacing w:line="360" w:lineRule="auto"/>
        <w:ind w:left="0" w:firstLine="420" w:firstLineChars="200"/>
        <w:contextualSpacing/>
      </w:pPr>
      <w:r>
        <w:rPr>
          <w:rFonts w:hint="eastAsia"/>
        </w:rPr>
        <w:t>磋商工作由磋商小组独立进行，磋商小组由采购人代表1人和评</w:t>
      </w:r>
      <w:r>
        <w:rPr>
          <w:rFonts w:hint="eastAsia"/>
          <w:lang w:val="en-US" w:eastAsia="zh-CN"/>
        </w:rPr>
        <w:t>标</w:t>
      </w:r>
      <w:r>
        <w:rPr>
          <w:rFonts w:hint="eastAsia"/>
        </w:rPr>
        <w:t>专家2人组成，成员人数共3人，评</w:t>
      </w:r>
      <w:r>
        <w:rPr>
          <w:rFonts w:hint="eastAsia"/>
          <w:lang w:val="en-US" w:eastAsia="zh-CN"/>
        </w:rPr>
        <w:t>标</w:t>
      </w:r>
      <w:r>
        <w:rPr>
          <w:rFonts w:hint="eastAsia"/>
        </w:rPr>
        <w:t>专家确定方式：从相关专家库中随机抽取。</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w:t>
      </w:r>
    </w:p>
    <w:p>
      <w:pPr>
        <w:numPr>
          <w:ilvl w:val="0"/>
          <w:numId w:val="9"/>
        </w:numPr>
        <w:snapToGrid w:val="0"/>
        <w:spacing w:line="360" w:lineRule="auto"/>
        <w:ind w:left="0" w:firstLine="420" w:firstLineChars="200"/>
        <w:contextualSpacing/>
      </w:pPr>
      <w:r>
        <w:rPr>
          <w:rFonts w:hint="eastAsia"/>
        </w:rPr>
        <w:t>磋商小组成员应当按照客观、公正、审慎的原则，根据竞争性磋商文件第三章规定的评审程序、评审方法和评审标准进行独立评审。</w:t>
      </w:r>
    </w:p>
    <w:p>
      <w:pPr>
        <w:numPr>
          <w:ilvl w:val="0"/>
          <w:numId w:val="9"/>
        </w:numPr>
        <w:snapToGrid w:val="0"/>
        <w:spacing w:line="360" w:lineRule="auto"/>
        <w:ind w:left="0" w:firstLine="420" w:firstLineChars="200"/>
        <w:contextualSpacing/>
      </w:pPr>
      <w:r>
        <w:rPr>
          <w:rFonts w:hint="eastAsia"/>
        </w:rPr>
        <w:t>竞争性磋商文件内容违反国家有关强制性规定的，磋商小组应当停止评审并向采购人或者采购代理机构说明情况。</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22" w:name="_Toc109537522"/>
      <w:bookmarkStart w:id="323" w:name="_Toc90712538"/>
      <w:bookmarkStart w:id="324" w:name="_Toc109550798"/>
      <w:bookmarkStart w:id="325" w:name="_Toc90713357"/>
      <w:r>
        <w:rPr>
          <w:rFonts w:hint="eastAsia" w:hAnsi="宋体" w:cs="黑体"/>
          <w:color w:val="auto"/>
          <w:sz w:val="21"/>
          <w:szCs w:val="21"/>
        </w:rPr>
        <w:t>评审报告</w:t>
      </w:r>
    </w:p>
    <w:p>
      <w:pPr>
        <w:snapToGrid w:val="0"/>
        <w:spacing w:line="360" w:lineRule="auto"/>
        <w:ind w:firstLine="420" w:firstLineChars="200"/>
        <w:contextualSpacing/>
      </w:pPr>
      <w:r>
        <w:rPr>
          <w:rFonts w:hint="eastAsia"/>
        </w:rPr>
        <w:t>磋商</w:t>
      </w:r>
      <w:r>
        <w:t>小组应当根据评审记录和评审结果编写评审报告，其主要内容包括：</w:t>
      </w:r>
    </w:p>
    <w:p>
      <w:pPr>
        <w:numPr>
          <w:ilvl w:val="0"/>
          <w:numId w:val="10"/>
        </w:numPr>
        <w:snapToGrid w:val="0"/>
        <w:spacing w:line="360" w:lineRule="auto"/>
        <w:ind w:left="0" w:firstLine="420" w:firstLineChars="200"/>
        <w:contextualSpacing/>
      </w:pPr>
      <w:r>
        <w:t>邀请</w:t>
      </w:r>
      <w:r>
        <w:rPr>
          <w:rFonts w:hint="eastAsia"/>
        </w:rPr>
        <w:t>响应人</w:t>
      </w:r>
      <w:r>
        <w:t>参加采购活动的具体方式和相关情况</w:t>
      </w:r>
      <w:r>
        <w:rPr>
          <w:rFonts w:hint="eastAsia"/>
        </w:rPr>
        <w:t>；</w:t>
      </w:r>
    </w:p>
    <w:p>
      <w:pPr>
        <w:numPr>
          <w:ilvl w:val="0"/>
          <w:numId w:val="10"/>
        </w:numPr>
        <w:snapToGrid w:val="0"/>
        <w:spacing w:line="360" w:lineRule="auto"/>
        <w:ind w:left="0" w:firstLine="420" w:firstLineChars="200"/>
        <w:contextualSpacing/>
      </w:pPr>
      <w:r>
        <w:t>响应文件开启日期和地点</w:t>
      </w:r>
      <w:r>
        <w:rPr>
          <w:rFonts w:hint="eastAsia"/>
        </w:rPr>
        <w:t>；</w:t>
      </w:r>
    </w:p>
    <w:p>
      <w:pPr>
        <w:numPr>
          <w:ilvl w:val="0"/>
          <w:numId w:val="10"/>
        </w:numPr>
        <w:snapToGrid w:val="0"/>
        <w:spacing w:line="360" w:lineRule="auto"/>
        <w:ind w:left="0" w:firstLine="420" w:firstLineChars="200"/>
        <w:contextualSpacing/>
      </w:pPr>
      <w:r>
        <w:t>获取竞争性磋商文件的</w:t>
      </w:r>
      <w:r>
        <w:rPr>
          <w:rFonts w:hint="eastAsia"/>
        </w:rPr>
        <w:t>响应人</w:t>
      </w:r>
      <w:r>
        <w:t>名单和磋商小组成员名单</w:t>
      </w:r>
      <w:r>
        <w:rPr>
          <w:rFonts w:hint="eastAsia"/>
        </w:rPr>
        <w:t>；</w:t>
      </w:r>
    </w:p>
    <w:p>
      <w:pPr>
        <w:numPr>
          <w:ilvl w:val="0"/>
          <w:numId w:val="10"/>
        </w:numPr>
        <w:snapToGrid w:val="0"/>
        <w:spacing w:line="360" w:lineRule="auto"/>
        <w:ind w:left="0" w:firstLine="420" w:firstLineChars="200"/>
        <w:contextualSpacing/>
      </w:pPr>
      <w:r>
        <w:t>评审情况记录和说明，包括对</w:t>
      </w:r>
      <w:r>
        <w:rPr>
          <w:rFonts w:hint="eastAsia"/>
        </w:rPr>
        <w:t>响应人</w:t>
      </w:r>
      <w:r>
        <w:t>的资格审查情况、</w:t>
      </w:r>
      <w:r>
        <w:rPr>
          <w:rFonts w:hint="eastAsia"/>
        </w:rPr>
        <w:t>响应人</w:t>
      </w:r>
      <w:r>
        <w:t>响应文件评审情况、磋商情况、报价情况等</w:t>
      </w:r>
      <w:r>
        <w:rPr>
          <w:rFonts w:hint="eastAsia"/>
        </w:rPr>
        <w:t>；</w:t>
      </w:r>
    </w:p>
    <w:p>
      <w:pPr>
        <w:numPr>
          <w:ilvl w:val="0"/>
          <w:numId w:val="10"/>
        </w:numPr>
        <w:snapToGrid w:val="0"/>
        <w:spacing w:line="360" w:lineRule="auto"/>
        <w:ind w:left="0" w:firstLine="420" w:firstLineChars="200"/>
        <w:contextualSpacing/>
      </w:pPr>
      <w:r>
        <w:t>提出的成交候选</w:t>
      </w:r>
      <w:r>
        <w:rPr>
          <w:rFonts w:hint="eastAsia"/>
        </w:rPr>
        <w:t>人</w:t>
      </w:r>
      <w:r>
        <w:t>的排序名单及理由。</w:t>
      </w:r>
    </w:p>
    <w:p>
      <w:pPr>
        <w:snapToGrid w:val="0"/>
        <w:spacing w:line="360" w:lineRule="auto"/>
        <w:ind w:firstLine="420" w:firstLineChars="200"/>
        <w:contextualSpacing/>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w:t>
      </w:r>
      <w:r>
        <w:rPr>
          <w:rFonts w:hint="eastAsia"/>
        </w:rPr>
        <w:t>签字</w:t>
      </w:r>
      <w:r>
        <w:t>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pPr>
        <w:snapToGrid w:val="0"/>
        <w:spacing w:line="360" w:lineRule="auto"/>
        <w:ind w:firstLine="420" w:firstLineChars="200"/>
        <w:contextualSpacing/>
      </w:pPr>
      <w:r>
        <w:rPr>
          <w:rFonts w:hint="eastAsia"/>
        </w:rPr>
        <w:t>评审完成后，磋商小组应当向采购人提交书面评审报告和成交候选人名单。磋商小组推荐成交候选人的人数见响应人须知前附表。</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26" w:name="_Toc454788039"/>
      <w:bookmarkStart w:id="327" w:name="_Toc455678131"/>
      <w:bookmarkStart w:id="328" w:name="_Toc26984"/>
      <w:bookmarkStart w:id="329" w:name="_Toc428351659"/>
      <w:bookmarkStart w:id="330" w:name="_Toc428276599"/>
      <w:bookmarkStart w:id="331" w:name="_Toc19623"/>
      <w:bookmarkStart w:id="332" w:name="_Toc463011284"/>
      <w:bookmarkStart w:id="333" w:name="_Toc21137"/>
      <w:bookmarkStart w:id="334" w:name="_Toc422126473"/>
      <w:bookmarkStart w:id="335" w:name="_Toc462934305"/>
      <w:r>
        <w:rPr>
          <w:rFonts w:hint="eastAsia" w:hAnsi="宋体" w:cs="黑体"/>
          <w:b/>
          <w:color w:val="auto"/>
          <w:sz w:val="21"/>
          <w:szCs w:val="21"/>
        </w:rPr>
        <w:t>磋商过程的保密性</w:t>
      </w:r>
      <w:bookmarkEnd w:id="326"/>
      <w:bookmarkEnd w:id="327"/>
      <w:bookmarkEnd w:id="328"/>
      <w:bookmarkEnd w:id="329"/>
      <w:bookmarkEnd w:id="330"/>
      <w:bookmarkEnd w:id="331"/>
      <w:bookmarkEnd w:id="332"/>
      <w:bookmarkEnd w:id="333"/>
      <w:bookmarkEnd w:id="334"/>
      <w:bookmarkEnd w:id="33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磋商期间，直到授予成交人合同止，凡是与磋商响应文件审查、澄清、评价、比较以及推荐成交人等方面的情况，均不得向响应人或其他无关的人员透露。</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在磋商过程中，响应人如向磋商小组成员施加任何影响，都将会导致其磋商被拒绝，政府采购监管部门将记录其不良行为。</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36" w:name="_Toc13834"/>
      <w:bookmarkStart w:id="337" w:name="_Toc5212"/>
      <w:bookmarkStart w:id="338" w:name="_Toc462934306"/>
      <w:bookmarkStart w:id="339" w:name="_Toc21281"/>
      <w:bookmarkStart w:id="340" w:name="_Toc455678132"/>
      <w:bookmarkStart w:id="341" w:name="_Toc463011285"/>
      <w:r>
        <w:rPr>
          <w:rFonts w:hint="eastAsia" w:hAnsi="宋体" w:cs="黑体"/>
          <w:b/>
          <w:color w:val="auto"/>
          <w:sz w:val="21"/>
          <w:szCs w:val="21"/>
        </w:rPr>
        <w:t>终止竞争性磋商采购活动</w:t>
      </w:r>
      <w:bookmarkEnd w:id="336"/>
      <w:bookmarkEnd w:id="337"/>
      <w:bookmarkEnd w:id="338"/>
      <w:bookmarkEnd w:id="339"/>
      <w:bookmarkEnd w:id="340"/>
      <w:bookmarkEnd w:id="341"/>
    </w:p>
    <w:p>
      <w:pPr>
        <w:pStyle w:val="5"/>
        <w:snapToGrid w:val="0"/>
        <w:spacing w:line="360" w:lineRule="auto"/>
        <w:contextualSpacing/>
        <w:rPr>
          <w:rFonts w:ascii="宋体" w:hAnsi="宋体" w:cs="黑体"/>
          <w:szCs w:val="21"/>
        </w:rPr>
      </w:pPr>
      <w:r>
        <w:rPr>
          <w:rFonts w:hint="eastAsia" w:ascii="宋体" w:hAnsi="宋体" w:cs="黑体"/>
          <w:szCs w:val="21"/>
        </w:rPr>
        <w:t>出现下列情形之一的，采购人或者采购代理机构应当终止竞争性磋商采购活动，发布项目终止公告并说明原因，重新开展采购活动：</w:t>
      </w:r>
    </w:p>
    <w:p>
      <w:pPr>
        <w:numPr>
          <w:ilvl w:val="0"/>
          <w:numId w:val="11"/>
        </w:numPr>
        <w:snapToGrid w:val="0"/>
        <w:spacing w:line="360" w:lineRule="auto"/>
        <w:ind w:left="0" w:firstLine="420" w:firstLineChars="200"/>
        <w:contextualSpacing/>
      </w:pPr>
      <w:r>
        <w:rPr>
          <w:rFonts w:hint="eastAsia"/>
        </w:rPr>
        <w:t>因情况变化，不再符合规定的竞争性磋商采购方式适用情形的；</w:t>
      </w:r>
    </w:p>
    <w:p>
      <w:pPr>
        <w:numPr>
          <w:ilvl w:val="0"/>
          <w:numId w:val="11"/>
        </w:numPr>
        <w:snapToGrid w:val="0"/>
        <w:spacing w:line="360" w:lineRule="auto"/>
        <w:ind w:left="0" w:firstLine="420" w:firstLineChars="200"/>
        <w:contextualSpacing/>
      </w:pPr>
      <w:r>
        <w:rPr>
          <w:rFonts w:hint="eastAsia"/>
        </w:rPr>
        <w:t>出现影响采购公正的违法、违规行为的；</w:t>
      </w:r>
    </w:p>
    <w:p>
      <w:pPr>
        <w:numPr>
          <w:ilvl w:val="0"/>
          <w:numId w:val="11"/>
        </w:numPr>
        <w:snapToGrid w:val="0"/>
        <w:spacing w:line="360" w:lineRule="auto"/>
        <w:ind w:left="0" w:firstLine="420" w:firstLineChars="200"/>
        <w:contextualSpacing/>
      </w:pPr>
      <w:r>
        <w:rPr>
          <w:rFonts w:hint="eastAsia"/>
        </w:rPr>
        <w:t>在采购过程中符合要求的响应人或者报价未超过采购预算的响应人不足3家的。</w:t>
      </w:r>
    </w:p>
    <w:bookmarkEnd w:id="322"/>
    <w:bookmarkEnd w:id="323"/>
    <w:bookmarkEnd w:id="324"/>
    <w:bookmarkEnd w:id="325"/>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42" w:name="_Toc455678133"/>
      <w:bookmarkStart w:id="343" w:name="_Toc428351660"/>
      <w:bookmarkStart w:id="344" w:name="_Toc463011286"/>
      <w:bookmarkStart w:id="345" w:name="_Toc462934307"/>
      <w:bookmarkStart w:id="346" w:name="_Toc7308"/>
      <w:bookmarkStart w:id="347" w:name="_Toc12985"/>
      <w:bookmarkStart w:id="348" w:name="_Toc428276600"/>
      <w:bookmarkStart w:id="349" w:name="_Toc454788040"/>
      <w:bookmarkStart w:id="350" w:name="_Toc31756"/>
      <w:r>
        <w:rPr>
          <w:rFonts w:hint="eastAsia" w:hAnsi="宋体" w:cs="黑体"/>
          <w:b/>
          <w:color w:val="auto"/>
          <w:sz w:val="21"/>
          <w:szCs w:val="21"/>
        </w:rPr>
        <w:t>确定成交人</w:t>
      </w:r>
      <w:bookmarkEnd w:id="342"/>
      <w:bookmarkEnd w:id="343"/>
      <w:bookmarkEnd w:id="344"/>
      <w:bookmarkEnd w:id="345"/>
      <w:bookmarkEnd w:id="346"/>
      <w:bookmarkEnd w:id="347"/>
      <w:bookmarkEnd w:id="348"/>
      <w:bookmarkEnd w:id="349"/>
      <w:bookmarkEnd w:id="35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采购代理机构应当自评审结束之日起</w:t>
      </w:r>
      <w:r>
        <w:rPr>
          <w:rFonts w:hint="eastAsia" w:hAnsi="宋体" w:cs="黑体"/>
          <w:color w:val="auto"/>
          <w:sz w:val="21"/>
          <w:szCs w:val="21"/>
          <w:lang w:val="en-US" w:eastAsia="zh-CN"/>
        </w:rPr>
        <w:t>1</w:t>
      </w:r>
      <w:r>
        <w:rPr>
          <w:rFonts w:hint="eastAsia" w:hAnsi="宋体" w:cs="黑体"/>
          <w:color w:val="auto"/>
          <w:sz w:val="21"/>
          <w:szCs w:val="21"/>
        </w:rPr>
        <w:t>个工作日内将评审报告送交采购人。采购人应当自收到评审报告之日起</w:t>
      </w:r>
      <w:r>
        <w:rPr>
          <w:rFonts w:hint="eastAsia" w:hAnsi="宋体" w:cs="黑体"/>
          <w:color w:val="auto"/>
          <w:sz w:val="21"/>
          <w:szCs w:val="21"/>
          <w:lang w:val="en-US" w:eastAsia="zh-CN"/>
        </w:rPr>
        <w:t>1</w:t>
      </w:r>
      <w:r>
        <w:rPr>
          <w:rFonts w:hint="eastAsia" w:hAnsi="宋体" w:cs="黑体"/>
          <w:color w:val="auto"/>
          <w:sz w:val="21"/>
          <w:szCs w:val="21"/>
        </w:rPr>
        <w:t>个工作日内在评审报告推荐的成交候选人中按顺序确定成交人。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采购人也可以书面授权磋商小组直接确定成交人。磋商小组直接确定成交人的应在竞争性磋商文件中写明。</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51" w:name="_Toc428351661"/>
      <w:bookmarkStart w:id="352" w:name="_Toc454788041"/>
      <w:bookmarkStart w:id="353" w:name="_Toc428276601"/>
      <w:bookmarkStart w:id="354" w:name="_Toc455678134"/>
      <w:bookmarkStart w:id="355" w:name="_Toc422126474"/>
      <w:bookmarkStart w:id="356" w:name="_Toc15190"/>
      <w:bookmarkStart w:id="357" w:name="_Toc2677"/>
      <w:bookmarkStart w:id="358" w:name="_Toc463011287"/>
      <w:bookmarkStart w:id="359" w:name="_Toc462934308"/>
      <w:bookmarkStart w:id="360" w:name="_Toc16692"/>
      <w:r>
        <w:rPr>
          <w:rFonts w:hint="eastAsia" w:hAnsi="宋体" w:cs="黑体"/>
          <w:b/>
          <w:color w:val="auto"/>
          <w:sz w:val="21"/>
          <w:szCs w:val="21"/>
        </w:rPr>
        <w:t>成交结果</w:t>
      </w:r>
      <w:bookmarkEnd w:id="351"/>
      <w:bookmarkEnd w:id="352"/>
      <w:bookmarkEnd w:id="353"/>
      <w:bookmarkEnd w:id="354"/>
      <w:bookmarkEnd w:id="355"/>
      <w:r>
        <w:rPr>
          <w:rFonts w:hint="eastAsia" w:hAnsi="宋体" w:cs="黑体"/>
          <w:b/>
          <w:color w:val="auto"/>
          <w:sz w:val="21"/>
          <w:szCs w:val="21"/>
        </w:rPr>
        <w:t>公告</w:t>
      </w:r>
      <w:bookmarkEnd w:id="356"/>
      <w:bookmarkEnd w:id="357"/>
      <w:bookmarkEnd w:id="358"/>
      <w:bookmarkEnd w:id="359"/>
      <w:bookmarkEnd w:id="36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r>
        <w:rPr>
          <w:rFonts w:hint="eastAsia" w:hAnsi="宋体" w:cs="黑体"/>
          <w:color w:val="auto"/>
          <w:sz w:val="21"/>
          <w:szCs w:val="21"/>
        </w:rPr>
        <w:t>采购人或者采购代理机构自成交人确定之日起</w:t>
      </w:r>
      <w:r>
        <w:rPr>
          <w:rFonts w:hint="eastAsia" w:hAnsi="宋体" w:cs="黑体"/>
          <w:color w:val="auto"/>
          <w:sz w:val="21"/>
          <w:szCs w:val="21"/>
          <w:lang w:val="en-US" w:eastAsia="zh-CN"/>
        </w:rPr>
        <w:t>1</w:t>
      </w:r>
      <w:r>
        <w:rPr>
          <w:rFonts w:hint="eastAsia" w:hAnsi="宋体" w:cs="黑体"/>
          <w:color w:val="auto"/>
          <w:sz w:val="21"/>
          <w:szCs w:val="21"/>
        </w:rPr>
        <w:t>个工作日内，在公告发布的同一媒介上公告成交结果，同时向成交人发出成交通知书，并将竞争性磋商文件随成交结果同时公告，公告期限1个工作日。</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61" w:name="_Toc270604607"/>
      <w:r>
        <w:rPr>
          <w:rFonts w:hint="eastAsia" w:hAnsi="宋体" w:cs="黑体"/>
          <w:color w:val="auto"/>
          <w:sz w:val="21"/>
          <w:szCs w:val="21"/>
        </w:rPr>
        <w:t>成交结果公告内容包括</w:t>
      </w:r>
      <w:bookmarkEnd w:id="315"/>
      <w:bookmarkEnd w:id="361"/>
      <w:r>
        <w:rPr>
          <w:rFonts w:hint="eastAsia" w:hAnsi="宋体" w:cs="黑体"/>
          <w:color w:val="auto"/>
          <w:sz w:val="21"/>
          <w:szCs w:val="21"/>
        </w:rPr>
        <w:t>采购人和采购代理机构的名称、地址和联系方式、项目名称和项目编号、成交人名称、地址和成交金额、主要成交标的的名称、规格型号、数量、单价、服务要求、磋商小组成员名单。</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62" w:name="_Toc4900"/>
      <w:bookmarkStart w:id="363" w:name="_Toc462934310"/>
      <w:bookmarkStart w:id="364" w:name="_Toc11152"/>
      <w:bookmarkStart w:id="365" w:name="_Toc463011289"/>
      <w:bookmarkStart w:id="366" w:name="_Toc455678136"/>
      <w:bookmarkStart w:id="367" w:name="_Toc18026"/>
      <w:r>
        <w:rPr>
          <w:rFonts w:hint="eastAsia" w:hAnsi="宋体" w:cs="黑体"/>
          <w:b/>
          <w:color w:val="auto"/>
          <w:sz w:val="21"/>
          <w:szCs w:val="21"/>
        </w:rPr>
        <w:t>成交通知书</w:t>
      </w:r>
      <w:bookmarkEnd w:id="362"/>
      <w:bookmarkEnd w:id="363"/>
      <w:bookmarkEnd w:id="364"/>
      <w:bookmarkEnd w:id="365"/>
      <w:bookmarkEnd w:id="366"/>
      <w:bookmarkEnd w:id="367"/>
      <w:bookmarkStart w:id="368" w:name="_Toc463011290"/>
      <w:bookmarkStart w:id="369" w:name="_Toc462934311"/>
      <w:bookmarkStart w:id="370" w:name="_Toc23963"/>
      <w:bookmarkStart w:id="371" w:name="_Toc11018"/>
      <w:bookmarkStart w:id="372" w:name="_Toc455678137"/>
      <w:bookmarkStart w:id="373" w:name="_Toc269470335"/>
    </w:p>
    <w:bookmarkEnd w:id="368"/>
    <w:bookmarkEnd w:id="369"/>
    <w:bookmarkEnd w:id="370"/>
    <w:bookmarkEnd w:id="371"/>
    <w:bookmarkEnd w:id="372"/>
    <w:p>
      <w:pPr>
        <w:wordWrap/>
        <w:topLinePunct w:val="0"/>
        <w:spacing w:line="360" w:lineRule="auto"/>
        <w:ind w:firstLine="420" w:firstLineChars="200"/>
      </w:pPr>
      <w:bookmarkStart w:id="374" w:name="_Toc463011292"/>
      <w:bookmarkStart w:id="375" w:name="_Toc455678139"/>
      <w:bookmarkStart w:id="376" w:name="_Toc462934313"/>
      <w:bookmarkStart w:id="377" w:name="_Toc720"/>
      <w:bookmarkStart w:id="378" w:name="_Toc10798"/>
      <w:r>
        <w:rPr>
          <w:rFonts w:hint="eastAsia"/>
        </w:rPr>
        <w:t>在公告成交结果的同时，采购人或者采购代理机构向成交人发出成交通知书，成交通知书将作为进行合同磋商和签订合同的依据。</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379" w:name="_Toc17481"/>
      <w:r>
        <w:rPr>
          <w:rFonts w:hint="eastAsia" w:hAnsi="宋体" w:cs="黑体"/>
          <w:b/>
          <w:color w:val="auto"/>
          <w:sz w:val="21"/>
          <w:szCs w:val="21"/>
        </w:rPr>
        <w:t>履约保证金</w:t>
      </w:r>
      <w:bookmarkEnd w:id="374"/>
      <w:bookmarkEnd w:id="375"/>
      <w:bookmarkEnd w:id="376"/>
      <w:bookmarkEnd w:id="377"/>
      <w:bookmarkEnd w:id="378"/>
      <w:bookmarkEnd w:id="379"/>
    </w:p>
    <w:p>
      <w:pPr>
        <w:ind w:firstLine="421"/>
        <w:rPr>
          <w:rFonts w:hint="eastAsia"/>
        </w:rPr>
      </w:pPr>
      <w:r>
        <w:rPr>
          <w:rFonts w:hint="eastAsia"/>
        </w:rPr>
        <w:t>不缴纳。</w:t>
      </w:r>
    </w:p>
    <w:p>
      <w:pPr>
        <w:widowControl/>
        <w:shd w:val="solid" w:color="FFFFFF" w:fill="auto"/>
        <w:wordWrap w:val="0"/>
        <w:spacing w:line="360" w:lineRule="auto"/>
        <w:rPr>
          <w:rFonts w:hint="eastAsia" w:cs="宋体"/>
          <w:b/>
          <w:bCs/>
          <w:szCs w:val="24"/>
        </w:rPr>
      </w:pPr>
      <w:r>
        <w:rPr>
          <w:rFonts w:hint="eastAsia" w:cs="宋体"/>
          <w:szCs w:val="24"/>
          <w:lang w:val="en-US" w:eastAsia="zh-CN"/>
        </w:rPr>
        <w:t>5.10</w:t>
      </w:r>
      <w:r>
        <w:rPr>
          <w:rFonts w:hint="eastAsia" w:cs="宋体"/>
          <w:b/>
          <w:bCs/>
          <w:szCs w:val="24"/>
        </w:rPr>
        <w:t>投标文件出现下列情况之一者，应当视为无效投标文件：</w:t>
      </w:r>
    </w:p>
    <w:p>
      <w:pPr>
        <w:widowControl/>
        <w:spacing w:line="360" w:lineRule="auto"/>
        <w:rPr>
          <w:rFonts w:hint="eastAsia" w:cs="宋体"/>
          <w:szCs w:val="24"/>
        </w:rPr>
      </w:pPr>
      <w:r>
        <w:rPr>
          <w:rFonts w:hint="eastAsia" w:cs="宋体"/>
          <w:szCs w:val="24"/>
        </w:rPr>
        <w:t xml:space="preserve"> 1)投标人不符合《中华人民共和国政府采购法》第二十二条规定,做无效标处理；</w:t>
      </w:r>
    </w:p>
    <w:p>
      <w:pPr>
        <w:widowControl/>
        <w:spacing w:line="360" w:lineRule="auto"/>
        <w:rPr>
          <w:rFonts w:hint="eastAsia" w:cs="宋体"/>
          <w:szCs w:val="24"/>
        </w:rPr>
      </w:pPr>
      <w:r>
        <w:rPr>
          <w:rFonts w:hint="eastAsia" w:cs="宋体"/>
          <w:szCs w:val="24"/>
        </w:rPr>
        <w:t xml:space="preserve"> 2)投标人以他人的名义投标、串通投标，做无效废标处理；</w:t>
      </w:r>
    </w:p>
    <w:p>
      <w:pPr>
        <w:widowControl/>
        <w:spacing w:line="360" w:lineRule="auto"/>
        <w:rPr>
          <w:rFonts w:hint="eastAsia" w:cs="宋体"/>
          <w:szCs w:val="24"/>
        </w:rPr>
      </w:pPr>
      <w:r>
        <w:rPr>
          <w:rFonts w:hint="eastAsia" w:cs="宋体"/>
          <w:szCs w:val="24"/>
        </w:rPr>
        <w:t xml:space="preserve"> 3)以不正当手段谋取中标的，做无效标处理；</w:t>
      </w:r>
    </w:p>
    <w:p>
      <w:pPr>
        <w:widowControl/>
        <w:spacing w:line="360" w:lineRule="auto"/>
        <w:rPr>
          <w:rFonts w:hint="eastAsia" w:cs="宋体"/>
          <w:szCs w:val="24"/>
        </w:rPr>
      </w:pPr>
      <w:r>
        <w:rPr>
          <w:rFonts w:hint="eastAsia" w:cs="宋体"/>
          <w:szCs w:val="24"/>
        </w:rPr>
        <w:t xml:space="preserve">      其形式有：a.投标人提供虚假材料谋取中标；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b.投标人干扰市场公平，采取赠送、赠予等方式谋取中标；</w:t>
      </w:r>
    </w:p>
    <w:p>
      <w:pPr>
        <w:widowControl/>
        <w:spacing w:line="360" w:lineRule="auto"/>
        <w:rPr>
          <w:rFonts w:hint="eastAsia" w:cs="宋体"/>
          <w:szCs w:val="24"/>
        </w:rPr>
      </w:pPr>
      <w:r>
        <w:rPr>
          <w:rFonts w:hint="eastAsia" w:cs="宋体"/>
          <w:szCs w:val="24"/>
        </w:rPr>
        <w:t xml:space="preserve">            </w:t>
      </w:r>
      <w:r>
        <w:rPr>
          <w:rFonts w:hint="eastAsia" w:cs="宋体"/>
          <w:szCs w:val="24"/>
          <w:lang w:val="en-US" w:eastAsia="zh-CN"/>
        </w:rPr>
        <w:t xml:space="preserve">  </w:t>
      </w:r>
      <w:r>
        <w:rPr>
          <w:rFonts w:hint="eastAsia" w:cs="宋体"/>
          <w:szCs w:val="24"/>
        </w:rPr>
        <w:t xml:space="preserve">  c.投标人以低于成本报价恶意竞标；</w:t>
      </w:r>
    </w:p>
    <w:p>
      <w:pPr>
        <w:widowControl/>
        <w:spacing w:line="360" w:lineRule="auto"/>
        <w:rPr>
          <w:rFonts w:hint="eastAsia" w:cs="宋体"/>
          <w:szCs w:val="24"/>
        </w:rPr>
      </w:pPr>
      <w:r>
        <w:rPr>
          <w:rFonts w:hint="eastAsia" w:cs="宋体"/>
          <w:szCs w:val="24"/>
        </w:rPr>
        <w:t xml:space="preserve">  4）交货期不确切、不肯定的投标，作无效标处理；</w:t>
      </w:r>
    </w:p>
    <w:p>
      <w:pPr>
        <w:widowControl/>
        <w:spacing w:line="360" w:lineRule="auto"/>
        <w:rPr>
          <w:rFonts w:hint="eastAsia" w:cs="宋体"/>
          <w:szCs w:val="24"/>
        </w:rPr>
      </w:pPr>
      <w:r>
        <w:rPr>
          <w:rFonts w:hint="eastAsia" w:cs="宋体"/>
          <w:szCs w:val="24"/>
        </w:rPr>
        <w:t xml:space="preserve">  5）投标人低于成本价竞标的，作废无效标处理；</w:t>
      </w:r>
    </w:p>
    <w:p>
      <w:pPr>
        <w:widowControl/>
        <w:spacing w:line="360" w:lineRule="auto"/>
        <w:rPr>
          <w:rFonts w:hint="eastAsia" w:cs="宋体"/>
          <w:szCs w:val="24"/>
        </w:rPr>
      </w:pPr>
      <w:r>
        <w:rPr>
          <w:rFonts w:hint="eastAsia" w:cs="宋体"/>
          <w:szCs w:val="24"/>
        </w:rPr>
        <w:t xml:space="preserve">  6）投标文件未按招标文件规定签字盖章的，作无效标处理； </w:t>
      </w:r>
    </w:p>
    <w:p>
      <w:pPr>
        <w:widowControl/>
        <w:spacing w:line="360" w:lineRule="auto"/>
        <w:rPr>
          <w:rFonts w:hint="eastAsia" w:cs="宋体"/>
          <w:szCs w:val="24"/>
        </w:rPr>
      </w:pPr>
      <w:r>
        <w:rPr>
          <w:rFonts w:hint="eastAsia" w:cs="宋体"/>
          <w:szCs w:val="24"/>
        </w:rPr>
        <w:t xml:space="preserve">  7）投标文件关键内容字迹模糊，无法辨认的，作无效标处理；</w:t>
      </w:r>
    </w:p>
    <w:p>
      <w:pPr>
        <w:widowControl/>
        <w:spacing w:line="360" w:lineRule="auto"/>
        <w:rPr>
          <w:rFonts w:hint="eastAsia" w:cs="宋体"/>
          <w:szCs w:val="24"/>
        </w:rPr>
      </w:pPr>
      <w:r>
        <w:rPr>
          <w:rFonts w:hint="eastAsia" w:cs="宋体"/>
          <w:szCs w:val="24"/>
        </w:rPr>
        <w:t xml:space="preserve">  8）投标文件不写投标报价或投标报价超过控制资金（不含等于控制资金）的，作无效标处理；</w:t>
      </w:r>
    </w:p>
    <w:p>
      <w:pPr>
        <w:widowControl/>
        <w:spacing w:line="360" w:lineRule="auto"/>
        <w:rPr>
          <w:rFonts w:hint="eastAsia" w:cs="宋体"/>
          <w:szCs w:val="24"/>
        </w:rPr>
      </w:pPr>
      <w:r>
        <w:rPr>
          <w:rFonts w:hint="eastAsia" w:cs="宋体"/>
          <w:szCs w:val="24"/>
        </w:rPr>
        <w:t xml:space="preserve">  9）审查不合格的，作无效标处理；</w:t>
      </w:r>
    </w:p>
    <w:p>
      <w:pPr>
        <w:widowControl/>
        <w:spacing w:line="360" w:lineRule="auto"/>
        <w:rPr>
          <w:rFonts w:hint="eastAsia" w:cs="宋体"/>
          <w:szCs w:val="24"/>
        </w:rPr>
      </w:pPr>
      <w:r>
        <w:rPr>
          <w:rFonts w:hint="eastAsia" w:cs="宋体"/>
          <w:szCs w:val="24"/>
        </w:rPr>
        <w:t xml:space="preserve">  10）附有招标人不能接受的条件的，作无效标处理；</w:t>
      </w:r>
    </w:p>
    <w:p>
      <w:pPr>
        <w:widowControl/>
        <w:spacing w:line="360" w:lineRule="auto"/>
        <w:rPr>
          <w:rFonts w:hint="eastAsia" w:cs="宋体"/>
          <w:szCs w:val="24"/>
        </w:rPr>
      </w:pPr>
      <w:r>
        <w:rPr>
          <w:rFonts w:hint="eastAsia" w:cs="宋体"/>
          <w:szCs w:val="24"/>
        </w:rPr>
        <w:t xml:space="preserve">  11) 未响应招标文件要求的；</w:t>
      </w:r>
    </w:p>
    <w:p>
      <w:pPr>
        <w:widowControl/>
        <w:spacing w:line="360" w:lineRule="auto"/>
        <w:rPr>
          <w:rFonts w:hint="eastAsia" w:cs="宋体"/>
          <w:szCs w:val="24"/>
        </w:rPr>
      </w:pPr>
      <w:r>
        <w:rPr>
          <w:rFonts w:hint="eastAsia" w:cs="宋体"/>
          <w:szCs w:val="24"/>
        </w:rPr>
        <w:t xml:space="preserve">  12）违反国家有关法律法规的，作无效标处理。</w:t>
      </w:r>
    </w:p>
    <w:p>
      <w:pPr>
        <w:widowControl/>
        <w:spacing w:line="360" w:lineRule="auto"/>
        <w:ind w:firstLine="210" w:firstLineChars="100"/>
        <w:rPr>
          <w:rFonts w:hint="eastAsia" w:cs="宋体"/>
          <w:szCs w:val="24"/>
        </w:rPr>
      </w:pPr>
      <w:r>
        <w:rPr>
          <w:rFonts w:hint="eastAsia" w:cs="宋体"/>
          <w:szCs w:val="24"/>
          <w:lang w:val="en-US" w:eastAsia="zh-CN"/>
        </w:rPr>
        <w:t>13</w:t>
      </w:r>
      <w:r>
        <w:rPr>
          <w:rFonts w:hint="eastAsia" w:cs="宋体"/>
          <w:szCs w:val="24"/>
        </w:rPr>
        <w:t>）不同供应商响应文件制作机器码一致的；</w:t>
      </w:r>
    </w:p>
    <w:p>
      <w:pPr>
        <w:widowControl/>
        <w:spacing w:line="360" w:lineRule="auto"/>
        <w:ind w:firstLine="210" w:firstLineChars="100"/>
        <w:rPr>
          <w:rFonts w:hint="eastAsia" w:cs="宋体"/>
          <w:szCs w:val="24"/>
        </w:rPr>
      </w:pPr>
      <w:r>
        <w:rPr>
          <w:rFonts w:hint="eastAsia" w:cs="宋体"/>
          <w:szCs w:val="24"/>
          <w:lang w:val="en-US" w:eastAsia="zh-CN"/>
        </w:rPr>
        <w:t>14</w:t>
      </w:r>
      <w:r>
        <w:rPr>
          <w:rFonts w:hint="eastAsia" w:cs="宋体"/>
          <w:szCs w:val="24"/>
        </w:rPr>
        <w:t>）不同供应商的报价文件异常一致或呈阶梯性规律变化的；</w:t>
      </w:r>
    </w:p>
    <w:p>
      <w:pPr>
        <w:widowControl/>
        <w:spacing w:line="360" w:lineRule="auto"/>
        <w:rPr>
          <w:rFonts w:hint="eastAsia" w:cs="宋体"/>
          <w:szCs w:val="24"/>
        </w:rPr>
      </w:pPr>
      <w:r>
        <w:rPr>
          <w:rFonts w:hint="eastAsia" w:cs="宋体"/>
          <w:szCs w:val="24"/>
          <w:lang w:val="en-US" w:eastAsia="zh-CN"/>
        </w:rPr>
        <w:t>5.11</w:t>
      </w:r>
      <w:r>
        <w:rPr>
          <w:rFonts w:hint="eastAsia" w:cs="宋体"/>
          <w:b/>
          <w:bCs/>
          <w:szCs w:val="24"/>
        </w:rPr>
        <w:t>有下列情形之一的，视为投标人串通投标，其投标无效：</w:t>
      </w:r>
    </w:p>
    <w:p>
      <w:pPr>
        <w:widowControl/>
        <w:spacing w:line="360" w:lineRule="auto"/>
        <w:rPr>
          <w:rFonts w:hint="eastAsia" w:cs="宋体"/>
          <w:szCs w:val="24"/>
        </w:rPr>
      </w:pPr>
      <w:r>
        <w:rPr>
          <w:rFonts w:hint="eastAsia" w:cs="宋体"/>
          <w:szCs w:val="24"/>
        </w:rPr>
        <w:t>（一）不同投标人的投标文件由同一单位或者个人编制；</w:t>
      </w:r>
    </w:p>
    <w:p>
      <w:pPr>
        <w:widowControl/>
        <w:spacing w:line="360" w:lineRule="auto"/>
        <w:rPr>
          <w:rFonts w:hint="eastAsia" w:cs="宋体"/>
          <w:szCs w:val="24"/>
        </w:rPr>
      </w:pPr>
      <w:r>
        <w:rPr>
          <w:rFonts w:hint="eastAsia" w:cs="宋体"/>
          <w:szCs w:val="24"/>
        </w:rPr>
        <w:t>（二）不同投标人委托同一单位或者个人办理投标事宜；</w:t>
      </w:r>
    </w:p>
    <w:p>
      <w:pPr>
        <w:widowControl/>
        <w:spacing w:line="360" w:lineRule="auto"/>
        <w:rPr>
          <w:rFonts w:hint="eastAsia" w:cs="宋体"/>
          <w:szCs w:val="24"/>
        </w:rPr>
      </w:pPr>
      <w:r>
        <w:rPr>
          <w:rFonts w:hint="eastAsia" w:cs="宋体"/>
          <w:szCs w:val="24"/>
        </w:rPr>
        <w:t>（三）不同投标人的投标文件载明的项目管理成员或者联系人员为同一人；</w:t>
      </w:r>
    </w:p>
    <w:p>
      <w:pPr>
        <w:widowControl/>
        <w:spacing w:line="360" w:lineRule="auto"/>
        <w:rPr>
          <w:rFonts w:hint="eastAsia" w:cs="宋体"/>
          <w:szCs w:val="24"/>
        </w:rPr>
      </w:pPr>
      <w:r>
        <w:rPr>
          <w:rFonts w:hint="eastAsia" w:cs="宋体"/>
          <w:szCs w:val="24"/>
        </w:rPr>
        <w:t>（四）不同投标人的投标文件异常一致或者投标报价呈规律性差异；</w:t>
      </w:r>
    </w:p>
    <w:p>
      <w:pPr>
        <w:widowControl/>
        <w:spacing w:line="360" w:lineRule="auto"/>
        <w:rPr>
          <w:rFonts w:hint="eastAsia" w:cs="宋体"/>
          <w:szCs w:val="24"/>
        </w:rPr>
      </w:pPr>
      <w:r>
        <w:rPr>
          <w:rFonts w:hint="eastAsia" w:cs="宋体"/>
          <w:szCs w:val="24"/>
        </w:rPr>
        <w:t>（五）不同投标人的投标文件相互混装；</w:t>
      </w:r>
    </w:p>
    <w:p>
      <w:pPr>
        <w:widowControl/>
        <w:spacing w:line="360" w:lineRule="auto"/>
      </w:pPr>
      <w:r>
        <w:rPr>
          <w:rFonts w:hint="eastAsia" w:cs="宋体"/>
          <w:szCs w:val="24"/>
        </w:rPr>
        <w:t>（六）不同投标人的投标保证金从同一单位或者个人的账户转出。</w:t>
      </w:r>
    </w:p>
    <w:p>
      <w:pPr>
        <w:pStyle w:val="8"/>
        <w:numPr>
          <w:ilvl w:val="0"/>
          <w:numId w:val="5"/>
        </w:numPr>
        <w:tabs>
          <w:tab w:val="left" w:pos="360"/>
          <w:tab w:val="clear" w:pos="425"/>
        </w:tabs>
        <w:spacing w:line="360" w:lineRule="auto"/>
        <w:jc w:val="both"/>
        <w:outlineLvl w:val="1"/>
        <w:rPr>
          <w:rFonts w:hAnsi="宋体" w:cs="黑体"/>
          <w:b/>
          <w:color w:val="auto"/>
        </w:rPr>
      </w:pPr>
      <w:bookmarkStart w:id="380" w:name="_Toc1471"/>
      <w:bookmarkStart w:id="381" w:name="_Toc23149"/>
      <w:r>
        <w:rPr>
          <w:rFonts w:hint="eastAsia" w:hAnsi="宋体" w:cs="黑体"/>
          <w:b/>
          <w:color w:val="auto"/>
        </w:rPr>
        <w:t>授予合同</w:t>
      </w:r>
      <w:bookmarkEnd w:id="380"/>
      <w:bookmarkEnd w:id="381"/>
      <w:bookmarkStart w:id="382" w:name="_Toc327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3" w:name="_Toc5672"/>
      <w:bookmarkStart w:id="384" w:name="_Toc8361"/>
      <w:bookmarkStart w:id="385" w:name="_Toc26749"/>
      <w:r>
        <w:rPr>
          <w:rFonts w:hint="eastAsia" w:hAnsi="宋体" w:cs="黑体"/>
          <w:color w:val="auto"/>
          <w:sz w:val="21"/>
          <w:szCs w:val="21"/>
        </w:rPr>
        <w:t>采购人自成交通知书发出之日起</w:t>
      </w:r>
      <w:r>
        <w:rPr>
          <w:rFonts w:hint="eastAsia" w:hAnsi="宋体" w:cs="黑体"/>
          <w:color w:val="auto"/>
          <w:sz w:val="21"/>
          <w:szCs w:val="21"/>
          <w:lang w:val="en-US" w:eastAsia="zh-CN"/>
        </w:rPr>
        <w:t>1</w:t>
      </w:r>
      <w:r>
        <w:rPr>
          <w:rFonts w:hint="eastAsia" w:hAnsi="宋体" w:cs="黑体"/>
          <w:color w:val="auto"/>
          <w:sz w:val="21"/>
          <w:szCs w:val="21"/>
        </w:rPr>
        <w:t>日内，按照竞争性磋商文件和成交人响应文件的规定，与成交人签订书面合同。所签订的合同不得对竞争性磋商文件确定的事项和成交人响应文件作实质性修改。</w:t>
      </w:r>
      <w:bookmarkEnd w:id="382"/>
      <w:bookmarkEnd w:id="383"/>
      <w:bookmarkEnd w:id="384"/>
      <w:bookmarkEnd w:id="385"/>
      <w:bookmarkStart w:id="386" w:name="_Toc26954"/>
    </w:p>
    <w:bookmarkEnd w:id="386"/>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87" w:name="_Toc12834"/>
      <w:bookmarkStart w:id="388" w:name="_Toc14039"/>
      <w:bookmarkStart w:id="389" w:name="_Toc10652"/>
      <w:bookmarkStart w:id="390" w:name="_Toc21772"/>
      <w:r>
        <w:rPr>
          <w:rFonts w:hint="eastAsia" w:hAnsi="宋体" w:cs="黑体"/>
          <w:color w:val="auto"/>
          <w:sz w:val="21"/>
          <w:szCs w:val="21"/>
        </w:rPr>
        <w:t>竞争性磋商文件、成交人的响应文件和澄清文件等，均应作为签约的合同文本的基础。</w:t>
      </w:r>
      <w:bookmarkEnd w:id="387"/>
      <w:bookmarkEnd w:id="388"/>
      <w:bookmarkEnd w:id="389"/>
      <w:bookmarkEnd w:id="390"/>
      <w:bookmarkStart w:id="391" w:name="_Toc5481"/>
    </w:p>
    <w:bookmarkEnd w:id="391"/>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2" w:name="_Toc18228"/>
      <w:bookmarkStart w:id="393" w:name="_Toc4762"/>
      <w:bookmarkStart w:id="394" w:name="_Toc12739"/>
      <w:bookmarkStart w:id="395" w:name="_Toc10089"/>
      <w:r>
        <w:rPr>
          <w:rFonts w:hint="eastAsia" w:hAnsi="宋体" w:cs="黑体"/>
          <w:color w:val="auto"/>
          <w:sz w:val="21"/>
          <w:szCs w:val="21"/>
        </w:rPr>
        <w:t>政府采购合同包括采购人与成交人的名称和住所、标的、数量、质量、价款或者报酬、履行期限及地点和方式、验收要求、违约责任、解决争议的方法等内容。</w:t>
      </w:r>
      <w:bookmarkEnd w:id="392"/>
      <w:bookmarkEnd w:id="393"/>
      <w:bookmarkEnd w:id="394"/>
      <w:bookmarkEnd w:id="395"/>
      <w:bookmarkStart w:id="396" w:name="_Toc7717"/>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397" w:name="_Toc6035"/>
      <w:bookmarkStart w:id="398" w:name="_Toc5311"/>
      <w:bookmarkStart w:id="399" w:name="_Toc18078"/>
      <w:r>
        <w:rPr>
          <w:rFonts w:hint="eastAsia" w:hAnsi="宋体" w:cs="黑体"/>
          <w:color w:val="auto"/>
          <w:sz w:val="21"/>
          <w:szCs w:val="21"/>
        </w:rPr>
        <w:t>如成交人不按本章第6.1项约定签订合同，采购人将报请取消其成交决定，采购人可按照磋商小组推荐的成交候选人名单排序，确定下一候选人为成交人或者重新采购。</w:t>
      </w:r>
      <w:bookmarkEnd w:id="396"/>
      <w:bookmarkEnd w:id="397"/>
      <w:bookmarkEnd w:id="398"/>
      <w:bookmarkEnd w:id="399"/>
    </w:p>
    <w:bookmarkEnd w:id="373"/>
    <w:p>
      <w:pPr>
        <w:pStyle w:val="8"/>
        <w:numPr>
          <w:ilvl w:val="0"/>
          <w:numId w:val="5"/>
        </w:numPr>
        <w:tabs>
          <w:tab w:val="left" w:pos="360"/>
          <w:tab w:val="clear" w:pos="425"/>
        </w:tabs>
        <w:spacing w:line="360" w:lineRule="auto"/>
        <w:jc w:val="both"/>
        <w:outlineLvl w:val="1"/>
        <w:rPr>
          <w:rFonts w:hAnsi="宋体" w:cs="黑体"/>
          <w:b/>
          <w:color w:val="auto"/>
        </w:rPr>
      </w:pPr>
      <w:bookmarkStart w:id="400" w:name="_Toc269470338"/>
      <w:bookmarkStart w:id="401" w:name="_Toc25425"/>
      <w:bookmarkStart w:id="402" w:name="_Toc24967"/>
      <w:bookmarkStart w:id="403" w:name="_Toc270604610"/>
      <w:bookmarkStart w:id="404" w:name="_Toc27882"/>
      <w:r>
        <w:rPr>
          <w:rFonts w:hint="eastAsia" w:hAnsi="宋体" w:cs="黑体"/>
          <w:b/>
          <w:color w:val="auto"/>
        </w:rPr>
        <w:t>纪律和监督</w:t>
      </w:r>
      <w:bookmarkEnd w:id="400"/>
      <w:bookmarkEnd w:id="401"/>
      <w:bookmarkEnd w:id="402"/>
      <w:bookmarkEnd w:id="403"/>
      <w:bookmarkEnd w:id="404"/>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05" w:name="_Toc428351666"/>
      <w:bookmarkStart w:id="406" w:name="_Toc31772"/>
      <w:bookmarkStart w:id="407" w:name="_Toc277149399"/>
      <w:bookmarkStart w:id="408" w:name="_Toc428276606"/>
      <w:bookmarkStart w:id="409" w:name="_Toc270604611"/>
      <w:bookmarkStart w:id="410" w:name="_Toc455678149"/>
      <w:bookmarkStart w:id="411" w:name="_Toc454788046"/>
      <w:bookmarkStart w:id="412" w:name="_Toc463011302"/>
      <w:bookmarkStart w:id="413" w:name="_Toc269470339"/>
      <w:bookmarkStart w:id="414" w:name="_Toc270604838"/>
      <w:bookmarkStart w:id="415" w:name="_Toc13152"/>
      <w:bookmarkStart w:id="416" w:name="_Toc462934323"/>
      <w:bookmarkStart w:id="417" w:name="_Toc2717"/>
      <w:r>
        <w:rPr>
          <w:rFonts w:hint="eastAsia" w:hAnsi="宋体" w:cs="黑体"/>
          <w:b/>
          <w:color w:val="auto"/>
          <w:sz w:val="21"/>
          <w:szCs w:val="21"/>
        </w:rPr>
        <w:t>对采购人的纪律要求</w:t>
      </w:r>
      <w:bookmarkEnd w:id="405"/>
      <w:bookmarkEnd w:id="406"/>
      <w:bookmarkEnd w:id="407"/>
      <w:bookmarkEnd w:id="408"/>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采购人不得泄</w:t>
      </w:r>
      <w:r>
        <w:rPr>
          <w:rFonts w:hint="eastAsia" w:cs="FangSong_GB2312"/>
          <w:kern w:val="0"/>
          <w:lang w:eastAsia="zh-CN"/>
        </w:rPr>
        <w:t>露</w:t>
      </w:r>
      <w:r>
        <w:rPr>
          <w:rFonts w:hint="eastAsia" w:cs="FangSong_GB2312"/>
          <w:kern w:val="0"/>
        </w:rPr>
        <w:t>竞争性磋商中应当保密的情况和资料，不得与响应人串通损害国家利益、社会公共利益或者他人合法权益。</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18" w:name="_Toc428351667"/>
      <w:bookmarkStart w:id="419" w:name="_Toc10123"/>
      <w:bookmarkStart w:id="420" w:name="_Toc277149400"/>
      <w:bookmarkStart w:id="421" w:name="_Toc428276607"/>
      <w:bookmarkStart w:id="422" w:name="_Toc270604612"/>
      <w:bookmarkStart w:id="423" w:name="_Toc24245"/>
      <w:bookmarkStart w:id="424" w:name="_Toc462934324"/>
      <w:bookmarkStart w:id="425" w:name="_Toc455678150"/>
      <w:bookmarkStart w:id="426" w:name="_Toc463011303"/>
      <w:bookmarkStart w:id="427" w:name="_Toc269470340"/>
      <w:bookmarkStart w:id="428" w:name="_Toc270604839"/>
      <w:bookmarkStart w:id="429" w:name="_Toc454788047"/>
      <w:bookmarkStart w:id="430" w:name="_Toc1136"/>
      <w:r>
        <w:rPr>
          <w:rFonts w:hint="eastAsia" w:hAnsi="宋体" w:cs="黑体"/>
          <w:b/>
          <w:color w:val="auto"/>
          <w:sz w:val="21"/>
          <w:szCs w:val="21"/>
        </w:rPr>
        <w:t>对响应人的纪律要求</w:t>
      </w:r>
      <w:bookmarkEnd w:id="418"/>
      <w:bookmarkEnd w:id="419"/>
      <w:bookmarkEnd w:id="420"/>
      <w:bookmarkEnd w:id="421"/>
      <w:bookmarkEnd w:id="422"/>
      <w:bookmarkEnd w:id="423"/>
      <w:bookmarkEnd w:id="424"/>
      <w:bookmarkEnd w:id="425"/>
      <w:bookmarkEnd w:id="426"/>
      <w:bookmarkEnd w:id="427"/>
      <w:bookmarkEnd w:id="428"/>
      <w:bookmarkEnd w:id="429"/>
      <w:bookmarkEnd w:id="430"/>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响应人不得相互串通或者与采购人串通，不得向采购人或者磋商小组成员行贿谋取成交，不得以他人名义磋商或者以其他方式弄虚作假骗取成交；响应人不得以任何方式干扰、影响磋商工作。</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31" w:name="_Toc428276608"/>
      <w:bookmarkStart w:id="432" w:name="_Toc23588"/>
      <w:bookmarkStart w:id="433" w:name="_Toc26184"/>
      <w:bookmarkStart w:id="434" w:name="_Toc269470341"/>
      <w:bookmarkStart w:id="435" w:name="_Toc462934325"/>
      <w:bookmarkStart w:id="436" w:name="_Toc455678151"/>
      <w:bookmarkStart w:id="437" w:name="_Toc277149401"/>
      <w:bookmarkStart w:id="438" w:name="_Toc270604613"/>
      <w:bookmarkStart w:id="439" w:name="_Toc454788048"/>
      <w:bookmarkStart w:id="440" w:name="_Toc428351668"/>
      <w:bookmarkStart w:id="441" w:name="_Toc270604840"/>
      <w:bookmarkStart w:id="442" w:name="_Toc463011304"/>
      <w:bookmarkStart w:id="443" w:name="_Toc15953"/>
      <w:r>
        <w:rPr>
          <w:rFonts w:hint="eastAsia" w:hAnsi="宋体" w:cs="黑体"/>
          <w:b/>
          <w:color w:val="auto"/>
          <w:sz w:val="21"/>
          <w:szCs w:val="21"/>
        </w:rPr>
        <w:t>对磋商小组成员的纪律要求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磋商小组成员不得收受他人的财物或者其他好处，不得向他人透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对磋商响应文件的评审和比较、成交候选人的推荐情况以及与磋商有关的其他情况。在磋商活动中，磋商小组成员不得擅离职守，影响磋商程序正常进行。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44" w:name="_Toc428351669"/>
      <w:bookmarkStart w:id="445" w:name="_Toc14202"/>
      <w:bookmarkStart w:id="446" w:name="_Toc454788049"/>
      <w:bookmarkStart w:id="447" w:name="_Toc4673"/>
      <w:bookmarkStart w:id="448" w:name="_Toc270604841"/>
      <w:bookmarkStart w:id="449" w:name="_Toc462934326"/>
      <w:bookmarkStart w:id="450" w:name="_Toc270604614"/>
      <w:bookmarkStart w:id="451" w:name="_Toc277149402"/>
      <w:bookmarkStart w:id="452" w:name="_Toc455678152"/>
      <w:bookmarkStart w:id="453" w:name="_Toc8563"/>
      <w:bookmarkStart w:id="454" w:name="_Toc428276609"/>
      <w:bookmarkStart w:id="455" w:name="_Toc269470342"/>
      <w:bookmarkStart w:id="456" w:name="_Toc463011305"/>
      <w:r>
        <w:rPr>
          <w:rFonts w:hint="eastAsia" w:hAnsi="宋体" w:cs="黑体"/>
          <w:b/>
          <w:color w:val="auto"/>
          <w:sz w:val="21"/>
          <w:szCs w:val="21"/>
        </w:rPr>
        <w:t>对与磋商活动有关的工作人员的纪律要求</w:t>
      </w:r>
      <w:bookmarkEnd w:id="444"/>
      <w:bookmarkEnd w:id="445"/>
      <w:bookmarkEnd w:id="446"/>
      <w:bookmarkEnd w:id="447"/>
      <w:bookmarkEnd w:id="448"/>
      <w:bookmarkEnd w:id="449"/>
      <w:bookmarkEnd w:id="450"/>
      <w:bookmarkEnd w:id="451"/>
      <w:bookmarkEnd w:id="452"/>
      <w:bookmarkEnd w:id="453"/>
      <w:bookmarkEnd w:id="454"/>
      <w:bookmarkEnd w:id="455"/>
      <w:bookmarkEnd w:id="456"/>
    </w:p>
    <w:p>
      <w:pPr>
        <w:autoSpaceDE w:val="0"/>
        <w:autoSpaceDN w:val="0"/>
        <w:adjustRightInd w:val="0"/>
        <w:snapToGrid w:val="0"/>
        <w:spacing w:line="360" w:lineRule="auto"/>
        <w:ind w:firstLine="420" w:firstLineChars="200"/>
        <w:contextualSpacing/>
        <w:jc w:val="left"/>
        <w:rPr>
          <w:rFonts w:cs="FangSong_GB2312"/>
          <w:kern w:val="0"/>
        </w:rPr>
      </w:pPr>
      <w:r>
        <w:rPr>
          <w:rFonts w:hint="eastAsia" w:cs="FangSong_GB2312"/>
          <w:kern w:val="0"/>
        </w:rPr>
        <w:t>与磋商活动有关的工作人员不得收受他人的财物或者其他好处，不得向他人透</w:t>
      </w:r>
      <w:r>
        <w:rPr>
          <w:rFonts w:hint="eastAsia" w:cs="FangSong_GB2312"/>
          <w:kern w:val="0"/>
          <w:lang w:eastAsia="zh-CN"/>
        </w:rPr>
        <w:t>露</w:t>
      </w:r>
      <w:r>
        <w:rPr>
          <w:rFonts w:hint="eastAsia" w:cs="FangSong_GB2312"/>
          <w:kern w:val="0"/>
        </w:rPr>
        <w:t>对磋商响应文件的评审和比较、成交候选人的推荐情况以及与磋商有关的其他情况。在磋商活动中，与磋商活动有关的工作人员不得擅离职守，影响磋商程序正常进行。</w:t>
      </w:r>
    </w:p>
    <w:p>
      <w:pPr>
        <w:pStyle w:val="8"/>
        <w:numPr>
          <w:ilvl w:val="1"/>
          <w:numId w:val="5"/>
        </w:numPr>
        <w:tabs>
          <w:tab w:val="left" w:pos="540"/>
          <w:tab w:val="clear" w:pos="992"/>
        </w:tabs>
        <w:spacing w:line="360" w:lineRule="auto"/>
        <w:ind w:left="540" w:hanging="540"/>
        <w:jc w:val="both"/>
        <w:outlineLvl w:val="1"/>
        <w:rPr>
          <w:rFonts w:hAnsi="宋体" w:cs="黑体"/>
          <w:b/>
          <w:color w:val="auto"/>
          <w:sz w:val="21"/>
          <w:szCs w:val="21"/>
        </w:rPr>
      </w:pPr>
      <w:bookmarkStart w:id="457" w:name="_Toc269470343"/>
      <w:bookmarkStart w:id="458" w:name="_Toc277149403"/>
      <w:bookmarkStart w:id="459" w:name="_Toc270604842"/>
      <w:bookmarkStart w:id="460" w:name="_Toc428351670"/>
      <w:bookmarkStart w:id="461" w:name="_Toc29089"/>
      <w:bookmarkStart w:id="462" w:name="_Toc428276610"/>
      <w:bookmarkStart w:id="463" w:name="_Toc454788050"/>
      <w:bookmarkStart w:id="464" w:name="_Toc27033"/>
      <w:bookmarkStart w:id="465" w:name="_Toc270604615"/>
      <w:r>
        <w:rPr>
          <w:rFonts w:hint="eastAsia" w:hAnsi="宋体" w:cs="黑体"/>
          <w:b/>
          <w:color w:val="auto"/>
          <w:sz w:val="21"/>
          <w:szCs w:val="21"/>
        </w:rPr>
        <w:t>询问、质疑和投诉</w:t>
      </w:r>
      <w:bookmarkEnd w:id="457"/>
      <w:bookmarkEnd w:id="458"/>
      <w:bookmarkEnd w:id="459"/>
      <w:bookmarkEnd w:id="460"/>
      <w:bookmarkEnd w:id="461"/>
      <w:bookmarkEnd w:id="462"/>
      <w:bookmarkEnd w:id="463"/>
      <w:bookmarkEnd w:id="464"/>
      <w:bookmarkEnd w:id="46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66" w:name="_Toc462934328"/>
      <w:bookmarkStart w:id="467" w:name="_Toc463011307"/>
      <w:bookmarkStart w:id="468" w:name="_Toc455678154"/>
      <w:bookmarkStart w:id="469" w:name="_Toc11785"/>
      <w:bookmarkStart w:id="470" w:name="_Toc17445"/>
      <w:r>
        <w:rPr>
          <w:rFonts w:hint="eastAsia" w:hAnsi="宋体" w:cs="黑体"/>
          <w:color w:val="auto"/>
          <w:sz w:val="21"/>
          <w:szCs w:val="21"/>
        </w:rPr>
        <w:t>响应人或有关当事人对磋商过程、成交结果有异议的，可以向采购人或者采购代理机构提出询问。</w:t>
      </w:r>
      <w:bookmarkEnd w:id="466"/>
      <w:bookmarkEnd w:id="467"/>
      <w:bookmarkEnd w:id="468"/>
      <w:bookmarkEnd w:id="469"/>
      <w:bookmarkEnd w:id="47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71" w:name="_Toc463011308"/>
      <w:bookmarkStart w:id="472" w:name="_Toc455678155"/>
      <w:bookmarkStart w:id="473" w:name="_Toc462934329"/>
      <w:bookmarkStart w:id="474" w:name="_Toc27421"/>
      <w:bookmarkStart w:id="475" w:name="_Toc24621"/>
      <w:r>
        <w:rPr>
          <w:rFonts w:hint="eastAsia" w:hAnsi="宋体" w:cs="黑体"/>
          <w:color w:val="auto"/>
          <w:sz w:val="21"/>
          <w:szCs w:val="21"/>
        </w:rPr>
        <w:t>采购人或者采购代理机构应当在三个工作日内对响应人依法提出的询问作出答复。</w:t>
      </w:r>
      <w:bookmarkEnd w:id="471"/>
      <w:bookmarkEnd w:id="472"/>
      <w:bookmarkEnd w:id="473"/>
      <w:bookmarkEnd w:id="474"/>
      <w:bookmarkEnd w:id="475"/>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76" w:name="_Toc463011309"/>
      <w:bookmarkStart w:id="477" w:name="_Toc462934330"/>
      <w:bookmarkStart w:id="478" w:name="_Toc30298"/>
      <w:bookmarkStart w:id="479" w:name="_Toc455678156"/>
      <w:bookmarkStart w:id="480" w:name="_Toc28381"/>
      <w:r>
        <w:rPr>
          <w:rFonts w:hint="eastAsia" w:hAnsi="宋体" w:cs="黑体"/>
          <w:color w:val="auto"/>
          <w:sz w:val="21"/>
          <w:szCs w:val="21"/>
        </w:rPr>
        <w:t>响应人认为竞争性磋商文件、采购过程使自己的权益受到损害的，可以在知道或者应知其权益受到损害之日起七个工作日内，以书面形式向采购人提出质疑。</w:t>
      </w:r>
      <w:bookmarkEnd w:id="476"/>
      <w:bookmarkEnd w:id="477"/>
      <w:bookmarkEnd w:id="478"/>
      <w:bookmarkEnd w:id="479"/>
      <w:bookmarkEnd w:id="480"/>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81" w:name="_Toc288"/>
      <w:bookmarkStart w:id="482" w:name="_Toc462934331"/>
      <w:bookmarkStart w:id="483" w:name="_Toc16614"/>
      <w:bookmarkStart w:id="484" w:name="_Toc463011310"/>
      <w:r>
        <w:rPr>
          <w:rFonts w:hint="eastAsia" w:hAnsi="宋体" w:cs="黑体"/>
          <w:color w:val="auto"/>
          <w:sz w:val="21"/>
          <w:szCs w:val="21"/>
        </w:rPr>
        <w:t>响应人认为成交结果使自己的权益受到损害的，可以在成交结果公告期限届满之日起七个工作日内，以书面形式向采购人提出质疑，接收质疑函联系部门、电话及地址详见竞争性磋商公告。</w:t>
      </w:r>
      <w:bookmarkEnd w:id="481"/>
      <w:bookmarkEnd w:id="482"/>
      <w:bookmarkEnd w:id="483"/>
      <w:bookmarkEnd w:id="484"/>
      <w:r>
        <w:rPr>
          <w:rFonts w:hint="eastAsia" w:hAnsi="宋体" w:cs="黑体"/>
          <w:color w:val="auto"/>
          <w:sz w:val="21"/>
          <w:szCs w:val="21"/>
        </w:rPr>
        <w:t>在法定质疑期内响应人针对同一采购程序环节的质疑应当一次性提出。</w:t>
      </w:r>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85" w:name="_Toc455678157"/>
      <w:bookmarkStart w:id="486" w:name="_Toc5258"/>
      <w:bookmarkStart w:id="487" w:name="_Toc462934332"/>
      <w:bookmarkStart w:id="488" w:name="_Toc463011311"/>
      <w:bookmarkStart w:id="489" w:name="_Toc18478"/>
      <w:r>
        <w:rPr>
          <w:rFonts w:hint="eastAsia" w:hAnsi="宋体" w:cs="黑体"/>
          <w:color w:val="auto"/>
          <w:sz w:val="21"/>
          <w:szCs w:val="21"/>
        </w:rPr>
        <w:t>采购人或者采购代理机构应当在收到响应人的书面质疑后七个工作日内作出答复，并以书面形式通知质疑响应人和其他有关响应人，但答复的内容不得涉及商业秘密。</w:t>
      </w:r>
      <w:bookmarkEnd w:id="485"/>
      <w:bookmarkEnd w:id="486"/>
      <w:bookmarkEnd w:id="487"/>
      <w:bookmarkEnd w:id="488"/>
      <w:bookmarkEnd w:id="489"/>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90" w:name="_Toc455678158"/>
      <w:bookmarkStart w:id="491" w:name="_Toc4898"/>
      <w:bookmarkStart w:id="492" w:name="_Toc463011312"/>
      <w:bookmarkStart w:id="493" w:name="_Toc21390"/>
      <w:bookmarkStart w:id="494" w:name="_Toc462934333"/>
      <w:r>
        <w:rPr>
          <w:rFonts w:hint="eastAsia" w:hAnsi="宋体" w:cs="黑体"/>
          <w:color w:val="auto"/>
          <w:sz w:val="21"/>
          <w:szCs w:val="21"/>
        </w:rPr>
        <w:t>质疑单位对采购人、采购代理机构的答复不满意或者采购人、采购代理机构未在规定的时间内作出答复的，可以在答复期满后十五个工作日内向同级政府采购监督管理部门投诉。</w:t>
      </w:r>
      <w:bookmarkEnd w:id="490"/>
      <w:bookmarkEnd w:id="491"/>
      <w:bookmarkEnd w:id="492"/>
      <w:bookmarkEnd w:id="493"/>
      <w:bookmarkEnd w:id="494"/>
    </w:p>
    <w:p>
      <w:pPr>
        <w:pStyle w:val="8"/>
        <w:numPr>
          <w:ilvl w:val="2"/>
          <w:numId w:val="5"/>
        </w:numPr>
        <w:tabs>
          <w:tab w:val="left" w:pos="0"/>
          <w:tab w:val="clear" w:pos="1418"/>
        </w:tabs>
        <w:spacing w:line="360" w:lineRule="auto"/>
        <w:ind w:left="420" w:leftChars="200" w:firstLine="0"/>
        <w:jc w:val="both"/>
        <w:rPr>
          <w:rFonts w:hAnsi="宋体" w:cs="黑体"/>
          <w:color w:val="auto"/>
          <w:sz w:val="21"/>
          <w:szCs w:val="21"/>
        </w:rPr>
      </w:pPr>
      <w:bookmarkStart w:id="495" w:name="_Toc463011313"/>
      <w:bookmarkStart w:id="496" w:name="_Toc11631"/>
      <w:bookmarkStart w:id="497" w:name="_Toc455678159"/>
      <w:bookmarkStart w:id="498" w:name="_Toc17682"/>
      <w:bookmarkStart w:id="499" w:name="_Toc462934334"/>
      <w:r>
        <w:rPr>
          <w:rFonts w:hint="eastAsia" w:hAnsi="宋体" w:cs="黑体"/>
          <w:color w:val="auto"/>
          <w:sz w:val="21"/>
          <w:szCs w:val="21"/>
        </w:rPr>
        <w:t>响应人质疑、投诉应当有明确的请求和必要的证明材料。响应人投诉的事项不得超出已质疑事项的范围。</w:t>
      </w:r>
      <w:bookmarkEnd w:id="495"/>
      <w:bookmarkEnd w:id="496"/>
      <w:bookmarkEnd w:id="497"/>
      <w:bookmarkEnd w:id="498"/>
      <w:bookmarkEnd w:id="499"/>
    </w:p>
    <w:p>
      <w:pPr>
        <w:pStyle w:val="8"/>
        <w:numPr>
          <w:ilvl w:val="0"/>
          <w:numId w:val="5"/>
        </w:numPr>
        <w:tabs>
          <w:tab w:val="left" w:pos="360"/>
          <w:tab w:val="clear" w:pos="425"/>
        </w:tabs>
        <w:spacing w:line="360" w:lineRule="auto"/>
        <w:jc w:val="both"/>
        <w:outlineLvl w:val="1"/>
        <w:rPr>
          <w:rFonts w:hAnsi="宋体" w:cs="黑体"/>
          <w:b/>
          <w:color w:val="auto"/>
        </w:rPr>
      </w:pPr>
      <w:bookmarkStart w:id="500" w:name="_Toc5729"/>
      <w:bookmarkStart w:id="501" w:name="_Toc13477"/>
      <w:r>
        <w:rPr>
          <w:rFonts w:hint="eastAsia" w:hAnsi="宋体" w:cs="黑体"/>
          <w:b/>
          <w:color w:val="auto"/>
        </w:rPr>
        <w:t>需要补充的其他内容</w:t>
      </w:r>
      <w:bookmarkEnd w:id="500"/>
      <w:bookmarkEnd w:id="501"/>
    </w:p>
    <w:p>
      <w:pPr>
        <w:autoSpaceDE w:val="0"/>
        <w:autoSpaceDN w:val="0"/>
        <w:adjustRightInd w:val="0"/>
        <w:snapToGrid w:val="0"/>
        <w:spacing w:line="360" w:lineRule="auto"/>
        <w:ind w:firstLine="420" w:firstLineChars="200"/>
        <w:contextualSpacing/>
        <w:jc w:val="left"/>
        <w:rPr>
          <w:rFonts w:hint="eastAsia"/>
          <w:b/>
          <w:sz w:val="32"/>
          <w:szCs w:val="32"/>
        </w:rPr>
      </w:pPr>
      <w:r>
        <w:rPr>
          <w:rFonts w:hint="eastAsia" w:cs="FangSong_GB2312"/>
          <w:kern w:val="0"/>
        </w:rPr>
        <w:t>需要补充的其他内容：见</w:t>
      </w:r>
      <w:r>
        <w:rPr>
          <w:rFonts w:hint="eastAsia" w:cs="黑体"/>
        </w:rPr>
        <w:t>《响应人须知前附表》</w:t>
      </w:r>
      <w:r>
        <w:rPr>
          <w:rFonts w:hint="eastAsia" w:cs="FangSong_GB2312"/>
          <w:kern w:val="0"/>
        </w:rPr>
        <w:t>。</w:t>
      </w:r>
      <w:bookmarkStart w:id="502" w:name="_Toc72694686"/>
      <w:bookmarkStart w:id="503" w:name="_Toc72695358"/>
      <w:bookmarkStart w:id="504" w:name="_Toc1582"/>
      <w:bookmarkStart w:id="505" w:name="_Toc26850"/>
      <w:bookmarkStart w:id="506" w:name="_Toc23659"/>
      <w:bookmarkStart w:id="507" w:name="_Toc16950"/>
      <w:bookmarkStart w:id="508" w:name="_Toc1534"/>
      <w:bookmarkStart w:id="509" w:name="_Toc4734"/>
      <w:bookmarkStart w:id="510" w:name="_Toc14114"/>
      <w:bookmarkStart w:id="511" w:name="_Toc22753"/>
      <w:bookmarkStart w:id="512" w:name="_Toc16535"/>
      <w:bookmarkStart w:id="513" w:name="_Toc6633"/>
      <w:bookmarkStart w:id="514" w:name="_Toc12415"/>
      <w:bookmarkStart w:id="515" w:name="_Toc21398"/>
      <w:bookmarkStart w:id="516" w:name="_Toc22649"/>
    </w:p>
    <w:p>
      <w:pPr>
        <w:rPr>
          <w:rFonts w:hint="eastAsia"/>
          <w:b/>
          <w:sz w:val="32"/>
          <w:szCs w:val="32"/>
        </w:rPr>
      </w:pPr>
    </w:p>
    <w:p>
      <w:pPr>
        <w:jc w:val="center"/>
        <w:outlineLvl w:val="0"/>
        <w:rPr>
          <w:b/>
          <w:sz w:val="32"/>
          <w:szCs w:val="32"/>
        </w:rPr>
      </w:pPr>
      <w:r>
        <w:rPr>
          <w:rFonts w:hint="eastAsia"/>
          <w:b/>
          <w:sz w:val="32"/>
          <w:szCs w:val="32"/>
        </w:rPr>
        <w:t>第三章  评审办法</w:t>
      </w:r>
      <w:bookmarkEnd w:id="502"/>
      <w:bookmarkEnd w:id="503"/>
      <w:bookmarkEnd w:id="504"/>
      <w:bookmarkEnd w:id="505"/>
    </w:p>
    <w:p>
      <w:pPr>
        <w:pStyle w:val="13"/>
        <w:spacing w:beforeLines="100" w:afterLines="100" w:line="276" w:lineRule="auto"/>
        <w:jc w:val="center"/>
        <w:outlineLvl w:val="1"/>
        <w:rPr>
          <w:rFonts w:hAnsi="宋体"/>
          <w:b/>
          <w:bCs/>
          <w:sz w:val="32"/>
          <w:szCs w:val="32"/>
        </w:rPr>
      </w:pPr>
      <w:bookmarkStart w:id="517" w:name="_Toc72694687"/>
      <w:r>
        <w:rPr>
          <w:rFonts w:hint="eastAsia" w:hAnsi="宋体"/>
          <w:b/>
          <w:bCs/>
          <w:sz w:val="32"/>
          <w:szCs w:val="32"/>
        </w:rPr>
        <w:t>评审办法前附表</w:t>
      </w:r>
      <w:bookmarkEnd w:id="506"/>
      <w:bookmarkEnd w:id="507"/>
      <w:bookmarkEnd w:id="508"/>
      <w:bookmarkEnd w:id="509"/>
      <w:bookmarkEnd w:id="510"/>
      <w:bookmarkEnd w:id="511"/>
      <w:bookmarkEnd w:id="512"/>
      <w:bookmarkEnd w:id="513"/>
      <w:bookmarkEnd w:id="514"/>
      <w:bookmarkEnd w:id="515"/>
      <w:bookmarkEnd w:id="516"/>
      <w:bookmarkEnd w:id="517"/>
    </w:p>
    <w:tbl>
      <w:tblPr>
        <w:tblStyle w:val="2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879"/>
        <w:gridCol w:w="221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894" w:type="dxa"/>
            <w:gridSpan w:val="2"/>
            <w:noWrap/>
            <w:vAlign w:val="center"/>
          </w:tcPr>
          <w:p>
            <w:pPr>
              <w:widowControl/>
              <w:spacing w:line="360" w:lineRule="auto"/>
              <w:jc w:val="center"/>
              <w:rPr>
                <w:b/>
                <w:kern w:val="0"/>
              </w:rPr>
            </w:pPr>
            <w:r>
              <w:rPr>
                <w:rFonts w:hint="eastAsia"/>
                <w:b/>
                <w:kern w:val="0"/>
              </w:rPr>
              <w:t>条款</w:t>
            </w:r>
          </w:p>
        </w:tc>
        <w:tc>
          <w:tcPr>
            <w:tcW w:w="2212" w:type="dxa"/>
            <w:noWrap/>
            <w:vAlign w:val="center"/>
          </w:tcPr>
          <w:p>
            <w:pPr>
              <w:widowControl/>
              <w:spacing w:line="360" w:lineRule="auto"/>
              <w:jc w:val="center"/>
              <w:rPr>
                <w:b/>
                <w:kern w:val="0"/>
              </w:rPr>
            </w:pPr>
            <w:r>
              <w:rPr>
                <w:rFonts w:hint="eastAsia"/>
                <w:b/>
                <w:kern w:val="0"/>
              </w:rPr>
              <w:t>评审因素</w:t>
            </w:r>
          </w:p>
        </w:tc>
        <w:tc>
          <w:tcPr>
            <w:tcW w:w="5294" w:type="dxa"/>
            <w:noWrap/>
            <w:vAlign w:val="center"/>
          </w:tcPr>
          <w:p>
            <w:pPr>
              <w:widowControl/>
              <w:spacing w:line="360" w:lineRule="auto"/>
              <w:jc w:val="center"/>
              <w:rPr>
                <w:b/>
                <w:kern w:val="0"/>
              </w:rPr>
            </w:pPr>
            <w:r>
              <w:rPr>
                <w:rFonts w:hint="eastAsia"/>
                <w:b/>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015" w:type="dxa"/>
            <w:vMerge w:val="restart"/>
            <w:noWrap/>
            <w:vAlign w:val="center"/>
          </w:tcPr>
          <w:p>
            <w:pPr>
              <w:widowControl/>
              <w:spacing w:line="360" w:lineRule="auto"/>
              <w:jc w:val="center"/>
              <w:rPr>
                <w:kern w:val="0"/>
              </w:rPr>
            </w:pPr>
            <w:r>
              <w:rPr>
                <w:rFonts w:hint="eastAsia"/>
                <w:kern w:val="0"/>
              </w:rPr>
              <w:t>2.1.1</w:t>
            </w:r>
          </w:p>
        </w:tc>
        <w:tc>
          <w:tcPr>
            <w:tcW w:w="879" w:type="dxa"/>
            <w:vMerge w:val="restart"/>
            <w:noWrap/>
            <w:vAlign w:val="center"/>
          </w:tcPr>
          <w:p>
            <w:pPr>
              <w:widowControl/>
              <w:spacing w:line="360" w:lineRule="auto"/>
              <w:jc w:val="center"/>
              <w:rPr>
                <w:kern w:val="0"/>
              </w:rPr>
            </w:pPr>
            <w:r>
              <w:rPr>
                <w:rFonts w:hint="eastAsia"/>
                <w:kern w:val="0"/>
              </w:rPr>
              <w:t>形式</w:t>
            </w:r>
          </w:p>
          <w:p>
            <w:pPr>
              <w:widowControl/>
              <w:spacing w:line="360" w:lineRule="auto"/>
              <w:jc w:val="center"/>
              <w:rPr>
                <w:kern w:val="0"/>
              </w:rPr>
            </w:pPr>
            <w:r>
              <w:rPr>
                <w:rFonts w:hint="eastAsia"/>
                <w:kern w:val="0"/>
              </w:rPr>
              <w:t>评审</w:t>
            </w:r>
          </w:p>
          <w:p>
            <w:pPr>
              <w:pStyle w:val="37"/>
              <w:ind w:firstLine="0" w:firstLineChars="0"/>
              <w:jc w:val="center"/>
              <w:rPr>
                <w:lang w:val="en-US"/>
              </w:rPr>
            </w:pPr>
            <w:r>
              <w:rPr>
                <w:rFonts w:hint="eastAsia"/>
                <w:lang w:val="en-US"/>
              </w:rPr>
              <w:t>标准</w:t>
            </w:r>
          </w:p>
        </w:tc>
        <w:tc>
          <w:tcPr>
            <w:tcW w:w="2212" w:type="dxa"/>
            <w:noWrap/>
            <w:vAlign w:val="center"/>
          </w:tcPr>
          <w:p>
            <w:pPr>
              <w:widowControl/>
              <w:spacing w:line="360" w:lineRule="auto"/>
              <w:jc w:val="center"/>
              <w:rPr>
                <w:kern w:val="0"/>
              </w:rPr>
            </w:pPr>
            <w:r>
              <w:rPr>
                <w:rFonts w:hint="eastAsia"/>
                <w:kern w:val="0"/>
              </w:rPr>
              <w:t>响应文件签字、盖章</w:t>
            </w:r>
          </w:p>
        </w:tc>
        <w:tc>
          <w:tcPr>
            <w:tcW w:w="5294" w:type="dxa"/>
            <w:noWrap/>
            <w:vAlign w:val="center"/>
          </w:tcPr>
          <w:p>
            <w:pPr>
              <w:widowControl/>
              <w:spacing w:line="360" w:lineRule="auto"/>
              <w:jc w:val="center"/>
              <w:rPr>
                <w:kern w:val="0"/>
              </w:rPr>
            </w:pPr>
            <w:r>
              <w:rPr>
                <w:rFonts w:hint="eastAsia"/>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响应文件格式</w:t>
            </w:r>
          </w:p>
        </w:tc>
        <w:tc>
          <w:tcPr>
            <w:tcW w:w="5294" w:type="dxa"/>
            <w:noWrap/>
            <w:vAlign w:val="center"/>
          </w:tcPr>
          <w:p>
            <w:pPr>
              <w:widowControl/>
              <w:spacing w:line="360" w:lineRule="auto"/>
              <w:jc w:val="center"/>
              <w:rPr>
                <w:kern w:val="0"/>
              </w:rPr>
            </w:pPr>
            <w:r>
              <w:rPr>
                <w:rFonts w:hint="eastAsia"/>
                <w:kern w:val="0"/>
              </w:rPr>
              <w:t>符合竞争性磋商文件中提供的响应文件格式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响应人名称</w:t>
            </w:r>
          </w:p>
        </w:tc>
        <w:tc>
          <w:tcPr>
            <w:tcW w:w="5294" w:type="dxa"/>
            <w:noWrap/>
            <w:vAlign w:val="center"/>
          </w:tcPr>
          <w:p>
            <w:pPr>
              <w:widowControl/>
              <w:spacing w:line="360" w:lineRule="auto"/>
              <w:jc w:val="center"/>
              <w:rPr>
                <w:kern w:val="0"/>
              </w:rPr>
            </w:pPr>
            <w:r>
              <w:rPr>
                <w:rFonts w:hint="eastAsia"/>
                <w:kern w:val="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报价唯一</w:t>
            </w:r>
          </w:p>
        </w:tc>
        <w:tc>
          <w:tcPr>
            <w:tcW w:w="5294" w:type="dxa"/>
            <w:noWrap/>
            <w:vAlign w:val="center"/>
          </w:tcPr>
          <w:p>
            <w:pPr>
              <w:widowControl/>
              <w:spacing w:line="360" w:lineRule="auto"/>
              <w:jc w:val="center"/>
              <w:rPr>
                <w:kern w:val="0"/>
              </w:rPr>
            </w:pPr>
            <w:r>
              <w:rPr>
                <w:rFonts w:hint="eastAsia"/>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015" w:type="dxa"/>
            <w:vMerge w:val="restart"/>
            <w:noWrap/>
            <w:vAlign w:val="center"/>
          </w:tcPr>
          <w:p>
            <w:pPr>
              <w:widowControl/>
              <w:spacing w:line="360" w:lineRule="auto"/>
              <w:jc w:val="center"/>
              <w:rPr>
                <w:kern w:val="0"/>
              </w:rPr>
            </w:pPr>
            <w:r>
              <w:rPr>
                <w:rFonts w:hint="eastAsia"/>
                <w:kern w:val="0"/>
              </w:rPr>
              <w:t>2.1.2</w:t>
            </w:r>
          </w:p>
        </w:tc>
        <w:tc>
          <w:tcPr>
            <w:tcW w:w="879" w:type="dxa"/>
            <w:vMerge w:val="restart"/>
            <w:noWrap/>
            <w:vAlign w:val="center"/>
          </w:tcPr>
          <w:p>
            <w:pPr>
              <w:widowControl/>
              <w:spacing w:line="360" w:lineRule="auto"/>
              <w:jc w:val="center"/>
            </w:pPr>
            <w:r>
              <w:rPr>
                <w:rFonts w:hint="eastAsia"/>
              </w:rPr>
              <w:t>资格</w:t>
            </w:r>
          </w:p>
          <w:p>
            <w:pPr>
              <w:widowControl/>
              <w:spacing w:line="360" w:lineRule="auto"/>
              <w:jc w:val="center"/>
            </w:pPr>
            <w:r>
              <w:rPr>
                <w:rFonts w:hint="eastAsia"/>
              </w:rPr>
              <w:t>审查</w:t>
            </w:r>
          </w:p>
          <w:p>
            <w:pPr>
              <w:widowControl/>
              <w:spacing w:line="360" w:lineRule="auto"/>
              <w:jc w:val="center"/>
            </w:pPr>
            <w:r>
              <w:rPr>
                <w:rFonts w:hint="eastAsia"/>
                <w:kern w:val="0"/>
              </w:rPr>
              <w:t>标准</w:t>
            </w:r>
          </w:p>
        </w:tc>
        <w:tc>
          <w:tcPr>
            <w:tcW w:w="2212" w:type="dxa"/>
            <w:noWrap/>
            <w:vAlign w:val="center"/>
          </w:tcPr>
          <w:p>
            <w:pPr>
              <w:widowControl/>
              <w:spacing w:line="276" w:lineRule="auto"/>
              <w:jc w:val="center"/>
              <w:rPr>
                <w:kern w:val="0"/>
              </w:rPr>
            </w:pPr>
            <w:r>
              <w:rPr>
                <w:rFonts w:hint="eastAsia"/>
              </w:rPr>
              <w:t>《中华人民共和国政府采购法》第二十二条</w:t>
            </w:r>
          </w:p>
        </w:tc>
        <w:tc>
          <w:tcPr>
            <w:tcW w:w="5294" w:type="dxa"/>
            <w:noWrap/>
            <w:vAlign w:val="center"/>
          </w:tcPr>
          <w:p>
            <w:pPr>
              <w:widowControl/>
              <w:spacing w:line="276"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营业执照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资质等级</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安全生产许可证</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项目经理</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rPr>
              <w:t>无行贿犯罪记录承诺函</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center"/>
              <w:rPr>
                <w:kern w:val="0"/>
              </w:rPr>
            </w:pPr>
            <w:r>
              <w:rPr>
                <w:rFonts w:hint="eastAsia"/>
                <w:kern w:val="0"/>
              </w:rPr>
              <w:t>信用查询记录</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ind w:firstLine="525" w:firstLineChars="250"/>
              <w:rPr>
                <w:kern w:val="0"/>
              </w:rPr>
            </w:pPr>
            <w:r>
              <w:rPr>
                <w:rFonts w:hint="eastAsia"/>
                <w:kern w:val="0"/>
              </w:rPr>
              <w:t>其他要求</w:t>
            </w:r>
          </w:p>
        </w:tc>
        <w:tc>
          <w:tcPr>
            <w:tcW w:w="5294" w:type="dxa"/>
            <w:noWrap/>
            <w:vAlign w:val="center"/>
          </w:tcPr>
          <w:p>
            <w:pPr>
              <w:widowControl/>
              <w:spacing w:line="360" w:lineRule="auto"/>
              <w:jc w:val="center"/>
              <w:rPr>
                <w:kern w:val="0"/>
              </w:rPr>
            </w:pPr>
            <w:r>
              <w:rPr>
                <w:rFonts w:hint="eastAsia"/>
                <w:kern w:val="0"/>
              </w:rPr>
              <w:t>符合第二章“响应人须知前附表”第13项规定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015" w:type="dxa"/>
            <w:vMerge w:val="restart"/>
            <w:noWrap/>
            <w:vAlign w:val="center"/>
          </w:tcPr>
          <w:p>
            <w:pPr>
              <w:widowControl/>
              <w:spacing w:line="360" w:lineRule="auto"/>
              <w:jc w:val="center"/>
              <w:rPr>
                <w:kern w:val="0"/>
              </w:rPr>
            </w:pPr>
            <w:r>
              <w:rPr>
                <w:rFonts w:hint="eastAsia"/>
                <w:kern w:val="0"/>
              </w:rPr>
              <w:t>2.1.3</w:t>
            </w:r>
          </w:p>
        </w:tc>
        <w:tc>
          <w:tcPr>
            <w:tcW w:w="879" w:type="dxa"/>
            <w:vMerge w:val="restart"/>
            <w:noWrap/>
            <w:vAlign w:val="center"/>
          </w:tcPr>
          <w:p>
            <w:pPr>
              <w:widowControl/>
              <w:spacing w:line="360" w:lineRule="auto"/>
              <w:jc w:val="center"/>
            </w:pPr>
            <w:r>
              <w:rPr>
                <w:rFonts w:hint="eastAsia"/>
              </w:rPr>
              <w:t>响应</w:t>
            </w:r>
          </w:p>
          <w:p>
            <w:pPr>
              <w:widowControl/>
              <w:spacing w:line="360" w:lineRule="auto"/>
              <w:jc w:val="center"/>
            </w:pPr>
            <w:r>
              <w:rPr>
                <w:rFonts w:hint="eastAsia"/>
              </w:rPr>
              <w:t>性审</w:t>
            </w:r>
          </w:p>
          <w:p>
            <w:pPr>
              <w:widowControl/>
              <w:spacing w:line="360" w:lineRule="auto"/>
              <w:jc w:val="center"/>
              <w:rPr>
                <w:kern w:val="0"/>
              </w:rPr>
            </w:pPr>
            <w:r>
              <w:rPr>
                <w:rFonts w:hint="eastAsia"/>
              </w:rPr>
              <w:t>查</w:t>
            </w:r>
            <w:r>
              <w:rPr>
                <w:rFonts w:hint="eastAsia"/>
                <w:kern w:val="0"/>
              </w:rPr>
              <w:t>标</w:t>
            </w:r>
          </w:p>
          <w:p>
            <w:pPr>
              <w:widowControl/>
              <w:spacing w:line="360" w:lineRule="auto"/>
              <w:jc w:val="center"/>
              <w:rPr>
                <w:kern w:val="0"/>
              </w:rPr>
            </w:pPr>
            <w:r>
              <w:rPr>
                <w:rFonts w:hint="eastAsia"/>
                <w:kern w:val="0"/>
              </w:rPr>
              <w:t>准</w:t>
            </w:r>
          </w:p>
        </w:tc>
        <w:tc>
          <w:tcPr>
            <w:tcW w:w="2212" w:type="dxa"/>
            <w:noWrap/>
            <w:vAlign w:val="center"/>
          </w:tcPr>
          <w:p>
            <w:pPr>
              <w:widowControl/>
              <w:spacing w:line="276" w:lineRule="auto"/>
              <w:jc w:val="center"/>
              <w:rPr>
                <w:kern w:val="0"/>
              </w:rPr>
            </w:pPr>
            <w:r>
              <w:rPr>
                <w:rFonts w:hint="eastAsia"/>
                <w:kern w:val="0"/>
              </w:rPr>
              <w:t>磋商报价</w:t>
            </w:r>
          </w:p>
        </w:tc>
        <w:tc>
          <w:tcPr>
            <w:tcW w:w="5294" w:type="dxa"/>
            <w:noWrap/>
            <w:vAlign w:val="center"/>
          </w:tcPr>
          <w:p>
            <w:pPr>
              <w:widowControl/>
              <w:spacing w:line="276" w:lineRule="auto"/>
              <w:jc w:val="left"/>
              <w:rPr>
                <w:kern w:val="0"/>
              </w:rPr>
            </w:pPr>
            <w:r>
              <w:rPr>
                <w:rFonts w:hint="eastAsia"/>
                <w:kern w:val="0"/>
                <w:highlight w:val="none"/>
              </w:rPr>
              <w:t>报价未超过竞争性磋商文件中规定的预算金额或者最高限价的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响应内容</w:t>
            </w:r>
          </w:p>
        </w:tc>
        <w:tc>
          <w:tcPr>
            <w:tcW w:w="5294" w:type="dxa"/>
            <w:noWrap/>
            <w:vAlign w:val="center"/>
          </w:tcPr>
          <w:p>
            <w:pPr>
              <w:widowControl/>
              <w:spacing w:line="276" w:lineRule="auto"/>
              <w:jc w:val="center"/>
              <w:rPr>
                <w:kern w:val="0"/>
              </w:rPr>
            </w:pPr>
            <w:r>
              <w:rPr>
                <w:rFonts w:hint="eastAsia"/>
                <w:kern w:val="0"/>
              </w:rPr>
              <w:t>符合第二章“响应人须知前附表”第10项规定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工期</w:t>
            </w:r>
          </w:p>
        </w:tc>
        <w:tc>
          <w:tcPr>
            <w:tcW w:w="5294" w:type="dxa"/>
            <w:noWrap/>
            <w:vAlign w:val="center"/>
          </w:tcPr>
          <w:p>
            <w:pPr>
              <w:widowControl/>
              <w:spacing w:line="276" w:lineRule="auto"/>
              <w:jc w:val="center"/>
              <w:rPr>
                <w:kern w:val="0"/>
              </w:rPr>
            </w:pPr>
            <w:r>
              <w:rPr>
                <w:rFonts w:hint="eastAsia"/>
                <w:kern w:val="0"/>
              </w:rPr>
              <w:t>符合第二章“响应人须知前附表”第11项规定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kern w:val="0"/>
              </w:rPr>
              <w:t>质量标准</w:t>
            </w:r>
          </w:p>
        </w:tc>
        <w:tc>
          <w:tcPr>
            <w:tcW w:w="5294" w:type="dxa"/>
            <w:noWrap/>
            <w:vAlign w:val="center"/>
          </w:tcPr>
          <w:p>
            <w:pPr>
              <w:widowControl/>
              <w:spacing w:line="276" w:lineRule="auto"/>
              <w:jc w:val="center"/>
              <w:rPr>
                <w:kern w:val="0"/>
              </w:rPr>
            </w:pPr>
            <w:r>
              <w:rPr>
                <w:rFonts w:hint="eastAsia"/>
                <w:kern w:val="0"/>
              </w:rPr>
              <w:t>符合第二章“响应人须知前附表”第12项规定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center"/>
              <w:rPr>
                <w:kern w:val="0"/>
              </w:rPr>
            </w:pPr>
            <w:r>
              <w:rPr>
                <w:rFonts w:hint="eastAsia"/>
              </w:rPr>
              <w:t>磋商有效期</w:t>
            </w:r>
          </w:p>
        </w:tc>
        <w:tc>
          <w:tcPr>
            <w:tcW w:w="5294" w:type="dxa"/>
            <w:noWrap/>
            <w:vAlign w:val="center"/>
          </w:tcPr>
          <w:p>
            <w:pPr>
              <w:widowControl/>
              <w:spacing w:line="276" w:lineRule="auto"/>
              <w:jc w:val="center"/>
              <w:rPr>
                <w:kern w:val="0"/>
              </w:rPr>
            </w:pPr>
            <w:r>
              <w:rPr>
                <w:rFonts w:hint="eastAsia"/>
                <w:kern w:val="0"/>
              </w:rPr>
              <w:t>符合第二章“响应人须知前附表”第26项规定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spacing w:line="276" w:lineRule="auto"/>
              <w:jc w:val="center"/>
            </w:pPr>
            <w:r>
              <w:t>已标价工程量清单</w:t>
            </w:r>
          </w:p>
        </w:tc>
        <w:tc>
          <w:tcPr>
            <w:tcW w:w="5294" w:type="dxa"/>
            <w:noWrap/>
            <w:vAlign w:val="center"/>
          </w:tcPr>
          <w:p>
            <w:pPr>
              <w:spacing w:line="276" w:lineRule="auto"/>
              <w:ind w:firstLine="420" w:firstLineChars="200"/>
              <w:rPr>
                <w:kern w:val="0"/>
              </w:rPr>
            </w:pPr>
            <w:r>
              <w:t>符合第</w:t>
            </w:r>
            <w:r>
              <w:rPr>
                <w:rFonts w:hint="eastAsia"/>
              </w:rPr>
              <w:t>五</w:t>
            </w:r>
            <w:r>
              <w:t>章“工程量清单”</w:t>
            </w:r>
            <w:r>
              <w:rPr>
                <w:rFonts w:hint="eastAsia"/>
              </w:rPr>
              <w:t>要求</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条款内容</w:t>
            </w:r>
          </w:p>
        </w:tc>
        <w:tc>
          <w:tcPr>
            <w:tcW w:w="5294" w:type="dxa"/>
            <w:noWrap/>
            <w:vAlign w:val="center"/>
          </w:tcPr>
          <w:p>
            <w:pPr>
              <w:autoSpaceDE w:val="0"/>
              <w:autoSpaceDN w:val="0"/>
              <w:adjustRightInd w:val="0"/>
              <w:spacing w:line="360" w:lineRule="auto"/>
              <w:ind w:left="38" w:leftChars="18"/>
              <w:jc w:val="center"/>
              <w:rPr>
                <w:kern w:val="0"/>
              </w:rPr>
            </w:pPr>
            <w:r>
              <w:rPr>
                <w:rFonts w:hint="eastAsia"/>
                <w:kern w:val="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noWrap/>
            <w:vAlign w:val="center"/>
          </w:tcPr>
          <w:p>
            <w:pPr>
              <w:autoSpaceDE w:val="0"/>
              <w:autoSpaceDN w:val="0"/>
              <w:adjustRightInd w:val="0"/>
              <w:spacing w:line="276" w:lineRule="auto"/>
              <w:ind w:left="38" w:leftChars="18"/>
              <w:jc w:val="center"/>
              <w:rPr>
                <w:kern w:val="0"/>
              </w:rPr>
            </w:pPr>
            <w:r>
              <w:rPr>
                <w:rFonts w:hint="eastAsia"/>
                <w:kern w:val="0"/>
              </w:rPr>
              <w:t>2.2.1</w:t>
            </w:r>
          </w:p>
        </w:tc>
        <w:tc>
          <w:tcPr>
            <w:tcW w:w="2212" w:type="dxa"/>
            <w:noWrap/>
            <w:vAlign w:val="center"/>
          </w:tcPr>
          <w:p>
            <w:pPr>
              <w:autoSpaceDE w:val="0"/>
              <w:autoSpaceDN w:val="0"/>
              <w:adjustRightInd w:val="0"/>
              <w:spacing w:line="276" w:lineRule="auto"/>
              <w:ind w:left="38" w:leftChars="18"/>
              <w:jc w:val="center"/>
              <w:rPr>
                <w:kern w:val="0"/>
              </w:rPr>
            </w:pPr>
            <w:r>
              <w:rPr>
                <w:rFonts w:hint="eastAsia"/>
                <w:kern w:val="0"/>
              </w:rPr>
              <w:t>分值构成</w:t>
            </w:r>
          </w:p>
          <w:p>
            <w:pPr>
              <w:autoSpaceDE w:val="0"/>
              <w:autoSpaceDN w:val="0"/>
              <w:adjustRightInd w:val="0"/>
              <w:spacing w:line="276" w:lineRule="auto"/>
              <w:ind w:left="38" w:leftChars="18"/>
              <w:jc w:val="center"/>
              <w:rPr>
                <w:kern w:val="0"/>
              </w:rPr>
            </w:pPr>
            <w:r>
              <w:rPr>
                <w:rFonts w:hint="eastAsia"/>
                <w:kern w:val="0"/>
              </w:rPr>
              <w:t>(总分100分)</w:t>
            </w:r>
          </w:p>
        </w:tc>
        <w:tc>
          <w:tcPr>
            <w:tcW w:w="5294" w:type="dxa"/>
            <w:noWrap/>
            <w:vAlign w:val="center"/>
          </w:tcPr>
          <w:p>
            <w:pPr>
              <w:autoSpaceDE w:val="0"/>
              <w:autoSpaceDN w:val="0"/>
              <w:adjustRightInd w:val="0"/>
              <w:spacing w:line="276" w:lineRule="auto"/>
              <w:ind w:left="38" w:leftChars="18"/>
              <w:jc w:val="left"/>
              <w:rPr>
                <w:b/>
                <w:bCs/>
                <w:kern w:val="0"/>
              </w:rPr>
            </w:pPr>
            <w:r>
              <w:rPr>
                <w:rFonts w:hint="eastAsia"/>
                <w:b/>
                <w:bCs/>
                <w:kern w:val="0"/>
              </w:rPr>
              <w:t>报价得分：30分</w:t>
            </w:r>
          </w:p>
          <w:p>
            <w:pPr>
              <w:autoSpaceDE w:val="0"/>
              <w:autoSpaceDN w:val="0"/>
              <w:adjustRightInd w:val="0"/>
              <w:spacing w:line="276" w:lineRule="auto"/>
              <w:ind w:left="38" w:leftChars="18"/>
              <w:jc w:val="left"/>
              <w:rPr>
                <w:b/>
              </w:rPr>
            </w:pPr>
            <w:r>
              <w:rPr>
                <w:rFonts w:hint="eastAsia"/>
                <w:b/>
              </w:rPr>
              <w:t>技术部分：50分</w:t>
            </w:r>
          </w:p>
          <w:p>
            <w:pPr>
              <w:autoSpaceDE w:val="0"/>
              <w:autoSpaceDN w:val="0"/>
              <w:adjustRightInd w:val="0"/>
              <w:spacing w:line="276" w:lineRule="auto"/>
              <w:ind w:left="38" w:leftChars="18"/>
              <w:jc w:val="left"/>
              <w:rPr>
                <w:b/>
              </w:rPr>
            </w:pPr>
            <w:r>
              <w:rPr>
                <w:rFonts w:hint="eastAsia"/>
                <w:b/>
              </w:rPr>
              <w:t>综合实力：20分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894" w:type="dxa"/>
            <w:gridSpan w:val="2"/>
            <w:noWrap/>
            <w:vAlign w:val="center"/>
          </w:tcPr>
          <w:p>
            <w:pPr>
              <w:autoSpaceDE w:val="0"/>
              <w:autoSpaceDN w:val="0"/>
              <w:adjustRightInd w:val="0"/>
              <w:spacing w:line="360" w:lineRule="auto"/>
              <w:ind w:left="38" w:leftChars="18"/>
              <w:jc w:val="center"/>
              <w:rPr>
                <w:kern w:val="0"/>
              </w:rPr>
            </w:pPr>
            <w:r>
              <w:rPr>
                <w:rFonts w:hint="eastAsia"/>
                <w:kern w:val="0"/>
              </w:rPr>
              <w:t>条款号</w:t>
            </w:r>
          </w:p>
        </w:tc>
        <w:tc>
          <w:tcPr>
            <w:tcW w:w="2212" w:type="dxa"/>
            <w:noWrap/>
            <w:vAlign w:val="center"/>
          </w:tcPr>
          <w:p>
            <w:pPr>
              <w:autoSpaceDE w:val="0"/>
              <w:autoSpaceDN w:val="0"/>
              <w:adjustRightInd w:val="0"/>
              <w:spacing w:line="360" w:lineRule="auto"/>
              <w:ind w:left="38" w:leftChars="18"/>
              <w:jc w:val="center"/>
              <w:rPr>
                <w:kern w:val="0"/>
              </w:rPr>
            </w:pPr>
            <w:r>
              <w:rPr>
                <w:rFonts w:hint="eastAsia"/>
                <w:kern w:val="0"/>
              </w:rPr>
              <w:t>评分因素</w:t>
            </w:r>
          </w:p>
        </w:tc>
        <w:tc>
          <w:tcPr>
            <w:tcW w:w="5294" w:type="dxa"/>
            <w:noWrap/>
            <w:vAlign w:val="center"/>
          </w:tcPr>
          <w:p>
            <w:pPr>
              <w:autoSpaceDE w:val="0"/>
              <w:autoSpaceDN w:val="0"/>
              <w:adjustRightInd w:val="0"/>
              <w:spacing w:line="360" w:lineRule="auto"/>
              <w:ind w:left="38" w:leftChars="18" w:firstLine="1890" w:firstLineChars="900"/>
              <w:rPr>
                <w:b/>
              </w:rPr>
            </w:pPr>
            <w:r>
              <w:rPr>
                <w:rFonts w:hint="eastAsia"/>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1015" w:type="dxa"/>
            <w:noWrap/>
            <w:vAlign w:val="center"/>
          </w:tcPr>
          <w:p>
            <w:pPr>
              <w:widowControl/>
              <w:spacing w:line="360" w:lineRule="auto"/>
              <w:jc w:val="center"/>
              <w:rPr>
                <w:kern w:val="0"/>
              </w:rPr>
            </w:pPr>
            <w:r>
              <w:rPr>
                <w:rFonts w:hint="eastAsia"/>
                <w:kern w:val="0"/>
              </w:rPr>
              <w:t>2.2.2（1）</w:t>
            </w:r>
          </w:p>
        </w:tc>
        <w:tc>
          <w:tcPr>
            <w:tcW w:w="879" w:type="dxa"/>
            <w:vAlign w:val="center"/>
          </w:tcPr>
          <w:p>
            <w:pPr>
              <w:widowControl/>
              <w:spacing w:line="360" w:lineRule="auto"/>
              <w:jc w:val="center"/>
              <w:rPr>
                <w:b/>
              </w:rPr>
            </w:pPr>
            <w:r>
              <w:rPr>
                <w:rFonts w:hint="eastAsia"/>
                <w:b/>
              </w:rPr>
              <w:t>报价</w:t>
            </w:r>
          </w:p>
          <w:p>
            <w:pPr>
              <w:widowControl/>
              <w:spacing w:line="360" w:lineRule="auto"/>
              <w:jc w:val="center"/>
              <w:rPr>
                <w:b/>
              </w:rPr>
            </w:pPr>
            <w:r>
              <w:rPr>
                <w:rFonts w:hint="eastAsia"/>
                <w:b/>
              </w:rPr>
              <w:t>得分</w:t>
            </w:r>
          </w:p>
          <w:p>
            <w:pPr>
              <w:widowControl/>
              <w:spacing w:line="360" w:lineRule="auto"/>
              <w:jc w:val="center"/>
              <w:rPr>
                <w:b/>
              </w:rPr>
            </w:pPr>
            <w:r>
              <w:rPr>
                <w:rFonts w:hint="eastAsia"/>
                <w:b/>
              </w:rPr>
              <w:t>（30分）</w:t>
            </w:r>
          </w:p>
        </w:tc>
        <w:tc>
          <w:tcPr>
            <w:tcW w:w="2212" w:type="dxa"/>
            <w:noWrap/>
            <w:vAlign w:val="center"/>
          </w:tcPr>
          <w:p>
            <w:pPr>
              <w:pStyle w:val="37"/>
              <w:ind w:firstLine="0" w:firstLineChars="0"/>
            </w:pPr>
            <w:r>
              <w:rPr>
                <w:rFonts w:hint="eastAsia"/>
                <w:b/>
              </w:rPr>
              <w:t>磋商报价评分标准</w:t>
            </w:r>
          </w:p>
        </w:tc>
        <w:tc>
          <w:tcPr>
            <w:tcW w:w="5294" w:type="dxa"/>
            <w:noWrap/>
            <w:vAlign w:val="center"/>
          </w:tcPr>
          <w:p>
            <w:pPr>
              <w:widowControl/>
              <w:spacing w:line="360" w:lineRule="auto"/>
              <w:jc w:val="left"/>
              <w:rPr>
                <w:rFonts w:hint="eastAsia"/>
              </w:rPr>
            </w:pPr>
            <w:r>
              <w:rPr>
                <w:rFonts w:hint="eastAsia"/>
                <w:lang w:eastAsia="zh-CN"/>
              </w:rPr>
              <w:t>注：</w:t>
            </w:r>
            <w:r>
              <w:rPr>
                <w:rFonts w:hint="eastAsia"/>
              </w:rPr>
              <w:t>（一）促进中小企业发展和支持监狱企业发展：</w:t>
            </w:r>
          </w:p>
          <w:p>
            <w:pPr>
              <w:widowControl/>
              <w:spacing w:line="360" w:lineRule="auto"/>
              <w:jc w:val="left"/>
              <w:rPr>
                <w:rFonts w:hint="eastAsia"/>
              </w:rPr>
            </w:pPr>
            <w:r>
              <w:rPr>
                <w:rFonts w:hint="eastAsia"/>
              </w:rPr>
              <w:t>根据《政府采购促进中小企业发展管理办法》（财库（2020）46号）和《财政部司法部关于政府采购支持监狱企业发展有关问题的通知》（财库（2014）68号）的规定，对满足价格扣除条件且在投标文件中提交了《中小企业声明函》或省级以上监狱管理局、戒毒管理局（含新疆生产建设兵团）出具的属于监狱企业的证明文件的供应商，在满足资格项规定的条件后，其投标报价扣除</w:t>
            </w:r>
            <w:r>
              <w:rPr>
                <w:rFonts w:hint="eastAsia"/>
                <w:lang w:val="en-US" w:eastAsia="zh-CN"/>
              </w:rPr>
              <w:t>5</w:t>
            </w:r>
            <w:r>
              <w:rPr>
                <w:rFonts w:hint="eastAsia"/>
              </w:rPr>
              <w:t>%后参与评审。（注：多品目投标时所有产品的生产企业须同时为小型、微型企业才能享受价格扣除政策）</w:t>
            </w:r>
          </w:p>
          <w:p>
            <w:pPr>
              <w:widowControl/>
              <w:spacing w:line="360" w:lineRule="auto"/>
              <w:jc w:val="left"/>
              <w:rPr>
                <w:rFonts w:hint="eastAsia"/>
              </w:rPr>
            </w:pPr>
            <w:r>
              <w:rPr>
                <w:rFonts w:hint="eastAsia"/>
              </w:rPr>
              <w:t>中小企业划分标准以工信部联企业【2011】300号《工业和信息化部国家统计局国家发展和改革委财政部关于印发中小企业划型标准规定的通知》为依据。</w:t>
            </w:r>
          </w:p>
          <w:p>
            <w:pPr>
              <w:widowControl/>
              <w:spacing w:line="360" w:lineRule="auto"/>
              <w:jc w:val="left"/>
              <w:rPr>
                <w:rFonts w:hint="eastAsia"/>
              </w:rPr>
            </w:pPr>
            <w:r>
              <w:rPr>
                <w:rFonts w:hint="eastAsia"/>
              </w:rPr>
              <w:t>（二）强制采购节能产品、信息安全产品，优先采购环境标志产品政策。</w:t>
            </w:r>
          </w:p>
          <w:p>
            <w:pPr>
              <w:widowControl/>
              <w:spacing w:line="360" w:lineRule="auto"/>
              <w:jc w:val="left"/>
              <w:rPr>
                <w:rFonts w:hint="eastAsia"/>
              </w:rPr>
            </w:pPr>
            <w:r>
              <w:rPr>
                <w:rFonts w:hint="eastAsia"/>
              </w:rPr>
              <w:t>节能产品是指列入财政部、国家发展和改革委员会制定的《节能产品政府采购清单》，且经过认定的节能产品；信息安全产品是指列入国家质检总局国家认监委《信息安全产品强制性认证目录》，并获得强制性产品认证证书的产品；环境标志产品是指列入财政部、国家环保总局制定的《环境标志产品政府采购清单》，且经过认证的环境标志产品。</w:t>
            </w:r>
          </w:p>
          <w:p>
            <w:pPr>
              <w:widowControl/>
              <w:spacing w:line="360" w:lineRule="auto"/>
              <w:jc w:val="left"/>
              <w:rPr>
                <w:rFonts w:hint="eastAsia"/>
              </w:rPr>
            </w:pPr>
            <w:r>
              <w:rPr>
                <w:rFonts w:hint="eastAsia"/>
              </w:rPr>
              <w:t>提供的产品属于信息安全产品的，供应商应当选择经国家认证的信息安全产品投标，并提供由中国信息安全认证中心按国家标准认证颁发的有效认证证书复印件。</w:t>
            </w:r>
          </w:p>
          <w:p>
            <w:pPr>
              <w:widowControl/>
              <w:spacing w:line="360" w:lineRule="auto"/>
              <w:jc w:val="left"/>
              <w:rPr>
                <w:rFonts w:hint="eastAsia"/>
              </w:rPr>
            </w:pPr>
            <w:r>
              <w:rPr>
                <w:rFonts w:hint="eastAsia"/>
              </w:rPr>
              <w:t>提供的产品属于政府强制采购节能产品的，供应商应当选择《节能产品政府采购清单》中的产品投标，并提供有效的节能产品认证证书复印件。</w:t>
            </w:r>
          </w:p>
          <w:p>
            <w:pPr>
              <w:widowControl/>
              <w:spacing w:line="360" w:lineRule="auto"/>
              <w:jc w:val="left"/>
              <w:rPr>
                <w:rFonts w:hint="eastAsia"/>
              </w:rPr>
            </w:pPr>
            <w:r>
              <w:rPr>
                <w:rFonts w:hint="eastAsia"/>
              </w:rPr>
              <w:t>满足磋商文件要求且响应价格最低的响应报价为基准价，其价格分为满分。其他供应商的价格分统一按照下列公式计算：</w:t>
            </w:r>
          </w:p>
          <w:p>
            <w:pPr>
              <w:widowControl/>
              <w:spacing w:line="360" w:lineRule="auto"/>
              <w:jc w:val="left"/>
              <w:rPr>
                <w:b/>
              </w:rPr>
            </w:pPr>
            <w:r>
              <w:rPr>
                <w:rFonts w:hint="eastAsia"/>
              </w:rPr>
              <w:t>报价得分=(基准价／最后报价)×</w:t>
            </w:r>
            <w:r>
              <w:rPr>
                <w:rFonts w:hint="eastAsia"/>
                <w:lang w:val="en-US" w:eastAsia="zh-CN"/>
              </w:rPr>
              <w:t>30</w:t>
            </w:r>
            <w:r>
              <w:rPr>
                <w:rFonts w:hint="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restart"/>
            <w:noWrap/>
            <w:vAlign w:val="center"/>
          </w:tcPr>
          <w:p>
            <w:pPr>
              <w:widowControl/>
              <w:spacing w:line="360" w:lineRule="auto"/>
              <w:jc w:val="center"/>
              <w:rPr>
                <w:kern w:val="0"/>
              </w:rPr>
            </w:pPr>
            <w:r>
              <w:rPr>
                <w:rFonts w:hint="eastAsia"/>
                <w:kern w:val="0"/>
              </w:rPr>
              <w:t>2.2.2（2）</w:t>
            </w:r>
          </w:p>
        </w:tc>
        <w:tc>
          <w:tcPr>
            <w:tcW w:w="879" w:type="dxa"/>
            <w:vMerge w:val="restart"/>
            <w:noWrap/>
            <w:vAlign w:val="center"/>
          </w:tcPr>
          <w:p>
            <w:pPr>
              <w:widowControl/>
              <w:spacing w:line="360" w:lineRule="auto"/>
              <w:rPr>
                <w:b/>
              </w:rPr>
            </w:pPr>
            <w:r>
              <w:rPr>
                <w:rFonts w:hint="eastAsia"/>
                <w:b/>
              </w:rPr>
              <w:t>技术部分（50）</w:t>
            </w:r>
          </w:p>
        </w:tc>
        <w:tc>
          <w:tcPr>
            <w:tcW w:w="2212" w:type="dxa"/>
            <w:noWrap/>
            <w:vAlign w:val="top"/>
          </w:tcPr>
          <w:p>
            <w:pPr>
              <w:widowControl/>
              <w:spacing w:line="360" w:lineRule="auto"/>
              <w:jc w:val="left"/>
              <w:rPr>
                <w:kern w:val="0"/>
              </w:rPr>
            </w:pPr>
            <w:r>
              <w:rPr>
                <w:rFonts w:hint="eastAsia"/>
              </w:rPr>
              <w:t>1.内容完整性和编制水平</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内容完整性和编制水平</w:t>
            </w:r>
            <w:r>
              <w:rPr>
                <w:rFonts w:hint="eastAsia" w:ascii="宋体" w:hAnsi="宋体" w:cs="宋体"/>
                <w:szCs w:val="21"/>
              </w:rPr>
              <w:t>准确</w:t>
            </w:r>
            <w:r>
              <w:rPr>
                <w:rFonts w:hint="eastAsia" w:ascii="宋体" w:hAnsi="宋体" w:cs="宋体"/>
                <w:szCs w:val="21"/>
                <w:lang w:eastAsia="zh-CN"/>
              </w:rPr>
              <w:t>、合理的得</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rPr>
              <w:t>内容完整性和编制水平</w:t>
            </w:r>
            <w:r>
              <w:rPr>
                <w:rFonts w:hint="eastAsia" w:ascii="宋体" w:hAnsi="宋体" w:cs="宋体"/>
                <w:szCs w:val="21"/>
                <w:lang w:eastAsia="zh-CN"/>
              </w:rPr>
              <w:t>简洁、合理的得</w:t>
            </w:r>
            <w:r>
              <w:rPr>
                <w:rFonts w:hint="eastAsia" w:cs="宋体"/>
                <w:szCs w:val="21"/>
                <w:lang w:val="en-US" w:eastAsia="zh-CN"/>
              </w:rPr>
              <w:t>3</w:t>
            </w:r>
            <w:r>
              <w:rPr>
                <w:rFonts w:hint="eastAsia" w:ascii="宋体" w:hAnsi="宋体" w:cs="宋体"/>
                <w:szCs w:val="21"/>
                <w:lang w:val="en-US" w:eastAsia="zh-CN"/>
              </w:rPr>
              <w:t>分。</w:t>
            </w:r>
          </w:p>
          <w:p>
            <w:pPr>
              <w:widowControl/>
              <w:spacing w:line="360" w:lineRule="auto"/>
              <w:jc w:val="left"/>
              <w:rPr>
                <w:kern w:val="0"/>
              </w:rPr>
            </w:pPr>
            <w:r>
              <w:rPr>
                <w:rFonts w:hint="eastAsia" w:ascii="宋体" w:hAnsi="宋体" w:cs="宋体"/>
                <w:szCs w:val="21"/>
                <w:lang w:eastAsia="zh-CN"/>
              </w:rPr>
              <w:t>第三档：</w:t>
            </w:r>
            <w:r>
              <w:rPr>
                <w:rFonts w:hint="eastAsia"/>
              </w:rPr>
              <w:t>内容完整性和编制水平</w:t>
            </w:r>
            <w:r>
              <w:rPr>
                <w:rFonts w:hint="eastAsia" w:ascii="宋体" w:hAnsi="宋体" w:cs="宋体"/>
                <w:szCs w:val="21"/>
                <w:lang w:eastAsia="zh-CN"/>
              </w:rPr>
              <w:t>提供不健全的得</w:t>
            </w:r>
            <w:r>
              <w:rPr>
                <w:rFonts w:hint="eastAsia" w:ascii="宋体" w:hAnsi="宋体" w:cs="宋体"/>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2.施工方案与技术措施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施工方案与技术措施可实施性</w:t>
            </w:r>
            <w:r>
              <w:rPr>
                <w:rFonts w:hint="eastAsia"/>
                <w:lang w:eastAsia="zh-CN"/>
              </w:rPr>
              <w:t>强的得</w:t>
            </w:r>
            <w:r>
              <w:rPr>
                <w:rFonts w:hint="eastAsia"/>
                <w:lang w:val="en-US" w:eastAsia="zh-CN"/>
              </w:rPr>
              <w:t>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施工方案与技术措施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施工方案与技术措施</w:t>
            </w:r>
            <w:r>
              <w:rPr>
                <w:rFonts w:hint="eastAsia" w:ascii="Times New Roman" w:hAnsi="Times New Roman" w:eastAsia="宋体" w:cs="Times New Roman"/>
                <w:lang w:val="en-US" w:eastAsia="zh-CN"/>
              </w:rPr>
              <w:t>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3.质量管理体系与措施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质量管理体系与措施</w:t>
            </w:r>
            <w:r>
              <w:rPr>
                <w:rFonts w:hint="eastAsia" w:ascii="Times New Roman" w:hAnsi="Times New Roman" w:eastAsia="宋体" w:cs="Times New Roman"/>
              </w:rPr>
              <w:t>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质量管理体系与措施</w:t>
            </w:r>
            <w:r>
              <w:rPr>
                <w:rFonts w:hint="eastAsia" w:ascii="Times New Roman" w:hAnsi="Times New Roman" w:eastAsia="宋体" w:cs="Times New Roman"/>
                <w:lang w:val="en-US" w:eastAsia="zh-CN"/>
              </w:rPr>
              <w:t>合理、科学的得</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质量管理体系与措施</w:t>
            </w:r>
            <w:r>
              <w:rPr>
                <w:rFonts w:hint="eastAsia" w:ascii="Times New Roman" w:hAnsi="Times New Roman" w:eastAsia="宋体" w:cs="Times New Roman"/>
                <w:lang w:val="en-US" w:eastAsia="zh-CN"/>
              </w:rPr>
              <w:t>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4.安全管理体系与措施</w:t>
            </w:r>
          </w:p>
        </w:tc>
        <w:tc>
          <w:tcPr>
            <w:tcW w:w="5294" w:type="dxa"/>
            <w:noWrap/>
            <w:vAlign w:val="top"/>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rPr>
              <w:t>安全管理体系与措施</w:t>
            </w:r>
            <w:r>
              <w:rPr>
                <w:rFonts w:hint="eastAsia" w:ascii="Times New Roman" w:hAnsi="Times New Roman" w:eastAsia="宋体" w:cs="Times New Roman"/>
                <w:lang w:eastAsia="zh-CN"/>
              </w:rPr>
              <w:t>符合工程建设强制性标准且有效性、实施性强的得</w:t>
            </w:r>
            <w:r>
              <w:rPr>
                <w:rFonts w:hint="eastAsia" w:ascii="Times New Roman" w:hAnsi="Times New Roman" w:eastAsia="宋体" w:cs="Times New Roman"/>
                <w:lang w:val="en-US" w:eastAsia="zh-CN"/>
              </w:rPr>
              <w:t>5分。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rPr>
              <w:t>安全管理体系与措施</w:t>
            </w:r>
            <w:r>
              <w:rPr>
                <w:rFonts w:hint="eastAsia" w:ascii="Times New Roman" w:hAnsi="Times New Roman" w:eastAsia="宋体" w:cs="Times New Roman"/>
                <w:lang w:eastAsia="zh-CN"/>
              </w:rPr>
              <w:t>符合工程建设强制性标准的得</w:t>
            </w:r>
            <w:r>
              <w:rPr>
                <w:rFonts w:hint="eastAsia" w:ascii="Times New Roman" w:hAnsi="Times New Roman" w:cs="Times New Roman"/>
                <w:lang w:val="en-US" w:eastAsia="zh-CN"/>
              </w:rPr>
              <w:t>3</w:t>
            </w:r>
            <w:r>
              <w:rPr>
                <w:rFonts w:hint="eastAsia"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安全管理体系与措施</w:t>
            </w:r>
            <w:r>
              <w:rPr>
                <w:rFonts w:hint="eastAsia" w:ascii="Times New Roman" w:hAnsi="Times New Roman" w:eastAsia="宋体" w:cs="Times New Roman"/>
                <w:lang w:val="en-US" w:eastAsia="zh-CN"/>
              </w:rPr>
              <w:t>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5.文明施工管理体系与措施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文明施工管理体系与措施</w:t>
            </w:r>
            <w:r>
              <w:rPr>
                <w:rFonts w:hint="eastAsia"/>
                <w:lang w:eastAsia="zh-CN"/>
              </w:rPr>
              <w:t>充分可靠且有效性强的得</w:t>
            </w:r>
            <w:r>
              <w:rPr>
                <w:rFonts w:hint="eastAsia"/>
                <w:lang w:val="en-US" w:eastAsia="zh-CN"/>
              </w:rPr>
              <w:t>5分。</w:t>
            </w:r>
          </w:p>
          <w:p>
            <w:pPr>
              <w:spacing w:line="320" w:lineRule="exact"/>
              <w:rPr>
                <w:rFonts w:hint="eastAsia"/>
                <w:lang w:val="en-US" w:eastAsia="zh-CN"/>
              </w:rPr>
            </w:pPr>
            <w:r>
              <w:rPr>
                <w:rFonts w:hint="eastAsia"/>
                <w:lang w:eastAsia="zh-CN"/>
              </w:rPr>
              <w:t>第二档：</w:t>
            </w:r>
            <w:r>
              <w:rPr>
                <w:rFonts w:hint="eastAsia"/>
              </w:rPr>
              <w:t>文明施工管理体系与措施</w:t>
            </w:r>
            <w:r>
              <w:rPr>
                <w:rFonts w:hint="eastAsia"/>
                <w:lang w:eastAsia="zh-CN"/>
              </w:rPr>
              <w:t>充分合理的得</w:t>
            </w:r>
            <w:r>
              <w:rPr>
                <w:rFonts w:hint="eastAsia"/>
                <w:lang w:val="en-US" w:eastAsia="zh-CN"/>
              </w:rPr>
              <w:t>3分。</w:t>
            </w:r>
          </w:p>
          <w:p>
            <w:pPr>
              <w:widowControl/>
              <w:spacing w:line="360" w:lineRule="auto"/>
              <w:jc w:val="left"/>
              <w:rPr>
                <w:kern w:val="0"/>
              </w:rPr>
            </w:pPr>
            <w:r>
              <w:rPr>
                <w:rFonts w:hint="eastAsia"/>
                <w:lang w:eastAsia="zh-CN"/>
              </w:rPr>
              <w:t>第三档：</w:t>
            </w:r>
            <w:r>
              <w:rPr>
                <w:rFonts w:hint="eastAsia"/>
              </w:rPr>
              <w:t>文明施工管理体系与措施</w:t>
            </w:r>
            <w:r>
              <w:rPr>
                <w:rFonts w:hint="eastAsia"/>
                <w:lang w:eastAsia="zh-CN"/>
              </w:rPr>
              <w:t>提供不健全的得</w:t>
            </w:r>
            <w:r>
              <w:rPr>
                <w:rFonts w:hint="eastAsia"/>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6.环境保护管理体系与措施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环境保护管理体系与措施</w:t>
            </w:r>
            <w:r>
              <w:rPr>
                <w:rFonts w:hint="eastAsia"/>
                <w:lang w:eastAsia="zh-CN"/>
              </w:rPr>
              <w:t>充分可靠且有效性强的得</w:t>
            </w:r>
            <w:r>
              <w:rPr>
                <w:rFonts w:hint="eastAsia"/>
                <w:lang w:val="en-US" w:eastAsia="zh-CN"/>
              </w:rPr>
              <w:t>5分。</w:t>
            </w:r>
          </w:p>
          <w:p>
            <w:pPr>
              <w:spacing w:line="320" w:lineRule="exact"/>
              <w:rPr>
                <w:rFonts w:hint="eastAsia"/>
                <w:lang w:val="en-US" w:eastAsia="zh-CN"/>
              </w:rPr>
            </w:pPr>
            <w:r>
              <w:rPr>
                <w:rFonts w:hint="eastAsia"/>
                <w:lang w:eastAsia="zh-CN"/>
              </w:rPr>
              <w:t>第二档：</w:t>
            </w:r>
            <w:r>
              <w:rPr>
                <w:rFonts w:hint="eastAsia"/>
              </w:rPr>
              <w:t>环境保护管理体系与措施</w:t>
            </w:r>
            <w:r>
              <w:rPr>
                <w:rFonts w:hint="eastAsia"/>
                <w:lang w:eastAsia="zh-CN"/>
              </w:rPr>
              <w:t>充分合理的得</w:t>
            </w:r>
            <w:r>
              <w:rPr>
                <w:rFonts w:hint="eastAsia"/>
                <w:lang w:val="en-US" w:eastAsia="zh-CN"/>
              </w:rPr>
              <w:t>3分。</w:t>
            </w:r>
          </w:p>
          <w:p>
            <w:pPr>
              <w:widowControl/>
              <w:spacing w:line="360" w:lineRule="auto"/>
              <w:jc w:val="left"/>
              <w:rPr>
                <w:kern w:val="0"/>
              </w:rPr>
            </w:pPr>
            <w:r>
              <w:rPr>
                <w:rFonts w:hint="eastAsia"/>
                <w:lang w:eastAsia="zh-CN"/>
              </w:rPr>
              <w:t>第三档：</w:t>
            </w:r>
            <w:r>
              <w:rPr>
                <w:rFonts w:hint="eastAsia"/>
              </w:rPr>
              <w:t>环境保护管理体系与措施</w:t>
            </w:r>
            <w:r>
              <w:rPr>
                <w:rFonts w:hint="eastAsia"/>
                <w:lang w:eastAsia="zh-CN"/>
              </w:rPr>
              <w:t>提供不健全的得</w:t>
            </w:r>
            <w:r>
              <w:rPr>
                <w:rFonts w:hint="eastAsia"/>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7.工程进度计划与措施</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工程进度计划与措施可实施性</w:t>
            </w:r>
            <w:r>
              <w:rPr>
                <w:rFonts w:hint="eastAsia"/>
                <w:lang w:eastAsia="zh-CN"/>
              </w:rPr>
              <w:t>强的得</w:t>
            </w:r>
            <w:r>
              <w:rPr>
                <w:rFonts w:hint="eastAsia"/>
                <w:lang w:val="en-US" w:eastAsia="zh-CN"/>
              </w:rPr>
              <w:t>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工程进度计划与措施</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工程进度计划与措施</w:t>
            </w:r>
            <w:r>
              <w:rPr>
                <w:rFonts w:hint="eastAsia" w:ascii="Times New Roman" w:hAnsi="Times New Roman" w:eastAsia="宋体" w:cs="Times New Roman"/>
                <w:lang w:val="en-US" w:eastAsia="zh-CN"/>
              </w:rPr>
              <w:t>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8.资源配备计划（人员和设备等）</w:t>
            </w:r>
          </w:p>
        </w:tc>
        <w:tc>
          <w:tcPr>
            <w:tcW w:w="5294" w:type="dxa"/>
            <w:noWrap/>
            <w:vAlign w:val="top"/>
          </w:tcPr>
          <w:p>
            <w:pPr>
              <w:spacing w:line="320" w:lineRule="exact"/>
              <w:rPr>
                <w:rFonts w:hint="eastAsia"/>
                <w:lang w:val="en-US" w:eastAsia="zh-CN"/>
              </w:rPr>
            </w:pPr>
            <w:r>
              <w:rPr>
                <w:rFonts w:hint="eastAsia"/>
                <w:lang w:eastAsia="zh-CN"/>
              </w:rPr>
              <w:t>第一档：</w:t>
            </w:r>
            <w:r>
              <w:rPr>
                <w:rFonts w:hint="eastAsia"/>
              </w:rPr>
              <w:t>资源配备计划（人员和设备等）可实施性</w:t>
            </w:r>
            <w:r>
              <w:rPr>
                <w:rFonts w:hint="eastAsia"/>
                <w:lang w:eastAsia="zh-CN"/>
              </w:rPr>
              <w:t>强的得</w:t>
            </w:r>
            <w:r>
              <w:rPr>
                <w:rFonts w:hint="eastAsia"/>
                <w:lang w:val="en-US" w:eastAsia="zh-CN"/>
              </w:rPr>
              <w:t>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rPr>
              <w:t>资源配备计划（人员和设备等）</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w:t>
            </w:r>
            <w:r>
              <w:rPr>
                <w:rFonts w:hint="eastAsia"/>
              </w:rPr>
              <w:t>资源配备计划（人员和设备等）</w:t>
            </w:r>
            <w:r>
              <w:rPr>
                <w:rFonts w:hint="eastAsia" w:ascii="Times New Roman" w:hAnsi="Times New Roman" w:eastAsia="宋体" w:cs="Times New Roman"/>
                <w:lang w:val="en-US" w:eastAsia="zh-CN"/>
              </w:rPr>
              <w:t>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9.新工艺、新技术、新设备、新材料的采用程度，其在确保质量、降低成本、缩短工期、减轻劳动强度、提高工效等方面的作用。</w:t>
            </w:r>
          </w:p>
        </w:tc>
        <w:tc>
          <w:tcPr>
            <w:tcW w:w="5294" w:type="dxa"/>
            <w:noWrap/>
            <w:vAlign w:val="top"/>
          </w:tcPr>
          <w:p>
            <w:pPr>
              <w:widowControl/>
              <w:spacing w:line="360" w:lineRule="auto"/>
              <w:jc w:val="left"/>
            </w:pPr>
          </w:p>
          <w:p>
            <w:pPr>
              <w:spacing w:line="320" w:lineRule="exact"/>
              <w:rPr>
                <w:rFonts w:hint="eastAsia"/>
                <w:lang w:val="en-US" w:eastAsia="zh-CN"/>
              </w:rPr>
            </w:pPr>
            <w:r>
              <w:rPr>
                <w:rFonts w:hint="eastAsia"/>
                <w:lang w:eastAsia="zh-CN"/>
              </w:rPr>
              <w:t>第一档：</w:t>
            </w:r>
            <w:r>
              <w:rPr>
                <w:rFonts w:hint="eastAsia"/>
              </w:rPr>
              <w:t>可实施性</w:t>
            </w:r>
            <w:r>
              <w:rPr>
                <w:rFonts w:hint="eastAsia"/>
                <w:lang w:eastAsia="zh-CN"/>
              </w:rPr>
              <w:t>强的得</w:t>
            </w:r>
            <w:r>
              <w:rPr>
                <w:rFonts w:hint="eastAsia"/>
                <w:lang w:val="en-US" w:eastAsia="zh-CN"/>
              </w:rPr>
              <w:t>5分。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cs="Times New Roman"/>
                <w:lang w:val="en-US" w:eastAsia="zh-CN"/>
              </w:rPr>
              <w:t>3</w:t>
            </w:r>
            <w:r>
              <w:rPr>
                <w:rFonts w:hint="default" w:ascii="Times New Roman" w:hAnsi="Times New Roman" w:eastAsia="宋体" w:cs="Times New Roman"/>
                <w:lang w:val="en-US" w:eastAsia="zh-CN"/>
              </w:rPr>
              <w:t>分。</w:t>
            </w:r>
          </w:p>
          <w:p>
            <w:pPr>
              <w:widowControl/>
              <w:spacing w:line="360" w:lineRule="auto"/>
              <w:jc w:val="left"/>
              <w:rPr>
                <w:kern w:val="0"/>
              </w:rPr>
            </w:pPr>
            <w:r>
              <w:rPr>
                <w:rFonts w:hint="eastAsia" w:ascii="Times New Roman" w:hAnsi="Times New Roman" w:eastAsia="宋体" w:cs="Times New Roman"/>
                <w:lang w:val="en-US" w:eastAsia="zh-CN"/>
              </w:rPr>
              <w:t>第三档：提供不健全的得1分。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top"/>
          </w:tcPr>
          <w:p>
            <w:pPr>
              <w:widowControl/>
              <w:spacing w:line="360" w:lineRule="auto"/>
              <w:jc w:val="left"/>
              <w:rPr>
                <w:kern w:val="0"/>
              </w:rPr>
            </w:pPr>
            <w:r>
              <w:rPr>
                <w:rFonts w:hint="eastAsia"/>
              </w:rPr>
              <w:t>10.施工总进度表及施工总平面图</w:t>
            </w:r>
          </w:p>
        </w:tc>
        <w:tc>
          <w:tcPr>
            <w:tcW w:w="5294" w:type="dxa"/>
            <w:noWrap/>
            <w:vAlign w:val="top"/>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rPr>
              <w:t>施工总进度表及施工总平面图</w:t>
            </w:r>
            <w:r>
              <w:rPr>
                <w:rFonts w:hint="eastAsia" w:ascii="宋体" w:hAnsi="宋体" w:cs="宋体"/>
                <w:szCs w:val="21"/>
                <w:lang w:eastAsia="zh-CN"/>
              </w:rPr>
              <w:t>实施性强的得</w:t>
            </w:r>
            <w:r>
              <w:rPr>
                <w:rFonts w:hint="eastAsia" w:ascii="宋体" w:hAnsi="宋体" w:cs="宋体"/>
                <w:szCs w:val="21"/>
                <w:lang w:val="en-US" w:eastAsia="zh-CN"/>
              </w:rPr>
              <w:t>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rPr>
              <w:t>施工总进度表及施工总平面图</w:t>
            </w:r>
            <w:r>
              <w:rPr>
                <w:rFonts w:hint="eastAsia" w:ascii="宋体" w:hAnsi="宋体" w:cs="宋体"/>
                <w:szCs w:val="21"/>
                <w:lang w:eastAsia="zh-CN"/>
              </w:rPr>
              <w:t>科学、合理的得</w:t>
            </w:r>
            <w:r>
              <w:rPr>
                <w:rFonts w:hint="eastAsia" w:ascii="宋体" w:hAnsi="宋体" w:cs="宋体"/>
                <w:szCs w:val="21"/>
                <w:lang w:val="en-US" w:eastAsia="zh-CN"/>
              </w:rPr>
              <w:t>3分。</w:t>
            </w:r>
          </w:p>
          <w:p>
            <w:pPr>
              <w:widowControl/>
              <w:spacing w:line="360" w:lineRule="auto"/>
              <w:jc w:val="left"/>
              <w:rPr>
                <w:kern w:val="0"/>
              </w:rPr>
            </w:pPr>
            <w:r>
              <w:rPr>
                <w:rFonts w:hint="eastAsia" w:ascii="宋体" w:hAnsi="宋体" w:cs="宋体"/>
                <w:szCs w:val="21"/>
                <w:lang w:eastAsia="zh-CN"/>
              </w:rPr>
              <w:t>第三档：</w:t>
            </w:r>
            <w:r>
              <w:rPr>
                <w:rFonts w:hint="eastAsia"/>
              </w:rPr>
              <w:t>施工总进度表及施工总平面图</w:t>
            </w:r>
            <w:r>
              <w:rPr>
                <w:rFonts w:hint="eastAsia" w:ascii="宋体" w:hAnsi="宋体" w:cs="宋体"/>
                <w:szCs w:val="21"/>
                <w:lang w:eastAsia="zh-CN"/>
              </w:rPr>
              <w:t>提供不健全的得</w:t>
            </w:r>
            <w:r>
              <w:rPr>
                <w:rFonts w:hint="eastAsia" w:ascii="宋体" w:hAnsi="宋体" w:cs="宋体"/>
                <w:szCs w:val="21"/>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7506" w:type="dxa"/>
            <w:gridSpan w:val="2"/>
            <w:noWrap/>
            <w:vAlign w:val="center"/>
          </w:tcPr>
          <w:p>
            <w:pPr>
              <w:wordWrap/>
              <w:topLinePunct w:val="0"/>
              <w:adjustRightInd w:val="0"/>
              <w:snapToGrid w:val="0"/>
              <w:spacing w:line="360" w:lineRule="auto"/>
              <w:jc w:val="left"/>
              <w:rPr>
                <w:kern w:val="0"/>
              </w:rPr>
            </w:pPr>
            <w:r>
              <w:rPr>
                <w:rFonts w:hint="eastAsia"/>
                <w:b/>
                <w:spacing w:val="1"/>
              </w:rPr>
              <w:t>以上1-10项若有缺项的，该项为0分；不缺项的，不低于最低分。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015" w:type="dxa"/>
            <w:vMerge w:val="restart"/>
            <w:noWrap/>
            <w:vAlign w:val="center"/>
          </w:tcPr>
          <w:p>
            <w:pPr>
              <w:widowControl/>
              <w:spacing w:line="360" w:lineRule="auto"/>
              <w:jc w:val="center"/>
              <w:rPr>
                <w:kern w:val="0"/>
              </w:rPr>
            </w:pPr>
            <w:r>
              <w:rPr>
                <w:rFonts w:hint="eastAsia"/>
                <w:kern w:val="0"/>
              </w:rPr>
              <w:t>2.2.2（3）</w:t>
            </w:r>
          </w:p>
        </w:tc>
        <w:tc>
          <w:tcPr>
            <w:tcW w:w="879" w:type="dxa"/>
            <w:vMerge w:val="restart"/>
            <w:noWrap/>
            <w:vAlign w:val="center"/>
          </w:tcPr>
          <w:p>
            <w:pPr>
              <w:wordWrap/>
              <w:topLinePunct w:val="0"/>
              <w:spacing w:line="360" w:lineRule="auto"/>
              <w:jc w:val="center"/>
              <w:rPr>
                <w:b/>
              </w:rPr>
            </w:pPr>
            <w:r>
              <w:rPr>
                <w:rFonts w:hint="eastAsia"/>
                <w:b/>
                <w:bCs/>
              </w:rPr>
              <w:t>综合实力（20分</w:t>
            </w:r>
            <w:r>
              <w:rPr>
                <w:rFonts w:hint="eastAsia"/>
                <w:b/>
              </w:rPr>
              <w:t>）</w:t>
            </w:r>
          </w:p>
          <w:p>
            <w:pPr>
              <w:widowControl/>
              <w:spacing w:line="360" w:lineRule="auto"/>
              <w:jc w:val="center"/>
              <w:rPr>
                <w:b/>
              </w:rPr>
            </w:pPr>
          </w:p>
        </w:tc>
        <w:tc>
          <w:tcPr>
            <w:tcW w:w="2212" w:type="dxa"/>
            <w:noWrap/>
            <w:vAlign w:val="center"/>
          </w:tcPr>
          <w:p>
            <w:pPr>
              <w:spacing w:line="276" w:lineRule="auto"/>
              <w:jc w:val="center"/>
            </w:pPr>
            <w:r>
              <w:rPr>
                <w:rFonts w:hint="eastAsia"/>
              </w:rPr>
              <w:t>投标人施工技术力量及项目管理机构（2分）</w:t>
            </w:r>
          </w:p>
        </w:tc>
        <w:tc>
          <w:tcPr>
            <w:tcW w:w="5294" w:type="dxa"/>
            <w:noWrap/>
            <w:vAlign w:val="center"/>
          </w:tcPr>
          <w:p>
            <w:pPr>
              <w:spacing w:line="276" w:lineRule="auto"/>
              <w:jc w:val="left"/>
            </w:pPr>
            <w:r>
              <w:rPr>
                <w:rFonts w:hint="eastAsia"/>
              </w:rPr>
              <w:t>对项目配备人员进行综合评审，具备施工员、质量员、资料员、材料员的得2 分，本项共2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restart"/>
            <w:noWrap/>
            <w:vAlign w:val="center"/>
          </w:tcPr>
          <w:p>
            <w:pPr>
              <w:spacing w:line="276" w:lineRule="auto"/>
              <w:jc w:val="center"/>
            </w:pPr>
            <w:r>
              <w:rPr>
                <w:rFonts w:hint="eastAsia"/>
              </w:rPr>
              <w:t>服务承诺（</w:t>
            </w:r>
            <w:r>
              <w:rPr>
                <w:rFonts w:hint="eastAsia"/>
                <w:lang w:val="en-US" w:eastAsia="zh-CN"/>
              </w:rPr>
              <w:t>12</w:t>
            </w:r>
            <w:r>
              <w:rPr>
                <w:rFonts w:hint="eastAsia"/>
              </w:rPr>
              <w:t>分）</w:t>
            </w:r>
          </w:p>
        </w:tc>
        <w:tc>
          <w:tcPr>
            <w:tcW w:w="5294" w:type="dxa"/>
            <w:noWrap/>
            <w:vAlign w:val="center"/>
          </w:tcPr>
          <w:p>
            <w:pPr>
              <w:spacing w:line="276" w:lineRule="auto"/>
              <w:jc w:val="left"/>
              <w:rPr>
                <w:shd w:val="clear" w:color="auto" w:fill="FFFFFF"/>
              </w:rPr>
            </w:pPr>
            <w:r>
              <w:rPr>
                <w:rFonts w:hint="eastAsia"/>
              </w:rPr>
              <w:t>工程质量保修期内、外的优惠及服务承诺（</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不拖欠农民工工资的有关承诺及措施（</w:t>
            </w:r>
            <w:r>
              <w:rPr>
                <w:rFonts w:hint="eastAsia"/>
                <w:lang w:val="en-US" w:eastAsia="zh-CN"/>
              </w:rPr>
              <w:t>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vMerge w:val="continue"/>
            <w:noWrap/>
            <w:vAlign w:val="center"/>
          </w:tcPr>
          <w:p>
            <w:pPr>
              <w:spacing w:line="276" w:lineRule="auto"/>
              <w:jc w:val="center"/>
            </w:pPr>
          </w:p>
        </w:tc>
        <w:tc>
          <w:tcPr>
            <w:tcW w:w="5294" w:type="dxa"/>
            <w:noWrap/>
            <w:vAlign w:val="center"/>
          </w:tcPr>
          <w:p>
            <w:pPr>
              <w:spacing w:line="276" w:lineRule="auto"/>
              <w:jc w:val="left"/>
            </w:pPr>
            <w:r>
              <w:rPr>
                <w:rFonts w:hint="eastAsia"/>
              </w:rPr>
              <w:t>其他优惠服务承诺（</w:t>
            </w:r>
            <w:r>
              <w:rPr>
                <w:rFonts w:hint="eastAsia"/>
                <w:lang w:val="en-US" w:eastAsia="zh-CN"/>
              </w:rPr>
              <w:t>3</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360" w:lineRule="auto"/>
              <w:jc w:val="left"/>
              <w:rPr>
                <w:bCs/>
                <w:kern w:val="0"/>
              </w:rPr>
            </w:pPr>
            <w:r>
              <w:rPr>
                <w:rFonts w:hint="eastAsia"/>
                <w:bCs/>
                <w:kern w:val="0"/>
              </w:rPr>
              <w:t>节能清单产品</w:t>
            </w:r>
            <w:r>
              <w:rPr>
                <w:rFonts w:hint="eastAsia"/>
              </w:rPr>
              <w:t>（0.5分）</w:t>
            </w:r>
          </w:p>
          <w:p>
            <w:pPr>
              <w:widowControl/>
              <w:spacing w:line="360" w:lineRule="auto"/>
              <w:jc w:val="center"/>
              <w:rPr>
                <w:bCs/>
                <w:kern w:val="0"/>
              </w:rPr>
            </w:pPr>
          </w:p>
        </w:tc>
        <w:tc>
          <w:tcPr>
            <w:tcW w:w="5294" w:type="dxa"/>
            <w:noWrap/>
            <w:vAlign w:val="center"/>
          </w:tcPr>
          <w:p>
            <w:pPr>
              <w:widowControl/>
              <w:wordWrap/>
              <w:topLinePunct w:val="0"/>
              <w:spacing w:line="276" w:lineRule="auto"/>
              <w:ind w:firstLine="420" w:firstLineChars="200"/>
              <w:jc w:val="left"/>
              <w:rPr>
                <w:kern w:val="0"/>
              </w:rPr>
            </w:pPr>
            <w:r>
              <w:rPr>
                <w:rFonts w:hint="eastAsia"/>
                <w:kern w:val="0"/>
              </w:rPr>
              <w:t>所投建筑材料如为“节能产品政府采购清单”内的非强制节能产品的，每有一项加0.5分，最多加0.5分。</w:t>
            </w:r>
          </w:p>
          <w:p>
            <w:pPr>
              <w:widowControl/>
              <w:wordWrap/>
              <w:topLinePunct w:val="0"/>
              <w:spacing w:line="276" w:lineRule="auto"/>
              <w:ind w:firstLine="420" w:firstLineChars="200"/>
              <w:jc w:val="left"/>
              <w:rPr>
                <w:kern w:val="0"/>
              </w:rPr>
            </w:pPr>
            <w:r>
              <w:rPr>
                <w:rFonts w:hint="eastAsia"/>
                <w:kern w:val="0"/>
              </w:rPr>
              <w:t>响应人须在响应文件中附该产品在国家有关部门公布的最新一期节能清单中所在页的复印件</w:t>
            </w:r>
            <w:r>
              <w:rPr>
                <w:rFonts w:hint="eastAsia"/>
                <w:b/>
                <w:bCs/>
                <w:kern w:val="0"/>
              </w:rPr>
              <w:t>（若政府采购活动开始后，尚未进入评审环节前，相关部门重新发布新一期《节能产品政府采购清单》的，可同时执行上期和最新一期节能清单）</w:t>
            </w:r>
            <w:r>
              <w:rPr>
                <w:rFonts w:hint="eastAsia"/>
                <w:kern w:val="0"/>
              </w:rPr>
              <w:t>，及</w:t>
            </w:r>
            <w:r>
              <w:rPr>
                <w:rFonts w:hint="eastAsia"/>
              </w:rPr>
              <w:t>在有效期内的《国家节能产品认证证书》</w:t>
            </w:r>
            <w:r>
              <w:rPr>
                <w:rFonts w:hint="eastAsia"/>
                <w:kern w:val="0"/>
              </w:rPr>
              <w:t>复印件，否则磋商小组有权不予认可。清单可在中华人民共和国财政部网站（http://www.mof.gov.cn）、中国政府采购网（http://www.ccgp.gov.cn/）查阅。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spacing w:line="276" w:lineRule="auto"/>
              <w:jc w:val="left"/>
              <w:rPr>
                <w:bCs/>
                <w:kern w:val="0"/>
              </w:rPr>
            </w:pPr>
            <w:r>
              <w:rPr>
                <w:rFonts w:hint="eastAsia"/>
                <w:bCs/>
                <w:kern w:val="0"/>
              </w:rPr>
              <w:t>环保清单产品</w:t>
            </w:r>
            <w:r>
              <w:rPr>
                <w:rFonts w:hint="eastAsia"/>
              </w:rPr>
              <w:t>（0.5分）</w:t>
            </w:r>
          </w:p>
          <w:p>
            <w:pPr>
              <w:widowControl/>
              <w:spacing w:line="276" w:lineRule="auto"/>
              <w:jc w:val="center"/>
              <w:rPr>
                <w:bCs/>
                <w:kern w:val="0"/>
              </w:rPr>
            </w:pPr>
          </w:p>
        </w:tc>
        <w:tc>
          <w:tcPr>
            <w:tcW w:w="5294" w:type="dxa"/>
            <w:noWrap/>
            <w:vAlign w:val="center"/>
          </w:tcPr>
          <w:p>
            <w:pPr>
              <w:widowControl/>
              <w:wordWrap/>
              <w:topLinePunct w:val="0"/>
              <w:spacing w:line="276" w:lineRule="auto"/>
              <w:ind w:firstLine="420" w:firstLineChars="200"/>
              <w:jc w:val="left"/>
            </w:pPr>
            <w:r>
              <w:rPr>
                <w:rFonts w:hint="eastAsia"/>
              </w:rPr>
              <w:t>所投建筑材料如为“环境标志产品政府采购清单”内的产品的，每有一项加0.5分，最多加0.5分。</w:t>
            </w:r>
          </w:p>
          <w:p>
            <w:pPr>
              <w:widowControl/>
              <w:wordWrap/>
              <w:topLinePunct w:val="0"/>
              <w:spacing w:line="276" w:lineRule="auto"/>
              <w:ind w:firstLine="420" w:firstLineChars="200"/>
              <w:jc w:val="left"/>
            </w:pPr>
            <w:r>
              <w:rPr>
                <w:rFonts w:hint="eastAsia"/>
              </w:rPr>
              <w:t>响应人须在响应文件中附该产品在国家有关部门公布的最新一期环保清单中所在页的复印件（若政府采购活动开始后，尚未进入评审环节前，相关部门重新发布新一期《环境标志产品政府采购清单》的，可同时执行上期和最新一期环保清单），及在有效期内的《中国环境标志产品认证证书》复印件，否则评委委员会有权不予认可。清单可在中华人民共和国财政部网站（http://www.mof.gov.cn）、中国政府采购网（http://www.ccgp.gov.cn/）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5" w:type="dxa"/>
            <w:vMerge w:val="continue"/>
            <w:noWrap/>
            <w:vAlign w:val="center"/>
          </w:tcPr>
          <w:p>
            <w:pPr>
              <w:widowControl/>
              <w:spacing w:line="360" w:lineRule="auto"/>
              <w:jc w:val="center"/>
              <w:rPr>
                <w:kern w:val="0"/>
              </w:rPr>
            </w:pPr>
          </w:p>
        </w:tc>
        <w:tc>
          <w:tcPr>
            <w:tcW w:w="879" w:type="dxa"/>
            <w:vMerge w:val="continue"/>
            <w:noWrap/>
            <w:vAlign w:val="center"/>
          </w:tcPr>
          <w:p>
            <w:pPr>
              <w:widowControl/>
              <w:spacing w:line="360" w:lineRule="auto"/>
              <w:jc w:val="center"/>
              <w:rPr>
                <w:kern w:val="0"/>
              </w:rPr>
            </w:pPr>
          </w:p>
        </w:tc>
        <w:tc>
          <w:tcPr>
            <w:tcW w:w="2212" w:type="dxa"/>
            <w:noWrap/>
            <w:vAlign w:val="center"/>
          </w:tcPr>
          <w:p>
            <w:pPr>
              <w:widowControl/>
              <w:wordWrap/>
              <w:topLinePunct w:val="0"/>
              <w:spacing w:line="276" w:lineRule="auto"/>
              <w:jc w:val="left"/>
              <w:rPr>
                <w:rFonts w:hint="eastAsia"/>
              </w:rPr>
            </w:pPr>
            <w:r>
              <w:rPr>
                <w:rFonts w:hint="eastAsia"/>
              </w:rPr>
              <w:t>响应文件编制（5分）</w:t>
            </w:r>
          </w:p>
        </w:tc>
        <w:tc>
          <w:tcPr>
            <w:tcW w:w="5294" w:type="dxa"/>
            <w:noWrap/>
            <w:vAlign w:val="center"/>
          </w:tcPr>
          <w:p>
            <w:pPr>
              <w:widowControl/>
              <w:wordWrap/>
              <w:topLinePunct w:val="0"/>
              <w:spacing w:line="276" w:lineRule="auto"/>
              <w:ind w:firstLine="420" w:firstLineChars="200"/>
              <w:jc w:val="left"/>
              <w:rPr>
                <w:rFonts w:hint="eastAsia"/>
              </w:rPr>
            </w:pPr>
            <w:r>
              <w:rPr>
                <w:rFonts w:hint="eastAsia"/>
              </w:rPr>
              <w:t xml:space="preserve">根据响应文件编制的完整性、条理性和逻辑性在 </w:t>
            </w:r>
            <w:r>
              <w:rPr>
                <w:rFonts w:hint="eastAsia"/>
                <w:lang w:val="en-US" w:eastAsia="zh-CN"/>
              </w:rPr>
              <w:t>0</w:t>
            </w:r>
            <w:r>
              <w:rPr>
                <w:rFonts w:hint="eastAsia"/>
              </w:rPr>
              <w:t>-5 分范围内酌情进行打分。</w:t>
            </w:r>
          </w:p>
        </w:tc>
      </w:tr>
    </w:tbl>
    <w:p>
      <w:pPr>
        <w:pStyle w:val="22"/>
        <w:spacing w:line="360" w:lineRule="auto"/>
        <w:ind w:left="0" w:leftChars="0" w:firstLine="0" w:firstLineChars="0"/>
        <w:rPr>
          <w:rFonts w:ascii="宋体" w:hAnsi="宋体" w:cs="宋体"/>
          <w:b/>
        </w:rPr>
      </w:pPr>
    </w:p>
    <w:p>
      <w:pPr>
        <w:pStyle w:val="8"/>
        <w:numPr>
          <w:ilvl w:val="0"/>
          <w:numId w:val="12"/>
        </w:numPr>
        <w:tabs>
          <w:tab w:val="left" w:pos="360"/>
        </w:tabs>
        <w:spacing w:line="360" w:lineRule="auto"/>
        <w:jc w:val="both"/>
        <w:outlineLvl w:val="1"/>
        <w:rPr>
          <w:rFonts w:hAnsi="宋体" w:cs="黑体"/>
          <w:b/>
          <w:color w:val="auto"/>
        </w:rPr>
      </w:pPr>
      <w:r>
        <w:rPr>
          <w:rFonts w:hint="eastAsia" w:hAnsi="宋体" w:cs="黑体"/>
          <w:b/>
          <w:color w:val="auto"/>
        </w:rPr>
        <w:t>评审办法</w:t>
      </w:r>
    </w:p>
    <w:p>
      <w:pPr>
        <w:wordWrap/>
        <w:topLinePunct w:val="0"/>
        <w:autoSpaceDE w:val="0"/>
        <w:autoSpaceDN w:val="0"/>
        <w:adjustRightInd w:val="0"/>
        <w:spacing w:line="360" w:lineRule="auto"/>
        <w:ind w:right="-23" w:firstLine="420" w:firstLineChars="200"/>
        <w:jc w:val="left"/>
        <w:rPr>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件，且按照评审因素的量化指标评审得分最高的响应人为成交候选人的评审方法。</w:t>
      </w:r>
    </w:p>
    <w:p>
      <w:pPr>
        <w:pStyle w:val="8"/>
        <w:numPr>
          <w:ilvl w:val="0"/>
          <w:numId w:val="12"/>
        </w:numPr>
        <w:tabs>
          <w:tab w:val="left" w:pos="360"/>
        </w:tabs>
        <w:spacing w:line="360" w:lineRule="auto"/>
        <w:outlineLvl w:val="1"/>
        <w:rPr>
          <w:rFonts w:hAnsi="宋体" w:cs="黑体"/>
          <w:b/>
          <w:color w:val="auto"/>
        </w:rPr>
      </w:pPr>
      <w:bookmarkStart w:id="518" w:name="_Toc13454"/>
      <w:bookmarkStart w:id="519" w:name="_Toc17219"/>
      <w:bookmarkStart w:id="520" w:name="_Toc6135"/>
      <w:bookmarkStart w:id="521" w:name="_Toc30895"/>
      <w:bookmarkStart w:id="522" w:name="_Toc9376"/>
      <w:bookmarkStart w:id="523" w:name="_Toc5920"/>
      <w:bookmarkStart w:id="524" w:name="_Toc26533"/>
      <w:bookmarkStart w:id="525" w:name="_Toc4003"/>
      <w:bookmarkStart w:id="526" w:name="_Toc3406"/>
      <w:bookmarkStart w:id="527" w:name="_Toc30234"/>
      <w:r>
        <w:rPr>
          <w:rFonts w:hint="eastAsia" w:hAnsi="宋体" w:cs="黑体"/>
          <w:b/>
          <w:color w:val="auto"/>
        </w:rPr>
        <w:t>评审标准</w:t>
      </w:r>
      <w:bookmarkEnd w:id="518"/>
      <w:bookmarkEnd w:id="519"/>
      <w:bookmarkEnd w:id="520"/>
      <w:bookmarkEnd w:id="521"/>
      <w:bookmarkEnd w:id="522"/>
      <w:bookmarkEnd w:id="523"/>
      <w:bookmarkEnd w:id="524"/>
      <w:bookmarkEnd w:id="525"/>
      <w:bookmarkEnd w:id="526"/>
      <w:bookmarkEnd w:id="527"/>
    </w:p>
    <w:p>
      <w:pPr>
        <w:pStyle w:val="2"/>
        <w:numPr>
          <w:ilvl w:val="1"/>
          <w:numId w:val="13"/>
        </w:numPr>
        <w:rPr>
          <w:sz w:val="21"/>
        </w:rPr>
      </w:pPr>
      <w:bookmarkStart w:id="528" w:name="_Toc11754"/>
      <w:bookmarkStart w:id="529" w:name="_Toc25181"/>
      <w:bookmarkStart w:id="530" w:name="_Toc28336"/>
      <w:bookmarkStart w:id="531" w:name="_Toc6724"/>
      <w:bookmarkStart w:id="532" w:name="_Toc31651"/>
      <w:bookmarkStart w:id="533" w:name="_Toc17735"/>
      <w:bookmarkStart w:id="534" w:name="_Toc29139"/>
      <w:bookmarkStart w:id="535" w:name="_Toc10856"/>
      <w:bookmarkStart w:id="536" w:name="_Toc5467"/>
      <w:bookmarkStart w:id="537" w:name="_Toc27094"/>
      <w:bookmarkStart w:id="538" w:name="_Toc7259"/>
      <w:r>
        <w:rPr>
          <w:rFonts w:hint="eastAsia"/>
          <w:sz w:val="21"/>
        </w:rPr>
        <w:t>初步评审标准</w:t>
      </w:r>
      <w:bookmarkEnd w:id="528"/>
      <w:bookmarkEnd w:id="529"/>
    </w:p>
    <w:p>
      <w:pPr>
        <w:numPr>
          <w:ilvl w:val="2"/>
          <w:numId w:val="14"/>
        </w:numPr>
        <w:spacing w:line="360" w:lineRule="auto"/>
        <w:jc w:val="left"/>
      </w:pPr>
      <w:r>
        <w:rPr>
          <w:rFonts w:hint="eastAsia"/>
        </w:rPr>
        <w:t>形式评审标准：见评审办法前附表。</w:t>
      </w:r>
    </w:p>
    <w:p>
      <w:pPr>
        <w:numPr>
          <w:ilvl w:val="2"/>
          <w:numId w:val="14"/>
        </w:numPr>
        <w:spacing w:line="360" w:lineRule="auto"/>
        <w:jc w:val="left"/>
      </w:pPr>
      <w:r>
        <w:rPr>
          <w:rFonts w:hint="eastAsia"/>
        </w:rPr>
        <w:t>资格评审标准：见评审办法前附表。</w:t>
      </w:r>
    </w:p>
    <w:p>
      <w:pPr>
        <w:numPr>
          <w:ilvl w:val="2"/>
          <w:numId w:val="14"/>
        </w:numPr>
        <w:spacing w:line="360" w:lineRule="auto"/>
        <w:jc w:val="left"/>
      </w:pPr>
      <w:r>
        <w:rPr>
          <w:rFonts w:hint="eastAsia"/>
        </w:rPr>
        <w:t>响应性评审标准：见评审办法前附表。</w:t>
      </w:r>
    </w:p>
    <w:p>
      <w:pPr>
        <w:pStyle w:val="2"/>
        <w:numPr>
          <w:ilvl w:val="1"/>
          <w:numId w:val="13"/>
        </w:numPr>
        <w:rPr>
          <w:sz w:val="21"/>
        </w:rPr>
      </w:pPr>
      <w:bookmarkStart w:id="539" w:name="_Toc3639"/>
      <w:bookmarkStart w:id="540" w:name="_Toc8909"/>
      <w:r>
        <w:rPr>
          <w:rFonts w:hint="eastAsia"/>
          <w:sz w:val="21"/>
        </w:rPr>
        <w:t>分值构成与评分标准</w:t>
      </w:r>
      <w:bookmarkEnd w:id="530"/>
      <w:bookmarkEnd w:id="531"/>
      <w:bookmarkEnd w:id="532"/>
      <w:bookmarkEnd w:id="533"/>
      <w:bookmarkEnd w:id="534"/>
      <w:bookmarkEnd w:id="535"/>
      <w:bookmarkEnd w:id="536"/>
      <w:bookmarkEnd w:id="537"/>
      <w:bookmarkEnd w:id="538"/>
      <w:bookmarkEnd w:id="539"/>
      <w:bookmarkEnd w:id="540"/>
    </w:p>
    <w:p>
      <w:pPr>
        <w:numPr>
          <w:ilvl w:val="2"/>
          <w:numId w:val="15"/>
        </w:numPr>
        <w:autoSpaceDE w:val="0"/>
        <w:autoSpaceDN w:val="0"/>
        <w:adjustRightInd w:val="0"/>
        <w:spacing w:line="360" w:lineRule="auto"/>
        <w:ind w:right="-23"/>
        <w:jc w:val="left"/>
        <w:rPr>
          <w:kern w:val="0"/>
        </w:rPr>
      </w:pPr>
      <w:r>
        <w:rPr>
          <w:rFonts w:hint="eastAsia"/>
          <w:kern w:val="0"/>
        </w:rPr>
        <w:t>分值构成</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技术部分：见评审办法前附表；</w:t>
      </w:r>
    </w:p>
    <w:p>
      <w:pPr>
        <w:numPr>
          <w:ilvl w:val="0"/>
          <w:numId w:val="16"/>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综合实力部分：见评审办法前附表；</w:t>
      </w:r>
    </w:p>
    <w:p>
      <w:pPr>
        <w:numPr>
          <w:ilvl w:val="2"/>
          <w:numId w:val="15"/>
        </w:numPr>
        <w:autoSpaceDE w:val="0"/>
        <w:autoSpaceDN w:val="0"/>
        <w:adjustRightInd w:val="0"/>
        <w:spacing w:line="360" w:lineRule="auto"/>
        <w:ind w:right="-23"/>
        <w:jc w:val="left"/>
        <w:rPr>
          <w:kern w:val="0"/>
        </w:rPr>
      </w:pPr>
      <w:r>
        <w:rPr>
          <w:rFonts w:hint="eastAsia"/>
          <w:kern w:val="0"/>
        </w:rPr>
        <w:t>评分标准</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报价得分标准：见评审办法前附表；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技术部分标准：见评审办法前附表；</w:t>
      </w:r>
    </w:p>
    <w:p>
      <w:pPr>
        <w:numPr>
          <w:ilvl w:val="0"/>
          <w:numId w:val="17"/>
        </w:numPr>
        <w:wordWrap/>
        <w:topLinePunct w:val="0"/>
        <w:autoSpaceDE w:val="0"/>
        <w:autoSpaceDN w:val="0"/>
        <w:adjustRightInd w:val="0"/>
        <w:spacing w:line="360" w:lineRule="auto"/>
        <w:ind w:left="0" w:right="40" w:firstLine="420" w:firstLineChars="200"/>
        <w:jc w:val="left"/>
        <w:rPr>
          <w:kern w:val="0"/>
        </w:rPr>
      </w:pPr>
      <w:r>
        <w:rPr>
          <w:rFonts w:hint="eastAsia"/>
          <w:kern w:val="0"/>
        </w:rPr>
        <w:t>综合实力标准：见评审办法前附表；</w:t>
      </w:r>
    </w:p>
    <w:p>
      <w:pPr>
        <w:pStyle w:val="8"/>
        <w:numPr>
          <w:ilvl w:val="0"/>
          <w:numId w:val="12"/>
        </w:numPr>
        <w:tabs>
          <w:tab w:val="left" w:pos="360"/>
        </w:tabs>
        <w:spacing w:line="360" w:lineRule="auto"/>
        <w:jc w:val="both"/>
        <w:outlineLvl w:val="1"/>
        <w:rPr>
          <w:rFonts w:hAnsi="宋体" w:cs="黑体"/>
          <w:b/>
          <w:color w:val="auto"/>
        </w:rPr>
      </w:pPr>
      <w:bookmarkStart w:id="541" w:name="_Toc16356"/>
      <w:bookmarkStart w:id="542" w:name="_Toc5149"/>
      <w:bookmarkStart w:id="543" w:name="_Toc21732"/>
      <w:bookmarkStart w:id="544" w:name="_Toc1740"/>
      <w:bookmarkStart w:id="545" w:name="_Toc22175"/>
      <w:bookmarkStart w:id="546" w:name="_Toc4338"/>
      <w:bookmarkStart w:id="547" w:name="_Toc29125"/>
      <w:bookmarkStart w:id="548" w:name="_Toc5605"/>
      <w:bookmarkStart w:id="549" w:name="_Toc26726"/>
      <w:bookmarkStart w:id="550" w:name="_Toc28724"/>
      <w:r>
        <w:rPr>
          <w:rFonts w:hint="eastAsia" w:hAnsi="宋体" w:cs="黑体"/>
          <w:b/>
          <w:color w:val="auto"/>
        </w:rPr>
        <w:t>评审程序</w:t>
      </w:r>
      <w:bookmarkEnd w:id="541"/>
      <w:bookmarkEnd w:id="542"/>
      <w:bookmarkEnd w:id="543"/>
      <w:bookmarkEnd w:id="544"/>
      <w:bookmarkEnd w:id="545"/>
      <w:bookmarkEnd w:id="546"/>
      <w:bookmarkEnd w:id="547"/>
      <w:bookmarkEnd w:id="548"/>
      <w:bookmarkEnd w:id="549"/>
      <w:bookmarkEnd w:id="550"/>
    </w:p>
    <w:p>
      <w:pPr>
        <w:pStyle w:val="2"/>
        <w:numPr>
          <w:ilvl w:val="1"/>
          <w:numId w:val="18"/>
        </w:numPr>
        <w:rPr>
          <w:sz w:val="21"/>
        </w:rPr>
      </w:pPr>
      <w:bookmarkStart w:id="551" w:name="_Toc32083"/>
      <w:bookmarkStart w:id="552" w:name="_Toc9613"/>
      <w:bookmarkStart w:id="553" w:name="_Toc18983"/>
      <w:bookmarkStart w:id="554" w:name="_Toc7036"/>
      <w:bookmarkStart w:id="555" w:name="_Toc3824"/>
      <w:bookmarkStart w:id="556" w:name="_Toc9443"/>
      <w:bookmarkStart w:id="557" w:name="_Toc26056"/>
      <w:bookmarkStart w:id="558" w:name="_Toc10682"/>
      <w:bookmarkStart w:id="559" w:name="_Toc17957"/>
      <w:bookmarkStart w:id="560" w:name="_Toc1654"/>
      <w:bookmarkStart w:id="561" w:name="_Toc5708"/>
      <w:r>
        <w:rPr>
          <w:rFonts w:hint="eastAsia"/>
          <w:sz w:val="21"/>
        </w:rPr>
        <w:t>初步评审</w:t>
      </w:r>
      <w:bookmarkEnd w:id="551"/>
      <w:bookmarkEnd w:id="552"/>
      <w:bookmarkEnd w:id="553"/>
      <w:bookmarkEnd w:id="554"/>
      <w:bookmarkEnd w:id="555"/>
      <w:bookmarkEnd w:id="556"/>
      <w:bookmarkEnd w:id="557"/>
      <w:bookmarkEnd w:id="558"/>
      <w:bookmarkEnd w:id="559"/>
      <w:bookmarkEnd w:id="560"/>
      <w:bookmarkEnd w:id="561"/>
    </w:p>
    <w:p>
      <w:pPr>
        <w:numPr>
          <w:ilvl w:val="2"/>
          <w:numId w:val="19"/>
        </w:numPr>
        <w:autoSpaceDE w:val="0"/>
        <w:autoSpaceDN w:val="0"/>
        <w:adjustRightInd w:val="0"/>
        <w:spacing w:line="360" w:lineRule="auto"/>
        <w:ind w:right="-23"/>
        <w:jc w:val="left"/>
        <w:rPr>
          <w:kern w:val="0"/>
        </w:rPr>
      </w:pPr>
      <w:r>
        <w:rPr>
          <w:rFonts w:hint="eastAsia"/>
          <w:kern w:val="0"/>
        </w:rPr>
        <w:t>磋商小组依据本章评审办法前附表规定的标准，对响应人的响应文件进行初步评审，以确定其是否满足竞争性磋商文件的实质性要求，有一项不符合评审标准的，磋商小组应当认定其响应文件无效。</w:t>
      </w:r>
    </w:p>
    <w:p>
      <w:pPr>
        <w:numPr>
          <w:ilvl w:val="2"/>
          <w:numId w:val="19"/>
        </w:numPr>
        <w:autoSpaceDE w:val="0"/>
        <w:autoSpaceDN w:val="0"/>
        <w:adjustRightInd w:val="0"/>
        <w:spacing w:line="360" w:lineRule="auto"/>
        <w:ind w:right="-23"/>
        <w:jc w:val="left"/>
        <w:rPr>
          <w:kern w:val="0"/>
        </w:rPr>
      </w:pPr>
      <w:r>
        <w:rPr>
          <w:rFonts w:hint="eastAsia"/>
          <w:kern w:val="0"/>
        </w:rPr>
        <w:t>磋商报价有算术错误及其他错误的。</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大写金额和小写金额不一致的，以大写金额为准。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总价金额与按单价汇总金额不一致的，以单价金额计算结果为准。</w:t>
      </w:r>
    </w:p>
    <w:p>
      <w:pPr>
        <w:numPr>
          <w:ilvl w:val="0"/>
          <w:numId w:val="20"/>
        </w:numPr>
        <w:wordWrap/>
        <w:topLinePunct w:val="0"/>
        <w:autoSpaceDE w:val="0"/>
        <w:autoSpaceDN w:val="0"/>
        <w:adjustRightInd w:val="0"/>
        <w:spacing w:line="360" w:lineRule="auto"/>
        <w:ind w:left="0" w:right="40" w:firstLine="420" w:firstLineChars="200"/>
        <w:jc w:val="left"/>
      </w:pPr>
      <w:r>
        <w:rPr>
          <w:rFonts w:hint="eastAsia"/>
        </w:rPr>
        <w:t>单价金额小数点或者百分比有明显错位的，以总价为准。</w:t>
      </w:r>
    </w:p>
    <w:p>
      <w:pPr>
        <w:pStyle w:val="2"/>
        <w:numPr>
          <w:ilvl w:val="1"/>
          <w:numId w:val="18"/>
        </w:numPr>
        <w:rPr>
          <w:sz w:val="21"/>
        </w:rPr>
      </w:pPr>
      <w:r>
        <w:rPr>
          <w:rFonts w:hint="eastAsia"/>
          <w:sz w:val="21"/>
        </w:rPr>
        <w:t>详细磋商</w:t>
      </w:r>
    </w:p>
    <w:p>
      <w:pPr>
        <w:numPr>
          <w:ilvl w:val="2"/>
          <w:numId w:val="21"/>
        </w:numPr>
        <w:spacing w:line="360" w:lineRule="auto"/>
        <w:jc w:val="left"/>
      </w:pPr>
      <w:r>
        <w:rPr>
          <w:rFonts w:hint="eastAsia"/>
        </w:rPr>
        <w:t>竞争性磋商文件不能详细列明采购标的的技术、服务要求，需经磋商由响应人提供最终解决方案的，磋商结束后，磋商小组应当按照少数服从多数的原则投票推荐3家以上响应人的解决方案，并要求其在规定时间内提交最后报价。</w:t>
      </w:r>
    </w:p>
    <w:p>
      <w:pPr>
        <w:numPr>
          <w:ilvl w:val="2"/>
          <w:numId w:val="21"/>
        </w:numPr>
        <w:spacing w:line="360" w:lineRule="auto"/>
        <w:jc w:val="left"/>
      </w:pPr>
      <w:r>
        <w:rPr>
          <w:rFonts w:hint="eastAsia"/>
        </w:rPr>
        <w:t>竞争性磋商文件能够详细列明采购标的的技术、服务要求的，磋商结束后，磋商小组应当要求所有实质性响应的响应人在规定时间内提交最后报价，提交最后报价的响应人不得少于3家。</w:t>
      </w:r>
    </w:p>
    <w:p>
      <w:pPr>
        <w:numPr>
          <w:ilvl w:val="2"/>
          <w:numId w:val="21"/>
        </w:numPr>
        <w:spacing w:line="360" w:lineRule="auto"/>
        <w:jc w:val="left"/>
      </w:pPr>
      <w:r>
        <w:rPr>
          <w:rFonts w:hint="eastAsia"/>
        </w:rPr>
        <w:t>最后报价（二轮报价）是响应人响应文件的有效组成部分【注：1、最后报价不得超出响应人的第一轮报价；2、最后报价明显低于成本价的，响应人需做出合理说明，否则将承担不被接受的风险】。</w:t>
      </w:r>
    </w:p>
    <w:p>
      <w:pPr>
        <w:numPr>
          <w:ilvl w:val="2"/>
          <w:numId w:val="21"/>
        </w:numPr>
        <w:spacing w:line="360" w:lineRule="auto"/>
        <w:jc w:val="left"/>
      </w:pPr>
      <w:r>
        <w:rPr>
          <w:rFonts w:hint="eastAsia"/>
        </w:rPr>
        <w:t>经磋商确定最终采购需求和提交最后报价的响应人后，由磋商小组采用综合评分法对提交最后报价的响应人的响应文件和最后报价进行综合评分。</w:t>
      </w:r>
    </w:p>
    <w:p>
      <w:pPr>
        <w:pStyle w:val="2"/>
        <w:numPr>
          <w:ilvl w:val="1"/>
          <w:numId w:val="18"/>
        </w:numPr>
        <w:rPr>
          <w:sz w:val="21"/>
        </w:rPr>
      </w:pPr>
      <w:bookmarkStart w:id="562" w:name="_Toc13336"/>
      <w:bookmarkStart w:id="563" w:name="_Toc18430"/>
      <w:bookmarkStart w:id="564" w:name="_Toc30428"/>
      <w:bookmarkStart w:id="565" w:name="_Toc26213"/>
      <w:bookmarkStart w:id="566" w:name="_Toc22449"/>
      <w:bookmarkStart w:id="567" w:name="_Toc12089"/>
      <w:bookmarkStart w:id="568" w:name="_Toc1221"/>
      <w:bookmarkStart w:id="569" w:name="_Toc8285"/>
      <w:bookmarkStart w:id="570" w:name="_Toc24391"/>
      <w:bookmarkStart w:id="571" w:name="_Toc18705"/>
      <w:bookmarkStart w:id="572" w:name="_Toc10132"/>
      <w:r>
        <w:rPr>
          <w:rFonts w:hint="eastAsia"/>
          <w:sz w:val="21"/>
        </w:rPr>
        <w:t>详细评审</w:t>
      </w:r>
      <w:bookmarkEnd w:id="562"/>
      <w:bookmarkEnd w:id="563"/>
      <w:bookmarkEnd w:id="564"/>
      <w:bookmarkEnd w:id="565"/>
      <w:bookmarkEnd w:id="566"/>
      <w:bookmarkEnd w:id="567"/>
      <w:bookmarkEnd w:id="568"/>
      <w:bookmarkEnd w:id="569"/>
      <w:bookmarkEnd w:id="570"/>
      <w:bookmarkEnd w:id="571"/>
      <w:bookmarkEnd w:id="572"/>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磋商小组按本章评审方法规定的量化因素和分值进行打分，并计算出综合得分。</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按本章第2.2.2（1）目规定的评审因素和分值对报价得分计算出得分A；</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按本章第2.2.2（2）目规定的评审因素和分值对技术部分计算出得分B；</w:t>
      </w:r>
    </w:p>
    <w:p>
      <w:pPr>
        <w:numPr>
          <w:ilvl w:val="0"/>
          <w:numId w:val="23"/>
        </w:numPr>
        <w:wordWrap/>
        <w:topLinePunct w:val="0"/>
        <w:autoSpaceDE w:val="0"/>
        <w:autoSpaceDN w:val="0"/>
        <w:adjustRightInd w:val="0"/>
        <w:spacing w:line="360" w:lineRule="auto"/>
        <w:ind w:left="0" w:right="40" w:firstLine="420" w:firstLineChars="200"/>
        <w:jc w:val="left"/>
        <w:rPr>
          <w:kern w:val="0"/>
        </w:rPr>
      </w:pPr>
      <w:r>
        <w:rPr>
          <w:rFonts w:hint="eastAsia"/>
          <w:kern w:val="0"/>
        </w:rPr>
        <w:t>按本章第2.2.2（3）目规定的评审因素和分值对综合实力计算出得分C。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评分分值计算保留小数点后两位，小数点后第三位“四舍五入”。</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响应人得分=A+B+C。</w:t>
      </w:r>
    </w:p>
    <w:p>
      <w:pPr>
        <w:numPr>
          <w:ilvl w:val="2"/>
          <w:numId w:val="22"/>
        </w:numPr>
        <w:wordWrap/>
        <w:topLinePunct w:val="0"/>
        <w:autoSpaceDE w:val="0"/>
        <w:autoSpaceDN w:val="0"/>
        <w:adjustRightInd w:val="0"/>
        <w:spacing w:before="40" w:line="360" w:lineRule="auto"/>
        <w:ind w:right="142"/>
        <w:jc w:val="left"/>
        <w:rPr>
          <w:bCs/>
          <w:kern w:val="0"/>
        </w:rPr>
      </w:pPr>
      <w:r>
        <w:rPr>
          <w:rFonts w:hint="eastAsia"/>
          <w:bCs/>
          <w:kern w:val="0"/>
        </w:rPr>
        <w:t>磋商小组认为响应人的最后报价明显低于成本价的，有可能影响产品质量或者不能诚信履约的，应当要求其在评审现场合理的时间内提供说明，必要时提交相关证明材料；响应人不能证明其报价合理性的，磋商小组应当将其作为无效投标处理。</w:t>
      </w:r>
    </w:p>
    <w:p>
      <w:pPr>
        <w:pStyle w:val="2"/>
        <w:numPr>
          <w:ilvl w:val="1"/>
          <w:numId w:val="18"/>
        </w:numPr>
        <w:rPr>
          <w:sz w:val="21"/>
        </w:rPr>
      </w:pPr>
      <w:r>
        <w:rPr>
          <w:rFonts w:hint="eastAsia"/>
          <w:sz w:val="21"/>
        </w:rPr>
        <w:t>评审结果</w:t>
      </w:r>
    </w:p>
    <w:p>
      <w:pPr>
        <w:wordWrap/>
        <w:topLinePunct w:val="0"/>
        <w:autoSpaceDE w:val="0"/>
        <w:autoSpaceDN w:val="0"/>
        <w:adjustRightInd w:val="0"/>
        <w:spacing w:before="40" w:line="360" w:lineRule="auto"/>
        <w:ind w:left="425" w:right="142"/>
        <w:jc w:val="left"/>
        <w:rPr>
          <w:bCs/>
          <w:kern w:val="0"/>
        </w:rPr>
      </w:pPr>
      <w:r>
        <w:rPr>
          <w:rFonts w:hint="eastAsia"/>
          <w:bCs/>
          <w:kern w:val="0"/>
        </w:rPr>
        <w:t>3.4.1除采购人授权直接确定成交人外，按照评审得分由高到低顺序推荐3名成交候选响应人评审得分相同的，按照最后报价由低到高的顺序推荐。评审得分且最后报价相同的并列。</w:t>
      </w:r>
    </w:p>
    <w:p>
      <w:pPr>
        <w:wordWrap/>
        <w:topLinePunct w:val="0"/>
        <w:autoSpaceDE w:val="0"/>
        <w:autoSpaceDN w:val="0"/>
        <w:adjustRightInd w:val="0"/>
        <w:spacing w:before="40" w:line="360" w:lineRule="auto"/>
        <w:ind w:left="425" w:right="142"/>
        <w:jc w:val="left"/>
        <w:rPr>
          <w:bCs/>
          <w:kern w:val="0"/>
        </w:rPr>
      </w:pPr>
      <w:r>
        <w:rPr>
          <w:rFonts w:hint="eastAsia"/>
          <w:bCs/>
          <w:kern w:val="0"/>
        </w:rPr>
        <w:t>3.4.2磋商小组完成评审后，应当向采购人提交书面评审报告和成交候选人名单并编写评审报告。</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both"/>
        <w:outlineLvl w:val="0"/>
        <w:rPr>
          <w:rFonts w:hint="eastAsia"/>
          <w:b/>
          <w:sz w:val="32"/>
          <w:szCs w:val="32"/>
        </w:rPr>
      </w:pPr>
      <w:bookmarkStart w:id="573" w:name="_Toc72694688"/>
      <w:bookmarkStart w:id="574" w:name="_Toc72695359"/>
      <w:bookmarkStart w:id="575" w:name="_Toc28722"/>
    </w:p>
    <w:p>
      <w:pPr>
        <w:pageBreakBefore/>
        <w:adjustRightInd w:val="0"/>
        <w:snapToGrid w:val="0"/>
        <w:spacing w:line="360" w:lineRule="auto"/>
        <w:jc w:val="center"/>
        <w:outlineLvl w:val="0"/>
        <w:rPr>
          <w:rFonts w:hint="eastAsia" w:ascii="宋体" w:hAnsi="宋体" w:cs="宋体"/>
          <w:b/>
          <w:bCs/>
          <w:color w:val="000000"/>
          <w:spacing w:val="4"/>
          <w:sz w:val="32"/>
          <w:szCs w:val="32"/>
        </w:rPr>
      </w:pPr>
      <w:r>
        <w:rPr>
          <w:rFonts w:hint="eastAsia"/>
          <w:b/>
          <w:sz w:val="32"/>
          <w:szCs w:val="32"/>
        </w:rPr>
        <w:t xml:space="preserve">第四章  </w:t>
      </w:r>
      <w:bookmarkEnd w:id="573"/>
      <w:bookmarkEnd w:id="574"/>
      <w:bookmarkEnd w:id="575"/>
      <w:r>
        <w:rPr>
          <w:rFonts w:hint="eastAsia" w:ascii="宋体" w:hAnsi="宋体" w:cs="宋体"/>
          <w:b/>
          <w:bCs/>
          <w:color w:val="000000"/>
          <w:spacing w:val="4"/>
          <w:sz w:val="32"/>
          <w:szCs w:val="32"/>
        </w:rPr>
        <w:t>采购合同（</w:t>
      </w:r>
      <w:r>
        <w:rPr>
          <w:rFonts w:hint="eastAsia" w:cs="宋体"/>
          <w:b/>
          <w:bCs/>
          <w:color w:val="000000"/>
          <w:spacing w:val="4"/>
          <w:sz w:val="32"/>
          <w:szCs w:val="32"/>
          <w:lang w:val="en-US" w:eastAsia="zh-CN"/>
        </w:rPr>
        <w:t>仅供参考</w:t>
      </w:r>
      <w:r>
        <w:rPr>
          <w:rFonts w:hint="eastAsia" w:ascii="宋体" w:hAnsi="宋体" w:cs="宋体"/>
          <w:b/>
          <w:bCs/>
          <w:color w:val="000000"/>
          <w:spacing w:val="4"/>
          <w:sz w:val="32"/>
          <w:szCs w:val="32"/>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采购合同编号：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采购人（甲方）：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供应商（乙方）：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根据《中华人民共和国合同法》、《中华人民共和国建筑法》及有关法律规定，遵循平等、自愿、公平和诚实信用的原则，双方就</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工程施工及有关事项协商一致，共同达成如下协议：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1. 工程概况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（1）工程项目名称：</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（2）工程地点：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（3）工程立项批准文号：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（4）资金来源：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（5）工程内容：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2.合同工期</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计划开工日期：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计划竣工日期：</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工期总日历天数：</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天。工期总日历天数与根据前述计划开竣工日期计算的工期天数不一致的，以工期总日历天数为准。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质量标准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质量</w:t>
      </w:r>
      <w:r>
        <w:rPr>
          <w:rFonts w:hint="eastAsia" w:ascii="仿宋" w:hAnsi="仿宋" w:eastAsia="仿宋" w:cs="Times New Roman"/>
          <w:sz w:val="24"/>
          <w:szCs w:val="18"/>
          <w:u w:val="none"/>
          <w:lang w:val="en-US" w:eastAsia="zh-CN"/>
        </w:rPr>
        <w:t>:合格</w:t>
      </w:r>
      <w:r>
        <w:rPr>
          <w:rFonts w:hint="default"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4. 合同金额 </w:t>
      </w:r>
    </w:p>
    <w:p>
      <w:pPr>
        <w:ind w:firstLine="480" w:firstLineChars="200"/>
        <w:jc w:val="left"/>
        <w:rPr>
          <w:rFonts w:hint="default" w:ascii="仿宋" w:hAnsi="仿宋" w:eastAsia="仿宋" w:cs="Times New Roman"/>
          <w:sz w:val="24"/>
          <w:szCs w:val="18"/>
          <w:u w:val="single"/>
          <w:lang w:val="en-US" w:eastAsia="zh-CN"/>
        </w:rPr>
      </w:pPr>
      <w:r>
        <w:rPr>
          <w:rFonts w:hint="default" w:ascii="仿宋" w:hAnsi="仿宋" w:eastAsia="仿宋" w:cs="Times New Roman"/>
          <w:sz w:val="24"/>
          <w:szCs w:val="18"/>
          <w:u w:val="none"/>
          <w:lang w:val="en-US" w:eastAsia="zh-CN"/>
        </w:rPr>
        <w:t>（1）合同金额小写：</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元   大写：</w:t>
      </w:r>
      <w:r>
        <w:rPr>
          <w:rFonts w:hint="eastAsia"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none"/>
          <w:lang w:val="en-US" w:eastAsia="zh-CN"/>
        </w:rPr>
        <w:t>;</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（2）具体标的见附件。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（3）合同价格形式：固定总价合同。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（4）付款进度安排：合同签订生效后，施工企业进驻且施工准备阶段，支付合同价款的50%;主体工程完成时，支付合同价款的30%; 项目工程验收合格并且手续齐全后支付合同价款的17%;合同价款的3%做为质量保证金，待质量保修期满经验收合格后无息支付。</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（5）资金支付方式：对公转账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5.合同文件构成</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本协议书与下列文件一起构成合同文件：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（1）中标通知书（如果有）；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（2）投标函及其附录（如果有）；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（3）专用合同条款及其附件；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（4）通用合同条款；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（5）技术标准和要求；</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（6）图纸；</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（7）已标价工程量清单或预算书；</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（8）其他合同文件。</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在合同订立及履行过程中形成的与合同有关的文件均构成合同文件组成部分。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上述各项合同文件包括合同当事人就该项合同文件所作出的补充和修改，属于同一类内容的文件，应以最新签署的为准。专用合同条款及其附件须经合同当事人签字或盖章。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6.承诺</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1.发包人承诺按照法律规定履行项目审批手续、筹集工程建设资金并按照合同约定的期限和方式支付合同价款。</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2.承包人承诺按照法律规定及合同约定组织完成工程施工，确保工程质量和安全，不进行转包及违法分包，并在缺陷责任期及保修期内承担相应的工程维修责任。</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3.发包人和承包人通过招投标形式签订合同的，双方理解并承诺不再就同一工程另行签订与合同实质性内容相背离的协议。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7.词语含义</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本协议书中词语含义与第二部分通用合同条款中赋予的含义相同。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8.签订时间</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本合同于</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年</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月</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日签订。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9.签订地点</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本合同在</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签订。</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10.补充协议</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合同未尽事宜，合同当事人另行签订补充协议，补充协议是合同的组成部分。</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    11.合同生效</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本合同一式</w:t>
      </w:r>
      <w:r>
        <w:rPr>
          <w:rFonts w:hint="default" w:ascii="仿宋" w:hAnsi="仿宋" w:eastAsia="仿宋" w:cs="Times New Roman"/>
          <w:sz w:val="24"/>
          <w:szCs w:val="18"/>
          <w:u w:val="single"/>
          <w:lang w:val="en-US" w:eastAsia="zh-CN"/>
        </w:rPr>
        <w:t xml:space="preserve"> </w:t>
      </w:r>
      <w:r>
        <w:rPr>
          <w:rFonts w:hint="eastAsia"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份，均具有同等法律效力，甲方执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份，乙方执</w:t>
      </w:r>
      <w:r>
        <w:rPr>
          <w:rFonts w:hint="default" w:ascii="仿宋" w:hAnsi="仿宋" w:eastAsia="仿宋" w:cs="Times New Roman"/>
          <w:sz w:val="24"/>
          <w:szCs w:val="18"/>
          <w:u w:val="single"/>
          <w:lang w:val="en-US" w:eastAsia="zh-CN"/>
        </w:rPr>
        <w:t xml:space="preserve">     </w:t>
      </w:r>
      <w:r>
        <w:rPr>
          <w:rFonts w:hint="default" w:ascii="仿宋" w:hAnsi="仿宋" w:eastAsia="仿宋" w:cs="Times New Roman"/>
          <w:sz w:val="24"/>
          <w:szCs w:val="18"/>
          <w:u w:val="none"/>
          <w:lang w:val="en-US" w:eastAsia="zh-CN"/>
        </w:rPr>
        <w:t>份。</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甲 方：（公章）                    乙 方：（公章）</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法定代表人：                       法定代表人：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 xml:space="preserve">委托代理人：                      委托代理人： </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组织机构代码：                    组织机构代码：</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电 话：                            电 话：</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开户银行：                         开户银行：</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账号：                             账号：</w:t>
      </w:r>
    </w:p>
    <w:p>
      <w:pPr>
        <w:ind w:firstLine="480" w:firstLineChars="200"/>
        <w:jc w:val="left"/>
        <w:rPr>
          <w:rFonts w:hint="default" w:ascii="仿宋" w:hAnsi="仿宋" w:eastAsia="仿宋" w:cs="Times New Roman"/>
          <w:sz w:val="24"/>
          <w:szCs w:val="18"/>
          <w:u w:val="none"/>
          <w:lang w:val="en-US" w:eastAsia="zh-CN"/>
        </w:rPr>
      </w:pPr>
      <w:r>
        <w:rPr>
          <w:rFonts w:hint="default" w:ascii="仿宋" w:hAnsi="仿宋" w:eastAsia="仿宋" w:cs="Times New Roman"/>
          <w:sz w:val="24"/>
          <w:szCs w:val="18"/>
          <w:u w:val="none"/>
          <w:lang w:val="en-US" w:eastAsia="zh-CN"/>
        </w:rPr>
        <w:t>地址：                             地址：</w:t>
      </w:r>
    </w:p>
    <w:p>
      <w:pPr>
        <w:widowControl/>
        <w:spacing w:line="440" w:lineRule="atLeast"/>
        <w:ind w:left="718"/>
        <w:rPr>
          <w:rFonts w:hint="eastAsia" w:ascii="宋体" w:hAnsi="宋体" w:cs="宋体"/>
          <w:kern w:val="0"/>
          <w:sz w:val="24"/>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bCs/>
          <w:kern w:val="44"/>
          <w:sz w:val="32"/>
          <w:szCs w:val="32"/>
          <w:highlight w:val="none"/>
        </w:rPr>
      </w:pPr>
    </w:p>
    <w:p>
      <w:pPr>
        <w:jc w:val="center"/>
        <w:rPr>
          <w:rFonts w:hint="eastAsia" w:ascii="宋体" w:hAnsi="宋体"/>
          <w:sz w:val="24"/>
        </w:rPr>
      </w:pPr>
      <w:r>
        <w:rPr>
          <w:rFonts w:hint="eastAsia" w:ascii="宋体" w:hAnsi="宋体"/>
          <w:bCs/>
          <w:kern w:val="44"/>
          <w:sz w:val="32"/>
          <w:szCs w:val="32"/>
          <w:highlight w:val="none"/>
        </w:rPr>
        <w:t>建设部和工商行政管理局制订的建筑施工制式合同</w:t>
      </w:r>
    </w:p>
    <w:p>
      <w:pPr>
        <w:spacing w:line="420" w:lineRule="exact"/>
        <w:ind w:firstLine="240" w:firstLineChars="100"/>
        <w:rPr>
          <w:rFonts w:hint="eastAsia" w:ascii="宋体" w:hAnsi="宋体"/>
          <w:sz w:val="24"/>
        </w:rPr>
      </w:pPr>
    </w:p>
    <w:p>
      <w:pPr>
        <w:rPr>
          <w:rFonts w:hint="eastAsia" w:ascii="宋体" w:hAnsi="宋体"/>
          <w:sz w:val="28"/>
          <w:szCs w:val="28"/>
        </w:rPr>
      </w:pPr>
      <w:r>
        <w:rPr>
          <w:rFonts w:hint="eastAsia" w:ascii="宋体" w:hAnsi="宋体"/>
          <w:sz w:val="28"/>
          <w:szCs w:val="28"/>
        </w:rPr>
        <w:t>1．其他协议条款</w:t>
      </w:r>
    </w:p>
    <w:p>
      <w:pPr>
        <w:rPr>
          <w:rFonts w:hint="eastAsia" w:ascii="宋体" w:hAnsi="宋体"/>
          <w:sz w:val="28"/>
          <w:szCs w:val="28"/>
        </w:rPr>
      </w:pPr>
      <w:r>
        <w:rPr>
          <w:rFonts w:hint="eastAsia" w:ascii="宋体" w:hAnsi="宋体"/>
          <w:sz w:val="28"/>
          <w:szCs w:val="28"/>
        </w:rPr>
        <w:t xml:space="preserve">    1.1承包人负责相关安全措施（包含自身的人身、财产及周边的设施及人身安全），按规定办理相应的各种保险并承担相应费用。</w:t>
      </w:r>
    </w:p>
    <w:p>
      <w:pPr>
        <w:rPr>
          <w:rFonts w:hint="eastAsia" w:ascii="宋体" w:hAnsi="宋体"/>
          <w:sz w:val="28"/>
          <w:szCs w:val="28"/>
        </w:rPr>
      </w:pPr>
      <w:r>
        <w:rPr>
          <w:rFonts w:hint="eastAsia" w:ascii="宋体" w:hAnsi="宋体"/>
          <w:sz w:val="28"/>
          <w:szCs w:val="28"/>
        </w:rPr>
        <w:t xml:space="preserve">    1.2在施工过程中，因建材的供应、人工的使用等原因引起的地方关系纠纷，由承包人协调解决。</w:t>
      </w:r>
    </w:p>
    <w:p>
      <w:pPr>
        <w:rPr>
          <w:rFonts w:hint="eastAsia" w:ascii="宋体" w:hAnsi="宋体"/>
          <w:sz w:val="28"/>
          <w:szCs w:val="28"/>
        </w:rPr>
      </w:pPr>
      <w:r>
        <w:rPr>
          <w:rFonts w:hint="eastAsia" w:ascii="宋体" w:hAnsi="宋体"/>
          <w:sz w:val="28"/>
          <w:szCs w:val="28"/>
        </w:rPr>
        <w:t xml:space="preserve">    1.3与相邻施工单位交叉施工时严格服从发包人组织安排，无偿提供配合，积极配合甲方开展工作。</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1.4工程材料、成品、半成品需经监理或发包人验收合格后方能用于工程。凡不合格材料必须在发现后24小时内清出现场。否则，由发包人清理，发生的清理费用由承包人承担。</w:t>
      </w:r>
    </w:p>
    <w:p>
      <w:pPr>
        <w:rPr>
          <w:rFonts w:hint="eastAsia" w:ascii="宋体" w:hAnsi="宋体"/>
          <w:sz w:val="28"/>
          <w:szCs w:val="28"/>
        </w:rPr>
      </w:pPr>
      <w:r>
        <w:rPr>
          <w:rFonts w:hint="eastAsia" w:ascii="宋体" w:hAnsi="宋体"/>
          <w:sz w:val="28"/>
          <w:szCs w:val="28"/>
        </w:rPr>
        <w:t xml:space="preserve">    1.5建筑垃圾由承包人自行清理，否则，由发包人清理的一切费用归承包人承担</w:t>
      </w:r>
    </w:p>
    <w:p>
      <w:pPr>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1.6承包人在施工过程中，自行排除周边环境干扰。若因不能自行排除干扰造成的工期延误，则不顺延工期，若在规定工期内未完工，将扣除合同价款的20%作为违约金。</w:t>
      </w:r>
    </w:p>
    <w:p>
      <w:pPr>
        <w:rPr>
          <w:rFonts w:hint="eastAsia" w:ascii="宋体" w:hAnsi="宋体"/>
          <w:sz w:val="28"/>
          <w:szCs w:val="28"/>
        </w:rPr>
      </w:pPr>
      <w:r>
        <w:rPr>
          <w:rFonts w:hint="eastAsia" w:ascii="宋体" w:hAnsi="宋体"/>
          <w:sz w:val="28"/>
          <w:szCs w:val="28"/>
        </w:rPr>
        <w:t xml:space="preserve">    1.7、如发包人如期按合同支付工程款，承包人未能按期拨付民工工资，而引起民工上访事件，对甲方造成不良影响的，第一次扣款0.5万元，第二次扣款1万元，第三次扣款2万元，依此类推。</w:t>
      </w:r>
    </w:p>
    <w:p>
      <w:pPr>
        <w:ind w:firstLine="435"/>
        <w:rPr>
          <w:rFonts w:hint="eastAsia" w:ascii="宋体" w:hAnsi="宋体"/>
          <w:sz w:val="28"/>
          <w:szCs w:val="28"/>
        </w:rPr>
      </w:pPr>
      <w:r>
        <w:rPr>
          <w:rFonts w:hint="eastAsia" w:ascii="宋体" w:hAnsi="宋体"/>
          <w:sz w:val="28"/>
          <w:szCs w:val="28"/>
        </w:rPr>
        <w:t>1.8、承包人要服从发包人现场协调指挥。</w:t>
      </w:r>
    </w:p>
    <w:p>
      <w:pPr>
        <w:ind w:firstLine="435"/>
        <w:rPr>
          <w:rFonts w:hint="eastAsia" w:ascii="宋体" w:hAnsi="宋体"/>
          <w:sz w:val="28"/>
          <w:szCs w:val="28"/>
        </w:rPr>
      </w:pPr>
      <w:r>
        <w:rPr>
          <w:rFonts w:hint="eastAsia" w:ascii="宋体" w:hAnsi="宋体"/>
          <w:sz w:val="28"/>
          <w:szCs w:val="28"/>
        </w:rPr>
        <w:t>1.9、文明施工</w:t>
      </w:r>
    </w:p>
    <w:p>
      <w:pPr>
        <w:rPr>
          <w:rFonts w:hint="eastAsia" w:ascii="宋体" w:hAnsi="宋体"/>
          <w:sz w:val="28"/>
          <w:szCs w:val="28"/>
        </w:rPr>
      </w:pPr>
      <w:r>
        <w:rPr>
          <w:rFonts w:hint="eastAsia" w:ascii="宋体" w:hAnsi="宋体"/>
          <w:sz w:val="28"/>
          <w:szCs w:val="28"/>
        </w:rPr>
        <w:t xml:space="preserve">    合同当事人对文明施工的要求承包人在工程施工期间，未按约定标准履行或工地管理脏乱差，由此发生的违约责任和（或）延误的工期由承包人承担。</w:t>
      </w:r>
    </w:p>
    <w:p>
      <w:pPr>
        <w:rPr>
          <w:rFonts w:hint="eastAsia" w:ascii="宋体" w:hAnsi="宋体"/>
          <w:sz w:val="28"/>
          <w:szCs w:val="28"/>
        </w:rPr>
      </w:pPr>
      <w:r>
        <w:rPr>
          <w:rFonts w:hint="eastAsia" w:ascii="宋体" w:hAnsi="宋体"/>
          <w:sz w:val="28"/>
          <w:szCs w:val="28"/>
        </w:rPr>
        <w:t xml:space="preserve">    1.10、安全文明施工与环境保护</w:t>
      </w:r>
    </w:p>
    <w:p>
      <w:pPr>
        <w:rPr>
          <w:rFonts w:hint="eastAsia" w:ascii="宋体" w:hAnsi="宋体"/>
          <w:sz w:val="28"/>
          <w:szCs w:val="28"/>
        </w:rPr>
      </w:pPr>
      <w:r>
        <w:rPr>
          <w:rFonts w:hint="eastAsia" w:ascii="宋体" w:hAnsi="宋体"/>
          <w:sz w:val="28"/>
          <w:szCs w:val="28"/>
        </w:rPr>
        <w:t xml:space="preserve">    1.10.1安全文明施工</w:t>
      </w:r>
    </w:p>
    <w:p>
      <w:pPr>
        <w:rPr>
          <w:rFonts w:hint="eastAsia" w:ascii="宋体" w:hAnsi="宋体"/>
          <w:sz w:val="28"/>
          <w:szCs w:val="28"/>
        </w:rPr>
      </w:pPr>
      <w:r>
        <w:rPr>
          <w:rFonts w:hint="eastAsia" w:ascii="宋体" w:hAnsi="宋体"/>
          <w:sz w:val="28"/>
          <w:szCs w:val="28"/>
        </w:rPr>
        <w:t xml:space="preserve">    项目安全生产的达标目标及相应事项的约定：承包人应遵守《建设工程安全生产管理条例》及其他工程建设安全生产有关管理规定，严格按现行安全标准组织施工，切实落实提交的安全施工规划、方案、预案和措施，执行发包人及监理人关于安全生产的要求和指示，并随时接受行业安全检查人员依法实施的监督检查，采取必要的安全防护措施，消除事故隐患。</w:t>
      </w:r>
    </w:p>
    <w:p>
      <w:pPr>
        <w:rPr>
          <w:rFonts w:hint="eastAsia" w:ascii="宋体" w:hAnsi="宋体"/>
          <w:sz w:val="28"/>
          <w:szCs w:val="28"/>
        </w:rPr>
      </w:pPr>
      <w:r>
        <w:rPr>
          <w:rFonts w:hint="eastAsia" w:ascii="宋体" w:hAnsi="宋体"/>
          <w:sz w:val="28"/>
          <w:szCs w:val="28"/>
        </w:rPr>
        <w:t xml:space="preserve">  本工程在整个施工期间社绝一切人身伤亡和重大质量安全事故，如发生上述事故，承包人除接受政府相关部门处罚外，还应承担违约责任和（或）延误的工期由承包人承担。</w:t>
      </w:r>
    </w:p>
    <w:p>
      <w:pPr>
        <w:ind w:firstLine="560" w:firstLineChars="200"/>
        <w:rPr>
          <w:rFonts w:hint="eastAsia" w:ascii="宋体" w:hAnsi="宋体"/>
          <w:sz w:val="28"/>
          <w:szCs w:val="28"/>
        </w:rPr>
      </w:pPr>
      <w:r>
        <w:rPr>
          <w:rFonts w:hint="eastAsia" w:ascii="宋体" w:hAnsi="宋体"/>
          <w:sz w:val="28"/>
          <w:szCs w:val="28"/>
        </w:rPr>
        <w:t>1.10.2环境保护</w:t>
      </w:r>
    </w:p>
    <w:p>
      <w:pPr>
        <w:rPr>
          <w:rFonts w:hint="eastAsia" w:ascii="宋体" w:hAnsi="宋体"/>
          <w:sz w:val="28"/>
          <w:szCs w:val="28"/>
        </w:rPr>
      </w:pPr>
      <w:r>
        <w:rPr>
          <w:rFonts w:hint="eastAsia" w:ascii="宋体" w:hAnsi="宋体"/>
          <w:sz w:val="28"/>
          <w:szCs w:val="28"/>
        </w:rPr>
        <w:t xml:space="preserve">    承包人应在施工组织设计中列明环境保护的具体措施。在合同履行期间，承包人应采取合理措施保护旌工现场环境。对施工作业过程中可能引起盼大气、水、噪音以及固体废物污染采取具体可行的防范措施。承包人应当承担因其原因引起的环境污染侵权损害赔偿责任，因上述环境污染引起纠纷而导致暂停施工的，由此增加的费用和（或）延误的工期由承包人承担。</w:t>
      </w:r>
    </w:p>
    <w:p>
      <w:pPr>
        <w:ind w:firstLine="560" w:firstLineChars="200"/>
        <w:rPr>
          <w:rFonts w:hint="eastAsia" w:ascii="宋体" w:hAnsi="宋体"/>
          <w:sz w:val="28"/>
          <w:szCs w:val="28"/>
        </w:rPr>
      </w:pPr>
      <w:r>
        <w:rPr>
          <w:rFonts w:hint="eastAsia" w:ascii="宋体" w:hAnsi="宋体"/>
          <w:sz w:val="28"/>
          <w:szCs w:val="28"/>
        </w:rPr>
        <w:t>1.11、施工总进度计划表</w:t>
      </w:r>
    </w:p>
    <w:p>
      <w:pPr>
        <w:rPr>
          <w:rFonts w:hint="eastAsia" w:ascii="宋体" w:hAnsi="宋体"/>
          <w:sz w:val="28"/>
          <w:szCs w:val="28"/>
        </w:rPr>
      </w:pPr>
      <w:r>
        <w:rPr>
          <w:rFonts w:hint="eastAsia" w:ascii="宋体" w:hAnsi="宋体"/>
          <w:sz w:val="28"/>
          <w:szCs w:val="28"/>
        </w:rPr>
        <w:t xml:space="preserve">    施工总进度表发包人开工通知单之日起，说明每天应完成的工作内容，未按约定完成当天工作的，应扣工程总价款的1%，工期结束后若不能交工，则扣工程总价款的20%作为违约金。</w:t>
      </w:r>
    </w:p>
    <w:p>
      <w:pPr>
        <w:ind w:firstLine="560" w:firstLineChars="200"/>
        <w:rPr>
          <w:rFonts w:hint="eastAsia" w:ascii="宋体" w:hAnsi="宋体"/>
          <w:sz w:val="28"/>
          <w:szCs w:val="28"/>
        </w:rPr>
      </w:pPr>
      <w:r>
        <w:rPr>
          <w:rFonts w:hint="eastAsia" w:ascii="宋体" w:hAnsi="宋体"/>
          <w:sz w:val="28"/>
          <w:szCs w:val="28"/>
        </w:rPr>
        <w:t>1.12、严格执行消防安全规定，设计、施工、竣工均达到消防相关要求，不能将消防设施封、堵、围、隔起来，或任意拆卸、改迁等。如不按甲方要求去做，扣发工程款费用的10%作为违约金。</w:t>
      </w:r>
    </w:p>
    <w:p>
      <w:pPr>
        <w:ind w:firstLine="560" w:firstLineChars="200"/>
        <w:rPr>
          <w:rFonts w:hint="eastAsia" w:ascii="宋体" w:hAnsi="宋体"/>
          <w:sz w:val="28"/>
          <w:szCs w:val="28"/>
        </w:rPr>
      </w:pPr>
      <w:r>
        <w:rPr>
          <w:rFonts w:hint="eastAsia" w:ascii="宋体" w:hAnsi="宋体"/>
          <w:sz w:val="28"/>
          <w:szCs w:val="28"/>
        </w:rPr>
        <w:t>1.13、原有地砖等设施不许损坏，如果损坏施工方恢复原状。</w:t>
      </w:r>
    </w:p>
    <w:p>
      <w:pPr>
        <w:ind w:firstLine="560" w:firstLineChars="200"/>
        <w:rPr>
          <w:rFonts w:hint="eastAsia" w:ascii="宋体" w:hAnsi="宋体" w:eastAsia="宋体"/>
          <w:sz w:val="28"/>
          <w:szCs w:val="28"/>
          <w:lang w:val="en-US" w:eastAsia="zh-CN"/>
        </w:rPr>
      </w:pPr>
      <w:r>
        <w:rPr>
          <w:rFonts w:hint="eastAsia" w:ascii="宋体" w:hAnsi="宋体"/>
          <w:sz w:val="28"/>
          <w:szCs w:val="28"/>
        </w:rPr>
        <w:t>1.14、履约保证金</w:t>
      </w:r>
      <w:r>
        <w:rPr>
          <w:rFonts w:hint="eastAsia" w:ascii="宋体" w:hAnsi="宋体"/>
          <w:sz w:val="28"/>
          <w:szCs w:val="28"/>
          <w:lang w:val="en-US" w:eastAsia="zh-CN"/>
        </w:rPr>
        <w:t>:不收取。</w:t>
      </w:r>
    </w:p>
    <w:p>
      <w:pPr>
        <w:ind w:firstLine="560" w:firstLineChars="200"/>
        <w:rPr>
          <w:rFonts w:hint="eastAsia" w:ascii="宋体" w:hAnsi="宋体"/>
          <w:sz w:val="28"/>
          <w:szCs w:val="28"/>
        </w:rPr>
      </w:pPr>
      <w:r>
        <w:rPr>
          <w:rFonts w:hint="eastAsia" w:ascii="宋体" w:hAnsi="宋体"/>
          <w:sz w:val="28"/>
          <w:szCs w:val="28"/>
        </w:rPr>
        <w:t>1.15、合同签订生效后，施工企业进驻且</w:t>
      </w:r>
      <w:r>
        <w:rPr>
          <w:rFonts w:hint="eastAsia" w:ascii="宋体" w:hAnsi="宋体"/>
          <w:sz w:val="28"/>
          <w:szCs w:val="28"/>
          <w:lang w:val="en-US" w:eastAsia="zh-CN"/>
        </w:rPr>
        <w:t>施工准备阶段</w:t>
      </w:r>
      <w:r>
        <w:rPr>
          <w:rFonts w:hint="eastAsia" w:ascii="宋体" w:hAnsi="宋体"/>
          <w:sz w:val="28"/>
          <w:szCs w:val="28"/>
        </w:rPr>
        <w:t>，支付合同价款的50%;主体工程完成时，支付合同价款的30%; 项目工程验收合格并且手续齐全后支付合同价款的17%;合同价款的3%做为质量保证金，待质量保修期满经验收合格后无息支付。</w:t>
      </w:r>
    </w:p>
    <w:p>
      <w:pPr>
        <w:pStyle w:val="22"/>
        <w:rPr>
          <w:rFonts w:ascii="宋体" w:hAnsi="宋体"/>
        </w:rPr>
      </w:pPr>
    </w:p>
    <w:p>
      <w:pPr>
        <w:pStyle w:val="22"/>
        <w:rPr>
          <w:rFonts w:ascii="宋体" w:hAnsi="宋体"/>
        </w:rPr>
      </w:pPr>
    </w:p>
    <w:p>
      <w:pPr>
        <w:pStyle w:val="22"/>
        <w:rPr>
          <w:rFonts w:ascii="宋体" w:hAnsi="宋体"/>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0"/>
          <w:szCs w:val="30"/>
        </w:rPr>
      </w:pPr>
      <w:bookmarkStart w:id="576" w:name="_Toc22360"/>
      <w:bookmarkStart w:id="577" w:name="_Toc72695360"/>
      <w:r>
        <w:rPr>
          <w:rFonts w:hint="eastAsia"/>
          <w:b/>
          <w:sz w:val="32"/>
          <w:szCs w:val="32"/>
        </w:rPr>
        <w:t>第五章  工程量清单</w:t>
      </w:r>
      <w:bookmarkEnd w:id="576"/>
      <w:bookmarkEnd w:id="577"/>
    </w:p>
    <w:p>
      <w:pPr>
        <w:spacing w:line="360" w:lineRule="auto"/>
        <w:ind w:firstLine="4094" w:firstLineChars="1942"/>
        <w:rPr>
          <w:b/>
        </w:rPr>
      </w:pPr>
      <w:r>
        <w:rPr>
          <w:rFonts w:hint="eastAsia"/>
          <w:b/>
        </w:rPr>
        <w:t>（另附）</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jc w:val="center"/>
        <w:outlineLvl w:val="0"/>
        <w:rPr>
          <w:b/>
          <w:sz w:val="32"/>
          <w:szCs w:val="32"/>
        </w:rPr>
      </w:pPr>
      <w:bookmarkStart w:id="578" w:name="_Toc12052"/>
      <w:bookmarkStart w:id="579" w:name="_Toc72694689"/>
      <w:bookmarkStart w:id="580" w:name="_Toc72695361"/>
      <w:r>
        <w:rPr>
          <w:rFonts w:hint="eastAsia"/>
          <w:b/>
          <w:sz w:val="32"/>
          <w:szCs w:val="32"/>
        </w:rPr>
        <w:t>第六章  图纸</w:t>
      </w:r>
      <w:bookmarkEnd w:id="578"/>
      <w:bookmarkEnd w:id="579"/>
      <w:bookmarkEnd w:id="580"/>
    </w:p>
    <w:p>
      <w:pPr>
        <w:spacing w:line="360" w:lineRule="auto"/>
        <w:ind w:firstLine="422" w:firstLineChars="200"/>
        <w:jc w:val="center"/>
        <w:rPr>
          <w:b/>
        </w:rPr>
      </w:pPr>
      <w:r>
        <w:rPr>
          <w:rFonts w:hint="eastAsia"/>
          <w:b/>
        </w:rPr>
        <w:t xml:space="preserve"> （</w:t>
      </w:r>
      <w:r>
        <w:rPr>
          <w:rFonts w:hint="eastAsia"/>
          <w:b/>
          <w:lang w:val="en-US" w:eastAsia="zh-CN"/>
        </w:rPr>
        <w:t>如</w:t>
      </w:r>
      <w:r>
        <w:rPr>
          <w:rFonts w:hint="eastAsia"/>
          <w:b/>
        </w:rPr>
        <w:t>有</w:t>
      </w:r>
      <w:r>
        <w:rPr>
          <w:rFonts w:hint="eastAsia"/>
          <w:b/>
          <w:lang w:val="en-US" w:eastAsia="zh-CN"/>
        </w:rPr>
        <w:t>另附</w:t>
      </w:r>
      <w:r>
        <w:rPr>
          <w:rFonts w:hint="eastAsia"/>
          <w:b/>
        </w:rPr>
        <w:t>）</w:t>
      </w: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rPr>
      </w:pPr>
    </w:p>
    <w:p>
      <w:pPr>
        <w:pStyle w:val="37"/>
        <w:spacing w:line="360" w:lineRule="auto"/>
        <w:rPr>
          <w:b/>
          <w:lang w:val="en-US"/>
        </w:rPr>
      </w:pPr>
    </w:p>
    <w:p>
      <w:pPr>
        <w:pStyle w:val="37"/>
        <w:spacing w:line="360" w:lineRule="auto"/>
        <w:rPr>
          <w:b/>
          <w:lang w:val="en-US"/>
        </w:rPr>
      </w:pPr>
    </w:p>
    <w:p>
      <w:pPr>
        <w:jc w:val="center"/>
        <w:outlineLvl w:val="0"/>
        <w:rPr>
          <w:b/>
          <w:sz w:val="32"/>
          <w:szCs w:val="32"/>
        </w:rPr>
      </w:pPr>
      <w:bookmarkStart w:id="581" w:name="_Toc72695362"/>
      <w:bookmarkStart w:id="582" w:name="_Toc72694690"/>
      <w:bookmarkStart w:id="583" w:name="_Toc13065"/>
      <w:r>
        <w:rPr>
          <w:rFonts w:hint="eastAsia"/>
          <w:b/>
          <w:sz w:val="32"/>
          <w:szCs w:val="32"/>
        </w:rPr>
        <w:t>第七章  技术标准和要求</w:t>
      </w:r>
      <w:bookmarkEnd w:id="581"/>
      <w:bookmarkEnd w:id="582"/>
      <w:bookmarkEnd w:id="583"/>
    </w:p>
    <w:p>
      <w:pPr>
        <w:spacing w:line="360" w:lineRule="auto"/>
        <w:ind w:firstLine="420" w:firstLineChars="200"/>
        <w:rPr>
          <w:kern w:val="0"/>
          <w:highlight w:val="none"/>
        </w:rPr>
      </w:pPr>
      <w:bookmarkStart w:id="584" w:name="_Toc246931736"/>
      <w:bookmarkStart w:id="585" w:name="_Toc246930466"/>
      <w:bookmarkStart w:id="586" w:name="_Toc279505674"/>
      <w:bookmarkStart w:id="587" w:name="_Toc278558603"/>
      <w:r>
        <w:rPr>
          <w:rFonts w:hint="eastAsia"/>
          <w:kern w:val="0"/>
          <w:highlight w:val="none"/>
        </w:rPr>
        <w:t>除非合同文件中另有特别注明，本工程适用中华人民共和国现行有效的国家规范、规程和标准。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kern w:val="0"/>
          <w:highlight w:val="none"/>
        </w:rPr>
      </w:pPr>
      <w:r>
        <w:rPr>
          <w:rFonts w:hint="eastAsia"/>
          <w:kern w:val="0"/>
          <w:highlight w:val="none"/>
        </w:rPr>
        <w:t>合同中约定的任何响应人应予遵照执行的国家规范、规程和标准都指他们各自的最新版本。如果在构成本工程规范和技术说明的任何内容与任何现行国家规范、规程和标准包括他们适用的修改之间出现相互矛盾之处或不一致的指示，响应人应按照其中要求最严格的标准执行。材料、施工工艺和本工程都应依照本工程规范和技术说明以及相关国家规范、规程和标准的最新版本；或把最新版本的要求当作对响应人工作的最起码要求，而执行更高的标准。</w:t>
      </w:r>
    </w:p>
    <w:p>
      <w:pPr>
        <w:spacing w:line="360" w:lineRule="auto"/>
        <w:ind w:firstLine="420" w:firstLineChars="200"/>
        <w:rPr>
          <w:kern w:val="0"/>
          <w:highlight w:val="none"/>
        </w:rPr>
      </w:pPr>
      <w:r>
        <w:rPr>
          <w:rFonts w:hint="eastAsia"/>
          <w:kern w:val="0"/>
          <w:highlight w:val="none"/>
        </w:rPr>
        <w:t>未尽项均执行现行规范及标准,以上规范如有变化，以最新发布的为准。</w:t>
      </w:r>
    </w:p>
    <w:bookmarkEnd w:id="584"/>
    <w:bookmarkEnd w:id="585"/>
    <w:bookmarkEnd w:id="586"/>
    <w:bookmarkEnd w:id="587"/>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jc w:val="center"/>
        <w:outlineLvl w:val="0"/>
      </w:pPr>
      <w:bookmarkStart w:id="588" w:name="_Toc11677"/>
      <w:bookmarkStart w:id="589" w:name="_Toc72694691"/>
      <w:bookmarkStart w:id="590" w:name="_Toc72695363"/>
      <w:bookmarkStart w:id="591" w:name="_Toc15058_WPSOffice_Level1"/>
      <w:bookmarkStart w:id="592" w:name="_Toc3615"/>
      <w:r>
        <w:rPr>
          <w:rFonts w:hint="eastAsia"/>
          <w:b/>
          <w:sz w:val="32"/>
          <w:szCs w:val="32"/>
        </w:rPr>
        <w:t xml:space="preserve">第八章  </w:t>
      </w:r>
      <w:bookmarkEnd w:id="588"/>
      <w:bookmarkEnd w:id="589"/>
      <w:bookmarkEnd w:id="590"/>
      <w:bookmarkEnd w:id="591"/>
      <w:bookmarkEnd w:id="592"/>
      <w:r>
        <w:rPr>
          <w:rFonts w:hint="eastAsia"/>
          <w:b/>
          <w:sz w:val="32"/>
          <w:szCs w:val="32"/>
        </w:rPr>
        <w:t>磋商响应文件格式</w:t>
      </w:r>
    </w:p>
    <w:p>
      <w:pPr>
        <w:pStyle w:val="13"/>
        <w:spacing w:beforeLines="100" w:afterLines="100" w:line="360" w:lineRule="auto"/>
        <w:ind w:firstLine="7280" w:firstLineChars="2600"/>
        <w:jc w:val="left"/>
        <w:rPr>
          <w:rFonts w:hAnsi="宋体"/>
          <w:bCs/>
          <w:sz w:val="28"/>
          <w:szCs w:val="28"/>
        </w:rPr>
      </w:pPr>
    </w:p>
    <w:p>
      <w:pPr>
        <w:pStyle w:val="13"/>
        <w:spacing w:beforeLines="100" w:afterLines="100" w:line="360" w:lineRule="auto"/>
        <w:jc w:val="center"/>
        <w:rPr>
          <w:rFonts w:hAnsi="宋体"/>
          <w:b/>
          <w:sz w:val="44"/>
          <w:szCs w:val="44"/>
        </w:rPr>
      </w:pPr>
      <w:bookmarkStart w:id="593" w:name="_Toc2821_WPSOffice_Level1"/>
      <w:bookmarkStart w:id="594" w:name="_Toc31859_WPSOffice_Level1"/>
      <w:bookmarkStart w:id="595" w:name="_Toc7266_WPSOffice_Level1"/>
      <w:r>
        <w:rPr>
          <w:rFonts w:hint="eastAsia" w:hAnsi="宋体"/>
          <w:b/>
          <w:sz w:val="44"/>
          <w:szCs w:val="44"/>
          <w:u w:val="single"/>
        </w:rPr>
        <w:t xml:space="preserve">    </w:t>
      </w:r>
      <w:r>
        <w:rPr>
          <w:rFonts w:hint="eastAsia" w:hAnsi="宋体"/>
          <w:b/>
          <w:sz w:val="44"/>
          <w:szCs w:val="44"/>
        </w:rPr>
        <w:t>项目</w:t>
      </w:r>
      <w:r>
        <w:rPr>
          <w:rFonts w:hint="eastAsia" w:hAnsi="宋体"/>
          <w:b/>
          <w:sz w:val="44"/>
          <w:szCs w:val="44"/>
          <w:u w:val="single"/>
          <w:lang w:val="en-US" w:eastAsia="zh-CN"/>
        </w:rPr>
        <w:t xml:space="preserve">  </w:t>
      </w:r>
      <w:r>
        <w:rPr>
          <w:rFonts w:hint="eastAsia" w:hAnsi="宋体"/>
          <w:b/>
          <w:sz w:val="44"/>
          <w:szCs w:val="44"/>
          <w:lang w:val="en-US" w:eastAsia="zh-CN"/>
        </w:rPr>
        <w:t>标段</w:t>
      </w:r>
      <w:r>
        <w:rPr>
          <w:rFonts w:hint="eastAsia" w:hAnsi="宋体"/>
          <w:b/>
          <w:sz w:val="44"/>
          <w:szCs w:val="44"/>
        </w:rPr>
        <w:t>竞争性磋商</w:t>
      </w:r>
      <w:bookmarkEnd w:id="593"/>
      <w:bookmarkEnd w:id="594"/>
      <w:bookmarkEnd w:id="595"/>
    </w:p>
    <w:p>
      <w:pPr>
        <w:pStyle w:val="13"/>
        <w:spacing w:beforeLines="100" w:afterLines="100" w:line="360" w:lineRule="auto"/>
        <w:jc w:val="center"/>
        <w:rPr>
          <w:rFonts w:hAnsi="宋体"/>
          <w:b/>
          <w:bCs/>
          <w:sz w:val="32"/>
          <w:u w:val="single"/>
        </w:rPr>
      </w:pPr>
    </w:p>
    <w:p>
      <w:pPr>
        <w:pStyle w:val="13"/>
        <w:spacing w:beforeLines="100" w:afterLines="100" w:line="360" w:lineRule="auto"/>
        <w:jc w:val="center"/>
        <w:rPr>
          <w:rFonts w:hAnsi="宋体"/>
          <w:b/>
          <w:bCs/>
          <w:sz w:val="84"/>
          <w:szCs w:val="84"/>
        </w:rPr>
      </w:pPr>
      <w:bookmarkStart w:id="596" w:name="_Toc22398_WPSOffice_Level1"/>
      <w:bookmarkStart w:id="597" w:name="_Toc22990_WPSOffice_Level1"/>
      <w:bookmarkStart w:id="598" w:name="_Toc9678_WPSOffice_Level1"/>
      <w:r>
        <w:rPr>
          <w:rFonts w:hint="eastAsia" w:hAnsi="宋体"/>
          <w:b/>
          <w:bCs/>
          <w:sz w:val="84"/>
          <w:szCs w:val="84"/>
        </w:rPr>
        <w:t>响应文件</w:t>
      </w:r>
      <w:bookmarkEnd w:id="596"/>
      <w:bookmarkEnd w:id="597"/>
      <w:bookmarkEnd w:id="598"/>
    </w:p>
    <w:p>
      <w:pPr>
        <w:pStyle w:val="13"/>
        <w:spacing w:beforeLines="100" w:afterLines="100" w:line="360" w:lineRule="auto"/>
        <w:jc w:val="center"/>
        <w:rPr>
          <w:rFonts w:hAnsi="宋体"/>
          <w:b/>
          <w:bCs/>
          <w:sz w:val="30"/>
          <w:szCs w:val="30"/>
        </w:rPr>
      </w:pPr>
      <w:bookmarkStart w:id="599" w:name="_Toc26187_WPSOffice_Level1"/>
      <w:bookmarkStart w:id="600" w:name="_Toc26010_WPSOffice_Level1"/>
      <w:bookmarkStart w:id="601" w:name="_Toc29975_WPSOffice_Level1"/>
      <w:r>
        <w:rPr>
          <w:rFonts w:hint="eastAsia" w:hAnsi="宋体"/>
          <w:b/>
          <w:bCs/>
          <w:sz w:val="30"/>
          <w:szCs w:val="30"/>
        </w:rPr>
        <w:t>采购编号：</w:t>
      </w:r>
      <w:bookmarkEnd w:id="599"/>
      <w:bookmarkEnd w:id="600"/>
      <w:bookmarkEnd w:id="601"/>
    </w:p>
    <w:p>
      <w:pPr>
        <w:pStyle w:val="13"/>
        <w:spacing w:beforeLines="100" w:afterLines="100" w:line="360" w:lineRule="auto"/>
        <w:jc w:val="center"/>
        <w:rPr>
          <w:rFonts w:hAnsi="宋体"/>
          <w:bCs/>
          <w:sz w:val="32"/>
        </w:rPr>
      </w:pPr>
      <w:bookmarkStart w:id="602" w:name="_Toc31498_WPSOffice_Level1"/>
      <w:bookmarkStart w:id="603" w:name="_Toc25149_WPSOffice_Level1"/>
      <w:bookmarkStart w:id="604" w:name="_Toc21750_WPSOffice_Level1"/>
      <w:r>
        <w:rPr>
          <w:rFonts w:hint="eastAsia" w:hAnsi="宋体"/>
          <w:bCs/>
          <w:sz w:val="32"/>
        </w:rPr>
        <w:t>（封面）</w:t>
      </w:r>
      <w:bookmarkEnd w:id="602"/>
      <w:bookmarkEnd w:id="603"/>
      <w:bookmarkEnd w:id="604"/>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p>
    <w:p>
      <w:pPr>
        <w:pStyle w:val="13"/>
        <w:spacing w:beforeLines="100" w:afterLines="100" w:line="360" w:lineRule="auto"/>
        <w:rPr>
          <w:rFonts w:hAnsi="宋体"/>
          <w:b/>
          <w:bCs/>
          <w:sz w:val="32"/>
          <w:u w:val="single"/>
        </w:rPr>
      </w:pPr>
    </w:p>
    <w:p>
      <w:pPr>
        <w:pStyle w:val="13"/>
        <w:spacing w:beforeLines="100" w:afterLines="100" w:line="360" w:lineRule="auto"/>
        <w:jc w:val="center"/>
        <w:rPr>
          <w:rFonts w:hAnsi="宋体"/>
          <w:b/>
          <w:bCs/>
          <w:sz w:val="32"/>
          <w:u w:val="single"/>
        </w:rPr>
      </w:pPr>
      <w:bookmarkStart w:id="605" w:name="_Toc25974_WPSOffice_Level1"/>
      <w:bookmarkStart w:id="606" w:name="_Toc7166_WPSOffice_Level1"/>
      <w:bookmarkStart w:id="607" w:name="_Toc25325_WPSOffice_Level1"/>
      <w:r>
        <w:rPr>
          <w:rFonts w:hint="eastAsia" w:hAnsi="宋体"/>
          <w:b/>
          <w:bCs/>
          <w:sz w:val="32"/>
        </w:rPr>
        <w:t>供  应  商：（电子签章）</w:t>
      </w:r>
      <w:bookmarkEnd w:id="605"/>
      <w:bookmarkEnd w:id="606"/>
      <w:bookmarkEnd w:id="607"/>
    </w:p>
    <w:p>
      <w:pPr>
        <w:pStyle w:val="13"/>
        <w:spacing w:beforeLines="100" w:afterLines="100" w:line="360" w:lineRule="auto"/>
        <w:ind w:firstLine="596" w:firstLineChars="198"/>
        <w:rPr>
          <w:rFonts w:hAnsi="宋体"/>
          <w:b/>
          <w:bCs/>
          <w:sz w:val="30"/>
          <w:szCs w:val="30"/>
        </w:rPr>
      </w:pPr>
      <w:bookmarkStart w:id="608" w:name="_Toc21858_WPSOffice_Level1"/>
      <w:bookmarkStart w:id="609" w:name="_Toc29840_WPSOffice_Level1"/>
      <w:bookmarkStart w:id="610" w:name="_Toc31393_WPSOffice_Level1"/>
      <w:r>
        <w:rPr>
          <w:rFonts w:hint="eastAsia" w:hAnsi="宋体"/>
          <w:b/>
          <w:bCs/>
          <w:sz w:val="30"/>
          <w:szCs w:val="30"/>
        </w:rPr>
        <w:t>法定代表人或其委托代理人：（电子签名）</w:t>
      </w:r>
      <w:bookmarkEnd w:id="608"/>
      <w:bookmarkEnd w:id="609"/>
      <w:bookmarkEnd w:id="610"/>
    </w:p>
    <w:p>
      <w:pPr>
        <w:pStyle w:val="11"/>
        <w:spacing w:line="360" w:lineRule="auto"/>
        <w:ind w:left="0" w:leftChars="0" w:firstLine="2129" w:firstLineChars="707"/>
        <w:rPr>
          <w:rFonts w:ascii="宋体" w:hAnsi="宋体"/>
          <w:b/>
          <w:bCs/>
          <w:sz w:val="30"/>
          <w:szCs w:val="30"/>
        </w:rPr>
      </w:pPr>
      <w:bookmarkStart w:id="611" w:name="_Toc11679_WPSOffice_Level1"/>
      <w:bookmarkStart w:id="612" w:name="_Toc32012_WPSOffice_Level1"/>
      <w:bookmarkStart w:id="613" w:name="_Toc15496_WPSOffice_Level1"/>
      <w:r>
        <w:rPr>
          <w:rFonts w:hint="eastAsia" w:ascii="宋体" w:hAnsi="宋体"/>
          <w:b/>
          <w:bCs/>
          <w:sz w:val="30"/>
          <w:szCs w:val="30"/>
        </w:rPr>
        <w:t>日      期：       年    月    日</w:t>
      </w:r>
      <w:bookmarkEnd w:id="611"/>
      <w:bookmarkEnd w:id="612"/>
      <w:bookmarkEnd w:id="613"/>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left="0" w:leftChars="0" w:firstLine="0" w:firstLineChars="0"/>
        <w:rPr>
          <w:rFonts w:ascii="宋体" w:hAnsi="宋体"/>
          <w:b/>
          <w:sz w:val="24"/>
          <w:szCs w:val="24"/>
        </w:rPr>
      </w:pPr>
    </w:p>
    <w:p>
      <w:pPr>
        <w:spacing w:line="360" w:lineRule="auto"/>
        <w:jc w:val="center"/>
        <w:rPr>
          <w:b/>
          <w:sz w:val="28"/>
          <w:szCs w:val="28"/>
        </w:rPr>
      </w:pPr>
      <w:bookmarkStart w:id="614" w:name="_Toc11715_WPSOffice_Level1"/>
      <w:bookmarkStart w:id="615" w:name="_Toc502_WPSOffice_Level1"/>
      <w:bookmarkStart w:id="616" w:name="_Toc20683_WPSOffice_Level1"/>
      <w:r>
        <w:rPr>
          <w:rFonts w:hint="eastAsia"/>
          <w:b/>
          <w:sz w:val="28"/>
          <w:szCs w:val="28"/>
        </w:rPr>
        <w:t>响应文件目录</w:t>
      </w:r>
      <w:bookmarkEnd w:id="614"/>
      <w:bookmarkEnd w:id="615"/>
      <w:bookmarkEnd w:id="616"/>
    </w:p>
    <w:p>
      <w:pPr>
        <w:wordWrap/>
        <w:topLinePunct w:val="0"/>
        <w:autoSpaceDE w:val="0"/>
        <w:autoSpaceDN w:val="0"/>
        <w:adjustRightInd w:val="0"/>
        <w:spacing w:line="360" w:lineRule="auto"/>
        <w:ind w:right="40" w:firstLine="420" w:firstLineChars="200"/>
        <w:jc w:val="left"/>
        <w:rPr>
          <w:rFonts w:cs="微软雅黑"/>
          <w:kern w:val="0"/>
        </w:rPr>
      </w:pPr>
      <w:bookmarkStart w:id="617" w:name="_Toc2989_WPSOffice_Level1"/>
      <w:bookmarkStart w:id="618" w:name="_Toc11154_WPSOffice_Level1"/>
      <w:bookmarkStart w:id="619" w:name="_Toc22859_WPSOffice_Level1"/>
      <w:r>
        <w:rPr>
          <w:rFonts w:hint="eastAsia"/>
        </w:rPr>
        <w:t>一、</w:t>
      </w:r>
      <w:r>
        <w:rPr>
          <w:rFonts w:hint="eastAsia" w:cs="微软雅黑"/>
          <w:kern w:val="0"/>
        </w:rPr>
        <w:t>报价函及报价函附录</w:t>
      </w:r>
      <w:bookmarkEnd w:id="617"/>
      <w:bookmarkEnd w:id="618"/>
      <w:bookmarkEnd w:id="619"/>
    </w:p>
    <w:p>
      <w:pPr>
        <w:wordWrap/>
        <w:topLinePunct w:val="0"/>
        <w:spacing w:line="360" w:lineRule="auto"/>
        <w:ind w:firstLine="420" w:firstLineChars="200"/>
        <w:rPr>
          <w:kern w:val="0"/>
        </w:rPr>
      </w:pPr>
      <w:bookmarkStart w:id="620" w:name="_Toc7550_WPSOffice_Level1"/>
      <w:bookmarkStart w:id="621" w:name="_Toc6626_WPSOffice_Level1"/>
      <w:bookmarkStart w:id="622" w:name="_Toc13949_WPSOffice_Level1"/>
      <w:r>
        <w:rPr>
          <w:rFonts w:hint="eastAsia"/>
        </w:rPr>
        <w:t>二、法定代表人身份证明</w:t>
      </w:r>
      <w:r>
        <w:rPr>
          <w:rFonts w:hint="eastAsia"/>
          <w:kern w:val="0"/>
        </w:rPr>
        <w:t>或授权委托书</w:t>
      </w:r>
      <w:bookmarkEnd w:id="620"/>
      <w:bookmarkEnd w:id="621"/>
      <w:bookmarkEnd w:id="622"/>
    </w:p>
    <w:p>
      <w:pPr>
        <w:wordWrap/>
        <w:topLinePunct w:val="0"/>
        <w:spacing w:line="360" w:lineRule="auto"/>
        <w:ind w:firstLine="420" w:firstLineChars="200"/>
      </w:pPr>
      <w:bookmarkStart w:id="623" w:name="_Toc19690_WPSOffice_Level1"/>
      <w:bookmarkStart w:id="624" w:name="_Toc32584_WPSOffice_Level1"/>
      <w:bookmarkStart w:id="625" w:name="_Toc31278_WPSOffice_Level1"/>
      <w:r>
        <w:rPr>
          <w:rFonts w:hint="eastAsia"/>
        </w:rPr>
        <w:t>三、响应人资格审查资料</w:t>
      </w:r>
      <w:bookmarkEnd w:id="623"/>
      <w:bookmarkEnd w:id="624"/>
      <w:bookmarkEnd w:id="625"/>
    </w:p>
    <w:p>
      <w:pPr>
        <w:wordWrap/>
        <w:topLinePunct w:val="0"/>
        <w:spacing w:line="360" w:lineRule="auto"/>
        <w:ind w:firstLine="420" w:firstLineChars="200"/>
      </w:pPr>
      <w:bookmarkStart w:id="626" w:name="_Toc19781_WPSOffice_Level1"/>
      <w:bookmarkStart w:id="627" w:name="_Toc4041_WPSOffice_Level1"/>
      <w:bookmarkStart w:id="628" w:name="_Toc16168_WPSOffice_Level1"/>
      <w:r>
        <w:rPr>
          <w:rFonts w:hint="eastAsia"/>
        </w:rPr>
        <w:t>四、已标价工程量清单</w:t>
      </w:r>
      <w:bookmarkEnd w:id="626"/>
      <w:bookmarkEnd w:id="627"/>
      <w:bookmarkEnd w:id="628"/>
    </w:p>
    <w:p>
      <w:pPr>
        <w:wordWrap/>
        <w:topLinePunct w:val="0"/>
        <w:spacing w:line="360" w:lineRule="auto"/>
        <w:ind w:firstLine="420" w:firstLineChars="200"/>
      </w:pPr>
      <w:bookmarkStart w:id="629" w:name="_Toc4809_WPSOffice_Level1"/>
      <w:bookmarkStart w:id="630" w:name="_Toc18132_WPSOffice_Level1"/>
      <w:bookmarkStart w:id="631" w:name="_Toc10286_WPSOffice_Level1"/>
      <w:r>
        <w:rPr>
          <w:rFonts w:hint="eastAsia"/>
        </w:rPr>
        <w:t>五、施工组织设计</w:t>
      </w:r>
      <w:bookmarkEnd w:id="629"/>
      <w:bookmarkEnd w:id="630"/>
      <w:bookmarkEnd w:id="631"/>
    </w:p>
    <w:p>
      <w:pPr>
        <w:wordWrap/>
        <w:topLinePunct w:val="0"/>
        <w:spacing w:line="360" w:lineRule="auto"/>
        <w:ind w:firstLine="420" w:firstLineChars="200"/>
      </w:pPr>
      <w:bookmarkStart w:id="632" w:name="_Toc23500_WPSOffice_Level1"/>
      <w:bookmarkStart w:id="633" w:name="_Toc14778_WPSOffice_Level1"/>
      <w:bookmarkStart w:id="634" w:name="_Toc10069_WPSOffice_Level1"/>
      <w:r>
        <w:rPr>
          <w:rFonts w:hint="eastAsia"/>
        </w:rPr>
        <w:t>六、项目管理机构</w:t>
      </w:r>
      <w:bookmarkEnd w:id="632"/>
      <w:bookmarkEnd w:id="633"/>
      <w:bookmarkEnd w:id="634"/>
    </w:p>
    <w:p>
      <w:pPr>
        <w:wordWrap/>
        <w:topLinePunct w:val="0"/>
        <w:autoSpaceDE w:val="0"/>
        <w:autoSpaceDN w:val="0"/>
        <w:adjustRightInd w:val="0"/>
        <w:spacing w:line="360" w:lineRule="auto"/>
        <w:ind w:right="40" w:firstLine="420" w:firstLineChars="200"/>
        <w:jc w:val="left"/>
        <w:rPr>
          <w:rFonts w:cs="微软雅黑"/>
          <w:kern w:val="0"/>
        </w:rPr>
      </w:pPr>
      <w:bookmarkStart w:id="635" w:name="_Toc31174_WPSOffice_Level1"/>
      <w:bookmarkStart w:id="636" w:name="_Toc10657_WPSOffice_Level1"/>
      <w:bookmarkStart w:id="637" w:name="_Toc9873_WPSOffice_Level1"/>
      <w:r>
        <w:rPr>
          <w:rFonts w:hint="eastAsia"/>
          <w:lang w:val="en-US" w:eastAsia="zh-CN"/>
        </w:rPr>
        <w:t>七</w:t>
      </w:r>
      <w:r>
        <w:rPr>
          <w:rFonts w:hint="eastAsia"/>
        </w:rPr>
        <w:t>、</w:t>
      </w:r>
      <w:r>
        <w:rPr>
          <w:rFonts w:hint="eastAsia" w:cs="微软雅黑"/>
          <w:kern w:val="0"/>
        </w:rPr>
        <w:t>服务承诺</w:t>
      </w:r>
      <w:bookmarkEnd w:id="635"/>
      <w:bookmarkEnd w:id="636"/>
      <w:bookmarkEnd w:id="637"/>
    </w:p>
    <w:p>
      <w:pPr>
        <w:wordWrap/>
        <w:topLinePunct w:val="0"/>
        <w:autoSpaceDE w:val="0"/>
        <w:autoSpaceDN w:val="0"/>
        <w:adjustRightInd w:val="0"/>
        <w:spacing w:line="360" w:lineRule="auto"/>
        <w:ind w:right="40" w:firstLine="420" w:firstLineChars="200"/>
        <w:jc w:val="left"/>
        <w:rPr>
          <w:rFonts w:cs="微软雅黑"/>
          <w:kern w:val="0"/>
        </w:rPr>
      </w:pPr>
      <w:bookmarkStart w:id="638" w:name="_Toc18831_WPSOffice_Level1"/>
      <w:bookmarkStart w:id="639" w:name="_Toc31900_WPSOffice_Level1"/>
      <w:bookmarkStart w:id="640" w:name="_Toc16358_WPSOffice_Level1"/>
      <w:r>
        <w:rPr>
          <w:rFonts w:hint="eastAsia" w:cs="微软雅黑"/>
          <w:kern w:val="0"/>
          <w:lang w:val="en-US" w:eastAsia="zh-CN"/>
        </w:rPr>
        <w:t>八</w:t>
      </w:r>
      <w:r>
        <w:rPr>
          <w:rFonts w:hint="eastAsia" w:cs="微软雅黑"/>
          <w:kern w:val="0"/>
        </w:rPr>
        <w:t>、反商业贿赂承诺书</w:t>
      </w:r>
      <w:bookmarkEnd w:id="638"/>
      <w:bookmarkEnd w:id="639"/>
      <w:bookmarkEnd w:id="640"/>
    </w:p>
    <w:p>
      <w:pPr>
        <w:wordWrap/>
        <w:topLinePunct w:val="0"/>
        <w:autoSpaceDE w:val="0"/>
        <w:autoSpaceDN w:val="0"/>
        <w:adjustRightInd w:val="0"/>
        <w:spacing w:line="360" w:lineRule="auto"/>
        <w:ind w:right="40" w:firstLine="420" w:firstLineChars="200"/>
        <w:jc w:val="left"/>
        <w:rPr>
          <w:rFonts w:cs="微软雅黑"/>
          <w:kern w:val="0"/>
        </w:rPr>
      </w:pPr>
      <w:bookmarkStart w:id="641" w:name="_Toc25410_WPSOffice_Level1"/>
      <w:bookmarkStart w:id="642" w:name="_Toc527_WPSOffice_Level1"/>
      <w:bookmarkStart w:id="643" w:name="_Toc25044_WPSOffice_Level1"/>
      <w:r>
        <w:rPr>
          <w:rFonts w:hint="eastAsia" w:cs="微软雅黑"/>
          <w:kern w:val="0"/>
          <w:lang w:val="en-US" w:eastAsia="zh-CN"/>
        </w:rPr>
        <w:t>九</w:t>
      </w:r>
      <w:r>
        <w:rPr>
          <w:rFonts w:hint="eastAsia" w:cs="微软雅黑"/>
          <w:kern w:val="0"/>
        </w:rPr>
        <w:t>、中小企业声明函</w:t>
      </w:r>
      <w:bookmarkEnd w:id="641"/>
      <w:bookmarkEnd w:id="642"/>
      <w:bookmarkEnd w:id="643"/>
    </w:p>
    <w:p>
      <w:pPr>
        <w:wordWrap/>
        <w:topLinePunct w:val="0"/>
        <w:autoSpaceDE w:val="0"/>
        <w:autoSpaceDN w:val="0"/>
        <w:adjustRightInd w:val="0"/>
        <w:spacing w:line="360" w:lineRule="auto"/>
        <w:ind w:right="40" w:firstLine="420" w:firstLineChars="200"/>
        <w:jc w:val="left"/>
        <w:rPr>
          <w:rFonts w:cs="微软雅黑"/>
          <w:kern w:val="0"/>
        </w:rPr>
      </w:pPr>
      <w:bookmarkStart w:id="644" w:name="_Toc29336_WPSOffice_Level1"/>
      <w:bookmarkStart w:id="645" w:name="_Toc21910_WPSOffice_Level1"/>
      <w:bookmarkStart w:id="646" w:name="_Toc14706_WPSOffice_Level1"/>
      <w:r>
        <w:rPr>
          <w:rFonts w:hint="eastAsia" w:cs="微软雅黑"/>
          <w:kern w:val="0"/>
        </w:rPr>
        <w:t>十、残疾人福利性单位声明函</w:t>
      </w:r>
      <w:bookmarkEnd w:id="644"/>
      <w:bookmarkEnd w:id="645"/>
      <w:bookmarkEnd w:id="646"/>
    </w:p>
    <w:p>
      <w:pPr>
        <w:wordWrap/>
        <w:topLinePunct w:val="0"/>
        <w:autoSpaceDE w:val="0"/>
        <w:autoSpaceDN w:val="0"/>
        <w:adjustRightInd w:val="0"/>
        <w:spacing w:line="360" w:lineRule="auto"/>
        <w:ind w:right="40" w:firstLine="420" w:firstLineChars="200"/>
        <w:jc w:val="left"/>
        <w:rPr>
          <w:rFonts w:cs="微软雅黑"/>
          <w:kern w:val="0"/>
        </w:rPr>
      </w:pPr>
      <w:bookmarkStart w:id="647" w:name="_Toc27516_WPSOffice_Level1"/>
      <w:bookmarkStart w:id="648" w:name="_Toc10752_WPSOffice_Level1"/>
      <w:bookmarkStart w:id="649" w:name="_Toc27164_WPSOffice_Level1"/>
      <w:r>
        <w:rPr>
          <w:rFonts w:hint="eastAsia" w:cs="微软雅黑"/>
          <w:kern w:val="0"/>
        </w:rPr>
        <w:t>十</w:t>
      </w:r>
      <w:r>
        <w:rPr>
          <w:rFonts w:hint="eastAsia" w:cs="微软雅黑"/>
          <w:kern w:val="0"/>
          <w:lang w:val="en-US" w:eastAsia="zh-CN"/>
        </w:rPr>
        <w:t>一</w:t>
      </w:r>
      <w:r>
        <w:rPr>
          <w:rFonts w:hint="eastAsia" w:cs="微软雅黑"/>
          <w:kern w:val="0"/>
        </w:rPr>
        <w:t>、其他资料</w:t>
      </w:r>
      <w:bookmarkEnd w:id="647"/>
      <w:bookmarkEnd w:id="648"/>
      <w:bookmarkEnd w:id="649"/>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1"/>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2"/>
        <w:numPr>
          <w:ilvl w:val="0"/>
          <w:numId w:val="24"/>
        </w:numPr>
        <w:tabs>
          <w:tab w:val="left" w:pos="425"/>
        </w:tabs>
        <w:rPr>
          <w:szCs w:val="24"/>
        </w:rPr>
      </w:pPr>
      <w:bookmarkStart w:id="650" w:name="_Toc29365"/>
      <w:bookmarkStart w:id="651" w:name="_Toc32417_WPSOffice_Level1"/>
      <w:bookmarkStart w:id="652" w:name="_Toc11653_WPSOffice_Level1"/>
      <w:bookmarkStart w:id="653" w:name="_Toc7590_WPSOffice_Level1"/>
      <w:r>
        <w:rPr>
          <w:rFonts w:hint="eastAsia"/>
          <w:szCs w:val="24"/>
          <w:lang w:val="zh-CN"/>
        </w:rPr>
        <w:t>报价函及报价函附录</w:t>
      </w:r>
      <w:bookmarkEnd w:id="650"/>
      <w:bookmarkEnd w:id="651"/>
      <w:bookmarkEnd w:id="652"/>
      <w:bookmarkEnd w:id="653"/>
    </w:p>
    <w:p>
      <w:pPr>
        <w:pStyle w:val="4"/>
        <w:numPr>
          <w:ilvl w:val="0"/>
          <w:numId w:val="25"/>
        </w:numPr>
        <w:jc w:val="center"/>
        <w:rPr>
          <w:sz w:val="28"/>
          <w:szCs w:val="28"/>
        </w:rPr>
      </w:pPr>
      <w:r>
        <w:rPr>
          <w:rFonts w:hint="eastAsia"/>
          <w:sz w:val="28"/>
          <w:szCs w:val="28"/>
          <w:lang w:val="zh-CN"/>
        </w:rPr>
        <w:t>报价函</w:t>
      </w:r>
    </w:p>
    <w:p>
      <w:pPr>
        <w:spacing w:line="360" w:lineRule="auto"/>
      </w:pPr>
      <w:r>
        <w:rPr>
          <w:rFonts w:hint="eastAsia"/>
        </w:rPr>
        <w:t>致：（</w:t>
      </w:r>
      <w:r>
        <w:rPr>
          <w:rFonts w:hint="eastAsia"/>
          <w:u w:val="single"/>
        </w:rPr>
        <w:t>采购人或采购代理机构名称</w:t>
      </w:r>
      <w:r>
        <w:rPr>
          <w:rFonts w:hint="eastAsia"/>
        </w:rPr>
        <w:t>）</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我方已仔细研究了</w:t>
      </w:r>
      <w:r>
        <w:rPr>
          <w:rFonts w:hint="eastAsia"/>
          <w:sz w:val="21"/>
          <w:u w:val="single"/>
        </w:rPr>
        <w:tab/>
      </w:r>
      <w:r>
        <w:rPr>
          <w:rFonts w:hint="eastAsia"/>
          <w:sz w:val="21"/>
          <w:u w:val="single"/>
          <w:lang w:val="en-US" w:eastAsia="zh-CN"/>
        </w:rPr>
        <w:t xml:space="preserve">   </w:t>
      </w:r>
      <w:r>
        <w:rPr>
          <w:rFonts w:hint="eastAsia"/>
          <w:sz w:val="21"/>
        </w:rPr>
        <w:t>（项目名称）采购项目竞争性磋商文件的全部内容，愿意以人民币</w:t>
      </w:r>
      <w:r>
        <w:rPr>
          <w:rFonts w:hint="eastAsia"/>
          <w:sz w:val="21"/>
          <w:lang w:val="en-US" w:eastAsia="zh-CN"/>
        </w:rPr>
        <w:t xml:space="preserve">   </w:t>
      </w:r>
      <w:r>
        <w:rPr>
          <w:rFonts w:hint="eastAsia"/>
          <w:sz w:val="21"/>
          <w:u w:val="single"/>
          <w:lang w:val="en-US" w:eastAsia="zh-CN"/>
        </w:rPr>
        <w:t xml:space="preserve">     </w:t>
      </w:r>
      <w:r>
        <w:rPr>
          <w:rFonts w:hint="eastAsia"/>
          <w:sz w:val="21"/>
        </w:rPr>
        <w:t>（大写）（¥</w:t>
      </w:r>
      <w:r>
        <w:rPr>
          <w:rFonts w:hint="eastAsia"/>
          <w:sz w:val="21"/>
          <w:lang w:val="en-US" w:eastAsia="zh-CN"/>
        </w:rPr>
        <w:t xml:space="preserve"> </w:t>
      </w:r>
      <w:r>
        <w:rPr>
          <w:rFonts w:hint="eastAsia"/>
          <w:sz w:val="21"/>
          <w:u w:val="single"/>
        </w:rPr>
        <w:tab/>
      </w:r>
      <w:r>
        <w:rPr>
          <w:rFonts w:hint="eastAsia"/>
          <w:sz w:val="21"/>
          <w:u w:val="single"/>
          <w:lang w:val="en-US" w:eastAsia="zh-CN"/>
        </w:rPr>
        <w:t xml:space="preserve"> </w:t>
      </w:r>
      <w:r>
        <w:rPr>
          <w:rFonts w:hint="eastAsia"/>
          <w:sz w:val="21"/>
        </w:rPr>
        <w:t>）的磋商总报价，计划工期</w:t>
      </w:r>
      <w:r>
        <w:rPr>
          <w:rFonts w:hint="eastAsia"/>
          <w:sz w:val="21"/>
          <w:u w:val="single"/>
        </w:rPr>
        <w:t xml:space="preserve">      </w:t>
      </w:r>
      <w:r>
        <w:rPr>
          <w:rFonts w:hint="eastAsia"/>
          <w:sz w:val="21"/>
        </w:rPr>
        <w:t>日历天，按合同约定完成全部工作。</w:t>
      </w:r>
    </w:p>
    <w:p>
      <w:pPr>
        <w:pStyle w:val="12"/>
        <w:numPr>
          <w:ilvl w:val="0"/>
          <w:numId w:val="26"/>
        </w:numPr>
        <w:tabs>
          <w:tab w:val="left" w:pos="0"/>
          <w:tab w:val="clear" w:pos="420"/>
        </w:tabs>
        <w:spacing w:after="0" w:line="360" w:lineRule="auto"/>
        <w:ind w:left="0" w:firstLine="315" w:firstLineChars="150"/>
        <w:rPr>
          <w:sz w:val="21"/>
        </w:rPr>
      </w:pPr>
      <w:r>
        <w:rPr>
          <w:rFonts w:hint="eastAsia"/>
          <w:sz w:val="21"/>
        </w:rPr>
        <w:t>如果我方成交，我方将按竞争性磋商文件的规定签订并严格履行合同中的责任和义务，在签订合同时不向你方提出附加条件，按照竞争性磋商文件要求提交履约保证金，在合同约定的期限内完成合同规定的全部内容。</w:t>
      </w:r>
    </w:p>
    <w:p>
      <w:pPr>
        <w:pStyle w:val="12"/>
        <w:numPr>
          <w:ilvl w:val="0"/>
          <w:numId w:val="26"/>
        </w:numPr>
        <w:tabs>
          <w:tab w:val="left" w:pos="720"/>
          <w:tab w:val="clear" w:pos="420"/>
        </w:tabs>
        <w:spacing w:after="0" w:line="360" w:lineRule="auto"/>
        <w:ind w:left="0" w:firstLine="315" w:firstLineChars="150"/>
        <w:rPr>
          <w:sz w:val="21"/>
        </w:rPr>
      </w:pPr>
      <w:r>
        <w:rPr>
          <w:rFonts w:hint="eastAsia"/>
          <w:sz w:val="21"/>
        </w:rPr>
        <w:t>我方已详细审查全部竞争性磋商文件，包括修改文件以及全部参考资料和有关附件。我方完全理解并同意放弃对这方面有不明及误解的权力。</w:t>
      </w:r>
    </w:p>
    <w:p>
      <w:pPr>
        <w:pStyle w:val="12"/>
        <w:numPr>
          <w:ilvl w:val="0"/>
          <w:numId w:val="26"/>
        </w:numPr>
        <w:tabs>
          <w:tab w:val="left" w:pos="720"/>
          <w:tab w:val="clear" w:pos="420"/>
        </w:tabs>
        <w:spacing w:after="0" w:line="360" w:lineRule="auto"/>
        <w:ind w:hanging="60"/>
        <w:rPr>
          <w:sz w:val="21"/>
        </w:rPr>
      </w:pPr>
      <w:r>
        <w:rPr>
          <w:rFonts w:hint="eastAsia"/>
          <w:sz w:val="21"/>
        </w:rPr>
        <w:t>磋商有效期为提交首次响应文件的截止之日起</w:t>
      </w:r>
      <w:r>
        <w:rPr>
          <w:rFonts w:hint="eastAsia"/>
          <w:sz w:val="21"/>
          <w:u w:val="single"/>
        </w:rPr>
        <w:t xml:space="preserve">  60  </w:t>
      </w:r>
      <w:r>
        <w:rPr>
          <w:rFonts w:hint="eastAsia"/>
          <w:sz w:val="21"/>
        </w:rPr>
        <w:t>日历天。</w:t>
      </w:r>
    </w:p>
    <w:p>
      <w:pPr>
        <w:pStyle w:val="12"/>
        <w:numPr>
          <w:ilvl w:val="0"/>
          <w:numId w:val="26"/>
        </w:numPr>
        <w:tabs>
          <w:tab w:val="left" w:pos="720"/>
          <w:tab w:val="clear" w:pos="420"/>
        </w:tabs>
        <w:spacing w:after="0" w:line="360" w:lineRule="auto"/>
        <w:ind w:left="0" w:firstLine="360"/>
        <w:rPr>
          <w:sz w:val="21"/>
        </w:rPr>
      </w:pPr>
      <w:r>
        <w:rPr>
          <w:rFonts w:hint="eastAsia"/>
          <w:sz w:val="21"/>
        </w:rPr>
        <w:t>如果在规定的开启时间后，我方在磋商有效期内撤回响应文件，磋商保证金将不予退回。</w:t>
      </w:r>
    </w:p>
    <w:p>
      <w:pPr>
        <w:pStyle w:val="12"/>
        <w:numPr>
          <w:ilvl w:val="0"/>
          <w:numId w:val="26"/>
        </w:numPr>
        <w:tabs>
          <w:tab w:val="left" w:pos="720"/>
          <w:tab w:val="clear" w:pos="420"/>
        </w:tabs>
        <w:spacing w:after="0" w:line="360" w:lineRule="auto"/>
        <w:ind w:left="0" w:firstLine="360"/>
        <w:rPr>
          <w:sz w:val="21"/>
        </w:rPr>
      </w:pPr>
      <w:r>
        <w:rPr>
          <w:rFonts w:hint="eastAsia"/>
          <w:sz w:val="21"/>
        </w:rPr>
        <w:t>我方在此声明，所递交的响应文件及有关资料内容完整、真实和准确，且不存在第二章“响应人须知”第 1.4.3项规定的任何一种情形。</w:t>
      </w:r>
    </w:p>
    <w:p>
      <w:pPr>
        <w:pStyle w:val="12"/>
        <w:numPr>
          <w:ilvl w:val="0"/>
          <w:numId w:val="26"/>
        </w:numPr>
        <w:tabs>
          <w:tab w:val="left" w:pos="720"/>
          <w:tab w:val="clear" w:pos="420"/>
        </w:tabs>
        <w:spacing w:after="0" w:line="360" w:lineRule="auto"/>
        <w:ind w:left="0" w:firstLine="360"/>
        <w:rPr>
          <w:sz w:val="21"/>
        </w:rPr>
      </w:pPr>
      <w:r>
        <w:rPr>
          <w:rFonts w:hint="eastAsia"/>
          <w:sz w:val="21"/>
        </w:rPr>
        <w:t>我方同意提供按照贵方可能要求的与其磋商有关的一切数据或资料，完全理解贵方不一定接受最低价的响应。</w:t>
      </w:r>
    </w:p>
    <w:p>
      <w:pPr>
        <w:spacing w:line="360" w:lineRule="auto"/>
      </w:pPr>
    </w:p>
    <w:p>
      <w:pPr>
        <w:pStyle w:val="11"/>
        <w:spacing w:line="360" w:lineRule="auto"/>
        <w:ind w:left="1" w:leftChars="0" w:firstLine="420" w:firstLineChars="200"/>
        <w:rPr>
          <w:rFonts w:ascii="宋体" w:hAnsi="宋体" w:cs="宋体"/>
        </w:rPr>
      </w:pPr>
      <w:r>
        <w:rPr>
          <w:rFonts w:hint="eastAsia" w:ascii="宋体" w:hAnsi="宋体" w:cs="宋体"/>
        </w:rPr>
        <w:t xml:space="preserve">地    址：                  邮政编码：               </w:t>
      </w:r>
    </w:p>
    <w:p>
      <w:pPr>
        <w:pStyle w:val="11"/>
        <w:spacing w:line="360" w:lineRule="auto"/>
        <w:ind w:left="1" w:leftChars="0" w:firstLine="420" w:firstLineChars="200"/>
        <w:rPr>
          <w:rFonts w:ascii="宋体" w:hAnsi="宋体" w:cs="宋体"/>
        </w:rPr>
      </w:pPr>
      <w:r>
        <w:rPr>
          <w:rFonts w:hint="eastAsia" w:ascii="宋体" w:hAnsi="宋体" w:cs="宋体"/>
        </w:rPr>
        <w:t xml:space="preserve">电    话：                  传    真：               </w:t>
      </w:r>
    </w:p>
    <w:p>
      <w:pPr>
        <w:pStyle w:val="11"/>
        <w:spacing w:line="360" w:lineRule="auto"/>
        <w:ind w:left="1" w:leftChars="0" w:firstLine="420" w:firstLineChars="200"/>
        <w:rPr>
          <w:rFonts w:ascii="宋体" w:hAnsi="宋体" w:cs="宋体"/>
        </w:rPr>
      </w:pPr>
    </w:p>
    <w:p>
      <w:pPr>
        <w:pStyle w:val="11"/>
        <w:spacing w:line="360" w:lineRule="auto"/>
        <w:ind w:left="1" w:leftChars="0" w:firstLine="420" w:firstLineChars="200"/>
        <w:jc w:val="right"/>
        <w:rPr>
          <w:rFonts w:ascii="宋体" w:hAnsi="宋体" w:cs="宋体"/>
        </w:rPr>
      </w:pPr>
      <w:r>
        <w:rPr>
          <w:rFonts w:hint="eastAsia" w:ascii="宋体" w:hAnsi="宋体" w:cs="宋体"/>
        </w:rPr>
        <w:t>响应人：（电子签章）</w:t>
      </w:r>
    </w:p>
    <w:p>
      <w:pPr>
        <w:pStyle w:val="11"/>
        <w:spacing w:line="360" w:lineRule="auto"/>
        <w:ind w:left="1" w:leftChars="0" w:firstLine="420" w:firstLineChars="200"/>
        <w:jc w:val="right"/>
        <w:rPr>
          <w:rFonts w:hint="eastAsia" w:ascii="宋体" w:hAnsi="宋体" w:cs="宋体"/>
        </w:rPr>
      </w:pPr>
      <w:r>
        <w:rPr>
          <w:rFonts w:hint="eastAsia" w:ascii="宋体" w:hAnsi="宋体" w:cs="宋体"/>
        </w:rPr>
        <w:t>法定代表人或其委托代理人：（电子签名）</w:t>
      </w:r>
    </w:p>
    <w:p>
      <w:pPr>
        <w:pStyle w:val="11"/>
        <w:wordWrap w:val="0"/>
        <w:spacing w:line="360" w:lineRule="auto"/>
        <w:ind w:left="1" w:leftChars="0" w:firstLine="420" w:firstLineChars="200"/>
        <w:jc w:val="right"/>
        <w:rPr>
          <w:rFonts w:hint="eastAsia" w:ascii="宋体" w:hAnsi="宋体" w:cs="宋体"/>
          <w:u w:val="single"/>
          <w:lang w:val="en-US" w:eastAsia="zh-CN"/>
        </w:rPr>
      </w:pPr>
      <w:r>
        <w:rPr>
          <w:rFonts w:hint="eastAsia" w:ascii="宋体" w:hAnsi="宋体" w:cs="宋体"/>
          <w:lang w:val="en-US" w:eastAsia="zh-CN"/>
        </w:rPr>
        <w:t xml:space="preserve">投标联系人; </w:t>
      </w:r>
      <w:r>
        <w:rPr>
          <w:rFonts w:hint="eastAsia" w:ascii="宋体" w:hAnsi="宋体" w:cs="宋体"/>
          <w:u w:val="single"/>
          <w:lang w:val="en-US" w:eastAsia="zh-CN"/>
        </w:rPr>
        <w:t xml:space="preserve">                           </w:t>
      </w:r>
    </w:p>
    <w:p>
      <w:pPr>
        <w:pStyle w:val="11"/>
        <w:wordWrap w:val="0"/>
        <w:spacing w:line="360" w:lineRule="auto"/>
        <w:ind w:left="1" w:leftChars="0" w:firstLine="420" w:firstLineChars="200"/>
        <w:jc w:val="right"/>
        <w:rPr>
          <w:rFonts w:hint="default" w:ascii="宋体" w:hAnsi="宋体" w:cs="宋体"/>
          <w:u w:val="single"/>
          <w:lang w:val="en-US" w:eastAsia="zh-CN"/>
        </w:rPr>
      </w:pPr>
      <w:r>
        <w:rPr>
          <w:rFonts w:hint="eastAsia" w:ascii="宋体" w:hAnsi="宋体" w:cs="宋体"/>
          <w:u w:val="none"/>
          <w:lang w:val="en-US" w:eastAsia="zh-CN"/>
        </w:rPr>
        <w:t xml:space="preserve">联系电话（手机号码）; </w:t>
      </w:r>
      <w:r>
        <w:rPr>
          <w:rFonts w:hint="eastAsia" w:ascii="宋体" w:hAnsi="宋体" w:cs="宋体"/>
          <w:u w:val="single"/>
          <w:lang w:val="en-US" w:eastAsia="zh-CN"/>
        </w:rPr>
        <w:t xml:space="preserve">                 </w:t>
      </w:r>
    </w:p>
    <w:p>
      <w:pPr>
        <w:pStyle w:val="11"/>
        <w:spacing w:line="360" w:lineRule="auto"/>
        <w:ind w:left="1" w:leftChars="0" w:firstLine="420" w:firstLineChars="200"/>
        <w:jc w:val="right"/>
        <w:rPr>
          <w:rFonts w:ascii="宋体" w:hAnsi="宋体" w:cs="宋体"/>
        </w:rPr>
      </w:pPr>
      <w:r>
        <w:rPr>
          <w:rFonts w:hint="eastAsia" w:ascii="宋体" w:hAnsi="宋体" w:cs="宋体"/>
        </w:rPr>
        <w:t>日期：     年    月    日</w:t>
      </w:r>
    </w:p>
    <w:p>
      <w:pPr>
        <w:pStyle w:val="22"/>
        <w:spacing w:line="360" w:lineRule="auto"/>
        <w:ind w:firstLine="482"/>
        <w:rPr>
          <w:rFonts w:ascii="宋体" w:hAnsi="宋体"/>
          <w:b/>
          <w:sz w:val="24"/>
          <w:szCs w:val="24"/>
        </w:rPr>
      </w:pPr>
    </w:p>
    <w:p>
      <w:pPr>
        <w:pStyle w:val="22"/>
        <w:spacing w:line="360" w:lineRule="auto"/>
        <w:ind w:firstLine="482"/>
        <w:rPr>
          <w:rFonts w:ascii="宋体" w:hAnsi="宋体"/>
          <w:b/>
          <w:sz w:val="24"/>
          <w:szCs w:val="24"/>
        </w:rPr>
      </w:pPr>
    </w:p>
    <w:p>
      <w:pPr>
        <w:pStyle w:val="5"/>
      </w:pPr>
    </w:p>
    <w:p>
      <w:pPr>
        <w:pStyle w:val="4"/>
        <w:numPr>
          <w:ilvl w:val="0"/>
          <w:numId w:val="25"/>
        </w:numPr>
        <w:jc w:val="center"/>
        <w:rPr>
          <w:sz w:val="28"/>
          <w:szCs w:val="28"/>
          <w:lang w:val="zh-CN"/>
        </w:rPr>
      </w:pPr>
      <w:bookmarkStart w:id="654" w:name="_Toc21386"/>
      <w:r>
        <w:rPr>
          <w:rFonts w:hint="eastAsia"/>
          <w:sz w:val="28"/>
          <w:szCs w:val="28"/>
          <w:lang w:val="zh-CN"/>
        </w:rPr>
        <w:t>报价函附录（第一轮报价）</w:t>
      </w:r>
      <w:bookmarkEnd w:id="654"/>
    </w:p>
    <w:p>
      <w:pPr>
        <w:spacing w:line="360" w:lineRule="auto"/>
        <w:rPr>
          <w:lang w:val="zh-CN"/>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3016"/>
        <w:gridCol w:w="698"/>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项目名称</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响应人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采购编号</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4"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磋商总报价</w:t>
            </w:r>
          </w:p>
        </w:tc>
        <w:tc>
          <w:tcPr>
            <w:tcW w:w="6345" w:type="dxa"/>
            <w:gridSpan w:val="3"/>
            <w:tcBorders>
              <w:top w:val="single" w:color="auto" w:sz="4" w:space="0"/>
              <w:left w:val="single" w:color="auto" w:sz="4" w:space="0"/>
              <w:right w:val="single" w:color="auto" w:sz="4" w:space="0"/>
            </w:tcBorders>
            <w:noWrap/>
            <w:vAlign w:val="center"/>
          </w:tcPr>
          <w:p>
            <w:pPr>
              <w:spacing w:line="360" w:lineRule="auto"/>
              <w:rPr>
                <w:u w:val="single"/>
              </w:rPr>
            </w:pPr>
            <w:r>
              <w:rPr>
                <w:rFonts w:hint="eastAsia"/>
              </w:rPr>
              <w:t>大写：</w:t>
            </w:r>
          </w:p>
          <w:p>
            <w:pPr>
              <w:spacing w:line="360" w:lineRule="auto"/>
              <w:rPr>
                <w:u w:val="single"/>
              </w:rPr>
            </w:pPr>
            <w:r>
              <w:rPr>
                <w:rFonts w:hint="eastAsia"/>
              </w:rPr>
              <w:t>小写：¥</w:t>
            </w:r>
          </w:p>
          <w:p>
            <w:pPr>
              <w:widowControl/>
              <w:spacing w:line="360" w:lineRule="auto"/>
              <w:jc w:val="center"/>
              <w:rPr>
                <w:b/>
                <w:bCs/>
              </w:rPr>
            </w:pPr>
            <w:r>
              <w:rPr>
                <w:rFonts w:hint="eastAsia"/>
                <w:b/>
                <w:bCs/>
              </w:rPr>
              <w:t>（响应人应在此填列第一次报价，但以响应人最后一次的磋商报价为成交价）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2535" w:type="dxa"/>
            <w:tcBorders>
              <w:top w:val="single" w:color="auto" w:sz="4" w:space="0"/>
              <w:left w:val="single" w:color="auto" w:sz="4" w:space="0"/>
              <w:right w:val="single" w:color="auto" w:sz="4" w:space="0"/>
            </w:tcBorders>
            <w:noWrap/>
            <w:vAlign w:val="center"/>
          </w:tcPr>
          <w:p>
            <w:pPr>
              <w:widowControl/>
              <w:spacing w:line="360" w:lineRule="auto"/>
              <w:jc w:val="center"/>
            </w:pPr>
            <w:r>
              <w:rPr>
                <w:rFonts w:hint="eastAsia"/>
              </w:rPr>
              <w:t>项目经理</w:t>
            </w:r>
          </w:p>
        </w:tc>
        <w:tc>
          <w:tcPr>
            <w:tcW w:w="3016"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c>
          <w:tcPr>
            <w:tcW w:w="698"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r>
              <w:rPr>
                <w:rFonts w:hint="eastAsia"/>
              </w:rPr>
              <w:t>证书编号</w:t>
            </w:r>
          </w:p>
        </w:tc>
        <w:tc>
          <w:tcPr>
            <w:tcW w:w="2631" w:type="dxa"/>
            <w:tcBorders>
              <w:top w:val="single" w:color="auto" w:sz="4" w:space="0"/>
              <w:left w:val="single" w:color="auto" w:sz="4" w:space="0"/>
              <w:right w:val="single" w:color="auto" w:sz="4" w:space="0"/>
            </w:tcBorders>
            <w:noWrap/>
            <w:vAlign w:val="center"/>
          </w:tcPr>
          <w:p>
            <w:pPr>
              <w:widowControl/>
              <w:spacing w:line="360" w:lineRule="auto"/>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计划工期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质量</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投标有效期</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优惠与</w:t>
            </w:r>
          </w:p>
          <w:p>
            <w:pPr>
              <w:widowControl/>
              <w:spacing w:line="360" w:lineRule="auto"/>
              <w:jc w:val="center"/>
            </w:pPr>
            <w:r>
              <w:rPr>
                <w:rFonts w:hint="eastAsia"/>
              </w:rPr>
              <w:t>服务承诺</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r>
              <w:rPr>
                <w:rFonts w:hint="eastAsia"/>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pPr>
            <w:r>
              <w:rPr>
                <w:rFonts w:hint="eastAsia"/>
              </w:rPr>
              <w:t>备  注</w:t>
            </w:r>
          </w:p>
        </w:tc>
        <w:tc>
          <w:tcPr>
            <w:tcW w:w="6345"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pPr>
          </w:p>
        </w:tc>
      </w:tr>
    </w:tbl>
    <w:p>
      <w:pPr>
        <w:spacing w:line="360" w:lineRule="auto"/>
      </w:pPr>
    </w:p>
    <w:p>
      <w:pPr>
        <w:spacing w:line="360" w:lineRule="auto"/>
      </w:pPr>
    </w:p>
    <w:p>
      <w:pPr>
        <w:spacing w:line="360" w:lineRule="auto"/>
        <w:jc w:val="right"/>
      </w:pPr>
      <w:r>
        <w:rPr>
          <w:rFonts w:hint="eastAsia"/>
        </w:rPr>
        <w:t>响应人：（电子签章）</w:t>
      </w:r>
    </w:p>
    <w:p>
      <w:pPr>
        <w:spacing w:line="360" w:lineRule="auto"/>
        <w:jc w:val="right"/>
      </w:pPr>
    </w:p>
    <w:p>
      <w:pPr>
        <w:spacing w:line="360" w:lineRule="auto"/>
        <w:jc w:val="right"/>
      </w:pPr>
      <w:r>
        <w:rPr>
          <w:rFonts w:hint="eastAsia"/>
        </w:rPr>
        <w:t>法定代表人或其委托代理人：（电子签名）</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8"/>
        <w:numPr>
          <w:ilvl w:val="1"/>
          <w:numId w:val="0"/>
        </w:numPr>
        <w:spacing w:line="360" w:lineRule="auto"/>
        <w:rPr>
          <w:rFonts w:hAnsi="宋体"/>
          <w:color w:val="auto"/>
        </w:rPr>
      </w:pPr>
    </w:p>
    <w:p>
      <w:pPr>
        <w:pStyle w:val="2"/>
        <w:numPr>
          <w:ilvl w:val="0"/>
          <w:numId w:val="24"/>
        </w:numPr>
        <w:tabs>
          <w:tab w:val="left" w:pos="425"/>
        </w:tabs>
        <w:rPr>
          <w:szCs w:val="24"/>
          <w:lang w:val="zh-CN"/>
        </w:rPr>
      </w:pPr>
      <w:bookmarkStart w:id="655" w:name="_Toc22490_WPSOffice_Level1"/>
      <w:bookmarkStart w:id="656" w:name="_Toc5242_WPSOffice_Level1"/>
      <w:bookmarkStart w:id="657" w:name="_Toc3479_WPSOffice_Level1"/>
      <w:r>
        <w:rPr>
          <w:rFonts w:hint="eastAsia"/>
          <w:szCs w:val="24"/>
          <w:lang w:val="zh-CN"/>
        </w:rPr>
        <w:t>法定代表人身份证明</w:t>
      </w:r>
      <w:bookmarkEnd w:id="655"/>
      <w:bookmarkEnd w:id="656"/>
      <w:bookmarkEnd w:id="657"/>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u w:val="single"/>
        </w:rPr>
      </w:pPr>
      <w:r>
        <w:rPr>
          <w:rFonts w:hint="eastAsia"/>
          <w:kern w:val="0"/>
        </w:rPr>
        <w:t>响应人名称：</w:t>
      </w:r>
    </w:p>
    <w:p>
      <w:pPr>
        <w:wordWrap/>
        <w:topLinePunct w:val="0"/>
        <w:autoSpaceDE w:val="0"/>
        <w:autoSpaceDN w:val="0"/>
        <w:adjustRightInd w:val="0"/>
        <w:spacing w:line="360" w:lineRule="auto"/>
        <w:ind w:firstLine="420" w:firstLineChars="200"/>
        <w:rPr>
          <w:kern w:val="0"/>
          <w:u w:val="single"/>
        </w:rPr>
      </w:pPr>
      <w:r>
        <w:rPr>
          <w:rFonts w:hint="eastAsia"/>
          <w:kern w:val="0"/>
        </w:rPr>
        <w:t>姓名： 性别： 年龄： 职务：系（响应人名称）的法定代表人。</w:t>
      </w:r>
    </w:p>
    <w:p>
      <w:pPr>
        <w:wordWrap/>
        <w:topLinePunct w:val="0"/>
        <w:autoSpaceDE w:val="0"/>
        <w:autoSpaceDN w:val="0"/>
        <w:adjustRightInd w:val="0"/>
        <w:spacing w:line="360" w:lineRule="auto"/>
        <w:rPr>
          <w:kern w:val="0"/>
        </w:rPr>
      </w:pPr>
      <w:r>
        <w:rPr>
          <w:rFonts w:hint="eastAsia"/>
          <w:kern w:val="0"/>
        </w:rPr>
        <w:t>特此证明。</w:t>
      </w:r>
    </w:p>
    <w:p>
      <w:pPr>
        <w:wordWrap/>
        <w:topLinePunct w:val="0"/>
        <w:autoSpaceDE w:val="0"/>
        <w:autoSpaceDN w:val="0"/>
        <w:adjustRightInd w:val="0"/>
        <w:spacing w:line="360" w:lineRule="auto"/>
        <w:rPr>
          <w:kern w:val="0"/>
        </w:rPr>
      </w:pPr>
      <w:r>
        <w:rPr>
          <w:rFonts w:hint="eastAsia"/>
          <w:kern w:val="0"/>
        </w:rPr>
        <w:t xml:space="preserve">附：法定代表人身份证复印件。 </w:t>
      </w:r>
    </w:p>
    <w:p>
      <w:pPr>
        <w:wordWrap/>
        <w:topLinePunct w:val="0"/>
        <w:autoSpaceDE w:val="0"/>
        <w:autoSpaceDN w:val="0"/>
        <w:adjustRightInd w:val="0"/>
        <w:spacing w:line="360" w:lineRule="auto"/>
        <w:rPr>
          <w:kern w:val="0"/>
        </w:rPr>
      </w:pPr>
      <w:r>
        <w:rPr>
          <w:rFonts w:hint="eastAsia"/>
          <w:kern w:val="0"/>
        </w:rPr>
        <w:t>注：本身份证明需由响应人加盖单位公章。</w:t>
      </w: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wordWrap/>
        <w:topLinePunct w:val="0"/>
        <w:autoSpaceDE w:val="0"/>
        <w:autoSpaceDN w:val="0"/>
        <w:adjustRightInd w:val="0"/>
        <w:spacing w:line="360" w:lineRule="auto"/>
        <w:rPr>
          <w:kern w:val="0"/>
        </w:rPr>
      </w:pPr>
    </w:p>
    <w:p>
      <w:pPr>
        <w:spacing w:line="360" w:lineRule="auto"/>
        <w:jc w:val="right"/>
      </w:pPr>
      <w:r>
        <w:rPr>
          <w:rFonts w:hint="eastAsia"/>
        </w:rPr>
        <w:t>响应人：（电子签章）</w:t>
      </w:r>
    </w:p>
    <w:p>
      <w:pPr>
        <w:spacing w:line="360" w:lineRule="auto"/>
        <w:jc w:val="right"/>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firstLine="482"/>
        <w:rPr>
          <w:rFonts w:ascii="宋体" w:hAnsi="宋体"/>
          <w:b/>
          <w:sz w:val="24"/>
          <w:szCs w:val="24"/>
        </w:rPr>
      </w:pPr>
    </w:p>
    <w:p>
      <w:pPr>
        <w:pStyle w:val="22"/>
        <w:tabs>
          <w:tab w:val="left" w:pos="4093"/>
        </w:tabs>
        <w:spacing w:line="360" w:lineRule="auto"/>
        <w:ind w:left="0" w:leftChars="0" w:firstLine="0" w:firstLineChars="0"/>
        <w:rPr>
          <w:rFonts w:ascii="宋体" w:hAnsi="宋体"/>
          <w:b/>
          <w:sz w:val="24"/>
          <w:szCs w:val="24"/>
        </w:rPr>
      </w:pPr>
    </w:p>
    <w:p>
      <w:pPr>
        <w:pStyle w:val="5"/>
      </w:pPr>
    </w:p>
    <w:p>
      <w:pPr>
        <w:spacing w:line="360" w:lineRule="auto"/>
        <w:jc w:val="center"/>
        <w:rPr>
          <w:b/>
          <w:bCs/>
          <w:sz w:val="32"/>
          <w:szCs w:val="32"/>
          <w:lang w:val="zh-CN"/>
        </w:rPr>
      </w:pPr>
      <w:bookmarkStart w:id="658" w:name="_Toc6674"/>
      <w:bookmarkStart w:id="659" w:name="_Toc11816"/>
      <w:bookmarkStart w:id="660" w:name="_Toc12134"/>
      <w:bookmarkStart w:id="661" w:name="_Toc31474_WPSOffice_Level1"/>
      <w:bookmarkStart w:id="662" w:name="_Toc28309"/>
      <w:bookmarkStart w:id="663" w:name="_Toc21662_WPSOffice_Level1"/>
      <w:bookmarkStart w:id="664" w:name="_Toc7315_WPSOffice_Level1"/>
      <w:r>
        <w:rPr>
          <w:rFonts w:hint="eastAsia"/>
          <w:b/>
          <w:bCs/>
          <w:sz w:val="32"/>
          <w:szCs w:val="32"/>
          <w:lang w:val="zh-CN"/>
        </w:rPr>
        <w:t>法定代表人授权委托书</w:t>
      </w:r>
      <w:bookmarkEnd w:id="658"/>
      <w:bookmarkEnd w:id="659"/>
      <w:bookmarkEnd w:id="660"/>
      <w:bookmarkEnd w:id="661"/>
      <w:bookmarkEnd w:id="662"/>
      <w:bookmarkEnd w:id="663"/>
      <w:bookmarkEnd w:id="664"/>
    </w:p>
    <w:p>
      <w:pPr>
        <w:autoSpaceDE w:val="0"/>
        <w:autoSpaceDN w:val="0"/>
        <w:adjustRightInd w:val="0"/>
        <w:spacing w:line="360" w:lineRule="auto"/>
        <w:rPr>
          <w:rFonts w:cs="微软雅黑"/>
          <w:kern w:val="0"/>
          <w:sz w:val="20"/>
          <w:szCs w:val="20"/>
        </w:rPr>
      </w:pPr>
    </w:p>
    <w:p>
      <w:pPr>
        <w:tabs>
          <w:tab w:val="left" w:pos="3880"/>
        </w:tabs>
        <w:wordWrap/>
        <w:topLinePunct w:val="0"/>
        <w:autoSpaceDE w:val="0"/>
        <w:autoSpaceDN w:val="0"/>
        <w:adjustRightInd w:val="0"/>
        <w:spacing w:line="360" w:lineRule="auto"/>
        <w:ind w:firstLine="420" w:firstLineChars="200"/>
      </w:pPr>
      <w:r>
        <w:rPr>
          <w:rFonts w:hint="eastAsia"/>
        </w:rPr>
        <w:t>本人（姓名）系（响应人名称）的法定代表人，现委托（姓名、职务）为我方代理人。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义签字、澄清确认、递交、撤回、修改采购项目响应文件、签订合同和处理有关事宜，其法律后果由我方承担。</w:t>
      </w:r>
    </w:p>
    <w:p>
      <w:pPr>
        <w:wordWrap/>
        <w:topLinePunct w:val="0"/>
        <w:spacing w:line="360" w:lineRule="auto"/>
        <w:ind w:firstLine="420"/>
      </w:pPr>
    </w:p>
    <w:p>
      <w:pPr>
        <w:spacing w:line="360" w:lineRule="auto"/>
        <w:ind w:firstLine="420" w:firstLineChars="200"/>
        <w:rPr>
          <w:u w:val="single"/>
        </w:rPr>
      </w:pPr>
      <w:r>
        <w:rPr>
          <w:rFonts w:hint="eastAsia"/>
        </w:rPr>
        <w:t>委托期限：</w:t>
      </w:r>
    </w:p>
    <w:p>
      <w:pPr>
        <w:spacing w:line="360" w:lineRule="auto"/>
        <w:ind w:firstLine="420" w:firstLineChars="200"/>
      </w:pPr>
      <w:r>
        <w:rPr>
          <w:rFonts w:hint="eastAsia"/>
        </w:rPr>
        <w:t>代理人无转委托权。</w:t>
      </w:r>
    </w:p>
    <w:p>
      <w:pPr>
        <w:spacing w:line="360" w:lineRule="auto"/>
        <w:ind w:firstLine="420" w:firstLineChars="200"/>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pPr>
        <w:spacing w:line="360" w:lineRule="auto"/>
      </w:pPr>
    </w:p>
    <w:p>
      <w:pPr>
        <w:spacing w:line="360" w:lineRule="auto"/>
      </w:pPr>
    </w:p>
    <w:p>
      <w:pPr>
        <w:spacing w:line="360" w:lineRule="auto"/>
      </w:pPr>
      <w:r>
        <w:rPr>
          <w:rFonts w:hint="eastAsia"/>
        </w:rPr>
        <w:t>响应人：（电子签章）</w:t>
      </w:r>
    </w:p>
    <w:p>
      <w:pPr>
        <w:pStyle w:val="8"/>
        <w:numPr>
          <w:ilvl w:val="0"/>
          <w:numId w:val="0"/>
        </w:numPr>
        <w:spacing w:line="360" w:lineRule="auto"/>
        <w:ind w:left="575" w:hanging="575"/>
        <w:rPr>
          <w:rFonts w:hAnsi="宋体"/>
          <w:color w:val="auto"/>
          <w:kern w:val="2"/>
          <w:sz w:val="21"/>
          <w:szCs w:val="21"/>
        </w:rPr>
      </w:pPr>
      <w:r>
        <w:rPr>
          <w:rFonts w:hint="eastAsia" w:hAnsi="宋体"/>
          <w:color w:val="auto"/>
          <w:kern w:val="2"/>
          <w:sz w:val="21"/>
          <w:szCs w:val="21"/>
        </w:rPr>
        <w:t>法定代表人：（电子签名）</w:t>
      </w:r>
    </w:p>
    <w:p>
      <w:pPr>
        <w:pStyle w:val="8"/>
        <w:numPr>
          <w:ilvl w:val="0"/>
          <w:numId w:val="0"/>
        </w:numPr>
        <w:spacing w:line="360" w:lineRule="auto"/>
        <w:ind w:left="575" w:hanging="575"/>
        <w:rPr>
          <w:rFonts w:hAnsi="宋体"/>
          <w:color w:val="auto"/>
          <w:kern w:val="2"/>
          <w:sz w:val="21"/>
          <w:szCs w:val="21"/>
          <w:u w:val="single"/>
        </w:rPr>
      </w:pPr>
      <w:r>
        <w:rPr>
          <w:rFonts w:hint="eastAsia" w:hAnsi="宋体"/>
          <w:color w:val="auto"/>
          <w:kern w:val="2"/>
          <w:sz w:val="21"/>
          <w:szCs w:val="21"/>
        </w:rPr>
        <w:t>身份证号：</w:t>
      </w:r>
    </w:p>
    <w:p>
      <w:pPr>
        <w:spacing w:line="360" w:lineRule="auto"/>
      </w:pPr>
      <w:r>
        <w:rPr>
          <w:rFonts w:hint="eastAsia"/>
        </w:rPr>
        <w:t>委托代理人：（电子签名）</w:t>
      </w:r>
    </w:p>
    <w:p>
      <w:pPr>
        <w:spacing w:line="360" w:lineRule="auto"/>
        <w:rPr>
          <w:u w:val="single"/>
        </w:rPr>
      </w:pPr>
      <w:r>
        <w:rPr>
          <w:rFonts w:hint="eastAsia"/>
        </w:rPr>
        <w:t>身份证号：</w:t>
      </w:r>
    </w:p>
    <w:p>
      <w:pPr>
        <w:spacing w:line="360" w:lineRule="auto"/>
        <w:rPr>
          <w:kern w:val="0"/>
          <w:u w:val="single"/>
        </w:rPr>
      </w:pPr>
    </w:p>
    <w:p>
      <w:pPr>
        <w:tabs>
          <w:tab w:val="left" w:pos="5380"/>
          <w:tab w:val="left" w:pos="6520"/>
          <w:tab w:val="left" w:pos="7680"/>
        </w:tabs>
        <w:autoSpaceDE w:val="0"/>
        <w:autoSpaceDN w:val="0"/>
        <w:adjustRightInd w:val="0"/>
        <w:spacing w:line="360" w:lineRule="auto"/>
        <w:ind w:right="-20" w:firstLine="1050" w:firstLineChars="500"/>
        <w:jc w:val="right"/>
        <w:rPr>
          <w:kern w:val="0"/>
        </w:rPr>
      </w:pPr>
      <w:r>
        <w:rPr>
          <w:rFonts w:hint="eastAsia"/>
          <w:kern w:val="0"/>
        </w:rPr>
        <w:t>年  月  日</w:t>
      </w:r>
    </w:p>
    <w:p>
      <w:pPr>
        <w:pStyle w:val="22"/>
        <w:tabs>
          <w:tab w:val="left" w:pos="4093"/>
        </w:tabs>
        <w:spacing w:line="360" w:lineRule="auto"/>
        <w:ind w:firstLine="482"/>
        <w:jc w:val="right"/>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2"/>
        <w:spacing w:line="360" w:lineRule="auto"/>
        <w:ind w:left="0" w:leftChars="0" w:firstLine="0" w:firstLineChars="0"/>
        <w:rPr>
          <w:rFonts w:ascii="宋体" w:hAnsi="宋体"/>
          <w:b/>
          <w:sz w:val="24"/>
          <w:szCs w:val="24"/>
        </w:rPr>
      </w:pPr>
    </w:p>
    <w:p>
      <w:pPr>
        <w:pStyle w:val="2"/>
        <w:tabs>
          <w:tab w:val="left" w:pos="425"/>
        </w:tabs>
        <w:ind w:left="0"/>
        <w:rPr>
          <w:szCs w:val="24"/>
          <w:lang w:val="zh-CN"/>
        </w:rPr>
      </w:pPr>
    </w:p>
    <w:p>
      <w:pPr>
        <w:pStyle w:val="5"/>
        <w:rPr>
          <w:lang w:val="zh-CN"/>
        </w:rPr>
      </w:pPr>
    </w:p>
    <w:p>
      <w:pPr>
        <w:pStyle w:val="5"/>
        <w:spacing w:line="360" w:lineRule="auto"/>
        <w:rPr>
          <w:rFonts w:ascii="宋体" w:hAnsi="宋体"/>
          <w:lang w:val="zh-CN"/>
        </w:rPr>
      </w:pPr>
    </w:p>
    <w:p>
      <w:pPr>
        <w:pStyle w:val="2"/>
        <w:numPr>
          <w:ilvl w:val="0"/>
          <w:numId w:val="24"/>
        </w:numPr>
        <w:tabs>
          <w:tab w:val="left" w:pos="425"/>
        </w:tabs>
        <w:rPr>
          <w:szCs w:val="24"/>
          <w:lang w:val="zh-CN"/>
        </w:rPr>
      </w:pPr>
      <w:bookmarkStart w:id="665" w:name="_Toc10033_WPSOffice_Level1"/>
      <w:bookmarkStart w:id="666" w:name="_Toc15417_WPSOffice_Level1"/>
      <w:bookmarkStart w:id="667" w:name="_Toc108_WPSOffice_Level1"/>
      <w:r>
        <w:rPr>
          <w:rFonts w:hint="eastAsia"/>
          <w:szCs w:val="24"/>
          <w:lang w:val="zh-CN"/>
        </w:rPr>
        <w:t>响应人资格审查资料</w:t>
      </w:r>
      <w:bookmarkEnd w:id="665"/>
      <w:bookmarkEnd w:id="666"/>
      <w:bookmarkEnd w:id="667"/>
    </w:p>
    <w:p>
      <w:pPr>
        <w:spacing w:line="360" w:lineRule="auto"/>
      </w:pPr>
    </w:p>
    <w:p>
      <w:pPr>
        <w:spacing w:line="360" w:lineRule="auto"/>
        <w:jc w:val="center"/>
        <w:rPr>
          <w:b/>
        </w:rPr>
      </w:pPr>
      <w:r>
        <w:rPr>
          <w:rFonts w:hint="eastAsia"/>
          <w:b/>
        </w:rPr>
        <w:t>（一）响应人基本情况表</w:t>
      </w:r>
    </w:p>
    <w:tbl>
      <w:tblPr>
        <w:tblStyle w:val="23"/>
        <w:tblW w:w="92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042"/>
        <w:gridCol w:w="1744"/>
        <w:gridCol w:w="691"/>
        <w:gridCol w:w="521"/>
        <w:gridCol w:w="1174"/>
        <w:gridCol w:w="49"/>
        <w:gridCol w:w="700"/>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响应人名称</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916" w:type="dxa"/>
            <w:noWrap/>
            <w:vAlign w:val="center"/>
          </w:tcPr>
          <w:p>
            <w:pPr>
              <w:spacing w:line="360" w:lineRule="auto"/>
            </w:pPr>
            <w:r>
              <w:rPr>
                <w:rFonts w:hint="eastAsia"/>
              </w:rPr>
              <w:t>注册地址</w:t>
            </w:r>
          </w:p>
        </w:tc>
        <w:tc>
          <w:tcPr>
            <w:tcW w:w="3998" w:type="dxa"/>
            <w:gridSpan w:val="4"/>
            <w:noWrap/>
            <w:vAlign w:val="center"/>
          </w:tcPr>
          <w:p>
            <w:pPr>
              <w:spacing w:line="360" w:lineRule="auto"/>
            </w:pPr>
          </w:p>
        </w:tc>
        <w:tc>
          <w:tcPr>
            <w:tcW w:w="1174" w:type="dxa"/>
            <w:noWrap/>
            <w:vAlign w:val="center"/>
          </w:tcPr>
          <w:p>
            <w:pPr>
              <w:spacing w:line="360" w:lineRule="auto"/>
            </w:pPr>
            <w:r>
              <w:rPr>
                <w:rFonts w:hint="eastAsia"/>
              </w:rPr>
              <w:t>邮政编码</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6" w:type="dxa"/>
            <w:vMerge w:val="restart"/>
            <w:noWrap/>
            <w:vAlign w:val="center"/>
          </w:tcPr>
          <w:p>
            <w:pPr>
              <w:spacing w:line="360" w:lineRule="auto"/>
            </w:pPr>
            <w:r>
              <w:rPr>
                <w:rFonts w:hint="eastAsia"/>
              </w:rPr>
              <w:t>联系方式</w:t>
            </w:r>
          </w:p>
        </w:tc>
        <w:tc>
          <w:tcPr>
            <w:tcW w:w="1042" w:type="dxa"/>
            <w:noWrap/>
            <w:vAlign w:val="center"/>
          </w:tcPr>
          <w:p>
            <w:pPr>
              <w:spacing w:line="360" w:lineRule="auto"/>
            </w:pPr>
            <w:r>
              <w:rPr>
                <w:rFonts w:hint="eastAsia"/>
              </w:rPr>
              <w:t>联系人</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电话</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vMerge w:val="continue"/>
            <w:noWrap/>
            <w:vAlign w:val="center"/>
          </w:tcPr>
          <w:p>
            <w:pPr>
              <w:spacing w:line="360" w:lineRule="auto"/>
            </w:pPr>
          </w:p>
        </w:tc>
        <w:tc>
          <w:tcPr>
            <w:tcW w:w="1042" w:type="dxa"/>
            <w:noWrap/>
            <w:vAlign w:val="center"/>
          </w:tcPr>
          <w:p>
            <w:pPr>
              <w:spacing w:line="360" w:lineRule="auto"/>
            </w:pPr>
            <w:r>
              <w:rPr>
                <w:rFonts w:hint="eastAsia"/>
              </w:rPr>
              <w:t>传真</w:t>
            </w:r>
          </w:p>
        </w:tc>
        <w:tc>
          <w:tcPr>
            <w:tcW w:w="2956" w:type="dxa"/>
            <w:gridSpan w:val="3"/>
            <w:noWrap/>
            <w:vAlign w:val="center"/>
          </w:tcPr>
          <w:p>
            <w:pPr>
              <w:spacing w:line="360" w:lineRule="auto"/>
            </w:pPr>
          </w:p>
        </w:tc>
        <w:tc>
          <w:tcPr>
            <w:tcW w:w="1174" w:type="dxa"/>
            <w:noWrap/>
            <w:vAlign w:val="center"/>
          </w:tcPr>
          <w:p>
            <w:pPr>
              <w:spacing w:line="360" w:lineRule="auto"/>
            </w:pPr>
            <w:r>
              <w:rPr>
                <w:rFonts w:hint="eastAsia"/>
              </w:rPr>
              <w:t>网址</w:t>
            </w:r>
          </w:p>
        </w:tc>
        <w:tc>
          <w:tcPr>
            <w:tcW w:w="2132" w:type="dxa"/>
            <w:gridSpan w:val="3"/>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组织结构</w:t>
            </w:r>
          </w:p>
        </w:tc>
        <w:tc>
          <w:tcPr>
            <w:tcW w:w="7304" w:type="dxa"/>
            <w:gridSpan w:val="8"/>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916" w:type="dxa"/>
            <w:noWrap/>
            <w:vAlign w:val="center"/>
          </w:tcPr>
          <w:p>
            <w:pPr>
              <w:spacing w:line="360" w:lineRule="auto"/>
            </w:pPr>
            <w:r>
              <w:rPr>
                <w:rFonts w:hint="eastAsia"/>
              </w:rPr>
              <w:t>法定代表人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技术负责人</w:t>
            </w:r>
          </w:p>
        </w:tc>
        <w:tc>
          <w:tcPr>
            <w:tcW w:w="1042" w:type="dxa"/>
            <w:noWrap/>
            <w:vAlign w:val="center"/>
          </w:tcPr>
          <w:p>
            <w:pPr>
              <w:spacing w:line="360" w:lineRule="auto"/>
            </w:pPr>
            <w:r>
              <w:rPr>
                <w:rFonts w:hint="eastAsia"/>
              </w:rPr>
              <w:t>姓名</w:t>
            </w:r>
          </w:p>
        </w:tc>
        <w:tc>
          <w:tcPr>
            <w:tcW w:w="1744" w:type="dxa"/>
            <w:noWrap/>
            <w:vAlign w:val="center"/>
          </w:tcPr>
          <w:p>
            <w:pPr>
              <w:spacing w:line="360" w:lineRule="auto"/>
            </w:pPr>
          </w:p>
        </w:tc>
        <w:tc>
          <w:tcPr>
            <w:tcW w:w="1212" w:type="dxa"/>
            <w:gridSpan w:val="2"/>
            <w:noWrap/>
            <w:vAlign w:val="center"/>
          </w:tcPr>
          <w:p>
            <w:pPr>
              <w:spacing w:line="360" w:lineRule="auto"/>
            </w:pPr>
            <w:r>
              <w:rPr>
                <w:rFonts w:hint="eastAsia"/>
              </w:rPr>
              <w:t>技术职称</w:t>
            </w:r>
          </w:p>
        </w:tc>
        <w:tc>
          <w:tcPr>
            <w:tcW w:w="1223" w:type="dxa"/>
            <w:gridSpan w:val="2"/>
            <w:noWrap/>
            <w:vAlign w:val="center"/>
          </w:tcPr>
          <w:p>
            <w:pPr>
              <w:spacing w:line="360" w:lineRule="auto"/>
            </w:pPr>
          </w:p>
        </w:tc>
        <w:tc>
          <w:tcPr>
            <w:tcW w:w="700" w:type="dxa"/>
            <w:noWrap/>
            <w:vAlign w:val="center"/>
          </w:tcPr>
          <w:p>
            <w:pPr>
              <w:spacing w:line="360" w:lineRule="auto"/>
            </w:pPr>
            <w:r>
              <w:rPr>
                <w:rFonts w:hint="eastAsia"/>
              </w:rPr>
              <w:t>电话</w:t>
            </w:r>
          </w:p>
        </w:tc>
        <w:tc>
          <w:tcPr>
            <w:tcW w:w="1383" w:type="dxa"/>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成立时间</w:t>
            </w:r>
          </w:p>
        </w:tc>
        <w:tc>
          <w:tcPr>
            <w:tcW w:w="2786" w:type="dxa"/>
            <w:gridSpan w:val="2"/>
            <w:noWrap/>
            <w:vAlign w:val="center"/>
          </w:tcPr>
          <w:p>
            <w:pPr>
              <w:spacing w:line="360" w:lineRule="auto"/>
            </w:pPr>
          </w:p>
        </w:tc>
        <w:tc>
          <w:tcPr>
            <w:tcW w:w="4518" w:type="dxa"/>
            <w:gridSpan w:val="6"/>
            <w:noWrap/>
            <w:vAlign w:val="center"/>
          </w:tcPr>
          <w:p>
            <w:pPr>
              <w:spacing w:line="360" w:lineRule="auto"/>
            </w:pPr>
            <w:r>
              <w:rPr>
                <w:rFonts w:hint="eastAsia"/>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916" w:type="dxa"/>
            <w:noWrap/>
            <w:vAlign w:val="center"/>
          </w:tcPr>
          <w:p>
            <w:pPr>
              <w:spacing w:line="360" w:lineRule="auto"/>
            </w:pPr>
            <w:r>
              <w:rPr>
                <w:rFonts w:hint="eastAsia"/>
              </w:rPr>
              <w:t>营业执照号</w:t>
            </w:r>
          </w:p>
        </w:tc>
        <w:tc>
          <w:tcPr>
            <w:tcW w:w="2786" w:type="dxa"/>
            <w:gridSpan w:val="2"/>
            <w:noWrap/>
            <w:vAlign w:val="center"/>
          </w:tcPr>
          <w:p>
            <w:pPr>
              <w:spacing w:line="360" w:lineRule="auto"/>
            </w:pPr>
          </w:p>
        </w:tc>
        <w:tc>
          <w:tcPr>
            <w:tcW w:w="691" w:type="dxa"/>
            <w:vMerge w:val="restart"/>
            <w:noWrap/>
            <w:vAlign w:val="center"/>
          </w:tcPr>
          <w:p>
            <w:pPr>
              <w:spacing w:line="360" w:lineRule="auto"/>
            </w:pPr>
            <w:r>
              <w:rPr>
                <w:rFonts w:hint="eastAsia"/>
              </w:rPr>
              <w:t>其中</w:t>
            </w:r>
          </w:p>
        </w:tc>
        <w:tc>
          <w:tcPr>
            <w:tcW w:w="1744" w:type="dxa"/>
            <w:gridSpan w:val="3"/>
            <w:noWrap/>
            <w:vAlign w:val="center"/>
          </w:tcPr>
          <w:p>
            <w:pPr>
              <w:spacing w:line="360" w:lineRule="auto"/>
            </w:pPr>
            <w:r>
              <w:rPr>
                <w:rFonts w:hint="eastAsia"/>
              </w:rPr>
              <w:t>项目经理</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注册资金</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高级职称人员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16" w:type="dxa"/>
            <w:noWrap/>
            <w:vAlign w:val="center"/>
          </w:tcPr>
          <w:p>
            <w:pPr>
              <w:spacing w:line="360" w:lineRule="auto"/>
            </w:pPr>
            <w:r>
              <w:rPr>
                <w:rFonts w:hint="eastAsia"/>
              </w:rPr>
              <w:t>开户银行</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中级职称人员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916" w:type="dxa"/>
            <w:noWrap/>
            <w:vAlign w:val="center"/>
          </w:tcPr>
          <w:p>
            <w:pPr>
              <w:spacing w:line="360" w:lineRule="auto"/>
            </w:pPr>
            <w:r>
              <w:rPr>
                <w:rFonts w:hint="eastAsia"/>
              </w:rPr>
              <w:t>账号</w:t>
            </w: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初级职称人员</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16" w:type="dxa"/>
            <w:noWrap/>
            <w:vAlign w:val="center"/>
          </w:tcPr>
          <w:p>
            <w:pPr>
              <w:spacing w:line="360" w:lineRule="auto"/>
            </w:pPr>
          </w:p>
        </w:tc>
        <w:tc>
          <w:tcPr>
            <w:tcW w:w="2786" w:type="dxa"/>
            <w:gridSpan w:val="2"/>
            <w:noWrap/>
            <w:vAlign w:val="center"/>
          </w:tcPr>
          <w:p>
            <w:pPr>
              <w:spacing w:line="360" w:lineRule="auto"/>
            </w:pPr>
          </w:p>
        </w:tc>
        <w:tc>
          <w:tcPr>
            <w:tcW w:w="691" w:type="dxa"/>
            <w:vMerge w:val="continue"/>
            <w:noWrap/>
            <w:vAlign w:val="center"/>
          </w:tcPr>
          <w:p>
            <w:pPr>
              <w:spacing w:line="360" w:lineRule="auto"/>
            </w:pPr>
          </w:p>
        </w:tc>
        <w:tc>
          <w:tcPr>
            <w:tcW w:w="1744" w:type="dxa"/>
            <w:gridSpan w:val="3"/>
            <w:noWrap/>
            <w:vAlign w:val="center"/>
          </w:tcPr>
          <w:p>
            <w:pPr>
              <w:spacing w:line="360" w:lineRule="auto"/>
            </w:pPr>
            <w:r>
              <w:rPr>
                <w:rFonts w:hint="eastAsia"/>
              </w:rPr>
              <w:t>技工</w:t>
            </w:r>
          </w:p>
        </w:tc>
        <w:tc>
          <w:tcPr>
            <w:tcW w:w="2083" w:type="dxa"/>
            <w:gridSpan w:val="2"/>
            <w:noWrap/>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1916" w:type="dxa"/>
            <w:noWrap/>
          </w:tcPr>
          <w:p>
            <w:pPr>
              <w:spacing w:line="360" w:lineRule="auto"/>
            </w:pPr>
            <w:r>
              <w:rPr>
                <w:rFonts w:hint="eastAsia"/>
              </w:rPr>
              <w:t>经营范围备注</w:t>
            </w:r>
          </w:p>
        </w:tc>
        <w:tc>
          <w:tcPr>
            <w:tcW w:w="7304" w:type="dxa"/>
            <w:gridSpan w:val="8"/>
            <w:noWrap/>
          </w:tcPr>
          <w:p>
            <w:pPr>
              <w:spacing w:line="360" w:lineRule="auto"/>
              <w:ind w:firstLine="420" w:firstLineChars="200"/>
            </w:pPr>
          </w:p>
        </w:tc>
      </w:tr>
    </w:tbl>
    <w:p>
      <w:pPr>
        <w:spacing w:line="360" w:lineRule="auto"/>
        <w:rPr>
          <w:b/>
        </w:rPr>
      </w:pPr>
    </w:p>
    <w:p>
      <w:pPr>
        <w:autoSpaceDE w:val="0"/>
        <w:autoSpaceDN w:val="0"/>
        <w:adjustRightInd w:val="0"/>
        <w:spacing w:line="360" w:lineRule="auto"/>
        <w:jc w:val="left"/>
        <w:rPr>
          <w:bCs/>
        </w:rPr>
      </w:pPr>
    </w:p>
    <w:p>
      <w:pPr>
        <w:autoSpaceDE w:val="0"/>
        <w:autoSpaceDN w:val="0"/>
        <w:adjustRightInd w:val="0"/>
        <w:spacing w:line="360" w:lineRule="auto"/>
        <w:jc w:val="left"/>
        <w:rPr>
          <w:rFonts w:cs="微软雅黑"/>
          <w:kern w:val="0"/>
          <w:sz w:val="20"/>
          <w:szCs w:val="20"/>
        </w:rPr>
      </w:pPr>
      <w:r>
        <w:rPr>
          <w:rFonts w:hint="eastAsia"/>
          <w:bCs/>
        </w:rPr>
        <w:t>本表后需附营业执照及相关资质证书</w:t>
      </w:r>
      <w:r>
        <w:rPr>
          <w:rFonts w:hint="eastAsia"/>
        </w:rPr>
        <w:t>复印件</w:t>
      </w:r>
    </w:p>
    <w:p>
      <w:pPr>
        <w:pStyle w:val="37"/>
        <w:spacing w:line="360" w:lineRule="auto"/>
        <w:ind w:firstLine="0"/>
        <w:rPr>
          <w:lang w:val="en-US"/>
        </w:rPr>
      </w:pPr>
    </w:p>
    <w:p>
      <w:pPr>
        <w:spacing w:line="360" w:lineRule="auto"/>
        <w:jc w:val="center"/>
        <w:rPr>
          <w:b/>
        </w:rPr>
      </w:pPr>
      <w:r>
        <w:rPr>
          <w:rFonts w:hint="eastAsia"/>
          <w:b/>
        </w:rPr>
        <w:t>（二）参加政府采购活动前3年在经营活动中没有重大</w:t>
      </w:r>
    </w:p>
    <w:p>
      <w:pPr>
        <w:spacing w:line="360" w:lineRule="auto"/>
        <w:jc w:val="center"/>
        <w:rPr>
          <w:rFonts w:cs="黑体"/>
          <w:b/>
          <w:sz w:val="28"/>
          <w:szCs w:val="28"/>
        </w:rPr>
      </w:pPr>
      <w:r>
        <w:rPr>
          <w:rFonts w:hint="eastAsia"/>
          <w:b/>
        </w:rPr>
        <w:t>违法记录的书面声明</w:t>
      </w:r>
    </w:p>
    <w:p>
      <w:pPr>
        <w:spacing w:beforeLines="50" w:afterLines="50" w:line="360" w:lineRule="auto"/>
        <w:ind w:left="687" w:leftChars="227" w:hanging="210" w:hangingChars="100"/>
        <w:rPr>
          <w:highlight w:val="yellow"/>
          <w:u w:val="single"/>
        </w:rPr>
      </w:pPr>
      <w:r>
        <w:rPr>
          <w:rFonts w:hint="eastAsia"/>
        </w:rPr>
        <w:t>采购人名称：</w:t>
      </w:r>
    </w:p>
    <w:p>
      <w:pPr>
        <w:spacing w:beforeLines="50" w:afterLines="50" w:line="360" w:lineRule="auto"/>
        <w:ind w:left="689" w:leftChars="328" w:firstLine="210" w:firstLineChars="100"/>
      </w:pPr>
      <w:r>
        <w:rPr>
          <w:rFonts w:hint="eastAsia"/>
        </w:rPr>
        <w:t>我单位在参加政府采购活动前3年在经营活动中没有重大违法记录，特此声明。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line="360" w:lineRule="auto"/>
        <w:rPr>
          <w:b/>
        </w:rPr>
      </w:pPr>
    </w:p>
    <w:p>
      <w:pPr>
        <w:pStyle w:val="8"/>
        <w:numPr>
          <w:ilvl w:val="0"/>
          <w:numId w:val="0"/>
        </w:numPr>
        <w:spacing w:line="360" w:lineRule="auto"/>
        <w:ind w:left="424" w:leftChars="202" w:firstLine="1050" w:firstLineChars="500"/>
        <w:rPr>
          <w:rFonts w:hAnsi="宋体"/>
          <w:b/>
          <w:color w:val="auto"/>
          <w:kern w:val="2"/>
          <w:sz w:val="21"/>
          <w:szCs w:val="21"/>
        </w:rPr>
      </w:pPr>
      <w:r>
        <w:rPr>
          <w:rFonts w:hAnsi="宋体"/>
          <w:color w:val="auto"/>
          <w:sz w:val="21"/>
        </w:rPr>
        <w:br w:type="page"/>
      </w:r>
      <w:r>
        <w:rPr>
          <w:rFonts w:hint="eastAsia" w:hAnsi="宋体"/>
          <w:b/>
          <w:color w:val="auto"/>
          <w:kern w:val="2"/>
          <w:sz w:val="21"/>
          <w:szCs w:val="21"/>
        </w:rPr>
        <w:t>（三）具备履行合同所必需的设备和专业技术能力的证明材料</w:t>
      </w:r>
    </w:p>
    <w:p>
      <w:pPr>
        <w:pStyle w:val="8"/>
        <w:numPr>
          <w:ilvl w:val="0"/>
          <w:numId w:val="0"/>
        </w:numPr>
        <w:spacing w:line="360" w:lineRule="auto"/>
        <w:ind w:left="425"/>
        <w:rPr>
          <w:rFonts w:hAnsi="宋体" w:cs="黑体"/>
          <w:b/>
          <w:color w:val="auto"/>
          <w:sz w:val="28"/>
          <w:szCs w:val="28"/>
        </w:rPr>
      </w:pPr>
    </w:p>
    <w:p>
      <w:pPr>
        <w:spacing w:beforeLines="50" w:afterLines="50" w:line="360" w:lineRule="auto"/>
        <w:ind w:left="687" w:leftChars="227" w:hanging="210" w:hangingChars="100"/>
        <w:rPr>
          <w:highlight w:val="yellow"/>
        </w:rPr>
      </w:pPr>
      <w:r>
        <w:rPr>
          <w:rFonts w:hint="eastAsia"/>
        </w:rPr>
        <w:t>采购人名称：</w:t>
      </w:r>
    </w:p>
    <w:p>
      <w:pPr>
        <w:spacing w:beforeLines="50" w:afterLines="50" w:line="360" w:lineRule="auto"/>
        <w:ind w:left="689" w:leftChars="328" w:firstLine="210" w:firstLineChars="100"/>
      </w:pPr>
      <w:r>
        <w:rPr>
          <w:rFonts w:hint="eastAsia"/>
        </w:rPr>
        <w:t>我单位具备履行合同所必需的设备和专业技术能力，特此声明。</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37"/>
        <w:spacing w:line="360" w:lineRule="auto"/>
        <w:rPr>
          <w:lang w:val="en-US"/>
        </w:rPr>
      </w:pPr>
    </w:p>
    <w:p>
      <w:pPr>
        <w:pStyle w:val="37"/>
        <w:spacing w:line="360" w:lineRule="auto"/>
        <w:rPr>
          <w:lang w:val="en-US"/>
        </w:rPr>
      </w:pPr>
    </w:p>
    <w:p>
      <w:pPr>
        <w:spacing w:beforeLines="50" w:afterLines="50" w:line="360" w:lineRule="auto"/>
        <w:ind w:left="687" w:leftChars="227" w:hanging="210" w:hangingChars="100"/>
      </w:pPr>
    </w:p>
    <w:p>
      <w:pPr>
        <w:spacing w:line="360" w:lineRule="auto"/>
        <w:jc w:val="right"/>
      </w:pPr>
    </w:p>
    <w:p>
      <w:pPr>
        <w:spacing w:line="360" w:lineRule="auto"/>
        <w:jc w:val="right"/>
        <w:rPr>
          <w:u w:val="single"/>
        </w:rPr>
      </w:pPr>
      <w:r>
        <w:rPr>
          <w:rFonts w:hint="eastAsia"/>
        </w:rPr>
        <w:t>响应人（电子签章）：</w:t>
      </w:r>
    </w:p>
    <w:p>
      <w:pPr>
        <w:spacing w:line="360" w:lineRule="auto"/>
        <w:jc w:val="right"/>
        <w:rPr>
          <w:u w:val="single"/>
        </w:rPr>
      </w:pPr>
      <w:r>
        <w:rPr>
          <w:rFonts w:hint="eastAsia"/>
        </w:rPr>
        <w:t>法定代表人或被授权人（电子签名）：</w:t>
      </w:r>
    </w:p>
    <w:p>
      <w:pPr>
        <w:spacing w:line="360" w:lineRule="auto"/>
        <w:jc w:val="right"/>
      </w:pPr>
    </w:p>
    <w:p>
      <w:pPr>
        <w:spacing w:line="360" w:lineRule="auto"/>
        <w:jc w:val="right"/>
      </w:pPr>
      <w:r>
        <w:rPr>
          <w:rFonts w:hint="eastAsia"/>
        </w:rPr>
        <w:t>日期：  年  月  日</w:t>
      </w: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spacing w:beforeLines="50" w:afterLines="50" w:line="360" w:lineRule="auto"/>
        <w:ind w:left="687" w:leftChars="227" w:hanging="210" w:hangingChars="100"/>
      </w:pPr>
    </w:p>
    <w:p>
      <w:pPr>
        <w:pStyle w:val="22"/>
        <w:spacing w:line="360" w:lineRule="auto"/>
        <w:rPr>
          <w:rFonts w:ascii="宋体" w:hAnsi="宋体" w:cs="宋体"/>
        </w:rPr>
      </w:pPr>
    </w:p>
    <w:p>
      <w:pPr>
        <w:pStyle w:val="22"/>
        <w:spacing w:line="360" w:lineRule="auto"/>
        <w:rPr>
          <w:rFonts w:ascii="宋体" w:hAnsi="宋体" w:cs="宋体"/>
        </w:rPr>
      </w:pPr>
    </w:p>
    <w:p>
      <w:pPr>
        <w:pStyle w:val="22"/>
        <w:spacing w:line="360" w:lineRule="auto"/>
        <w:ind w:left="0" w:leftChars="0" w:firstLine="0" w:firstLineChars="0"/>
        <w:rPr>
          <w:rFonts w:ascii="宋体" w:hAnsi="宋体" w:cs="宋体"/>
        </w:rPr>
      </w:pPr>
    </w:p>
    <w:p>
      <w:pPr>
        <w:rPr>
          <w:rFonts w:hint="eastAsia" w:ascii="仿宋" w:hAnsi="仿宋" w:eastAsia="仿宋" w:cs="仿宋"/>
          <w:sz w:val="22"/>
          <w:szCs w:val="28"/>
        </w:rPr>
      </w:pPr>
    </w:p>
    <w:p>
      <w:pPr>
        <w:rPr>
          <w:rFonts w:hint="eastAsia" w:ascii="仿宋" w:hAnsi="仿宋" w:eastAsia="仿宋" w:cs="仿宋"/>
          <w:sz w:val="22"/>
          <w:szCs w:val="28"/>
        </w:rPr>
      </w:pPr>
      <w:r>
        <w:rPr>
          <w:rFonts w:hint="eastAsia" w:ascii="仿宋" w:hAnsi="仿宋" w:eastAsia="仿宋" w:cs="仿宋"/>
          <w:sz w:val="22"/>
          <w:szCs w:val="28"/>
        </w:rPr>
        <w:t>附件：</w:t>
      </w:r>
    </w:p>
    <w:p>
      <w:pPr>
        <w:rPr>
          <w:rFonts w:hint="eastAsia" w:ascii="仿宋" w:hAnsi="仿宋" w:eastAsia="仿宋" w:cs="仿宋"/>
          <w:sz w:val="22"/>
          <w:szCs w:val="28"/>
        </w:rPr>
      </w:pPr>
    </w:p>
    <w:p>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社旗县</w:t>
      </w:r>
      <w:r>
        <w:rPr>
          <w:rFonts w:hint="eastAsia" w:ascii="宋体" w:hAnsi="宋体" w:eastAsia="宋体" w:cs="宋体"/>
          <w:b/>
          <w:bCs/>
          <w:sz w:val="28"/>
          <w:szCs w:val="36"/>
        </w:rPr>
        <w:t>政府采购供应商信用承诺函</w:t>
      </w:r>
    </w:p>
    <w:p>
      <w:pPr>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致(采购人或采购代理机构):</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单位名称：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统一社会信用代码：</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法定代表人：</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联系地址和电话：</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(一)具有独立承担民事责任的能力；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(五)参加政府采购活动前三年内，在经营活动中没有</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2"/>
          <w:szCs w:val="28"/>
        </w:rPr>
      </w:pPr>
      <w:r>
        <w:rPr>
          <w:rFonts w:hint="eastAsia" w:ascii="仿宋" w:hAnsi="仿宋" w:eastAsia="仿宋" w:cs="仿宋"/>
          <w:sz w:val="22"/>
          <w:szCs w:val="28"/>
        </w:rPr>
        <w:t>重大违法记录；</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(六)法律、行政法规规定的其他条件。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我单位保证上述承诺事项的真实性，如有弄虚作假或其他违法违规行为，愿意承担一切法律责任，并承担因此所造成的一切损失。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2200" w:firstLineChars="1000"/>
        <w:textAlignment w:val="auto"/>
        <w:rPr>
          <w:rFonts w:hint="eastAsia" w:ascii="仿宋" w:hAnsi="仿宋" w:eastAsia="仿宋" w:cs="仿宋"/>
          <w:sz w:val="22"/>
          <w:szCs w:val="28"/>
        </w:rPr>
      </w:pPr>
      <w:r>
        <w:rPr>
          <w:rFonts w:hint="eastAsia" w:ascii="仿宋" w:hAnsi="仿宋" w:eastAsia="仿宋" w:cs="仿宋"/>
          <w:sz w:val="22"/>
          <w:szCs w:val="28"/>
        </w:rPr>
        <w:t>投标人(企业电子章):</w:t>
      </w:r>
    </w:p>
    <w:p>
      <w:pPr>
        <w:keepNext w:val="0"/>
        <w:keepLines w:val="0"/>
        <w:pageBreakBefore w:val="0"/>
        <w:widowControl w:val="0"/>
        <w:kinsoku/>
        <w:wordWrap/>
        <w:overflowPunct/>
        <w:topLinePunct w:val="0"/>
        <w:autoSpaceDE/>
        <w:autoSpaceDN/>
        <w:bidi w:val="0"/>
        <w:adjustRightInd/>
        <w:snapToGrid/>
        <w:ind w:firstLine="1100" w:firstLineChars="500"/>
        <w:textAlignment w:val="auto"/>
        <w:rPr>
          <w:rFonts w:hint="eastAsia" w:ascii="仿宋" w:hAnsi="仿宋" w:eastAsia="仿宋" w:cs="仿宋"/>
          <w:sz w:val="22"/>
          <w:szCs w:val="28"/>
        </w:rPr>
      </w:pPr>
      <w:r>
        <w:rPr>
          <w:rFonts w:hint="eastAsia" w:ascii="仿宋" w:hAnsi="仿宋" w:eastAsia="仿宋" w:cs="仿宋"/>
          <w:sz w:val="22"/>
          <w:szCs w:val="28"/>
        </w:rPr>
        <w:t>法定代表人或授权代表(签字或电子印章):</w:t>
      </w:r>
    </w:p>
    <w:p>
      <w:pPr>
        <w:keepNext w:val="0"/>
        <w:keepLines w:val="0"/>
        <w:pageBreakBefore w:val="0"/>
        <w:widowControl w:val="0"/>
        <w:kinsoku/>
        <w:wordWrap/>
        <w:overflowPunct/>
        <w:topLinePunct w:val="0"/>
        <w:autoSpaceDE/>
        <w:autoSpaceDN/>
        <w:bidi w:val="0"/>
        <w:adjustRightInd/>
        <w:snapToGrid/>
        <w:ind w:firstLine="2420" w:firstLineChars="1100"/>
        <w:textAlignment w:val="auto"/>
        <w:rPr>
          <w:rFonts w:hint="eastAsia" w:ascii="仿宋" w:hAnsi="仿宋" w:eastAsia="仿宋" w:cs="仿宋"/>
          <w:sz w:val="22"/>
          <w:szCs w:val="28"/>
        </w:rPr>
      </w:pPr>
      <w:r>
        <w:rPr>
          <w:rFonts w:hint="eastAsia" w:ascii="仿宋" w:hAnsi="仿宋" w:eastAsia="仿宋" w:cs="仿宋"/>
          <w:sz w:val="22"/>
          <w:szCs w:val="28"/>
        </w:rPr>
        <w:t>日期：        年     月    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1、投标人须在投标文件中按此模板提供承诺函，未提供视为未实质性响应招标文件要求，按无效投标处理。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sz w:val="22"/>
          <w:szCs w:val="28"/>
        </w:rPr>
      </w:pPr>
      <w:r>
        <w:rPr>
          <w:rFonts w:hint="eastAsia" w:ascii="仿宋" w:hAnsi="仿宋" w:eastAsia="仿宋" w:cs="仿宋"/>
          <w:sz w:val="22"/>
          <w:szCs w:val="28"/>
        </w:rPr>
        <w:t>2、投标人的法定代表人或者授权代表的签字或盖章应 真实、有效，如由授权代表签字或盖章的，应提供“法定代表人授权书”。</w:t>
      </w:r>
    </w:p>
    <w:p/>
    <w:p>
      <w:pPr>
        <w:pStyle w:val="22"/>
        <w:spacing w:line="360" w:lineRule="auto"/>
        <w:ind w:left="0" w:leftChars="0" w:firstLine="0" w:firstLineChars="0"/>
        <w:rPr>
          <w:rFonts w:ascii="宋体" w:hAnsi="宋体" w:cs="宋体"/>
        </w:rPr>
      </w:pPr>
    </w:p>
    <w:p>
      <w:pPr>
        <w:spacing w:beforeLines="50" w:afterLines="50" w:line="360" w:lineRule="auto"/>
        <w:jc w:val="center"/>
        <w:rPr>
          <w:rFonts w:hint="eastAsia"/>
          <w:b/>
        </w:rPr>
      </w:pPr>
    </w:p>
    <w:p>
      <w:pPr>
        <w:spacing w:beforeLines="50" w:afterLines="50" w:line="360" w:lineRule="auto"/>
        <w:jc w:val="center"/>
        <w:rPr>
          <w:rFonts w:hint="eastAsia"/>
          <w:b/>
        </w:rPr>
      </w:pPr>
    </w:p>
    <w:p>
      <w:pPr>
        <w:spacing w:beforeLines="50" w:afterLines="50" w:line="360" w:lineRule="auto"/>
        <w:jc w:val="center"/>
        <w:rPr>
          <w:b/>
        </w:rPr>
      </w:pPr>
      <w:r>
        <w:rPr>
          <w:rFonts w:hint="eastAsia"/>
          <w:b/>
        </w:rPr>
        <w:t>（四）其他资料</w:t>
      </w:r>
    </w:p>
    <w:p>
      <w:pPr>
        <w:spacing w:line="360" w:lineRule="auto"/>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1"/>
        <w:rPr>
          <w:rFonts w:ascii="宋体" w:hAnsi="宋体"/>
        </w:rPr>
      </w:pPr>
    </w:p>
    <w:p>
      <w:pPr>
        <w:pStyle w:val="22"/>
        <w:rPr>
          <w:rFonts w:ascii="宋体" w:hAnsi="宋体"/>
        </w:rPr>
      </w:pPr>
    </w:p>
    <w:p>
      <w:pPr>
        <w:pStyle w:val="21"/>
        <w:rPr>
          <w:rFonts w:ascii="宋体" w:hAnsi="宋体"/>
        </w:rPr>
      </w:pPr>
    </w:p>
    <w:p>
      <w:pPr>
        <w:pStyle w:val="45"/>
        <w:jc w:val="center"/>
        <w:rPr>
          <w:rFonts w:hint="eastAsia" w:ascii="宋体" w:hAnsi="宋体" w:eastAsia="宋体"/>
          <w:b/>
          <w:szCs w:val="24"/>
          <w:lang w:eastAsia="zh-CN"/>
        </w:rPr>
      </w:pPr>
      <w:r>
        <w:rPr>
          <w:rFonts w:hint="eastAsia" w:ascii="宋体" w:hAnsi="宋体" w:eastAsia="宋体"/>
          <w:b/>
          <w:sz w:val="32"/>
          <w:szCs w:val="32"/>
          <w:lang w:eastAsia="zh-CN"/>
        </w:rPr>
        <w:t>南阳市政府采购供应商信用记录表</w:t>
      </w:r>
    </w:p>
    <w:p>
      <w:pPr>
        <w:rPr>
          <w:rFonts w:hint="eastAsia" w:ascii="Cambria" w:hAnsi="Cambria"/>
        </w:rPr>
      </w:pPr>
      <w:r>
        <w:t xml:space="preserve"> </w:t>
      </w:r>
    </w:p>
    <w:p>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sz w:val="24"/>
          <w:szCs w:val="24"/>
        </w:rPr>
      </w:pPr>
      <w:r>
        <w:rPr>
          <w:rFonts w:hint="eastAsia" w:ascii="宋体" w:hAnsi="宋体"/>
          <w:sz w:val="24"/>
          <w:szCs w:val="24"/>
        </w:rPr>
        <w:t>注：根据</w:t>
      </w:r>
      <w:r>
        <w:rPr>
          <w:rFonts w:hint="eastAsia" w:ascii="宋体" w:hAnsi="宋体"/>
          <w:sz w:val="24"/>
          <w:szCs w:val="24"/>
          <w:lang w:eastAsia="zh-CN"/>
        </w:rPr>
        <w:t>社旗县</w:t>
      </w:r>
      <w:r>
        <w:rPr>
          <w:rFonts w:hint="eastAsia" w:ascii="宋体" w:hAnsi="宋体"/>
          <w:sz w:val="24"/>
          <w:szCs w:val="24"/>
        </w:rPr>
        <w:t>财政局</w:t>
      </w:r>
      <w:r>
        <w:rPr>
          <w:rFonts w:hint="eastAsia" w:ascii="宋体" w:hAnsi="宋体"/>
          <w:sz w:val="24"/>
          <w:szCs w:val="24"/>
          <w:lang w:eastAsia="zh-CN"/>
        </w:rPr>
        <w:t>规定</w:t>
      </w:r>
      <w:r>
        <w:rPr>
          <w:rFonts w:hint="eastAsia"/>
          <w:sz w:val="24"/>
          <w:szCs w:val="24"/>
          <w:lang w:val="en-US" w:eastAsia="zh-CN"/>
        </w:rPr>
        <w:t>2023</w:t>
      </w:r>
      <w:r>
        <w:rPr>
          <w:rFonts w:hint="eastAsia" w:ascii="宋体" w:hAnsi="宋体"/>
          <w:sz w:val="24"/>
          <w:szCs w:val="24"/>
        </w:rPr>
        <w:t>年</w:t>
      </w:r>
      <w:r>
        <w:rPr>
          <w:rFonts w:hint="eastAsia"/>
          <w:sz w:val="24"/>
          <w:szCs w:val="24"/>
          <w:lang w:val="en-US" w:eastAsia="zh-CN"/>
        </w:rPr>
        <w:t>1</w:t>
      </w:r>
      <w:r>
        <w:rPr>
          <w:rFonts w:hint="eastAsia" w:ascii="宋体" w:hAnsi="宋体"/>
          <w:sz w:val="24"/>
          <w:szCs w:val="24"/>
        </w:rPr>
        <w:t>月</w:t>
      </w:r>
      <w:r>
        <w:rPr>
          <w:rFonts w:hint="eastAsia"/>
          <w:sz w:val="24"/>
          <w:szCs w:val="24"/>
          <w:lang w:val="en-US" w:eastAsia="zh-CN"/>
        </w:rPr>
        <w:t>1</w:t>
      </w:r>
      <w:r>
        <w:rPr>
          <w:rFonts w:hint="eastAsia" w:ascii="宋体" w:hAnsi="宋体"/>
          <w:sz w:val="24"/>
          <w:szCs w:val="24"/>
        </w:rPr>
        <w:t>日</w:t>
      </w:r>
      <w:r>
        <w:rPr>
          <w:rFonts w:hint="eastAsia" w:ascii="宋体" w:hAnsi="宋体"/>
          <w:sz w:val="24"/>
          <w:szCs w:val="24"/>
          <w:lang w:eastAsia="zh-CN"/>
        </w:rPr>
        <w:t>起</w:t>
      </w:r>
      <w:r>
        <w:rPr>
          <w:rFonts w:hint="eastAsia" w:ascii="宋体" w:hAnsi="宋体"/>
          <w:sz w:val="24"/>
          <w:szCs w:val="24"/>
        </w:rPr>
        <w:t>按照《社旗县政府采购信用评价实施办法》的规定，由供应商在投标（响应）文件中提供“社旗县政府采购供应商信用记录表”（由供应商注册后在系统内打印），供应商按照该文件要求进入</w:t>
      </w:r>
      <w:r>
        <w:rPr>
          <w:rFonts w:hint="eastAsia"/>
          <w:sz w:val="24"/>
          <w:szCs w:val="24"/>
        </w:rPr>
        <w:t>http://sheqi.nanyangzcxy.cn/</w:t>
      </w:r>
      <w:r>
        <w:rPr>
          <w:rFonts w:hint="eastAsia" w:ascii="宋体" w:hAnsi="宋体"/>
          <w:sz w:val="24"/>
          <w:szCs w:val="24"/>
        </w:rPr>
        <w:t>，完善供应商信息并打印信用记录附于此处。</w:t>
      </w: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1"/>
      </w:pPr>
    </w:p>
    <w:p>
      <w:pPr>
        <w:pStyle w:val="22"/>
      </w:pPr>
    </w:p>
    <w:p>
      <w:pPr>
        <w:pStyle w:val="22"/>
        <w:spacing w:line="360" w:lineRule="auto"/>
        <w:ind w:left="0" w:leftChars="0" w:firstLine="0" w:firstLineChars="0"/>
        <w:rPr>
          <w:rFonts w:ascii="宋体" w:hAnsi="宋体"/>
        </w:rPr>
      </w:pPr>
    </w:p>
    <w:p>
      <w:pPr>
        <w:pStyle w:val="22"/>
        <w:spacing w:line="360" w:lineRule="auto"/>
        <w:ind w:left="0" w:leftChars="0" w:firstLine="0" w:firstLineChars="0"/>
        <w:rPr>
          <w:rFonts w:ascii="宋体" w:hAnsi="宋体"/>
        </w:rPr>
      </w:pPr>
    </w:p>
    <w:p>
      <w:pPr>
        <w:pStyle w:val="2"/>
        <w:numPr>
          <w:ilvl w:val="0"/>
          <w:numId w:val="24"/>
        </w:numPr>
        <w:tabs>
          <w:tab w:val="left" w:pos="425"/>
        </w:tabs>
        <w:rPr>
          <w:szCs w:val="24"/>
          <w:lang w:val="zh-CN"/>
        </w:rPr>
      </w:pPr>
      <w:bookmarkStart w:id="668" w:name="_Toc16259"/>
      <w:bookmarkStart w:id="669" w:name="_Toc17461_WPSOffice_Level1"/>
      <w:bookmarkStart w:id="670" w:name="_Toc10021_WPSOffice_Level1"/>
      <w:bookmarkStart w:id="671" w:name="_Toc12164_WPSOffice_Level1"/>
      <w:r>
        <w:rPr>
          <w:rFonts w:hint="eastAsia"/>
          <w:szCs w:val="24"/>
          <w:lang w:val="zh-CN"/>
        </w:rPr>
        <w:t>已标价工程量清单</w:t>
      </w:r>
      <w:bookmarkEnd w:id="668"/>
      <w:bookmarkEnd w:id="669"/>
      <w:bookmarkEnd w:id="670"/>
      <w:bookmarkEnd w:id="671"/>
    </w:p>
    <w:p>
      <w:pPr>
        <w:pStyle w:val="2"/>
        <w:tabs>
          <w:tab w:val="left" w:pos="840"/>
        </w:tabs>
        <w:ind w:left="0"/>
        <w:rPr>
          <w:bCs w:val="0"/>
          <w:szCs w:val="24"/>
          <w:lang w:val="zh-CN"/>
        </w:rPr>
      </w:pPr>
      <w:r>
        <w:rPr>
          <w:rFonts w:hint="eastAsia"/>
          <w:bCs w:val="0"/>
          <w:szCs w:val="24"/>
          <w:lang w:val="zh-CN"/>
        </w:rPr>
        <w:br w:type="page"/>
      </w:r>
      <w:bookmarkStart w:id="672" w:name="_Toc25723_WPSOffice_Level1"/>
      <w:bookmarkStart w:id="673" w:name="_Toc28662"/>
      <w:bookmarkStart w:id="674" w:name="_Toc21612_WPSOffice_Level1"/>
      <w:bookmarkStart w:id="675" w:name="_Toc29835_WPSOffice_Level1"/>
      <w:r>
        <w:rPr>
          <w:rFonts w:hint="eastAsia"/>
          <w:bCs w:val="0"/>
          <w:szCs w:val="24"/>
          <w:highlight w:val="none"/>
          <w:lang w:val="zh-CN"/>
        </w:rPr>
        <w:t>五、</w:t>
      </w:r>
      <w:r>
        <w:rPr>
          <w:rFonts w:hint="eastAsia"/>
          <w:szCs w:val="24"/>
          <w:lang w:val="zh-CN"/>
        </w:rPr>
        <w:t>施工组织设计</w:t>
      </w:r>
      <w:bookmarkEnd w:id="672"/>
      <w:bookmarkEnd w:id="673"/>
      <w:bookmarkEnd w:id="674"/>
      <w:bookmarkEnd w:id="675"/>
    </w:p>
    <w:p>
      <w:pPr>
        <w:spacing w:line="360" w:lineRule="auto"/>
        <w:ind w:firstLine="420" w:firstLineChars="200"/>
      </w:pPr>
      <w:r>
        <w:rPr>
          <w:rFonts w:hint="eastAsia"/>
        </w:rPr>
        <w:t>1.响应人编制施工组织设计的要求：编制时应采用文字并结合图表形式说明施工方法；拟投入本项目的主要施工设备情况、拟配备本项目的试验和检测仪器设备情况、劳动力计划等；结合工程特点提出切实可行的工程质量、安全生产、文明施工、工程进度、技术组织措施，同时应对关键工序、复杂环节重点提出相应技术措施，如冬雨季施工技术、减少噪音、降低环境污染、绿色施工设备、绿色施工技术保障、绿色施工经费保障、地下管线及其他地上地下设施的保护加固措施等。</w:t>
      </w:r>
    </w:p>
    <w:p>
      <w:pPr>
        <w:tabs>
          <w:tab w:val="left" w:pos="720"/>
        </w:tabs>
        <w:spacing w:line="360" w:lineRule="auto"/>
        <w:ind w:firstLine="420" w:firstLineChars="200"/>
      </w:pPr>
      <w:r>
        <w:rPr>
          <w:rFonts w:hint="eastAsia"/>
        </w:rPr>
        <w:t xml:space="preserve">2. </w:t>
      </w:r>
      <w:r>
        <w:rPr>
          <w:rFonts w:hint="eastAsia"/>
        </w:rPr>
        <w:tab/>
      </w:r>
      <w:r>
        <w:rPr>
          <w:rFonts w:hint="eastAsia"/>
        </w:rPr>
        <w:t>施工组织设计除采用文字表述外可附下列图表，图表及格式要求附后。</w:t>
      </w:r>
    </w:p>
    <w:p>
      <w:pPr>
        <w:tabs>
          <w:tab w:val="left" w:pos="720"/>
        </w:tabs>
        <w:spacing w:line="360" w:lineRule="auto"/>
        <w:ind w:firstLine="756" w:firstLineChars="360"/>
      </w:pPr>
      <w:r>
        <w:rPr>
          <w:rFonts w:hint="eastAsia"/>
        </w:rPr>
        <w:t>附表一  拟投入本项目的主要施工设备表</w:t>
      </w:r>
    </w:p>
    <w:p>
      <w:pPr>
        <w:tabs>
          <w:tab w:val="left" w:pos="720"/>
        </w:tabs>
        <w:spacing w:line="360" w:lineRule="auto"/>
        <w:ind w:firstLine="756" w:firstLineChars="360"/>
      </w:pPr>
      <w:r>
        <w:rPr>
          <w:rFonts w:hint="eastAsia"/>
        </w:rPr>
        <w:t>附表二  拟配备本项目的试验和检测仪器设备表</w:t>
      </w:r>
    </w:p>
    <w:p>
      <w:pPr>
        <w:tabs>
          <w:tab w:val="left" w:pos="720"/>
        </w:tabs>
        <w:spacing w:line="360" w:lineRule="auto"/>
        <w:ind w:firstLine="756" w:firstLineChars="360"/>
      </w:pPr>
      <w:r>
        <w:rPr>
          <w:rFonts w:hint="eastAsia"/>
        </w:rPr>
        <w:t>附表三  劳动力计划表</w:t>
      </w:r>
    </w:p>
    <w:p>
      <w:pPr>
        <w:tabs>
          <w:tab w:val="left" w:pos="720"/>
        </w:tabs>
        <w:spacing w:line="360" w:lineRule="auto"/>
        <w:ind w:firstLine="756" w:firstLineChars="360"/>
      </w:pPr>
      <w:r>
        <w:rPr>
          <w:rFonts w:hint="eastAsia"/>
        </w:rPr>
        <w:t>附表四  计划开、竣工日期和施工进度网络图</w:t>
      </w:r>
    </w:p>
    <w:p>
      <w:pPr>
        <w:tabs>
          <w:tab w:val="left" w:pos="720"/>
        </w:tabs>
        <w:spacing w:line="360" w:lineRule="auto"/>
        <w:ind w:firstLine="756" w:firstLineChars="360"/>
      </w:pPr>
      <w:r>
        <w:rPr>
          <w:rFonts w:hint="eastAsia"/>
        </w:rPr>
        <w:t>附表五  施工总平面图</w:t>
      </w:r>
    </w:p>
    <w:p>
      <w:pPr>
        <w:tabs>
          <w:tab w:val="left" w:pos="720"/>
        </w:tabs>
        <w:spacing w:line="360" w:lineRule="auto"/>
        <w:ind w:firstLine="756" w:firstLineChars="360"/>
      </w:pPr>
      <w:r>
        <w:rPr>
          <w:rFonts w:hint="eastAsia"/>
        </w:rPr>
        <w:t>附表六  临时用地表</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rPr>
          <w:rFonts w:hint="eastAsia"/>
        </w:rPr>
      </w:pPr>
      <w:bookmarkStart w:id="676" w:name="_Toc152042586"/>
      <w:bookmarkStart w:id="677" w:name="_Toc314125025"/>
      <w:bookmarkStart w:id="678" w:name="_Toc152045797"/>
      <w:bookmarkStart w:id="679" w:name="_Toc144974865"/>
      <w:bookmarkStart w:id="680" w:name="_Toc251248802"/>
    </w:p>
    <w:p>
      <w:pPr>
        <w:spacing w:line="360" w:lineRule="auto"/>
      </w:pPr>
      <w:r>
        <w:rPr>
          <w:rFonts w:hint="eastAsia"/>
        </w:rPr>
        <w:t>附表一：拟投入本项目的主要施工设备表</w:t>
      </w:r>
      <w:bookmarkEnd w:id="676"/>
      <w:bookmarkEnd w:id="677"/>
      <w:bookmarkEnd w:id="678"/>
      <w:bookmarkEnd w:id="679"/>
      <w:bookmarkEnd w:id="680"/>
    </w:p>
    <w:tbl>
      <w:tblPr>
        <w:tblStyle w:val="23"/>
        <w:tblW w:w="96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98"/>
        <w:gridCol w:w="839"/>
        <w:gridCol w:w="1092"/>
        <w:gridCol w:w="741"/>
        <w:gridCol w:w="814"/>
        <w:gridCol w:w="1337"/>
        <w:gridCol w:w="964"/>
        <w:gridCol w:w="1163"/>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pPr>
            <w:r>
              <w:rPr>
                <w:rFonts w:hint="eastAsia"/>
              </w:rPr>
              <w:t>序号</w:t>
            </w:r>
          </w:p>
        </w:tc>
        <w:tc>
          <w:tcPr>
            <w:tcW w:w="1198" w:type="dxa"/>
            <w:noWrap/>
            <w:vAlign w:val="center"/>
          </w:tcPr>
          <w:p>
            <w:pPr>
              <w:spacing w:line="360" w:lineRule="auto"/>
              <w:jc w:val="center"/>
            </w:pPr>
            <w:r>
              <w:rPr>
                <w:rFonts w:hint="eastAsia"/>
              </w:rPr>
              <w:t>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2" w:type="dxa"/>
            <w:noWrap/>
            <w:vAlign w:val="center"/>
          </w:tcPr>
          <w:p>
            <w:pPr>
              <w:spacing w:line="360" w:lineRule="auto"/>
              <w:jc w:val="center"/>
            </w:pPr>
            <w:r>
              <w:rPr>
                <w:rFonts w:hint="eastAsia"/>
              </w:rPr>
              <w:t>数量</w:t>
            </w:r>
          </w:p>
        </w:tc>
        <w:tc>
          <w:tcPr>
            <w:tcW w:w="741"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额定功率</w:t>
            </w:r>
          </w:p>
          <w:p>
            <w:pPr>
              <w:spacing w:line="360" w:lineRule="auto"/>
              <w:jc w:val="center"/>
            </w:pPr>
            <w:r>
              <w:rPr>
                <w:rFonts w:hint="eastAsia"/>
              </w:rPr>
              <w:t>（KW）</w:t>
            </w:r>
          </w:p>
        </w:tc>
        <w:tc>
          <w:tcPr>
            <w:tcW w:w="964" w:type="dxa"/>
            <w:noWrap/>
            <w:vAlign w:val="center"/>
          </w:tcPr>
          <w:p>
            <w:pPr>
              <w:spacing w:line="360" w:lineRule="auto"/>
              <w:jc w:val="center"/>
            </w:pPr>
            <w:r>
              <w:rPr>
                <w:rFonts w:hint="eastAsia"/>
              </w:rPr>
              <w:t>生产</w:t>
            </w:r>
          </w:p>
          <w:p>
            <w:pPr>
              <w:spacing w:line="360" w:lineRule="auto"/>
              <w:jc w:val="center"/>
            </w:pPr>
            <w:r>
              <w:rPr>
                <w:rFonts w:hint="eastAsia"/>
              </w:rPr>
              <w:t>能力</w:t>
            </w:r>
          </w:p>
        </w:tc>
        <w:tc>
          <w:tcPr>
            <w:tcW w:w="1163" w:type="dxa"/>
            <w:noWrap/>
            <w:vAlign w:val="center"/>
          </w:tcPr>
          <w:p>
            <w:pPr>
              <w:spacing w:line="360" w:lineRule="auto"/>
              <w:jc w:val="center"/>
            </w:pPr>
            <w:r>
              <w:rPr>
                <w:rFonts w:hint="eastAsia"/>
              </w:rPr>
              <w:t>用于施工部位</w:t>
            </w:r>
          </w:p>
        </w:tc>
        <w:tc>
          <w:tcPr>
            <w:tcW w:w="762"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vAlign w:val="center"/>
          </w:tcPr>
          <w:p>
            <w:pPr>
              <w:spacing w:line="360" w:lineRule="auto"/>
              <w:jc w:val="center"/>
            </w:pPr>
          </w:p>
        </w:tc>
        <w:tc>
          <w:tcPr>
            <w:tcW w:w="1198" w:type="dxa"/>
            <w:noWrap/>
            <w:vAlign w:val="center"/>
          </w:tcPr>
          <w:p>
            <w:pPr>
              <w:spacing w:line="360" w:lineRule="auto"/>
              <w:jc w:val="center"/>
            </w:pPr>
          </w:p>
        </w:tc>
        <w:tc>
          <w:tcPr>
            <w:tcW w:w="839" w:type="dxa"/>
            <w:noWrap/>
            <w:vAlign w:val="center"/>
          </w:tcPr>
          <w:p>
            <w:pPr>
              <w:spacing w:line="360" w:lineRule="auto"/>
              <w:jc w:val="center"/>
            </w:pPr>
          </w:p>
        </w:tc>
        <w:tc>
          <w:tcPr>
            <w:tcW w:w="1092" w:type="dxa"/>
            <w:noWrap/>
            <w:vAlign w:val="center"/>
          </w:tcPr>
          <w:p>
            <w:pPr>
              <w:spacing w:line="360" w:lineRule="auto"/>
              <w:jc w:val="center"/>
            </w:pPr>
          </w:p>
        </w:tc>
        <w:tc>
          <w:tcPr>
            <w:tcW w:w="741"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964" w:type="dxa"/>
            <w:noWrap/>
            <w:vAlign w:val="center"/>
          </w:tcPr>
          <w:p>
            <w:pPr>
              <w:spacing w:line="360" w:lineRule="auto"/>
              <w:jc w:val="center"/>
            </w:pPr>
          </w:p>
        </w:tc>
        <w:tc>
          <w:tcPr>
            <w:tcW w:w="1163" w:type="dxa"/>
            <w:noWrap/>
            <w:vAlign w:val="center"/>
          </w:tcPr>
          <w:p>
            <w:pPr>
              <w:spacing w:line="360" w:lineRule="auto"/>
              <w:jc w:val="center"/>
            </w:pPr>
          </w:p>
        </w:tc>
        <w:tc>
          <w:tcPr>
            <w:tcW w:w="762"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noWrap/>
          </w:tcPr>
          <w:p>
            <w:pPr>
              <w:spacing w:line="360" w:lineRule="auto"/>
              <w:jc w:val="center"/>
            </w:pPr>
          </w:p>
        </w:tc>
        <w:tc>
          <w:tcPr>
            <w:tcW w:w="1198" w:type="dxa"/>
            <w:noWrap/>
          </w:tcPr>
          <w:p>
            <w:pPr>
              <w:spacing w:line="360" w:lineRule="auto"/>
              <w:jc w:val="center"/>
            </w:pPr>
          </w:p>
        </w:tc>
        <w:tc>
          <w:tcPr>
            <w:tcW w:w="839" w:type="dxa"/>
            <w:noWrap/>
          </w:tcPr>
          <w:p>
            <w:pPr>
              <w:spacing w:line="360" w:lineRule="auto"/>
              <w:jc w:val="center"/>
            </w:pPr>
          </w:p>
        </w:tc>
        <w:tc>
          <w:tcPr>
            <w:tcW w:w="1092" w:type="dxa"/>
            <w:noWrap/>
          </w:tcPr>
          <w:p>
            <w:pPr>
              <w:spacing w:line="360" w:lineRule="auto"/>
              <w:jc w:val="center"/>
            </w:pPr>
          </w:p>
        </w:tc>
        <w:tc>
          <w:tcPr>
            <w:tcW w:w="741"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964" w:type="dxa"/>
            <w:noWrap/>
          </w:tcPr>
          <w:p>
            <w:pPr>
              <w:spacing w:line="360" w:lineRule="auto"/>
              <w:jc w:val="center"/>
            </w:pPr>
          </w:p>
        </w:tc>
        <w:tc>
          <w:tcPr>
            <w:tcW w:w="1163" w:type="dxa"/>
            <w:noWrap/>
          </w:tcPr>
          <w:p>
            <w:pPr>
              <w:spacing w:line="360" w:lineRule="auto"/>
              <w:jc w:val="center"/>
            </w:pPr>
          </w:p>
        </w:tc>
        <w:tc>
          <w:tcPr>
            <w:tcW w:w="762"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r>
        <w:rPr>
          <w:rFonts w:hint="eastAsia" w:ascii="宋体" w:hAnsi="宋体" w:cs="宋体"/>
          <w:b/>
        </w:rPr>
        <w:br w:type="page"/>
      </w:r>
    </w:p>
    <w:p>
      <w:pPr>
        <w:spacing w:line="360" w:lineRule="auto"/>
      </w:pPr>
      <w:bookmarkStart w:id="681" w:name="_Toc144974866"/>
      <w:bookmarkStart w:id="682" w:name="_Toc251248803"/>
      <w:bookmarkStart w:id="683" w:name="_Toc314125026"/>
      <w:bookmarkStart w:id="684" w:name="_Toc152045798"/>
      <w:bookmarkStart w:id="685" w:name="_Toc152042587"/>
      <w:r>
        <w:rPr>
          <w:rFonts w:hint="eastAsia"/>
        </w:rPr>
        <w:t>附表二：拟配备本项目的试验和检测仪器设备表</w:t>
      </w:r>
      <w:bookmarkEnd w:id="681"/>
      <w:bookmarkEnd w:id="682"/>
      <w:bookmarkEnd w:id="683"/>
      <w:bookmarkEnd w:id="684"/>
      <w:bookmarkEnd w:id="685"/>
    </w:p>
    <w:tbl>
      <w:tblPr>
        <w:tblStyle w:val="23"/>
        <w:tblW w:w="9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99"/>
        <w:gridCol w:w="839"/>
        <w:gridCol w:w="1093"/>
        <w:gridCol w:w="742"/>
        <w:gridCol w:w="814"/>
        <w:gridCol w:w="1337"/>
        <w:gridCol w:w="1823"/>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pPr>
            <w:r>
              <w:rPr>
                <w:rFonts w:hint="eastAsia"/>
              </w:rPr>
              <w:t>序号</w:t>
            </w:r>
          </w:p>
        </w:tc>
        <w:tc>
          <w:tcPr>
            <w:tcW w:w="1199" w:type="dxa"/>
            <w:noWrap/>
            <w:vAlign w:val="center"/>
          </w:tcPr>
          <w:p>
            <w:pPr>
              <w:spacing w:line="360" w:lineRule="auto"/>
              <w:jc w:val="center"/>
            </w:pPr>
            <w:r>
              <w:rPr>
                <w:rFonts w:hint="eastAsia"/>
              </w:rPr>
              <w:t>仪器设备名称</w:t>
            </w:r>
          </w:p>
        </w:tc>
        <w:tc>
          <w:tcPr>
            <w:tcW w:w="839" w:type="dxa"/>
            <w:noWrap/>
            <w:vAlign w:val="center"/>
          </w:tcPr>
          <w:p>
            <w:pPr>
              <w:spacing w:line="360" w:lineRule="auto"/>
              <w:jc w:val="center"/>
            </w:pPr>
            <w:r>
              <w:rPr>
                <w:rFonts w:hint="eastAsia"/>
              </w:rPr>
              <w:t>型号</w:t>
            </w:r>
          </w:p>
          <w:p>
            <w:pPr>
              <w:spacing w:line="360" w:lineRule="auto"/>
              <w:jc w:val="center"/>
            </w:pPr>
            <w:r>
              <w:rPr>
                <w:rFonts w:hint="eastAsia"/>
              </w:rPr>
              <w:t>规格</w:t>
            </w:r>
          </w:p>
        </w:tc>
        <w:tc>
          <w:tcPr>
            <w:tcW w:w="1093" w:type="dxa"/>
            <w:noWrap/>
            <w:vAlign w:val="center"/>
          </w:tcPr>
          <w:p>
            <w:pPr>
              <w:spacing w:line="360" w:lineRule="auto"/>
              <w:jc w:val="center"/>
            </w:pPr>
            <w:r>
              <w:rPr>
                <w:rFonts w:hint="eastAsia"/>
              </w:rPr>
              <w:t>数量</w:t>
            </w:r>
          </w:p>
        </w:tc>
        <w:tc>
          <w:tcPr>
            <w:tcW w:w="742" w:type="dxa"/>
            <w:noWrap/>
            <w:vAlign w:val="center"/>
          </w:tcPr>
          <w:p>
            <w:pPr>
              <w:spacing w:line="360" w:lineRule="auto"/>
              <w:jc w:val="center"/>
            </w:pPr>
            <w:r>
              <w:rPr>
                <w:rFonts w:hint="eastAsia"/>
              </w:rPr>
              <w:t>国别</w:t>
            </w:r>
          </w:p>
          <w:p>
            <w:pPr>
              <w:spacing w:line="360" w:lineRule="auto"/>
              <w:jc w:val="center"/>
            </w:pPr>
            <w:r>
              <w:rPr>
                <w:rFonts w:hint="eastAsia"/>
              </w:rPr>
              <w:t>产地</w:t>
            </w:r>
          </w:p>
        </w:tc>
        <w:tc>
          <w:tcPr>
            <w:tcW w:w="814" w:type="dxa"/>
            <w:noWrap/>
            <w:vAlign w:val="center"/>
          </w:tcPr>
          <w:p>
            <w:pPr>
              <w:spacing w:line="360" w:lineRule="auto"/>
              <w:jc w:val="center"/>
            </w:pPr>
            <w:r>
              <w:rPr>
                <w:rFonts w:hint="eastAsia"/>
              </w:rPr>
              <w:t>制造</w:t>
            </w:r>
          </w:p>
          <w:p>
            <w:pPr>
              <w:spacing w:line="360" w:lineRule="auto"/>
              <w:jc w:val="center"/>
            </w:pPr>
            <w:r>
              <w:rPr>
                <w:rFonts w:hint="eastAsia"/>
              </w:rPr>
              <w:t>年份</w:t>
            </w:r>
          </w:p>
        </w:tc>
        <w:tc>
          <w:tcPr>
            <w:tcW w:w="1337" w:type="dxa"/>
            <w:noWrap/>
            <w:vAlign w:val="center"/>
          </w:tcPr>
          <w:p>
            <w:pPr>
              <w:spacing w:line="360" w:lineRule="auto"/>
              <w:jc w:val="center"/>
            </w:pPr>
            <w:r>
              <w:rPr>
                <w:rFonts w:hint="eastAsia"/>
              </w:rPr>
              <w:t>已使用台</w:t>
            </w:r>
          </w:p>
          <w:p>
            <w:pPr>
              <w:spacing w:line="360" w:lineRule="auto"/>
              <w:jc w:val="center"/>
            </w:pPr>
            <w:r>
              <w:rPr>
                <w:rFonts w:hint="eastAsia"/>
              </w:rPr>
              <w:t>时数</w:t>
            </w:r>
          </w:p>
        </w:tc>
        <w:tc>
          <w:tcPr>
            <w:tcW w:w="1823" w:type="dxa"/>
            <w:noWrap/>
            <w:vAlign w:val="center"/>
          </w:tcPr>
          <w:p>
            <w:pPr>
              <w:spacing w:line="360" w:lineRule="auto"/>
              <w:jc w:val="center"/>
            </w:pPr>
            <w:r>
              <w:rPr>
                <w:rFonts w:hint="eastAsia"/>
              </w:rPr>
              <w:t>用途</w:t>
            </w:r>
          </w:p>
        </w:tc>
        <w:tc>
          <w:tcPr>
            <w:tcW w:w="758" w:type="dxa"/>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pPr>
              <w:spacing w:line="360" w:lineRule="auto"/>
              <w:jc w:val="center"/>
            </w:pPr>
          </w:p>
        </w:tc>
        <w:tc>
          <w:tcPr>
            <w:tcW w:w="1199" w:type="dxa"/>
            <w:noWrap/>
            <w:vAlign w:val="center"/>
          </w:tcPr>
          <w:p>
            <w:pPr>
              <w:spacing w:line="360" w:lineRule="auto"/>
              <w:jc w:val="center"/>
            </w:pPr>
          </w:p>
        </w:tc>
        <w:tc>
          <w:tcPr>
            <w:tcW w:w="839" w:type="dxa"/>
            <w:noWrap/>
            <w:vAlign w:val="center"/>
          </w:tcPr>
          <w:p>
            <w:pPr>
              <w:spacing w:line="360" w:lineRule="auto"/>
              <w:jc w:val="center"/>
            </w:pPr>
          </w:p>
        </w:tc>
        <w:tc>
          <w:tcPr>
            <w:tcW w:w="1093" w:type="dxa"/>
            <w:noWrap/>
            <w:vAlign w:val="center"/>
          </w:tcPr>
          <w:p>
            <w:pPr>
              <w:spacing w:line="360" w:lineRule="auto"/>
              <w:jc w:val="center"/>
            </w:pPr>
          </w:p>
        </w:tc>
        <w:tc>
          <w:tcPr>
            <w:tcW w:w="742" w:type="dxa"/>
            <w:noWrap/>
            <w:vAlign w:val="center"/>
          </w:tcPr>
          <w:p>
            <w:pPr>
              <w:spacing w:line="360" w:lineRule="auto"/>
              <w:jc w:val="center"/>
            </w:pPr>
          </w:p>
        </w:tc>
        <w:tc>
          <w:tcPr>
            <w:tcW w:w="814" w:type="dxa"/>
            <w:noWrap/>
            <w:vAlign w:val="center"/>
          </w:tcPr>
          <w:p>
            <w:pPr>
              <w:spacing w:line="360" w:lineRule="auto"/>
              <w:jc w:val="center"/>
            </w:pPr>
          </w:p>
        </w:tc>
        <w:tc>
          <w:tcPr>
            <w:tcW w:w="1337" w:type="dxa"/>
            <w:noWrap/>
            <w:vAlign w:val="center"/>
          </w:tcPr>
          <w:p>
            <w:pPr>
              <w:spacing w:line="360" w:lineRule="auto"/>
              <w:jc w:val="center"/>
            </w:pPr>
          </w:p>
        </w:tc>
        <w:tc>
          <w:tcPr>
            <w:tcW w:w="1823" w:type="dxa"/>
            <w:noWrap/>
            <w:vAlign w:val="center"/>
          </w:tcPr>
          <w:p>
            <w:pPr>
              <w:spacing w:line="360" w:lineRule="auto"/>
              <w:jc w:val="center"/>
            </w:pPr>
          </w:p>
        </w:tc>
        <w:tc>
          <w:tcPr>
            <w:tcW w:w="75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pPr>
              <w:spacing w:line="360" w:lineRule="auto"/>
              <w:jc w:val="center"/>
            </w:pPr>
          </w:p>
        </w:tc>
        <w:tc>
          <w:tcPr>
            <w:tcW w:w="1199" w:type="dxa"/>
            <w:noWrap/>
          </w:tcPr>
          <w:p>
            <w:pPr>
              <w:spacing w:line="360" w:lineRule="auto"/>
              <w:jc w:val="center"/>
            </w:pPr>
          </w:p>
        </w:tc>
        <w:tc>
          <w:tcPr>
            <w:tcW w:w="839" w:type="dxa"/>
            <w:noWrap/>
          </w:tcPr>
          <w:p>
            <w:pPr>
              <w:spacing w:line="360" w:lineRule="auto"/>
              <w:jc w:val="center"/>
            </w:pPr>
          </w:p>
        </w:tc>
        <w:tc>
          <w:tcPr>
            <w:tcW w:w="1093" w:type="dxa"/>
            <w:noWrap/>
          </w:tcPr>
          <w:p>
            <w:pPr>
              <w:spacing w:line="360" w:lineRule="auto"/>
              <w:jc w:val="center"/>
            </w:pPr>
          </w:p>
        </w:tc>
        <w:tc>
          <w:tcPr>
            <w:tcW w:w="742" w:type="dxa"/>
            <w:noWrap/>
          </w:tcPr>
          <w:p>
            <w:pPr>
              <w:spacing w:line="360" w:lineRule="auto"/>
              <w:jc w:val="center"/>
            </w:pPr>
          </w:p>
        </w:tc>
        <w:tc>
          <w:tcPr>
            <w:tcW w:w="814" w:type="dxa"/>
            <w:noWrap/>
          </w:tcPr>
          <w:p>
            <w:pPr>
              <w:spacing w:line="360" w:lineRule="auto"/>
              <w:jc w:val="center"/>
            </w:pPr>
          </w:p>
        </w:tc>
        <w:tc>
          <w:tcPr>
            <w:tcW w:w="1337" w:type="dxa"/>
            <w:noWrap/>
          </w:tcPr>
          <w:p>
            <w:pPr>
              <w:spacing w:line="360" w:lineRule="auto"/>
              <w:jc w:val="center"/>
            </w:pPr>
          </w:p>
        </w:tc>
        <w:tc>
          <w:tcPr>
            <w:tcW w:w="1823" w:type="dxa"/>
            <w:noWrap/>
          </w:tcPr>
          <w:p>
            <w:pPr>
              <w:spacing w:line="360" w:lineRule="auto"/>
              <w:jc w:val="center"/>
            </w:pPr>
          </w:p>
        </w:tc>
        <w:tc>
          <w:tcPr>
            <w:tcW w:w="758"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rPr>
          <w:rFonts w:ascii="宋体" w:hAnsi="宋体" w:cs="宋体"/>
          <w:b/>
        </w:rPr>
      </w:pPr>
    </w:p>
    <w:p>
      <w:pPr>
        <w:spacing w:line="360" w:lineRule="auto"/>
      </w:pPr>
    </w:p>
    <w:p>
      <w:pPr>
        <w:spacing w:line="360" w:lineRule="auto"/>
      </w:pPr>
      <w:bookmarkStart w:id="686" w:name="_Toc144974867"/>
      <w:bookmarkStart w:id="687" w:name="_Toc152045799"/>
      <w:bookmarkStart w:id="688" w:name="_Toc152042588"/>
      <w:bookmarkStart w:id="689" w:name="_Toc314125027"/>
      <w:bookmarkStart w:id="690" w:name="_Toc251248804"/>
      <w:r>
        <w:rPr>
          <w:rFonts w:hint="eastAsia"/>
        </w:rPr>
        <w:t>附表三：劳动力计划表</w:t>
      </w:r>
      <w:bookmarkEnd w:id="686"/>
      <w:bookmarkEnd w:id="687"/>
      <w:bookmarkEnd w:id="688"/>
      <w:bookmarkEnd w:id="689"/>
      <w:bookmarkEnd w:id="690"/>
    </w:p>
    <w:p>
      <w:pPr>
        <w:spacing w:line="360" w:lineRule="auto"/>
        <w:ind w:right="200"/>
        <w:jc w:val="right"/>
      </w:pPr>
      <w:r>
        <w:rPr>
          <w:rFonts w:hint="eastAsia"/>
        </w:rPr>
        <w:t>单位：人</w:t>
      </w:r>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438"/>
        <w:gridCol w:w="1175"/>
        <w:gridCol w:w="1175"/>
        <w:gridCol w:w="1175"/>
        <w:gridCol w:w="1175"/>
        <w:gridCol w:w="1175"/>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r>
              <w:rPr>
                <w:rFonts w:hint="eastAsia"/>
              </w:rPr>
              <w:t>工种</w:t>
            </w:r>
          </w:p>
        </w:tc>
        <w:tc>
          <w:tcPr>
            <w:tcW w:w="8486" w:type="dxa"/>
            <w:gridSpan w:val="7"/>
            <w:noWrap/>
            <w:vAlign w:val="center"/>
          </w:tcPr>
          <w:p>
            <w:pPr>
              <w:spacing w:line="360" w:lineRule="auto"/>
              <w:jc w:val="center"/>
            </w:pPr>
            <w:r>
              <w:rPr>
                <w:rFonts w:hint="eastAsia"/>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ign w:val="center"/>
          </w:tcPr>
          <w:p>
            <w:pPr>
              <w:spacing w:line="360" w:lineRule="auto"/>
              <w:jc w:val="center"/>
            </w:pPr>
          </w:p>
        </w:tc>
        <w:tc>
          <w:tcPr>
            <w:tcW w:w="1438"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5" w:type="dxa"/>
            <w:noWrap/>
            <w:vAlign w:val="center"/>
          </w:tcPr>
          <w:p>
            <w:pPr>
              <w:spacing w:line="360" w:lineRule="auto"/>
              <w:jc w:val="center"/>
            </w:pPr>
          </w:p>
        </w:tc>
        <w:tc>
          <w:tcPr>
            <w:tcW w:w="1173"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tcPr>
          <w:p>
            <w:pPr>
              <w:spacing w:line="360" w:lineRule="auto"/>
              <w:jc w:val="center"/>
            </w:pPr>
          </w:p>
        </w:tc>
        <w:tc>
          <w:tcPr>
            <w:tcW w:w="1438"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5" w:type="dxa"/>
            <w:noWrap/>
          </w:tcPr>
          <w:p>
            <w:pPr>
              <w:spacing w:line="360" w:lineRule="auto"/>
              <w:jc w:val="center"/>
            </w:pPr>
          </w:p>
        </w:tc>
        <w:tc>
          <w:tcPr>
            <w:tcW w:w="1173" w:type="dxa"/>
            <w:noWrap/>
          </w:tcPr>
          <w:p>
            <w:pPr>
              <w:spacing w:line="360" w:lineRule="auto"/>
              <w:jc w:val="center"/>
            </w:pPr>
          </w:p>
        </w:tc>
      </w:tr>
    </w:tbl>
    <w:p>
      <w:pPr>
        <w:pStyle w:val="11"/>
        <w:spacing w:line="360" w:lineRule="auto"/>
        <w:ind w:left="0" w:leftChars="0" w:firstLine="0" w:firstLineChars="0"/>
        <w:jc w:val="center"/>
        <w:rPr>
          <w:rFonts w:ascii="宋体" w:hAnsi="宋体" w:cs="宋体"/>
          <w:b/>
        </w:rPr>
      </w:pPr>
    </w:p>
    <w:p>
      <w:pPr>
        <w:spacing w:line="360" w:lineRule="auto"/>
      </w:pPr>
      <w:bookmarkStart w:id="691" w:name="_Toc314125028"/>
      <w:bookmarkStart w:id="692" w:name="_Toc152042589"/>
      <w:bookmarkStart w:id="693" w:name="_Toc152045800"/>
      <w:bookmarkStart w:id="694" w:name="_Toc251248805"/>
      <w:bookmarkStart w:id="695" w:name="_Toc144974868"/>
      <w:r>
        <w:rPr>
          <w:rFonts w:hint="eastAsia"/>
        </w:rPr>
        <w:br w:type="page"/>
      </w:r>
      <w:r>
        <w:rPr>
          <w:rFonts w:hint="eastAsia"/>
        </w:rPr>
        <w:t>附表四：计划开、竣工日期和施工进度网络图</w:t>
      </w:r>
      <w:bookmarkEnd w:id="691"/>
      <w:bookmarkEnd w:id="692"/>
      <w:bookmarkEnd w:id="693"/>
      <w:bookmarkEnd w:id="694"/>
      <w:bookmarkEnd w:id="695"/>
    </w:p>
    <w:p>
      <w:pPr>
        <w:spacing w:line="360" w:lineRule="auto"/>
        <w:rPr>
          <w:sz w:val="20"/>
          <w:szCs w:val="20"/>
        </w:rPr>
      </w:pPr>
    </w:p>
    <w:p>
      <w:pPr>
        <w:spacing w:line="360" w:lineRule="auto"/>
        <w:ind w:firstLine="420" w:firstLineChars="200"/>
      </w:pPr>
      <w:r>
        <w:rPr>
          <w:rFonts w:hint="eastAsia"/>
        </w:rPr>
        <w:t>1. 响应人应递交施工进度网络图或施工进度表，说明按招标文件要求的计划工期进行施工的各个关键日期。</w:t>
      </w:r>
    </w:p>
    <w:p>
      <w:pPr>
        <w:spacing w:line="360" w:lineRule="auto"/>
        <w:ind w:firstLine="420" w:firstLineChars="200"/>
      </w:pPr>
      <w:r>
        <w:rPr>
          <w:rFonts w:hint="eastAsia"/>
        </w:rPr>
        <w:t>2. 施工进度表可采用网络图（或横道图）表示。</w:t>
      </w:r>
    </w:p>
    <w:p>
      <w:pPr>
        <w:pStyle w:val="11"/>
        <w:spacing w:line="360" w:lineRule="auto"/>
        <w:ind w:left="0" w:leftChars="0" w:firstLine="0" w:firstLineChars="0"/>
        <w:jc w:val="center"/>
        <w:rPr>
          <w:rFonts w:ascii="宋体" w:hAnsi="宋体" w:cs="宋体"/>
          <w:b/>
        </w:rPr>
      </w:pPr>
    </w:p>
    <w:p>
      <w:pPr>
        <w:pStyle w:val="11"/>
        <w:spacing w:line="360" w:lineRule="auto"/>
        <w:ind w:left="0" w:leftChars="0" w:firstLine="0" w:firstLineChars="0"/>
        <w:jc w:val="center"/>
        <w:rPr>
          <w:rFonts w:ascii="宋体" w:hAnsi="宋体" w:cs="宋体"/>
          <w:b/>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pStyle w:val="37"/>
        <w:rPr>
          <w:lang w:val="en-US"/>
        </w:rPr>
      </w:pPr>
    </w:p>
    <w:p>
      <w:pPr>
        <w:pStyle w:val="37"/>
        <w:rPr>
          <w:lang w:val="en-US"/>
        </w:rPr>
      </w:pPr>
    </w:p>
    <w:p>
      <w:pPr>
        <w:spacing w:line="360" w:lineRule="auto"/>
        <w:rPr>
          <w:sz w:val="24"/>
        </w:rPr>
      </w:pPr>
    </w:p>
    <w:p>
      <w:pPr>
        <w:spacing w:line="360" w:lineRule="auto"/>
      </w:pPr>
      <w:bookmarkStart w:id="696" w:name="_Toc152042590"/>
      <w:bookmarkStart w:id="697" w:name="_Toc314125029"/>
      <w:bookmarkStart w:id="698" w:name="_Toc251248806"/>
      <w:bookmarkStart w:id="699" w:name="_Toc144974869"/>
      <w:bookmarkStart w:id="700" w:name="_Toc152045801"/>
      <w:r>
        <w:rPr>
          <w:rFonts w:hint="eastAsia"/>
        </w:rPr>
        <w:t>附表五：施工总平面图</w:t>
      </w:r>
      <w:bookmarkEnd w:id="696"/>
      <w:bookmarkEnd w:id="697"/>
      <w:bookmarkEnd w:id="698"/>
      <w:bookmarkEnd w:id="699"/>
      <w:bookmarkEnd w:id="700"/>
    </w:p>
    <w:p>
      <w:pPr>
        <w:spacing w:line="360" w:lineRule="auto"/>
        <w:rPr>
          <w:sz w:val="20"/>
          <w:szCs w:val="20"/>
        </w:rPr>
      </w:pPr>
      <w:r>
        <w:rPr>
          <w:rFonts w:hint="eastAsia"/>
          <w:sz w:val="20"/>
          <w:szCs w:val="20"/>
        </w:rPr>
        <w:tab/>
      </w:r>
    </w:p>
    <w:p>
      <w:pPr>
        <w:spacing w:line="360" w:lineRule="auto"/>
        <w:ind w:firstLine="420" w:firstLineChars="200"/>
      </w:pPr>
      <w:r>
        <w:rPr>
          <w:rFonts w:hint="eastAsia"/>
        </w:rPr>
        <w:t>响应人应递交一份施工总平面图，绘出现场临时设施布置图表并附文字说明，说明临时设施、加工车间、现场办公、设备及仓储、供电、供水、卫生、生活、道路、消防等设施的情况和布置。</w:t>
      </w:r>
    </w:p>
    <w:p>
      <w:pPr>
        <w:spacing w:line="360" w:lineRule="auto"/>
        <w:rPr>
          <w:sz w:val="24"/>
        </w:rPr>
      </w:pPr>
    </w:p>
    <w:p>
      <w:pPr>
        <w:spacing w:line="360" w:lineRule="auto"/>
        <w:rPr>
          <w:sz w:val="24"/>
        </w:rPr>
      </w:pPr>
    </w:p>
    <w:p>
      <w:pPr>
        <w:spacing w:line="360" w:lineRule="auto"/>
        <w:rPr>
          <w:sz w:val="24"/>
        </w:rPr>
      </w:pPr>
    </w:p>
    <w:p>
      <w:pPr>
        <w:spacing w:line="360" w:lineRule="auto"/>
      </w:pPr>
      <w:bookmarkStart w:id="701" w:name="_Toc152042591"/>
      <w:bookmarkStart w:id="702" w:name="_Toc152045802"/>
      <w:bookmarkStart w:id="703" w:name="_Toc251248807"/>
      <w:bookmarkStart w:id="704" w:name="_Toc144974870"/>
      <w:bookmarkStart w:id="705" w:name="_Toc314125030"/>
      <w:r>
        <w:rPr>
          <w:rFonts w:hint="eastAsia"/>
        </w:rPr>
        <w:br w:type="page"/>
      </w:r>
      <w:r>
        <w:rPr>
          <w:rFonts w:hint="eastAsia"/>
        </w:rPr>
        <w:t>附表六：临时用地表</w:t>
      </w:r>
      <w:bookmarkEnd w:id="701"/>
      <w:bookmarkEnd w:id="702"/>
      <w:bookmarkEnd w:id="703"/>
      <w:bookmarkEnd w:id="704"/>
      <w:bookmarkEnd w:id="705"/>
    </w:p>
    <w:tbl>
      <w:tblPr>
        <w:tblStyle w:val="2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350"/>
        <w:gridCol w:w="23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jc w:val="center"/>
            </w:pPr>
            <w:r>
              <w:rPr>
                <w:rFonts w:hint="eastAsia"/>
              </w:rPr>
              <w:t>用 途</w:t>
            </w:r>
          </w:p>
        </w:tc>
        <w:tc>
          <w:tcPr>
            <w:tcW w:w="2350" w:type="dxa"/>
            <w:noWrap/>
          </w:tcPr>
          <w:p>
            <w:pPr>
              <w:spacing w:line="360" w:lineRule="auto"/>
              <w:jc w:val="center"/>
            </w:pPr>
            <w:r>
              <w:rPr>
                <w:rFonts w:hint="eastAsia"/>
              </w:rPr>
              <w:t>面 积（平方米）</w:t>
            </w:r>
          </w:p>
        </w:tc>
        <w:tc>
          <w:tcPr>
            <w:tcW w:w="2350" w:type="dxa"/>
            <w:noWrap/>
          </w:tcPr>
          <w:p>
            <w:pPr>
              <w:spacing w:line="360" w:lineRule="auto"/>
              <w:jc w:val="center"/>
            </w:pPr>
            <w:r>
              <w:rPr>
                <w:rFonts w:hint="eastAsia"/>
              </w:rPr>
              <w:t>位 置</w:t>
            </w:r>
          </w:p>
        </w:tc>
        <w:tc>
          <w:tcPr>
            <w:tcW w:w="2350" w:type="dxa"/>
            <w:noWrap/>
          </w:tcPr>
          <w:p>
            <w:pPr>
              <w:spacing w:line="360" w:lineRule="auto"/>
              <w:jc w:val="center"/>
            </w:pPr>
            <w:r>
              <w:rPr>
                <w:rFonts w:hint="eastAsia"/>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c>
          <w:tcPr>
            <w:tcW w:w="2350" w:type="dxa"/>
            <w:noWrap/>
          </w:tcPr>
          <w:p>
            <w:pPr>
              <w:spacing w:line="360" w:lineRule="auto"/>
            </w:pPr>
          </w:p>
        </w:tc>
      </w:tr>
    </w:tbl>
    <w:p>
      <w:pPr>
        <w:pStyle w:val="22"/>
        <w:spacing w:line="360" w:lineRule="auto"/>
        <w:ind w:left="0" w:leftChars="0" w:firstLine="0" w:firstLineChars="0"/>
        <w:rPr>
          <w:rFonts w:ascii="宋体" w:hAnsi="宋体"/>
        </w:rPr>
      </w:pPr>
    </w:p>
    <w:p>
      <w:pPr>
        <w:pStyle w:val="2"/>
        <w:tabs>
          <w:tab w:val="left" w:pos="425"/>
        </w:tabs>
        <w:ind w:left="0"/>
        <w:rPr>
          <w:szCs w:val="24"/>
          <w:lang w:val="zh-CN"/>
        </w:rPr>
      </w:pPr>
      <w:bookmarkStart w:id="706" w:name="_Toc28787_WPSOffice_Level1"/>
      <w:bookmarkStart w:id="707" w:name="_Toc26359_WPSOffice_Level1"/>
      <w:bookmarkStart w:id="708" w:name="_Toc14509"/>
      <w:bookmarkStart w:id="709" w:name="_Toc6830_WPSOffice_Level1"/>
      <w:r>
        <w:rPr>
          <w:rFonts w:hint="eastAsia"/>
          <w:szCs w:val="24"/>
          <w:highlight w:val="none"/>
          <w:lang w:val="zh-CN"/>
        </w:rPr>
        <w:t>六、</w:t>
      </w:r>
      <w:r>
        <w:rPr>
          <w:rFonts w:hint="eastAsia"/>
          <w:szCs w:val="24"/>
          <w:lang w:val="zh-CN"/>
        </w:rPr>
        <w:t>项目管理机构</w:t>
      </w:r>
      <w:bookmarkEnd w:id="706"/>
      <w:bookmarkEnd w:id="707"/>
      <w:bookmarkEnd w:id="708"/>
      <w:bookmarkEnd w:id="709"/>
    </w:p>
    <w:p>
      <w:pPr>
        <w:numPr>
          <w:ilvl w:val="0"/>
          <w:numId w:val="27"/>
        </w:numPr>
        <w:spacing w:line="360" w:lineRule="auto"/>
        <w:jc w:val="center"/>
        <w:rPr>
          <w:b/>
          <w:bCs/>
          <w:sz w:val="24"/>
          <w:szCs w:val="24"/>
        </w:rPr>
      </w:pPr>
      <w:r>
        <w:rPr>
          <w:rFonts w:hint="eastAsia"/>
          <w:b/>
          <w:bCs/>
          <w:sz w:val="24"/>
          <w:szCs w:val="24"/>
        </w:rPr>
        <w:t>项目管理机构组成表</w:t>
      </w: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ign w:val="center"/>
          </w:tcPr>
          <w:p>
            <w:pPr>
              <w:spacing w:line="360" w:lineRule="auto"/>
              <w:jc w:val="center"/>
            </w:pPr>
            <w:r>
              <w:rPr>
                <w:rFonts w:hint="eastAsia"/>
              </w:rPr>
              <w:t>职务</w:t>
            </w:r>
          </w:p>
        </w:tc>
        <w:tc>
          <w:tcPr>
            <w:tcW w:w="709" w:type="dxa"/>
            <w:vMerge w:val="restart"/>
            <w:noWrap/>
            <w:vAlign w:val="center"/>
          </w:tcPr>
          <w:p>
            <w:pPr>
              <w:spacing w:line="360" w:lineRule="auto"/>
              <w:jc w:val="center"/>
            </w:pPr>
            <w:r>
              <w:rPr>
                <w:rFonts w:hint="eastAsia"/>
              </w:rPr>
              <w:t>姓名</w:t>
            </w:r>
          </w:p>
        </w:tc>
        <w:tc>
          <w:tcPr>
            <w:tcW w:w="709" w:type="dxa"/>
            <w:vMerge w:val="restart"/>
            <w:noWrap/>
            <w:vAlign w:val="center"/>
          </w:tcPr>
          <w:p>
            <w:pPr>
              <w:spacing w:line="360" w:lineRule="auto"/>
              <w:jc w:val="center"/>
            </w:pPr>
            <w:r>
              <w:rPr>
                <w:rFonts w:hint="eastAsia"/>
              </w:rPr>
              <w:t>职称</w:t>
            </w:r>
          </w:p>
        </w:tc>
        <w:tc>
          <w:tcPr>
            <w:tcW w:w="5670" w:type="dxa"/>
            <w:gridSpan w:val="5"/>
            <w:noWrap/>
            <w:vAlign w:val="center"/>
          </w:tcPr>
          <w:p>
            <w:pPr>
              <w:spacing w:line="360" w:lineRule="auto"/>
              <w:jc w:val="center"/>
            </w:pPr>
            <w:r>
              <w:rPr>
                <w:rFonts w:hint="eastAsia"/>
              </w:rPr>
              <w:t>执业或职业资格证明</w:t>
            </w:r>
          </w:p>
        </w:tc>
        <w:tc>
          <w:tcPr>
            <w:tcW w:w="708" w:type="dxa"/>
            <w:vMerge w:val="restart"/>
            <w:noWrap/>
            <w:vAlign w:val="center"/>
          </w:tcPr>
          <w:p>
            <w:pPr>
              <w:spacing w:line="360" w:lineRule="auto"/>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709" w:type="dxa"/>
            <w:vMerge w:val="continue"/>
            <w:noWrap/>
            <w:vAlign w:val="center"/>
          </w:tcPr>
          <w:p>
            <w:pPr>
              <w:spacing w:line="360" w:lineRule="auto"/>
              <w:jc w:val="center"/>
            </w:pPr>
          </w:p>
        </w:tc>
        <w:tc>
          <w:tcPr>
            <w:tcW w:w="1134" w:type="dxa"/>
            <w:noWrap/>
            <w:vAlign w:val="center"/>
          </w:tcPr>
          <w:p>
            <w:pPr>
              <w:spacing w:line="360" w:lineRule="auto"/>
              <w:jc w:val="center"/>
            </w:pPr>
            <w:r>
              <w:rPr>
                <w:rFonts w:hint="eastAsia"/>
              </w:rPr>
              <w:t>证书名称</w:t>
            </w:r>
          </w:p>
        </w:tc>
        <w:tc>
          <w:tcPr>
            <w:tcW w:w="771" w:type="dxa"/>
            <w:noWrap/>
            <w:vAlign w:val="center"/>
          </w:tcPr>
          <w:p>
            <w:pPr>
              <w:spacing w:line="360" w:lineRule="auto"/>
              <w:jc w:val="center"/>
            </w:pPr>
            <w:r>
              <w:rPr>
                <w:rFonts w:hint="eastAsia"/>
              </w:rPr>
              <w:t>级别</w:t>
            </w:r>
          </w:p>
        </w:tc>
        <w:tc>
          <w:tcPr>
            <w:tcW w:w="788" w:type="dxa"/>
            <w:noWrap/>
            <w:vAlign w:val="center"/>
          </w:tcPr>
          <w:p>
            <w:pPr>
              <w:spacing w:line="360" w:lineRule="auto"/>
              <w:jc w:val="center"/>
            </w:pPr>
            <w:r>
              <w:rPr>
                <w:rFonts w:hint="eastAsia"/>
              </w:rPr>
              <w:t>证号</w:t>
            </w:r>
          </w:p>
        </w:tc>
        <w:tc>
          <w:tcPr>
            <w:tcW w:w="850" w:type="dxa"/>
            <w:noWrap/>
            <w:vAlign w:val="center"/>
          </w:tcPr>
          <w:p>
            <w:pPr>
              <w:spacing w:line="360" w:lineRule="auto"/>
              <w:jc w:val="center"/>
            </w:pPr>
            <w:r>
              <w:rPr>
                <w:rFonts w:hint="eastAsia"/>
              </w:rPr>
              <w:t>专业</w:t>
            </w:r>
          </w:p>
        </w:tc>
        <w:tc>
          <w:tcPr>
            <w:tcW w:w="2127" w:type="dxa"/>
            <w:noWrap/>
            <w:vAlign w:val="center"/>
          </w:tcPr>
          <w:p>
            <w:pPr>
              <w:spacing w:line="360" w:lineRule="auto"/>
              <w:jc w:val="center"/>
            </w:pPr>
            <w:r>
              <w:rPr>
                <w:rFonts w:hint="eastAsia"/>
              </w:rPr>
              <w:t>养老保险</w:t>
            </w:r>
          </w:p>
        </w:tc>
        <w:tc>
          <w:tcPr>
            <w:tcW w:w="708" w:type="dxa"/>
            <w:vMerge w:val="continue"/>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ign w:val="center"/>
          </w:tcPr>
          <w:p>
            <w:pPr>
              <w:spacing w:line="360" w:lineRule="auto"/>
              <w:jc w:val="center"/>
            </w:pPr>
          </w:p>
        </w:tc>
        <w:tc>
          <w:tcPr>
            <w:tcW w:w="709" w:type="dxa"/>
            <w:noWrap/>
            <w:vAlign w:val="center"/>
          </w:tcPr>
          <w:p>
            <w:pPr>
              <w:spacing w:line="360" w:lineRule="auto"/>
              <w:jc w:val="center"/>
            </w:pPr>
          </w:p>
        </w:tc>
        <w:tc>
          <w:tcPr>
            <w:tcW w:w="709" w:type="dxa"/>
            <w:noWrap/>
            <w:vAlign w:val="center"/>
          </w:tcPr>
          <w:p>
            <w:pPr>
              <w:spacing w:line="360" w:lineRule="auto"/>
              <w:jc w:val="center"/>
            </w:pPr>
          </w:p>
        </w:tc>
        <w:tc>
          <w:tcPr>
            <w:tcW w:w="1134" w:type="dxa"/>
            <w:noWrap/>
            <w:vAlign w:val="center"/>
          </w:tcPr>
          <w:p>
            <w:pPr>
              <w:spacing w:line="360" w:lineRule="auto"/>
              <w:jc w:val="center"/>
            </w:pPr>
          </w:p>
        </w:tc>
        <w:tc>
          <w:tcPr>
            <w:tcW w:w="771" w:type="dxa"/>
            <w:noWrap/>
            <w:vAlign w:val="center"/>
          </w:tcPr>
          <w:p>
            <w:pPr>
              <w:spacing w:line="360" w:lineRule="auto"/>
              <w:jc w:val="center"/>
            </w:pPr>
          </w:p>
        </w:tc>
        <w:tc>
          <w:tcPr>
            <w:tcW w:w="788" w:type="dxa"/>
            <w:noWrap/>
            <w:vAlign w:val="center"/>
          </w:tcPr>
          <w:p>
            <w:pPr>
              <w:spacing w:line="360" w:lineRule="auto"/>
              <w:jc w:val="center"/>
            </w:pPr>
          </w:p>
        </w:tc>
        <w:tc>
          <w:tcPr>
            <w:tcW w:w="850" w:type="dxa"/>
            <w:noWrap/>
            <w:vAlign w:val="center"/>
          </w:tcPr>
          <w:p>
            <w:pPr>
              <w:spacing w:line="360" w:lineRule="auto"/>
              <w:jc w:val="center"/>
            </w:pPr>
          </w:p>
        </w:tc>
        <w:tc>
          <w:tcPr>
            <w:tcW w:w="2127" w:type="dxa"/>
            <w:noWrap/>
            <w:vAlign w:val="center"/>
          </w:tcPr>
          <w:p>
            <w:pPr>
              <w:spacing w:line="360" w:lineRule="auto"/>
              <w:jc w:val="center"/>
            </w:pPr>
          </w:p>
        </w:tc>
        <w:tc>
          <w:tcPr>
            <w:tcW w:w="708" w:type="dxa"/>
            <w:noWrap/>
            <w:vAlign w:val="center"/>
          </w:tcPr>
          <w:p>
            <w:pPr>
              <w:spacing w:line="360" w:lineRule="auto"/>
              <w:jc w:val="center"/>
            </w:pPr>
          </w:p>
        </w:tc>
      </w:tr>
    </w:tbl>
    <w:p>
      <w:pPr>
        <w:spacing w:line="360" w:lineRule="auto"/>
      </w:pPr>
    </w:p>
    <w:p>
      <w:pPr>
        <w:numPr>
          <w:ilvl w:val="0"/>
          <w:numId w:val="27"/>
        </w:numPr>
        <w:spacing w:line="360" w:lineRule="auto"/>
        <w:jc w:val="center"/>
        <w:rPr>
          <w:sz w:val="24"/>
        </w:rPr>
      </w:pPr>
      <w:r>
        <w:br w:type="page"/>
      </w:r>
      <w:r>
        <w:rPr>
          <w:rFonts w:hint="eastAsia"/>
          <w:b/>
          <w:bCs/>
          <w:sz w:val="24"/>
          <w:szCs w:val="24"/>
        </w:rPr>
        <w:t>主要人员简历表</w:t>
      </w:r>
    </w:p>
    <w:p>
      <w:pPr>
        <w:spacing w:beforeLines="50" w:afterLines="100" w:line="360" w:lineRule="auto"/>
        <w:rPr>
          <w:b/>
          <w:bCs/>
        </w:rPr>
      </w:pPr>
      <w:r>
        <w:rPr>
          <w:rFonts w:hint="eastAsia"/>
          <w:b/>
          <w:bCs/>
        </w:rPr>
        <w:t>附1：项目经理简历表</w:t>
      </w:r>
    </w:p>
    <w:p>
      <w:pPr>
        <w:wordWrap/>
        <w:topLinePunct w:val="0"/>
        <w:adjustRightInd w:val="0"/>
        <w:snapToGrid w:val="0"/>
        <w:spacing w:line="360" w:lineRule="auto"/>
        <w:ind w:firstLine="420" w:firstLineChars="200"/>
      </w:pPr>
      <w:r>
        <w:rPr>
          <w:rFonts w:hint="eastAsia"/>
        </w:rPr>
        <w:t>项目经理应附建造师执业资格证书、注册证书、安全生产考核合格证书、身份证、养老保险复印件及未担任其他在施建设工程项目项目经理的承诺书，管理过的项目业绩须附合同协议书和竣工验收备案登记表复印件。类似项目限于以项目经理身份参与的项目。</w:t>
      </w:r>
    </w:p>
    <w:tbl>
      <w:tblPr>
        <w:tblStyle w:val="2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035"/>
        <w:gridCol w:w="1134"/>
        <w:gridCol w:w="1275"/>
        <w:gridCol w:w="1843"/>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年  龄</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学历</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4" w:type="dxa"/>
            <w:noWrap/>
            <w:vAlign w:val="center"/>
          </w:tcPr>
          <w:p>
            <w:pPr>
              <w:spacing w:line="360" w:lineRule="auto"/>
              <w:jc w:val="center"/>
            </w:pPr>
            <w:r>
              <w:rPr>
                <w:rFonts w:hint="eastAsia"/>
              </w:rPr>
              <w:t>职  务</w:t>
            </w:r>
          </w:p>
        </w:tc>
        <w:tc>
          <w:tcPr>
            <w:tcW w:w="1275" w:type="dxa"/>
            <w:noWrap/>
            <w:vAlign w:val="center"/>
          </w:tcPr>
          <w:p>
            <w:pPr>
              <w:spacing w:line="360" w:lineRule="auto"/>
              <w:jc w:val="center"/>
            </w:pPr>
          </w:p>
        </w:tc>
        <w:tc>
          <w:tcPr>
            <w:tcW w:w="1843" w:type="dxa"/>
            <w:noWrap/>
            <w:vAlign w:val="center"/>
          </w:tcPr>
          <w:p>
            <w:pPr>
              <w:spacing w:line="360" w:lineRule="auto"/>
              <w:jc w:val="center"/>
            </w:pPr>
            <w:r>
              <w:rPr>
                <w:rFonts w:hint="eastAsia"/>
              </w:rPr>
              <w:t>拟在本工程任职</w:t>
            </w:r>
          </w:p>
        </w:tc>
        <w:tc>
          <w:tcPr>
            <w:tcW w:w="2198" w:type="dxa"/>
            <w:noWrap/>
            <w:vAlign w:val="center"/>
          </w:tcPr>
          <w:p>
            <w:pPr>
              <w:spacing w:line="360" w:lineRule="auto"/>
              <w:jc w:val="center"/>
            </w:pPr>
            <w:r>
              <w:rPr>
                <w:rFonts w:hint="eastAsia"/>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注册建造师执业资格等级</w:t>
            </w:r>
          </w:p>
        </w:tc>
        <w:tc>
          <w:tcPr>
            <w:tcW w:w="1275" w:type="dxa"/>
            <w:noWrap/>
            <w:vAlign w:val="center"/>
          </w:tcPr>
          <w:p>
            <w:pPr>
              <w:spacing w:line="360" w:lineRule="auto"/>
              <w:jc w:val="center"/>
            </w:pPr>
            <w:r>
              <w:rPr>
                <w:rFonts w:hint="eastAsia"/>
              </w:rPr>
              <w:t xml:space="preserve">      级</w:t>
            </w:r>
          </w:p>
        </w:tc>
        <w:tc>
          <w:tcPr>
            <w:tcW w:w="1843" w:type="dxa"/>
            <w:noWrap/>
            <w:vAlign w:val="center"/>
          </w:tcPr>
          <w:p>
            <w:pPr>
              <w:spacing w:line="360" w:lineRule="auto"/>
              <w:jc w:val="center"/>
            </w:pPr>
            <w:r>
              <w:rPr>
                <w:rFonts w:hint="eastAsia"/>
              </w:rPr>
              <w:t>建造师专业</w:t>
            </w: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2" w:type="dxa"/>
            <w:gridSpan w:val="3"/>
            <w:noWrap/>
            <w:vAlign w:val="center"/>
          </w:tcPr>
          <w:p>
            <w:pPr>
              <w:spacing w:line="360" w:lineRule="auto"/>
              <w:jc w:val="center"/>
            </w:pPr>
            <w:r>
              <w:rPr>
                <w:rFonts w:hint="eastAsia"/>
              </w:rPr>
              <w:t>安全生产考核合格证书</w:t>
            </w:r>
          </w:p>
        </w:tc>
        <w:tc>
          <w:tcPr>
            <w:tcW w:w="5316" w:type="dxa"/>
            <w:gridSpan w:val="3"/>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毕业学校</w:t>
            </w:r>
          </w:p>
        </w:tc>
        <w:tc>
          <w:tcPr>
            <w:tcW w:w="7485"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18"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3" w:type="dxa"/>
            <w:noWrap/>
            <w:vAlign w:val="center"/>
          </w:tcPr>
          <w:p>
            <w:pPr>
              <w:spacing w:line="360" w:lineRule="auto"/>
              <w:jc w:val="center"/>
            </w:pPr>
            <w:r>
              <w:rPr>
                <w:rFonts w:hint="eastAsia"/>
              </w:rPr>
              <w:t>时  间</w:t>
            </w:r>
          </w:p>
        </w:tc>
        <w:tc>
          <w:tcPr>
            <w:tcW w:w="3444" w:type="dxa"/>
            <w:gridSpan w:val="3"/>
            <w:noWrap/>
            <w:vAlign w:val="center"/>
          </w:tcPr>
          <w:p>
            <w:pPr>
              <w:spacing w:line="360" w:lineRule="auto"/>
              <w:jc w:val="center"/>
            </w:pPr>
            <w:r>
              <w:rPr>
                <w:rFonts w:hint="eastAsia"/>
              </w:rPr>
              <w:t>参加过的类似项目名称</w:t>
            </w:r>
          </w:p>
        </w:tc>
        <w:tc>
          <w:tcPr>
            <w:tcW w:w="1843" w:type="dxa"/>
            <w:noWrap/>
            <w:vAlign w:val="center"/>
          </w:tcPr>
          <w:p>
            <w:pPr>
              <w:spacing w:line="360" w:lineRule="auto"/>
              <w:jc w:val="center"/>
            </w:pPr>
            <w:r>
              <w:rPr>
                <w:rFonts w:hint="eastAsia"/>
              </w:rPr>
              <w:t>工程概况说明</w:t>
            </w:r>
          </w:p>
        </w:tc>
        <w:tc>
          <w:tcPr>
            <w:tcW w:w="2198"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33" w:type="dxa"/>
            <w:noWrap/>
            <w:vAlign w:val="center"/>
          </w:tcPr>
          <w:p>
            <w:pPr>
              <w:spacing w:line="360" w:lineRule="auto"/>
              <w:jc w:val="center"/>
            </w:pPr>
          </w:p>
        </w:tc>
        <w:tc>
          <w:tcPr>
            <w:tcW w:w="1035" w:type="dxa"/>
            <w:noWrap/>
            <w:vAlign w:val="center"/>
          </w:tcPr>
          <w:p>
            <w:pPr>
              <w:spacing w:line="360" w:lineRule="auto"/>
              <w:jc w:val="center"/>
            </w:pPr>
          </w:p>
        </w:tc>
        <w:tc>
          <w:tcPr>
            <w:tcW w:w="1134" w:type="dxa"/>
            <w:noWrap/>
            <w:vAlign w:val="center"/>
          </w:tcPr>
          <w:p>
            <w:pPr>
              <w:spacing w:line="360" w:lineRule="auto"/>
              <w:jc w:val="center"/>
            </w:pPr>
          </w:p>
        </w:tc>
        <w:tc>
          <w:tcPr>
            <w:tcW w:w="1275" w:type="dxa"/>
            <w:noWrap/>
            <w:vAlign w:val="center"/>
          </w:tcPr>
          <w:p>
            <w:pPr>
              <w:spacing w:line="360" w:lineRule="auto"/>
              <w:jc w:val="center"/>
            </w:pPr>
          </w:p>
        </w:tc>
        <w:tc>
          <w:tcPr>
            <w:tcW w:w="1843" w:type="dxa"/>
            <w:noWrap/>
            <w:vAlign w:val="center"/>
          </w:tcPr>
          <w:p>
            <w:pPr>
              <w:spacing w:line="360" w:lineRule="auto"/>
              <w:jc w:val="center"/>
            </w:pPr>
          </w:p>
        </w:tc>
        <w:tc>
          <w:tcPr>
            <w:tcW w:w="2198" w:type="dxa"/>
            <w:noWrap/>
            <w:vAlign w:val="center"/>
          </w:tcPr>
          <w:p>
            <w:pPr>
              <w:spacing w:line="360" w:lineRule="auto"/>
              <w:jc w:val="center"/>
            </w:pPr>
          </w:p>
        </w:tc>
      </w:tr>
    </w:tbl>
    <w:p>
      <w:pPr>
        <w:spacing w:line="360" w:lineRule="auto"/>
      </w:pPr>
    </w:p>
    <w:p>
      <w:pPr>
        <w:spacing w:line="360" w:lineRule="auto"/>
      </w:pPr>
      <w:r>
        <w:br w:type="page"/>
      </w:r>
      <w:r>
        <w:rPr>
          <w:rFonts w:hint="eastAsia"/>
          <w:b/>
          <w:bCs/>
        </w:rPr>
        <w:t>附1-1：承诺书</w:t>
      </w:r>
    </w:p>
    <w:p>
      <w:pPr>
        <w:spacing w:beforeLines="100" w:afterLines="100" w:line="360" w:lineRule="auto"/>
        <w:jc w:val="center"/>
        <w:rPr>
          <w:b/>
          <w:bCs/>
          <w:sz w:val="28"/>
          <w:szCs w:val="28"/>
        </w:rPr>
      </w:pPr>
      <w:bookmarkStart w:id="710" w:name="_Toc7463_WPSOffice_Level1"/>
      <w:bookmarkStart w:id="711" w:name="_Toc3519_WPSOffice_Level1"/>
      <w:bookmarkStart w:id="712" w:name="_Toc25779_WPSOffice_Level1"/>
      <w:r>
        <w:rPr>
          <w:rFonts w:hint="eastAsia"/>
          <w:b/>
          <w:bCs/>
          <w:sz w:val="28"/>
          <w:szCs w:val="28"/>
        </w:rPr>
        <w:t>承诺书</w:t>
      </w:r>
      <w:bookmarkEnd w:id="710"/>
      <w:bookmarkEnd w:id="711"/>
      <w:bookmarkEnd w:id="712"/>
    </w:p>
    <w:p>
      <w:pPr>
        <w:spacing w:afterLines="100" w:line="360" w:lineRule="auto"/>
        <w:ind w:firstLine="210" w:firstLineChars="100"/>
      </w:pPr>
      <w:r>
        <w:rPr>
          <w:rFonts w:hint="eastAsia"/>
          <w:u w:val="single"/>
        </w:rPr>
        <w:t>（采购人名称）</w:t>
      </w:r>
      <w:r>
        <w:rPr>
          <w:rFonts w:hint="eastAsia"/>
        </w:rPr>
        <w:t>:</w:t>
      </w:r>
    </w:p>
    <w:p>
      <w:pPr>
        <w:spacing w:line="360" w:lineRule="auto"/>
        <w:ind w:firstLine="420" w:firstLineChars="200"/>
      </w:pPr>
      <w:r>
        <w:rPr>
          <w:rFonts w:hint="eastAsia"/>
        </w:rPr>
        <w:t>我方在此声明，我方拟派往（项目名称）标段（以下简称“本工程”）的项目经理（项目经理姓名）现阶段没有担任任何在施建设工程项目的项目经理。</w:t>
      </w:r>
    </w:p>
    <w:p>
      <w:pPr>
        <w:spacing w:line="360" w:lineRule="auto"/>
        <w:ind w:firstLine="420" w:firstLineChars="200"/>
      </w:pPr>
      <w:r>
        <w:rPr>
          <w:rFonts w:hint="eastAsia"/>
        </w:rPr>
        <w:t>我方保证上述信息的真实和准确，并愿意承担因我方就此弄虚作假所引起的一切法律后果。</w:t>
      </w:r>
    </w:p>
    <w:p>
      <w:pPr>
        <w:spacing w:line="360" w:lineRule="auto"/>
        <w:ind w:firstLine="420" w:firstLineChars="200"/>
      </w:pPr>
    </w:p>
    <w:p>
      <w:pPr>
        <w:spacing w:line="360" w:lineRule="auto"/>
        <w:ind w:firstLine="420" w:firstLineChars="200"/>
      </w:pPr>
    </w:p>
    <w:p>
      <w:pPr>
        <w:spacing w:line="360" w:lineRule="auto"/>
        <w:ind w:firstLine="420" w:firstLineChars="200"/>
      </w:pPr>
      <w:r>
        <w:rPr>
          <w:rFonts w:hint="eastAsia"/>
        </w:rPr>
        <w:t>特此承诺</w:t>
      </w: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firstLine="420" w:firstLineChars="200"/>
      </w:pPr>
    </w:p>
    <w:p>
      <w:pPr>
        <w:spacing w:line="360" w:lineRule="auto"/>
        <w:ind w:right="420"/>
        <w:jc w:val="right"/>
      </w:pPr>
      <w:r>
        <w:rPr>
          <w:rFonts w:hint="eastAsia"/>
        </w:rPr>
        <w:t>响应人：（电子签章）</w:t>
      </w:r>
    </w:p>
    <w:p>
      <w:pPr>
        <w:spacing w:line="360" w:lineRule="auto"/>
        <w:jc w:val="right"/>
      </w:pPr>
      <w:r>
        <w:rPr>
          <w:rFonts w:hint="eastAsia"/>
        </w:rPr>
        <w:t>法定代表人或其委托代理人：（电子签名）</w:t>
      </w:r>
    </w:p>
    <w:p>
      <w:pPr>
        <w:spacing w:line="360" w:lineRule="auto"/>
        <w:jc w:val="right"/>
      </w:pPr>
    </w:p>
    <w:p>
      <w:pPr>
        <w:spacing w:line="360" w:lineRule="auto"/>
        <w:jc w:val="right"/>
        <w:rPr>
          <w:rFonts w:cs="Times New Roman"/>
          <w:sz w:val="24"/>
          <w:szCs w:val="24"/>
          <w:lang w:val="zh-CN"/>
        </w:rPr>
      </w:pPr>
      <w:r>
        <w:rPr>
          <w:rFonts w:hint="eastAsia"/>
        </w:rPr>
        <w:t>日期：  年 月 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before="84"/>
        <w:ind w:left="3892" w:right="0" w:firstLine="0"/>
        <w:jc w:val="left"/>
        <w:rPr>
          <w:b/>
          <w:sz w:val="24"/>
        </w:rPr>
      </w:pPr>
      <w:r>
        <w:rPr>
          <w:b/>
          <w:sz w:val="24"/>
        </w:rPr>
        <w:t>信用承诺书</w:t>
      </w:r>
    </w:p>
    <w:p>
      <w:pPr>
        <w:pStyle w:val="7"/>
        <w:spacing w:before="7"/>
        <w:ind w:left="0"/>
        <w:rPr>
          <w:b/>
          <w:sz w:val="10"/>
        </w:rPr>
      </w:pPr>
    </w:p>
    <w:p>
      <w:pPr>
        <w:spacing w:before="66"/>
        <w:ind w:left="3618" w:right="0" w:firstLine="0"/>
        <w:jc w:val="left"/>
        <w:rPr>
          <w:b/>
          <w:sz w:val="24"/>
        </w:rPr>
      </w:pPr>
      <w:r>
        <w:rPr>
          <w:b/>
          <w:sz w:val="24"/>
        </w:rPr>
        <w:t>（投标单位范本）</w:t>
      </w:r>
    </w:p>
    <w:p>
      <w:pPr>
        <w:pStyle w:val="7"/>
        <w:spacing w:before="161" w:line="312" w:lineRule="auto"/>
        <w:ind w:right="237" w:firstLine="566"/>
      </w:pPr>
      <w:r>
        <w:t>为营造公开、公平、公正、诚实守信的公共资源交易环境，树立诚信守法的供应商形象，本人代表本单位作出以下承诺：</w:t>
      </w:r>
    </w:p>
    <w:p>
      <w:pPr>
        <w:pStyle w:val="7"/>
        <w:spacing w:before="2" w:line="312" w:lineRule="auto"/>
        <w:ind w:right="117" w:firstLine="566"/>
      </w:pPr>
      <w:r>
        <w:t>（一）本单位对所提交的企（事）业单位基本信息、企（事）业负责人、项目</w:t>
      </w:r>
      <w:r>
        <w:rPr>
          <w:spacing w:val="-15"/>
        </w:rPr>
        <w:t>负责人、技术负责人、从业资质和资格、业绩、财务状况、信誉等所有资料，均合法、</w:t>
      </w:r>
      <w:r>
        <w:t>真实、准确、有效，无任何伪造、修改、虚假成份，并对所提供资料的真实性负责。</w:t>
      </w:r>
    </w:p>
    <w:p>
      <w:pPr>
        <w:pStyle w:val="7"/>
        <w:spacing w:before="2" w:line="312" w:lineRule="auto"/>
        <w:ind w:right="117" w:firstLine="566"/>
      </w:pPr>
      <w:r>
        <w:t>（二）严格依照国家和河南省关于招标投标的法律、法规、规章、规范性文件， 参加公共资源招标投标活动，不挂靠、借用、出租、出借、转让资质，积极履行社会责任，促进廉政建设。</w:t>
      </w:r>
    </w:p>
    <w:p>
      <w:pPr>
        <w:pStyle w:val="7"/>
        <w:spacing w:before="2" w:line="312" w:lineRule="auto"/>
        <w:ind w:right="117" w:firstLine="566"/>
      </w:pPr>
      <w:r>
        <w:t>（三）自我约束、自我管理，守合同、重信用，不参与围标串标、弄虚作假、骗取中标、干扰评标、胁迫他人投标（放弃中标）、恶意投诉、违约毁约等行为，自觉维护公共资源招标投标的良好秩序。</w:t>
      </w:r>
    </w:p>
    <w:p>
      <w:pPr>
        <w:pStyle w:val="7"/>
        <w:spacing w:before="2" w:line="312" w:lineRule="auto"/>
        <w:ind w:right="117" w:firstLine="566"/>
      </w:pPr>
      <w:r>
        <w:t>（四）本单位及项目经办人员信用状况良好，未被列为失信惩戒对象或“老赖”，符合参与公共资源交易活动的相关要求。</w:t>
      </w:r>
    </w:p>
    <w:p>
      <w:pPr>
        <w:pStyle w:val="7"/>
        <w:spacing w:before="2" w:line="312" w:lineRule="auto"/>
        <w:ind w:right="117" w:firstLine="566"/>
      </w:pPr>
      <w:r>
        <w:t>（五）本单位不存在被人力资源和社会保障部门列入拖欠农民工工资“黑名单” 或因拖欠农民工工资被县级及以上有关行政主管部门限制投标资格之情形，若中标， 本单位将自觉落实农民工工资保障的有关措施，及时缴纳缴纳农民工工资保证金，切实维护农民工权益。</w:t>
      </w:r>
    </w:p>
    <w:p>
      <w:pPr>
        <w:pStyle w:val="7"/>
        <w:spacing w:before="2" w:line="312" w:lineRule="auto"/>
        <w:ind w:right="117" w:firstLine="566"/>
      </w:pPr>
      <w:r>
        <w:t>（六）若中标，本单位将在规定的时间内与招标人签订合同并自觉履行合同义务，不转包或违法分包中标项目。</w:t>
      </w:r>
    </w:p>
    <w:p>
      <w:pPr>
        <w:pStyle w:val="7"/>
        <w:spacing w:before="2" w:line="312" w:lineRule="auto"/>
        <w:ind w:right="117" w:firstLine="566"/>
      </w:pPr>
      <w:r>
        <w:t>（七）自觉接受政府、行业组织、社会公众、新闻舆论的监督。</w:t>
      </w:r>
    </w:p>
    <w:p>
      <w:pPr>
        <w:pStyle w:val="7"/>
        <w:spacing w:before="2" w:line="312" w:lineRule="auto"/>
        <w:ind w:right="117" w:firstLine="566"/>
      </w:pPr>
      <w: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7"/>
        <w:spacing w:before="2" w:line="312" w:lineRule="auto"/>
        <w:ind w:right="117" w:firstLine="566"/>
      </w:pPr>
      <w:r>
        <w:t>（九）本人已认真阅读了上述承诺，并向本单位员工作了宣传教育。</w:t>
      </w:r>
    </w:p>
    <w:p>
      <w:pPr>
        <w:pStyle w:val="7"/>
        <w:spacing w:before="2" w:line="312" w:lineRule="auto"/>
        <w:ind w:right="117" w:firstLine="566"/>
      </w:pPr>
    </w:p>
    <w:p>
      <w:pPr>
        <w:pStyle w:val="7"/>
        <w:spacing w:before="11"/>
        <w:ind w:left="0"/>
        <w:rPr>
          <w:sz w:val="19"/>
        </w:rPr>
      </w:pPr>
    </w:p>
    <w:p>
      <w:pPr>
        <w:pStyle w:val="7"/>
        <w:spacing w:before="93" w:line="312" w:lineRule="auto"/>
        <w:ind w:right="237" w:firstLine="566"/>
        <w:jc w:val="both"/>
        <w:rPr>
          <w:spacing w:val="-10"/>
        </w:rPr>
      </w:pPr>
      <w:r>
        <w:rPr>
          <w:spacing w:val="-10"/>
        </w:rPr>
        <w:t>供应商（全称）：（电子签章）</w:t>
      </w:r>
    </w:p>
    <w:p>
      <w:pPr>
        <w:pStyle w:val="7"/>
        <w:spacing w:before="93" w:line="312" w:lineRule="auto"/>
        <w:ind w:right="237" w:firstLine="566"/>
        <w:jc w:val="both"/>
        <w:rPr>
          <w:spacing w:val="-10"/>
        </w:rPr>
      </w:pPr>
      <w:r>
        <w:rPr>
          <w:spacing w:val="-10"/>
        </w:rPr>
        <w:t>法定代表人（负责人）或其授权代表（电子签章/签名）：</w:t>
      </w:r>
    </w:p>
    <w:p>
      <w:pPr>
        <w:pStyle w:val="7"/>
        <w:spacing w:before="93" w:line="312" w:lineRule="auto"/>
        <w:ind w:right="237" w:firstLine="566"/>
        <w:jc w:val="both"/>
        <w:rPr>
          <w:spacing w:val="-10"/>
        </w:rPr>
      </w:pPr>
      <w:r>
        <w:rPr>
          <w:spacing w:val="-10"/>
        </w:rPr>
        <w:t>日期：</w:t>
      </w:r>
    </w:p>
    <w:p>
      <w:pPr>
        <w:spacing w:line="360" w:lineRule="auto"/>
        <w:rPr>
          <w:rFonts w:hint="eastAsia"/>
          <w:b/>
          <w:bCs/>
        </w:rPr>
      </w:pPr>
    </w:p>
    <w:p>
      <w:pPr>
        <w:spacing w:line="360" w:lineRule="auto"/>
        <w:rPr>
          <w:rFonts w:hint="eastAsia"/>
          <w:b/>
          <w:bCs/>
        </w:rPr>
      </w:pPr>
    </w:p>
    <w:p>
      <w:pPr>
        <w:spacing w:line="360" w:lineRule="auto"/>
      </w:pPr>
      <w:r>
        <w:rPr>
          <w:rFonts w:hint="eastAsia"/>
          <w:b/>
          <w:bCs/>
        </w:rPr>
        <w:t>附2：主要项目管理人员简历表</w:t>
      </w:r>
      <w:bookmarkStart w:id="713" w:name="_Toc26247"/>
    </w:p>
    <w:p>
      <w:pPr>
        <w:pStyle w:val="37"/>
        <w:rPr>
          <w:lang w:val="en-US"/>
        </w:rPr>
      </w:pPr>
    </w:p>
    <w:p>
      <w:pPr>
        <w:spacing w:line="360" w:lineRule="auto"/>
        <w:ind w:firstLine="420" w:firstLineChars="200"/>
      </w:pPr>
      <w:r>
        <w:rPr>
          <w:rFonts w:hint="eastAsia"/>
        </w:rPr>
        <w:t>项目负责人应附身份证、劳动合同、</w:t>
      </w:r>
      <w:r>
        <w:rPr>
          <w:rFonts w:hint="eastAsia"/>
          <w:kern w:val="0"/>
        </w:rPr>
        <w:t>养老保险</w:t>
      </w:r>
      <w:r>
        <w:rPr>
          <w:rFonts w:hint="eastAsia"/>
        </w:rPr>
        <w:t>、管理过的项目业绩须附证明其所任技术职务的企业文件或用户证明；专职安全员，应附身份证、安全生产考核合格证、劳动合同、</w:t>
      </w:r>
      <w:r>
        <w:rPr>
          <w:rFonts w:hint="eastAsia"/>
          <w:kern w:val="0"/>
        </w:rPr>
        <w:t>养老保险</w:t>
      </w:r>
      <w:r>
        <w:rPr>
          <w:rFonts w:hint="eastAsia"/>
        </w:rPr>
        <w:t>交纳证明等相关证明；其他主要人员应附身份证、职称证（执业证或上岗证书）。</w:t>
      </w:r>
    </w:p>
    <w:p>
      <w:pPr>
        <w:spacing w:line="360" w:lineRule="auto"/>
      </w:pPr>
    </w:p>
    <w:tbl>
      <w:tblPr>
        <w:tblStyle w:val="2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035"/>
        <w:gridCol w:w="1133"/>
        <w:gridCol w:w="1274"/>
        <w:gridCol w:w="1842"/>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姓  名</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年  龄</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学历</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职  称</w:t>
            </w:r>
          </w:p>
        </w:tc>
        <w:tc>
          <w:tcPr>
            <w:tcW w:w="1035" w:type="dxa"/>
            <w:noWrap/>
            <w:vAlign w:val="center"/>
          </w:tcPr>
          <w:p>
            <w:pPr>
              <w:spacing w:line="360" w:lineRule="auto"/>
              <w:jc w:val="center"/>
            </w:pPr>
          </w:p>
        </w:tc>
        <w:tc>
          <w:tcPr>
            <w:tcW w:w="1133" w:type="dxa"/>
            <w:noWrap/>
            <w:vAlign w:val="center"/>
          </w:tcPr>
          <w:p>
            <w:pPr>
              <w:spacing w:line="360" w:lineRule="auto"/>
              <w:jc w:val="center"/>
            </w:pPr>
            <w:r>
              <w:rPr>
                <w:rFonts w:hint="eastAsia"/>
              </w:rPr>
              <w:t>职  务</w:t>
            </w:r>
          </w:p>
        </w:tc>
        <w:tc>
          <w:tcPr>
            <w:tcW w:w="1274" w:type="dxa"/>
            <w:noWrap/>
            <w:vAlign w:val="center"/>
          </w:tcPr>
          <w:p>
            <w:pPr>
              <w:spacing w:line="360" w:lineRule="auto"/>
              <w:jc w:val="center"/>
            </w:pPr>
          </w:p>
        </w:tc>
        <w:tc>
          <w:tcPr>
            <w:tcW w:w="1842" w:type="dxa"/>
            <w:noWrap/>
            <w:vAlign w:val="center"/>
          </w:tcPr>
          <w:p>
            <w:pPr>
              <w:spacing w:line="360" w:lineRule="auto"/>
              <w:jc w:val="center"/>
            </w:pPr>
            <w:r>
              <w:rPr>
                <w:rFonts w:hint="eastAsia"/>
              </w:rPr>
              <w:t>拟在本工程任职</w:t>
            </w: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毕业学校</w:t>
            </w:r>
          </w:p>
        </w:tc>
        <w:tc>
          <w:tcPr>
            <w:tcW w:w="7409" w:type="dxa"/>
            <w:gridSpan w:val="5"/>
            <w:noWrap/>
            <w:vAlign w:val="center"/>
          </w:tcPr>
          <w:p>
            <w:pPr>
              <w:spacing w:line="360" w:lineRule="auto"/>
              <w:ind w:firstLine="840" w:firstLineChars="400"/>
            </w:pPr>
            <w:r>
              <w:rPr>
                <w:rFonts w:hint="eastAsia"/>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500" w:type="dxa"/>
            <w:gridSpan w:val="6"/>
            <w:noWrap/>
            <w:vAlign w:val="center"/>
          </w:tcPr>
          <w:p>
            <w:pPr>
              <w:spacing w:line="360" w:lineRule="auto"/>
              <w:jc w:val="center"/>
            </w:pPr>
            <w:r>
              <w:rPr>
                <w:rFonts w:hint="eastAsia"/>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91" w:type="dxa"/>
            <w:noWrap/>
            <w:vAlign w:val="center"/>
          </w:tcPr>
          <w:p>
            <w:pPr>
              <w:spacing w:line="360" w:lineRule="auto"/>
              <w:jc w:val="center"/>
            </w:pPr>
            <w:r>
              <w:rPr>
                <w:rFonts w:hint="eastAsia"/>
              </w:rPr>
              <w:t>时  间</w:t>
            </w:r>
          </w:p>
        </w:tc>
        <w:tc>
          <w:tcPr>
            <w:tcW w:w="3442" w:type="dxa"/>
            <w:gridSpan w:val="3"/>
            <w:noWrap/>
            <w:vAlign w:val="center"/>
          </w:tcPr>
          <w:p>
            <w:pPr>
              <w:spacing w:line="360" w:lineRule="auto"/>
              <w:jc w:val="center"/>
            </w:pPr>
            <w:r>
              <w:rPr>
                <w:rFonts w:hint="eastAsia"/>
              </w:rPr>
              <w:t>参加过的类似项目名称</w:t>
            </w:r>
          </w:p>
        </w:tc>
        <w:tc>
          <w:tcPr>
            <w:tcW w:w="1842" w:type="dxa"/>
            <w:noWrap/>
            <w:vAlign w:val="center"/>
          </w:tcPr>
          <w:p>
            <w:pPr>
              <w:spacing w:line="360" w:lineRule="auto"/>
              <w:jc w:val="center"/>
            </w:pPr>
            <w:r>
              <w:rPr>
                <w:rFonts w:hint="eastAsia"/>
              </w:rPr>
              <w:t>担任职务</w:t>
            </w:r>
          </w:p>
        </w:tc>
        <w:tc>
          <w:tcPr>
            <w:tcW w:w="2125" w:type="dxa"/>
            <w:noWrap/>
            <w:vAlign w:val="center"/>
          </w:tcPr>
          <w:p>
            <w:pPr>
              <w:spacing w:line="360" w:lineRule="auto"/>
              <w:jc w:val="center"/>
            </w:pPr>
            <w:r>
              <w:rPr>
                <w:rFonts w:hint="eastAsia"/>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91" w:type="dxa"/>
            <w:noWrap/>
            <w:vAlign w:val="center"/>
          </w:tcPr>
          <w:p>
            <w:pPr>
              <w:spacing w:line="360" w:lineRule="auto"/>
              <w:jc w:val="center"/>
            </w:pPr>
          </w:p>
        </w:tc>
        <w:tc>
          <w:tcPr>
            <w:tcW w:w="3442" w:type="dxa"/>
            <w:gridSpan w:val="3"/>
            <w:noWrap/>
            <w:vAlign w:val="center"/>
          </w:tcPr>
          <w:p>
            <w:pPr>
              <w:spacing w:line="360" w:lineRule="auto"/>
              <w:jc w:val="center"/>
            </w:pPr>
          </w:p>
        </w:tc>
        <w:tc>
          <w:tcPr>
            <w:tcW w:w="1842" w:type="dxa"/>
            <w:noWrap/>
            <w:vAlign w:val="center"/>
          </w:tcPr>
          <w:p>
            <w:pPr>
              <w:spacing w:line="360" w:lineRule="auto"/>
              <w:jc w:val="center"/>
            </w:pPr>
          </w:p>
        </w:tc>
        <w:tc>
          <w:tcPr>
            <w:tcW w:w="2125" w:type="dxa"/>
            <w:noWrap/>
            <w:vAlign w:val="center"/>
          </w:tcPr>
          <w:p>
            <w:pPr>
              <w:spacing w:line="360" w:lineRule="auto"/>
              <w:jc w:val="center"/>
            </w:pPr>
          </w:p>
        </w:tc>
      </w:tr>
    </w:tbl>
    <w:p>
      <w:pPr>
        <w:spacing w:line="360" w:lineRule="auto"/>
        <w:rPr>
          <w:rFonts w:cs="Times New Roman"/>
          <w:sz w:val="24"/>
          <w:szCs w:val="24"/>
          <w:lang w:val="zh-CN"/>
        </w:rPr>
      </w:pPr>
    </w:p>
    <w:bookmarkEnd w:id="713"/>
    <w:p>
      <w:pPr>
        <w:pStyle w:val="5"/>
        <w:spacing w:line="360" w:lineRule="auto"/>
        <w:ind w:left="0" w:leftChars="0" w:firstLine="0" w:firstLineChars="0"/>
        <w:rPr>
          <w:rFonts w:ascii="宋体" w:hAnsi="宋体"/>
        </w:rPr>
      </w:pPr>
    </w:p>
    <w:p>
      <w:pPr>
        <w:pStyle w:val="5"/>
        <w:spacing w:line="360" w:lineRule="auto"/>
        <w:rPr>
          <w:rFonts w:ascii="宋体" w:hAnsi="宋体"/>
        </w:rPr>
      </w:pPr>
    </w:p>
    <w:p>
      <w:pPr>
        <w:pStyle w:val="2"/>
        <w:numPr>
          <w:ilvl w:val="0"/>
          <w:numId w:val="0"/>
        </w:numPr>
        <w:tabs>
          <w:tab w:val="left" w:pos="425"/>
        </w:tabs>
        <w:ind w:leftChars="0"/>
        <w:jc w:val="center"/>
        <w:rPr>
          <w:szCs w:val="24"/>
          <w:lang w:val="zh-CN"/>
        </w:rPr>
      </w:pPr>
      <w:bookmarkStart w:id="714" w:name="_Toc19513_WPSOffice_Level1"/>
      <w:bookmarkStart w:id="715" w:name="_Toc16999"/>
      <w:bookmarkStart w:id="716" w:name="_Toc13447_WPSOffice_Level1"/>
      <w:bookmarkStart w:id="717" w:name="_Toc7818_WPSOffice_Level1"/>
      <w:bookmarkStart w:id="718" w:name="_Toc355809725"/>
      <w:bookmarkStart w:id="719" w:name="_Toc20487"/>
      <w:bookmarkStart w:id="720" w:name="_Toc339972632"/>
      <w:bookmarkStart w:id="721" w:name="_Toc275795959"/>
      <w:bookmarkStart w:id="722" w:name="_Toc28100"/>
      <w:r>
        <w:rPr>
          <w:rFonts w:hint="eastAsia"/>
          <w:szCs w:val="24"/>
          <w:lang w:val="en-US" w:eastAsia="zh-CN"/>
        </w:rPr>
        <w:t>七、</w:t>
      </w:r>
      <w:r>
        <w:rPr>
          <w:rFonts w:hint="eastAsia"/>
          <w:szCs w:val="24"/>
          <w:lang w:val="zh-CN"/>
        </w:rPr>
        <w:t>服务承诺</w:t>
      </w:r>
      <w:bookmarkEnd w:id="714"/>
      <w:bookmarkEnd w:id="715"/>
      <w:bookmarkEnd w:id="716"/>
      <w:bookmarkEnd w:id="717"/>
    </w:p>
    <w:p>
      <w:pPr>
        <w:pStyle w:val="2"/>
        <w:numPr>
          <w:ilvl w:val="0"/>
          <w:numId w:val="28"/>
        </w:numPr>
        <w:tabs>
          <w:tab w:val="left" w:pos="840"/>
        </w:tabs>
        <w:rPr>
          <w:szCs w:val="24"/>
        </w:rPr>
      </w:pPr>
      <w:r>
        <w:rPr>
          <w:rFonts w:hint="eastAsia"/>
          <w:bCs w:val="0"/>
          <w:szCs w:val="24"/>
          <w:lang w:val="zh-CN"/>
        </w:rPr>
        <w:br w:type="page"/>
      </w:r>
      <w:bookmarkStart w:id="723" w:name="_Toc11065_WPSOffice_Level1"/>
      <w:bookmarkStart w:id="724" w:name="_Toc12975_WPSOffice_Level1"/>
      <w:bookmarkStart w:id="725" w:name="_Toc17966"/>
      <w:bookmarkStart w:id="726" w:name="_Toc31795_WPSOffice_Level1"/>
      <w:r>
        <w:rPr>
          <w:rFonts w:hint="eastAsia"/>
          <w:szCs w:val="24"/>
          <w:lang w:val="zh-CN"/>
        </w:rPr>
        <w:t>反商业贿赂承诺书</w:t>
      </w:r>
      <w:bookmarkEnd w:id="718"/>
      <w:bookmarkEnd w:id="719"/>
      <w:bookmarkEnd w:id="720"/>
      <w:bookmarkEnd w:id="721"/>
      <w:bookmarkEnd w:id="722"/>
      <w:bookmarkEnd w:id="723"/>
      <w:bookmarkEnd w:id="724"/>
      <w:bookmarkEnd w:id="725"/>
      <w:bookmarkEnd w:id="726"/>
    </w:p>
    <w:p>
      <w:pPr>
        <w:spacing w:line="360" w:lineRule="auto"/>
      </w:pPr>
      <w:r>
        <w:rPr>
          <w:rFonts w:hint="eastAsia"/>
        </w:rPr>
        <w:t>我公司承诺：</w:t>
      </w:r>
    </w:p>
    <w:p>
      <w:pPr>
        <w:spacing w:line="360" w:lineRule="auto"/>
        <w:ind w:firstLine="555"/>
      </w:pPr>
      <w:r>
        <w:rPr>
          <w:rFonts w:hint="eastAsia"/>
        </w:rPr>
        <w:t>在</w:t>
      </w:r>
      <w:r>
        <w:rPr>
          <w:rFonts w:hint="eastAsia"/>
          <w:u w:val="single"/>
        </w:rPr>
        <w:t xml:space="preserve">       （采购项目名称）</w:t>
      </w:r>
      <w:r>
        <w:rPr>
          <w:rFonts w:hint="eastAsia"/>
        </w:rPr>
        <w:t>采购活动中，我公司保证做到：</w:t>
      </w:r>
    </w:p>
    <w:p>
      <w:pPr>
        <w:spacing w:line="360" w:lineRule="auto"/>
        <w:ind w:firstLine="555"/>
      </w:pPr>
      <w:r>
        <w:rPr>
          <w:rFonts w:hint="eastAsia"/>
        </w:rPr>
        <w:t>1. 公平竞争参加本次采购活动。</w:t>
      </w:r>
    </w:p>
    <w:p>
      <w:pPr>
        <w:spacing w:line="360" w:lineRule="auto"/>
        <w:ind w:firstLine="556"/>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556"/>
      </w:pPr>
      <w:r>
        <w:rPr>
          <w:rFonts w:hint="eastAsia"/>
        </w:rPr>
        <w:t>3. 若出现上述行为，我公司及参与磋商的工作人员愿意接受按照国家法律法规等有关规定给予的处罚。</w:t>
      </w:r>
    </w:p>
    <w:p>
      <w:pPr>
        <w:spacing w:line="360" w:lineRule="auto"/>
        <w:ind w:firstLine="555"/>
      </w:pPr>
    </w:p>
    <w:p>
      <w:pPr>
        <w:spacing w:line="360" w:lineRule="auto"/>
        <w:ind w:firstLine="2880"/>
        <w:jc w:val="right"/>
        <w:rPr>
          <w:u w:val="single"/>
        </w:rPr>
      </w:pPr>
      <w:r>
        <w:rPr>
          <w:rFonts w:hint="eastAsia"/>
        </w:rPr>
        <w:t>公司法人代表（电子签名）：</w:t>
      </w:r>
    </w:p>
    <w:p>
      <w:pPr>
        <w:spacing w:line="360" w:lineRule="auto"/>
        <w:ind w:firstLine="2880"/>
        <w:jc w:val="right"/>
        <w:rPr>
          <w:u w:val="single"/>
        </w:rPr>
      </w:pPr>
      <w:r>
        <w:rPr>
          <w:rFonts w:hint="eastAsia"/>
        </w:rPr>
        <w:t>法人授权代表（电子签名）：</w:t>
      </w:r>
    </w:p>
    <w:p>
      <w:pPr>
        <w:spacing w:line="360" w:lineRule="auto"/>
        <w:ind w:firstLine="555"/>
        <w:jc w:val="right"/>
      </w:pPr>
      <w:r>
        <w:rPr>
          <w:rFonts w:hint="eastAsia"/>
        </w:rPr>
        <w:t>响应人：（电子签章）</w:t>
      </w:r>
    </w:p>
    <w:p>
      <w:pPr>
        <w:spacing w:line="360" w:lineRule="auto"/>
        <w:ind w:firstLine="555"/>
        <w:jc w:val="right"/>
      </w:pPr>
      <w:r>
        <w:rPr>
          <w:rFonts w:hint="eastAsia"/>
        </w:rPr>
        <w:t>日期： 年  月  日</w:t>
      </w:r>
    </w:p>
    <w:p>
      <w:pPr>
        <w:spacing w:line="360" w:lineRule="auto"/>
        <w:jc w:val="right"/>
      </w:pPr>
    </w:p>
    <w:p>
      <w:pPr>
        <w:pStyle w:val="2"/>
        <w:numPr>
          <w:ilvl w:val="0"/>
          <w:numId w:val="28"/>
        </w:numPr>
        <w:tabs>
          <w:tab w:val="left" w:pos="840"/>
        </w:tabs>
        <w:rPr>
          <w:bCs w:val="0"/>
          <w:szCs w:val="24"/>
          <w:lang w:val="zh-CN"/>
        </w:rPr>
      </w:pPr>
      <w:bookmarkStart w:id="727" w:name="_Toc13712"/>
      <w:r>
        <w:rPr>
          <w:rFonts w:hint="eastAsia"/>
          <w:szCs w:val="24"/>
          <w:lang w:eastAsia="zh-CN"/>
        </w:rPr>
        <w:br w:type="page"/>
      </w:r>
      <w:bookmarkEnd w:id="727"/>
      <w:bookmarkStart w:id="728" w:name="_Toc15983"/>
      <w:bookmarkStart w:id="729" w:name="_Toc8534_WPSOffice_Level1"/>
      <w:bookmarkStart w:id="730" w:name="_Toc27715_WPSOffice_Level1"/>
      <w:bookmarkStart w:id="731" w:name="_Toc13391"/>
      <w:bookmarkStart w:id="732" w:name="_Toc18051_WPSOffice_Level1"/>
      <w:r>
        <w:rPr>
          <w:rFonts w:hint="eastAsia"/>
          <w:szCs w:val="24"/>
          <w:lang w:val="zh-CN"/>
        </w:rPr>
        <w:t>中小企业声明函</w:t>
      </w:r>
      <w:bookmarkEnd w:id="728"/>
      <w:bookmarkEnd w:id="729"/>
      <w:bookmarkEnd w:id="730"/>
      <w:bookmarkEnd w:id="731"/>
      <w:bookmarkEnd w:id="732"/>
    </w:p>
    <w:p>
      <w:pPr>
        <w:spacing w:line="360" w:lineRule="auto"/>
        <w:ind w:left="59" w:leftChars="28"/>
        <w:jc w:val="center"/>
      </w:pPr>
      <w:r>
        <w:rPr>
          <w:rFonts w:hint="eastAsia"/>
        </w:rPr>
        <w:t>（属于中小微企业的填写，不属于的无需填写此项内容）</w:t>
      </w:r>
    </w:p>
    <w:p>
      <w:pPr>
        <w:spacing w:line="360" w:lineRule="auto"/>
        <w:ind w:firstLine="472" w:firstLineChars="225"/>
      </w:pPr>
    </w:p>
    <w:p>
      <w:pPr>
        <w:spacing w:line="360" w:lineRule="auto"/>
        <w:ind w:firstLine="472" w:firstLineChars="225"/>
      </w:pPr>
      <w:r>
        <w:t>本公司郑重声明，根据</w:t>
      </w:r>
      <w:r>
        <w:rPr>
          <w:rFonts w:hint="eastAsia"/>
          <w:lang w:eastAsia="zh-CN"/>
        </w:rPr>
        <w:t>《政府采购促进中小企业发展管理办法》（财库（2020）46号）</w:t>
      </w:r>
      <w:r>
        <w:t>的规定，本公司为（请填写：中型、小型、微型）企业。即，本公司同时满足以下条件：</w:t>
      </w:r>
    </w:p>
    <w:p>
      <w:pPr>
        <w:spacing w:line="360" w:lineRule="auto"/>
        <w:ind w:firstLine="472" w:firstLineChars="225"/>
      </w:pPr>
      <w: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472" w:firstLineChars="225"/>
      </w:pPr>
      <w:r>
        <w:t>2.本公司参加单位的项目采购活动提供本企业制造的货物，由本企业承担项目、提供服务，或者提供其他______（请填写：中型、小型、微型）企业制造的货物。本条所称货物不包括使用大型企业注册商标的货物。</w:t>
      </w:r>
    </w:p>
    <w:p>
      <w:pPr>
        <w:spacing w:line="360" w:lineRule="auto"/>
        <w:ind w:firstLine="472" w:firstLineChars="225"/>
      </w:pPr>
      <w:r>
        <w:t>本公司对上述声明的真实性负责。如有虚假，将依法承担相应责任。</w:t>
      </w:r>
    </w:p>
    <w:p>
      <w:pPr>
        <w:spacing w:line="360" w:lineRule="auto"/>
        <w:ind w:firstLine="472" w:firstLineChars="225"/>
      </w:pPr>
    </w:p>
    <w:p>
      <w:pPr>
        <w:spacing w:line="360" w:lineRule="auto"/>
        <w:ind w:firstLine="472" w:firstLineChars="225"/>
      </w:pPr>
    </w:p>
    <w:p>
      <w:pPr>
        <w:spacing w:line="360" w:lineRule="auto"/>
        <w:ind w:firstLine="472" w:firstLineChars="225"/>
        <w:jc w:val="right"/>
      </w:pPr>
      <w:r>
        <w:t>企业名称：（</w:t>
      </w:r>
      <w:r>
        <w:rPr>
          <w:rFonts w:hint="eastAsia"/>
        </w:rPr>
        <w:t>电子签章</w:t>
      </w:r>
      <w:r>
        <w:t>）</w:t>
      </w:r>
    </w:p>
    <w:p>
      <w:pPr>
        <w:spacing w:line="360" w:lineRule="auto"/>
        <w:ind w:firstLine="472" w:firstLineChars="225"/>
        <w:jc w:val="right"/>
        <w:rPr>
          <w:spacing w:val="6"/>
        </w:rPr>
      </w:pPr>
      <w:r>
        <w:t>日 期：年月日</w:t>
      </w:r>
    </w:p>
    <w:p>
      <w:pPr>
        <w:wordWrap/>
        <w:topLinePunct w:val="0"/>
        <w:spacing w:line="360" w:lineRule="auto"/>
        <w:ind w:firstLine="420" w:firstLineChars="200"/>
      </w:pPr>
      <w:r>
        <w:rPr>
          <w:rFonts w:hint="eastAsia"/>
        </w:rPr>
        <w:t>财政部、工信部关于印发《政府采购促进中小企业发展</w:t>
      </w:r>
      <w:r>
        <w:rPr>
          <w:rFonts w:hint="eastAsia"/>
          <w:lang w:eastAsia="zh-CN"/>
        </w:rPr>
        <w:t>管理</w:t>
      </w:r>
      <w:r>
        <w:rPr>
          <w:rFonts w:hint="eastAsia"/>
        </w:rPr>
        <w:t>办法》的通知（财库（2020）46号）第二条规定：中小企业（含中型、小型、微型企业）应当同时符合以下条件：</w:t>
      </w:r>
    </w:p>
    <w:p>
      <w:pPr>
        <w:wordWrap/>
        <w:topLinePunct w:val="0"/>
        <w:spacing w:line="360" w:lineRule="auto"/>
        <w:ind w:firstLine="420" w:firstLineChars="200"/>
      </w:pPr>
      <w:r>
        <w:rPr>
          <w:rFonts w:hint="eastAsia"/>
          <w:bCs/>
        </w:rPr>
        <w:t xml:space="preserve">1. </w:t>
      </w:r>
      <w:r>
        <w:rPr>
          <w:rFonts w:hint="eastAsia"/>
        </w:rPr>
        <w:t>符合中小企业划分标准（见工业和信息化部国家统计局国家发展和改革委员会财政部《关于印发中小企业划型标准规定的通知》（工信部联企业〔2011〕300号)）；</w:t>
      </w:r>
    </w:p>
    <w:p>
      <w:pPr>
        <w:wordWrap/>
        <w:topLinePunct w:val="0"/>
        <w:spacing w:line="360" w:lineRule="auto"/>
        <w:ind w:firstLine="420" w:firstLineChars="200"/>
      </w:pPr>
      <w:r>
        <w:rPr>
          <w:rFonts w:hint="eastAsia"/>
        </w:rPr>
        <w:t>2. 提供本企业制造的货物、承担的工程或者服务，或者提供其他小微企业制造的货物。本项所称货物不包括使用大型企业注册商标的货物。</w:t>
      </w:r>
    </w:p>
    <w:p>
      <w:pPr>
        <w:wordWrap/>
        <w:topLinePunct w:val="0"/>
        <w:spacing w:line="360" w:lineRule="auto"/>
        <w:ind w:firstLine="420" w:firstLineChars="200"/>
      </w:pPr>
      <w:r>
        <w:rPr>
          <w:rFonts w:hint="eastAsia"/>
        </w:rPr>
        <w:t>3. 本办法所称中小企业划分标准，是指国务院有关部门根据企业从业人员、营业收入、资产总额等指标制定的中小企业划型标准。</w:t>
      </w:r>
    </w:p>
    <w:p>
      <w:pPr>
        <w:wordWrap/>
        <w:topLinePunct w:val="0"/>
        <w:spacing w:line="360" w:lineRule="auto"/>
        <w:ind w:firstLine="420" w:firstLineChars="200"/>
      </w:pPr>
      <w:r>
        <w:rPr>
          <w:rFonts w:hint="eastAsia"/>
        </w:rPr>
        <w:t>4. 小型、微型企业提供中型企业制造的货物的，视同为中型企业。</w:t>
      </w:r>
    </w:p>
    <w:p>
      <w:pPr>
        <w:wordWrap/>
        <w:topLinePunct w:val="0"/>
        <w:spacing w:line="360" w:lineRule="auto"/>
      </w:pPr>
    </w:p>
    <w:p>
      <w:pPr>
        <w:widowControl/>
        <w:wordWrap/>
        <w:topLinePunct w:val="0"/>
        <w:spacing w:line="360" w:lineRule="auto"/>
      </w:pPr>
      <w:r>
        <w:rPr>
          <w:rFonts w:hint="eastAsia"/>
          <w:b/>
        </w:rPr>
        <w:t>（提醒：如果响应人不满足小型、微型企业的认定标准，或所投产品的制造商不符合小型、微型企业认定标准的，则不需要提供《中小企业声明函》。否则，因此导致虚假投标的后果由响应人自行承担。）</w:t>
      </w:r>
    </w:p>
    <w:p>
      <w:pPr>
        <w:pStyle w:val="2"/>
        <w:numPr>
          <w:ilvl w:val="0"/>
          <w:numId w:val="28"/>
        </w:numPr>
        <w:tabs>
          <w:tab w:val="left" w:pos="840"/>
        </w:tabs>
        <w:rPr>
          <w:bCs w:val="0"/>
          <w:szCs w:val="24"/>
          <w:lang w:eastAsia="zh-CN"/>
        </w:rPr>
      </w:pPr>
      <w:bookmarkStart w:id="733" w:name="_Toc9983"/>
      <w:bookmarkStart w:id="734" w:name="_Toc28975"/>
      <w:r>
        <w:rPr>
          <w:rFonts w:hint="eastAsia"/>
          <w:bCs w:val="0"/>
          <w:szCs w:val="24"/>
          <w:lang w:eastAsia="zh-CN"/>
        </w:rPr>
        <w:br w:type="page"/>
      </w:r>
      <w:bookmarkStart w:id="735" w:name="_Toc2499"/>
      <w:bookmarkStart w:id="736" w:name="_Toc14029"/>
      <w:bookmarkStart w:id="737" w:name="_Toc23233"/>
      <w:bookmarkStart w:id="738" w:name="_Toc25619_WPSOffice_Level1"/>
      <w:bookmarkStart w:id="739" w:name="_Toc5859_WPSOffice_Level1"/>
      <w:bookmarkStart w:id="740" w:name="_Toc21261"/>
      <w:bookmarkStart w:id="741" w:name="_Toc30034_WPSOffice_Level1"/>
      <w:bookmarkStart w:id="742" w:name="OLE_LINK14"/>
      <w:bookmarkStart w:id="743" w:name="OLE_LINK13"/>
      <w:r>
        <w:rPr>
          <w:rFonts w:hint="eastAsia"/>
          <w:szCs w:val="24"/>
          <w:lang w:eastAsia="zh-CN"/>
        </w:rPr>
        <w:t>残疾人福利性单位声明函</w:t>
      </w:r>
      <w:bookmarkEnd w:id="735"/>
      <w:bookmarkEnd w:id="736"/>
      <w:bookmarkEnd w:id="737"/>
      <w:bookmarkEnd w:id="738"/>
      <w:bookmarkEnd w:id="739"/>
      <w:bookmarkEnd w:id="740"/>
      <w:bookmarkEnd w:id="741"/>
    </w:p>
    <w:bookmarkEnd w:id="742"/>
    <w:bookmarkEnd w:id="743"/>
    <w:p>
      <w:pPr>
        <w:spacing w:line="360" w:lineRule="auto"/>
        <w:rPr>
          <w:b/>
          <w:spacing w:val="6"/>
        </w:rPr>
      </w:pPr>
    </w:p>
    <w:p>
      <w:pPr>
        <w:spacing w:line="360" w:lineRule="auto"/>
        <w:ind w:firstLine="444" w:firstLineChars="200"/>
        <w:rPr>
          <w:spacing w:val="6"/>
        </w:rPr>
      </w:pPr>
      <w:r>
        <w:rPr>
          <w:rFonts w:hint="eastAsia"/>
          <w:spacing w:val="6"/>
        </w:rPr>
        <w:t>本单位郑重声明，根据《财政部 民政部 中国残疾人联合会关于促进残疾人就业政府采购政策的通知》（财库</w:t>
      </w:r>
      <w:r>
        <w:rPr>
          <w:rFonts w:hint="eastAsia"/>
        </w:rPr>
        <w:t>〔2017〕 141</w:t>
      </w:r>
      <w:r>
        <w:rPr>
          <w:rFonts w:hint="eastAsia"/>
          <w:spacing w:val="6"/>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spacing w:val="6"/>
        </w:rPr>
      </w:pPr>
      <w:r>
        <w:rPr>
          <w:rFonts w:hint="eastAsia"/>
          <w:spacing w:val="6"/>
        </w:rPr>
        <w:t>本单位对上述声明的真实性负责。如有虚假，将依法承担相应责任。</w:t>
      </w:r>
    </w:p>
    <w:p>
      <w:pPr>
        <w:spacing w:line="360" w:lineRule="auto"/>
        <w:ind w:firstLine="444" w:firstLineChars="200"/>
        <w:rPr>
          <w:spacing w:val="6"/>
        </w:rPr>
      </w:pPr>
    </w:p>
    <w:p>
      <w:pPr>
        <w:spacing w:line="360" w:lineRule="auto"/>
        <w:ind w:firstLine="444" w:firstLineChars="200"/>
        <w:rPr>
          <w:spacing w:val="6"/>
        </w:rPr>
      </w:pPr>
    </w:p>
    <w:p>
      <w:pPr>
        <w:tabs>
          <w:tab w:val="left" w:pos="4860"/>
        </w:tabs>
        <w:spacing w:line="360" w:lineRule="auto"/>
        <w:ind w:right="1560" w:firstLine="444" w:firstLineChars="200"/>
        <w:jc w:val="right"/>
        <w:rPr>
          <w:spacing w:val="6"/>
          <w:u w:val="single"/>
        </w:rPr>
      </w:pPr>
      <w:r>
        <w:rPr>
          <w:rFonts w:hint="eastAsia"/>
          <w:spacing w:val="6"/>
        </w:rPr>
        <w:t xml:space="preserve">                 单位名称：（电子签章）</w:t>
      </w:r>
    </w:p>
    <w:p>
      <w:pPr>
        <w:tabs>
          <w:tab w:val="left" w:pos="4860"/>
        </w:tabs>
        <w:spacing w:line="360" w:lineRule="auto"/>
        <w:ind w:right="1560" w:firstLine="444" w:firstLineChars="200"/>
        <w:jc w:val="right"/>
        <w:rPr>
          <w:spacing w:val="6"/>
        </w:rPr>
      </w:pPr>
      <w:r>
        <w:rPr>
          <w:rFonts w:hint="eastAsia"/>
          <w:spacing w:val="6"/>
        </w:rPr>
        <w:t xml:space="preserve">       日  期：  年 月 日</w:t>
      </w:r>
    </w:p>
    <w:p>
      <w:pPr>
        <w:widowControl/>
        <w:spacing w:line="360" w:lineRule="auto"/>
        <w:rPr>
          <w:b/>
        </w:rPr>
      </w:pPr>
      <w:r>
        <w:rPr>
          <w:rFonts w:hint="eastAsia"/>
          <w:b/>
        </w:rPr>
        <w:t>（提醒：如果响应人</w:t>
      </w:r>
      <w:r>
        <w:rPr>
          <w:rFonts w:hint="eastAsia"/>
          <w:b/>
          <w:spacing w:val="10"/>
          <w:kern w:val="0"/>
        </w:rPr>
        <w:t>不是残疾人福利性单位</w:t>
      </w:r>
      <w:r>
        <w:rPr>
          <w:rFonts w:hint="eastAsia"/>
          <w:b/>
        </w:rPr>
        <w:t>，则不需要提供《残疾人福利性单位声明函</w:t>
      </w:r>
    </w:p>
    <w:p>
      <w:pPr>
        <w:widowControl/>
        <w:spacing w:line="360" w:lineRule="auto"/>
        <w:rPr>
          <w:b/>
        </w:rPr>
      </w:pPr>
      <w:r>
        <w:rPr>
          <w:rFonts w:hint="eastAsia"/>
          <w:b/>
        </w:rPr>
        <w:t>》。否则，因此导致虚假投标的后果由响应人自行承担。）</w:t>
      </w:r>
    </w:p>
    <w:p>
      <w:pPr>
        <w:tabs>
          <w:tab w:val="left" w:pos="840"/>
        </w:tabs>
        <w:autoSpaceDE w:val="0"/>
        <w:autoSpaceDN w:val="0"/>
        <w:adjustRightInd w:val="0"/>
        <w:spacing w:line="360" w:lineRule="auto"/>
        <w:rPr>
          <w:b/>
          <w:sz w:val="24"/>
        </w:rPr>
      </w:pPr>
    </w:p>
    <w:p>
      <w:pPr>
        <w:spacing w:line="360" w:lineRule="auto"/>
      </w:pPr>
      <w:r>
        <w:rPr>
          <w:rFonts w:hint="eastAsia"/>
        </w:rPr>
        <w:t>《财政部民政部中国残疾人联合会关于促进残疾人就业政府采购政策的通知》（财库（2017〔141〕号）的规定：</w:t>
      </w:r>
    </w:p>
    <w:p>
      <w:pPr>
        <w:spacing w:line="360" w:lineRule="auto"/>
        <w:ind w:firstLine="420" w:firstLineChars="200"/>
      </w:pPr>
      <w:r>
        <w:rPr>
          <w:rFonts w:hint="eastAsia"/>
        </w:rPr>
        <w:t>1. 享受政府采购支持政策的残疾人福利性单位应当同时满足以下条件：</w:t>
      </w:r>
    </w:p>
    <w:p>
      <w:pPr>
        <w:spacing w:line="360" w:lineRule="auto"/>
      </w:pPr>
      <w:r>
        <w:rPr>
          <w:rFonts w:hint="eastAsia"/>
        </w:rPr>
        <w:t>（1）安置的残疾人占本单位在职职工人数的比例不低于25%（含25%），并且安置的残疾人人数不少于10人（含10人）；</w:t>
      </w:r>
    </w:p>
    <w:p>
      <w:pPr>
        <w:spacing w:line="360" w:lineRule="auto"/>
      </w:pPr>
      <w:r>
        <w:rPr>
          <w:rFonts w:hint="eastAsia"/>
        </w:rPr>
        <w:t>（2）依法与安置的每位残疾人签订了一年以上（含一年）的劳动合同或服务协议；</w:t>
      </w:r>
    </w:p>
    <w:p>
      <w:pPr>
        <w:spacing w:line="360" w:lineRule="auto"/>
      </w:pPr>
      <w:r>
        <w:rPr>
          <w:rFonts w:hint="eastAsia"/>
        </w:rPr>
        <w:t>（3）为安置的每位残疾人按月足额缴纳了基本养老保险、基本医疗保险、失业保险、工伤保险和生育保险等社会保险费；</w:t>
      </w:r>
    </w:p>
    <w:p>
      <w:pPr>
        <w:spacing w:line="360" w:lineRule="auto"/>
      </w:pPr>
      <w:r>
        <w:rPr>
          <w:rFonts w:hint="eastAsia"/>
        </w:rPr>
        <w:t>（4）通过银行等金融机构向安置的每位残疾人，按月支付了不低于单位所在区县适用的经省级人民政府批准的月最低工资标准的工资；</w:t>
      </w:r>
    </w:p>
    <w:p>
      <w:pPr>
        <w:spacing w:line="360" w:lineRule="auto"/>
      </w:pPr>
      <w:r>
        <w:rPr>
          <w:rFonts w:hint="eastAsia"/>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pPr>
      <w:r>
        <w:rPr>
          <w:rFonts w:hint="eastAsia"/>
        </w:rPr>
        <w:t>2. 成交人为残疾人福利性单位的，采购人或者其委托的采购代理机构应当随成交结果同时公告其《残疾人福利性单位声明函》，接受社会监督。</w:t>
      </w:r>
    </w:p>
    <w:p>
      <w:pPr>
        <w:pStyle w:val="2"/>
        <w:numPr>
          <w:ilvl w:val="0"/>
          <w:numId w:val="0"/>
        </w:numPr>
        <w:tabs>
          <w:tab w:val="left" w:pos="425"/>
        </w:tabs>
        <w:ind w:leftChars="0"/>
        <w:jc w:val="both"/>
        <w:rPr>
          <w:szCs w:val="24"/>
        </w:rPr>
      </w:pPr>
      <w:bookmarkStart w:id="744" w:name="_Toc11075"/>
      <w:bookmarkStart w:id="745" w:name="_Toc15051_WPSOffice_Level1"/>
      <w:bookmarkStart w:id="746" w:name="_Toc25289_WPSOffice_Level1"/>
      <w:bookmarkStart w:id="747" w:name="_Toc751_WPSOffice_Level1"/>
    </w:p>
    <w:p>
      <w:pPr>
        <w:pStyle w:val="2"/>
        <w:numPr>
          <w:ilvl w:val="0"/>
          <w:numId w:val="28"/>
        </w:numPr>
        <w:tabs>
          <w:tab w:val="left" w:pos="425"/>
        </w:tabs>
        <w:rPr>
          <w:szCs w:val="24"/>
        </w:rPr>
      </w:pPr>
      <w:r>
        <w:rPr>
          <w:rFonts w:hint="eastAsia"/>
          <w:szCs w:val="24"/>
        </w:rPr>
        <w:t>其他</w:t>
      </w:r>
      <w:bookmarkEnd w:id="733"/>
      <w:r>
        <w:rPr>
          <w:rFonts w:hint="eastAsia"/>
          <w:szCs w:val="24"/>
        </w:rPr>
        <w:t>资料</w:t>
      </w:r>
      <w:bookmarkEnd w:id="734"/>
      <w:bookmarkEnd w:id="744"/>
      <w:bookmarkEnd w:id="745"/>
      <w:bookmarkEnd w:id="746"/>
      <w:bookmarkEnd w:id="747"/>
    </w:p>
    <w:p>
      <w:pPr>
        <w:spacing w:line="360" w:lineRule="auto"/>
        <w:rPr>
          <w:b/>
        </w:rPr>
      </w:pPr>
    </w:p>
    <w:p>
      <w:pPr>
        <w:spacing w:line="360" w:lineRule="auto"/>
      </w:pPr>
    </w:p>
    <w:p>
      <w:pPr>
        <w:pStyle w:val="11"/>
        <w:spacing w:line="360" w:lineRule="auto"/>
        <w:ind w:left="0" w:leftChars="0" w:firstLine="0" w:firstLineChars="0"/>
        <w:rPr>
          <w:rFonts w:ascii="宋体" w:hAnsi="宋体"/>
          <w:b/>
        </w:rPr>
      </w:pPr>
    </w:p>
    <w:p>
      <w:pPr>
        <w:spacing w:line="360" w:lineRule="auto"/>
        <w:rPr>
          <w:sz w:val="24"/>
        </w:rPr>
      </w:pPr>
      <w:r>
        <w:rPr>
          <w:sz w:val="24"/>
        </w:rPr>
        <w:br w:type="page"/>
      </w:r>
    </w:p>
    <w:p>
      <w:pPr>
        <w:spacing w:line="360" w:lineRule="auto"/>
        <w:jc w:val="center"/>
        <w:rPr>
          <w:sz w:val="28"/>
          <w:szCs w:val="28"/>
        </w:rPr>
      </w:pPr>
      <w:r>
        <w:rPr>
          <w:rFonts w:hint="eastAsia"/>
          <w:sz w:val="28"/>
          <w:szCs w:val="28"/>
        </w:rPr>
        <w:t>磋商文件确认书</w:t>
      </w:r>
    </w:p>
    <w:p>
      <w:pPr>
        <w:pStyle w:val="22"/>
        <w:spacing w:line="360" w:lineRule="auto"/>
        <w:rPr>
          <w:rFonts w:ascii="宋体" w:hAnsi="宋体"/>
        </w:rPr>
      </w:pPr>
    </w:p>
    <w:p>
      <w:pPr>
        <w:spacing w:line="360" w:lineRule="auto"/>
      </w:pPr>
      <w:r>
        <w:rPr>
          <w:rFonts w:hint="eastAsia"/>
        </w:rPr>
        <w:t>致：（</w:t>
      </w:r>
      <w:r>
        <w:rPr>
          <w:rFonts w:hint="eastAsia"/>
          <w:u w:val="single"/>
        </w:rPr>
        <w:t>采购人或采购代理机构名称</w:t>
      </w:r>
      <w:r>
        <w:rPr>
          <w:rFonts w:hint="eastAsia"/>
        </w:rPr>
        <w:t>）</w:t>
      </w:r>
    </w:p>
    <w:p>
      <w:pPr>
        <w:spacing w:line="360" w:lineRule="auto"/>
        <w:ind w:firstLine="420" w:firstLineChars="200"/>
      </w:pPr>
      <w:r>
        <w:rPr>
          <w:rFonts w:hint="eastAsia"/>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本磋商文件的任何内容提出异议。</w:t>
      </w:r>
    </w:p>
    <w:p>
      <w:pPr>
        <w:pStyle w:val="8"/>
        <w:numPr>
          <w:ilvl w:val="1"/>
          <w:numId w:val="0"/>
        </w:numPr>
        <w:spacing w:line="360" w:lineRule="auto"/>
        <w:rPr>
          <w:rFonts w:hAnsi="宋体"/>
          <w:color w:val="auto"/>
        </w:rPr>
      </w:pPr>
    </w:p>
    <w:p>
      <w:pPr>
        <w:spacing w:line="360" w:lineRule="auto"/>
        <w:ind w:firstLine="2880"/>
      </w:pPr>
    </w:p>
    <w:p>
      <w:pPr>
        <w:spacing w:line="360" w:lineRule="auto"/>
        <w:ind w:firstLine="2880"/>
      </w:pPr>
    </w:p>
    <w:p>
      <w:pPr>
        <w:spacing w:line="360" w:lineRule="auto"/>
        <w:ind w:firstLine="420" w:firstLineChars="200"/>
        <w:jc w:val="right"/>
        <w:rPr>
          <w:u w:val="single"/>
        </w:rPr>
      </w:pPr>
      <w:r>
        <w:rPr>
          <w:rFonts w:hint="eastAsia"/>
        </w:rPr>
        <w:t>公司法人代表（电子签名）：</w:t>
      </w:r>
    </w:p>
    <w:p>
      <w:pPr>
        <w:spacing w:line="360" w:lineRule="auto"/>
        <w:ind w:firstLine="420" w:firstLineChars="200"/>
        <w:jc w:val="right"/>
        <w:rPr>
          <w:u w:val="single"/>
        </w:rPr>
      </w:pPr>
      <w:r>
        <w:rPr>
          <w:rFonts w:hint="eastAsia"/>
        </w:rPr>
        <w:t>法人授权代表（电子签名）：</w:t>
      </w:r>
    </w:p>
    <w:p>
      <w:pPr>
        <w:spacing w:line="360" w:lineRule="auto"/>
        <w:ind w:firstLine="420" w:firstLineChars="200"/>
        <w:jc w:val="right"/>
        <w:rPr>
          <w:u w:val="single"/>
        </w:rPr>
      </w:pPr>
      <w:r>
        <w:rPr>
          <w:rFonts w:hint="eastAsia"/>
        </w:rPr>
        <w:t>响应人：（电子签章）</w:t>
      </w:r>
    </w:p>
    <w:p>
      <w:pPr>
        <w:spacing w:line="360" w:lineRule="auto"/>
        <w:ind w:firstLine="420" w:firstLineChars="200"/>
        <w:jc w:val="right"/>
      </w:pPr>
      <w:r>
        <w:rPr>
          <w:rFonts w:hint="eastAsia"/>
        </w:rPr>
        <w:t>日期：   年  月  日</w:t>
      </w: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p>
      <w:pPr>
        <w:spacing w:line="360" w:lineRule="auto"/>
        <w:rPr>
          <w:rFonts w:cs="黑体"/>
          <w:kern w:val="0"/>
        </w:rPr>
      </w:pPr>
    </w:p>
    <w:sectPr>
      <w:footerReference r:id="rId3" w:type="default"/>
      <w:pgSz w:w="11906" w:h="16838"/>
      <w:pgMar w:top="1440" w:right="1279" w:bottom="1440" w:left="1387" w:header="850"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6434"/>
    </w:sdtPr>
    <w:sdtContent>
      <w:p>
        <w:pPr>
          <w:pStyle w:val="15"/>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5"/>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83962"/>
    <w:multiLevelType w:val="multilevel"/>
    <w:tmpl w:val="8B28396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9127AF3A"/>
    <w:multiLevelType w:val="multilevel"/>
    <w:tmpl w:val="9127AF3A"/>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A3DBE0BA"/>
    <w:multiLevelType w:val="multilevel"/>
    <w:tmpl w:val="A3DBE0BA"/>
    <w:lvl w:ilvl="0" w:tentative="0">
      <w:start w:val="3"/>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
    <w:nsid w:val="C5CB727D"/>
    <w:multiLevelType w:val="multilevel"/>
    <w:tmpl w:val="C5CB727D"/>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sz w:val="21"/>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D806B66"/>
    <w:multiLevelType w:val="singleLevel"/>
    <w:tmpl w:val="CD806B66"/>
    <w:lvl w:ilvl="0" w:tentative="0">
      <w:start w:val="1"/>
      <w:numFmt w:val="decimal"/>
      <w:lvlText w:val="(%1)"/>
      <w:lvlJc w:val="left"/>
      <w:pPr>
        <w:ind w:left="425" w:hanging="425"/>
      </w:pPr>
      <w:rPr>
        <w:rFonts w:hint="default"/>
      </w:rPr>
    </w:lvl>
  </w:abstractNum>
  <w:abstractNum w:abstractNumId="7">
    <w:nsid w:val="E1C3E6A9"/>
    <w:multiLevelType w:val="multilevel"/>
    <w:tmpl w:val="E1C3E6A9"/>
    <w:lvl w:ilvl="0" w:tentative="0">
      <w:start w:val="3"/>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425" w:hanging="425"/>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8">
    <w:nsid w:val="F3F79CC7"/>
    <w:multiLevelType w:val="singleLevel"/>
    <w:tmpl w:val="F3F79CC7"/>
    <w:lvl w:ilvl="0" w:tentative="0">
      <w:start w:val="1"/>
      <w:numFmt w:val="decimal"/>
      <w:lvlText w:val="(%1)"/>
      <w:lvlJc w:val="left"/>
      <w:pPr>
        <w:ind w:left="425" w:hanging="425"/>
      </w:pPr>
      <w:rPr>
        <w:rFonts w:hint="default"/>
      </w:rPr>
    </w:lvl>
  </w:abstractNum>
  <w:abstractNum w:abstractNumId="9">
    <w:nsid w:val="FCC59B67"/>
    <w:multiLevelType w:val="singleLevel"/>
    <w:tmpl w:val="FCC59B67"/>
    <w:lvl w:ilvl="0" w:tentative="0">
      <w:start w:val="1"/>
      <w:numFmt w:val="decimal"/>
      <w:lvlText w:val="(%1)"/>
      <w:lvlJc w:val="left"/>
      <w:pPr>
        <w:ind w:left="425" w:hanging="425"/>
      </w:pPr>
      <w:rPr>
        <w:rFonts w:hint="default"/>
      </w:rPr>
    </w:lvl>
  </w:abstractNum>
  <w:abstractNum w:abstractNumId="10">
    <w:nsid w:val="0000000F"/>
    <w:multiLevelType w:val="singleLevel"/>
    <w:tmpl w:val="0000000F"/>
    <w:lvl w:ilvl="0" w:tentative="0">
      <w:start w:val="1"/>
      <w:numFmt w:val="decimal"/>
      <w:lvlText w:val="(%1)"/>
      <w:lvlJc w:val="left"/>
      <w:pPr>
        <w:ind w:left="425" w:hanging="425"/>
      </w:pPr>
      <w:rPr>
        <w:rFonts w:hint="default"/>
      </w:rPr>
    </w:lvl>
  </w:abstractNum>
  <w:abstractNum w:abstractNumId="11">
    <w:nsid w:val="039EA102"/>
    <w:multiLevelType w:val="singleLevel"/>
    <w:tmpl w:val="039EA102"/>
    <w:lvl w:ilvl="0" w:tentative="0">
      <w:start w:val="8"/>
      <w:numFmt w:val="chineseCounting"/>
      <w:suff w:val="nothing"/>
      <w:lvlText w:val="%1、"/>
      <w:lvlJc w:val="left"/>
      <w:pPr>
        <w:ind w:left="397" w:hanging="397"/>
      </w:pPr>
      <w:rPr>
        <w:rFonts w:hint="eastAsia"/>
        <w:sz w:val="32"/>
      </w:rPr>
    </w:lvl>
  </w:abstractNum>
  <w:abstractNum w:abstractNumId="12">
    <w:nsid w:val="123CDA28"/>
    <w:multiLevelType w:val="multilevel"/>
    <w:tmpl w:val="123CDA28"/>
    <w:lvl w:ilvl="0" w:tentative="0">
      <w:start w:val="3"/>
      <w:numFmt w:val="decimal"/>
      <w:lvlText w:val="%1."/>
      <w:lvlJc w:val="left"/>
      <w:pPr>
        <w:ind w:left="425" w:hanging="425"/>
      </w:pPr>
      <w:rPr>
        <w:rFonts w:hint="default"/>
      </w:rPr>
    </w:lvl>
    <w:lvl w:ilvl="1" w:tentative="0">
      <w:start w:val="3"/>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3">
    <w:nsid w:val="149490AF"/>
    <w:multiLevelType w:val="singleLevel"/>
    <w:tmpl w:val="149490AF"/>
    <w:lvl w:ilvl="0" w:tentative="0">
      <w:start w:val="1"/>
      <w:numFmt w:val="decimal"/>
      <w:lvlText w:val="(%1)"/>
      <w:lvlJc w:val="left"/>
      <w:pPr>
        <w:ind w:left="425" w:hanging="425"/>
      </w:pPr>
      <w:rPr>
        <w:rFonts w:hint="default"/>
      </w:rPr>
    </w:lvl>
  </w:abstractNum>
  <w:abstractNum w:abstractNumId="14">
    <w:nsid w:val="21B7FB90"/>
    <w:multiLevelType w:val="singleLevel"/>
    <w:tmpl w:val="21B7FB90"/>
    <w:lvl w:ilvl="0" w:tentative="0">
      <w:start w:val="1"/>
      <w:numFmt w:val="chineseCounting"/>
      <w:suff w:val="nothing"/>
      <w:lvlText w:val="（%1）"/>
      <w:lvlJc w:val="left"/>
      <w:pPr>
        <w:ind w:left="0" w:firstLine="420"/>
      </w:pPr>
      <w:rPr>
        <w:rFonts w:hint="eastAsia"/>
      </w:rPr>
    </w:lvl>
  </w:abstractNum>
  <w:abstractNum w:abstractNumId="15">
    <w:nsid w:val="243A03DD"/>
    <w:multiLevelType w:val="multilevel"/>
    <w:tmpl w:val="243A03DD"/>
    <w:lvl w:ilvl="0" w:tentative="0">
      <w:start w:val="1"/>
      <w:numFmt w:val="chineseCountingThousand"/>
      <w:suff w:val="space"/>
      <w:lvlText w:val="(%1)、"/>
      <w:lvlJc w:val="left"/>
      <w:pPr>
        <w:ind w:left="720" w:hanging="720"/>
      </w:pPr>
      <w:rPr>
        <w:rFonts w:hint="eastAsia"/>
        <w:b/>
        <w:color w:val="000000"/>
      </w:rPr>
    </w:lvl>
    <w:lvl w:ilvl="1" w:tentative="0">
      <w:start w:val="1"/>
      <w:numFmt w:val="decimal"/>
      <w:suff w:val="nothing"/>
      <w:lvlText w:val="%2、"/>
      <w:lvlJc w:val="left"/>
      <w:pPr>
        <w:ind w:left="780" w:hanging="360"/>
      </w:pPr>
      <w:rPr>
        <w:rFonts w:hint="default" w:cs="Times New Roman"/>
        <w:b w:val="0"/>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3B3E2404"/>
    <w:multiLevelType w:val="singleLevel"/>
    <w:tmpl w:val="3B3E2404"/>
    <w:lvl w:ilvl="0" w:tentative="0">
      <w:start w:val="1"/>
      <w:numFmt w:val="chineseCounting"/>
      <w:suff w:val="nothing"/>
      <w:lvlText w:val="%1、"/>
      <w:lvlJc w:val="left"/>
      <w:pPr>
        <w:ind w:left="397" w:hanging="397"/>
      </w:pPr>
      <w:rPr>
        <w:rFonts w:hint="eastAsia"/>
      </w:rPr>
    </w:lvl>
  </w:abstractNum>
  <w:abstractNum w:abstractNumId="18">
    <w:nsid w:val="3D727B26"/>
    <w:multiLevelType w:val="multilevel"/>
    <w:tmpl w:val="3D727B2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rPr>
        <w:b w:val="0"/>
        <w:sz w:val="21"/>
        <w:szCs w:val="21"/>
      </w:rPr>
    </w:lvl>
    <w:lvl w:ilvl="2" w:tentative="0">
      <w:start w:val="1"/>
      <w:numFmt w:val="decimal"/>
      <w:lvlText w:val="%1.%2.%3"/>
      <w:lvlJc w:val="left"/>
      <w:pPr>
        <w:tabs>
          <w:tab w:val="left" w:pos="1418"/>
        </w:tabs>
        <w:ind w:left="1418" w:hanging="567"/>
      </w:pPr>
      <w:rPr>
        <w:color w:val="auto"/>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19">
    <w:nsid w:val="570C9FE6"/>
    <w:multiLevelType w:val="singleLevel"/>
    <w:tmpl w:val="570C9FE6"/>
    <w:lvl w:ilvl="0" w:tentative="0">
      <w:start w:val="1"/>
      <w:numFmt w:val="decimal"/>
      <w:lvlText w:val="(%1)"/>
      <w:lvlJc w:val="left"/>
      <w:pPr>
        <w:ind w:left="425" w:hanging="425"/>
      </w:pPr>
      <w:rPr>
        <w:rFonts w:hint="default"/>
      </w:rPr>
    </w:lvl>
  </w:abstractNum>
  <w:abstractNum w:abstractNumId="20">
    <w:nsid w:val="5824077B"/>
    <w:multiLevelType w:val="singleLevel"/>
    <w:tmpl w:val="5824077B"/>
    <w:lvl w:ilvl="0" w:tentative="0">
      <w:start w:val="1"/>
      <w:numFmt w:val="decimal"/>
      <w:suff w:val="nothing"/>
      <w:lvlText w:val="%1、"/>
      <w:lvlJc w:val="left"/>
      <w:rPr>
        <w:rFonts w:ascii="宋体" w:hAnsi="宋体" w:eastAsia="宋体" w:cs="宋体"/>
        <w:b w:val="0"/>
      </w:rPr>
    </w:lvl>
  </w:abstractNum>
  <w:abstractNum w:abstractNumId="21">
    <w:nsid w:val="6030F75F"/>
    <w:multiLevelType w:val="multilevel"/>
    <w:tmpl w:val="6030F75F"/>
    <w:lvl w:ilvl="0" w:tentative="0">
      <w:start w:val="3"/>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2">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29B7CC"/>
    <w:multiLevelType w:val="multilevel"/>
    <w:tmpl w:val="6429B7CC"/>
    <w:lvl w:ilvl="0" w:tentative="0">
      <w:start w:val="2"/>
      <w:numFmt w:val="decimal"/>
      <w:lvlText w:val="%1."/>
      <w:lvlJc w:val="left"/>
      <w:pPr>
        <w:ind w:left="425" w:hanging="425"/>
      </w:pPr>
      <w:rPr>
        <w:rFonts w:hint="default"/>
      </w:rPr>
    </w:lvl>
    <w:lvl w:ilvl="1" w:tentative="0">
      <w:start w:val="1"/>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4">
    <w:nsid w:val="6BDA4796"/>
    <w:multiLevelType w:val="singleLevel"/>
    <w:tmpl w:val="6BDA4796"/>
    <w:lvl w:ilvl="0" w:tentative="0">
      <w:start w:val="1"/>
      <w:numFmt w:val="decimal"/>
      <w:lvlText w:val="(%1)"/>
      <w:lvlJc w:val="left"/>
      <w:pPr>
        <w:ind w:left="425" w:hanging="425"/>
      </w:pPr>
      <w:rPr>
        <w:rFonts w:hint="default"/>
      </w:rPr>
    </w:lvl>
  </w:abstractNum>
  <w:abstractNum w:abstractNumId="25">
    <w:nsid w:val="726BCA4F"/>
    <w:multiLevelType w:val="multilevel"/>
    <w:tmpl w:val="726BCA4F"/>
    <w:lvl w:ilvl="0" w:tentative="0">
      <w:start w:val="2"/>
      <w:numFmt w:val="decimal"/>
      <w:lvlText w:val="%1."/>
      <w:lvlJc w:val="left"/>
      <w:pPr>
        <w:ind w:left="425" w:hanging="425"/>
      </w:pPr>
      <w:rPr>
        <w:rFonts w:hint="default"/>
      </w:rPr>
    </w:lvl>
    <w:lvl w:ilvl="1" w:tentative="0">
      <w:start w:val="2"/>
      <w:numFmt w:val="decimal"/>
      <w:lvlText w:val="%1.%2."/>
      <w:lvlJc w:val="left"/>
      <w:pPr>
        <w:ind w:left="850" w:hanging="453"/>
      </w:pPr>
      <w:rPr>
        <w:rFonts w:hint="default" w:ascii="宋体" w:hAnsi="宋体" w:eastAsia="宋体" w:cs="宋体"/>
      </w:rPr>
    </w:lvl>
    <w:lvl w:ilvl="2" w:tentative="0">
      <w:start w:val="1"/>
      <w:numFmt w:val="decimal"/>
      <w:lvlText w:val="%1.%2.%3."/>
      <w:lvlJc w:val="left"/>
      <w:pPr>
        <w:ind w:left="425" w:hanging="425"/>
      </w:pPr>
      <w:rPr>
        <w:rFonts w:hint="default" w:ascii="宋体" w:hAnsi="宋体" w:eastAsia="宋体" w:cs="宋体"/>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6">
    <w:nsid w:val="77A6C9D0"/>
    <w:multiLevelType w:val="multilevel"/>
    <w:tmpl w:val="77A6C9D0"/>
    <w:lvl w:ilvl="0" w:tentative="0">
      <w:start w:val="1"/>
      <w:numFmt w:val="decimal"/>
      <w:lvlText w:val="%1."/>
      <w:lvlJc w:val="left"/>
      <w:pPr>
        <w:ind w:left="1134" w:hanging="1134"/>
      </w:pPr>
      <w:rPr>
        <w:rFonts w:hint="default" w:ascii="宋体" w:hAnsi="宋体" w:eastAsia="宋体" w:cs="宋体"/>
      </w:rPr>
    </w:lvl>
    <w:lvl w:ilvl="1" w:tentative="0">
      <w:start w:val="2"/>
      <w:numFmt w:val="decimal"/>
      <w:pStyle w:val="8"/>
      <w:lvlText w:val="%2"/>
      <w:lvlJc w:val="left"/>
      <w:pPr>
        <w:ind w:left="575" w:hanging="575"/>
      </w:pPr>
      <w:rPr>
        <w:rFonts w:hint="default" w:ascii="宋体" w:hAnsi="宋体" w:eastAsia="宋体" w:cs="宋体"/>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7">
    <w:nsid w:val="78DF682D"/>
    <w:multiLevelType w:val="singleLevel"/>
    <w:tmpl w:val="78DF682D"/>
    <w:lvl w:ilvl="0" w:tentative="0">
      <w:start w:val="1"/>
      <w:numFmt w:val="chineseCounting"/>
      <w:suff w:val="nothing"/>
      <w:lvlText w:val="（%1）"/>
      <w:lvlJc w:val="left"/>
      <w:pPr>
        <w:ind w:left="0" w:firstLine="420"/>
      </w:pPr>
      <w:rPr>
        <w:rFonts w:hint="eastAsia"/>
      </w:rPr>
    </w:lvl>
  </w:abstractNum>
  <w:num w:numId="1">
    <w:abstractNumId w:val="0"/>
  </w:num>
  <w:num w:numId="2">
    <w:abstractNumId w:val="26"/>
  </w:num>
  <w:num w:numId="3">
    <w:abstractNumId w:val="20"/>
  </w:num>
  <w:num w:numId="4">
    <w:abstractNumId w:val="15"/>
  </w:num>
  <w:num w:numId="5">
    <w:abstractNumId w:val="18"/>
  </w:num>
  <w:num w:numId="6">
    <w:abstractNumId w:val="10"/>
  </w:num>
  <w:num w:numId="7">
    <w:abstractNumId w:val="24"/>
  </w:num>
  <w:num w:numId="8">
    <w:abstractNumId w:val="8"/>
  </w:num>
  <w:num w:numId="9">
    <w:abstractNumId w:val="9"/>
  </w:num>
  <w:num w:numId="10">
    <w:abstractNumId w:val="13"/>
  </w:num>
  <w:num w:numId="11">
    <w:abstractNumId w:val="2"/>
  </w:num>
  <w:num w:numId="12">
    <w:abstractNumId w:val="1"/>
  </w:num>
  <w:num w:numId="13">
    <w:abstractNumId w:val="5"/>
  </w:num>
  <w:num w:numId="14">
    <w:abstractNumId w:val="23"/>
  </w:num>
  <w:num w:numId="15">
    <w:abstractNumId w:val="25"/>
  </w:num>
  <w:num w:numId="16">
    <w:abstractNumId w:val="16"/>
  </w:num>
  <w:num w:numId="17">
    <w:abstractNumId w:val="6"/>
  </w:num>
  <w:num w:numId="18">
    <w:abstractNumId w:val="7"/>
  </w:num>
  <w:num w:numId="19">
    <w:abstractNumId w:val="4"/>
  </w:num>
  <w:num w:numId="20">
    <w:abstractNumId w:val="19"/>
  </w:num>
  <w:num w:numId="21">
    <w:abstractNumId w:val="21"/>
  </w:num>
  <w:num w:numId="22">
    <w:abstractNumId w:val="12"/>
  </w:num>
  <w:num w:numId="23">
    <w:abstractNumId w:val="3"/>
  </w:num>
  <w:num w:numId="24">
    <w:abstractNumId w:val="17"/>
  </w:num>
  <w:num w:numId="25">
    <w:abstractNumId w:val="27"/>
  </w:num>
  <w:num w:numId="26">
    <w:abstractNumId w:val="22"/>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Y0ZTIxZTg0Y2JjOTJhOWJmYjNkN2U5ODZlNjIzMGMifQ=="/>
  </w:docVars>
  <w:rsids>
    <w:rsidRoot w:val="1F611352"/>
    <w:rsid w:val="00051F7D"/>
    <w:rsid w:val="000A0F2E"/>
    <w:rsid w:val="000B4526"/>
    <w:rsid w:val="000C7014"/>
    <w:rsid w:val="000E52E7"/>
    <w:rsid w:val="00133BA9"/>
    <w:rsid w:val="00176732"/>
    <w:rsid w:val="001D0E16"/>
    <w:rsid w:val="00214969"/>
    <w:rsid w:val="00224FCD"/>
    <w:rsid w:val="00245E5D"/>
    <w:rsid w:val="002E508B"/>
    <w:rsid w:val="00310DBD"/>
    <w:rsid w:val="003301B9"/>
    <w:rsid w:val="00343187"/>
    <w:rsid w:val="00373329"/>
    <w:rsid w:val="003949A6"/>
    <w:rsid w:val="0048022D"/>
    <w:rsid w:val="004C0F00"/>
    <w:rsid w:val="0065481B"/>
    <w:rsid w:val="006715E6"/>
    <w:rsid w:val="0067582C"/>
    <w:rsid w:val="00677754"/>
    <w:rsid w:val="006E7F0B"/>
    <w:rsid w:val="00753AFC"/>
    <w:rsid w:val="00756BEF"/>
    <w:rsid w:val="007B4412"/>
    <w:rsid w:val="008953F8"/>
    <w:rsid w:val="008B3598"/>
    <w:rsid w:val="0097753F"/>
    <w:rsid w:val="009B150E"/>
    <w:rsid w:val="00A13B7F"/>
    <w:rsid w:val="00A20D8C"/>
    <w:rsid w:val="00A815E9"/>
    <w:rsid w:val="00A843BC"/>
    <w:rsid w:val="00AA163D"/>
    <w:rsid w:val="00B3135C"/>
    <w:rsid w:val="00B5211D"/>
    <w:rsid w:val="00B739E1"/>
    <w:rsid w:val="00B84955"/>
    <w:rsid w:val="00B92382"/>
    <w:rsid w:val="00B93FA5"/>
    <w:rsid w:val="00C34E4D"/>
    <w:rsid w:val="00C65E2C"/>
    <w:rsid w:val="00CB0EC6"/>
    <w:rsid w:val="00D066E8"/>
    <w:rsid w:val="00D5003D"/>
    <w:rsid w:val="00DD76BC"/>
    <w:rsid w:val="00EF4F56"/>
    <w:rsid w:val="00F73983"/>
    <w:rsid w:val="00FA3089"/>
    <w:rsid w:val="00FC279E"/>
    <w:rsid w:val="00FE358C"/>
    <w:rsid w:val="01422176"/>
    <w:rsid w:val="0177566F"/>
    <w:rsid w:val="0194617D"/>
    <w:rsid w:val="01B566AA"/>
    <w:rsid w:val="01C6424A"/>
    <w:rsid w:val="01F746CC"/>
    <w:rsid w:val="027E105B"/>
    <w:rsid w:val="02A52CFD"/>
    <w:rsid w:val="031F075B"/>
    <w:rsid w:val="036E10B9"/>
    <w:rsid w:val="03966A71"/>
    <w:rsid w:val="03A367D0"/>
    <w:rsid w:val="04376A28"/>
    <w:rsid w:val="04420C1A"/>
    <w:rsid w:val="04443B8E"/>
    <w:rsid w:val="04CE5ACF"/>
    <w:rsid w:val="0510665E"/>
    <w:rsid w:val="051F008D"/>
    <w:rsid w:val="0537264C"/>
    <w:rsid w:val="055528F0"/>
    <w:rsid w:val="0602580F"/>
    <w:rsid w:val="0642133E"/>
    <w:rsid w:val="0673692E"/>
    <w:rsid w:val="06940F6E"/>
    <w:rsid w:val="06BF4050"/>
    <w:rsid w:val="06C17DA2"/>
    <w:rsid w:val="070D7F1A"/>
    <w:rsid w:val="07147808"/>
    <w:rsid w:val="07416A2C"/>
    <w:rsid w:val="07605B88"/>
    <w:rsid w:val="079109FF"/>
    <w:rsid w:val="07CB6D50"/>
    <w:rsid w:val="081B1407"/>
    <w:rsid w:val="08B30470"/>
    <w:rsid w:val="08C11C46"/>
    <w:rsid w:val="09216B15"/>
    <w:rsid w:val="0958241C"/>
    <w:rsid w:val="09972033"/>
    <w:rsid w:val="09D41DD9"/>
    <w:rsid w:val="0A583F07"/>
    <w:rsid w:val="0A9F7CC7"/>
    <w:rsid w:val="0AE4737E"/>
    <w:rsid w:val="0B786294"/>
    <w:rsid w:val="0B8948E1"/>
    <w:rsid w:val="0BAE737B"/>
    <w:rsid w:val="0BB21CA6"/>
    <w:rsid w:val="0BDA0450"/>
    <w:rsid w:val="0C1747A7"/>
    <w:rsid w:val="0C3876E1"/>
    <w:rsid w:val="0C583C7C"/>
    <w:rsid w:val="0C743400"/>
    <w:rsid w:val="0D274002"/>
    <w:rsid w:val="0D725B91"/>
    <w:rsid w:val="0DF06AB6"/>
    <w:rsid w:val="0E0316E5"/>
    <w:rsid w:val="0E1F1149"/>
    <w:rsid w:val="0E41532F"/>
    <w:rsid w:val="0E5057A7"/>
    <w:rsid w:val="0EC23754"/>
    <w:rsid w:val="0F044DDC"/>
    <w:rsid w:val="0F1C3CDD"/>
    <w:rsid w:val="0F4B7CDC"/>
    <w:rsid w:val="0F7811B7"/>
    <w:rsid w:val="106520CA"/>
    <w:rsid w:val="10750231"/>
    <w:rsid w:val="113E164A"/>
    <w:rsid w:val="118E4BD2"/>
    <w:rsid w:val="11EF20A7"/>
    <w:rsid w:val="11FB48CB"/>
    <w:rsid w:val="1202500A"/>
    <w:rsid w:val="121D0DB5"/>
    <w:rsid w:val="12B5594B"/>
    <w:rsid w:val="13290CC0"/>
    <w:rsid w:val="13B84571"/>
    <w:rsid w:val="13BA0375"/>
    <w:rsid w:val="140275A9"/>
    <w:rsid w:val="140A700E"/>
    <w:rsid w:val="147703D7"/>
    <w:rsid w:val="149A3C1F"/>
    <w:rsid w:val="14F6689B"/>
    <w:rsid w:val="15003C2A"/>
    <w:rsid w:val="15B0523B"/>
    <w:rsid w:val="15DA3E6C"/>
    <w:rsid w:val="15E016E9"/>
    <w:rsid w:val="15FB31A6"/>
    <w:rsid w:val="164C3046"/>
    <w:rsid w:val="16605D72"/>
    <w:rsid w:val="168B7CC4"/>
    <w:rsid w:val="16A94649"/>
    <w:rsid w:val="16CD3D3A"/>
    <w:rsid w:val="172A0B43"/>
    <w:rsid w:val="17493E21"/>
    <w:rsid w:val="17716EF2"/>
    <w:rsid w:val="17A96B94"/>
    <w:rsid w:val="17C50D61"/>
    <w:rsid w:val="17D9696E"/>
    <w:rsid w:val="1815331E"/>
    <w:rsid w:val="183835B9"/>
    <w:rsid w:val="184E4CDF"/>
    <w:rsid w:val="188934B1"/>
    <w:rsid w:val="18D06E6E"/>
    <w:rsid w:val="18F764CF"/>
    <w:rsid w:val="1A2116FE"/>
    <w:rsid w:val="1A3B4995"/>
    <w:rsid w:val="1A514D80"/>
    <w:rsid w:val="1A917A9D"/>
    <w:rsid w:val="1AE35E18"/>
    <w:rsid w:val="1B444924"/>
    <w:rsid w:val="1B7274D8"/>
    <w:rsid w:val="1B855063"/>
    <w:rsid w:val="1BFB31F6"/>
    <w:rsid w:val="1C5B503C"/>
    <w:rsid w:val="1C71346E"/>
    <w:rsid w:val="1C751CC0"/>
    <w:rsid w:val="1C8A7A20"/>
    <w:rsid w:val="1CA91C01"/>
    <w:rsid w:val="1CF61417"/>
    <w:rsid w:val="1DD01F5E"/>
    <w:rsid w:val="1E013AE5"/>
    <w:rsid w:val="1EF36406"/>
    <w:rsid w:val="1F1B20C0"/>
    <w:rsid w:val="1F38258B"/>
    <w:rsid w:val="1F611352"/>
    <w:rsid w:val="1F87425B"/>
    <w:rsid w:val="1F9A5ADC"/>
    <w:rsid w:val="1FE16132"/>
    <w:rsid w:val="1FF029B3"/>
    <w:rsid w:val="202473D5"/>
    <w:rsid w:val="20500524"/>
    <w:rsid w:val="20D87ACD"/>
    <w:rsid w:val="20E41338"/>
    <w:rsid w:val="21260264"/>
    <w:rsid w:val="21D50045"/>
    <w:rsid w:val="223D1008"/>
    <w:rsid w:val="228E2F63"/>
    <w:rsid w:val="22920C51"/>
    <w:rsid w:val="22D67A89"/>
    <w:rsid w:val="23244DE0"/>
    <w:rsid w:val="23430E21"/>
    <w:rsid w:val="23584B09"/>
    <w:rsid w:val="2392181F"/>
    <w:rsid w:val="24912949"/>
    <w:rsid w:val="24AE00EB"/>
    <w:rsid w:val="255565CE"/>
    <w:rsid w:val="255803A2"/>
    <w:rsid w:val="25827827"/>
    <w:rsid w:val="25BA705F"/>
    <w:rsid w:val="2620130C"/>
    <w:rsid w:val="26D95710"/>
    <w:rsid w:val="26F77352"/>
    <w:rsid w:val="26FD2AD2"/>
    <w:rsid w:val="272111CC"/>
    <w:rsid w:val="27885D6E"/>
    <w:rsid w:val="27D663B3"/>
    <w:rsid w:val="27DB2214"/>
    <w:rsid w:val="27DD64FE"/>
    <w:rsid w:val="284B765E"/>
    <w:rsid w:val="285B6F44"/>
    <w:rsid w:val="286F620C"/>
    <w:rsid w:val="28AB1AFF"/>
    <w:rsid w:val="28D356FA"/>
    <w:rsid w:val="290F389D"/>
    <w:rsid w:val="29210AA9"/>
    <w:rsid w:val="29411A95"/>
    <w:rsid w:val="29633B6B"/>
    <w:rsid w:val="2996455E"/>
    <w:rsid w:val="29CE14C5"/>
    <w:rsid w:val="2A1851C7"/>
    <w:rsid w:val="2A54165B"/>
    <w:rsid w:val="2A653A8E"/>
    <w:rsid w:val="2A6F39AE"/>
    <w:rsid w:val="2A82637D"/>
    <w:rsid w:val="2AC82E3D"/>
    <w:rsid w:val="2AD510B6"/>
    <w:rsid w:val="2AE123EE"/>
    <w:rsid w:val="2B7E692D"/>
    <w:rsid w:val="2BD80AE5"/>
    <w:rsid w:val="2D631ACE"/>
    <w:rsid w:val="2D765006"/>
    <w:rsid w:val="2E3558C9"/>
    <w:rsid w:val="2E3A341E"/>
    <w:rsid w:val="2E9927AB"/>
    <w:rsid w:val="2EDA2C9E"/>
    <w:rsid w:val="2F2E610F"/>
    <w:rsid w:val="2F4915DD"/>
    <w:rsid w:val="2F64421D"/>
    <w:rsid w:val="2F7637C4"/>
    <w:rsid w:val="2FCF2953"/>
    <w:rsid w:val="2FF10757"/>
    <w:rsid w:val="2FF7387C"/>
    <w:rsid w:val="30202DD3"/>
    <w:rsid w:val="305321F7"/>
    <w:rsid w:val="307F3F9D"/>
    <w:rsid w:val="30D37E45"/>
    <w:rsid w:val="313D7C21"/>
    <w:rsid w:val="314C1FBC"/>
    <w:rsid w:val="31C76D4C"/>
    <w:rsid w:val="32052BC0"/>
    <w:rsid w:val="32256487"/>
    <w:rsid w:val="32791125"/>
    <w:rsid w:val="3280604C"/>
    <w:rsid w:val="32995BE9"/>
    <w:rsid w:val="32DF1DEE"/>
    <w:rsid w:val="32F3689A"/>
    <w:rsid w:val="331A5131"/>
    <w:rsid w:val="33B20A89"/>
    <w:rsid w:val="33E86E49"/>
    <w:rsid w:val="34DB2353"/>
    <w:rsid w:val="34EA179C"/>
    <w:rsid w:val="34FF745B"/>
    <w:rsid w:val="35DD207D"/>
    <w:rsid w:val="361137EB"/>
    <w:rsid w:val="36140CE4"/>
    <w:rsid w:val="361B3C50"/>
    <w:rsid w:val="3648705E"/>
    <w:rsid w:val="364E7C0B"/>
    <w:rsid w:val="36D51686"/>
    <w:rsid w:val="37483D30"/>
    <w:rsid w:val="37A10CCC"/>
    <w:rsid w:val="37C13D8B"/>
    <w:rsid w:val="38DF5D4B"/>
    <w:rsid w:val="392D1BDF"/>
    <w:rsid w:val="3A9718D8"/>
    <w:rsid w:val="3AFC72C1"/>
    <w:rsid w:val="3B0A1551"/>
    <w:rsid w:val="3B0F7120"/>
    <w:rsid w:val="3B190F9D"/>
    <w:rsid w:val="3B5B2830"/>
    <w:rsid w:val="3B6D132B"/>
    <w:rsid w:val="3BC33845"/>
    <w:rsid w:val="3C5C6A7D"/>
    <w:rsid w:val="3C7375C6"/>
    <w:rsid w:val="3CA76B12"/>
    <w:rsid w:val="3CEF37BC"/>
    <w:rsid w:val="3D954E00"/>
    <w:rsid w:val="3D9B2C50"/>
    <w:rsid w:val="3DB10256"/>
    <w:rsid w:val="3E243C51"/>
    <w:rsid w:val="3E44668D"/>
    <w:rsid w:val="3EA50AAD"/>
    <w:rsid w:val="3EA96539"/>
    <w:rsid w:val="3EBB1BB4"/>
    <w:rsid w:val="3ECE64A6"/>
    <w:rsid w:val="3F1B42A4"/>
    <w:rsid w:val="3F3235E9"/>
    <w:rsid w:val="3F50551A"/>
    <w:rsid w:val="3F7F7B16"/>
    <w:rsid w:val="3FEE4136"/>
    <w:rsid w:val="3FF43FBE"/>
    <w:rsid w:val="40376A71"/>
    <w:rsid w:val="40604362"/>
    <w:rsid w:val="40A631FF"/>
    <w:rsid w:val="40D6427E"/>
    <w:rsid w:val="41546164"/>
    <w:rsid w:val="41DF7B97"/>
    <w:rsid w:val="41F1446F"/>
    <w:rsid w:val="422D2AE1"/>
    <w:rsid w:val="42327B3D"/>
    <w:rsid w:val="42A42757"/>
    <w:rsid w:val="43261B3E"/>
    <w:rsid w:val="43647715"/>
    <w:rsid w:val="436E7D5C"/>
    <w:rsid w:val="437E115F"/>
    <w:rsid w:val="43840FF8"/>
    <w:rsid w:val="43A54463"/>
    <w:rsid w:val="43AC2EA4"/>
    <w:rsid w:val="43B867C7"/>
    <w:rsid w:val="43C76C85"/>
    <w:rsid w:val="44242A3A"/>
    <w:rsid w:val="44635CDA"/>
    <w:rsid w:val="45263081"/>
    <w:rsid w:val="452E61C6"/>
    <w:rsid w:val="459573D0"/>
    <w:rsid w:val="45E56BC5"/>
    <w:rsid w:val="46072613"/>
    <w:rsid w:val="46227866"/>
    <w:rsid w:val="46D97A34"/>
    <w:rsid w:val="47226FD9"/>
    <w:rsid w:val="47A57393"/>
    <w:rsid w:val="482C1B4D"/>
    <w:rsid w:val="483407B7"/>
    <w:rsid w:val="48F81ADF"/>
    <w:rsid w:val="490D6193"/>
    <w:rsid w:val="493558F1"/>
    <w:rsid w:val="49382222"/>
    <w:rsid w:val="49F40EDA"/>
    <w:rsid w:val="4AD40230"/>
    <w:rsid w:val="4B1732F9"/>
    <w:rsid w:val="4B4D5EE9"/>
    <w:rsid w:val="4BBD5522"/>
    <w:rsid w:val="4C0C7A09"/>
    <w:rsid w:val="4CF83380"/>
    <w:rsid w:val="4D4407EF"/>
    <w:rsid w:val="4DDF75B7"/>
    <w:rsid w:val="4E6425F3"/>
    <w:rsid w:val="4F1A629F"/>
    <w:rsid w:val="4F340266"/>
    <w:rsid w:val="4F984E5D"/>
    <w:rsid w:val="4FB908A7"/>
    <w:rsid w:val="4FBA5DF2"/>
    <w:rsid w:val="4FE57280"/>
    <w:rsid w:val="502E4D6F"/>
    <w:rsid w:val="510415F0"/>
    <w:rsid w:val="51805A47"/>
    <w:rsid w:val="518C7D55"/>
    <w:rsid w:val="51F5571B"/>
    <w:rsid w:val="53933819"/>
    <w:rsid w:val="54336CC9"/>
    <w:rsid w:val="543738E7"/>
    <w:rsid w:val="543A3BB4"/>
    <w:rsid w:val="544058F5"/>
    <w:rsid w:val="54445B5D"/>
    <w:rsid w:val="544E068E"/>
    <w:rsid w:val="54617CCA"/>
    <w:rsid w:val="54ED0C26"/>
    <w:rsid w:val="558B23DC"/>
    <w:rsid w:val="55BB4C08"/>
    <w:rsid w:val="56345B1B"/>
    <w:rsid w:val="56895AEA"/>
    <w:rsid w:val="569500E2"/>
    <w:rsid w:val="56C368E4"/>
    <w:rsid w:val="56F02C50"/>
    <w:rsid w:val="57034803"/>
    <w:rsid w:val="57304314"/>
    <w:rsid w:val="5792065C"/>
    <w:rsid w:val="57BC047B"/>
    <w:rsid w:val="57F86E32"/>
    <w:rsid w:val="580F5CC1"/>
    <w:rsid w:val="586F71B3"/>
    <w:rsid w:val="58A834B3"/>
    <w:rsid w:val="58A85546"/>
    <w:rsid w:val="596F1AB8"/>
    <w:rsid w:val="598167C2"/>
    <w:rsid w:val="59BD6D86"/>
    <w:rsid w:val="5A9811BD"/>
    <w:rsid w:val="5B210CCD"/>
    <w:rsid w:val="5B411CCC"/>
    <w:rsid w:val="5B612747"/>
    <w:rsid w:val="5BFD6385"/>
    <w:rsid w:val="5D34025D"/>
    <w:rsid w:val="5D6E44BA"/>
    <w:rsid w:val="5DD62B9F"/>
    <w:rsid w:val="5E080DA7"/>
    <w:rsid w:val="5E251431"/>
    <w:rsid w:val="5E936A02"/>
    <w:rsid w:val="5EA61680"/>
    <w:rsid w:val="5EAC401C"/>
    <w:rsid w:val="5F2D76BD"/>
    <w:rsid w:val="5F3D56E4"/>
    <w:rsid w:val="5F636457"/>
    <w:rsid w:val="60060999"/>
    <w:rsid w:val="60093E56"/>
    <w:rsid w:val="600A7F6A"/>
    <w:rsid w:val="601561E9"/>
    <w:rsid w:val="602815A6"/>
    <w:rsid w:val="604C6429"/>
    <w:rsid w:val="6183303E"/>
    <w:rsid w:val="619856F0"/>
    <w:rsid w:val="61CC6EEE"/>
    <w:rsid w:val="61F977D4"/>
    <w:rsid w:val="62145A44"/>
    <w:rsid w:val="62CF3C9A"/>
    <w:rsid w:val="62CF7BBD"/>
    <w:rsid w:val="636206F0"/>
    <w:rsid w:val="63830944"/>
    <w:rsid w:val="63AF7BD5"/>
    <w:rsid w:val="64922E50"/>
    <w:rsid w:val="6508537E"/>
    <w:rsid w:val="6530528B"/>
    <w:rsid w:val="65654809"/>
    <w:rsid w:val="658512D8"/>
    <w:rsid w:val="65901886"/>
    <w:rsid w:val="66306C44"/>
    <w:rsid w:val="668A5624"/>
    <w:rsid w:val="66D05AEB"/>
    <w:rsid w:val="67CF567A"/>
    <w:rsid w:val="68AE0CE2"/>
    <w:rsid w:val="68BB3926"/>
    <w:rsid w:val="68DF0B89"/>
    <w:rsid w:val="68EA5751"/>
    <w:rsid w:val="695232F6"/>
    <w:rsid w:val="69DA3201"/>
    <w:rsid w:val="6A257076"/>
    <w:rsid w:val="6B012F47"/>
    <w:rsid w:val="6B8D6867"/>
    <w:rsid w:val="6B9E3939"/>
    <w:rsid w:val="6C036338"/>
    <w:rsid w:val="6C0E1577"/>
    <w:rsid w:val="6C287C9E"/>
    <w:rsid w:val="6C5D04B6"/>
    <w:rsid w:val="6C6A77E5"/>
    <w:rsid w:val="6C774839"/>
    <w:rsid w:val="6C802A04"/>
    <w:rsid w:val="6C8A26FB"/>
    <w:rsid w:val="6CAE5914"/>
    <w:rsid w:val="6CDA5BDB"/>
    <w:rsid w:val="6DBB590E"/>
    <w:rsid w:val="6DD07685"/>
    <w:rsid w:val="6E0E64EC"/>
    <w:rsid w:val="6E5701FC"/>
    <w:rsid w:val="6E69248F"/>
    <w:rsid w:val="6E707D8C"/>
    <w:rsid w:val="6E9C5CA8"/>
    <w:rsid w:val="6F076040"/>
    <w:rsid w:val="6F4B3B49"/>
    <w:rsid w:val="6F860A4C"/>
    <w:rsid w:val="6F9D6336"/>
    <w:rsid w:val="70445C8E"/>
    <w:rsid w:val="705D2CAC"/>
    <w:rsid w:val="70E76812"/>
    <w:rsid w:val="71647F7A"/>
    <w:rsid w:val="71AF12E6"/>
    <w:rsid w:val="71E73B2D"/>
    <w:rsid w:val="71F87270"/>
    <w:rsid w:val="71F954EC"/>
    <w:rsid w:val="72640322"/>
    <w:rsid w:val="732605E1"/>
    <w:rsid w:val="733D0B73"/>
    <w:rsid w:val="73534EB3"/>
    <w:rsid w:val="738A14AC"/>
    <w:rsid w:val="73B40E35"/>
    <w:rsid w:val="73B76B77"/>
    <w:rsid w:val="7542786F"/>
    <w:rsid w:val="756012FF"/>
    <w:rsid w:val="75BA46FD"/>
    <w:rsid w:val="76736AD0"/>
    <w:rsid w:val="767A2C9B"/>
    <w:rsid w:val="768C025F"/>
    <w:rsid w:val="774150D6"/>
    <w:rsid w:val="77A230AB"/>
    <w:rsid w:val="77A86F03"/>
    <w:rsid w:val="77EC0E63"/>
    <w:rsid w:val="78305AC3"/>
    <w:rsid w:val="78323E46"/>
    <w:rsid w:val="78774B27"/>
    <w:rsid w:val="78B05F90"/>
    <w:rsid w:val="78F656C4"/>
    <w:rsid w:val="794E46D0"/>
    <w:rsid w:val="79C2027D"/>
    <w:rsid w:val="7A3507F6"/>
    <w:rsid w:val="7B56696B"/>
    <w:rsid w:val="7BB81D6B"/>
    <w:rsid w:val="7C1A3ECD"/>
    <w:rsid w:val="7C61444B"/>
    <w:rsid w:val="7CA441CF"/>
    <w:rsid w:val="7CB73983"/>
    <w:rsid w:val="7CBD4472"/>
    <w:rsid w:val="7D017254"/>
    <w:rsid w:val="7D551FAD"/>
    <w:rsid w:val="7DA912DF"/>
    <w:rsid w:val="7E7315B9"/>
    <w:rsid w:val="7EA924BC"/>
    <w:rsid w:val="7EBA1B60"/>
    <w:rsid w:val="7F657B77"/>
    <w:rsid w:val="7FB64187"/>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3">
    <w:name w:val="heading 1"/>
    <w:basedOn w:val="1"/>
    <w:next w:val="1"/>
    <w:qFormat/>
    <w:uiPriority w:val="0"/>
    <w:pPr>
      <w:spacing w:line="360" w:lineRule="auto"/>
      <w:jc w:val="center"/>
      <w:outlineLvl w:val="0"/>
    </w:pPr>
    <w:rPr>
      <w:rFonts w:cs="Times New Roman"/>
      <w:b/>
      <w:bCs/>
      <w:sz w:val="44"/>
      <w:szCs w:val="32"/>
      <w:lang w:eastAsia="en-US"/>
    </w:rPr>
  </w:style>
  <w:style w:type="paragraph" w:styleId="2">
    <w:name w:val="heading 2"/>
    <w:basedOn w:val="1"/>
    <w:next w:val="1"/>
    <w:autoRedefine/>
    <w:semiHidden/>
    <w:unhideWhenUsed/>
    <w:qFormat/>
    <w:uiPriority w:val="0"/>
    <w:pPr>
      <w:spacing w:line="360" w:lineRule="auto"/>
      <w:ind w:left="119"/>
      <w:jc w:val="center"/>
      <w:outlineLvl w:val="1"/>
    </w:pPr>
    <w:rPr>
      <w:rFonts w:cs="Times New Roman"/>
      <w:b/>
      <w:bCs/>
      <w:sz w:val="32"/>
      <w:lang w:eastAsia="en-US"/>
    </w:rPr>
  </w:style>
  <w:style w:type="paragraph" w:styleId="4">
    <w:name w:val="heading 3"/>
    <w:basedOn w:val="1"/>
    <w:next w:val="1"/>
    <w:autoRedefine/>
    <w:qFormat/>
    <w:uiPriority w:val="0"/>
    <w:pPr>
      <w:keepNext/>
      <w:keepLines/>
      <w:numPr>
        <w:ilvl w:val="2"/>
        <w:numId w:val="1"/>
      </w:numPr>
      <w:spacing w:line="360" w:lineRule="auto"/>
      <w:outlineLvl w:val="2"/>
    </w:pPr>
    <w:rPr>
      <w:rFonts w:cs="Times New Roman"/>
      <w:b/>
      <w:bCs/>
    </w:rPr>
  </w:style>
  <w:style w:type="character" w:default="1" w:styleId="24">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rPr>
      <w:rFonts w:ascii="Times New Roman" w:hAnsi="Times New Roman" w:cs="Times New Roman"/>
      <w:szCs w:val="20"/>
    </w:rPr>
  </w:style>
  <w:style w:type="paragraph" w:styleId="6">
    <w:name w:val="index 5"/>
    <w:basedOn w:val="1"/>
    <w:next w:val="1"/>
    <w:autoRedefine/>
    <w:qFormat/>
    <w:uiPriority w:val="0"/>
    <w:pPr>
      <w:ind w:left="798" w:leftChars="380"/>
      <w:jc w:val="left"/>
    </w:pPr>
    <w:rPr>
      <w:rFonts w:ascii="Calibri" w:hAnsi="Calibri" w:eastAsia="宋体" w:cs="Times New Roman"/>
      <w:sz w:val="21"/>
      <w:szCs w:val="24"/>
    </w:rPr>
  </w:style>
  <w:style w:type="paragraph" w:styleId="7">
    <w:name w:val="Body Text"/>
    <w:basedOn w:val="1"/>
    <w:next w:val="8"/>
    <w:autoRedefine/>
    <w:qFormat/>
    <w:uiPriority w:val="0"/>
  </w:style>
  <w:style w:type="paragraph" w:customStyle="1" w:styleId="8">
    <w:name w:val="Default"/>
    <w:next w:val="1"/>
    <w:autoRedefine/>
    <w:qFormat/>
    <w:uiPriority w:val="0"/>
    <w:pPr>
      <w:widowControl w:val="0"/>
      <w:numPr>
        <w:ilvl w:val="1"/>
        <w:numId w:val="2"/>
      </w:numPr>
      <w:autoSpaceDE w:val="0"/>
      <w:autoSpaceDN w:val="0"/>
      <w:adjustRightInd w:val="0"/>
    </w:pPr>
    <w:rPr>
      <w:rFonts w:ascii="宋体" w:hAnsi="Times New Roman" w:eastAsia="宋体" w:cs="宋体"/>
      <w:color w:val="000000"/>
      <w:sz w:val="24"/>
      <w:szCs w:val="24"/>
      <w:lang w:val="en-US" w:eastAsia="zh-CN" w:bidi="ar-SA"/>
    </w:rPr>
  </w:style>
  <w:style w:type="paragraph" w:styleId="9">
    <w:name w:val="Body Text Indent"/>
    <w:basedOn w:val="1"/>
    <w:next w:val="10"/>
    <w:autoRedefine/>
    <w:qFormat/>
    <w:uiPriority w:val="0"/>
    <w:pPr>
      <w:spacing w:after="120"/>
      <w:ind w:left="420" w:leftChars="200"/>
    </w:pPr>
    <w:rPr>
      <w:rFonts w:ascii="Times New Roman" w:hAnsi="Times New Roman" w:cs="Times New Roman"/>
    </w:rPr>
  </w:style>
  <w:style w:type="paragraph" w:styleId="10">
    <w:name w:val="envelope return"/>
    <w:basedOn w:val="1"/>
    <w:autoRedefine/>
    <w:qFormat/>
    <w:uiPriority w:val="0"/>
    <w:pPr>
      <w:snapToGrid w:val="0"/>
    </w:pPr>
    <w:rPr>
      <w:rFonts w:ascii="Arial" w:hAnsi="Arial"/>
    </w:rPr>
  </w:style>
  <w:style w:type="paragraph" w:styleId="11">
    <w:name w:val="List 2"/>
    <w:basedOn w:val="1"/>
    <w:autoRedefine/>
    <w:qFormat/>
    <w:uiPriority w:val="0"/>
    <w:pPr>
      <w:ind w:left="100" w:leftChars="200" w:hanging="200" w:hangingChars="200"/>
    </w:pPr>
    <w:rPr>
      <w:rFonts w:ascii="Times New Roman" w:hAnsi="Times New Roman" w:cs="Times New Roman"/>
    </w:rPr>
  </w:style>
  <w:style w:type="paragraph" w:styleId="12">
    <w:name w:val="List Continue"/>
    <w:basedOn w:val="1"/>
    <w:autoRedefine/>
    <w:qFormat/>
    <w:uiPriority w:val="0"/>
    <w:pPr>
      <w:widowControl/>
      <w:spacing w:before="100" w:beforeAutospacing="1" w:after="100" w:afterAutospacing="1"/>
      <w:jc w:val="left"/>
    </w:pPr>
    <w:rPr>
      <w:rFonts w:cs="Times New Roman"/>
      <w:kern w:val="0"/>
      <w:sz w:val="24"/>
    </w:rPr>
  </w:style>
  <w:style w:type="paragraph" w:styleId="13">
    <w:name w:val="Plain Text"/>
    <w:basedOn w:val="1"/>
    <w:autoRedefine/>
    <w:qFormat/>
    <w:uiPriority w:val="0"/>
    <w:rPr>
      <w:rFonts w:hAnsi="Courier New" w:cs="Courier New"/>
    </w:rPr>
  </w:style>
  <w:style w:type="paragraph" w:styleId="14">
    <w:name w:val="Balloon Text"/>
    <w:basedOn w:val="1"/>
    <w:link w:val="40"/>
    <w:autoRedefine/>
    <w:qFormat/>
    <w:uiPriority w:val="0"/>
    <w:rPr>
      <w:sz w:val="18"/>
      <w:szCs w:val="18"/>
    </w:rPr>
  </w:style>
  <w:style w:type="paragraph" w:styleId="15">
    <w:name w:val="footer"/>
    <w:basedOn w:val="1"/>
    <w:autoRedefine/>
    <w:qFormat/>
    <w:uiPriority w:val="99"/>
    <w:pPr>
      <w:tabs>
        <w:tab w:val="center" w:pos="4153"/>
        <w:tab w:val="right" w:pos="8306"/>
      </w:tabs>
      <w:snapToGrid w:val="0"/>
      <w:jc w:val="left"/>
    </w:pPr>
    <w:rPr>
      <w:rFonts w:ascii="Times New Roman" w:hAnsi="Times New Roman" w:cs="Times New Roman"/>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7">
    <w:name w:val="toc 1"/>
    <w:basedOn w:val="1"/>
    <w:next w:val="1"/>
    <w:autoRedefine/>
    <w:qFormat/>
    <w:uiPriority w:val="39"/>
    <w:rPr>
      <w:rFonts w:ascii="Times New Roman" w:hAnsi="Times New Roman" w:cs="Times New Roman"/>
    </w:rPr>
  </w:style>
  <w:style w:type="paragraph" w:styleId="18">
    <w:name w:val="footnote text"/>
    <w:basedOn w:val="1"/>
    <w:next w:val="6"/>
    <w:autoRedefine/>
    <w:qFormat/>
    <w:uiPriority w:val="0"/>
    <w:pPr>
      <w:adjustRightInd w:val="0"/>
      <w:spacing w:line="312" w:lineRule="atLeast"/>
      <w:jc w:val="left"/>
      <w:textAlignment w:val="baseline"/>
    </w:pPr>
    <w:rPr>
      <w:kern w:val="0"/>
      <w:sz w:val="18"/>
      <w:szCs w:val="20"/>
    </w:rPr>
  </w:style>
  <w:style w:type="paragraph" w:styleId="19">
    <w:name w:val="Body Text 2"/>
    <w:basedOn w:val="1"/>
    <w:next w:val="7"/>
    <w:autoRedefine/>
    <w:qFormat/>
    <w:uiPriority w:val="0"/>
    <w:pPr>
      <w:suppressAutoHyphens/>
      <w:jc w:val="left"/>
    </w:pPr>
    <w:rPr>
      <w:color w:val="000000"/>
      <w:kern w:val="1"/>
      <w:sz w:val="28"/>
      <w:szCs w:val="20"/>
    </w:rPr>
  </w:style>
  <w:style w:type="paragraph" w:styleId="20">
    <w:name w:val="Normal (Web)"/>
    <w:basedOn w:val="1"/>
    <w:next w:val="1"/>
    <w:autoRedefine/>
    <w:qFormat/>
    <w:uiPriority w:val="0"/>
    <w:pPr>
      <w:widowControl/>
      <w:spacing w:before="100" w:beforeAutospacing="1" w:after="100" w:afterAutospacing="1" w:line="320" w:lineRule="atLeast"/>
      <w:jc w:val="left"/>
    </w:pPr>
    <w:rPr>
      <w:rFonts w:cs="Times New Roman"/>
      <w:kern w:val="0"/>
      <w:sz w:val="18"/>
      <w:szCs w:val="18"/>
    </w:rPr>
  </w:style>
  <w:style w:type="paragraph" w:styleId="21">
    <w:name w:val="Body Text First Indent"/>
    <w:basedOn w:val="7"/>
    <w:next w:val="22"/>
    <w:autoRedefine/>
    <w:qFormat/>
    <w:uiPriority w:val="0"/>
    <w:pPr>
      <w:ind w:firstLine="420" w:firstLineChars="100"/>
    </w:pPr>
  </w:style>
  <w:style w:type="paragraph" w:styleId="22">
    <w:name w:val="Body Text First Indent 2"/>
    <w:basedOn w:val="9"/>
    <w:next w:val="21"/>
    <w:autoRedefine/>
    <w:qFormat/>
    <w:uiPriority w:val="0"/>
    <w:pPr>
      <w:ind w:firstLine="420" w:firstLineChars="200"/>
    </w:pPr>
  </w:style>
  <w:style w:type="character" w:styleId="25">
    <w:name w:val="FollowedHyperlink"/>
    <w:basedOn w:val="24"/>
    <w:autoRedefine/>
    <w:qFormat/>
    <w:uiPriority w:val="0"/>
    <w:rPr>
      <w:color w:val="800080"/>
      <w:u w:val="none"/>
    </w:rPr>
  </w:style>
  <w:style w:type="character" w:styleId="26">
    <w:name w:val="Emphasis"/>
    <w:basedOn w:val="24"/>
    <w:autoRedefine/>
    <w:qFormat/>
    <w:uiPriority w:val="0"/>
    <w:rPr>
      <w:i/>
    </w:rPr>
  </w:style>
  <w:style w:type="character" w:styleId="27">
    <w:name w:val="HTML Definition"/>
    <w:basedOn w:val="24"/>
    <w:autoRedefine/>
    <w:qFormat/>
    <w:uiPriority w:val="0"/>
  </w:style>
  <w:style w:type="character" w:styleId="28">
    <w:name w:val="HTML Typewriter"/>
    <w:basedOn w:val="24"/>
    <w:autoRedefine/>
    <w:qFormat/>
    <w:uiPriority w:val="0"/>
    <w:rPr>
      <w:rFonts w:hint="default" w:ascii="monospace" w:hAnsi="monospace" w:eastAsia="monospace" w:cs="monospace"/>
      <w:sz w:val="20"/>
    </w:rPr>
  </w:style>
  <w:style w:type="character" w:styleId="29">
    <w:name w:val="HTML Acronym"/>
    <w:basedOn w:val="24"/>
    <w:autoRedefine/>
    <w:qFormat/>
    <w:uiPriority w:val="0"/>
  </w:style>
  <w:style w:type="character" w:styleId="30">
    <w:name w:val="HTML Variable"/>
    <w:basedOn w:val="24"/>
    <w:autoRedefine/>
    <w:qFormat/>
    <w:uiPriority w:val="0"/>
  </w:style>
  <w:style w:type="character" w:styleId="31">
    <w:name w:val="Hyperlink"/>
    <w:basedOn w:val="24"/>
    <w:autoRedefine/>
    <w:qFormat/>
    <w:uiPriority w:val="99"/>
    <w:rPr>
      <w:color w:val="333333"/>
      <w:sz w:val="18"/>
      <w:szCs w:val="18"/>
      <w:u w:val="none"/>
    </w:rPr>
  </w:style>
  <w:style w:type="character" w:styleId="32">
    <w:name w:val="HTML Code"/>
    <w:basedOn w:val="24"/>
    <w:autoRedefine/>
    <w:qFormat/>
    <w:uiPriority w:val="0"/>
    <w:rPr>
      <w:rFonts w:hint="default" w:ascii="monospace" w:hAnsi="monospace" w:eastAsia="monospace" w:cs="monospace"/>
      <w:sz w:val="20"/>
    </w:rPr>
  </w:style>
  <w:style w:type="character" w:styleId="33">
    <w:name w:val="HTML Cite"/>
    <w:basedOn w:val="24"/>
    <w:autoRedefine/>
    <w:qFormat/>
    <w:uiPriority w:val="0"/>
  </w:style>
  <w:style w:type="character" w:styleId="34">
    <w:name w:val="HTML Keyboard"/>
    <w:basedOn w:val="24"/>
    <w:autoRedefine/>
    <w:qFormat/>
    <w:uiPriority w:val="0"/>
    <w:rPr>
      <w:rFonts w:ascii="monospace" w:hAnsi="monospace" w:eastAsia="monospace" w:cs="monospace"/>
      <w:sz w:val="20"/>
    </w:rPr>
  </w:style>
  <w:style w:type="character" w:styleId="35">
    <w:name w:val="HTML Sample"/>
    <w:basedOn w:val="24"/>
    <w:autoRedefine/>
    <w:qFormat/>
    <w:uiPriority w:val="0"/>
    <w:rPr>
      <w:rFonts w:hint="default" w:ascii="monospace" w:hAnsi="monospace" w:eastAsia="monospace" w:cs="monospace"/>
    </w:rPr>
  </w:style>
  <w:style w:type="paragraph" w:customStyle="1" w:styleId="36">
    <w:name w:val="Blockquote"/>
    <w:basedOn w:val="1"/>
    <w:next w:val="1"/>
    <w:qFormat/>
    <w:uiPriority w:val="99"/>
    <w:pPr>
      <w:autoSpaceDE w:val="0"/>
      <w:autoSpaceDN w:val="0"/>
      <w:adjustRightInd w:val="0"/>
      <w:spacing w:before="100" w:after="100"/>
      <w:ind w:left="360" w:right="360"/>
    </w:pPr>
    <w:rPr>
      <w:sz w:val="24"/>
    </w:rPr>
  </w:style>
  <w:style w:type="paragraph" w:customStyle="1" w:styleId="37">
    <w:name w:val="首行缩进"/>
    <w:basedOn w:val="1"/>
    <w:autoRedefine/>
    <w:qFormat/>
    <w:uiPriority w:val="99"/>
    <w:pPr>
      <w:ind w:firstLine="480"/>
    </w:pPr>
    <w:rPr>
      <w:kern w:val="0"/>
      <w:szCs w:val="20"/>
      <w:lang w:val="zh-CN"/>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Table Paragraph"/>
    <w:basedOn w:val="1"/>
    <w:qFormat/>
    <w:uiPriority w:val="1"/>
    <w:rPr>
      <w:lang w:val="zh-CN" w:bidi="zh-CN"/>
    </w:rPr>
  </w:style>
  <w:style w:type="character" w:customStyle="1" w:styleId="40">
    <w:name w:val="批注框文本 Char"/>
    <w:basedOn w:val="24"/>
    <w:link w:val="14"/>
    <w:qFormat/>
    <w:uiPriority w:val="0"/>
    <w:rPr>
      <w:rFonts w:ascii="宋体" w:hAnsi="宋体" w:cs="宋体"/>
      <w:kern w:val="2"/>
      <w:sz w:val="18"/>
      <w:szCs w:val="18"/>
    </w:rPr>
  </w:style>
  <w:style w:type="paragraph" w:customStyle="1" w:styleId="41">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42">
    <w:name w:val="Body text|1"/>
    <w:basedOn w:val="1"/>
    <w:qFormat/>
    <w:uiPriority w:val="0"/>
    <w:pPr>
      <w:widowControl w:val="0"/>
      <w:spacing w:line="466" w:lineRule="exact"/>
      <w:ind w:firstLine="480"/>
    </w:pPr>
    <w:rPr>
      <w:rFonts w:ascii="宋体" w:hAnsi="宋体" w:eastAsia="宋体" w:cs="Times New Roman"/>
      <w:kern w:val="0"/>
      <w:sz w:val="26"/>
      <w:szCs w:val="26"/>
      <w:lang w:val="zh-TW" w:eastAsia="zh-TW"/>
    </w:rPr>
  </w:style>
  <w:style w:type="paragraph" w:styleId="43">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4">
    <w:name w:val="NormalCharacter"/>
    <w:qFormat/>
    <w:uiPriority w:val="0"/>
    <w:rPr>
      <w:rFonts w:ascii="等线" w:hAnsi="等线" w:eastAsia="等线"/>
    </w:rPr>
  </w:style>
  <w:style w:type="paragraph" w:customStyle="1" w:styleId="45">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69</Pages>
  <Words>26020</Words>
  <Characters>27338</Characters>
  <Lines>212</Lines>
  <Paragraphs>59</Paragraphs>
  <TotalTime>151</TotalTime>
  <ScaleCrop>false</ScaleCrop>
  <LinksUpToDate>false</LinksUpToDate>
  <CharactersWithSpaces>28358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2021-06-30T07:31:00Z</dcterms:created>
  <dc:creator>NTKO</dc:creator>
  <cp:lastModifiedBy>吴禹</cp:lastModifiedBy>
  <cp:lastPrinted>2023-10-30T08:34:00Z</cp:lastPrinted>
  <dcterms:modified xsi:type="dcterms:W3CDTF">2023-12-27T06:33:41Z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C6F652B471D84FE08E9BDB3803350EA9</vt:lpwstr>
  </property>
</Properties>
</file>