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jc w:val="center"/>
        <w:rPr>
          <w:rFonts w:hint="eastAsia"/>
          <w:b/>
          <w:bCs/>
          <w:color w:val="auto"/>
          <w:spacing w:val="-6"/>
          <w:sz w:val="44"/>
          <w:szCs w:val="40"/>
          <w:lang w:val="en-US" w:eastAsia="zh-CN"/>
        </w:rPr>
      </w:pPr>
      <w:r>
        <w:rPr>
          <w:rFonts w:hint="eastAsia"/>
          <w:b/>
          <w:bCs/>
          <w:color w:val="auto"/>
          <w:spacing w:val="-6"/>
          <w:sz w:val="44"/>
          <w:szCs w:val="40"/>
          <w:lang w:val="en-US" w:eastAsia="zh-CN"/>
        </w:rPr>
        <w:t xml:space="preserve">                                                                                                                                                                                                                                                                                                                                                                                                                                                                                                                                                                                                                                                                                                                                                                                                                                                                                                                                                                                                                                                                                                                                                                                                                                                                                                                                                                                                                                                                                                                                                                                                                                                                                                                                                                                                                                                                                                                                                                                                                                                                                                                                                                                                                                                                                                                                                                                                                                                                                                                                                                                                                                                                                                                                                                                                                                                                                                                                                                                                                                                                                                                                                                                                                                                                                                                                                                                                                                                                     </w:t>
      </w:r>
      <w:r>
        <w:rPr>
          <w:rFonts w:hint="eastAsia" w:ascii="仿宋" w:hAnsi="仿宋" w:cs="仿宋"/>
          <w:b/>
          <w:bCs/>
          <w:color w:val="000000" w:themeColor="text1"/>
          <w:sz w:val="44"/>
          <w:szCs w:val="44"/>
          <w:lang w:val="en-US" w:eastAsia="zh-CN"/>
          <w14:textFill>
            <w14:solidFill>
              <w14:schemeClr w14:val="tx1"/>
            </w14:solidFill>
          </w14:textFill>
        </w:rPr>
        <w:t>唐河县惠兴钢构厂院内挡土墙及绿化项目</w:t>
      </w:r>
    </w:p>
    <w:p>
      <w:pPr>
        <w:pStyle w:val="39"/>
        <w:rPr>
          <w:color w:val="auto"/>
        </w:rPr>
      </w:pPr>
    </w:p>
    <w:p>
      <w:pPr>
        <w:bidi w:val="0"/>
        <w:jc w:val="center"/>
        <w:rPr>
          <w:b/>
          <w:bCs/>
          <w:color w:val="auto"/>
          <w:sz w:val="56"/>
          <w:szCs w:val="52"/>
        </w:rPr>
      </w:pPr>
      <w:bookmarkStart w:id="0" w:name="_Toc31147"/>
      <w:bookmarkStart w:id="1" w:name="_Toc8792"/>
      <w:bookmarkStart w:id="2" w:name="_Toc2970"/>
      <w:bookmarkStart w:id="3" w:name="_Toc14461"/>
    </w:p>
    <w:p>
      <w:pPr>
        <w:bidi w:val="0"/>
        <w:jc w:val="center"/>
        <w:rPr>
          <w:b/>
          <w:bCs/>
          <w:color w:val="auto"/>
          <w:sz w:val="56"/>
          <w:szCs w:val="52"/>
        </w:rPr>
      </w:pPr>
      <w:r>
        <w:rPr>
          <w:b/>
          <w:bCs/>
          <w:color w:val="auto"/>
          <w:sz w:val="56"/>
          <w:szCs w:val="52"/>
        </w:rPr>
        <w:t>竞争性磋商文件</w:t>
      </w:r>
      <w:bookmarkEnd w:id="0"/>
      <w:bookmarkEnd w:id="1"/>
      <w:bookmarkEnd w:id="2"/>
      <w:bookmarkEnd w:id="3"/>
    </w:p>
    <w:p>
      <w:pPr>
        <w:pStyle w:val="13"/>
        <w:rPr>
          <w:b/>
          <w:bCs/>
          <w:color w:val="auto"/>
          <w:sz w:val="56"/>
          <w:szCs w:val="52"/>
        </w:rPr>
      </w:pPr>
    </w:p>
    <w:p>
      <w:pPr>
        <w:ind w:firstLine="1606" w:firstLineChars="500"/>
        <w:jc w:val="both"/>
        <w:rPr>
          <w:rFonts w:hint="default" w:eastAsia="仿宋"/>
          <w:color w:val="auto"/>
          <w:lang w:val="en-US" w:eastAsia="zh-CN"/>
        </w:rPr>
      </w:pPr>
      <w:r>
        <w:rPr>
          <w:b/>
          <w:bCs/>
          <w:color w:val="auto"/>
          <w:sz w:val="32"/>
          <w:szCs w:val="28"/>
        </w:rPr>
        <w:t>采购编号：</w:t>
      </w:r>
      <w:r>
        <w:rPr>
          <w:rFonts w:hint="eastAsia"/>
          <w:b/>
          <w:bCs/>
          <w:color w:val="auto"/>
          <w:sz w:val="32"/>
          <w:szCs w:val="28"/>
          <w:lang w:val="zh-CN"/>
        </w:rPr>
        <w:t>唐财采购竞争性磋商-202</w:t>
      </w:r>
      <w:r>
        <w:rPr>
          <w:rFonts w:hint="eastAsia"/>
          <w:b/>
          <w:bCs/>
          <w:color w:val="auto"/>
          <w:sz w:val="32"/>
          <w:szCs w:val="28"/>
          <w:lang w:val="en-US" w:eastAsia="zh-CN"/>
        </w:rPr>
        <w:t>4</w:t>
      </w:r>
      <w:r>
        <w:rPr>
          <w:rFonts w:hint="eastAsia"/>
          <w:b/>
          <w:bCs/>
          <w:color w:val="auto"/>
          <w:sz w:val="32"/>
          <w:szCs w:val="28"/>
          <w:lang w:val="zh-CN"/>
        </w:rPr>
        <w:t>-</w:t>
      </w:r>
      <w:r>
        <w:rPr>
          <w:rFonts w:hint="eastAsia"/>
          <w:b/>
          <w:bCs/>
          <w:color w:val="auto"/>
          <w:sz w:val="32"/>
          <w:szCs w:val="28"/>
          <w:lang w:val="en-US" w:eastAsia="zh-CN"/>
        </w:rPr>
        <w:t>12</w:t>
      </w:r>
    </w:p>
    <w:p>
      <w:pPr>
        <w:tabs>
          <w:tab w:val="left" w:pos="2730"/>
        </w:tabs>
        <w:rPr>
          <w:rFonts w:hint="eastAsia" w:eastAsia="仿宋"/>
          <w:color w:val="auto"/>
          <w:lang w:eastAsia="zh-CN"/>
        </w:rPr>
      </w:pPr>
      <w:r>
        <w:rPr>
          <w:rFonts w:hint="eastAsia"/>
          <w:color w:val="auto"/>
          <w:lang w:eastAsia="zh-CN"/>
        </w:rPr>
        <w:tab/>
      </w:r>
    </w:p>
    <w:p>
      <w:pPr>
        <w:jc w:val="center"/>
        <w:rPr>
          <w:color w:val="auto"/>
        </w:rPr>
      </w:pPr>
    </w:p>
    <w:p>
      <w:pPr>
        <w:pStyle w:val="8"/>
        <w:rPr>
          <w:color w:val="auto"/>
        </w:rPr>
      </w:pPr>
    </w:p>
    <w:p>
      <w:pPr>
        <w:pStyle w:val="35"/>
        <w:rPr>
          <w:color w:val="auto"/>
        </w:rPr>
      </w:pPr>
    </w:p>
    <w:p>
      <w:pPr>
        <w:pStyle w:val="36"/>
        <w:rPr>
          <w:rFonts w:hint="eastAsia" w:eastAsia="宋体"/>
          <w:color w:val="auto"/>
          <w:lang w:val="en-US" w:eastAsia="zh-CN"/>
        </w:rPr>
      </w:pPr>
      <w:r>
        <w:rPr>
          <w:rFonts w:hint="eastAsia"/>
          <w:color w:val="auto"/>
          <w:lang w:val="en-US" w:eastAsia="zh-CN"/>
        </w:rPr>
        <w:t xml:space="preserve"> </w:t>
      </w:r>
    </w:p>
    <w:p>
      <w:pPr>
        <w:rPr>
          <w:color w:val="auto"/>
        </w:rPr>
      </w:pPr>
    </w:p>
    <w:p>
      <w:pPr>
        <w:pStyle w:val="8"/>
        <w:rPr>
          <w:color w:val="auto"/>
        </w:rPr>
      </w:pPr>
    </w:p>
    <w:p>
      <w:pPr>
        <w:rPr>
          <w:color w:val="auto"/>
        </w:rPr>
      </w:pPr>
    </w:p>
    <w:p>
      <w:pPr>
        <w:pStyle w:val="8"/>
        <w:rPr>
          <w:color w:val="auto"/>
        </w:rPr>
      </w:pPr>
    </w:p>
    <w:p>
      <w:pPr>
        <w:rPr>
          <w:color w:val="auto"/>
        </w:rPr>
      </w:pPr>
    </w:p>
    <w:p>
      <w:pPr>
        <w:rPr>
          <w:color w:val="auto"/>
        </w:rPr>
      </w:pPr>
    </w:p>
    <w:p>
      <w:pPr>
        <w:rPr>
          <w:color w:val="auto"/>
        </w:rPr>
      </w:pPr>
    </w:p>
    <w:p>
      <w:pPr>
        <w:rPr>
          <w:color w:val="auto"/>
        </w:rPr>
      </w:pPr>
    </w:p>
    <w:p>
      <w:pPr>
        <w:rPr>
          <w:color w:val="auto"/>
        </w:rPr>
      </w:pPr>
    </w:p>
    <w:p>
      <w:pPr>
        <w:pStyle w:val="37"/>
        <w:rPr>
          <w:color w:val="auto"/>
        </w:rPr>
      </w:pPr>
    </w:p>
    <w:p>
      <w:pPr>
        <w:pStyle w:val="37"/>
        <w:rPr>
          <w:color w:val="auto"/>
        </w:rPr>
      </w:pPr>
    </w:p>
    <w:p>
      <w:pPr>
        <w:rPr>
          <w:color w:val="auto"/>
        </w:rPr>
      </w:pPr>
    </w:p>
    <w:p>
      <w:pPr>
        <w:rPr>
          <w:color w:val="auto"/>
        </w:rPr>
      </w:pPr>
    </w:p>
    <w:p>
      <w:pPr>
        <w:pStyle w:val="8"/>
        <w:rPr>
          <w:color w:val="auto"/>
        </w:rPr>
      </w:pPr>
    </w:p>
    <w:p>
      <w:pPr>
        <w:rPr>
          <w:color w:val="auto"/>
        </w:rPr>
      </w:pPr>
    </w:p>
    <w:p>
      <w:pPr>
        <w:ind w:firstLine="803"/>
        <w:jc w:val="center"/>
        <w:rPr>
          <w:rFonts w:hint="eastAsia"/>
          <w:b/>
          <w:bCs/>
          <w:color w:val="auto"/>
          <w:sz w:val="40"/>
          <w:szCs w:val="40"/>
          <w:lang w:val="en-US" w:eastAsia="zh-CN"/>
        </w:rPr>
      </w:pPr>
      <w:r>
        <w:rPr>
          <w:b/>
          <w:bCs/>
          <w:color w:val="auto"/>
          <w:sz w:val="40"/>
          <w:szCs w:val="40"/>
        </w:rPr>
        <w:t>采购人：</w:t>
      </w:r>
      <w:r>
        <w:rPr>
          <w:rFonts w:hint="eastAsia"/>
          <w:b/>
          <w:bCs/>
          <w:color w:val="auto"/>
          <w:spacing w:val="17"/>
          <w:sz w:val="40"/>
          <w:szCs w:val="40"/>
          <w:lang w:eastAsia="zh-CN"/>
        </w:rPr>
        <w:t>唐河县</w:t>
      </w:r>
      <w:r>
        <w:rPr>
          <w:rFonts w:hint="eastAsia"/>
          <w:b/>
          <w:bCs/>
          <w:color w:val="auto"/>
          <w:spacing w:val="17"/>
          <w:sz w:val="40"/>
          <w:szCs w:val="40"/>
          <w:lang w:val="en-US" w:eastAsia="zh-CN"/>
        </w:rPr>
        <w:t>自然资源局</w:t>
      </w:r>
      <w:r>
        <w:rPr>
          <w:rFonts w:hint="eastAsia"/>
          <w:b/>
          <w:bCs/>
          <w:color w:val="auto"/>
          <w:sz w:val="40"/>
          <w:szCs w:val="40"/>
          <w:lang w:val="en-US" w:eastAsia="zh-CN"/>
        </w:rPr>
        <w:t xml:space="preserve">     </w:t>
      </w:r>
    </w:p>
    <w:p>
      <w:pPr>
        <w:ind w:firstLine="803"/>
        <w:jc w:val="center"/>
        <w:rPr>
          <w:b/>
          <w:bCs/>
          <w:color w:val="auto"/>
          <w:sz w:val="40"/>
          <w:szCs w:val="40"/>
        </w:rPr>
      </w:pP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footerReference r:id="rId5" w:type="default"/>
          <w:type w:val="continuous"/>
          <w:pgSz w:w="11910" w:h="16840"/>
          <w:pgMar w:top="1440" w:right="1080" w:bottom="1440" w:left="1080" w:header="720" w:footer="720" w:gutter="0"/>
          <w:pgNumType w:fmt="decimal"/>
          <w:cols w:space="720" w:num="1"/>
        </w:sectPr>
      </w:pPr>
      <w:r>
        <w:rPr>
          <w:rFonts w:hint="eastAsia"/>
          <w:b/>
          <w:bCs/>
          <w:color w:val="auto"/>
          <w:sz w:val="40"/>
          <w:szCs w:val="40"/>
          <w:lang w:eastAsia="zh-CN"/>
        </w:rPr>
        <w:t>202</w:t>
      </w:r>
      <w:r>
        <w:rPr>
          <w:rFonts w:hint="eastAsia"/>
          <w:b/>
          <w:bCs/>
          <w:color w:val="auto"/>
          <w:sz w:val="40"/>
          <w:szCs w:val="40"/>
          <w:lang w:val="en-US" w:eastAsia="zh-CN"/>
        </w:rPr>
        <w:t>4</w:t>
      </w:r>
      <w:r>
        <w:rPr>
          <w:rFonts w:hint="eastAsia"/>
          <w:b/>
          <w:bCs/>
          <w:color w:val="auto"/>
          <w:sz w:val="40"/>
          <w:szCs w:val="40"/>
          <w:lang w:eastAsia="zh-CN"/>
        </w:rPr>
        <w:t>年</w:t>
      </w:r>
      <w:r>
        <w:rPr>
          <w:rFonts w:hint="eastAsia"/>
          <w:b/>
          <w:bCs/>
          <w:color w:val="auto"/>
          <w:sz w:val="40"/>
          <w:szCs w:val="40"/>
          <w:lang w:val="en-US" w:eastAsia="zh-CN"/>
        </w:rPr>
        <w:t>1月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6"/>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6"/>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4</w:t>
      </w:r>
      <w:r>
        <w:rPr>
          <w:color w:val="auto"/>
        </w:rPr>
        <w:fldChar w:fldCharType="end"/>
      </w:r>
      <w:r>
        <w:rPr>
          <w:color w:val="auto"/>
        </w:rPr>
        <w:fldChar w:fldCharType="end"/>
      </w:r>
    </w:p>
    <w:p>
      <w:pPr>
        <w:pStyle w:val="16"/>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129</w:t>
      </w:r>
      <w:r>
        <w:rPr>
          <w:color w:val="auto"/>
        </w:rPr>
        <w:fldChar w:fldCharType="end"/>
      </w:r>
      <w:r>
        <w:rPr>
          <w:color w:val="auto"/>
        </w:rPr>
        <w:fldChar w:fldCharType="end"/>
      </w:r>
    </w:p>
    <w:p>
      <w:pPr>
        <w:pStyle w:val="16"/>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145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145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145</w:t>
      </w:r>
      <w:r>
        <w:rPr>
          <w:color w:val="auto"/>
        </w:rPr>
        <w:fldChar w:fldCharType="end"/>
      </w:r>
      <w:r>
        <w:rPr>
          <w:color w:val="auto"/>
        </w:rPr>
        <w:fldChar w:fldCharType="end"/>
      </w:r>
    </w:p>
    <w:p>
      <w:pPr>
        <w:pStyle w:val="16"/>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147</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147</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148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148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149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150</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151</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152</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153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153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154</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155</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156</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157</w:t>
      </w:r>
      <w:r>
        <w:rPr>
          <w:color w:val="auto"/>
        </w:rPr>
        <w:fldChar w:fldCharType="end"/>
      </w:r>
      <w:r>
        <w:rPr>
          <w:color w:val="auto"/>
        </w:rPr>
        <w:fldChar w:fldCharType="end"/>
      </w:r>
    </w:p>
    <w:p>
      <w:pPr>
        <w:pStyle w:val="16"/>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159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159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159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161</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163</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166</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167</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170</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29165"/>
      <w:bookmarkStart w:id="5" w:name="_Toc9471"/>
    </w:p>
    <w:p>
      <w:pPr>
        <w:pStyle w:val="2"/>
        <w:rPr>
          <w:b/>
          <w:bCs/>
          <w:color w:val="auto"/>
        </w:rPr>
        <w:sectPr>
          <w:headerReference r:id="rId6" w:type="default"/>
          <w:footerReference r:id="rId7" w:type="default"/>
          <w:pgSz w:w="11910" w:h="16840"/>
          <w:pgMar w:top="1380" w:right="880" w:bottom="1100" w:left="880" w:header="888" w:footer="910" w:gutter="0"/>
          <w:pgNumType w:fmt="decimal"/>
          <w:cols w:space="720" w:num="1"/>
        </w:sectPr>
      </w:pPr>
      <w:bookmarkStart w:id="6" w:name="_Toc5263"/>
    </w:p>
    <w:p>
      <w:pPr>
        <w:pStyle w:val="2"/>
        <w:rPr>
          <w:color w:val="auto"/>
          <w:sz w:val="36"/>
          <w:szCs w:val="28"/>
        </w:rPr>
      </w:pPr>
      <w:r>
        <w:rPr>
          <w:b/>
          <w:bCs/>
          <w:color w:val="auto"/>
          <w:sz w:val="36"/>
          <w:szCs w:val="28"/>
        </w:rPr>
        <w:t>第一部分</w:t>
      </w:r>
      <w:r>
        <w:rPr>
          <w:rFonts w:hint="eastAsia"/>
          <w:b/>
          <w:bCs/>
          <w:color w:val="auto"/>
          <w:sz w:val="36"/>
          <w:szCs w:val="28"/>
          <w:lang w:val="en-US" w:eastAsia="zh-CN"/>
        </w:rPr>
        <w:t xml:space="preserve"> </w:t>
      </w:r>
      <w:r>
        <w:rPr>
          <w:b/>
          <w:bCs/>
          <w:color w:val="auto"/>
          <w:sz w:val="36"/>
          <w:szCs w:val="28"/>
        </w:rPr>
        <w:t>竞争性磋商公告</w:t>
      </w:r>
      <w:bookmarkEnd w:id="4"/>
      <w:bookmarkEnd w:id="5"/>
      <w:bookmarkEnd w:id="6"/>
    </w:p>
    <w:p>
      <w:pPr>
        <w:jc w:val="center"/>
        <w:rPr>
          <w:rFonts w:hint="eastAsia"/>
          <w:b/>
          <w:bCs/>
          <w:color w:val="auto"/>
          <w:sz w:val="28"/>
          <w:szCs w:val="36"/>
        </w:rPr>
      </w:pPr>
      <w:r>
        <w:rPr>
          <w:rFonts w:hint="eastAsia"/>
          <w:b/>
          <w:bCs/>
          <w:color w:val="auto"/>
          <w:spacing w:val="6"/>
          <w:sz w:val="36"/>
          <w:szCs w:val="44"/>
          <w:lang w:val="en-US" w:eastAsia="zh-CN"/>
        </w:rPr>
        <w:t>唐河县惠兴钢构厂院内挡土墙及绿化项目</w:t>
      </w:r>
      <w:r>
        <w:rPr>
          <w:rFonts w:hint="eastAsia"/>
          <w:b/>
          <w:bCs/>
          <w:color w:val="auto"/>
          <w:spacing w:val="6"/>
          <w:sz w:val="36"/>
          <w:szCs w:val="44"/>
        </w:rPr>
        <w:t>-竞争性磋商公告</w:t>
      </w:r>
    </w:p>
    <w:p>
      <w:pPr>
        <w:pStyle w:val="37"/>
        <w:rPr>
          <w:rFonts w:hint="eastAsia"/>
          <w:color w:val="auto"/>
          <w:sz w:val="28"/>
          <w:szCs w:val="36"/>
        </w:rPr>
      </w:pP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项目概况</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唐河县惠兴钢构厂院内挡土墙及绿化项目招标项目的潜在投标人应在唐河县公共资源交易中心网站（http://www.thggzy.cn）获取招标文件，并于202</w:t>
      </w:r>
      <w:r>
        <w:rPr>
          <w:rFonts w:hint="eastAsia" w:ascii="仿宋" w:hAnsi="仿宋" w:eastAsia="仿宋" w:cs="仿宋"/>
          <w:color w:val="auto"/>
          <w:sz w:val="28"/>
          <w:szCs w:val="36"/>
          <w:lang w:val="en-US" w:eastAsia="zh-CN"/>
        </w:rPr>
        <w:t>4</w:t>
      </w:r>
      <w:r>
        <w:rPr>
          <w:rFonts w:hint="eastAsia" w:ascii="仿宋" w:hAnsi="仿宋" w:eastAsia="仿宋" w:cs="仿宋"/>
          <w:color w:val="auto"/>
          <w:sz w:val="28"/>
          <w:szCs w:val="36"/>
        </w:rPr>
        <w:t>年</w:t>
      </w:r>
      <w:r>
        <w:rPr>
          <w:rFonts w:hint="eastAsia" w:ascii="仿宋" w:hAnsi="仿宋" w:eastAsia="仿宋" w:cs="仿宋"/>
          <w:color w:val="auto"/>
          <w:sz w:val="28"/>
          <w:szCs w:val="36"/>
          <w:lang w:val="en-US" w:eastAsia="zh-CN"/>
        </w:rPr>
        <w:t>2</w:t>
      </w:r>
      <w:r>
        <w:rPr>
          <w:rFonts w:hint="eastAsia" w:ascii="仿宋" w:hAnsi="仿宋" w:eastAsia="仿宋" w:cs="仿宋"/>
          <w:color w:val="auto"/>
          <w:sz w:val="28"/>
          <w:szCs w:val="36"/>
        </w:rPr>
        <w:t>月</w:t>
      </w:r>
      <w:r>
        <w:rPr>
          <w:rFonts w:hint="eastAsia" w:ascii="仿宋" w:hAnsi="仿宋" w:eastAsia="仿宋" w:cs="仿宋"/>
          <w:color w:val="auto"/>
          <w:sz w:val="28"/>
          <w:szCs w:val="36"/>
          <w:lang w:val="en-US" w:eastAsia="zh-CN"/>
        </w:rPr>
        <w:t>5</w:t>
      </w:r>
      <w:r>
        <w:rPr>
          <w:rFonts w:hint="eastAsia" w:ascii="仿宋" w:hAnsi="仿宋" w:eastAsia="仿宋" w:cs="仿宋"/>
          <w:color w:val="auto"/>
          <w:sz w:val="28"/>
          <w:szCs w:val="36"/>
        </w:rPr>
        <w:t>日09时30分（北京时间）前递交响应文件。</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一、项目基本情况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1、项目编号：唐财采购竞争性磋商-202</w:t>
      </w:r>
      <w:r>
        <w:rPr>
          <w:rFonts w:hint="eastAsia" w:ascii="仿宋" w:hAnsi="仿宋" w:eastAsia="仿宋" w:cs="仿宋"/>
          <w:color w:val="auto"/>
          <w:sz w:val="28"/>
          <w:szCs w:val="36"/>
          <w:lang w:val="en-US" w:eastAsia="zh-CN"/>
        </w:rPr>
        <w:t>4</w:t>
      </w:r>
      <w:r>
        <w:rPr>
          <w:rFonts w:hint="eastAsia" w:ascii="仿宋" w:hAnsi="仿宋" w:eastAsia="仿宋" w:cs="仿宋"/>
          <w:color w:val="auto"/>
          <w:sz w:val="28"/>
          <w:szCs w:val="36"/>
        </w:rPr>
        <w:t>-</w:t>
      </w:r>
      <w:r>
        <w:rPr>
          <w:rFonts w:hint="eastAsia" w:ascii="仿宋" w:hAnsi="仿宋" w:eastAsia="仿宋" w:cs="仿宋"/>
          <w:color w:val="auto"/>
          <w:sz w:val="28"/>
          <w:szCs w:val="36"/>
          <w:lang w:val="en-US" w:eastAsia="zh-CN"/>
        </w:rPr>
        <w:t>12</w:t>
      </w:r>
      <w:bookmarkStart w:id="83" w:name="_GoBack"/>
      <w:bookmarkEnd w:id="83"/>
      <w:r>
        <w:rPr>
          <w:rFonts w:hint="eastAsia" w:ascii="仿宋" w:hAnsi="仿宋" w:eastAsia="仿宋" w:cs="仿宋"/>
          <w:color w:val="auto"/>
          <w:sz w:val="28"/>
          <w:szCs w:val="36"/>
        </w:rPr>
        <w:t xml:space="preserve">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2、项目名称：唐河县惠兴钢构厂院内挡土墙及绿化项目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3、采购方式：竞争性磋商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4、预算金额：</w:t>
      </w:r>
      <w:r>
        <w:rPr>
          <w:rFonts w:hint="eastAsia" w:ascii="仿宋" w:hAnsi="仿宋" w:eastAsia="仿宋" w:cs="仿宋"/>
          <w:color w:val="auto"/>
          <w:sz w:val="28"/>
          <w:szCs w:val="36"/>
          <w:lang w:val="en-US" w:eastAsia="zh-CN"/>
        </w:rPr>
        <w:t>2055291.37</w:t>
      </w:r>
      <w:r>
        <w:rPr>
          <w:rFonts w:hint="eastAsia" w:ascii="仿宋" w:hAnsi="仿宋" w:eastAsia="仿宋" w:cs="仿宋"/>
          <w:color w:val="auto"/>
          <w:sz w:val="28"/>
          <w:szCs w:val="36"/>
        </w:rPr>
        <w:t xml:space="preserve">元 </w:t>
      </w:r>
      <w:r>
        <w:rPr>
          <w:rFonts w:hint="eastAsia" w:ascii="仿宋" w:hAnsi="仿宋" w:eastAsia="仿宋" w:cs="仿宋"/>
          <w:color w:val="auto"/>
          <w:sz w:val="28"/>
          <w:szCs w:val="36"/>
          <w:lang w:val="en-US" w:eastAsia="zh-CN"/>
        </w:rPr>
        <w:t xml:space="preserve">   </w:t>
      </w:r>
      <w:r>
        <w:rPr>
          <w:rFonts w:hint="eastAsia" w:ascii="仿宋" w:hAnsi="仿宋" w:eastAsia="仿宋" w:cs="仿宋"/>
          <w:color w:val="auto"/>
          <w:sz w:val="28"/>
          <w:szCs w:val="36"/>
        </w:rPr>
        <w:t>最高限价：</w:t>
      </w:r>
      <w:r>
        <w:rPr>
          <w:rFonts w:hint="eastAsia" w:ascii="仿宋" w:hAnsi="仿宋" w:eastAsia="仿宋" w:cs="仿宋"/>
          <w:color w:val="auto"/>
          <w:sz w:val="28"/>
          <w:szCs w:val="36"/>
          <w:lang w:val="en-US" w:eastAsia="zh-CN"/>
        </w:rPr>
        <w:t>2055291.37</w:t>
      </w:r>
      <w:r>
        <w:rPr>
          <w:rFonts w:hint="eastAsia" w:ascii="仿宋" w:hAnsi="仿宋" w:eastAsia="仿宋" w:cs="仿宋"/>
          <w:color w:val="auto"/>
          <w:sz w:val="28"/>
          <w:szCs w:val="36"/>
        </w:rPr>
        <w:t xml:space="preserve">元 </w:t>
      </w:r>
    </w:p>
    <w:tbl>
      <w:tblPr>
        <w:tblStyle w:val="20"/>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406"/>
        <w:gridCol w:w="1902"/>
        <w:gridCol w:w="2321"/>
        <w:gridCol w:w="1190"/>
        <w:gridCol w:w="1430"/>
        <w:gridCol w:w="1363"/>
        <w:gridCol w:w="155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200"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序号</w:t>
            </w:r>
          </w:p>
        </w:tc>
        <w:tc>
          <w:tcPr>
            <w:tcW w:w="935"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包号</w:t>
            </w:r>
          </w:p>
        </w:tc>
        <w:tc>
          <w:tcPr>
            <w:tcW w:w="1141"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包名称</w:t>
            </w:r>
          </w:p>
        </w:tc>
        <w:tc>
          <w:tcPr>
            <w:tcW w:w="585"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包预算（元）</w:t>
            </w:r>
          </w:p>
        </w:tc>
        <w:tc>
          <w:tcPr>
            <w:tcW w:w="703"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包最高限价（元）</w:t>
            </w:r>
          </w:p>
        </w:tc>
        <w:tc>
          <w:tcPr>
            <w:tcW w:w="670"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是否专门面向中小企业</w:t>
            </w:r>
          </w:p>
        </w:tc>
        <w:tc>
          <w:tcPr>
            <w:tcW w:w="762"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采购预留金额（元）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200"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1</w:t>
            </w:r>
          </w:p>
        </w:tc>
        <w:tc>
          <w:tcPr>
            <w:tcW w:w="935"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唐财采购竞争性磋商-202</w:t>
            </w:r>
            <w:r>
              <w:rPr>
                <w:rFonts w:hint="eastAsia" w:ascii="仿宋" w:hAnsi="仿宋" w:cs="仿宋"/>
                <w:color w:val="333333"/>
                <w:kern w:val="0"/>
                <w:sz w:val="28"/>
                <w:szCs w:val="28"/>
                <w:lang w:val="en-US" w:eastAsia="zh-CN" w:bidi="ar"/>
              </w:rPr>
              <w:t>4</w:t>
            </w:r>
            <w:r>
              <w:rPr>
                <w:rFonts w:hint="eastAsia" w:ascii="仿宋" w:hAnsi="仿宋" w:eastAsia="仿宋" w:cs="仿宋"/>
                <w:color w:val="333333"/>
                <w:kern w:val="0"/>
                <w:sz w:val="28"/>
                <w:szCs w:val="28"/>
                <w:lang w:val="en-US" w:eastAsia="zh-CN" w:bidi="ar"/>
              </w:rPr>
              <w:t>-</w:t>
            </w:r>
            <w:r>
              <w:rPr>
                <w:rFonts w:hint="eastAsia" w:ascii="仿宋" w:hAnsi="仿宋" w:cs="仿宋"/>
                <w:color w:val="333333"/>
                <w:kern w:val="0"/>
                <w:sz w:val="28"/>
                <w:szCs w:val="28"/>
                <w:lang w:val="en-US" w:eastAsia="zh-CN" w:bidi="ar"/>
              </w:rPr>
              <w:t>12</w:t>
            </w:r>
            <w:r>
              <w:rPr>
                <w:rFonts w:hint="eastAsia" w:ascii="仿宋" w:hAnsi="仿宋" w:eastAsia="仿宋" w:cs="仿宋"/>
                <w:color w:val="333333"/>
                <w:kern w:val="0"/>
                <w:sz w:val="28"/>
                <w:szCs w:val="28"/>
                <w:lang w:val="en-US" w:eastAsia="zh-CN" w:bidi="ar"/>
              </w:rPr>
              <w:t>-1</w:t>
            </w:r>
          </w:p>
        </w:tc>
        <w:tc>
          <w:tcPr>
            <w:tcW w:w="1141"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唐河县惠兴钢构厂院内挡土墙及绿化项目</w:t>
            </w:r>
          </w:p>
        </w:tc>
        <w:tc>
          <w:tcPr>
            <w:tcW w:w="585"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default" w:ascii="仿宋" w:hAnsi="仿宋" w:eastAsia="仿宋" w:cs="仿宋"/>
                <w:color w:val="333333"/>
                <w:sz w:val="28"/>
                <w:szCs w:val="28"/>
                <w:lang w:val="en-US"/>
              </w:rPr>
            </w:pPr>
            <w:r>
              <w:rPr>
                <w:rFonts w:hint="eastAsia" w:ascii="仿宋" w:hAnsi="仿宋" w:cs="仿宋"/>
                <w:color w:val="333333"/>
                <w:kern w:val="0"/>
                <w:sz w:val="28"/>
                <w:szCs w:val="28"/>
                <w:lang w:val="en-US" w:eastAsia="zh-CN" w:bidi="ar"/>
              </w:rPr>
              <w:t>2055291.37</w:t>
            </w:r>
          </w:p>
        </w:tc>
        <w:tc>
          <w:tcPr>
            <w:tcW w:w="703"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default" w:ascii="仿宋" w:hAnsi="仿宋" w:eastAsia="仿宋" w:cs="仿宋"/>
                <w:color w:val="333333"/>
                <w:sz w:val="28"/>
                <w:szCs w:val="28"/>
                <w:lang w:val="en-US"/>
              </w:rPr>
            </w:pPr>
            <w:r>
              <w:rPr>
                <w:rFonts w:hint="eastAsia" w:ascii="仿宋" w:hAnsi="仿宋" w:cs="仿宋"/>
                <w:color w:val="333333"/>
                <w:kern w:val="0"/>
                <w:sz w:val="28"/>
                <w:szCs w:val="28"/>
                <w:lang w:val="en-US" w:eastAsia="zh-CN" w:bidi="ar"/>
              </w:rPr>
              <w:t>2055291.37</w:t>
            </w:r>
          </w:p>
        </w:tc>
        <w:tc>
          <w:tcPr>
            <w:tcW w:w="670"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eastAsia" w:ascii="仿宋" w:hAnsi="仿宋" w:eastAsia="仿宋" w:cs="仿宋"/>
                <w:color w:val="333333"/>
                <w:sz w:val="28"/>
                <w:szCs w:val="28"/>
              </w:rPr>
            </w:pPr>
            <w:r>
              <w:rPr>
                <w:rFonts w:hint="eastAsia" w:ascii="仿宋" w:hAnsi="仿宋" w:eastAsia="仿宋" w:cs="仿宋"/>
                <w:color w:val="333333"/>
                <w:kern w:val="0"/>
                <w:sz w:val="28"/>
                <w:szCs w:val="28"/>
                <w:lang w:val="en-US" w:eastAsia="zh-CN" w:bidi="ar"/>
              </w:rPr>
              <w:t xml:space="preserve">是 </w:t>
            </w:r>
          </w:p>
        </w:tc>
        <w:tc>
          <w:tcPr>
            <w:tcW w:w="762" w:type="pct"/>
            <w:shd w:val="clear" w:color="auto" w:fill="auto"/>
            <w:vAlign w:val="center"/>
          </w:tcPr>
          <w:p>
            <w:pPr>
              <w:keepNext w:val="0"/>
              <w:keepLines w:val="0"/>
              <w:pageBreakBefore w:val="0"/>
              <w:widowControl/>
              <w:suppressLineNumbers w:val="0"/>
              <w:kinsoku/>
              <w:wordWrap w:val="0"/>
              <w:overflowPunct/>
              <w:topLinePunct w:val="0"/>
              <w:autoSpaceDE w:val="0"/>
              <w:autoSpaceDN w:val="0"/>
              <w:bidi w:val="0"/>
              <w:adjustRightInd/>
              <w:snapToGrid/>
              <w:spacing w:line="240" w:lineRule="auto"/>
              <w:jc w:val="center"/>
              <w:textAlignment w:val="auto"/>
              <w:rPr>
                <w:rFonts w:hint="default" w:ascii="仿宋" w:hAnsi="仿宋" w:eastAsia="仿宋" w:cs="仿宋"/>
                <w:color w:val="333333"/>
                <w:sz w:val="28"/>
                <w:szCs w:val="28"/>
                <w:lang w:val="en-US"/>
              </w:rPr>
            </w:pPr>
            <w:r>
              <w:rPr>
                <w:rFonts w:hint="eastAsia" w:ascii="仿宋" w:hAnsi="仿宋" w:cs="仿宋"/>
                <w:color w:val="333333"/>
                <w:kern w:val="0"/>
                <w:sz w:val="28"/>
                <w:szCs w:val="28"/>
                <w:lang w:val="en-US" w:eastAsia="zh-CN" w:bidi="ar"/>
              </w:rPr>
              <w:t>2055291.37</w:t>
            </w:r>
          </w:p>
        </w:tc>
      </w:tr>
    </w:tbl>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5、采购需求（包括但不限于标的的名称、数量、简要技术需求或服务要求等）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（1）项目名称：唐河县惠兴钢构厂院内挡土墙及绿化项目</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（2）项目实施地点：唐河城区内</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（3）资金来源：财政资金，已落实；</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4）采购内容：唐河县惠兴钢构厂院内挡土墙及绿化项目包括绿化工程和挡土墙工程，其中绿化工程分场地平整及种植土换填、色带佛甲草种植及草皮铺种、乔木及灌木种植等；挡土墙工程分挖方、地基换填、石挡墙砌筑、成品铸铁栅栏安装及石挡墙上部围墙砌筑等。详见本项目采购文件、工程量清单及施工图纸范围内的所有工程施工（以清单为准）。</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（5）标段划分：本项目划分一个标段；</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（6）质量要求：合格；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6、合同履行期限：合同签订后</w:t>
      </w:r>
      <w:r>
        <w:rPr>
          <w:rFonts w:hint="eastAsia" w:ascii="仿宋" w:hAnsi="仿宋" w:eastAsia="仿宋" w:cs="仿宋"/>
          <w:color w:val="auto"/>
          <w:sz w:val="28"/>
          <w:szCs w:val="36"/>
          <w:lang w:val="en-US" w:eastAsia="zh-CN"/>
        </w:rPr>
        <w:t>90</w:t>
      </w:r>
      <w:r>
        <w:rPr>
          <w:rFonts w:hint="eastAsia" w:ascii="仿宋" w:hAnsi="仿宋" w:eastAsia="仿宋" w:cs="仿宋"/>
          <w:color w:val="auto"/>
          <w:sz w:val="28"/>
          <w:szCs w:val="36"/>
        </w:rPr>
        <w:t xml:space="preserve">日历天内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7、本项目是否接受联合体投标：否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8、是否接受进口产品：否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9、是否专门面向中小企业：是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二、申请人资格要求：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1、满足《中华人民共和国政府采购法》第二十二条规定；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2、落实政府采购政策满足的资格要求：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本项目执行扶持中小企业、监狱企业和残疾人福利性单位发展的政策。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3、本项目的特定资格要求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3.1供应商具有独立法人资格，具有有效的营业执照、税务登记证、组织机构代码证（或三证合一）；</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3.2供应商须具有</w:t>
      </w:r>
      <w:r>
        <w:rPr>
          <w:rFonts w:hint="eastAsia" w:ascii="仿宋" w:hAnsi="仿宋" w:eastAsia="仿宋" w:cs="仿宋"/>
          <w:color w:val="auto"/>
          <w:sz w:val="28"/>
          <w:szCs w:val="36"/>
          <w:lang w:val="en-US" w:eastAsia="zh-CN"/>
        </w:rPr>
        <w:t>市政公用</w:t>
      </w:r>
      <w:r>
        <w:rPr>
          <w:rFonts w:hint="eastAsia" w:ascii="仿宋" w:hAnsi="仿宋" w:eastAsia="仿宋" w:cs="仿宋"/>
          <w:color w:val="auto"/>
          <w:sz w:val="28"/>
          <w:szCs w:val="36"/>
        </w:rPr>
        <w:t>工程施工总承包叁级及以上资质等级，且具有有效的安全生产许可证，并在人员、设备、资金等方面具有相应的施工能力；</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3.3拟派项目经理须具备相关专业贰级及以上注册建造师资格证书及有效的安全生产考核合格证，且未担任其他在建工程的项目经理并作出承诺；技术负责人具有相关专业中级及以上工程技术职称；</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3.4参加本次政府采购活动前三年内，在经营活动中没有重大违法犯罪记录；</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3.5财务状况良好，没有处于被责令停业、破产状态，各投标人须提供具有近三年（2020年度、2021年度、2022年度）经审计的财务报告，信誉良好（成立不足三年的企业，从成立之日算起）。</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3.6供应商依法缴纳税收（提供2023年1月1日以来任意</w:t>
      </w:r>
      <w:r>
        <w:rPr>
          <w:rFonts w:hint="eastAsia" w:ascii="仿宋" w:hAnsi="仿宋" w:eastAsia="仿宋" w:cs="仿宋"/>
          <w:color w:val="auto"/>
          <w:sz w:val="28"/>
          <w:szCs w:val="36"/>
          <w:lang w:val="en-US" w:eastAsia="zh-CN"/>
        </w:rPr>
        <w:t>一</w:t>
      </w:r>
      <w:r>
        <w:rPr>
          <w:rFonts w:hint="eastAsia" w:ascii="仿宋" w:hAnsi="仿宋" w:eastAsia="仿宋" w:cs="仿宋"/>
          <w:color w:val="auto"/>
          <w:sz w:val="28"/>
          <w:szCs w:val="36"/>
        </w:rPr>
        <w:t>个月完税证明或缴税凭证）和社会保障资金（提供2023年1月1日以来任意</w:t>
      </w:r>
      <w:r>
        <w:rPr>
          <w:rFonts w:hint="eastAsia" w:ascii="仿宋" w:hAnsi="仿宋" w:eastAsia="仿宋" w:cs="仿宋"/>
          <w:color w:val="auto"/>
          <w:sz w:val="28"/>
          <w:szCs w:val="36"/>
          <w:lang w:val="en-US" w:eastAsia="zh-CN"/>
        </w:rPr>
        <w:t>一</w:t>
      </w:r>
      <w:r>
        <w:rPr>
          <w:rFonts w:hint="eastAsia" w:ascii="仿宋" w:hAnsi="仿宋" w:eastAsia="仿宋" w:cs="仿宋"/>
          <w:color w:val="auto"/>
          <w:sz w:val="28"/>
          <w:szCs w:val="36"/>
        </w:rPr>
        <w:t>个月的社保缴纳凭证或社保缴费记录)。依法免税或不需要缴纳社会保障资金的供应商，应提供相应证明文件。</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3.8本次招标不接受联合体投标，不允许分包和转包。</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3.9满足法律、行政法规及本项目磋商文件规定的其他条件。</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三、获取采购文件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1.时间：202</w:t>
      </w:r>
      <w:r>
        <w:rPr>
          <w:rFonts w:hint="eastAsia" w:ascii="仿宋" w:hAnsi="仿宋" w:eastAsia="仿宋" w:cs="仿宋"/>
          <w:color w:val="auto"/>
          <w:sz w:val="28"/>
          <w:szCs w:val="36"/>
          <w:lang w:val="en-US" w:eastAsia="zh-CN"/>
        </w:rPr>
        <w:t>4</w:t>
      </w:r>
      <w:r>
        <w:rPr>
          <w:rFonts w:hint="eastAsia" w:ascii="仿宋" w:hAnsi="仿宋" w:eastAsia="仿宋" w:cs="仿宋"/>
          <w:color w:val="auto"/>
          <w:sz w:val="28"/>
          <w:szCs w:val="36"/>
        </w:rPr>
        <w:t>年</w:t>
      </w:r>
      <w:r>
        <w:rPr>
          <w:rFonts w:hint="eastAsia" w:ascii="仿宋" w:hAnsi="仿宋" w:eastAsia="仿宋" w:cs="仿宋"/>
          <w:color w:val="auto"/>
          <w:sz w:val="28"/>
          <w:szCs w:val="36"/>
          <w:lang w:val="en-US" w:eastAsia="zh-CN"/>
        </w:rPr>
        <w:t>1</w:t>
      </w:r>
      <w:r>
        <w:rPr>
          <w:rFonts w:hint="eastAsia" w:ascii="仿宋" w:hAnsi="仿宋" w:eastAsia="仿宋" w:cs="仿宋"/>
          <w:color w:val="auto"/>
          <w:sz w:val="28"/>
          <w:szCs w:val="36"/>
        </w:rPr>
        <w:t>月</w:t>
      </w:r>
      <w:r>
        <w:rPr>
          <w:rFonts w:hint="eastAsia" w:ascii="仿宋" w:hAnsi="仿宋" w:eastAsia="仿宋" w:cs="仿宋"/>
          <w:color w:val="auto"/>
          <w:sz w:val="28"/>
          <w:szCs w:val="36"/>
          <w:lang w:val="en-US" w:eastAsia="zh-CN"/>
        </w:rPr>
        <w:t>22</w:t>
      </w:r>
      <w:r>
        <w:rPr>
          <w:rFonts w:hint="eastAsia" w:ascii="仿宋" w:hAnsi="仿宋" w:eastAsia="仿宋" w:cs="仿宋"/>
          <w:color w:val="auto"/>
          <w:sz w:val="28"/>
          <w:szCs w:val="36"/>
        </w:rPr>
        <w:t>日至202</w:t>
      </w:r>
      <w:r>
        <w:rPr>
          <w:rFonts w:hint="eastAsia" w:ascii="仿宋" w:hAnsi="仿宋" w:eastAsia="仿宋" w:cs="仿宋"/>
          <w:color w:val="auto"/>
          <w:sz w:val="28"/>
          <w:szCs w:val="36"/>
          <w:lang w:val="en-US" w:eastAsia="zh-CN"/>
        </w:rPr>
        <w:t>4</w:t>
      </w:r>
      <w:r>
        <w:rPr>
          <w:rFonts w:hint="eastAsia" w:ascii="仿宋" w:hAnsi="仿宋" w:eastAsia="仿宋" w:cs="仿宋"/>
          <w:color w:val="auto"/>
          <w:sz w:val="28"/>
          <w:szCs w:val="36"/>
        </w:rPr>
        <w:t>年</w:t>
      </w:r>
      <w:r>
        <w:rPr>
          <w:rFonts w:hint="eastAsia" w:ascii="仿宋" w:hAnsi="仿宋" w:eastAsia="仿宋" w:cs="仿宋"/>
          <w:color w:val="auto"/>
          <w:sz w:val="28"/>
          <w:szCs w:val="36"/>
          <w:lang w:val="en-US" w:eastAsia="zh-CN"/>
        </w:rPr>
        <w:t>1月29</w:t>
      </w:r>
      <w:r>
        <w:rPr>
          <w:rFonts w:hint="eastAsia" w:ascii="仿宋" w:hAnsi="仿宋" w:eastAsia="仿宋" w:cs="仿宋"/>
          <w:color w:val="auto"/>
          <w:sz w:val="28"/>
          <w:szCs w:val="36"/>
        </w:rPr>
        <w:t>日，每天上午09:</w:t>
      </w:r>
      <w:r>
        <w:rPr>
          <w:rFonts w:hint="eastAsia" w:ascii="仿宋" w:hAnsi="仿宋" w:eastAsia="仿宋" w:cs="仿宋"/>
          <w:color w:val="auto"/>
          <w:sz w:val="28"/>
          <w:szCs w:val="36"/>
          <w:lang w:val="en-US" w:eastAsia="zh-CN"/>
        </w:rPr>
        <w:t>3</w:t>
      </w:r>
      <w:r>
        <w:rPr>
          <w:rFonts w:hint="eastAsia" w:ascii="仿宋" w:hAnsi="仿宋" w:eastAsia="仿宋" w:cs="仿宋"/>
          <w:color w:val="auto"/>
          <w:sz w:val="28"/>
          <w:szCs w:val="36"/>
        </w:rPr>
        <w:t xml:space="preserve">0至12:00，下午12:00至17:30（北京时间，法定节假日除外。）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2.地点：唐河县公共资源交易中心网站（http://www.thggzy.cn）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3.方式：网上下载，潜在供应商在南阳市公共资源交易中心办理CA数字证书，在南阳市交易平台诚信库进行登记注册，验证通过后可直接运用CA证书登录唐河县公共资源交易中心网站（www.thggzy.cn）诚信库会员系统进行网上下载采购文件。唐河县公共资源交易平台与南阳市公共资源交易平台诚信库系统互认共享、CA数字证书互认共享。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4.售价：0元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四、响应文件提交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1.截止时间：202</w:t>
      </w:r>
      <w:r>
        <w:rPr>
          <w:rFonts w:hint="eastAsia" w:ascii="仿宋" w:hAnsi="仿宋" w:eastAsia="仿宋" w:cs="仿宋"/>
          <w:color w:val="auto"/>
          <w:sz w:val="28"/>
          <w:szCs w:val="36"/>
          <w:lang w:val="en-US" w:eastAsia="zh-CN"/>
        </w:rPr>
        <w:t>4</w:t>
      </w:r>
      <w:r>
        <w:rPr>
          <w:rFonts w:hint="eastAsia" w:ascii="仿宋" w:hAnsi="仿宋" w:eastAsia="仿宋" w:cs="仿宋"/>
          <w:color w:val="auto"/>
          <w:sz w:val="28"/>
          <w:szCs w:val="36"/>
        </w:rPr>
        <w:t>年</w:t>
      </w:r>
      <w:r>
        <w:rPr>
          <w:rFonts w:hint="eastAsia" w:ascii="仿宋" w:hAnsi="仿宋" w:eastAsia="仿宋" w:cs="仿宋"/>
          <w:color w:val="auto"/>
          <w:sz w:val="28"/>
          <w:szCs w:val="36"/>
          <w:lang w:val="en-US" w:eastAsia="zh-CN"/>
        </w:rPr>
        <w:t>2</w:t>
      </w:r>
      <w:r>
        <w:rPr>
          <w:rFonts w:hint="eastAsia" w:ascii="仿宋" w:hAnsi="仿宋" w:eastAsia="仿宋" w:cs="仿宋"/>
          <w:color w:val="auto"/>
          <w:sz w:val="28"/>
          <w:szCs w:val="36"/>
        </w:rPr>
        <w:t>月</w:t>
      </w:r>
      <w:r>
        <w:rPr>
          <w:rFonts w:hint="eastAsia" w:ascii="仿宋" w:hAnsi="仿宋" w:eastAsia="仿宋" w:cs="仿宋"/>
          <w:color w:val="auto"/>
          <w:sz w:val="28"/>
          <w:szCs w:val="36"/>
          <w:lang w:val="en-US" w:eastAsia="zh-CN"/>
        </w:rPr>
        <w:t>5</w:t>
      </w:r>
      <w:r>
        <w:rPr>
          <w:rFonts w:hint="eastAsia" w:ascii="仿宋" w:hAnsi="仿宋" w:eastAsia="仿宋" w:cs="仿宋"/>
          <w:color w:val="auto"/>
          <w:sz w:val="28"/>
          <w:szCs w:val="36"/>
        </w:rPr>
        <w:t xml:space="preserve">日09时30分（北京时间）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2.地点：唐河县公共资源交易中心网站，加密版响应文件应在磋商文件规定的开标截止时间前上传至交易系统，逾期上传交易系统或未上传成功的电子投标文件视为放弃本次投标。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五、响应文件开启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1.时间：202</w:t>
      </w:r>
      <w:r>
        <w:rPr>
          <w:rFonts w:hint="eastAsia" w:ascii="仿宋" w:hAnsi="仿宋" w:eastAsia="仿宋" w:cs="仿宋"/>
          <w:color w:val="auto"/>
          <w:sz w:val="28"/>
          <w:szCs w:val="36"/>
          <w:lang w:val="en-US" w:eastAsia="zh-CN"/>
        </w:rPr>
        <w:t>4</w:t>
      </w:r>
      <w:r>
        <w:rPr>
          <w:rFonts w:hint="eastAsia" w:ascii="仿宋" w:hAnsi="仿宋" w:eastAsia="仿宋" w:cs="仿宋"/>
          <w:color w:val="auto"/>
          <w:sz w:val="28"/>
          <w:szCs w:val="36"/>
        </w:rPr>
        <w:t>年</w:t>
      </w:r>
      <w:r>
        <w:rPr>
          <w:rFonts w:hint="eastAsia" w:ascii="仿宋" w:hAnsi="仿宋" w:eastAsia="仿宋" w:cs="仿宋"/>
          <w:color w:val="auto"/>
          <w:sz w:val="28"/>
          <w:szCs w:val="36"/>
          <w:lang w:val="en-US" w:eastAsia="zh-CN"/>
        </w:rPr>
        <w:t>2</w:t>
      </w:r>
      <w:r>
        <w:rPr>
          <w:rFonts w:hint="eastAsia" w:ascii="仿宋" w:hAnsi="仿宋" w:eastAsia="仿宋" w:cs="仿宋"/>
          <w:color w:val="auto"/>
          <w:sz w:val="28"/>
          <w:szCs w:val="36"/>
        </w:rPr>
        <w:t>月</w:t>
      </w:r>
      <w:r>
        <w:rPr>
          <w:rFonts w:hint="eastAsia" w:ascii="仿宋" w:hAnsi="仿宋" w:eastAsia="仿宋" w:cs="仿宋"/>
          <w:color w:val="auto"/>
          <w:sz w:val="28"/>
          <w:szCs w:val="36"/>
          <w:lang w:val="en-US" w:eastAsia="zh-CN"/>
        </w:rPr>
        <w:t>5</w:t>
      </w:r>
      <w:r>
        <w:rPr>
          <w:rFonts w:hint="eastAsia" w:ascii="仿宋" w:hAnsi="仿宋" w:eastAsia="仿宋" w:cs="仿宋"/>
          <w:color w:val="auto"/>
          <w:sz w:val="28"/>
          <w:szCs w:val="36"/>
        </w:rPr>
        <w:t xml:space="preserve">日09时30分（北京时间）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30分钟内）将被退回响应文件；附件：操作手册在下载中心或办事指南中自行下载，不见面开标大厅地址：唐河县公共资源交易中心网站首页“不见面开标大厅”模块。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六、发布公告的媒介及招标公告期限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本次招标公告在《河南省政府采购网》、《南阳市政府采购网》、《中国招标投标公共服务平台》、《唐河县公共资源交易中心》上发布，招标公告期限为三个工作日 。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七、其他补充事宜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无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2" w:firstLineChars="200"/>
        <w:textAlignment w:val="auto"/>
        <w:rPr>
          <w:rFonts w:hint="eastAsia" w:ascii="仿宋" w:hAnsi="仿宋" w:eastAsia="仿宋" w:cs="仿宋"/>
          <w:b/>
          <w:bCs/>
          <w:color w:val="auto"/>
          <w:sz w:val="28"/>
          <w:szCs w:val="36"/>
        </w:rPr>
      </w:pPr>
      <w:r>
        <w:rPr>
          <w:rFonts w:hint="eastAsia" w:ascii="仿宋" w:hAnsi="仿宋" w:eastAsia="仿宋" w:cs="仿宋"/>
          <w:b/>
          <w:bCs/>
          <w:color w:val="auto"/>
          <w:sz w:val="28"/>
          <w:szCs w:val="36"/>
        </w:rPr>
        <w:t xml:space="preserve">八、凡对本次招标提出询问，请按照以下方式联系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1. 采购人信息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名称：唐河县自然资源局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地址：唐河县凤山路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联系人：</w:t>
      </w:r>
      <w:r>
        <w:rPr>
          <w:rFonts w:hint="eastAsia" w:ascii="仿宋" w:hAnsi="仿宋" w:eastAsia="仿宋" w:cs="仿宋"/>
          <w:color w:val="auto"/>
          <w:sz w:val="28"/>
          <w:szCs w:val="36"/>
          <w:lang w:val="en-US" w:eastAsia="zh-CN"/>
        </w:rPr>
        <w:t>陈先生</w:t>
      </w:r>
      <w:r>
        <w:rPr>
          <w:rFonts w:hint="eastAsia" w:ascii="仿宋" w:hAnsi="仿宋" w:eastAsia="仿宋" w:cs="仿宋"/>
          <w:color w:val="auto"/>
          <w:sz w:val="28"/>
          <w:szCs w:val="36"/>
        </w:rPr>
        <w:t xml:space="preserve">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联系方式： 18203899588</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2.采购代理机构信息（如有）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名称：唐河县龙建工程管理有限公司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地址：唐河县文峰街道飞凤路飞凤游园管理楼二楼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联系人：</w:t>
      </w:r>
      <w:r>
        <w:rPr>
          <w:rFonts w:hint="eastAsia" w:ascii="仿宋" w:hAnsi="仿宋" w:eastAsia="仿宋" w:cs="仿宋"/>
          <w:color w:val="auto"/>
          <w:sz w:val="28"/>
          <w:szCs w:val="36"/>
          <w:lang w:val="en-US" w:eastAsia="zh-CN"/>
        </w:rPr>
        <w:t>李女士</w:t>
      </w:r>
      <w:r>
        <w:rPr>
          <w:rFonts w:hint="eastAsia" w:ascii="仿宋" w:hAnsi="仿宋" w:eastAsia="仿宋" w:cs="仿宋"/>
          <w:color w:val="auto"/>
          <w:sz w:val="28"/>
          <w:szCs w:val="36"/>
        </w:rPr>
        <w:t xml:space="preserve">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联系方式：0377-60888961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3.项目联系方式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项目联系人：</w:t>
      </w:r>
      <w:r>
        <w:rPr>
          <w:rFonts w:hint="eastAsia" w:ascii="仿宋" w:hAnsi="仿宋" w:eastAsia="仿宋" w:cs="仿宋"/>
          <w:color w:val="auto"/>
          <w:sz w:val="28"/>
          <w:szCs w:val="36"/>
          <w:lang w:val="en-US" w:eastAsia="zh-CN"/>
        </w:rPr>
        <w:t>李女士</w:t>
      </w:r>
      <w:r>
        <w:rPr>
          <w:rFonts w:hint="eastAsia" w:ascii="仿宋" w:hAnsi="仿宋" w:eastAsia="仿宋" w:cs="仿宋"/>
          <w:color w:val="auto"/>
          <w:sz w:val="28"/>
          <w:szCs w:val="36"/>
        </w:rPr>
        <w:t xml:space="preserve"> </w:t>
      </w:r>
    </w:p>
    <w:p>
      <w:pPr>
        <w:pStyle w:val="37"/>
        <w:keepNext w:val="0"/>
        <w:keepLines w:val="0"/>
        <w:pageBreakBefore w:val="0"/>
        <w:widowControl/>
        <w:kinsoku/>
        <w:wordWrap/>
        <w:overflowPunct/>
        <w:topLinePunct w:val="0"/>
        <w:autoSpaceDE w:val="0"/>
        <w:autoSpaceDN w:val="0"/>
        <w:bidi w:val="0"/>
        <w:adjustRightInd/>
        <w:snapToGrid/>
        <w:spacing w:after="0" w:line="500" w:lineRule="exact"/>
        <w:ind w:firstLine="560" w:firstLineChars="200"/>
        <w:textAlignment w:val="auto"/>
        <w:rPr>
          <w:rFonts w:hint="eastAsia" w:ascii="仿宋" w:hAnsi="仿宋" w:eastAsia="仿宋" w:cs="仿宋"/>
          <w:color w:val="auto"/>
          <w:sz w:val="28"/>
          <w:szCs w:val="36"/>
        </w:rPr>
      </w:pPr>
      <w:r>
        <w:rPr>
          <w:rFonts w:hint="eastAsia" w:ascii="仿宋" w:hAnsi="仿宋" w:eastAsia="仿宋" w:cs="仿宋"/>
          <w:color w:val="auto"/>
          <w:sz w:val="28"/>
          <w:szCs w:val="36"/>
        </w:rPr>
        <w:t xml:space="preserve">联系方式：18736629980 </w:t>
      </w:r>
    </w:p>
    <w:p>
      <w:pPr>
        <w:pStyle w:val="37"/>
        <w:rPr>
          <w:rFonts w:hint="eastAsia"/>
          <w:color w:val="auto"/>
          <w:sz w:val="28"/>
          <w:szCs w:val="36"/>
          <w:lang w:val="en-US" w:eastAsia="zh-CN"/>
        </w:rPr>
      </w:pPr>
    </w:p>
    <w:p>
      <w:pPr>
        <w:pStyle w:val="2"/>
        <w:jc w:val="both"/>
        <w:outlineLvl w:val="0"/>
        <w:rPr>
          <w:rFonts w:hint="eastAsia"/>
          <w:color w:val="auto"/>
        </w:rPr>
      </w:pPr>
      <w:bookmarkStart w:id="7" w:name="_Toc32681"/>
      <w:bookmarkStart w:id="8" w:name="_Toc23066"/>
      <w:bookmarkStart w:id="9" w:name="_Toc25278"/>
    </w:p>
    <w:p>
      <w:pPr>
        <w:pStyle w:val="2"/>
        <w:jc w:val="center"/>
        <w:outlineLvl w:val="0"/>
        <w:rPr>
          <w:rFonts w:hint="eastAsia"/>
          <w:color w:val="auto"/>
        </w:rPr>
      </w:pPr>
    </w:p>
    <w:p>
      <w:pPr>
        <w:pStyle w:val="2"/>
        <w:jc w:val="center"/>
        <w:outlineLvl w:val="0"/>
        <w:rPr>
          <w:rFonts w:hint="eastAsia"/>
          <w:color w:val="auto"/>
        </w:rPr>
      </w:pPr>
      <w:r>
        <w:rPr>
          <w:rFonts w:hint="eastAsia"/>
          <w:color w:val="auto"/>
        </w:rPr>
        <w:t>第二部分</w:t>
      </w:r>
      <w:r>
        <w:rPr>
          <w:rFonts w:hint="eastAsia"/>
          <w:color w:val="auto"/>
        </w:rPr>
        <w:tab/>
      </w:r>
      <w:r>
        <w:rPr>
          <w:rFonts w:hint="eastAsia"/>
          <w:color w:val="auto"/>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20"/>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唐河县惠兴钢构厂院内挡土墙及绿化项目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w:t>
            </w:r>
          </w:p>
        </w:tc>
        <w:tc>
          <w:tcPr>
            <w:tcW w:w="6599"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名称：唐河县自然资源局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地址：唐河县凤山路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联系人：陈先生 </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联系方式：18203899588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0377-60888961</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李女士</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18736629980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合同履行期限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90</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《河南省政府采购网》、《南阳市政府采购网》、《中国招标投标公共服务平台》</w:t>
            </w:r>
            <w:r>
              <w:rPr>
                <w:rFonts w:hint="eastAsia" w:ascii="仿宋" w:hAnsi="仿宋" w:cs="仿宋"/>
                <w:color w:val="auto"/>
                <w:sz w:val="28"/>
                <w:szCs w:val="28"/>
                <w:lang w:val="en-US" w:eastAsia="zh-CN"/>
              </w:rPr>
              <w:t>和</w:t>
            </w:r>
            <w:r>
              <w:rPr>
                <w:rFonts w:hint="eastAsia" w:ascii="仿宋" w:hAnsi="仿宋" w:cs="仿宋"/>
                <w:color w:val="auto"/>
                <w:sz w:val="28"/>
                <w:szCs w:val="28"/>
                <w:lang w:eastAsia="zh-CN"/>
              </w:rPr>
              <w:t>《唐河县公共资源交易中心》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仿宋" w:hAnsi="仿宋" w:cs="仿宋"/>
                <w:color w:val="auto"/>
                <w:sz w:val="28"/>
                <w:szCs w:val="28"/>
                <w:lang w:val="en-US" w:eastAsia="zh-CN"/>
              </w:rPr>
              <w:t>2055291.37元</w:t>
            </w:r>
          </w:p>
          <w:p>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贰佰零伍万伍仟贰佰玖拾壹元叁角柒分</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w:t>
            </w:r>
            <w:r>
              <w:rPr>
                <w:rFonts w:hint="eastAsia" w:ascii="仿宋" w:hAnsi="仿宋" w:cs="仿宋"/>
                <w:color w:val="auto"/>
                <w:sz w:val="28"/>
                <w:szCs w:val="28"/>
                <w:lang w:val="en-US" w:eastAsia="zh-CN"/>
              </w:rPr>
              <w:t>2020</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1"/>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jc w:val="both"/>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是否采用电子招投标</w:t>
            </w:r>
          </w:p>
        </w:tc>
        <w:tc>
          <w:tcPr>
            <w:tcW w:w="6599" w:type="dxa"/>
            <w:vAlign w:val="center"/>
          </w:tcPr>
          <w:p>
            <w:pPr>
              <w:numPr>
                <w:ilvl w:val="0"/>
                <w:numId w:val="0"/>
              </w:numPr>
              <w:spacing w:line="360" w:lineRule="auto"/>
              <w:ind w:right="0" w:rightChars="0"/>
              <w:jc w:val="both"/>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是，本项目实行电子招投标，供应商需编制电子响应文件，并按电子响应文件递交要求上传电子响应文件。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5</w:t>
            </w:r>
            <w:r>
              <w:rPr>
                <w:rFonts w:hint="eastAsia" w:ascii="仿宋" w:hAnsi="仿宋" w:eastAsia="仿宋" w:cs="仿宋"/>
                <w:color w:val="auto"/>
                <w:sz w:val="28"/>
                <w:szCs w:val="28"/>
              </w:rPr>
              <w:t xml:space="preserve">人组成；采购人1人，专家 </w:t>
            </w:r>
            <w:r>
              <w:rPr>
                <w:rFonts w:hint="eastAsia" w:ascii="仿宋" w:hAnsi="仿宋" w:cs="仿宋"/>
                <w:color w:val="auto"/>
                <w:sz w:val="28"/>
                <w:szCs w:val="28"/>
                <w:lang w:val="en-US" w:eastAsia="zh-CN"/>
              </w:rPr>
              <w:t>4</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cs="仿宋"/>
                <w:color w:val="auto"/>
                <w:sz w:val="28"/>
                <w:szCs w:val="28"/>
                <w:lang w:val="en-US" w:eastAsia="zh-CN"/>
              </w:rPr>
              <w:t>预</w:t>
            </w:r>
            <w:r>
              <w:rPr>
                <w:rFonts w:hint="eastAsia" w:ascii="仿宋" w:hAnsi="仿宋" w:eastAsia="仿宋" w:cs="仿宋"/>
                <w:color w:val="auto"/>
                <w:sz w:val="28"/>
                <w:szCs w:val="28"/>
              </w:rPr>
              <w:t xml:space="preserve">付合同总价的 30 %，完成工程量清单 80 %工作量支付至合同总价的 70 %，竣工验收合格后支付至结算总价的 </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numPr>
                <w:ilvl w:val="0"/>
                <w:numId w:val="2"/>
              </w:num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供应商代表持本单位CA数字证书需提前登录不见面开标系统。</w:t>
            </w:r>
          </w:p>
          <w:p>
            <w:pPr>
              <w:numPr>
                <w:ilvl w:val="0"/>
                <w:numId w:val="0"/>
              </w:numPr>
              <w:spacing w:line="360" w:lineRule="auto"/>
              <w:ind w:right="0" w:rightChars="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3"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w:t>
            </w:r>
            <w:r>
              <w:rPr>
                <w:rFonts w:hint="eastAsia"/>
                <w:color w:val="auto"/>
                <w:sz w:val="28"/>
                <w:szCs w:val="36"/>
                <w:lang w:val="en-US" w:eastAsia="zh-CN"/>
              </w:rPr>
              <w:t>需提前登录不见面开标系统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3"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14930"/>
            <w:bookmarkStart w:id="12" w:name="_Toc4198"/>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ascii="宋体" w:hAnsi="宋体" w:eastAsia="宋体" w:cs="宋体"/>
          <w:color w:val="auto"/>
          <w:sz w:val="24"/>
          <w:szCs w:val="24"/>
        </w:rPr>
      </w:pPr>
      <w:r>
        <w:rPr>
          <w:rFonts w:hint="eastAsia"/>
          <w:color w:val="auto"/>
        </w:rPr>
        <w:br w:type="page"/>
      </w:r>
    </w:p>
    <w:p>
      <w:pPr>
        <w:pStyle w:val="3"/>
        <w:bidi w:val="0"/>
        <w:jc w:val="center"/>
        <w:rPr>
          <w:rFonts w:hint="eastAsia"/>
          <w:color w:val="000000" w:themeColor="text1"/>
          <w:sz w:val="32"/>
          <w:szCs w:val="32"/>
          <w:lang w:val="en-US" w:eastAsia="zh-CN"/>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唐河县惠兴钢构厂院内挡土墙及绿化项目</w:t>
      </w:r>
    </w:p>
    <w:p>
      <w:pPr>
        <w:pStyle w:val="3"/>
        <w:bidi w:val="0"/>
        <w:jc w:val="center"/>
        <w:rPr>
          <w:rFonts w:hint="eastAsia"/>
          <w:color w:val="000000" w:themeColor="text1"/>
          <w:sz w:val="32"/>
          <w:szCs w:val="32"/>
          <w:lang w:val="en-US" w:eastAsia="zh-CN"/>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情况说明及采购人要求</w:t>
      </w:r>
    </w:p>
    <w:p>
      <w:pPr>
        <w:rPr>
          <w:rFonts w:hint="eastAsia"/>
          <w:color w:val="000000" w:themeColor="text1"/>
          <w:lang w:val="en-US" w:eastAsia="zh-CN"/>
          <w14:textFill>
            <w14:solidFill>
              <w14:schemeClr w14:val="tx1"/>
            </w14:solidFill>
          </w14:textFill>
        </w:rPr>
      </w:pPr>
    </w:p>
    <w:p>
      <w:pPr>
        <w:pStyle w:val="18"/>
        <w:ind w:firstLine="560" w:firstLineChars="200"/>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我单位就唐河县惠兴钢构厂院内挡土墙及绿化项目进行竞争性磋商采购，</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该项目共分为一个标段：总预算金额：2055291.37元。</w:t>
      </w:r>
    </w:p>
    <w:p>
      <w:pPr>
        <w:pStyle w:val="18"/>
        <w:tabs>
          <w:tab w:val="left" w:pos="1115"/>
        </w:tabs>
        <w:ind w:firstLine="560" w:firstLineChars="200"/>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参数及需求如下唐河县惠兴钢构厂院内挡土墙及绿化项目包括绿化工程和挡土墙工程，其中绿化工程分场地平整及种植土换填、色带佛甲草种植及草皮铺种、乔木及灌木种植等；挡土墙工程分挖方、地基换填、石挡墙砌筑、成品铸铁栅栏安装及石挡墙上部围墙砌筑等。详见本项目采购文件、工程量清单及施工图纸范围内的所有工程施工（以清单为准）。</w:t>
      </w:r>
    </w:p>
    <w:p>
      <w:pPr>
        <w:pStyle w:val="18"/>
        <w:ind w:firstLine="560" w:firstLineChars="200"/>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本项目的特定资格要求：</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1.供应商具有独立法人资格，具有有效的营业执照、税务登记证、组织机构代码证（或三证合一）；</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2.供应商须具有市政公用工程施工总承包叁级及以上资质等级，且具有有效的安全生产许可证，并在人员、设备、资金等方面具有相应的施工能力；</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3.拟派项目经理须具备市政公用工程专业贰级及以上注册建造师资格证书及有效的安全生产考核合格证，且未担任其他在建工程的项目经理并作出承诺；技术负责人具有相关专业中级及以上工程技术职称；</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4.参加本次政府采购活动前三年内，在经营活动中没有重大违法犯罪记录；</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5.财务状况良好，没有处于被责令停业、破产状态，各投标人须提供具有近三年（2020年度、2021年度、2022年度）经审计的财务报告，信誉良好（成立不足三年的企业，从成立之日算起）。</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6.供应商依法缴纳税收（提供2023年1月1日以来任意</w:t>
      </w:r>
      <w:r>
        <w:rPr>
          <w:rFonts w:hint="eastAsia" w:ascii="仿宋" w:hAnsi="仿宋" w:cs="仿宋"/>
          <w:b w:val="0"/>
          <w:bCs w:val="0"/>
          <w:color w:val="auto"/>
          <w:sz w:val="28"/>
          <w:szCs w:val="28"/>
          <w:lang w:val="en-US" w:eastAsia="zh-CN"/>
        </w:rPr>
        <w:t>一</w:t>
      </w:r>
      <w:r>
        <w:rPr>
          <w:rFonts w:hint="eastAsia" w:ascii="仿宋" w:hAnsi="仿宋" w:eastAsia="仿宋" w:cs="仿宋"/>
          <w:b w:val="0"/>
          <w:bCs w:val="0"/>
          <w:color w:val="auto"/>
          <w:sz w:val="28"/>
          <w:szCs w:val="28"/>
          <w:lang w:val="en-US" w:eastAsia="zh-CN"/>
        </w:rPr>
        <w:t>个月完税证明或缴税凭证）和社会保障资金（提供2023年1月1日以来任意</w:t>
      </w:r>
      <w:r>
        <w:rPr>
          <w:rFonts w:hint="eastAsia" w:ascii="仿宋" w:hAnsi="仿宋" w:cs="仿宋"/>
          <w:b w:val="0"/>
          <w:bCs w:val="0"/>
          <w:color w:val="auto"/>
          <w:sz w:val="28"/>
          <w:szCs w:val="28"/>
          <w:lang w:val="en-US" w:eastAsia="zh-CN"/>
        </w:rPr>
        <w:t>一</w:t>
      </w:r>
      <w:r>
        <w:rPr>
          <w:rFonts w:hint="eastAsia" w:ascii="仿宋" w:hAnsi="仿宋" w:eastAsia="仿宋" w:cs="仿宋"/>
          <w:b w:val="0"/>
          <w:bCs w:val="0"/>
          <w:color w:val="auto"/>
          <w:sz w:val="28"/>
          <w:szCs w:val="28"/>
          <w:lang w:val="en-US" w:eastAsia="zh-CN"/>
        </w:rPr>
        <w:t>个月的社保缴纳凭证或社保缴费记录)。依法免税或不需要缴纳社会保障资金的供应商，应提供相应证明文件。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8.本次招标不接受联合体投标，不允许分包和转包。</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8.本次招标不接受联合体投标，不允许分包和转包。</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9.满足法律、行政法规及本项目磋商文件规定的其他条件。</w:t>
      </w:r>
    </w:p>
    <w:p>
      <w:pPr>
        <w:rPr>
          <w:rFonts w:hint="eastAsia"/>
          <w:color w:val="FF0000"/>
          <w:lang w:val="en-US" w:eastAsia="zh-CN"/>
        </w:rPr>
      </w:pPr>
    </w:p>
    <w:p>
      <w:pPr>
        <w:jc w:val="left"/>
        <w:rPr>
          <w:rFonts w:hint="default" w:ascii="仿宋" w:hAnsi="仿宋" w:cs="仿宋"/>
          <w:b/>
          <w:bCs/>
          <w:color w:val="000000" w:themeColor="text1"/>
          <w:sz w:val="28"/>
          <w:szCs w:val="28"/>
          <w:lang w:val="en-US" w:eastAsia="zh-CN"/>
          <w14:textFill>
            <w14:solidFill>
              <w14:schemeClr w14:val="tx1"/>
            </w14:solidFill>
          </w14:textFill>
        </w:rPr>
      </w:pPr>
      <w:r>
        <w:rPr>
          <w:rFonts w:hint="eastAsia" w:ascii="仿宋" w:hAnsi="仿宋" w:cs="仿宋"/>
          <w:b/>
          <w:bCs/>
          <w:color w:val="000000" w:themeColor="text1"/>
          <w:sz w:val="28"/>
          <w:szCs w:val="28"/>
          <w:lang w:val="en-US" w:eastAsia="zh-CN"/>
          <w14:textFill>
            <w14:solidFill>
              <w14:schemeClr w14:val="tx1"/>
            </w14:solidFill>
          </w14:textFill>
        </w:rPr>
        <w:t>工程量清单详见系统附件，请自行下载。</w:t>
      </w:r>
    </w:p>
    <w:p>
      <w:pPr>
        <w:pStyle w:val="2"/>
        <w:jc w:val="both"/>
        <w:outlineLvl w:val="0"/>
        <w:rPr>
          <w:rFonts w:hint="eastAsia" w:eastAsia="仿宋"/>
          <w:color w:val="auto"/>
          <w:lang w:eastAsia="zh-CN"/>
        </w:rPr>
      </w:pPr>
      <w:bookmarkStart w:id="13" w:name="_Toc11661"/>
    </w:p>
    <w:p>
      <w:pPr>
        <w:pStyle w:val="37"/>
        <w:rPr>
          <w:rFonts w:hint="eastAsia" w:eastAsia="仿宋"/>
          <w:color w:val="auto"/>
          <w:lang w:eastAsia="zh-CN"/>
        </w:rPr>
      </w:pPr>
    </w:p>
    <w:p>
      <w:pPr>
        <w:pStyle w:val="37"/>
        <w:rPr>
          <w:rFonts w:hint="eastAsia" w:eastAsia="仿宋"/>
          <w:color w:val="auto"/>
          <w:lang w:eastAsia="zh-CN"/>
        </w:rPr>
      </w:pPr>
    </w:p>
    <w:p>
      <w:pPr>
        <w:pStyle w:val="2"/>
        <w:outlineLvl w:val="0"/>
        <w:rPr>
          <w:rFonts w:hint="eastAsia"/>
          <w:color w:val="auto"/>
        </w:rPr>
      </w:pPr>
    </w:p>
    <w:p>
      <w:pPr>
        <w:pStyle w:val="2"/>
        <w:outlineLvl w:val="0"/>
        <w:rPr>
          <w:rFonts w:hint="eastAsia"/>
          <w:color w:val="auto"/>
        </w:rPr>
      </w:pPr>
      <w:r>
        <w:rPr>
          <w:rFonts w:hint="eastAsia"/>
          <w:color w:val="auto"/>
        </w:rPr>
        <w:t>第三部分</w:t>
      </w:r>
      <w:r>
        <w:rPr>
          <w:rFonts w:hint="eastAsia"/>
          <w:color w:val="auto"/>
        </w:rPr>
        <w:tab/>
      </w:r>
      <w:r>
        <w:rPr>
          <w:rFonts w:hint="eastAsia"/>
          <w:color w:val="auto"/>
        </w:rPr>
        <w:t>供应商须知正文部分</w:t>
      </w:r>
      <w:bookmarkEnd w:id="11"/>
      <w:bookmarkEnd w:id="12"/>
      <w:bookmarkEnd w:id="13"/>
    </w:p>
    <w:p>
      <w:pPr>
        <w:pStyle w:val="3"/>
        <w:rPr>
          <w:rFonts w:hint="eastAsia"/>
          <w:color w:val="auto"/>
        </w:rPr>
      </w:pPr>
      <w:bookmarkStart w:id="14" w:name="一、总则"/>
      <w:bookmarkEnd w:id="14"/>
      <w:bookmarkStart w:id="15" w:name="_Toc21660"/>
      <w:bookmarkStart w:id="16" w:name="_Toc13555"/>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3"/>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 15 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3"/>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3"/>
        <w:rPr>
          <w:rFonts w:hint="eastAsia"/>
          <w:color w:val="auto"/>
        </w:rPr>
      </w:pPr>
      <w:bookmarkStart w:id="19" w:name="四、投标"/>
      <w:bookmarkEnd w:id="19"/>
      <w:bookmarkStart w:id="20" w:name="_Toc22577"/>
      <w:bookmarkStart w:id="21" w:name="_Toc1371"/>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3"/>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w:t>
      </w:r>
      <w:r>
        <w:rPr>
          <w:rFonts w:hint="eastAsia" w:ascii="仿宋" w:hAnsi="仿宋" w:cs="仿宋"/>
          <w:color w:val="auto"/>
          <w:sz w:val="28"/>
          <w:szCs w:val="28"/>
          <w:lang w:val="en-US" w:eastAsia="zh-CN"/>
        </w:rPr>
        <w:t>需</w:t>
      </w:r>
      <w:r>
        <w:rPr>
          <w:rFonts w:hint="eastAsia" w:ascii="仿宋" w:hAnsi="仿宋" w:eastAsia="仿宋" w:cs="仿宋"/>
          <w:color w:val="auto"/>
          <w:sz w:val="28"/>
          <w:szCs w:val="28"/>
          <w:lang w:val="en-US" w:eastAsia="zh-CN"/>
        </w:rPr>
        <w:t>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_bookmark35"/>
      <w:bookmarkEnd w:id="26"/>
      <w:bookmarkStart w:id="27" w:name="5.3_开标异议"/>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④随机抽取参数（K值，如有）。</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⑤采购人、监督人等相关人员在开标记录表上（可进入原评标系统直接打印）签字确认。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⑥采购代理机构宣布开标结束，在评标系统中点击“开标结束”，并进行“采购文件导入”或“控制价文件导入”。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（4）未按规定填写及响应文件字迹模糊、辨认不清或内容不全者；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（2）不见面开标过程中，如供应商准备不到位，造成无法及时解密、网络问题等情况造成开标无法继续的，视为该供应商自动放弃投标（60分钟内），将被退回响应文件。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4"/>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按照《中华人民共和国招标投标法》和《评标委员会评标办法暂行规定》的规定，磋商由依法组建的磋商小组负责。磋商小组由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6"/>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5.3.4</w:t>
      </w:r>
      <w:r>
        <w:rPr>
          <w:rFonts w:hint="eastAsia" w:ascii="仿宋" w:hAnsi="仿宋" w:eastAsia="仿宋" w:cs="仿宋"/>
          <w:color w:val="auto"/>
          <w:sz w:val="28"/>
          <w:szCs w:val="28"/>
        </w:rPr>
        <w:t xml:space="preserve">采购人、监督部门将列席并监督开标的全过程。 </w:t>
      </w:r>
    </w:p>
    <w:p>
      <w:pPr>
        <w:spacing w:line="360" w:lineRule="auto"/>
        <w:rPr>
          <w:rFonts w:hint="eastAsia" w:ascii="仿宋" w:hAnsi="仿宋" w:eastAsia="仿宋" w:cs="仿宋"/>
          <w:color w:val="auto"/>
          <w:sz w:val="28"/>
          <w:szCs w:val="28"/>
        </w:rPr>
      </w:pPr>
      <w:bookmarkStart w:id="29" w:name="5.4磋商程序"/>
      <w:bookmarkEnd w:id="29"/>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35"/>
        <w:keepNext w:val="0"/>
        <w:keepLines w:val="0"/>
        <w:pageBreakBefore w:val="0"/>
        <w:widowControl/>
        <w:kinsoku/>
        <w:wordWrap/>
        <w:overflowPunct/>
        <w:topLinePunct w:val="0"/>
        <w:autoSpaceDE w:val="0"/>
        <w:autoSpaceDN w:val="0"/>
        <w:bidi w:val="0"/>
        <w:adjustRightInd/>
        <w:snapToGrid/>
        <w:spacing w:before="0" w:beforeAutospacing="0" w:after="0" w:afterAutospacing="0"/>
        <w:textAlignment w:val="auto"/>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35"/>
        <w:keepNext w:val="0"/>
        <w:keepLines w:val="0"/>
        <w:pageBreakBefore w:val="0"/>
        <w:widowControl/>
        <w:kinsoku/>
        <w:wordWrap/>
        <w:overflowPunct/>
        <w:topLinePunct w:val="0"/>
        <w:autoSpaceDE w:val="0"/>
        <w:autoSpaceDN w:val="0"/>
        <w:bidi w:val="0"/>
        <w:adjustRightInd/>
        <w:snapToGrid/>
        <w:spacing w:before="0" w:beforeAutospacing="0" w:after="0" w:afterAutospacing="0" w:line="400" w:lineRule="exact"/>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35"/>
        <w:keepNext w:val="0"/>
        <w:keepLines w:val="0"/>
        <w:pageBreakBefore w:val="0"/>
        <w:widowControl/>
        <w:kinsoku/>
        <w:wordWrap/>
        <w:overflowPunct/>
        <w:topLinePunct w:val="0"/>
        <w:autoSpaceDE w:val="0"/>
        <w:autoSpaceDN w:val="0"/>
        <w:bidi w:val="0"/>
        <w:adjustRightInd/>
        <w:snapToGrid/>
        <w:spacing w:beforeAutospacing="0" w:afterAutospacing="0" w:line="400" w:lineRule="exact"/>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35"/>
        <w:keepNext w:val="0"/>
        <w:keepLines w:val="0"/>
        <w:pageBreakBefore w:val="0"/>
        <w:widowControl/>
        <w:kinsoku/>
        <w:wordWrap/>
        <w:overflowPunct/>
        <w:topLinePunct w:val="0"/>
        <w:autoSpaceDE w:val="0"/>
        <w:autoSpaceDN w:val="0"/>
        <w:bidi w:val="0"/>
        <w:adjustRightInd/>
        <w:snapToGrid/>
        <w:spacing w:beforeAutospacing="0" w:afterAutospacing="0" w:line="400" w:lineRule="exact"/>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35"/>
        <w:keepNext w:val="0"/>
        <w:keepLines w:val="0"/>
        <w:pageBreakBefore w:val="0"/>
        <w:widowControl/>
        <w:kinsoku/>
        <w:wordWrap/>
        <w:overflowPunct/>
        <w:topLinePunct w:val="0"/>
        <w:autoSpaceDE w:val="0"/>
        <w:autoSpaceDN w:val="0"/>
        <w:bidi w:val="0"/>
        <w:adjustRightInd/>
        <w:snapToGrid/>
        <w:spacing w:beforeAutospacing="0" w:afterAutospacing="0" w:line="400" w:lineRule="exact"/>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35"/>
        <w:keepNext w:val="0"/>
        <w:keepLines w:val="0"/>
        <w:pageBreakBefore w:val="0"/>
        <w:widowControl/>
        <w:kinsoku/>
        <w:wordWrap/>
        <w:overflowPunct/>
        <w:topLinePunct w:val="0"/>
        <w:autoSpaceDE w:val="0"/>
        <w:autoSpaceDN w:val="0"/>
        <w:bidi w:val="0"/>
        <w:adjustRightInd/>
        <w:snapToGrid/>
        <w:spacing w:beforeAutospacing="0" w:afterAutospacing="0" w:line="400" w:lineRule="exact"/>
        <w:textAlignment w:val="auto"/>
        <w:rPr>
          <w:rFonts w:hint="eastAsia"/>
          <w:color w:val="auto"/>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
        <w:ind w:left="0" w:leftChars="0" w:firstLine="0" w:firstLineChars="0"/>
        <w:rPr>
          <w:rFonts w:hint="eastAsia"/>
          <w:color w:val="auto"/>
          <w:lang w:val="en-US" w:eastAsia="zh-CN"/>
        </w:rPr>
      </w:pPr>
    </w:p>
    <w:p>
      <w:pPr>
        <w:pStyle w:val="3"/>
        <w:rPr>
          <w:rFonts w:hint="eastAsia"/>
          <w:color w:val="auto"/>
          <w:lang w:val="en-US" w:eastAsia="zh-CN"/>
        </w:rPr>
      </w:pPr>
    </w:p>
    <w:p>
      <w:pPr>
        <w:pStyle w:val="3"/>
        <w:rPr>
          <w:rFonts w:hint="eastAsia"/>
          <w:color w:val="auto"/>
          <w:lang w:val="en-US" w:eastAsia="zh-CN"/>
        </w:rPr>
      </w:pPr>
    </w:p>
    <w:p>
      <w:pPr>
        <w:pStyle w:val="3"/>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318"/>
        <w:gridCol w:w="910"/>
        <w:gridCol w:w="143"/>
        <w:gridCol w:w="2281"/>
        <w:gridCol w:w="166"/>
        <w:gridCol w:w="5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5" w:type="pct"/>
            <w:gridSpan w:val="4"/>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100"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3" w:type="pct"/>
            <w:gridSpan w:val="2"/>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8"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8"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3" w:type="pct"/>
            <w:gridSpan w:val="2"/>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highlight w:val="none"/>
                <w:lang w:val="en-US" w:eastAsia="zh-CN"/>
              </w:rPr>
              <w:t>符合第二部分</w:t>
            </w:r>
            <w:r>
              <w:rPr>
                <w:rFonts w:hint="eastAsia"/>
                <w:color w:val="auto"/>
                <w:szCs w:val="21"/>
                <w:highlight w:val="none"/>
              </w:rPr>
              <w:t>“</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3" w:type="pct"/>
            <w:gridSpan w:val="2"/>
            <w:vAlign w:val="center"/>
          </w:tcPr>
          <w:p>
            <w:pPr>
              <w:autoSpaceDE w:val="0"/>
              <w:autoSpaceDN w:val="0"/>
              <w:adjustRightInd w:val="0"/>
              <w:spacing w:line="320" w:lineRule="exact"/>
              <w:rPr>
                <w:color w:val="auto"/>
                <w:szCs w:val="21"/>
                <w:highlight w:val="none"/>
              </w:rPr>
            </w:pPr>
            <w:r>
              <w:rPr>
                <w:rFonts w:hint="eastAsia"/>
                <w:color w:val="auto"/>
                <w:highlight w:val="none"/>
                <w:lang w:val="en-US" w:eastAsia="zh-CN"/>
              </w:rPr>
              <w:t>符合第二部分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3" w:type="pct"/>
            <w:gridSpan w:val="2"/>
            <w:vAlign w:val="center"/>
          </w:tcPr>
          <w:p>
            <w:pPr>
              <w:autoSpaceDE w:val="0"/>
              <w:autoSpaceDN w:val="0"/>
              <w:adjustRightInd w:val="0"/>
              <w:spacing w:line="320" w:lineRule="exact"/>
              <w:rPr>
                <w:rFonts w:hint="eastAsia" w:ascii="宋体" w:hAnsi="宋体" w:eastAsia="仿宋" w:cs="宋体"/>
                <w:color w:val="auto"/>
                <w:kern w:val="0"/>
                <w:szCs w:val="21"/>
                <w:highlight w:val="none"/>
                <w:lang w:eastAsia="zh-CN"/>
              </w:rPr>
            </w:pPr>
            <w:r>
              <w:rPr>
                <w:rFonts w:hint="eastAsia" w:ascii="宋体" w:hAnsi="宋体" w:cs="宋体"/>
                <w:color w:val="auto"/>
                <w:kern w:val="0"/>
                <w:szCs w:val="21"/>
                <w:highlight w:val="none"/>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r>
              <w:rPr>
                <w:rFonts w:hint="eastAsia" w:cs="宋体"/>
                <w:color w:val="auto"/>
                <w:kern w:val="0"/>
                <w:szCs w:val="21"/>
                <w:highlight w:val="none"/>
                <w:lang w:eastAsia="zh-CN"/>
              </w:rPr>
              <w:t>（</w:t>
            </w:r>
            <w:r>
              <w:rPr>
                <w:rFonts w:hint="eastAsia" w:cs="宋体"/>
                <w:color w:val="auto"/>
                <w:kern w:val="0"/>
                <w:szCs w:val="21"/>
                <w:highlight w:val="none"/>
                <w:lang w:val="en-US" w:eastAsia="zh-CN"/>
              </w:rPr>
              <w:t>网页截图上传至诚信库“投标所需材料中”</w:t>
            </w:r>
            <w:r>
              <w:rPr>
                <w:rFonts w:hint="eastAsia" w:cs="宋体"/>
                <w:color w:val="auto"/>
                <w:kern w:val="0"/>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符合第二部分</w:t>
            </w:r>
            <w:r>
              <w:rPr>
                <w:rFonts w:hint="eastAsia"/>
                <w:color w:val="auto"/>
                <w:highlight w:val="none"/>
              </w:rPr>
              <w:t>“</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8"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100"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3" w:type="pct"/>
            <w:gridSpan w:val="2"/>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bookmarkEnd w:id="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6"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249"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762"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6" w:type="pct"/>
            <w:gridSpan w:val="3"/>
            <w:noWrap w:val="0"/>
            <w:vAlign w:val="center"/>
          </w:tcPr>
          <w:p>
            <w:pPr>
              <w:pStyle w:val="9"/>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249" w:type="pct"/>
            <w:gridSpan w:val="3"/>
            <w:noWrap w:val="0"/>
            <w:vAlign w:val="center"/>
          </w:tcPr>
          <w:p>
            <w:pPr>
              <w:pStyle w:val="9"/>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9"/>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762"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6" w:type="pct"/>
            <w:gridSpan w:val="3"/>
            <w:noWrap w:val="0"/>
            <w:vAlign w:val="center"/>
          </w:tcPr>
          <w:p>
            <w:pPr>
              <w:pStyle w:val="9"/>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249" w:type="pct"/>
            <w:gridSpan w:val="3"/>
            <w:noWrap w:val="0"/>
            <w:vAlign w:val="center"/>
          </w:tcPr>
          <w:p>
            <w:pPr>
              <w:pStyle w:val="9"/>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6" w:hRule="atLeast"/>
          <w:jc w:val="center"/>
        </w:trPr>
        <w:tc>
          <w:tcPr>
            <w:tcW w:w="986" w:type="pct"/>
            <w:gridSpan w:val="3"/>
            <w:noWrap w:val="0"/>
            <w:vAlign w:val="center"/>
          </w:tcPr>
          <w:p>
            <w:pPr>
              <w:pStyle w:val="9"/>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249" w:type="pct"/>
            <w:gridSpan w:val="3"/>
            <w:noWrap w:val="0"/>
            <w:vAlign w:val="center"/>
          </w:tcPr>
          <w:p>
            <w:pPr>
              <w:pStyle w:val="9"/>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9"/>
              <w:spacing w:line="240" w:lineRule="atLeast"/>
              <w:jc w:val="both"/>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w:t>
            </w:r>
          </w:p>
          <w:p>
            <w:pPr>
              <w:rPr>
                <w:rFonts w:hint="default"/>
                <w:lang w:val="en-US" w:eastAsia="zh-CN"/>
              </w:rPr>
            </w:pPr>
            <w:r>
              <w:rPr>
                <w:rFonts w:hint="eastAsia" w:ascii="宋体" w:hAnsi="宋体" w:eastAsia="仿宋" w:cs="宋体"/>
                <w:b/>
                <w:bCs/>
                <w:color w:val="auto"/>
                <w:kern w:val="0"/>
                <w:sz w:val="24"/>
                <w:szCs w:val="21"/>
                <w:highlight w:val="none"/>
                <w:lang w:val="en-US" w:eastAsia="zh-CN" w:bidi="zh-CN"/>
              </w:rPr>
              <w:t>采购标的所属行业为：</w:t>
            </w:r>
            <w:r>
              <w:rPr>
                <w:rFonts w:hint="eastAsia" w:cs="宋体"/>
                <w:b/>
                <w:bCs/>
                <w:color w:val="auto"/>
                <w:kern w:val="0"/>
                <w:sz w:val="24"/>
                <w:szCs w:val="21"/>
                <w:highlight w:val="none"/>
                <w:lang w:val="en-US" w:eastAsia="zh-CN" w:bidi="zh-CN"/>
              </w:rPr>
              <w:t>工程类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6" w:type="pct"/>
            <w:gridSpan w:val="3"/>
            <w:noWrap w:val="0"/>
            <w:vAlign w:val="center"/>
          </w:tcPr>
          <w:p>
            <w:pPr>
              <w:pStyle w:val="9"/>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249" w:type="pct"/>
            <w:gridSpan w:val="3"/>
            <w:noWrap w:val="0"/>
            <w:vAlign w:val="center"/>
          </w:tcPr>
          <w:p>
            <w:pPr>
              <w:pStyle w:val="9"/>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762" w:type="pct"/>
            <w:noWrap w:val="0"/>
            <w:vAlign w:val="center"/>
          </w:tcPr>
          <w:p>
            <w:pPr>
              <w:pStyle w:val="9"/>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restart"/>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593" w:type="pct"/>
            <w:gridSpan w:val="2"/>
            <w:vMerge w:val="restart"/>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9"/>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pStyle w:val="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p>
        </w:tc>
        <w:tc>
          <w:tcPr>
            <w:tcW w:w="2762" w:type="pct"/>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内容合理、针对性强，得8分；</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内容较合理、但针对性不强，较完整得5分；</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内容欠合理、针对性不强，不完整得0分。</w:t>
            </w:r>
          </w:p>
          <w:p>
            <w:pPr>
              <w:rPr>
                <w:rFonts w:hint="eastAsia"/>
                <w:lang w:val="zh-CN" w:eastAsia="zh-CN"/>
              </w:rPr>
            </w:pPr>
            <w:r>
              <w:rPr>
                <w:rFonts w:hint="eastAsia"/>
                <w:b/>
                <w:bCs/>
                <w:lang w:val="zh-CN" w:eastAsia="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pStyle w:val="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762" w:type="pct"/>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9"/>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三档：安全体系与措施欠合理、针对性不强，不完整得3</w:t>
            </w:r>
            <w:r>
              <w:rPr>
                <w:rFonts w:hint="eastAsia" w:ascii="宋体" w:hAnsi="宋体" w:eastAsia="仿宋" w:cs="宋体"/>
                <w:color w:val="auto"/>
                <w:kern w:val="0"/>
                <w:sz w:val="24"/>
                <w:szCs w:val="21"/>
                <w:highlight w:val="none"/>
                <w:lang w:val="en-US" w:eastAsia="zh-CN" w:bidi="zh-CN"/>
              </w:rPr>
              <w:t>分。</w:t>
            </w:r>
          </w:p>
          <w:p>
            <w:pPr>
              <w:pStyle w:val="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未提供或提供的内容完全与本项目无关的，得0分</w:t>
            </w:r>
            <w:r>
              <w:rPr>
                <w:rFonts w:hint="eastAsia" w:ascii="仿宋" w:hAnsi="仿宋" w:eastAsia="仿宋" w:cs="仿宋"/>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393" w:type="pct"/>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pStyle w:val="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762" w:type="pct"/>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9"/>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三档：质量体系与措施欠合理、针对性不强，不完整得3</w:t>
            </w:r>
            <w:r>
              <w:rPr>
                <w:rFonts w:hint="eastAsia" w:ascii="宋体" w:hAnsi="宋体" w:eastAsia="仿宋" w:cs="宋体"/>
                <w:color w:val="auto"/>
                <w:kern w:val="0"/>
                <w:sz w:val="24"/>
                <w:szCs w:val="21"/>
                <w:highlight w:val="none"/>
                <w:lang w:val="en-US" w:eastAsia="zh-CN" w:bidi="zh-CN"/>
              </w:rPr>
              <w:t xml:space="preserve">分。  </w:t>
            </w:r>
          </w:p>
          <w:p>
            <w:pPr>
              <w:rPr>
                <w:rFonts w:hint="eastAsia"/>
                <w:lang w:val="zh-CN" w:eastAsia="zh-CN"/>
              </w:rPr>
            </w:pPr>
            <w:r>
              <w:rPr>
                <w:rFonts w:hint="eastAsia"/>
                <w:b/>
                <w:bCs/>
                <w:lang w:val="zh-CN" w:eastAsia="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pStyle w:val="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762" w:type="pct"/>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9"/>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三档：进度计划与措施欠合理、针对性不强，不完整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3</w:t>
            </w:r>
            <w:r>
              <w:rPr>
                <w:rFonts w:hint="eastAsia" w:ascii="宋体" w:hAnsi="宋体" w:eastAsia="仿宋" w:cs="宋体"/>
                <w:color w:val="auto"/>
                <w:kern w:val="0"/>
                <w:sz w:val="24"/>
                <w:szCs w:val="21"/>
                <w:highlight w:val="none"/>
                <w:lang w:val="en-US" w:eastAsia="zh-CN" w:bidi="zh-CN"/>
              </w:rPr>
              <w:t xml:space="preserve">分。 </w:t>
            </w:r>
          </w:p>
          <w:p>
            <w:pPr>
              <w:rPr>
                <w:rFonts w:hint="eastAsia"/>
                <w:lang w:val="zh-CN" w:eastAsia="zh-CN"/>
              </w:rPr>
            </w:pPr>
            <w:r>
              <w:rPr>
                <w:rFonts w:hint="eastAsia" w:ascii="仿宋" w:hAnsi="仿宋" w:eastAsia="仿宋" w:cs="仿宋"/>
                <w:b/>
                <w:bCs/>
                <w:lang w:val="zh-CN" w:eastAsia="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pStyle w:val="9"/>
              <w:spacing w:line="240" w:lineRule="atLeast"/>
              <w:jc w:val="left"/>
              <w:rPr>
                <w:rFonts w:hint="eastAsia" w:ascii="宋体" w:hAnsi="宋体" w:eastAsia="仿宋" w:cs="宋体"/>
                <w:b w:val="0"/>
                <w:bCs w:val="0"/>
                <w:color w:val="auto"/>
                <w:sz w:val="24"/>
                <w:szCs w:val="22"/>
                <w:lang w:val="zh-CN" w:eastAsia="zh-CN" w:bidi="zh-CN"/>
              </w:rPr>
            </w:pPr>
            <w:r>
              <w:rPr>
                <w:rFonts w:hint="eastAsia" w:ascii="宋体" w:hAnsi="宋体" w:eastAsia="仿宋" w:cs="宋体"/>
                <w:b w:val="0"/>
                <w:bCs w:val="0"/>
                <w:color w:val="auto"/>
                <w:sz w:val="24"/>
                <w:szCs w:val="22"/>
                <w:lang w:val="en-US" w:eastAsia="zh-CN" w:bidi="zh-CN"/>
              </w:rPr>
              <w:t>拟投入资源配备计划（含项目组成员）</w:t>
            </w:r>
          </w:p>
        </w:tc>
        <w:tc>
          <w:tcPr>
            <w:tcW w:w="2762" w:type="pct"/>
            <w:noWrap w:val="0"/>
            <w:vAlign w:val="center"/>
          </w:tcPr>
          <w:p>
            <w:pPr>
              <w:pStyle w:val="9"/>
              <w:spacing w:line="240" w:lineRule="atLeast"/>
              <w:jc w:val="left"/>
              <w:rPr>
                <w:rFonts w:hint="eastAsia" w:ascii="宋体" w:hAnsi="宋体" w:eastAsia="仿宋" w:cs="宋体"/>
                <w:b w:val="0"/>
                <w:bCs w:val="0"/>
                <w:color w:val="auto"/>
                <w:sz w:val="24"/>
                <w:szCs w:val="22"/>
                <w:lang w:val="en-US" w:eastAsia="zh-CN" w:bidi="zh-CN"/>
              </w:rPr>
            </w:pPr>
            <w:r>
              <w:rPr>
                <w:rFonts w:hint="eastAsia" w:ascii="宋体" w:hAnsi="宋体" w:eastAsia="仿宋" w:cs="宋体"/>
                <w:b w:val="0"/>
                <w:bCs w:val="0"/>
                <w:color w:val="auto"/>
                <w:sz w:val="24"/>
                <w:szCs w:val="22"/>
                <w:lang w:val="en-US" w:eastAsia="zh-CN" w:bidi="zh-CN"/>
              </w:rPr>
              <w:t>一档：资源计划和成员配备合理、符合项目实际，完整</w:t>
            </w:r>
            <w:r>
              <w:rPr>
                <w:rFonts w:hint="eastAsia" w:hAnsi="宋体" w:eastAsia="仿宋" w:cs="宋体"/>
                <w:b w:val="0"/>
                <w:bCs w:val="0"/>
                <w:color w:val="auto"/>
                <w:sz w:val="24"/>
                <w:szCs w:val="22"/>
                <w:lang w:val="en-US" w:eastAsia="zh-CN" w:bidi="zh-CN"/>
              </w:rPr>
              <w:t>8</w:t>
            </w:r>
            <w:r>
              <w:rPr>
                <w:rFonts w:hint="eastAsia" w:ascii="宋体" w:hAnsi="宋体" w:eastAsia="仿宋" w:cs="宋体"/>
                <w:b w:val="0"/>
                <w:bCs w:val="0"/>
                <w:color w:val="auto"/>
                <w:sz w:val="24"/>
                <w:szCs w:val="22"/>
                <w:lang w:val="en-US" w:eastAsia="zh-CN" w:bidi="zh-CN"/>
              </w:rPr>
              <w:t>分；</w:t>
            </w:r>
          </w:p>
          <w:p>
            <w:pPr>
              <w:pStyle w:val="9"/>
              <w:spacing w:line="240" w:lineRule="atLeast"/>
              <w:jc w:val="left"/>
              <w:rPr>
                <w:rFonts w:hint="eastAsia" w:ascii="宋体" w:hAnsi="宋体" w:eastAsia="仿宋" w:cs="宋体"/>
                <w:b w:val="0"/>
                <w:bCs w:val="0"/>
                <w:color w:val="auto"/>
                <w:sz w:val="24"/>
                <w:szCs w:val="22"/>
                <w:lang w:val="en-US" w:eastAsia="zh-CN" w:bidi="zh-CN"/>
              </w:rPr>
            </w:pPr>
            <w:r>
              <w:rPr>
                <w:rFonts w:hint="eastAsia" w:ascii="宋体" w:hAnsi="宋体" w:eastAsia="仿宋" w:cs="宋体"/>
                <w:b w:val="0"/>
                <w:bCs w:val="0"/>
                <w:color w:val="auto"/>
                <w:sz w:val="24"/>
                <w:szCs w:val="22"/>
                <w:lang w:val="en-US" w:eastAsia="zh-CN" w:bidi="zh-CN"/>
              </w:rPr>
              <w:t>二档：资源计划和成员配备较合理，较符合项目实际，较完整</w:t>
            </w:r>
            <w:r>
              <w:rPr>
                <w:rFonts w:hint="eastAsia" w:hAnsi="宋体" w:eastAsia="仿宋" w:cs="宋体"/>
                <w:b w:val="0"/>
                <w:bCs w:val="0"/>
                <w:color w:val="auto"/>
                <w:sz w:val="24"/>
                <w:szCs w:val="22"/>
                <w:lang w:val="en-US" w:eastAsia="zh-CN" w:bidi="zh-CN"/>
              </w:rPr>
              <w:t>5</w:t>
            </w:r>
            <w:r>
              <w:rPr>
                <w:rFonts w:hint="eastAsia" w:ascii="宋体" w:hAnsi="宋体" w:eastAsia="仿宋" w:cs="宋体"/>
                <w:b w:val="0"/>
                <w:bCs w:val="0"/>
                <w:color w:val="auto"/>
                <w:sz w:val="24"/>
                <w:szCs w:val="22"/>
                <w:lang w:val="en-US" w:eastAsia="zh-CN" w:bidi="zh-CN"/>
              </w:rPr>
              <w:t>分；</w:t>
            </w:r>
          </w:p>
          <w:p>
            <w:pPr>
              <w:pStyle w:val="9"/>
              <w:spacing w:line="240" w:lineRule="atLeast"/>
              <w:jc w:val="left"/>
              <w:rPr>
                <w:rFonts w:hint="eastAsia" w:ascii="宋体" w:hAnsi="宋体" w:eastAsia="仿宋" w:cs="宋体"/>
                <w:b w:val="0"/>
                <w:bCs w:val="0"/>
                <w:color w:val="auto"/>
                <w:sz w:val="24"/>
                <w:szCs w:val="22"/>
                <w:lang w:val="en-US" w:eastAsia="zh-CN" w:bidi="zh-CN"/>
              </w:rPr>
            </w:pPr>
            <w:r>
              <w:rPr>
                <w:rFonts w:hint="eastAsia" w:ascii="宋体" w:hAnsi="宋体" w:eastAsia="仿宋" w:cs="宋体"/>
                <w:b w:val="0"/>
                <w:bCs w:val="0"/>
                <w:color w:val="auto"/>
                <w:sz w:val="24"/>
                <w:szCs w:val="22"/>
                <w:lang w:val="en-US" w:eastAsia="zh-CN" w:bidi="zh-CN"/>
              </w:rPr>
              <w:t>三档：资源计划和成员配备欠合理，基本符合项目实际，不完整</w:t>
            </w:r>
            <w:r>
              <w:rPr>
                <w:rFonts w:hint="eastAsia" w:hAnsi="宋体" w:eastAsia="仿宋" w:cs="宋体"/>
                <w:b w:val="0"/>
                <w:bCs w:val="0"/>
                <w:color w:val="auto"/>
                <w:sz w:val="24"/>
                <w:szCs w:val="22"/>
                <w:lang w:val="en-US" w:eastAsia="zh-CN" w:bidi="zh-CN"/>
              </w:rPr>
              <w:t>3分</w:t>
            </w:r>
            <w:r>
              <w:rPr>
                <w:rFonts w:hint="eastAsia" w:ascii="宋体" w:hAnsi="宋体" w:eastAsia="仿宋" w:cs="宋体"/>
                <w:b w:val="0"/>
                <w:bCs w:val="0"/>
                <w:color w:val="auto"/>
                <w:sz w:val="24"/>
                <w:szCs w:val="22"/>
                <w:lang w:val="en-US" w:eastAsia="zh-CN" w:bidi="zh-CN"/>
              </w:rPr>
              <w:t>。</w:t>
            </w:r>
          </w:p>
          <w:p>
            <w:pPr>
              <w:pStyle w:val="9"/>
              <w:spacing w:line="240" w:lineRule="atLeast"/>
              <w:jc w:val="left"/>
              <w:rPr>
                <w:rFonts w:hint="eastAsia" w:ascii="宋体" w:hAnsi="宋体" w:eastAsia="仿宋" w:cs="宋体"/>
                <w:b w:val="0"/>
                <w:bCs w:val="0"/>
                <w:color w:val="auto"/>
                <w:sz w:val="24"/>
                <w:szCs w:val="22"/>
                <w:lang w:val="zh-CN" w:eastAsia="zh-CN" w:bidi="zh-CN"/>
              </w:rPr>
            </w:pPr>
            <w:r>
              <w:rPr>
                <w:rFonts w:hint="eastAsia" w:ascii="宋体" w:hAnsi="宋体" w:eastAsia="仿宋" w:cs="宋体"/>
                <w:b/>
                <w:bCs/>
                <w:color w:val="auto"/>
                <w:sz w:val="24"/>
                <w:szCs w:val="22"/>
                <w:lang w:val="zh-CN" w:eastAsia="zh-CN" w:bidi="zh-CN"/>
              </w:rPr>
              <w:t>未提供或提供的内容完全与本项目无关的，得0分</w:t>
            </w:r>
            <w:r>
              <w:rPr>
                <w:rFonts w:hint="eastAsia" w:ascii="宋体" w:hAnsi="宋体" w:eastAsia="仿宋" w:cs="宋体"/>
                <w:b/>
                <w:bCs/>
                <w:color w:val="auto"/>
                <w:sz w:val="24"/>
                <w:szCs w:val="22"/>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pStyle w:val="9"/>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762" w:type="pct"/>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一档：内容合理、针对性强，得5分；</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二档：内容较合理、但针对性不强，较完整得4分；</w:t>
            </w:r>
          </w:p>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三档：内容欠合理、针对性不强，不完整得1分。 </w:t>
            </w:r>
          </w:p>
          <w:p>
            <w:pPr>
              <w:rPr>
                <w:rFonts w:hint="eastAsia"/>
                <w:lang w:val="zh-CN" w:eastAsia="zh-CN"/>
              </w:rPr>
            </w:pPr>
            <w:r>
              <w:rPr>
                <w:rFonts w:hint="eastAsia"/>
                <w:b/>
                <w:bCs/>
                <w:lang w:val="zh-CN" w:eastAsia="zh-CN"/>
              </w:rPr>
              <w:t>未提供或提供的内容完全与本项目无关的，得0分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2" w:hRule="atLeast"/>
          <w:jc w:val="center"/>
        </w:trPr>
        <w:tc>
          <w:tcPr>
            <w:tcW w:w="393"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593" w:type="pct"/>
            <w:gridSpan w:val="2"/>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249" w:type="pct"/>
            <w:gridSpan w:val="3"/>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投标人的业绩、类似工程经历0-2分</w:t>
            </w:r>
          </w:p>
        </w:tc>
        <w:tc>
          <w:tcPr>
            <w:tcW w:w="2762" w:type="pct"/>
            <w:noWrap w:val="0"/>
            <w:vAlign w:val="center"/>
          </w:tcPr>
          <w:p>
            <w:pPr>
              <w:pStyle w:val="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2020年1月1日（合同签订时间）以来，承担过类似工程施工，每有1项得0.5分，最多得2分。否则不计分。投标文件中提供中标通知书、合同复印件，否则不得分；注：需提供合同（响应文件中附扫描件）。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jc w:val="center"/>
        </w:trPr>
        <w:tc>
          <w:tcPr>
            <w:tcW w:w="393"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0" w:hRule="atLeast"/>
          <w:jc w:val="center"/>
        </w:trPr>
        <w:tc>
          <w:tcPr>
            <w:tcW w:w="393"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93"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49" w:type="pct"/>
            <w:gridSpan w:val="3"/>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响应文件总体评价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（0-8分）</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1.投标文件完整，商务响应及技术应答具体、详实得5-8分；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2.投标文件较完整，商务响应及技术应答较具体、详实得2-4分；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3.投标文件不完整，商务响应及技术应答不具体、详实得0-1分；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4999" w:type="pct"/>
            <w:gridSpan w:val="7"/>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9"/>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7"/>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8"/>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7"/>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7"/>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7"/>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7"/>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7"/>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7"/>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7"/>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8"/>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8"/>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8"/>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8"/>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7"/>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7"/>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17172"/>
      <w:bookmarkStart w:id="38" w:name="_Toc27915"/>
      <w:r>
        <w:rPr>
          <w:rFonts w:hint="eastAsia"/>
          <w:color w:val="auto"/>
        </w:rPr>
        <w:br w:type="page"/>
      </w:r>
    </w:p>
    <w:p>
      <w:pPr>
        <w:pStyle w:val="2"/>
        <w:outlineLvl w:val="0"/>
        <w:rPr>
          <w:rFonts w:hint="eastAsia"/>
          <w:color w:val="auto"/>
        </w:rPr>
      </w:pPr>
      <w:bookmarkStart w:id="39" w:name="_Toc14137"/>
      <w:r>
        <w:rPr>
          <w:rFonts w:hint="eastAsia"/>
          <w:color w:val="auto"/>
        </w:rPr>
        <w:t>第四部分</w:t>
      </w:r>
      <w:r>
        <w:rPr>
          <w:rFonts w:hint="eastAsia"/>
          <w:color w:val="auto"/>
        </w:rPr>
        <w:tab/>
      </w:r>
      <w:r>
        <w:rPr>
          <w:rFonts w:hint="eastAsia"/>
          <w:color w:val="auto"/>
        </w:rPr>
        <w:t>合同格式</w:t>
      </w:r>
      <w:bookmarkEnd w:id="37"/>
      <w:bookmarkEnd w:id="38"/>
      <w:bookmarkEnd w:id="39"/>
      <w:r>
        <w:rPr>
          <w:rFonts w:hint="eastAsia"/>
          <w:color w:val="auto"/>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_Toc13065"/>
      <w:bookmarkStart w:id="43" w:name="bookmark163"/>
      <w:bookmarkStart w:id="44" w:name="bookmark162"/>
      <w:bookmarkStart w:id="45" w:name="bookmark164"/>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8"/>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100 %。</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2"/>
        <w:outlineLvl w:val="0"/>
        <w:rPr>
          <w:rFonts w:hint="eastAsia" w:ascii="仿宋" w:hAnsi="仿宋" w:eastAsia="仿宋" w:cs="仿宋"/>
          <w:color w:val="auto"/>
          <w:szCs w:val="28"/>
        </w:rPr>
      </w:pPr>
      <w:bookmarkStart w:id="46" w:name="第五部分  电子标响应文件格式"/>
      <w:bookmarkEnd w:id="46"/>
      <w:bookmarkStart w:id="47" w:name="_Toc21407"/>
      <w:bookmarkStart w:id="48" w:name="_Toc11"/>
      <w:bookmarkStart w:id="49" w:name="_Toc29534"/>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pStyle w:val="37"/>
        <w:rPr>
          <w:rFonts w:hint="eastAsia" w:ascii="仿宋" w:hAnsi="仿宋" w:eastAsia="仿宋" w:cs="仿宋"/>
          <w:color w:val="auto"/>
          <w:sz w:val="28"/>
          <w:szCs w:val="28"/>
        </w:rPr>
      </w:pPr>
    </w:p>
    <w:p>
      <w:pPr>
        <w:pStyle w:val="37"/>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8"/>
        <w:ind w:left="0"/>
        <w:rPr>
          <w:b/>
          <w:color w:val="auto"/>
          <w:sz w:val="48"/>
        </w:rPr>
      </w:pPr>
    </w:p>
    <w:p>
      <w:pPr>
        <w:pStyle w:val="8"/>
        <w:ind w:left="0"/>
        <w:rPr>
          <w:b/>
          <w:color w:val="auto"/>
          <w:sz w:val="48"/>
        </w:rPr>
      </w:pPr>
    </w:p>
    <w:p>
      <w:pPr>
        <w:pStyle w:val="8"/>
        <w:ind w:left="0"/>
        <w:rPr>
          <w:b/>
          <w:color w:val="auto"/>
          <w:sz w:val="48"/>
        </w:rPr>
      </w:pPr>
    </w:p>
    <w:p>
      <w:pPr>
        <w:pStyle w:val="8"/>
        <w:spacing w:before="11"/>
        <w:ind w:left="0"/>
        <w:rPr>
          <w:b/>
          <w:color w:val="auto"/>
          <w:sz w:val="54"/>
        </w:rPr>
      </w:pPr>
    </w:p>
    <w:p>
      <w:pPr>
        <w:spacing w:before="0"/>
        <w:ind w:left="531" w:right="542" w:firstLine="0"/>
        <w:jc w:val="center"/>
        <w:outlineLvl w:val="0"/>
        <w:rPr>
          <w:b/>
          <w:color w:val="auto"/>
          <w:sz w:val="72"/>
        </w:rPr>
      </w:pPr>
      <w:bookmarkStart w:id="51" w:name="_Toc26469"/>
      <w:bookmarkStart w:id="52" w:name="_Toc1586"/>
      <w:r>
        <w:rPr>
          <w:b/>
          <w:color w:val="auto"/>
          <w:sz w:val="72"/>
        </w:rPr>
        <w:t>竞争性磋商响应文件</w:t>
      </w:r>
      <w:bookmarkEnd w:id="51"/>
      <w:bookmarkEnd w:id="52"/>
    </w:p>
    <w:p>
      <w:pPr>
        <w:pStyle w:val="8"/>
        <w:ind w:left="0"/>
        <w:rPr>
          <w:b/>
          <w:color w:val="auto"/>
          <w:sz w:val="72"/>
        </w:rPr>
      </w:pPr>
    </w:p>
    <w:p>
      <w:pPr>
        <w:pStyle w:val="8"/>
        <w:ind w:left="0"/>
        <w:rPr>
          <w:b/>
          <w:color w:val="auto"/>
          <w:sz w:val="72"/>
        </w:rPr>
      </w:pPr>
    </w:p>
    <w:p>
      <w:pPr>
        <w:pStyle w:val="8"/>
        <w:ind w:left="0"/>
        <w:rPr>
          <w:b/>
          <w:color w:val="auto"/>
          <w:sz w:val="72"/>
        </w:rPr>
      </w:pPr>
    </w:p>
    <w:p>
      <w:pPr>
        <w:pStyle w:val="8"/>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1606" w:firstLineChars="5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8" w:type="default"/>
          <w:pgSz w:w="11910" w:h="16840"/>
          <w:pgMar w:top="1380" w:right="880" w:bottom="1100" w:left="880"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5"/>
        <w:spacing w:before="242"/>
        <w:ind w:left="1105"/>
        <w:outlineLvl w:val="1"/>
        <w:rPr>
          <w:color w:val="auto"/>
        </w:rPr>
      </w:pPr>
      <w:bookmarkStart w:id="54" w:name="_Toc29018"/>
      <w:r>
        <w:rPr>
          <w:color w:val="auto"/>
        </w:rPr>
        <w:t>（一）报价函</w:t>
      </w:r>
      <w:bookmarkEnd w:id="54"/>
    </w:p>
    <w:p>
      <w:pPr>
        <w:pStyle w:val="8"/>
        <w:spacing w:before="3"/>
        <w:ind w:left="0"/>
        <w:rPr>
          <w:b/>
          <w:color w:val="auto"/>
          <w:sz w:val="20"/>
        </w:rPr>
      </w:pPr>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color w:val="auto"/>
          <w:u w:val="single"/>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9"/>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color w:val="auto"/>
          <w:u w:val="single"/>
        </w:rPr>
        <w:t xml:space="preserve"> </w:t>
      </w:r>
      <w:r>
        <w:rPr>
          <w:color w:val="auto"/>
          <w:u w:val="single"/>
        </w:rPr>
        <w:tab/>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color w:val="auto"/>
          <w:sz w:val="22"/>
          <w:szCs w:val="22"/>
          <w:u w:val="single"/>
        </w:rPr>
        <w:t xml:space="preserve"> </w:t>
      </w:r>
      <w:r>
        <w:rPr>
          <w:color w:val="auto"/>
          <w:sz w:val="22"/>
          <w:szCs w:val="22"/>
          <w:u w:val="single"/>
        </w:rPr>
        <w:tab/>
      </w:r>
      <w:r>
        <w:rPr>
          <w:color w:val="auto"/>
          <w:spacing w:val="0"/>
          <w:w w:val="100"/>
          <w:position w:val="0"/>
          <w:sz w:val="22"/>
          <w:szCs w:val="22"/>
        </w:rPr>
        <w:t>元（¥</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color w:val="auto"/>
          <w:sz w:val="22"/>
          <w:szCs w:val="22"/>
          <w:u w:val="single"/>
        </w:rPr>
        <w:tab/>
      </w:r>
      <w:r>
        <w:rPr>
          <w:rFonts w:hint="eastAsia"/>
          <w:color w:val="auto"/>
          <w:sz w:val="22"/>
          <w:szCs w:val="22"/>
          <w:u w:val="single"/>
          <w:lang w:eastAsia="zh-CN"/>
        </w:rPr>
        <w:t>。</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9"/>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9"/>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5"/>
        <w:ind w:left="1105"/>
        <w:outlineLvl w:val="1"/>
        <w:rPr>
          <w:color w:val="auto"/>
        </w:rPr>
      </w:pPr>
      <w:bookmarkStart w:id="64" w:name="_Toc4075"/>
      <w:r>
        <w:rPr>
          <w:color w:val="auto"/>
        </w:rPr>
        <w:t>（二）磋商报价表</w:t>
      </w:r>
      <w:bookmarkEnd w:id="64"/>
    </w:p>
    <w:p>
      <w:pPr>
        <w:pStyle w:val="8"/>
        <w:spacing w:before="4"/>
        <w:ind w:left="0"/>
        <w:rPr>
          <w:b/>
          <w:color w:val="auto"/>
          <w:sz w:val="10"/>
        </w:rPr>
      </w:pPr>
    </w:p>
    <w:tbl>
      <w:tblPr>
        <w:tblStyle w:val="20"/>
        <w:tblW w:w="0" w:type="auto"/>
        <w:jc w:val="center"/>
        <w:tblLayout w:type="fixed"/>
        <w:tblCellMar>
          <w:top w:w="0" w:type="dxa"/>
          <w:left w:w="10" w:type="dxa"/>
          <w:bottom w:w="0" w:type="dxa"/>
          <w:right w:w="10" w:type="dxa"/>
        </w:tblCellMar>
      </w:tblPr>
      <w:tblGrid>
        <w:gridCol w:w="1447"/>
        <w:gridCol w:w="2290"/>
        <w:gridCol w:w="6026"/>
      </w:tblGrid>
      <w:tr>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18"/>
        <w:rPr>
          <w:color w:val="auto"/>
        </w:rPr>
      </w:pPr>
    </w:p>
    <w:p>
      <w:pPr>
        <w:pStyle w:val="18"/>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8"/>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8"/>
        <w:ind w:left="0"/>
        <w:rPr>
          <w:b/>
          <w:color w:val="auto"/>
          <w:sz w:val="32"/>
        </w:rPr>
      </w:pPr>
    </w:p>
    <w:p>
      <w:pPr>
        <w:pStyle w:val="8"/>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8"/>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8"/>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8"/>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8"/>
        <w:ind w:left="0"/>
        <w:rPr>
          <w:rFonts w:hint="eastAsia" w:ascii="仿宋" w:hAnsi="仿宋" w:eastAsia="仿宋" w:cs="仿宋"/>
          <w:color w:val="auto"/>
          <w:sz w:val="28"/>
          <w:szCs w:val="28"/>
        </w:rPr>
      </w:pPr>
    </w:p>
    <w:p>
      <w:pPr>
        <w:pStyle w:val="8"/>
        <w:ind w:left="0"/>
        <w:rPr>
          <w:rFonts w:hint="eastAsia" w:ascii="仿宋" w:hAnsi="仿宋" w:eastAsia="仿宋" w:cs="仿宋"/>
          <w:color w:val="auto"/>
          <w:sz w:val="28"/>
          <w:szCs w:val="28"/>
        </w:rPr>
      </w:pPr>
    </w:p>
    <w:p>
      <w:pPr>
        <w:pStyle w:val="8"/>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8"/>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ind w:left="0"/>
        <w:rPr>
          <w:color w:val="auto"/>
          <w:sz w:val="20"/>
        </w:rPr>
      </w:pPr>
    </w:p>
    <w:p>
      <w:pPr>
        <w:pStyle w:val="8"/>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8"/>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8"/>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8"/>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8"/>
        <w:ind w:left="0"/>
        <w:rPr>
          <w:rFonts w:hint="eastAsia" w:ascii="仿宋" w:hAnsi="仿宋" w:eastAsia="仿宋" w:cs="仿宋"/>
          <w:color w:val="auto"/>
          <w:sz w:val="28"/>
          <w:szCs w:val="28"/>
        </w:rPr>
      </w:pPr>
    </w:p>
    <w:p>
      <w:pPr>
        <w:pStyle w:val="8"/>
        <w:spacing w:before="9"/>
        <w:ind w:left="0"/>
        <w:rPr>
          <w:rFonts w:hint="eastAsia" w:ascii="仿宋" w:hAnsi="仿宋" w:eastAsia="仿宋" w:cs="仿宋"/>
          <w:color w:val="auto"/>
          <w:sz w:val="28"/>
          <w:szCs w:val="28"/>
        </w:rPr>
      </w:pP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8"/>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8"/>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8"/>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5"/>
        <w:spacing w:before="242"/>
        <w:ind w:right="536"/>
        <w:outlineLvl w:val="1"/>
        <w:rPr>
          <w:color w:val="auto"/>
        </w:rPr>
      </w:pPr>
      <w:bookmarkStart w:id="69" w:name="_Toc17662"/>
      <w:r>
        <w:rPr>
          <w:color w:val="auto"/>
        </w:rPr>
        <w:t>（一）项目人员组成表</w:t>
      </w:r>
      <w:bookmarkEnd w:id="69"/>
    </w:p>
    <w:p>
      <w:pPr>
        <w:pStyle w:val="8"/>
        <w:spacing w:before="4"/>
        <w:ind w:left="0"/>
        <w:rPr>
          <w:b/>
          <w:color w:val="auto"/>
          <w:sz w:val="10"/>
        </w:rPr>
      </w:pPr>
    </w:p>
    <w:tbl>
      <w:tblPr>
        <w:tblStyle w:val="20"/>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5"/>
        <w:ind w:left="1103"/>
        <w:outlineLvl w:val="1"/>
        <w:rPr>
          <w:color w:val="auto"/>
        </w:rPr>
      </w:pPr>
      <w:bookmarkStart w:id="70" w:name="_Toc24225"/>
      <w:r>
        <w:rPr>
          <w:color w:val="auto"/>
        </w:rPr>
        <w:t>（二）项目负责人简历表</w:t>
      </w:r>
      <w:bookmarkEnd w:id="70"/>
    </w:p>
    <w:p>
      <w:pPr>
        <w:pStyle w:val="8"/>
        <w:spacing w:before="4"/>
        <w:ind w:left="0"/>
        <w:rPr>
          <w:b/>
          <w:color w:val="auto"/>
          <w:sz w:val="10"/>
        </w:rPr>
      </w:pPr>
    </w:p>
    <w:tbl>
      <w:tblPr>
        <w:tblStyle w:val="20"/>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8"/>
        <w:spacing w:before="6"/>
        <w:ind w:left="0"/>
        <w:rPr>
          <w:b/>
          <w:color w:val="auto"/>
          <w:sz w:val="8"/>
        </w:rPr>
      </w:pPr>
    </w:p>
    <w:tbl>
      <w:tblPr>
        <w:tblStyle w:val="20"/>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8"/>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spacing w:before="1"/>
        <w:ind w:left="0"/>
        <w:rPr>
          <w:color w:val="auto"/>
          <w:sz w:val="34"/>
        </w:rPr>
      </w:pPr>
    </w:p>
    <w:p>
      <w:pPr>
        <w:rPr>
          <w:b/>
          <w:color w:val="auto"/>
          <w:sz w:val="32"/>
        </w:rPr>
      </w:pPr>
      <w:bookmarkStart w:id="73" w:name="_Toc21953"/>
      <w:r>
        <w:rPr>
          <w:b/>
          <w:color w:val="auto"/>
          <w:sz w:val="32"/>
        </w:rPr>
        <w:br w:type="page"/>
      </w:r>
    </w:p>
    <w:p>
      <w:pPr>
        <w:spacing w:before="0"/>
        <w:ind w:left="538" w:right="541" w:firstLine="0"/>
        <w:jc w:val="center"/>
        <w:outlineLvl w:val="0"/>
        <w:rPr>
          <w:b/>
          <w:color w:val="auto"/>
          <w:sz w:val="32"/>
        </w:rPr>
      </w:pPr>
      <w:r>
        <w:rPr>
          <w:b/>
          <w:color w:val="auto"/>
          <w:sz w:val="32"/>
        </w:rPr>
        <w:t>八、</w:t>
      </w:r>
      <w:r>
        <w:rPr>
          <w:rFonts w:hint="eastAsia"/>
          <w:b/>
          <w:color w:val="auto"/>
          <w:sz w:val="32"/>
          <w:lang w:val="en-US" w:eastAsia="zh-CN"/>
        </w:rPr>
        <w:t>已标价工程量清单及</w:t>
      </w:r>
      <w:r>
        <w:rPr>
          <w:b/>
          <w:color w:val="auto"/>
          <w:sz w:val="32"/>
        </w:rPr>
        <w:t>供应商认为需提交的其他材料</w:t>
      </w:r>
      <w:bookmarkEnd w:id="73"/>
    </w:p>
    <w:p>
      <w:pPr>
        <w:rPr>
          <w:color w:val="auto"/>
        </w:rPr>
      </w:pPr>
      <w:r>
        <w:rPr>
          <w:color w:val="auto"/>
        </w:rPr>
        <w:br w:type="page"/>
      </w:r>
    </w:p>
    <w:p>
      <w:pPr>
        <w:pStyle w:val="2"/>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b/>
          <w:bCs/>
          <w:color w:val="auto"/>
          <w:spacing w:val="0"/>
          <w:w w:val="100"/>
          <w:kern w:val="0"/>
          <w:position w:val="0"/>
          <w:sz w:val="40"/>
          <w:szCs w:val="40"/>
          <w:lang w:eastAsia="zh-CN"/>
        </w:rPr>
      </w:pPr>
      <w:r>
        <w:rPr>
          <w:rFonts w:hint="eastAsia" w:ascii="宋体" w:hAnsi="宋体" w:eastAsia="宋体" w:cs="宋体"/>
          <w:b/>
          <w:bCs/>
          <w:color w:val="auto"/>
          <w:spacing w:val="0"/>
          <w:w w:val="100"/>
          <w:kern w:val="0"/>
          <w:position w:val="0"/>
          <w:sz w:val="40"/>
          <w:szCs w:val="40"/>
          <w:lang w:eastAsia="zh-CN"/>
        </w:rPr>
        <w:t>信用承诺书</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（四）本单位及项目经办人员信用状况良好，未被列为失信惩戒对象或"老赖""，符合参与公共资源交易活动的相关要求。</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（六）若中标，本单位将在规定的时间内与招标人签订合同并自觉履行合同义务，不转包或违法分包中标项目。</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（七）自觉接受政府、行业组织、社会公众、新闻舆论的监督。</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28"/>
          <w:szCs w:val="28"/>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28"/>
          <w:szCs w:val="28"/>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（九）本人已认真阅读了上述承诺，并向本单位员工作了宣传教育。</w:t>
      </w:r>
    </w:p>
    <w:p>
      <w:pPr>
        <w:autoSpaceDE/>
        <w:autoSpaceDN/>
        <w:spacing w:before="0" w:after="0" w:line="240" w:lineRule="auto"/>
        <w:ind w:left="0" w:right="0" w:firstLine="1120" w:firstLineChars="4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法定代表人或（委托代理人）签字∶</w:t>
      </w:r>
    </w:p>
    <w:p>
      <w:pPr>
        <w:autoSpaceDE/>
        <w:autoSpaceDN/>
        <w:spacing w:before="0" w:after="0" w:line="240" w:lineRule="auto"/>
        <w:ind w:left="0" w:right="0" w:firstLine="3080" w:firstLineChars="11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 xml:space="preserve">企业名称（盖章）∶ </w:t>
      </w:r>
    </w:p>
    <w:p>
      <w:pPr>
        <w:autoSpaceDE/>
        <w:autoSpaceDN/>
        <w:spacing w:before="0" w:after="0" w:line="240" w:lineRule="auto"/>
        <w:ind w:left="0" w:right="0" w:firstLine="2800" w:firstLineChars="10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项目负责人（签字）∶</w:t>
      </w:r>
    </w:p>
    <w:p>
      <w:pPr>
        <w:autoSpaceDE/>
        <w:autoSpaceDN/>
        <w:spacing w:before="0" w:after="0" w:line="240" w:lineRule="auto"/>
        <w:ind w:left="0" w:right="0"/>
        <w:jc w:val="right"/>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 xml:space="preserve"> 年   月   日</w:t>
      </w:r>
    </w:p>
    <w:p>
      <w:pPr>
        <w:autoSpaceDE/>
        <w:autoSpaceDN/>
        <w:spacing w:before="0" w:after="0" w:line="240" w:lineRule="auto"/>
        <w:ind w:left="0" w:right="0"/>
        <w:rPr>
          <w:rFonts w:hint="eastAsia" w:ascii="宋体" w:hAnsi="宋体" w:eastAsia="宋体" w:cs="宋体"/>
          <w:color w:val="auto"/>
          <w:kern w:val="0"/>
          <w:sz w:val="36"/>
          <w:szCs w:val="36"/>
          <w:u w:val="none"/>
          <w:shd w:val="clear" w:color="auto" w:fill="auto"/>
          <w:lang w:val="en-US" w:eastAsia="zh-CN" w:bidi="zh-TW"/>
        </w:rPr>
      </w:pPr>
    </w:p>
    <w:p>
      <w:pPr>
        <w:pStyle w:val="37"/>
        <w:rPr>
          <w:rFonts w:hint="eastAsia" w:eastAsia="仿宋_GB2312"/>
          <w:color w:val="auto"/>
          <w:lang w:val="en-US" w:eastAsia="zh-CN"/>
        </w:rPr>
      </w:pPr>
    </w:p>
    <w:p>
      <w:pPr>
        <w:pStyle w:val="37"/>
        <w:rPr>
          <w:color w:val="auto"/>
        </w:rPr>
      </w:pPr>
    </w:p>
    <w:p>
      <w:pPr>
        <w:pStyle w:val="37"/>
        <w:rPr>
          <w:color w:val="auto"/>
        </w:rPr>
      </w:pPr>
    </w:p>
    <w:p>
      <w:pPr>
        <w:pStyle w:val="37"/>
        <w:rPr>
          <w:color w:val="auto"/>
        </w:rPr>
      </w:pPr>
    </w:p>
    <w:p>
      <w:pPr>
        <w:pStyle w:val="2"/>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十、中小企业声明函</w:t>
      </w:r>
    </w:p>
    <w:p>
      <w:pPr>
        <w:pStyle w:val="2"/>
        <w:bidi w:val="0"/>
        <w:rPr>
          <w:rFonts w:hint="default" w:ascii="宋体" w:hAnsi="宋体" w:eastAsia="仿宋" w:cs="宋体"/>
          <w:b/>
          <w:color w:val="auto"/>
          <w:kern w:val="0"/>
          <w:sz w:val="32"/>
          <w:szCs w:val="22"/>
          <w:lang w:val="en-US" w:eastAsia="zh-CN" w:bidi="zh-CN"/>
        </w:rPr>
        <w:sectPr>
          <w:pgSz w:w="11910" w:h="16840"/>
          <w:pgMar w:top="1380" w:right="880" w:bottom="1100" w:left="880" w:header="888" w:footer="910" w:gutter="0"/>
          <w:pgNumType w:fmt="decimal"/>
          <w:cols w:space="720" w:num="1"/>
        </w:sectPr>
      </w:pPr>
    </w:p>
    <w:p>
      <w:pPr>
        <w:widowControl w:val="0"/>
        <w:tabs>
          <w:tab w:val="left" w:pos="1291"/>
        </w:tabs>
        <w:autoSpaceDE w:val="0"/>
        <w:autoSpaceDN w:val="0"/>
        <w:spacing w:before="17" w:after="0" w:line="240" w:lineRule="auto"/>
        <w:ind w:left="0" w:right="854"/>
        <w:jc w:val="center"/>
        <w:outlineLvl w:val="0"/>
        <w:rPr>
          <w:rFonts w:hint="eastAsia" w:ascii="宋体" w:hAnsi="宋体" w:eastAsia="仿宋" w:cs="宋体"/>
          <w:b/>
          <w:bCs/>
          <w:color w:val="auto"/>
          <w:kern w:val="44"/>
          <w:sz w:val="24"/>
          <w:szCs w:val="21"/>
          <w:lang w:val="zh-CN" w:eastAsia="zh-CN" w:bidi="zh-CN"/>
        </w:rPr>
      </w:pPr>
      <w:bookmarkStart w:id="74" w:name="_TOC_250000"/>
      <w:bookmarkEnd w:id="74"/>
      <w:bookmarkStart w:id="75" w:name="_Toc21842"/>
      <w:r>
        <w:rPr>
          <w:rFonts w:ascii="宋体" w:hAnsi="宋体" w:eastAsia="仿宋" w:cs="宋体"/>
          <w:color w:val="auto"/>
          <w:kern w:val="44"/>
          <w:sz w:val="28"/>
          <w:szCs w:val="22"/>
          <w:lang w:val="zh-CN" w:eastAsia="zh-CN" w:bidi="zh-CN"/>
        </w:rPr>
        <w:t>第</w:t>
      </w:r>
      <w:r>
        <w:rPr>
          <w:rFonts w:hint="eastAsia" w:ascii="宋体" w:hAnsi="宋体" w:eastAsia="仿宋" w:cs="宋体"/>
          <w:color w:val="auto"/>
          <w:kern w:val="44"/>
          <w:sz w:val="28"/>
          <w:szCs w:val="22"/>
          <w:lang w:val="en-US" w:eastAsia="zh-CN" w:bidi="zh-CN"/>
        </w:rPr>
        <w:t>六部分</w:t>
      </w:r>
      <w:r>
        <w:rPr>
          <w:rFonts w:ascii="宋体" w:hAnsi="宋体" w:eastAsia="仿宋" w:cs="宋体"/>
          <w:color w:val="auto"/>
          <w:kern w:val="44"/>
          <w:sz w:val="28"/>
          <w:szCs w:val="22"/>
          <w:lang w:val="zh-CN" w:eastAsia="zh-CN" w:bidi="zh-CN"/>
        </w:rPr>
        <w:tab/>
      </w:r>
      <w:r>
        <w:rPr>
          <w:rFonts w:hint="eastAsia" w:ascii="宋体" w:hAnsi="宋体" w:eastAsia="仿宋" w:cs="宋体"/>
          <w:color w:val="auto"/>
          <w:kern w:val="44"/>
          <w:sz w:val="28"/>
          <w:szCs w:val="22"/>
          <w:lang w:val="en-US" w:eastAsia="zh-CN" w:bidi="zh-CN"/>
        </w:rPr>
        <w:t>参考</w:t>
      </w:r>
      <w:r>
        <w:rPr>
          <w:rFonts w:ascii="宋体" w:hAnsi="宋体" w:eastAsia="仿宋" w:cs="宋体"/>
          <w:color w:val="auto"/>
          <w:kern w:val="44"/>
          <w:sz w:val="28"/>
          <w:szCs w:val="22"/>
          <w:lang w:val="zh-CN" w:eastAsia="zh-CN" w:bidi="zh-CN"/>
        </w:rPr>
        <w:t>附件</w:t>
      </w:r>
      <w:bookmarkEnd w:id="75"/>
      <w:r>
        <w:rPr>
          <w:rFonts w:hint="eastAsia" w:ascii="宋体" w:hAnsi="宋体" w:eastAsia="仿宋" w:cs="宋体"/>
          <w:b/>
          <w:bCs/>
          <w:color w:val="auto"/>
          <w:kern w:val="44"/>
          <w:sz w:val="24"/>
          <w:szCs w:val="21"/>
          <w:lang w:val="zh-CN" w:eastAsia="zh-CN" w:bidi="zh-CN"/>
        </w:rPr>
        <w:t>（</w:t>
      </w:r>
      <w:r>
        <w:rPr>
          <w:rFonts w:hint="eastAsia" w:ascii="宋体" w:hAnsi="宋体" w:eastAsia="仿宋" w:cs="宋体"/>
          <w:b/>
          <w:bCs/>
          <w:color w:val="auto"/>
          <w:kern w:val="44"/>
          <w:sz w:val="24"/>
          <w:szCs w:val="21"/>
          <w:lang w:val="en-US" w:eastAsia="zh-CN" w:bidi="zh-CN"/>
        </w:rPr>
        <w:t>本章非响应文件格式，符合则提供，否则不提供</w:t>
      </w:r>
      <w:r>
        <w:rPr>
          <w:rFonts w:hint="eastAsia" w:ascii="宋体" w:hAnsi="宋体" w:eastAsia="仿宋" w:cs="宋体"/>
          <w:b/>
          <w:bCs/>
          <w:color w:val="auto"/>
          <w:kern w:val="44"/>
          <w:sz w:val="24"/>
          <w:szCs w:val="21"/>
          <w:lang w:val="zh-CN" w:eastAsia="zh-CN" w:bidi="zh-CN"/>
        </w:rPr>
        <w:t>）</w:t>
      </w:r>
    </w:p>
    <w:p>
      <w:pPr>
        <w:pStyle w:val="8"/>
        <w:spacing w:before="1"/>
        <w:ind w:left="0"/>
        <w:rPr>
          <w:b/>
          <w:color w:val="auto"/>
          <w:sz w:val="14"/>
        </w:rPr>
      </w:pPr>
    </w:p>
    <w:p>
      <w:pPr>
        <w:pStyle w:val="6"/>
        <w:spacing w:before="61"/>
        <w:outlineLvl w:val="0"/>
        <w:rPr>
          <w:color w:val="auto"/>
        </w:rPr>
      </w:pPr>
      <w:bookmarkStart w:id="76" w:name="_Toc1959"/>
      <w:r>
        <w:rPr>
          <w:color w:val="auto"/>
        </w:rPr>
        <w:t>附件一</w:t>
      </w:r>
      <w:bookmarkEnd w:id="76"/>
    </w:p>
    <w:p>
      <w:pPr>
        <w:pStyle w:val="8"/>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8"/>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本公司（联合体）郑重声明，根据《关于进一步加大政府采购支持中小企业力度的通知》（财库【2022】19号）的规定，本公司（联合体）参加</w:t>
      </w:r>
      <w:r>
        <w:rPr>
          <w:rFonts w:hint="eastAsia" w:ascii="宋体" w:hAnsi="宋体" w:cs="宋体"/>
          <w:sz w:val="24"/>
          <w:szCs w:val="28"/>
          <w:u w:val="single"/>
        </w:rPr>
        <w:t>    （单位名称）</w:t>
      </w:r>
      <w:r>
        <w:rPr>
          <w:rFonts w:hint="eastAsia" w:ascii="宋体" w:hAnsi="宋体" w:cs="宋体"/>
          <w:sz w:val="24"/>
          <w:szCs w:val="28"/>
        </w:rPr>
        <w:t>的</w:t>
      </w:r>
      <w:r>
        <w:rPr>
          <w:rFonts w:hint="eastAsia" w:ascii="宋体" w:hAnsi="宋体" w:cs="宋体"/>
          <w:sz w:val="24"/>
          <w:szCs w:val="28"/>
          <w:u w:val="single"/>
        </w:rPr>
        <w:t>（项目名称）</w:t>
      </w:r>
      <w:r>
        <w:rPr>
          <w:rFonts w:hint="eastAsia" w:ascii="宋体" w:hAnsi="宋体" w:cs="宋体"/>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1.</w:t>
      </w:r>
      <w:r>
        <w:rPr>
          <w:rFonts w:hint="eastAsia" w:ascii="宋体" w:hAnsi="宋体" w:cs="宋体"/>
          <w:sz w:val="24"/>
          <w:szCs w:val="28"/>
          <w:u w:val="single"/>
        </w:rPr>
        <w:t>   （标的名称）</w:t>
      </w:r>
      <w:r>
        <w:rPr>
          <w:rFonts w:hint="eastAsia" w:ascii="宋体" w:hAnsi="宋体" w:cs="宋体"/>
          <w:sz w:val="24"/>
          <w:szCs w:val="28"/>
        </w:rPr>
        <w:t>，属于</w:t>
      </w:r>
      <w:r>
        <w:rPr>
          <w:rFonts w:hint="eastAsia" w:ascii="宋体" w:hAnsi="宋体" w:cs="宋体"/>
          <w:sz w:val="24"/>
          <w:szCs w:val="28"/>
          <w:u w:val="single"/>
        </w:rPr>
        <w:t>    （采购文件中明确的所属行业）</w:t>
      </w:r>
      <w:r>
        <w:rPr>
          <w:rFonts w:hint="eastAsia" w:ascii="宋体" w:hAnsi="宋体" w:cs="宋体"/>
          <w:sz w:val="24"/>
          <w:szCs w:val="28"/>
        </w:rPr>
        <w:t>；承建（承接）企业为</w:t>
      </w:r>
      <w:r>
        <w:rPr>
          <w:rFonts w:hint="eastAsia" w:ascii="宋体" w:hAnsi="宋体" w:cs="宋体"/>
          <w:sz w:val="24"/>
          <w:szCs w:val="28"/>
          <w:u w:val="single"/>
        </w:rPr>
        <w:t>    （企业名称）</w:t>
      </w:r>
      <w:r>
        <w:rPr>
          <w:rFonts w:hint="eastAsia" w:ascii="宋体" w:hAnsi="宋体" w:cs="宋体"/>
          <w:sz w:val="24"/>
          <w:szCs w:val="28"/>
        </w:rPr>
        <w:t>，从业人员</w:t>
      </w:r>
      <w:r>
        <w:rPr>
          <w:rFonts w:hint="eastAsia" w:ascii="宋体" w:hAnsi="宋体" w:cs="宋体"/>
          <w:sz w:val="24"/>
          <w:szCs w:val="28"/>
          <w:u w:val="single"/>
          <w:lang w:val="en-US" w:eastAsia="zh-CN"/>
        </w:rPr>
        <w:t xml:space="preserve">  </w:t>
      </w:r>
      <w:r>
        <w:rPr>
          <w:rFonts w:hint="eastAsia" w:ascii="宋体" w:hAnsi="宋体" w:cs="宋体"/>
          <w:sz w:val="24"/>
          <w:szCs w:val="28"/>
        </w:rPr>
        <w:t>人，营业收入为</w:t>
      </w:r>
      <w:r>
        <w:rPr>
          <w:rFonts w:hint="eastAsia" w:ascii="宋体" w:hAnsi="宋体" w:cs="宋体"/>
          <w:sz w:val="24"/>
          <w:szCs w:val="28"/>
          <w:u w:val="single"/>
          <w:lang w:val="en-US" w:eastAsia="zh-CN"/>
        </w:rPr>
        <w:t xml:space="preserve">  </w:t>
      </w:r>
      <w:r>
        <w:rPr>
          <w:rFonts w:hint="eastAsia" w:ascii="宋体" w:hAnsi="宋体" w:cs="宋体"/>
          <w:sz w:val="24"/>
          <w:szCs w:val="28"/>
        </w:rPr>
        <w:t>万元，资产总额为</w:t>
      </w:r>
      <w:r>
        <w:rPr>
          <w:rFonts w:hint="eastAsia" w:ascii="宋体" w:hAnsi="宋体" w:cs="宋体"/>
          <w:sz w:val="24"/>
          <w:szCs w:val="28"/>
          <w:u w:val="single"/>
          <w:lang w:val="en-US" w:eastAsia="zh-CN"/>
        </w:rPr>
        <w:t xml:space="preserve"> </w:t>
      </w:r>
      <w:r>
        <w:rPr>
          <w:rFonts w:hint="eastAsia" w:ascii="宋体" w:hAnsi="宋体" w:cs="宋体"/>
          <w:sz w:val="24"/>
          <w:szCs w:val="28"/>
        </w:rPr>
        <w:t>万元，属于</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（中型企业、小型企业、微型企业）</w:t>
      </w:r>
      <w:r>
        <w:rPr>
          <w:rFonts w:hint="eastAsia" w:ascii="宋体" w:hAnsi="宋体" w:cs="宋体"/>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lang w:val="en-US" w:eastAsia="zh-CN"/>
        </w:rPr>
      </w:pPr>
      <w:r>
        <w:rPr>
          <w:rFonts w:hint="eastAsia" w:ascii="宋体" w:hAnsi="宋体" w:cs="宋体"/>
          <w:sz w:val="24"/>
          <w:szCs w:val="28"/>
        </w:rPr>
        <w:t>2.</w:t>
      </w:r>
      <w:r>
        <w:rPr>
          <w:rFonts w:hint="eastAsia" w:ascii="宋体" w:hAnsi="宋体" w:cs="宋体"/>
          <w:sz w:val="24"/>
          <w:szCs w:val="28"/>
          <w:u w:val="single"/>
        </w:rPr>
        <w:t>   （标的名称）</w:t>
      </w:r>
      <w:r>
        <w:rPr>
          <w:rFonts w:hint="eastAsia" w:ascii="宋体" w:hAnsi="宋体" w:cs="宋体"/>
          <w:sz w:val="24"/>
          <w:szCs w:val="28"/>
        </w:rPr>
        <w:t>，属于</w:t>
      </w:r>
      <w:r>
        <w:rPr>
          <w:rFonts w:hint="eastAsia" w:ascii="宋体" w:hAnsi="宋体" w:cs="宋体"/>
          <w:sz w:val="24"/>
          <w:szCs w:val="28"/>
          <w:u w:val="single"/>
        </w:rPr>
        <w:t>     （采购文件中明确的所属行业）</w:t>
      </w:r>
      <w:r>
        <w:rPr>
          <w:rFonts w:hint="eastAsia" w:ascii="宋体" w:hAnsi="宋体" w:cs="宋体"/>
          <w:sz w:val="24"/>
          <w:szCs w:val="28"/>
        </w:rPr>
        <w:t>行业；制造商为</w:t>
      </w:r>
      <w:r>
        <w:rPr>
          <w:rFonts w:hint="eastAsia" w:ascii="宋体" w:hAnsi="宋体" w:cs="宋体"/>
          <w:sz w:val="24"/>
          <w:szCs w:val="28"/>
          <w:u w:val="single"/>
        </w:rPr>
        <w:t>  （企业名称）</w:t>
      </w:r>
      <w:r>
        <w:rPr>
          <w:rFonts w:hint="eastAsia" w:ascii="宋体" w:hAnsi="宋体" w:cs="宋体"/>
          <w:sz w:val="24"/>
          <w:szCs w:val="28"/>
        </w:rPr>
        <w:t>，从业人员</w:t>
      </w:r>
      <w:r>
        <w:rPr>
          <w:rFonts w:hint="eastAsia" w:ascii="宋体" w:hAnsi="宋体" w:cs="宋体"/>
          <w:sz w:val="24"/>
          <w:szCs w:val="28"/>
          <w:u w:val="single"/>
          <w:lang w:val="en-US" w:eastAsia="zh-CN"/>
        </w:rPr>
        <w:t xml:space="preserve">  </w:t>
      </w:r>
      <w:r>
        <w:rPr>
          <w:rFonts w:hint="eastAsia" w:ascii="宋体" w:hAnsi="宋体" w:cs="宋体"/>
          <w:sz w:val="24"/>
          <w:szCs w:val="28"/>
        </w:rPr>
        <w:t>人，营业收入为</w:t>
      </w:r>
      <w:r>
        <w:rPr>
          <w:rFonts w:hint="eastAsia" w:ascii="宋体" w:hAnsi="宋体" w:cs="宋体"/>
          <w:sz w:val="24"/>
          <w:szCs w:val="28"/>
          <w:u w:val="single"/>
          <w:lang w:val="en-US" w:eastAsia="zh-CN"/>
        </w:rPr>
        <w:t xml:space="preserve">  </w:t>
      </w:r>
      <w:r>
        <w:rPr>
          <w:rFonts w:hint="eastAsia" w:ascii="宋体" w:hAnsi="宋体" w:cs="宋体"/>
          <w:sz w:val="24"/>
          <w:szCs w:val="28"/>
        </w:rPr>
        <w:t>万元，资产总额为</w:t>
      </w:r>
      <w:r>
        <w:rPr>
          <w:rFonts w:hint="eastAsia" w:ascii="宋体" w:hAnsi="宋体" w:cs="宋体"/>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sz w:val="24"/>
          <w:szCs w:val="28"/>
        </w:rPr>
      </w:pPr>
      <w:r>
        <w:rPr>
          <w:rFonts w:hint="eastAsia" w:ascii="宋体" w:hAnsi="宋体" w:cs="宋体"/>
          <w:sz w:val="24"/>
          <w:szCs w:val="28"/>
          <w:u w:val="single"/>
          <w:lang w:val="en-US" w:eastAsia="zh-CN"/>
        </w:rPr>
        <w:t xml:space="preserve">  </w:t>
      </w:r>
      <w:r>
        <w:rPr>
          <w:rFonts w:hint="eastAsia" w:ascii="宋体" w:hAnsi="宋体" w:cs="宋体"/>
          <w:sz w:val="24"/>
          <w:szCs w:val="28"/>
        </w:rPr>
        <w:t>万元，属于</w:t>
      </w:r>
      <w:r>
        <w:rPr>
          <w:rFonts w:hint="eastAsia" w:ascii="宋体" w:hAnsi="宋体" w:cs="宋体"/>
          <w:sz w:val="24"/>
          <w:szCs w:val="28"/>
          <w:u w:val="single"/>
        </w:rPr>
        <w:t>     （中型企业、小型企业、微型企业）</w:t>
      </w:r>
      <w:r>
        <w:rPr>
          <w:rFonts w:hint="eastAsia" w:ascii="宋体" w:hAnsi="宋体" w:cs="宋体"/>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sz w:val="24"/>
          <w:szCs w:val="28"/>
        </w:rPr>
      </w:pPr>
    </w:p>
    <w:p>
      <w:pPr>
        <w:spacing w:line="360" w:lineRule="auto"/>
        <w:ind w:firstLine="4800" w:firstLineChars="2000"/>
        <w:jc w:val="left"/>
        <w:rPr>
          <w:rFonts w:hint="eastAsia" w:ascii="宋体" w:hAnsi="宋体" w:cs="宋体"/>
          <w:sz w:val="24"/>
          <w:szCs w:val="28"/>
        </w:rPr>
      </w:pPr>
      <w:r>
        <w:rPr>
          <w:rFonts w:hint="eastAsia" w:ascii="宋体" w:hAnsi="宋体" w:cs="宋体"/>
          <w:sz w:val="24"/>
          <w:szCs w:val="28"/>
        </w:rPr>
        <w:t>企业名称（盖章）：</w:t>
      </w:r>
    </w:p>
    <w:p>
      <w:pPr>
        <w:spacing w:line="360" w:lineRule="auto"/>
        <w:ind w:firstLine="5280" w:firstLineChars="2200"/>
        <w:jc w:val="left"/>
        <w:rPr>
          <w:rFonts w:hint="eastAsia" w:ascii="宋体" w:hAnsi="宋体" w:cs="宋体"/>
          <w:sz w:val="24"/>
          <w:szCs w:val="28"/>
        </w:rPr>
      </w:pPr>
      <w:r>
        <w:rPr>
          <w:rFonts w:hint="eastAsia" w:ascii="宋体" w:hAnsi="宋体" w:cs="宋体"/>
          <w:sz w:val="24"/>
          <w:szCs w:val="28"/>
        </w:rPr>
        <w:t>日 期：</w:t>
      </w: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ind w:left="0" w:leftChars="0" w:firstLine="0" w:firstLineChars="0"/>
        <w:outlineLvl w:val="0"/>
        <w:rPr>
          <w:color w:val="auto"/>
        </w:rPr>
      </w:pPr>
    </w:p>
    <w:p>
      <w:pPr>
        <w:pStyle w:val="6"/>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8"/>
        <w:spacing w:before="1"/>
        <w:ind w:left="356" w:right="542"/>
        <w:jc w:val="center"/>
        <w:rPr>
          <w:color w:val="auto"/>
        </w:rPr>
      </w:pPr>
      <w:r>
        <w:rPr>
          <w:color w:val="auto"/>
        </w:rPr>
        <w:t>各省、自治区、直辖市人民政府，国务院各部委、各直属机构及有关单位：</w:t>
      </w:r>
    </w:p>
    <w:p>
      <w:pPr>
        <w:pStyle w:val="8"/>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8"/>
        <w:spacing w:before="3"/>
        <w:ind w:left="0" w:right="534"/>
        <w:jc w:val="right"/>
        <w:rPr>
          <w:color w:val="auto"/>
        </w:rPr>
      </w:pPr>
      <w:r>
        <w:rPr>
          <w:color w:val="auto"/>
        </w:rPr>
        <w:t>工业和信息化部 国家统计局 国家发展和改革委员会 财政部</w:t>
      </w:r>
    </w:p>
    <w:p>
      <w:pPr>
        <w:pStyle w:val="8"/>
        <w:spacing w:before="161"/>
        <w:ind w:left="0" w:right="535"/>
        <w:jc w:val="right"/>
        <w:rPr>
          <w:color w:val="auto"/>
        </w:rPr>
      </w:pPr>
      <w:r>
        <w:rPr>
          <w:color w:val="auto"/>
        </w:rPr>
        <w:t>二○一一年六月十八日</w:t>
      </w:r>
    </w:p>
    <w:p>
      <w:pPr>
        <w:pStyle w:val="8"/>
        <w:spacing w:before="160"/>
        <w:ind w:left="4113"/>
        <w:rPr>
          <w:color w:val="auto"/>
        </w:rPr>
      </w:pPr>
      <w:r>
        <w:rPr>
          <w:color w:val="auto"/>
        </w:rPr>
        <w:t>中小企业划型标准规定</w:t>
      </w:r>
    </w:p>
    <w:p>
      <w:pPr>
        <w:pStyle w:val="8"/>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8"/>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8"/>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8"/>
        <w:spacing w:before="4"/>
        <w:ind w:left="1018"/>
        <w:rPr>
          <w:color w:val="auto"/>
        </w:rPr>
      </w:pPr>
      <w:r>
        <w:rPr>
          <w:color w:val="auto"/>
        </w:rPr>
        <w:t>四、各</w:t>
      </w:r>
      <w:r>
        <w:rPr>
          <w:color w:val="auto"/>
          <w:highlight w:val="none"/>
        </w:rPr>
        <w:t>行业划</w:t>
      </w:r>
      <w:r>
        <w:rPr>
          <w:color w:val="auto"/>
        </w:rPr>
        <w:t>型标准为：详见下表</w:t>
      </w:r>
    </w:p>
    <w:p>
      <w:pPr>
        <w:pStyle w:val="8"/>
        <w:spacing w:before="160"/>
        <w:ind w:left="1018"/>
        <w:rPr>
          <w:color w:val="auto"/>
        </w:rPr>
      </w:pPr>
      <w:r>
        <w:rPr>
          <w:color w:val="auto"/>
        </w:rPr>
        <w:t>五、企业类型的划分以统计部门的统计数据为依据。</w:t>
      </w:r>
    </w:p>
    <w:p>
      <w:pPr>
        <w:pStyle w:val="8"/>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8"/>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8"/>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8"/>
        <w:spacing w:before="1"/>
        <w:ind w:left="1018"/>
        <w:rPr>
          <w:color w:val="auto"/>
        </w:rPr>
      </w:pPr>
      <w:r>
        <w:rPr>
          <w:color w:val="auto"/>
        </w:rPr>
        <w:t>九、本规定由工业和信息化部、国家统计局会同有关部门负责解释。</w:t>
      </w:r>
    </w:p>
    <w:p>
      <w:pPr>
        <w:pStyle w:val="8"/>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8"/>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8"/>
                        <w:ind w:left="0"/>
                      </w:pPr>
                    </w:p>
                  </w:txbxContent>
                </v:textbox>
              </v:rect>
            </w:pict>
          </mc:Fallback>
        </mc:AlternateContent>
      </w:r>
      <w:r>
        <w:rPr>
          <w:b/>
          <w:bCs/>
          <w:color w:val="auto"/>
        </w:rPr>
        <w:t xml:space="preserve">《关于政府采购促进小型微型企业发展的实施意见》（豫财购[2013]14 号） </w:t>
      </w:r>
    </w:p>
    <w:tbl>
      <w:tblPr>
        <w:tblStyle w:val="20"/>
        <w:tblpPr w:leftFromText="180" w:rightFromText="180" w:vertAnchor="text" w:horzAnchor="page" w:tblpX="993" w:tblpY="70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vAlign w:val="top"/>
          </w:tcPr>
          <w:p>
            <w:pPr>
              <w:pStyle w:val="46"/>
              <w:spacing w:before="79"/>
              <w:ind w:left="96" w:right="88"/>
              <w:jc w:val="center"/>
              <w:rPr>
                <w:b/>
                <w:sz w:val="24"/>
              </w:rPr>
            </w:pPr>
            <w:r>
              <w:rPr>
                <w:b/>
                <w:sz w:val="24"/>
              </w:rPr>
              <w:t>行业类</w:t>
            </w:r>
          </w:p>
          <w:p>
            <w:pPr>
              <w:pStyle w:val="46"/>
              <w:spacing w:before="160"/>
              <w:ind w:left="12"/>
              <w:jc w:val="center"/>
              <w:rPr>
                <w:b/>
                <w:sz w:val="24"/>
              </w:rPr>
            </w:pPr>
            <w:r>
              <w:rPr>
                <w:b/>
                <w:w w:val="99"/>
                <w:sz w:val="24"/>
              </w:rPr>
              <w:t>型</w:t>
            </w:r>
          </w:p>
        </w:tc>
        <w:tc>
          <w:tcPr>
            <w:tcW w:w="732" w:type="pct"/>
            <w:vMerge w:val="restart"/>
            <w:vAlign w:val="top"/>
          </w:tcPr>
          <w:p>
            <w:pPr>
              <w:pStyle w:val="46"/>
              <w:spacing w:before="79"/>
              <w:ind w:left="101" w:right="95"/>
              <w:jc w:val="center"/>
              <w:rPr>
                <w:b/>
                <w:sz w:val="24"/>
              </w:rPr>
            </w:pPr>
            <w:r>
              <w:rPr>
                <w:b/>
                <w:sz w:val="24"/>
              </w:rPr>
              <w:t>中小微型企</w:t>
            </w:r>
          </w:p>
          <w:p>
            <w:pPr>
              <w:pStyle w:val="46"/>
              <w:spacing w:before="160"/>
              <w:ind w:left="7"/>
              <w:jc w:val="center"/>
              <w:rPr>
                <w:b/>
                <w:sz w:val="24"/>
              </w:rPr>
            </w:pPr>
            <w:r>
              <w:rPr>
                <w:b/>
                <w:w w:val="99"/>
                <w:sz w:val="24"/>
              </w:rPr>
              <w:t>业</w:t>
            </w:r>
          </w:p>
        </w:tc>
        <w:tc>
          <w:tcPr>
            <w:tcW w:w="1277" w:type="pct"/>
            <w:gridSpan w:val="3"/>
            <w:vAlign w:val="top"/>
          </w:tcPr>
          <w:p>
            <w:pPr>
              <w:pStyle w:val="46"/>
              <w:spacing w:before="79"/>
              <w:ind w:left="782"/>
              <w:rPr>
                <w:b/>
                <w:sz w:val="24"/>
              </w:rPr>
            </w:pPr>
            <w:r>
              <w:rPr>
                <w:b/>
                <w:sz w:val="24"/>
              </w:rPr>
              <w:t>营业收入</w:t>
            </w:r>
          </w:p>
        </w:tc>
        <w:tc>
          <w:tcPr>
            <w:tcW w:w="1227" w:type="pct"/>
            <w:gridSpan w:val="3"/>
            <w:vAlign w:val="top"/>
          </w:tcPr>
          <w:p>
            <w:pPr>
              <w:pStyle w:val="46"/>
              <w:spacing w:before="79"/>
              <w:ind w:left="733"/>
              <w:rPr>
                <w:b/>
                <w:sz w:val="24"/>
              </w:rPr>
            </w:pPr>
            <w:r>
              <w:rPr>
                <w:b/>
                <w:sz w:val="24"/>
              </w:rPr>
              <w:t>从业人员</w:t>
            </w:r>
          </w:p>
        </w:tc>
        <w:tc>
          <w:tcPr>
            <w:tcW w:w="1280" w:type="pct"/>
            <w:gridSpan w:val="3"/>
            <w:vAlign w:val="top"/>
          </w:tcPr>
          <w:p>
            <w:pPr>
              <w:pStyle w:val="46"/>
              <w:spacing w:before="79"/>
              <w:ind w:left="783"/>
              <w:rPr>
                <w:b/>
                <w:sz w:val="24"/>
              </w:rPr>
            </w:pPr>
            <w:r>
              <w:rPr>
                <w:b/>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sz w:val="2"/>
                <w:szCs w:val="2"/>
              </w:rPr>
            </w:pPr>
          </w:p>
        </w:tc>
        <w:tc>
          <w:tcPr>
            <w:tcW w:w="732" w:type="pct"/>
            <w:vMerge w:val="continue"/>
            <w:tcBorders>
              <w:top w:val="nil"/>
            </w:tcBorders>
            <w:vAlign w:val="top"/>
          </w:tcPr>
          <w:p>
            <w:pPr>
              <w:rPr>
                <w:sz w:val="2"/>
                <w:szCs w:val="2"/>
              </w:rPr>
            </w:pPr>
          </w:p>
        </w:tc>
        <w:tc>
          <w:tcPr>
            <w:tcW w:w="425" w:type="pct"/>
            <w:vAlign w:val="top"/>
          </w:tcPr>
          <w:p>
            <w:pPr>
              <w:pStyle w:val="46"/>
              <w:spacing w:before="79"/>
              <w:ind w:left="10"/>
              <w:jc w:val="center"/>
              <w:rPr>
                <w:b/>
                <w:sz w:val="24"/>
              </w:rPr>
            </w:pPr>
            <w:r>
              <w:rPr>
                <w:b/>
                <w:w w:val="99"/>
                <w:sz w:val="24"/>
              </w:rPr>
              <w:t>中</w:t>
            </w:r>
          </w:p>
        </w:tc>
        <w:tc>
          <w:tcPr>
            <w:tcW w:w="425" w:type="pct"/>
            <w:vAlign w:val="top"/>
          </w:tcPr>
          <w:p>
            <w:pPr>
              <w:pStyle w:val="46"/>
              <w:spacing w:before="79"/>
              <w:ind w:left="11"/>
              <w:jc w:val="center"/>
              <w:rPr>
                <w:b/>
                <w:sz w:val="24"/>
              </w:rPr>
            </w:pPr>
            <w:r>
              <w:rPr>
                <w:b/>
                <w:w w:val="99"/>
                <w:sz w:val="24"/>
              </w:rPr>
              <w:t>小</w:t>
            </w:r>
          </w:p>
        </w:tc>
        <w:tc>
          <w:tcPr>
            <w:tcW w:w="427" w:type="pct"/>
            <w:vAlign w:val="top"/>
          </w:tcPr>
          <w:p>
            <w:pPr>
              <w:pStyle w:val="46"/>
              <w:spacing w:before="79"/>
              <w:ind w:left="14"/>
              <w:jc w:val="center"/>
              <w:rPr>
                <w:b/>
                <w:sz w:val="24"/>
              </w:rPr>
            </w:pPr>
            <w:r>
              <w:rPr>
                <w:b/>
                <w:w w:val="99"/>
                <w:sz w:val="24"/>
              </w:rPr>
              <w:t>微</w:t>
            </w:r>
          </w:p>
        </w:tc>
        <w:tc>
          <w:tcPr>
            <w:tcW w:w="425" w:type="pct"/>
            <w:vAlign w:val="top"/>
          </w:tcPr>
          <w:p>
            <w:pPr>
              <w:pStyle w:val="46"/>
              <w:spacing w:before="79"/>
              <w:ind w:left="13"/>
              <w:jc w:val="center"/>
              <w:rPr>
                <w:b/>
                <w:sz w:val="24"/>
              </w:rPr>
            </w:pPr>
            <w:r>
              <w:rPr>
                <w:b/>
                <w:w w:val="99"/>
                <w:sz w:val="24"/>
              </w:rPr>
              <w:t>中</w:t>
            </w:r>
          </w:p>
        </w:tc>
        <w:tc>
          <w:tcPr>
            <w:tcW w:w="425" w:type="pct"/>
            <w:vAlign w:val="top"/>
          </w:tcPr>
          <w:p>
            <w:pPr>
              <w:pStyle w:val="46"/>
              <w:spacing w:before="79"/>
              <w:ind w:left="13"/>
              <w:jc w:val="center"/>
              <w:rPr>
                <w:b/>
                <w:sz w:val="24"/>
              </w:rPr>
            </w:pPr>
            <w:r>
              <w:rPr>
                <w:b/>
                <w:w w:val="99"/>
                <w:sz w:val="24"/>
              </w:rPr>
              <w:t>小</w:t>
            </w:r>
          </w:p>
        </w:tc>
        <w:tc>
          <w:tcPr>
            <w:tcW w:w="377" w:type="pct"/>
            <w:vAlign w:val="top"/>
          </w:tcPr>
          <w:p>
            <w:pPr>
              <w:pStyle w:val="46"/>
              <w:spacing w:before="79"/>
              <w:ind w:left="250"/>
              <w:rPr>
                <w:b/>
                <w:sz w:val="24"/>
              </w:rPr>
            </w:pPr>
            <w:r>
              <w:rPr>
                <w:b/>
                <w:w w:val="99"/>
                <w:sz w:val="24"/>
              </w:rPr>
              <w:t>微</w:t>
            </w:r>
          </w:p>
        </w:tc>
        <w:tc>
          <w:tcPr>
            <w:tcW w:w="425" w:type="pct"/>
            <w:vAlign w:val="top"/>
          </w:tcPr>
          <w:p>
            <w:pPr>
              <w:pStyle w:val="46"/>
              <w:spacing w:before="79"/>
              <w:ind w:left="10"/>
              <w:jc w:val="center"/>
              <w:rPr>
                <w:b/>
                <w:sz w:val="24"/>
              </w:rPr>
            </w:pPr>
            <w:r>
              <w:rPr>
                <w:b/>
                <w:w w:val="99"/>
                <w:sz w:val="24"/>
              </w:rPr>
              <w:t>中</w:t>
            </w:r>
          </w:p>
        </w:tc>
        <w:tc>
          <w:tcPr>
            <w:tcW w:w="426" w:type="pct"/>
            <w:vAlign w:val="top"/>
          </w:tcPr>
          <w:p>
            <w:pPr>
              <w:pStyle w:val="46"/>
              <w:spacing w:before="79"/>
              <w:ind w:left="11"/>
              <w:jc w:val="center"/>
              <w:rPr>
                <w:b/>
                <w:sz w:val="24"/>
              </w:rPr>
            </w:pPr>
            <w:r>
              <w:rPr>
                <w:b/>
                <w:w w:val="99"/>
                <w:sz w:val="24"/>
              </w:rPr>
              <w:t>小</w:t>
            </w:r>
          </w:p>
        </w:tc>
        <w:tc>
          <w:tcPr>
            <w:tcW w:w="429" w:type="pct"/>
            <w:vAlign w:val="top"/>
          </w:tcPr>
          <w:p>
            <w:pPr>
              <w:pStyle w:val="46"/>
              <w:spacing w:before="79"/>
              <w:ind w:left="11"/>
              <w:jc w:val="center"/>
              <w:rPr>
                <w:b/>
                <w:sz w:val="24"/>
              </w:rPr>
            </w:pPr>
            <w:r>
              <w:rPr>
                <w:b/>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sz w:val="24"/>
              </w:rPr>
            </w:pPr>
            <w:r>
              <w:rPr>
                <w:spacing w:val="-28"/>
                <w:sz w:val="24"/>
              </w:rPr>
              <w:t>农、林、</w:t>
            </w:r>
            <w:r>
              <w:rPr>
                <w:sz w:val="24"/>
              </w:rPr>
              <w:t>牧、渔业</w:t>
            </w:r>
          </w:p>
        </w:tc>
        <w:tc>
          <w:tcPr>
            <w:tcW w:w="732" w:type="pct"/>
            <w:vAlign w:val="top"/>
          </w:tcPr>
          <w:p>
            <w:pPr>
              <w:pStyle w:val="46"/>
              <w:spacing w:line="242" w:lineRule="auto"/>
              <w:ind w:left="101" w:right="92"/>
              <w:jc w:val="center"/>
              <w:rPr>
                <w:sz w:val="24"/>
              </w:rPr>
            </w:pPr>
            <w:r>
              <w:rPr>
                <w:sz w:val="24"/>
              </w:rPr>
              <w:t>营业收入20000 万元</w:t>
            </w:r>
          </w:p>
          <w:p>
            <w:pPr>
              <w:pStyle w:val="46"/>
              <w:spacing w:before="3"/>
              <w:ind w:left="101" w:right="94"/>
              <w:jc w:val="center"/>
              <w:rPr>
                <w:sz w:val="24"/>
              </w:rPr>
            </w:pPr>
            <w:r>
              <w:rPr>
                <w:sz w:val="24"/>
              </w:rPr>
              <w:t>以下</w:t>
            </w:r>
          </w:p>
        </w:tc>
        <w:tc>
          <w:tcPr>
            <w:tcW w:w="425" w:type="pct"/>
            <w:vAlign w:val="top"/>
          </w:tcPr>
          <w:p>
            <w:pPr>
              <w:pStyle w:val="46"/>
              <w:ind w:left="107"/>
              <w:rPr>
                <w:sz w:val="24"/>
              </w:rPr>
            </w:pPr>
            <w:r>
              <w:rPr>
                <w:sz w:val="24"/>
              </w:rPr>
              <w:t>500</w:t>
            </w:r>
          </w:p>
          <w:p>
            <w:pPr>
              <w:pStyle w:val="46"/>
              <w:spacing w:before="4"/>
              <w:ind w:left="107"/>
              <w:rPr>
                <w:sz w:val="24"/>
              </w:rPr>
            </w:pPr>
            <w:r>
              <w:rPr>
                <w:sz w:val="24"/>
              </w:rPr>
              <w:t>万 元</w:t>
            </w:r>
          </w:p>
          <w:p>
            <w:pPr>
              <w:pStyle w:val="46"/>
              <w:spacing w:before="2" w:line="310" w:lineRule="atLeast"/>
              <w:ind w:left="107" w:right="96"/>
              <w:rPr>
                <w:sz w:val="24"/>
              </w:rPr>
            </w:pPr>
            <w:r>
              <w:rPr>
                <w:sz w:val="24"/>
              </w:rPr>
              <w:t>及 以上</w:t>
            </w:r>
          </w:p>
        </w:tc>
        <w:tc>
          <w:tcPr>
            <w:tcW w:w="425" w:type="pct"/>
            <w:vAlign w:val="top"/>
          </w:tcPr>
          <w:p>
            <w:pPr>
              <w:pStyle w:val="46"/>
              <w:spacing w:line="242" w:lineRule="auto"/>
              <w:ind w:left="182" w:right="109" w:hanging="60"/>
              <w:jc w:val="both"/>
              <w:rPr>
                <w:sz w:val="24"/>
              </w:rPr>
            </w:pPr>
            <w:r>
              <w:rPr>
                <w:sz w:val="24"/>
              </w:rPr>
              <w:t>50 万元及以上</w:t>
            </w:r>
          </w:p>
        </w:tc>
        <w:tc>
          <w:tcPr>
            <w:tcW w:w="427" w:type="pct"/>
            <w:vAlign w:val="top"/>
          </w:tcPr>
          <w:p>
            <w:pPr>
              <w:pStyle w:val="46"/>
              <w:spacing w:line="242" w:lineRule="auto"/>
              <w:ind w:left="183" w:right="106" w:hanging="60"/>
              <w:jc w:val="both"/>
              <w:rPr>
                <w:sz w:val="24"/>
              </w:rPr>
            </w:pPr>
            <w:r>
              <w:rPr>
                <w:sz w:val="24"/>
              </w:rPr>
              <w:t>50 万元以下</w:t>
            </w:r>
          </w:p>
        </w:tc>
        <w:tc>
          <w:tcPr>
            <w:tcW w:w="425" w:type="pct"/>
            <w:vAlign w:val="top"/>
          </w:tcPr>
          <w:p>
            <w:pPr>
              <w:pStyle w:val="46"/>
              <w:rPr>
                <w:rFonts w:ascii="Times New Roman"/>
                <w:sz w:val="24"/>
              </w:rPr>
            </w:pPr>
          </w:p>
        </w:tc>
        <w:tc>
          <w:tcPr>
            <w:tcW w:w="425" w:type="pct"/>
            <w:vAlign w:val="top"/>
          </w:tcPr>
          <w:p>
            <w:pPr>
              <w:pStyle w:val="46"/>
              <w:rPr>
                <w:rFonts w:ascii="Times New Roman"/>
                <w:sz w:val="24"/>
              </w:rPr>
            </w:pPr>
          </w:p>
        </w:tc>
        <w:tc>
          <w:tcPr>
            <w:tcW w:w="377" w:type="pct"/>
            <w:vAlign w:val="top"/>
          </w:tcPr>
          <w:p>
            <w:pPr>
              <w:pStyle w:val="46"/>
              <w:rPr>
                <w:rFonts w:ascii="Times New Roman"/>
                <w:sz w:val="24"/>
              </w:rPr>
            </w:pP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sz w:val="24"/>
              </w:rPr>
            </w:pPr>
          </w:p>
          <w:p>
            <w:pPr>
              <w:pStyle w:val="46"/>
              <w:spacing w:before="160"/>
              <w:ind w:left="96" w:right="84"/>
              <w:jc w:val="center"/>
              <w:rPr>
                <w:sz w:val="24"/>
              </w:rPr>
            </w:pPr>
            <w:r>
              <w:rPr>
                <w:sz w:val="24"/>
              </w:rPr>
              <w:t>工业</w:t>
            </w:r>
          </w:p>
        </w:tc>
        <w:tc>
          <w:tcPr>
            <w:tcW w:w="732" w:type="pct"/>
            <w:vAlign w:val="top"/>
          </w:tcPr>
          <w:p>
            <w:pPr>
              <w:pStyle w:val="46"/>
              <w:spacing w:line="242" w:lineRule="auto"/>
              <w:ind w:left="124" w:right="115" w:firstLine="60"/>
              <w:jc w:val="both"/>
              <w:rPr>
                <w:sz w:val="24"/>
              </w:rPr>
            </w:pPr>
            <w:r>
              <w:rPr>
                <w:sz w:val="24"/>
              </w:rPr>
              <w:t>1000 人以</w:t>
            </w:r>
            <w:r>
              <w:rPr>
                <w:spacing w:val="-4"/>
                <w:sz w:val="24"/>
              </w:rPr>
              <w:t>下或营业收</w:t>
            </w:r>
            <w:r>
              <w:rPr>
                <w:sz w:val="24"/>
              </w:rPr>
              <w:t>入 40000</w:t>
            </w:r>
          </w:p>
          <w:p>
            <w:pPr>
              <w:pStyle w:val="46"/>
              <w:spacing w:before="4" w:line="292" w:lineRule="exact"/>
              <w:ind w:left="244"/>
              <w:rPr>
                <w:sz w:val="24"/>
              </w:rPr>
            </w:pPr>
            <w:r>
              <w:rPr>
                <w:sz w:val="24"/>
              </w:rPr>
              <w:t>万元以下</w:t>
            </w:r>
          </w:p>
        </w:tc>
        <w:tc>
          <w:tcPr>
            <w:tcW w:w="425" w:type="pct"/>
            <w:vAlign w:val="top"/>
          </w:tcPr>
          <w:p>
            <w:pPr>
              <w:pStyle w:val="46"/>
              <w:spacing w:line="307" w:lineRule="exact"/>
              <w:ind w:left="182"/>
              <w:rPr>
                <w:sz w:val="24"/>
              </w:rPr>
            </w:pPr>
            <w:r>
              <w:rPr>
                <w:sz w:val="24"/>
              </w:rPr>
              <w:t>2000</w:t>
            </w:r>
          </w:p>
          <w:p>
            <w:pPr>
              <w:pStyle w:val="46"/>
              <w:spacing w:before="2" w:line="310" w:lineRule="atLeast"/>
              <w:ind w:left="182" w:right="170"/>
              <w:jc w:val="both"/>
              <w:rPr>
                <w:sz w:val="24"/>
              </w:rPr>
            </w:pPr>
            <w:r>
              <w:rPr>
                <w:sz w:val="24"/>
              </w:rPr>
              <w:t>万元及以上</w:t>
            </w:r>
          </w:p>
        </w:tc>
        <w:tc>
          <w:tcPr>
            <w:tcW w:w="425" w:type="pct"/>
            <w:vAlign w:val="top"/>
          </w:tcPr>
          <w:p>
            <w:pPr>
              <w:pStyle w:val="46"/>
              <w:spacing w:line="307" w:lineRule="exact"/>
              <w:ind w:left="242"/>
              <w:rPr>
                <w:sz w:val="24"/>
              </w:rPr>
            </w:pPr>
            <w:r>
              <w:rPr>
                <w:sz w:val="24"/>
              </w:rPr>
              <w:t>300</w:t>
            </w:r>
          </w:p>
          <w:p>
            <w:pPr>
              <w:pStyle w:val="46"/>
              <w:spacing w:before="2" w:line="310" w:lineRule="atLeast"/>
              <w:ind w:left="182" w:right="169"/>
              <w:jc w:val="both"/>
              <w:rPr>
                <w:sz w:val="24"/>
              </w:rPr>
            </w:pPr>
            <w:r>
              <w:rPr>
                <w:sz w:val="24"/>
              </w:rPr>
              <w:t>万元及以上</w:t>
            </w:r>
          </w:p>
        </w:tc>
        <w:tc>
          <w:tcPr>
            <w:tcW w:w="427" w:type="pct"/>
            <w:vAlign w:val="top"/>
          </w:tcPr>
          <w:p>
            <w:pPr>
              <w:pStyle w:val="46"/>
              <w:spacing w:line="307" w:lineRule="exact"/>
              <w:ind w:left="243"/>
              <w:rPr>
                <w:sz w:val="24"/>
              </w:rPr>
            </w:pPr>
            <w:r>
              <w:rPr>
                <w:sz w:val="24"/>
              </w:rPr>
              <w:t>300</w:t>
            </w:r>
          </w:p>
          <w:p>
            <w:pPr>
              <w:pStyle w:val="46"/>
              <w:spacing w:before="2" w:line="310" w:lineRule="atLeast"/>
              <w:ind w:left="183" w:right="166"/>
              <w:jc w:val="both"/>
              <w:rPr>
                <w:sz w:val="24"/>
              </w:rPr>
            </w:pPr>
            <w:r>
              <w:rPr>
                <w:sz w:val="24"/>
              </w:rPr>
              <w:t>万元及以上</w:t>
            </w:r>
          </w:p>
        </w:tc>
        <w:tc>
          <w:tcPr>
            <w:tcW w:w="425" w:type="pct"/>
            <w:vAlign w:val="top"/>
          </w:tcPr>
          <w:p>
            <w:pPr>
              <w:pStyle w:val="46"/>
              <w:spacing w:line="307" w:lineRule="exact"/>
              <w:ind w:left="244"/>
              <w:rPr>
                <w:sz w:val="24"/>
              </w:rPr>
            </w:pPr>
            <w:r>
              <w:rPr>
                <w:sz w:val="24"/>
              </w:rPr>
              <w:t>300</w:t>
            </w:r>
          </w:p>
          <w:p>
            <w:pPr>
              <w:pStyle w:val="46"/>
              <w:spacing w:before="4" w:line="242" w:lineRule="auto"/>
              <w:ind w:left="184" w:right="168"/>
              <w:rPr>
                <w:sz w:val="24"/>
              </w:rPr>
            </w:pPr>
            <w:r>
              <w:rPr>
                <w:spacing w:val="-9"/>
                <w:sz w:val="24"/>
              </w:rPr>
              <w:t>人及以上</w:t>
            </w:r>
          </w:p>
        </w:tc>
        <w:tc>
          <w:tcPr>
            <w:tcW w:w="425" w:type="pct"/>
            <w:vAlign w:val="top"/>
          </w:tcPr>
          <w:p>
            <w:pPr>
              <w:pStyle w:val="46"/>
              <w:spacing w:line="242" w:lineRule="auto"/>
              <w:ind w:left="183" w:right="110" w:hanging="60"/>
              <w:jc w:val="both"/>
              <w:rPr>
                <w:sz w:val="24"/>
              </w:rPr>
            </w:pPr>
            <w:r>
              <w:rPr>
                <w:sz w:val="24"/>
              </w:rPr>
              <w:t>20 人及以上</w:t>
            </w:r>
          </w:p>
        </w:tc>
        <w:tc>
          <w:tcPr>
            <w:tcW w:w="377" w:type="pct"/>
            <w:vAlign w:val="top"/>
          </w:tcPr>
          <w:p>
            <w:pPr>
              <w:pStyle w:val="46"/>
              <w:spacing w:line="307" w:lineRule="exact"/>
              <w:ind w:left="130" w:right="120"/>
              <w:jc w:val="center"/>
              <w:rPr>
                <w:sz w:val="24"/>
              </w:rPr>
            </w:pPr>
            <w:r>
              <w:rPr>
                <w:sz w:val="24"/>
              </w:rPr>
              <w:t>20</w:t>
            </w:r>
          </w:p>
          <w:p>
            <w:pPr>
              <w:pStyle w:val="46"/>
              <w:spacing w:before="4" w:line="242" w:lineRule="auto"/>
              <w:ind w:left="130" w:right="120"/>
              <w:jc w:val="center"/>
              <w:rPr>
                <w:sz w:val="24"/>
              </w:rPr>
            </w:pPr>
            <w:r>
              <w:rPr>
                <w:spacing w:val="-9"/>
                <w:sz w:val="24"/>
              </w:rPr>
              <w:t>人以</w:t>
            </w:r>
            <w:r>
              <w:rPr>
                <w:sz w:val="24"/>
              </w:rPr>
              <w:t>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sz w:val="24"/>
              </w:rPr>
            </w:pPr>
          </w:p>
          <w:p>
            <w:pPr>
              <w:pStyle w:val="46"/>
              <w:spacing w:before="160"/>
              <w:ind w:left="96" w:right="85"/>
              <w:jc w:val="center"/>
              <w:rPr>
                <w:sz w:val="24"/>
              </w:rPr>
            </w:pPr>
            <w:r>
              <w:rPr>
                <w:sz w:val="24"/>
              </w:rPr>
              <w:t>建筑业</w:t>
            </w:r>
          </w:p>
        </w:tc>
        <w:tc>
          <w:tcPr>
            <w:tcW w:w="732" w:type="pct"/>
            <w:vAlign w:val="top"/>
          </w:tcPr>
          <w:p>
            <w:pPr>
              <w:pStyle w:val="46"/>
              <w:spacing w:line="307" w:lineRule="exact"/>
              <w:ind w:left="124"/>
              <w:rPr>
                <w:sz w:val="24"/>
              </w:rPr>
            </w:pPr>
            <w:r>
              <w:rPr>
                <w:sz w:val="24"/>
              </w:rPr>
              <w:t>收入 80000</w:t>
            </w:r>
          </w:p>
          <w:p>
            <w:pPr>
              <w:pStyle w:val="46"/>
              <w:spacing w:before="4" w:line="242" w:lineRule="auto"/>
              <w:ind w:left="244" w:right="115" w:hanging="120"/>
              <w:rPr>
                <w:sz w:val="24"/>
              </w:rPr>
            </w:pPr>
            <w:r>
              <w:rPr>
                <w:spacing w:val="-4"/>
                <w:sz w:val="24"/>
              </w:rPr>
              <w:t>万元以下或</w:t>
            </w:r>
            <w:r>
              <w:rPr>
                <w:sz w:val="24"/>
              </w:rPr>
              <w:t>资产总额</w:t>
            </w:r>
          </w:p>
          <w:p>
            <w:pPr>
              <w:pStyle w:val="46"/>
              <w:spacing w:before="4" w:line="292" w:lineRule="exact"/>
              <w:ind w:left="124"/>
              <w:rPr>
                <w:sz w:val="24"/>
              </w:rPr>
            </w:pPr>
            <w:r>
              <w:rPr>
                <w:sz w:val="24"/>
              </w:rPr>
              <w:t>80000 万元</w:t>
            </w:r>
          </w:p>
        </w:tc>
        <w:tc>
          <w:tcPr>
            <w:tcW w:w="425" w:type="pct"/>
            <w:vAlign w:val="top"/>
          </w:tcPr>
          <w:p>
            <w:pPr>
              <w:pStyle w:val="46"/>
              <w:spacing w:line="307" w:lineRule="exact"/>
              <w:ind w:left="162" w:right="153"/>
              <w:jc w:val="center"/>
              <w:rPr>
                <w:sz w:val="24"/>
              </w:rPr>
            </w:pPr>
            <w:r>
              <w:rPr>
                <w:sz w:val="24"/>
              </w:rPr>
              <w:t>6000</w:t>
            </w:r>
          </w:p>
          <w:p>
            <w:pPr>
              <w:pStyle w:val="46"/>
              <w:spacing w:before="4" w:line="242" w:lineRule="auto"/>
              <w:ind w:left="182" w:right="170"/>
              <w:jc w:val="center"/>
              <w:rPr>
                <w:sz w:val="24"/>
              </w:rPr>
            </w:pPr>
            <w:r>
              <w:rPr>
                <w:spacing w:val="-9"/>
                <w:sz w:val="24"/>
              </w:rPr>
              <w:t>万元及以</w:t>
            </w:r>
          </w:p>
          <w:p>
            <w:pPr>
              <w:pStyle w:val="46"/>
              <w:spacing w:before="4" w:line="292" w:lineRule="exact"/>
              <w:ind w:left="10"/>
              <w:jc w:val="center"/>
              <w:rPr>
                <w:sz w:val="24"/>
              </w:rPr>
            </w:pPr>
            <w:r>
              <w:rPr>
                <w:sz w:val="24"/>
              </w:rPr>
              <w:t>上</w:t>
            </w:r>
          </w:p>
        </w:tc>
        <w:tc>
          <w:tcPr>
            <w:tcW w:w="425" w:type="pct"/>
            <w:vAlign w:val="top"/>
          </w:tcPr>
          <w:p>
            <w:pPr>
              <w:pStyle w:val="46"/>
              <w:spacing w:line="307" w:lineRule="exact"/>
              <w:ind w:left="180" w:right="169"/>
              <w:jc w:val="center"/>
              <w:rPr>
                <w:sz w:val="24"/>
              </w:rPr>
            </w:pPr>
            <w:r>
              <w:rPr>
                <w:sz w:val="24"/>
              </w:rPr>
              <w:t>300</w:t>
            </w:r>
          </w:p>
          <w:p>
            <w:pPr>
              <w:pStyle w:val="46"/>
              <w:spacing w:before="4" w:line="242" w:lineRule="auto"/>
              <w:ind w:left="182" w:right="169"/>
              <w:jc w:val="center"/>
              <w:rPr>
                <w:sz w:val="24"/>
              </w:rPr>
            </w:pPr>
            <w:r>
              <w:rPr>
                <w:spacing w:val="-9"/>
                <w:sz w:val="24"/>
              </w:rPr>
              <w:t>万元及以</w:t>
            </w:r>
          </w:p>
          <w:p>
            <w:pPr>
              <w:pStyle w:val="46"/>
              <w:spacing w:before="4" w:line="292" w:lineRule="exact"/>
              <w:ind w:left="11"/>
              <w:jc w:val="center"/>
              <w:rPr>
                <w:sz w:val="24"/>
              </w:rPr>
            </w:pPr>
            <w:r>
              <w:rPr>
                <w:sz w:val="24"/>
              </w:rPr>
              <w:t>上</w:t>
            </w:r>
          </w:p>
        </w:tc>
        <w:tc>
          <w:tcPr>
            <w:tcW w:w="427" w:type="pct"/>
            <w:vAlign w:val="top"/>
          </w:tcPr>
          <w:p>
            <w:pPr>
              <w:pStyle w:val="46"/>
              <w:spacing w:line="307" w:lineRule="exact"/>
              <w:ind w:left="180" w:right="166"/>
              <w:jc w:val="center"/>
              <w:rPr>
                <w:sz w:val="24"/>
              </w:rPr>
            </w:pPr>
            <w:r>
              <w:rPr>
                <w:sz w:val="24"/>
              </w:rPr>
              <w:t>300</w:t>
            </w:r>
          </w:p>
          <w:p>
            <w:pPr>
              <w:pStyle w:val="46"/>
              <w:spacing w:before="4" w:line="242" w:lineRule="auto"/>
              <w:ind w:left="183" w:right="166"/>
              <w:jc w:val="center"/>
              <w:rPr>
                <w:sz w:val="24"/>
              </w:rPr>
            </w:pPr>
            <w:r>
              <w:rPr>
                <w:spacing w:val="-9"/>
                <w:sz w:val="24"/>
              </w:rPr>
              <w:t>万元及以</w:t>
            </w:r>
          </w:p>
          <w:p>
            <w:pPr>
              <w:pStyle w:val="46"/>
              <w:spacing w:before="4" w:line="292" w:lineRule="exact"/>
              <w:ind w:left="14"/>
              <w:jc w:val="center"/>
              <w:rPr>
                <w:sz w:val="24"/>
              </w:rPr>
            </w:pPr>
            <w:r>
              <w:rPr>
                <w:sz w:val="24"/>
              </w:rPr>
              <w:t>下</w:t>
            </w:r>
          </w:p>
        </w:tc>
        <w:tc>
          <w:tcPr>
            <w:tcW w:w="425" w:type="pct"/>
            <w:vAlign w:val="top"/>
          </w:tcPr>
          <w:p>
            <w:pPr>
              <w:pStyle w:val="46"/>
              <w:rPr>
                <w:rFonts w:ascii="Times New Roman"/>
                <w:sz w:val="24"/>
              </w:rPr>
            </w:pPr>
          </w:p>
        </w:tc>
        <w:tc>
          <w:tcPr>
            <w:tcW w:w="425" w:type="pct"/>
            <w:vAlign w:val="top"/>
          </w:tcPr>
          <w:p>
            <w:pPr>
              <w:pStyle w:val="46"/>
              <w:rPr>
                <w:rFonts w:ascii="Times New Roman"/>
                <w:sz w:val="24"/>
              </w:rPr>
            </w:pPr>
          </w:p>
        </w:tc>
        <w:tc>
          <w:tcPr>
            <w:tcW w:w="377" w:type="pct"/>
            <w:vAlign w:val="top"/>
          </w:tcPr>
          <w:p>
            <w:pPr>
              <w:pStyle w:val="46"/>
              <w:rPr>
                <w:rFonts w:ascii="Times New Roman"/>
                <w:sz w:val="24"/>
              </w:rPr>
            </w:pPr>
          </w:p>
        </w:tc>
        <w:tc>
          <w:tcPr>
            <w:tcW w:w="425" w:type="pct"/>
            <w:vAlign w:val="top"/>
          </w:tcPr>
          <w:p>
            <w:pPr>
              <w:pStyle w:val="46"/>
              <w:spacing w:line="307" w:lineRule="exact"/>
              <w:ind w:left="161" w:right="151"/>
              <w:jc w:val="center"/>
              <w:rPr>
                <w:sz w:val="24"/>
              </w:rPr>
            </w:pPr>
            <w:r>
              <w:rPr>
                <w:sz w:val="24"/>
              </w:rPr>
              <w:t>5000</w:t>
            </w:r>
          </w:p>
          <w:p>
            <w:pPr>
              <w:pStyle w:val="46"/>
              <w:spacing w:before="4" w:line="242" w:lineRule="auto"/>
              <w:ind w:left="181" w:right="169"/>
              <w:jc w:val="center"/>
              <w:rPr>
                <w:sz w:val="24"/>
              </w:rPr>
            </w:pPr>
            <w:r>
              <w:rPr>
                <w:spacing w:val="-9"/>
                <w:sz w:val="24"/>
              </w:rPr>
              <w:t>万元及以</w:t>
            </w:r>
          </w:p>
          <w:p>
            <w:pPr>
              <w:pStyle w:val="46"/>
              <w:spacing w:before="4" w:line="292" w:lineRule="exact"/>
              <w:ind w:left="10"/>
              <w:jc w:val="center"/>
              <w:rPr>
                <w:sz w:val="24"/>
              </w:rPr>
            </w:pPr>
            <w:r>
              <w:rPr>
                <w:sz w:val="24"/>
              </w:rPr>
              <w:t>上</w:t>
            </w:r>
          </w:p>
        </w:tc>
        <w:tc>
          <w:tcPr>
            <w:tcW w:w="426" w:type="pct"/>
            <w:vAlign w:val="top"/>
          </w:tcPr>
          <w:p>
            <w:pPr>
              <w:pStyle w:val="46"/>
              <w:spacing w:line="307" w:lineRule="exact"/>
              <w:ind w:left="162" w:right="151"/>
              <w:jc w:val="center"/>
              <w:rPr>
                <w:sz w:val="24"/>
              </w:rPr>
            </w:pPr>
            <w:r>
              <w:rPr>
                <w:sz w:val="24"/>
              </w:rPr>
              <w:t>300</w:t>
            </w:r>
          </w:p>
          <w:p>
            <w:pPr>
              <w:pStyle w:val="46"/>
              <w:spacing w:before="4" w:line="242" w:lineRule="auto"/>
              <w:ind w:left="183" w:right="169"/>
              <w:jc w:val="center"/>
              <w:rPr>
                <w:sz w:val="24"/>
              </w:rPr>
            </w:pPr>
            <w:r>
              <w:rPr>
                <w:spacing w:val="-9"/>
                <w:sz w:val="24"/>
              </w:rPr>
              <w:t>万元及以</w:t>
            </w:r>
          </w:p>
          <w:p>
            <w:pPr>
              <w:pStyle w:val="46"/>
              <w:spacing w:before="4" w:line="292" w:lineRule="exact"/>
              <w:ind w:left="11"/>
              <w:jc w:val="center"/>
              <w:rPr>
                <w:sz w:val="24"/>
              </w:rPr>
            </w:pPr>
            <w:r>
              <w:rPr>
                <w:sz w:val="24"/>
              </w:rPr>
              <w:t>上</w:t>
            </w:r>
          </w:p>
        </w:tc>
        <w:tc>
          <w:tcPr>
            <w:tcW w:w="429" w:type="pct"/>
            <w:vAlign w:val="top"/>
          </w:tcPr>
          <w:p>
            <w:pPr>
              <w:pStyle w:val="46"/>
              <w:spacing w:line="307" w:lineRule="exact"/>
              <w:ind w:left="162" w:right="151"/>
              <w:jc w:val="center"/>
              <w:rPr>
                <w:sz w:val="24"/>
              </w:rPr>
            </w:pPr>
            <w:r>
              <w:rPr>
                <w:sz w:val="24"/>
              </w:rPr>
              <w:t>300</w:t>
            </w:r>
          </w:p>
          <w:p>
            <w:pPr>
              <w:pStyle w:val="46"/>
              <w:spacing w:before="4" w:line="242" w:lineRule="auto"/>
              <w:ind w:left="183" w:right="169"/>
              <w:jc w:val="center"/>
              <w:rPr>
                <w:sz w:val="24"/>
              </w:rPr>
            </w:pPr>
            <w:r>
              <w:rPr>
                <w:spacing w:val="-9"/>
                <w:sz w:val="24"/>
              </w:rPr>
              <w:t>万元及以</w:t>
            </w:r>
          </w:p>
          <w:p>
            <w:pPr>
              <w:pStyle w:val="46"/>
              <w:spacing w:before="4" w:line="292" w:lineRule="exact"/>
              <w:ind w:left="11"/>
              <w:jc w:val="center"/>
              <w:rPr>
                <w:sz w:val="24"/>
              </w:rPr>
            </w:pPr>
            <w:r>
              <w:rPr>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sz w:val="24"/>
              </w:rPr>
            </w:pPr>
          </w:p>
          <w:p>
            <w:pPr>
              <w:pStyle w:val="46"/>
              <w:spacing w:before="8"/>
              <w:rPr>
                <w:b/>
                <w:sz w:val="24"/>
              </w:rPr>
            </w:pPr>
          </w:p>
          <w:p>
            <w:pPr>
              <w:pStyle w:val="46"/>
              <w:ind w:left="96" w:right="85"/>
              <w:jc w:val="center"/>
              <w:rPr>
                <w:sz w:val="24"/>
              </w:rPr>
            </w:pPr>
            <w:r>
              <w:rPr>
                <w:sz w:val="24"/>
              </w:rPr>
              <w:t>批发业</w:t>
            </w:r>
          </w:p>
        </w:tc>
        <w:tc>
          <w:tcPr>
            <w:tcW w:w="732" w:type="pct"/>
            <w:vAlign w:val="top"/>
          </w:tcPr>
          <w:p>
            <w:pPr>
              <w:pStyle w:val="46"/>
              <w:spacing w:line="242" w:lineRule="auto"/>
              <w:ind w:left="124" w:right="115"/>
              <w:jc w:val="center"/>
              <w:rPr>
                <w:sz w:val="24"/>
              </w:rPr>
            </w:pPr>
            <w:r>
              <w:rPr>
                <w:sz w:val="24"/>
              </w:rPr>
              <w:t xml:space="preserve">人员 200 </w:t>
            </w:r>
            <w:r>
              <w:rPr>
                <w:spacing w:val="-4"/>
                <w:sz w:val="24"/>
              </w:rPr>
              <w:t>人以下或营</w:t>
            </w:r>
            <w:r>
              <w:rPr>
                <w:sz w:val="24"/>
              </w:rPr>
              <w:t>业收入40000</w:t>
            </w:r>
            <w:r>
              <w:rPr>
                <w:spacing w:val="-20"/>
                <w:sz w:val="24"/>
              </w:rPr>
              <w:t xml:space="preserve"> 万元</w:t>
            </w:r>
          </w:p>
          <w:p>
            <w:pPr>
              <w:pStyle w:val="46"/>
              <w:spacing w:before="5" w:line="292" w:lineRule="exact"/>
              <w:ind w:left="101" w:right="94"/>
              <w:jc w:val="center"/>
              <w:rPr>
                <w:sz w:val="24"/>
              </w:rPr>
            </w:pPr>
            <w:r>
              <w:rPr>
                <w:sz w:val="24"/>
              </w:rPr>
              <w:t>以下</w:t>
            </w:r>
          </w:p>
        </w:tc>
        <w:tc>
          <w:tcPr>
            <w:tcW w:w="425" w:type="pct"/>
            <w:vAlign w:val="top"/>
          </w:tcPr>
          <w:p>
            <w:pPr>
              <w:pStyle w:val="46"/>
              <w:spacing w:line="307" w:lineRule="exact"/>
              <w:ind w:left="182"/>
              <w:rPr>
                <w:sz w:val="24"/>
              </w:rPr>
            </w:pPr>
            <w:r>
              <w:rPr>
                <w:sz w:val="24"/>
              </w:rPr>
              <w:t>5000</w:t>
            </w:r>
          </w:p>
          <w:p>
            <w:pPr>
              <w:pStyle w:val="46"/>
              <w:spacing w:before="4" w:line="242" w:lineRule="auto"/>
              <w:ind w:left="182" w:right="170"/>
              <w:jc w:val="both"/>
              <w:rPr>
                <w:sz w:val="24"/>
              </w:rPr>
            </w:pPr>
            <w:r>
              <w:rPr>
                <w:sz w:val="24"/>
              </w:rPr>
              <w:t>万元及以上</w:t>
            </w:r>
          </w:p>
        </w:tc>
        <w:tc>
          <w:tcPr>
            <w:tcW w:w="425" w:type="pct"/>
            <w:vAlign w:val="top"/>
          </w:tcPr>
          <w:p>
            <w:pPr>
              <w:pStyle w:val="46"/>
              <w:spacing w:line="307" w:lineRule="exact"/>
              <w:ind w:left="182"/>
              <w:rPr>
                <w:sz w:val="24"/>
              </w:rPr>
            </w:pPr>
            <w:r>
              <w:rPr>
                <w:sz w:val="24"/>
              </w:rPr>
              <w:t>1000</w:t>
            </w:r>
          </w:p>
          <w:p>
            <w:pPr>
              <w:pStyle w:val="46"/>
              <w:spacing w:before="4" w:line="242" w:lineRule="auto"/>
              <w:ind w:left="182" w:right="169"/>
              <w:jc w:val="both"/>
              <w:rPr>
                <w:sz w:val="24"/>
              </w:rPr>
            </w:pPr>
            <w:r>
              <w:rPr>
                <w:sz w:val="24"/>
              </w:rPr>
              <w:t>万元及以上</w:t>
            </w:r>
          </w:p>
        </w:tc>
        <w:tc>
          <w:tcPr>
            <w:tcW w:w="427" w:type="pct"/>
            <w:vAlign w:val="top"/>
          </w:tcPr>
          <w:p>
            <w:pPr>
              <w:pStyle w:val="46"/>
              <w:spacing w:line="307" w:lineRule="exact"/>
              <w:ind w:left="183"/>
              <w:rPr>
                <w:sz w:val="24"/>
              </w:rPr>
            </w:pPr>
            <w:r>
              <w:rPr>
                <w:sz w:val="24"/>
              </w:rPr>
              <w:t>1000</w:t>
            </w:r>
          </w:p>
          <w:p>
            <w:pPr>
              <w:pStyle w:val="46"/>
              <w:spacing w:before="4" w:line="242" w:lineRule="auto"/>
              <w:ind w:left="183" w:right="166"/>
              <w:jc w:val="both"/>
              <w:rPr>
                <w:sz w:val="24"/>
              </w:rPr>
            </w:pPr>
            <w:r>
              <w:rPr>
                <w:sz w:val="24"/>
              </w:rPr>
              <w:t>万元及以下</w:t>
            </w:r>
          </w:p>
        </w:tc>
        <w:tc>
          <w:tcPr>
            <w:tcW w:w="425" w:type="pct"/>
            <w:vAlign w:val="top"/>
          </w:tcPr>
          <w:p>
            <w:pPr>
              <w:pStyle w:val="46"/>
              <w:spacing w:line="242" w:lineRule="auto"/>
              <w:ind w:left="184" w:right="108" w:hanging="60"/>
              <w:jc w:val="both"/>
              <w:rPr>
                <w:sz w:val="24"/>
              </w:rPr>
            </w:pPr>
            <w:r>
              <w:rPr>
                <w:sz w:val="24"/>
              </w:rPr>
              <w:t>20 人及以上</w:t>
            </w:r>
          </w:p>
        </w:tc>
        <w:tc>
          <w:tcPr>
            <w:tcW w:w="425" w:type="pct"/>
            <w:vAlign w:val="top"/>
          </w:tcPr>
          <w:p>
            <w:pPr>
              <w:pStyle w:val="46"/>
              <w:spacing w:line="242" w:lineRule="auto"/>
              <w:ind w:left="183" w:right="170" w:firstLine="28"/>
              <w:jc w:val="both"/>
              <w:rPr>
                <w:sz w:val="24"/>
              </w:rPr>
            </w:pPr>
            <w:r>
              <w:rPr>
                <w:sz w:val="24"/>
              </w:rPr>
              <w:t>5</w:t>
            </w:r>
            <w:r>
              <w:rPr>
                <w:spacing w:val="-30"/>
                <w:sz w:val="24"/>
              </w:rPr>
              <w:t xml:space="preserve"> 人</w:t>
            </w:r>
            <w:r>
              <w:rPr>
                <w:spacing w:val="-24"/>
                <w:sz w:val="24"/>
              </w:rPr>
              <w:t>及以</w:t>
            </w:r>
            <w:r>
              <w:rPr>
                <w:sz w:val="24"/>
              </w:rPr>
              <w:t>上</w:t>
            </w:r>
          </w:p>
        </w:tc>
        <w:tc>
          <w:tcPr>
            <w:tcW w:w="377" w:type="pct"/>
            <w:vAlign w:val="top"/>
          </w:tcPr>
          <w:p>
            <w:pPr>
              <w:pStyle w:val="46"/>
              <w:spacing w:line="242" w:lineRule="auto"/>
              <w:ind w:left="130" w:right="120"/>
              <w:rPr>
                <w:sz w:val="24"/>
              </w:rPr>
            </w:pPr>
            <w:r>
              <w:rPr>
                <w:sz w:val="24"/>
              </w:rPr>
              <w:t>5 人以下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sz w:val="24"/>
              </w:rPr>
            </w:pPr>
          </w:p>
          <w:p>
            <w:pPr>
              <w:pStyle w:val="46"/>
              <w:spacing w:before="8"/>
              <w:rPr>
                <w:b/>
                <w:sz w:val="24"/>
              </w:rPr>
            </w:pPr>
          </w:p>
          <w:p>
            <w:pPr>
              <w:pStyle w:val="46"/>
              <w:spacing w:before="1"/>
              <w:ind w:left="96" w:right="85"/>
              <w:jc w:val="center"/>
              <w:rPr>
                <w:sz w:val="24"/>
              </w:rPr>
            </w:pPr>
            <w:r>
              <w:rPr>
                <w:sz w:val="24"/>
              </w:rPr>
              <w:t>零售业</w:t>
            </w:r>
          </w:p>
        </w:tc>
        <w:tc>
          <w:tcPr>
            <w:tcW w:w="732" w:type="pct"/>
            <w:vAlign w:val="top"/>
          </w:tcPr>
          <w:p>
            <w:pPr>
              <w:pStyle w:val="46"/>
              <w:spacing w:line="242" w:lineRule="auto"/>
              <w:ind w:left="124" w:right="115"/>
              <w:jc w:val="center"/>
              <w:rPr>
                <w:sz w:val="24"/>
              </w:rPr>
            </w:pPr>
            <w:r>
              <w:rPr>
                <w:sz w:val="24"/>
              </w:rPr>
              <w:t xml:space="preserve">人员 300 </w:t>
            </w:r>
            <w:r>
              <w:rPr>
                <w:spacing w:val="-4"/>
                <w:sz w:val="24"/>
              </w:rPr>
              <w:t>人以下或营</w:t>
            </w:r>
            <w:r>
              <w:rPr>
                <w:sz w:val="24"/>
              </w:rPr>
              <w:t>业收入20000</w:t>
            </w:r>
            <w:r>
              <w:rPr>
                <w:spacing w:val="-20"/>
                <w:sz w:val="24"/>
              </w:rPr>
              <w:t xml:space="preserve"> 万元</w:t>
            </w:r>
          </w:p>
          <w:p>
            <w:pPr>
              <w:pStyle w:val="46"/>
              <w:spacing w:before="6" w:line="292" w:lineRule="exact"/>
              <w:ind w:left="101" w:right="94"/>
              <w:jc w:val="center"/>
              <w:rPr>
                <w:sz w:val="24"/>
              </w:rPr>
            </w:pPr>
            <w:r>
              <w:rPr>
                <w:sz w:val="24"/>
              </w:rPr>
              <w:t>以下</w:t>
            </w:r>
          </w:p>
        </w:tc>
        <w:tc>
          <w:tcPr>
            <w:tcW w:w="425" w:type="pct"/>
            <w:vAlign w:val="top"/>
          </w:tcPr>
          <w:p>
            <w:pPr>
              <w:pStyle w:val="46"/>
              <w:ind w:left="242"/>
              <w:rPr>
                <w:sz w:val="24"/>
              </w:rPr>
            </w:pPr>
            <w:r>
              <w:rPr>
                <w:sz w:val="24"/>
              </w:rPr>
              <w:t>500</w:t>
            </w:r>
          </w:p>
          <w:p>
            <w:pPr>
              <w:pStyle w:val="46"/>
              <w:spacing w:before="4" w:line="242" w:lineRule="auto"/>
              <w:ind w:left="182" w:right="170"/>
              <w:jc w:val="both"/>
              <w:rPr>
                <w:sz w:val="24"/>
              </w:rPr>
            </w:pPr>
            <w:r>
              <w:rPr>
                <w:sz w:val="24"/>
              </w:rPr>
              <w:t>万元及以上</w:t>
            </w:r>
          </w:p>
        </w:tc>
        <w:tc>
          <w:tcPr>
            <w:tcW w:w="425" w:type="pct"/>
            <w:vAlign w:val="top"/>
          </w:tcPr>
          <w:p>
            <w:pPr>
              <w:pStyle w:val="46"/>
              <w:ind w:left="242"/>
              <w:rPr>
                <w:sz w:val="24"/>
              </w:rPr>
            </w:pPr>
            <w:r>
              <w:rPr>
                <w:sz w:val="24"/>
              </w:rPr>
              <w:t>100</w:t>
            </w:r>
          </w:p>
          <w:p>
            <w:pPr>
              <w:pStyle w:val="46"/>
              <w:spacing w:before="4" w:line="242" w:lineRule="auto"/>
              <w:ind w:left="182" w:right="169"/>
              <w:jc w:val="both"/>
              <w:rPr>
                <w:sz w:val="24"/>
              </w:rPr>
            </w:pPr>
            <w:r>
              <w:rPr>
                <w:sz w:val="24"/>
              </w:rPr>
              <w:t>万元及以上</w:t>
            </w:r>
          </w:p>
        </w:tc>
        <w:tc>
          <w:tcPr>
            <w:tcW w:w="427" w:type="pct"/>
            <w:vAlign w:val="top"/>
          </w:tcPr>
          <w:p>
            <w:pPr>
              <w:pStyle w:val="46"/>
              <w:ind w:left="243"/>
              <w:rPr>
                <w:sz w:val="24"/>
              </w:rPr>
            </w:pPr>
            <w:r>
              <w:rPr>
                <w:sz w:val="24"/>
              </w:rPr>
              <w:t>100</w:t>
            </w:r>
          </w:p>
          <w:p>
            <w:pPr>
              <w:pStyle w:val="46"/>
              <w:spacing w:before="4" w:line="242" w:lineRule="auto"/>
              <w:ind w:left="183" w:right="166"/>
              <w:rPr>
                <w:sz w:val="24"/>
              </w:rPr>
            </w:pPr>
            <w:r>
              <w:rPr>
                <w:spacing w:val="-9"/>
                <w:sz w:val="24"/>
              </w:rPr>
              <w:t>万元以下</w:t>
            </w:r>
          </w:p>
        </w:tc>
        <w:tc>
          <w:tcPr>
            <w:tcW w:w="425" w:type="pct"/>
            <w:vAlign w:val="top"/>
          </w:tcPr>
          <w:p>
            <w:pPr>
              <w:pStyle w:val="46"/>
              <w:spacing w:line="242" w:lineRule="auto"/>
              <w:ind w:left="184" w:right="108" w:hanging="60"/>
              <w:jc w:val="both"/>
              <w:rPr>
                <w:sz w:val="24"/>
              </w:rPr>
            </w:pPr>
            <w:r>
              <w:rPr>
                <w:sz w:val="24"/>
              </w:rPr>
              <w:t>50 人及以上</w:t>
            </w:r>
          </w:p>
        </w:tc>
        <w:tc>
          <w:tcPr>
            <w:tcW w:w="425" w:type="pct"/>
            <w:vAlign w:val="top"/>
          </w:tcPr>
          <w:p>
            <w:pPr>
              <w:pStyle w:val="46"/>
              <w:spacing w:line="242" w:lineRule="auto"/>
              <w:ind w:left="183" w:right="110" w:hanging="60"/>
              <w:jc w:val="both"/>
              <w:rPr>
                <w:sz w:val="24"/>
              </w:rPr>
            </w:pPr>
            <w:r>
              <w:rPr>
                <w:sz w:val="24"/>
              </w:rPr>
              <w:t>10 人及以上</w:t>
            </w:r>
          </w:p>
        </w:tc>
        <w:tc>
          <w:tcPr>
            <w:tcW w:w="377" w:type="pct"/>
            <w:vAlign w:val="top"/>
          </w:tcPr>
          <w:p>
            <w:pPr>
              <w:pStyle w:val="46"/>
              <w:ind w:left="130" w:right="120"/>
              <w:jc w:val="center"/>
              <w:rPr>
                <w:sz w:val="24"/>
              </w:rPr>
            </w:pPr>
            <w:r>
              <w:rPr>
                <w:sz w:val="24"/>
              </w:rPr>
              <w:t>10</w:t>
            </w:r>
          </w:p>
          <w:p>
            <w:pPr>
              <w:pStyle w:val="46"/>
              <w:spacing w:before="4" w:line="242" w:lineRule="auto"/>
              <w:ind w:left="130" w:right="120"/>
              <w:jc w:val="center"/>
              <w:rPr>
                <w:sz w:val="24"/>
              </w:rPr>
            </w:pPr>
            <w:r>
              <w:rPr>
                <w:spacing w:val="-9"/>
                <w:sz w:val="24"/>
              </w:rPr>
              <w:t>人以</w:t>
            </w:r>
            <w:r>
              <w:rPr>
                <w:sz w:val="24"/>
              </w:rPr>
              <w:t>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ind w:left="-240" w:leftChars="-100" w:right="118" w:rightChars="49" w:firstLine="240" w:firstLineChars="100"/>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sz w:val="24"/>
              </w:rPr>
            </w:pPr>
            <w:r>
              <w:rPr>
                <w:sz w:val="24"/>
              </w:rPr>
              <w:t>交通运</w:t>
            </w:r>
          </w:p>
          <w:p>
            <w:pPr>
              <w:pStyle w:val="46"/>
              <w:spacing w:before="4" w:line="292" w:lineRule="exact"/>
              <w:ind w:left="96" w:right="84"/>
              <w:jc w:val="center"/>
              <w:rPr>
                <w:sz w:val="24"/>
              </w:rPr>
            </w:pPr>
            <w:r>
              <w:rPr>
                <w:sz w:val="24"/>
              </w:rPr>
              <w:t>输业</w:t>
            </w:r>
          </w:p>
        </w:tc>
        <w:tc>
          <w:tcPr>
            <w:tcW w:w="732" w:type="pct"/>
            <w:vAlign w:val="top"/>
          </w:tcPr>
          <w:p>
            <w:pPr>
              <w:pStyle w:val="46"/>
              <w:spacing w:before="2"/>
              <w:ind w:left="184"/>
              <w:rPr>
                <w:sz w:val="24"/>
              </w:rPr>
            </w:pPr>
            <w:r>
              <w:rPr>
                <w:sz w:val="24"/>
              </w:rPr>
              <w:t>人员 1000</w:t>
            </w:r>
          </w:p>
          <w:p>
            <w:pPr>
              <w:pStyle w:val="46"/>
              <w:spacing w:before="4" w:line="292" w:lineRule="exact"/>
              <w:ind w:left="124"/>
              <w:rPr>
                <w:sz w:val="24"/>
              </w:rPr>
            </w:pPr>
            <w:r>
              <w:rPr>
                <w:sz w:val="24"/>
              </w:rPr>
              <w:t>人以下或营</w:t>
            </w:r>
          </w:p>
        </w:tc>
        <w:tc>
          <w:tcPr>
            <w:tcW w:w="425" w:type="pct"/>
            <w:vAlign w:val="top"/>
          </w:tcPr>
          <w:p>
            <w:pPr>
              <w:pStyle w:val="46"/>
              <w:spacing w:before="2"/>
              <w:ind w:left="182"/>
              <w:rPr>
                <w:sz w:val="24"/>
              </w:rPr>
            </w:pPr>
            <w:r>
              <w:rPr>
                <w:sz w:val="24"/>
              </w:rPr>
              <w:t>3000</w:t>
            </w:r>
          </w:p>
          <w:p>
            <w:pPr>
              <w:pStyle w:val="46"/>
              <w:spacing w:before="4" w:line="292" w:lineRule="exact"/>
              <w:ind w:left="182"/>
              <w:rPr>
                <w:sz w:val="24"/>
              </w:rPr>
            </w:pPr>
            <w:r>
              <w:rPr>
                <w:sz w:val="24"/>
              </w:rPr>
              <w:t>万元</w:t>
            </w:r>
          </w:p>
        </w:tc>
        <w:tc>
          <w:tcPr>
            <w:tcW w:w="425" w:type="pct"/>
            <w:vAlign w:val="top"/>
          </w:tcPr>
          <w:p>
            <w:pPr>
              <w:pStyle w:val="46"/>
              <w:spacing w:before="2"/>
              <w:ind w:left="242"/>
              <w:rPr>
                <w:sz w:val="24"/>
              </w:rPr>
            </w:pPr>
            <w:r>
              <w:rPr>
                <w:sz w:val="24"/>
              </w:rPr>
              <w:t>200</w:t>
            </w:r>
          </w:p>
          <w:p>
            <w:pPr>
              <w:pStyle w:val="46"/>
              <w:spacing w:before="4" w:line="292" w:lineRule="exact"/>
              <w:ind w:left="182"/>
              <w:rPr>
                <w:sz w:val="24"/>
              </w:rPr>
            </w:pPr>
            <w:r>
              <w:rPr>
                <w:sz w:val="24"/>
              </w:rPr>
              <w:t>万元</w:t>
            </w:r>
          </w:p>
        </w:tc>
        <w:tc>
          <w:tcPr>
            <w:tcW w:w="427" w:type="pct"/>
            <w:vAlign w:val="top"/>
          </w:tcPr>
          <w:p>
            <w:pPr>
              <w:pStyle w:val="46"/>
              <w:spacing w:before="2"/>
              <w:ind w:left="243"/>
              <w:rPr>
                <w:sz w:val="24"/>
              </w:rPr>
            </w:pPr>
            <w:r>
              <w:rPr>
                <w:sz w:val="24"/>
              </w:rPr>
              <w:t>200</w:t>
            </w:r>
          </w:p>
          <w:p>
            <w:pPr>
              <w:pStyle w:val="46"/>
              <w:spacing w:before="4" w:line="292" w:lineRule="exact"/>
              <w:ind w:left="183"/>
              <w:rPr>
                <w:sz w:val="24"/>
              </w:rPr>
            </w:pPr>
            <w:r>
              <w:rPr>
                <w:sz w:val="24"/>
              </w:rPr>
              <w:t>万元</w:t>
            </w:r>
          </w:p>
        </w:tc>
        <w:tc>
          <w:tcPr>
            <w:tcW w:w="425" w:type="pct"/>
            <w:vAlign w:val="top"/>
          </w:tcPr>
          <w:p>
            <w:pPr>
              <w:pStyle w:val="46"/>
              <w:spacing w:before="2"/>
              <w:ind w:left="244"/>
              <w:rPr>
                <w:sz w:val="24"/>
              </w:rPr>
            </w:pPr>
            <w:r>
              <w:rPr>
                <w:sz w:val="24"/>
              </w:rPr>
              <w:t>300</w:t>
            </w:r>
          </w:p>
          <w:p>
            <w:pPr>
              <w:pStyle w:val="46"/>
              <w:spacing w:before="4" w:line="292" w:lineRule="exact"/>
              <w:ind w:left="184"/>
              <w:rPr>
                <w:sz w:val="24"/>
              </w:rPr>
            </w:pPr>
            <w:r>
              <w:rPr>
                <w:sz w:val="24"/>
              </w:rPr>
              <w:t>人及</w:t>
            </w:r>
          </w:p>
        </w:tc>
        <w:tc>
          <w:tcPr>
            <w:tcW w:w="425" w:type="pct"/>
            <w:vAlign w:val="top"/>
          </w:tcPr>
          <w:p>
            <w:pPr>
              <w:pStyle w:val="46"/>
              <w:spacing w:before="2"/>
              <w:ind w:left="152"/>
              <w:rPr>
                <w:sz w:val="24"/>
              </w:rPr>
            </w:pPr>
            <w:r>
              <w:rPr>
                <w:sz w:val="24"/>
              </w:rPr>
              <w:t>20</w:t>
            </w:r>
            <w:r>
              <w:rPr>
                <w:spacing w:val="-30"/>
                <w:sz w:val="24"/>
              </w:rPr>
              <w:t xml:space="preserve"> 人</w:t>
            </w:r>
          </w:p>
          <w:p>
            <w:pPr>
              <w:pStyle w:val="46"/>
              <w:spacing w:before="4" w:line="292" w:lineRule="exact"/>
              <w:ind w:left="183"/>
              <w:rPr>
                <w:sz w:val="24"/>
              </w:rPr>
            </w:pPr>
            <w:r>
              <w:rPr>
                <w:sz w:val="24"/>
              </w:rPr>
              <w:t>及以</w:t>
            </w:r>
          </w:p>
        </w:tc>
        <w:tc>
          <w:tcPr>
            <w:tcW w:w="377" w:type="pct"/>
            <w:vAlign w:val="top"/>
          </w:tcPr>
          <w:p>
            <w:pPr>
              <w:pStyle w:val="46"/>
              <w:spacing w:before="2"/>
              <w:ind w:left="109"/>
              <w:rPr>
                <w:sz w:val="24"/>
              </w:rPr>
            </w:pPr>
            <w:r>
              <w:rPr>
                <w:sz w:val="24"/>
              </w:rPr>
              <w:t>20</w:t>
            </w:r>
            <w:r>
              <w:rPr>
                <w:spacing w:val="-38"/>
                <w:sz w:val="24"/>
              </w:rPr>
              <w:t xml:space="preserve"> 人</w:t>
            </w:r>
          </w:p>
          <w:p>
            <w:pPr>
              <w:pStyle w:val="46"/>
              <w:spacing w:before="4" w:line="292" w:lineRule="exact"/>
              <w:ind w:left="130"/>
              <w:rPr>
                <w:sz w:val="24"/>
              </w:rPr>
            </w:pPr>
            <w:r>
              <w:rPr>
                <w:sz w:val="24"/>
              </w:rPr>
              <w:t>以下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20"/>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8"/>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8"/>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8"/>
        <w:spacing w:before="2"/>
        <w:ind w:left="1018"/>
        <w:rPr>
          <w:color w:val="auto"/>
        </w:rPr>
      </w:pPr>
      <w:r>
        <w:rPr>
          <w:color w:val="auto"/>
        </w:rPr>
        <w:t>一、享受政府采购支持政策的残疾人福利性单位应当同时满足以下条件：</w:t>
      </w:r>
    </w:p>
    <w:p>
      <w:pPr>
        <w:pStyle w:val="8"/>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8"/>
        <w:spacing w:before="1"/>
        <w:ind w:left="1018"/>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8"/>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8"/>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8"/>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8"/>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8"/>
        <w:spacing w:before="2"/>
        <w:ind w:left="1018"/>
        <w:rPr>
          <w:color w:val="auto"/>
        </w:rPr>
      </w:pPr>
      <w:r>
        <w:rPr>
          <w:color w:val="auto"/>
        </w:rPr>
        <w:t>二、符合条件的残疾人福利性单位在参加政府采购活动时，应当提供本通知规定的</w:t>
      </w:r>
    </w:p>
    <w:p>
      <w:pPr>
        <w:pStyle w:val="8"/>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8"/>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8"/>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8"/>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8"/>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8"/>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8"/>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8"/>
        <w:spacing w:before="2"/>
        <w:ind w:left="1018"/>
        <w:jc w:val="both"/>
        <w:rPr>
          <w:color w:val="auto"/>
        </w:rPr>
      </w:pPr>
      <w:r>
        <w:rPr>
          <w:color w:val="auto"/>
        </w:rPr>
        <w:t>七、本通知自 2017 年 10 月 1 日起执行。</w:t>
      </w:r>
    </w:p>
    <w:p>
      <w:pPr>
        <w:pStyle w:val="8"/>
        <w:spacing w:before="161" w:line="364" w:lineRule="auto"/>
        <w:ind w:left="8890" w:right="534"/>
        <w:jc w:val="right"/>
        <w:rPr>
          <w:color w:val="auto"/>
        </w:rPr>
      </w:pPr>
      <w:r>
        <w:rPr>
          <w:color w:val="auto"/>
          <w:spacing w:val="-7"/>
        </w:rPr>
        <w:t>财政部民政部</w:t>
      </w:r>
    </w:p>
    <w:p>
      <w:pPr>
        <w:pStyle w:val="8"/>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rFonts w:hint="eastAsia"/>
          <w:color w:val="auto"/>
          <w:spacing w:val="-40"/>
          <w:lang w:val="en-US" w:eastAsia="zh-CN"/>
        </w:rPr>
        <w:t xml:space="preserve">   </w:t>
      </w:r>
      <w:r>
        <w:rPr>
          <w:color w:val="auto"/>
        </w:rPr>
        <w:t>8</w:t>
      </w:r>
      <w:r>
        <w:rPr>
          <w:color w:val="auto"/>
          <w:spacing w:val="-40"/>
        </w:rPr>
        <w:t xml:space="preserve"> 月 </w:t>
      </w:r>
      <w:r>
        <w:rPr>
          <w:rFonts w:hint="eastAsia"/>
          <w:color w:val="auto"/>
          <w:spacing w:val="-40"/>
          <w:lang w:val="en-US" w:eastAsia="zh-CN"/>
        </w:rPr>
        <w:t xml:space="preserve">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8"/>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8"/>
        <w:ind w:left="0"/>
        <w:rPr>
          <w:b/>
          <w:color w:val="auto"/>
          <w:sz w:val="32"/>
        </w:rPr>
      </w:pPr>
    </w:p>
    <w:p>
      <w:pPr>
        <w:pStyle w:val="8"/>
        <w:spacing w:before="5"/>
        <w:ind w:left="0"/>
        <w:rPr>
          <w:b/>
          <w:color w:val="auto"/>
          <w:sz w:val="29"/>
        </w:rPr>
      </w:pP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8"/>
        <w:spacing w:before="84" w:line="364" w:lineRule="auto"/>
        <w:ind w:right="416" w:firstLine="480"/>
        <w:rPr>
          <w:color w:val="auto"/>
          <w:spacing w:val="-5"/>
        </w:rPr>
      </w:pPr>
      <w:r>
        <w:rPr>
          <w:color w:val="auto"/>
          <w:spacing w:val="-5"/>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w:t>
      </w:r>
      <w:r>
        <w:rPr>
          <w:rFonts w:hint="eastAsia"/>
          <w:color w:val="auto"/>
          <w:spacing w:val="-5"/>
          <w:lang w:val="en-US" w:eastAsia="zh-CN"/>
        </w:rPr>
        <w:t xml:space="preserve"> </w:t>
      </w:r>
      <w:r>
        <w:rPr>
          <w:color w:val="auto"/>
          <w:spacing w:val="-5"/>
        </w:rPr>
        <w:t>市</w:t>
      </w:r>
      <w:r>
        <w:rPr>
          <w:rFonts w:hint="eastAsia"/>
          <w:color w:val="auto"/>
          <w:spacing w:val="-5"/>
          <w:lang w:val="en-US" w:eastAsia="zh-CN"/>
        </w:rPr>
        <w:t xml:space="preserve"> </w:t>
      </w:r>
      <w:r>
        <w:rPr>
          <w:color w:val="auto"/>
          <w:spacing w:val="-5"/>
        </w:rPr>
        <w:t>财</w:t>
      </w:r>
      <w:r>
        <w:rPr>
          <w:rFonts w:hint="eastAsia"/>
          <w:color w:val="auto"/>
          <w:spacing w:val="-5"/>
          <w:lang w:val="en-US" w:eastAsia="zh-CN"/>
        </w:rPr>
        <w:t xml:space="preserve"> </w:t>
      </w:r>
      <w:r>
        <w:rPr>
          <w:color w:val="auto"/>
          <w:spacing w:val="-5"/>
        </w:rPr>
        <w:t>政</w:t>
      </w:r>
      <w:r>
        <w:rPr>
          <w:rFonts w:hint="eastAsia"/>
          <w:color w:val="auto"/>
          <w:spacing w:val="-5"/>
          <w:lang w:val="en-US" w:eastAsia="zh-CN"/>
        </w:rPr>
        <w:t xml:space="preserve"> </w:t>
      </w:r>
      <w:r>
        <w:rPr>
          <w:color w:val="auto"/>
          <w:spacing w:val="-5"/>
        </w:rPr>
        <w:t>厅（局）</w:t>
      </w:r>
      <w:r>
        <w:rPr>
          <w:rFonts w:hint="eastAsia"/>
          <w:color w:val="auto"/>
          <w:spacing w:val="-5"/>
          <w:lang w:val="en-US" w:eastAsia="zh-CN"/>
        </w:rPr>
        <w:t xml:space="preserve">  </w:t>
      </w:r>
      <w:r>
        <w:rPr>
          <w:color w:val="auto"/>
          <w:spacing w:val="-5"/>
        </w:rPr>
        <w:t>、司法厅（局），新疆生产建设兵团财务局、司法局、监狱管理局：</w:t>
      </w:r>
    </w:p>
    <w:p>
      <w:pPr>
        <w:pStyle w:val="8"/>
        <w:spacing w:before="84" w:line="364" w:lineRule="auto"/>
        <w:ind w:right="416" w:firstLine="480"/>
        <w:rPr>
          <w:color w:val="auto"/>
          <w:spacing w:val="-5"/>
        </w:rPr>
      </w:pPr>
      <w:r>
        <w:rPr>
          <w:color w:val="auto"/>
          <w:spacing w:val="-5"/>
        </w:rPr>
        <w:t>政府采购支持监狱和戒毒企业（以下简称监狱企业）发展对稳定监狱企业生产，提高</w:t>
      </w:r>
      <w:r>
        <w:rPr>
          <w:rFonts w:hint="eastAsia"/>
          <w:color w:val="auto"/>
          <w:spacing w:val="-5"/>
          <w:lang w:eastAsia="zh-CN"/>
        </w:rPr>
        <w:t>单位自筹</w:t>
      </w:r>
      <w:r>
        <w:rPr>
          <w:color w:val="auto"/>
          <w:spacing w:val="-5"/>
        </w:rPr>
        <w:t>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pPr>
        <w:pStyle w:val="8"/>
        <w:spacing w:before="84" w:line="364" w:lineRule="auto"/>
        <w:ind w:right="416" w:firstLine="480"/>
        <w:rPr>
          <w:color w:val="auto"/>
          <w:spacing w:val="-5"/>
        </w:rPr>
      </w:pPr>
      <w:r>
        <w:rPr>
          <w:color w:val="auto"/>
          <w:spacing w:val="-5"/>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 以及新疆生产建设兵团监狱管理局、戒毒管理局的企业。监狱企业参加政府采购活动时， 应当提供由省级以上监狱管理局、戒毒管理局（含新疆生产建设兵团）出具的属于监狱企业的证明文件。</w:t>
      </w:r>
    </w:p>
    <w:p>
      <w:pPr>
        <w:pStyle w:val="8"/>
        <w:spacing w:before="84" w:line="364" w:lineRule="auto"/>
        <w:ind w:right="416" w:firstLine="480"/>
        <w:rPr>
          <w:color w:val="auto"/>
          <w:spacing w:val="-5"/>
        </w:rPr>
      </w:pPr>
      <w:r>
        <w:rPr>
          <w:color w:val="auto"/>
          <w:spacing w:val="-5"/>
        </w:rPr>
        <w:t>二、在政府采购活动中，监狱企业视同小型、微型企业，享受预留份额、评审中价格扣除等政府采购促进中小企业发展的政府采购政策。向监狱企业采购的金额，计入面向中小企业采购的统计数据。</w:t>
      </w:r>
    </w:p>
    <w:p>
      <w:pPr>
        <w:pStyle w:val="8"/>
        <w:spacing w:before="84" w:line="364" w:lineRule="auto"/>
        <w:ind w:right="416" w:firstLine="480"/>
        <w:rPr>
          <w:color w:val="auto"/>
          <w:spacing w:val="-5"/>
        </w:rPr>
      </w:pPr>
      <w:r>
        <w:rPr>
          <w:color w:val="auto"/>
          <w:spacing w:val="-5"/>
        </w:rPr>
        <w:t>三、各地区、各部门要积极通过预留采购份额支持监狱企业。有制服采购项目的部门，应加强对政府采购预算和计划编制工作的统筹，预留本部门制服采购项目预算总额的 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 提出由监狱企业印刷的比例要求。</w:t>
      </w:r>
    </w:p>
    <w:p>
      <w:pPr>
        <w:pStyle w:val="8"/>
        <w:spacing w:before="84" w:line="364" w:lineRule="auto"/>
        <w:ind w:right="416" w:firstLine="480"/>
        <w:rPr>
          <w:color w:val="auto"/>
          <w:spacing w:val="-5"/>
        </w:rPr>
      </w:pPr>
      <w:r>
        <w:rPr>
          <w:color w:val="auto"/>
          <w:spacing w:val="-5"/>
        </w:rPr>
        <w:t>四、各地区可以结合本地区实际，对监狱企业生产的办公用品、家具用具、车辆维修和提供的保养服务、消防设备等，提出预留份额等政府采购支持措施，加大对监狱企业产品的采购力度。</w:t>
      </w:r>
    </w:p>
    <w:p>
      <w:pPr>
        <w:pStyle w:val="8"/>
        <w:spacing w:before="84" w:line="364" w:lineRule="auto"/>
        <w:ind w:right="416" w:firstLine="480"/>
        <w:rPr>
          <w:color w:val="auto"/>
          <w:sz w:val="25"/>
        </w:rPr>
      </w:pPr>
      <w:r>
        <w:rPr>
          <w:color w:val="auto"/>
          <w:spacing w:val="-5"/>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pStyle w:val="8"/>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1" w:name="_Toc9526"/>
      <w:r>
        <w:rPr>
          <w:color w:val="auto"/>
        </w:rPr>
        <w:t>附件六</w:t>
      </w:r>
      <w:bookmarkEnd w:id="81"/>
    </w:p>
    <w:p>
      <w:pPr>
        <w:pStyle w:val="8"/>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8"/>
        <w:ind w:left="0"/>
        <w:rPr>
          <w:color w:val="auto"/>
        </w:rPr>
      </w:pPr>
    </w:p>
    <w:p>
      <w:pPr>
        <w:pStyle w:val="8"/>
        <w:spacing w:before="1"/>
        <w:ind w:left="0"/>
        <w:rPr>
          <w:color w:val="auto"/>
          <w:sz w:val="19"/>
        </w:rPr>
      </w:pPr>
    </w:p>
    <w:p>
      <w:pPr>
        <w:pStyle w:val="8"/>
        <w:spacing w:line="364" w:lineRule="auto"/>
        <w:ind w:right="472" w:firstLine="420" w:firstLineChars="200"/>
        <w:rPr>
          <w:color w:val="auto"/>
        </w:rPr>
      </w:pPr>
      <w:r>
        <w:rPr>
          <w:color w:val="auto"/>
        </w:rPr>
        <w:t>各省辖市、省直管县（市）住房和城乡建设局（委），郑州航空港经济综合实验区市政建设环保局，林州市住房城乡建设主管部门：</w:t>
      </w:r>
    </w:p>
    <w:p>
      <w:pPr>
        <w:pStyle w:val="8"/>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8"/>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8"/>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180"/>
          <w:u w:val="single"/>
          <w:lang w:val="en-US" w:eastAsia="zh-CN"/>
        </w:rPr>
        <w:t xml:space="preserve">   </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8"/>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8"/>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8"/>
        <w:spacing w:before="1"/>
        <w:ind w:left="1018"/>
        <w:rPr>
          <w:color w:val="auto"/>
        </w:rPr>
      </w:pPr>
      <w:r>
        <w:rPr>
          <w:color w:val="auto"/>
        </w:rPr>
        <w:t>（一）擅自设置任何审批、备案事项或者告知条件；</w:t>
      </w:r>
    </w:p>
    <w:p>
      <w:pPr>
        <w:pStyle w:val="8"/>
        <w:spacing w:before="161"/>
        <w:ind w:left="1018"/>
        <w:rPr>
          <w:color w:val="auto"/>
        </w:rPr>
      </w:pPr>
      <w:r>
        <w:rPr>
          <w:color w:val="auto"/>
        </w:rPr>
        <w:t>（二）收取没有法律法规依据的任何费用等；</w:t>
      </w:r>
    </w:p>
    <w:p>
      <w:pPr>
        <w:pStyle w:val="8"/>
        <w:spacing w:before="160"/>
        <w:ind w:left="1018"/>
        <w:rPr>
          <w:color w:val="auto"/>
        </w:rPr>
      </w:pPr>
      <w:r>
        <w:rPr>
          <w:color w:val="auto"/>
        </w:rPr>
        <w:t>（三）要求外地企业在本地区注册设立独立子公司或分公司；</w:t>
      </w:r>
    </w:p>
    <w:p>
      <w:pPr>
        <w:pStyle w:val="8"/>
        <w:spacing w:before="161"/>
        <w:ind w:left="1018"/>
        <w:rPr>
          <w:color w:val="auto"/>
        </w:rPr>
      </w:pPr>
      <w:r>
        <w:rPr>
          <w:color w:val="auto"/>
        </w:rPr>
        <w:t>（四）强制扣押外地企业和人员的相关证照资料；</w:t>
      </w:r>
    </w:p>
    <w:p>
      <w:pPr>
        <w:pStyle w:val="8"/>
        <w:spacing w:before="161" w:line="364" w:lineRule="auto"/>
        <w:ind w:right="535" w:firstLine="48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8"/>
        <w:spacing w:before="1"/>
        <w:ind w:left="1018"/>
        <w:rPr>
          <w:color w:val="auto"/>
        </w:rPr>
      </w:pPr>
      <w:r>
        <w:rPr>
          <w:color w:val="auto"/>
        </w:rPr>
        <w:t>（六）将资质资格等级作为外地企业进入本地区承揽业务的条件；</w:t>
      </w:r>
    </w:p>
    <w:p>
      <w:pPr>
        <w:pStyle w:val="8"/>
        <w:spacing w:before="161"/>
        <w:ind w:left="1018"/>
        <w:rPr>
          <w:color w:val="auto"/>
        </w:rPr>
      </w:pPr>
      <w:r>
        <w:rPr>
          <w:color w:val="auto"/>
        </w:rPr>
        <w:t>（七）以本地区承揽工程业绩、本地区获奖情况作为企业进入本地市场条件；</w:t>
      </w:r>
    </w:p>
    <w:p>
      <w:pPr>
        <w:pStyle w:val="8"/>
        <w:spacing w:before="160"/>
        <w:ind w:left="1018"/>
        <w:rPr>
          <w:color w:val="auto"/>
        </w:rPr>
      </w:pPr>
      <w:r>
        <w:rPr>
          <w:color w:val="auto"/>
        </w:rPr>
        <w:t>（八）要求企业法定代表人到场办理入省（市）手续；</w:t>
      </w:r>
    </w:p>
    <w:p>
      <w:pPr>
        <w:pStyle w:val="8"/>
        <w:spacing w:before="161"/>
        <w:ind w:left="1018"/>
        <w:rPr>
          <w:color w:val="auto"/>
        </w:rPr>
      </w:pPr>
      <w:r>
        <w:rPr>
          <w:color w:val="auto"/>
        </w:rPr>
        <w:t>（九）其他妨碍企业自主经营、公平竞争的行为。</w:t>
      </w:r>
    </w:p>
    <w:p>
      <w:pPr>
        <w:pStyle w:val="8"/>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8"/>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8"/>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8"/>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8"/>
        <w:spacing w:before="1" w:line="364" w:lineRule="auto"/>
        <w:ind w:right="532" w:firstLine="719"/>
        <w:jc w:val="both"/>
        <w:rPr>
          <w:color w:val="auto"/>
        </w:rPr>
      </w:pPr>
      <w:r>
        <w:rPr>
          <w:color w:val="auto"/>
          <w:spacing w:val="32"/>
        </w:rPr>
        <w:t>省厅举报投诉受理邮箱：</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3"/>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pStyle w:val="37"/>
        <w:rPr>
          <w:rFonts w:hint="eastAsia" w:ascii="宋体" w:hAnsi="宋体" w:cs="宋体"/>
          <w:color w:val="auto"/>
          <w:kern w:val="0"/>
          <w:sz w:val="32"/>
          <w:szCs w:val="32"/>
          <w:lang w:val="zh-CN" w:eastAsia="zh-CN"/>
        </w:rPr>
      </w:pPr>
    </w:p>
    <w:p>
      <w:pPr>
        <w:jc w:val="both"/>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drawing>
          <wp:inline distT="0" distB="0" distL="114300" distR="114300">
            <wp:extent cx="6014085" cy="8862695"/>
            <wp:effectExtent l="0" t="0" r="5715" b="14605"/>
            <wp:docPr id="2" name="图片 2" descr="告知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告知函"/>
                    <pic:cNvPicPr>
                      <a:picLocks noChangeAspect="1"/>
                    </pic:cNvPicPr>
                  </pic:nvPicPr>
                  <pic:blipFill>
                    <a:blip r:embed="rId10"/>
                    <a:stretch>
                      <a:fillRect/>
                    </a:stretch>
                  </pic:blipFill>
                  <pic:spPr>
                    <a:xfrm>
                      <a:off x="0" y="0"/>
                      <a:ext cx="6014085" cy="8862695"/>
                    </a:xfrm>
                    <a:prstGeom prst="rect">
                      <a:avLst/>
                    </a:prstGeom>
                  </pic:spPr>
                </pic:pic>
              </a:graphicData>
            </a:graphic>
          </wp:inline>
        </w:drawing>
      </w:r>
    </w:p>
    <w:sectPr>
      <w:pgSz w:w="11910" w:h="16840"/>
      <w:pgMar w:top="1440" w:right="1080" w:bottom="1440"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w:t>
                    </w:r>
                    <w:r>
                      <w:fldChar w:fldCharType="end"/>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唐河县惠兴钢构厂院内挡土墙及绿化项目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唐河县惠兴钢构厂院内挡土墙及绿化项目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35EFCA"/>
    <w:multiLevelType w:val="singleLevel"/>
    <w:tmpl w:val="A535EFCA"/>
    <w:lvl w:ilvl="0" w:tentative="0">
      <w:start w:val="4"/>
      <w:numFmt w:val="chineseCounting"/>
      <w:suff w:val="nothing"/>
      <w:lvlText w:val="%1、"/>
      <w:lvlJc w:val="left"/>
      <w:rPr>
        <w:rFonts w:hint="eastAsia"/>
      </w:rPr>
    </w:lvl>
  </w:abstractNum>
  <w:abstractNum w:abstractNumId="1">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2">
    <w:nsid w:val="00000011"/>
    <w:multiLevelType w:val="singleLevel"/>
    <w:tmpl w:val="00000011"/>
    <w:lvl w:ilvl="0" w:tentative="0">
      <w:start w:val="1"/>
      <w:numFmt w:val="decimal"/>
      <w:suff w:val="nothing"/>
      <w:lvlText w:val="（%1）"/>
      <w:lvlJc w:val="left"/>
    </w:lvl>
  </w:abstractNum>
  <w:abstractNum w:abstractNumId="3">
    <w:nsid w:val="00000012"/>
    <w:multiLevelType w:val="singleLevel"/>
    <w:tmpl w:val="00000012"/>
    <w:lvl w:ilvl="0" w:tentative="0">
      <w:start w:val="1"/>
      <w:numFmt w:val="decimal"/>
      <w:suff w:val="nothing"/>
      <w:lvlText w:val="（%1）"/>
      <w:lvlJc w:val="left"/>
    </w:lvl>
  </w:abstractNum>
  <w:abstractNum w:abstractNumId="4">
    <w:nsid w:val="00000015"/>
    <w:multiLevelType w:val="singleLevel"/>
    <w:tmpl w:val="00000015"/>
    <w:lvl w:ilvl="0" w:tentative="0">
      <w:start w:val="1"/>
      <w:numFmt w:val="decimal"/>
      <w:suff w:val="nothing"/>
      <w:lvlText w:val="（%1）"/>
      <w:lvlJc w:val="left"/>
    </w:lvl>
  </w:abstractNum>
  <w:abstractNum w:abstractNumId="5">
    <w:nsid w:val="00000016"/>
    <w:multiLevelType w:val="singleLevel"/>
    <w:tmpl w:val="00000016"/>
    <w:lvl w:ilvl="0" w:tentative="0">
      <w:start w:val="1"/>
      <w:numFmt w:val="decimal"/>
      <w:suff w:val="nothing"/>
      <w:lvlText w:val="%1、"/>
      <w:lvlJc w:val="left"/>
    </w:lvl>
  </w:abstractNum>
  <w:abstractNum w:abstractNumId="6">
    <w:nsid w:val="00000019"/>
    <w:multiLevelType w:val="singleLevel"/>
    <w:tmpl w:val="00000019"/>
    <w:lvl w:ilvl="0" w:tentative="0">
      <w:start w:val="1"/>
      <w:numFmt w:val="decimal"/>
      <w:suff w:val="nothing"/>
      <w:lvlText w:val="（%1）"/>
      <w:lvlJc w:val="left"/>
    </w:lvl>
  </w:abstractNum>
  <w:abstractNum w:abstractNumId="7">
    <w:nsid w:val="71A15351"/>
    <w:multiLevelType w:val="singleLevel"/>
    <w:tmpl w:val="71A15351"/>
    <w:lvl w:ilvl="0" w:tentative="0">
      <w:start w:val="1"/>
      <w:numFmt w:val="decimal"/>
      <w:suff w:val="nothing"/>
      <w:lvlText w:val="%1、"/>
      <w:lvlJc w:val="left"/>
    </w:lvl>
  </w:abstractNum>
  <w:abstractNum w:abstractNumId="8">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5"/>
  </w:num>
  <w:num w:numId="2">
    <w:abstractNumId w:val="7"/>
  </w:num>
  <w:num w:numId="3">
    <w:abstractNumId w:val="2"/>
  </w:num>
  <w:num w:numId="4">
    <w:abstractNumId w:val="3"/>
  </w:num>
  <w:num w:numId="5">
    <w:abstractNumId w:val="4"/>
  </w:num>
  <w:num w:numId="6">
    <w:abstractNumId w:val="6"/>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3MjBjYzQyMWNmMTg1ZDc0NDA4ZjlhYWM0MGRhOWEifQ=="/>
  </w:docVars>
  <w:rsids>
    <w:rsidRoot w:val="00000000"/>
    <w:rsid w:val="00710E82"/>
    <w:rsid w:val="007A6F63"/>
    <w:rsid w:val="00A328EF"/>
    <w:rsid w:val="0149039A"/>
    <w:rsid w:val="01C773D1"/>
    <w:rsid w:val="01E47C09"/>
    <w:rsid w:val="021F7E80"/>
    <w:rsid w:val="027F6C55"/>
    <w:rsid w:val="02B05AF3"/>
    <w:rsid w:val="03074478"/>
    <w:rsid w:val="05516106"/>
    <w:rsid w:val="057661EC"/>
    <w:rsid w:val="062108F7"/>
    <w:rsid w:val="0629509E"/>
    <w:rsid w:val="07011FB6"/>
    <w:rsid w:val="071018DF"/>
    <w:rsid w:val="07C16914"/>
    <w:rsid w:val="087370B9"/>
    <w:rsid w:val="08CE1DFC"/>
    <w:rsid w:val="090F532B"/>
    <w:rsid w:val="099E571B"/>
    <w:rsid w:val="0A240688"/>
    <w:rsid w:val="0A6E7AE5"/>
    <w:rsid w:val="0B2539B0"/>
    <w:rsid w:val="0B393908"/>
    <w:rsid w:val="0BE6062F"/>
    <w:rsid w:val="0C520CC6"/>
    <w:rsid w:val="0C9135E5"/>
    <w:rsid w:val="0D52231F"/>
    <w:rsid w:val="0D6B0B10"/>
    <w:rsid w:val="0E1F54EC"/>
    <w:rsid w:val="0E7671F3"/>
    <w:rsid w:val="0F2F562C"/>
    <w:rsid w:val="0FCD6F3C"/>
    <w:rsid w:val="0FF66EF1"/>
    <w:rsid w:val="10096FFD"/>
    <w:rsid w:val="107B5D70"/>
    <w:rsid w:val="11671270"/>
    <w:rsid w:val="117874CF"/>
    <w:rsid w:val="117E6780"/>
    <w:rsid w:val="118F4078"/>
    <w:rsid w:val="12395E8B"/>
    <w:rsid w:val="12774E25"/>
    <w:rsid w:val="128868DB"/>
    <w:rsid w:val="13CA3F0E"/>
    <w:rsid w:val="13D97E08"/>
    <w:rsid w:val="14373691"/>
    <w:rsid w:val="14517654"/>
    <w:rsid w:val="14B66628"/>
    <w:rsid w:val="14E03F5A"/>
    <w:rsid w:val="15155054"/>
    <w:rsid w:val="15191E2C"/>
    <w:rsid w:val="15AA1C40"/>
    <w:rsid w:val="15E6711C"/>
    <w:rsid w:val="16467E24"/>
    <w:rsid w:val="17467FB8"/>
    <w:rsid w:val="17E928DD"/>
    <w:rsid w:val="183F48C2"/>
    <w:rsid w:val="18585984"/>
    <w:rsid w:val="190D35BA"/>
    <w:rsid w:val="19A41464"/>
    <w:rsid w:val="1AE77CB7"/>
    <w:rsid w:val="1B7C7C0C"/>
    <w:rsid w:val="1B7D20CE"/>
    <w:rsid w:val="1BB92278"/>
    <w:rsid w:val="1BBD6B0A"/>
    <w:rsid w:val="1C5E596F"/>
    <w:rsid w:val="1C931EA4"/>
    <w:rsid w:val="1DCF0496"/>
    <w:rsid w:val="1E054B64"/>
    <w:rsid w:val="1E503D12"/>
    <w:rsid w:val="1FD71884"/>
    <w:rsid w:val="20691C80"/>
    <w:rsid w:val="21016F40"/>
    <w:rsid w:val="210B140D"/>
    <w:rsid w:val="22083BD2"/>
    <w:rsid w:val="22656D3C"/>
    <w:rsid w:val="22C00CF5"/>
    <w:rsid w:val="230B4487"/>
    <w:rsid w:val="23244062"/>
    <w:rsid w:val="23D92C08"/>
    <w:rsid w:val="23F60B3F"/>
    <w:rsid w:val="24015327"/>
    <w:rsid w:val="244D0366"/>
    <w:rsid w:val="24727DCD"/>
    <w:rsid w:val="24C17E81"/>
    <w:rsid w:val="24C31057"/>
    <w:rsid w:val="24F5557D"/>
    <w:rsid w:val="25675458"/>
    <w:rsid w:val="26091D60"/>
    <w:rsid w:val="26D22ABE"/>
    <w:rsid w:val="27211BDC"/>
    <w:rsid w:val="27F21951"/>
    <w:rsid w:val="27FA6A57"/>
    <w:rsid w:val="28305FD5"/>
    <w:rsid w:val="2887771E"/>
    <w:rsid w:val="28936755"/>
    <w:rsid w:val="28AB6DE9"/>
    <w:rsid w:val="28BA0971"/>
    <w:rsid w:val="291E0523"/>
    <w:rsid w:val="292B46A4"/>
    <w:rsid w:val="29863660"/>
    <w:rsid w:val="2A1C1510"/>
    <w:rsid w:val="2A513C53"/>
    <w:rsid w:val="2A944F41"/>
    <w:rsid w:val="2B6162ED"/>
    <w:rsid w:val="2C117430"/>
    <w:rsid w:val="2C344C36"/>
    <w:rsid w:val="2CAF69EA"/>
    <w:rsid w:val="2DEA7A6B"/>
    <w:rsid w:val="2E1910A5"/>
    <w:rsid w:val="2E260E45"/>
    <w:rsid w:val="2E880599"/>
    <w:rsid w:val="2EE23DA1"/>
    <w:rsid w:val="2F4E4940"/>
    <w:rsid w:val="2F594063"/>
    <w:rsid w:val="2F5F59D8"/>
    <w:rsid w:val="2FB51C84"/>
    <w:rsid w:val="2FB76FDC"/>
    <w:rsid w:val="30274D50"/>
    <w:rsid w:val="3029612C"/>
    <w:rsid w:val="3072522F"/>
    <w:rsid w:val="312D14E5"/>
    <w:rsid w:val="314B4A30"/>
    <w:rsid w:val="31850012"/>
    <w:rsid w:val="31A07466"/>
    <w:rsid w:val="31EF784A"/>
    <w:rsid w:val="324F4EC8"/>
    <w:rsid w:val="32ED6CBC"/>
    <w:rsid w:val="332E6A40"/>
    <w:rsid w:val="336E4E5A"/>
    <w:rsid w:val="337150BC"/>
    <w:rsid w:val="33797BAA"/>
    <w:rsid w:val="33EE0579"/>
    <w:rsid w:val="34144B2B"/>
    <w:rsid w:val="345319C9"/>
    <w:rsid w:val="34EC63F1"/>
    <w:rsid w:val="35332511"/>
    <w:rsid w:val="355012B7"/>
    <w:rsid w:val="358562DD"/>
    <w:rsid w:val="35917D03"/>
    <w:rsid w:val="369260AD"/>
    <w:rsid w:val="36BA5D2F"/>
    <w:rsid w:val="36C97D20"/>
    <w:rsid w:val="36EF01B4"/>
    <w:rsid w:val="37271D49"/>
    <w:rsid w:val="37405600"/>
    <w:rsid w:val="379A346B"/>
    <w:rsid w:val="37A21963"/>
    <w:rsid w:val="3865611B"/>
    <w:rsid w:val="38A3781B"/>
    <w:rsid w:val="38B907BB"/>
    <w:rsid w:val="38DA6487"/>
    <w:rsid w:val="3982415F"/>
    <w:rsid w:val="39CB4D94"/>
    <w:rsid w:val="39CD3978"/>
    <w:rsid w:val="3A461688"/>
    <w:rsid w:val="3A643816"/>
    <w:rsid w:val="3BCB3B36"/>
    <w:rsid w:val="3BD170E3"/>
    <w:rsid w:val="3C803E06"/>
    <w:rsid w:val="3CA35DC3"/>
    <w:rsid w:val="3D634797"/>
    <w:rsid w:val="3D874491"/>
    <w:rsid w:val="3D897C60"/>
    <w:rsid w:val="3E3C527C"/>
    <w:rsid w:val="3EB81FA9"/>
    <w:rsid w:val="3ECB0F13"/>
    <w:rsid w:val="3F281A95"/>
    <w:rsid w:val="3F7F390B"/>
    <w:rsid w:val="40053A0C"/>
    <w:rsid w:val="40460634"/>
    <w:rsid w:val="40F328E0"/>
    <w:rsid w:val="411A71B3"/>
    <w:rsid w:val="415519C2"/>
    <w:rsid w:val="41797FF3"/>
    <w:rsid w:val="417D2D3B"/>
    <w:rsid w:val="41A75102"/>
    <w:rsid w:val="41FB6FC0"/>
    <w:rsid w:val="426B68F2"/>
    <w:rsid w:val="426C704F"/>
    <w:rsid w:val="42A930FC"/>
    <w:rsid w:val="435D4053"/>
    <w:rsid w:val="44803468"/>
    <w:rsid w:val="44913C79"/>
    <w:rsid w:val="44C24DAC"/>
    <w:rsid w:val="45094B04"/>
    <w:rsid w:val="45343151"/>
    <w:rsid w:val="454C6909"/>
    <w:rsid w:val="45FC174D"/>
    <w:rsid w:val="47751E1D"/>
    <w:rsid w:val="47757CD5"/>
    <w:rsid w:val="47CA149D"/>
    <w:rsid w:val="47D310B2"/>
    <w:rsid w:val="47E425E8"/>
    <w:rsid w:val="48675D7A"/>
    <w:rsid w:val="48B71CDF"/>
    <w:rsid w:val="495711BC"/>
    <w:rsid w:val="49E14F29"/>
    <w:rsid w:val="4A922550"/>
    <w:rsid w:val="4ACF1226"/>
    <w:rsid w:val="4AE20F59"/>
    <w:rsid w:val="4B7101FD"/>
    <w:rsid w:val="4B857608"/>
    <w:rsid w:val="4BB46D99"/>
    <w:rsid w:val="4BB9400E"/>
    <w:rsid w:val="4BC31E83"/>
    <w:rsid w:val="4BEE5DD9"/>
    <w:rsid w:val="4C0F0D70"/>
    <w:rsid w:val="4C63431C"/>
    <w:rsid w:val="4C9777EB"/>
    <w:rsid w:val="4CD27B31"/>
    <w:rsid w:val="4CE6440D"/>
    <w:rsid w:val="4D090380"/>
    <w:rsid w:val="4D172C82"/>
    <w:rsid w:val="4D4952BF"/>
    <w:rsid w:val="4E2A7AE8"/>
    <w:rsid w:val="4E7F7D86"/>
    <w:rsid w:val="4EDE6966"/>
    <w:rsid w:val="4EEC05F8"/>
    <w:rsid w:val="4F183B1F"/>
    <w:rsid w:val="4F196F13"/>
    <w:rsid w:val="50D779E5"/>
    <w:rsid w:val="513636F5"/>
    <w:rsid w:val="51B12DBD"/>
    <w:rsid w:val="51C15CED"/>
    <w:rsid w:val="51FB15BD"/>
    <w:rsid w:val="52F26C48"/>
    <w:rsid w:val="5332746D"/>
    <w:rsid w:val="533E47AB"/>
    <w:rsid w:val="53465AE9"/>
    <w:rsid w:val="53682217"/>
    <w:rsid w:val="54386607"/>
    <w:rsid w:val="547075D6"/>
    <w:rsid w:val="54BD0350"/>
    <w:rsid w:val="54E26510"/>
    <w:rsid w:val="55114BEC"/>
    <w:rsid w:val="55E262B1"/>
    <w:rsid w:val="55F71F2C"/>
    <w:rsid w:val="55FD3B67"/>
    <w:rsid w:val="56254FAC"/>
    <w:rsid w:val="562A159A"/>
    <w:rsid w:val="56573C61"/>
    <w:rsid w:val="56CE3A56"/>
    <w:rsid w:val="56D7393C"/>
    <w:rsid w:val="58EA2085"/>
    <w:rsid w:val="594912F5"/>
    <w:rsid w:val="59736B5E"/>
    <w:rsid w:val="59CF4D9E"/>
    <w:rsid w:val="59D913C3"/>
    <w:rsid w:val="5A1955DA"/>
    <w:rsid w:val="5A557852"/>
    <w:rsid w:val="5AC70B15"/>
    <w:rsid w:val="5AD51DAF"/>
    <w:rsid w:val="5AF45B16"/>
    <w:rsid w:val="5B61236E"/>
    <w:rsid w:val="5BD62414"/>
    <w:rsid w:val="5C1E58B2"/>
    <w:rsid w:val="5CBF2CDE"/>
    <w:rsid w:val="5D310D71"/>
    <w:rsid w:val="5D7C24D2"/>
    <w:rsid w:val="5DF93E7C"/>
    <w:rsid w:val="5E385608"/>
    <w:rsid w:val="5E941281"/>
    <w:rsid w:val="5ED60E71"/>
    <w:rsid w:val="5F066402"/>
    <w:rsid w:val="5F155A9F"/>
    <w:rsid w:val="5F1E5230"/>
    <w:rsid w:val="5F3A7BFC"/>
    <w:rsid w:val="5F3E5DB5"/>
    <w:rsid w:val="5FC86518"/>
    <w:rsid w:val="602E24CA"/>
    <w:rsid w:val="607C1D25"/>
    <w:rsid w:val="612E4AA0"/>
    <w:rsid w:val="61CE2E8F"/>
    <w:rsid w:val="626C14F9"/>
    <w:rsid w:val="633640E0"/>
    <w:rsid w:val="636A1976"/>
    <w:rsid w:val="63D86709"/>
    <w:rsid w:val="63D87AEE"/>
    <w:rsid w:val="642C0A11"/>
    <w:rsid w:val="64CB73E7"/>
    <w:rsid w:val="650D67AB"/>
    <w:rsid w:val="65C43C25"/>
    <w:rsid w:val="65C90A5C"/>
    <w:rsid w:val="65D73958"/>
    <w:rsid w:val="6605398E"/>
    <w:rsid w:val="66E91188"/>
    <w:rsid w:val="6726106A"/>
    <w:rsid w:val="677E6496"/>
    <w:rsid w:val="685F7C35"/>
    <w:rsid w:val="68BF709D"/>
    <w:rsid w:val="68D80676"/>
    <w:rsid w:val="68DE0B5A"/>
    <w:rsid w:val="68EC771B"/>
    <w:rsid w:val="69033469"/>
    <w:rsid w:val="69077737"/>
    <w:rsid w:val="69087F0D"/>
    <w:rsid w:val="69E06B54"/>
    <w:rsid w:val="6A003194"/>
    <w:rsid w:val="6A266D8A"/>
    <w:rsid w:val="6A336CA7"/>
    <w:rsid w:val="6A9C2A7B"/>
    <w:rsid w:val="6AD35AF7"/>
    <w:rsid w:val="6BF306DC"/>
    <w:rsid w:val="6BF34083"/>
    <w:rsid w:val="6C4F33A4"/>
    <w:rsid w:val="6CB65154"/>
    <w:rsid w:val="6CEB00DF"/>
    <w:rsid w:val="6CFA617E"/>
    <w:rsid w:val="6D066B1B"/>
    <w:rsid w:val="6D613A27"/>
    <w:rsid w:val="6D943EDD"/>
    <w:rsid w:val="6E1B41EB"/>
    <w:rsid w:val="6E2E7E40"/>
    <w:rsid w:val="6E5D50E6"/>
    <w:rsid w:val="6E980156"/>
    <w:rsid w:val="6E9C545B"/>
    <w:rsid w:val="6EDA1DC4"/>
    <w:rsid w:val="6EE33335"/>
    <w:rsid w:val="6F23376B"/>
    <w:rsid w:val="6F5B1B07"/>
    <w:rsid w:val="70117A67"/>
    <w:rsid w:val="70413805"/>
    <w:rsid w:val="70425E72"/>
    <w:rsid w:val="704538BD"/>
    <w:rsid w:val="70741DA4"/>
    <w:rsid w:val="7089584F"/>
    <w:rsid w:val="70960D94"/>
    <w:rsid w:val="71AF4EEA"/>
    <w:rsid w:val="722F1B2A"/>
    <w:rsid w:val="724D00A1"/>
    <w:rsid w:val="725E2D0C"/>
    <w:rsid w:val="727D1923"/>
    <w:rsid w:val="73005B71"/>
    <w:rsid w:val="73BB169B"/>
    <w:rsid w:val="749B262E"/>
    <w:rsid w:val="74C07CAE"/>
    <w:rsid w:val="74C635F2"/>
    <w:rsid w:val="759C4277"/>
    <w:rsid w:val="764F7806"/>
    <w:rsid w:val="769764FC"/>
    <w:rsid w:val="76E43A02"/>
    <w:rsid w:val="772E525A"/>
    <w:rsid w:val="77572DB1"/>
    <w:rsid w:val="7872306D"/>
    <w:rsid w:val="788A621A"/>
    <w:rsid w:val="78B4504A"/>
    <w:rsid w:val="79067DE8"/>
    <w:rsid w:val="798647BC"/>
    <w:rsid w:val="79B07F8E"/>
    <w:rsid w:val="79E57AF6"/>
    <w:rsid w:val="7A4D1FE3"/>
    <w:rsid w:val="7B0162C8"/>
    <w:rsid w:val="7BCB51C2"/>
    <w:rsid w:val="7C7A6862"/>
    <w:rsid w:val="7CFE6908"/>
    <w:rsid w:val="7D600AE0"/>
    <w:rsid w:val="7DDF2D6E"/>
    <w:rsid w:val="7EB00A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2">
    <w:name w:val="heading 1"/>
    <w:basedOn w:val="1"/>
    <w:next w:val="1"/>
    <w:link w:val="50"/>
    <w:autoRedefine/>
    <w:qFormat/>
    <w:uiPriority w:val="0"/>
    <w:pPr>
      <w:spacing w:before="17"/>
      <w:ind w:right="854"/>
      <w:jc w:val="center"/>
      <w:outlineLvl w:val="1"/>
    </w:pPr>
    <w:rPr>
      <w:rFonts w:eastAsia="仿宋"/>
      <w:kern w:val="44"/>
      <w:sz w:val="28"/>
    </w:rPr>
  </w:style>
  <w:style w:type="paragraph" w:styleId="3">
    <w:name w:val="heading 2"/>
    <w:basedOn w:val="1"/>
    <w:next w:val="1"/>
    <w:link w:val="40"/>
    <w:autoRedefine/>
    <w:qFormat/>
    <w:uiPriority w:val="0"/>
    <w:pPr>
      <w:ind w:left="537" w:hanging="318"/>
      <w:outlineLvl w:val="2"/>
    </w:pPr>
    <w:rPr>
      <w:rFonts w:ascii="宋体" w:hAnsi="宋体" w:eastAsia="宋体" w:cs="宋体"/>
      <w:b/>
      <w:bCs/>
      <w:sz w:val="21"/>
      <w:szCs w:val="21"/>
      <w:lang w:val="zh-CN" w:eastAsia="zh-CN" w:bidi="zh-CN"/>
    </w:rPr>
  </w:style>
  <w:style w:type="paragraph" w:styleId="4">
    <w:name w:val="heading 3"/>
    <w:basedOn w:val="1"/>
    <w:next w:val="1"/>
    <w:qFormat/>
    <w:uiPriority w:val="0"/>
    <w:pPr>
      <w:ind w:left="538" w:right="428" w:firstLine="623"/>
      <w:outlineLvl w:val="3"/>
    </w:pPr>
    <w:rPr>
      <w:rFonts w:ascii="仿宋" w:hAnsi="仿宋" w:eastAsia="仿宋" w:cs="仿宋"/>
      <w:sz w:val="30"/>
      <w:szCs w:val="30"/>
      <w:lang w:val="zh-CN" w:eastAsia="zh-CN" w:bidi="zh-CN"/>
    </w:rPr>
  </w:style>
  <w:style w:type="paragraph" w:styleId="5">
    <w:name w:val="heading 4"/>
    <w:basedOn w:val="1"/>
    <w:next w:val="1"/>
    <w:autoRedefine/>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6">
    <w:name w:val="heading 5"/>
    <w:basedOn w:val="1"/>
    <w:next w:val="1"/>
    <w:qFormat/>
    <w:uiPriority w:val="0"/>
    <w:pPr>
      <w:spacing w:before="153"/>
      <w:ind w:left="1098"/>
      <w:outlineLvl w:val="5"/>
    </w:pPr>
    <w:rPr>
      <w:rFonts w:ascii="仿宋" w:hAnsi="仿宋" w:eastAsia="仿宋" w:cs="仿宋"/>
      <w:sz w:val="28"/>
      <w:szCs w:val="28"/>
      <w:lang w:val="zh-CN" w:eastAsia="zh-CN" w:bidi="zh-CN"/>
    </w:rPr>
  </w:style>
  <w:style w:type="paragraph" w:styleId="7">
    <w:name w:val="heading 6"/>
    <w:basedOn w:val="1"/>
    <w:next w:val="1"/>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2">
    <w:name w:val="Default Paragraph Font"/>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8">
    <w:name w:val="Body Text"/>
    <w:basedOn w:val="1"/>
    <w:next w:val="9"/>
    <w:qFormat/>
    <w:uiPriority w:val="0"/>
    <w:rPr>
      <w:rFonts w:ascii="宋体" w:hAnsi="宋体" w:eastAsia="宋体" w:cs="宋体"/>
      <w:sz w:val="21"/>
      <w:szCs w:val="21"/>
      <w:lang w:val="zh-CN" w:eastAsia="zh-CN" w:bidi="zh-CN"/>
    </w:rPr>
  </w:style>
  <w:style w:type="paragraph" w:customStyle="1" w:styleId="9">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0">
    <w:name w:val="Body Text Indent"/>
    <w:basedOn w:val="1"/>
    <w:next w:val="11"/>
    <w:autoRedefine/>
    <w:unhideWhenUsed/>
    <w:qFormat/>
    <w:uiPriority w:val="99"/>
    <w:pPr>
      <w:spacing w:before="100" w:beforeAutospacing="1"/>
      <w:ind w:left="420" w:leftChars="200"/>
    </w:pPr>
    <w:rPr>
      <w:rFonts w:ascii="Calibri" w:hAnsi="Calibri"/>
      <w:kern w:val="0"/>
      <w:sz w:val="20"/>
      <w:szCs w:val="21"/>
    </w:rPr>
  </w:style>
  <w:style w:type="paragraph" w:styleId="11">
    <w:name w:val="envelope return"/>
    <w:basedOn w:val="1"/>
    <w:autoRedefine/>
    <w:qFormat/>
    <w:uiPriority w:val="0"/>
    <w:pPr>
      <w:snapToGrid w:val="0"/>
    </w:pPr>
    <w:rPr>
      <w:rFonts w:ascii="Arial" w:hAnsi="Arial"/>
    </w:rPr>
  </w:style>
  <w:style w:type="paragraph" w:styleId="12">
    <w:name w:val="toc 3"/>
    <w:basedOn w:val="1"/>
    <w:next w:val="1"/>
    <w:autoRedefine/>
    <w:qFormat/>
    <w:uiPriority w:val="0"/>
    <w:pPr>
      <w:ind w:left="840" w:leftChars="400"/>
    </w:pPr>
  </w:style>
  <w:style w:type="paragraph" w:styleId="13">
    <w:name w:val="footer"/>
    <w:basedOn w:val="1"/>
    <w:autoRedefine/>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6">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7">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8">
    <w:name w:val="Body Text First Indent"/>
    <w:basedOn w:val="8"/>
    <w:next w:val="1"/>
    <w:autoRedefine/>
    <w:qFormat/>
    <w:uiPriority w:val="0"/>
    <w:pPr>
      <w:ind w:firstLine="420" w:firstLineChars="100"/>
    </w:pPr>
  </w:style>
  <w:style w:type="paragraph" w:styleId="19">
    <w:name w:val="Body Text First Indent 2"/>
    <w:basedOn w:val="10"/>
    <w:next w:val="1"/>
    <w:autoRedefine/>
    <w:qFormat/>
    <w:uiPriority w:val="0"/>
    <w:pPr>
      <w:ind w:firstLine="420" w:firstLineChars="200"/>
    </w:p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0"/>
  </w:style>
  <w:style w:type="character" w:styleId="24">
    <w:name w:val="FollowedHyperlink"/>
    <w:basedOn w:val="22"/>
    <w:qFormat/>
    <w:uiPriority w:val="0"/>
    <w:rPr>
      <w:color w:val="800080"/>
      <w:u w:val="none"/>
    </w:rPr>
  </w:style>
  <w:style w:type="character" w:styleId="25">
    <w:name w:val="Emphasis"/>
    <w:basedOn w:val="22"/>
    <w:autoRedefine/>
    <w:qFormat/>
    <w:uiPriority w:val="0"/>
  </w:style>
  <w:style w:type="character" w:styleId="26">
    <w:name w:val="HTML Definition"/>
    <w:basedOn w:val="22"/>
    <w:autoRedefine/>
    <w:qFormat/>
    <w:uiPriority w:val="0"/>
  </w:style>
  <w:style w:type="character" w:styleId="27">
    <w:name w:val="HTML Typewriter"/>
    <w:basedOn w:val="22"/>
    <w:autoRedefine/>
    <w:qFormat/>
    <w:uiPriority w:val="0"/>
    <w:rPr>
      <w:rFonts w:hint="default" w:ascii="monospace" w:hAnsi="monospace" w:eastAsia="monospace" w:cs="monospace"/>
      <w:sz w:val="20"/>
    </w:rPr>
  </w:style>
  <w:style w:type="character" w:styleId="28">
    <w:name w:val="HTML Acronym"/>
    <w:basedOn w:val="22"/>
    <w:autoRedefine/>
    <w:qFormat/>
    <w:uiPriority w:val="0"/>
  </w:style>
  <w:style w:type="character" w:styleId="29">
    <w:name w:val="HTML Variable"/>
    <w:basedOn w:val="22"/>
    <w:autoRedefine/>
    <w:qFormat/>
    <w:uiPriority w:val="0"/>
  </w:style>
  <w:style w:type="character" w:styleId="30">
    <w:name w:val="Hyperlink"/>
    <w:basedOn w:val="22"/>
    <w:autoRedefine/>
    <w:qFormat/>
    <w:uiPriority w:val="0"/>
    <w:rPr>
      <w:color w:val="0000FF"/>
      <w:u w:val="none"/>
    </w:rPr>
  </w:style>
  <w:style w:type="character" w:styleId="31">
    <w:name w:val="HTML Code"/>
    <w:basedOn w:val="22"/>
    <w:autoRedefine/>
    <w:qFormat/>
    <w:uiPriority w:val="0"/>
    <w:rPr>
      <w:rFonts w:ascii="monospace" w:hAnsi="monospace" w:eastAsia="monospace" w:cs="monospace"/>
      <w:sz w:val="20"/>
    </w:rPr>
  </w:style>
  <w:style w:type="character" w:styleId="32">
    <w:name w:val="HTML Cite"/>
    <w:basedOn w:val="22"/>
    <w:autoRedefine/>
    <w:qFormat/>
    <w:uiPriority w:val="0"/>
  </w:style>
  <w:style w:type="character" w:styleId="33">
    <w:name w:val="HTML Keyboard"/>
    <w:basedOn w:val="22"/>
    <w:autoRedefine/>
    <w:qFormat/>
    <w:uiPriority w:val="0"/>
    <w:rPr>
      <w:rFonts w:hint="default" w:ascii="monospace" w:hAnsi="monospace" w:eastAsia="monospace" w:cs="monospace"/>
      <w:sz w:val="20"/>
    </w:rPr>
  </w:style>
  <w:style w:type="character" w:styleId="34">
    <w:name w:val="HTML Sample"/>
    <w:basedOn w:val="22"/>
    <w:autoRedefine/>
    <w:qFormat/>
    <w:uiPriority w:val="0"/>
    <w:rPr>
      <w:rFonts w:hint="default" w:ascii="monospace" w:hAnsi="monospace" w:eastAsia="monospace" w:cs="monospace"/>
    </w:rPr>
  </w:style>
  <w:style w:type="paragraph" w:customStyle="1" w:styleId="35">
    <w:name w:val="style4"/>
    <w:basedOn w:val="1"/>
    <w:next w:val="36"/>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36">
    <w:name w:val="2"/>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7">
    <w:name w:val="BodyText"/>
    <w:basedOn w:val="1"/>
    <w:autoRedefine/>
    <w:qFormat/>
    <w:uiPriority w:val="0"/>
    <w:pPr>
      <w:widowControl/>
      <w:spacing w:after="120" w:line="259" w:lineRule="auto"/>
      <w:jc w:val="left"/>
    </w:pPr>
    <w:rPr>
      <w:rFonts w:ascii="FuturaA Bk BT" w:hAnsi="FuturaA Bk BT" w:eastAsia="仿宋_GB2312"/>
      <w:kern w:val="0"/>
      <w:sz w:val="20"/>
      <w:szCs w:val="20"/>
    </w:rPr>
  </w:style>
  <w:style w:type="character" w:customStyle="1" w:styleId="38">
    <w:name w:val="标题 1 Char"/>
    <w:link w:val="2"/>
    <w:autoRedefine/>
    <w:semiHidden/>
    <w:qFormat/>
    <w:uiPriority w:val="0"/>
    <w:rPr>
      <w:rFonts w:ascii="黑体" w:hAnsi="黑体" w:eastAsia="黑体" w:cs="黑体"/>
      <w:sz w:val="40"/>
      <w:szCs w:val="40"/>
      <w:lang w:val="zh-CN" w:eastAsia="zh-CN" w:bidi="zh-CN"/>
    </w:rPr>
  </w:style>
  <w:style w:type="paragraph" w:customStyle="1" w:styleId="39">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Char"/>
    <w:link w:val="3"/>
    <w:autoRedefine/>
    <w:semiHidden/>
    <w:qFormat/>
    <w:uiPriority w:val="0"/>
    <w:rPr>
      <w:rFonts w:ascii="宋体" w:hAnsi="宋体" w:eastAsia="宋体" w:cs="宋体"/>
      <w:b/>
      <w:bCs/>
      <w:sz w:val="21"/>
      <w:szCs w:val="21"/>
      <w:lang w:val="zh-CN" w:eastAsia="zh-CN" w:bidi="zh-CN"/>
    </w:rPr>
  </w:style>
  <w:style w:type="paragraph" w:customStyle="1" w:styleId="41">
    <w:name w:val="Body Text Indent"/>
    <w:basedOn w:val="1"/>
    <w:autoRedefine/>
    <w:qFormat/>
    <w:uiPriority w:val="0"/>
    <w:pPr>
      <w:ind w:left="2481" w:hanging="2481" w:hangingChars="700"/>
    </w:pPr>
    <w:rPr>
      <w:rFonts w:ascii="宋体" w:hAnsi="宋体" w:eastAsia="宋体" w:cs="Times New Roman"/>
      <w:b/>
      <w:bCs/>
      <w:sz w:val="36"/>
    </w:rPr>
  </w:style>
  <w:style w:type="paragraph" w:customStyle="1" w:styleId="4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8"/>
    <w:next w:val="44"/>
    <w:autoRedefine/>
    <w:qFormat/>
    <w:uiPriority w:val="0"/>
    <w:pPr>
      <w:ind w:firstLine="420" w:firstLineChars="100"/>
    </w:pPr>
  </w:style>
  <w:style w:type="paragraph" w:customStyle="1" w:styleId="44">
    <w:name w:val="Body Text First Indent 2"/>
    <w:basedOn w:val="41"/>
    <w:autoRedefine/>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autoRedefine/>
    <w:qFormat/>
    <w:uiPriority w:val="0"/>
    <w:pPr>
      <w:ind w:left="220" w:hanging="530"/>
    </w:pPr>
    <w:rPr>
      <w:rFonts w:ascii="宋体" w:hAnsi="宋体" w:eastAsia="宋体" w:cs="宋体"/>
      <w:lang w:val="zh-CN" w:eastAsia="zh-CN" w:bidi="zh-CN"/>
    </w:rPr>
  </w:style>
  <w:style w:type="paragraph" w:customStyle="1" w:styleId="46">
    <w:name w:val="Table Paragraph"/>
    <w:basedOn w:val="1"/>
    <w:autoRedefine/>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autoRedefine/>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autoRedefine/>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2"/>
    <w:autoRedefine/>
    <w:semiHidden/>
    <w:qFormat/>
    <w:uiPriority w:val="0"/>
    <w:rPr>
      <w:rFonts w:eastAsia="仿宋"/>
      <w:kern w:val="44"/>
      <w:sz w:val="28"/>
    </w:rPr>
  </w:style>
  <w:style w:type="paragraph" w:customStyle="1" w:styleId="51">
    <w:name w:val="Body text|3"/>
    <w:basedOn w:val="1"/>
    <w:autoRedefine/>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168</Pages>
  <Words>25561</Words>
  <Characters>27682</Characters>
  <Lines>1</Lines>
  <Paragraphs>1</Paragraphs>
  <TotalTime>297</TotalTime>
  <ScaleCrop>false</ScaleCrop>
  <LinksUpToDate>false</LinksUpToDate>
  <CharactersWithSpaces>32283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NTKO</cp:lastModifiedBy>
  <cp:lastPrinted>2023-06-05T01:00:00Z</cp:lastPrinted>
  <dcterms:modified xsi:type="dcterms:W3CDTF">2024-01-19T02:01:53Z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2052-12.1.0.16120</vt:lpwstr>
  </property>
  <property fmtid="{D5CDD505-2E9C-101B-9397-08002B2CF9AE}" pid="6" name="ICV">
    <vt:lpwstr>8C04E7B4EB9440EEA76004E32AE818D8</vt:lpwstr>
  </property>
</Properties>
</file>