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adjustRightInd w:val="0"/>
        <w:snapToGrid w:val="0"/>
        <w:spacing w:line="360" w:lineRule="auto"/>
        <w:jc w:val="center"/>
        <w:rPr>
          <w:rFonts w:hint="eastAsia" w:ascii="宋体" w:hAnsi="宋体" w:eastAsia="宋体" w:cs="宋体"/>
          <w:b/>
          <w:bCs/>
          <w:color w:val="auto"/>
          <w:sz w:val="44"/>
          <w:szCs w:val="44"/>
          <w:highlight w:val="none"/>
        </w:rPr>
      </w:pPr>
    </w:p>
    <w:p>
      <w:pPr>
        <w:pStyle w:val="133"/>
        <w:adjustRightInd w:val="0"/>
        <w:snapToGrid w:val="0"/>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淅川县水利局淅川县丹江口库区及上游水土流失综合治理工程香九马项目区初步设计</w:t>
      </w:r>
    </w:p>
    <w:p>
      <w:pPr>
        <w:pStyle w:val="133"/>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firstLine="2600" w:firstLineChars="400"/>
        <w:rPr>
          <w:rFonts w:hint="eastAsia" w:ascii="仿宋" w:hAnsi="仿宋" w:eastAsia="仿宋" w:cs="仿宋"/>
          <w:b/>
          <w:bCs/>
          <w:color w:val="auto"/>
          <w:w w:val="125"/>
          <w:sz w:val="52"/>
          <w:szCs w:val="52"/>
          <w:highlight w:val="none"/>
          <w:lang w:val="en-US" w:eastAsia="zh-CN"/>
        </w:rPr>
      </w:pPr>
    </w:p>
    <w:p>
      <w:pPr>
        <w:pStyle w:val="2"/>
        <w:rPr>
          <w:rFonts w:hint="eastAsia"/>
          <w:color w:val="auto"/>
          <w:highlight w:val="none"/>
          <w:lang w:val="en-US" w:eastAsia="zh-CN"/>
        </w:rPr>
      </w:pPr>
    </w:p>
    <w:p>
      <w:pPr>
        <w:adjustRightInd w:val="0"/>
        <w:snapToGrid w:val="0"/>
        <w:spacing w:line="360" w:lineRule="auto"/>
        <w:ind w:firstLine="2600" w:firstLineChars="400"/>
        <w:rPr>
          <w:rFonts w:hint="eastAsia" w:ascii="仿宋" w:hAnsi="仿宋" w:eastAsia="仿宋" w:cs="仿宋"/>
          <w:b/>
          <w:bCs/>
          <w:color w:val="auto"/>
          <w:w w:val="125"/>
          <w:sz w:val="52"/>
          <w:szCs w:val="52"/>
          <w:highlight w:val="none"/>
          <w:lang w:val="en-US" w:eastAsia="zh-CN"/>
        </w:rPr>
      </w:pPr>
      <w:r>
        <w:rPr>
          <w:rFonts w:hint="eastAsia" w:ascii="仿宋" w:hAnsi="仿宋" w:eastAsia="仿宋" w:cs="仿宋"/>
          <w:b/>
          <w:bCs/>
          <w:color w:val="auto"/>
          <w:w w:val="125"/>
          <w:sz w:val="52"/>
          <w:szCs w:val="52"/>
          <w:highlight w:val="none"/>
          <w:lang w:val="en-US" w:eastAsia="zh-CN"/>
        </w:rPr>
        <w:t>竞争性磋商文件</w:t>
      </w:r>
    </w:p>
    <w:p>
      <w:pPr>
        <w:pStyle w:val="3"/>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项目编号：淅财磋商采购-2024-5</w:t>
      </w:r>
    </w:p>
    <w:p>
      <w:pPr>
        <w:adjustRightInd w:val="0"/>
        <w:snapToGrid w:val="0"/>
        <w:spacing w:line="360" w:lineRule="auto"/>
        <w:jc w:val="both"/>
        <w:rPr>
          <w:rFonts w:hint="eastAsia" w:ascii="宋体" w:hAnsi="宋体" w:eastAsia="宋体" w:cs="宋体"/>
          <w:b/>
          <w:bCs/>
          <w:color w:val="auto"/>
          <w:sz w:val="32"/>
          <w:szCs w:val="32"/>
          <w:highlight w:val="none"/>
        </w:rPr>
      </w:pPr>
    </w:p>
    <w:p>
      <w:pPr>
        <w:pStyle w:val="3"/>
        <w:rPr>
          <w:rFonts w:hint="eastAsia" w:ascii="宋体" w:hAnsi="宋体" w:eastAsia="宋体" w:cs="宋体"/>
          <w:b/>
          <w:bCs/>
          <w:color w:val="auto"/>
          <w:sz w:val="32"/>
          <w:szCs w:val="32"/>
          <w:highlight w:val="none"/>
        </w:rPr>
      </w:pPr>
    </w:p>
    <w:p>
      <w:pPr>
        <w:pStyle w:val="49"/>
        <w:rPr>
          <w:rFonts w:hint="eastAsia"/>
          <w:color w:val="auto"/>
          <w:highlight w:val="none"/>
        </w:rPr>
      </w:pPr>
    </w:p>
    <w:p>
      <w:pPr>
        <w:adjustRightInd w:val="0"/>
        <w:snapToGrid w:val="0"/>
        <w:spacing w:line="360" w:lineRule="auto"/>
        <w:ind w:left="420" w:leftChars="200" w:firstLine="0" w:firstLineChars="0"/>
        <w:jc w:val="both"/>
        <w:rPr>
          <w:rFonts w:hint="eastAsia" w:ascii="宋体" w:hAnsi="宋体" w:eastAsia="宋体" w:cs="宋体"/>
          <w:b/>
          <w:bCs/>
          <w:color w:val="auto"/>
          <w:sz w:val="32"/>
          <w:szCs w:val="32"/>
          <w:highlight w:val="none"/>
        </w:rPr>
      </w:pPr>
    </w:p>
    <w:p>
      <w:pPr>
        <w:pStyle w:val="3"/>
        <w:rPr>
          <w:rFonts w:hint="eastAsia" w:ascii="宋体" w:hAnsi="宋体" w:eastAsia="宋体" w:cs="宋体"/>
          <w:b/>
          <w:bCs/>
          <w:color w:val="auto"/>
          <w:sz w:val="32"/>
          <w:szCs w:val="32"/>
          <w:highlight w:val="none"/>
        </w:rPr>
      </w:pPr>
    </w:p>
    <w:p>
      <w:pPr>
        <w:pStyle w:val="49"/>
        <w:rPr>
          <w:rFonts w:hint="eastAsia" w:ascii="宋体" w:hAnsi="宋体" w:eastAsia="宋体" w:cs="宋体"/>
          <w:b/>
          <w:bCs/>
          <w:color w:val="auto"/>
          <w:sz w:val="32"/>
          <w:szCs w:val="32"/>
          <w:highlight w:val="none"/>
        </w:rPr>
      </w:pPr>
    </w:p>
    <w:p>
      <w:pPr>
        <w:rPr>
          <w:rFonts w:hint="eastAsia" w:ascii="宋体" w:hAnsi="宋体" w:eastAsia="宋体" w:cs="宋体"/>
          <w:b/>
          <w:bCs/>
          <w:color w:val="auto"/>
          <w:sz w:val="32"/>
          <w:szCs w:val="32"/>
          <w:highlight w:val="none"/>
        </w:rPr>
      </w:pPr>
    </w:p>
    <w:p>
      <w:pPr>
        <w:pStyle w:val="49"/>
        <w:rPr>
          <w:rFonts w:hint="eastAsia"/>
          <w:color w:val="auto"/>
          <w:highlight w:val="none"/>
        </w:rPr>
      </w:pPr>
    </w:p>
    <w:p>
      <w:pPr>
        <w:pStyle w:val="3"/>
        <w:rPr>
          <w:rFonts w:hint="eastAsia" w:ascii="仿宋" w:hAnsi="仿宋" w:eastAsia="仿宋" w:cs="仿宋"/>
          <w:color w:val="auto"/>
          <w:highlight w:val="none"/>
        </w:rPr>
      </w:pP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采购人</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淅川县水利局</w:t>
      </w: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代理机构：</w:t>
      </w:r>
      <w:r>
        <w:rPr>
          <w:rFonts w:hint="eastAsia" w:ascii="仿宋" w:hAnsi="仿宋" w:eastAsia="仿宋" w:cs="仿宋"/>
          <w:b/>
          <w:bCs/>
          <w:color w:val="auto"/>
          <w:sz w:val="32"/>
          <w:szCs w:val="32"/>
          <w:highlight w:val="none"/>
          <w:lang w:eastAsia="zh-CN"/>
        </w:rPr>
        <w:t>河南同盛工程管理咨询有限公司</w:t>
      </w:r>
    </w:p>
    <w:p>
      <w:pPr>
        <w:adjustRightInd w:val="0"/>
        <w:snapToGrid w:val="0"/>
        <w:spacing w:line="360" w:lineRule="auto"/>
        <w:ind w:left="420" w:leftChars="200" w:firstLine="320" w:firstLineChars="1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期：二零二</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月</w:t>
      </w:r>
    </w:p>
    <w:p>
      <w:pPr>
        <w:rPr>
          <w:rFonts w:hint="eastAsia" w:ascii="仿宋" w:hAnsi="仿宋" w:eastAsia="仿宋" w:cs="仿宋"/>
          <w:b/>
          <w:bCs/>
          <w:color w:val="auto"/>
          <w:sz w:val="32"/>
          <w:szCs w:val="32"/>
          <w:highlight w:val="none"/>
        </w:rPr>
      </w:pPr>
    </w:p>
    <w:p>
      <w:pPr>
        <w:pStyle w:val="3"/>
        <w:rPr>
          <w:rFonts w:hint="eastAsia" w:ascii="仿宋" w:hAnsi="仿宋" w:eastAsia="仿宋" w:cs="仿宋"/>
          <w:b/>
          <w:bCs/>
          <w:color w:val="auto"/>
          <w:sz w:val="32"/>
          <w:szCs w:val="32"/>
          <w:highlight w:val="none"/>
        </w:rPr>
        <w:sectPr>
          <w:headerReference r:id="rId4" w:type="first"/>
          <w:footerReference r:id="rId6" w:type="first"/>
          <w:headerReference r:id="rId3" w:type="default"/>
          <w:footerReference r:id="rId5" w:type="default"/>
          <w:pgSz w:w="11906" w:h="16838"/>
          <w:pgMar w:top="1418" w:right="1466" w:bottom="1361" w:left="1418" w:header="851" w:footer="992" w:gutter="0"/>
          <w:pgNumType w:fmt="decimal" w:start="1"/>
          <w:cols w:space="720" w:num="1"/>
          <w:titlePg/>
          <w:docGrid w:type="linesAndChars" w:linePitch="312" w:charSpace="0"/>
        </w:sectPr>
      </w:pPr>
    </w:p>
    <w:p>
      <w:pPr>
        <w:snapToGrid w:val="0"/>
        <w:spacing w:line="480" w:lineRule="auto"/>
        <w:jc w:val="center"/>
        <w:rPr>
          <w:rFonts w:hint="eastAsia" w:ascii="仿宋" w:hAnsi="仿宋" w:eastAsia="仿宋" w:cs="仿宋"/>
          <w:b/>
          <w:color w:val="auto"/>
          <w:sz w:val="44"/>
          <w:szCs w:val="44"/>
          <w:highlight w:val="none"/>
        </w:rPr>
      </w:pPr>
    </w:p>
    <w:p>
      <w:pPr>
        <w:snapToGrid w:val="0"/>
        <w:spacing w:line="48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pPr>
        <w:rPr>
          <w:color w:val="auto"/>
          <w:highlight w:val="none"/>
        </w:rPr>
      </w:pP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bCs w:val="0"/>
          <w:caps w:val="0"/>
          <w:color w:val="auto"/>
          <w:sz w:val="28"/>
          <w:szCs w:val="28"/>
          <w:highlight w:val="none"/>
        </w:rPr>
        <w:fldChar w:fldCharType="begin"/>
      </w:r>
      <w:r>
        <w:rPr>
          <w:rFonts w:hint="eastAsia" w:ascii="仿宋" w:hAnsi="仿宋" w:eastAsia="仿宋" w:cs="仿宋"/>
          <w:bCs w:val="0"/>
          <w:caps w:val="0"/>
          <w:color w:val="auto"/>
          <w:sz w:val="28"/>
          <w:szCs w:val="28"/>
          <w:highlight w:val="none"/>
        </w:rPr>
        <w:instrText xml:space="preserve"> TOC \o "1-1" \h \z \u </w:instrText>
      </w:r>
      <w:r>
        <w:rPr>
          <w:rFonts w:hint="eastAsia" w:ascii="仿宋" w:hAnsi="仿宋" w:eastAsia="仿宋" w:cs="仿宋"/>
          <w:bCs w:val="0"/>
          <w:caps w:val="0"/>
          <w:color w:val="auto"/>
          <w:sz w:val="28"/>
          <w:szCs w:val="28"/>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"_Toc478314723"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 xml:space="preserve">第一章 </w:t>
      </w:r>
      <w:bookmarkStart w:id="0" w:name="_Hlt482465225"/>
      <w:bookmarkStart w:id="1" w:name="_Hlt482465224"/>
      <w:r>
        <w:rPr>
          <w:rStyle w:val="43"/>
          <w:rFonts w:hint="eastAsia" w:ascii="仿宋" w:hAnsi="仿宋" w:eastAsia="仿宋" w:cs="仿宋"/>
          <w:color w:val="auto"/>
          <w:sz w:val="28"/>
          <w:szCs w:val="28"/>
          <w:highlight w:val="none"/>
          <w:lang w:eastAsia="zh-CN"/>
        </w:rPr>
        <w:t>竞争性磋商</w:t>
      </w:r>
      <w:r>
        <w:rPr>
          <w:rStyle w:val="43"/>
          <w:rFonts w:hint="eastAsia" w:ascii="仿宋" w:hAnsi="仿宋" w:eastAsia="仿宋" w:cs="仿宋"/>
          <w:color w:val="auto"/>
          <w:sz w:val="28"/>
          <w:szCs w:val="28"/>
          <w:highlight w:val="none"/>
        </w:rPr>
        <w:t>公</w:t>
      </w:r>
      <w:bookmarkEnd w:id="0"/>
      <w:bookmarkEnd w:id="1"/>
      <w:bookmarkStart w:id="2" w:name="_Hlt482695963"/>
      <w:bookmarkStart w:id="3" w:name="_Hlt482695964"/>
      <w:r>
        <w:rPr>
          <w:rStyle w:val="43"/>
          <w:rFonts w:hint="eastAsia" w:ascii="仿宋" w:hAnsi="仿宋" w:eastAsia="仿宋" w:cs="仿宋"/>
          <w:color w:val="auto"/>
          <w:sz w:val="28"/>
          <w:szCs w:val="28"/>
          <w:highlight w:val="none"/>
        </w:rPr>
        <w:t>告</w:t>
      </w:r>
      <w:bookmarkEnd w:id="2"/>
      <w:bookmarkEnd w:id="3"/>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"_Toc478314724"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"_Toc478314727"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第三章 评标办</w:t>
      </w:r>
      <w:bookmarkStart w:id="4" w:name="_Hlt482711946"/>
      <w:bookmarkStart w:id="5" w:name="_Hlt482711945"/>
      <w:r>
        <w:rPr>
          <w:rStyle w:val="43"/>
          <w:rFonts w:hint="eastAsia" w:ascii="仿宋" w:hAnsi="仿宋" w:eastAsia="仿宋" w:cs="仿宋"/>
          <w:color w:val="auto"/>
          <w:sz w:val="28"/>
          <w:szCs w:val="28"/>
          <w:highlight w:val="none"/>
        </w:rPr>
        <w:t>法</w:t>
      </w:r>
      <w:bookmarkEnd w:id="4"/>
      <w:bookmarkEnd w:id="5"/>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"_Toc478314728"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第四章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"_Toc478314729"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 xml:space="preserve">第五章 </w:t>
      </w:r>
      <w:r>
        <w:rPr>
          <w:rStyle w:val="43"/>
          <w:rFonts w:hint="eastAsia" w:ascii="仿宋" w:hAnsi="仿宋" w:eastAsia="仿宋" w:cs="仿宋"/>
          <w:color w:val="auto"/>
          <w:sz w:val="28"/>
          <w:szCs w:val="28"/>
          <w:highlight w:val="none"/>
          <w:lang w:eastAsia="zh-CN"/>
        </w:rPr>
        <w:t>设计</w:t>
      </w:r>
      <w:r>
        <w:rPr>
          <w:rStyle w:val="43"/>
          <w:rFonts w:hint="eastAsia" w:ascii="仿宋" w:hAnsi="仿宋" w:eastAsia="仿宋" w:cs="仿宋"/>
          <w:color w:val="auto"/>
          <w:sz w:val="28"/>
          <w:szCs w:val="28"/>
          <w:highlight w:val="none"/>
        </w:rPr>
        <w:t>服务内容</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7"/>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"_Toc478314730" </w:instrText>
      </w:r>
      <w:r>
        <w:rPr>
          <w:rFonts w:hint="eastAsia" w:ascii="仿宋" w:hAnsi="仿宋" w:eastAsia="仿宋" w:cs="仿宋"/>
          <w:color w:val="auto"/>
          <w:highlight w:val="none"/>
        </w:rPr>
        <w:fldChar w:fldCharType="separate"/>
      </w:r>
      <w:r>
        <w:rPr>
          <w:rStyle w:val="43"/>
          <w:rFonts w:hint="eastAsia" w:ascii="仿宋" w:hAnsi="仿宋" w:eastAsia="仿宋" w:cs="仿宋"/>
          <w:color w:val="auto"/>
          <w:sz w:val="28"/>
          <w:szCs w:val="28"/>
          <w:highlight w:val="none"/>
        </w:rPr>
        <w:t>第六章 投标文件格</w:t>
      </w:r>
      <w:bookmarkStart w:id="6" w:name="_Hlt484418314"/>
      <w:r>
        <w:rPr>
          <w:rStyle w:val="43"/>
          <w:rFonts w:hint="eastAsia" w:ascii="仿宋" w:hAnsi="仿宋" w:eastAsia="仿宋" w:cs="仿宋"/>
          <w:color w:val="auto"/>
          <w:sz w:val="28"/>
          <w:szCs w:val="28"/>
          <w:highlight w:val="none"/>
        </w:rPr>
        <w:t>式</w:t>
      </w:r>
      <w:bookmarkEnd w:id="6"/>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_Toc478314730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spacing w:line="600" w:lineRule="auto"/>
        <w:rPr>
          <w:rFonts w:hint="eastAsia" w:ascii="仿宋" w:hAnsi="仿宋" w:eastAsia="仿宋" w:cs="仿宋"/>
          <w:color w:val="auto"/>
          <w:sz w:val="28"/>
          <w:szCs w:val="28"/>
          <w:highlight w:val="none"/>
        </w:rPr>
      </w:pPr>
      <w:r>
        <w:rPr>
          <w:rFonts w:hint="eastAsia" w:ascii="仿宋" w:hAnsi="仿宋" w:eastAsia="仿宋" w:cs="仿宋"/>
          <w:bCs/>
          <w:caps/>
          <w:color w:val="auto"/>
          <w:sz w:val="28"/>
          <w:szCs w:val="28"/>
          <w:highlight w:val="none"/>
        </w:rPr>
        <w:fldChar w:fldCharType="end"/>
      </w:r>
    </w:p>
    <w:p>
      <w:pPr>
        <w:shd w:val="solid" w:color="FFFFFF" w:fill="auto"/>
        <w:autoSpaceDN w:val="0"/>
        <w:spacing w:before="141" w:after="141" w:line="360" w:lineRule="auto"/>
        <w:rPr>
          <w:rFonts w:hint="eastAsia" w:ascii="仿宋" w:hAnsi="仿宋" w:eastAsia="仿宋" w:cs="仿宋"/>
          <w:b/>
          <w:color w:val="auto"/>
          <w:sz w:val="28"/>
          <w:szCs w:val="28"/>
          <w:highlight w:val="none"/>
        </w:rPr>
      </w:pPr>
    </w:p>
    <w:p>
      <w:pPr>
        <w:pStyle w:val="8"/>
        <w:spacing w:before="0" w:after="0"/>
        <w:rPr>
          <w:rFonts w:hint="eastAsia" w:ascii="仿宋" w:hAnsi="仿宋" w:eastAsia="仿宋" w:cs="仿宋"/>
          <w:color w:val="auto"/>
          <w:highlight w:val="none"/>
        </w:rPr>
      </w:pPr>
      <w:bookmarkStart w:id="7" w:name="_Toc478314723"/>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8"/>
        <w:spacing w:before="0" w:after="0"/>
        <w:jc w:val="both"/>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5"/>
        <w:rPr>
          <w:rFonts w:hint="eastAsia"/>
          <w:color w:val="auto"/>
          <w:highlight w:val="none"/>
        </w:rPr>
      </w:pPr>
    </w:p>
    <w:p>
      <w:pPr>
        <w:pStyle w:val="8"/>
        <w:spacing w:before="0" w:after="0"/>
        <w:rPr>
          <w:rFonts w:hint="eastAsia" w:ascii="仿宋" w:hAnsi="仿宋" w:eastAsia="仿宋" w:cs="仿宋"/>
          <w:color w:val="auto"/>
          <w:szCs w:val="40"/>
          <w:highlight w:val="none"/>
        </w:rPr>
      </w:pPr>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eastAsia="zh-CN"/>
        </w:rPr>
        <w:t>竞争性</w:t>
      </w:r>
      <w:r>
        <w:rPr>
          <w:rFonts w:hint="eastAsia" w:ascii="仿宋" w:hAnsi="仿宋" w:eastAsia="仿宋" w:cs="仿宋"/>
          <w:color w:val="auto"/>
          <w:szCs w:val="40"/>
          <w:highlight w:val="none"/>
          <w:lang w:eastAsia="zh-CN"/>
        </w:rPr>
        <w:t>磋商</w:t>
      </w:r>
      <w:r>
        <w:rPr>
          <w:rFonts w:hint="eastAsia" w:ascii="仿宋" w:hAnsi="仿宋" w:eastAsia="仿宋" w:cs="仿宋"/>
          <w:color w:val="auto"/>
          <w:szCs w:val="40"/>
          <w:highlight w:val="none"/>
        </w:rPr>
        <w:t>公告</w:t>
      </w:r>
      <w:bookmarkEnd w:id="7"/>
    </w:p>
    <w:p>
      <w:pPr>
        <w:pStyle w:val="3"/>
        <w:spacing w:line="480" w:lineRule="exact"/>
        <w:jc w:val="center"/>
        <w:rPr>
          <w:rFonts w:hint="eastAsia" w:ascii="仿宋" w:hAnsi="仿宋" w:eastAsia="仿宋" w:cs="仿宋"/>
          <w:b/>
          <w:color w:val="auto"/>
          <w:sz w:val="32"/>
          <w:szCs w:val="32"/>
          <w:highlight w:val="none"/>
        </w:rPr>
      </w:pPr>
      <w:bookmarkStart w:id="8" w:name="OLE_LINK1"/>
      <w:bookmarkStart w:id="9" w:name="_Toc15021"/>
      <w:bookmarkStart w:id="10" w:name="_Toc478314724"/>
      <w:r>
        <w:rPr>
          <w:rFonts w:hint="eastAsia" w:ascii="仿宋" w:hAnsi="仿宋" w:eastAsia="仿宋" w:cs="仿宋"/>
          <w:b/>
          <w:color w:val="auto"/>
          <w:sz w:val="32"/>
          <w:szCs w:val="32"/>
          <w:highlight w:val="none"/>
          <w:lang w:eastAsia="zh-CN"/>
        </w:rPr>
        <w:t>淅川县水利局淅川县丹江口库区及上游水土流失综合治理工程香九马项目区初步设计竞争性磋商</w:t>
      </w:r>
      <w:r>
        <w:rPr>
          <w:rFonts w:hint="eastAsia" w:ascii="仿宋" w:hAnsi="仿宋" w:eastAsia="仿宋" w:cs="仿宋"/>
          <w:b/>
          <w:color w:val="auto"/>
          <w:sz w:val="32"/>
          <w:szCs w:val="32"/>
          <w:highlight w:val="none"/>
        </w:rPr>
        <w:t>公告</w:t>
      </w:r>
    </w:p>
    <w:p>
      <w:pPr>
        <w:pStyle w:val="31"/>
        <w:keepNext w:val="0"/>
        <w:keepLines w:val="0"/>
        <w:widowControl/>
        <w:suppressLineNumbers w:val="0"/>
        <w:spacing w:before="0" w:beforeAutospacing="0" w:after="0" w:afterAutospacing="0" w:line="360" w:lineRule="atLeast"/>
        <w:ind w:left="0" w:right="0"/>
        <w:jc w:val="both"/>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shd w:val="clear" w:color="auto" w:fill="FFFFFF"/>
        </w:rPr>
        <w:t>项目概况</w:t>
      </w:r>
    </w:p>
    <w:p>
      <w:pPr>
        <w:pStyle w:val="2"/>
        <w:spacing w:after="0" w:line="360" w:lineRule="exact"/>
        <w:ind w:firstLine="220"/>
        <w:rPr>
          <w:rFonts w:hint="eastAsia" w:ascii="仿宋" w:hAnsi="仿宋" w:eastAsia="仿宋" w:cs="仿宋"/>
          <w:color w:val="auto"/>
          <w:highlight w:val="none"/>
        </w:rPr>
      </w:pPr>
      <w:r>
        <w:rPr>
          <w:rFonts w:hint="eastAsia" w:ascii="仿宋" w:hAnsi="仿宋" w:eastAsia="仿宋" w:cs="仿宋"/>
          <w:color w:val="auto"/>
          <w:highlight w:val="none"/>
          <w:lang w:eastAsia="zh-CN"/>
        </w:rPr>
        <w:t>淅川县水利局淅川县丹江口库区及上游水土流失综合治理工程香九马项目区初步设计</w:t>
      </w:r>
      <w:r>
        <w:rPr>
          <w:rFonts w:hint="eastAsia" w:ascii="仿宋" w:hAnsi="仿宋" w:eastAsia="仿宋" w:cs="仿宋"/>
          <w:color w:val="auto"/>
          <w:highlight w:val="none"/>
        </w:rPr>
        <w:t>的潜在投标人应在南阳市公共资源交易中心电子交易系统淅川区（http://ggzyjy.nanyang.gov.cn/XCXWeb/）获取</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文件，并于202</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19</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30</w:t>
      </w:r>
      <w:bookmarkStart w:id="90" w:name="_GoBack"/>
      <w:bookmarkEnd w:id="90"/>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分（北京时间）前递交</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p>
      <w:pPr>
        <w:pStyle w:val="31"/>
        <w:keepNext w:val="0"/>
        <w:keepLines w:val="0"/>
        <w:widowControl/>
        <w:suppressLineNumbers w:val="0"/>
        <w:spacing w:before="0" w:beforeAutospacing="0" w:after="0" w:afterAutospacing="0" w:line="360" w:lineRule="atLeast"/>
        <w:ind w:left="0" w:right="0"/>
        <w:jc w:val="both"/>
        <w:rPr>
          <w:rFonts w:hint="eastAsia" w:ascii="仿宋" w:hAnsi="仿宋" w:eastAsia="仿宋" w:cs="仿宋"/>
          <w:b/>
          <w:bCs/>
          <w:color w:val="auto"/>
          <w:sz w:val="30"/>
          <w:szCs w:val="30"/>
          <w:highlight w:val="none"/>
          <w:shd w:val="clear" w:color="auto" w:fill="FFFFFF"/>
        </w:rPr>
      </w:pPr>
      <w:r>
        <w:rPr>
          <w:rFonts w:hint="eastAsia" w:ascii="仿宋" w:hAnsi="仿宋" w:eastAsia="仿宋" w:cs="仿宋"/>
          <w:b/>
          <w:bCs/>
          <w:color w:val="auto"/>
          <w:sz w:val="30"/>
          <w:szCs w:val="30"/>
          <w:highlight w:val="none"/>
          <w:shd w:val="clear" w:color="auto" w:fill="FFFFFF"/>
        </w:rPr>
        <w:t>一、项目基本情况</w:t>
      </w:r>
    </w:p>
    <w:p>
      <w:pPr>
        <w:pStyle w:val="2"/>
        <w:spacing w:after="0" w:line="360" w:lineRule="exact"/>
        <w:ind w:firstLine="2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1、项目编号：淅财磋商采购-2024-5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2、项目名称：淅川县水利局淅川县丹江口库区及上游水土流失综合治理工程香九马项目区初步设计</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3、采购方式：竞争性磋商</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4、预算金额：527600.00元</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最高限价：527600.00元</w:t>
      </w:r>
    </w:p>
    <w:tbl>
      <w:tblPr>
        <w:tblStyle w:val="34"/>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523"/>
        <w:gridCol w:w="3405"/>
        <w:gridCol w:w="1359"/>
        <w:gridCol w:w="1418"/>
        <w:gridCol w:w="1323"/>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23"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包号</w:t>
            </w:r>
          </w:p>
        </w:tc>
        <w:tc>
          <w:tcPr>
            <w:tcW w:w="3405"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包名称</w:t>
            </w:r>
          </w:p>
        </w:tc>
        <w:tc>
          <w:tcPr>
            <w:tcW w:w="1359"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包预算（元）</w:t>
            </w:r>
          </w:p>
        </w:tc>
        <w:tc>
          <w:tcPr>
            <w:tcW w:w="1418"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包最高限价（元）</w:t>
            </w:r>
          </w:p>
        </w:tc>
        <w:tc>
          <w:tcPr>
            <w:tcW w:w="1323"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ascii="微软雅黑" w:hAnsi="微软雅黑" w:eastAsia="微软雅黑" w:cs="微软雅黑"/>
                <w:i w:val="0"/>
                <w:iCs w:val="0"/>
                <w:caps w:val="0"/>
                <w:color w:val="auto"/>
                <w:spacing w:val="0"/>
                <w:sz w:val="21"/>
                <w:szCs w:val="21"/>
                <w:highlight w:val="none"/>
                <w:shd w:val="clear" w:color="auto" w:fill="FFFFFF"/>
              </w:rPr>
              <w:t>是否专门面向中小企业</w:t>
            </w:r>
          </w:p>
        </w:tc>
        <w:tc>
          <w:tcPr>
            <w:tcW w:w="1207" w:type="dxa"/>
            <w:noWrap w:val="0"/>
            <w:vAlign w:val="top"/>
          </w:tcPr>
          <w:p>
            <w:pPr>
              <w:adjustRightInd/>
              <w:snapToGrid/>
              <w:spacing w:after="0" w:line="360" w:lineRule="exact"/>
              <w:jc w:val="center"/>
              <w:rPr>
                <w:rFonts w:hint="eastAsia" w:ascii="宋体" w:hAnsi="宋体" w:eastAsia="宋体" w:cs="宋体"/>
                <w:color w:val="auto"/>
                <w:szCs w:val="21"/>
                <w:highlight w:val="none"/>
              </w:rPr>
            </w:pPr>
            <w:r>
              <w:rPr>
                <w:rFonts w:ascii="微软雅黑" w:hAnsi="微软雅黑" w:eastAsia="微软雅黑" w:cs="微软雅黑"/>
                <w:i w:val="0"/>
                <w:iCs w:val="0"/>
                <w:caps w:val="0"/>
                <w:color w:val="auto"/>
                <w:spacing w:val="0"/>
                <w:sz w:val="21"/>
                <w:szCs w:val="21"/>
                <w:highlight w:val="none"/>
                <w:shd w:val="clear" w:color="auto" w:fill="FFFFFF"/>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6" w:type="dxa"/>
            <w:noWrap w:val="0"/>
            <w:vAlign w:val="center"/>
          </w:tcPr>
          <w:p>
            <w:pPr>
              <w:adjustRightInd/>
              <w:snapToGrid/>
              <w:spacing w:after="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23" w:type="dxa"/>
            <w:noWrap w:val="0"/>
            <w:vAlign w:val="center"/>
          </w:tcPr>
          <w:p>
            <w:pPr>
              <w:adjustRightInd/>
              <w:snapToGrid/>
              <w:spacing w:after="0" w:line="360" w:lineRule="exac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淅财磋商采购-2024-5</w:t>
            </w:r>
          </w:p>
        </w:tc>
        <w:tc>
          <w:tcPr>
            <w:tcW w:w="3405" w:type="dxa"/>
            <w:noWrap w:val="0"/>
            <w:vAlign w:val="top"/>
          </w:tcPr>
          <w:p>
            <w:pPr>
              <w:adjustRightInd/>
              <w:snapToGrid/>
              <w:spacing w:after="0"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淅川县水利局淅川县丹江口库区及上游水土流失综合治理工程香九马项目区初步设计</w:t>
            </w:r>
          </w:p>
        </w:tc>
        <w:tc>
          <w:tcPr>
            <w:tcW w:w="1359" w:type="dxa"/>
            <w:noWrap w:val="0"/>
            <w:vAlign w:val="center"/>
          </w:tcPr>
          <w:p>
            <w:pPr>
              <w:adjustRightInd/>
              <w:snapToGrid/>
              <w:spacing w:after="0" w:line="360" w:lineRule="exact"/>
              <w:jc w:val="center"/>
              <w:rPr>
                <w:rFonts w:hint="eastAsia" w:ascii="宋体" w:hAnsi="宋体" w:eastAsia="宋体" w:cs="宋体"/>
                <w:color w:val="auto"/>
                <w:szCs w:val="21"/>
                <w:highlight w:val="none"/>
                <w:lang w:val="en-US" w:eastAsia="zh-CN"/>
              </w:rPr>
            </w:pPr>
            <w:r>
              <w:rPr>
                <w:rFonts w:hint="eastAsia" w:ascii="仿宋" w:hAnsi="仿宋" w:eastAsia="仿宋" w:cs="仿宋"/>
                <w:color w:val="auto"/>
                <w:highlight w:val="none"/>
                <w:lang w:val="en-US" w:eastAsia="zh-CN"/>
              </w:rPr>
              <w:t>527600.00</w:t>
            </w:r>
          </w:p>
        </w:tc>
        <w:tc>
          <w:tcPr>
            <w:tcW w:w="1418" w:type="dxa"/>
            <w:noWrap w:val="0"/>
            <w:vAlign w:val="center"/>
          </w:tcPr>
          <w:p>
            <w:pPr>
              <w:adjustRightInd/>
              <w:snapToGrid/>
              <w:spacing w:after="0" w:line="360" w:lineRule="exact"/>
              <w:jc w:val="center"/>
              <w:rPr>
                <w:rFonts w:hint="eastAsia" w:ascii="宋体" w:hAnsi="宋体" w:eastAsia="宋体" w:cs="宋体"/>
                <w:color w:val="auto"/>
                <w:szCs w:val="21"/>
                <w:highlight w:val="none"/>
                <w:lang w:val="en-US"/>
              </w:rPr>
            </w:pPr>
            <w:r>
              <w:rPr>
                <w:rFonts w:hint="eastAsia" w:ascii="仿宋" w:hAnsi="仿宋" w:eastAsia="仿宋" w:cs="仿宋"/>
                <w:color w:val="auto"/>
                <w:highlight w:val="none"/>
                <w:lang w:val="en-US" w:eastAsia="zh-CN"/>
              </w:rPr>
              <w:t>527600.00</w:t>
            </w:r>
          </w:p>
        </w:tc>
        <w:tc>
          <w:tcPr>
            <w:tcW w:w="1323" w:type="dxa"/>
            <w:noWrap w:val="0"/>
            <w:vAlign w:val="center"/>
          </w:tcPr>
          <w:p>
            <w:pPr>
              <w:adjustRightInd/>
              <w:snapToGrid/>
              <w:spacing w:after="0"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w:t>
            </w:r>
          </w:p>
        </w:tc>
        <w:tc>
          <w:tcPr>
            <w:tcW w:w="1207" w:type="dxa"/>
            <w:noWrap w:val="0"/>
            <w:vAlign w:val="center"/>
          </w:tcPr>
          <w:p>
            <w:pPr>
              <w:adjustRightInd/>
              <w:snapToGrid/>
              <w:spacing w:after="0" w:line="360" w:lineRule="exact"/>
              <w:jc w:val="both"/>
              <w:rPr>
                <w:rFonts w:hint="eastAsia" w:ascii="宋体" w:hAnsi="宋体" w:eastAsia="宋体" w:cs="宋体"/>
                <w:color w:val="auto"/>
                <w:sz w:val="21"/>
                <w:szCs w:val="21"/>
                <w:highlight w:val="none"/>
                <w:lang w:val="en-US" w:eastAsia="zh-CN"/>
              </w:rPr>
            </w:pPr>
            <w:r>
              <w:rPr>
                <w:rFonts w:hint="eastAsia" w:ascii="仿宋" w:hAnsi="仿宋" w:eastAsia="仿宋" w:cs="仿宋"/>
                <w:color w:val="auto"/>
                <w:highlight w:val="none"/>
                <w:lang w:val="en-US" w:eastAsia="zh-CN"/>
              </w:rPr>
              <w:t>527600.00</w:t>
            </w:r>
          </w:p>
        </w:tc>
      </w:tr>
    </w:tbl>
    <w:p>
      <w:pPr>
        <w:adjustRightInd/>
        <w:snapToGrid/>
        <w:spacing w:after="0" w:line="36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5、采购需求：</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5.1、服务内容：淅川县水利局淅川县丹江口库区及上游水土流失综合治理工程香九马项目区初步设计服务工作；</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5.2、标段划分：1个标段；</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5.3、设计工期：30日历天</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5.4、资金来源：国债水利资金；</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5.5、质量要求：符合国家相关标准和行业规范要求</w:t>
      </w:r>
    </w:p>
    <w:p>
      <w:pPr>
        <w:pStyle w:val="2"/>
        <w:spacing w:after="0" w:line="360" w:lineRule="exact"/>
        <w:ind w:firstLine="2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6、本项目是否接受联合体投标：否</w:t>
      </w:r>
    </w:p>
    <w:p>
      <w:pPr>
        <w:pStyle w:val="2"/>
        <w:spacing w:after="0" w:line="360" w:lineRule="exact"/>
        <w:ind w:firstLine="2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7、是否专门面向中小企业：是</w:t>
      </w:r>
    </w:p>
    <w:p>
      <w:pPr>
        <w:pStyle w:val="134"/>
        <w:tabs>
          <w:tab w:val="left" w:pos="1191"/>
        </w:tabs>
        <w:adjustRightInd/>
        <w:snapToGrid/>
        <w:spacing w:after="0" w:line="360" w:lineRule="exact"/>
        <w:ind w:firstLine="0" w:firstLineChars="0"/>
        <w:rPr>
          <w:rFonts w:hint="eastAsia" w:ascii="宋体" w:hAnsi="宋体" w:eastAsia="宋体" w:cs="宋体"/>
          <w:color w:val="auto"/>
          <w:szCs w:val="21"/>
          <w:highlight w:val="none"/>
        </w:rPr>
      </w:pPr>
      <w:r>
        <w:rPr>
          <w:rFonts w:hint="eastAsia" w:ascii="仿宋" w:hAnsi="仿宋" w:eastAsia="仿宋" w:cs="仿宋"/>
          <w:b/>
          <w:bCs/>
          <w:color w:val="auto"/>
          <w:kern w:val="0"/>
          <w:sz w:val="30"/>
          <w:szCs w:val="30"/>
          <w:highlight w:val="none"/>
          <w:shd w:val="clear" w:color="auto" w:fill="FFFFFF"/>
          <w:lang w:val="en-US" w:eastAsia="zh-CN" w:bidi="ar-SA"/>
        </w:rPr>
        <w:t>二、申请人资格要求：</w:t>
      </w:r>
      <w:r>
        <w:rPr>
          <w:rFonts w:hint="eastAsia" w:ascii="宋体" w:hAnsi="宋体" w:eastAsia="宋体" w:cs="宋体"/>
          <w:b/>
          <w:bCs/>
          <w:color w:val="auto"/>
          <w:kern w:val="0"/>
          <w:sz w:val="30"/>
          <w:szCs w:val="30"/>
          <w:highlight w:val="none"/>
          <w:shd w:val="clear" w:color="auto" w:fill="FFFFFF"/>
          <w:lang w:val="en-US" w:eastAsia="zh-CN" w:bidi="ar-SA"/>
        </w:rPr>
        <w:t xml:space="preserve">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1、满足《中华人民共和国政府采购法》第二十二条规定；</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2、落实政府采购政策满足的资格要求：本项目执行促进中小型企业发展政策（残疾人福利性企业、监狱企业视同小微企业）。</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3、本项目的特定资格要求：</w:t>
      </w:r>
    </w:p>
    <w:p>
      <w:pPr>
        <w:pStyle w:val="2"/>
        <w:spacing w:after="0" w:line="360" w:lineRule="exact"/>
        <w:ind w:firstLine="220"/>
        <w:rPr>
          <w:rFonts w:hint="eastAsia" w:ascii="仿宋" w:hAnsi="仿宋" w:eastAsia="仿宋" w:cs="仿宋"/>
          <w:color w:val="auto"/>
          <w:highlight w:val="none"/>
          <w:lang w:val="en-US" w:eastAsia="zh-CN"/>
        </w:rPr>
        <w:sectPr>
          <w:headerReference r:id="rId7" w:type="default"/>
          <w:footerReference r:id="rId8" w:type="default"/>
          <w:pgSz w:w="11910" w:h="16840"/>
          <w:pgMar w:top="1440" w:right="1080" w:bottom="1440" w:left="1080" w:header="1072" w:footer="1194" w:gutter="0"/>
          <w:pgNumType w:fmt="decimal"/>
          <w:cols w:space="720" w:num="1"/>
        </w:sectPr>
      </w:pPr>
      <w:r>
        <w:rPr>
          <w:rFonts w:hint="eastAsia" w:ascii="仿宋" w:hAnsi="仿宋" w:eastAsia="仿宋" w:cs="仿宋"/>
          <w:color w:val="auto"/>
          <w:highlight w:val="none"/>
          <w:lang w:val="en-US" w:eastAsia="zh-CN"/>
        </w:rPr>
        <w:t>3.1、投标人须符合《中华人民共和国政府采购法》第二十二条的规定，应具</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有有效的营业执照、税务登记证、组织机构代码证，或有效的三证合一的营业执照。</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 投标人应具有建设行政主管部门核发的水利行业设计乙级及以上资质，并在人员、设备、资金、技术等方面具有相应的设计能力；投标人拟派项目负责人应具备水利专业中级及以上职称。</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3.3、投标人需提供无行贿犯罪记录承诺函（承诺对象包括：投标人、法定代表人、授权委托人、项目负责人）,并对其真实性负责，若承诺不实，造成的后果由投标人自行负责。经公检法司、纪检监察、行政监督部门查证“以向采购人或者评标委员会成员行贿的手段谋取中标的”投标企业不得参与本项目投标。</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3.4、根据《关于在政府采购活动中查询及使用信用记录有关问题的通知》  (财库[2016]125 号) 的规定，对列入失信被执行人、重大税收违法失信主体、政府采购严重违法失信行为记录名单的投标人，不得参与本项目采购活动，投标人须提供信用报告（信用报告从“信用中国”网站下载，生成日期不得早于公告发布日期）。注：投标人应通过“信用中国”网站（www.creditchina.gov.cn）查询“失信被执行人”、“重大税收违法失信主体”，中国政府采购网（www.ccgp.gov.cn）查询“政府采购严重违法失信行为记录名单”渠道查询自身信用记录，查询时间需在本公告发布之后。</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3.5、本项目不接受联合体投标。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3.7、本项目中标/成交结果公示时，同时公示中标/成交人诚信库信息，接受社会监督。</w:t>
      </w:r>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 xml:space="preserve">三、获取采购文件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1.时间：2024年3月9日09:00分至2024年3月18日18 : 00分</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2.地点：南阳市公共资源交易平台电子交易系统淅川（http://ggzyjy.nanyang.gov.cn/XCXWeb/）。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3.方式：潜在投标人登录南阳市公共资源交易中心电子交易系统淅川区（http://ggzyjy.nanyang.gov.cn/XCXWeb/）参与采购项目，可直接下载磋商文件</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4.售价：0元。</w:t>
      </w:r>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 xml:space="preserve">四、响应文件提交 </w:t>
      </w:r>
    </w:p>
    <w:p>
      <w:pPr>
        <w:pStyle w:val="2"/>
        <w:spacing w:after="0" w:line="360" w:lineRule="exact"/>
        <w:ind w:firstLine="2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1.时间：2024年 3 月19日 14 时 30 分（北京时间） </w:t>
      </w:r>
    </w:p>
    <w:p>
      <w:pPr>
        <w:pStyle w:val="2"/>
        <w:spacing w:after="0" w:line="360" w:lineRule="exact"/>
        <w:ind w:firstLine="220"/>
        <w:rPr>
          <w:rFonts w:hint="eastAsia" w:ascii="宋体" w:hAnsi="宋体" w:eastAsia="宋体" w:cs="宋体"/>
          <w:color w:val="auto"/>
          <w:sz w:val="28"/>
          <w:szCs w:val="28"/>
          <w:highlight w:val="none"/>
        </w:rPr>
      </w:pPr>
      <w:r>
        <w:rPr>
          <w:rFonts w:hint="eastAsia" w:ascii="仿宋" w:hAnsi="仿宋" w:eastAsia="仿宋" w:cs="仿宋"/>
          <w:color w:val="auto"/>
          <w:highlight w:val="none"/>
          <w:lang w:val="en-US" w:eastAsia="zh-CN"/>
        </w:rPr>
        <w:t>2.地点：该项目自行上传响应文件，无需寄送和递交非加密响应文件U盘等。需要注意开标前登录不见面系统。</w:t>
      </w:r>
      <w:r>
        <w:rPr>
          <w:rFonts w:hint="eastAsia" w:ascii="宋体" w:hAnsi="宋体" w:eastAsia="宋体" w:cs="宋体"/>
          <w:color w:val="auto"/>
          <w:sz w:val="28"/>
          <w:szCs w:val="28"/>
          <w:highlight w:val="none"/>
        </w:rPr>
        <w:t xml:space="preserve"> </w:t>
      </w:r>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 xml:space="preserve">五、响应文件开启 </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1.时间：2024年 3 月19  日  14时 30 分（北京时间） </w:t>
      </w:r>
    </w:p>
    <w:p>
      <w:pPr>
        <w:pStyle w:val="2"/>
        <w:spacing w:after="0" w:line="360" w:lineRule="exact"/>
        <w:ind w:firstLine="0" w:firstLineChars="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2.地点：该项目需要使用不见面开标，投标人无需前往现场来参与投标。各投标人根据手册要求，提前做好相关准备工作。附件：操作手册地址(下载专区中自行下载)、不见面开标大厅地址 https://ggzyjy.nanyang.gov.cn/BidOpening/bidopeninghallaction/hall/login </w:t>
      </w:r>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六、发布公告的媒介</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本次磋商公告同时在《河南省政府采购网》、《中国招标投标公共服务平台》、《河南省电子招标投标公共服务平台》、《全国公共资源交易平台（河南省·淅川县）》网站上发布，公告期限为三个工作日。</w:t>
      </w:r>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 xml:space="preserve">七、其他补充事宜 </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1、企业诚信库注册</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 xml:space="preserve"> 2、办理CA数字证书</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投标人完成企业诚信库注册后，必须办理CA数字证书方可在网上办理招投标相关业务。CA数字证书办理请参见南阳市公共资源交易中心网站下载专区《CA办理所需资料》。</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 xml:space="preserve"> 3、因投标人无需现场参与开标，所有准备工作需要自行到位。开标过程中如遇到紧急事项，可在不见面开标大厅中进行提出异议或文字交流，严重问题可拨打技术支持电话400-998-0000。</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 xml:space="preserve"> 4、不见面开标过程中，各投标人应在解密指令发出后30分钟内完成响应文件的解密。如遇特殊情况，解密时间可延迟30分钟。</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 xml:space="preserve"> 5、本项目为电子评标项目，投标人须提供电子响应文件，电子响应文件需要使用响应文件制作工具制作，制作工具及操作手册可在南阳市公共资源交易中心网站“下载专区”中下载。</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 xml:space="preserve"> 6、请各潜在投标人在获取文件后及时关注网站更新信息，若因其他原因未能及时看到网上更新信息而造成的损失，采购人及采购代理机构将不负任何责任。</w:t>
      </w:r>
      <w:r>
        <w:rPr>
          <w:rFonts w:hint="eastAsia" w:ascii="仿宋" w:hAnsi="仿宋" w:eastAsia="仿宋" w:cs="仿宋"/>
          <w:color w:val="auto"/>
          <w:kern w:val="2"/>
          <w:sz w:val="28"/>
          <w:szCs w:val="24"/>
          <w:highlight w:val="none"/>
          <w:lang w:val="en-US" w:eastAsia="zh-CN" w:bidi="ar-SA"/>
        </w:rPr>
        <w:br w:type="textWrapping"/>
      </w:r>
      <w:r>
        <w:rPr>
          <w:rFonts w:hint="eastAsia" w:ascii="仿宋" w:hAnsi="仿宋" w:eastAsia="仿宋" w:cs="仿宋"/>
          <w:color w:val="auto"/>
          <w:kern w:val="2"/>
          <w:sz w:val="28"/>
          <w:szCs w:val="24"/>
          <w:highlight w:val="none"/>
          <w:lang w:val="en-US" w:eastAsia="zh-CN" w:bidi="ar-SA"/>
        </w:rPr>
        <w:t>电子交易系统技术支持电话：400-998-0000</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CA数字证书技术支持电话：详见淅川县公共资源交易中心网站首页CA办理和咨询</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7、监督部门：淅川县财政局</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监督部门代码： 11411326006042033B</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址：淅川县金河镇</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 系 人：陈先生</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联系电话： 0377-60668835</w:t>
      </w:r>
      <w:bookmarkEnd w:id="8"/>
    </w:p>
    <w:p>
      <w:pPr>
        <w:pStyle w:val="2"/>
        <w:spacing w:after="0" w:line="360" w:lineRule="exact"/>
        <w:ind w:firstLine="0" w:firstLineChars="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八、凡对本次磋商提出询问，请按照以下方式联系</w:t>
      </w:r>
    </w:p>
    <w:p>
      <w:pPr>
        <w:pStyle w:val="2"/>
        <w:spacing w:after="0" w:line="360" w:lineRule="exact"/>
        <w:ind w:firstLine="301" w:firstLineChars="100"/>
        <w:rPr>
          <w:rFonts w:hint="eastAsia" w:ascii="仿宋" w:hAnsi="仿宋" w:eastAsia="仿宋" w:cs="仿宋"/>
          <w:b/>
          <w:bCs/>
          <w:color w:val="auto"/>
          <w:kern w:val="0"/>
          <w:sz w:val="30"/>
          <w:szCs w:val="30"/>
          <w:highlight w:val="none"/>
          <w:shd w:val="clear" w:color="auto" w:fill="FFFFFF"/>
          <w:lang w:val="en-US" w:eastAsia="zh-CN" w:bidi="ar-SA"/>
        </w:rPr>
      </w:pPr>
      <w:r>
        <w:rPr>
          <w:rFonts w:hint="eastAsia" w:ascii="仿宋" w:hAnsi="仿宋" w:eastAsia="仿宋" w:cs="仿宋"/>
          <w:b/>
          <w:bCs/>
          <w:color w:val="auto"/>
          <w:kern w:val="0"/>
          <w:sz w:val="30"/>
          <w:szCs w:val="30"/>
          <w:highlight w:val="none"/>
          <w:shd w:val="clear" w:color="auto" w:fill="FFFFFF"/>
          <w:lang w:val="en-US" w:eastAsia="zh-CN" w:bidi="ar-SA"/>
        </w:rPr>
        <w:t>1. 采购人信息</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招标人：淅川县水利局</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址：淅川县健康路</w:t>
      </w:r>
    </w:p>
    <w:p>
      <w:pPr>
        <w:adjustRightInd/>
        <w:snapToGrid/>
        <w:spacing w:after="0" w:line="360" w:lineRule="exact"/>
        <w:ind w:firstLine="280" w:firstLineChars="1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联系人：张先生</w:t>
      </w:r>
    </w:p>
    <w:p>
      <w:pPr>
        <w:adjustRightInd/>
        <w:snapToGrid/>
        <w:spacing w:after="0" w:line="360" w:lineRule="exact"/>
        <w:ind w:firstLine="280" w:firstLineChars="1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电话：0377-69238875</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2.采购代理机构信息（如有）</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招标代理机构：河南同盛工程管理咨询有限公司</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联系人：樊先生</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地址：淅川县上集镇城区工业园区36号</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联系电话：13103771000</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p>
    <w:p>
      <w:pPr>
        <w:pStyle w:val="2"/>
        <w:rPr>
          <w:rFonts w:hint="eastAsia"/>
          <w:color w:val="auto"/>
          <w:highlight w:val="none"/>
          <w:lang w:val="en-US" w:eastAsia="zh-CN"/>
        </w:rPr>
      </w:pPr>
    </w:p>
    <w:p>
      <w:pPr>
        <w:pStyle w:val="5"/>
        <w:rPr>
          <w:rFonts w:hint="eastAsia"/>
          <w:color w:val="auto"/>
          <w:highlight w:val="none"/>
          <w:lang w:val="en-US" w:eastAsia="zh-CN"/>
        </w:rPr>
      </w:pPr>
    </w:p>
    <w:p>
      <w:pPr>
        <w:adjustRightInd/>
        <w:snapToGrid/>
        <w:spacing w:after="0" w:line="360" w:lineRule="exact"/>
        <w:ind w:firstLine="5600" w:firstLineChars="20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河南同盛工程管理咨询有限公司</w:t>
      </w:r>
    </w:p>
    <w:p>
      <w:pPr>
        <w:adjustRightInd/>
        <w:snapToGrid/>
        <w:spacing w:after="0" w:line="360" w:lineRule="exact"/>
        <w:ind w:firstLine="280" w:firstLineChars="1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                                       发布时间;2024年3月8 日</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5"/>
        <w:rPr>
          <w:rFonts w:hint="eastAsia" w:ascii="宋体" w:hAnsi="宋体" w:cs="宋体"/>
          <w:color w:val="auto"/>
          <w:sz w:val="24"/>
          <w:highlight w:val="none"/>
        </w:rPr>
      </w:pPr>
    </w:p>
    <w:p>
      <w:pPr>
        <w:rPr>
          <w:rFonts w:hint="eastAsia"/>
          <w:color w:val="auto"/>
          <w:highlight w:val="none"/>
        </w:rPr>
      </w:pPr>
    </w:p>
    <w:p>
      <w:pPr>
        <w:adjustRightInd w:val="0"/>
        <w:snapToGrid w:val="0"/>
        <w:spacing w:line="520" w:lineRule="exact"/>
        <w:jc w:val="left"/>
        <w:rPr>
          <w:rFonts w:hint="eastAsia" w:ascii="宋体" w:hAnsi="宋体" w:cs="宋体"/>
          <w:color w:val="auto"/>
          <w:sz w:val="24"/>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8"/>
        <w:spacing w:before="0" w:after="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第二章投标人须知</w:t>
      </w:r>
      <w:bookmarkEnd w:id="9"/>
      <w:bookmarkEnd w:id="10"/>
    </w:p>
    <w:p>
      <w:pPr>
        <w:jc w:val="center"/>
        <w:rPr>
          <w:color w:val="auto"/>
          <w:highlight w:val="none"/>
        </w:rPr>
      </w:pPr>
      <w:r>
        <w:rPr>
          <w:rFonts w:hint="eastAsia"/>
          <w:color w:val="auto"/>
          <w:highlight w:val="none"/>
        </w:rPr>
        <w:t>投标人须知前附表</w:t>
      </w:r>
    </w:p>
    <w:tbl>
      <w:tblPr>
        <w:tblStyle w:val="3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636"/>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19"/>
              <w:topLinePunct/>
              <w:spacing w:line="276" w:lineRule="auto"/>
              <w:jc w:val="center"/>
              <w:rPr>
                <w:rFonts w:hAnsi="宋体"/>
                <w:b/>
                <w:color w:val="auto"/>
                <w:szCs w:val="24"/>
                <w:highlight w:val="none"/>
              </w:rPr>
            </w:pPr>
            <w:r>
              <w:rPr>
                <w:rFonts w:hAnsi="宋体"/>
                <w:b/>
                <w:color w:val="auto"/>
                <w:szCs w:val="24"/>
                <w:highlight w:val="none"/>
              </w:rPr>
              <w:t>条款号</w:t>
            </w:r>
          </w:p>
        </w:tc>
        <w:tc>
          <w:tcPr>
            <w:tcW w:w="2636" w:type="dxa"/>
            <w:shd w:val="clear" w:color="auto" w:fill="auto"/>
            <w:vAlign w:val="center"/>
          </w:tcPr>
          <w:p>
            <w:pPr>
              <w:pStyle w:val="19"/>
              <w:topLinePunct/>
              <w:spacing w:line="276" w:lineRule="auto"/>
              <w:jc w:val="center"/>
              <w:rPr>
                <w:rFonts w:hAnsi="宋体"/>
                <w:b/>
                <w:color w:val="auto"/>
                <w:szCs w:val="24"/>
                <w:highlight w:val="none"/>
              </w:rPr>
            </w:pPr>
            <w:r>
              <w:rPr>
                <w:rFonts w:hAnsi="宋体"/>
                <w:b/>
                <w:color w:val="auto"/>
                <w:szCs w:val="24"/>
                <w:highlight w:val="none"/>
              </w:rPr>
              <w:t>条 款 名 称</w:t>
            </w:r>
          </w:p>
        </w:tc>
        <w:tc>
          <w:tcPr>
            <w:tcW w:w="5574" w:type="dxa"/>
            <w:shd w:val="clear" w:color="auto" w:fill="auto"/>
            <w:vAlign w:val="center"/>
          </w:tcPr>
          <w:p>
            <w:pPr>
              <w:pStyle w:val="19"/>
              <w:topLinePunct/>
              <w:spacing w:line="276" w:lineRule="auto"/>
              <w:jc w:val="center"/>
              <w:rPr>
                <w:rFonts w:hAnsi="宋体"/>
                <w:b/>
                <w:color w:val="auto"/>
                <w:szCs w:val="24"/>
                <w:highlight w:val="none"/>
              </w:rPr>
            </w:pPr>
            <w:r>
              <w:rPr>
                <w:rFonts w:hAnsi="宋体"/>
                <w:b/>
                <w:color w:val="auto"/>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招标人：淅川县水利局</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auto"/>
                <w:kern w:val="2"/>
                <w:sz w:val="28"/>
                <w:szCs w:val="24"/>
                <w:highlight w:val="none"/>
                <w:lang w:val="en-US" w:eastAsia="zh-CN" w:bidi="ar-SA"/>
              </w:rPr>
              <w:t>淅川县健康路</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w:t>
            </w:r>
            <w:r>
              <w:rPr>
                <w:rFonts w:hint="eastAsia" w:ascii="仿宋" w:hAnsi="仿宋" w:eastAsia="仿宋" w:cs="仿宋"/>
                <w:color w:val="auto"/>
                <w:kern w:val="2"/>
                <w:sz w:val="28"/>
                <w:szCs w:val="24"/>
                <w:highlight w:val="none"/>
                <w:lang w:val="en-US" w:eastAsia="zh-CN" w:bidi="ar-SA"/>
              </w:rPr>
              <w:t>张先生</w:t>
            </w:r>
          </w:p>
          <w:p>
            <w:pPr>
              <w:adjustRightInd w:val="0"/>
              <w:snapToGrid w:val="0"/>
              <w:spacing w:line="520" w:lineRule="exact"/>
              <w:jc w:val="left"/>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val="en-US" w:eastAsia="zh-CN"/>
              </w:rPr>
              <w:t>电话：</w:t>
            </w:r>
            <w:r>
              <w:rPr>
                <w:rFonts w:hint="eastAsia" w:ascii="仿宋" w:hAnsi="仿宋" w:eastAsia="仿宋" w:cs="仿宋"/>
                <w:color w:val="auto"/>
                <w:kern w:val="2"/>
                <w:sz w:val="28"/>
                <w:szCs w:val="24"/>
                <w:highlight w:val="none"/>
                <w:lang w:val="en-US" w:eastAsia="zh-CN" w:bidi="ar-SA"/>
              </w:rPr>
              <w:t>0377-69238875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代理机构</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招标代理机构：河南同盛工程管理咨询有限公司</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w:t>
            </w:r>
            <w:r>
              <w:rPr>
                <w:rFonts w:hint="eastAsia" w:ascii="仿宋" w:hAnsi="仿宋" w:eastAsia="仿宋" w:cs="仿宋"/>
                <w:color w:val="auto"/>
                <w:kern w:val="2"/>
                <w:sz w:val="28"/>
                <w:szCs w:val="24"/>
                <w:highlight w:val="none"/>
                <w:lang w:val="en-US" w:eastAsia="zh-CN" w:bidi="ar-SA"/>
              </w:rPr>
              <w:t>樊先生</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w:t>
            </w:r>
            <w:r>
              <w:rPr>
                <w:rFonts w:hint="eastAsia" w:ascii="仿宋" w:hAnsi="仿宋" w:eastAsia="仿宋" w:cs="仿宋"/>
                <w:color w:val="auto"/>
                <w:kern w:val="2"/>
                <w:sz w:val="28"/>
                <w:szCs w:val="24"/>
                <w:highlight w:val="none"/>
                <w:lang w:val="en-US" w:eastAsia="zh-CN" w:bidi="ar-SA"/>
              </w:rPr>
              <w:t>淅川县上集镇城区工业园区36号</w:t>
            </w:r>
          </w:p>
          <w:p>
            <w:pPr>
              <w:adjustRightInd w:val="0"/>
              <w:snapToGrid w:val="0"/>
              <w:spacing w:line="520" w:lineRule="exact"/>
              <w:jc w:val="left"/>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kern w:val="2"/>
                <w:sz w:val="28"/>
                <w:szCs w:val="24"/>
                <w:highlight w:val="none"/>
                <w:lang w:val="en-US" w:eastAsia="zh-CN" w:bidi="ar-SA"/>
              </w:rPr>
              <w:t>13103771000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574" w:type="dxa"/>
            <w:shd w:val="clear" w:color="auto" w:fill="auto"/>
            <w:vAlign w:val="center"/>
          </w:tcPr>
          <w:p>
            <w:pPr>
              <w:pStyle w:val="2"/>
              <w:spacing w:after="0" w:line="360" w:lineRule="exact"/>
              <w:ind w:firstLine="220"/>
              <w:rPr>
                <w:rFonts w:hint="eastAsia" w:ascii="仿宋" w:hAnsi="仿宋" w:eastAsia="仿宋" w:cs="仿宋"/>
                <w:color w:val="auto"/>
                <w:sz w:val="28"/>
                <w:szCs w:val="28"/>
                <w:highlight w:val="none"/>
              </w:rPr>
            </w:pPr>
            <w:r>
              <w:rPr>
                <w:rFonts w:hint="eastAsia" w:ascii="仿宋" w:hAnsi="仿宋" w:eastAsia="仿宋" w:cs="仿宋"/>
                <w:color w:val="auto"/>
                <w:highlight w:val="none"/>
                <w:lang w:val="en-US" w:eastAsia="zh-CN"/>
              </w:rPr>
              <w:t>淅川县水利局淅川县丹江口库区及上游水土流失综合治理工程香九马项目区初步设计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标段划分</w:t>
            </w:r>
          </w:p>
        </w:tc>
        <w:tc>
          <w:tcPr>
            <w:tcW w:w="5574" w:type="dxa"/>
            <w:shd w:val="clear" w:color="auto" w:fill="auto"/>
            <w:vAlign w:val="center"/>
          </w:tcPr>
          <w:p>
            <w:pPr>
              <w:spacing w:line="3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本项目共划分为1个标段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5</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方式</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6</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p>
        </w:tc>
        <w:tc>
          <w:tcPr>
            <w:tcW w:w="5574" w:type="dxa"/>
            <w:shd w:val="clear" w:color="auto" w:fill="auto"/>
            <w:vAlign w:val="center"/>
          </w:tcPr>
          <w:p>
            <w:pPr>
              <w:pStyle w:val="19"/>
              <w:topLinePunct/>
              <w:spacing w:line="3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国债水利资金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资金落实情况</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8</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内容</w:t>
            </w:r>
          </w:p>
        </w:tc>
        <w:tc>
          <w:tcPr>
            <w:tcW w:w="5574" w:type="dxa"/>
            <w:shd w:val="clear" w:color="auto" w:fill="auto"/>
            <w:vAlign w:val="center"/>
          </w:tcPr>
          <w:p>
            <w:pPr>
              <w:pStyle w:val="19"/>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设计工期</w:t>
            </w:r>
          </w:p>
        </w:tc>
        <w:tc>
          <w:tcPr>
            <w:tcW w:w="5574" w:type="dxa"/>
            <w:shd w:val="clear" w:color="auto" w:fill="auto"/>
            <w:vAlign w:val="center"/>
          </w:tcPr>
          <w:p>
            <w:pPr>
              <w:pStyle w:val="19"/>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rPr>
              <w:t>30</w:t>
            </w:r>
            <w:r>
              <w:rPr>
                <w:rFonts w:hint="eastAsia" w:ascii="仿宋" w:hAnsi="仿宋" w:eastAsia="仿宋" w:cs="仿宋"/>
                <w:color w:val="auto"/>
                <w:sz w:val="28"/>
                <w:szCs w:val="28"/>
                <w:highlight w:val="none"/>
                <w:shd w:val="clear" w:color="auto" w:fill="FFFFFF"/>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bidi="en-US"/>
              </w:rPr>
              <w:t>符合国家相关标准和行业规范要求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11</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投标人资质条件、能力和信誉</w:t>
            </w:r>
          </w:p>
        </w:tc>
        <w:tc>
          <w:tcPr>
            <w:tcW w:w="5574" w:type="dxa"/>
            <w:shd w:val="clear" w:color="auto" w:fill="auto"/>
            <w:vAlign w:val="center"/>
          </w:tcPr>
          <w:p>
            <w:pPr>
              <w:spacing w:line="3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en-US"/>
              </w:rPr>
              <w:t>详见本项目</w:t>
            </w:r>
            <w:r>
              <w:rPr>
                <w:rFonts w:hint="eastAsia" w:ascii="仿宋" w:hAnsi="仿宋" w:eastAsia="仿宋" w:cs="仿宋"/>
                <w:bCs/>
                <w:color w:val="auto"/>
                <w:sz w:val="28"/>
                <w:szCs w:val="28"/>
                <w:highlight w:val="none"/>
                <w:lang w:eastAsia="zh-CN" w:bidi="en-US"/>
              </w:rPr>
              <w:t>磋商</w:t>
            </w:r>
            <w:r>
              <w:rPr>
                <w:rFonts w:hint="eastAsia" w:ascii="仿宋" w:hAnsi="仿宋" w:eastAsia="仿宋" w:cs="仿宋"/>
                <w:bCs/>
                <w:color w:val="auto"/>
                <w:sz w:val="28"/>
                <w:szCs w:val="28"/>
                <w:highlight w:val="none"/>
                <w:lang w:bidi="en-US"/>
              </w:rPr>
              <w:t>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19"/>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w:t>
            </w:r>
          </w:p>
        </w:tc>
        <w:tc>
          <w:tcPr>
            <w:tcW w:w="2636" w:type="dxa"/>
            <w:shd w:val="clear" w:color="auto" w:fill="auto"/>
            <w:vAlign w:val="center"/>
          </w:tcPr>
          <w:p>
            <w:pPr>
              <w:pStyle w:val="19"/>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是否接受联合体投标</w:t>
            </w:r>
          </w:p>
        </w:tc>
        <w:tc>
          <w:tcPr>
            <w:tcW w:w="5574" w:type="dxa"/>
            <w:shd w:val="clear" w:color="auto" w:fill="auto"/>
            <w:vAlign w:val="center"/>
          </w:tcPr>
          <w:p>
            <w:pPr>
              <w:pStyle w:val="19"/>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踏勘现场</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投标预备会</w:t>
            </w:r>
          </w:p>
        </w:tc>
        <w:tc>
          <w:tcPr>
            <w:tcW w:w="5574" w:type="dxa"/>
            <w:shd w:val="clear" w:color="auto" w:fill="auto"/>
          </w:tcPr>
          <w:p>
            <w:pPr>
              <w:pStyle w:val="19"/>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投标人提出问题的截止时间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若有疑问，请于投标截止时间5天前将问题以书面形式</w:t>
            </w:r>
            <w:r>
              <w:rPr>
                <w:rFonts w:hint="eastAsia" w:ascii="仿宋" w:hAnsi="仿宋" w:eastAsia="仿宋" w:cs="仿宋"/>
                <w:color w:val="auto"/>
                <w:sz w:val="28"/>
                <w:szCs w:val="28"/>
                <w:highlight w:val="none"/>
                <w:lang w:eastAsia="zh-CN"/>
              </w:rPr>
              <w:t>或者通过交易系统</w:t>
            </w:r>
            <w:r>
              <w:rPr>
                <w:rFonts w:hint="eastAsia" w:ascii="仿宋" w:hAnsi="仿宋" w:eastAsia="仿宋" w:cs="仿宋"/>
                <w:color w:val="auto"/>
                <w:sz w:val="28"/>
                <w:szCs w:val="28"/>
                <w:highlight w:val="none"/>
              </w:rPr>
              <w:t xml:space="preserve">提交代理人（注明单位名称、工程名称并加盖公章）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人澄清的时间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w:t>
            </w:r>
          </w:p>
        </w:tc>
        <w:tc>
          <w:tcPr>
            <w:tcW w:w="5574" w:type="dxa"/>
            <w:shd w:val="clear" w:color="auto" w:fill="auto"/>
          </w:tcPr>
          <w:p>
            <w:pPr>
              <w:pStyle w:val="19"/>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偏离</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文件的其他材料</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文件的修改、澄清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投标人要求澄清</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文件的截止时间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若有疑问，请于投标截止时间5天前将问题以书面形式提交代理人（注明单位名称、工程名称并加盖公章）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w:t>
            </w:r>
          </w:p>
        </w:tc>
        <w:tc>
          <w:tcPr>
            <w:tcW w:w="2636" w:type="dxa"/>
            <w:shd w:val="clear" w:color="auto" w:fill="auto"/>
            <w:vAlign w:val="center"/>
          </w:tcPr>
          <w:p>
            <w:pPr>
              <w:spacing w:line="2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电子投标文件上传截止时间</w:t>
            </w:r>
          </w:p>
          <w:p>
            <w:pPr>
              <w:spacing w:line="2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（即投标截止时间）</w:t>
            </w:r>
          </w:p>
        </w:tc>
        <w:tc>
          <w:tcPr>
            <w:tcW w:w="5574" w:type="dxa"/>
            <w:shd w:val="clear" w:color="auto" w:fill="auto"/>
            <w:vAlign w:val="center"/>
          </w:tcPr>
          <w:p>
            <w:pPr>
              <w:spacing w:line="2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19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投标人确认收到</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文件澄清的时间</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投标人确认收到</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文件修改的时间</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构成投标文件的其他材料</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60日历天（从投标截止之日起）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保证金</w:t>
            </w:r>
          </w:p>
        </w:tc>
        <w:tc>
          <w:tcPr>
            <w:tcW w:w="5574" w:type="dxa"/>
            <w:shd w:val="clear" w:color="auto" w:fill="auto"/>
            <w:vAlign w:val="center"/>
          </w:tcPr>
          <w:p>
            <w:pPr>
              <w:tabs>
                <w:tab w:val="left" w:pos="540"/>
              </w:tabs>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w:t>
            </w:r>
          </w:p>
        </w:tc>
        <w:tc>
          <w:tcPr>
            <w:tcW w:w="2636" w:type="dxa"/>
            <w:shd w:val="clear" w:color="auto" w:fill="auto"/>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是否允许递交备选投标方案</w:t>
            </w:r>
          </w:p>
        </w:tc>
        <w:tc>
          <w:tcPr>
            <w:tcW w:w="5574" w:type="dxa"/>
            <w:shd w:val="clear" w:color="auto" w:fill="auto"/>
            <w:vAlign w:val="center"/>
          </w:tcPr>
          <w:p>
            <w:pPr>
              <w:pStyle w:val="19"/>
              <w:topLinePun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签章要求</w:t>
            </w:r>
          </w:p>
        </w:tc>
        <w:tc>
          <w:tcPr>
            <w:tcW w:w="5574" w:type="dxa"/>
            <w:shd w:val="clear" w:color="auto" w:fill="auto"/>
            <w:vAlign w:val="top"/>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电子投标文件:1、所有要求投标人加盖公章的地方都应用投标人单位的CA印章。</w:t>
            </w:r>
          </w:p>
          <w:p>
            <w:pPr>
              <w:adjustRightInd w:val="0"/>
              <w:snapToGrid w:val="0"/>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 w:type="dxa"/>
            <w:shd w:val="clear" w:color="auto" w:fill="auto"/>
            <w:vAlign w:val="center"/>
          </w:tcPr>
          <w:p>
            <w:pPr>
              <w:spacing w:line="276"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29</w:t>
            </w:r>
          </w:p>
        </w:tc>
        <w:tc>
          <w:tcPr>
            <w:tcW w:w="2636" w:type="dxa"/>
            <w:shd w:val="clear" w:color="auto" w:fill="auto"/>
            <w:vAlign w:val="center"/>
          </w:tcPr>
          <w:p>
            <w:pPr>
              <w:spacing w:line="24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投标文件上传要求</w:t>
            </w:r>
          </w:p>
        </w:tc>
        <w:tc>
          <w:tcPr>
            <w:tcW w:w="5574" w:type="dxa"/>
            <w:shd w:val="clear" w:color="auto" w:fill="auto"/>
            <w:vAlign w:val="center"/>
          </w:tcPr>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人应在南阳市公共资源交易系统下载“电子投标文件制作工具”，并按照磋商文件要求编制和上传递交加密的电子投标文件(.NYTF格式)。投标人上传时必须得到系统“上传成功”的确认回复，并认真检查电子投标文件是否完整、正确。</w:t>
            </w:r>
          </w:p>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2、递交网址：https://ggzyjy.nanyang.gov.cn/XCXWeb/。 </w:t>
            </w:r>
          </w:p>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3、投标人的电子投标文件应在磋商文件规定的投标截止时间前到达交易系统。逾期到达交易系统的电子投标文件视为放弃本次投标。</w:t>
            </w:r>
          </w:p>
          <w:p>
            <w:pPr>
              <w:spacing w:line="360" w:lineRule="auto"/>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4、投标人所递交的电子投标文件在投标截止时间之</w:t>
            </w:r>
            <w:r>
              <w:rPr>
                <w:rFonts w:hint="eastAsia" w:ascii="仿宋" w:hAnsi="仿宋" w:eastAsia="仿宋" w:cs="仿宋"/>
                <w:bCs/>
                <w:color w:val="auto"/>
                <w:kern w:val="0"/>
                <w:sz w:val="28"/>
                <w:szCs w:val="28"/>
                <w:highlight w:val="none"/>
              </w:rPr>
              <w:t>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w:t>
            </w:r>
          </w:p>
        </w:tc>
        <w:tc>
          <w:tcPr>
            <w:tcW w:w="2636" w:type="dxa"/>
            <w:shd w:val="clear" w:color="auto" w:fill="auto"/>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是否退还投标文件</w:t>
            </w:r>
          </w:p>
        </w:tc>
        <w:tc>
          <w:tcPr>
            <w:tcW w:w="5574" w:type="dxa"/>
            <w:shd w:val="clear" w:color="auto" w:fill="auto"/>
            <w:vAlign w:val="center"/>
          </w:tcPr>
          <w:p>
            <w:pPr>
              <w:pStyle w:val="19"/>
              <w:topLinePunct/>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开标时间和地点</w:t>
            </w:r>
          </w:p>
        </w:tc>
        <w:tc>
          <w:tcPr>
            <w:tcW w:w="5574" w:type="dxa"/>
            <w:shd w:val="clear" w:color="auto" w:fill="auto"/>
          </w:tcPr>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开标时间：同投标截止时间</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w:t>
            </w:r>
            <w:r>
              <w:rPr>
                <w:rFonts w:hint="eastAsia" w:ascii="仿宋" w:hAnsi="仿宋" w:eastAsia="仿宋" w:cs="仿宋"/>
                <w:color w:val="auto"/>
                <w:sz w:val="28"/>
                <w:szCs w:val="28"/>
                <w:highlight w:val="none"/>
                <w:lang w:val="en-US" w:eastAsia="zh-CN"/>
              </w:rPr>
              <w:t>网上不见面大厅开标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开标程序</w:t>
            </w:r>
          </w:p>
        </w:tc>
        <w:tc>
          <w:tcPr>
            <w:tcW w:w="5574" w:type="dxa"/>
            <w:shd w:val="clear" w:color="auto" w:fill="auto"/>
            <w:vAlign w:val="center"/>
          </w:tcPr>
          <w:p>
            <w:pPr>
              <w:pStyle w:val="135"/>
              <w:spacing w:before="43"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1、按电子响应文件上传的顺序进行开标唱标</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2、本项目为不见面开标项目即投标人不再到现场参与开标会议，等开标时间截止后，各投标企业自行在30分钟内远程解密响应文件，超过时限未解密的按无效标处理，若在30分钟内未提出异议，视为无异议，认可开标结果；本项目采用竞争性磋商方式，开标结束后，投标人在谈判大厅等待，各响应单位必须安排专人值守，确保在线，二次报价在专家提起报价后完成。在评标期间，随时接受评标委员会在线问询，若未在评标委员会发起质疑30分钟内进行答疑的，视为放弃答疑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评标委员会的组建</w:t>
            </w:r>
          </w:p>
        </w:tc>
        <w:tc>
          <w:tcPr>
            <w:tcW w:w="5574" w:type="dxa"/>
            <w:shd w:val="clear" w:color="auto" w:fill="auto"/>
          </w:tcPr>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评标委员会构成：共</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人；其中经济、技术类专家</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人代表</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人；</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专家确定方式：从政府采购评标专家库中抽取。。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w:t>
            </w:r>
          </w:p>
        </w:tc>
        <w:tc>
          <w:tcPr>
            <w:tcW w:w="2636" w:type="dxa"/>
            <w:shd w:val="clear" w:color="auto" w:fill="auto"/>
            <w:vAlign w:val="center"/>
          </w:tcPr>
          <w:p>
            <w:pPr>
              <w:pStyle w:val="135"/>
              <w:spacing w:before="21"/>
              <w:ind w:right="167"/>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是否授权磋商小组确</w:t>
            </w:r>
            <w:r>
              <w:rPr>
                <w:rFonts w:hint="eastAsia" w:ascii="仿宋" w:hAnsi="仿宋" w:eastAsia="仿宋" w:cs="仿宋"/>
                <w:color w:val="auto"/>
                <w:sz w:val="28"/>
                <w:szCs w:val="28"/>
                <w:highlight w:val="none"/>
              </w:rPr>
              <w:t>定成交人</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否，推荐的中标候选人数：前</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控制价</w:t>
            </w:r>
          </w:p>
        </w:tc>
        <w:tc>
          <w:tcPr>
            <w:tcW w:w="5574" w:type="dxa"/>
            <w:shd w:val="clear" w:color="auto" w:fill="auto"/>
            <w:vAlign w:val="center"/>
          </w:tcPr>
          <w:p>
            <w:pPr>
              <w:spacing w:line="276"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本项目设有</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控制价，投标人报价超出控制价的视为不响应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文件要求，其投标将被拒绝。</w:t>
            </w:r>
          </w:p>
          <w:p>
            <w:pPr>
              <w:spacing w:line="276"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磋商</w:t>
            </w:r>
            <w:r>
              <w:rPr>
                <w:rFonts w:hint="eastAsia" w:ascii="仿宋" w:hAnsi="仿宋" w:eastAsia="仿宋" w:cs="仿宋"/>
                <w:b/>
                <w:color w:val="auto"/>
                <w:sz w:val="28"/>
                <w:szCs w:val="28"/>
                <w:highlight w:val="none"/>
              </w:rPr>
              <w:t>控制价：</w:t>
            </w:r>
            <w:r>
              <w:rPr>
                <w:rFonts w:hint="eastAsia" w:ascii="仿宋" w:hAnsi="仿宋" w:eastAsia="仿宋" w:cs="仿宋"/>
                <w:b/>
                <w:color w:val="auto"/>
                <w:sz w:val="28"/>
                <w:szCs w:val="28"/>
                <w:highlight w:val="none"/>
                <w:lang w:val="en-US" w:eastAsia="zh-CN"/>
              </w:rPr>
              <w:t>52.76</w:t>
            </w:r>
            <w:r>
              <w:rPr>
                <w:rFonts w:hint="eastAsia" w:ascii="仿宋" w:hAnsi="仿宋" w:eastAsia="仿宋" w:cs="仿宋"/>
                <w:b/>
                <w:color w:val="auto"/>
                <w:sz w:val="28"/>
                <w:szCs w:val="28"/>
                <w:highlight w:val="none"/>
              </w:rPr>
              <w:t>万元（</w:t>
            </w:r>
            <w:r>
              <w:rPr>
                <w:rFonts w:hint="eastAsia" w:ascii="仿宋" w:hAnsi="仿宋" w:eastAsia="仿宋" w:cs="仿宋"/>
                <w:b/>
                <w:color w:val="auto"/>
                <w:sz w:val="28"/>
                <w:szCs w:val="28"/>
                <w:highlight w:val="none"/>
                <w:lang w:val="en-US" w:eastAsia="zh-CN"/>
              </w:rPr>
              <w:t>伍拾贰万柒仟陆佰元整</w:t>
            </w:r>
            <w:r>
              <w:rPr>
                <w:rFonts w:hint="eastAsia" w:ascii="仿宋" w:hAnsi="仿宋" w:eastAsia="仿宋" w:cs="仿宋"/>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907" w:type="dxa"/>
            <w:shd w:val="clear" w:color="auto" w:fill="auto"/>
            <w:vAlign w:val="center"/>
          </w:tcPr>
          <w:p>
            <w:pPr>
              <w:pStyle w:val="133"/>
              <w:adjustRightInd w:val="0"/>
              <w:snapToGrid w:val="0"/>
              <w:spacing w:line="360" w:lineRule="auto"/>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w:t>
            </w:r>
          </w:p>
        </w:tc>
        <w:tc>
          <w:tcPr>
            <w:tcW w:w="2636" w:type="dxa"/>
            <w:shd w:val="clear" w:color="auto" w:fill="auto"/>
            <w:vAlign w:val="center"/>
          </w:tcPr>
          <w:p>
            <w:pPr>
              <w:pStyle w:val="133"/>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代理报酬</w:t>
            </w:r>
          </w:p>
        </w:tc>
        <w:tc>
          <w:tcPr>
            <w:tcW w:w="5574" w:type="dxa"/>
            <w:shd w:val="clear" w:color="auto" w:fill="auto"/>
            <w:vAlign w:val="center"/>
          </w:tcPr>
          <w:p>
            <w:pPr>
              <w:pStyle w:val="135"/>
              <w:tabs>
                <w:tab w:val="left" w:pos="326"/>
              </w:tabs>
              <w:spacing w:before="21" w:line="278" w:lineRule="auto"/>
              <w:ind w:right="97"/>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本项目代理服务费参照《河南省招标代理服务收费指导意见》豫招协〔2023〕002号文规定；由中标人在领取成交通知书时向本采购代理机构支付（并计入投标总报价），请投标人充分考虑这一因素。</w:t>
            </w:r>
          </w:p>
          <w:p>
            <w:pPr>
              <w:pStyle w:val="135"/>
              <w:tabs>
                <w:tab w:val="left" w:pos="326"/>
              </w:tabs>
              <w:spacing w:before="21" w:line="278" w:lineRule="auto"/>
              <w:ind w:right="97"/>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本磋商文件解释权归采购人。</w:t>
            </w:r>
          </w:p>
          <w:p>
            <w:pPr>
              <w:pStyle w:val="133"/>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2"/>
                <w:sz w:val="28"/>
                <w:szCs w:val="28"/>
                <w:highlight w:val="none"/>
                <w:lang w:val="en-US" w:eastAsia="zh-CN" w:bidi="ar-SA"/>
              </w:rPr>
              <w:t>未尽事宜，按《中华人民共和国政府采购法》及有关规定执行。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7</w:t>
            </w:r>
          </w:p>
        </w:tc>
        <w:tc>
          <w:tcPr>
            <w:tcW w:w="2636" w:type="dxa"/>
            <w:shd w:val="clear" w:color="auto" w:fill="auto"/>
            <w:vAlign w:val="center"/>
          </w:tcPr>
          <w:p>
            <w:pPr>
              <w:pStyle w:val="135"/>
              <w:spacing w:before="7"/>
              <w:rPr>
                <w:rFonts w:hint="eastAsia" w:ascii="仿宋" w:hAnsi="仿宋" w:eastAsia="仿宋" w:cs="仿宋"/>
                <w:color w:val="auto"/>
                <w:sz w:val="28"/>
                <w:szCs w:val="28"/>
                <w:highlight w:val="none"/>
              </w:rPr>
            </w:pPr>
          </w:p>
          <w:p>
            <w:pPr>
              <w:spacing w:line="276"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履约保证金</w:t>
            </w:r>
          </w:p>
        </w:tc>
        <w:tc>
          <w:tcPr>
            <w:tcW w:w="5574" w:type="dxa"/>
            <w:shd w:val="clear" w:color="auto" w:fill="auto"/>
            <w:vAlign w:val="center"/>
          </w:tcPr>
          <w:p>
            <w:pPr>
              <w:spacing w:line="276" w:lineRule="auto"/>
              <w:jc w:val="left"/>
              <w:rPr>
                <w:rFonts w:hint="eastAsia" w:ascii="仿宋" w:hAnsi="仿宋" w:eastAsia="仿宋" w:cs="仿宋"/>
                <w:b w:val="0"/>
                <w:bCs/>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117" w:type="dxa"/>
            <w:gridSpan w:val="3"/>
            <w:shd w:val="clear" w:color="auto" w:fill="auto"/>
            <w:vAlign w:val="center"/>
          </w:tcPr>
          <w:p>
            <w:pPr>
              <w:spacing w:line="276"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pPr>
              <w:spacing w:line="276" w:lineRule="auto"/>
              <w:jc w:val="left"/>
              <w:rPr>
                <w:rFonts w:hint="eastAsia" w:ascii="仿宋" w:hAnsi="仿宋" w:eastAsia="仿宋" w:cs="仿宋"/>
                <w:color w:val="auto"/>
                <w:sz w:val="28"/>
                <w:szCs w:val="28"/>
                <w:highlight w:val="none"/>
              </w:rPr>
            </w:pPr>
            <w:r>
              <w:rPr>
                <w:rFonts w:hint="eastAsia" w:ascii="仿宋" w:hAnsi="仿宋" w:eastAsia="仿宋" w:cs="仿宋"/>
                <w:b/>
                <w:color w:val="auto"/>
                <w:spacing w:val="-2"/>
                <w:sz w:val="28"/>
                <w:szCs w:val="28"/>
                <w:highlight w:val="none"/>
              </w:rPr>
              <w:t>注：依据豫发改公管〔</w:t>
            </w:r>
            <w:r>
              <w:rPr>
                <w:rFonts w:hint="eastAsia" w:ascii="仿宋" w:hAnsi="仿宋" w:eastAsia="仿宋" w:cs="仿宋"/>
                <w:b/>
                <w:color w:val="auto"/>
                <w:sz w:val="28"/>
                <w:szCs w:val="28"/>
                <w:highlight w:val="none"/>
              </w:rPr>
              <w:t>2019</w:t>
            </w:r>
            <w:r>
              <w:rPr>
                <w:rFonts w:hint="eastAsia" w:ascii="仿宋" w:hAnsi="仿宋" w:eastAsia="仿宋" w:cs="仿宋"/>
                <w:b/>
                <w:color w:val="auto"/>
                <w:spacing w:val="-5"/>
                <w:sz w:val="28"/>
                <w:szCs w:val="28"/>
                <w:highlight w:val="none"/>
              </w:rPr>
              <w:t>〕</w:t>
            </w:r>
            <w:r>
              <w:rPr>
                <w:rFonts w:hint="eastAsia" w:ascii="仿宋" w:hAnsi="仿宋" w:eastAsia="仿宋" w:cs="仿宋"/>
                <w:b/>
                <w:color w:val="auto"/>
                <w:sz w:val="28"/>
                <w:szCs w:val="28"/>
                <w:highlight w:val="none"/>
              </w:rPr>
              <w:t>198</w:t>
            </w:r>
            <w:r>
              <w:rPr>
                <w:rFonts w:hint="eastAsia" w:ascii="仿宋" w:hAnsi="仿宋" w:eastAsia="仿宋" w:cs="仿宋"/>
                <w:b/>
                <w:color w:val="auto"/>
                <w:spacing w:val="-9"/>
                <w:sz w:val="28"/>
                <w:szCs w:val="28"/>
                <w:highlight w:val="none"/>
              </w:rPr>
              <w:t xml:space="preserve"> 号文要求，投标人</w:t>
            </w:r>
            <w:r>
              <w:rPr>
                <w:rFonts w:hint="eastAsia" w:ascii="仿宋" w:hAnsi="仿宋" w:eastAsia="仿宋" w:cs="仿宋"/>
                <w:b/>
                <w:color w:val="auto"/>
                <w:spacing w:val="-9"/>
                <w:sz w:val="28"/>
                <w:szCs w:val="28"/>
                <w:highlight w:val="none"/>
                <w:lang w:eastAsia="zh-CN"/>
              </w:rPr>
              <w:t>响应</w:t>
            </w:r>
            <w:r>
              <w:rPr>
                <w:rFonts w:hint="eastAsia" w:ascii="仿宋" w:hAnsi="仿宋" w:eastAsia="仿宋" w:cs="仿宋"/>
                <w:b/>
                <w:color w:val="auto"/>
                <w:spacing w:val="-9"/>
                <w:sz w:val="28"/>
                <w:szCs w:val="28"/>
                <w:highlight w:val="none"/>
              </w:rPr>
              <w:t>文件制作器码一致视为串通投标行为，做废标处理，需投标人自行承担责任。</w:t>
            </w:r>
          </w:p>
        </w:tc>
      </w:tr>
    </w:tbl>
    <w:p>
      <w:pPr>
        <w:widowControl w:val="0"/>
        <w:numPr>
          <w:ilvl w:val="0"/>
          <w:numId w:val="1"/>
        </w:numPr>
        <w:tabs>
          <w:tab w:val="left" w:pos="869"/>
        </w:tabs>
        <w:autoSpaceDE w:val="0"/>
        <w:autoSpaceDN w:val="0"/>
        <w:spacing w:before="22"/>
        <w:rPr>
          <w:rFonts w:hint="eastAsia" w:ascii="宋体" w:hAnsi="宋体" w:eastAsia="宋体" w:cs="宋体"/>
          <w:b/>
          <w:color w:val="auto"/>
          <w:sz w:val="22"/>
          <w:szCs w:val="18"/>
          <w:highlight w:val="none"/>
          <w:lang w:val="zh-CN" w:bidi="zh-CN"/>
        </w:rPr>
      </w:pPr>
      <w:bookmarkStart w:id="11" w:name="_Toc12948"/>
      <w:bookmarkStart w:id="12" w:name="_Toc29120"/>
      <w:r>
        <w:rPr>
          <w:rFonts w:hint="eastAsia" w:ascii="仿宋" w:hAnsi="仿宋" w:eastAsia="仿宋" w:cs="仿宋"/>
          <w:b/>
          <w:color w:val="auto"/>
          <w:sz w:val="28"/>
          <w:szCs w:val="28"/>
          <w:highlight w:val="none"/>
          <w:lang w:val="zh-CN" w:bidi="zh-CN"/>
        </w:rPr>
        <w:t>总则</w:t>
      </w:r>
    </w:p>
    <w:p>
      <w:pPr>
        <w:widowControl w:val="0"/>
        <w:numPr>
          <w:ilvl w:val="1"/>
          <w:numId w:val="1"/>
        </w:numPr>
        <w:tabs>
          <w:tab w:val="left" w:pos="876"/>
        </w:tabs>
        <w:autoSpaceDE w:val="0"/>
        <w:autoSpaceDN w:val="0"/>
        <w:spacing w:before="22"/>
        <w:outlineLvl w:val="4"/>
        <w:rPr>
          <w:rFonts w:hint="eastAsia" w:ascii="宋体" w:hAnsi="宋体" w:eastAsia="宋体" w:cs="宋体"/>
          <w:b/>
          <w:bCs/>
          <w:color w:val="auto"/>
          <w:sz w:val="20"/>
          <w:szCs w:val="20"/>
          <w:highlight w:val="none"/>
          <w:lang w:val="zh-CN" w:bidi="zh-CN"/>
        </w:rPr>
      </w:pPr>
      <w:bookmarkStart w:id="13" w:name="1.1项目概况"/>
      <w:bookmarkEnd w:id="13"/>
      <w:r>
        <w:rPr>
          <w:rFonts w:hint="eastAsia" w:ascii="宋体" w:hAnsi="宋体" w:eastAsia="宋体" w:cs="宋体"/>
          <w:b/>
          <w:bCs/>
          <w:color w:val="auto"/>
          <w:sz w:val="20"/>
          <w:szCs w:val="20"/>
          <w:highlight w:val="none"/>
          <w:lang w:val="zh-CN" w:bidi="zh-CN"/>
        </w:rPr>
        <w:t>项目概况</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根据《中华人民共和国政府采购法》《中华人民共和国政府采购法实施条例》等有关法律、法规和规章的规定，本采购项目已具备竞争性磋商条件，现对本项目进行竞争性磋商。</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采购人：投标人须知前附表中所述的，依法进行政府采购的国家机关、事业单位、团体组织。</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采购代理机构：受采购人委托组织采购活动，在采购过程中负有相应责任的社会中介组织。</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采购方式：见投标人须知前附表。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r>
        <w:rPr>
          <w:rFonts w:hint="eastAsia" w:ascii="宋体" w:hAnsi="宋体" w:eastAsia="宋体" w:cs="宋体"/>
          <w:color w:val="auto"/>
          <w:sz w:val="22"/>
          <w:szCs w:val="22"/>
          <w:highlight w:val="none"/>
          <w:lang w:val="zh-CN" w:bidi="zh-CN"/>
        </w:rPr>
        <w:t>项目名称及采购编号：见投标人须知前附表。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资金来源：见投标人须知前应商须知前附表。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4" w:name="1.2资金来源和落实情况"/>
      <w:bookmarkEnd w:id="14"/>
      <w:r>
        <w:rPr>
          <w:rFonts w:hint="eastAsia" w:ascii="宋体" w:hAnsi="宋体" w:eastAsia="宋体" w:cs="宋体"/>
          <w:b/>
          <w:bCs/>
          <w:color w:val="auto"/>
          <w:sz w:val="20"/>
          <w:szCs w:val="20"/>
          <w:highlight w:val="none"/>
          <w:lang w:val="zh-CN" w:bidi="zh-CN"/>
        </w:rPr>
        <w:t>资金来源和落实情况</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资金来源：</w:t>
      </w:r>
      <w:r>
        <w:rPr>
          <w:rFonts w:hint="eastAsia" w:ascii="宋体" w:hAnsi="宋体" w:eastAsia="宋体" w:cs="宋体"/>
          <w:color w:val="auto"/>
          <w:sz w:val="22"/>
          <w:szCs w:val="22"/>
          <w:highlight w:val="none"/>
          <w:lang w:val="zh-CN" w:bidi="zh-CN"/>
        </w:rPr>
        <w:t>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采购预算：见投标人须知前附表。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采购项目性质：见投标人须知前附表。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资金落实情况：见投标人须知前附表。</w:t>
      </w:r>
    </w:p>
    <w:p>
      <w:pPr>
        <w:widowControl w:val="0"/>
        <w:numPr>
          <w:ilvl w:val="1"/>
          <w:numId w:val="1"/>
        </w:numPr>
        <w:tabs>
          <w:tab w:val="left" w:pos="876"/>
        </w:tabs>
        <w:autoSpaceDE w:val="0"/>
        <w:autoSpaceDN w:val="0"/>
        <w:spacing w:before="42"/>
        <w:outlineLvl w:val="4"/>
        <w:rPr>
          <w:rFonts w:hint="eastAsia" w:ascii="宋体" w:hAnsi="宋体" w:eastAsia="宋体" w:cs="宋体"/>
          <w:b/>
          <w:bCs/>
          <w:color w:val="auto"/>
          <w:sz w:val="20"/>
          <w:szCs w:val="20"/>
          <w:highlight w:val="none"/>
          <w:lang w:val="zh-CN" w:bidi="zh-CN"/>
        </w:rPr>
      </w:pPr>
      <w:bookmarkStart w:id="15" w:name="1.3采购内容、服务期和质量标准"/>
      <w:bookmarkEnd w:id="15"/>
      <w:r>
        <w:rPr>
          <w:rFonts w:hint="eastAsia" w:ascii="宋体" w:hAnsi="宋体" w:eastAsia="宋体" w:cs="宋体"/>
          <w:b/>
          <w:bCs/>
          <w:color w:val="auto"/>
          <w:sz w:val="20"/>
          <w:szCs w:val="20"/>
          <w:highlight w:val="none"/>
          <w:lang w:val="zh-CN" w:bidi="zh-CN"/>
        </w:rPr>
        <w:t>采购内容、服务期和质量标准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采购内容：见投标人须知前附表。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质量要求：见投标人须知前附表。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eastAsia="zh-CN" w:bidi="zh-CN"/>
        </w:rPr>
        <w:t>设计工期</w:t>
      </w:r>
      <w:r>
        <w:rPr>
          <w:rFonts w:hint="eastAsia" w:ascii="宋体" w:hAnsi="宋体" w:eastAsia="宋体" w:cs="宋体"/>
          <w:color w:val="auto"/>
          <w:sz w:val="22"/>
          <w:szCs w:val="22"/>
          <w:highlight w:val="none"/>
          <w:lang w:val="zh-CN" w:bidi="zh-CN"/>
        </w:rPr>
        <w:t>：见投标人须知前附表。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6" w:name="1.4供应商资格要求"/>
      <w:bookmarkEnd w:id="16"/>
      <w:r>
        <w:rPr>
          <w:rFonts w:hint="eastAsia" w:ascii="宋体" w:hAnsi="宋体" w:eastAsia="宋体" w:cs="宋体"/>
          <w:b/>
          <w:bCs/>
          <w:color w:val="auto"/>
          <w:sz w:val="20"/>
          <w:szCs w:val="20"/>
          <w:highlight w:val="none"/>
          <w:lang w:val="zh-CN" w:bidi="zh-CN"/>
        </w:rPr>
        <w:t>投标人资格要求</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投标人应具备的资格条件：见投标人须知前附表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投标人不得存在下列情形之一：</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与采购人存在利害关系且可能影响招标公正性；</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2</w:t>
      </w:r>
      <w:r>
        <w:rPr>
          <w:rFonts w:hint="eastAsia" w:ascii="宋体" w:hAnsi="宋体" w:eastAsia="宋体" w:cs="宋体"/>
          <w:color w:val="auto"/>
          <w:sz w:val="22"/>
          <w:szCs w:val="22"/>
          <w:highlight w:val="none"/>
          <w:lang w:val="zh-CN" w:bidi="zh-CN"/>
        </w:rPr>
        <w:t>与本招标项目的其他投标人为同一个单位负责人；</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与本招标项目的其他投标人存在控股、管理关系；</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为本招标项目提供过整体设计、规范编制或者项目管理、监理、检测等服务；</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5）</w:t>
      </w:r>
      <w:r>
        <w:rPr>
          <w:rFonts w:hint="eastAsia" w:ascii="宋体" w:hAnsi="宋体" w:eastAsia="宋体" w:cs="宋体"/>
          <w:color w:val="auto"/>
          <w:sz w:val="22"/>
          <w:szCs w:val="22"/>
          <w:highlight w:val="none"/>
          <w:lang w:val="zh-CN" w:bidi="zh-CN"/>
        </w:rPr>
        <w:t>为本招标项目的采购代理机构；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6）</w:t>
      </w:r>
      <w:r>
        <w:rPr>
          <w:rFonts w:hint="eastAsia" w:ascii="宋体" w:hAnsi="宋体" w:eastAsia="宋体" w:cs="宋体"/>
          <w:color w:val="auto"/>
          <w:sz w:val="22"/>
          <w:szCs w:val="22"/>
          <w:highlight w:val="none"/>
          <w:lang w:val="zh-CN" w:bidi="zh-CN"/>
        </w:rPr>
        <w:t>投标人以他人名义投标、串通投标、以行贿手段牟取中标，或在投标中弄虚作假的；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7）</w:t>
      </w:r>
      <w:r>
        <w:rPr>
          <w:rFonts w:hint="eastAsia" w:ascii="宋体" w:hAnsi="宋体" w:eastAsia="宋体" w:cs="宋体"/>
          <w:color w:val="auto"/>
          <w:sz w:val="22"/>
          <w:szCs w:val="22"/>
          <w:highlight w:val="none"/>
          <w:lang w:val="zh-CN" w:bidi="zh-CN"/>
        </w:rPr>
        <w:t>法律法规规定的其他情形。</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7" w:name="1.5费用承担"/>
      <w:bookmarkEnd w:id="17"/>
      <w:r>
        <w:rPr>
          <w:rFonts w:hint="eastAsia" w:ascii="宋体" w:hAnsi="宋体" w:eastAsia="宋体" w:cs="宋体"/>
          <w:b/>
          <w:bCs/>
          <w:color w:val="auto"/>
          <w:sz w:val="20"/>
          <w:szCs w:val="20"/>
          <w:highlight w:val="none"/>
          <w:lang w:val="zh-CN" w:bidi="zh-CN"/>
        </w:rPr>
        <w:t>费用承担</w:t>
      </w:r>
    </w:p>
    <w:p>
      <w:pPr>
        <w:widowControl w:val="0"/>
        <w:autoSpaceDE w:val="0"/>
        <w:autoSpaceDN w:val="0"/>
        <w:spacing w:before="42"/>
        <w:ind w:left="928"/>
        <w:rPr>
          <w:rFonts w:hint="eastAsia" w:ascii="宋体" w:hAnsi="宋体" w:eastAsia="宋体" w:cs="宋体"/>
          <w:color w:val="auto"/>
          <w:sz w:val="20"/>
          <w:szCs w:val="20"/>
          <w:highlight w:val="none"/>
          <w:lang w:val="zh-CN" w:bidi="zh-CN"/>
        </w:rPr>
      </w:pPr>
      <w:r>
        <w:rPr>
          <w:rFonts w:hint="eastAsia" w:ascii="宋体" w:hAnsi="宋体" w:eastAsia="宋体" w:cs="宋体"/>
          <w:color w:val="auto"/>
          <w:sz w:val="22"/>
          <w:szCs w:val="22"/>
          <w:highlight w:val="none"/>
          <w:lang w:val="zh-CN" w:bidi="zh-CN"/>
        </w:rPr>
        <w:t>投标人准备和参加竞争性磋商活动发生的费用自理。</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8" w:name="1.6保密"/>
      <w:bookmarkEnd w:id="18"/>
      <w:r>
        <w:rPr>
          <w:rFonts w:hint="eastAsia" w:ascii="宋体" w:hAnsi="宋体" w:eastAsia="宋体" w:cs="宋体"/>
          <w:b/>
          <w:bCs/>
          <w:color w:val="auto"/>
          <w:sz w:val="20"/>
          <w:szCs w:val="20"/>
          <w:highlight w:val="none"/>
          <w:lang w:val="zh-CN" w:bidi="zh-CN"/>
        </w:rPr>
        <w:t>保密</w:t>
      </w:r>
    </w:p>
    <w:p>
      <w:pPr>
        <w:widowControl w:val="0"/>
        <w:autoSpaceDE w:val="0"/>
        <w:autoSpaceDN w:val="0"/>
        <w:spacing w:before="43" w:line="278"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3"/>
          <w:sz w:val="22"/>
          <w:szCs w:val="22"/>
          <w:highlight w:val="none"/>
          <w:lang w:val="zh-CN" w:bidi="zh-CN"/>
        </w:rPr>
        <w:t>参与竞争性磋商活动的各方应对竞争性磋商文件和响应文件中的商业和技术等秘密保密，否则应承担相应的法律责任。</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0"/>
          <w:szCs w:val="20"/>
          <w:highlight w:val="none"/>
          <w:lang w:val="zh-CN" w:bidi="zh-CN"/>
        </w:rPr>
      </w:pPr>
      <w:bookmarkStart w:id="19" w:name="1.7语言文字"/>
      <w:bookmarkEnd w:id="19"/>
      <w:r>
        <w:rPr>
          <w:rFonts w:hint="eastAsia" w:ascii="宋体" w:hAnsi="宋体" w:eastAsia="宋体" w:cs="宋体"/>
          <w:b/>
          <w:bCs/>
          <w:color w:val="auto"/>
          <w:sz w:val="20"/>
          <w:szCs w:val="20"/>
          <w:highlight w:val="none"/>
          <w:lang w:val="zh-CN" w:bidi="zh-CN"/>
        </w:rPr>
        <w:t>语言文字</w:t>
      </w:r>
    </w:p>
    <w:p>
      <w:pPr>
        <w:widowControl w:val="0"/>
        <w:autoSpaceDE w:val="0"/>
        <w:autoSpaceDN w:val="0"/>
        <w:spacing w:before="43"/>
        <w:ind w:left="928"/>
        <w:rPr>
          <w:rFonts w:hint="eastAsia" w:ascii="宋体" w:hAnsi="宋体" w:eastAsia="宋体" w:cs="宋体"/>
          <w:color w:val="auto"/>
          <w:sz w:val="20"/>
          <w:szCs w:val="20"/>
          <w:highlight w:val="none"/>
          <w:lang w:val="zh-CN" w:bidi="zh-CN"/>
        </w:rPr>
      </w:pPr>
      <w:r>
        <w:rPr>
          <w:rFonts w:hint="eastAsia" w:ascii="宋体" w:hAnsi="宋体" w:eastAsia="宋体" w:cs="宋体"/>
          <w:color w:val="auto"/>
          <w:sz w:val="22"/>
          <w:szCs w:val="22"/>
          <w:highlight w:val="none"/>
          <w:lang w:val="zh-CN" w:bidi="zh-CN"/>
        </w:rPr>
        <w:t>竞争性磋商文件及相应文件使用语言文字应为中文。专用术语使用外文的，应附有中文注释。</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20" w:name="1.8计量单位"/>
      <w:bookmarkEnd w:id="20"/>
      <w:r>
        <w:rPr>
          <w:rFonts w:hint="eastAsia" w:ascii="宋体" w:hAnsi="宋体" w:eastAsia="宋体" w:cs="宋体"/>
          <w:b/>
          <w:bCs/>
          <w:color w:val="auto"/>
          <w:sz w:val="20"/>
          <w:szCs w:val="20"/>
          <w:highlight w:val="none"/>
          <w:lang w:val="zh-CN" w:bidi="zh-CN"/>
        </w:rPr>
        <w:t>计量单位</w:t>
      </w:r>
    </w:p>
    <w:p>
      <w:pPr>
        <w:widowControl w:val="0"/>
        <w:autoSpaceDE w:val="0"/>
        <w:autoSpaceDN w:val="0"/>
        <w:spacing w:before="24"/>
        <w:ind w:left="928"/>
        <w:rPr>
          <w:rFonts w:hint="eastAsia" w:ascii="宋体" w:hAnsi="宋体" w:eastAsia="宋体" w:cs="宋体"/>
          <w:color w:val="auto"/>
          <w:sz w:val="20"/>
          <w:szCs w:val="20"/>
          <w:highlight w:val="none"/>
          <w:lang w:val="zh-CN" w:bidi="zh-CN"/>
        </w:rPr>
      </w:pPr>
      <w:r>
        <w:rPr>
          <w:rFonts w:hint="eastAsia" w:ascii="宋体" w:hAnsi="宋体" w:eastAsia="宋体" w:cs="宋体"/>
          <w:color w:val="auto"/>
          <w:sz w:val="22"/>
          <w:szCs w:val="22"/>
          <w:highlight w:val="none"/>
          <w:lang w:val="zh-CN" w:bidi="zh-CN"/>
        </w:rPr>
        <w:t>所有计量均采用中华人民共和国法定计量标准单位。</w:t>
      </w:r>
    </w:p>
    <w:p>
      <w:pPr>
        <w:widowControl w:val="0"/>
        <w:numPr>
          <w:ilvl w:val="1"/>
          <w:numId w:val="1"/>
        </w:numPr>
        <w:tabs>
          <w:tab w:val="left" w:pos="876"/>
        </w:tabs>
        <w:autoSpaceDE w:val="0"/>
        <w:autoSpaceDN w:val="0"/>
        <w:spacing w:before="24"/>
        <w:outlineLvl w:val="4"/>
        <w:rPr>
          <w:rFonts w:hint="eastAsia" w:ascii="宋体" w:hAnsi="宋体" w:eastAsia="宋体" w:cs="宋体"/>
          <w:b/>
          <w:bCs/>
          <w:color w:val="auto"/>
          <w:sz w:val="20"/>
          <w:szCs w:val="20"/>
          <w:highlight w:val="none"/>
          <w:lang w:val="zh-CN" w:bidi="zh-CN"/>
        </w:rPr>
      </w:pPr>
      <w:bookmarkStart w:id="21" w:name="1.9现场考察或答疑会"/>
      <w:bookmarkEnd w:id="21"/>
      <w:r>
        <w:rPr>
          <w:rFonts w:hint="eastAsia" w:ascii="宋体" w:hAnsi="宋体" w:eastAsia="宋体" w:cs="宋体"/>
          <w:b/>
          <w:bCs/>
          <w:color w:val="auto"/>
          <w:sz w:val="20"/>
          <w:szCs w:val="20"/>
          <w:highlight w:val="none"/>
          <w:lang w:val="zh-CN" w:bidi="zh-CN"/>
        </w:rPr>
        <w:t>现场考察或答疑会</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1"/>
          <w:sz w:val="22"/>
          <w:szCs w:val="22"/>
          <w:highlight w:val="none"/>
          <w:lang w:val="zh-CN" w:bidi="zh-CN"/>
        </w:rPr>
        <w:t>现场考察：投标人须知前附表规定组织现场考察的，采购人按投标人须知前附表规定的时间、地点组织投标人考察项目现场。部分投标人未按时参加现场考察的，不影响现场考察的正常进行。</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投标人现场考察发生的费用自理。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除采购人的原因外，投标人自行负责在现场考察中所发生的人员伤亡和财产损失。</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采购人在现场考察中介绍的项目场地和相关的周边环境情况，供投标人在编制响应文件时参考，采购人不对投标人据此作出的判断和决策负责。</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答疑会：见投标人须知前附表。</w:t>
      </w:r>
    </w:p>
    <w:p>
      <w:pPr>
        <w:widowControl w:val="0"/>
        <w:numPr>
          <w:ilvl w:val="1"/>
          <w:numId w:val="1"/>
        </w:numPr>
        <w:tabs>
          <w:tab w:val="left" w:pos="980"/>
        </w:tabs>
        <w:autoSpaceDE w:val="0"/>
        <w:autoSpaceDN w:val="0"/>
        <w:spacing w:before="43"/>
        <w:jc w:val="both"/>
        <w:outlineLvl w:val="4"/>
        <w:rPr>
          <w:rFonts w:hint="eastAsia" w:ascii="宋体" w:hAnsi="宋体" w:eastAsia="宋体" w:cs="宋体"/>
          <w:b/>
          <w:bCs/>
          <w:color w:val="auto"/>
          <w:sz w:val="20"/>
          <w:szCs w:val="20"/>
          <w:highlight w:val="none"/>
          <w:lang w:val="zh-CN" w:bidi="zh-CN"/>
        </w:rPr>
      </w:pPr>
      <w:bookmarkStart w:id="22" w:name="1.10分包"/>
      <w:bookmarkEnd w:id="22"/>
      <w:r>
        <w:rPr>
          <w:rFonts w:hint="eastAsia" w:ascii="宋体" w:hAnsi="宋体" w:eastAsia="宋体" w:cs="宋体"/>
          <w:b/>
          <w:bCs/>
          <w:color w:val="auto"/>
          <w:sz w:val="20"/>
          <w:szCs w:val="20"/>
          <w:highlight w:val="none"/>
          <w:lang w:val="zh-CN" w:bidi="zh-CN"/>
        </w:rPr>
        <w:t>分包</w:t>
      </w:r>
    </w:p>
    <w:p>
      <w:pPr>
        <w:widowControl w:val="0"/>
        <w:numPr>
          <w:ilvl w:val="2"/>
          <w:numId w:val="1"/>
        </w:numPr>
        <w:tabs>
          <w:tab w:val="left" w:pos="166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拟在成交后将成交项目的非主体、非关键性工作进行分包的，应符合投标人须知前附表规定的分包内容、分包金额和资质要求等限制性条件，除投标人须知前附表规定的非主体、非关键性工作外，其他工作不得分包。</w:t>
      </w:r>
    </w:p>
    <w:p>
      <w:pPr>
        <w:widowControl w:val="0"/>
        <w:numPr>
          <w:ilvl w:val="2"/>
          <w:numId w:val="1"/>
        </w:numPr>
        <w:tabs>
          <w:tab w:val="left" w:pos="1558"/>
        </w:tabs>
        <w:autoSpaceDE w:val="0"/>
        <w:autoSpaceDN w:val="0"/>
        <w:spacing w:line="278" w:lineRule="auto"/>
        <w:ind w:right="526"/>
        <w:jc w:val="both"/>
        <w:rPr>
          <w:rFonts w:hint="eastAsia" w:ascii="宋体" w:hAnsi="宋体" w:eastAsia="宋体" w:cs="宋体"/>
          <w:color w:val="auto"/>
          <w:spacing w:val="-5"/>
          <w:sz w:val="22"/>
          <w:szCs w:val="22"/>
          <w:highlight w:val="none"/>
          <w:lang w:val="zh-CN" w:bidi="zh-CN"/>
        </w:rPr>
      </w:pPr>
      <w:r>
        <w:rPr>
          <w:rFonts w:hint="eastAsia" w:ascii="宋体" w:hAnsi="宋体" w:eastAsia="宋体" w:cs="宋体"/>
          <w:color w:val="auto"/>
          <w:spacing w:val="-5"/>
          <w:sz w:val="22"/>
          <w:szCs w:val="22"/>
          <w:highlight w:val="none"/>
          <w:lang w:bidi="zh-CN"/>
        </w:rPr>
        <w:t xml:space="preserve"> </w:t>
      </w:r>
      <w:r>
        <w:rPr>
          <w:rFonts w:hint="eastAsia" w:ascii="宋体" w:hAnsi="宋体" w:eastAsia="宋体" w:cs="宋体"/>
          <w:color w:val="auto"/>
          <w:spacing w:val="-5"/>
          <w:sz w:val="22"/>
          <w:szCs w:val="22"/>
          <w:highlight w:val="none"/>
          <w:lang w:val="zh-CN" w:bidi="zh-CN"/>
        </w:rPr>
        <w:t>成交人不得向他人转让成交项目，接受分包的人不得再次分包。成交人应当就分包项目向采购人负责，接受分包的人就分包项目承担连带责任。</w:t>
      </w:r>
    </w:p>
    <w:p>
      <w:pPr>
        <w:widowControl w:val="0"/>
        <w:numPr>
          <w:ilvl w:val="1"/>
          <w:numId w:val="1"/>
        </w:numPr>
        <w:tabs>
          <w:tab w:val="left" w:pos="968"/>
        </w:tabs>
        <w:autoSpaceDE w:val="0"/>
        <w:autoSpaceDN w:val="0"/>
        <w:spacing w:line="269" w:lineRule="exact"/>
        <w:jc w:val="both"/>
        <w:outlineLvl w:val="4"/>
        <w:rPr>
          <w:rFonts w:hint="eastAsia" w:ascii="宋体" w:hAnsi="宋体" w:eastAsia="宋体" w:cs="宋体"/>
          <w:b/>
          <w:bCs/>
          <w:color w:val="auto"/>
          <w:sz w:val="20"/>
          <w:szCs w:val="20"/>
          <w:highlight w:val="none"/>
          <w:lang w:val="zh-CN" w:bidi="zh-CN"/>
        </w:rPr>
      </w:pPr>
      <w:bookmarkStart w:id="23" w:name="1.11响应和偏差"/>
      <w:bookmarkEnd w:id="23"/>
      <w:r>
        <w:rPr>
          <w:rFonts w:hint="eastAsia" w:ascii="宋体" w:hAnsi="宋体" w:eastAsia="宋体" w:cs="宋体"/>
          <w:b/>
          <w:bCs/>
          <w:color w:val="auto"/>
          <w:sz w:val="20"/>
          <w:szCs w:val="20"/>
          <w:highlight w:val="none"/>
          <w:lang w:val="zh-CN" w:bidi="zh-CN"/>
        </w:rPr>
        <w:t>响应和偏差</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响应文件应当对竞争性磋商文件的实质性要求和条件作出满足性或更有利于采购人的响应，否则，投标人的响应文件将被否决。实质性要求和条件见投标人须知前附表。</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投标人应根据竞争性磋商文件的要求提供投标服务方案等内容以对竞争性磋商文件作出响应。</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允许响应文件偏离竞争性磋商文件某些要求的，偏差应当符合竞争性磋商文件规定的偏差范围和幅度。</w:t>
      </w:r>
    </w:p>
    <w:p>
      <w:pPr>
        <w:widowControl w:val="0"/>
        <w:numPr>
          <w:ilvl w:val="1"/>
          <w:numId w:val="1"/>
        </w:numPr>
        <w:tabs>
          <w:tab w:val="left" w:pos="980"/>
        </w:tabs>
        <w:autoSpaceDE w:val="0"/>
        <w:autoSpaceDN w:val="0"/>
        <w:spacing w:line="269" w:lineRule="exact"/>
        <w:outlineLvl w:val="4"/>
        <w:rPr>
          <w:rFonts w:hint="eastAsia" w:ascii="宋体" w:hAnsi="宋体" w:eastAsia="宋体" w:cs="宋体"/>
          <w:b/>
          <w:bCs/>
          <w:color w:val="auto"/>
          <w:sz w:val="20"/>
          <w:szCs w:val="20"/>
          <w:highlight w:val="none"/>
          <w:lang w:val="zh-CN" w:bidi="zh-CN"/>
        </w:rPr>
      </w:pPr>
      <w:bookmarkStart w:id="24" w:name="1.12选择性报价方案"/>
      <w:bookmarkEnd w:id="24"/>
      <w:r>
        <w:rPr>
          <w:rFonts w:hint="eastAsia" w:ascii="宋体" w:hAnsi="宋体" w:eastAsia="宋体" w:cs="宋体"/>
          <w:b/>
          <w:bCs/>
          <w:color w:val="auto"/>
          <w:sz w:val="20"/>
          <w:szCs w:val="20"/>
          <w:highlight w:val="none"/>
          <w:lang w:val="zh-CN" w:bidi="zh-CN"/>
        </w:rPr>
        <w:t>选择性报价方案</w:t>
      </w: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选择性报价方案：见投标人须知前附表。</w:t>
      </w:r>
    </w:p>
    <w:p>
      <w:pPr>
        <w:widowControl w:val="0"/>
        <w:numPr>
          <w:ilvl w:val="0"/>
          <w:numId w:val="1"/>
        </w:numPr>
        <w:tabs>
          <w:tab w:val="left" w:pos="988"/>
          <w:tab w:val="left" w:pos="989"/>
        </w:tabs>
        <w:autoSpaceDE w:val="0"/>
        <w:autoSpaceDN w:val="0"/>
        <w:spacing w:before="6"/>
        <w:outlineLvl w:val="3"/>
        <w:rPr>
          <w:rFonts w:hint="eastAsia" w:ascii="宋体" w:hAnsi="宋体" w:eastAsia="宋体" w:cs="宋体"/>
          <w:b/>
          <w:bCs/>
          <w:color w:val="auto"/>
          <w:sz w:val="22"/>
          <w:szCs w:val="22"/>
          <w:highlight w:val="none"/>
          <w:lang w:val="zh-CN" w:bidi="zh-CN"/>
        </w:rPr>
      </w:pPr>
      <w:bookmarkStart w:id="25" w:name="2. 竞争性磋商文件"/>
      <w:bookmarkEnd w:id="25"/>
      <w:bookmarkStart w:id="26" w:name="_bookmark4"/>
      <w:bookmarkEnd w:id="26"/>
      <w:r>
        <w:rPr>
          <w:rFonts w:hint="eastAsia" w:ascii="宋体" w:hAnsi="宋体" w:eastAsia="宋体" w:cs="宋体"/>
          <w:b/>
          <w:bCs/>
          <w:color w:val="auto"/>
          <w:sz w:val="22"/>
          <w:szCs w:val="22"/>
          <w:highlight w:val="none"/>
          <w:lang w:val="zh-CN" w:bidi="zh-CN"/>
        </w:rPr>
        <w:t>竞争性磋商文件</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highlight w:val="none"/>
          <w:lang w:val="zh-CN" w:bidi="zh-CN"/>
        </w:rPr>
      </w:pPr>
      <w:bookmarkStart w:id="27" w:name="2.1竞争性磋商文件的组成"/>
      <w:bookmarkEnd w:id="27"/>
      <w:r>
        <w:rPr>
          <w:rFonts w:hint="eastAsia" w:ascii="宋体" w:hAnsi="宋体" w:eastAsia="宋体" w:cs="宋体"/>
          <w:b/>
          <w:color w:val="auto"/>
          <w:sz w:val="20"/>
          <w:szCs w:val="18"/>
          <w:highlight w:val="none"/>
          <w:lang w:val="zh-CN" w:bidi="zh-CN"/>
        </w:rPr>
        <w:t xml:space="preserve">竞争性磋商文件的组成 </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2"/>
          <w:sz w:val="22"/>
          <w:szCs w:val="22"/>
          <w:highlight w:val="none"/>
          <w:lang w:val="zh-CN" w:bidi="zh-CN"/>
        </w:rPr>
        <w:t>本竞争性磋商文件包括：</w:t>
      </w:r>
    </w:p>
    <w:p>
      <w:pPr>
        <w:widowControl w:val="0"/>
        <w:numPr>
          <w:ilvl w:val="0"/>
          <w:numId w:val="0"/>
        </w:numPr>
        <w:tabs>
          <w:tab w:val="left" w:pos="1349"/>
        </w:tabs>
        <w:autoSpaceDE w:val="0"/>
        <w:autoSpaceDN w:val="0"/>
        <w:spacing w:before="2"/>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竞争性磋商公告</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2)</w:t>
      </w:r>
      <w:r>
        <w:rPr>
          <w:rFonts w:hint="eastAsia" w:ascii="宋体" w:hAnsi="宋体" w:eastAsia="宋体" w:cs="宋体"/>
          <w:color w:val="auto"/>
          <w:sz w:val="22"/>
          <w:szCs w:val="22"/>
          <w:highlight w:val="none"/>
          <w:lang w:val="zh-CN" w:bidi="zh-CN"/>
        </w:rPr>
        <w:t>投标人须知</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评分办法</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合同条款及格式（仅供参考）</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5)</w:t>
      </w:r>
      <w:r>
        <w:rPr>
          <w:rFonts w:hint="eastAsia" w:ascii="宋体" w:hAnsi="宋体" w:eastAsia="宋体" w:cs="宋体"/>
          <w:color w:val="auto"/>
          <w:sz w:val="22"/>
          <w:szCs w:val="22"/>
          <w:highlight w:val="none"/>
          <w:lang w:val="en-US" w:eastAsia="zh-CN" w:bidi="zh-CN"/>
        </w:rPr>
        <w:t>设计</w:t>
      </w:r>
      <w:r>
        <w:rPr>
          <w:rFonts w:hint="eastAsia" w:ascii="宋体" w:hAnsi="宋体" w:eastAsia="宋体" w:cs="宋体"/>
          <w:color w:val="auto"/>
          <w:sz w:val="22"/>
          <w:szCs w:val="22"/>
          <w:highlight w:val="none"/>
          <w:lang w:val="en-US" w:bidi="zh-CN"/>
        </w:rPr>
        <w:t>服务</w:t>
      </w:r>
      <w:r>
        <w:rPr>
          <w:rFonts w:hint="eastAsia" w:ascii="宋体" w:hAnsi="宋体" w:eastAsia="宋体" w:cs="宋体"/>
          <w:color w:val="auto"/>
          <w:sz w:val="22"/>
          <w:szCs w:val="22"/>
          <w:highlight w:val="none"/>
          <w:lang w:val="zh-CN" w:bidi="zh-CN"/>
        </w:rPr>
        <w:t>内容</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6)</w:t>
      </w:r>
      <w:r>
        <w:rPr>
          <w:rFonts w:hint="eastAsia" w:ascii="宋体" w:hAnsi="宋体" w:eastAsia="宋体" w:cs="宋体"/>
          <w:color w:val="auto"/>
          <w:sz w:val="22"/>
          <w:szCs w:val="22"/>
          <w:highlight w:val="none"/>
          <w:lang w:val="zh-CN" w:bidi="zh-CN"/>
        </w:rPr>
        <w:t>响应文件格式</w:t>
      </w:r>
    </w:p>
    <w:p>
      <w:pPr>
        <w:widowControl w:val="0"/>
        <w:autoSpaceDE w:val="0"/>
        <w:autoSpaceDN w:val="0"/>
        <w:spacing w:before="24" w:line="242" w:lineRule="auto"/>
        <w:ind w:left="508" w:right="528" w:firstLine="472"/>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根据本章第2.2 款和第2.3</w:t>
      </w:r>
      <w:r>
        <w:rPr>
          <w:rFonts w:hint="eastAsia" w:ascii="宋体" w:hAnsi="宋体" w:eastAsia="宋体" w:cs="宋体"/>
          <w:color w:val="auto"/>
          <w:sz w:val="22"/>
          <w:szCs w:val="22"/>
          <w:highlight w:val="none"/>
          <w:lang w:bidi="zh-CN"/>
        </w:rPr>
        <w:t xml:space="preserve"> </w:t>
      </w:r>
      <w:r>
        <w:rPr>
          <w:rFonts w:hint="eastAsia" w:ascii="宋体" w:hAnsi="宋体" w:eastAsia="宋体" w:cs="宋体"/>
          <w:color w:val="auto"/>
          <w:sz w:val="22"/>
          <w:szCs w:val="22"/>
          <w:highlight w:val="none"/>
          <w:lang w:val="zh-CN" w:bidi="zh-CN"/>
        </w:rPr>
        <w:t>款对竞争性磋商文件所作的澄清、修改，构成竞争性磋商文件的组成部分。</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0"/>
          <w:szCs w:val="20"/>
          <w:highlight w:val="none"/>
          <w:lang w:val="zh-CN" w:bidi="zh-CN"/>
        </w:rPr>
      </w:pPr>
      <w:bookmarkStart w:id="28" w:name="2.2竞争性磋商文件的澄清"/>
      <w:bookmarkEnd w:id="28"/>
      <w:r>
        <w:rPr>
          <w:rFonts w:hint="eastAsia" w:ascii="宋体" w:hAnsi="宋体" w:eastAsia="宋体" w:cs="宋体"/>
          <w:b/>
          <w:bCs/>
          <w:color w:val="auto"/>
          <w:sz w:val="22"/>
          <w:szCs w:val="22"/>
          <w:highlight w:val="none"/>
          <w:lang w:val="zh-CN" w:bidi="zh-CN"/>
        </w:rPr>
        <w:t>竞争性磋商文件的澄清</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投标人应仔细阅读和检查竞争性磋商文件的全部内容。如发现缺页或附件不全，应及时向采购人提出，以便补齐。如有疑问，应按投标人须知前附表规定的时间和形式将提出的问题送达采购人，要求采购人对竞争性磋商文件予以澄清。</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2"/>
          <w:sz w:val="22"/>
          <w:szCs w:val="22"/>
          <w:highlight w:val="none"/>
          <w:lang w:val="zh-CN" w:bidi="zh-CN"/>
        </w:rPr>
        <w:t>竞争性磋商文件的澄清以投标人须知前附表规定的形式发给所有购买竞争性磋商文件的投标人，同时在原公告媒体发布澄清公告，但不指明澄清问题的来源。澄清发出的时间距本章</w:t>
      </w:r>
      <w:r>
        <w:rPr>
          <w:rFonts w:hint="eastAsia" w:ascii="宋体" w:hAnsi="宋体" w:eastAsia="宋体" w:cs="宋体"/>
          <w:color w:val="auto"/>
          <w:spacing w:val="-31"/>
          <w:sz w:val="22"/>
          <w:szCs w:val="22"/>
          <w:highlight w:val="none"/>
          <w:lang w:val="zh-CN" w:bidi="zh-CN"/>
        </w:rPr>
        <w:t xml:space="preserve">第 </w:t>
      </w:r>
      <w:r>
        <w:rPr>
          <w:rFonts w:hint="eastAsia" w:ascii="宋体" w:hAnsi="宋体" w:eastAsia="宋体" w:cs="宋体"/>
          <w:color w:val="auto"/>
          <w:sz w:val="22"/>
          <w:szCs w:val="22"/>
          <w:highlight w:val="none"/>
          <w:lang w:val="zh-CN" w:bidi="zh-CN"/>
        </w:rPr>
        <w:t>4.1.1</w:t>
      </w:r>
      <w:r>
        <w:rPr>
          <w:rFonts w:hint="eastAsia" w:ascii="宋体" w:hAnsi="宋体" w:eastAsia="宋体" w:cs="宋体"/>
          <w:color w:val="auto"/>
          <w:spacing w:val="-1"/>
          <w:sz w:val="22"/>
          <w:szCs w:val="22"/>
          <w:highlight w:val="none"/>
          <w:lang w:val="zh-CN" w:bidi="zh-CN"/>
        </w:rPr>
        <w:t xml:space="preserve"> </w:t>
      </w:r>
      <w:r>
        <w:rPr>
          <w:rFonts w:hint="eastAsia" w:ascii="宋体" w:hAnsi="宋体" w:eastAsia="宋体" w:cs="宋体"/>
          <w:color w:val="auto"/>
          <w:spacing w:val="-3"/>
          <w:sz w:val="22"/>
          <w:szCs w:val="22"/>
          <w:highlight w:val="none"/>
          <w:lang w:val="zh-CN" w:bidi="zh-CN"/>
        </w:rPr>
        <w:t xml:space="preserve">项规定的投标截止时间及响应文件提交截止时间不足 </w:t>
      </w:r>
      <w:r>
        <w:rPr>
          <w:rFonts w:hint="eastAsia" w:ascii="宋体" w:hAnsi="宋体" w:eastAsia="宋体" w:cs="宋体"/>
          <w:color w:val="auto"/>
          <w:sz w:val="22"/>
          <w:szCs w:val="22"/>
          <w:highlight w:val="none"/>
          <w:lang w:val="zh-CN" w:bidi="zh-CN"/>
        </w:rPr>
        <w:t>5</w:t>
      </w:r>
      <w:r>
        <w:rPr>
          <w:rFonts w:hint="eastAsia" w:ascii="宋体" w:hAnsi="宋体" w:eastAsia="宋体" w:cs="宋体"/>
          <w:color w:val="auto"/>
          <w:spacing w:val="-1"/>
          <w:sz w:val="22"/>
          <w:szCs w:val="22"/>
          <w:highlight w:val="none"/>
          <w:lang w:val="zh-CN" w:bidi="zh-CN"/>
        </w:rPr>
        <w:t xml:space="preserve"> </w:t>
      </w:r>
      <w:r>
        <w:rPr>
          <w:rFonts w:hint="eastAsia" w:ascii="宋体" w:hAnsi="宋体" w:eastAsia="宋体" w:cs="宋体"/>
          <w:color w:val="auto"/>
          <w:sz w:val="22"/>
          <w:szCs w:val="22"/>
          <w:highlight w:val="none"/>
          <w:lang w:val="zh-CN" w:bidi="zh-CN"/>
        </w:rPr>
        <w:t>日的，并且澄清内容可能影响响应文件编制的，将相应延长投标截止时间及响应文件提交截止时间。</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除非采购人认为确有必要答复，否则，采购人有权拒绝回复投标人在本章第 2.2.1 项规定的时间后的任何澄清要求。在规定的时间内未提出疑问的，将被视为对竞争性磋商文件完全认可。</w:t>
      </w:r>
    </w:p>
    <w:p>
      <w:pPr>
        <w:widowControl w:val="0"/>
        <w:numPr>
          <w:ilvl w:val="1"/>
          <w:numId w:val="1"/>
        </w:numPr>
        <w:tabs>
          <w:tab w:val="left" w:pos="876"/>
        </w:tabs>
        <w:autoSpaceDE w:val="0"/>
        <w:autoSpaceDN w:val="0"/>
        <w:spacing w:line="269" w:lineRule="exact"/>
        <w:jc w:val="both"/>
        <w:outlineLvl w:val="4"/>
        <w:rPr>
          <w:rFonts w:hint="eastAsia" w:ascii="宋体" w:hAnsi="宋体" w:eastAsia="宋体" w:cs="宋体"/>
          <w:b/>
          <w:bCs/>
          <w:color w:val="auto"/>
          <w:sz w:val="20"/>
          <w:szCs w:val="20"/>
          <w:highlight w:val="none"/>
          <w:lang w:val="zh-CN" w:bidi="zh-CN"/>
        </w:rPr>
      </w:pPr>
      <w:bookmarkStart w:id="29" w:name="2.3竞争性磋商文件的修改"/>
      <w:bookmarkEnd w:id="29"/>
      <w:r>
        <w:rPr>
          <w:rFonts w:hint="eastAsia" w:ascii="宋体" w:hAnsi="宋体" w:eastAsia="宋体" w:cs="宋体"/>
          <w:b/>
          <w:bCs/>
          <w:color w:val="auto"/>
          <w:sz w:val="20"/>
          <w:szCs w:val="20"/>
          <w:highlight w:val="none"/>
          <w:lang w:val="zh-CN" w:bidi="zh-CN"/>
        </w:rPr>
        <w:t>竞争性磋商文件的修改</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采购人或者采购代理机构可以对已发出的竞争性磋商文件进行必要的修改，但不得改变采购标的和资格条件，修改的内容为竞争性磋商文件的组成部分。</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2"/>
          <w:sz w:val="22"/>
          <w:szCs w:val="22"/>
          <w:highlight w:val="none"/>
          <w:lang w:val="zh-CN" w:bidi="zh-CN"/>
        </w:rPr>
        <w:t>采</w:t>
      </w:r>
      <w:r>
        <w:rPr>
          <w:rFonts w:hint="eastAsia" w:ascii="宋体" w:hAnsi="宋体" w:eastAsia="宋体" w:cs="宋体"/>
          <w:color w:val="auto"/>
          <w:sz w:val="22"/>
          <w:szCs w:val="22"/>
          <w:highlight w:val="none"/>
          <w:lang w:val="zh-CN" w:bidi="zh-CN"/>
        </w:rPr>
        <w:t>购人或采购代理机构以投标人须知前附表规定的形式修改竞争性磋商文件，并通知所有已购买竞争性磋商文件的投标人，同时在原公告媒体发布变更公告。修改竞争性磋商文件的时间距本章第 4.1.1 项规定的投标截止时间及响应文件提交截止时间不足5日的，并且修改内容可能影响响应文件编制的，将相应延长投标截止时间及响应文件提交截止时间。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highlight w:val="none"/>
          <w:lang w:val="zh-CN" w:bidi="zh-CN"/>
        </w:rPr>
      </w:pPr>
      <w:r>
        <w:rPr>
          <w:rFonts w:hint="eastAsia" w:ascii="宋体" w:hAnsi="宋体" w:eastAsia="宋体" w:cs="宋体"/>
          <w:b/>
          <w:bCs/>
          <w:color w:val="auto"/>
          <w:sz w:val="22"/>
          <w:szCs w:val="22"/>
          <w:highlight w:val="none"/>
          <w:lang w:val="zh-CN" w:bidi="zh-CN"/>
        </w:rPr>
        <w:t>磋商响应文件编写</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val="0"/>
          <w:bCs w:val="0"/>
          <w:color w:val="auto"/>
          <w:sz w:val="22"/>
          <w:szCs w:val="22"/>
          <w:highlight w:val="none"/>
        </w:rPr>
      </w:pPr>
      <w:bookmarkStart w:id="30" w:name="3.1磋商响应文件的组成"/>
      <w:bookmarkEnd w:id="30"/>
      <w:r>
        <w:rPr>
          <w:rFonts w:hint="eastAsia" w:ascii="宋体" w:hAnsi="宋体" w:eastAsia="宋体" w:cs="宋体"/>
          <w:b w:val="0"/>
          <w:bCs w:val="0"/>
          <w:color w:val="auto"/>
          <w:sz w:val="22"/>
          <w:szCs w:val="22"/>
          <w:highlight w:val="none"/>
          <w:lang w:val="zh-CN" w:bidi="zh-CN"/>
        </w:rPr>
        <w:t>磋商响应文件的组成响应文件应包括下列内容：</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bidi="zh-CN"/>
        </w:rPr>
        <w:t>1.</w:t>
      </w:r>
      <w:r>
        <w:rPr>
          <w:rFonts w:hint="eastAsia" w:ascii="宋体" w:hAnsi="宋体" w:eastAsia="宋体" w:cs="宋体"/>
          <w:b w:val="0"/>
          <w:bCs w:val="0"/>
          <w:color w:val="auto"/>
          <w:sz w:val="22"/>
          <w:szCs w:val="22"/>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2.</w:t>
      </w:r>
      <w:r>
        <w:rPr>
          <w:rFonts w:hint="eastAsia" w:ascii="宋体" w:hAnsi="宋体" w:eastAsia="宋体" w:cs="宋体"/>
          <w:b w:val="0"/>
          <w:bCs w:val="0"/>
          <w:color w:val="auto"/>
          <w:sz w:val="22"/>
          <w:szCs w:val="22"/>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3.</w:t>
      </w:r>
      <w:r>
        <w:rPr>
          <w:rFonts w:hint="eastAsia" w:ascii="宋体" w:hAnsi="宋体" w:eastAsia="宋体" w:cs="宋体"/>
          <w:b w:val="0"/>
          <w:bCs w:val="0"/>
          <w:color w:val="auto"/>
          <w:sz w:val="22"/>
          <w:szCs w:val="22"/>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4.</w:t>
      </w:r>
      <w:r>
        <w:rPr>
          <w:rFonts w:hint="eastAsia" w:ascii="宋体" w:hAnsi="宋体" w:eastAsia="宋体" w:cs="宋体"/>
          <w:b w:val="0"/>
          <w:bCs w:val="0"/>
          <w:color w:val="auto"/>
          <w:sz w:val="22"/>
          <w:szCs w:val="22"/>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5.</w:t>
      </w:r>
      <w:r>
        <w:rPr>
          <w:rFonts w:hint="eastAsia" w:ascii="宋体" w:hAnsi="宋体" w:eastAsia="宋体" w:cs="宋体"/>
          <w:b w:val="0"/>
          <w:bCs w:val="0"/>
          <w:color w:val="auto"/>
          <w:sz w:val="22"/>
          <w:szCs w:val="22"/>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6.</w:t>
      </w:r>
      <w:r>
        <w:rPr>
          <w:rFonts w:hint="eastAsia" w:ascii="宋体" w:hAnsi="宋体" w:eastAsia="宋体" w:cs="宋体"/>
          <w:b w:val="0"/>
          <w:bCs w:val="0"/>
          <w:color w:val="auto"/>
          <w:sz w:val="22"/>
          <w:szCs w:val="22"/>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7.</w:t>
      </w:r>
      <w:r>
        <w:rPr>
          <w:rFonts w:hint="eastAsia" w:ascii="宋体" w:hAnsi="宋体" w:eastAsia="宋体" w:cs="宋体"/>
          <w:b w:val="0"/>
          <w:bCs w:val="0"/>
          <w:color w:val="auto"/>
          <w:sz w:val="22"/>
          <w:szCs w:val="22"/>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8.</w:t>
      </w:r>
      <w:r>
        <w:rPr>
          <w:rFonts w:hint="eastAsia" w:ascii="宋体" w:hAnsi="宋体" w:eastAsia="宋体" w:cs="宋体"/>
          <w:b w:val="0"/>
          <w:bCs w:val="0"/>
          <w:color w:val="auto"/>
          <w:sz w:val="22"/>
          <w:szCs w:val="22"/>
          <w:highlight w:val="none"/>
          <w:lang w:val="zh-CN" w:bidi="zh-CN"/>
        </w:rPr>
        <w:t>承诺</w:t>
      </w:r>
      <w:r>
        <w:rPr>
          <w:rFonts w:hint="eastAsia" w:ascii="宋体" w:hAnsi="宋体" w:eastAsia="宋体" w:cs="宋体"/>
          <w:b w:val="0"/>
          <w:bCs w:val="0"/>
          <w:color w:val="auto"/>
          <w:sz w:val="22"/>
          <w:szCs w:val="22"/>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9.</w:t>
      </w:r>
      <w:r>
        <w:rPr>
          <w:rFonts w:hint="eastAsia" w:ascii="宋体" w:hAnsi="宋体" w:eastAsia="宋体" w:cs="宋体"/>
          <w:b w:val="0"/>
          <w:bCs w:val="0"/>
          <w:color w:val="auto"/>
          <w:sz w:val="22"/>
          <w:szCs w:val="22"/>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10.</w:t>
      </w:r>
      <w:r>
        <w:rPr>
          <w:rFonts w:hint="eastAsia" w:ascii="宋体" w:hAnsi="宋体" w:eastAsia="宋体" w:cs="宋体"/>
          <w:b w:val="0"/>
          <w:bCs w:val="0"/>
          <w:color w:val="auto"/>
          <w:sz w:val="22"/>
          <w:szCs w:val="22"/>
          <w:highlight w:val="none"/>
          <w:lang w:val="zh-CN" w:bidi="zh-CN"/>
        </w:rPr>
        <w:t>投标人认为响应磋商文件应提供的其它资料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11.</w:t>
      </w:r>
      <w:r>
        <w:rPr>
          <w:rFonts w:hint="eastAsia" w:ascii="宋体" w:hAnsi="宋体" w:eastAsia="宋体" w:cs="宋体"/>
          <w:b w:val="0"/>
          <w:bCs w:val="0"/>
          <w:color w:val="auto"/>
          <w:sz w:val="22"/>
          <w:szCs w:val="22"/>
          <w:highlight w:val="none"/>
          <w:lang w:val="zh-CN" w:bidi="zh-CN"/>
        </w:rPr>
        <w:t>享受政府采购政策的证明材料</w:t>
      </w: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highlight w:val="none"/>
          <w:lang w:val="zh-CN" w:bidi="zh-CN"/>
        </w:rPr>
      </w:pPr>
      <w:bookmarkStart w:id="31" w:name="3.2磋商价格构成及报价要求"/>
      <w:bookmarkEnd w:id="31"/>
      <w:r>
        <w:rPr>
          <w:rFonts w:hint="eastAsia" w:ascii="宋体" w:hAnsi="宋体" w:eastAsia="宋体" w:cs="宋体"/>
          <w:b/>
          <w:bCs/>
          <w:color w:val="auto"/>
          <w:sz w:val="22"/>
          <w:szCs w:val="22"/>
          <w:highlight w:val="none"/>
          <w:lang w:val="zh-CN" w:bidi="zh-CN"/>
        </w:rPr>
        <w:t>磋商价格构成及报价要求</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eastAsia="zh-CN" w:bidi="zh-CN"/>
        </w:rPr>
      </w:pPr>
      <w:bookmarkStart w:id="32" w:name="3.3磋商有效期"/>
      <w:bookmarkEnd w:id="32"/>
      <w:r>
        <w:rPr>
          <w:rFonts w:hint="eastAsia" w:ascii="宋体" w:hAnsi="宋体" w:eastAsia="宋体" w:cs="宋体"/>
          <w:color w:val="auto"/>
          <w:sz w:val="22"/>
          <w:szCs w:val="22"/>
          <w:highlight w:val="none"/>
          <w:lang w:val="zh-CN" w:bidi="zh-CN"/>
        </w:rPr>
        <w:t>磋商报价：全部费用</w:t>
      </w:r>
      <w:r>
        <w:rPr>
          <w:rFonts w:hint="eastAsia" w:ascii="宋体" w:hAnsi="宋体" w:eastAsia="宋体" w:cs="宋体"/>
          <w:color w:val="auto"/>
          <w:sz w:val="22"/>
          <w:szCs w:val="22"/>
          <w:highlight w:val="none"/>
          <w:lang w:val="zh-CN" w:eastAsia="zh-CN" w:bidi="zh-CN"/>
        </w:rPr>
        <w:t>。</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响应文件递交时的报价为第一轮报价，本轮报价不是最终承诺报价。第二轮报价，</w:t>
      </w:r>
      <w:r>
        <w:rPr>
          <w:rFonts w:hint="eastAsia" w:ascii="宋体" w:hAnsi="宋体" w:eastAsia="宋体" w:cs="宋体"/>
          <w:color w:val="auto"/>
          <w:sz w:val="22"/>
          <w:szCs w:val="22"/>
          <w:highlight w:val="none"/>
          <w:lang w:val="en-US" w:bidi="zh-CN"/>
        </w:rPr>
        <w:t xml:space="preserve"> </w:t>
      </w:r>
      <w:r>
        <w:rPr>
          <w:rFonts w:hint="eastAsia" w:ascii="宋体" w:hAnsi="宋体" w:eastAsia="宋体" w:cs="宋体"/>
          <w:color w:val="auto"/>
          <w:sz w:val="22"/>
          <w:szCs w:val="22"/>
          <w:highlight w:val="none"/>
          <w:lang w:val="zh-CN" w:bidi="zh-CN"/>
        </w:rPr>
        <w:t>即最终承诺报价。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参与磋商的竞标人第一次报价不得高于招标控制价；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参与磋商的竞标人第二次报价不得高于竞标人第一次报价；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磋商结束后，磋商小组将要求所有实质性响应竞标人在规定时间内提交的最后报价。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经提交最后报价的竞标人后，由磋商小组采用综合评分法对提交最后报价的投标人的响应文件和最后报价进行综合评分。</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本项目的磋商报价应按照竞争性磋商文件、补充通知、答疑纪要、现场情况、承包范围，并充分考虑服务期间各类市场风险和国家政策性调整等风险系数，由各投标人根据自身情况，在合理范围内，自主考虑、优惠报价，但不得低于企业成本。</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r>
        <w:rPr>
          <w:rFonts w:hint="eastAsia" w:ascii="宋体" w:hAnsi="宋体" w:eastAsia="宋体" w:cs="宋体"/>
          <w:b/>
          <w:bCs/>
          <w:color w:val="auto"/>
          <w:sz w:val="22"/>
          <w:szCs w:val="22"/>
          <w:highlight w:val="none"/>
          <w:lang w:val="zh-CN" w:bidi="zh-CN"/>
        </w:rPr>
        <w:t>磋商有效期</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磋商有效期见投标人须知前附表，从提交首次响应文件的截止之日起算。</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在磋商有效期内，投标人撤销响应文件的，应承担竞争性磋商文件和法律规定的责任。</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出现特殊情况需要延长磋商有效期的，采购人以线上形式通知所有投标人延长磋商有效期。</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33" w:name="3.4磋商响应文件的编制"/>
      <w:bookmarkEnd w:id="33"/>
      <w:r>
        <w:rPr>
          <w:rFonts w:hint="eastAsia" w:ascii="宋体" w:hAnsi="宋体" w:eastAsia="宋体" w:cs="宋体"/>
          <w:b/>
          <w:bCs/>
          <w:color w:val="auto"/>
          <w:sz w:val="22"/>
          <w:szCs w:val="22"/>
          <w:highlight w:val="none"/>
          <w:lang w:val="zh-CN" w:bidi="zh-CN"/>
        </w:rPr>
        <w:t>磋商响应文件的编制</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widowControl w:val="0"/>
        <w:autoSpaceDE w:val="0"/>
        <w:autoSpaceDN w:val="0"/>
        <w:spacing w:line="266" w:lineRule="auto"/>
        <w:ind w:left="508" w:right="492" w:firstLine="439"/>
        <w:jc w:val="both"/>
        <w:rPr>
          <w:rFonts w:hint="eastAsia" w:ascii="宋体" w:hAnsi="宋体" w:eastAsia="宋体" w:cs="宋体"/>
          <w:b w:val="0"/>
          <w:bCs/>
          <w:color w:val="auto"/>
          <w:kern w:val="0"/>
          <w:sz w:val="22"/>
          <w:szCs w:val="22"/>
          <w:highlight w:val="none"/>
          <w:lang w:val="zh-CN" w:bidi="zh-CN"/>
        </w:rPr>
      </w:pPr>
      <w:r>
        <w:rPr>
          <w:rFonts w:hint="eastAsia" w:ascii="宋体" w:hAnsi="宋体" w:eastAsia="宋体" w:cs="宋体"/>
          <w:b w:val="0"/>
          <w:bCs/>
          <w:color w:val="auto"/>
          <w:kern w:val="0"/>
          <w:sz w:val="22"/>
          <w:szCs w:val="22"/>
          <w:highlight w:val="none"/>
          <w:lang w:val="zh-CN" w:bidi="zh-CN"/>
        </w:rPr>
        <w:t>注：本项目为电子评标项目，电子响应文件需要使用响应文件制作工具制作，并使用CA 数字证书认证并加密，具体详见《淅川县公共资源全电子流程操作手册》。否则，被视为无效响应文件，其响应文件将被电子交易系统拒绝。</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磋商响应文件应当对竞争性磋商文件有关磋商报价、服务期限、服务质量要求、磋商有效期、等实质性内容作出响应。</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响应文件签字和盖章要求见投标人须知前附表。</w:t>
      </w:r>
    </w:p>
    <w:p>
      <w:pPr>
        <w:widowControl w:val="0"/>
        <w:numPr>
          <w:ilvl w:val="2"/>
          <w:numId w:val="1"/>
        </w:numPr>
        <w:tabs>
          <w:tab w:val="left" w:pos="1557"/>
          <w:tab w:val="left" w:pos="1558"/>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响应文件的份数见投标人须知前附表。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bidi="zh-CN"/>
        </w:rPr>
        <w:t xml:space="preserve"> </w:t>
      </w:r>
      <w:r>
        <w:rPr>
          <w:rFonts w:hint="eastAsia" w:ascii="宋体" w:hAnsi="宋体" w:eastAsia="宋体" w:cs="宋体"/>
          <w:color w:val="auto"/>
          <w:sz w:val="22"/>
          <w:szCs w:val="22"/>
          <w:highlight w:val="none"/>
          <w:lang w:val="zh-CN" w:bidi="zh-CN"/>
        </w:rPr>
        <w:t>废标条款</w:t>
      </w:r>
    </w:p>
    <w:p>
      <w:pPr>
        <w:widowControl w:val="0"/>
        <w:autoSpaceDE w:val="0"/>
        <w:autoSpaceDN w:val="0"/>
        <w:spacing w:before="124"/>
        <w:ind w:left="104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磋商响应文件有下列情形之一的，由磋商小组初审后按废标处理：</w:t>
      </w:r>
    </w:p>
    <w:p>
      <w:pPr>
        <w:widowControl w:val="0"/>
        <w:autoSpaceDE w:val="0"/>
        <w:autoSpaceDN w:val="0"/>
        <w:spacing w:before="120"/>
        <w:ind w:left="1048"/>
        <w:outlineLvl w:val="4"/>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zh-CN" w:bidi="zh-CN"/>
        </w:rPr>
        <w:t>（一）超过竞争性磋商文件规定的项目完成期限的；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（二）附有采购人不能接受的条件的；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（三）明显不符合技术规范、技术标准要求的；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（四）以联合体方式投标的；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（五）以他人名义投标的；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（六）采取不正当手段谋取中标的；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w w:val="95"/>
          <w:kern w:val="0"/>
          <w:sz w:val="22"/>
          <w:szCs w:val="22"/>
          <w:highlight w:val="none"/>
          <w:lang w:val="zh-CN" w:bidi="zh-CN"/>
        </w:rPr>
        <w:t>（七）投标人名称或组织机构与资格预审时不一致的；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w w:val="95"/>
          <w:kern w:val="0"/>
          <w:sz w:val="22"/>
          <w:szCs w:val="22"/>
          <w:highlight w:val="none"/>
          <w:lang w:val="zh-CN" w:bidi="zh-CN"/>
        </w:rPr>
        <w:t>（八）不同</w:t>
      </w:r>
      <w:r>
        <w:rPr>
          <w:rFonts w:hint="eastAsia" w:ascii="宋体" w:hAnsi="宋体" w:cs="宋体"/>
          <w:b w:val="0"/>
          <w:bCs w:val="0"/>
          <w:color w:val="auto"/>
          <w:w w:val="95"/>
          <w:kern w:val="0"/>
          <w:sz w:val="22"/>
          <w:szCs w:val="22"/>
          <w:highlight w:val="none"/>
          <w:lang w:val="zh-CN" w:bidi="zh-CN"/>
        </w:rPr>
        <w:t>响应单位</w:t>
      </w:r>
      <w:r>
        <w:rPr>
          <w:rFonts w:hint="eastAsia" w:ascii="宋体" w:hAnsi="宋体" w:eastAsia="宋体" w:cs="宋体"/>
          <w:b w:val="0"/>
          <w:bCs w:val="0"/>
          <w:color w:val="auto"/>
          <w:w w:val="95"/>
          <w:kern w:val="0"/>
          <w:sz w:val="22"/>
          <w:szCs w:val="22"/>
          <w:highlight w:val="none"/>
          <w:lang w:val="zh-CN" w:bidi="zh-CN"/>
        </w:rPr>
        <w:t>的电子响应文件制作机器码一致；</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（九）其他不符合竞争性磋商文件实质性要求的。</w:t>
      </w:r>
    </w:p>
    <w:p>
      <w:pPr>
        <w:widowControl w:val="0"/>
        <w:numPr>
          <w:ilvl w:val="0"/>
          <w:numId w:val="1"/>
        </w:numPr>
        <w:tabs>
          <w:tab w:val="left" w:pos="988"/>
          <w:tab w:val="left" w:pos="989"/>
        </w:tabs>
        <w:autoSpaceDE w:val="0"/>
        <w:autoSpaceDN w:val="0"/>
        <w:spacing w:before="20"/>
        <w:rPr>
          <w:rFonts w:hint="eastAsia" w:ascii="宋体" w:hAnsi="宋体" w:eastAsia="宋体" w:cs="宋体"/>
          <w:b/>
          <w:color w:val="auto"/>
          <w:sz w:val="22"/>
          <w:szCs w:val="22"/>
          <w:highlight w:val="none"/>
          <w:lang w:val="zh-CN" w:bidi="zh-CN"/>
        </w:rPr>
      </w:pPr>
      <w:bookmarkStart w:id="34" w:name="4. 响应文件的递交"/>
      <w:bookmarkEnd w:id="34"/>
      <w:bookmarkStart w:id="35" w:name="_bookmark6"/>
      <w:bookmarkEnd w:id="35"/>
      <w:r>
        <w:rPr>
          <w:rFonts w:hint="eastAsia" w:ascii="宋体" w:hAnsi="宋体" w:eastAsia="宋体" w:cs="宋体"/>
          <w:b/>
          <w:color w:val="auto"/>
          <w:sz w:val="22"/>
          <w:szCs w:val="22"/>
          <w:highlight w:val="none"/>
          <w:lang w:val="zh-CN" w:bidi="zh-CN"/>
        </w:rPr>
        <w:t>响应文件的递交</w:t>
      </w:r>
    </w:p>
    <w:p>
      <w:pPr>
        <w:widowControl w:val="0"/>
        <w:numPr>
          <w:ilvl w:val="1"/>
          <w:numId w:val="1"/>
        </w:numPr>
        <w:tabs>
          <w:tab w:val="left" w:pos="876"/>
        </w:tabs>
        <w:autoSpaceDE w:val="0"/>
        <w:autoSpaceDN w:val="0"/>
        <w:spacing w:before="22"/>
        <w:rPr>
          <w:rFonts w:hint="eastAsia" w:ascii="宋体" w:hAnsi="宋体" w:eastAsia="宋体" w:cs="宋体"/>
          <w:b/>
          <w:color w:val="auto"/>
          <w:sz w:val="22"/>
          <w:szCs w:val="22"/>
          <w:highlight w:val="none"/>
          <w:lang w:val="zh-CN" w:bidi="zh-CN"/>
        </w:rPr>
      </w:pPr>
      <w:bookmarkStart w:id="36" w:name="4.1磋商响应文件的递交"/>
      <w:bookmarkEnd w:id="36"/>
      <w:r>
        <w:rPr>
          <w:rFonts w:hint="eastAsia" w:ascii="宋体" w:hAnsi="宋体" w:eastAsia="宋体" w:cs="宋体"/>
          <w:b/>
          <w:color w:val="auto"/>
          <w:sz w:val="22"/>
          <w:szCs w:val="22"/>
          <w:highlight w:val="none"/>
          <w:lang w:val="zh-CN" w:bidi="zh-CN"/>
        </w:rPr>
        <w:t>磋商响应文件的递交</w:t>
      </w:r>
    </w:p>
    <w:p>
      <w:pPr>
        <w:widowControl w:val="0"/>
        <w:numPr>
          <w:ilvl w:val="2"/>
          <w:numId w:val="1"/>
        </w:numPr>
        <w:tabs>
          <w:tab w:val="left" w:pos="1452"/>
        </w:tabs>
        <w:autoSpaceDE w:val="0"/>
        <w:autoSpaceDN w:val="0"/>
        <w:spacing w:line="278" w:lineRule="auto"/>
        <w:ind w:right="42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投标人应在投标人须知前附表规定的投标截止时间及响应文件提交截止时间前递交响应文件。</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3"/>
          <w:sz w:val="22"/>
          <w:szCs w:val="22"/>
          <w:highlight w:val="none"/>
          <w:lang w:val="zh-CN" w:bidi="zh-CN"/>
        </w:rPr>
        <w:t>投标人递交响应文件的方式地点：见投标人须知前附表。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除投标人须知前附表另有规定外投标人所递交的响应文件不予退还。</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采购人或采购代理机构收到响应文件后，向投标人出具签收凭证。</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4"/>
          <w:sz w:val="22"/>
          <w:szCs w:val="22"/>
          <w:highlight w:val="none"/>
          <w:lang w:val="zh-CN" w:bidi="zh-CN"/>
        </w:rPr>
        <w:t>逾期送达的响应文件，采购人将予以拒收。</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2"/>
          <w:szCs w:val="22"/>
          <w:highlight w:val="none"/>
          <w:lang w:val="zh-CN" w:bidi="zh-CN"/>
        </w:rPr>
      </w:pPr>
      <w:bookmarkStart w:id="37" w:name="4.2磋商响应文件的补充、修改与撤回"/>
      <w:bookmarkEnd w:id="37"/>
      <w:r>
        <w:rPr>
          <w:rFonts w:hint="eastAsia" w:ascii="宋体" w:hAnsi="宋体" w:eastAsia="宋体" w:cs="宋体"/>
          <w:b/>
          <w:bCs/>
          <w:color w:val="auto"/>
          <w:sz w:val="22"/>
          <w:szCs w:val="22"/>
          <w:highlight w:val="none"/>
          <w:lang w:val="zh-CN" w:bidi="zh-CN"/>
        </w:rPr>
        <w:t>磋商响应文件的补充、修改与撤回</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3"/>
          <w:sz w:val="22"/>
          <w:szCs w:val="22"/>
          <w:highlight w:val="none"/>
          <w:lang w:val="zh-CN" w:bidi="zh-CN"/>
        </w:rPr>
        <w:t xml:space="preserve">在本章第 </w:t>
      </w:r>
      <w:r>
        <w:rPr>
          <w:rFonts w:hint="eastAsia" w:ascii="宋体" w:hAnsi="宋体" w:eastAsia="宋体" w:cs="宋体"/>
          <w:color w:val="auto"/>
          <w:sz w:val="22"/>
          <w:szCs w:val="22"/>
          <w:highlight w:val="none"/>
          <w:lang w:val="zh-CN" w:bidi="zh-CN"/>
        </w:rPr>
        <w:t>4.1.1</w:t>
      </w:r>
      <w:r>
        <w:rPr>
          <w:rFonts w:hint="eastAsia" w:ascii="宋体" w:hAnsi="宋体" w:eastAsia="宋体" w:cs="宋体"/>
          <w:color w:val="auto"/>
          <w:spacing w:val="-8"/>
          <w:sz w:val="22"/>
          <w:szCs w:val="22"/>
          <w:highlight w:val="none"/>
          <w:lang w:val="zh-CN" w:bidi="zh-CN"/>
        </w:rPr>
        <w:t xml:space="preserve"> </w:t>
      </w:r>
      <w:r>
        <w:rPr>
          <w:rFonts w:hint="eastAsia" w:ascii="宋体" w:hAnsi="宋体" w:eastAsia="宋体" w:cs="宋体"/>
          <w:color w:val="auto"/>
          <w:spacing w:val="-5"/>
          <w:sz w:val="22"/>
          <w:szCs w:val="22"/>
          <w:highlight w:val="none"/>
          <w:lang w:val="zh-CN" w:bidi="zh-CN"/>
        </w:rPr>
        <w:t>项规定的递交首次磋商截止时间前，投标人可以补充、修改或撤回已递交的磋商响应文件，但应通知采购人、采购代理机构。</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2"/>
          <w:sz w:val="22"/>
          <w:szCs w:val="22"/>
          <w:highlight w:val="none"/>
          <w:lang w:val="zh-CN" w:bidi="zh-CN"/>
        </w:rPr>
        <w:t xml:space="preserve">投标人补充、修改或撤回已递交磋商响应文件的通知应按照本章第 </w:t>
      </w:r>
      <w:r>
        <w:rPr>
          <w:rFonts w:hint="eastAsia" w:ascii="宋体" w:hAnsi="宋体" w:eastAsia="宋体" w:cs="宋体"/>
          <w:color w:val="auto"/>
          <w:sz w:val="22"/>
          <w:szCs w:val="22"/>
          <w:highlight w:val="none"/>
          <w:lang w:val="zh-CN" w:bidi="zh-CN"/>
        </w:rPr>
        <w:t>3.4.3</w:t>
      </w:r>
      <w:r>
        <w:rPr>
          <w:rFonts w:hint="eastAsia" w:ascii="宋体" w:hAnsi="宋体" w:eastAsia="宋体" w:cs="宋体"/>
          <w:color w:val="auto"/>
          <w:spacing w:val="-6"/>
          <w:sz w:val="22"/>
          <w:szCs w:val="22"/>
          <w:highlight w:val="none"/>
          <w:lang w:val="zh-CN" w:bidi="zh-CN"/>
        </w:rPr>
        <w:t xml:space="preserve"> </w:t>
      </w:r>
      <w:r>
        <w:rPr>
          <w:rFonts w:hint="eastAsia" w:ascii="宋体" w:hAnsi="宋体" w:eastAsia="宋体" w:cs="宋体"/>
          <w:color w:val="auto"/>
          <w:sz w:val="22"/>
          <w:szCs w:val="22"/>
          <w:highlight w:val="none"/>
          <w:lang w:val="zh-CN" w:bidi="zh-CN"/>
        </w:rPr>
        <w:t>项的要求签字或盖章。采购人收到通知后，向投标人出具签收凭证。</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补充</w:t>
      </w:r>
      <w:r>
        <w:rPr>
          <w:rFonts w:hint="eastAsia" w:ascii="宋体" w:hAnsi="宋体" w:eastAsia="宋体" w:cs="宋体"/>
          <w:color w:val="auto"/>
          <w:spacing w:val="-5"/>
          <w:sz w:val="22"/>
          <w:szCs w:val="22"/>
          <w:highlight w:val="none"/>
          <w:lang w:val="zh-CN" w:bidi="zh-CN"/>
        </w:rPr>
        <w:t>、修改的内容为磋商响应文件的组成部分。补充、修改的内容与响应文件不一致的，以补充、修改的无内容为准。修改的磋商响应文件应按照本章规定进行编制、密封、标记和递交，并标明“修改”字样。</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highlight w:val="none"/>
          <w:lang w:val="zh-CN" w:bidi="zh-CN"/>
        </w:rPr>
      </w:pPr>
      <w:bookmarkStart w:id="38" w:name="_bookmark7"/>
      <w:bookmarkEnd w:id="38"/>
      <w:bookmarkStart w:id="39" w:name="5. 竞争性磋商"/>
      <w:bookmarkEnd w:id="39"/>
      <w:r>
        <w:rPr>
          <w:rFonts w:hint="eastAsia" w:ascii="宋体" w:hAnsi="宋体" w:eastAsia="宋体" w:cs="宋体"/>
          <w:b/>
          <w:bCs/>
          <w:color w:val="auto"/>
          <w:sz w:val="22"/>
          <w:szCs w:val="22"/>
          <w:highlight w:val="none"/>
          <w:lang w:val="zh-CN" w:bidi="zh-CN"/>
        </w:rPr>
        <w:t>竞争性磋商</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40" w:name="5.1开启时间和地点"/>
      <w:bookmarkEnd w:id="40"/>
      <w:r>
        <w:rPr>
          <w:rFonts w:hint="eastAsia" w:ascii="宋体" w:hAnsi="宋体" w:eastAsia="宋体" w:cs="宋体"/>
          <w:b/>
          <w:bCs/>
          <w:color w:val="auto"/>
          <w:sz w:val="22"/>
          <w:szCs w:val="22"/>
          <w:highlight w:val="none"/>
          <w:lang w:val="zh-CN" w:bidi="zh-CN"/>
        </w:rPr>
        <w:t>开启时间和地点</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highlight w:val="none"/>
          <w:lang w:val="zh-CN" w:bidi="zh-CN"/>
        </w:rPr>
      </w:pPr>
      <w:r>
        <w:rPr>
          <w:rFonts w:hint="eastAsia" w:ascii="宋体" w:hAnsi="宋体" w:eastAsia="宋体" w:cs="宋体"/>
          <w:color w:val="auto"/>
          <w:spacing w:val="-13"/>
          <w:sz w:val="22"/>
          <w:szCs w:val="22"/>
          <w:highlight w:val="none"/>
          <w:lang w:val="zh-CN" w:bidi="zh-CN"/>
        </w:rPr>
        <w:t>招标人在本章第 4.1.1 项规定的投标截止时间及响应文件提交截止时间（开启时间）和投标人须知前附表规定的地点进行竞争性磋商。届时投标人应在开标截止时间前，用信安 CA 数字证书登录淅川县公共资源交易中心并进入“不见面开标大厅”等候开标，在线准时参加开标活动并进行响应文件解密、答疑澄清等。</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highlight w:val="none"/>
          <w:lang w:val="zh-CN" w:bidi="zh-CN"/>
        </w:rPr>
      </w:pPr>
      <w:bookmarkStart w:id="41" w:name="5.2磋商程序"/>
      <w:bookmarkEnd w:id="41"/>
      <w:r>
        <w:rPr>
          <w:rFonts w:hint="eastAsia" w:ascii="宋体" w:hAnsi="宋体" w:eastAsia="宋体" w:cs="宋体"/>
          <w:color w:val="auto"/>
          <w:spacing w:val="-13"/>
          <w:sz w:val="22"/>
          <w:szCs w:val="22"/>
          <w:highlight w:val="none"/>
          <w:lang w:val="zh-CN" w:bidi="zh-CN"/>
        </w:rPr>
        <w:t>磋商程序</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、按电子响应文件上传的顺序进行开标唱标</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w:t>
      </w:r>
      <w:r>
        <w:rPr>
          <w:rFonts w:hint="eastAsia" w:ascii="宋体" w:hAnsi="宋体" w:eastAsia="宋体" w:cs="宋体"/>
          <w:color w:val="auto"/>
          <w:spacing w:val="-12"/>
          <w:sz w:val="22"/>
          <w:szCs w:val="22"/>
          <w:highlight w:val="none"/>
          <w:lang w:bidi="zh-CN"/>
        </w:rPr>
        <w:t>本项目为不见面开标项目即投标人不再到现场参与开标会议，等开标时间截止后，各投标企业自行在</w:t>
      </w:r>
      <w:r>
        <w:rPr>
          <w:rFonts w:hint="eastAsia" w:ascii="宋体" w:hAnsi="宋体" w:eastAsia="宋体" w:cs="宋体"/>
          <w:color w:val="auto"/>
          <w:spacing w:val="-12"/>
          <w:sz w:val="22"/>
          <w:szCs w:val="22"/>
          <w:highlight w:val="none"/>
          <w:lang w:val="en-US" w:bidi="zh-CN"/>
        </w:rPr>
        <w:t>3</w:t>
      </w:r>
      <w:r>
        <w:rPr>
          <w:rFonts w:hint="eastAsia" w:ascii="宋体" w:hAnsi="宋体" w:eastAsia="宋体" w:cs="宋体"/>
          <w:color w:val="auto"/>
          <w:spacing w:val="-12"/>
          <w:sz w:val="22"/>
          <w:szCs w:val="22"/>
          <w:highlight w:val="none"/>
          <w:lang w:bidi="zh-CN"/>
        </w:rPr>
        <w:t>0分钟内远程解密响应文件，超过时限未解密的按无效标处理，若在</w:t>
      </w:r>
      <w:r>
        <w:rPr>
          <w:rFonts w:hint="eastAsia" w:ascii="宋体" w:hAnsi="宋体" w:eastAsia="宋体" w:cs="宋体"/>
          <w:color w:val="auto"/>
          <w:spacing w:val="-12"/>
          <w:sz w:val="22"/>
          <w:szCs w:val="22"/>
          <w:highlight w:val="none"/>
          <w:lang w:val="en-US" w:bidi="zh-CN"/>
        </w:rPr>
        <w:t>3</w:t>
      </w:r>
      <w:r>
        <w:rPr>
          <w:rFonts w:hint="eastAsia" w:ascii="宋体" w:hAnsi="宋体" w:eastAsia="宋体" w:cs="宋体"/>
          <w:color w:val="auto"/>
          <w:spacing w:val="-12"/>
          <w:sz w:val="22"/>
          <w:szCs w:val="22"/>
          <w:highlight w:val="none"/>
          <w:lang w:bidi="zh-CN"/>
        </w:rPr>
        <w:t>0分钟内未提出异议，视为无异议，认可开标结果；本项目采用竞争性磋商方式，开标结束后，投标人在谈判大厅等待，各</w:t>
      </w:r>
      <w:r>
        <w:rPr>
          <w:rFonts w:hint="eastAsia" w:ascii="宋体" w:hAnsi="宋体" w:cs="宋体"/>
          <w:color w:val="auto"/>
          <w:spacing w:val="-12"/>
          <w:sz w:val="22"/>
          <w:szCs w:val="22"/>
          <w:highlight w:val="none"/>
          <w:lang w:bidi="zh-CN"/>
        </w:rPr>
        <w:t>响应单位</w:t>
      </w:r>
      <w:r>
        <w:rPr>
          <w:rFonts w:hint="eastAsia" w:ascii="宋体" w:hAnsi="宋体" w:eastAsia="宋体" w:cs="宋体"/>
          <w:color w:val="auto"/>
          <w:spacing w:val="-12"/>
          <w:sz w:val="22"/>
          <w:szCs w:val="22"/>
          <w:highlight w:val="none"/>
          <w:lang w:bidi="zh-CN"/>
        </w:rPr>
        <w:t>必须安排专人值守，确保在线，二次报价在专家提起报价后完成。在评标期间，随时接受评标委员会在线问询，若未在评标委员会发起质疑30分钟内进行答疑的，视为放弃答疑机会。</w:t>
      </w:r>
    </w:p>
    <w:p>
      <w:pPr>
        <w:widowControl w:val="0"/>
        <w:numPr>
          <w:ilvl w:val="1"/>
          <w:numId w:val="1"/>
        </w:numPr>
        <w:tabs>
          <w:tab w:val="left" w:pos="876"/>
        </w:tabs>
        <w:autoSpaceDE w:val="0"/>
        <w:autoSpaceDN w:val="0"/>
        <w:spacing w:before="19"/>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磋商</w:t>
      </w:r>
    </w:p>
    <w:p>
      <w:pPr>
        <w:widowControl w:val="0"/>
        <w:numPr>
          <w:ilvl w:val="2"/>
          <w:numId w:val="1"/>
        </w:numPr>
        <w:tabs>
          <w:tab w:val="left" w:pos="1452"/>
        </w:tabs>
        <w:autoSpaceDE w:val="0"/>
        <w:autoSpaceDN w:val="0"/>
        <w:spacing w:before="2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w:t>
      </w:r>
    </w:p>
    <w:p>
      <w:pPr>
        <w:widowControl w:val="0"/>
        <w:autoSpaceDE w:val="0"/>
        <w:autoSpaceDN w:val="0"/>
        <w:spacing w:before="2" w:line="244" w:lineRule="auto"/>
        <w:ind w:left="508" w:right="526" w:firstLine="420"/>
        <w:rPr>
          <w:rFonts w:hint="eastAsia" w:ascii="宋体" w:hAnsi="宋体" w:eastAsia="宋体" w:cs="宋体"/>
          <w:color w:val="auto"/>
          <w:spacing w:val="2"/>
          <w:sz w:val="22"/>
          <w:szCs w:val="22"/>
          <w:highlight w:val="none"/>
          <w:lang w:val="zh-CN" w:bidi="zh-CN"/>
        </w:rPr>
      </w:pPr>
      <w:r>
        <w:rPr>
          <w:rFonts w:hint="eastAsia" w:ascii="宋体" w:hAnsi="宋体" w:eastAsia="宋体" w:cs="宋体"/>
          <w:color w:val="auto"/>
          <w:spacing w:val="-12"/>
          <w:sz w:val="22"/>
          <w:szCs w:val="22"/>
          <w:highlight w:val="none"/>
          <w:lang w:val="zh-CN" w:bidi="zh-CN"/>
        </w:rPr>
        <w:t>(1) 磋商工作由采购人依法组建的磋商小组负责。磋商小组由采购人或其委托的招标代理机构熟悉相关业务的代表，以及有关技术、经济等方面的专家组成。磋商小组成员人数以及技术、经济等方面专</w:t>
      </w:r>
      <w:r>
        <w:rPr>
          <w:rFonts w:hint="eastAsia" w:ascii="宋体" w:hAnsi="宋体" w:eastAsia="宋体" w:cs="宋体"/>
          <w:color w:val="auto"/>
          <w:spacing w:val="2"/>
          <w:sz w:val="22"/>
          <w:szCs w:val="22"/>
          <w:highlight w:val="none"/>
          <w:lang w:val="zh-CN" w:bidi="zh-CN"/>
        </w:rPr>
        <w:t>家的确定方式见投标人须知前附表。</w:t>
      </w:r>
    </w:p>
    <w:p>
      <w:pPr>
        <w:widowControl w:val="0"/>
        <w:numPr>
          <w:ilvl w:val="2"/>
          <w:numId w:val="1"/>
        </w:numPr>
        <w:tabs>
          <w:tab w:val="left" w:pos="1452"/>
        </w:tabs>
        <w:autoSpaceDE w:val="0"/>
        <w:autoSpaceDN w:val="0"/>
        <w:spacing w:before="15"/>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w:t>
      </w:r>
      <w:r>
        <w:rPr>
          <w:rFonts w:hint="eastAsia" w:ascii="宋体" w:hAnsi="宋体" w:eastAsia="宋体" w:cs="宋体"/>
          <w:color w:val="auto"/>
          <w:spacing w:val="-7"/>
          <w:sz w:val="22"/>
          <w:szCs w:val="22"/>
          <w:highlight w:val="none"/>
          <w:lang w:val="en-US" w:bidi="zh-CN"/>
        </w:rPr>
        <w:t>1</w:t>
      </w:r>
      <w:r>
        <w:rPr>
          <w:rFonts w:hint="eastAsia" w:ascii="宋体" w:hAnsi="宋体" w:eastAsia="宋体" w:cs="宋体"/>
          <w:color w:val="auto"/>
          <w:spacing w:val="-7"/>
          <w:sz w:val="22"/>
          <w:szCs w:val="22"/>
          <w:highlight w:val="none"/>
          <w:lang w:val="zh-CN" w:bidi="zh-CN"/>
        </w:rPr>
        <w:t>）磋商小组成员应当按照客观、公正、审慎的原则，根据竞争性磋商文件第三章规定的评审程序、评审方法和评审标准进行独立评审。未实质性响应磋商文件的响应文件按无效响应处理</w:t>
      </w:r>
      <w:r>
        <w:rPr>
          <w:rFonts w:hint="eastAsia" w:ascii="宋体" w:hAnsi="宋体" w:eastAsia="宋体" w:cs="宋体"/>
          <w:color w:val="auto"/>
          <w:spacing w:val="-7"/>
          <w:sz w:val="22"/>
          <w:szCs w:val="22"/>
          <w:highlight w:val="none"/>
          <w:lang w:val="zh-CN" w:eastAsia="zh-CN" w:bidi="zh-CN"/>
        </w:rPr>
        <w:t>，</w:t>
      </w:r>
      <w:r>
        <w:rPr>
          <w:rFonts w:hint="eastAsia" w:ascii="宋体" w:hAnsi="宋体" w:eastAsia="宋体" w:cs="宋体"/>
          <w:color w:val="auto"/>
          <w:spacing w:val="-7"/>
          <w:sz w:val="22"/>
          <w:szCs w:val="22"/>
          <w:highlight w:val="none"/>
          <w:lang w:val="zh-CN" w:bidi="zh-CN"/>
        </w:rPr>
        <w:t>磋商小组应当告知提交响应文件的投标人。</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w:t>
      </w:r>
      <w:r>
        <w:rPr>
          <w:rFonts w:hint="eastAsia" w:ascii="宋体" w:hAnsi="宋体" w:eastAsia="宋体" w:cs="宋体"/>
          <w:color w:val="auto"/>
          <w:spacing w:val="-7"/>
          <w:sz w:val="22"/>
          <w:szCs w:val="22"/>
          <w:highlight w:val="none"/>
          <w:lang w:val="en-US" w:bidi="zh-CN"/>
        </w:rPr>
        <w:t>2</w:t>
      </w:r>
      <w:r>
        <w:rPr>
          <w:rFonts w:hint="eastAsia" w:ascii="宋体" w:hAnsi="宋体" w:eastAsia="宋体" w:cs="宋体"/>
          <w:color w:val="auto"/>
          <w:spacing w:val="-7"/>
          <w:sz w:val="22"/>
          <w:szCs w:val="22"/>
          <w:highlight w:val="none"/>
          <w:lang w:val="zh-CN" w:bidi="zh-CN"/>
        </w:rPr>
        <w:t>）竞争性磋商文件内容违反国家有关强制性规定的，磋商小组应当停止评审并向</w:t>
      </w:r>
      <w:r>
        <w:rPr>
          <w:rFonts w:hint="eastAsia" w:ascii="宋体" w:hAnsi="宋体" w:cs="宋体"/>
          <w:color w:val="auto"/>
          <w:spacing w:val="-7"/>
          <w:sz w:val="22"/>
          <w:szCs w:val="22"/>
          <w:highlight w:val="none"/>
          <w:lang w:val="zh-CN" w:bidi="zh-CN"/>
        </w:rPr>
        <w:t>招标</w:t>
      </w:r>
      <w:r>
        <w:rPr>
          <w:rFonts w:hint="eastAsia" w:ascii="宋体" w:hAnsi="宋体" w:eastAsia="宋体" w:cs="宋体"/>
          <w:color w:val="auto"/>
          <w:spacing w:val="-7"/>
          <w:sz w:val="22"/>
          <w:szCs w:val="22"/>
          <w:highlight w:val="none"/>
          <w:lang w:val="zh-CN" w:bidi="zh-CN"/>
        </w:rPr>
        <w:t>人或者</w:t>
      </w:r>
      <w:r>
        <w:rPr>
          <w:rFonts w:hint="eastAsia" w:ascii="宋体" w:hAnsi="宋体" w:cs="宋体"/>
          <w:color w:val="auto"/>
          <w:spacing w:val="-7"/>
          <w:sz w:val="22"/>
          <w:szCs w:val="22"/>
          <w:highlight w:val="none"/>
          <w:lang w:val="zh-CN" w:bidi="zh-CN"/>
        </w:rPr>
        <w:t>招标</w:t>
      </w:r>
      <w:r>
        <w:rPr>
          <w:rFonts w:hint="eastAsia" w:ascii="宋体" w:hAnsi="宋体" w:eastAsia="宋体" w:cs="宋体"/>
          <w:color w:val="auto"/>
          <w:spacing w:val="-7"/>
          <w:sz w:val="22"/>
          <w:szCs w:val="22"/>
          <w:highlight w:val="none"/>
          <w:lang w:val="zh-CN" w:bidi="zh-CN"/>
        </w:rPr>
        <w:t>代理机构说明情况。</w:t>
      </w:r>
    </w:p>
    <w:p>
      <w:pPr>
        <w:widowControl w:val="0"/>
        <w:numPr>
          <w:ilvl w:val="2"/>
          <w:numId w:val="1"/>
        </w:numPr>
        <w:tabs>
          <w:tab w:val="left" w:pos="1452"/>
        </w:tabs>
        <w:autoSpaceDE w:val="0"/>
        <w:autoSpaceDN w:val="0"/>
        <w:spacing w:before="1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评审报告</w:t>
      </w: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磋商小组应当根据评审记录和评审结果编写评审报告，其主要内容包括：</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）邀请投标人参加采购活动的具体方式和相关情况；</w:t>
      </w:r>
    </w:p>
    <w:p>
      <w:pPr>
        <w:widowControl w:val="0"/>
        <w:numPr>
          <w:ilvl w:val="0"/>
          <w:numId w:val="0"/>
        </w:numPr>
        <w:tabs>
          <w:tab w:val="left" w:pos="1349"/>
        </w:tabs>
        <w:autoSpaceDE w:val="0"/>
        <w:autoSpaceDN w:val="0"/>
        <w:spacing w:before="3"/>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2</w:t>
      </w:r>
      <w:r>
        <w:rPr>
          <w:rFonts w:hint="eastAsia" w:ascii="宋体" w:hAnsi="宋体" w:eastAsia="宋体" w:cs="宋体"/>
          <w:color w:val="auto"/>
          <w:sz w:val="22"/>
          <w:szCs w:val="22"/>
          <w:highlight w:val="none"/>
          <w:lang w:val="zh-CN" w:bidi="zh-CN"/>
        </w:rPr>
        <w:t>）响应文件开启日期和地点；</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）获取竞争性磋商文件的投标人名单和磋商小组成员名单；</w:t>
      </w:r>
    </w:p>
    <w:p>
      <w:pPr>
        <w:widowControl w:val="0"/>
        <w:numPr>
          <w:ilvl w:val="0"/>
          <w:numId w:val="0"/>
        </w:numPr>
        <w:tabs>
          <w:tab w:val="left" w:pos="1349"/>
        </w:tabs>
        <w:autoSpaceDE w:val="0"/>
        <w:autoSpaceDN w:val="0"/>
        <w:spacing w:before="4"/>
        <w:ind w:left="1586" w:leftChars="441" w:hanging="660" w:hangingChars="3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）评审情况记录和说明，包括对投标人的资格审查情况、投标人响应文件评审情况、磋商情况、报价情况等；</w:t>
      </w:r>
    </w:p>
    <w:p>
      <w:pPr>
        <w:widowControl w:val="0"/>
        <w:numPr>
          <w:ilvl w:val="0"/>
          <w:numId w:val="0"/>
        </w:numPr>
        <w:tabs>
          <w:tab w:val="left" w:pos="1349"/>
        </w:tabs>
        <w:autoSpaceDE w:val="0"/>
        <w:autoSpaceDN w:val="0"/>
        <w:spacing w:line="268" w:lineRule="exact"/>
        <w:ind w:left="927" w:leftChars="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5</w:t>
      </w:r>
      <w:r>
        <w:rPr>
          <w:rFonts w:hint="eastAsia" w:ascii="宋体" w:hAnsi="宋体" w:eastAsia="宋体" w:cs="宋体"/>
          <w:color w:val="auto"/>
          <w:sz w:val="22"/>
          <w:szCs w:val="22"/>
          <w:highlight w:val="none"/>
          <w:lang w:val="zh-CN" w:bidi="zh-CN"/>
        </w:rPr>
        <w:t>）提出的成交候选投标人的排序名单及理由。</w:t>
      </w:r>
    </w:p>
    <w:p>
      <w:pPr>
        <w:widowControl w:val="0"/>
        <w:autoSpaceDE w:val="0"/>
        <w:autoSpaceDN w:val="0"/>
        <w:spacing w:before="4" w:line="242" w:lineRule="auto"/>
        <w:ind w:left="508" w:right="528"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记录相关情况。磋商小组成员拒绝在报告上签字又不说明其不同意见和理由的，视为同意评审报告。</w:t>
      </w:r>
    </w:p>
    <w:p>
      <w:pPr>
        <w:widowControl w:val="0"/>
        <w:autoSpaceDE w:val="0"/>
        <w:autoSpaceDN w:val="0"/>
        <w:spacing w:before="3"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评审完成后，磋商小组应当向采购人提交评审报告和成交候选人名单。磋商小组推荐成交候选人的人数见投标人须知前附表。</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highlight w:val="none"/>
          <w:lang w:val="zh-CN" w:bidi="zh-CN"/>
        </w:rPr>
      </w:pPr>
      <w:bookmarkStart w:id="42" w:name="5.4磋商过程的保密性"/>
      <w:bookmarkEnd w:id="42"/>
      <w:r>
        <w:rPr>
          <w:rFonts w:hint="eastAsia" w:ascii="宋体" w:hAnsi="宋体" w:eastAsia="宋体" w:cs="宋体"/>
          <w:b/>
          <w:bCs/>
          <w:color w:val="auto"/>
          <w:sz w:val="22"/>
          <w:szCs w:val="22"/>
          <w:highlight w:val="none"/>
          <w:lang w:val="zh-CN" w:bidi="zh-CN"/>
        </w:rPr>
        <w:t>磋商过程的保密性</w:t>
      </w:r>
    </w:p>
    <w:p>
      <w:pPr>
        <w:widowControl w:val="0"/>
        <w:numPr>
          <w:ilvl w:val="2"/>
          <w:numId w:val="1"/>
        </w:numPr>
        <w:tabs>
          <w:tab w:val="left" w:pos="1558"/>
        </w:tabs>
        <w:autoSpaceDE w:val="0"/>
        <w:autoSpaceDN w:val="0"/>
        <w:spacing w:before="43" w:line="278" w:lineRule="auto"/>
        <w:ind w:right="526"/>
        <w:rPr>
          <w:rFonts w:hint="eastAsia" w:ascii="宋体" w:hAnsi="宋体" w:eastAsia="宋体" w:cs="宋体"/>
          <w:color w:val="auto"/>
          <w:spacing w:val="-8"/>
          <w:sz w:val="22"/>
          <w:szCs w:val="22"/>
          <w:highlight w:val="none"/>
          <w:lang w:val="zh-CN" w:bidi="zh-CN"/>
        </w:rPr>
      </w:pPr>
      <w:r>
        <w:rPr>
          <w:rFonts w:hint="eastAsia" w:ascii="宋体" w:hAnsi="宋体" w:eastAsia="宋体" w:cs="宋体"/>
          <w:color w:val="auto"/>
          <w:spacing w:val="-8"/>
          <w:sz w:val="22"/>
          <w:szCs w:val="22"/>
          <w:highlight w:val="none"/>
          <w:lang w:val="zh-CN" w:bidi="zh-CN"/>
        </w:rPr>
        <w:t>磋商期间，直到授予成交人合同止，凡是与磋商响应文件审查、澄清、评价、比较以及推荐成交人等方面的情况，均不得向投标人或其他无关的人员透露。</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在磋商过程中，投标人如向磋商小组成员施加任何影响，都将会导致其磋商被拒绝，政府采购监管部门将记录其不良行为。</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43" w:name="5.5终止竞争性磋商采购活动"/>
      <w:bookmarkEnd w:id="43"/>
      <w:r>
        <w:rPr>
          <w:rFonts w:hint="eastAsia" w:ascii="宋体" w:hAnsi="宋体" w:eastAsia="宋体" w:cs="宋体"/>
          <w:b/>
          <w:bCs/>
          <w:color w:val="auto"/>
          <w:sz w:val="22"/>
          <w:szCs w:val="22"/>
          <w:highlight w:val="none"/>
          <w:lang w:val="zh-CN" w:bidi="zh-CN"/>
        </w:rPr>
        <w:t>终止竞争性磋商采购活动</w:t>
      </w:r>
    </w:p>
    <w:p>
      <w:pPr>
        <w:widowControl w:val="0"/>
        <w:autoSpaceDE w:val="0"/>
        <w:autoSpaceDN w:val="0"/>
        <w:spacing w:before="24" w:line="242" w:lineRule="auto"/>
        <w:ind w:left="508" w:right="526" w:firstLine="42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出现下列情形之一的，采购人或者采购代理机构应当终止竞争性磋商采购活动，发布项目终止公告并说明原因，重新开展采购活动：</w:t>
      </w:r>
    </w:p>
    <w:p>
      <w:pPr>
        <w:widowControl w:val="0"/>
        <w:numPr>
          <w:ilvl w:val="0"/>
          <w:numId w:val="2"/>
        </w:numPr>
        <w:tabs>
          <w:tab w:val="left" w:pos="1349"/>
        </w:tabs>
        <w:autoSpaceDE w:val="0"/>
        <w:autoSpaceDN w:val="0"/>
        <w:spacing w:line="268" w:lineRule="exact"/>
        <w:ind w:left="1348" w:hanging="42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因情况变化，不再符合规定的竞争性磋商采购方式适用情形的；</w:t>
      </w:r>
    </w:p>
    <w:p>
      <w:pPr>
        <w:widowControl w:val="0"/>
        <w:numPr>
          <w:ilvl w:val="0"/>
          <w:numId w:val="2"/>
        </w:numPr>
        <w:tabs>
          <w:tab w:val="left" w:pos="1349"/>
        </w:tabs>
        <w:autoSpaceDE w:val="0"/>
        <w:autoSpaceDN w:val="0"/>
        <w:spacing w:before="4"/>
        <w:ind w:left="1348" w:hanging="42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出现影响采购公正的违法、违规行为的；</w:t>
      </w:r>
    </w:p>
    <w:p>
      <w:pPr>
        <w:widowControl w:val="0"/>
        <w:numPr>
          <w:ilvl w:val="0"/>
          <w:numId w:val="2"/>
        </w:numPr>
        <w:tabs>
          <w:tab w:val="left" w:pos="1349"/>
        </w:tabs>
        <w:autoSpaceDE w:val="0"/>
        <w:autoSpaceDN w:val="0"/>
        <w:spacing w:before="5" w:line="242" w:lineRule="auto"/>
        <w:ind w:left="508" w:right="496" w:firstLine="420"/>
        <w:jc w:val="both"/>
        <w:rPr>
          <w:rFonts w:hint="eastAsia" w:ascii="宋体" w:hAnsi="宋体" w:eastAsia="宋体" w:cs="宋体"/>
          <w:b/>
          <w:color w:val="auto"/>
          <w:sz w:val="22"/>
          <w:szCs w:val="22"/>
          <w:highlight w:val="none"/>
          <w:lang w:val="zh-CN" w:bidi="zh-CN"/>
        </w:rPr>
      </w:pPr>
      <w:r>
        <w:rPr>
          <w:rFonts w:hint="eastAsia" w:ascii="宋体" w:hAnsi="宋体" w:eastAsia="宋体" w:cs="宋体"/>
          <w:color w:val="auto"/>
          <w:spacing w:val="-2"/>
          <w:sz w:val="22"/>
          <w:szCs w:val="22"/>
          <w:highlight w:val="none"/>
          <w:lang w:val="zh-CN" w:bidi="zh-CN"/>
        </w:rPr>
        <w:t>在采购过程中符合要求的投标人或者报价未超过采购预算的投标人不足</w:t>
      </w:r>
      <w:r>
        <w:rPr>
          <w:rFonts w:hint="eastAsia" w:ascii="宋体" w:hAnsi="宋体" w:eastAsia="宋体" w:cs="宋体"/>
          <w:color w:val="auto"/>
          <w:spacing w:val="-2"/>
          <w:sz w:val="22"/>
          <w:szCs w:val="22"/>
          <w:highlight w:val="none"/>
          <w:lang w:bidi="zh-CN"/>
        </w:rPr>
        <w:t>3</w:t>
      </w:r>
      <w:r>
        <w:rPr>
          <w:rFonts w:hint="eastAsia" w:ascii="宋体" w:hAnsi="宋体" w:eastAsia="宋体" w:cs="宋体"/>
          <w:color w:val="auto"/>
          <w:spacing w:val="-31"/>
          <w:sz w:val="22"/>
          <w:szCs w:val="22"/>
          <w:highlight w:val="none"/>
          <w:lang w:val="zh-CN" w:bidi="zh-CN"/>
        </w:rPr>
        <w:t>家的。</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highlight w:val="none"/>
          <w:lang w:val="zh-CN" w:bidi="zh-CN"/>
        </w:rPr>
      </w:pPr>
      <w:bookmarkStart w:id="44" w:name="5.6确定成交人"/>
      <w:bookmarkEnd w:id="44"/>
      <w:r>
        <w:rPr>
          <w:rFonts w:hint="eastAsia" w:ascii="宋体" w:hAnsi="宋体" w:eastAsia="宋体" w:cs="宋体"/>
          <w:b/>
          <w:bCs/>
          <w:color w:val="auto"/>
          <w:sz w:val="22"/>
          <w:szCs w:val="22"/>
          <w:highlight w:val="none"/>
          <w:lang w:val="zh-CN" w:bidi="zh-CN"/>
        </w:rPr>
        <w:t>确定成交人</w:t>
      </w:r>
    </w:p>
    <w:p>
      <w:pPr>
        <w:widowControl w:val="0"/>
        <w:numPr>
          <w:ilvl w:val="2"/>
          <w:numId w:val="1"/>
        </w:numPr>
        <w:tabs>
          <w:tab w:val="left" w:pos="1558"/>
        </w:tabs>
        <w:autoSpaceDE w:val="0"/>
        <w:autoSpaceDN w:val="0"/>
        <w:spacing w:before="43" w:line="278" w:lineRule="auto"/>
        <w:ind w:right="437"/>
        <w:jc w:val="both"/>
        <w:rPr>
          <w:rFonts w:hint="eastAsia" w:ascii="宋体" w:hAnsi="宋体" w:eastAsia="宋体" w:cs="宋体"/>
          <w:color w:val="auto"/>
          <w:sz w:val="22"/>
          <w:szCs w:val="22"/>
          <w:highlight w:val="none"/>
          <w:lang w:val="zh-CN" w:bidi="zh-CN"/>
        </w:rPr>
      </w:pPr>
      <w:r>
        <w:rPr>
          <w:rFonts w:hint="eastAsia" w:ascii="宋体" w:hAnsi="宋体" w:cs="宋体"/>
          <w:color w:val="auto"/>
          <w:spacing w:val="-4"/>
          <w:sz w:val="22"/>
          <w:szCs w:val="22"/>
          <w:highlight w:val="none"/>
          <w:lang w:val="zh-CN" w:bidi="zh-CN"/>
        </w:rPr>
        <w:t>招标</w:t>
      </w:r>
      <w:r>
        <w:rPr>
          <w:rFonts w:hint="eastAsia" w:ascii="宋体" w:hAnsi="宋体" w:eastAsia="宋体" w:cs="宋体"/>
          <w:color w:val="auto"/>
          <w:spacing w:val="-4"/>
          <w:sz w:val="22"/>
          <w:szCs w:val="22"/>
          <w:highlight w:val="none"/>
          <w:lang w:val="zh-CN" w:bidi="zh-CN"/>
        </w:rPr>
        <w:t xml:space="preserve">代理机构应当自评审结束之日起 </w:t>
      </w:r>
      <w:r>
        <w:rPr>
          <w:rFonts w:hint="eastAsia" w:ascii="宋体" w:hAnsi="宋体" w:eastAsia="宋体" w:cs="宋体"/>
          <w:color w:val="auto"/>
          <w:sz w:val="22"/>
          <w:szCs w:val="22"/>
          <w:highlight w:val="none"/>
          <w:lang w:val="zh-CN" w:bidi="zh-CN"/>
        </w:rPr>
        <w:t>2</w:t>
      </w:r>
      <w:r>
        <w:rPr>
          <w:rFonts w:hint="eastAsia" w:ascii="宋体" w:hAnsi="宋体" w:eastAsia="宋体" w:cs="宋体"/>
          <w:color w:val="auto"/>
          <w:spacing w:val="-3"/>
          <w:sz w:val="22"/>
          <w:szCs w:val="22"/>
          <w:highlight w:val="none"/>
          <w:lang w:val="zh-CN" w:bidi="zh-CN"/>
        </w:rPr>
        <w:t xml:space="preserve"> </w:t>
      </w:r>
      <w:r>
        <w:rPr>
          <w:rFonts w:hint="eastAsia" w:ascii="宋体" w:hAnsi="宋体" w:eastAsia="宋体" w:cs="宋体"/>
          <w:color w:val="auto"/>
          <w:spacing w:val="-6"/>
          <w:sz w:val="22"/>
          <w:szCs w:val="22"/>
          <w:highlight w:val="none"/>
          <w:lang w:val="zh-CN" w:bidi="zh-CN"/>
        </w:rPr>
        <w:t>个工作日内将评审报告送交采购人。</w:t>
      </w:r>
      <w:r>
        <w:rPr>
          <w:rFonts w:hint="eastAsia" w:ascii="宋体" w:hAnsi="宋体" w:cs="宋体"/>
          <w:color w:val="auto"/>
          <w:spacing w:val="-6"/>
          <w:sz w:val="22"/>
          <w:szCs w:val="22"/>
          <w:highlight w:val="none"/>
          <w:lang w:val="zh-CN" w:bidi="zh-CN"/>
        </w:rPr>
        <w:t>招标</w:t>
      </w:r>
      <w:r>
        <w:rPr>
          <w:rFonts w:hint="eastAsia" w:ascii="宋体" w:hAnsi="宋体" w:eastAsia="宋体" w:cs="宋体"/>
          <w:color w:val="auto"/>
          <w:spacing w:val="-6"/>
          <w:sz w:val="22"/>
          <w:szCs w:val="22"/>
          <w:highlight w:val="none"/>
          <w:lang w:val="zh-CN" w:bidi="zh-CN"/>
        </w:rPr>
        <w:t>人应</w:t>
      </w:r>
      <w:r>
        <w:rPr>
          <w:rFonts w:hint="eastAsia" w:ascii="宋体" w:hAnsi="宋体" w:eastAsia="宋体" w:cs="宋体"/>
          <w:color w:val="auto"/>
          <w:spacing w:val="-11"/>
          <w:sz w:val="22"/>
          <w:szCs w:val="22"/>
          <w:highlight w:val="none"/>
          <w:lang w:val="zh-CN" w:bidi="zh-CN"/>
        </w:rPr>
        <w:t xml:space="preserve">当自收到评审报告之日起 </w:t>
      </w:r>
      <w:r>
        <w:rPr>
          <w:rFonts w:hint="eastAsia" w:ascii="宋体" w:hAnsi="宋体" w:eastAsia="宋体" w:cs="宋体"/>
          <w:color w:val="auto"/>
          <w:sz w:val="22"/>
          <w:szCs w:val="22"/>
          <w:highlight w:val="none"/>
          <w:lang w:val="zh-CN" w:bidi="zh-CN"/>
        </w:rPr>
        <w:t>5</w:t>
      </w:r>
      <w:r>
        <w:rPr>
          <w:rFonts w:hint="eastAsia" w:ascii="宋体" w:hAnsi="宋体" w:eastAsia="宋体" w:cs="宋体"/>
          <w:color w:val="auto"/>
          <w:spacing w:val="-8"/>
          <w:sz w:val="22"/>
          <w:szCs w:val="22"/>
          <w:highlight w:val="none"/>
          <w:lang w:val="zh-CN" w:bidi="zh-CN"/>
        </w:rPr>
        <w:t xml:space="preserve"> </w:t>
      </w:r>
      <w:r>
        <w:rPr>
          <w:rFonts w:hint="eastAsia" w:ascii="宋体" w:hAnsi="宋体" w:eastAsia="宋体" w:cs="宋体"/>
          <w:color w:val="auto"/>
          <w:sz w:val="22"/>
          <w:szCs w:val="22"/>
          <w:highlight w:val="none"/>
          <w:lang w:val="zh-CN" w:bidi="zh-CN"/>
        </w:rPr>
        <w:t>个工作日内在评审报告推荐的成交候选人中按顺序确定成交投标人。</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采购人也可以授权磋商小组直接确定成交投标人。磋商小组直接确定成交投标人的应在竞争性磋商文件中写明。</w:t>
      </w:r>
    </w:p>
    <w:p>
      <w:pPr>
        <w:widowControl w:val="0"/>
        <w:autoSpaceDE w:val="0"/>
        <w:autoSpaceDN w:val="0"/>
        <w:spacing w:line="87" w:lineRule="exact"/>
        <w:ind w:left="479"/>
        <w:rPr>
          <w:rFonts w:hint="eastAsia" w:ascii="宋体" w:hAnsi="宋体" w:eastAsia="宋体" w:cs="宋体"/>
          <w:color w:val="auto"/>
          <w:sz w:val="22"/>
          <w:szCs w:val="22"/>
          <w:highlight w:val="none"/>
          <w:lang w:val="zh-CN" w:bidi="zh-CN"/>
        </w:rPr>
      </w:pP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highlight w:val="none"/>
          <w:lang w:val="zh-CN" w:bidi="zh-CN"/>
        </w:rPr>
      </w:pPr>
      <w:bookmarkStart w:id="45" w:name="5.7成交结果公告"/>
      <w:bookmarkEnd w:id="45"/>
      <w:r>
        <w:rPr>
          <w:rFonts w:hint="eastAsia" w:ascii="宋体" w:hAnsi="宋体" w:eastAsia="宋体" w:cs="宋体"/>
          <w:b/>
          <w:bCs/>
          <w:color w:val="auto"/>
          <w:sz w:val="22"/>
          <w:szCs w:val="22"/>
          <w:highlight w:val="none"/>
          <w:lang w:val="zh-CN" w:bidi="zh-CN"/>
        </w:rPr>
        <w:t>成交结果公告</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3"/>
          <w:sz w:val="22"/>
          <w:szCs w:val="22"/>
          <w:highlight w:val="none"/>
          <w:lang w:val="zh-CN" w:bidi="zh-CN"/>
        </w:rPr>
      </w:pPr>
      <w:r>
        <w:rPr>
          <w:rFonts w:hint="eastAsia" w:ascii="宋体" w:hAnsi="宋体" w:cs="宋体"/>
          <w:color w:val="auto"/>
          <w:spacing w:val="-3"/>
          <w:sz w:val="22"/>
          <w:szCs w:val="22"/>
          <w:highlight w:val="none"/>
          <w:lang w:val="zh-CN" w:bidi="zh-CN"/>
        </w:rPr>
        <w:t>招标</w:t>
      </w:r>
      <w:r>
        <w:rPr>
          <w:rFonts w:hint="eastAsia" w:ascii="宋体" w:hAnsi="宋体" w:eastAsia="宋体" w:cs="宋体"/>
          <w:color w:val="auto"/>
          <w:spacing w:val="-3"/>
          <w:sz w:val="22"/>
          <w:szCs w:val="22"/>
          <w:highlight w:val="none"/>
          <w:lang w:val="zh-CN" w:bidi="zh-CN"/>
        </w:rPr>
        <w:t>人或者</w:t>
      </w:r>
      <w:r>
        <w:rPr>
          <w:rFonts w:hint="eastAsia" w:ascii="宋体" w:hAnsi="宋体" w:cs="宋体"/>
          <w:color w:val="auto"/>
          <w:spacing w:val="-3"/>
          <w:sz w:val="22"/>
          <w:szCs w:val="22"/>
          <w:highlight w:val="none"/>
          <w:lang w:val="zh-CN" w:bidi="zh-CN"/>
        </w:rPr>
        <w:t>招标</w:t>
      </w:r>
      <w:r>
        <w:rPr>
          <w:rFonts w:hint="eastAsia" w:ascii="宋体" w:hAnsi="宋体" w:eastAsia="宋体" w:cs="宋体"/>
          <w:color w:val="auto"/>
          <w:spacing w:val="-3"/>
          <w:sz w:val="22"/>
          <w:szCs w:val="22"/>
          <w:highlight w:val="none"/>
          <w:lang w:val="zh-CN" w:bidi="zh-CN"/>
        </w:rPr>
        <w:t>代理机构自成交投标人确定之日起 2 个工作日内，在公告发布的同一媒介上公告成交结果，同时向成交投标人发出成交通知书，并将竞争性磋商文件随成交结果同时公告，公告期限 1 个工作日。</w:t>
      </w:r>
    </w:p>
    <w:p>
      <w:pPr>
        <w:widowControl w:val="0"/>
        <w:numPr>
          <w:ilvl w:val="2"/>
          <w:numId w:val="1"/>
        </w:numPr>
        <w:tabs>
          <w:tab w:val="left" w:pos="1452"/>
        </w:tabs>
        <w:autoSpaceDE w:val="0"/>
        <w:autoSpaceDN w:val="0"/>
        <w:spacing w:line="278" w:lineRule="auto"/>
        <w:ind w:right="437"/>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成交结果公告内容包括采购人和采购代理机构的名称、地址和联系方式、项目名称和项目编号、成交投标人名称、地址和成交金额、主要成交标的的名称、规格型号、数量、单价、质量要求、磋商小组成员名单。</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46" w:name="5.8成交通知书"/>
      <w:bookmarkEnd w:id="46"/>
      <w:r>
        <w:rPr>
          <w:rFonts w:hint="eastAsia" w:ascii="宋体" w:hAnsi="宋体" w:eastAsia="宋体" w:cs="宋体"/>
          <w:b/>
          <w:bCs/>
          <w:color w:val="auto"/>
          <w:sz w:val="22"/>
          <w:szCs w:val="22"/>
          <w:highlight w:val="none"/>
          <w:lang w:val="zh-CN" w:bidi="zh-CN"/>
        </w:rPr>
        <w:t>成交通知书</w:t>
      </w:r>
    </w:p>
    <w:p>
      <w:pPr>
        <w:widowControl w:val="0"/>
        <w:autoSpaceDE w:val="0"/>
        <w:autoSpaceDN w:val="0"/>
        <w:spacing w:before="42" w:line="278" w:lineRule="auto"/>
        <w:ind w:left="508" w:right="528"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7"/>
          <w:sz w:val="22"/>
          <w:szCs w:val="22"/>
          <w:highlight w:val="none"/>
          <w:lang w:val="zh-CN" w:eastAsia="zh-CN" w:bidi="zh-CN"/>
        </w:rPr>
        <w:t>在公告成交结果的同时</w:t>
      </w:r>
      <w:r>
        <w:rPr>
          <w:rFonts w:hint="eastAsia" w:ascii="宋体" w:hAnsi="宋体" w:eastAsia="宋体" w:cs="宋体"/>
          <w:color w:val="auto"/>
          <w:spacing w:val="-7"/>
          <w:sz w:val="22"/>
          <w:szCs w:val="22"/>
          <w:highlight w:val="none"/>
          <w:lang w:val="zh-CN" w:bidi="zh-CN"/>
        </w:rPr>
        <w:t>，采购人与代理机构应在线签</w:t>
      </w:r>
      <w:r>
        <w:rPr>
          <w:rFonts w:hint="eastAsia" w:ascii="宋体" w:hAnsi="宋体" w:eastAsia="宋体" w:cs="宋体"/>
          <w:color w:val="auto"/>
          <w:spacing w:val="-7"/>
          <w:sz w:val="22"/>
          <w:szCs w:val="22"/>
          <w:highlight w:val="none"/>
          <w:lang w:val="zh-CN" w:eastAsia="zh-CN" w:bidi="zh-CN"/>
        </w:rPr>
        <w:t>发成交</w:t>
      </w:r>
      <w:r>
        <w:rPr>
          <w:rFonts w:hint="eastAsia" w:ascii="宋体" w:hAnsi="宋体" w:eastAsia="宋体" w:cs="宋体"/>
          <w:color w:val="auto"/>
          <w:spacing w:val="-7"/>
          <w:sz w:val="22"/>
          <w:szCs w:val="22"/>
          <w:highlight w:val="none"/>
          <w:lang w:val="zh-CN" w:bidi="zh-CN"/>
        </w:rPr>
        <w:t>通知书，</w:t>
      </w:r>
      <w:r>
        <w:rPr>
          <w:rFonts w:hint="eastAsia" w:ascii="宋体" w:hAnsi="宋体" w:eastAsia="宋体" w:cs="宋体"/>
          <w:color w:val="auto"/>
          <w:spacing w:val="-7"/>
          <w:sz w:val="22"/>
          <w:szCs w:val="22"/>
          <w:highlight w:val="none"/>
          <w:lang w:val="zh-CN" w:eastAsia="zh-CN" w:bidi="zh-CN"/>
        </w:rPr>
        <w:t>成交</w:t>
      </w:r>
      <w:r>
        <w:rPr>
          <w:rFonts w:hint="eastAsia" w:ascii="宋体" w:hAnsi="宋体" w:eastAsia="宋体" w:cs="宋体"/>
          <w:color w:val="auto"/>
          <w:spacing w:val="-7"/>
          <w:sz w:val="22"/>
          <w:szCs w:val="22"/>
          <w:highlight w:val="none"/>
          <w:lang w:val="zh-CN" w:bidi="zh-CN"/>
        </w:rPr>
        <w:t>通知书将作为进行合同签订的依据。</w:t>
      </w:r>
    </w:p>
    <w:p>
      <w:pPr>
        <w:widowControl w:val="0"/>
        <w:numPr>
          <w:ilvl w:val="0"/>
          <w:numId w:val="1"/>
        </w:numPr>
        <w:tabs>
          <w:tab w:val="left" w:pos="988"/>
          <w:tab w:val="left" w:pos="989"/>
        </w:tabs>
        <w:autoSpaceDE w:val="0"/>
        <w:autoSpaceDN w:val="0"/>
        <w:spacing w:line="287" w:lineRule="exact"/>
        <w:outlineLvl w:val="3"/>
        <w:rPr>
          <w:rFonts w:hint="eastAsia" w:ascii="宋体" w:hAnsi="宋体" w:eastAsia="宋体" w:cs="宋体"/>
          <w:b/>
          <w:bCs/>
          <w:color w:val="auto"/>
          <w:sz w:val="22"/>
          <w:szCs w:val="22"/>
          <w:highlight w:val="none"/>
          <w:lang w:val="zh-CN" w:bidi="zh-CN"/>
        </w:rPr>
      </w:pPr>
      <w:bookmarkStart w:id="47" w:name="6. 授予合同"/>
      <w:bookmarkEnd w:id="47"/>
      <w:bookmarkStart w:id="48" w:name="_bookmark8"/>
      <w:bookmarkEnd w:id="48"/>
      <w:r>
        <w:rPr>
          <w:rFonts w:hint="eastAsia" w:ascii="宋体" w:hAnsi="宋体" w:eastAsia="宋体" w:cs="宋体"/>
          <w:b/>
          <w:bCs/>
          <w:color w:val="auto"/>
          <w:sz w:val="22"/>
          <w:szCs w:val="22"/>
          <w:highlight w:val="none"/>
          <w:lang w:val="zh-CN" w:bidi="zh-CN"/>
        </w:rPr>
        <w:t>授予合同</w:t>
      </w:r>
    </w:p>
    <w:p>
      <w:pPr>
        <w:widowControl w:val="0"/>
        <w:numPr>
          <w:ilvl w:val="1"/>
          <w:numId w:val="1"/>
        </w:numPr>
        <w:tabs>
          <w:tab w:val="left" w:pos="1246"/>
        </w:tabs>
        <w:autoSpaceDE w:val="0"/>
        <w:autoSpaceDN w:val="0"/>
        <w:spacing w:before="23" w:line="278" w:lineRule="auto"/>
        <w:ind w:right="526"/>
        <w:jc w:val="both"/>
        <w:rPr>
          <w:rFonts w:hint="eastAsia" w:ascii="宋体" w:hAnsi="宋体" w:eastAsia="宋体" w:cs="宋体"/>
          <w:color w:val="auto"/>
          <w:spacing w:val="-8"/>
          <w:sz w:val="22"/>
          <w:szCs w:val="22"/>
          <w:highlight w:val="none"/>
          <w:lang w:val="zh-CN" w:bidi="zh-CN"/>
        </w:rPr>
      </w:pPr>
      <w:r>
        <w:rPr>
          <w:rFonts w:hint="eastAsia" w:ascii="宋体" w:hAnsi="宋体" w:cs="宋体"/>
          <w:color w:val="auto"/>
          <w:spacing w:val="-8"/>
          <w:sz w:val="22"/>
          <w:szCs w:val="22"/>
          <w:highlight w:val="none"/>
          <w:lang w:val="zh-CN" w:bidi="zh-CN"/>
        </w:rPr>
        <w:t>招标</w:t>
      </w:r>
      <w:r>
        <w:rPr>
          <w:rFonts w:hint="eastAsia" w:ascii="宋体" w:hAnsi="宋体" w:eastAsia="宋体" w:cs="宋体"/>
          <w:color w:val="auto"/>
          <w:spacing w:val="-8"/>
          <w:sz w:val="22"/>
          <w:szCs w:val="22"/>
          <w:highlight w:val="none"/>
          <w:lang w:val="zh-CN" w:bidi="zh-CN"/>
        </w:rPr>
        <w:t>人自成交通知书发出之日起 3日内，根据磋商文件和成交人的响应文件</w:t>
      </w:r>
      <w:r>
        <w:rPr>
          <w:rFonts w:hint="eastAsia" w:ascii="宋体" w:hAnsi="宋体" w:eastAsia="宋体" w:cs="宋体"/>
          <w:color w:val="auto"/>
          <w:spacing w:val="-8"/>
          <w:sz w:val="22"/>
          <w:szCs w:val="22"/>
          <w:highlight w:val="none"/>
          <w:lang w:val="zh-CN" w:eastAsia="zh-CN" w:bidi="zh-CN"/>
        </w:rPr>
        <w:t>在线</w:t>
      </w:r>
      <w:r>
        <w:rPr>
          <w:rFonts w:hint="eastAsia" w:ascii="宋体" w:hAnsi="宋体" w:eastAsia="宋体" w:cs="宋体"/>
          <w:color w:val="auto"/>
          <w:spacing w:val="-8"/>
          <w:sz w:val="22"/>
          <w:szCs w:val="22"/>
          <w:highlight w:val="none"/>
          <w:lang w:val="zh-CN" w:bidi="zh-CN"/>
        </w:rPr>
        <w:t>签订合同。成交人无正当理由拒签合同的，采购人取消其中标资格，按照相关法律规定进行处罚。</w:t>
      </w:r>
    </w:p>
    <w:p>
      <w:pPr>
        <w:widowControl w:val="0"/>
        <w:numPr>
          <w:ilvl w:val="1"/>
          <w:numId w:val="1"/>
        </w:numPr>
        <w:tabs>
          <w:tab w:val="left" w:pos="1244"/>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竞争性磋商文件、成交人的响应文件和澄清文件等，均应作为签约的合同文本的基础。</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政府采购合同包括</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人与成交人的名称和住所、标的、数量、质量、价款或者报酬、履行期限及地点和方式、验收要求、违约责任、解决争议的方法等内容。</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 xml:space="preserve">如成交人不按本章第 </w:t>
      </w:r>
      <w:r>
        <w:rPr>
          <w:rFonts w:hint="eastAsia" w:ascii="宋体" w:hAnsi="宋体" w:eastAsia="宋体" w:cs="宋体"/>
          <w:color w:val="auto"/>
          <w:sz w:val="22"/>
          <w:szCs w:val="22"/>
          <w:highlight w:val="none"/>
          <w:lang w:val="zh-CN" w:bidi="zh-CN"/>
        </w:rPr>
        <w:t>6.1</w:t>
      </w:r>
      <w:r>
        <w:rPr>
          <w:rFonts w:hint="eastAsia" w:ascii="宋体" w:hAnsi="宋体" w:eastAsia="宋体" w:cs="宋体"/>
          <w:color w:val="auto"/>
          <w:spacing w:val="6"/>
          <w:sz w:val="22"/>
          <w:szCs w:val="22"/>
          <w:highlight w:val="none"/>
          <w:lang w:val="zh-CN" w:bidi="zh-CN"/>
        </w:rPr>
        <w:t xml:space="preserve"> </w:t>
      </w:r>
      <w:r>
        <w:rPr>
          <w:rFonts w:hint="eastAsia" w:ascii="宋体" w:hAnsi="宋体" w:eastAsia="宋体" w:cs="宋体"/>
          <w:color w:val="auto"/>
          <w:sz w:val="22"/>
          <w:szCs w:val="22"/>
          <w:highlight w:val="none"/>
          <w:lang w:val="zh-CN" w:bidi="zh-CN"/>
        </w:rPr>
        <w:t>项约定签订合同，</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人将报请取消其成交决定。</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人可按照磋商小组推荐的成交候选人名单排序，确定下一候选人为成交人或者重新采购。</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highlight w:val="none"/>
          <w:lang w:val="zh-CN" w:bidi="zh-CN"/>
        </w:rPr>
      </w:pPr>
      <w:bookmarkStart w:id="49" w:name="7. 纪律和监督"/>
      <w:bookmarkEnd w:id="49"/>
      <w:bookmarkStart w:id="50" w:name="_bookmark9"/>
      <w:bookmarkEnd w:id="50"/>
      <w:r>
        <w:rPr>
          <w:rFonts w:hint="eastAsia" w:ascii="宋体" w:hAnsi="宋体" w:eastAsia="宋体" w:cs="宋体"/>
          <w:b/>
          <w:bCs/>
          <w:color w:val="auto"/>
          <w:sz w:val="22"/>
          <w:szCs w:val="22"/>
          <w:highlight w:val="none"/>
          <w:lang w:val="zh-CN" w:bidi="zh-CN"/>
        </w:rPr>
        <w:t>纪律和监督</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51" w:name="7.1对采购人的纪律要求"/>
      <w:bookmarkEnd w:id="51"/>
      <w:r>
        <w:rPr>
          <w:rFonts w:hint="eastAsia" w:ascii="宋体" w:hAnsi="宋体" w:eastAsia="宋体" w:cs="宋体"/>
          <w:b/>
          <w:bCs/>
          <w:color w:val="auto"/>
          <w:sz w:val="22"/>
          <w:szCs w:val="22"/>
          <w:highlight w:val="none"/>
          <w:lang w:val="zh-CN" w:bidi="zh-CN"/>
        </w:rPr>
        <w:t>对</w:t>
      </w:r>
      <w:r>
        <w:rPr>
          <w:rFonts w:hint="eastAsia" w:ascii="宋体" w:hAnsi="宋体" w:cs="宋体"/>
          <w:b/>
          <w:bCs/>
          <w:color w:val="auto"/>
          <w:sz w:val="22"/>
          <w:szCs w:val="22"/>
          <w:highlight w:val="none"/>
          <w:lang w:val="zh-CN" w:bidi="zh-CN"/>
        </w:rPr>
        <w:t>招标</w:t>
      </w:r>
      <w:r>
        <w:rPr>
          <w:rFonts w:hint="eastAsia" w:ascii="宋体" w:hAnsi="宋体" w:eastAsia="宋体" w:cs="宋体"/>
          <w:b/>
          <w:bCs/>
          <w:color w:val="auto"/>
          <w:sz w:val="22"/>
          <w:szCs w:val="22"/>
          <w:highlight w:val="none"/>
          <w:lang w:val="zh-CN" w:bidi="zh-CN"/>
        </w:rPr>
        <w:t>人的纪律要求</w:t>
      </w:r>
    </w:p>
    <w:p>
      <w:pPr>
        <w:widowControl w:val="0"/>
        <w:autoSpaceDE w:val="0"/>
        <w:autoSpaceDN w:val="0"/>
        <w:spacing w:before="24"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cs="宋体"/>
          <w:color w:val="auto"/>
          <w:spacing w:val="-4"/>
          <w:w w:val="95"/>
          <w:sz w:val="22"/>
          <w:szCs w:val="22"/>
          <w:highlight w:val="none"/>
          <w:lang w:val="zh-CN" w:bidi="zh-CN"/>
        </w:rPr>
        <w:t>招标</w:t>
      </w:r>
      <w:r>
        <w:rPr>
          <w:rFonts w:hint="eastAsia" w:ascii="宋体" w:hAnsi="宋体" w:eastAsia="宋体" w:cs="宋体"/>
          <w:color w:val="auto"/>
          <w:sz w:val="22"/>
          <w:szCs w:val="22"/>
          <w:highlight w:val="none"/>
          <w:lang w:val="zh-CN" w:bidi="zh-CN"/>
        </w:rPr>
        <w:t>人不得泄漏竞争性磋商中应当保密的情况和资料，不得与投标人串通损害国家利益、社</w:t>
      </w:r>
      <w:r>
        <w:rPr>
          <w:rFonts w:hint="eastAsia" w:ascii="宋体" w:hAnsi="宋体" w:eastAsia="宋体" w:cs="宋体"/>
          <w:color w:val="auto"/>
          <w:spacing w:val="-4"/>
          <w:sz w:val="22"/>
          <w:szCs w:val="22"/>
          <w:highlight w:val="none"/>
          <w:lang w:val="zh-CN" w:bidi="zh-CN"/>
        </w:rPr>
        <w:t>会公共利益或者他人合法权益。</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highlight w:val="none"/>
          <w:lang w:val="zh-CN" w:bidi="zh-CN"/>
        </w:rPr>
      </w:pPr>
      <w:bookmarkStart w:id="52" w:name="7.2对供应商的纪律要求"/>
      <w:bookmarkEnd w:id="52"/>
      <w:r>
        <w:rPr>
          <w:rFonts w:hint="eastAsia" w:ascii="宋体" w:hAnsi="宋体" w:eastAsia="宋体" w:cs="宋体"/>
          <w:b/>
          <w:bCs/>
          <w:color w:val="auto"/>
          <w:sz w:val="22"/>
          <w:szCs w:val="22"/>
          <w:highlight w:val="none"/>
          <w:lang w:val="zh-CN" w:bidi="zh-CN"/>
        </w:rPr>
        <w:t>对投标人的纪律要求</w:t>
      </w:r>
    </w:p>
    <w:p>
      <w:pPr>
        <w:widowControl w:val="0"/>
        <w:autoSpaceDE w:val="0"/>
        <w:autoSpaceDN w:val="0"/>
        <w:spacing w:before="2"/>
        <w:ind w:left="598" w:leftChars="285"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投标人不得相互串通或者与采购人串通，不得向采购人或者磋商小组成员行贿谋取成交，不得以他人名义磋商或者以其他方式弄虚作假骗取成交；投标人不得以任何方式干扰、影响磋商工作。</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有下列情形之一的，属于（或视为）投标人相互串通投标：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1、投标人之间协商投标报价等响应文件的实质性内容；</w:t>
      </w:r>
    </w:p>
    <w:p>
      <w:pPr>
        <w:widowControl w:val="0"/>
        <w:autoSpaceDE w:val="0"/>
        <w:autoSpaceDN w:val="0"/>
        <w:spacing w:before="4"/>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2、投标人之间约定中标人；</w:t>
      </w:r>
    </w:p>
    <w:p>
      <w:pPr>
        <w:widowControl w:val="0"/>
        <w:autoSpaceDE w:val="0"/>
        <w:autoSpaceDN w:val="0"/>
        <w:spacing w:before="5"/>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3、投标人之间约定部分投标人放弃投标或者中标；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4、属于同一集团、协会、商会等组织成员的投标人按照该组织要求协同投标；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5、投标人之间为谋取中标或者排斥特定投标人而采取的其他联合行动。</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w w:val="95"/>
          <w:sz w:val="22"/>
          <w:szCs w:val="22"/>
          <w:highlight w:val="none"/>
          <w:lang w:val="zh-CN" w:bidi="zh-CN"/>
        </w:rPr>
        <w:t>6</w:t>
      </w:r>
      <w:r>
        <w:rPr>
          <w:rFonts w:hint="eastAsia" w:ascii="宋体" w:hAnsi="宋体" w:eastAsia="宋体" w:cs="宋体"/>
          <w:color w:val="auto"/>
          <w:spacing w:val="-5"/>
          <w:w w:val="95"/>
          <w:sz w:val="22"/>
          <w:szCs w:val="22"/>
          <w:highlight w:val="none"/>
          <w:lang w:val="zh-CN" w:bidi="zh-CN"/>
        </w:rPr>
        <w:t>、</w:t>
      </w:r>
      <w:r>
        <w:rPr>
          <w:rFonts w:hint="eastAsia" w:ascii="宋体" w:hAnsi="宋体" w:eastAsia="宋体" w:cs="宋体"/>
          <w:color w:val="auto"/>
          <w:sz w:val="22"/>
          <w:szCs w:val="22"/>
          <w:highlight w:val="none"/>
          <w:lang w:val="zh-CN" w:bidi="zh-CN"/>
        </w:rPr>
        <w:t>不同投标人的响应文件由同一单位或者个人编制；不同投标人的已标价工程量清单XML 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响   应文件（已标价工程量清单XML电子文档除外）编制时的计算机硬件信息中存在一条及以上的计算机网卡MAC地址（如有）、CPU序列号和硬盘序列号均相同的视为“不同投标人的响应文件由同一单位或者个人编制”。</w:t>
      </w:r>
    </w:p>
    <w:p>
      <w:pPr>
        <w:widowControl w:val="0"/>
        <w:autoSpaceDE w:val="0"/>
        <w:autoSpaceDN w:val="0"/>
        <w:spacing w:before="3" w:line="242" w:lineRule="auto"/>
        <w:ind w:left="508" w:right="543"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w w:val="95"/>
          <w:sz w:val="22"/>
          <w:szCs w:val="22"/>
          <w:highlight w:val="none"/>
          <w:lang w:val="zh-CN" w:bidi="zh-CN"/>
        </w:rPr>
        <w:t>7、</w:t>
      </w:r>
      <w:r>
        <w:rPr>
          <w:rFonts w:hint="eastAsia" w:ascii="宋体" w:hAnsi="宋体" w:eastAsia="宋体" w:cs="宋体"/>
          <w:color w:val="auto"/>
          <w:sz w:val="22"/>
          <w:szCs w:val="22"/>
          <w:highlight w:val="none"/>
          <w:lang w:val="zh-CN" w:bidi="zh-CN"/>
        </w:rPr>
        <w:t>不同投标人委托同一单位或者个人办理投标事宜；不同投标人的电子响应文件上传计算机的网卡MAC地址、CPU序列号和硬盘序列号等硬件信息均相同的（开标现场上传电子响应文件的除外）视为：“不同投标人委托同一单位或者个人办理投标事宜”。</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8、不同投标人为同一法定代表人的；不同投标人的响应文件载明的项目管理成员为同一人；</w:t>
      </w:r>
    </w:p>
    <w:p>
      <w:pPr>
        <w:widowControl w:val="0"/>
        <w:autoSpaceDE w:val="0"/>
        <w:autoSpaceDN w:val="0"/>
        <w:spacing w:before="2" w:line="242" w:lineRule="auto"/>
        <w:ind w:left="508" w:right="528"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9、不同投标人的响应文件异常一致或者投标报价呈规律性差异；不同投标人的技术文件经电子招标投标交易平台查重分析，内容异常一致或者实质性相同的视为“不同投标人的响应文件异常一致”。</w:t>
      </w:r>
    </w:p>
    <w:p>
      <w:pPr>
        <w:widowControl w:val="0"/>
        <w:autoSpaceDE w:val="0"/>
        <w:autoSpaceDN w:val="0"/>
        <w:spacing w:line="87" w:lineRule="exact"/>
        <w:ind w:left="479"/>
        <w:rPr>
          <w:rFonts w:hint="eastAsia" w:ascii="宋体" w:hAnsi="宋体" w:eastAsia="宋体" w:cs="宋体"/>
          <w:color w:val="auto"/>
          <w:sz w:val="22"/>
          <w:szCs w:val="22"/>
          <w:highlight w:val="none"/>
          <w:lang w:val="zh-CN" w:bidi="zh-CN"/>
        </w:rPr>
      </w:pP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10、不同投标人的响应文件相互混装；</w:t>
      </w:r>
    </w:p>
    <w:p>
      <w:pPr>
        <w:widowControl w:val="0"/>
        <w:autoSpaceDE w:val="0"/>
        <w:autoSpaceDN w:val="0"/>
        <w:spacing w:before="5"/>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11、投标人之间相互约定抬高或压低投标报价；</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12、投标人之间相互约定，在磋商项目中分别以高、中、低价位报价；</w:t>
      </w:r>
    </w:p>
    <w:p>
      <w:pPr>
        <w:widowControl w:val="0"/>
        <w:autoSpaceDE w:val="0"/>
        <w:autoSpaceDN w:val="0"/>
        <w:spacing w:before="4"/>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13、投标人之间先进行内部竞价，内定中标人，然后再参加投标；</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14、投标人之间其他串通投标报价的行为。</w:t>
      </w:r>
    </w:p>
    <w:p>
      <w:pPr>
        <w:widowControl w:val="0"/>
        <w:numPr>
          <w:ilvl w:val="1"/>
          <w:numId w:val="1"/>
        </w:numPr>
        <w:tabs>
          <w:tab w:val="left" w:pos="876"/>
        </w:tabs>
        <w:autoSpaceDE w:val="0"/>
        <w:autoSpaceDN w:val="0"/>
        <w:spacing w:before="23"/>
        <w:outlineLvl w:val="4"/>
        <w:rPr>
          <w:rFonts w:hint="eastAsia" w:ascii="宋体" w:hAnsi="宋体" w:eastAsia="宋体" w:cs="宋体"/>
          <w:b/>
          <w:bCs/>
          <w:color w:val="auto"/>
          <w:sz w:val="22"/>
          <w:szCs w:val="22"/>
          <w:highlight w:val="none"/>
          <w:lang w:val="zh-CN" w:bidi="zh-CN"/>
        </w:rPr>
      </w:pPr>
      <w:bookmarkStart w:id="53" w:name="7.3对磋商小组成员的纪律要求"/>
      <w:bookmarkEnd w:id="53"/>
      <w:r>
        <w:rPr>
          <w:rFonts w:hint="eastAsia" w:ascii="宋体" w:hAnsi="宋体" w:eastAsia="宋体" w:cs="宋体"/>
          <w:b/>
          <w:bCs/>
          <w:color w:val="auto"/>
          <w:sz w:val="22"/>
          <w:szCs w:val="22"/>
          <w:highlight w:val="none"/>
          <w:lang w:val="zh-CN" w:bidi="zh-CN"/>
        </w:rPr>
        <w:t>对磋商小组成员的纪律要求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highlight w:val="none"/>
          <w:lang w:val="zh-CN" w:bidi="zh-CN"/>
        </w:rPr>
      </w:pPr>
      <w:bookmarkStart w:id="54" w:name="7.4对与磋商活动有关的工作人员的纪律要求"/>
      <w:bookmarkEnd w:id="54"/>
      <w:r>
        <w:rPr>
          <w:rFonts w:hint="eastAsia" w:ascii="宋体" w:hAnsi="宋体" w:eastAsia="宋体" w:cs="宋体"/>
          <w:b/>
          <w:bCs/>
          <w:color w:val="auto"/>
          <w:sz w:val="22"/>
          <w:szCs w:val="22"/>
          <w:highlight w:val="none"/>
          <w:lang w:val="zh-CN" w:bidi="zh-CN"/>
        </w:rPr>
        <w:t>对与磋商活动有关的工作人员的纪律要求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widowControl w:val="0"/>
        <w:numPr>
          <w:ilvl w:val="1"/>
          <w:numId w:val="1"/>
        </w:numPr>
        <w:tabs>
          <w:tab w:val="left" w:pos="980"/>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55" w:name="7.5 询问、质疑和投诉"/>
      <w:bookmarkEnd w:id="55"/>
      <w:r>
        <w:rPr>
          <w:rFonts w:hint="eastAsia" w:ascii="宋体" w:hAnsi="宋体" w:eastAsia="宋体" w:cs="宋体"/>
          <w:b/>
          <w:bCs/>
          <w:color w:val="auto"/>
          <w:sz w:val="22"/>
          <w:szCs w:val="22"/>
          <w:highlight w:val="none"/>
          <w:lang w:val="zh-CN" w:bidi="zh-CN"/>
        </w:rPr>
        <w:t>询问、质疑和投诉</w:t>
      </w:r>
    </w:p>
    <w:p>
      <w:pPr>
        <w:widowControl w:val="0"/>
        <w:numPr>
          <w:ilvl w:val="2"/>
          <w:numId w:val="1"/>
        </w:numPr>
        <w:tabs>
          <w:tab w:val="left" w:pos="1558"/>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投标人或有关当事人对磋商过程、成交结果有异议的，可以向采购人或者采购代理机构提出询问。</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人或者</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代理机构应当在三个工作日内对投标人依法提出的询问作出答复。</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投标人认为竞争性磋商文件、采购过程使自己的权益受到损害的，可以在知道或者应知其权益受到损害之日起七个工作日内，以线上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形式向采购人提出质疑。</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投标人认为成交结果使自己的权益受到损害的，可以在成交结果公告期限届满之日起七个工作日内，以线上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形式向采购人提出质疑，接收质疑函联系部门、电话及地址详见竞争性磋商公告。在法定质疑期内投标人针对同一采购程序环节的质疑应当一次性提出。</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人或者</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代理机构应当在收到投标人的质疑后七个工作日内作出答复，并以线上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形式通知质疑投标人和其他有关投标人，但答复的内容不得涉及商业秘密。</w:t>
      </w:r>
    </w:p>
    <w:p>
      <w:pPr>
        <w:widowControl w:val="0"/>
        <w:numPr>
          <w:ilvl w:val="2"/>
          <w:numId w:val="1"/>
        </w:numPr>
        <w:tabs>
          <w:tab w:val="left" w:pos="1452"/>
        </w:tabs>
        <w:autoSpaceDE w:val="0"/>
        <w:autoSpaceDN w:val="0"/>
        <w:spacing w:line="278" w:lineRule="auto"/>
        <w:ind w:right="437"/>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质疑投标人对采购人、采购代理机构的答复不满意或者采购人、</w:t>
      </w:r>
      <w:r>
        <w:rPr>
          <w:rFonts w:hint="eastAsia" w:ascii="宋体" w:hAnsi="宋体" w:cs="宋体"/>
          <w:color w:val="auto"/>
          <w:sz w:val="22"/>
          <w:szCs w:val="22"/>
          <w:highlight w:val="none"/>
          <w:lang w:val="zh-CN" w:bidi="zh-CN"/>
        </w:rPr>
        <w:t>招标</w:t>
      </w:r>
      <w:r>
        <w:rPr>
          <w:rFonts w:hint="eastAsia" w:ascii="宋体" w:hAnsi="宋体" w:eastAsia="宋体" w:cs="宋体"/>
          <w:color w:val="auto"/>
          <w:sz w:val="22"/>
          <w:szCs w:val="22"/>
          <w:highlight w:val="none"/>
          <w:lang w:val="zh-CN" w:bidi="zh-CN"/>
        </w:rPr>
        <w:t>代理机构未在规定的时间内作出答复的，可以在答复期满后十五个工作日内向同级政府采购监督管理部门投诉。</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投标人质疑、投诉应当有明确的请求和必要的证明材料。投标人投诉的事项不得超出已质疑事项的范围。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highlight w:val="none"/>
          <w:lang w:val="zh-CN" w:bidi="zh-CN"/>
        </w:rPr>
      </w:pPr>
      <w:bookmarkStart w:id="56" w:name="_bookmark10"/>
      <w:bookmarkEnd w:id="56"/>
      <w:bookmarkStart w:id="57" w:name="8. 政府采购政策"/>
      <w:bookmarkEnd w:id="57"/>
      <w:r>
        <w:rPr>
          <w:rFonts w:hint="eastAsia" w:ascii="宋体" w:hAnsi="宋体" w:eastAsia="宋体" w:cs="宋体"/>
          <w:b/>
          <w:bCs/>
          <w:color w:val="auto"/>
          <w:sz w:val="22"/>
          <w:szCs w:val="22"/>
          <w:highlight w:val="none"/>
          <w:lang w:val="zh-CN" w:bidi="zh-CN"/>
        </w:rPr>
        <w:t>政府采购政策</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 xml:space="preserve">投标人提供产品如为“节能产品政府采购品目清单”非强制采购内的产品，给予投标的加分。投标人须在响应文件中附所投产品属于节能产品政府采购品目清单所在页的复印件，及国家确定的认证机构出具的、处于有效期之内的《国家节能产品认证证书》复印件， 否 则 评 标小 组 有 权 不 予 认 可 。 清 单 可 在 中 华 人 民 共 和 国 财 政 部 网 站（ </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"http://www.mof.gov.cn/"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http://www.mof.gov.cn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）、中国政府采购网（</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"http://www.ccgp.gov.cn/"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http://www.ccgp.gov.cn/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）查阅。</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投标人提供产品如为“环境标志产品政府采购品目清单”内的产品，给予投标的加分。投标人须在响应文件中附该产品在国家有关部门公布的环境标志产品政府采购品目清单所在页   的复印件，及国家确定的认证机构出具的、处于有效期之内的《中国环境标志产品认证证书》复印件，否则评标小组有权不予认可。清单可在中华人民共和国财政部网站（</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"http://www.mof.gov.cn/"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http://www.mof.gov.cn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 xml:space="preserve">）、中国政府采购网（ </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"http://www.ccgp.gov.cn/"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http://www.ccgp.gov.cn/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）查阅。</w:t>
      </w:r>
    </w:p>
    <w:p>
      <w:pPr>
        <w:widowControl w:val="0"/>
        <w:numPr>
          <w:ilvl w:val="1"/>
          <w:numId w:val="1"/>
        </w:numPr>
        <w:tabs>
          <w:tab w:val="left" w:pos="1244"/>
        </w:tabs>
        <w:autoSpaceDE w:val="0"/>
        <w:autoSpaceDN w:val="0"/>
        <w:spacing w:before="43"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关于无线局域网产品，必须执行国家财政部、发改委、信息产业部等部门的规定，投标人必须提供所投货物的《无限局域网认证产品政府采购清单》等证明材料文件复印件。</w:t>
      </w:r>
    </w:p>
    <w:p>
      <w:pPr>
        <w:widowControl w:val="0"/>
        <w:numPr>
          <w:ilvl w:val="1"/>
          <w:numId w:val="1"/>
        </w:numPr>
        <w:tabs>
          <w:tab w:val="left" w:pos="1244"/>
        </w:tabs>
        <w:autoSpaceDE w:val="0"/>
        <w:autoSpaceDN w:val="0"/>
        <w:spacing w:line="278" w:lineRule="auto"/>
        <w:ind w:right="424"/>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关于计算机办公设备，必须执行国家版权局、信息产业部、财政部等部门规定，投标人所投货物必须是国家信息部、版权局、商务部等部门认可的预装正版操作系统软件的计算机产品。</w:t>
      </w:r>
    </w:p>
    <w:p>
      <w:pPr>
        <w:widowControl w:val="0"/>
        <w:numPr>
          <w:ilvl w:val="1"/>
          <w:numId w:val="1"/>
        </w:numPr>
        <w:tabs>
          <w:tab w:val="left" w:pos="1244"/>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采购货物为国家强制性认证产品的，必须符合强制性标准。</w:t>
      </w:r>
    </w:p>
    <w:p>
      <w:pPr>
        <w:widowControl w:val="0"/>
        <w:numPr>
          <w:ilvl w:val="1"/>
          <w:numId w:val="1"/>
        </w:numPr>
        <w:tabs>
          <w:tab w:val="left" w:pos="124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8"/>
          <w:sz w:val="22"/>
          <w:szCs w:val="22"/>
          <w:highlight w:val="none"/>
          <w:lang w:val="zh-CN" w:bidi="zh-CN"/>
        </w:rPr>
        <w:t>优先采购本国产品。采购进口产品应符合《中华人民共和国政府采购法》并依法办 理论证、公示、审批手续。</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采购信息安全产品的，应当采购经国家认证的信息安全产品，投标人应提供由中国信息安全认证中心按国家标准颁发的有效认证证书。</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鼓励创新，首购和订购的产品具有首创和自主研发性质，属于自主创新产品的，必须执行《自主创新产品政府收购和订购管理办法》。</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促进中小型企业发展，必须执行财政部、工信部印发的《政府采购促进中小型企业发展暂行办法》，对小型和微型企业产品的价格给予</w:t>
      </w:r>
      <w:r>
        <w:rPr>
          <w:rFonts w:hint="eastAsia" w:ascii="宋体" w:hAnsi="宋体" w:eastAsia="宋体" w:cs="宋体"/>
          <w:color w:val="auto"/>
          <w:sz w:val="22"/>
          <w:szCs w:val="22"/>
          <w:highlight w:val="none"/>
          <w:lang w:val="en-US" w:bidi="zh-CN"/>
        </w:rPr>
        <w:t>20</w:t>
      </w:r>
      <w:r>
        <w:rPr>
          <w:rFonts w:hint="eastAsia" w:ascii="宋体" w:hAnsi="宋体" w:eastAsia="宋体" w:cs="宋体"/>
          <w:color w:val="auto"/>
          <w:sz w:val="22"/>
          <w:szCs w:val="22"/>
          <w:highlight w:val="none"/>
          <w:lang w:val="zh-CN" w:bidi="zh-CN"/>
        </w:rPr>
        <w:t>%的扣除（监狱企业/残疾人福利性企业视同小型、微型企业），用扣除后的价格参与评审。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中标人如为小型和微型企业的，并在投标时填写了中小企业声明函，则需要在领取中标通知书时提供由相关政府部门出具的企业划型认定材料；中标人如为残疾人福利性企业的，并在投标时填写了残疾人福利性单位声明函，则需要在领取中标通知书时提供由相关政府部门出具的相关证明材料，若不能提供或提供的材料与投标时做出的声明不符，采购人有权取消该中标人的中标资格，并对因其造成的损失进行追责。</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 xml:space="preserve"> </w:t>
      </w:r>
      <w:r>
        <w:rPr>
          <w:rFonts w:hint="eastAsia" w:ascii="宋体" w:hAnsi="宋体" w:eastAsia="宋体" w:cs="宋体"/>
          <w:color w:val="auto"/>
          <w:sz w:val="22"/>
          <w:szCs w:val="22"/>
          <w:highlight w:val="none"/>
          <w:lang w:val="zh-CN" w:bidi="zh-CN"/>
        </w:rPr>
        <w:t>开源节流，执行低价优先的采购政策规定。</w:t>
      </w:r>
    </w:p>
    <w:p>
      <w:pPr>
        <w:widowControl w:val="0"/>
        <w:numPr>
          <w:ilvl w:val="0"/>
          <w:numId w:val="1"/>
        </w:numPr>
        <w:tabs>
          <w:tab w:val="left" w:pos="989"/>
        </w:tabs>
        <w:autoSpaceDE w:val="0"/>
        <w:autoSpaceDN w:val="0"/>
        <w:spacing w:before="22"/>
        <w:jc w:val="both"/>
        <w:outlineLvl w:val="3"/>
        <w:rPr>
          <w:rFonts w:hint="eastAsia" w:ascii="宋体" w:hAnsi="宋体" w:eastAsia="宋体" w:cs="宋体"/>
          <w:b/>
          <w:bCs/>
          <w:color w:val="auto"/>
          <w:sz w:val="22"/>
          <w:szCs w:val="22"/>
          <w:highlight w:val="none"/>
          <w:lang w:val="zh-CN" w:bidi="zh-CN"/>
        </w:rPr>
      </w:pPr>
      <w:bookmarkStart w:id="58" w:name="9. 信用记录"/>
      <w:bookmarkEnd w:id="58"/>
      <w:bookmarkStart w:id="59" w:name="_bookmark11"/>
      <w:bookmarkEnd w:id="59"/>
      <w:r>
        <w:rPr>
          <w:rFonts w:hint="eastAsia" w:ascii="宋体" w:hAnsi="宋体" w:eastAsia="宋体" w:cs="宋体"/>
          <w:b/>
          <w:bCs/>
          <w:color w:val="auto"/>
          <w:sz w:val="22"/>
          <w:szCs w:val="22"/>
          <w:highlight w:val="none"/>
          <w:lang w:val="zh-CN" w:bidi="zh-CN"/>
        </w:rPr>
        <w:t>信用记录</w:t>
      </w:r>
    </w:p>
    <w:p>
      <w:pPr>
        <w:widowControl w:val="0"/>
        <w:autoSpaceDE w:val="0"/>
        <w:autoSpaceDN w:val="0"/>
        <w:spacing w:before="22" w:line="278" w:lineRule="auto"/>
        <w:ind w:left="508" w:right="526"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根据《关于在政府采购活动中查询及使用信用记录有关问题的通知》  (财库[2016]125 号) 的规定，对列入失信被执行人、重大税收违法失信主体、政府采购严重违法失信行为记录名单的投标人，不得参与本项目采购活动，投标人须提供信用报告（信用报告从“信用中国”网站下载，生成日期不得早于公告发布日期）。注：投标人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widowControl w:val="0"/>
        <w:numPr>
          <w:ilvl w:val="0"/>
          <w:numId w:val="1"/>
        </w:numPr>
        <w:tabs>
          <w:tab w:val="left" w:pos="1049"/>
        </w:tabs>
        <w:autoSpaceDE w:val="0"/>
        <w:autoSpaceDN w:val="0"/>
        <w:outlineLvl w:val="3"/>
        <w:rPr>
          <w:rFonts w:hint="eastAsia" w:ascii="宋体" w:hAnsi="宋体" w:eastAsia="宋体" w:cs="宋体"/>
          <w:b/>
          <w:bCs/>
          <w:color w:val="auto"/>
          <w:sz w:val="22"/>
          <w:szCs w:val="22"/>
          <w:highlight w:val="none"/>
          <w:lang w:val="zh-CN" w:bidi="zh-CN"/>
        </w:rPr>
      </w:pPr>
      <w:bookmarkStart w:id="60" w:name="10. 需要补充的其他内容"/>
      <w:bookmarkEnd w:id="60"/>
      <w:bookmarkStart w:id="61" w:name="_bookmark12"/>
      <w:bookmarkEnd w:id="61"/>
      <w:r>
        <w:rPr>
          <w:rFonts w:hint="eastAsia" w:ascii="宋体" w:hAnsi="宋体" w:eastAsia="宋体" w:cs="宋体"/>
          <w:b/>
          <w:bCs/>
          <w:color w:val="auto"/>
          <w:sz w:val="22"/>
          <w:szCs w:val="22"/>
          <w:highlight w:val="none"/>
          <w:lang w:val="zh-CN" w:bidi="zh-CN"/>
        </w:rPr>
        <w:t>需要补充的其他内容</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需要补充的其他内容：见投标人须知前附表。</w:t>
      </w:r>
    </w:p>
    <w:p>
      <w:pPr>
        <w:spacing w:line="460" w:lineRule="exact"/>
        <w:ind w:firstLine="480" w:firstLineChars="200"/>
        <w:rPr>
          <w:rFonts w:hint="eastAsia" w:ascii="宋体" w:hAnsi="宋体" w:eastAsia="宋体" w:cs="宋体"/>
          <w:bCs/>
          <w:color w:val="auto"/>
          <w:sz w:val="24"/>
          <w:szCs w:val="24"/>
          <w:highlight w:val="none"/>
        </w:rPr>
      </w:pPr>
    </w:p>
    <w:bookmarkEnd w:id="11"/>
    <w:bookmarkEnd w:id="12"/>
    <w:p>
      <w:pPr>
        <w:bidi w:val="0"/>
        <w:rPr>
          <w:color w:val="auto"/>
          <w:highlight w:val="none"/>
        </w:rPr>
      </w:pPr>
      <w:bookmarkStart w:id="62" w:name="_Toc362618985"/>
    </w:p>
    <w:p>
      <w:pPr>
        <w:bidi w:val="0"/>
        <w:rPr>
          <w:color w:val="auto"/>
          <w:highlight w:val="none"/>
        </w:rPr>
      </w:pPr>
    </w:p>
    <w:p>
      <w:pPr>
        <w:pStyle w:val="8"/>
        <w:spacing w:before="0" w:after="0"/>
        <w:ind w:firstLine="3614" w:firstLineChars="1000"/>
        <w:jc w:val="both"/>
        <w:rPr>
          <w:color w:val="auto"/>
          <w:highlight w:val="none"/>
        </w:rPr>
      </w:pPr>
      <w:bookmarkStart w:id="63" w:name="_Toc465848101"/>
      <w:bookmarkStart w:id="64" w:name="_Toc478314726"/>
      <w:bookmarkStart w:id="65" w:name="_Toc452970828"/>
      <w:bookmarkStart w:id="66" w:name="_Toc478314727"/>
      <w:r>
        <w:rPr>
          <w:rFonts w:hint="eastAsia"/>
          <w:color w:val="auto"/>
          <w:highlight w:val="none"/>
        </w:rPr>
        <w:t>第三章评标办法</w:t>
      </w:r>
      <w:bookmarkEnd w:id="62"/>
      <w:bookmarkEnd w:id="63"/>
      <w:bookmarkEnd w:id="64"/>
      <w:bookmarkEnd w:id="65"/>
      <w:bookmarkEnd w:id="66"/>
    </w:p>
    <w:tbl>
      <w:tblPr>
        <w:tblStyle w:val="34"/>
        <w:tblpPr w:leftFromText="180" w:rightFromText="180" w:vertAnchor="text" w:horzAnchor="margin" w:tblpXSpec="center" w:tblpY="333"/>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51"/>
        <w:gridCol w:w="923"/>
        <w:gridCol w:w="180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2351" w:type="dxa"/>
            <w:gridSpan w:val="3"/>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条款号</w:t>
            </w:r>
          </w:p>
        </w:tc>
        <w:tc>
          <w:tcPr>
            <w:tcW w:w="1801" w:type="dxa"/>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评审因素</w:t>
            </w:r>
          </w:p>
        </w:tc>
        <w:tc>
          <w:tcPr>
            <w:tcW w:w="5301" w:type="dxa"/>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初</w:t>
            </w:r>
          </w:p>
          <w:p>
            <w:pPr>
              <w:jc w:val="center"/>
              <w:rPr>
                <w:rFonts w:ascii="宋体" w:hAnsi="宋体"/>
                <w:b/>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步</w:t>
            </w:r>
          </w:p>
          <w:p>
            <w:pPr>
              <w:jc w:val="center"/>
              <w:rPr>
                <w:rFonts w:ascii="宋体" w:hAnsi="宋体"/>
                <w:b/>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评</w:t>
            </w:r>
          </w:p>
          <w:p>
            <w:pPr>
              <w:jc w:val="center"/>
              <w:rPr>
                <w:rFonts w:ascii="宋体" w:hAnsi="宋体"/>
                <w:b/>
                <w:color w:val="auto"/>
                <w:szCs w:val="21"/>
                <w:highlight w:val="none"/>
              </w:rPr>
            </w:pPr>
          </w:p>
          <w:p>
            <w:pPr>
              <w:jc w:val="center"/>
              <w:rPr>
                <w:rFonts w:ascii="宋体" w:hAnsi="宋体"/>
                <w:color w:val="auto"/>
                <w:szCs w:val="21"/>
                <w:highlight w:val="none"/>
              </w:rPr>
            </w:pPr>
            <w:r>
              <w:rPr>
                <w:rFonts w:hint="eastAsia" w:ascii="宋体" w:hAnsi="宋体"/>
                <w:b/>
                <w:color w:val="auto"/>
                <w:szCs w:val="21"/>
                <w:highlight w:val="none"/>
              </w:rPr>
              <w:t>审</w:t>
            </w: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2.1.1</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形式</w:t>
            </w:r>
          </w:p>
          <w:p>
            <w:pPr>
              <w:jc w:val="center"/>
              <w:rPr>
                <w:rFonts w:ascii="宋体" w:hAnsi="宋体"/>
                <w:color w:val="auto"/>
                <w:sz w:val="24"/>
                <w:highlight w:val="none"/>
              </w:rPr>
            </w:pPr>
            <w:r>
              <w:rPr>
                <w:rFonts w:hint="eastAsia" w:ascii="宋体" w:hAnsi="宋体"/>
                <w:color w:val="auto"/>
                <w:sz w:val="24"/>
                <w:highlight w:val="none"/>
              </w:rPr>
              <w:t>评审</w:t>
            </w:r>
          </w:p>
          <w:p>
            <w:pPr>
              <w:jc w:val="center"/>
              <w:rPr>
                <w:rFonts w:ascii="宋体" w:hAnsi="宋体"/>
                <w:color w:val="auto"/>
                <w:sz w:val="24"/>
                <w:highlight w:val="none"/>
              </w:rPr>
            </w:pPr>
            <w:r>
              <w:rPr>
                <w:rFonts w:hint="eastAsia" w:ascii="宋体" w:hAnsi="宋体"/>
                <w:color w:val="auto"/>
                <w:sz w:val="24"/>
                <w:highlight w:val="none"/>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投标人名称</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jc w:val="right"/>
              <w:rPr>
                <w:rFonts w:ascii="宋体" w:hAnsi="宋体"/>
                <w:color w:val="auto"/>
                <w:szCs w:val="21"/>
                <w:highlight w:val="none"/>
              </w:rPr>
            </w:pPr>
          </w:p>
        </w:tc>
        <w:tc>
          <w:tcPr>
            <w:tcW w:w="923" w:type="dxa"/>
            <w:vMerge w:val="continue"/>
            <w:tcBorders>
              <w:left w:val="single" w:color="auto" w:sz="4" w:space="0"/>
              <w:right w:val="single" w:color="auto" w:sz="4" w:space="0"/>
            </w:tcBorders>
          </w:tcPr>
          <w:p>
            <w:pPr>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磋商报价</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报价未超过竞争性磋商文件中规定的预算金额或者最高限价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jc w:val="right"/>
              <w:rPr>
                <w:rFonts w:ascii="宋体" w:hAnsi="宋体"/>
                <w:color w:val="auto"/>
                <w:szCs w:val="21"/>
                <w:highlight w:val="none"/>
              </w:rPr>
            </w:pPr>
          </w:p>
        </w:tc>
        <w:tc>
          <w:tcPr>
            <w:tcW w:w="923" w:type="dxa"/>
            <w:vMerge w:val="continue"/>
            <w:tcBorders>
              <w:left w:val="single" w:color="auto" w:sz="4" w:space="0"/>
              <w:right w:val="single" w:color="auto" w:sz="4" w:space="0"/>
            </w:tcBorders>
          </w:tcPr>
          <w:p>
            <w:pPr>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hint="eastAsia" w:ascii="宋体" w:hAnsi="宋体" w:eastAsia="宋体" w:cs="宋体"/>
                <w:color w:val="auto"/>
                <w:highlight w:val="none"/>
              </w:rPr>
              <w:t>响应文件签字、盖章</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ascii="宋体" w:hAnsi="宋体" w:eastAsia="宋体" w:cs="宋体"/>
                <w:color w:val="auto"/>
                <w:highlight w:val="none"/>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2.1.2</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资格</w:t>
            </w:r>
          </w:p>
          <w:p>
            <w:pPr>
              <w:jc w:val="center"/>
              <w:rPr>
                <w:rFonts w:ascii="宋体" w:hAnsi="宋体"/>
                <w:color w:val="auto"/>
                <w:sz w:val="24"/>
                <w:highlight w:val="none"/>
              </w:rPr>
            </w:pPr>
            <w:r>
              <w:rPr>
                <w:rFonts w:hint="eastAsia" w:ascii="宋体" w:hAnsi="宋体"/>
                <w:color w:val="auto"/>
                <w:sz w:val="24"/>
                <w:highlight w:val="none"/>
              </w:rPr>
              <w:t>评审</w:t>
            </w:r>
          </w:p>
          <w:p>
            <w:pPr>
              <w:jc w:val="center"/>
              <w:rPr>
                <w:rFonts w:ascii="宋体" w:hAnsi="宋体"/>
                <w:color w:val="auto"/>
                <w:sz w:val="24"/>
                <w:highlight w:val="none"/>
              </w:rPr>
            </w:pPr>
            <w:r>
              <w:rPr>
                <w:rFonts w:hint="eastAsia" w:ascii="宋体" w:hAnsi="宋体"/>
                <w:color w:val="auto"/>
                <w:sz w:val="24"/>
                <w:highlight w:val="none"/>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营业执照</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具备有效的营业执照或有效的三证合一的营业执照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资质要求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投标人应具有建设行政主管部门核发的</w:t>
            </w:r>
            <w:r>
              <w:rPr>
                <w:rFonts w:hint="eastAsia" w:ascii="宋体" w:hAnsi="宋体"/>
                <w:color w:val="auto"/>
                <w:sz w:val="24"/>
                <w:highlight w:val="none"/>
                <w:lang w:val="en-US" w:eastAsia="zh-CN"/>
              </w:rPr>
              <w:t>水利行业设计乙级及以上资质</w:t>
            </w:r>
            <w:r>
              <w:rPr>
                <w:rFonts w:hint="eastAsia" w:ascii="宋体" w:hAnsi="宋体"/>
                <w:color w:val="auto"/>
                <w:sz w:val="24"/>
                <w:highlight w:val="none"/>
              </w:rPr>
              <w:t>，并在人员、设备、资金、技术等方面具有相应的设计能力。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cs="宋体" w:asciiTheme="minorEastAsia" w:hAnsiTheme="minorEastAsia" w:eastAsiaTheme="minorEastAsia"/>
                <w:color w:val="auto"/>
                <w:sz w:val="24"/>
                <w:highlight w:val="none"/>
              </w:rPr>
              <w:t>项目负责人</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投标人拟派项目负责人应具备水利专业中级及以上职称。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企业信用</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符合第</w:t>
            </w:r>
            <w:r>
              <w:rPr>
                <w:rFonts w:hint="eastAsia" w:ascii="宋体" w:hAnsi="宋体"/>
                <w:color w:val="auto"/>
                <w:sz w:val="24"/>
                <w:highlight w:val="none"/>
                <w:lang w:eastAsia="zh-CN"/>
              </w:rPr>
              <w:t>一</w:t>
            </w:r>
            <w:r>
              <w:rPr>
                <w:rFonts w:hint="eastAsia" w:ascii="宋体" w:hAnsi="宋体"/>
                <w:color w:val="auto"/>
                <w:sz w:val="24"/>
                <w:highlight w:val="none"/>
              </w:rPr>
              <w:t>章“</w:t>
            </w:r>
            <w:r>
              <w:rPr>
                <w:rFonts w:hint="eastAsia" w:ascii="宋体" w:hAnsi="宋体"/>
                <w:color w:val="auto"/>
                <w:sz w:val="24"/>
                <w:highlight w:val="none"/>
                <w:lang w:eastAsia="zh-CN"/>
              </w:rPr>
              <w:t>竞争性磋商公告</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bottom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无行贿犯罪记录承诺函</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须出具无行贿犯罪承诺（承诺对象包括：</w:t>
            </w:r>
            <w:r>
              <w:rPr>
                <w:rFonts w:hint="eastAsia" w:ascii="宋体" w:hAnsi="宋体"/>
                <w:color w:val="auto"/>
                <w:sz w:val="24"/>
                <w:highlight w:val="none"/>
                <w:lang w:val="en-US" w:eastAsia="zh-CN"/>
              </w:rPr>
              <w:t>投标人、法定代表人、授权委托人、项目负责人</w:t>
            </w:r>
            <w:r>
              <w:rPr>
                <w:rFonts w:hint="eastAsia" w:ascii="宋体" w:hAnsi="宋体"/>
                <w:color w:val="auto"/>
                <w:sz w:val="24"/>
                <w:highlight w:val="none"/>
              </w:rPr>
              <w:t>），并对其真实性负责。若承诺不实，所造成的一切后果由投标人自行承担。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2.1.3</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响应性评审标准</w:t>
            </w: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设计工期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923" w:type="dxa"/>
            <w:vMerge w:val="continue"/>
            <w:tcBorders>
              <w:top w:val="single" w:color="auto" w:sz="4" w:space="0"/>
              <w:left w:val="single" w:color="auto" w:sz="4" w:space="0"/>
              <w:right w:val="single" w:color="auto" w:sz="4" w:space="0"/>
            </w:tcBorders>
            <w:vAlign w:val="center"/>
          </w:tcPr>
          <w:p>
            <w:pPr>
              <w:jc w:val="center"/>
              <w:rPr>
                <w:rFonts w:hint="eastAsia"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4"/>
                <w:highlight w:val="none"/>
                <w:lang w:eastAsia="zh-CN"/>
              </w:rPr>
            </w:pPr>
            <w:r>
              <w:rPr>
                <w:rFonts w:hint="eastAsia" w:ascii="宋体" w:hAnsi="宋体" w:eastAsia="宋体" w:cs="宋体"/>
                <w:color w:val="auto"/>
                <w:highlight w:val="none"/>
                <w:lang w:eastAsia="zh-CN"/>
              </w:rPr>
              <w:t>磋商有效期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rPr>
                <w:rFonts w:ascii="宋体" w:hAnsi="宋体"/>
                <w:color w:val="auto"/>
                <w:szCs w:val="21"/>
                <w:highlight w:val="none"/>
              </w:rPr>
            </w:pPr>
          </w:p>
        </w:tc>
        <w:tc>
          <w:tcPr>
            <w:tcW w:w="923" w:type="dxa"/>
            <w:vMerge w:val="continue"/>
            <w:tcBorders>
              <w:left w:val="single" w:color="auto" w:sz="4" w:space="0"/>
              <w:right w:val="single" w:color="auto" w:sz="4" w:space="0"/>
            </w:tcBorders>
          </w:tcPr>
          <w:p>
            <w:pP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质量要求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w:t>
            </w:r>
          </w:p>
        </w:tc>
      </w:tr>
    </w:tbl>
    <w:p>
      <w:pPr>
        <w:jc w:val="center"/>
        <w:rPr>
          <w:color w:val="auto"/>
          <w:sz w:val="24"/>
          <w:highlight w:val="none"/>
        </w:rPr>
      </w:pPr>
    </w:p>
    <w:p>
      <w:pPr>
        <w:spacing w:before="319" w:beforeLine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注：未通过上述评审的投标人，不再进行后续评审。</w:t>
      </w:r>
    </w:p>
    <w:p>
      <w:pPr>
        <w:pStyle w:val="23"/>
        <w:spacing w:line="470" w:lineRule="exac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评标方法：</w:t>
      </w:r>
      <w:r>
        <w:rPr>
          <w:rFonts w:hint="eastAsia" w:ascii="宋体" w:hAnsi="宋体" w:eastAsia="宋体" w:cs="宋体"/>
          <w:color w:val="auto"/>
          <w:sz w:val="24"/>
          <w:highlight w:val="none"/>
        </w:rPr>
        <w:t>综合评标法</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highlight w:val="none"/>
        </w:rPr>
        <w:t>评标委员会成员综合评定各投标人提交的</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，由评标委员会成员按照</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文件规定的各项因素综合评定各投标人提交的</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并分别进行打分，确定中标候选人。</w:t>
      </w:r>
    </w:p>
    <w:p>
      <w:pPr>
        <w:jc w:val="center"/>
        <w:rPr>
          <w:b/>
          <w:color w:val="auto"/>
          <w:sz w:val="24"/>
          <w:highlight w:val="none"/>
        </w:rPr>
      </w:pPr>
      <w:r>
        <w:rPr>
          <w:color w:val="auto"/>
          <w:sz w:val="24"/>
          <w:highlight w:val="none"/>
        </w:rPr>
        <w:br w:type="page"/>
      </w:r>
      <w:bookmarkStart w:id="67" w:name="_Toc362443183"/>
      <w:r>
        <w:rPr>
          <w:rFonts w:hint="eastAsia"/>
          <w:b/>
          <w:color w:val="auto"/>
          <w:sz w:val="32"/>
          <w:highlight w:val="none"/>
        </w:rPr>
        <w:t>评分办法前附表</w:t>
      </w:r>
    </w:p>
    <w:tbl>
      <w:tblPr>
        <w:tblStyle w:val="3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01"/>
        <w:gridCol w:w="19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8" w:type="dxa"/>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301" w:type="dxa"/>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条款内容</w:t>
            </w:r>
          </w:p>
        </w:tc>
        <w:tc>
          <w:tcPr>
            <w:tcW w:w="6354" w:type="dxa"/>
            <w:gridSpan w:val="2"/>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8" w:type="dxa"/>
            <w:vAlign w:val="center"/>
          </w:tcPr>
          <w:p>
            <w:pPr>
              <w:tabs>
                <w:tab w:val="left" w:pos="360"/>
                <w:tab w:val="left" w:pos="540"/>
              </w:tabs>
              <w:jc w:val="center"/>
              <w:rPr>
                <w:rFonts w:ascii="宋体" w:hAnsi="宋体"/>
                <w:color w:val="auto"/>
                <w:sz w:val="24"/>
                <w:highlight w:val="none"/>
              </w:rPr>
            </w:pPr>
          </w:p>
        </w:tc>
        <w:tc>
          <w:tcPr>
            <w:tcW w:w="1301" w:type="dxa"/>
            <w:vAlign w:val="center"/>
          </w:tcPr>
          <w:p>
            <w:pPr>
              <w:tabs>
                <w:tab w:val="left" w:pos="360"/>
                <w:tab w:val="left" w:pos="540"/>
              </w:tabs>
              <w:jc w:val="center"/>
              <w:rPr>
                <w:rFonts w:hint="eastAsia" w:ascii="宋体" w:hAnsi="宋体"/>
                <w:color w:val="auto"/>
                <w:sz w:val="24"/>
                <w:highlight w:val="none"/>
              </w:rPr>
            </w:pPr>
            <w:r>
              <w:rPr>
                <w:rFonts w:hint="eastAsia" w:ascii="宋体" w:hAnsi="宋体"/>
                <w:color w:val="auto"/>
                <w:sz w:val="24"/>
                <w:highlight w:val="none"/>
              </w:rPr>
              <w:t>分值构成</w:t>
            </w:r>
          </w:p>
          <w:p>
            <w:pPr>
              <w:tabs>
                <w:tab w:val="left" w:pos="360"/>
                <w:tab w:val="left" w:pos="540"/>
              </w:tabs>
              <w:jc w:val="center"/>
              <w:rPr>
                <w:rFonts w:ascii="宋体" w:hAnsi="宋体"/>
                <w:color w:val="auto"/>
                <w:sz w:val="24"/>
                <w:highlight w:val="none"/>
              </w:rPr>
            </w:pPr>
            <w:r>
              <w:rPr>
                <w:rFonts w:hint="eastAsia" w:ascii="宋体" w:hAnsi="宋体" w:eastAsia="宋体" w:cs="宋体"/>
                <w:color w:val="auto"/>
                <w:kern w:val="0"/>
                <w:sz w:val="22"/>
                <w:szCs w:val="22"/>
                <w:highlight w:val="none"/>
              </w:rPr>
              <w:t>(满分为100分)</w:t>
            </w:r>
          </w:p>
        </w:tc>
        <w:tc>
          <w:tcPr>
            <w:tcW w:w="6354" w:type="dxa"/>
            <w:gridSpan w:val="2"/>
            <w:vAlign w:val="center"/>
          </w:tcPr>
          <w:p>
            <w:pPr>
              <w:pStyle w:val="49"/>
              <w:spacing w:line="300" w:lineRule="exact"/>
              <w:rPr>
                <w:rFonts w:hAnsi="宋体"/>
                <w:color w:val="auto"/>
                <w:highlight w:val="none"/>
              </w:rPr>
            </w:pPr>
            <w:r>
              <w:rPr>
                <w:rFonts w:hint="eastAsia"/>
                <w:color w:val="auto"/>
                <w:highlight w:val="none"/>
              </w:rPr>
              <w:t>投标报价</w:t>
            </w:r>
            <w:r>
              <w:rPr>
                <w:rFonts w:hint="eastAsia" w:hAnsi="宋体"/>
                <w:color w:val="auto"/>
                <w:spacing w:val="2"/>
                <w:highlight w:val="none"/>
              </w:rPr>
              <w:t>：</w:t>
            </w:r>
            <w:r>
              <w:rPr>
                <w:rFonts w:hint="eastAsia" w:hAnsi="宋体"/>
                <w:color w:val="auto"/>
                <w:highlight w:val="none"/>
                <w:u w:val="single"/>
                <w:lang w:val="en-US" w:eastAsia="zh-CN"/>
              </w:rPr>
              <w:t>30</w:t>
            </w:r>
            <w:r>
              <w:rPr>
                <w:rFonts w:hint="eastAsia" w:hAnsi="宋体"/>
                <w:color w:val="auto"/>
                <w:highlight w:val="none"/>
              </w:rPr>
              <w:t>分</w:t>
            </w:r>
          </w:p>
          <w:p>
            <w:pPr>
              <w:pStyle w:val="49"/>
              <w:spacing w:line="300" w:lineRule="exact"/>
              <w:rPr>
                <w:rFonts w:hAnsi="宋体"/>
                <w:color w:val="auto"/>
                <w:highlight w:val="none"/>
              </w:rPr>
            </w:pPr>
            <w:r>
              <w:rPr>
                <w:rFonts w:hint="eastAsia" w:hAnsi="宋体"/>
                <w:color w:val="auto"/>
                <w:highlight w:val="none"/>
              </w:rPr>
              <w:t>设计方案</w:t>
            </w:r>
            <w:r>
              <w:rPr>
                <w:rFonts w:hint="eastAsia" w:hAnsi="宋体"/>
                <w:color w:val="auto"/>
                <w:spacing w:val="2"/>
                <w:highlight w:val="none"/>
              </w:rPr>
              <w:t>：</w:t>
            </w:r>
            <w:r>
              <w:rPr>
                <w:rFonts w:hint="eastAsia" w:hAnsi="宋体"/>
                <w:color w:val="auto"/>
                <w:highlight w:val="none"/>
                <w:u w:val="single"/>
                <w:lang w:val="en-US" w:eastAsia="zh-CN"/>
              </w:rPr>
              <w:t>50</w:t>
            </w:r>
            <w:r>
              <w:rPr>
                <w:rFonts w:hint="eastAsia" w:hAnsi="宋体"/>
                <w:color w:val="auto"/>
                <w:highlight w:val="none"/>
              </w:rPr>
              <w:t>分</w:t>
            </w:r>
          </w:p>
          <w:p>
            <w:pPr>
              <w:pStyle w:val="49"/>
              <w:spacing w:line="300" w:lineRule="exact"/>
              <w:rPr>
                <w:rFonts w:hAnsi="宋体"/>
                <w:color w:val="auto"/>
                <w:highlight w:val="none"/>
              </w:rPr>
            </w:pPr>
            <w:r>
              <w:rPr>
                <w:rFonts w:hint="eastAsia"/>
                <w:color w:val="auto"/>
                <w:highlight w:val="none"/>
              </w:rPr>
              <w:t>其它因素</w:t>
            </w:r>
            <w:r>
              <w:rPr>
                <w:rFonts w:hint="eastAsia" w:hAnsi="宋体"/>
                <w:color w:val="auto"/>
                <w:spacing w:val="2"/>
                <w:highlight w:val="none"/>
              </w:rPr>
              <w:t>：</w:t>
            </w:r>
            <w:r>
              <w:rPr>
                <w:rFonts w:hint="eastAsia" w:hAnsi="宋体"/>
                <w:color w:val="auto"/>
                <w:highlight w:val="none"/>
                <w:u w:val="single"/>
              </w:rPr>
              <w:t>2</w:t>
            </w:r>
            <w:r>
              <w:rPr>
                <w:rFonts w:hint="eastAsia" w:hAnsi="宋体"/>
                <w:color w:val="auto"/>
                <w:highlight w:val="none"/>
                <w:u w:val="single"/>
                <w:lang w:val="en-US" w:eastAsia="zh-CN"/>
              </w:rPr>
              <w:t>0</w:t>
            </w:r>
            <w:r>
              <w:rPr>
                <w:rFonts w:hint="eastAsia"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18" w:type="dxa"/>
            <w:vAlign w:val="center"/>
          </w:tcPr>
          <w:p>
            <w:pPr>
              <w:jc w:val="center"/>
              <w:rPr>
                <w:b/>
                <w:color w:val="auto"/>
                <w:sz w:val="24"/>
                <w:highlight w:val="none"/>
              </w:rPr>
            </w:pPr>
            <w:r>
              <w:rPr>
                <w:rFonts w:hint="eastAsia"/>
                <w:b/>
                <w:color w:val="auto"/>
                <w:sz w:val="24"/>
                <w:highlight w:val="none"/>
              </w:rPr>
              <w:t>条款号</w:t>
            </w:r>
          </w:p>
        </w:tc>
        <w:tc>
          <w:tcPr>
            <w:tcW w:w="1301" w:type="dxa"/>
            <w:vAlign w:val="center"/>
          </w:tcPr>
          <w:p>
            <w:pPr>
              <w:pStyle w:val="49"/>
              <w:spacing w:line="240" w:lineRule="atLeast"/>
              <w:jc w:val="center"/>
              <w:rPr>
                <w:rFonts w:hAnsi="宋体" w:cs="仿宋_GB2312"/>
                <w:b/>
                <w:color w:val="auto"/>
                <w:highlight w:val="none"/>
              </w:rPr>
            </w:pPr>
            <w:r>
              <w:rPr>
                <w:rFonts w:hint="eastAsia" w:hAnsi="宋体" w:cs="仿宋_GB2312"/>
                <w:b/>
                <w:color w:val="auto"/>
                <w:highlight w:val="none"/>
              </w:rPr>
              <w:t>评分因素</w:t>
            </w:r>
          </w:p>
        </w:tc>
        <w:tc>
          <w:tcPr>
            <w:tcW w:w="6354" w:type="dxa"/>
            <w:gridSpan w:val="2"/>
            <w:vAlign w:val="center"/>
          </w:tcPr>
          <w:p>
            <w:pPr>
              <w:pStyle w:val="49"/>
              <w:spacing w:line="240" w:lineRule="atLeast"/>
              <w:ind w:firstLine="2650" w:firstLineChars="1100"/>
              <w:jc w:val="both"/>
              <w:rPr>
                <w:rFonts w:hAnsi="宋体" w:cs="仿宋_GB2312"/>
                <w:b/>
                <w:color w:val="auto"/>
                <w:highlight w:val="none"/>
              </w:rPr>
            </w:pPr>
            <w:r>
              <w:rPr>
                <w:rFonts w:hint="eastAsia" w:hAnsi="宋体" w:cs="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1118" w:type="dxa"/>
            <w:vAlign w:val="center"/>
          </w:tcPr>
          <w:p>
            <w:pPr>
              <w:pStyle w:val="49"/>
              <w:spacing w:line="240" w:lineRule="atLeast"/>
              <w:jc w:val="center"/>
              <w:rPr>
                <w:rFonts w:hint="default" w:eastAsia="宋体"/>
                <w:b/>
                <w:color w:val="auto"/>
                <w:sz w:val="24"/>
                <w:highlight w:val="none"/>
                <w:lang w:val="en-US" w:eastAsia="zh-CN"/>
              </w:rPr>
            </w:pPr>
            <w:r>
              <w:rPr>
                <w:rFonts w:hint="eastAsia" w:ascii="宋体" w:hAnsi="Times New Roman" w:eastAsia="宋体" w:cs="宋体"/>
                <w:color w:val="auto"/>
                <w:highlight w:val="none"/>
                <w:lang w:val="en-US" w:eastAsia="zh-CN"/>
              </w:rPr>
              <w:t>1.</w:t>
            </w:r>
          </w:p>
        </w:tc>
        <w:tc>
          <w:tcPr>
            <w:tcW w:w="1301" w:type="dxa"/>
            <w:vAlign w:val="center"/>
          </w:tcPr>
          <w:p>
            <w:pPr>
              <w:pStyle w:val="49"/>
              <w:spacing w:line="240" w:lineRule="atLeast"/>
              <w:jc w:val="center"/>
              <w:rPr>
                <w:color w:val="auto"/>
                <w:highlight w:val="none"/>
              </w:rPr>
            </w:pPr>
            <w:r>
              <w:rPr>
                <w:rFonts w:hint="eastAsia"/>
                <w:color w:val="auto"/>
                <w:highlight w:val="none"/>
              </w:rPr>
              <w:t>投标报价</w:t>
            </w:r>
            <w:r>
              <w:rPr>
                <w:rFonts w:hint="eastAsia" w:hAnsi="宋体"/>
                <w:color w:val="auto"/>
                <w:highlight w:val="none"/>
              </w:rPr>
              <w:t>评分标准</w:t>
            </w:r>
          </w:p>
          <w:p>
            <w:pPr>
              <w:pStyle w:val="49"/>
              <w:spacing w:line="276" w:lineRule="auto"/>
              <w:jc w:val="center"/>
              <w:rPr>
                <w:rFonts w:hAnsi="宋体" w:cs="仿宋_GB2312"/>
                <w:color w:val="auto"/>
                <w:highlight w:val="none"/>
              </w:rPr>
            </w:pPr>
            <w:r>
              <w:rPr>
                <w:rFonts w:hint="eastAsia" w:hAnsi="宋体" w:cs="仿宋_GB2312"/>
                <w:color w:val="auto"/>
                <w:highlight w:val="none"/>
                <w:lang w:eastAsia="zh-CN"/>
              </w:rPr>
              <w:t>（</w:t>
            </w:r>
            <w:r>
              <w:rPr>
                <w:rFonts w:hint="eastAsia" w:hAnsi="宋体" w:cs="仿宋_GB2312"/>
                <w:color w:val="auto"/>
                <w:highlight w:val="none"/>
                <w:lang w:val="en-US" w:eastAsia="zh-CN"/>
              </w:rPr>
              <w:t>30</w:t>
            </w:r>
            <w:r>
              <w:rPr>
                <w:rFonts w:hint="eastAsia" w:hAnsi="宋体" w:cs="仿宋_GB2312"/>
                <w:color w:val="auto"/>
                <w:highlight w:val="none"/>
              </w:rPr>
              <w:t>分</w:t>
            </w:r>
            <w:r>
              <w:rPr>
                <w:rFonts w:hint="eastAsia" w:hAnsi="宋体" w:cs="仿宋_GB2312"/>
                <w:color w:val="auto"/>
                <w:highlight w:val="none"/>
                <w:lang w:eastAsia="zh-CN"/>
              </w:rPr>
              <w:t>）</w:t>
            </w:r>
          </w:p>
        </w:tc>
        <w:tc>
          <w:tcPr>
            <w:tcW w:w="6354" w:type="dxa"/>
            <w:gridSpan w:val="2"/>
            <w:vAlign w:val="center"/>
          </w:tcPr>
          <w:p>
            <w:pPr>
              <w:pStyle w:val="49"/>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1、采用低价优先法计算，即满足磋商文件要求且投标价格最低的投标报价为评标基准价，其价格分为满分。其他供应商的价格分按照下列公式计算（保留两位小数）。</w:t>
            </w:r>
          </w:p>
          <w:p>
            <w:pPr>
              <w:pStyle w:val="49"/>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投标报价得分=（评标基准价／投标报价）*</w:t>
            </w:r>
            <w:r>
              <w:rPr>
                <w:rFonts w:hint="eastAsia" w:cs="宋体"/>
                <w:color w:val="auto"/>
                <w:highlight w:val="none"/>
                <w:lang w:val="en-US" w:eastAsia="zh-CN"/>
              </w:rPr>
              <w:t>3</w:t>
            </w:r>
            <w:r>
              <w:rPr>
                <w:rFonts w:hint="eastAsia" w:ascii="宋体" w:hAnsi="Times New Roman" w:eastAsia="宋体" w:cs="宋体"/>
                <w:color w:val="auto"/>
                <w:highlight w:val="none"/>
              </w:rPr>
              <w:t>0%*100</w:t>
            </w:r>
          </w:p>
          <w:p>
            <w:pPr>
              <w:pStyle w:val="49"/>
              <w:spacing w:line="300" w:lineRule="exact"/>
              <w:rPr>
                <w:rFonts w:ascii="宋体" w:hAnsi="宋体"/>
                <w:color w:val="auto"/>
                <w:sz w:val="24"/>
                <w:highlight w:val="none"/>
              </w:rPr>
            </w:pPr>
            <w:r>
              <w:rPr>
                <w:rFonts w:hint="eastAsia" w:ascii="宋体" w:hAnsi="Times New Roman" w:eastAsia="宋体" w:cs="宋体"/>
                <w:color w:val="auto"/>
                <w:highlight w:val="none"/>
              </w:rPr>
              <w:t>注：价格分计算保留小数点后二位。未通过初步评审的投标不参与投标报价得分的计算</w:t>
            </w:r>
            <w:r>
              <w:rPr>
                <w:rFonts w:hint="eastAsia" w:ascii="宋体" w:hAnsi="Times New Roman"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118" w:type="dxa"/>
            <w:vMerge w:val="restart"/>
            <w:vAlign w:val="center"/>
          </w:tcPr>
          <w:p>
            <w:pPr>
              <w:tabs>
                <w:tab w:val="left" w:pos="360"/>
                <w:tab w:val="left" w:pos="540"/>
              </w:tabs>
              <w:spacing w:line="360" w:lineRule="auto"/>
              <w:jc w:val="center"/>
              <w:rPr>
                <w:rFonts w:hint="default" w:ascii="宋体" w:hAnsi="宋体" w:eastAsia="宋体"/>
                <w:b/>
                <w:color w:val="auto"/>
                <w:szCs w:val="21"/>
                <w:highlight w:val="none"/>
                <w:lang w:val="en-US" w:eastAsia="zh-CN"/>
              </w:rPr>
            </w:pPr>
            <w:r>
              <w:rPr>
                <w:rFonts w:hint="eastAsia" w:ascii="宋体" w:hAnsi="Times New Roman" w:eastAsia="宋体" w:cs="宋体"/>
                <w:color w:val="auto"/>
                <w:kern w:val="0"/>
                <w:sz w:val="24"/>
                <w:szCs w:val="24"/>
                <w:highlight w:val="none"/>
                <w:lang w:val="en-US" w:eastAsia="zh-CN" w:bidi="ar-SA"/>
              </w:rPr>
              <w:t>2.</w:t>
            </w:r>
          </w:p>
        </w:tc>
        <w:tc>
          <w:tcPr>
            <w:tcW w:w="1301" w:type="dxa"/>
            <w:vMerge w:val="restart"/>
            <w:vAlign w:val="center"/>
          </w:tcPr>
          <w:p>
            <w:pPr>
              <w:pStyle w:val="49"/>
              <w:spacing w:line="240" w:lineRule="atLeast"/>
              <w:jc w:val="center"/>
              <w:rPr>
                <w:rFonts w:hAnsi="宋体"/>
                <w:color w:val="auto"/>
                <w:highlight w:val="none"/>
              </w:rPr>
            </w:pPr>
            <w:r>
              <w:rPr>
                <w:rFonts w:hint="eastAsia" w:hAnsi="宋体"/>
                <w:color w:val="auto"/>
                <w:highlight w:val="none"/>
              </w:rPr>
              <w:t>设计方案</w:t>
            </w:r>
          </w:p>
          <w:p>
            <w:pPr>
              <w:pStyle w:val="49"/>
              <w:spacing w:line="240" w:lineRule="atLeast"/>
              <w:jc w:val="center"/>
              <w:rPr>
                <w:rFonts w:hAnsi="宋体"/>
                <w:color w:val="auto"/>
                <w:highlight w:val="none"/>
              </w:rPr>
            </w:pPr>
            <w:r>
              <w:rPr>
                <w:rFonts w:hint="eastAsia" w:hAnsi="宋体"/>
                <w:color w:val="auto"/>
                <w:highlight w:val="none"/>
              </w:rPr>
              <w:t>评分标准</w:t>
            </w:r>
          </w:p>
          <w:p>
            <w:pPr>
              <w:pStyle w:val="49"/>
              <w:spacing w:line="240" w:lineRule="atLeast"/>
              <w:jc w:val="center"/>
              <w:rPr>
                <w:color w:val="auto"/>
                <w:highlight w:val="none"/>
              </w:rPr>
            </w:pPr>
            <w:r>
              <w:rPr>
                <w:rFonts w:hint="eastAsia"/>
                <w:color w:val="auto"/>
                <w:highlight w:val="none"/>
              </w:rPr>
              <w:t>（</w:t>
            </w:r>
            <w:r>
              <w:rPr>
                <w:rFonts w:hint="eastAsia"/>
                <w:color w:val="auto"/>
                <w:highlight w:val="none"/>
                <w:lang w:val="en-US" w:eastAsia="zh-CN"/>
              </w:rPr>
              <w:t>50</w:t>
            </w:r>
            <w:r>
              <w:rPr>
                <w:rFonts w:hint="eastAsia"/>
                <w:color w:val="auto"/>
                <w:highlight w:val="none"/>
              </w:rPr>
              <w:t>分）</w:t>
            </w:r>
          </w:p>
          <w:p>
            <w:pPr>
              <w:pStyle w:val="49"/>
              <w:spacing w:line="240" w:lineRule="atLeast"/>
              <w:jc w:val="center"/>
              <w:rPr>
                <w:rFonts w:hAnsi="宋体"/>
                <w:color w:val="auto"/>
                <w:highlight w:val="none"/>
              </w:rPr>
            </w:pPr>
          </w:p>
        </w:tc>
        <w:tc>
          <w:tcPr>
            <w:tcW w:w="1977" w:type="dxa"/>
            <w:shd w:val="clear" w:color="auto" w:fill="FFFFFF" w:themeFill="background1"/>
            <w:vAlign w:val="center"/>
          </w:tcPr>
          <w:p>
            <w:pPr>
              <w:spacing w:line="400" w:lineRule="exact"/>
              <w:jc w:val="center"/>
              <w:outlineLvl w:val="2"/>
              <w:rPr>
                <w:rFonts w:hint="eastAsia" w:ascii="宋体" w:hAnsi="宋体"/>
                <w:color w:val="auto"/>
                <w:sz w:val="22"/>
                <w:szCs w:val="22"/>
                <w:highlight w:val="none"/>
              </w:rPr>
            </w:pPr>
            <w:r>
              <w:rPr>
                <w:rFonts w:hint="eastAsia" w:ascii="宋体" w:hAnsi="宋体"/>
                <w:color w:val="auto"/>
                <w:sz w:val="22"/>
                <w:szCs w:val="22"/>
                <w:highlight w:val="none"/>
              </w:rPr>
              <w:t>指导思想及理念</w:t>
            </w:r>
          </w:p>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指导思想明确具体，理念清晰得体得</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分，一般得</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分，否则1分。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工作遵循规范标准及预算编制依据</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编制依据充分，符合国家有关规定得</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成果提交计划及保证措施（</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进度安排合理，成果提交计划满足业主要求，措施具体得体</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xml:space="preserve"> 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工程设计</w:t>
            </w:r>
            <w:r>
              <w:rPr>
                <w:rFonts w:hint="eastAsia" w:ascii="宋体" w:hAnsi="宋体"/>
                <w:color w:val="auto"/>
                <w:sz w:val="22"/>
                <w:szCs w:val="22"/>
                <w:highlight w:val="none"/>
                <w:lang w:eastAsia="zh-CN"/>
              </w:rPr>
              <w:t>方</w:t>
            </w:r>
            <w:r>
              <w:rPr>
                <w:rFonts w:hint="eastAsia" w:ascii="宋体" w:hAnsi="宋体"/>
                <w:color w:val="auto"/>
                <w:sz w:val="22"/>
                <w:szCs w:val="22"/>
                <w:highlight w:val="none"/>
              </w:rPr>
              <w:t>案（1</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设计</w:t>
            </w:r>
            <w:r>
              <w:rPr>
                <w:rFonts w:hint="eastAsia" w:ascii="宋体" w:hAnsi="宋体"/>
                <w:color w:val="auto"/>
                <w:sz w:val="22"/>
                <w:szCs w:val="22"/>
                <w:highlight w:val="none"/>
                <w:lang w:eastAsia="zh-CN"/>
              </w:rPr>
              <w:t>方</w:t>
            </w:r>
            <w:r>
              <w:rPr>
                <w:rFonts w:hint="eastAsia" w:ascii="宋体" w:hAnsi="宋体"/>
                <w:color w:val="auto"/>
                <w:sz w:val="22"/>
                <w:szCs w:val="22"/>
                <w:highlight w:val="none"/>
              </w:rPr>
              <w:t>案科学、合理并切实可行的1</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分，一般的9分，否则3分。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提交的成果质量及保证措施（</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成果质量及保证措施具体、切实可行得</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xml:space="preserve"> 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在工作中如何遵循上级主管部门及招标人有关规定和要求（</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 xml:space="preserve">遵循上级主管部门及招标人有关规定和要求具有实质性内容得 </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 3分，否则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宋体"/>
                <w:color w:val="auto"/>
                <w:sz w:val="22"/>
                <w:szCs w:val="22"/>
                <w:highlight w:val="none"/>
              </w:rPr>
            </w:pPr>
            <w:r>
              <w:rPr>
                <w:rFonts w:hint="eastAsia" w:ascii="宋体" w:hAnsi="宋体"/>
                <w:color w:val="auto"/>
                <w:sz w:val="22"/>
                <w:szCs w:val="22"/>
                <w:highlight w:val="none"/>
              </w:rPr>
              <w:t>项目实施难点、关键过程分析及对策</w:t>
            </w:r>
          </w:p>
          <w:p>
            <w:pPr>
              <w:spacing w:line="400" w:lineRule="exact"/>
              <w:jc w:val="center"/>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c>
          <w:tcPr>
            <w:tcW w:w="4377" w:type="dxa"/>
            <w:shd w:val="clear" w:color="auto" w:fill="FFFFFF" w:themeFill="background1"/>
            <w:vAlign w:val="center"/>
          </w:tcPr>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 xml:space="preserve">项目实施的重点、难点、关键过程分析及与之相应的合理化建议合理、到位、切实可行得 </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分，否则1分。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spacing w:line="400" w:lineRule="exact"/>
              <w:jc w:val="center"/>
              <w:outlineLvl w:val="2"/>
              <w:rPr>
                <w:rFonts w:hint="eastAsia" w:ascii="宋体" w:hAnsi="宋体"/>
                <w:color w:val="auto"/>
                <w:sz w:val="22"/>
                <w:szCs w:val="22"/>
                <w:highlight w:val="none"/>
              </w:rPr>
            </w:pPr>
            <w:r>
              <w:rPr>
                <w:rFonts w:hint="eastAsia" w:ascii="宋体" w:hAnsi="宋体"/>
                <w:color w:val="auto"/>
                <w:sz w:val="22"/>
                <w:szCs w:val="22"/>
                <w:highlight w:val="none"/>
              </w:rPr>
              <w:t>后续服务及其他承诺等</w:t>
            </w:r>
          </w:p>
          <w:p>
            <w:pPr>
              <w:spacing w:line="400" w:lineRule="exact"/>
              <w:jc w:val="center"/>
              <w:outlineLvl w:val="2"/>
              <w:rPr>
                <w:rFonts w:hint="eastAsia" w:ascii="宋体" w:hAnsi="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p>
            <w:pPr>
              <w:spacing w:line="400" w:lineRule="exact"/>
              <w:jc w:val="center"/>
              <w:outlineLvl w:val="2"/>
              <w:rPr>
                <w:rFonts w:hint="eastAsia" w:ascii="宋体" w:hAnsi="Times New Roman" w:eastAsia="宋体" w:cs="宋体"/>
                <w:color w:val="auto"/>
                <w:sz w:val="22"/>
                <w:szCs w:val="28"/>
                <w:highlight w:val="none"/>
              </w:rPr>
            </w:pPr>
          </w:p>
        </w:tc>
        <w:tc>
          <w:tcPr>
            <w:tcW w:w="4377" w:type="dxa"/>
            <w:shd w:val="clear" w:color="auto" w:fill="FFFFFF" w:themeFill="background1"/>
            <w:vAlign w:val="center"/>
          </w:tcPr>
          <w:p>
            <w:pPr>
              <w:spacing w:line="400" w:lineRule="exact"/>
              <w:outlineLvl w:val="2"/>
              <w:rPr>
                <w:rFonts w:hint="eastAsia" w:ascii="宋体" w:hAnsi="宋体"/>
                <w:color w:val="auto"/>
                <w:sz w:val="22"/>
                <w:szCs w:val="22"/>
                <w:highlight w:val="none"/>
              </w:rPr>
            </w:pPr>
            <w:r>
              <w:rPr>
                <w:rFonts w:hint="eastAsia" w:ascii="宋体" w:hAnsi="宋体"/>
                <w:color w:val="auto"/>
                <w:sz w:val="22"/>
                <w:szCs w:val="22"/>
                <w:highlight w:val="none"/>
              </w:rPr>
              <w:t>后续服务范围及承诺；优得2</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分，一般得1分；</w:t>
            </w:r>
          </w:p>
          <w:p>
            <w:pPr>
              <w:spacing w:line="400" w:lineRule="exact"/>
              <w:outlineLvl w:val="2"/>
              <w:rPr>
                <w:rFonts w:hint="eastAsia" w:ascii="宋体" w:hAnsi="Times New Roman" w:eastAsia="宋体" w:cs="宋体"/>
                <w:color w:val="auto"/>
                <w:sz w:val="22"/>
                <w:szCs w:val="28"/>
                <w:highlight w:val="none"/>
              </w:rPr>
            </w:pPr>
            <w:r>
              <w:rPr>
                <w:rFonts w:hint="eastAsia" w:ascii="宋体" w:hAnsi="宋体"/>
                <w:color w:val="auto"/>
                <w:sz w:val="22"/>
                <w:szCs w:val="22"/>
                <w:highlight w:val="none"/>
              </w:rPr>
              <w:t>设计配合施工的承诺；优得2</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jc w:val="center"/>
              <w:rPr>
                <w:rFonts w:ascii="宋体" w:hAnsi="宋体"/>
                <w:b/>
                <w:color w:val="auto"/>
                <w:sz w:val="24"/>
                <w:highlight w:val="none"/>
              </w:rPr>
            </w:pPr>
          </w:p>
        </w:tc>
        <w:tc>
          <w:tcPr>
            <w:tcW w:w="6354" w:type="dxa"/>
            <w:gridSpan w:val="2"/>
            <w:tcBorders>
              <w:bottom w:val="single" w:color="auto" w:sz="4" w:space="0"/>
            </w:tcBorders>
            <w:vAlign w:val="center"/>
          </w:tcPr>
          <w:p>
            <w:pPr>
              <w:rPr>
                <w:rFonts w:ascii="宋体" w:hAnsi="宋体"/>
                <w:color w:val="auto"/>
                <w:sz w:val="24"/>
                <w:highlight w:val="none"/>
              </w:rPr>
            </w:pPr>
            <w:r>
              <w:rPr>
                <w:rFonts w:hint="eastAsia" w:hAnsi="宋体"/>
                <w:bCs/>
                <w:color w:val="auto"/>
                <w:sz w:val="24"/>
                <w:highlight w:val="none"/>
              </w:rPr>
              <w:t>注：</w:t>
            </w:r>
            <w:r>
              <w:rPr>
                <w:rFonts w:hint="eastAsia" w:ascii="宋体" w:hAnsi="宋体"/>
                <w:color w:val="auto"/>
                <w:sz w:val="24"/>
                <w:highlight w:val="none"/>
              </w:rPr>
              <w:t>以上设计方案各项若有缺项的，该项为0分；不缺项的，不低于最低分。评委根据设计方案的合理性、可行性横向对比，逐项打分。</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restart"/>
            <w:vAlign w:val="center"/>
          </w:tcPr>
          <w:p>
            <w:pPr>
              <w:tabs>
                <w:tab w:val="left" w:pos="360"/>
                <w:tab w:val="left" w:pos="540"/>
              </w:tabs>
              <w:jc w:val="center"/>
              <w:rPr>
                <w:rFonts w:hAnsi="宋体"/>
                <w:color w:val="auto"/>
                <w:sz w:val="24"/>
                <w:highlight w:val="none"/>
              </w:rPr>
            </w:pPr>
            <w:r>
              <w:rPr>
                <w:rFonts w:hint="eastAsia" w:hAnsi="宋体"/>
                <w:color w:val="auto"/>
                <w:sz w:val="24"/>
                <w:highlight w:val="none"/>
              </w:rPr>
              <w:t>其它因素</w:t>
            </w:r>
          </w:p>
          <w:p>
            <w:pPr>
              <w:tabs>
                <w:tab w:val="left" w:pos="360"/>
                <w:tab w:val="left" w:pos="540"/>
              </w:tabs>
              <w:jc w:val="center"/>
              <w:rPr>
                <w:rFonts w:hAnsi="宋体"/>
                <w:color w:val="auto"/>
                <w:sz w:val="24"/>
                <w:highlight w:val="none"/>
              </w:rPr>
            </w:pPr>
            <w:r>
              <w:rPr>
                <w:rFonts w:hint="eastAsia" w:hAnsi="宋体"/>
                <w:color w:val="auto"/>
                <w:sz w:val="24"/>
                <w:highlight w:val="none"/>
              </w:rPr>
              <w:t>评分标准</w:t>
            </w:r>
          </w:p>
          <w:p>
            <w:pPr>
              <w:tabs>
                <w:tab w:val="left" w:pos="360"/>
                <w:tab w:val="left" w:pos="540"/>
              </w:tabs>
              <w:jc w:val="center"/>
              <w:rPr>
                <w:rFonts w:ascii="宋体" w:hAnsi="宋体"/>
                <w:color w:val="auto"/>
                <w:szCs w:val="21"/>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20</w:t>
            </w:r>
            <w:r>
              <w:rPr>
                <w:rFonts w:hint="eastAsia" w:ascii="宋体" w:hAnsi="宋体"/>
                <w:color w:val="auto"/>
                <w:sz w:val="24"/>
                <w:highlight w:val="none"/>
              </w:rPr>
              <w:t>分</w:t>
            </w:r>
            <w:r>
              <w:rPr>
                <w:rFonts w:hint="eastAsia" w:ascii="宋体" w:hAnsi="宋体"/>
                <w:color w:val="auto"/>
                <w:sz w:val="24"/>
                <w:highlight w:val="none"/>
                <w:lang w:eastAsia="zh-CN"/>
              </w:rPr>
              <w:t>）</w:t>
            </w:r>
          </w:p>
        </w:tc>
        <w:tc>
          <w:tcPr>
            <w:tcW w:w="6354" w:type="dxa"/>
            <w:gridSpan w:val="2"/>
            <w:shd w:val="clear" w:color="auto" w:fill="FFFFFF" w:themeFill="background1"/>
            <w:vAlign w:val="center"/>
          </w:tcPr>
          <w:p>
            <w:pPr>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企业资信</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rPr>
              <w:t>（6分）</w:t>
            </w:r>
          </w:p>
          <w:p>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1.1投标人同时具有质量管理、环境管理、职业健康安全管理体系认证证书的得 2分， 否则不得分。</w:t>
            </w:r>
          </w:p>
          <w:p>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1.2财务状况良好，连续三年盈利的得2分，连续两年盈利的得1分，未盈利不得分。</w:t>
            </w:r>
          </w:p>
          <w:p>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1.3水利建设市场主体信用评价设计信用等级为AAA级得2分，AA级得1分，A级及以下等级不得分。（以水利建设市场监管平台公开信息和相关信用等级证书为准）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jc w:val="center"/>
              <w:rPr>
                <w:rFonts w:hAnsi="宋体"/>
                <w:color w:val="auto"/>
                <w:szCs w:val="21"/>
                <w:highlight w:val="none"/>
              </w:rPr>
            </w:pPr>
          </w:p>
        </w:tc>
        <w:tc>
          <w:tcPr>
            <w:tcW w:w="6354" w:type="dxa"/>
            <w:gridSpan w:val="2"/>
            <w:shd w:val="clear" w:color="auto" w:fill="FFFFFF" w:themeFill="background1"/>
            <w:vAlign w:val="center"/>
          </w:tcPr>
          <w:p>
            <w:pPr>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企业业绩（</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分）</w:t>
            </w:r>
          </w:p>
          <w:p>
            <w:pPr>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2020年1 月1日以来承担类似项目1个加2分，最高加</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分。</w:t>
            </w:r>
          </w:p>
          <w:p>
            <w:pPr>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以上企业业绩需提供合同等相关证明材料。</w:t>
            </w:r>
            <w:r>
              <w:rPr>
                <w:rFonts w:hint="eastAsia" w:ascii="宋体" w:hAnsi="宋体" w:cs="Times New Roman"/>
                <w:color w:val="auto"/>
                <w:sz w:val="24"/>
                <w:highlight w:val="none"/>
                <w:lang w:val="en-US" w:eastAsia="zh-CN"/>
              </w:rPr>
              <w:t>（上传诚信库）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118" w:type="dxa"/>
            <w:vMerge w:val="continue"/>
            <w:vAlign w:val="center"/>
          </w:tcPr>
          <w:p>
            <w:pPr>
              <w:tabs>
                <w:tab w:val="left" w:pos="360"/>
                <w:tab w:val="left" w:pos="540"/>
              </w:tabs>
              <w:spacing w:line="360" w:lineRule="auto"/>
              <w:jc w:val="center"/>
              <w:rPr>
                <w:rFonts w:ascii="宋体" w:hAnsi="宋体"/>
                <w:color w:val="auto"/>
                <w:szCs w:val="21"/>
                <w:highlight w:val="none"/>
              </w:rPr>
            </w:pPr>
          </w:p>
        </w:tc>
        <w:tc>
          <w:tcPr>
            <w:tcW w:w="1301" w:type="dxa"/>
            <w:vMerge w:val="continue"/>
            <w:vAlign w:val="center"/>
          </w:tcPr>
          <w:p>
            <w:pPr>
              <w:tabs>
                <w:tab w:val="left" w:pos="360"/>
                <w:tab w:val="left" w:pos="540"/>
              </w:tabs>
              <w:jc w:val="center"/>
              <w:rPr>
                <w:rFonts w:hAnsi="宋体"/>
                <w:color w:val="auto"/>
                <w:szCs w:val="21"/>
                <w:highlight w:val="none"/>
              </w:rPr>
            </w:pPr>
          </w:p>
        </w:tc>
        <w:tc>
          <w:tcPr>
            <w:tcW w:w="6354" w:type="dxa"/>
            <w:gridSpan w:val="2"/>
            <w:shd w:val="clear" w:color="auto" w:fill="FFFFFF" w:themeFill="background1"/>
            <w:vAlign w:val="center"/>
          </w:tcPr>
          <w:p>
            <w:pPr>
              <w:pStyle w:val="49"/>
              <w:spacing w:line="240" w:lineRule="atLeas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项目主要人员配备（</w:t>
            </w:r>
            <w:r>
              <w:rPr>
                <w:rFonts w:hint="eastAsia" w:asciiTheme="minorEastAsia" w:hAnsiTheme="minorEastAsia" w:eastAsiaTheme="minorEastAsia"/>
                <w:color w:val="auto"/>
                <w:highlight w:val="none"/>
                <w:lang w:val="en-US" w:eastAsia="zh-CN"/>
              </w:rPr>
              <w:t>8</w:t>
            </w:r>
            <w:r>
              <w:rPr>
                <w:rFonts w:hint="eastAsia" w:asciiTheme="minorEastAsia" w:hAnsiTheme="minorEastAsia" w:eastAsiaTheme="minorEastAsia"/>
                <w:color w:val="auto"/>
                <w:highlight w:val="none"/>
              </w:rPr>
              <w:t>分）</w:t>
            </w:r>
          </w:p>
          <w:p>
            <w:pPr>
              <w:pStyle w:val="49"/>
              <w:spacing w:line="240" w:lineRule="atLeas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主要人员专业配置齐全，结构合理，数量满足项目设计工作需要，得2分；</w:t>
            </w:r>
          </w:p>
          <w:p>
            <w:pPr>
              <w:pStyle w:val="49"/>
              <w:spacing w:line="240" w:lineRule="atLeas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项目组成人员具有中级及以上职称证书，每有一人得1分，最多得</w:t>
            </w: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73" w:type="dxa"/>
            <w:gridSpan w:val="4"/>
            <w:vAlign w:val="center"/>
          </w:tcPr>
          <w:p>
            <w:pPr>
              <w:pStyle w:val="49"/>
              <w:spacing w:line="276" w:lineRule="auto"/>
              <w:rPr>
                <w:rFonts w:hAnsi="宋体"/>
                <w:bCs/>
                <w:color w:val="auto"/>
                <w:highlight w:val="none"/>
              </w:rPr>
            </w:pPr>
            <w:r>
              <w:rPr>
                <w:rFonts w:hint="eastAsia" w:hAnsi="宋体"/>
                <w:b/>
                <w:bCs/>
                <w:color w:val="auto"/>
                <w:highlight w:val="none"/>
              </w:rPr>
              <w:t>注：</w:t>
            </w:r>
            <w:r>
              <w:rPr>
                <w:rFonts w:hint="eastAsia" w:hAnsi="宋体"/>
                <w:bCs/>
                <w:color w:val="auto"/>
                <w:highlight w:val="none"/>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bl>
    <w:p>
      <w:pPr>
        <w:tabs>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1评标方法</w:t>
      </w:r>
    </w:p>
    <w:p>
      <w:pPr>
        <w:tabs>
          <w:tab w:val="left" w:pos="540"/>
        </w:tabs>
        <w:spacing w:line="276" w:lineRule="auto"/>
        <w:ind w:firstLine="420" w:firstLineChars="200"/>
        <w:rPr>
          <w:rFonts w:hint="eastAsia" w:ascii="宋体" w:hAnsi="宋体"/>
          <w:color w:val="auto"/>
          <w:highlight w:val="none"/>
        </w:rPr>
      </w:pPr>
      <w:r>
        <w:rPr>
          <w:rFonts w:hint="eastAsia" w:ascii="宋体" w:hAnsi="宋体"/>
          <w:color w:val="auto"/>
          <w:highlight w:val="none"/>
        </w:rPr>
        <w:t>本次竞争性磋商采用综合评分法评审，磋商小组对满足竞争性磋商文件实质性要求且最终确定采购需求和在规定时间提交最后报价的响应文件，且按照评审因素的量化指标评审得分最高的供应商为成交候选人的评审方法。</w:t>
      </w:r>
    </w:p>
    <w:p>
      <w:pPr>
        <w:tabs>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2 评审标准</w:t>
      </w:r>
    </w:p>
    <w:p>
      <w:pPr>
        <w:tabs>
          <w:tab w:val="left" w:pos="540"/>
        </w:tabs>
        <w:spacing w:line="276" w:lineRule="auto"/>
        <w:ind w:firstLine="420" w:firstLineChars="200"/>
        <w:rPr>
          <w:rFonts w:ascii="宋体" w:hAnsi="宋体"/>
          <w:color w:val="auto"/>
          <w:highlight w:val="none"/>
        </w:rPr>
      </w:pPr>
      <w:r>
        <w:rPr>
          <w:rFonts w:hint="eastAsia" w:ascii="宋体" w:hAnsi="宋体"/>
          <w:color w:val="auto"/>
          <w:highlight w:val="none"/>
        </w:rPr>
        <w:t>根据</w:t>
      </w:r>
      <w:r>
        <w:rPr>
          <w:rFonts w:hint="eastAsia" w:ascii="宋体" w:hAnsi="宋体"/>
          <w:color w:val="auto"/>
          <w:highlight w:val="none"/>
          <w:lang w:eastAsia="zh-CN"/>
        </w:rPr>
        <w:t>磋商</w:t>
      </w:r>
      <w:r>
        <w:rPr>
          <w:rFonts w:hint="eastAsia" w:ascii="宋体" w:hAnsi="宋体"/>
          <w:color w:val="auto"/>
          <w:highlight w:val="none"/>
        </w:rPr>
        <w:t>文件中对</w:t>
      </w:r>
      <w:r>
        <w:rPr>
          <w:rFonts w:hint="eastAsia" w:ascii="宋体" w:hAnsi="宋体"/>
          <w:color w:val="auto"/>
          <w:highlight w:val="none"/>
          <w:lang w:eastAsia="zh-CN"/>
        </w:rPr>
        <w:t>响应单位</w:t>
      </w:r>
      <w:r>
        <w:rPr>
          <w:rFonts w:hint="eastAsia" w:ascii="宋体" w:hAnsi="宋体"/>
          <w:color w:val="auto"/>
          <w:highlight w:val="none"/>
        </w:rPr>
        <w:t>的资格要求对报价合格的</w:t>
      </w:r>
      <w:r>
        <w:rPr>
          <w:rFonts w:hint="eastAsia" w:ascii="宋体" w:hAnsi="宋体"/>
          <w:color w:val="auto"/>
          <w:highlight w:val="none"/>
          <w:lang w:eastAsia="zh-CN"/>
        </w:rPr>
        <w:t>响应单位</w:t>
      </w:r>
      <w:r>
        <w:rPr>
          <w:rFonts w:hint="eastAsia" w:ascii="宋体" w:hAnsi="宋体"/>
          <w:color w:val="auto"/>
          <w:highlight w:val="none"/>
        </w:rPr>
        <w:t>进行资格审查。只有通过资格审查的投标人才能进入下一步评审程序。</w:t>
      </w:r>
    </w:p>
    <w:p>
      <w:pPr>
        <w:tabs>
          <w:tab w:val="left" w:pos="360"/>
          <w:tab w:val="left" w:pos="540"/>
        </w:tabs>
        <w:spacing w:line="276" w:lineRule="auto"/>
        <w:rPr>
          <w:rFonts w:ascii="黑体" w:hAnsi="宋体" w:eastAsia="黑体"/>
          <w:color w:val="auto"/>
          <w:sz w:val="24"/>
          <w:highlight w:val="none"/>
        </w:rPr>
      </w:pPr>
      <w:r>
        <w:rPr>
          <w:rFonts w:hint="eastAsia" w:ascii="黑体" w:hAnsi="宋体" w:eastAsia="黑体"/>
          <w:color w:val="auto"/>
          <w:sz w:val="24"/>
          <w:highlight w:val="none"/>
        </w:rPr>
        <w:t>2.1 初步评审标准</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2.1.1 形式评审标准：见评标办法前附表；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2.1.2 资格评审标准：见评标办法前附表；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2.1.3 响应性评审标准：见评标办法前附表；</w:t>
      </w:r>
    </w:p>
    <w:p>
      <w:pPr>
        <w:tabs>
          <w:tab w:val="left" w:pos="360"/>
          <w:tab w:val="left" w:pos="540"/>
        </w:tabs>
        <w:spacing w:line="276" w:lineRule="auto"/>
        <w:rPr>
          <w:rFonts w:ascii="黑体" w:hAnsi="宋体" w:eastAsia="黑体"/>
          <w:color w:val="auto"/>
          <w:sz w:val="24"/>
          <w:highlight w:val="none"/>
        </w:rPr>
      </w:pPr>
      <w:r>
        <w:rPr>
          <w:rFonts w:hint="eastAsia" w:ascii="黑体" w:hAnsi="宋体" w:eastAsia="黑体"/>
          <w:color w:val="auto"/>
          <w:sz w:val="24"/>
          <w:highlight w:val="none"/>
        </w:rPr>
        <w:t>2.2 分值构成与评分标准</w:t>
      </w:r>
    </w:p>
    <w:p>
      <w:pPr>
        <w:tabs>
          <w:tab w:val="left" w:pos="360"/>
          <w:tab w:val="left" w:pos="540"/>
        </w:tabs>
        <w:spacing w:line="276" w:lineRule="auto"/>
        <w:ind w:firstLine="48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分值构成</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）投标报价：</w:t>
      </w:r>
      <w:r>
        <w:rPr>
          <w:rFonts w:hint="eastAsia" w:ascii="宋体" w:hAnsi="宋体" w:cs="宋体"/>
          <w:color w:val="auto"/>
          <w:kern w:val="0"/>
          <w:szCs w:val="21"/>
          <w:highlight w:val="none"/>
        </w:rPr>
        <w:t>见评标办法前附表；</w:t>
      </w:r>
    </w:p>
    <w:p>
      <w:pPr>
        <w:tabs>
          <w:tab w:val="left" w:pos="360"/>
          <w:tab w:val="left" w:pos="540"/>
        </w:tabs>
        <w:spacing w:line="276" w:lineRule="auto"/>
        <w:ind w:firstLine="480"/>
        <w:rPr>
          <w:rFonts w:ascii="宋体" w:hAnsi="宋体" w:cs="宋体"/>
          <w:color w:val="auto"/>
          <w:kern w:val="0"/>
          <w:szCs w:val="21"/>
          <w:highlight w:val="none"/>
        </w:rPr>
      </w:pPr>
      <w:r>
        <w:rPr>
          <w:rFonts w:hint="eastAsia" w:ascii="宋体" w:hAnsi="宋体"/>
          <w:color w:val="auto"/>
          <w:szCs w:val="21"/>
          <w:highlight w:val="none"/>
        </w:rPr>
        <w:t>（2）设计方案：</w:t>
      </w:r>
      <w:r>
        <w:rPr>
          <w:rFonts w:hint="eastAsia" w:ascii="宋体" w:hAnsi="宋体" w:cs="宋体"/>
          <w:color w:val="auto"/>
          <w:kern w:val="0"/>
          <w:szCs w:val="21"/>
          <w:highlight w:val="none"/>
        </w:rPr>
        <w:t>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s="宋体"/>
          <w:color w:val="auto"/>
          <w:kern w:val="0"/>
          <w:szCs w:val="21"/>
          <w:highlight w:val="none"/>
        </w:rPr>
        <w:t>（3）其它因素：见评标办法前附表；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2.2.2</w:t>
      </w:r>
      <w:r>
        <w:rPr>
          <w:rFonts w:hint="eastAsia" w:ascii="宋体" w:hAnsi="宋体" w:cs="宋体"/>
          <w:color w:val="auto"/>
          <w:kern w:val="0"/>
          <w:szCs w:val="21"/>
          <w:highlight w:val="none"/>
        </w:rPr>
        <w:t>评标基准值计算</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评标基准值的计算方法：见评标办法前附表。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2.2.3</w:t>
      </w:r>
      <w:r>
        <w:rPr>
          <w:rFonts w:hint="eastAsia" w:ascii="宋体" w:hAnsi="宋体" w:cs="宋体"/>
          <w:color w:val="auto"/>
          <w:kern w:val="0"/>
          <w:szCs w:val="21"/>
          <w:highlight w:val="none"/>
        </w:rPr>
        <w:t>投标报价的偏差率计算</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投标报价的计算公式：见评标办法前附表。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2.2.4</w:t>
      </w:r>
      <w:r>
        <w:rPr>
          <w:rFonts w:hint="eastAsia" w:ascii="宋体" w:hAnsi="宋体" w:cs="宋体"/>
          <w:color w:val="auto"/>
          <w:kern w:val="0"/>
          <w:szCs w:val="21"/>
          <w:highlight w:val="none"/>
        </w:rPr>
        <w:t>评分标准</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）设计方案评分标准：见评标办法前附表；</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（2）投标报价评分标准：见评标办法前附表；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s="宋体"/>
          <w:color w:val="auto"/>
          <w:kern w:val="0"/>
          <w:szCs w:val="21"/>
          <w:highlight w:val="none"/>
        </w:rPr>
        <w:t>（3）其它因素：见评标办法前附表；</w:t>
      </w:r>
    </w:p>
    <w:p>
      <w:pPr>
        <w:tabs>
          <w:tab w:val="left" w:pos="360"/>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3  评标程序</w:t>
      </w:r>
    </w:p>
    <w:p>
      <w:pPr>
        <w:autoSpaceDE w:val="0"/>
        <w:autoSpaceDN w:val="0"/>
        <w:adjustRightInd w:val="0"/>
        <w:spacing w:line="276" w:lineRule="auto"/>
        <w:jc w:val="left"/>
        <w:rPr>
          <w:rFonts w:ascii="黑体" w:hAnsi="宋体" w:eastAsia="黑体" w:cs="仿宋_GB2312"/>
          <w:color w:val="auto"/>
          <w:kern w:val="0"/>
          <w:sz w:val="24"/>
          <w:highlight w:val="none"/>
        </w:rPr>
      </w:pPr>
      <w:r>
        <w:rPr>
          <w:rFonts w:hint="eastAsia" w:ascii="黑体" w:hAnsi="宋体" w:eastAsia="黑体" w:cs="仿宋_GB2312"/>
          <w:color w:val="auto"/>
          <w:kern w:val="0"/>
          <w:sz w:val="24"/>
          <w:highlight w:val="none"/>
        </w:rPr>
        <w:t>3.1初步评审</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3.1.1 磋商小组依据本章评审办法前附表规定的标准，对</w:t>
      </w:r>
      <w:r>
        <w:rPr>
          <w:rFonts w:hint="eastAsia" w:ascii="宋体" w:hAnsi="宋体" w:eastAsia="宋体" w:cs="仿宋_GB2312"/>
          <w:color w:val="auto"/>
          <w:kern w:val="0"/>
          <w:szCs w:val="21"/>
          <w:highlight w:val="none"/>
          <w:lang w:eastAsia="zh-CN"/>
        </w:rPr>
        <w:t>投标人</w:t>
      </w:r>
      <w:r>
        <w:rPr>
          <w:rFonts w:hint="eastAsia" w:ascii="宋体" w:hAnsi="宋体" w:eastAsia="宋体" w:cs="仿宋_GB2312"/>
          <w:color w:val="auto"/>
          <w:kern w:val="0"/>
          <w:szCs w:val="21"/>
          <w:highlight w:val="none"/>
        </w:rPr>
        <w:t>的响应文件进行初步评审，以确定其是否满足竞争性磋商文件的实质性要求，有一项不符合评审标准的，磋商小组应当认定其响应文件无效。</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eastAsia="zh-CN"/>
        </w:rPr>
      </w:pPr>
      <w:r>
        <w:rPr>
          <w:rFonts w:hint="eastAsia" w:ascii="宋体" w:hAnsi="宋体" w:eastAsia="宋体" w:cs="仿宋_GB2312"/>
          <w:color w:val="auto"/>
          <w:kern w:val="0"/>
          <w:szCs w:val="21"/>
          <w:highlight w:val="none"/>
        </w:rPr>
        <w:t>3.1.2 磋商报价有算术错误及其他错误的，磋商小组按以下原则要求供应商对磋商报价进行修正</w:t>
      </w:r>
      <w:r>
        <w:rPr>
          <w:rFonts w:hint="eastAsia" w:ascii="宋体" w:hAnsi="宋体" w:eastAsia="宋体" w:cs="仿宋_GB2312"/>
          <w:color w:val="auto"/>
          <w:kern w:val="0"/>
          <w:szCs w:val="21"/>
          <w:highlight w:val="none"/>
          <w:lang w:eastAsia="zh-CN"/>
        </w:rPr>
        <w:t>：</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1）</w:t>
      </w:r>
      <w:r>
        <w:rPr>
          <w:rFonts w:hint="eastAsia" w:ascii="宋体" w:hAnsi="宋体" w:eastAsia="宋体" w:cs="仿宋_GB2312"/>
          <w:color w:val="auto"/>
          <w:kern w:val="0"/>
          <w:szCs w:val="21"/>
          <w:highlight w:val="none"/>
        </w:rPr>
        <w:t>大写金额和小写金额不一致的，以大写金额为准，但大写金额文字存在错误的，应当先对大写金额的文字错误进行澄清、说明或者更正，再行修正。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2）</w:t>
      </w:r>
      <w:r>
        <w:rPr>
          <w:rFonts w:hint="eastAsia" w:ascii="宋体" w:hAnsi="宋体" w:eastAsia="宋体" w:cs="仿宋_GB2312"/>
          <w:color w:val="auto"/>
          <w:kern w:val="0"/>
          <w:szCs w:val="21"/>
          <w:highlight w:val="none"/>
        </w:rPr>
        <w:t>总价金额与按单价汇总金额不一致的，以单价金额计算结果为准，但</w:t>
      </w:r>
      <w:r>
        <w:rPr>
          <w:rFonts w:hint="eastAsia" w:ascii="宋体" w:hAnsi="宋体" w:eastAsia="宋体" w:cs="仿宋_GB2312"/>
          <w:color w:val="auto"/>
          <w:kern w:val="0"/>
          <w:szCs w:val="21"/>
          <w:highlight w:val="none"/>
          <w:lang w:eastAsia="zh-CN"/>
        </w:rPr>
        <w:t>单</w:t>
      </w:r>
      <w:r>
        <w:rPr>
          <w:rFonts w:hint="eastAsia" w:ascii="宋体" w:hAnsi="宋体" w:eastAsia="宋体" w:cs="仿宋_GB2312"/>
          <w:color w:val="auto"/>
          <w:kern w:val="0"/>
          <w:szCs w:val="21"/>
          <w:highlight w:val="none"/>
        </w:rPr>
        <w:t>价或者单价汇总金额存在数字或者文字错误的，应当先对数字或者文字错误进行澄清、说明或者更正，再行修正。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3.1.3有下列情形之一的，评标委员会应当否决其投标：</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（1）投标文件未经</w:t>
      </w:r>
      <w:r>
        <w:rPr>
          <w:rFonts w:hint="eastAsia" w:ascii="宋体" w:hAnsi="宋体" w:cs="仿宋_GB2312"/>
          <w:color w:val="auto"/>
          <w:kern w:val="0"/>
          <w:szCs w:val="21"/>
          <w:highlight w:val="none"/>
          <w:lang w:eastAsia="zh-CN"/>
        </w:rPr>
        <w:t>响应单位</w:t>
      </w:r>
      <w:r>
        <w:rPr>
          <w:rFonts w:hint="eastAsia" w:ascii="宋体" w:hAnsi="宋体" w:eastAsia="宋体" w:cs="仿宋_GB2312"/>
          <w:color w:val="auto"/>
          <w:kern w:val="0"/>
          <w:szCs w:val="21"/>
          <w:highlight w:val="none"/>
        </w:rPr>
        <w:t>盖章和单位负责人签字；</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（2）投标联合体没有提交共同投标协议；</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（3）投标人不符合国家或者</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文件规定的资格条件；</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（4）同一投标人提交两个以上不同的投标文件或者投标报价，但</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文件要求提交备选投标的除外；</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（5）投标报价低于成本或者高于</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文件设定的最高投标限价；</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（6）投标文件没有对</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文件的实质性要求和条件作出响应；</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（7）投标人有串通投标、弄虚作假、行贿等违法行为。</w:t>
      </w:r>
    </w:p>
    <w:p>
      <w:pPr>
        <w:pStyle w:val="135"/>
        <w:numPr>
          <w:ilvl w:val="0"/>
          <w:numId w:val="0"/>
        </w:numPr>
        <w:bidi w:val="0"/>
        <w:rPr>
          <w:rFonts w:hint="eastAsia" w:ascii="黑体" w:hAnsi="宋体" w:eastAsia="黑体" w:cs="黑体"/>
          <w:color w:val="auto"/>
          <w:kern w:val="0"/>
          <w:sz w:val="24"/>
          <w:highlight w:val="none"/>
        </w:rPr>
      </w:pPr>
      <w:r>
        <w:rPr>
          <w:rFonts w:hint="eastAsia" w:ascii="黑体" w:hAnsi="宋体" w:eastAsia="黑体" w:cs="黑体"/>
          <w:color w:val="auto"/>
          <w:kern w:val="0"/>
          <w:sz w:val="24"/>
          <w:highlight w:val="none"/>
        </w:rPr>
        <w:t>3.2 详细评审</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3.2.1、</w:t>
      </w:r>
      <w:r>
        <w:rPr>
          <w:rFonts w:hint="eastAsia" w:ascii="宋体" w:hAnsi="宋体" w:eastAsia="宋体" w:cs="仿宋_GB2312"/>
          <w:color w:val="auto"/>
          <w:kern w:val="0"/>
          <w:szCs w:val="21"/>
          <w:highlight w:val="none"/>
        </w:rPr>
        <w:t>磋商小组集中与单一供应商分别进行磋商。磋商顺序按电子响应文件到达交易系统的顺序，在磋商中，磋商双方可以就磋商项目所涉及的价格、技术、服务、合同草案条款等进行实质性磋商，但磋商的任何一方不得透露与磋商有关的其他供应商的商业秘密、技术资料、价格和其他信息。</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3.2.2、</w:t>
      </w:r>
      <w:r>
        <w:rPr>
          <w:rFonts w:hint="eastAsia" w:ascii="宋体" w:hAnsi="宋体" w:eastAsia="宋体" w:cs="仿宋_GB2312"/>
          <w:color w:val="auto"/>
          <w:kern w:val="0"/>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3.2.3、</w:t>
      </w:r>
      <w:r>
        <w:rPr>
          <w:rFonts w:hint="eastAsia" w:ascii="宋体" w:hAnsi="宋体" w:eastAsia="宋体" w:cs="仿宋_GB2312"/>
          <w:color w:val="auto"/>
          <w:kern w:val="0"/>
          <w:szCs w:val="21"/>
          <w:highlight w:val="none"/>
        </w:rPr>
        <w:t>对竞争性磋商文件作出的实质性变动是竞争性磋商文件的有效组成部分，磋商小组应当同时通知所有参加磋商的</w:t>
      </w:r>
      <w:r>
        <w:rPr>
          <w:rFonts w:hint="eastAsia" w:ascii="宋体" w:hAnsi="宋体" w:eastAsia="宋体" w:cs="仿宋_GB2312"/>
          <w:color w:val="auto"/>
          <w:kern w:val="0"/>
          <w:szCs w:val="21"/>
          <w:highlight w:val="none"/>
          <w:lang w:eastAsia="zh-CN"/>
        </w:rPr>
        <w:t>投标人</w:t>
      </w:r>
      <w:r>
        <w:rPr>
          <w:rFonts w:hint="eastAsia" w:ascii="宋体" w:hAnsi="宋体" w:eastAsia="宋体" w:cs="仿宋_GB2312"/>
          <w:color w:val="auto"/>
          <w:kern w:val="0"/>
          <w:szCs w:val="21"/>
          <w:highlight w:val="none"/>
        </w:rPr>
        <w:t>。</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3.2.4、</w:t>
      </w:r>
      <w:r>
        <w:rPr>
          <w:rFonts w:hint="eastAsia" w:ascii="宋体" w:hAnsi="宋体" w:eastAsia="宋体" w:cs="仿宋_GB2312"/>
          <w:color w:val="auto"/>
          <w:kern w:val="0"/>
          <w:szCs w:val="21"/>
          <w:highlight w:val="none"/>
        </w:rPr>
        <w:t>所有投标人磋商结束后，磋商小组将要求所有符合</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需求的投标人在规定的时间内同时进行报价（二次报价），即最终报价。最后报价（二轮报价）是</w:t>
      </w:r>
      <w:r>
        <w:rPr>
          <w:rFonts w:hint="eastAsia" w:ascii="宋体" w:hAnsi="宋体" w:cs="仿宋_GB2312"/>
          <w:color w:val="auto"/>
          <w:kern w:val="0"/>
          <w:szCs w:val="21"/>
          <w:highlight w:val="none"/>
          <w:lang w:eastAsia="zh-CN"/>
        </w:rPr>
        <w:t>投标人</w:t>
      </w:r>
      <w:r>
        <w:rPr>
          <w:rFonts w:hint="eastAsia" w:ascii="宋体" w:hAnsi="宋体" w:eastAsia="宋体" w:cs="仿宋_GB2312"/>
          <w:color w:val="auto"/>
          <w:kern w:val="0"/>
          <w:szCs w:val="21"/>
          <w:highlight w:val="none"/>
        </w:rPr>
        <w:t>响应文件的有效组成部分【注：1、最后报价不得超出第一轮报价和</w:t>
      </w:r>
      <w:r>
        <w:rPr>
          <w:rFonts w:hint="eastAsia" w:ascii="宋体" w:hAnsi="宋体" w:eastAsia="宋体" w:cs="仿宋_GB2312"/>
          <w:color w:val="auto"/>
          <w:kern w:val="0"/>
          <w:szCs w:val="21"/>
          <w:highlight w:val="none"/>
          <w:lang w:eastAsia="zh-CN"/>
        </w:rPr>
        <w:t>控制</w:t>
      </w:r>
      <w:r>
        <w:rPr>
          <w:rFonts w:hint="eastAsia" w:ascii="宋体" w:hAnsi="宋体" w:eastAsia="宋体" w:cs="仿宋_GB2312"/>
          <w:color w:val="auto"/>
          <w:kern w:val="0"/>
          <w:szCs w:val="21"/>
          <w:highlight w:val="none"/>
        </w:rPr>
        <w:t>价；2、最后报价明显低于成本价的，供应商需做出合理说明，否则将承担不被接受的风险】。</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val="en-US" w:eastAsia="zh-CN"/>
        </w:rPr>
      </w:pPr>
      <w:r>
        <w:rPr>
          <w:rFonts w:hint="eastAsia" w:ascii="宋体" w:hAnsi="宋体" w:eastAsia="宋体" w:cs="仿宋_GB2312"/>
          <w:color w:val="auto"/>
          <w:kern w:val="0"/>
          <w:szCs w:val="21"/>
          <w:highlight w:val="none"/>
          <w:lang w:val="en-US" w:eastAsia="zh-CN"/>
        </w:rPr>
        <w:t>3.2.5、投标人通过初步评审后，方可进行第二次报价，第一次报价为磋商响应文件中的报价，第二次报价为最终报价，按第二次报价计算投标人的报价得分。</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3.2.6、</w:t>
      </w:r>
      <w:r>
        <w:rPr>
          <w:rFonts w:hint="eastAsia" w:ascii="宋体" w:hAnsi="宋体" w:eastAsia="宋体" w:cs="仿宋_GB2312"/>
          <w:color w:val="auto"/>
          <w:kern w:val="0"/>
          <w:szCs w:val="21"/>
          <w:highlight w:val="none"/>
        </w:rPr>
        <w:t>情况特殊,经磋商小组根据磋商现场情况，可以要求供应商适当进行多轮报价。</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val="en-US" w:eastAsia="zh-CN"/>
        </w:rPr>
      </w:pPr>
      <w:r>
        <w:rPr>
          <w:rFonts w:hint="eastAsia" w:ascii="宋体" w:hAnsi="宋体" w:eastAsia="宋体" w:cs="仿宋_GB2312"/>
          <w:color w:val="auto"/>
          <w:kern w:val="0"/>
          <w:szCs w:val="21"/>
          <w:highlight w:val="none"/>
          <w:lang w:val="en-US" w:eastAsia="zh-CN"/>
        </w:rPr>
        <w:t>3.2.7、经磋商确定最终采购需求和提交最后报价的投标人后，由磋商小组采用综合评分法对提交最后报价的投标人的响应文件和最后报价进行综合评分，按综合得分由高到低的顺序推荐3名成交候选人，由磋商小组在磋商记录上签字。</w:t>
      </w:r>
    </w:p>
    <w:p>
      <w:pPr>
        <w:spacing w:line="400" w:lineRule="exact"/>
        <w:rPr>
          <w:rFonts w:ascii="黑体" w:hAnsi="宋体" w:eastAsia="黑体" w:cs="黑体"/>
          <w:color w:val="auto"/>
          <w:kern w:val="0"/>
          <w:sz w:val="24"/>
          <w:highlight w:val="none"/>
        </w:rPr>
      </w:pPr>
      <w:r>
        <w:rPr>
          <w:rFonts w:hint="eastAsia" w:ascii="黑体" w:hAnsi="宋体" w:eastAsia="黑体" w:cs="黑体"/>
          <w:color w:val="auto"/>
          <w:kern w:val="0"/>
          <w:sz w:val="24"/>
          <w:highlight w:val="none"/>
        </w:rPr>
        <w:t>3.3 投标文件的澄清和补正</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3.3.1</w:t>
      </w:r>
      <w:r>
        <w:rPr>
          <w:rFonts w:hint="eastAsia" w:ascii="宋体" w:hAnsi="宋体" w:cs="仿宋_GB2312"/>
          <w:color w:val="auto"/>
          <w:kern w:val="0"/>
          <w:szCs w:val="21"/>
          <w:highlight w:val="none"/>
        </w:rPr>
        <w:t>在评标过程中，评标委员会可以</w:t>
      </w:r>
      <w:r>
        <w:rPr>
          <w:rFonts w:hint="eastAsia" w:ascii="宋体" w:hAnsi="宋体" w:cs="仿宋_GB2312"/>
          <w:color w:val="auto"/>
          <w:kern w:val="0"/>
          <w:szCs w:val="21"/>
          <w:highlight w:val="none"/>
          <w:lang w:val="en-US" w:eastAsia="zh-CN"/>
        </w:rPr>
        <w:t>系统线上</w:t>
      </w:r>
      <w:r>
        <w:rPr>
          <w:rFonts w:hint="eastAsia" w:ascii="宋体" w:hAnsi="宋体" w:cs="仿宋_GB2312"/>
          <w:color w:val="auto"/>
          <w:kern w:val="0"/>
          <w:szCs w:val="21"/>
          <w:highlight w:val="none"/>
        </w:rPr>
        <w:t>形式要求投标人对所提交投标文件中不明确的内容进行</w:t>
      </w:r>
      <w:r>
        <w:rPr>
          <w:rFonts w:hint="eastAsia" w:ascii="宋体" w:hAnsi="宋体" w:cs="仿宋_GB2312"/>
          <w:color w:val="auto"/>
          <w:kern w:val="0"/>
          <w:szCs w:val="21"/>
          <w:highlight w:val="none"/>
          <w:lang w:val="en-US" w:eastAsia="zh-CN"/>
        </w:rPr>
        <w:t>线上</w:t>
      </w:r>
      <w:r>
        <w:rPr>
          <w:rFonts w:hint="eastAsia" w:ascii="宋体" w:hAnsi="宋体" w:cs="仿宋_GB2312"/>
          <w:color w:val="auto"/>
          <w:kern w:val="0"/>
          <w:szCs w:val="21"/>
          <w:highlight w:val="none"/>
        </w:rPr>
        <w:t>澄清或说明，或者对细微偏差进行补正。评标委员会不接受投标人主动提出的澄清、说明或补正。</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3.3.2</w:t>
      </w:r>
      <w:r>
        <w:rPr>
          <w:rFonts w:hint="eastAsia" w:ascii="宋体" w:hAnsi="宋体" w:cs="仿宋_GB2312"/>
          <w:color w:val="auto"/>
          <w:kern w:val="0"/>
          <w:szCs w:val="21"/>
          <w:highlight w:val="none"/>
        </w:rPr>
        <w:t>澄清、说明和补正不得改变投标文件的实质性内容（算术性错误修正的除外）。投标人的澄清、说明和补正属于投标文件的组成部分。</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3.3.3</w:t>
      </w:r>
      <w:r>
        <w:rPr>
          <w:rFonts w:hint="eastAsia" w:ascii="宋体" w:hAnsi="宋体" w:cs="仿宋_GB2312"/>
          <w:color w:val="auto"/>
          <w:kern w:val="0"/>
          <w:szCs w:val="21"/>
          <w:highlight w:val="none"/>
        </w:rPr>
        <w:t>评标委员会对投标人提交的澄清、说明或补正有疑问的，可以要求投标人进一步澄清、说明或补正，直至满足评标委员会的要求。</w:t>
      </w:r>
    </w:p>
    <w:p>
      <w:pPr>
        <w:pStyle w:val="8"/>
        <w:spacing w:line="240" w:lineRule="auto"/>
        <w:ind w:right="22"/>
        <w:jc w:val="left"/>
        <w:rPr>
          <w:rFonts w:hint="eastAsia" w:ascii="宋体" w:hAnsi="宋体" w:eastAsia="宋体" w:cs="宋体"/>
          <w:b w:val="0"/>
          <w:bCs w:val="0"/>
          <w:color w:val="auto"/>
          <w:sz w:val="24"/>
          <w:szCs w:val="24"/>
          <w:highlight w:val="none"/>
        </w:rPr>
      </w:pPr>
      <w:r>
        <w:rPr>
          <w:rFonts w:hint="eastAsia" w:ascii="黑体" w:hAnsi="宋体" w:eastAsia="黑体"/>
          <w:color w:val="auto"/>
          <w:sz w:val="24"/>
          <w:highlight w:val="none"/>
        </w:rPr>
        <w:t>3.4 评标结果</w:t>
      </w:r>
      <w:bookmarkStart w:id="68" w:name="_TOC_250003"/>
      <w:bookmarkEnd w:id="68"/>
      <w:bookmarkStart w:id="69" w:name="_TOC_250001"/>
      <w:bookmarkEnd w:id="69"/>
    </w:p>
    <w:p>
      <w:pPr>
        <w:tabs>
          <w:tab w:val="left" w:pos="360"/>
          <w:tab w:val="left" w:pos="540"/>
        </w:tabs>
        <w:spacing w:line="400" w:lineRule="exact"/>
        <w:ind w:firstLine="478" w:firstLine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3.4.1除</w:t>
      </w:r>
      <w:r>
        <w:rPr>
          <w:rFonts w:hint="eastAsia" w:ascii="宋体" w:hAnsi="宋体" w:cs="Times New Roman"/>
          <w:color w:val="auto"/>
          <w:szCs w:val="21"/>
          <w:highlight w:val="none"/>
          <w:lang w:eastAsia="zh-CN"/>
        </w:rPr>
        <w:t>招标</w:t>
      </w:r>
      <w:r>
        <w:rPr>
          <w:rFonts w:hint="eastAsia" w:ascii="宋体" w:hAnsi="宋体" w:eastAsia="宋体" w:cs="Times New Roman"/>
          <w:color w:val="auto"/>
          <w:szCs w:val="21"/>
          <w:highlight w:val="none"/>
        </w:rPr>
        <w:t>人授权直接确定成交人外，按照评审得分由高到低顺序推荐</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名成交候选供应商，评审得分相同的，按照最后报价由低到高的顺序推荐。评审得分且最后报价相同的，按照技术指标优劣顺序推荐，并编写评审报告。</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3.4.2</w:t>
      </w:r>
      <w:r>
        <w:rPr>
          <w:rFonts w:hint="eastAsia" w:ascii="宋体" w:hAnsi="宋体"/>
          <w:color w:val="auto"/>
          <w:szCs w:val="21"/>
          <w:highlight w:val="none"/>
          <w:lang w:eastAsia="zh-CN"/>
        </w:rPr>
        <w:t>招标</w:t>
      </w:r>
      <w:r>
        <w:rPr>
          <w:rFonts w:hint="eastAsia" w:ascii="宋体" w:hAnsi="宋体"/>
          <w:color w:val="auto"/>
          <w:szCs w:val="21"/>
          <w:highlight w:val="none"/>
        </w:rPr>
        <w:t>人应当自收到评标报告之日起</w:t>
      </w:r>
      <w:r>
        <w:rPr>
          <w:rFonts w:hint="eastAsia" w:ascii="宋体" w:hAnsi="宋体"/>
          <w:color w:val="auto"/>
          <w:szCs w:val="21"/>
          <w:highlight w:val="none"/>
          <w:lang w:val="en-US" w:eastAsia="zh-CN"/>
        </w:rPr>
        <w:t>2</w:t>
      </w:r>
      <w:r>
        <w:rPr>
          <w:rFonts w:hint="eastAsia" w:ascii="宋体" w:hAnsi="宋体"/>
          <w:color w:val="auto"/>
          <w:szCs w:val="21"/>
          <w:highlight w:val="none"/>
        </w:rPr>
        <w:t>日内公示中标候选人，公示期不得少于</w:t>
      </w:r>
      <w:r>
        <w:rPr>
          <w:rFonts w:hint="eastAsia" w:ascii="宋体" w:hAnsi="宋体"/>
          <w:color w:val="auto"/>
          <w:szCs w:val="21"/>
          <w:highlight w:val="none"/>
          <w:lang w:val="en-US" w:eastAsia="zh-CN"/>
        </w:rPr>
        <w:t>1</w:t>
      </w:r>
      <w:r>
        <w:rPr>
          <w:rFonts w:hint="eastAsia" w:ascii="宋体" w:hAnsi="宋体"/>
          <w:color w:val="auto"/>
          <w:szCs w:val="21"/>
          <w:highlight w:val="none"/>
        </w:rPr>
        <w:t>日。</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3.4.3评标报告应当由评标委员会全体成员签字。对评标结果有不同意见的评标委员会成员应当以书面形式说明其不同意见和理由，评标报告应当同时注明。评标委员会成员拒绝在评标报告上签字又不书面说明其不同意见和理由的，视为同意评标结果。</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3.4.4投标人或者其他利害关系人对评标结果有异议的，应当在中标候选人公示期间提出。</w:t>
      </w:r>
      <w:r>
        <w:rPr>
          <w:rFonts w:hint="eastAsia" w:ascii="宋体" w:hAnsi="宋体"/>
          <w:color w:val="auto"/>
          <w:szCs w:val="21"/>
          <w:highlight w:val="none"/>
          <w:lang w:eastAsia="zh-CN"/>
        </w:rPr>
        <w:t>采购人</w:t>
      </w:r>
      <w:r>
        <w:rPr>
          <w:rFonts w:hint="eastAsia" w:ascii="宋体" w:hAnsi="宋体"/>
          <w:color w:val="auto"/>
          <w:szCs w:val="21"/>
          <w:highlight w:val="none"/>
        </w:rPr>
        <w:t>应当自收到异议之日起3日内作出答复，作出答复前，应当暂停</w:t>
      </w:r>
      <w:r>
        <w:rPr>
          <w:rFonts w:hint="eastAsia" w:ascii="宋体" w:hAnsi="宋体"/>
          <w:color w:val="auto"/>
          <w:szCs w:val="21"/>
          <w:highlight w:val="none"/>
          <w:lang w:eastAsia="zh-CN"/>
        </w:rPr>
        <w:t>磋商</w:t>
      </w:r>
      <w:r>
        <w:rPr>
          <w:rFonts w:hint="eastAsia" w:ascii="宋体" w:hAnsi="宋体"/>
          <w:color w:val="auto"/>
          <w:szCs w:val="21"/>
          <w:highlight w:val="none"/>
        </w:rPr>
        <w:t>投标活动。</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3.4.5公示期满后，</w:t>
      </w:r>
      <w:r>
        <w:rPr>
          <w:rFonts w:hint="eastAsia" w:ascii="宋体" w:hAnsi="宋体"/>
          <w:color w:val="auto"/>
          <w:szCs w:val="21"/>
          <w:highlight w:val="none"/>
          <w:lang w:eastAsia="zh-CN"/>
        </w:rPr>
        <w:t>招标</w:t>
      </w:r>
      <w:r>
        <w:rPr>
          <w:rFonts w:hint="eastAsia" w:ascii="宋体" w:hAnsi="宋体"/>
          <w:color w:val="auto"/>
          <w:szCs w:val="21"/>
          <w:highlight w:val="none"/>
        </w:rPr>
        <w:t>人应当确定排名第一的中标候选人为中标人。排名第一的中标候选人放弃中标、因不可抗力不能履行合同、不按照</w:t>
      </w:r>
      <w:r>
        <w:rPr>
          <w:rFonts w:hint="eastAsia" w:ascii="宋体" w:hAnsi="宋体"/>
          <w:color w:val="auto"/>
          <w:szCs w:val="21"/>
          <w:highlight w:val="none"/>
          <w:lang w:eastAsia="zh-CN"/>
        </w:rPr>
        <w:t>磋商</w:t>
      </w:r>
      <w:r>
        <w:rPr>
          <w:rFonts w:hint="eastAsia" w:ascii="宋体" w:hAnsi="宋体"/>
          <w:color w:val="auto"/>
          <w:szCs w:val="21"/>
          <w:highlight w:val="none"/>
        </w:rPr>
        <w:t>文件要求提交履约保证金，或者被查实存在影响中标结果的违法行为等情形，不符合中标条件的，</w:t>
      </w:r>
      <w:r>
        <w:rPr>
          <w:rFonts w:hint="eastAsia" w:ascii="宋体" w:hAnsi="宋体"/>
          <w:color w:val="auto"/>
          <w:szCs w:val="21"/>
          <w:highlight w:val="none"/>
          <w:lang w:eastAsia="zh-CN"/>
        </w:rPr>
        <w:t>采购人</w:t>
      </w:r>
      <w:r>
        <w:rPr>
          <w:rFonts w:hint="eastAsia" w:ascii="宋体" w:hAnsi="宋体"/>
          <w:color w:val="auto"/>
          <w:szCs w:val="21"/>
          <w:highlight w:val="none"/>
        </w:rPr>
        <w:t>可以按照评标委员会提出的中标候选人名单排序依次确定其他中标候选人为中标人。其他中标候选人被发现存在前款情形的，</w:t>
      </w:r>
      <w:r>
        <w:rPr>
          <w:rFonts w:hint="eastAsia" w:ascii="宋体" w:hAnsi="宋体"/>
          <w:color w:val="auto"/>
          <w:szCs w:val="21"/>
          <w:highlight w:val="none"/>
          <w:lang w:eastAsia="zh-CN"/>
        </w:rPr>
        <w:t>招标</w:t>
      </w:r>
      <w:r>
        <w:rPr>
          <w:rFonts w:hint="eastAsia" w:ascii="宋体" w:hAnsi="宋体"/>
          <w:color w:val="auto"/>
          <w:szCs w:val="21"/>
          <w:highlight w:val="none"/>
        </w:rPr>
        <w:t>人应重新</w:t>
      </w:r>
      <w:r>
        <w:rPr>
          <w:rFonts w:hint="eastAsia" w:ascii="宋体" w:hAnsi="宋体"/>
          <w:color w:val="auto"/>
          <w:szCs w:val="21"/>
          <w:highlight w:val="none"/>
          <w:lang w:eastAsia="zh-CN"/>
        </w:rPr>
        <w:t>招标</w:t>
      </w:r>
      <w:r>
        <w:rPr>
          <w:rFonts w:hint="eastAsia" w:ascii="宋体" w:hAnsi="宋体"/>
          <w:color w:val="auto"/>
          <w:szCs w:val="21"/>
          <w:highlight w:val="none"/>
        </w:rPr>
        <w:t>。</w:t>
      </w:r>
      <w:bookmarkEnd w:id="67"/>
      <w:bookmarkStart w:id="70" w:name="_Toc2640"/>
    </w:p>
    <w:p>
      <w:pPr>
        <w:widowControl/>
        <w:jc w:val="left"/>
        <w:rPr>
          <w:b/>
          <w:bCs/>
          <w:color w:val="auto"/>
          <w:kern w:val="44"/>
          <w:sz w:val="36"/>
          <w:szCs w:val="44"/>
          <w:highlight w:val="none"/>
        </w:rPr>
      </w:pPr>
      <w:bookmarkStart w:id="71" w:name="_Toc478314728"/>
      <w:r>
        <w:rPr>
          <w:color w:val="auto"/>
          <w:highlight w:val="none"/>
        </w:rPr>
        <w:br w:type="page"/>
      </w:r>
    </w:p>
    <w:p>
      <w:pPr>
        <w:pStyle w:val="8"/>
        <w:rPr>
          <w:color w:val="auto"/>
          <w:highlight w:val="none"/>
        </w:rPr>
      </w:pPr>
      <w:r>
        <w:rPr>
          <w:rFonts w:hint="eastAsia"/>
          <w:color w:val="auto"/>
          <w:highlight w:val="none"/>
        </w:rPr>
        <w:t>第四章合同条款及格式</w:t>
      </w:r>
      <w:bookmarkEnd w:id="70"/>
      <w:bookmarkEnd w:id="71"/>
    </w:p>
    <w:p>
      <w:pPr>
        <w:rPr>
          <w:color w:val="auto"/>
          <w:highlight w:val="none"/>
        </w:rPr>
      </w:pPr>
    </w:p>
    <w:p>
      <w:pPr>
        <w:rPr>
          <w:color w:val="auto"/>
          <w:highlight w:val="none"/>
        </w:rPr>
      </w:pPr>
    </w:p>
    <w:p>
      <w:pPr>
        <w:tabs>
          <w:tab w:val="left" w:pos="8100"/>
        </w:tabs>
        <w:spacing w:line="440" w:lineRule="atLeast"/>
        <w:jc w:val="center"/>
        <w:rPr>
          <w:rFonts w:ascii="宋体" w:hAnsi="宋体"/>
          <w:color w:val="auto"/>
          <w:sz w:val="24"/>
          <w:highlight w:val="none"/>
        </w:rPr>
      </w:pPr>
      <w:r>
        <w:rPr>
          <w:rFonts w:hint="eastAsia" w:ascii="宋体" w:hAnsi="宋体"/>
          <w:color w:val="auto"/>
          <w:sz w:val="24"/>
          <w:highlight w:val="none"/>
        </w:rPr>
        <w:t>第一章节 通用合同条款</w:t>
      </w:r>
    </w:p>
    <w:p>
      <w:pPr>
        <w:tabs>
          <w:tab w:val="left" w:pos="8100"/>
        </w:tabs>
        <w:spacing w:line="440" w:lineRule="atLeast"/>
        <w:jc w:val="center"/>
        <w:rPr>
          <w:rFonts w:ascii="宋体" w:hAnsi="宋体"/>
          <w:color w:val="auto"/>
          <w:sz w:val="24"/>
          <w:highlight w:val="none"/>
        </w:rPr>
      </w:pPr>
      <w:r>
        <w:rPr>
          <w:rFonts w:hint="eastAsia" w:ascii="宋体" w:hAnsi="宋体"/>
          <w:color w:val="auto"/>
          <w:sz w:val="24"/>
          <w:highlight w:val="none"/>
        </w:rPr>
        <w:t>按《建设工程设计合同示范文本》（GF-2015-0209）、通用条款执行</w:t>
      </w:r>
    </w:p>
    <w:p>
      <w:pPr>
        <w:tabs>
          <w:tab w:val="left" w:pos="8100"/>
        </w:tabs>
        <w:spacing w:line="440" w:lineRule="atLeast"/>
        <w:jc w:val="center"/>
        <w:rPr>
          <w:rFonts w:ascii="宋体" w:hAnsi="宋体"/>
          <w:color w:val="auto"/>
          <w:sz w:val="24"/>
          <w:highlight w:val="none"/>
        </w:rPr>
      </w:pPr>
      <w:r>
        <w:rPr>
          <w:rFonts w:hint="eastAsia" w:ascii="宋体" w:hAnsi="宋体"/>
          <w:color w:val="auto"/>
          <w:sz w:val="24"/>
          <w:highlight w:val="none"/>
        </w:rPr>
        <w:t>(具体内容以标准合同文本为准)</w:t>
      </w:r>
    </w:p>
    <w:p>
      <w:pPr>
        <w:tabs>
          <w:tab w:val="left" w:pos="8100"/>
        </w:tabs>
        <w:spacing w:line="440" w:lineRule="atLeast"/>
        <w:jc w:val="center"/>
        <w:rPr>
          <w:rFonts w:ascii="宋体" w:hAnsi="宋体"/>
          <w:color w:val="auto"/>
          <w:sz w:val="24"/>
          <w:highlight w:val="none"/>
        </w:rPr>
      </w:pPr>
    </w:p>
    <w:p>
      <w:pPr>
        <w:tabs>
          <w:tab w:val="left" w:pos="8100"/>
        </w:tabs>
        <w:spacing w:line="440" w:lineRule="atLeast"/>
        <w:jc w:val="center"/>
        <w:rPr>
          <w:rFonts w:ascii="宋体" w:hAnsi="宋体"/>
          <w:color w:val="auto"/>
          <w:sz w:val="24"/>
          <w:highlight w:val="none"/>
        </w:rPr>
      </w:pPr>
    </w:p>
    <w:p>
      <w:pPr>
        <w:tabs>
          <w:tab w:val="left" w:pos="8100"/>
        </w:tabs>
        <w:spacing w:line="440" w:lineRule="atLeast"/>
        <w:jc w:val="center"/>
        <w:rPr>
          <w:rFonts w:ascii="宋体" w:hAnsi="宋体" w:cs="宋体"/>
          <w:color w:val="auto"/>
          <w:sz w:val="24"/>
          <w:highlight w:val="none"/>
        </w:rPr>
      </w:pPr>
      <w:r>
        <w:rPr>
          <w:rFonts w:hint="eastAsia" w:ascii="宋体" w:hAnsi="宋体" w:cs="宋体"/>
          <w:color w:val="auto"/>
          <w:sz w:val="24"/>
          <w:highlight w:val="none"/>
        </w:rPr>
        <w:t>第二章节 专项合同条款</w:t>
      </w:r>
    </w:p>
    <w:p>
      <w:pPr>
        <w:tabs>
          <w:tab w:val="left" w:pos="8100"/>
        </w:tabs>
        <w:spacing w:line="440" w:lineRule="atLeast"/>
        <w:jc w:val="center"/>
        <w:rPr>
          <w:rFonts w:ascii="宋体" w:hAnsi="宋体"/>
          <w:color w:val="auto"/>
          <w:sz w:val="24"/>
          <w:highlight w:val="none"/>
        </w:rPr>
      </w:pPr>
      <w:r>
        <w:rPr>
          <w:rFonts w:hint="eastAsia" w:ascii="宋体" w:hAnsi="宋体"/>
          <w:color w:val="auto"/>
          <w:sz w:val="24"/>
          <w:highlight w:val="none"/>
        </w:rPr>
        <w:t>（结合项目情况，由</w:t>
      </w:r>
      <w:r>
        <w:rPr>
          <w:rFonts w:hint="eastAsia" w:ascii="宋体" w:hAnsi="宋体"/>
          <w:color w:val="auto"/>
          <w:sz w:val="24"/>
          <w:highlight w:val="none"/>
          <w:lang w:eastAsia="zh-CN"/>
        </w:rPr>
        <w:t>采购人</w:t>
      </w:r>
      <w:r>
        <w:rPr>
          <w:rFonts w:hint="eastAsia" w:ascii="宋体" w:hAnsi="宋体"/>
          <w:color w:val="auto"/>
          <w:sz w:val="24"/>
          <w:highlight w:val="none"/>
        </w:rPr>
        <w:t>与中标人自行商定）</w:t>
      </w:r>
    </w:p>
    <w:p>
      <w:pPr>
        <w:tabs>
          <w:tab w:val="left" w:pos="8100"/>
        </w:tabs>
        <w:spacing w:line="440" w:lineRule="atLeast"/>
        <w:jc w:val="center"/>
        <w:rPr>
          <w:rFonts w:eastAsia="黑体" w:cs="宋体"/>
          <w:b/>
          <w:color w:val="auto"/>
          <w:sz w:val="24"/>
          <w:szCs w:val="20"/>
          <w:highlight w:val="none"/>
        </w:rPr>
      </w:pPr>
    </w:p>
    <w:p>
      <w:pPr>
        <w:tabs>
          <w:tab w:val="left" w:pos="8100"/>
        </w:tabs>
        <w:spacing w:line="440" w:lineRule="atLeast"/>
        <w:jc w:val="center"/>
        <w:rPr>
          <w:color w:val="auto"/>
          <w:highlight w:val="none"/>
        </w:rPr>
      </w:pPr>
      <w:r>
        <w:rPr>
          <w:rFonts w:eastAsia="黑体" w:cs="宋体"/>
          <w:b/>
          <w:color w:val="auto"/>
          <w:sz w:val="24"/>
          <w:szCs w:val="20"/>
          <w:highlight w:val="none"/>
        </w:rPr>
        <w:br w:type="page"/>
      </w:r>
      <w:bookmarkStart w:id="72" w:name="_Toc478314729"/>
      <w:bookmarkStart w:id="73" w:name="_Toc29344"/>
    </w:p>
    <w:p>
      <w:pPr>
        <w:pStyle w:val="8"/>
        <w:rPr>
          <w:color w:val="auto"/>
          <w:highlight w:val="none"/>
        </w:rPr>
      </w:pPr>
      <w:r>
        <w:rPr>
          <w:rFonts w:hint="eastAsia"/>
          <w:color w:val="auto"/>
          <w:highlight w:val="none"/>
        </w:rPr>
        <w:t>第五章</w:t>
      </w:r>
      <w:bookmarkEnd w:id="72"/>
      <w:bookmarkEnd w:id="73"/>
      <w:r>
        <w:rPr>
          <w:rFonts w:hint="eastAsia"/>
          <w:color w:val="auto"/>
          <w:highlight w:val="none"/>
        </w:rPr>
        <w:t xml:space="preserve"> 设计服务内容</w:t>
      </w:r>
    </w:p>
    <w:p>
      <w:pPr>
        <w:pStyle w:val="8"/>
        <w:spacing w:before="0"/>
        <w:jc w:val="center"/>
        <w:rPr>
          <w:rFonts w:hint="eastAsia"/>
          <w:color w:val="auto"/>
          <w:highlight w:val="none"/>
          <w:lang w:val="en-US" w:eastAsia="zh-CN"/>
        </w:rPr>
      </w:pPr>
      <w:bookmarkStart w:id="74" w:name="_Toc465848106"/>
      <w:bookmarkStart w:id="75" w:name="_Toc478314730"/>
      <w:bookmarkStart w:id="76" w:name="_Toc29014"/>
      <w:r>
        <w:rPr>
          <w:rFonts w:hint="eastAsia"/>
          <w:color w:val="auto"/>
          <w:highlight w:val="none"/>
          <w:lang w:val="en-US" w:eastAsia="zh-CN"/>
        </w:rPr>
        <w:t>淅川县水利局淅川县丹江口库区及上游水土流失综合治理工程香九马项目区初步设计服务内容及要求</w:t>
      </w:r>
    </w:p>
    <w:p>
      <w:pPr>
        <w:numPr>
          <w:ilvl w:val="0"/>
          <w:numId w:val="3"/>
        </w:numPr>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项目实施地点：淅川县九重镇、香花镇、马蹬镇、上集镇等4个乡镇。</w:t>
      </w:r>
    </w:p>
    <w:p>
      <w:pPr>
        <w:pStyle w:val="2"/>
        <w:numPr>
          <w:ilvl w:val="0"/>
          <w:numId w:val="0"/>
        </w:numPr>
        <w:rPr>
          <w:rFonts w:hint="default" w:ascii="仿宋" w:hAnsi="仿宋" w:eastAsia="仿宋" w:cs="仿宋"/>
          <w:color w:val="auto"/>
          <w:kern w:val="2"/>
          <w:sz w:val="32"/>
          <w:szCs w:val="28"/>
          <w:highlight w:val="none"/>
          <w:lang w:val="en-US" w:eastAsia="zh-CN" w:bidi="ar-SA"/>
        </w:rPr>
      </w:pPr>
    </w:p>
    <w:p>
      <w:pPr>
        <w:pStyle w:val="5"/>
        <w:numPr>
          <w:ilvl w:val="0"/>
          <w:numId w:val="3"/>
        </w:numPr>
        <w:ind w:left="0" w:leftChars="0" w:firstLine="0" w:firstLineChars="0"/>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主要设计内容：项目规划治理水土流失面积80.39km，其中综合治理4.94km封育治理75.45km，建设内容主要包括:改梯0.80km，修建蓄水池11座，水窖30座，沉沙池30座，生产道路9.26km，排灌沟渠12.89km，疏溪固堤9.13km，拦沙坝11座，谷坊24座:治塘筑堰4座，垃圾收集池42座，生态湿地6.1万m，村庄绿化工程4处;水保林1.03km,经济林3.11km;封育治理75.45km项目区标志牌4座，封禁标牌26块，网围栏7.73km，疏林补植32.22万株等。</w:t>
      </w:r>
    </w:p>
    <w:p>
      <w:pPr>
        <w:numPr>
          <w:ilvl w:val="0"/>
          <w:numId w:val="3"/>
        </w:numPr>
        <w:ind w:left="0" w:leftChars="0" w:firstLine="0" w:firstLineChars="0"/>
        <w:rPr>
          <w:rFonts w:hint="default"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项目设计工期：30日历天；</w:t>
      </w:r>
    </w:p>
    <w:p>
      <w:pPr>
        <w:pStyle w:val="2"/>
        <w:spacing w:after="0" w:line="360" w:lineRule="exact"/>
        <w:ind w:left="0" w:leftChars="0" w:firstLine="0" w:firstLineChars="0"/>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4、质量：符合国家相关标准和行业规范要求；</w:t>
      </w:r>
    </w:p>
    <w:p>
      <w:pPr>
        <w:pStyle w:val="2"/>
        <w:rPr>
          <w:rFonts w:hint="default"/>
          <w:color w:val="auto"/>
          <w:highlight w:val="none"/>
          <w:lang w:val="en-US" w:eastAsia="zh-CN"/>
        </w:rPr>
      </w:pPr>
    </w:p>
    <w:p>
      <w:pPr>
        <w:rPr>
          <w:rFonts w:hint="default"/>
          <w:color w:val="auto"/>
          <w:highlight w:val="none"/>
          <w:lang w:val="en-US"/>
        </w:rPr>
      </w:pPr>
    </w:p>
    <w:p>
      <w:pPr>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highlight w:val="none"/>
        </w:rPr>
      </w:pPr>
    </w:p>
    <w:p>
      <w:pPr>
        <w:bidi w:val="0"/>
        <w:rPr>
          <w:rFonts w:hint="eastAsia"/>
          <w:color w:val="auto"/>
          <w:highlight w:val="none"/>
        </w:rPr>
      </w:pPr>
    </w:p>
    <w:p>
      <w:pPr>
        <w:pStyle w:val="8"/>
        <w:rPr>
          <w:rFonts w:hint="eastAsia"/>
          <w:color w:val="auto"/>
          <w:highlight w:val="none"/>
        </w:rPr>
      </w:pPr>
      <w:r>
        <w:rPr>
          <w:rFonts w:hint="eastAsia"/>
          <w:color w:val="auto"/>
          <w:highlight w:val="none"/>
        </w:rPr>
        <w:t>第六章投标文件格式</w:t>
      </w:r>
      <w:bookmarkEnd w:id="74"/>
      <w:bookmarkEnd w:id="75"/>
      <w:bookmarkEnd w:id="76"/>
    </w:p>
    <w:p>
      <w:pPr>
        <w:spacing w:line="400" w:lineRule="exact"/>
        <w:jc w:val="center"/>
        <w:rPr>
          <w:b/>
          <w:color w:val="auto"/>
          <w:highlight w:val="none"/>
        </w:rPr>
      </w:pPr>
    </w:p>
    <w:p>
      <w:pPr>
        <w:pStyle w:val="133"/>
        <w:adjustRightInd w:val="0"/>
        <w:snapToGrid w:val="0"/>
        <w:spacing w:line="360"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淅川县水利局淅川县丹江口库区及上游水土流失综合治理工程香九马项目区初步设计</w:t>
      </w:r>
    </w:p>
    <w:p>
      <w:pPr>
        <w:rPr>
          <w:rFonts w:eastAsia="黑体"/>
          <w:color w:val="auto"/>
          <w:sz w:val="20"/>
          <w:szCs w:val="20"/>
          <w:highlight w:val="none"/>
        </w:rPr>
      </w:pPr>
    </w:p>
    <w:p>
      <w:pPr>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eastAsia="zh-CN"/>
        </w:rPr>
        <w:t>响</w:t>
      </w:r>
      <w:r>
        <w:rPr>
          <w:rFonts w:hint="eastAsia" w:ascii="宋体" w:hAnsi="宋体" w:eastAsia="宋体" w:cs="宋体"/>
          <w:b/>
          <w:color w:val="auto"/>
          <w:sz w:val="72"/>
          <w:szCs w:val="72"/>
          <w:highlight w:val="none"/>
        </w:rPr>
        <w:t xml:space="preserve">  </w:t>
      </w:r>
      <w:r>
        <w:rPr>
          <w:rFonts w:hint="eastAsia" w:ascii="宋体" w:hAnsi="宋体" w:eastAsia="宋体" w:cs="宋体"/>
          <w:b/>
          <w:color w:val="auto"/>
          <w:sz w:val="72"/>
          <w:szCs w:val="72"/>
          <w:highlight w:val="none"/>
          <w:lang w:eastAsia="zh-CN"/>
        </w:rPr>
        <w:t>应</w:t>
      </w:r>
      <w:r>
        <w:rPr>
          <w:rFonts w:hint="eastAsia" w:ascii="宋体" w:hAnsi="宋体" w:eastAsia="宋体" w:cs="宋体"/>
          <w:b/>
          <w:color w:val="auto"/>
          <w:sz w:val="72"/>
          <w:szCs w:val="72"/>
          <w:highlight w:val="none"/>
        </w:rPr>
        <w:t xml:space="preserve">  文  件</w:t>
      </w:r>
    </w:p>
    <w:p>
      <w:pPr>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项目编号：</w:t>
      </w:r>
    </w:p>
    <w:p>
      <w:pPr>
        <w:autoSpaceDE w:val="0"/>
        <w:autoSpaceDN w:val="0"/>
        <w:adjustRightInd w:val="0"/>
        <w:spacing w:line="420" w:lineRule="exact"/>
        <w:jc w:val="center"/>
        <w:outlineLvl w:val="1"/>
        <w:rPr>
          <w:rFonts w:ascii="宋体" w:hAnsi="宋体"/>
          <w:color w:val="auto"/>
          <w:kern w:val="0"/>
          <w:sz w:val="44"/>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2"/>
        <w:rPr>
          <w:rFonts w:eastAsia="黑体"/>
          <w:color w:val="auto"/>
          <w:sz w:val="28"/>
          <w:szCs w:val="28"/>
          <w:highlight w:val="none"/>
        </w:rPr>
      </w:pPr>
    </w:p>
    <w:p>
      <w:pPr>
        <w:pStyle w:val="5"/>
        <w:rPr>
          <w:rFonts w:eastAsia="黑体"/>
          <w:color w:val="auto"/>
          <w:sz w:val="28"/>
          <w:szCs w:val="28"/>
          <w:highlight w:val="none"/>
        </w:rPr>
      </w:pPr>
    </w:p>
    <w:p>
      <w:pPr>
        <w:rPr>
          <w:rFonts w:eastAsia="黑体"/>
          <w:color w:val="auto"/>
          <w:sz w:val="28"/>
          <w:szCs w:val="28"/>
          <w:highlight w:val="none"/>
        </w:rPr>
      </w:pPr>
    </w:p>
    <w:p>
      <w:pPr>
        <w:pStyle w:val="2"/>
        <w:rPr>
          <w:rFonts w:eastAsia="黑体"/>
          <w:color w:val="auto"/>
          <w:sz w:val="28"/>
          <w:szCs w:val="28"/>
          <w:highlight w:val="none"/>
        </w:rPr>
      </w:pPr>
    </w:p>
    <w:p>
      <w:pPr>
        <w:pStyle w:val="5"/>
        <w:rPr>
          <w:color w:val="auto"/>
          <w:highlight w:val="none"/>
        </w:rPr>
      </w:pPr>
    </w:p>
    <w:p>
      <w:pPr>
        <w:numPr>
          <w:ilvl w:val="0"/>
          <w:numId w:val="0"/>
        </w:numPr>
        <w:ind w:leftChars="0"/>
        <w:jc w:val="both"/>
        <w:rPr>
          <w:rFonts w:eastAsia="黑体"/>
          <w:color w:val="auto"/>
          <w:sz w:val="28"/>
          <w:szCs w:val="28"/>
          <w:highlight w:val="none"/>
        </w:rPr>
      </w:pPr>
    </w:p>
    <w:p>
      <w:pPr>
        <w:numPr>
          <w:ilvl w:val="0"/>
          <w:numId w:val="0"/>
        </w:numPr>
        <w:ind w:left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eastAsia="黑体"/>
          <w:color w:val="auto"/>
          <w:sz w:val="28"/>
          <w:szCs w:val="28"/>
          <w:highlight w:val="none"/>
        </w:rPr>
        <w:t>投标人：（</w:t>
      </w:r>
      <w:r>
        <w:rPr>
          <w:rFonts w:hint="eastAsia" w:eastAsia="黑体"/>
          <w:color w:val="auto"/>
          <w:sz w:val="28"/>
          <w:szCs w:val="28"/>
          <w:highlight w:val="none"/>
        </w:rPr>
        <w:t>电子签章</w:t>
      </w:r>
      <w:r>
        <w:rPr>
          <w:rFonts w:eastAsia="黑体"/>
          <w:color w:val="auto"/>
          <w:sz w:val="28"/>
          <w:szCs w:val="28"/>
          <w:highlight w:val="none"/>
        </w:rPr>
        <w:t>）</w:t>
      </w:r>
    </w:p>
    <w:p>
      <w:pPr>
        <w:numPr>
          <w:ilvl w:val="0"/>
          <w:numId w:val="0"/>
        </w:numPr>
        <w:ind w:left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eastAsia="黑体"/>
          <w:color w:val="auto"/>
          <w:sz w:val="28"/>
          <w:szCs w:val="28"/>
          <w:highlight w:val="none"/>
        </w:rPr>
        <w:t>法定代表人或其委托代理人：（</w:t>
      </w:r>
      <w:r>
        <w:rPr>
          <w:rFonts w:hint="eastAsia" w:eastAsia="黑体"/>
          <w:color w:val="auto"/>
          <w:sz w:val="28"/>
          <w:szCs w:val="28"/>
          <w:highlight w:val="none"/>
        </w:rPr>
        <w:t>电子签章</w:t>
      </w:r>
      <w:r>
        <w:rPr>
          <w:rFonts w:eastAsia="黑体"/>
          <w:color w:val="auto"/>
          <w:sz w:val="28"/>
          <w:szCs w:val="28"/>
          <w:highlight w:val="none"/>
        </w:rPr>
        <w:t>）</w:t>
      </w:r>
    </w:p>
    <w:p>
      <w:pPr>
        <w:numPr>
          <w:ilvl w:val="0"/>
          <w:numId w:val="0"/>
        </w:numPr>
        <w:ind w:left="420" w:leftChars="0" w:hanging="420" w:firstLine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eastAsia="黑体"/>
          <w:color w:val="auto"/>
          <w:sz w:val="28"/>
          <w:szCs w:val="28"/>
          <w:highlight w:val="none"/>
        </w:rPr>
        <w:t>年月日</w:t>
      </w:r>
    </w:p>
    <w:p>
      <w:pPr>
        <w:pStyle w:val="124"/>
        <w:jc w:val="center"/>
        <w:rPr>
          <w:rFonts w:hint="eastAsia" w:ascii="宋体" w:hAnsi="宋体" w:eastAsia="宋体" w:cs="宋体"/>
          <w:color w:val="auto"/>
          <w:sz w:val="36"/>
          <w:szCs w:val="36"/>
          <w:highlight w:val="none"/>
        </w:rPr>
      </w:pPr>
      <w:bookmarkStart w:id="77" w:name="_Toc152042576"/>
      <w:bookmarkStart w:id="78" w:name="_Toc15493"/>
      <w:bookmarkStart w:id="79" w:name="_Toc179632807"/>
      <w:bookmarkStart w:id="80" w:name="_Toc144974856"/>
      <w:bookmarkStart w:id="81" w:name="_Toc152045787"/>
      <w:r>
        <w:rPr>
          <w:color w:val="auto"/>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bookmarkEnd w:id="77"/>
      <w:bookmarkEnd w:id="78"/>
      <w:bookmarkEnd w:id="79"/>
      <w:bookmarkEnd w:id="80"/>
      <w:bookmarkEnd w:id="81"/>
    </w:p>
    <w:p>
      <w:pPr>
        <w:spacing w:line="540" w:lineRule="exact"/>
        <w:rPr>
          <w:rFonts w:hint="eastAsia" w:ascii="宋体" w:hAnsi="宋体" w:eastAsia="宋体" w:cs="宋体"/>
          <w:color w:val="auto"/>
          <w:sz w:val="36"/>
          <w:szCs w:val="36"/>
          <w:highlight w:val="none"/>
        </w:rPr>
      </w:pP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bidi="zh-CN"/>
        </w:rPr>
        <w:t>1.</w:t>
      </w:r>
      <w:r>
        <w:rPr>
          <w:rFonts w:hint="eastAsia" w:ascii="宋体" w:hAnsi="宋体" w:eastAsia="宋体" w:cs="宋体"/>
          <w:b w:val="0"/>
          <w:bCs w:val="0"/>
          <w:color w:val="auto"/>
          <w:sz w:val="28"/>
          <w:szCs w:val="28"/>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2.</w:t>
      </w:r>
      <w:r>
        <w:rPr>
          <w:rFonts w:hint="eastAsia" w:ascii="宋体" w:hAnsi="宋体" w:eastAsia="宋体" w:cs="宋体"/>
          <w:b w:val="0"/>
          <w:bCs w:val="0"/>
          <w:color w:val="auto"/>
          <w:sz w:val="28"/>
          <w:szCs w:val="28"/>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3.</w:t>
      </w:r>
      <w:r>
        <w:rPr>
          <w:rFonts w:hint="eastAsia" w:ascii="宋体" w:hAnsi="宋体" w:eastAsia="宋体" w:cs="宋体"/>
          <w:b w:val="0"/>
          <w:bCs w:val="0"/>
          <w:color w:val="auto"/>
          <w:sz w:val="28"/>
          <w:szCs w:val="28"/>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4.</w:t>
      </w:r>
      <w:r>
        <w:rPr>
          <w:rFonts w:hint="eastAsia" w:ascii="宋体" w:hAnsi="宋体" w:eastAsia="宋体" w:cs="宋体"/>
          <w:b w:val="0"/>
          <w:bCs w:val="0"/>
          <w:color w:val="auto"/>
          <w:sz w:val="28"/>
          <w:szCs w:val="28"/>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5.</w:t>
      </w:r>
      <w:r>
        <w:rPr>
          <w:rFonts w:hint="eastAsia" w:ascii="宋体" w:hAnsi="宋体" w:eastAsia="宋体" w:cs="宋体"/>
          <w:b w:val="0"/>
          <w:bCs w:val="0"/>
          <w:color w:val="auto"/>
          <w:sz w:val="28"/>
          <w:szCs w:val="28"/>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6.</w:t>
      </w:r>
      <w:r>
        <w:rPr>
          <w:rFonts w:hint="eastAsia" w:ascii="宋体" w:hAnsi="宋体" w:eastAsia="宋体" w:cs="宋体"/>
          <w:b w:val="0"/>
          <w:bCs w:val="0"/>
          <w:color w:val="auto"/>
          <w:sz w:val="28"/>
          <w:szCs w:val="28"/>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7.</w:t>
      </w:r>
      <w:r>
        <w:rPr>
          <w:rFonts w:hint="eastAsia" w:ascii="宋体" w:hAnsi="宋体" w:eastAsia="宋体" w:cs="宋体"/>
          <w:b w:val="0"/>
          <w:bCs w:val="0"/>
          <w:color w:val="auto"/>
          <w:sz w:val="28"/>
          <w:szCs w:val="28"/>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8.</w:t>
      </w:r>
      <w:r>
        <w:rPr>
          <w:rFonts w:hint="eastAsia" w:ascii="宋体" w:hAnsi="宋体" w:eastAsia="宋体" w:cs="宋体"/>
          <w:b w:val="0"/>
          <w:bCs w:val="0"/>
          <w:color w:val="auto"/>
          <w:sz w:val="28"/>
          <w:szCs w:val="28"/>
          <w:highlight w:val="none"/>
          <w:lang w:val="zh-CN" w:bidi="zh-CN"/>
        </w:rPr>
        <w:t>承诺</w:t>
      </w:r>
      <w:r>
        <w:rPr>
          <w:rFonts w:hint="eastAsia" w:ascii="宋体" w:hAnsi="宋体" w:eastAsia="宋体" w:cs="宋体"/>
          <w:b w:val="0"/>
          <w:bCs w:val="0"/>
          <w:color w:val="auto"/>
          <w:sz w:val="28"/>
          <w:szCs w:val="28"/>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9.</w:t>
      </w:r>
      <w:r>
        <w:rPr>
          <w:rFonts w:hint="eastAsia" w:ascii="宋体" w:hAnsi="宋体" w:eastAsia="宋体" w:cs="宋体"/>
          <w:b w:val="0"/>
          <w:bCs w:val="0"/>
          <w:color w:val="auto"/>
          <w:sz w:val="28"/>
          <w:szCs w:val="28"/>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10.</w:t>
      </w:r>
      <w:r>
        <w:rPr>
          <w:rFonts w:hint="eastAsia" w:ascii="宋体" w:hAnsi="宋体" w:eastAsia="宋体" w:cs="宋体"/>
          <w:b w:val="0"/>
          <w:bCs w:val="0"/>
          <w:color w:val="auto"/>
          <w:sz w:val="28"/>
          <w:szCs w:val="28"/>
          <w:highlight w:val="none"/>
          <w:lang w:val="zh-CN" w:bidi="zh-CN"/>
        </w:rPr>
        <w:t>投标人认为响应磋商文件应提供的其它资料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11.</w:t>
      </w:r>
      <w:r>
        <w:rPr>
          <w:rFonts w:hint="eastAsia" w:ascii="宋体" w:hAnsi="宋体" w:eastAsia="宋体" w:cs="宋体"/>
          <w:b w:val="0"/>
          <w:bCs w:val="0"/>
          <w:color w:val="auto"/>
          <w:sz w:val="28"/>
          <w:szCs w:val="28"/>
          <w:highlight w:val="none"/>
          <w:lang w:val="zh-CN" w:bidi="zh-CN"/>
        </w:rPr>
        <w:t>享受政府采购政策的证明材料</w:t>
      </w:r>
    </w:p>
    <w:p>
      <w:pPr>
        <w:pStyle w:val="5"/>
        <w:ind w:firstLine="562"/>
        <w:rPr>
          <w:b w:val="0"/>
          <w:bCs w:val="0"/>
          <w:color w:val="auto"/>
          <w:sz w:val="28"/>
          <w:szCs w:val="28"/>
          <w:highlight w:val="none"/>
        </w:rPr>
      </w:pPr>
    </w:p>
    <w:p>
      <w:pPr>
        <w:rPr>
          <w:b w:val="0"/>
          <w:bCs w:val="0"/>
          <w:color w:val="auto"/>
          <w:sz w:val="28"/>
          <w:szCs w:val="28"/>
          <w:highlight w:val="none"/>
        </w:rPr>
      </w:pPr>
    </w:p>
    <w:p>
      <w:pPr>
        <w:pStyle w:val="2"/>
        <w:ind w:firstLine="281"/>
        <w:rPr>
          <w:rFonts w:eastAsia="宋体"/>
          <w:b w:val="0"/>
          <w:bCs w:val="0"/>
          <w:color w:val="auto"/>
          <w:sz w:val="28"/>
          <w:szCs w:val="28"/>
          <w:highlight w:val="none"/>
        </w:rPr>
      </w:pPr>
    </w:p>
    <w:p>
      <w:pPr>
        <w:pStyle w:val="5"/>
        <w:ind w:firstLine="562"/>
        <w:rPr>
          <w:b/>
          <w:color w:val="auto"/>
          <w:highlight w:val="none"/>
        </w:rPr>
      </w:pPr>
    </w:p>
    <w:p>
      <w:pPr>
        <w:rPr>
          <w:b/>
          <w:color w:val="auto"/>
          <w:highlight w:val="none"/>
        </w:rPr>
      </w:pPr>
    </w:p>
    <w:p>
      <w:pPr>
        <w:pStyle w:val="2"/>
        <w:ind w:firstLine="281"/>
        <w:rPr>
          <w:rFonts w:eastAsia="宋体"/>
          <w:b/>
          <w:color w:val="auto"/>
          <w:highlight w:val="none"/>
        </w:rPr>
      </w:pPr>
    </w:p>
    <w:p>
      <w:pPr>
        <w:pStyle w:val="5"/>
        <w:ind w:firstLine="560"/>
        <w:rPr>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pStyle w:val="124"/>
        <w:bidi w:val="0"/>
        <w:ind w:firstLine="2800" w:firstLineChars="1000"/>
        <w:rPr>
          <w:color w:val="auto"/>
          <w:highlight w:val="none"/>
        </w:rPr>
      </w:pPr>
      <w:bookmarkStart w:id="82" w:name="_Toc144974857"/>
      <w:bookmarkStart w:id="83" w:name="_Toc179632808"/>
      <w:bookmarkStart w:id="84" w:name="_Toc152045788"/>
      <w:bookmarkStart w:id="85" w:name="_Toc15028"/>
      <w:bookmarkStart w:id="86" w:name="_Toc152042577"/>
      <w:r>
        <w:rPr>
          <w:rFonts w:hint="eastAsia"/>
          <w:color w:val="auto"/>
          <w:highlight w:val="none"/>
          <w:lang w:val="en-US" w:eastAsia="zh-CN"/>
        </w:rPr>
        <w:t>1</w:t>
      </w:r>
      <w:r>
        <w:rPr>
          <w:color w:val="auto"/>
          <w:highlight w:val="none"/>
        </w:rPr>
        <w:t>、投标函及投标函附录</w:t>
      </w:r>
      <w:bookmarkEnd w:id="82"/>
      <w:bookmarkEnd w:id="83"/>
      <w:bookmarkEnd w:id="84"/>
      <w:bookmarkEnd w:id="85"/>
      <w:bookmarkEnd w:id="86"/>
    </w:p>
    <w:p>
      <w:pPr>
        <w:pStyle w:val="10"/>
        <w:tabs>
          <w:tab w:val="left" w:pos="839"/>
        </w:tabs>
        <w:spacing w:line="360" w:lineRule="auto"/>
        <w:ind w:right="17" w:firstLine="3935" w:firstLineChars="1400"/>
        <w:jc w:val="both"/>
        <w:rPr>
          <w:rFonts w:hint="eastAsia" w:ascii="宋体" w:hAnsi="宋体" w:eastAsia="宋体" w:cs="宋体"/>
          <w:b/>
          <w:color w:val="auto"/>
          <w:sz w:val="24"/>
          <w:szCs w:val="24"/>
          <w:highlight w:val="none"/>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tab/>
      </w:r>
      <w:bookmarkStart w:id="87" w:name="_bookmark17"/>
      <w:bookmarkEnd w:id="87"/>
      <w:r>
        <w:rPr>
          <w:rFonts w:hint="eastAsia" w:ascii="宋体" w:hAnsi="宋体" w:eastAsia="宋体" w:cs="宋体"/>
          <w:color w:val="auto"/>
          <w:sz w:val="28"/>
          <w:szCs w:val="28"/>
          <w:highlight w:val="none"/>
        </w:rPr>
        <w:t>投标函</w:t>
      </w:r>
    </w:p>
    <w:p>
      <w:pPr>
        <w:pStyle w:val="3"/>
        <w:spacing w:before="70" w:line="360"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人名称）</w:t>
      </w:r>
    </w:p>
    <w:p>
      <w:pPr>
        <w:pStyle w:val="3"/>
        <w:spacing w:before="7" w:line="360" w:lineRule="auto"/>
        <w:rPr>
          <w:rFonts w:hint="eastAsia" w:ascii="宋体" w:hAnsi="宋体" w:eastAsia="宋体" w:cs="宋体"/>
          <w:color w:val="auto"/>
          <w:sz w:val="24"/>
          <w:szCs w:val="24"/>
          <w:highlight w:val="none"/>
        </w:rPr>
      </w:pPr>
    </w:p>
    <w:p>
      <w:pPr>
        <w:adjustRightInd w:val="0"/>
        <w:snapToGrid w:val="0"/>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(项目名称)磋商文件的全部内容，愿意以人民币(大写)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元)的投标总报价，</w:t>
      </w:r>
      <w:r>
        <w:rPr>
          <w:rFonts w:hint="eastAsia" w:ascii="宋体" w:hAnsi="宋体" w:eastAsia="宋体" w:cs="宋体"/>
          <w:color w:val="auto"/>
          <w:sz w:val="24"/>
          <w:szCs w:val="24"/>
          <w:highlight w:val="none"/>
          <w:lang w:eastAsia="zh-CN"/>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设计工期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提供按磋商文件及含服务要求的全部内容。</w:t>
      </w:r>
    </w:p>
    <w:p>
      <w:pPr>
        <w:pStyle w:val="134"/>
        <w:numPr>
          <w:ilvl w:val="0"/>
          <w:numId w:val="4"/>
        </w:numPr>
        <w:tabs>
          <w:tab w:val="left" w:pos="1680"/>
        </w:tabs>
        <w:spacing w:line="360" w:lineRule="auto"/>
        <w:ind w:left="0" w:leftChars="0" w:right="437" w:rightChars="0" w:firstLine="44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如果我方成交，我方将按竞争性磋商文件的规定签订并严格履行合同中的责任和义务，在签订合同时不向你方提出附加条件，在合同约定的期限内完成合同规定的全部内容。</w:t>
      </w:r>
    </w:p>
    <w:p>
      <w:pPr>
        <w:pStyle w:val="134"/>
        <w:numPr>
          <w:ilvl w:val="0"/>
          <w:numId w:val="4"/>
        </w:numPr>
        <w:tabs>
          <w:tab w:val="left" w:pos="1680"/>
        </w:tabs>
        <w:spacing w:line="360" w:lineRule="auto"/>
        <w:ind w:left="0" w:leftChars="0" w:right="437" w:rightChars="0" w:firstLine="440" w:firstLineChars="20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我方已详细审查全部竞争性磋商文件，包括修改文件以及全部参考资料和有关附 件。我方完全理解并同意放弃对这方面有不明及误解的权力。</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磋商有效期为提交首次响应文件的截止之日起</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日历天。</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我方在此声明，所递交的响应文件及有关资料内容完整、真实和准确，且不存在第二章“供应商须知”规定的任何一种情形。</w:t>
      </w:r>
    </w:p>
    <w:p>
      <w:pPr>
        <w:pStyle w:val="134"/>
        <w:numPr>
          <w:ilvl w:val="0"/>
          <w:numId w:val="4"/>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我方同意提供按照贵方可能要求的与其磋商有关的一切数据或资料，完全理解贵方不一定接受最低价的响应。</w:t>
      </w:r>
    </w:p>
    <w:p>
      <w:pPr>
        <w:pStyle w:val="3"/>
        <w:rPr>
          <w:rFonts w:hint="eastAsia" w:ascii="宋体" w:hAnsi="宋体" w:eastAsia="宋体" w:cs="宋体"/>
          <w:color w:val="auto"/>
          <w:sz w:val="24"/>
          <w:szCs w:val="24"/>
          <w:highlight w:val="none"/>
        </w:rPr>
      </w:pPr>
    </w:p>
    <w:p>
      <w:pPr>
        <w:spacing w:line="360" w:lineRule="auto"/>
        <w:ind w:firstLine="960" w:firstLineChars="4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(盖单位章)</w:t>
      </w:r>
    </w:p>
    <w:p>
      <w:pPr>
        <w:spacing w:line="36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(签字)</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邮政编码：___________________</w:t>
      </w:r>
    </w:p>
    <w:p>
      <w:pPr>
        <w:spacing w:line="360" w:lineRule="auto"/>
        <w:ind w:firstLine="6480" w:firstLineChars="2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______年______月______日</w:t>
      </w: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3"/>
        <w:spacing w:before="1"/>
        <w:ind w:firstLine="3132" w:firstLineChars="13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w:t>
      </w:r>
      <w:bookmarkStart w:id="88" w:name="_bookmark18"/>
      <w:bookmarkEnd w:id="88"/>
      <w:bookmarkStart w:id="89" w:name="二、投标函附录（第一轮报价）"/>
      <w:bookmarkEnd w:id="89"/>
      <w:r>
        <w:rPr>
          <w:rFonts w:hint="eastAsia" w:ascii="宋体" w:hAnsi="宋体" w:eastAsia="宋体" w:cs="宋体"/>
          <w:b/>
          <w:bCs/>
          <w:color w:val="auto"/>
          <w:kern w:val="0"/>
          <w:sz w:val="24"/>
          <w:szCs w:val="24"/>
          <w:highlight w:val="none"/>
          <w:lang w:val="en-US" w:eastAsia="zh-CN" w:bidi="ar-SA"/>
        </w:rPr>
        <w:t>投标函附录（第一轮报价）</w:t>
      </w:r>
    </w:p>
    <w:p>
      <w:pPr>
        <w:pStyle w:val="3"/>
        <w:spacing w:before="5"/>
        <w:rPr>
          <w:rFonts w:hint="eastAsia" w:ascii="宋体" w:hAnsi="宋体" w:eastAsia="宋体" w:cs="宋体"/>
          <w:b/>
          <w:color w:val="auto"/>
          <w:sz w:val="24"/>
          <w:highlight w:val="none"/>
        </w:rPr>
      </w:pPr>
    </w:p>
    <w:tbl>
      <w:tblPr>
        <w:tblStyle w:val="34"/>
        <w:tblW w:w="8926" w:type="dxa"/>
        <w:jc w:val="center"/>
        <w:tblLayout w:type="fixed"/>
        <w:tblCellMar>
          <w:top w:w="0" w:type="dxa"/>
          <w:left w:w="0" w:type="dxa"/>
          <w:bottom w:w="0" w:type="dxa"/>
          <w:right w:w="0" w:type="dxa"/>
        </w:tblCellMar>
      </w:tblPr>
      <w:tblGrid>
        <w:gridCol w:w="1877"/>
        <w:gridCol w:w="7049"/>
      </w:tblGrid>
      <w:tr>
        <w:tblPrEx>
          <w:tblCellMar>
            <w:top w:w="0" w:type="dxa"/>
            <w:left w:w="0" w:type="dxa"/>
            <w:bottom w:w="0" w:type="dxa"/>
            <w:right w:w="0" w:type="dxa"/>
          </w:tblCellMar>
        </w:tblPrEx>
        <w:trPr>
          <w:trHeight w:val="81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39"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182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w:t>
            </w:r>
          </w:p>
        </w:tc>
        <w:tc>
          <w:tcPr>
            <w:tcW w:w="7049" w:type="dxa"/>
            <w:tcBorders>
              <w:top w:val="single" w:color="auto" w:sz="4" w:space="0"/>
              <w:left w:val="single" w:color="auto" w:sz="4" w:space="0"/>
              <w:bottom w:val="single" w:color="auto" w:sz="4" w:space="0"/>
              <w:right w:val="single" w:color="auto" w:sz="8" w:space="0"/>
            </w:tcBorders>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元</w:t>
            </w: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设计工期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6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7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bl>
    <w:p>
      <w:pPr>
        <w:pStyle w:val="3"/>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3"/>
        <w:tabs>
          <w:tab w:val="left" w:pos="4077"/>
          <w:tab w:val="left" w:pos="4603"/>
        </w:tabs>
        <w:spacing w:before="1" w:line="556" w:lineRule="auto"/>
        <w:ind w:left="508" w:right="365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3"/>
        <w:tabs>
          <w:tab w:val="left" w:pos="2272"/>
          <w:tab w:val="left" w:pos="3218"/>
          <w:tab w:val="left" w:pos="4058"/>
        </w:tabs>
        <w:spacing w:line="269" w:lineRule="exact"/>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269" w:lineRule="exact"/>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decimal"/>
          <w:cols w:space="720" w:num="1"/>
        </w:sectPr>
      </w:pPr>
    </w:p>
    <w:p>
      <w:pPr>
        <w:pStyle w:val="10"/>
        <w:tabs>
          <w:tab w:val="left" w:pos="839"/>
        </w:tabs>
        <w:spacing w:before="67"/>
        <w:ind w:right="10" w:firstLine="3855" w:firstLineChars="16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2、投 标 报 价 表</w:t>
      </w:r>
    </w:p>
    <w:p>
      <w:pPr>
        <w:pStyle w:val="3"/>
        <w:spacing w:before="4"/>
        <w:jc w:val="both"/>
        <w:rPr>
          <w:rFonts w:hint="eastAsia" w:ascii="宋体" w:hAnsi="宋体" w:eastAsia="宋体" w:cs="宋体"/>
          <w:b/>
          <w:color w:val="auto"/>
          <w:sz w:val="24"/>
          <w:szCs w:val="24"/>
          <w:highlight w:val="none"/>
        </w:rPr>
      </w:pPr>
    </w:p>
    <w:p>
      <w:pPr>
        <w:pStyle w:val="3"/>
        <w:spacing w:before="4"/>
        <w:jc w:val="both"/>
        <w:rPr>
          <w:rFonts w:hint="eastAsia" w:ascii="宋体" w:hAnsi="宋体" w:eastAsia="宋体" w:cs="宋体"/>
          <w:color w:val="auto"/>
          <w:sz w:val="24"/>
          <w:szCs w:val="24"/>
          <w:highlight w:val="none"/>
        </w:rPr>
      </w:pPr>
    </w:p>
    <w:p>
      <w:pPr>
        <w:pStyle w:val="3"/>
        <w:spacing w:before="67"/>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bl>
      <w:tblPr>
        <w:tblStyle w:val="3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45"/>
        <w:gridCol w:w="2410"/>
        <w:gridCol w:w="2114"/>
        <w:gridCol w:w="1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08"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545"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410" w:type="dxa"/>
            <w:noWrap w:val="0"/>
            <w:vAlign w:val="center"/>
          </w:tcPr>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2114" w:type="dxa"/>
            <w:noWrap w:val="0"/>
            <w:vAlign w:val="center"/>
          </w:tcPr>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设计工期</w:t>
            </w:r>
          </w:p>
        </w:tc>
        <w:tc>
          <w:tcPr>
            <w:tcW w:w="1823"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w:t>
            </w: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r>
              <w:rPr>
                <w:rFonts w:hint="eastAsia" w:ascii="宋体" w:hAnsi="宋体" w:eastAsia="宋体" w:cs="宋体"/>
                <w:color w:val="auto"/>
                <w:sz w:val="24"/>
                <w:highlight w:val="none"/>
              </w:rPr>
              <w:t>投标总价（大写）</w:t>
            </w:r>
          </w:p>
        </w:tc>
        <w:tc>
          <w:tcPr>
            <w:tcW w:w="7892" w:type="dxa"/>
            <w:gridSpan w:val="4"/>
            <w:noWrap w:val="0"/>
            <w:vAlign w:val="center"/>
          </w:tcPr>
          <w:p>
            <w:pPr>
              <w:spacing w:line="460" w:lineRule="exact"/>
              <w:jc w:val="center"/>
              <w:rPr>
                <w:rFonts w:hint="eastAsia" w:ascii="宋体" w:hAnsi="宋体" w:eastAsia="宋体" w:cs="宋体"/>
                <w:color w:val="auto"/>
                <w:sz w:val="28"/>
                <w:highlight w:val="none"/>
              </w:rPr>
            </w:pPr>
          </w:p>
        </w:tc>
      </w:tr>
    </w:tbl>
    <w:p>
      <w:pPr>
        <w:pStyle w:val="3"/>
        <w:spacing w:before="2" w:after="1"/>
        <w:jc w:val="both"/>
        <w:rPr>
          <w:rFonts w:hint="eastAsia" w:ascii="宋体" w:hAnsi="宋体" w:eastAsia="宋体" w:cs="宋体"/>
          <w:color w:val="auto"/>
          <w:sz w:val="24"/>
          <w:szCs w:val="24"/>
          <w:highlight w:val="none"/>
        </w:rPr>
      </w:pPr>
    </w:p>
    <w:p>
      <w:pPr>
        <w:pStyle w:val="3"/>
        <w:spacing w:before="5"/>
        <w:jc w:val="both"/>
        <w:rPr>
          <w:rFonts w:hint="eastAsia" w:ascii="宋体" w:hAnsi="宋体" w:eastAsia="宋体" w:cs="宋体"/>
          <w:color w:val="auto"/>
          <w:sz w:val="24"/>
          <w:szCs w:val="24"/>
          <w:highlight w:val="none"/>
        </w:rPr>
      </w:pPr>
    </w:p>
    <w:p>
      <w:pPr>
        <w:pStyle w:val="135"/>
        <w:spacing w:before="1"/>
        <w:ind w:left="1278" w:right="1264"/>
        <w:jc w:val="both"/>
        <w:rPr>
          <w:rFonts w:hint="eastAsia" w:ascii="宋体" w:hAnsi="宋体" w:eastAsia="宋体" w:cs="宋体"/>
          <w:color w:val="auto"/>
          <w:spacing w:val="-8"/>
          <w:sz w:val="24"/>
          <w:szCs w:val="24"/>
          <w:highlight w:val="none"/>
        </w:rPr>
      </w:pPr>
      <w:r>
        <w:rPr>
          <w:rFonts w:hint="eastAsia" w:ascii="宋体" w:hAnsi="宋体" w:eastAsia="宋体" w:cs="宋体"/>
          <w:color w:val="auto"/>
          <w:spacing w:val="-10"/>
          <w:sz w:val="24"/>
          <w:szCs w:val="24"/>
          <w:highlight w:val="none"/>
        </w:rPr>
        <w:t>（若表格行数不足投标人可自行添加</w:t>
      </w:r>
      <w:r>
        <w:rPr>
          <w:rFonts w:hint="eastAsia" w:ascii="宋体" w:hAnsi="宋体" w:eastAsia="宋体" w:cs="宋体"/>
          <w:color w:val="auto"/>
          <w:spacing w:val="-8"/>
          <w:sz w:val="24"/>
          <w:szCs w:val="24"/>
          <w:highlight w:val="none"/>
        </w:rPr>
        <w:t xml:space="preserve">） </w:t>
      </w:r>
    </w:p>
    <w:p>
      <w:pPr>
        <w:pStyle w:val="135"/>
        <w:spacing w:before="1"/>
        <w:ind w:left="1278" w:right="1264"/>
        <w:jc w:val="both"/>
        <w:rPr>
          <w:rFonts w:hint="eastAsia" w:ascii="宋体" w:hAnsi="宋体" w:eastAsia="宋体" w:cs="宋体"/>
          <w:color w:val="auto"/>
          <w:sz w:val="24"/>
          <w:szCs w:val="24"/>
          <w:highlight w:val="none"/>
        </w:rPr>
      </w:pPr>
    </w:p>
    <w:p>
      <w:pPr>
        <w:pStyle w:val="135"/>
        <w:spacing w:before="1"/>
        <w:ind w:left="1278" w:right="12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pPr>
        <w:pStyle w:val="135"/>
        <w:spacing w:before="1"/>
        <w:ind w:left="1278" w:right="1264"/>
        <w:jc w:val="both"/>
        <w:rPr>
          <w:rFonts w:hint="eastAsia" w:ascii="宋体" w:hAnsi="宋体" w:eastAsia="宋体" w:cs="宋体"/>
          <w:color w:val="auto"/>
          <w:sz w:val="24"/>
          <w:szCs w:val="24"/>
          <w:highlight w:val="none"/>
        </w:rPr>
      </w:pPr>
    </w:p>
    <w:p>
      <w:pPr>
        <w:pStyle w:val="135"/>
        <w:spacing w:before="1"/>
        <w:ind w:left="1278" w:right="12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pStyle w:val="135"/>
        <w:spacing w:before="1"/>
        <w:ind w:left="1278" w:right="1264"/>
        <w:jc w:val="both"/>
        <w:rPr>
          <w:rFonts w:hint="eastAsia" w:ascii="宋体" w:hAnsi="宋体" w:eastAsia="宋体" w:cs="宋体"/>
          <w:color w:val="auto"/>
          <w:sz w:val="24"/>
          <w:szCs w:val="24"/>
          <w:highlight w:val="none"/>
        </w:rPr>
      </w:pPr>
    </w:p>
    <w:p>
      <w:pPr>
        <w:pStyle w:val="135"/>
        <w:spacing w:before="1"/>
        <w:ind w:left="1278" w:right="12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451" w:lineRule="auto"/>
        <w:jc w:val="both"/>
        <w:rPr>
          <w:rFonts w:hint="eastAsia" w:ascii="宋体" w:hAnsi="宋体" w:eastAsia="宋体" w:cs="宋体"/>
          <w:color w:val="auto"/>
          <w:sz w:val="24"/>
          <w:szCs w:val="24"/>
          <w:highlight w:val="none"/>
        </w:rPr>
        <w:sectPr>
          <w:pgSz w:w="11910" w:h="16840"/>
          <w:pgMar w:top="1400" w:right="940" w:bottom="1160" w:left="940" w:header="0" w:footer="895" w:gutter="0"/>
          <w:pgNumType w:fmt="decimal"/>
          <w:cols w:space="720" w:num="1"/>
        </w:sectPr>
      </w:pPr>
    </w:p>
    <w:p>
      <w:pPr>
        <w:pStyle w:val="10"/>
        <w:tabs>
          <w:tab w:val="left" w:pos="839"/>
        </w:tabs>
        <w:spacing w:before="67"/>
        <w:ind w:right="10" w:firstLine="4096" w:firstLineChars="17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3、资格证明文件</w:t>
      </w:r>
    </w:p>
    <w:p>
      <w:pPr>
        <w:pStyle w:val="3"/>
        <w:jc w:val="both"/>
        <w:rPr>
          <w:rFonts w:hint="eastAsia" w:ascii="宋体" w:hAnsi="宋体" w:eastAsia="宋体" w:cs="宋体"/>
          <w:b/>
          <w:color w:val="auto"/>
          <w:sz w:val="24"/>
          <w:szCs w:val="24"/>
          <w:highlight w:val="none"/>
        </w:rPr>
      </w:pPr>
    </w:p>
    <w:p>
      <w:pPr>
        <w:pStyle w:val="3"/>
        <w:spacing w:before="5"/>
        <w:jc w:val="both"/>
        <w:rPr>
          <w:rFonts w:hint="eastAsia" w:ascii="宋体" w:hAnsi="宋体" w:eastAsia="宋体" w:cs="宋体"/>
          <w:b/>
          <w:color w:val="auto"/>
          <w:sz w:val="24"/>
          <w:szCs w:val="24"/>
          <w:highlight w:val="none"/>
        </w:rPr>
      </w:pPr>
    </w:p>
    <w:p>
      <w:pPr>
        <w:pStyle w:val="3"/>
        <w:spacing w:before="1"/>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营业执照、组织机构代码、税务登记证或三证合一的营业执照</w:t>
      </w:r>
    </w:p>
    <w:p>
      <w:pPr>
        <w:pStyle w:val="3"/>
        <w:spacing w:before="3"/>
        <w:jc w:val="both"/>
        <w:rPr>
          <w:rFonts w:hint="eastAsia" w:ascii="宋体" w:hAnsi="宋体" w:eastAsia="宋体" w:cs="宋体"/>
          <w:color w:val="auto"/>
          <w:sz w:val="24"/>
          <w:szCs w:val="24"/>
          <w:highlight w:val="none"/>
        </w:rPr>
      </w:pPr>
    </w:p>
    <w:p>
      <w:pPr>
        <w:pStyle w:val="3"/>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、磋商文件要求的其它证明文件</w:t>
      </w:r>
    </w:p>
    <w:p>
      <w:pPr>
        <w:pStyle w:val="3"/>
        <w:spacing w:before="1"/>
        <w:jc w:val="both"/>
        <w:rPr>
          <w:rFonts w:hint="eastAsia" w:ascii="宋体" w:hAnsi="宋体" w:eastAsia="宋体" w:cs="宋体"/>
          <w:color w:val="auto"/>
          <w:sz w:val="24"/>
          <w:szCs w:val="24"/>
          <w:highlight w:val="none"/>
        </w:rPr>
      </w:pPr>
    </w:p>
    <w:p>
      <w:pPr>
        <w:pStyle w:val="3"/>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、其它</w:t>
      </w: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spacing w:before="8"/>
        <w:jc w:val="both"/>
        <w:rPr>
          <w:rFonts w:hint="eastAsia" w:ascii="宋体" w:hAnsi="宋体" w:eastAsia="宋体" w:cs="宋体"/>
          <w:color w:val="auto"/>
          <w:sz w:val="24"/>
          <w:szCs w:val="24"/>
          <w:highlight w:val="none"/>
        </w:rPr>
      </w:pPr>
    </w:p>
    <w:p>
      <w:pPr>
        <w:pStyle w:val="12"/>
        <w:spacing w:line="463" w:lineRule="auto"/>
        <w:ind w:left="238" w:right="151" w:firstLine="425"/>
        <w:jc w:val="both"/>
        <w:rPr>
          <w:rFonts w:hint="eastAsia" w:ascii="宋体" w:hAnsi="宋体" w:eastAsia="宋体" w:cs="宋体"/>
          <w:color w:val="auto"/>
          <w:highlight w:val="none"/>
        </w:rPr>
      </w:pPr>
      <w:r>
        <w:rPr>
          <w:rFonts w:hint="eastAsia" w:ascii="宋体" w:hAnsi="宋体" w:eastAsia="宋体" w:cs="宋体"/>
          <w:color w:val="auto"/>
          <w:spacing w:val="-1"/>
          <w:highlight w:val="none"/>
        </w:rPr>
        <w:t>注：本项目实行资格后审，审查内容以投标截止时间</w:t>
      </w:r>
      <w:r>
        <w:rPr>
          <w:rFonts w:hint="eastAsia" w:ascii="宋体" w:hAnsi="宋体" w:eastAsia="宋体" w:cs="宋体"/>
          <w:color w:val="auto"/>
          <w:spacing w:val="-5"/>
          <w:highlight w:val="none"/>
        </w:rPr>
        <w:t>前填报上传的企业诚信库</w:t>
      </w:r>
      <w:r>
        <w:rPr>
          <w:rFonts w:hint="eastAsia" w:ascii="宋体" w:hAnsi="宋体" w:eastAsia="宋体" w:cs="宋体"/>
          <w:color w:val="auto"/>
          <w:spacing w:val="-6"/>
          <w:highlight w:val="none"/>
        </w:rPr>
        <w:t xml:space="preserve">信息为准，过期更改的诚信库信息不作为本项目评审依据。诚信库上传信息必须内容齐全， </w:t>
      </w:r>
      <w:r>
        <w:rPr>
          <w:rFonts w:hint="eastAsia" w:ascii="宋体" w:hAnsi="宋体" w:eastAsia="宋体" w:cs="宋体"/>
          <w:color w:val="auto"/>
          <w:spacing w:val="-9"/>
          <w:highlight w:val="none"/>
        </w:rPr>
        <w:t>真实有效，原件扫描件清晰可辨。否则，由此造成应得分而未得分或资格审查不合格等情况的，由供应商自行承担责任；</w:t>
      </w:r>
    </w:p>
    <w:p>
      <w:pPr>
        <w:spacing w:line="463" w:lineRule="auto"/>
        <w:jc w:val="both"/>
        <w:rPr>
          <w:rFonts w:hint="eastAsia" w:ascii="宋体" w:hAnsi="宋体" w:eastAsia="宋体" w:cs="宋体"/>
          <w:color w:val="auto"/>
          <w:sz w:val="24"/>
          <w:szCs w:val="24"/>
          <w:highlight w:val="none"/>
        </w:rPr>
        <w:sectPr>
          <w:headerReference r:id="rId10" w:type="default"/>
          <w:footerReference r:id="rId11" w:type="default"/>
          <w:pgSz w:w="11910" w:h="16840"/>
          <w:pgMar w:top="1300" w:right="940" w:bottom="1160" w:left="940" w:header="0" w:footer="895" w:gutter="0"/>
          <w:pgNumType w:fmt="decimal"/>
          <w:cols w:space="720" w:num="1"/>
        </w:sectPr>
      </w:pPr>
    </w:p>
    <w:p>
      <w:pPr>
        <w:pStyle w:val="10"/>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4、法定代表人身份证明和授权委托书</w:t>
      </w:r>
    </w:p>
    <w:p>
      <w:pPr>
        <w:pStyle w:val="10"/>
        <w:tabs>
          <w:tab w:val="left" w:pos="839"/>
        </w:tabs>
        <w:spacing w:before="67"/>
        <w:ind w:right="10" w:firstLine="4096" w:firstLineChars="17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法定代表人身份证明</w:t>
      </w:r>
    </w:p>
    <w:p>
      <w:pPr>
        <w:pStyle w:val="3"/>
        <w:rPr>
          <w:rFonts w:hint="eastAsia" w:ascii="宋体" w:hAnsi="宋体" w:eastAsia="宋体" w:cs="宋体"/>
          <w:b/>
          <w:color w:val="auto"/>
          <w:sz w:val="24"/>
          <w:highlight w:val="none"/>
        </w:rPr>
      </w:pPr>
    </w:p>
    <w:p>
      <w:pPr>
        <w:pStyle w:val="3"/>
        <w:rPr>
          <w:rFonts w:hint="eastAsia" w:ascii="宋体" w:hAnsi="宋体" w:eastAsia="宋体" w:cs="宋体"/>
          <w:b/>
          <w:color w:val="auto"/>
          <w:sz w:val="24"/>
          <w:highlight w:val="none"/>
        </w:rPr>
      </w:pPr>
    </w:p>
    <w:p>
      <w:pPr>
        <w:pStyle w:val="3"/>
        <w:spacing w:before="3"/>
        <w:rPr>
          <w:rFonts w:hint="eastAsia" w:ascii="宋体" w:hAnsi="宋体" w:eastAsia="宋体" w:cs="宋体"/>
          <w:b/>
          <w:color w:val="auto"/>
          <w:sz w:val="24"/>
          <w:szCs w:val="24"/>
          <w:highlight w:val="none"/>
        </w:rPr>
      </w:pPr>
    </w:p>
    <w:p>
      <w:pPr>
        <w:pStyle w:val="3"/>
        <w:tabs>
          <w:tab w:val="left" w:pos="4548"/>
        </w:tabs>
        <w:ind w:left="508"/>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lang w:eastAsia="zh-CN"/>
        </w:rPr>
        <w:t>投标人</w:t>
      </w:r>
      <w:r>
        <w:rPr>
          <w:rFonts w:hint="eastAsia" w:ascii="宋体" w:hAnsi="宋体" w:eastAsia="宋体" w:cs="宋体"/>
          <w:color w:val="auto"/>
          <w:w w:val="95"/>
          <w:sz w:val="24"/>
          <w:szCs w:val="24"/>
          <w:highlight w:val="none"/>
        </w:rPr>
        <w:t>名称：</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3"/>
        <w:spacing w:before="8"/>
        <w:rPr>
          <w:rFonts w:hint="eastAsia" w:ascii="宋体" w:hAnsi="宋体" w:eastAsia="宋体" w:cs="宋体"/>
          <w:color w:val="auto"/>
          <w:sz w:val="24"/>
          <w:szCs w:val="24"/>
          <w:highlight w:val="none"/>
        </w:rPr>
      </w:pPr>
    </w:p>
    <w:p>
      <w:pPr>
        <w:pStyle w:val="3"/>
        <w:tabs>
          <w:tab w:val="left" w:pos="2711"/>
          <w:tab w:val="left" w:pos="4654"/>
          <w:tab w:val="left" w:pos="6123"/>
          <w:tab w:val="left" w:pos="8643"/>
        </w:tabs>
        <w:spacing w:before="76"/>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w w:val="95"/>
          <w:sz w:val="24"/>
          <w:szCs w:val="24"/>
          <w:highlight w:val="none"/>
        </w:rPr>
        <w:t>职务：</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3"/>
        <w:spacing w:before="8"/>
        <w:rPr>
          <w:rFonts w:hint="eastAsia" w:ascii="宋体" w:hAnsi="宋体" w:eastAsia="宋体" w:cs="宋体"/>
          <w:color w:val="auto"/>
          <w:sz w:val="24"/>
          <w:szCs w:val="24"/>
          <w:highlight w:val="none"/>
        </w:rPr>
      </w:pPr>
    </w:p>
    <w:p>
      <w:pPr>
        <w:pStyle w:val="3"/>
        <w:tabs>
          <w:tab w:val="left" w:pos="4077"/>
        </w:tabs>
        <w:spacing w:before="76" w:line="417" w:lineRule="auto"/>
        <w:ind w:left="508" w:right="27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（供应商名称）的法定代表人</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特此证明。</w:t>
      </w:r>
    </w:p>
    <w:p>
      <w:pPr>
        <w:pStyle w:val="3"/>
        <w:spacing w:line="269" w:lineRule="exact"/>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spacing w:before="8"/>
        <w:rPr>
          <w:rFonts w:hint="eastAsia" w:ascii="宋体" w:hAnsi="宋体" w:eastAsia="宋体" w:cs="宋体"/>
          <w:color w:val="auto"/>
          <w:sz w:val="24"/>
          <w:szCs w:val="24"/>
          <w:highlight w:val="none"/>
        </w:rPr>
      </w:pPr>
    </w:p>
    <w:p>
      <w:pPr>
        <w:pStyle w:val="3"/>
        <w:tabs>
          <w:tab w:val="left" w:pos="4603"/>
        </w:tabs>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3"/>
        <w:rPr>
          <w:rFonts w:hint="eastAsia" w:ascii="宋体" w:hAnsi="宋体" w:eastAsia="宋体" w:cs="宋体"/>
          <w:color w:val="auto"/>
          <w:sz w:val="24"/>
          <w:szCs w:val="24"/>
          <w:highlight w:val="none"/>
        </w:rPr>
      </w:pPr>
    </w:p>
    <w:p>
      <w:pPr>
        <w:pStyle w:val="3"/>
        <w:spacing w:before="8"/>
        <w:rPr>
          <w:rFonts w:hint="eastAsia" w:ascii="宋体" w:hAnsi="宋体" w:eastAsia="宋体" w:cs="宋体"/>
          <w:color w:val="auto"/>
          <w:sz w:val="24"/>
          <w:szCs w:val="24"/>
          <w:highlight w:val="none"/>
        </w:rPr>
      </w:pPr>
    </w:p>
    <w:p>
      <w:pPr>
        <w:pStyle w:val="3"/>
        <w:tabs>
          <w:tab w:val="left" w:pos="2272"/>
          <w:tab w:val="left" w:pos="3218"/>
          <w:tab w:val="left" w:pos="4058"/>
        </w:tabs>
        <w:spacing w:before="70"/>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sectPr>
          <w:pgSz w:w="11910" w:h="16840"/>
          <w:pgMar w:top="1440" w:right="1080" w:bottom="1440" w:left="1080" w:header="1072" w:footer="1194" w:gutter="0"/>
          <w:pgNumType w:fmt="decimal"/>
          <w:cols w:space="720" w:num="1"/>
        </w:sectPr>
      </w:pPr>
    </w:p>
    <w:p>
      <w:pPr>
        <w:pStyle w:val="3"/>
        <w:spacing w:before="12"/>
        <w:rPr>
          <w:rFonts w:hint="eastAsia" w:ascii="宋体" w:hAnsi="宋体" w:eastAsia="宋体" w:cs="宋体"/>
          <w:color w:val="auto"/>
          <w:sz w:val="3"/>
          <w:highlight w:val="none"/>
        </w:rPr>
      </w:pPr>
    </w:p>
    <w:p>
      <w:pPr>
        <w:pStyle w:val="3"/>
        <w:spacing w:line="87" w:lineRule="exact"/>
        <w:ind w:left="479"/>
        <w:rPr>
          <w:rFonts w:hint="eastAsia" w:ascii="宋体" w:hAnsi="宋体" w:eastAsia="宋体" w:cs="宋体"/>
          <w:color w:val="auto"/>
          <w:sz w:val="8"/>
          <w:highlight w:val="none"/>
        </w:rPr>
      </w:pPr>
    </w:p>
    <w:p>
      <w:pPr>
        <w:pStyle w:val="10"/>
        <w:tabs>
          <w:tab w:val="left" w:pos="839"/>
        </w:tabs>
        <w:spacing w:before="67"/>
        <w:ind w:right="10" w:firstLine="3614" w:firstLineChars="15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法定代表人授权委托书</w:t>
      </w:r>
    </w:p>
    <w:p>
      <w:pPr>
        <w:pStyle w:val="3"/>
        <w:rPr>
          <w:rFonts w:hint="eastAsia" w:ascii="宋体" w:hAnsi="宋体" w:eastAsia="宋体" w:cs="宋体"/>
          <w:b/>
          <w:color w:val="auto"/>
          <w:sz w:val="24"/>
          <w:highlight w:val="none"/>
        </w:rPr>
      </w:pPr>
    </w:p>
    <w:p>
      <w:pPr>
        <w:pStyle w:val="3"/>
        <w:rPr>
          <w:rFonts w:hint="eastAsia" w:ascii="宋体" w:hAnsi="宋体" w:eastAsia="宋体" w:cs="宋体"/>
          <w:b/>
          <w:color w:val="auto"/>
          <w:sz w:val="24"/>
          <w:highlight w:val="none"/>
        </w:rPr>
      </w:pPr>
    </w:p>
    <w:p>
      <w:pPr>
        <w:pStyle w:val="3"/>
        <w:spacing w:before="8"/>
        <w:rPr>
          <w:rFonts w:hint="eastAsia" w:ascii="宋体" w:hAnsi="宋体" w:eastAsia="宋体" w:cs="宋体"/>
          <w:b/>
          <w:color w:val="auto"/>
          <w:sz w:val="24"/>
          <w:szCs w:val="24"/>
          <w:highlight w:val="none"/>
        </w:rPr>
      </w:pPr>
    </w:p>
    <w:p>
      <w:pPr>
        <w:pStyle w:val="3"/>
        <w:tabs>
          <w:tab w:val="left" w:pos="2932"/>
          <w:tab w:val="left" w:pos="3189"/>
          <w:tab w:val="left" w:pos="5337"/>
          <w:tab w:val="left" w:pos="6453"/>
        </w:tabs>
        <w:spacing w:line="410" w:lineRule="auto"/>
        <w:ind w:left="508" w:right="424"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姓名</w:t>
      </w:r>
      <w:r>
        <w:rPr>
          <w:rFonts w:hint="eastAsia" w:ascii="宋体" w:hAnsi="宋体" w:eastAsia="宋体" w:cs="宋体"/>
          <w:color w:val="auto"/>
          <w:spacing w:val="-49"/>
          <w:sz w:val="24"/>
          <w:szCs w:val="24"/>
          <w:highlight w:val="none"/>
        </w:rPr>
        <w:t>）</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pacing w:val="-49"/>
          <w:sz w:val="24"/>
          <w:szCs w:val="24"/>
          <w:highlight w:val="none"/>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position w:val="2"/>
          <w:sz w:val="24"/>
          <w:szCs w:val="24"/>
          <w:highlight w:val="none"/>
        </w:rPr>
        <w:t>现委托</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（姓名、职务）为我方代理人。</w:t>
      </w:r>
      <w:r>
        <w:rPr>
          <w:rFonts w:hint="eastAsia" w:ascii="宋体" w:hAnsi="宋体" w:eastAsia="宋体" w:cs="宋体"/>
          <w:color w:val="auto"/>
          <w:sz w:val="24"/>
          <w:szCs w:val="24"/>
          <w:highlight w:val="none"/>
        </w:rPr>
        <w:t>代理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根据授权，</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、签订合同和处理有关事宜， 其法律后果由我方承担。</w:t>
      </w:r>
    </w:p>
    <w:p>
      <w:pPr>
        <w:pStyle w:val="3"/>
        <w:rPr>
          <w:rFonts w:hint="eastAsia" w:ascii="宋体" w:hAnsi="宋体" w:eastAsia="宋体" w:cs="宋体"/>
          <w:color w:val="auto"/>
          <w:sz w:val="24"/>
          <w:szCs w:val="24"/>
          <w:highlight w:val="none"/>
        </w:rPr>
      </w:pPr>
    </w:p>
    <w:p>
      <w:pPr>
        <w:pStyle w:val="3"/>
        <w:spacing w:before="5"/>
        <w:rPr>
          <w:rFonts w:hint="eastAsia" w:ascii="宋体" w:hAnsi="宋体" w:eastAsia="宋体" w:cs="宋体"/>
          <w:color w:val="auto"/>
          <w:sz w:val="24"/>
          <w:szCs w:val="24"/>
          <w:highlight w:val="none"/>
        </w:rPr>
      </w:pPr>
    </w:p>
    <w:p>
      <w:pPr>
        <w:pStyle w:val="3"/>
        <w:tabs>
          <w:tab w:val="left" w:pos="3919"/>
        </w:tabs>
        <w:ind w:left="928"/>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委托期限：</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3"/>
        <w:spacing w:before="3"/>
        <w:rPr>
          <w:rFonts w:hint="eastAsia" w:ascii="宋体" w:hAnsi="宋体" w:eastAsia="宋体" w:cs="宋体"/>
          <w:color w:val="auto"/>
          <w:sz w:val="24"/>
          <w:szCs w:val="24"/>
          <w:highlight w:val="none"/>
        </w:rPr>
      </w:pPr>
    </w:p>
    <w:p>
      <w:pPr>
        <w:pStyle w:val="3"/>
        <w:spacing w:before="70"/>
        <w:ind w:left="9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3"/>
        <w:spacing w:before="6"/>
        <w:rPr>
          <w:rFonts w:hint="eastAsia" w:ascii="宋体" w:hAnsi="宋体" w:eastAsia="宋体" w:cs="宋体"/>
          <w:color w:val="auto"/>
          <w:sz w:val="24"/>
          <w:szCs w:val="24"/>
          <w:highlight w:val="none"/>
        </w:rPr>
      </w:pPr>
    </w:p>
    <w:p>
      <w:pPr>
        <w:pStyle w:val="3"/>
        <w:spacing w:before="1"/>
        <w:ind w:left="9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附：法定代表人身份证复印件及委托代理人身份证复印件</w:t>
      </w: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spacing w:before="7"/>
        <w:rPr>
          <w:rFonts w:hint="eastAsia" w:ascii="宋体" w:hAnsi="宋体" w:eastAsia="宋体" w:cs="宋体"/>
          <w:color w:val="auto"/>
          <w:sz w:val="24"/>
          <w:szCs w:val="24"/>
          <w:highlight w:val="none"/>
        </w:rPr>
      </w:pPr>
    </w:p>
    <w:p>
      <w:pPr>
        <w:pStyle w:val="3"/>
        <w:tabs>
          <w:tab w:val="left" w:pos="4168"/>
          <w:tab w:val="left" w:pos="4603"/>
        </w:tabs>
        <w:spacing w:line="417" w:lineRule="auto"/>
        <w:ind w:left="508" w:right="390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3"/>
        <w:tabs>
          <w:tab w:val="left" w:pos="4968"/>
        </w:tabs>
        <w:spacing w:line="269" w:lineRule="exact"/>
        <w:ind w:left="508"/>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身份证号：</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tabs>
          <w:tab w:val="left" w:pos="2272"/>
          <w:tab w:val="left" w:pos="3218"/>
          <w:tab w:val="left" w:pos="4058"/>
        </w:tabs>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sectPr>
          <w:headerReference r:id="rId12" w:type="default"/>
          <w:pgSz w:w="11910" w:h="16840"/>
          <w:pgMar w:top="1440" w:right="1080" w:bottom="1440" w:left="1080" w:header="1072" w:footer="1194" w:gutter="0"/>
          <w:pgNumType w:fmt="decimal"/>
          <w:cols w:space="720" w:num="1"/>
        </w:sectPr>
      </w:pPr>
    </w:p>
    <w:p>
      <w:pPr>
        <w:pStyle w:val="9"/>
        <w:tabs>
          <w:tab w:val="left" w:pos="3729"/>
        </w:tabs>
        <w:spacing w:before="36" w:after="0" w:line="240" w:lineRule="auto"/>
        <w:ind w:right="1" w:firstLine="3132" w:firstLineChars="1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5、无重大违法记录声明</w:t>
      </w:r>
    </w:p>
    <w:p>
      <w:pPr>
        <w:pStyle w:val="3"/>
        <w:jc w:val="both"/>
        <w:rPr>
          <w:rFonts w:hint="eastAsia" w:ascii="宋体" w:hAnsi="宋体" w:eastAsia="宋体" w:cs="宋体"/>
          <w:b/>
          <w:color w:val="auto"/>
          <w:sz w:val="24"/>
          <w:szCs w:val="24"/>
          <w:highlight w:val="none"/>
        </w:rPr>
      </w:pPr>
    </w:p>
    <w:p>
      <w:pPr>
        <w:pStyle w:val="3"/>
        <w:tabs>
          <w:tab w:val="left" w:pos="7734"/>
        </w:tabs>
        <w:spacing w:before="218"/>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spacing w:before="2"/>
        <w:jc w:val="both"/>
        <w:rPr>
          <w:rFonts w:hint="eastAsia" w:ascii="宋体" w:hAnsi="宋体" w:eastAsia="宋体" w:cs="宋体"/>
          <w:color w:val="auto"/>
          <w:sz w:val="24"/>
          <w:szCs w:val="24"/>
          <w:highlight w:val="none"/>
        </w:rPr>
      </w:pPr>
    </w:p>
    <w:p>
      <w:pPr>
        <w:pStyle w:val="3"/>
        <w:tabs>
          <w:tab w:val="left" w:pos="2999"/>
        </w:tabs>
        <w:spacing w:before="74" w:line="513" w:lineRule="auto"/>
        <w:ind w:left="238" w:right="235"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（投标人名称）郑重声明，我方参加本项目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活动前三年内无</w:t>
      </w:r>
      <w:r>
        <w:rPr>
          <w:rFonts w:hint="eastAsia" w:ascii="宋体" w:hAnsi="宋体" w:eastAsia="宋体" w:cs="宋体"/>
          <w:color w:val="auto"/>
          <w:spacing w:val="-6"/>
          <w:sz w:val="24"/>
          <w:szCs w:val="24"/>
          <w:highlight w:val="none"/>
        </w:rPr>
        <w:t>重大违法活动记录，符合《政府采购法》规定的供应商资格条件。我方对此声明负全部法律</w:t>
      </w:r>
      <w:r>
        <w:rPr>
          <w:rFonts w:hint="eastAsia" w:ascii="宋体" w:hAnsi="宋体" w:eastAsia="宋体" w:cs="宋体"/>
          <w:color w:val="auto"/>
          <w:sz w:val="24"/>
          <w:szCs w:val="24"/>
          <w:highlight w:val="none"/>
        </w:rPr>
        <w:t>责任。</w:t>
      </w:r>
    </w:p>
    <w:p>
      <w:pPr>
        <w:pStyle w:val="3"/>
        <w:spacing w:before="2"/>
        <w:ind w:left="7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spacing w:before="12"/>
        <w:jc w:val="both"/>
        <w:rPr>
          <w:rFonts w:hint="eastAsia" w:ascii="宋体" w:hAnsi="宋体" w:eastAsia="宋体" w:cs="宋体"/>
          <w:color w:val="auto"/>
          <w:sz w:val="24"/>
          <w:szCs w:val="24"/>
          <w:highlight w:val="none"/>
        </w:rPr>
      </w:pPr>
    </w:p>
    <w:p>
      <w:pPr>
        <w:pStyle w:val="3"/>
        <w:ind w:left="6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pPr>
        <w:pStyle w:val="3"/>
        <w:ind w:left="6479"/>
        <w:jc w:val="both"/>
        <w:rPr>
          <w:rFonts w:hint="eastAsia" w:ascii="宋体" w:hAnsi="宋体" w:eastAsia="宋体" w:cs="宋体"/>
          <w:color w:val="auto"/>
          <w:sz w:val="24"/>
          <w:szCs w:val="24"/>
          <w:highlight w:val="none"/>
        </w:rPr>
      </w:pPr>
    </w:p>
    <w:p>
      <w:pPr>
        <w:pStyle w:val="3"/>
        <w:ind w:left="6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pPr>
        <w:pStyle w:val="3"/>
        <w:ind w:left="6479"/>
        <w:jc w:val="both"/>
        <w:rPr>
          <w:rFonts w:hint="eastAsia" w:ascii="宋体" w:hAnsi="宋体" w:eastAsia="宋体" w:cs="宋体"/>
          <w:color w:val="auto"/>
          <w:sz w:val="24"/>
          <w:szCs w:val="24"/>
          <w:highlight w:val="none"/>
        </w:rPr>
      </w:pPr>
    </w:p>
    <w:p>
      <w:pPr>
        <w:pStyle w:val="3"/>
        <w:ind w:left="6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513" w:lineRule="auto"/>
        <w:jc w:val="both"/>
        <w:rPr>
          <w:rFonts w:hint="eastAsia" w:ascii="宋体" w:hAnsi="宋体" w:eastAsia="宋体" w:cs="宋体"/>
          <w:color w:val="auto"/>
          <w:sz w:val="24"/>
          <w:szCs w:val="24"/>
          <w:highlight w:val="none"/>
        </w:rPr>
        <w:sectPr>
          <w:pgSz w:w="11910" w:h="16840"/>
          <w:pgMar w:top="1380" w:right="940" w:bottom="1160" w:left="940" w:header="0" w:footer="895" w:gutter="0"/>
          <w:pgNumType w:fmt="decimal"/>
          <w:cols w:space="720" w:num="1"/>
        </w:sectPr>
      </w:pPr>
    </w:p>
    <w:p>
      <w:pPr>
        <w:pStyle w:val="9"/>
        <w:tabs>
          <w:tab w:val="left" w:pos="3890"/>
        </w:tabs>
        <w:spacing w:before="95" w:after="0" w:line="240" w:lineRule="auto"/>
        <w:ind w:left="-1" w:right="1" w:firstLine="3614"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6、反商业贿赂承诺书</w:t>
      </w:r>
    </w:p>
    <w:p>
      <w:pPr>
        <w:pStyle w:val="3"/>
        <w:spacing w:before="11"/>
        <w:jc w:val="both"/>
        <w:rPr>
          <w:rFonts w:hint="eastAsia" w:ascii="宋体" w:hAnsi="宋体" w:eastAsia="宋体" w:cs="宋体"/>
          <w:b/>
          <w:color w:val="auto"/>
          <w:sz w:val="24"/>
          <w:szCs w:val="24"/>
          <w:highlight w:val="none"/>
        </w:rPr>
      </w:pPr>
    </w:p>
    <w:p>
      <w:pPr>
        <w:pStyle w:val="3"/>
        <w:ind w:left="7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p>
    <w:p>
      <w:pPr>
        <w:pStyle w:val="3"/>
        <w:tabs>
          <w:tab w:val="left" w:pos="3414"/>
          <w:tab w:val="left" w:pos="6239"/>
        </w:tabs>
        <w:spacing w:before="132" w:line="343" w:lineRule="auto"/>
        <w:ind w:left="718" w:right="4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活动中，我方保证做到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一、公平竞争参加本次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p>
    <w:p>
      <w:pPr>
        <w:pStyle w:val="3"/>
        <w:spacing w:before="1" w:line="343" w:lineRule="auto"/>
        <w:ind w:left="238" w:right="18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二、杜绝任何形式的商业贿赂行为。不向国家工作人员、相关工作人员、评审专家及其</w:t>
      </w:r>
      <w:r>
        <w:rPr>
          <w:rFonts w:hint="eastAsia" w:ascii="宋体" w:hAnsi="宋体" w:eastAsia="宋体" w:cs="宋体"/>
          <w:color w:val="auto"/>
          <w:spacing w:val="-7"/>
          <w:sz w:val="24"/>
          <w:szCs w:val="24"/>
          <w:highlight w:val="none"/>
        </w:rPr>
        <w:t>亲属提供礼品礼金、有价证券、购物券、回扣、佣金、咨询费、劳务费、赞助费、宣传费、</w:t>
      </w:r>
      <w:r>
        <w:rPr>
          <w:rFonts w:hint="eastAsia" w:ascii="宋体" w:hAnsi="宋体" w:eastAsia="宋体" w:cs="宋体"/>
          <w:color w:val="auto"/>
          <w:sz w:val="24"/>
          <w:szCs w:val="24"/>
          <w:highlight w:val="none"/>
        </w:rPr>
        <w:t>宴请；不为其报销各种消费凭证，不支付其旅游、娱乐等费用。</w:t>
      </w:r>
    </w:p>
    <w:p>
      <w:pPr>
        <w:pStyle w:val="3"/>
        <w:spacing w:before="1" w:line="343" w:lineRule="auto"/>
        <w:ind w:left="238" w:right="238"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三、若出现上述行为，我方及参与投标的工作人员愿意接受按照国家法律法规等有关规</w:t>
      </w:r>
      <w:r>
        <w:rPr>
          <w:rFonts w:hint="eastAsia" w:ascii="宋体" w:hAnsi="宋体" w:eastAsia="宋体" w:cs="宋体"/>
          <w:color w:val="auto"/>
          <w:sz w:val="24"/>
          <w:szCs w:val="24"/>
          <w:highlight w:val="none"/>
        </w:rPr>
        <w:t>定给予的处罚。</w:t>
      </w:r>
    </w:p>
    <w:p>
      <w:pPr>
        <w:pStyle w:val="3"/>
        <w:spacing w:before="6"/>
        <w:jc w:val="both"/>
        <w:rPr>
          <w:rFonts w:hint="eastAsia" w:ascii="宋体" w:hAnsi="宋体" w:eastAsia="宋体" w:cs="宋体"/>
          <w:color w:val="auto"/>
          <w:sz w:val="24"/>
          <w:szCs w:val="24"/>
          <w:highlight w:val="none"/>
        </w:rPr>
      </w:pPr>
    </w:p>
    <w:p>
      <w:pPr>
        <w:pStyle w:val="3"/>
        <w:ind w:left="429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pPr>
        <w:pStyle w:val="3"/>
        <w:spacing w:before="132" w:line="343" w:lineRule="auto"/>
        <w:ind w:left="4319" w:right="2491" w:hanging="27"/>
        <w:jc w:val="both"/>
        <w:rPr>
          <w:rFonts w:hint="eastAsia" w:ascii="宋体" w:hAnsi="宋体" w:eastAsia="宋体" w:cs="宋体"/>
          <w:color w:val="auto"/>
          <w:sz w:val="24"/>
          <w:szCs w:val="24"/>
          <w:highlight w:val="none"/>
        </w:rPr>
      </w:pPr>
    </w:p>
    <w:p>
      <w:pPr>
        <w:pStyle w:val="3"/>
        <w:ind w:left="429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 xml:space="preserve">委托代理人 ：（电子签章） </w:t>
      </w:r>
    </w:p>
    <w:p>
      <w:pPr>
        <w:pStyle w:val="3"/>
        <w:spacing w:before="132" w:line="343" w:lineRule="auto"/>
        <w:ind w:left="4319" w:right="2491" w:hanging="27"/>
        <w:jc w:val="both"/>
        <w:rPr>
          <w:rFonts w:hint="eastAsia" w:ascii="宋体" w:hAnsi="宋体" w:eastAsia="宋体" w:cs="宋体"/>
          <w:color w:val="auto"/>
          <w:sz w:val="24"/>
          <w:szCs w:val="24"/>
          <w:highlight w:val="none"/>
        </w:rPr>
      </w:pPr>
    </w:p>
    <w:p>
      <w:pPr>
        <w:pStyle w:val="3"/>
        <w:spacing w:before="132" w:line="343" w:lineRule="auto"/>
        <w:ind w:left="4319" w:right="2491" w:hanging="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43" w:lineRule="auto"/>
        <w:jc w:val="both"/>
        <w:rPr>
          <w:rFonts w:hint="eastAsia" w:ascii="宋体" w:hAnsi="宋体" w:eastAsia="宋体" w:cs="宋体"/>
          <w:color w:val="auto"/>
          <w:sz w:val="24"/>
          <w:szCs w:val="24"/>
          <w:highlight w:val="none"/>
        </w:rPr>
        <w:sectPr>
          <w:pgSz w:w="11910" w:h="16840"/>
          <w:pgMar w:top="1580" w:right="940" w:bottom="1160" w:left="940" w:header="0" w:footer="895" w:gutter="0"/>
          <w:pgNumType w:fmt="decimal"/>
          <w:cols w:space="720" w:num="1"/>
        </w:sectPr>
      </w:pPr>
    </w:p>
    <w:p>
      <w:pPr>
        <w:pStyle w:val="9"/>
        <w:tabs>
          <w:tab w:val="left" w:pos="3729"/>
        </w:tabs>
        <w:spacing w:before="74" w:after="0" w:line="240" w:lineRule="auto"/>
        <w:ind w:right="1" w:firstLine="3614"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7、磋商文件内容确认书</w:t>
      </w:r>
    </w:p>
    <w:p>
      <w:pPr>
        <w:pStyle w:val="3"/>
        <w:spacing w:before="12"/>
        <w:jc w:val="both"/>
        <w:rPr>
          <w:rFonts w:hint="eastAsia" w:ascii="宋体" w:hAnsi="宋体" w:eastAsia="宋体" w:cs="宋体"/>
          <w:b/>
          <w:color w:val="auto"/>
          <w:sz w:val="24"/>
          <w:szCs w:val="24"/>
          <w:highlight w:val="none"/>
        </w:rPr>
      </w:pPr>
    </w:p>
    <w:p>
      <w:pPr>
        <w:pStyle w:val="3"/>
        <w:spacing w:before="70"/>
        <w:ind w:left="508"/>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u w:val="single"/>
        </w:rPr>
        <w:t xml:space="preserve">人     </w:t>
      </w:r>
      <w:r>
        <w:rPr>
          <w:rFonts w:hint="eastAsia" w:ascii="宋体" w:hAnsi="宋体" w:eastAsia="宋体" w:cs="宋体"/>
          <w:color w:val="auto"/>
          <w:highlight w:val="none"/>
        </w:rPr>
        <w:t>）</w:t>
      </w:r>
    </w:p>
    <w:p>
      <w:pPr>
        <w:pStyle w:val="3"/>
        <w:spacing w:before="7"/>
        <w:rPr>
          <w:rFonts w:hint="eastAsia" w:ascii="宋体" w:hAnsi="宋体" w:eastAsia="宋体" w:cs="宋体"/>
          <w:color w:val="auto"/>
          <w:sz w:val="15"/>
          <w:highlight w:val="none"/>
        </w:rPr>
      </w:pPr>
    </w:p>
    <w:p>
      <w:pPr>
        <w:pStyle w:val="3"/>
        <w:spacing w:line="417" w:lineRule="auto"/>
        <w:ind w:left="508" w:right="526" w:firstLine="420"/>
        <w:jc w:val="both"/>
        <w:rPr>
          <w:rFonts w:hint="eastAsia" w:ascii="宋体" w:hAnsi="宋体" w:eastAsia="宋体" w:cs="宋体"/>
          <w:color w:val="auto"/>
          <w:highlight w:val="none"/>
        </w:rPr>
      </w:pPr>
      <w:r>
        <w:rPr>
          <w:rFonts w:hint="eastAsia" w:ascii="宋体" w:hAnsi="宋体" w:eastAsia="宋体" w:cs="宋体"/>
          <w:color w:val="auto"/>
          <w:spacing w:val="-13"/>
          <w:highlight w:val="none"/>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spacing w:before="7"/>
        <w:rPr>
          <w:rFonts w:hint="eastAsia" w:ascii="宋体" w:hAnsi="宋体" w:eastAsia="宋体" w:cs="宋体"/>
          <w:color w:val="auto"/>
          <w:sz w:val="29"/>
          <w:highlight w:val="none"/>
        </w:rPr>
      </w:pPr>
    </w:p>
    <w:p>
      <w:pPr>
        <w:pStyle w:val="3"/>
        <w:tabs>
          <w:tab w:val="left" w:pos="4603"/>
        </w:tabs>
        <w:ind w:left="508"/>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（电子签章）</w:t>
      </w:r>
    </w:p>
    <w:p>
      <w:pPr>
        <w:pStyle w:val="3"/>
        <w:rPr>
          <w:rFonts w:hint="eastAsia" w:ascii="宋体" w:hAnsi="宋体" w:eastAsia="宋体" w:cs="宋体"/>
          <w:color w:val="auto"/>
          <w:sz w:val="22"/>
          <w:highlight w:val="none"/>
        </w:rPr>
      </w:pPr>
    </w:p>
    <w:p>
      <w:pPr>
        <w:pStyle w:val="3"/>
        <w:rPr>
          <w:rFonts w:hint="eastAsia" w:ascii="宋体" w:hAnsi="宋体" w:eastAsia="宋体" w:cs="宋体"/>
          <w:color w:val="auto"/>
          <w:sz w:val="30"/>
          <w:highlight w:val="none"/>
        </w:rPr>
      </w:pPr>
    </w:p>
    <w:p>
      <w:pPr>
        <w:pStyle w:val="3"/>
        <w:tabs>
          <w:tab w:val="left" w:pos="4077"/>
        </w:tabs>
        <w:ind w:left="508"/>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（电子签章）</w:t>
      </w:r>
    </w:p>
    <w:p>
      <w:pPr>
        <w:pStyle w:val="3"/>
        <w:rPr>
          <w:rFonts w:hint="eastAsia" w:ascii="宋体" w:hAnsi="宋体" w:eastAsia="宋体" w:cs="宋体"/>
          <w:color w:val="auto"/>
          <w:sz w:val="20"/>
          <w:highlight w:val="none"/>
        </w:rPr>
      </w:pPr>
    </w:p>
    <w:p>
      <w:pPr>
        <w:pStyle w:val="3"/>
        <w:spacing w:before="8"/>
        <w:rPr>
          <w:rFonts w:hint="eastAsia" w:ascii="宋体" w:hAnsi="宋体" w:eastAsia="宋体" w:cs="宋体"/>
          <w:color w:val="auto"/>
          <w:sz w:val="26"/>
          <w:highlight w:val="none"/>
        </w:rPr>
      </w:pPr>
    </w:p>
    <w:p>
      <w:pPr>
        <w:pStyle w:val="3"/>
        <w:tabs>
          <w:tab w:val="left" w:pos="2272"/>
          <w:tab w:val="left" w:pos="3218"/>
          <w:tab w:val="left" w:pos="4058"/>
        </w:tabs>
        <w:spacing w:before="70"/>
        <w:ind w:left="1557"/>
        <w:rPr>
          <w:rFonts w:hint="eastAsia" w:ascii="宋体" w:hAnsi="宋体" w:eastAsia="宋体" w:cs="宋体"/>
          <w:color w:val="auto"/>
          <w:highlight w:val="none"/>
        </w:rPr>
        <w:sectPr>
          <w:pgSz w:w="11910" w:h="16840"/>
          <w:pgMar w:top="1440" w:right="1080" w:bottom="1440" w:left="1080" w:header="1072" w:footer="1194" w:gutter="0"/>
          <w:pgNumType w:fmt="decimal"/>
          <w:cols w:space="720" w:num="1"/>
        </w:sect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3"/>
        <w:ind w:firstLine="4859" w:firstLineChars="2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2"/>
          <w:szCs w:val="28"/>
          <w:highlight w:val="none"/>
        </w:rPr>
        <w:t>8</w:t>
      </w:r>
      <w:r>
        <w:rPr>
          <w:rFonts w:hint="eastAsia" w:ascii="宋体" w:hAnsi="宋体" w:eastAsia="宋体" w:cs="宋体"/>
          <w:color w:val="auto"/>
          <w:sz w:val="22"/>
          <w:szCs w:val="28"/>
          <w:highlight w:val="none"/>
        </w:rPr>
        <w:t>、</w:t>
      </w:r>
      <w:r>
        <w:rPr>
          <w:rFonts w:hint="eastAsia" w:ascii="宋体" w:hAnsi="宋体" w:eastAsia="宋体" w:cs="宋体"/>
          <w:b/>
          <w:bCs/>
          <w:color w:val="auto"/>
          <w:sz w:val="24"/>
          <w:szCs w:val="24"/>
          <w:highlight w:val="none"/>
          <w:lang w:val="en-US" w:eastAsia="zh-CN"/>
        </w:rPr>
        <w:t xml:space="preserve"> 承诺书</w:t>
      </w:r>
    </w:p>
    <w:p>
      <w:pPr>
        <w:pStyle w:val="3"/>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pPr>
        <w:pStyle w:val="136"/>
        <w:keepNext/>
        <w:keepLines/>
        <w:spacing w:line="480" w:lineRule="exact"/>
        <w:ind w:firstLine="0"/>
        <w:jc w:val="center"/>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________________项目信用承诺书</w:t>
      </w:r>
    </w:p>
    <w:p>
      <w:pPr>
        <w:pStyle w:val="129"/>
        <w:spacing w:line="480" w:lineRule="exact"/>
        <w:ind w:firstLine="452" w:firstLineChars="200"/>
        <w:jc w:val="both"/>
        <w:rPr>
          <w:rFonts w:hint="eastAsia" w:ascii="宋体" w:hAnsi="宋体" w:eastAsia="宋体" w:cs="宋体"/>
          <w:color w:val="auto"/>
          <w:spacing w:val="-7"/>
          <w:kern w:val="2"/>
          <w:sz w:val="24"/>
          <w:szCs w:val="24"/>
          <w:highlight w:val="none"/>
          <w:lang w:val="en-US" w:eastAsia="zh-CN" w:bidi="ar-SA"/>
        </w:rPr>
      </w:pP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为营造公开、公平、公正、诚实守信的公共资源交易环境，树立诚信守法的投标人形象，本人代表本单位作出以下承诺：</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(二)严格依照国家和河南省关于招标投标的法律、法规、规章、规范性文件，参加公共资源招标投标活动，不挂靠、借用、出租、出借、转让资质，积极履行社会责任，促进廉政建设。</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(三)自我约束、自我管理，守合同、重信用，不参与围标串标、弄虚作假、骗取中标、干扰评标、胁迫他人投标（放弃中标)、恶意投诉、违约毁约等行为，自觉维护公共资源招标投标的良好秩序。</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(四)本单位及项目经办人员信用状况良好，未被列为失信惩戒对象或“老赖”，符合参与公共资源交易活动的相关要求。</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(六)若中标，本单位将在规定的时间内与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签订合同并自觉履行合同义务，不转包或违法分包中标项目。</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(七)自觉接受政府、行业组织、社会公众、新闻舆论的监督。</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129"/>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(九)本人已认真阅读了上述承诺，并向本单位员工作了宣传教育。</w:t>
      </w:r>
    </w:p>
    <w:p>
      <w:pPr>
        <w:pStyle w:val="129"/>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p>
    <w:p>
      <w:pPr>
        <w:pStyle w:val="129"/>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企业名称（盖章）：</w:t>
      </w:r>
    </w:p>
    <w:p>
      <w:pPr>
        <w:pStyle w:val="31"/>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项目负责人（签字）：</w:t>
      </w:r>
      <w:r>
        <w:rPr>
          <w:rFonts w:hint="eastAsia" w:ascii="宋体" w:hAnsi="宋体" w:eastAsia="宋体" w:cs="宋体"/>
          <w:color w:val="auto"/>
          <w:sz w:val="18"/>
          <w:szCs w:val="18"/>
          <w:highlight w:val="none"/>
        </w:rPr>
        <w:t xml:space="preserve"> </w:t>
      </w:r>
    </w:p>
    <w:p>
      <w:pPr>
        <w:pStyle w:val="129"/>
        <w:spacing w:line="360" w:lineRule="auto"/>
        <w:ind w:firstLine="3662" w:firstLineChars="1526"/>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日</w:t>
      </w:r>
    </w:p>
    <w:p>
      <w:pPr>
        <w:pStyle w:val="3"/>
        <w:spacing w:before="3"/>
        <w:jc w:val="center"/>
        <w:rPr>
          <w:rFonts w:hint="eastAsia" w:ascii="宋体" w:hAnsi="宋体" w:eastAsia="宋体" w:cs="宋体"/>
          <w:b/>
          <w:color w:val="auto"/>
          <w:sz w:val="26"/>
          <w:highlight w:val="none"/>
        </w:rPr>
      </w:pPr>
    </w:p>
    <w:p>
      <w:pPr>
        <w:pStyle w:val="3"/>
        <w:spacing w:before="3"/>
        <w:jc w:val="center"/>
        <w:rPr>
          <w:rFonts w:hint="eastAsia" w:ascii="宋体" w:hAnsi="宋体" w:eastAsia="宋体" w:cs="宋体"/>
          <w:b/>
          <w:color w:val="auto"/>
          <w:sz w:val="26"/>
          <w:highlight w:val="none"/>
        </w:rPr>
      </w:pPr>
    </w:p>
    <w:p>
      <w:pPr>
        <w:pStyle w:val="3"/>
        <w:spacing w:before="3"/>
        <w:jc w:val="center"/>
        <w:rPr>
          <w:rFonts w:hint="eastAsia" w:ascii="宋体" w:hAnsi="宋体" w:eastAsia="宋体" w:cs="宋体"/>
          <w:b/>
          <w:color w:val="auto"/>
          <w:sz w:val="26"/>
          <w:highlight w:val="none"/>
        </w:rPr>
      </w:pPr>
    </w:p>
    <w:p>
      <w:pPr>
        <w:pStyle w:val="3"/>
        <w:spacing w:before="3"/>
        <w:jc w:val="center"/>
        <w:rPr>
          <w:rFonts w:hint="eastAsia" w:ascii="宋体" w:hAnsi="宋体" w:eastAsia="宋体" w:cs="宋体"/>
          <w:b/>
          <w:color w:val="auto"/>
          <w:sz w:val="26"/>
          <w:highlight w:val="none"/>
          <w:lang w:val="en-US" w:eastAsia="zh-CN"/>
        </w:rPr>
      </w:pPr>
      <w:r>
        <w:rPr>
          <w:rFonts w:hint="eastAsia" w:ascii="宋体" w:hAnsi="宋体" w:eastAsia="宋体" w:cs="宋体"/>
          <w:b/>
          <w:color w:val="auto"/>
          <w:sz w:val="26"/>
          <w:highlight w:val="none"/>
          <w:lang w:val="en-US" w:eastAsia="zh-CN"/>
        </w:rPr>
        <w:t>9、</w:t>
      </w:r>
      <w:r>
        <w:rPr>
          <w:rFonts w:hint="eastAsia" w:ascii="宋体" w:hAnsi="宋体" w:eastAsia="宋体" w:cs="宋体"/>
          <w:b/>
          <w:color w:val="auto"/>
          <w:sz w:val="26"/>
          <w:highlight w:val="none"/>
        </w:rPr>
        <w:t>信用</w:t>
      </w:r>
      <w:r>
        <w:rPr>
          <w:rFonts w:hint="eastAsia" w:ascii="宋体" w:hAnsi="宋体" w:eastAsia="宋体" w:cs="宋体"/>
          <w:b/>
          <w:color w:val="auto"/>
          <w:sz w:val="26"/>
          <w:highlight w:val="none"/>
          <w:lang w:eastAsia="zh-CN"/>
        </w:rPr>
        <w:t>报告</w:t>
      </w:r>
    </w:p>
    <w:p>
      <w:pPr>
        <w:spacing w:line="50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投标人在参与公共资源交易活动时要提供规范的信用报告，信用报告可以从“信用中国”网站下载。生成时间不得早于</w:t>
      </w:r>
      <w:r>
        <w:rPr>
          <w:rFonts w:hint="eastAsia" w:ascii="宋体" w:hAnsi="宋体" w:eastAsia="宋体" w:cs="宋体"/>
          <w:b w:val="0"/>
          <w:bCs/>
          <w:color w:val="auto"/>
          <w:highlight w:val="none"/>
          <w:lang w:eastAsia="zh-CN"/>
        </w:rPr>
        <w:t>磋商公告</w:t>
      </w:r>
      <w:r>
        <w:rPr>
          <w:rFonts w:hint="eastAsia" w:ascii="宋体" w:hAnsi="宋体" w:eastAsia="宋体" w:cs="宋体"/>
          <w:b w:val="0"/>
          <w:bCs/>
          <w:color w:val="auto"/>
          <w:highlight w:val="none"/>
        </w:rPr>
        <w:t>发布时间。</w:t>
      </w:r>
    </w:p>
    <w:p>
      <w:pPr>
        <w:jc w:val="center"/>
        <w:rPr>
          <w:rFonts w:hint="eastAsia" w:ascii="宋体" w:hAnsi="宋体" w:eastAsia="宋体" w:cs="宋体"/>
          <w:b/>
          <w:color w:val="auto"/>
          <w:sz w:val="28"/>
          <w:szCs w:val="28"/>
          <w:highlight w:val="none"/>
        </w:rPr>
      </w:pPr>
    </w:p>
    <w:p>
      <w:pPr>
        <w:pStyle w:val="3"/>
        <w:rPr>
          <w:rFonts w:hint="eastAsia" w:ascii="宋体" w:hAnsi="宋体" w:eastAsia="宋体" w:cs="宋体"/>
          <w:color w:val="auto"/>
          <w:highlight w:val="none"/>
          <w:lang w:val="en-US" w:eastAsia="zh-CN"/>
        </w:rPr>
        <w:sectPr>
          <w:pgSz w:w="11910" w:h="16840"/>
          <w:pgMar w:top="1580" w:right="940" w:bottom="1160" w:left="940" w:header="0" w:footer="895" w:gutter="0"/>
          <w:pgNumType w:fmt="decimal"/>
          <w:cols w:space="720" w:num="1"/>
        </w:sectPr>
      </w:pPr>
    </w:p>
    <w:p>
      <w:pPr>
        <w:pStyle w:val="133"/>
        <w:rPr>
          <w:rFonts w:hint="eastAsia" w:ascii="宋体" w:hAnsi="宋体" w:eastAsia="宋体" w:cs="宋体"/>
          <w:color w:val="auto"/>
          <w:highlight w:val="none"/>
        </w:rPr>
      </w:pPr>
    </w:p>
    <w:p>
      <w:pPr>
        <w:pStyle w:val="10"/>
        <w:tabs>
          <w:tab w:val="left" w:pos="839"/>
        </w:tabs>
        <w:spacing w:before="67"/>
        <w:ind w:right="10" w:firstLine="2168" w:firstLineChars="9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10、投标人认为响应磋商文件应提供的其它资料</w:t>
      </w: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3"/>
        <w:spacing w:before="280"/>
        <w:ind w:right="52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133"/>
        <w:rPr>
          <w:rFonts w:hint="eastAsia" w:ascii="宋体" w:hAnsi="宋体" w:eastAsia="宋体" w:cs="宋体"/>
          <w:color w:val="auto"/>
          <w:highlight w:val="none"/>
        </w:rPr>
      </w:pPr>
    </w:p>
    <w:p>
      <w:pPr>
        <w:pStyle w:val="21"/>
        <w:rPr>
          <w:rFonts w:hint="eastAsia" w:ascii="宋体" w:hAnsi="宋体" w:eastAsia="宋体" w:cs="宋体"/>
          <w:color w:val="auto"/>
          <w:szCs w:val="24"/>
          <w:highlight w:val="none"/>
        </w:rPr>
      </w:pPr>
    </w:p>
    <w:p>
      <w:pPr>
        <w:pStyle w:val="21"/>
        <w:rPr>
          <w:rFonts w:hint="eastAsia" w:ascii="宋体" w:hAnsi="宋体" w:eastAsia="宋体" w:cs="宋体"/>
          <w:color w:val="auto"/>
          <w:szCs w:val="24"/>
          <w:highlight w:val="none"/>
        </w:rPr>
      </w:pPr>
    </w:p>
    <w:p>
      <w:pPr>
        <w:pStyle w:val="21"/>
        <w:rPr>
          <w:rFonts w:hint="eastAsia" w:ascii="宋体" w:hAnsi="宋体" w:eastAsia="宋体" w:cs="宋体"/>
          <w:color w:val="auto"/>
          <w:szCs w:val="24"/>
          <w:highlight w:val="none"/>
        </w:rPr>
      </w:pPr>
    </w:p>
    <w:p>
      <w:pPr>
        <w:pStyle w:val="10"/>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11、享受政府采购政策的证明材料</w:t>
      </w:r>
    </w:p>
    <w:p>
      <w:pPr>
        <w:pStyle w:val="10"/>
        <w:tabs>
          <w:tab w:val="left" w:pos="839"/>
        </w:tabs>
        <w:spacing w:before="67"/>
        <w:ind w:right="10" w:firstLine="3614" w:firstLineChars="15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11.1、中小企业声明函</w:t>
      </w:r>
    </w:p>
    <w:p>
      <w:pPr>
        <w:pStyle w:val="3"/>
        <w:jc w:val="both"/>
        <w:rPr>
          <w:rFonts w:hint="eastAsia" w:ascii="宋体" w:hAnsi="宋体" w:eastAsia="宋体" w:cs="宋体"/>
          <w:b/>
          <w:color w:val="auto"/>
          <w:sz w:val="24"/>
          <w:szCs w:val="24"/>
          <w:highlight w:val="none"/>
        </w:rPr>
      </w:pPr>
    </w:p>
    <w:p>
      <w:pPr>
        <w:spacing w:before="238" w:line="364" w:lineRule="auto"/>
        <w:ind w:left="238" w:right="134" w:firstLine="4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本公司郑重声明，根据《政府采购促进中小企业发展暂行办法》（财库[2011]181 号）的规定，本公司为（请填写：中型、小型、微型）企业。即，本公司同时满足以下条件：</w:t>
      </w:r>
    </w:p>
    <w:p>
      <w:pPr>
        <w:pStyle w:val="134"/>
        <w:numPr>
          <w:ilvl w:val="0"/>
          <w:numId w:val="5"/>
        </w:numPr>
        <w:tabs>
          <w:tab w:val="left" w:pos="907"/>
        </w:tabs>
        <w:spacing w:line="364" w:lineRule="auto"/>
        <w:ind w:right="254" w:firstLine="4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根据《工业和信息化部、国家统计局、国家发展和改革委员会、财政部关于印发中小企业划</w:t>
      </w:r>
      <w:r>
        <w:rPr>
          <w:rFonts w:hint="eastAsia" w:ascii="宋体" w:hAnsi="宋体" w:eastAsia="宋体" w:cs="宋体"/>
          <w:color w:val="auto"/>
          <w:spacing w:val="9"/>
          <w:sz w:val="24"/>
          <w:szCs w:val="24"/>
          <w:highlight w:val="none"/>
        </w:rPr>
        <w:t>型标准规定的通知》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工信部联企业[</w:t>
      </w:r>
      <w:r>
        <w:rPr>
          <w:rFonts w:hint="eastAsia" w:ascii="宋体" w:hAnsi="宋体" w:eastAsia="宋体" w:cs="宋体"/>
          <w:color w:val="auto"/>
          <w:spacing w:val="3"/>
          <w:sz w:val="24"/>
          <w:szCs w:val="24"/>
          <w:highlight w:val="none"/>
        </w:rPr>
        <w:t>2011]300</w:t>
      </w:r>
      <w:r>
        <w:rPr>
          <w:rFonts w:hint="eastAsia" w:ascii="宋体" w:hAnsi="宋体" w:eastAsia="宋体" w:cs="宋体"/>
          <w:color w:val="auto"/>
          <w:spacing w:val="-6"/>
          <w:sz w:val="24"/>
          <w:szCs w:val="24"/>
          <w:highlight w:val="none"/>
        </w:rPr>
        <w:t xml:space="preserve"> 号</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规定的划分标准，本公司为（</w:t>
      </w:r>
      <w:r>
        <w:rPr>
          <w:rFonts w:hint="eastAsia" w:ascii="宋体" w:hAnsi="宋体" w:eastAsia="宋体" w:cs="宋体"/>
          <w:color w:val="auto"/>
          <w:spacing w:val="7"/>
          <w:sz w:val="24"/>
          <w:szCs w:val="24"/>
          <w:highlight w:val="none"/>
        </w:rPr>
        <w:t>请填写：中型、</w:t>
      </w:r>
      <w:r>
        <w:rPr>
          <w:rFonts w:hint="eastAsia" w:ascii="宋体" w:hAnsi="宋体" w:eastAsia="宋体" w:cs="宋体"/>
          <w:color w:val="auto"/>
          <w:spacing w:val="9"/>
          <w:sz w:val="24"/>
          <w:szCs w:val="24"/>
          <w:highlight w:val="none"/>
        </w:rPr>
        <w:t>小型、微型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6"/>
          <w:sz w:val="24"/>
          <w:szCs w:val="24"/>
          <w:highlight w:val="none"/>
        </w:rPr>
        <w:t>企业。</w:t>
      </w:r>
    </w:p>
    <w:p>
      <w:pPr>
        <w:pStyle w:val="134"/>
        <w:numPr>
          <w:ilvl w:val="0"/>
          <w:numId w:val="5"/>
        </w:numPr>
        <w:tabs>
          <w:tab w:val="left" w:pos="907"/>
        </w:tabs>
        <w:spacing w:line="364" w:lineRule="auto"/>
        <w:ind w:right="255" w:firstLine="4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本公司参加单位的项目采购活动提供本企业制造的货物，由本企业承担工程、提供服务，</w:t>
      </w:r>
      <w:r>
        <w:rPr>
          <w:rFonts w:hint="eastAsia" w:ascii="宋体" w:hAnsi="宋体" w:eastAsia="宋体" w:cs="宋体"/>
          <w:color w:val="auto"/>
          <w:spacing w:val="9"/>
          <w:sz w:val="24"/>
          <w:szCs w:val="24"/>
          <w:highlight w:val="none"/>
        </w:rPr>
        <w:t>或者提供其他（请填写：中型、小型、微型）</w:t>
      </w:r>
      <w:r>
        <w:rPr>
          <w:rFonts w:hint="eastAsia" w:ascii="宋体" w:hAnsi="宋体" w:eastAsia="宋体" w:cs="宋体"/>
          <w:color w:val="auto"/>
          <w:spacing w:val="8"/>
          <w:sz w:val="24"/>
          <w:szCs w:val="24"/>
          <w:highlight w:val="none"/>
        </w:rPr>
        <w:t>企业制造的货物。本条所称货物不包括使用大型企业</w:t>
      </w:r>
      <w:r>
        <w:rPr>
          <w:rFonts w:hint="eastAsia" w:ascii="宋体" w:hAnsi="宋体" w:eastAsia="宋体" w:cs="宋体"/>
          <w:color w:val="auto"/>
          <w:spacing w:val="7"/>
          <w:sz w:val="24"/>
          <w:szCs w:val="24"/>
          <w:highlight w:val="none"/>
        </w:rPr>
        <w:t>注册商标的货物。</w:t>
      </w:r>
    </w:p>
    <w:p>
      <w:pPr>
        <w:spacing w:line="269" w:lineRule="exact"/>
        <w:ind w:left="6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spacing w:before="5"/>
        <w:jc w:val="both"/>
        <w:rPr>
          <w:rFonts w:hint="eastAsia" w:ascii="宋体" w:hAnsi="宋体" w:eastAsia="宋体" w:cs="宋体"/>
          <w:color w:val="auto"/>
          <w:sz w:val="24"/>
          <w:szCs w:val="24"/>
          <w:highlight w:val="none"/>
        </w:rPr>
      </w:pPr>
    </w:p>
    <w:p>
      <w:pPr>
        <w:spacing w:before="1"/>
        <w:ind w:left="454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供应商名称(盖单位章)：</w:t>
      </w:r>
    </w:p>
    <w:p>
      <w:pPr>
        <w:spacing w:before="141"/>
        <w:ind w:left="454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法定代表人或委托代理人(签章)：</w:t>
      </w:r>
    </w:p>
    <w:p>
      <w:pPr>
        <w:tabs>
          <w:tab w:val="left" w:pos="5990"/>
          <w:tab w:val="left" w:pos="7038"/>
          <w:tab w:val="left" w:pos="8088"/>
        </w:tabs>
        <w:spacing w:before="139"/>
        <w:ind w:left="45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pPr>
        <w:pStyle w:val="3"/>
        <w:jc w:val="both"/>
        <w:rPr>
          <w:rFonts w:hint="eastAsia" w:ascii="宋体" w:hAnsi="宋体" w:eastAsia="宋体" w:cs="宋体"/>
          <w:color w:val="auto"/>
          <w:sz w:val="24"/>
          <w:szCs w:val="24"/>
          <w:highlight w:val="none"/>
        </w:rPr>
      </w:pPr>
    </w:p>
    <w:p>
      <w:pPr>
        <w:pStyle w:val="3"/>
        <w:spacing w:before="7"/>
        <w:jc w:val="both"/>
        <w:rPr>
          <w:rFonts w:hint="eastAsia" w:ascii="宋体" w:hAnsi="宋体" w:eastAsia="宋体" w:cs="宋体"/>
          <w:color w:val="auto"/>
          <w:sz w:val="24"/>
          <w:szCs w:val="24"/>
          <w:highlight w:val="none"/>
        </w:rPr>
      </w:pPr>
    </w:p>
    <w:p>
      <w:pPr>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before="141" w:line="364" w:lineRule="auto"/>
        <w:ind w:left="238" w:right="2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1、填写前请认真阅读《工业和信息化部、国家统计局、国家发展和改革委员会、财政部关于印发中小企业划型标准规定的通知》（工信部联企业[2011]300 号）和《财政部 工业和信息化部关于印发</w:t>
      </w:r>
    </w:p>
    <w:p>
      <w:pPr>
        <w:spacing w:line="364" w:lineRule="auto"/>
        <w:ind w:left="238" w:right="185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＜政府采购促进中小企业发展暂行办法＞的通知》(财库[2011]181 号)相关规定。</w:t>
      </w:r>
    </w:p>
    <w:p>
      <w:pPr>
        <w:spacing w:line="364" w:lineRule="auto"/>
        <w:ind w:left="238" w:right="185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2、未按上述要求提供、填写的，评审时不予以考虑。</w:t>
      </w:r>
    </w:p>
    <w:p>
      <w:pPr>
        <w:spacing w:line="364" w:lineRule="auto"/>
        <w:jc w:val="both"/>
        <w:rPr>
          <w:rFonts w:hint="eastAsia" w:ascii="宋体" w:hAnsi="宋体" w:eastAsia="宋体" w:cs="宋体"/>
          <w:color w:val="auto"/>
          <w:sz w:val="24"/>
          <w:szCs w:val="24"/>
          <w:highlight w:val="none"/>
        </w:rPr>
        <w:sectPr>
          <w:pgSz w:w="11910" w:h="16840"/>
          <w:pgMar w:top="1560" w:right="940" w:bottom="1160" w:left="940" w:header="0" w:footer="895" w:gutter="0"/>
          <w:pgNumType w:fmt="decimal"/>
          <w:cols w:space="720" w:num="1"/>
        </w:sectPr>
      </w:pPr>
    </w:p>
    <w:p>
      <w:pPr>
        <w:pStyle w:val="10"/>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11.2、残疾人福利性单位声明函</w:t>
      </w:r>
    </w:p>
    <w:p>
      <w:pPr>
        <w:pStyle w:val="3"/>
        <w:jc w:val="left"/>
        <w:rPr>
          <w:rFonts w:hint="eastAsia" w:ascii="宋体" w:hAnsi="宋体" w:eastAsia="宋体" w:cs="宋体"/>
          <w:b/>
          <w:color w:val="auto"/>
          <w:sz w:val="24"/>
          <w:szCs w:val="24"/>
          <w:highlight w:val="none"/>
        </w:rPr>
      </w:pPr>
    </w:p>
    <w:p>
      <w:pPr>
        <w:spacing w:before="141" w:line="360" w:lineRule="auto"/>
        <w:ind w:left="239" w:leftChars="114" w:right="254" w:firstLine="747" w:firstLineChars="292"/>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本单位郑重声明，根据《财政部 民政部 中国残疾人联合会关于促进残疾人就业政府采购政策</w:t>
      </w:r>
      <w:r>
        <w:rPr>
          <w:rFonts w:hint="eastAsia" w:ascii="宋体" w:hAnsi="宋体" w:eastAsia="宋体" w:cs="宋体"/>
          <w:color w:val="auto"/>
          <w:spacing w:val="-13"/>
          <w:sz w:val="24"/>
          <w:szCs w:val="24"/>
          <w:highlight w:val="none"/>
        </w:rPr>
        <w:t>的通知》</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1"/>
          <w:sz w:val="24"/>
          <w:szCs w:val="24"/>
          <w:highlight w:val="none"/>
        </w:rPr>
        <w:t>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35"/>
          <w:sz w:val="24"/>
          <w:szCs w:val="24"/>
          <w:highlight w:val="none"/>
        </w:rPr>
        <w:t xml:space="preserve"> 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的规定，本单位为符合条件的残疾人福利性单位，且本单位参加</w:t>
      </w:r>
      <w:r>
        <w:rPr>
          <w:rFonts w:hint="eastAsia" w:ascii="宋体" w:hAnsi="宋体" w:eastAsia="宋体" w:cs="宋体"/>
          <w:color w:val="auto"/>
          <w:spacing w:val="4"/>
          <w:sz w:val="24"/>
          <w:szCs w:val="24"/>
          <w:highlight w:val="none"/>
        </w:rPr>
        <w:t>__________________</w:t>
      </w:r>
      <w:r>
        <w:rPr>
          <w:rFonts w:hint="eastAsia" w:ascii="宋体" w:hAnsi="宋体" w:eastAsia="宋体" w:cs="宋体"/>
          <w:color w:val="auto"/>
          <w:spacing w:val="11"/>
          <w:sz w:val="24"/>
          <w:szCs w:val="24"/>
          <w:highlight w:val="none"/>
        </w:rPr>
        <w:t>单</w:t>
      </w:r>
      <w:r>
        <w:rPr>
          <w:rFonts w:hint="eastAsia" w:ascii="宋体" w:hAnsi="宋体" w:eastAsia="宋体" w:cs="宋体"/>
          <w:color w:val="auto"/>
          <w:spacing w:val="9"/>
          <w:sz w:val="24"/>
          <w:szCs w:val="24"/>
          <w:highlight w:val="none"/>
        </w:rPr>
        <w:t>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rPr>
        <w:tab/>
      </w:r>
      <w:r>
        <w:rPr>
          <w:rFonts w:hint="eastAsia" w:ascii="宋体" w:hAnsi="宋体" w:eastAsia="宋体" w:cs="宋体"/>
          <w:color w:val="auto"/>
          <w:spacing w:val="11"/>
          <w:sz w:val="24"/>
          <w:szCs w:val="24"/>
          <w:highlight w:val="none"/>
        </w:rPr>
        <w:t>项</w:t>
      </w:r>
      <w:r>
        <w:rPr>
          <w:rFonts w:hint="eastAsia" w:ascii="宋体" w:hAnsi="宋体" w:eastAsia="宋体" w:cs="宋体"/>
          <w:color w:val="auto"/>
          <w:spacing w:val="9"/>
          <w:sz w:val="24"/>
          <w:szCs w:val="24"/>
          <w:highlight w:val="none"/>
        </w:rPr>
        <w:t>目</w:t>
      </w:r>
      <w:r>
        <w:rPr>
          <w:rFonts w:hint="eastAsia" w:ascii="宋体" w:hAnsi="宋体" w:eastAsia="宋体" w:cs="宋体"/>
          <w:color w:val="auto"/>
          <w:spacing w:val="11"/>
          <w:sz w:val="24"/>
          <w:szCs w:val="24"/>
          <w:highlight w:val="none"/>
        </w:rPr>
        <w:t>采</w:t>
      </w:r>
      <w:r>
        <w:rPr>
          <w:rFonts w:hint="eastAsia" w:ascii="宋体" w:hAnsi="宋体" w:eastAsia="宋体" w:cs="宋体"/>
          <w:color w:val="auto"/>
          <w:spacing w:val="9"/>
          <w:sz w:val="24"/>
          <w:szCs w:val="24"/>
          <w:highlight w:val="none"/>
        </w:rPr>
        <w:t>购</w:t>
      </w:r>
      <w:r>
        <w:rPr>
          <w:rFonts w:hint="eastAsia" w:ascii="宋体" w:hAnsi="宋体" w:eastAsia="宋体" w:cs="宋体"/>
          <w:color w:val="auto"/>
          <w:spacing w:val="11"/>
          <w:sz w:val="24"/>
          <w:szCs w:val="24"/>
          <w:highlight w:val="none"/>
        </w:rPr>
        <w:t>活</w:t>
      </w:r>
      <w:r>
        <w:rPr>
          <w:rFonts w:hint="eastAsia" w:ascii="宋体" w:hAnsi="宋体" w:eastAsia="宋体" w:cs="宋体"/>
          <w:color w:val="auto"/>
          <w:spacing w:val="9"/>
          <w:sz w:val="24"/>
          <w:szCs w:val="24"/>
          <w:highlight w:val="none"/>
        </w:rPr>
        <w:t>动</w:t>
      </w:r>
      <w:r>
        <w:rPr>
          <w:rFonts w:hint="eastAsia" w:ascii="宋体" w:hAnsi="宋体" w:eastAsia="宋体" w:cs="宋体"/>
          <w:color w:val="auto"/>
          <w:spacing w:val="11"/>
          <w:sz w:val="24"/>
          <w:szCs w:val="24"/>
          <w:highlight w:val="none"/>
        </w:rPr>
        <w:t>提</w:t>
      </w:r>
      <w:r>
        <w:rPr>
          <w:rFonts w:hint="eastAsia" w:ascii="宋体" w:hAnsi="宋体" w:eastAsia="宋体" w:cs="宋体"/>
          <w:color w:val="auto"/>
          <w:spacing w:val="9"/>
          <w:sz w:val="24"/>
          <w:szCs w:val="24"/>
          <w:highlight w:val="none"/>
        </w:rPr>
        <w:t>供</w:t>
      </w:r>
      <w:r>
        <w:rPr>
          <w:rFonts w:hint="eastAsia" w:ascii="宋体" w:hAnsi="宋体" w:eastAsia="宋体" w:cs="宋体"/>
          <w:color w:val="auto"/>
          <w:spacing w:val="11"/>
          <w:sz w:val="24"/>
          <w:szCs w:val="24"/>
          <w:highlight w:val="none"/>
        </w:rPr>
        <w:t>本</w:t>
      </w:r>
      <w:r>
        <w:rPr>
          <w:rFonts w:hint="eastAsia" w:ascii="宋体" w:hAnsi="宋体" w:eastAsia="宋体" w:cs="宋体"/>
          <w:color w:val="auto"/>
          <w:spacing w:val="9"/>
          <w:sz w:val="24"/>
          <w:szCs w:val="24"/>
          <w:highlight w:val="none"/>
        </w:rPr>
        <w:t>单</w:t>
      </w:r>
      <w:r>
        <w:rPr>
          <w:rFonts w:hint="eastAsia" w:ascii="宋体" w:hAnsi="宋体" w:eastAsia="宋体" w:cs="宋体"/>
          <w:color w:val="auto"/>
          <w:spacing w:val="11"/>
          <w:sz w:val="24"/>
          <w:szCs w:val="24"/>
          <w:highlight w:val="none"/>
        </w:rPr>
        <w:t>位的</w:t>
      </w:r>
      <w:r>
        <w:rPr>
          <w:rFonts w:hint="eastAsia" w:ascii="宋体" w:hAnsi="宋体" w:cs="宋体"/>
          <w:color w:val="auto"/>
          <w:spacing w:val="9"/>
          <w:sz w:val="24"/>
          <w:szCs w:val="24"/>
          <w:highlight w:val="none"/>
          <w:lang w:eastAsia="zh-CN"/>
        </w:rPr>
        <w:t>服务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1"/>
          <w:sz w:val="24"/>
          <w:szCs w:val="24"/>
          <w:highlight w:val="none"/>
        </w:rPr>
        <w:t>由</w:t>
      </w:r>
      <w:r>
        <w:rPr>
          <w:rFonts w:hint="eastAsia" w:ascii="宋体" w:hAnsi="宋体" w:eastAsia="宋体" w:cs="宋体"/>
          <w:color w:val="auto"/>
          <w:spacing w:val="9"/>
          <w:sz w:val="24"/>
          <w:szCs w:val="24"/>
          <w:highlight w:val="none"/>
        </w:rPr>
        <w:t>本</w:t>
      </w:r>
      <w:r>
        <w:rPr>
          <w:rFonts w:hint="eastAsia" w:ascii="宋体" w:hAnsi="宋体" w:eastAsia="宋体" w:cs="宋体"/>
          <w:color w:val="auto"/>
          <w:sz w:val="24"/>
          <w:szCs w:val="24"/>
          <w:highlight w:val="none"/>
        </w:rPr>
        <w:t>单</w:t>
      </w:r>
      <w:r>
        <w:rPr>
          <w:rFonts w:hint="eastAsia" w:ascii="宋体" w:hAnsi="宋体" w:eastAsia="宋体" w:cs="宋体"/>
          <w:color w:val="auto"/>
          <w:spacing w:val="10"/>
          <w:sz w:val="24"/>
          <w:szCs w:val="24"/>
          <w:highlight w:val="none"/>
        </w:rPr>
        <w:t>位承担工程</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9"/>
          <w:sz w:val="24"/>
          <w:szCs w:val="24"/>
          <w:highlight w:val="none"/>
        </w:rPr>
        <w:t>提供服务</w:t>
      </w:r>
      <w:r>
        <w:rPr>
          <w:rFonts w:hint="eastAsia" w:ascii="宋体" w:hAnsi="宋体" w:eastAsia="宋体" w:cs="宋体"/>
          <w:color w:val="auto"/>
          <w:spacing w:val="-99"/>
          <w:sz w:val="24"/>
          <w:szCs w:val="24"/>
          <w:highlight w:val="none"/>
        </w:rPr>
        <w:t>）</w:t>
      </w:r>
      <w:r>
        <w:rPr>
          <w:rFonts w:hint="eastAsia" w:ascii="宋体" w:hAnsi="宋体" w:eastAsia="宋体" w:cs="宋体"/>
          <w:color w:val="auto"/>
          <w:spacing w:val="9"/>
          <w:sz w:val="24"/>
          <w:szCs w:val="24"/>
          <w:highlight w:val="none"/>
        </w:rPr>
        <w:t>，或者提供其他残疾人福利性单位的</w:t>
      </w:r>
      <w:r>
        <w:rPr>
          <w:rFonts w:hint="eastAsia" w:ascii="宋体" w:hAnsi="宋体" w:cs="宋体"/>
          <w:color w:val="auto"/>
          <w:spacing w:val="9"/>
          <w:sz w:val="24"/>
          <w:szCs w:val="24"/>
          <w:highlight w:val="none"/>
          <w:lang w:eastAsia="zh-CN"/>
        </w:rPr>
        <w:t>服务</w:t>
      </w:r>
      <w:r>
        <w:rPr>
          <w:rFonts w:hint="eastAsia" w:ascii="宋体" w:hAnsi="宋体" w:eastAsia="宋体" w:cs="宋体"/>
          <w:color w:val="auto"/>
          <w:sz w:val="24"/>
          <w:szCs w:val="24"/>
          <w:highlight w:val="none"/>
        </w:rPr>
        <w:t>。</w:t>
      </w:r>
    </w:p>
    <w:p>
      <w:pPr>
        <w:spacing w:line="360" w:lineRule="auto"/>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before="239" w:line="360" w:lineRule="auto"/>
        <w:ind w:left="17" w:leftChars="8" w:right="250" w:firstLine="662" w:firstLineChars="276"/>
        <w:jc w:val="both"/>
        <w:rPr>
          <w:rFonts w:hint="eastAsia" w:ascii="宋体" w:hAnsi="宋体" w:eastAsia="宋体" w:cs="宋体"/>
          <w:color w:val="auto"/>
          <w:sz w:val="24"/>
          <w:szCs w:val="24"/>
          <w:highlight w:val="none"/>
        </w:rPr>
      </w:pPr>
    </w:p>
    <w:p>
      <w:pPr>
        <w:tabs>
          <w:tab w:val="left" w:leader="underscore" w:pos="5110"/>
        </w:tabs>
        <w:spacing w:line="360" w:lineRule="auto"/>
        <w:ind w:right="249"/>
        <w:jc w:val="both"/>
        <w:rPr>
          <w:rFonts w:hint="eastAsia" w:ascii="宋体" w:hAnsi="宋体" w:eastAsia="宋体" w:cs="宋体"/>
          <w:color w:val="auto"/>
          <w:sz w:val="24"/>
          <w:szCs w:val="24"/>
          <w:highlight w:val="none"/>
        </w:rPr>
      </w:pPr>
    </w:p>
    <w:p>
      <w:pPr>
        <w:pStyle w:val="3"/>
        <w:spacing w:line="360" w:lineRule="auto"/>
        <w:jc w:val="both"/>
        <w:rPr>
          <w:rFonts w:hint="eastAsia" w:ascii="宋体" w:hAnsi="宋体" w:eastAsia="宋体" w:cs="宋体"/>
          <w:color w:val="auto"/>
          <w:sz w:val="24"/>
          <w:szCs w:val="24"/>
          <w:highlight w:val="none"/>
        </w:rPr>
      </w:pPr>
    </w:p>
    <w:p>
      <w:pPr>
        <w:pStyle w:val="3"/>
        <w:spacing w:before="11" w:line="360" w:lineRule="auto"/>
        <w:jc w:val="both"/>
        <w:rPr>
          <w:rFonts w:hint="eastAsia" w:ascii="宋体" w:hAnsi="宋体" w:eastAsia="宋体" w:cs="宋体"/>
          <w:color w:val="auto"/>
          <w:sz w:val="24"/>
          <w:szCs w:val="24"/>
          <w:highlight w:val="none"/>
        </w:rPr>
      </w:pPr>
    </w:p>
    <w:p>
      <w:pPr>
        <w:spacing w:line="360" w:lineRule="auto"/>
        <w:ind w:left="5459"/>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单位名称</w:t>
      </w:r>
      <w:r>
        <w:rPr>
          <w:rFonts w:hint="eastAsia" w:ascii="宋体" w:hAnsi="宋体" w:eastAsia="宋体" w:cs="宋体"/>
          <w:color w:val="auto"/>
          <w:spacing w:val="9"/>
          <w:sz w:val="24"/>
          <w:szCs w:val="24"/>
          <w:highlight w:val="none"/>
        </w:rPr>
        <w:t>（电子签章</w:t>
      </w:r>
      <w:r>
        <w:rPr>
          <w:rFonts w:hint="eastAsia" w:ascii="宋体" w:hAnsi="宋体" w:eastAsia="宋体" w:cs="宋体"/>
          <w:color w:val="auto"/>
          <w:spacing w:val="-101"/>
          <w:sz w:val="24"/>
          <w:szCs w:val="24"/>
          <w:highlight w:val="none"/>
        </w:rPr>
        <w:t>）</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4"/>
          <w:sz w:val="24"/>
          <w:szCs w:val="24"/>
          <w:highlight w:val="none"/>
        </w:rPr>
        <w:t>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z w:val="24"/>
          <w:szCs w:val="24"/>
          <w:highlight w:val="none"/>
        </w:rPr>
        <w:t>_</w:t>
      </w:r>
    </w:p>
    <w:p>
      <w:pPr>
        <w:tabs>
          <w:tab w:val="left" w:pos="691"/>
        </w:tabs>
        <w:spacing w:before="140" w:line="360" w:lineRule="auto"/>
        <w:ind w:left="0" w:leftChars="0" w:right="353" w:firstLine="4620" w:firstLineChars="19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4"/>
          <w:sz w:val="24"/>
          <w:szCs w:val="24"/>
          <w:highlight w:val="none"/>
        </w:rPr>
        <w:t>__________________</w:t>
      </w:r>
    </w:p>
    <w:p>
      <w:pPr>
        <w:pStyle w:val="3"/>
        <w:spacing w:line="360" w:lineRule="auto"/>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jc w:val="both"/>
        <w:rPr>
          <w:rFonts w:hint="eastAsia" w:ascii="宋体" w:hAnsi="宋体" w:eastAsia="宋体" w:cs="宋体"/>
          <w:color w:val="auto"/>
          <w:sz w:val="24"/>
          <w:szCs w:val="24"/>
          <w:highlight w:val="none"/>
        </w:rPr>
      </w:pPr>
    </w:p>
    <w:p>
      <w:pPr>
        <w:pStyle w:val="3"/>
        <w:spacing w:before="10"/>
        <w:jc w:val="both"/>
        <w:rPr>
          <w:rFonts w:hint="eastAsia" w:ascii="宋体" w:hAnsi="宋体" w:eastAsia="宋体" w:cs="宋体"/>
          <w:color w:val="auto"/>
          <w:sz w:val="24"/>
          <w:szCs w:val="24"/>
          <w:highlight w:val="none"/>
        </w:rPr>
      </w:pPr>
    </w:p>
    <w:p>
      <w:pPr>
        <w:pStyle w:val="10"/>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p>
    <w:p>
      <w:pPr>
        <w:pStyle w:val="10"/>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p>
    <w:p>
      <w:pPr>
        <w:pStyle w:val="10"/>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11.3、监狱企业证明文件</w:t>
      </w:r>
    </w:p>
    <w:p>
      <w:pPr>
        <w:pStyle w:val="3"/>
        <w:jc w:val="both"/>
        <w:rPr>
          <w:rFonts w:hint="eastAsia" w:ascii="宋体" w:hAnsi="宋体" w:eastAsia="宋体" w:cs="宋体"/>
          <w:b/>
          <w:color w:val="auto"/>
          <w:sz w:val="24"/>
          <w:szCs w:val="24"/>
          <w:highlight w:val="none"/>
        </w:rPr>
      </w:pPr>
    </w:p>
    <w:p>
      <w:pPr>
        <w:spacing w:before="238"/>
        <w:ind w:right="254"/>
        <w:jc w:val="both"/>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省级以上监狱管理局、戒毒管理局（含新疆生产建设兵团）出具的属于监狱企业的证明文件。</w:t>
      </w:r>
    </w:p>
    <w:p>
      <w:pPr>
        <w:spacing w:line="480" w:lineRule="auto"/>
        <w:jc w:val="both"/>
        <w:rPr>
          <w:rFonts w:hint="eastAsia" w:ascii="宋体" w:hAnsi="宋体" w:eastAsia="宋体" w:cs="宋体"/>
          <w:b/>
          <w:color w:val="auto"/>
          <w:sz w:val="24"/>
          <w:szCs w:val="24"/>
          <w:highlight w:val="none"/>
          <w:lang w:val="en-US" w:eastAsia="zh-CN"/>
        </w:rPr>
      </w:pPr>
    </w:p>
    <w:p>
      <w:pPr>
        <w:spacing w:line="48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11.4、</w:t>
      </w:r>
      <w:r>
        <w:rPr>
          <w:rFonts w:hint="eastAsia" w:ascii="宋体" w:hAnsi="宋体" w:eastAsia="宋体" w:cs="宋体"/>
          <w:b/>
          <w:color w:val="auto"/>
          <w:sz w:val="24"/>
          <w:szCs w:val="24"/>
          <w:highlight w:val="none"/>
        </w:rPr>
        <w:t>河南省政府采购合同融资政策告知函</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欢迎贵公司参与河南省政府采购活动！</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贷款渠道和提供贷款的金融机构，可在河南省政府采购网“河南省政府采购合同融资平台”查询联系。</w:t>
      </w:r>
    </w:p>
    <w:p>
      <w:pPr>
        <w:snapToGrid w:val="0"/>
        <w:spacing w:line="360" w:lineRule="auto"/>
        <w:ind w:firstLine="480" w:firstLineChars="200"/>
        <w:rPr>
          <w:rFonts w:hint="eastAsia" w:ascii="宋体" w:hAnsi="宋体" w:eastAsia="宋体" w:cs="宋体"/>
          <w:color w:val="auto"/>
          <w:sz w:val="24"/>
          <w:szCs w:val="24"/>
          <w:highlight w:val="none"/>
        </w:rPr>
      </w:pPr>
    </w:p>
    <w:p>
      <w:pPr>
        <w:spacing w:before="238"/>
        <w:ind w:left="0" w:right="254" w:firstLine="210" w:firstLineChars="100"/>
        <w:jc w:val="both"/>
        <w:rPr>
          <w:rFonts w:hint="eastAsia" w:ascii="宋体" w:hAnsi="宋体" w:eastAsia="宋体" w:cs="宋体"/>
          <w:color w:val="auto"/>
          <w:highlight w:val="none"/>
        </w:rPr>
      </w:pPr>
    </w:p>
    <w:p>
      <w:pPr>
        <w:widowControl/>
        <w:jc w:val="left"/>
        <w:rPr>
          <w:b/>
          <w:color w:val="auto"/>
          <w:sz w:val="28"/>
          <w:szCs w:val="28"/>
          <w:highlight w:val="none"/>
        </w:rPr>
      </w:pPr>
    </w:p>
    <w:sectPr>
      <w:footerReference r:id="rId14" w:type="first"/>
      <w:footerReference r:id="rId13" w:type="default"/>
      <w:pgSz w:w="11906" w:h="16838"/>
      <w:pgMar w:top="1440" w:right="1274" w:bottom="1440" w:left="1797" w:header="777"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urier">
    <w:altName w:val="Courier New"/>
    <w:panose1 w:val="0206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jc w:val="right"/>
    </w:pP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N0Q6LbAAAADQEAAA8AAAAAAAAAAQAgAAAAIgAAAGRycy9kb3ducmV2Lnht&#10;bFBLAQIUABQAAAAIAIdO4kBK5g9SvQEAAIIDAAAOAAAAAAAAAAEAIAAAACo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0048;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1SrEO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EvpXM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aDw/Vs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oHkX2QAAAAsBAAAPAAAAAAAAAAEAIAAAACIAAABkcnMvZG93bnJldi54bWxQ&#10;SwECFAAUAAAACACHTuJAORoiCL0BAACBAwAADgAAAAAAAAABACAAAAAo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Z9rp77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oMSzac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GWdI42+AQAAgQ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ryJl0L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3120;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8AvZAAAACwEAAA8AAAAAAAAAAQAgAAAAIgAAAGRycy9kb3ducmV2Lnht&#10;bFBLAQIUABQAAAAIAIdO4kDTo1efvwEAAIEDAAAOAAAAAAAAAAEAIAAAACg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2096;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Nc4hOO+AQAAfw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1072;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kEavYAAAADAEAAA8AAAAAAAAAAQAgAAAAIgAAAGRycy9kb3ducmV2LnhtbFBL&#10;AQIUABQAAAAIAIdO4kCaXA/7vQEAAIEDAAAOAAAAAAAAAAEAIAAAACcBAABkcnMvZTJvRG9jLnht&#10;bFBLBQYAAAAABgAGAFkBAABW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8CA09"/>
    <w:multiLevelType w:val="singleLevel"/>
    <w:tmpl w:val="9978CA09"/>
    <w:lvl w:ilvl="0" w:tentative="0">
      <w:start w:val="1"/>
      <w:numFmt w:val="decimal"/>
      <w:suff w:val="nothing"/>
      <w:lvlText w:val="%1．"/>
      <w:lvlJc w:val="left"/>
      <w:pPr>
        <w:ind w:left="0" w:firstLine="400"/>
      </w:pPr>
      <w:rPr>
        <w:rFonts w:hint="default"/>
      </w:rPr>
    </w:lvl>
  </w:abstractNum>
  <w:abstractNum w:abstractNumId="1">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2">
    <w:nsid w:val="167E6E5B"/>
    <w:multiLevelType w:val="multilevel"/>
    <w:tmpl w:val="167E6E5B"/>
    <w:lvl w:ilvl="0" w:tentative="0">
      <w:start w:val="1"/>
      <w:numFmt w:val="decimal"/>
      <w:lvlText w:val="%1"/>
      <w:lvlJc w:val="left"/>
      <w:pPr>
        <w:ind w:left="1206" w:hanging="485"/>
      </w:pPr>
      <w:rPr>
        <w:rFonts w:hint="default"/>
        <w:lang w:val="zh-CN" w:eastAsia="zh-CN" w:bidi="zh-CN"/>
      </w:rPr>
    </w:lvl>
    <w:lvl w:ilvl="1" w:tentative="0">
      <w:start w:val="1"/>
      <w:numFmt w:val="decimal"/>
      <w:lvlText w:val="%1.%2"/>
      <w:lvlJc w:val="left"/>
      <w:pPr>
        <w:ind w:left="1115"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78"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4"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3">
    <w:nsid w:val="2A8F537B"/>
    <w:multiLevelType w:val="multilevel"/>
    <w:tmpl w:val="2A8F537B"/>
    <w:lvl w:ilvl="0" w:tentative="0">
      <w:start w:val="1"/>
      <w:numFmt w:val="decimal"/>
      <w:lvlText w:val="%1）"/>
      <w:lvlJc w:val="left"/>
      <w:pPr>
        <w:ind w:left="238" w:hanging="365"/>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218" w:hanging="365"/>
      </w:pPr>
      <w:rPr>
        <w:rFonts w:hint="default"/>
        <w:lang w:val="zh-CN" w:eastAsia="zh-CN" w:bidi="zh-CN"/>
      </w:rPr>
    </w:lvl>
    <w:lvl w:ilvl="2" w:tentative="0">
      <w:start w:val="0"/>
      <w:numFmt w:val="bullet"/>
      <w:lvlText w:val="•"/>
      <w:lvlJc w:val="left"/>
      <w:pPr>
        <w:ind w:left="2197" w:hanging="365"/>
      </w:pPr>
      <w:rPr>
        <w:rFonts w:hint="default"/>
        <w:lang w:val="zh-CN" w:eastAsia="zh-CN" w:bidi="zh-CN"/>
      </w:rPr>
    </w:lvl>
    <w:lvl w:ilvl="3" w:tentative="0">
      <w:start w:val="0"/>
      <w:numFmt w:val="bullet"/>
      <w:lvlText w:val="•"/>
      <w:lvlJc w:val="left"/>
      <w:pPr>
        <w:ind w:left="3175" w:hanging="365"/>
      </w:pPr>
      <w:rPr>
        <w:rFonts w:hint="default"/>
        <w:lang w:val="zh-CN" w:eastAsia="zh-CN" w:bidi="zh-CN"/>
      </w:rPr>
    </w:lvl>
    <w:lvl w:ilvl="4" w:tentative="0">
      <w:start w:val="0"/>
      <w:numFmt w:val="bullet"/>
      <w:lvlText w:val="•"/>
      <w:lvlJc w:val="left"/>
      <w:pPr>
        <w:ind w:left="4154" w:hanging="365"/>
      </w:pPr>
      <w:rPr>
        <w:rFonts w:hint="default"/>
        <w:lang w:val="zh-CN" w:eastAsia="zh-CN" w:bidi="zh-CN"/>
      </w:rPr>
    </w:lvl>
    <w:lvl w:ilvl="5" w:tentative="0">
      <w:start w:val="0"/>
      <w:numFmt w:val="bullet"/>
      <w:lvlText w:val="•"/>
      <w:lvlJc w:val="left"/>
      <w:pPr>
        <w:ind w:left="5133" w:hanging="365"/>
      </w:pPr>
      <w:rPr>
        <w:rFonts w:hint="default"/>
        <w:lang w:val="zh-CN" w:eastAsia="zh-CN" w:bidi="zh-CN"/>
      </w:rPr>
    </w:lvl>
    <w:lvl w:ilvl="6" w:tentative="0">
      <w:start w:val="0"/>
      <w:numFmt w:val="bullet"/>
      <w:lvlText w:val="•"/>
      <w:lvlJc w:val="left"/>
      <w:pPr>
        <w:ind w:left="6111" w:hanging="365"/>
      </w:pPr>
      <w:rPr>
        <w:rFonts w:hint="default"/>
        <w:lang w:val="zh-CN" w:eastAsia="zh-CN" w:bidi="zh-CN"/>
      </w:rPr>
    </w:lvl>
    <w:lvl w:ilvl="7" w:tentative="0">
      <w:start w:val="0"/>
      <w:numFmt w:val="bullet"/>
      <w:lvlText w:val="•"/>
      <w:lvlJc w:val="left"/>
      <w:pPr>
        <w:ind w:left="7090" w:hanging="365"/>
      </w:pPr>
      <w:rPr>
        <w:rFonts w:hint="default"/>
        <w:lang w:val="zh-CN" w:eastAsia="zh-CN" w:bidi="zh-CN"/>
      </w:rPr>
    </w:lvl>
    <w:lvl w:ilvl="8" w:tentative="0">
      <w:start w:val="0"/>
      <w:numFmt w:val="bullet"/>
      <w:lvlText w:val="•"/>
      <w:lvlJc w:val="left"/>
      <w:pPr>
        <w:ind w:left="8069" w:hanging="365"/>
      </w:pPr>
      <w:rPr>
        <w:rFonts w:hint="default"/>
        <w:lang w:val="zh-CN" w:eastAsia="zh-CN" w:bidi="zh-CN"/>
      </w:rPr>
    </w:lvl>
  </w:abstractNum>
  <w:abstractNum w:abstractNumId="4">
    <w:nsid w:val="34CE3E09"/>
    <w:multiLevelType w:val="singleLevel"/>
    <w:tmpl w:val="34CE3E09"/>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WU4ZGIzMDRjNTU1N2Q3OWIyZTJjOWFiOWZiZDEifQ=="/>
  </w:docVars>
  <w:rsids>
    <w:rsidRoot w:val="006F2BD5"/>
    <w:rsid w:val="000072F8"/>
    <w:rsid w:val="000239E2"/>
    <w:rsid w:val="000424C5"/>
    <w:rsid w:val="00053033"/>
    <w:rsid w:val="0005505A"/>
    <w:rsid w:val="00056892"/>
    <w:rsid w:val="00057B7F"/>
    <w:rsid w:val="00060C6A"/>
    <w:rsid w:val="000A08AC"/>
    <w:rsid w:val="000B0ECA"/>
    <w:rsid w:val="000B6281"/>
    <w:rsid w:val="000F39F0"/>
    <w:rsid w:val="00121ED9"/>
    <w:rsid w:val="00136710"/>
    <w:rsid w:val="0013726B"/>
    <w:rsid w:val="001570FF"/>
    <w:rsid w:val="00171FB4"/>
    <w:rsid w:val="0018239F"/>
    <w:rsid w:val="0018274C"/>
    <w:rsid w:val="00193141"/>
    <w:rsid w:val="00193B2E"/>
    <w:rsid w:val="001A2599"/>
    <w:rsid w:val="001C16AA"/>
    <w:rsid w:val="001F2F07"/>
    <w:rsid w:val="001F620D"/>
    <w:rsid w:val="001F7F7E"/>
    <w:rsid w:val="00210DBD"/>
    <w:rsid w:val="00216167"/>
    <w:rsid w:val="0022181C"/>
    <w:rsid w:val="00245594"/>
    <w:rsid w:val="00263D65"/>
    <w:rsid w:val="00270BE1"/>
    <w:rsid w:val="0027405F"/>
    <w:rsid w:val="002B55D4"/>
    <w:rsid w:val="002B68AD"/>
    <w:rsid w:val="002E590E"/>
    <w:rsid w:val="002E6098"/>
    <w:rsid w:val="00301CC5"/>
    <w:rsid w:val="0031342E"/>
    <w:rsid w:val="00315FEA"/>
    <w:rsid w:val="00317B6F"/>
    <w:rsid w:val="00364D99"/>
    <w:rsid w:val="003A0914"/>
    <w:rsid w:val="003B2915"/>
    <w:rsid w:val="003C468C"/>
    <w:rsid w:val="003D21B2"/>
    <w:rsid w:val="003F2B95"/>
    <w:rsid w:val="00400D5D"/>
    <w:rsid w:val="0040271A"/>
    <w:rsid w:val="00417E82"/>
    <w:rsid w:val="004277C9"/>
    <w:rsid w:val="00427822"/>
    <w:rsid w:val="00435BD0"/>
    <w:rsid w:val="00464894"/>
    <w:rsid w:val="004B17EB"/>
    <w:rsid w:val="004C4879"/>
    <w:rsid w:val="004C6325"/>
    <w:rsid w:val="0055209B"/>
    <w:rsid w:val="005570AD"/>
    <w:rsid w:val="00561484"/>
    <w:rsid w:val="0057780B"/>
    <w:rsid w:val="00580183"/>
    <w:rsid w:val="0058031F"/>
    <w:rsid w:val="00587B49"/>
    <w:rsid w:val="00592F6A"/>
    <w:rsid w:val="005959BC"/>
    <w:rsid w:val="005A38AF"/>
    <w:rsid w:val="005A7A8A"/>
    <w:rsid w:val="005C48FE"/>
    <w:rsid w:val="005D08A6"/>
    <w:rsid w:val="005D2854"/>
    <w:rsid w:val="005F0EA0"/>
    <w:rsid w:val="00600766"/>
    <w:rsid w:val="00601A50"/>
    <w:rsid w:val="00613172"/>
    <w:rsid w:val="00623164"/>
    <w:rsid w:val="00631EA7"/>
    <w:rsid w:val="006360BD"/>
    <w:rsid w:val="00636375"/>
    <w:rsid w:val="00641225"/>
    <w:rsid w:val="00645991"/>
    <w:rsid w:val="00663487"/>
    <w:rsid w:val="00663B37"/>
    <w:rsid w:val="00663C4D"/>
    <w:rsid w:val="00671A11"/>
    <w:rsid w:val="00673A9D"/>
    <w:rsid w:val="00681A6C"/>
    <w:rsid w:val="006836D3"/>
    <w:rsid w:val="006919D2"/>
    <w:rsid w:val="006A4E09"/>
    <w:rsid w:val="006C5BD1"/>
    <w:rsid w:val="006F2BD5"/>
    <w:rsid w:val="006F7E7E"/>
    <w:rsid w:val="007007DA"/>
    <w:rsid w:val="00765CE2"/>
    <w:rsid w:val="007760DB"/>
    <w:rsid w:val="00786067"/>
    <w:rsid w:val="00790F24"/>
    <w:rsid w:val="007A3406"/>
    <w:rsid w:val="007A51B4"/>
    <w:rsid w:val="007B3811"/>
    <w:rsid w:val="007D0ED5"/>
    <w:rsid w:val="007E2500"/>
    <w:rsid w:val="007F2DAE"/>
    <w:rsid w:val="007F639E"/>
    <w:rsid w:val="007F6D9D"/>
    <w:rsid w:val="00810148"/>
    <w:rsid w:val="008102F1"/>
    <w:rsid w:val="0081607C"/>
    <w:rsid w:val="00820F35"/>
    <w:rsid w:val="00823DAE"/>
    <w:rsid w:val="008279E2"/>
    <w:rsid w:val="008334E1"/>
    <w:rsid w:val="00833756"/>
    <w:rsid w:val="00861FC2"/>
    <w:rsid w:val="0087167F"/>
    <w:rsid w:val="00883C01"/>
    <w:rsid w:val="00893503"/>
    <w:rsid w:val="008B146B"/>
    <w:rsid w:val="008F3D79"/>
    <w:rsid w:val="008F5BFE"/>
    <w:rsid w:val="008F6EB2"/>
    <w:rsid w:val="00901765"/>
    <w:rsid w:val="00906786"/>
    <w:rsid w:val="00910C9E"/>
    <w:rsid w:val="00920A7E"/>
    <w:rsid w:val="00963385"/>
    <w:rsid w:val="00985748"/>
    <w:rsid w:val="00991ADF"/>
    <w:rsid w:val="009A2F0E"/>
    <w:rsid w:val="009A3AD2"/>
    <w:rsid w:val="009A5323"/>
    <w:rsid w:val="009B0182"/>
    <w:rsid w:val="009B0863"/>
    <w:rsid w:val="009B5F06"/>
    <w:rsid w:val="009C337D"/>
    <w:rsid w:val="009C512B"/>
    <w:rsid w:val="009F4C03"/>
    <w:rsid w:val="00A015B6"/>
    <w:rsid w:val="00A307F3"/>
    <w:rsid w:val="00A323E0"/>
    <w:rsid w:val="00A641FB"/>
    <w:rsid w:val="00A96520"/>
    <w:rsid w:val="00AA41F1"/>
    <w:rsid w:val="00AA78D6"/>
    <w:rsid w:val="00AB1812"/>
    <w:rsid w:val="00AD10E6"/>
    <w:rsid w:val="00AD384E"/>
    <w:rsid w:val="00AE6A83"/>
    <w:rsid w:val="00AF3D25"/>
    <w:rsid w:val="00B02010"/>
    <w:rsid w:val="00B06E28"/>
    <w:rsid w:val="00B1328C"/>
    <w:rsid w:val="00B207A1"/>
    <w:rsid w:val="00B22CBF"/>
    <w:rsid w:val="00B46DE9"/>
    <w:rsid w:val="00B5443F"/>
    <w:rsid w:val="00B561ED"/>
    <w:rsid w:val="00B57467"/>
    <w:rsid w:val="00B66716"/>
    <w:rsid w:val="00B672B2"/>
    <w:rsid w:val="00B834DD"/>
    <w:rsid w:val="00BA039D"/>
    <w:rsid w:val="00BA4CB2"/>
    <w:rsid w:val="00BA55BC"/>
    <w:rsid w:val="00BF0D75"/>
    <w:rsid w:val="00BF45B5"/>
    <w:rsid w:val="00C1321B"/>
    <w:rsid w:val="00C206D1"/>
    <w:rsid w:val="00C55C5E"/>
    <w:rsid w:val="00C736DB"/>
    <w:rsid w:val="00C74D6A"/>
    <w:rsid w:val="00C83D6B"/>
    <w:rsid w:val="00C91F3C"/>
    <w:rsid w:val="00C94351"/>
    <w:rsid w:val="00CB5A10"/>
    <w:rsid w:val="00CB71F0"/>
    <w:rsid w:val="00CB7863"/>
    <w:rsid w:val="00CB7FD8"/>
    <w:rsid w:val="00CC60AF"/>
    <w:rsid w:val="00CD795B"/>
    <w:rsid w:val="00CE009C"/>
    <w:rsid w:val="00CE4AB6"/>
    <w:rsid w:val="00D01278"/>
    <w:rsid w:val="00D10020"/>
    <w:rsid w:val="00D15555"/>
    <w:rsid w:val="00D21E9E"/>
    <w:rsid w:val="00D234A0"/>
    <w:rsid w:val="00D24C54"/>
    <w:rsid w:val="00D272CC"/>
    <w:rsid w:val="00D27702"/>
    <w:rsid w:val="00D35D9F"/>
    <w:rsid w:val="00D423BA"/>
    <w:rsid w:val="00D55C56"/>
    <w:rsid w:val="00D60599"/>
    <w:rsid w:val="00D74419"/>
    <w:rsid w:val="00DC1958"/>
    <w:rsid w:val="00DC1D51"/>
    <w:rsid w:val="00DC65DB"/>
    <w:rsid w:val="00DF42B7"/>
    <w:rsid w:val="00E10141"/>
    <w:rsid w:val="00E4247F"/>
    <w:rsid w:val="00E42BC3"/>
    <w:rsid w:val="00E53436"/>
    <w:rsid w:val="00E76AE7"/>
    <w:rsid w:val="00E865C2"/>
    <w:rsid w:val="00EB21C5"/>
    <w:rsid w:val="00EB5B68"/>
    <w:rsid w:val="00EC7358"/>
    <w:rsid w:val="00EE33FB"/>
    <w:rsid w:val="00EF1382"/>
    <w:rsid w:val="00F04E4C"/>
    <w:rsid w:val="00F23F16"/>
    <w:rsid w:val="00F31462"/>
    <w:rsid w:val="00F4104C"/>
    <w:rsid w:val="00F44F67"/>
    <w:rsid w:val="00F70BF0"/>
    <w:rsid w:val="00F9764B"/>
    <w:rsid w:val="00FA00A3"/>
    <w:rsid w:val="00FC1021"/>
    <w:rsid w:val="00FD0312"/>
    <w:rsid w:val="01050F22"/>
    <w:rsid w:val="01097D2F"/>
    <w:rsid w:val="010F1DA1"/>
    <w:rsid w:val="01145609"/>
    <w:rsid w:val="011473B7"/>
    <w:rsid w:val="01170C55"/>
    <w:rsid w:val="011E0236"/>
    <w:rsid w:val="012052CE"/>
    <w:rsid w:val="012515C4"/>
    <w:rsid w:val="01253372"/>
    <w:rsid w:val="01284C10"/>
    <w:rsid w:val="0136557F"/>
    <w:rsid w:val="01395070"/>
    <w:rsid w:val="013C06BC"/>
    <w:rsid w:val="013E61E2"/>
    <w:rsid w:val="014063FE"/>
    <w:rsid w:val="01415CD2"/>
    <w:rsid w:val="01422176"/>
    <w:rsid w:val="015123B9"/>
    <w:rsid w:val="01536131"/>
    <w:rsid w:val="015B75D7"/>
    <w:rsid w:val="016210FD"/>
    <w:rsid w:val="01635D69"/>
    <w:rsid w:val="016814B1"/>
    <w:rsid w:val="016A347B"/>
    <w:rsid w:val="01706EDD"/>
    <w:rsid w:val="01763BCE"/>
    <w:rsid w:val="017B11E4"/>
    <w:rsid w:val="018362EB"/>
    <w:rsid w:val="01877B89"/>
    <w:rsid w:val="01891B53"/>
    <w:rsid w:val="018A58CB"/>
    <w:rsid w:val="018F2EE2"/>
    <w:rsid w:val="0192652E"/>
    <w:rsid w:val="01962088"/>
    <w:rsid w:val="01967DCC"/>
    <w:rsid w:val="019D115B"/>
    <w:rsid w:val="01A3073B"/>
    <w:rsid w:val="01A7022B"/>
    <w:rsid w:val="01AA67C9"/>
    <w:rsid w:val="01AC386E"/>
    <w:rsid w:val="01AC75F0"/>
    <w:rsid w:val="01AF70E0"/>
    <w:rsid w:val="01BB5A85"/>
    <w:rsid w:val="01C012ED"/>
    <w:rsid w:val="01C20BC1"/>
    <w:rsid w:val="01C310A5"/>
    <w:rsid w:val="01C34939"/>
    <w:rsid w:val="01CF1530"/>
    <w:rsid w:val="01D31020"/>
    <w:rsid w:val="01D408F4"/>
    <w:rsid w:val="01D46B46"/>
    <w:rsid w:val="01DA23AF"/>
    <w:rsid w:val="01E925F2"/>
    <w:rsid w:val="01EA636A"/>
    <w:rsid w:val="01EE5E5A"/>
    <w:rsid w:val="01F114A6"/>
    <w:rsid w:val="01F12C93"/>
    <w:rsid w:val="01F176F8"/>
    <w:rsid w:val="01F33470"/>
    <w:rsid w:val="020236B3"/>
    <w:rsid w:val="020411DA"/>
    <w:rsid w:val="0204742C"/>
    <w:rsid w:val="020C008E"/>
    <w:rsid w:val="02105DD0"/>
    <w:rsid w:val="02151639"/>
    <w:rsid w:val="021533E7"/>
    <w:rsid w:val="02181129"/>
    <w:rsid w:val="021F6013"/>
    <w:rsid w:val="0226424B"/>
    <w:rsid w:val="02274EC8"/>
    <w:rsid w:val="02290E4C"/>
    <w:rsid w:val="02315D47"/>
    <w:rsid w:val="02385327"/>
    <w:rsid w:val="023A2E4D"/>
    <w:rsid w:val="0241242E"/>
    <w:rsid w:val="024141DC"/>
    <w:rsid w:val="024C2B81"/>
    <w:rsid w:val="0256755B"/>
    <w:rsid w:val="025A34EF"/>
    <w:rsid w:val="025A529E"/>
    <w:rsid w:val="0261487E"/>
    <w:rsid w:val="026D3223"/>
    <w:rsid w:val="026F1557"/>
    <w:rsid w:val="0270061D"/>
    <w:rsid w:val="02702D13"/>
    <w:rsid w:val="02753E85"/>
    <w:rsid w:val="027F2F56"/>
    <w:rsid w:val="029C58B6"/>
    <w:rsid w:val="02A14C7A"/>
    <w:rsid w:val="02A91D81"/>
    <w:rsid w:val="02B0310F"/>
    <w:rsid w:val="02B726F0"/>
    <w:rsid w:val="02BE3A7E"/>
    <w:rsid w:val="02BF3353"/>
    <w:rsid w:val="02C170CB"/>
    <w:rsid w:val="02C62933"/>
    <w:rsid w:val="02C80459"/>
    <w:rsid w:val="02CD5A6F"/>
    <w:rsid w:val="02DD6E97"/>
    <w:rsid w:val="02E4100B"/>
    <w:rsid w:val="02F72AEC"/>
    <w:rsid w:val="02FA082F"/>
    <w:rsid w:val="02FA25DD"/>
    <w:rsid w:val="0301396B"/>
    <w:rsid w:val="03082F4B"/>
    <w:rsid w:val="030D40BE"/>
    <w:rsid w:val="03125B78"/>
    <w:rsid w:val="031418F0"/>
    <w:rsid w:val="0314369E"/>
    <w:rsid w:val="031C2553"/>
    <w:rsid w:val="031E276F"/>
    <w:rsid w:val="032558AB"/>
    <w:rsid w:val="0328539C"/>
    <w:rsid w:val="032D4760"/>
    <w:rsid w:val="03373831"/>
    <w:rsid w:val="0337738D"/>
    <w:rsid w:val="033923C2"/>
    <w:rsid w:val="03393105"/>
    <w:rsid w:val="033E696D"/>
    <w:rsid w:val="034F2928"/>
    <w:rsid w:val="035B12CD"/>
    <w:rsid w:val="036C34DA"/>
    <w:rsid w:val="0374238F"/>
    <w:rsid w:val="037B54CB"/>
    <w:rsid w:val="03800D34"/>
    <w:rsid w:val="03824AAC"/>
    <w:rsid w:val="03836A76"/>
    <w:rsid w:val="038D16A3"/>
    <w:rsid w:val="038D3451"/>
    <w:rsid w:val="03905ADC"/>
    <w:rsid w:val="03962305"/>
    <w:rsid w:val="039D7B38"/>
    <w:rsid w:val="03A03184"/>
    <w:rsid w:val="03A569EC"/>
    <w:rsid w:val="03AF786B"/>
    <w:rsid w:val="03C16D56"/>
    <w:rsid w:val="03C2134C"/>
    <w:rsid w:val="03C230FA"/>
    <w:rsid w:val="03C30C20"/>
    <w:rsid w:val="03C36E72"/>
    <w:rsid w:val="03CA6453"/>
    <w:rsid w:val="03D42E2E"/>
    <w:rsid w:val="03DB0660"/>
    <w:rsid w:val="03E47515"/>
    <w:rsid w:val="03EE3EEF"/>
    <w:rsid w:val="03F1578E"/>
    <w:rsid w:val="03F27A47"/>
    <w:rsid w:val="03F86B1C"/>
    <w:rsid w:val="03FD4132"/>
    <w:rsid w:val="04025BED"/>
    <w:rsid w:val="04051239"/>
    <w:rsid w:val="04074FB1"/>
    <w:rsid w:val="04082AD7"/>
    <w:rsid w:val="040E6340"/>
    <w:rsid w:val="04114082"/>
    <w:rsid w:val="04133956"/>
    <w:rsid w:val="04207E21"/>
    <w:rsid w:val="04212517"/>
    <w:rsid w:val="042353E7"/>
    <w:rsid w:val="042913CB"/>
    <w:rsid w:val="04310280"/>
    <w:rsid w:val="0431202E"/>
    <w:rsid w:val="04333FF8"/>
    <w:rsid w:val="043B4AFE"/>
    <w:rsid w:val="044004C3"/>
    <w:rsid w:val="04420812"/>
    <w:rsid w:val="04431B4F"/>
    <w:rsid w:val="04463D2B"/>
    <w:rsid w:val="04504BAA"/>
    <w:rsid w:val="045521C0"/>
    <w:rsid w:val="04567CE7"/>
    <w:rsid w:val="045D1075"/>
    <w:rsid w:val="04642403"/>
    <w:rsid w:val="046B3792"/>
    <w:rsid w:val="047A5783"/>
    <w:rsid w:val="047D34C5"/>
    <w:rsid w:val="04877EA0"/>
    <w:rsid w:val="048D195A"/>
    <w:rsid w:val="04912ACD"/>
    <w:rsid w:val="049B394B"/>
    <w:rsid w:val="049F168E"/>
    <w:rsid w:val="04A62A1C"/>
    <w:rsid w:val="04B769D7"/>
    <w:rsid w:val="04C2712A"/>
    <w:rsid w:val="04CE1F73"/>
    <w:rsid w:val="04D550AF"/>
    <w:rsid w:val="04DD3F64"/>
    <w:rsid w:val="04DF5F2E"/>
    <w:rsid w:val="04E946B7"/>
    <w:rsid w:val="04EB48D3"/>
    <w:rsid w:val="04F27A0F"/>
    <w:rsid w:val="04FA2D68"/>
    <w:rsid w:val="04FD0162"/>
    <w:rsid w:val="050B0AD1"/>
    <w:rsid w:val="050B287F"/>
    <w:rsid w:val="050E548B"/>
    <w:rsid w:val="051060E7"/>
    <w:rsid w:val="05151950"/>
    <w:rsid w:val="05171224"/>
    <w:rsid w:val="052027CE"/>
    <w:rsid w:val="05235E1B"/>
    <w:rsid w:val="05281683"/>
    <w:rsid w:val="052B1173"/>
    <w:rsid w:val="052D6C99"/>
    <w:rsid w:val="05322502"/>
    <w:rsid w:val="053C6EDC"/>
    <w:rsid w:val="05461B09"/>
    <w:rsid w:val="05571F68"/>
    <w:rsid w:val="05597A8E"/>
    <w:rsid w:val="05601B95"/>
    <w:rsid w:val="05614B95"/>
    <w:rsid w:val="05616943"/>
    <w:rsid w:val="056401E1"/>
    <w:rsid w:val="05681A7F"/>
    <w:rsid w:val="056A57F8"/>
    <w:rsid w:val="056B1570"/>
    <w:rsid w:val="05706B86"/>
    <w:rsid w:val="05726DA2"/>
    <w:rsid w:val="05746676"/>
    <w:rsid w:val="05760640"/>
    <w:rsid w:val="057A17B3"/>
    <w:rsid w:val="05832D5D"/>
    <w:rsid w:val="059B00A7"/>
    <w:rsid w:val="059B1E55"/>
    <w:rsid w:val="05A01219"/>
    <w:rsid w:val="05A54A82"/>
    <w:rsid w:val="05AB1FA9"/>
    <w:rsid w:val="05AD3936"/>
    <w:rsid w:val="05AF3B52"/>
    <w:rsid w:val="05B11678"/>
    <w:rsid w:val="05B20F4D"/>
    <w:rsid w:val="05B41169"/>
    <w:rsid w:val="05BC1DCB"/>
    <w:rsid w:val="05C173E2"/>
    <w:rsid w:val="05C25634"/>
    <w:rsid w:val="05C649F8"/>
    <w:rsid w:val="05CA44E8"/>
    <w:rsid w:val="05D82669"/>
    <w:rsid w:val="05D9472B"/>
    <w:rsid w:val="05F4705E"/>
    <w:rsid w:val="05FE0636"/>
    <w:rsid w:val="05FE17A8"/>
    <w:rsid w:val="06021522"/>
    <w:rsid w:val="060D2627"/>
    <w:rsid w:val="060F639F"/>
    <w:rsid w:val="06110369"/>
    <w:rsid w:val="06113EC5"/>
    <w:rsid w:val="06233BF8"/>
    <w:rsid w:val="06277B8D"/>
    <w:rsid w:val="062C0CFF"/>
    <w:rsid w:val="062E0F1B"/>
    <w:rsid w:val="062F6A41"/>
    <w:rsid w:val="063522A9"/>
    <w:rsid w:val="063858F6"/>
    <w:rsid w:val="06385924"/>
    <w:rsid w:val="064047AA"/>
    <w:rsid w:val="064222D0"/>
    <w:rsid w:val="064323ED"/>
    <w:rsid w:val="064424ED"/>
    <w:rsid w:val="064E6EC7"/>
    <w:rsid w:val="06500E91"/>
    <w:rsid w:val="06693D01"/>
    <w:rsid w:val="066A5A55"/>
    <w:rsid w:val="066E1317"/>
    <w:rsid w:val="067032E2"/>
    <w:rsid w:val="06712BB6"/>
    <w:rsid w:val="067D59FE"/>
    <w:rsid w:val="0680104B"/>
    <w:rsid w:val="06824DC3"/>
    <w:rsid w:val="0687687D"/>
    <w:rsid w:val="068943A3"/>
    <w:rsid w:val="06894C15"/>
    <w:rsid w:val="068E3768"/>
    <w:rsid w:val="06930D7E"/>
    <w:rsid w:val="06986394"/>
    <w:rsid w:val="069A210C"/>
    <w:rsid w:val="069D1BFD"/>
    <w:rsid w:val="06A25465"/>
    <w:rsid w:val="06A61FFE"/>
    <w:rsid w:val="06B901BA"/>
    <w:rsid w:val="06BB2083"/>
    <w:rsid w:val="06BC6527"/>
    <w:rsid w:val="06C07699"/>
    <w:rsid w:val="06C278B5"/>
    <w:rsid w:val="06C453DB"/>
    <w:rsid w:val="06C61153"/>
    <w:rsid w:val="06CB0518"/>
    <w:rsid w:val="06CE625A"/>
    <w:rsid w:val="06D33870"/>
    <w:rsid w:val="06D3561E"/>
    <w:rsid w:val="06DA075B"/>
    <w:rsid w:val="06DF2215"/>
    <w:rsid w:val="06E15F8D"/>
    <w:rsid w:val="06E31D05"/>
    <w:rsid w:val="06E415DA"/>
    <w:rsid w:val="06E4782C"/>
    <w:rsid w:val="06F32E19"/>
    <w:rsid w:val="06F35CC1"/>
    <w:rsid w:val="06F53ABA"/>
    <w:rsid w:val="070C28DE"/>
    <w:rsid w:val="07222102"/>
    <w:rsid w:val="072E0AA7"/>
    <w:rsid w:val="072E6CF9"/>
    <w:rsid w:val="07322345"/>
    <w:rsid w:val="0733430F"/>
    <w:rsid w:val="073360BD"/>
    <w:rsid w:val="07397B77"/>
    <w:rsid w:val="073E6F3C"/>
    <w:rsid w:val="075229E7"/>
    <w:rsid w:val="0753517A"/>
    <w:rsid w:val="07550729"/>
    <w:rsid w:val="075E458C"/>
    <w:rsid w:val="075F46F8"/>
    <w:rsid w:val="07666493"/>
    <w:rsid w:val="0768220B"/>
    <w:rsid w:val="076F5347"/>
    <w:rsid w:val="077E1111"/>
    <w:rsid w:val="07886409"/>
    <w:rsid w:val="079052BE"/>
    <w:rsid w:val="079C1EB4"/>
    <w:rsid w:val="07A11279"/>
    <w:rsid w:val="07A56FBB"/>
    <w:rsid w:val="07A64AE1"/>
    <w:rsid w:val="07AD40C1"/>
    <w:rsid w:val="07B216D8"/>
    <w:rsid w:val="07B23486"/>
    <w:rsid w:val="07B62F76"/>
    <w:rsid w:val="07C17B6D"/>
    <w:rsid w:val="07CA4C73"/>
    <w:rsid w:val="07CF228A"/>
    <w:rsid w:val="07D63618"/>
    <w:rsid w:val="07DD49A7"/>
    <w:rsid w:val="07DE0F25"/>
    <w:rsid w:val="07F27D26"/>
    <w:rsid w:val="07F910B5"/>
    <w:rsid w:val="08002443"/>
    <w:rsid w:val="080D2DB2"/>
    <w:rsid w:val="080F2686"/>
    <w:rsid w:val="081163FE"/>
    <w:rsid w:val="08121EAD"/>
    <w:rsid w:val="08144141"/>
    <w:rsid w:val="081E4FBF"/>
    <w:rsid w:val="08266468"/>
    <w:rsid w:val="082A74C0"/>
    <w:rsid w:val="08346591"/>
    <w:rsid w:val="08387E2F"/>
    <w:rsid w:val="0840732D"/>
    <w:rsid w:val="084367D4"/>
    <w:rsid w:val="0845254C"/>
    <w:rsid w:val="084560A8"/>
    <w:rsid w:val="08485B98"/>
    <w:rsid w:val="084C5688"/>
    <w:rsid w:val="084F5179"/>
    <w:rsid w:val="08505713"/>
    <w:rsid w:val="08566507"/>
    <w:rsid w:val="08602EE2"/>
    <w:rsid w:val="08627859"/>
    <w:rsid w:val="0865674A"/>
    <w:rsid w:val="087370B9"/>
    <w:rsid w:val="08760957"/>
    <w:rsid w:val="08852948"/>
    <w:rsid w:val="088E7A4F"/>
    <w:rsid w:val="08964B56"/>
    <w:rsid w:val="089808CE"/>
    <w:rsid w:val="089A4646"/>
    <w:rsid w:val="08A96637"/>
    <w:rsid w:val="08AA0601"/>
    <w:rsid w:val="08AE1E9F"/>
    <w:rsid w:val="08B03E69"/>
    <w:rsid w:val="08B576D2"/>
    <w:rsid w:val="08C571E9"/>
    <w:rsid w:val="08CE0793"/>
    <w:rsid w:val="08CE2541"/>
    <w:rsid w:val="08D86F1C"/>
    <w:rsid w:val="08DA2C94"/>
    <w:rsid w:val="08E73603"/>
    <w:rsid w:val="08E7715F"/>
    <w:rsid w:val="08F17FDE"/>
    <w:rsid w:val="08F57ACE"/>
    <w:rsid w:val="08F8136C"/>
    <w:rsid w:val="08FD6983"/>
    <w:rsid w:val="09047D11"/>
    <w:rsid w:val="0911242E"/>
    <w:rsid w:val="091268D2"/>
    <w:rsid w:val="09173EE8"/>
    <w:rsid w:val="091837BC"/>
    <w:rsid w:val="0935436E"/>
    <w:rsid w:val="093A7BD7"/>
    <w:rsid w:val="093E76C7"/>
    <w:rsid w:val="09414AC1"/>
    <w:rsid w:val="094B5940"/>
    <w:rsid w:val="09523172"/>
    <w:rsid w:val="09572537"/>
    <w:rsid w:val="096864F2"/>
    <w:rsid w:val="096B7D90"/>
    <w:rsid w:val="096D1D5A"/>
    <w:rsid w:val="097053A7"/>
    <w:rsid w:val="097C3D4B"/>
    <w:rsid w:val="097E7AC3"/>
    <w:rsid w:val="097E7C0C"/>
    <w:rsid w:val="0983157E"/>
    <w:rsid w:val="0983332C"/>
    <w:rsid w:val="09864BCA"/>
    <w:rsid w:val="098D7D07"/>
    <w:rsid w:val="098E3A7F"/>
    <w:rsid w:val="09945539"/>
    <w:rsid w:val="09970B85"/>
    <w:rsid w:val="09A03EDE"/>
    <w:rsid w:val="09A60DC8"/>
    <w:rsid w:val="09B41737"/>
    <w:rsid w:val="09B554AF"/>
    <w:rsid w:val="09D36BFF"/>
    <w:rsid w:val="09D417D0"/>
    <w:rsid w:val="09D45935"/>
    <w:rsid w:val="09D5345C"/>
    <w:rsid w:val="09D678FF"/>
    <w:rsid w:val="09DE67B4"/>
    <w:rsid w:val="09E162A4"/>
    <w:rsid w:val="09E3201C"/>
    <w:rsid w:val="09E813E1"/>
    <w:rsid w:val="09F558AC"/>
    <w:rsid w:val="09FC6C3A"/>
    <w:rsid w:val="09FE178A"/>
    <w:rsid w:val="0A03621B"/>
    <w:rsid w:val="0A0501E5"/>
    <w:rsid w:val="0A157CFC"/>
    <w:rsid w:val="0A1E12A6"/>
    <w:rsid w:val="0A2148F3"/>
    <w:rsid w:val="0A2763AD"/>
    <w:rsid w:val="0A2A19F9"/>
    <w:rsid w:val="0A2F7010"/>
    <w:rsid w:val="0A3208AE"/>
    <w:rsid w:val="0A326B00"/>
    <w:rsid w:val="0A3E54A5"/>
    <w:rsid w:val="0A544CC8"/>
    <w:rsid w:val="0A570314"/>
    <w:rsid w:val="0A59408D"/>
    <w:rsid w:val="0A5D1DCF"/>
    <w:rsid w:val="0A656ED5"/>
    <w:rsid w:val="0A670558"/>
    <w:rsid w:val="0A6749FB"/>
    <w:rsid w:val="0A6767AA"/>
    <w:rsid w:val="0A6C2012"/>
    <w:rsid w:val="0A782765"/>
    <w:rsid w:val="0A79028B"/>
    <w:rsid w:val="0A7E3AF3"/>
    <w:rsid w:val="0A801619"/>
    <w:rsid w:val="0A821835"/>
    <w:rsid w:val="0A851326"/>
    <w:rsid w:val="0A854E82"/>
    <w:rsid w:val="0A9B46A5"/>
    <w:rsid w:val="0A9B6453"/>
    <w:rsid w:val="0AA90B70"/>
    <w:rsid w:val="0AA95014"/>
    <w:rsid w:val="0AB15C77"/>
    <w:rsid w:val="0AB3379D"/>
    <w:rsid w:val="0AB350D7"/>
    <w:rsid w:val="0AB47515"/>
    <w:rsid w:val="0AB60A3E"/>
    <w:rsid w:val="0AC57974"/>
    <w:rsid w:val="0AC77248"/>
    <w:rsid w:val="0AD727CC"/>
    <w:rsid w:val="0AE93662"/>
    <w:rsid w:val="0AEE0C79"/>
    <w:rsid w:val="0AF30864"/>
    <w:rsid w:val="0AF53DB5"/>
    <w:rsid w:val="0AFF69E2"/>
    <w:rsid w:val="0B064214"/>
    <w:rsid w:val="0B0E30C9"/>
    <w:rsid w:val="0B106E41"/>
    <w:rsid w:val="0B1306DF"/>
    <w:rsid w:val="0B154457"/>
    <w:rsid w:val="0B1D330C"/>
    <w:rsid w:val="0B24469B"/>
    <w:rsid w:val="0B2823DD"/>
    <w:rsid w:val="0B325009"/>
    <w:rsid w:val="0B352404"/>
    <w:rsid w:val="0B3C7C36"/>
    <w:rsid w:val="0B446AEB"/>
    <w:rsid w:val="0B4D3BF1"/>
    <w:rsid w:val="0B4E7969"/>
    <w:rsid w:val="0B5036E2"/>
    <w:rsid w:val="0B5F3925"/>
    <w:rsid w:val="0B640F3B"/>
    <w:rsid w:val="0B786794"/>
    <w:rsid w:val="0B7D3DAB"/>
    <w:rsid w:val="0B8E5FB8"/>
    <w:rsid w:val="0B9335CE"/>
    <w:rsid w:val="0B974E6D"/>
    <w:rsid w:val="0BA54B88"/>
    <w:rsid w:val="0BA80E28"/>
    <w:rsid w:val="0BA852CC"/>
    <w:rsid w:val="0BB27EF8"/>
    <w:rsid w:val="0BB93035"/>
    <w:rsid w:val="0BC33EB3"/>
    <w:rsid w:val="0BCF1955"/>
    <w:rsid w:val="0BD0037E"/>
    <w:rsid w:val="0BD065D0"/>
    <w:rsid w:val="0BD51E39"/>
    <w:rsid w:val="0BD55995"/>
    <w:rsid w:val="0BD95485"/>
    <w:rsid w:val="0BDE0CED"/>
    <w:rsid w:val="0BE502CE"/>
    <w:rsid w:val="0BEA7692"/>
    <w:rsid w:val="0BEB51B8"/>
    <w:rsid w:val="0BEF2EFA"/>
    <w:rsid w:val="0BF24799"/>
    <w:rsid w:val="0BF73B5D"/>
    <w:rsid w:val="0BF95B27"/>
    <w:rsid w:val="0BFA364D"/>
    <w:rsid w:val="0BFA53FB"/>
    <w:rsid w:val="0BFC1173"/>
    <w:rsid w:val="0C040028"/>
    <w:rsid w:val="0C0A1AE2"/>
    <w:rsid w:val="0C14470F"/>
    <w:rsid w:val="0C1A784C"/>
    <w:rsid w:val="0C1D1389"/>
    <w:rsid w:val="0C1E558E"/>
    <w:rsid w:val="0C2A3F33"/>
    <w:rsid w:val="0C2D70D0"/>
    <w:rsid w:val="0C322DE7"/>
    <w:rsid w:val="0C364685"/>
    <w:rsid w:val="0C3B7EEE"/>
    <w:rsid w:val="0C3C3C66"/>
    <w:rsid w:val="0C3E79DE"/>
    <w:rsid w:val="0C430577"/>
    <w:rsid w:val="0C476893"/>
    <w:rsid w:val="0C4F3999"/>
    <w:rsid w:val="0C5114BF"/>
    <w:rsid w:val="0C517711"/>
    <w:rsid w:val="0C550884"/>
    <w:rsid w:val="0C623224"/>
    <w:rsid w:val="0C6531BD"/>
    <w:rsid w:val="0C654F6B"/>
    <w:rsid w:val="0C6F1945"/>
    <w:rsid w:val="0C71390F"/>
    <w:rsid w:val="0C762CD4"/>
    <w:rsid w:val="0C825B1D"/>
    <w:rsid w:val="0C831895"/>
    <w:rsid w:val="0C886EAB"/>
    <w:rsid w:val="0CA830A9"/>
    <w:rsid w:val="0CAA5073"/>
    <w:rsid w:val="0CAC2B9A"/>
    <w:rsid w:val="0CAF4438"/>
    <w:rsid w:val="0CB16C35"/>
    <w:rsid w:val="0CB8153E"/>
    <w:rsid w:val="0CB832EC"/>
    <w:rsid w:val="0CBA3508"/>
    <w:rsid w:val="0CBE28CD"/>
    <w:rsid w:val="0CC46135"/>
    <w:rsid w:val="0CCF4ADA"/>
    <w:rsid w:val="0CD914B5"/>
    <w:rsid w:val="0CE2480D"/>
    <w:rsid w:val="0CEC2F96"/>
    <w:rsid w:val="0CF307C8"/>
    <w:rsid w:val="0D020A0B"/>
    <w:rsid w:val="0D0227BA"/>
    <w:rsid w:val="0D0A78C0"/>
    <w:rsid w:val="0D18022F"/>
    <w:rsid w:val="0D1D1C55"/>
    <w:rsid w:val="0D1F336B"/>
    <w:rsid w:val="0D200E92"/>
    <w:rsid w:val="0D224C0A"/>
    <w:rsid w:val="0D240982"/>
    <w:rsid w:val="0D246BD4"/>
    <w:rsid w:val="0D2546FA"/>
    <w:rsid w:val="0D2766C4"/>
    <w:rsid w:val="0D2941EA"/>
    <w:rsid w:val="0D3606B5"/>
    <w:rsid w:val="0D374B59"/>
    <w:rsid w:val="0D3A01A5"/>
    <w:rsid w:val="0D442DD2"/>
    <w:rsid w:val="0D58062B"/>
    <w:rsid w:val="0D5D3E94"/>
    <w:rsid w:val="0D646FD0"/>
    <w:rsid w:val="0D662D48"/>
    <w:rsid w:val="0D6B035F"/>
    <w:rsid w:val="0D6B4803"/>
    <w:rsid w:val="0D703BC7"/>
    <w:rsid w:val="0D725B91"/>
    <w:rsid w:val="0D73130E"/>
    <w:rsid w:val="0D7A67F4"/>
    <w:rsid w:val="0D7C256C"/>
    <w:rsid w:val="0D8458C4"/>
    <w:rsid w:val="0D865199"/>
    <w:rsid w:val="0D875C32"/>
    <w:rsid w:val="0D8D4779"/>
    <w:rsid w:val="0D904269"/>
    <w:rsid w:val="0D9C4847"/>
    <w:rsid w:val="0D9D0734"/>
    <w:rsid w:val="0DB25F8E"/>
    <w:rsid w:val="0DB37F58"/>
    <w:rsid w:val="0DB735A4"/>
    <w:rsid w:val="0DC363ED"/>
    <w:rsid w:val="0DC83A03"/>
    <w:rsid w:val="0DC857B1"/>
    <w:rsid w:val="0DD423A8"/>
    <w:rsid w:val="0DD51C7C"/>
    <w:rsid w:val="0DD8176C"/>
    <w:rsid w:val="0DDC74AE"/>
    <w:rsid w:val="0DDE3227"/>
    <w:rsid w:val="0DDF0D4D"/>
    <w:rsid w:val="0DE135A5"/>
    <w:rsid w:val="0DE3083D"/>
    <w:rsid w:val="0DE87C01"/>
    <w:rsid w:val="0DEB76F2"/>
    <w:rsid w:val="0DEE56BA"/>
    <w:rsid w:val="0DEF71E2"/>
    <w:rsid w:val="0DF134E2"/>
    <w:rsid w:val="0DF20A80"/>
    <w:rsid w:val="0DF30354"/>
    <w:rsid w:val="0DF465A6"/>
    <w:rsid w:val="0DF91E0E"/>
    <w:rsid w:val="0DFA5B87"/>
    <w:rsid w:val="0DFC18FF"/>
    <w:rsid w:val="0DFE49A3"/>
    <w:rsid w:val="0E100F06"/>
    <w:rsid w:val="0E124C7E"/>
    <w:rsid w:val="0E13321E"/>
    <w:rsid w:val="0E26697C"/>
    <w:rsid w:val="0E286250"/>
    <w:rsid w:val="0E3A63C8"/>
    <w:rsid w:val="0E3C619F"/>
    <w:rsid w:val="0E3C7F4D"/>
    <w:rsid w:val="0E4D215A"/>
    <w:rsid w:val="0E4F1A2E"/>
    <w:rsid w:val="0E5057A7"/>
    <w:rsid w:val="0E545297"/>
    <w:rsid w:val="0E5C05EF"/>
    <w:rsid w:val="0E721BC1"/>
    <w:rsid w:val="0E83792A"/>
    <w:rsid w:val="0E8D69FB"/>
    <w:rsid w:val="0E9658AF"/>
    <w:rsid w:val="0E96765D"/>
    <w:rsid w:val="0E9B1118"/>
    <w:rsid w:val="0E9B4C74"/>
    <w:rsid w:val="0E9E4764"/>
    <w:rsid w:val="0EA31D7A"/>
    <w:rsid w:val="0EA53D44"/>
    <w:rsid w:val="0EA55AF2"/>
    <w:rsid w:val="0EAF6971"/>
    <w:rsid w:val="0EB16245"/>
    <w:rsid w:val="0EB22B4B"/>
    <w:rsid w:val="0EB83A78"/>
    <w:rsid w:val="0EB9334C"/>
    <w:rsid w:val="0EBC4BEA"/>
    <w:rsid w:val="0EBD34C8"/>
    <w:rsid w:val="0EC75A69"/>
    <w:rsid w:val="0ECE5049"/>
    <w:rsid w:val="0ED14B39"/>
    <w:rsid w:val="0ED2440E"/>
    <w:rsid w:val="0ED85EC8"/>
    <w:rsid w:val="0ED87C76"/>
    <w:rsid w:val="0EDB32C2"/>
    <w:rsid w:val="0EE155DA"/>
    <w:rsid w:val="0EE303C9"/>
    <w:rsid w:val="0EE4486D"/>
    <w:rsid w:val="0EE505E5"/>
    <w:rsid w:val="0EEA5BFB"/>
    <w:rsid w:val="0EEE7499"/>
    <w:rsid w:val="0EF10D38"/>
    <w:rsid w:val="0EF12AE6"/>
    <w:rsid w:val="0EF645A0"/>
    <w:rsid w:val="0EF95E3E"/>
    <w:rsid w:val="0EFB5712"/>
    <w:rsid w:val="0F000F7B"/>
    <w:rsid w:val="0F1467D4"/>
    <w:rsid w:val="0F1B4006"/>
    <w:rsid w:val="0F1D7D7F"/>
    <w:rsid w:val="0F1E29AB"/>
    <w:rsid w:val="0F20161D"/>
    <w:rsid w:val="0F2509E1"/>
    <w:rsid w:val="0F274759"/>
    <w:rsid w:val="0F405D45"/>
    <w:rsid w:val="0F476BAA"/>
    <w:rsid w:val="0F4E7F38"/>
    <w:rsid w:val="0F5337A0"/>
    <w:rsid w:val="0F56503F"/>
    <w:rsid w:val="0F64775C"/>
    <w:rsid w:val="0F694D72"/>
    <w:rsid w:val="0F6B03D6"/>
    <w:rsid w:val="0F6E2388"/>
    <w:rsid w:val="0F786D63"/>
    <w:rsid w:val="0F7A0D2D"/>
    <w:rsid w:val="0F7A2ADB"/>
    <w:rsid w:val="0F7B4AA5"/>
    <w:rsid w:val="0F827BE2"/>
    <w:rsid w:val="0F8E2A2A"/>
    <w:rsid w:val="0F931DEF"/>
    <w:rsid w:val="0F9811B3"/>
    <w:rsid w:val="0F987405"/>
    <w:rsid w:val="0F9900A4"/>
    <w:rsid w:val="0F9C5147"/>
    <w:rsid w:val="0F9F0794"/>
    <w:rsid w:val="0FA1275E"/>
    <w:rsid w:val="0FA22032"/>
    <w:rsid w:val="0FA638D0"/>
    <w:rsid w:val="0FA67D74"/>
    <w:rsid w:val="0FAC2EB1"/>
    <w:rsid w:val="0FB104C7"/>
    <w:rsid w:val="0FC14BAE"/>
    <w:rsid w:val="0FCC034E"/>
    <w:rsid w:val="0FD77F2D"/>
    <w:rsid w:val="0FDF0F1F"/>
    <w:rsid w:val="0FDF7F47"/>
    <w:rsid w:val="0FE268D2"/>
    <w:rsid w:val="0FE60171"/>
    <w:rsid w:val="0FE73EE9"/>
    <w:rsid w:val="0FED59A3"/>
    <w:rsid w:val="0FEF171B"/>
    <w:rsid w:val="0FF420EE"/>
    <w:rsid w:val="0FF46D31"/>
    <w:rsid w:val="10022AD1"/>
    <w:rsid w:val="10150A56"/>
    <w:rsid w:val="10196798"/>
    <w:rsid w:val="101C1DE4"/>
    <w:rsid w:val="101E5B5C"/>
    <w:rsid w:val="102313C5"/>
    <w:rsid w:val="10264A11"/>
    <w:rsid w:val="102962AF"/>
    <w:rsid w:val="10354C54"/>
    <w:rsid w:val="104650B3"/>
    <w:rsid w:val="10501A8E"/>
    <w:rsid w:val="10565AE2"/>
    <w:rsid w:val="105B0B5E"/>
    <w:rsid w:val="1065378B"/>
    <w:rsid w:val="10667503"/>
    <w:rsid w:val="1068327B"/>
    <w:rsid w:val="106D2640"/>
    <w:rsid w:val="10710382"/>
    <w:rsid w:val="10757746"/>
    <w:rsid w:val="107E484D"/>
    <w:rsid w:val="108300B5"/>
    <w:rsid w:val="10831E63"/>
    <w:rsid w:val="10855BDB"/>
    <w:rsid w:val="108A31F2"/>
    <w:rsid w:val="10953945"/>
    <w:rsid w:val="10961B97"/>
    <w:rsid w:val="10967DE9"/>
    <w:rsid w:val="10A02A15"/>
    <w:rsid w:val="10A67900"/>
    <w:rsid w:val="10B65D95"/>
    <w:rsid w:val="10B85FB1"/>
    <w:rsid w:val="10BB784F"/>
    <w:rsid w:val="10CA5CE4"/>
    <w:rsid w:val="10CC55B8"/>
    <w:rsid w:val="10DD4DDE"/>
    <w:rsid w:val="10E02E12"/>
    <w:rsid w:val="10E16B8A"/>
    <w:rsid w:val="10E32902"/>
    <w:rsid w:val="10F36FE9"/>
    <w:rsid w:val="10F42D61"/>
    <w:rsid w:val="10FE773C"/>
    <w:rsid w:val="11020FDA"/>
    <w:rsid w:val="110A7E8F"/>
    <w:rsid w:val="111E1B8C"/>
    <w:rsid w:val="11224C52"/>
    <w:rsid w:val="11264746"/>
    <w:rsid w:val="11270A41"/>
    <w:rsid w:val="112E1DCF"/>
    <w:rsid w:val="11366ED6"/>
    <w:rsid w:val="11392D83"/>
    <w:rsid w:val="113D0264"/>
    <w:rsid w:val="113D64B6"/>
    <w:rsid w:val="114F1D45"/>
    <w:rsid w:val="114F61E9"/>
    <w:rsid w:val="11537A88"/>
    <w:rsid w:val="11561326"/>
    <w:rsid w:val="115E01DA"/>
    <w:rsid w:val="116E2B13"/>
    <w:rsid w:val="116E6670"/>
    <w:rsid w:val="117B6FDE"/>
    <w:rsid w:val="117D3A12"/>
    <w:rsid w:val="11845E93"/>
    <w:rsid w:val="11895257"/>
    <w:rsid w:val="119B31DD"/>
    <w:rsid w:val="119D0D03"/>
    <w:rsid w:val="119E6026"/>
    <w:rsid w:val="11A958FA"/>
    <w:rsid w:val="11AE4CBE"/>
    <w:rsid w:val="11B03394"/>
    <w:rsid w:val="11B147AE"/>
    <w:rsid w:val="11BE5610"/>
    <w:rsid w:val="11C73FD2"/>
    <w:rsid w:val="11CB3AC2"/>
    <w:rsid w:val="11CE39C4"/>
    <w:rsid w:val="11D5776D"/>
    <w:rsid w:val="11E20E0C"/>
    <w:rsid w:val="11E626AA"/>
    <w:rsid w:val="11EB4164"/>
    <w:rsid w:val="11EB7CC0"/>
    <w:rsid w:val="11F8062F"/>
    <w:rsid w:val="11FA6155"/>
    <w:rsid w:val="1202500A"/>
    <w:rsid w:val="120D5E88"/>
    <w:rsid w:val="120E0E57"/>
    <w:rsid w:val="120E39AF"/>
    <w:rsid w:val="121A05A5"/>
    <w:rsid w:val="121C60CC"/>
    <w:rsid w:val="1225617B"/>
    <w:rsid w:val="122B4561"/>
    <w:rsid w:val="122E4051"/>
    <w:rsid w:val="12307DC9"/>
    <w:rsid w:val="12311C0F"/>
    <w:rsid w:val="12333415"/>
    <w:rsid w:val="1235718D"/>
    <w:rsid w:val="123A0C48"/>
    <w:rsid w:val="123D6042"/>
    <w:rsid w:val="124E024F"/>
    <w:rsid w:val="12527D3F"/>
    <w:rsid w:val="125E4936"/>
    <w:rsid w:val="126A32DB"/>
    <w:rsid w:val="12851EC3"/>
    <w:rsid w:val="128679E9"/>
    <w:rsid w:val="129C0FBA"/>
    <w:rsid w:val="129C545E"/>
    <w:rsid w:val="129E11D6"/>
    <w:rsid w:val="12B24C82"/>
    <w:rsid w:val="12BF0270"/>
    <w:rsid w:val="12C0114D"/>
    <w:rsid w:val="12CF75E2"/>
    <w:rsid w:val="12D20E80"/>
    <w:rsid w:val="12DD5E3E"/>
    <w:rsid w:val="12F2507E"/>
    <w:rsid w:val="12F62DC0"/>
    <w:rsid w:val="12F86B39"/>
    <w:rsid w:val="13051255"/>
    <w:rsid w:val="130628D8"/>
    <w:rsid w:val="13086650"/>
    <w:rsid w:val="130D3C66"/>
    <w:rsid w:val="13203999"/>
    <w:rsid w:val="132A2A6A"/>
    <w:rsid w:val="132D0263"/>
    <w:rsid w:val="132E255A"/>
    <w:rsid w:val="1332191F"/>
    <w:rsid w:val="133D5C9F"/>
    <w:rsid w:val="13482EF0"/>
    <w:rsid w:val="13497394"/>
    <w:rsid w:val="134A6C68"/>
    <w:rsid w:val="13561CC7"/>
    <w:rsid w:val="135B0E75"/>
    <w:rsid w:val="135F0966"/>
    <w:rsid w:val="13651CF4"/>
    <w:rsid w:val="136F4921"/>
    <w:rsid w:val="137249D0"/>
    <w:rsid w:val="137912FC"/>
    <w:rsid w:val="1384217A"/>
    <w:rsid w:val="13936861"/>
    <w:rsid w:val="139525D9"/>
    <w:rsid w:val="139D4FEA"/>
    <w:rsid w:val="13A04ADA"/>
    <w:rsid w:val="13A46379"/>
    <w:rsid w:val="13A520F1"/>
    <w:rsid w:val="13C0517C"/>
    <w:rsid w:val="13D1738A"/>
    <w:rsid w:val="13D34EB0"/>
    <w:rsid w:val="13E40E6B"/>
    <w:rsid w:val="13E44DAF"/>
    <w:rsid w:val="13E9022F"/>
    <w:rsid w:val="13EB5EC8"/>
    <w:rsid w:val="13F05A62"/>
    <w:rsid w:val="13F07810"/>
    <w:rsid w:val="13F310AE"/>
    <w:rsid w:val="13FC4407"/>
    <w:rsid w:val="1407341B"/>
    <w:rsid w:val="14074B59"/>
    <w:rsid w:val="140B63F8"/>
    <w:rsid w:val="140E7C96"/>
    <w:rsid w:val="141D437D"/>
    <w:rsid w:val="14263231"/>
    <w:rsid w:val="14270D58"/>
    <w:rsid w:val="14290F74"/>
    <w:rsid w:val="142A27B7"/>
    <w:rsid w:val="1433594E"/>
    <w:rsid w:val="143F42F3"/>
    <w:rsid w:val="144638D4"/>
    <w:rsid w:val="14515DD5"/>
    <w:rsid w:val="14551D69"/>
    <w:rsid w:val="1457788F"/>
    <w:rsid w:val="1468384A"/>
    <w:rsid w:val="147246C9"/>
    <w:rsid w:val="147922AC"/>
    <w:rsid w:val="147C5547"/>
    <w:rsid w:val="147E4E1C"/>
    <w:rsid w:val="1481490C"/>
    <w:rsid w:val="148166BA"/>
    <w:rsid w:val="14885D40"/>
    <w:rsid w:val="148A7C64"/>
    <w:rsid w:val="148D505F"/>
    <w:rsid w:val="148E3042"/>
    <w:rsid w:val="14942891"/>
    <w:rsid w:val="14983A03"/>
    <w:rsid w:val="149A3C1F"/>
    <w:rsid w:val="149A59CD"/>
    <w:rsid w:val="14A22F0E"/>
    <w:rsid w:val="14AA20B4"/>
    <w:rsid w:val="14AE3227"/>
    <w:rsid w:val="14B7032D"/>
    <w:rsid w:val="14C64A14"/>
    <w:rsid w:val="14D07641"/>
    <w:rsid w:val="14DC7D94"/>
    <w:rsid w:val="14E54E9B"/>
    <w:rsid w:val="14F52C04"/>
    <w:rsid w:val="15064E11"/>
    <w:rsid w:val="150B2427"/>
    <w:rsid w:val="150D619F"/>
    <w:rsid w:val="15113EE2"/>
    <w:rsid w:val="15115C90"/>
    <w:rsid w:val="151B08BC"/>
    <w:rsid w:val="151B4D60"/>
    <w:rsid w:val="151D2886"/>
    <w:rsid w:val="151E03AD"/>
    <w:rsid w:val="151E215B"/>
    <w:rsid w:val="15205ED3"/>
    <w:rsid w:val="152359C3"/>
    <w:rsid w:val="15267261"/>
    <w:rsid w:val="152754B3"/>
    <w:rsid w:val="15282FD9"/>
    <w:rsid w:val="15356F32"/>
    <w:rsid w:val="154222ED"/>
    <w:rsid w:val="15437E13"/>
    <w:rsid w:val="154A2F50"/>
    <w:rsid w:val="154C4F1A"/>
    <w:rsid w:val="15545B7C"/>
    <w:rsid w:val="156E30E2"/>
    <w:rsid w:val="1573694A"/>
    <w:rsid w:val="15785D0F"/>
    <w:rsid w:val="15791A87"/>
    <w:rsid w:val="15897F1C"/>
    <w:rsid w:val="158D108E"/>
    <w:rsid w:val="1594152E"/>
    <w:rsid w:val="159E329B"/>
    <w:rsid w:val="15A20FDE"/>
    <w:rsid w:val="15BB3E4D"/>
    <w:rsid w:val="15C01464"/>
    <w:rsid w:val="15C70A44"/>
    <w:rsid w:val="15CC605B"/>
    <w:rsid w:val="15CE592F"/>
    <w:rsid w:val="15D31197"/>
    <w:rsid w:val="15D373E9"/>
    <w:rsid w:val="15DB004C"/>
    <w:rsid w:val="15DD0268"/>
    <w:rsid w:val="15DE18EA"/>
    <w:rsid w:val="15E46484"/>
    <w:rsid w:val="15E46F00"/>
    <w:rsid w:val="15F80BFE"/>
    <w:rsid w:val="15FB249C"/>
    <w:rsid w:val="15FF1F8C"/>
    <w:rsid w:val="160565C3"/>
    <w:rsid w:val="160E21CF"/>
    <w:rsid w:val="16113A6D"/>
    <w:rsid w:val="16113D92"/>
    <w:rsid w:val="162E461F"/>
    <w:rsid w:val="16331C36"/>
    <w:rsid w:val="163A1216"/>
    <w:rsid w:val="164B6F7F"/>
    <w:rsid w:val="165027E8"/>
    <w:rsid w:val="16620522"/>
    <w:rsid w:val="166444E5"/>
    <w:rsid w:val="166718DF"/>
    <w:rsid w:val="16691AFB"/>
    <w:rsid w:val="166C5148"/>
    <w:rsid w:val="167C35DD"/>
    <w:rsid w:val="168E50BE"/>
    <w:rsid w:val="169A175F"/>
    <w:rsid w:val="169A3A63"/>
    <w:rsid w:val="169F72CB"/>
    <w:rsid w:val="16A53D31"/>
    <w:rsid w:val="16B34B25"/>
    <w:rsid w:val="16BA5EB3"/>
    <w:rsid w:val="16BC1C2B"/>
    <w:rsid w:val="16C60CFC"/>
    <w:rsid w:val="16C94348"/>
    <w:rsid w:val="16CB00C0"/>
    <w:rsid w:val="16CF7BB0"/>
    <w:rsid w:val="16D36F75"/>
    <w:rsid w:val="16D74CB7"/>
    <w:rsid w:val="16E178E4"/>
    <w:rsid w:val="16E42F30"/>
    <w:rsid w:val="16E66CA8"/>
    <w:rsid w:val="16E80C72"/>
    <w:rsid w:val="16F05D79"/>
    <w:rsid w:val="17084E70"/>
    <w:rsid w:val="17103D25"/>
    <w:rsid w:val="17127A9D"/>
    <w:rsid w:val="17141A67"/>
    <w:rsid w:val="1719707D"/>
    <w:rsid w:val="171B2DF6"/>
    <w:rsid w:val="171C091C"/>
    <w:rsid w:val="1720040C"/>
    <w:rsid w:val="172B0B5F"/>
    <w:rsid w:val="172D2B29"/>
    <w:rsid w:val="172F064F"/>
    <w:rsid w:val="17365E81"/>
    <w:rsid w:val="174165D4"/>
    <w:rsid w:val="1752433D"/>
    <w:rsid w:val="17575DF8"/>
    <w:rsid w:val="175B7696"/>
    <w:rsid w:val="175C6F6A"/>
    <w:rsid w:val="175E7186"/>
    <w:rsid w:val="17604CAC"/>
    <w:rsid w:val="176D73C9"/>
    <w:rsid w:val="176E561B"/>
    <w:rsid w:val="17742506"/>
    <w:rsid w:val="177C13BA"/>
    <w:rsid w:val="17824C23"/>
    <w:rsid w:val="178A7F7B"/>
    <w:rsid w:val="17966920"/>
    <w:rsid w:val="17992095"/>
    <w:rsid w:val="17A032FB"/>
    <w:rsid w:val="17A76437"/>
    <w:rsid w:val="17AA5F28"/>
    <w:rsid w:val="17AF1790"/>
    <w:rsid w:val="17B40B54"/>
    <w:rsid w:val="17B46DA6"/>
    <w:rsid w:val="17B80644"/>
    <w:rsid w:val="17BB6387"/>
    <w:rsid w:val="17BD20FF"/>
    <w:rsid w:val="17CA0378"/>
    <w:rsid w:val="17D47448"/>
    <w:rsid w:val="17DB29DD"/>
    <w:rsid w:val="17EE5133"/>
    <w:rsid w:val="17EF7DDE"/>
    <w:rsid w:val="17FB2C27"/>
    <w:rsid w:val="180C6BE2"/>
    <w:rsid w:val="180E295A"/>
    <w:rsid w:val="18117D55"/>
    <w:rsid w:val="18133ACD"/>
    <w:rsid w:val="181B6E25"/>
    <w:rsid w:val="181F6915"/>
    <w:rsid w:val="18226406"/>
    <w:rsid w:val="18243F2C"/>
    <w:rsid w:val="18250779"/>
    <w:rsid w:val="182A0E16"/>
    <w:rsid w:val="182E6B59"/>
    <w:rsid w:val="183028D1"/>
    <w:rsid w:val="183121A5"/>
    <w:rsid w:val="18316649"/>
    <w:rsid w:val="18422604"/>
    <w:rsid w:val="1846612A"/>
    <w:rsid w:val="184E0FA9"/>
    <w:rsid w:val="185C36C6"/>
    <w:rsid w:val="185D11EC"/>
    <w:rsid w:val="18610CDC"/>
    <w:rsid w:val="1867206B"/>
    <w:rsid w:val="18694035"/>
    <w:rsid w:val="186B56B7"/>
    <w:rsid w:val="18700F1F"/>
    <w:rsid w:val="187C78C4"/>
    <w:rsid w:val="18814EDA"/>
    <w:rsid w:val="18833979"/>
    <w:rsid w:val="18866995"/>
    <w:rsid w:val="18A706B9"/>
    <w:rsid w:val="18B74DA0"/>
    <w:rsid w:val="18B76B4E"/>
    <w:rsid w:val="18C80D5B"/>
    <w:rsid w:val="18D25736"/>
    <w:rsid w:val="18DE057F"/>
    <w:rsid w:val="18E84F59"/>
    <w:rsid w:val="18ED2F5F"/>
    <w:rsid w:val="18F14C0F"/>
    <w:rsid w:val="19037FE5"/>
    <w:rsid w:val="191775ED"/>
    <w:rsid w:val="19202945"/>
    <w:rsid w:val="192166BD"/>
    <w:rsid w:val="192D5062"/>
    <w:rsid w:val="192D6E10"/>
    <w:rsid w:val="19355CC5"/>
    <w:rsid w:val="193C52A5"/>
    <w:rsid w:val="193C7053"/>
    <w:rsid w:val="1941466A"/>
    <w:rsid w:val="19436634"/>
    <w:rsid w:val="194859F8"/>
    <w:rsid w:val="195C76F5"/>
    <w:rsid w:val="196B16E7"/>
    <w:rsid w:val="196D545F"/>
    <w:rsid w:val="19742C91"/>
    <w:rsid w:val="197C1B46"/>
    <w:rsid w:val="197D7D98"/>
    <w:rsid w:val="19836A30"/>
    <w:rsid w:val="19866520"/>
    <w:rsid w:val="19887CFD"/>
    <w:rsid w:val="19960E59"/>
    <w:rsid w:val="199926F8"/>
    <w:rsid w:val="19A05834"/>
    <w:rsid w:val="19AE61A3"/>
    <w:rsid w:val="19AF1F1B"/>
    <w:rsid w:val="19B1359D"/>
    <w:rsid w:val="19B337B9"/>
    <w:rsid w:val="19B4308D"/>
    <w:rsid w:val="19B60BB4"/>
    <w:rsid w:val="19B66E06"/>
    <w:rsid w:val="19B7492C"/>
    <w:rsid w:val="19C31523"/>
    <w:rsid w:val="19C84D8B"/>
    <w:rsid w:val="19CA28B1"/>
    <w:rsid w:val="19D41982"/>
    <w:rsid w:val="19D43730"/>
    <w:rsid w:val="19DD0836"/>
    <w:rsid w:val="19DD25E4"/>
    <w:rsid w:val="19E41BC5"/>
    <w:rsid w:val="19E51499"/>
    <w:rsid w:val="19E716B5"/>
    <w:rsid w:val="19F94F44"/>
    <w:rsid w:val="19FB0917"/>
    <w:rsid w:val="19FF69FF"/>
    <w:rsid w:val="1A0538E9"/>
    <w:rsid w:val="1A0A7151"/>
    <w:rsid w:val="1A1104E0"/>
    <w:rsid w:val="1A165AF6"/>
    <w:rsid w:val="1A1D0C33"/>
    <w:rsid w:val="1A255D39"/>
    <w:rsid w:val="1A2A15A2"/>
    <w:rsid w:val="1A304E0A"/>
    <w:rsid w:val="1A3146DE"/>
    <w:rsid w:val="1A366198"/>
    <w:rsid w:val="1A3F504D"/>
    <w:rsid w:val="1A3F6DFB"/>
    <w:rsid w:val="1A420699"/>
    <w:rsid w:val="1A4E5290"/>
    <w:rsid w:val="1A524411"/>
    <w:rsid w:val="1A530AF8"/>
    <w:rsid w:val="1A5403CD"/>
    <w:rsid w:val="1A58610F"/>
    <w:rsid w:val="1A5A3C35"/>
    <w:rsid w:val="1A613B56"/>
    <w:rsid w:val="1A646862"/>
    <w:rsid w:val="1A69031C"/>
    <w:rsid w:val="1A693E78"/>
    <w:rsid w:val="1A6A7BF0"/>
    <w:rsid w:val="1A705206"/>
    <w:rsid w:val="1A75281D"/>
    <w:rsid w:val="1A7B3BAB"/>
    <w:rsid w:val="1A7F369B"/>
    <w:rsid w:val="1A846F04"/>
    <w:rsid w:val="1A8707A2"/>
    <w:rsid w:val="1A8B0292"/>
    <w:rsid w:val="1A903AFB"/>
    <w:rsid w:val="1A930EF5"/>
    <w:rsid w:val="1A9B2956"/>
    <w:rsid w:val="1AB07CF9"/>
    <w:rsid w:val="1AB53561"/>
    <w:rsid w:val="1AB5530F"/>
    <w:rsid w:val="1AB91383"/>
    <w:rsid w:val="1ACD2659"/>
    <w:rsid w:val="1AE16104"/>
    <w:rsid w:val="1AEE25CF"/>
    <w:rsid w:val="1AF51BB0"/>
    <w:rsid w:val="1AF71484"/>
    <w:rsid w:val="1B010554"/>
    <w:rsid w:val="1B0342CC"/>
    <w:rsid w:val="1B122762"/>
    <w:rsid w:val="1B124510"/>
    <w:rsid w:val="1B197658"/>
    <w:rsid w:val="1B261D69"/>
    <w:rsid w:val="1B2B2B54"/>
    <w:rsid w:val="1B2B55D1"/>
    <w:rsid w:val="1B2D1349"/>
    <w:rsid w:val="1B3158B7"/>
    <w:rsid w:val="1B395F40"/>
    <w:rsid w:val="1B3C158C"/>
    <w:rsid w:val="1B414DF5"/>
    <w:rsid w:val="1B577360"/>
    <w:rsid w:val="1B5F527B"/>
    <w:rsid w:val="1B7156DA"/>
    <w:rsid w:val="1B7C407F"/>
    <w:rsid w:val="1B8B6070"/>
    <w:rsid w:val="1B965141"/>
    <w:rsid w:val="1B972C67"/>
    <w:rsid w:val="1B99078D"/>
    <w:rsid w:val="1BA209C7"/>
    <w:rsid w:val="1BA535D6"/>
    <w:rsid w:val="1BA710FC"/>
    <w:rsid w:val="1BAF1D5E"/>
    <w:rsid w:val="1BB05AD7"/>
    <w:rsid w:val="1BBC26CD"/>
    <w:rsid w:val="1BBC447B"/>
    <w:rsid w:val="1BC05D1A"/>
    <w:rsid w:val="1BC17CE4"/>
    <w:rsid w:val="1BCF41AF"/>
    <w:rsid w:val="1BD6378F"/>
    <w:rsid w:val="1BD84134"/>
    <w:rsid w:val="1BD87507"/>
    <w:rsid w:val="1BEC2FB3"/>
    <w:rsid w:val="1BF65BDF"/>
    <w:rsid w:val="1C0C71B1"/>
    <w:rsid w:val="1C1442B7"/>
    <w:rsid w:val="1C177904"/>
    <w:rsid w:val="1C177AE5"/>
    <w:rsid w:val="1C1B73F4"/>
    <w:rsid w:val="1C1C4F1A"/>
    <w:rsid w:val="1C1D13BE"/>
    <w:rsid w:val="1C20736E"/>
    <w:rsid w:val="1C2E5379"/>
    <w:rsid w:val="1C381D54"/>
    <w:rsid w:val="1C3861F8"/>
    <w:rsid w:val="1C3B576D"/>
    <w:rsid w:val="1C3B5CE8"/>
    <w:rsid w:val="1C485D0F"/>
    <w:rsid w:val="1C536B8E"/>
    <w:rsid w:val="1C56667E"/>
    <w:rsid w:val="1C5B3C94"/>
    <w:rsid w:val="1C6012AB"/>
    <w:rsid w:val="1C730FDE"/>
    <w:rsid w:val="1C766D20"/>
    <w:rsid w:val="1C7E2CF4"/>
    <w:rsid w:val="1C8431EB"/>
    <w:rsid w:val="1C8A69E1"/>
    <w:rsid w:val="1C8C20A0"/>
    <w:rsid w:val="1C8E406A"/>
    <w:rsid w:val="1C907DE2"/>
    <w:rsid w:val="1C962F1E"/>
    <w:rsid w:val="1C9D24FF"/>
    <w:rsid w:val="1CA53161"/>
    <w:rsid w:val="1CA74072"/>
    <w:rsid w:val="1CA76EDA"/>
    <w:rsid w:val="1CAB69CA"/>
    <w:rsid w:val="1CAE2016"/>
    <w:rsid w:val="1CB3762C"/>
    <w:rsid w:val="1CB810E7"/>
    <w:rsid w:val="1CBA6C0D"/>
    <w:rsid w:val="1CC655B2"/>
    <w:rsid w:val="1CC7132A"/>
    <w:rsid w:val="1CC730D8"/>
    <w:rsid w:val="1CCA7D01"/>
    <w:rsid w:val="1CDD0B4D"/>
    <w:rsid w:val="1CDF602F"/>
    <w:rsid w:val="1CE123EB"/>
    <w:rsid w:val="1CEE68B6"/>
    <w:rsid w:val="1CF739BD"/>
    <w:rsid w:val="1CFD4D4B"/>
    <w:rsid w:val="1D083E1C"/>
    <w:rsid w:val="1D1125A5"/>
    <w:rsid w:val="1D1327C1"/>
    <w:rsid w:val="1D152095"/>
    <w:rsid w:val="1D17405F"/>
    <w:rsid w:val="1D1A3B4F"/>
    <w:rsid w:val="1D1C78C7"/>
    <w:rsid w:val="1D271DC8"/>
    <w:rsid w:val="1D300C7D"/>
    <w:rsid w:val="1D303373"/>
    <w:rsid w:val="1D344258"/>
    <w:rsid w:val="1D37200B"/>
    <w:rsid w:val="1D3D339A"/>
    <w:rsid w:val="1D3F5364"/>
    <w:rsid w:val="1D48246B"/>
    <w:rsid w:val="1D4A19A7"/>
    <w:rsid w:val="1D4B5AB7"/>
    <w:rsid w:val="1D554B87"/>
    <w:rsid w:val="1D596426"/>
    <w:rsid w:val="1D604C2D"/>
    <w:rsid w:val="1D632E00"/>
    <w:rsid w:val="1D6372A4"/>
    <w:rsid w:val="1D644DCB"/>
    <w:rsid w:val="1D65301C"/>
    <w:rsid w:val="1D660B43"/>
    <w:rsid w:val="1D69418F"/>
    <w:rsid w:val="1D6E17A5"/>
    <w:rsid w:val="1D7274E7"/>
    <w:rsid w:val="1D774AFE"/>
    <w:rsid w:val="1D7C0366"/>
    <w:rsid w:val="1D7C2114"/>
    <w:rsid w:val="1D807C8E"/>
    <w:rsid w:val="1D835251"/>
    <w:rsid w:val="1D9531D6"/>
    <w:rsid w:val="1D9751A0"/>
    <w:rsid w:val="1D992CC6"/>
    <w:rsid w:val="1D9B4C90"/>
    <w:rsid w:val="1D9C4564"/>
    <w:rsid w:val="1D9E3217"/>
    <w:rsid w:val="1DA13929"/>
    <w:rsid w:val="1DA17DCD"/>
    <w:rsid w:val="1DAF6046"/>
    <w:rsid w:val="1DB00010"/>
    <w:rsid w:val="1DBC0763"/>
    <w:rsid w:val="1DBC4C07"/>
    <w:rsid w:val="1DCA7323"/>
    <w:rsid w:val="1DD261D8"/>
    <w:rsid w:val="1DDB508D"/>
    <w:rsid w:val="1DEF6D8A"/>
    <w:rsid w:val="1DF20628"/>
    <w:rsid w:val="1DF919B7"/>
    <w:rsid w:val="1DFC5003"/>
    <w:rsid w:val="1E026ABD"/>
    <w:rsid w:val="1E075E82"/>
    <w:rsid w:val="1E0C3498"/>
    <w:rsid w:val="1E0D7210"/>
    <w:rsid w:val="1E110AAE"/>
    <w:rsid w:val="1E197963"/>
    <w:rsid w:val="1E3824DF"/>
    <w:rsid w:val="1E390005"/>
    <w:rsid w:val="1E391DB3"/>
    <w:rsid w:val="1E401394"/>
    <w:rsid w:val="1E403142"/>
    <w:rsid w:val="1E48649A"/>
    <w:rsid w:val="1E51534F"/>
    <w:rsid w:val="1E546BED"/>
    <w:rsid w:val="1E5906A7"/>
    <w:rsid w:val="1E5D0198"/>
    <w:rsid w:val="1E6908EA"/>
    <w:rsid w:val="1E7A2AF8"/>
    <w:rsid w:val="1E7F2308"/>
    <w:rsid w:val="1E844CEA"/>
    <w:rsid w:val="1E85324A"/>
    <w:rsid w:val="1E8A260F"/>
    <w:rsid w:val="1E9A6CF6"/>
    <w:rsid w:val="1E9B2A6E"/>
    <w:rsid w:val="1E9F255E"/>
    <w:rsid w:val="1E9F430C"/>
    <w:rsid w:val="1EA101B7"/>
    <w:rsid w:val="1EB37DB8"/>
    <w:rsid w:val="1EB4768C"/>
    <w:rsid w:val="1EBA1146"/>
    <w:rsid w:val="1EBB4EBE"/>
    <w:rsid w:val="1EC75611"/>
    <w:rsid w:val="1ED02718"/>
    <w:rsid w:val="1ED116B2"/>
    <w:rsid w:val="1EDA3596"/>
    <w:rsid w:val="1EDA5344"/>
    <w:rsid w:val="1EE066D3"/>
    <w:rsid w:val="1EE53CE9"/>
    <w:rsid w:val="1EE75CB3"/>
    <w:rsid w:val="1EE77A61"/>
    <w:rsid w:val="1EF351FB"/>
    <w:rsid w:val="1F066139"/>
    <w:rsid w:val="1F097421"/>
    <w:rsid w:val="1F122D30"/>
    <w:rsid w:val="1F1A7E37"/>
    <w:rsid w:val="1F274302"/>
    <w:rsid w:val="1F2760B0"/>
    <w:rsid w:val="1F29007A"/>
    <w:rsid w:val="1F2B3DF2"/>
    <w:rsid w:val="1F2C1918"/>
    <w:rsid w:val="1F2C36C6"/>
    <w:rsid w:val="1F332CA6"/>
    <w:rsid w:val="1F3C4E81"/>
    <w:rsid w:val="1F3D004E"/>
    <w:rsid w:val="1F3F164B"/>
    <w:rsid w:val="1F470500"/>
    <w:rsid w:val="1F501AAA"/>
    <w:rsid w:val="1F52137F"/>
    <w:rsid w:val="1F5A46D7"/>
    <w:rsid w:val="1F5A6485"/>
    <w:rsid w:val="1F5C3FAB"/>
    <w:rsid w:val="1F672950"/>
    <w:rsid w:val="1F7312F5"/>
    <w:rsid w:val="1F7C63FB"/>
    <w:rsid w:val="1F882FF2"/>
    <w:rsid w:val="1F9574BD"/>
    <w:rsid w:val="1F980D5B"/>
    <w:rsid w:val="1F9A0F77"/>
    <w:rsid w:val="1F9C084C"/>
    <w:rsid w:val="1F9E45C4"/>
    <w:rsid w:val="1F9F20EA"/>
    <w:rsid w:val="1FA31BDA"/>
    <w:rsid w:val="1FA3607E"/>
    <w:rsid w:val="1FAD2A59"/>
    <w:rsid w:val="1FAE057F"/>
    <w:rsid w:val="1FB02549"/>
    <w:rsid w:val="1FB42039"/>
    <w:rsid w:val="1FBA5176"/>
    <w:rsid w:val="1FBE20C7"/>
    <w:rsid w:val="1FC87893"/>
    <w:rsid w:val="1FD20711"/>
    <w:rsid w:val="1FD44489"/>
    <w:rsid w:val="1FD46237"/>
    <w:rsid w:val="1FDB75C6"/>
    <w:rsid w:val="1FE10954"/>
    <w:rsid w:val="1FE81CE3"/>
    <w:rsid w:val="1FE87F35"/>
    <w:rsid w:val="1FEC17D3"/>
    <w:rsid w:val="1FF71F26"/>
    <w:rsid w:val="20012DA5"/>
    <w:rsid w:val="200D1749"/>
    <w:rsid w:val="20142AD8"/>
    <w:rsid w:val="20197394"/>
    <w:rsid w:val="201C373B"/>
    <w:rsid w:val="202F16C0"/>
    <w:rsid w:val="202F7912"/>
    <w:rsid w:val="203337AA"/>
    <w:rsid w:val="203C098B"/>
    <w:rsid w:val="203D202F"/>
    <w:rsid w:val="205127A8"/>
    <w:rsid w:val="205630F0"/>
    <w:rsid w:val="205B4263"/>
    <w:rsid w:val="20607ACB"/>
    <w:rsid w:val="20692E24"/>
    <w:rsid w:val="20743577"/>
    <w:rsid w:val="207D067D"/>
    <w:rsid w:val="207D242B"/>
    <w:rsid w:val="20820BB2"/>
    <w:rsid w:val="208732AA"/>
    <w:rsid w:val="208C08C0"/>
    <w:rsid w:val="2091237A"/>
    <w:rsid w:val="20915724"/>
    <w:rsid w:val="209D487B"/>
    <w:rsid w:val="20A26336"/>
    <w:rsid w:val="20A83220"/>
    <w:rsid w:val="20A96229"/>
    <w:rsid w:val="20B322F1"/>
    <w:rsid w:val="20B816B5"/>
    <w:rsid w:val="20BF7061"/>
    <w:rsid w:val="20C0056A"/>
    <w:rsid w:val="20C130C2"/>
    <w:rsid w:val="20CA3197"/>
    <w:rsid w:val="20DF4E94"/>
    <w:rsid w:val="20EE356F"/>
    <w:rsid w:val="20F12E19"/>
    <w:rsid w:val="20FB5A46"/>
    <w:rsid w:val="20FD17BE"/>
    <w:rsid w:val="2100305C"/>
    <w:rsid w:val="21004E0A"/>
    <w:rsid w:val="21022930"/>
    <w:rsid w:val="210743EB"/>
    <w:rsid w:val="21115269"/>
    <w:rsid w:val="21182154"/>
    <w:rsid w:val="211A2370"/>
    <w:rsid w:val="211C7E96"/>
    <w:rsid w:val="21240AF9"/>
    <w:rsid w:val="212A1E87"/>
    <w:rsid w:val="213C22E6"/>
    <w:rsid w:val="21472A39"/>
    <w:rsid w:val="214B42D7"/>
    <w:rsid w:val="2152696C"/>
    <w:rsid w:val="21537630"/>
    <w:rsid w:val="21584C46"/>
    <w:rsid w:val="215A1B4F"/>
    <w:rsid w:val="215B0293"/>
    <w:rsid w:val="215D400B"/>
    <w:rsid w:val="216000A4"/>
    <w:rsid w:val="21667363"/>
    <w:rsid w:val="21674E89"/>
    <w:rsid w:val="216E7FC6"/>
    <w:rsid w:val="217001E2"/>
    <w:rsid w:val="21717AB6"/>
    <w:rsid w:val="217A696B"/>
    <w:rsid w:val="21821CC3"/>
    <w:rsid w:val="21843A22"/>
    <w:rsid w:val="21902632"/>
    <w:rsid w:val="219043E0"/>
    <w:rsid w:val="21935C7E"/>
    <w:rsid w:val="219E4D4F"/>
    <w:rsid w:val="219E6AFD"/>
    <w:rsid w:val="21A04F59"/>
    <w:rsid w:val="21A34113"/>
    <w:rsid w:val="21A41C3A"/>
    <w:rsid w:val="21A954A2"/>
    <w:rsid w:val="21B225A8"/>
    <w:rsid w:val="21B24356"/>
    <w:rsid w:val="21BA145D"/>
    <w:rsid w:val="21BF0821"/>
    <w:rsid w:val="21BF6A73"/>
    <w:rsid w:val="21D00C81"/>
    <w:rsid w:val="21D267A7"/>
    <w:rsid w:val="21D4251F"/>
    <w:rsid w:val="21DE339D"/>
    <w:rsid w:val="21DE514B"/>
    <w:rsid w:val="21E32762"/>
    <w:rsid w:val="21FE134A"/>
    <w:rsid w:val="220426D8"/>
    <w:rsid w:val="220A3C81"/>
    <w:rsid w:val="220A5F40"/>
    <w:rsid w:val="220C1172"/>
    <w:rsid w:val="221072CF"/>
    <w:rsid w:val="22121299"/>
    <w:rsid w:val="22146DBF"/>
    <w:rsid w:val="22162B37"/>
    <w:rsid w:val="221B63A0"/>
    <w:rsid w:val="222F59A7"/>
    <w:rsid w:val="223236E9"/>
    <w:rsid w:val="22327245"/>
    <w:rsid w:val="223B259E"/>
    <w:rsid w:val="22460F43"/>
    <w:rsid w:val="224D22D1"/>
    <w:rsid w:val="224F6049"/>
    <w:rsid w:val="22511DC1"/>
    <w:rsid w:val="22573150"/>
    <w:rsid w:val="226D64CF"/>
    <w:rsid w:val="22723AE6"/>
    <w:rsid w:val="227710FC"/>
    <w:rsid w:val="227B5090"/>
    <w:rsid w:val="227D2BB6"/>
    <w:rsid w:val="227E06DD"/>
    <w:rsid w:val="2289092E"/>
    <w:rsid w:val="228F6446"/>
    <w:rsid w:val="229121BE"/>
    <w:rsid w:val="22915360"/>
    <w:rsid w:val="22A53EBB"/>
    <w:rsid w:val="22A55C69"/>
    <w:rsid w:val="22AA14D2"/>
    <w:rsid w:val="22AF4D3A"/>
    <w:rsid w:val="22B97967"/>
    <w:rsid w:val="22BE4F7D"/>
    <w:rsid w:val="22C02AA3"/>
    <w:rsid w:val="22CE51C0"/>
    <w:rsid w:val="22D84291"/>
    <w:rsid w:val="22DB78DD"/>
    <w:rsid w:val="22DD3655"/>
    <w:rsid w:val="22E04EF3"/>
    <w:rsid w:val="22E06CA1"/>
    <w:rsid w:val="22E5250A"/>
    <w:rsid w:val="22E542B8"/>
    <w:rsid w:val="22ED0263"/>
    <w:rsid w:val="22F4099F"/>
    <w:rsid w:val="22FB1D2D"/>
    <w:rsid w:val="22FF7A6F"/>
    <w:rsid w:val="230961F8"/>
    <w:rsid w:val="230C5CE8"/>
    <w:rsid w:val="23164DB9"/>
    <w:rsid w:val="23201794"/>
    <w:rsid w:val="2322375E"/>
    <w:rsid w:val="23244DE0"/>
    <w:rsid w:val="23264FFC"/>
    <w:rsid w:val="23270D74"/>
    <w:rsid w:val="2329689A"/>
    <w:rsid w:val="233314C7"/>
    <w:rsid w:val="23333275"/>
    <w:rsid w:val="233953DA"/>
    <w:rsid w:val="233B1C79"/>
    <w:rsid w:val="233B65CE"/>
    <w:rsid w:val="233F7E6C"/>
    <w:rsid w:val="23427BCD"/>
    <w:rsid w:val="23447230"/>
    <w:rsid w:val="23496F3C"/>
    <w:rsid w:val="234B6811"/>
    <w:rsid w:val="23517B9F"/>
    <w:rsid w:val="23531B69"/>
    <w:rsid w:val="2355143D"/>
    <w:rsid w:val="23554BB3"/>
    <w:rsid w:val="2355768F"/>
    <w:rsid w:val="23595095"/>
    <w:rsid w:val="235A4CA6"/>
    <w:rsid w:val="235F22BC"/>
    <w:rsid w:val="236353C1"/>
    <w:rsid w:val="2366189C"/>
    <w:rsid w:val="236D16F9"/>
    <w:rsid w:val="236D2C2B"/>
    <w:rsid w:val="2375388E"/>
    <w:rsid w:val="23775858"/>
    <w:rsid w:val="237815D0"/>
    <w:rsid w:val="2378337E"/>
    <w:rsid w:val="238241FC"/>
    <w:rsid w:val="2389558B"/>
    <w:rsid w:val="23897339"/>
    <w:rsid w:val="238B30B1"/>
    <w:rsid w:val="238C0BD7"/>
    <w:rsid w:val="239A32F4"/>
    <w:rsid w:val="239B0E1A"/>
    <w:rsid w:val="239D1036"/>
    <w:rsid w:val="23A10B26"/>
    <w:rsid w:val="23A128D5"/>
    <w:rsid w:val="23A221A9"/>
    <w:rsid w:val="23A423C5"/>
    <w:rsid w:val="23A979DB"/>
    <w:rsid w:val="23AB72AF"/>
    <w:rsid w:val="23AE0B4E"/>
    <w:rsid w:val="23AE6D9F"/>
    <w:rsid w:val="23B31129"/>
    <w:rsid w:val="23B343B6"/>
    <w:rsid w:val="23B819CC"/>
    <w:rsid w:val="23BE3486"/>
    <w:rsid w:val="23CE7442"/>
    <w:rsid w:val="23D36806"/>
    <w:rsid w:val="23D700A4"/>
    <w:rsid w:val="23D972EA"/>
    <w:rsid w:val="23DC390D"/>
    <w:rsid w:val="23DC56BB"/>
    <w:rsid w:val="23DF51AB"/>
    <w:rsid w:val="23E12CD1"/>
    <w:rsid w:val="23EA427B"/>
    <w:rsid w:val="23EB3B50"/>
    <w:rsid w:val="23ED78C8"/>
    <w:rsid w:val="23F252C0"/>
    <w:rsid w:val="23F944BF"/>
    <w:rsid w:val="23FC5D5D"/>
    <w:rsid w:val="24042E63"/>
    <w:rsid w:val="24125580"/>
    <w:rsid w:val="2418246B"/>
    <w:rsid w:val="241F37F9"/>
    <w:rsid w:val="242231C5"/>
    <w:rsid w:val="242D5F16"/>
    <w:rsid w:val="244161B7"/>
    <w:rsid w:val="24417C14"/>
    <w:rsid w:val="24455956"/>
    <w:rsid w:val="244A2F6C"/>
    <w:rsid w:val="24596D0B"/>
    <w:rsid w:val="245B0CD5"/>
    <w:rsid w:val="245B6F27"/>
    <w:rsid w:val="24632CC1"/>
    <w:rsid w:val="24637B8A"/>
    <w:rsid w:val="2466767A"/>
    <w:rsid w:val="246D0A09"/>
    <w:rsid w:val="246F652F"/>
    <w:rsid w:val="247022A7"/>
    <w:rsid w:val="24766D97"/>
    <w:rsid w:val="247E2C16"/>
    <w:rsid w:val="248144B4"/>
    <w:rsid w:val="248D4C07"/>
    <w:rsid w:val="248E73BE"/>
    <w:rsid w:val="24912949"/>
    <w:rsid w:val="24961D0D"/>
    <w:rsid w:val="249F2A24"/>
    <w:rsid w:val="24A563F4"/>
    <w:rsid w:val="24AA3D15"/>
    <w:rsid w:val="24AC7783"/>
    <w:rsid w:val="24AD7057"/>
    <w:rsid w:val="24B16B47"/>
    <w:rsid w:val="24BD373E"/>
    <w:rsid w:val="24C20D54"/>
    <w:rsid w:val="24C3687B"/>
    <w:rsid w:val="24C50845"/>
    <w:rsid w:val="24C820E3"/>
    <w:rsid w:val="24CA19B7"/>
    <w:rsid w:val="24CC1BD3"/>
    <w:rsid w:val="24CC572F"/>
    <w:rsid w:val="24D571B8"/>
    <w:rsid w:val="24D82326"/>
    <w:rsid w:val="24D97E4C"/>
    <w:rsid w:val="24E0742D"/>
    <w:rsid w:val="24E24F53"/>
    <w:rsid w:val="24E30CCB"/>
    <w:rsid w:val="24F50E8C"/>
    <w:rsid w:val="24F66C50"/>
    <w:rsid w:val="2500362B"/>
    <w:rsid w:val="25076767"/>
    <w:rsid w:val="250B639D"/>
    <w:rsid w:val="25107E55"/>
    <w:rsid w:val="25186BC6"/>
    <w:rsid w:val="251B2213"/>
    <w:rsid w:val="251D242F"/>
    <w:rsid w:val="251D41DD"/>
    <w:rsid w:val="2524556B"/>
    <w:rsid w:val="25292B82"/>
    <w:rsid w:val="252C2672"/>
    <w:rsid w:val="252C4420"/>
    <w:rsid w:val="25311A36"/>
    <w:rsid w:val="2533755C"/>
    <w:rsid w:val="25341526"/>
    <w:rsid w:val="253C026C"/>
    <w:rsid w:val="253D662D"/>
    <w:rsid w:val="253F4153"/>
    <w:rsid w:val="25440E2B"/>
    <w:rsid w:val="25445C0D"/>
    <w:rsid w:val="25457290"/>
    <w:rsid w:val="254C4AC2"/>
    <w:rsid w:val="25592D3B"/>
    <w:rsid w:val="25626093"/>
    <w:rsid w:val="25675458"/>
    <w:rsid w:val="256C2A6E"/>
    <w:rsid w:val="257007B0"/>
    <w:rsid w:val="25710DD0"/>
    <w:rsid w:val="2573122E"/>
    <w:rsid w:val="257A162F"/>
    <w:rsid w:val="25853B30"/>
    <w:rsid w:val="25871FF6"/>
    <w:rsid w:val="25875AFA"/>
    <w:rsid w:val="258E6E89"/>
    <w:rsid w:val="25902C01"/>
    <w:rsid w:val="25965D3D"/>
    <w:rsid w:val="25A16BBC"/>
    <w:rsid w:val="25B82157"/>
    <w:rsid w:val="25BD776E"/>
    <w:rsid w:val="25C1725E"/>
    <w:rsid w:val="25C7239A"/>
    <w:rsid w:val="25D54AB7"/>
    <w:rsid w:val="25DD396C"/>
    <w:rsid w:val="25DF76E4"/>
    <w:rsid w:val="25E82A3D"/>
    <w:rsid w:val="25E92311"/>
    <w:rsid w:val="25F3318F"/>
    <w:rsid w:val="25F63DD5"/>
    <w:rsid w:val="26013AFE"/>
    <w:rsid w:val="26040EF9"/>
    <w:rsid w:val="260809E9"/>
    <w:rsid w:val="260929B3"/>
    <w:rsid w:val="260B04D9"/>
    <w:rsid w:val="260B2287"/>
    <w:rsid w:val="260E5C0A"/>
    <w:rsid w:val="26123616"/>
    <w:rsid w:val="26127ABA"/>
    <w:rsid w:val="26217CFD"/>
    <w:rsid w:val="2624159B"/>
    <w:rsid w:val="26243349"/>
    <w:rsid w:val="26284BE7"/>
    <w:rsid w:val="26325A66"/>
    <w:rsid w:val="263537A8"/>
    <w:rsid w:val="263C0693"/>
    <w:rsid w:val="26413EFB"/>
    <w:rsid w:val="26461511"/>
    <w:rsid w:val="26492DAF"/>
    <w:rsid w:val="264A1001"/>
    <w:rsid w:val="26526108"/>
    <w:rsid w:val="26541E80"/>
    <w:rsid w:val="26551754"/>
    <w:rsid w:val="265C2AE3"/>
    <w:rsid w:val="266100F9"/>
    <w:rsid w:val="2666570F"/>
    <w:rsid w:val="266A0D19"/>
    <w:rsid w:val="267E0CAB"/>
    <w:rsid w:val="267E6EFD"/>
    <w:rsid w:val="2681079B"/>
    <w:rsid w:val="26834513"/>
    <w:rsid w:val="269B185D"/>
    <w:rsid w:val="26A10E3D"/>
    <w:rsid w:val="26A34BB6"/>
    <w:rsid w:val="26A60202"/>
    <w:rsid w:val="26A97F4B"/>
    <w:rsid w:val="26AA1AA0"/>
    <w:rsid w:val="26AF5308"/>
    <w:rsid w:val="26B4291F"/>
    <w:rsid w:val="26B446CD"/>
    <w:rsid w:val="26B648E9"/>
    <w:rsid w:val="26C03072"/>
    <w:rsid w:val="26C1503C"/>
    <w:rsid w:val="26C30DB4"/>
    <w:rsid w:val="26C64400"/>
    <w:rsid w:val="26C863CA"/>
    <w:rsid w:val="26CD39E1"/>
    <w:rsid w:val="26D055EC"/>
    <w:rsid w:val="26D1527F"/>
    <w:rsid w:val="26DE5BEE"/>
    <w:rsid w:val="26E34FB2"/>
    <w:rsid w:val="26E74AA2"/>
    <w:rsid w:val="26E86A6C"/>
    <w:rsid w:val="26F23447"/>
    <w:rsid w:val="26F471BF"/>
    <w:rsid w:val="26FE3B9A"/>
    <w:rsid w:val="2705317A"/>
    <w:rsid w:val="27075144"/>
    <w:rsid w:val="270D202F"/>
    <w:rsid w:val="270F5DA7"/>
    <w:rsid w:val="271433BD"/>
    <w:rsid w:val="27231852"/>
    <w:rsid w:val="272F1D72"/>
    <w:rsid w:val="27361586"/>
    <w:rsid w:val="27363334"/>
    <w:rsid w:val="273A72C8"/>
    <w:rsid w:val="273D46C2"/>
    <w:rsid w:val="27402404"/>
    <w:rsid w:val="274C2B57"/>
    <w:rsid w:val="275B0FEC"/>
    <w:rsid w:val="275D2FB6"/>
    <w:rsid w:val="276460F3"/>
    <w:rsid w:val="27673E35"/>
    <w:rsid w:val="276C144B"/>
    <w:rsid w:val="27764078"/>
    <w:rsid w:val="27792CFC"/>
    <w:rsid w:val="277C6C38"/>
    <w:rsid w:val="277D0F63"/>
    <w:rsid w:val="27856069"/>
    <w:rsid w:val="27895B59"/>
    <w:rsid w:val="278A18D2"/>
    <w:rsid w:val="27952750"/>
    <w:rsid w:val="27A02EA3"/>
    <w:rsid w:val="27A44741"/>
    <w:rsid w:val="27A72484"/>
    <w:rsid w:val="27AB3D22"/>
    <w:rsid w:val="27BB7CDD"/>
    <w:rsid w:val="27CC5A46"/>
    <w:rsid w:val="27D74B17"/>
    <w:rsid w:val="27DB3EDB"/>
    <w:rsid w:val="27DC212D"/>
    <w:rsid w:val="27E014F2"/>
    <w:rsid w:val="27E40FE2"/>
    <w:rsid w:val="27FD20A3"/>
    <w:rsid w:val="27FF7BCA"/>
    <w:rsid w:val="28033B5E"/>
    <w:rsid w:val="28153891"/>
    <w:rsid w:val="28180C8B"/>
    <w:rsid w:val="281F026C"/>
    <w:rsid w:val="281F201A"/>
    <w:rsid w:val="281F64BE"/>
    <w:rsid w:val="282615FA"/>
    <w:rsid w:val="28285372"/>
    <w:rsid w:val="28357A8F"/>
    <w:rsid w:val="283755B5"/>
    <w:rsid w:val="283D6944"/>
    <w:rsid w:val="284101E2"/>
    <w:rsid w:val="2849353B"/>
    <w:rsid w:val="284D53D0"/>
    <w:rsid w:val="284F6DA3"/>
    <w:rsid w:val="28504E67"/>
    <w:rsid w:val="2858552C"/>
    <w:rsid w:val="2859377E"/>
    <w:rsid w:val="286363AA"/>
    <w:rsid w:val="28642123"/>
    <w:rsid w:val="28650375"/>
    <w:rsid w:val="286839C1"/>
    <w:rsid w:val="28722A91"/>
    <w:rsid w:val="28732366"/>
    <w:rsid w:val="287560DE"/>
    <w:rsid w:val="287700A8"/>
    <w:rsid w:val="2879797C"/>
    <w:rsid w:val="287A1946"/>
    <w:rsid w:val="287A36F4"/>
    <w:rsid w:val="288D78CB"/>
    <w:rsid w:val="289F721E"/>
    <w:rsid w:val="28AA222B"/>
    <w:rsid w:val="28B22E8E"/>
    <w:rsid w:val="28B46C06"/>
    <w:rsid w:val="28B9246E"/>
    <w:rsid w:val="28C36E49"/>
    <w:rsid w:val="28C57065"/>
    <w:rsid w:val="28C80903"/>
    <w:rsid w:val="28CA01D8"/>
    <w:rsid w:val="28D472A8"/>
    <w:rsid w:val="28D948BF"/>
    <w:rsid w:val="28D9666D"/>
    <w:rsid w:val="28EF7C3E"/>
    <w:rsid w:val="28F2772E"/>
    <w:rsid w:val="28F416F8"/>
    <w:rsid w:val="28F74D45"/>
    <w:rsid w:val="28F9286B"/>
    <w:rsid w:val="28FB471E"/>
    <w:rsid w:val="2900009D"/>
    <w:rsid w:val="29053906"/>
    <w:rsid w:val="2907242C"/>
    <w:rsid w:val="29086F52"/>
    <w:rsid w:val="290A2CCA"/>
    <w:rsid w:val="29194CBB"/>
    <w:rsid w:val="29234207"/>
    <w:rsid w:val="29257B04"/>
    <w:rsid w:val="292C49EE"/>
    <w:rsid w:val="2939710B"/>
    <w:rsid w:val="29455AB0"/>
    <w:rsid w:val="295E6B72"/>
    <w:rsid w:val="297840D8"/>
    <w:rsid w:val="297E7214"/>
    <w:rsid w:val="29842A7C"/>
    <w:rsid w:val="2996455E"/>
    <w:rsid w:val="29986528"/>
    <w:rsid w:val="29AF561F"/>
    <w:rsid w:val="29AF73CD"/>
    <w:rsid w:val="29C235A5"/>
    <w:rsid w:val="29CE3CF8"/>
    <w:rsid w:val="29CE5DA6"/>
    <w:rsid w:val="29D15596"/>
    <w:rsid w:val="29E452C9"/>
    <w:rsid w:val="29EA6657"/>
    <w:rsid w:val="29F51284"/>
    <w:rsid w:val="29FC6AB7"/>
    <w:rsid w:val="2A0C65CE"/>
    <w:rsid w:val="2A0E67EA"/>
    <w:rsid w:val="2A102562"/>
    <w:rsid w:val="2A21651D"/>
    <w:rsid w:val="2A222295"/>
    <w:rsid w:val="2A27165A"/>
    <w:rsid w:val="2A297180"/>
    <w:rsid w:val="2A3224D8"/>
    <w:rsid w:val="2A383867"/>
    <w:rsid w:val="2A3C5105"/>
    <w:rsid w:val="2A3F4BF5"/>
    <w:rsid w:val="2A3F69A3"/>
    <w:rsid w:val="2A40711C"/>
    <w:rsid w:val="2A5306A1"/>
    <w:rsid w:val="2A635EA8"/>
    <w:rsid w:val="2A64465C"/>
    <w:rsid w:val="2A663F30"/>
    <w:rsid w:val="2A6C52BE"/>
    <w:rsid w:val="2A6D1762"/>
    <w:rsid w:val="2A7D4BD9"/>
    <w:rsid w:val="2A84085A"/>
    <w:rsid w:val="2A842608"/>
    <w:rsid w:val="2A87085C"/>
    <w:rsid w:val="2A8E16D9"/>
    <w:rsid w:val="2A8E3487"/>
    <w:rsid w:val="2A905451"/>
    <w:rsid w:val="2A97058D"/>
    <w:rsid w:val="2A9D36CA"/>
    <w:rsid w:val="2AA36F32"/>
    <w:rsid w:val="2AAF1D7B"/>
    <w:rsid w:val="2AB078A1"/>
    <w:rsid w:val="2AB23619"/>
    <w:rsid w:val="2AB90504"/>
    <w:rsid w:val="2AC450FA"/>
    <w:rsid w:val="2ACB46DB"/>
    <w:rsid w:val="2ACD3FAF"/>
    <w:rsid w:val="2AD03A9F"/>
    <w:rsid w:val="2ADE440E"/>
    <w:rsid w:val="2AF05EF0"/>
    <w:rsid w:val="2AF23A16"/>
    <w:rsid w:val="2AF43C32"/>
    <w:rsid w:val="2B02634F"/>
    <w:rsid w:val="2B05199B"/>
    <w:rsid w:val="2B0A07D4"/>
    <w:rsid w:val="2B141BDE"/>
    <w:rsid w:val="2B165956"/>
    <w:rsid w:val="2B1E7F79"/>
    <w:rsid w:val="2B2A7653"/>
    <w:rsid w:val="2B3202B6"/>
    <w:rsid w:val="2B367DA6"/>
    <w:rsid w:val="2B381FB0"/>
    <w:rsid w:val="2B3C0931"/>
    <w:rsid w:val="2B3C2EE3"/>
    <w:rsid w:val="2B3D7387"/>
    <w:rsid w:val="2B3E30FF"/>
    <w:rsid w:val="2B626DED"/>
    <w:rsid w:val="2B6761B2"/>
    <w:rsid w:val="2B6A5CA2"/>
    <w:rsid w:val="2B717030"/>
    <w:rsid w:val="2B7E34FB"/>
    <w:rsid w:val="2B876854"/>
    <w:rsid w:val="2B8E1990"/>
    <w:rsid w:val="2B8E7BE2"/>
    <w:rsid w:val="2B916B5A"/>
    <w:rsid w:val="2B960845"/>
    <w:rsid w:val="2B964CE9"/>
    <w:rsid w:val="2B9B5E5B"/>
    <w:rsid w:val="2B9E594C"/>
    <w:rsid w:val="2BA03472"/>
    <w:rsid w:val="2BA07916"/>
    <w:rsid w:val="2BA94A1C"/>
    <w:rsid w:val="2BAF1907"/>
    <w:rsid w:val="2BAF3823"/>
    <w:rsid w:val="2BB04259"/>
    <w:rsid w:val="2BB86A0D"/>
    <w:rsid w:val="2BC03B14"/>
    <w:rsid w:val="2BC5112A"/>
    <w:rsid w:val="2BC52ED8"/>
    <w:rsid w:val="2BC76C50"/>
    <w:rsid w:val="2BD001FB"/>
    <w:rsid w:val="2BD31A99"/>
    <w:rsid w:val="2BD66E93"/>
    <w:rsid w:val="2BDB26FC"/>
    <w:rsid w:val="2BDD46C6"/>
    <w:rsid w:val="2BE47802"/>
    <w:rsid w:val="2BE5357A"/>
    <w:rsid w:val="2BEB6DE3"/>
    <w:rsid w:val="2BF043F9"/>
    <w:rsid w:val="2BF37A45"/>
    <w:rsid w:val="2BF437BD"/>
    <w:rsid w:val="2BF51A0F"/>
    <w:rsid w:val="2BFF463C"/>
    <w:rsid w:val="2C0B1233"/>
    <w:rsid w:val="2C0C4FAB"/>
    <w:rsid w:val="2C0F23A5"/>
    <w:rsid w:val="2C106849"/>
    <w:rsid w:val="2C11436F"/>
    <w:rsid w:val="2C130885"/>
    <w:rsid w:val="2C14223B"/>
    <w:rsid w:val="2C1D4AC2"/>
    <w:rsid w:val="2C286950"/>
    <w:rsid w:val="2C2C2F57"/>
    <w:rsid w:val="2C2C73FB"/>
    <w:rsid w:val="2C2F4C1D"/>
    <w:rsid w:val="2C302A48"/>
    <w:rsid w:val="2C3167C0"/>
    <w:rsid w:val="2C332538"/>
    <w:rsid w:val="2C3C5B7C"/>
    <w:rsid w:val="2C42277B"/>
    <w:rsid w:val="2C4604BD"/>
    <w:rsid w:val="2C46307E"/>
    <w:rsid w:val="2C477D91"/>
    <w:rsid w:val="2C491D5B"/>
    <w:rsid w:val="2C4B5AD3"/>
    <w:rsid w:val="2C504E98"/>
    <w:rsid w:val="2C520C10"/>
    <w:rsid w:val="2C534988"/>
    <w:rsid w:val="2C583D4C"/>
    <w:rsid w:val="2C5F332D"/>
    <w:rsid w:val="2C646B95"/>
    <w:rsid w:val="2C703257"/>
    <w:rsid w:val="2C714E0E"/>
    <w:rsid w:val="2C7F577D"/>
    <w:rsid w:val="2C7F752B"/>
    <w:rsid w:val="2C8903AA"/>
    <w:rsid w:val="2C8E3C12"/>
    <w:rsid w:val="2C9034E6"/>
    <w:rsid w:val="2C90798A"/>
    <w:rsid w:val="2C9254B0"/>
    <w:rsid w:val="2C956D4E"/>
    <w:rsid w:val="2C974875"/>
    <w:rsid w:val="2C9A25B7"/>
    <w:rsid w:val="2CA23219"/>
    <w:rsid w:val="2CA70830"/>
    <w:rsid w:val="2CA84CD4"/>
    <w:rsid w:val="2CB35427"/>
    <w:rsid w:val="2CB371D5"/>
    <w:rsid w:val="2CB73169"/>
    <w:rsid w:val="2CBC077F"/>
    <w:rsid w:val="2CC338BC"/>
    <w:rsid w:val="2CC47634"/>
    <w:rsid w:val="2CCD64E8"/>
    <w:rsid w:val="2CD0331C"/>
    <w:rsid w:val="2CD258AD"/>
    <w:rsid w:val="2CDF621C"/>
    <w:rsid w:val="2CF0667B"/>
    <w:rsid w:val="2CF77A09"/>
    <w:rsid w:val="2CFF066C"/>
    <w:rsid w:val="2CFF241A"/>
    <w:rsid w:val="2D016192"/>
    <w:rsid w:val="2D053ED4"/>
    <w:rsid w:val="2D0619FA"/>
    <w:rsid w:val="2D0A3299"/>
    <w:rsid w:val="2D0D4B37"/>
    <w:rsid w:val="2D0F4D53"/>
    <w:rsid w:val="2D1F07C4"/>
    <w:rsid w:val="2D202ABC"/>
    <w:rsid w:val="2D2A56E9"/>
    <w:rsid w:val="2D2B1461"/>
    <w:rsid w:val="2D2F2CFF"/>
    <w:rsid w:val="2D2F3A31"/>
    <w:rsid w:val="2D320A41"/>
    <w:rsid w:val="2D377E06"/>
    <w:rsid w:val="2D482013"/>
    <w:rsid w:val="2D483DC1"/>
    <w:rsid w:val="2D4A18E7"/>
    <w:rsid w:val="2D4D13D7"/>
    <w:rsid w:val="2D502C75"/>
    <w:rsid w:val="2D524C40"/>
    <w:rsid w:val="2D5269EE"/>
    <w:rsid w:val="2D542766"/>
    <w:rsid w:val="2D546C0A"/>
    <w:rsid w:val="2D60110A"/>
    <w:rsid w:val="2D647402"/>
    <w:rsid w:val="2D6D3827"/>
    <w:rsid w:val="2D796670"/>
    <w:rsid w:val="2D8748E9"/>
    <w:rsid w:val="2D880661"/>
    <w:rsid w:val="2D8D3ECA"/>
    <w:rsid w:val="2D8F379E"/>
    <w:rsid w:val="2D917516"/>
    <w:rsid w:val="2D9708A4"/>
    <w:rsid w:val="2D99461C"/>
    <w:rsid w:val="2D9E7E85"/>
    <w:rsid w:val="2DA059AB"/>
    <w:rsid w:val="2DB33930"/>
    <w:rsid w:val="2DB476A8"/>
    <w:rsid w:val="2DB63420"/>
    <w:rsid w:val="2DB66F7C"/>
    <w:rsid w:val="2DBD47AF"/>
    <w:rsid w:val="2DC01BA9"/>
    <w:rsid w:val="2DC25921"/>
    <w:rsid w:val="2DC55411"/>
    <w:rsid w:val="2DCA2A28"/>
    <w:rsid w:val="2DCC49F2"/>
    <w:rsid w:val="2DCE2518"/>
    <w:rsid w:val="2DD41AF8"/>
    <w:rsid w:val="2DD9710F"/>
    <w:rsid w:val="2DE24215"/>
    <w:rsid w:val="2DE7182C"/>
    <w:rsid w:val="2DEA4E78"/>
    <w:rsid w:val="2DEC299E"/>
    <w:rsid w:val="2DF126AA"/>
    <w:rsid w:val="2DF45CF7"/>
    <w:rsid w:val="2DF6381D"/>
    <w:rsid w:val="2DF83A39"/>
    <w:rsid w:val="2E00644A"/>
    <w:rsid w:val="2E045F3A"/>
    <w:rsid w:val="2E075A2A"/>
    <w:rsid w:val="2E0813F4"/>
    <w:rsid w:val="2E093550"/>
    <w:rsid w:val="2E132621"/>
    <w:rsid w:val="2E163EBF"/>
    <w:rsid w:val="2E1A39AF"/>
    <w:rsid w:val="2E291E44"/>
    <w:rsid w:val="2E304F81"/>
    <w:rsid w:val="2E310CF9"/>
    <w:rsid w:val="2E36630F"/>
    <w:rsid w:val="2E374561"/>
    <w:rsid w:val="2E3B3926"/>
    <w:rsid w:val="2E3D31FA"/>
    <w:rsid w:val="2E4B3B69"/>
    <w:rsid w:val="2E4E3659"/>
    <w:rsid w:val="2E532A1D"/>
    <w:rsid w:val="2E6115DE"/>
    <w:rsid w:val="2E652F92"/>
    <w:rsid w:val="2E6764C9"/>
    <w:rsid w:val="2E692241"/>
    <w:rsid w:val="2E714081"/>
    <w:rsid w:val="2E76670C"/>
    <w:rsid w:val="2E7D5CEC"/>
    <w:rsid w:val="2E813A2E"/>
    <w:rsid w:val="2E8250B1"/>
    <w:rsid w:val="2E89643F"/>
    <w:rsid w:val="2E8B21B7"/>
    <w:rsid w:val="2E8C4181"/>
    <w:rsid w:val="2E8C6689"/>
    <w:rsid w:val="2E8E614B"/>
    <w:rsid w:val="2E954DE4"/>
    <w:rsid w:val="2E9848D4"/>
    <w:rsid w:val="2E9A689E"/>
    <w:rsid w:val="2E9D1EEA"/>
    <w:rsid w:val="2E9F5C62"/>
    <w:rsid w:val="2EA414CB"/>
    <w:rsid w:val="2EAB6849"/>
    <w:rsid w:val="2EAC037F"/>
    <w:rsid w:val="2EAD200B"/>
    <w:rsid w:val="2EB86D24"/>
    <w:rsid w:val="2EBA0CEE"/>
    <w:rsid w:val="2EBA2A9C"/>
    <w:rsid w:val="2ED2428A"/>
    <w:rsid w:val="2ED578D6"/>
    <w:rsid w:val="2ED95618"/>
    <w:rsid w:val="2EDF0755"/>
    <w:rsid w:val="2EE31FF3"/>
    <w:rsid w:val="2EE67D35"/>
    <w:rsid w:val="2EED69CE"/>
    <w:rsid w:val="2EF20488"/>
    <w:rsid w:val="2EF22236"/>
    <w:rsid w:val="2F000DF7"/>
    <w:rsid w:val="2F155F25"/>
    <w:rsid w:val="2F1A353B"/>
    <w:rsid w:val="2F1E127D"/>
    <w:rsid w:val="2F1E302B"/>
    <w:rsid w:val="2F230642"/>
    <w:rsid w:val="2F2820FC"/>
    <w:rsid w:val="2F283EAA"/>
    <w:rsid w:val="2F326AD7"/>
    <w:rsid w:val="2F340AA1"/>
    <w:rsid w:val="2F3565C7"/>
    <w:rsid w:val="2F37656A"/>
    <w:rsid w:val="2F3B7ABC"/>
    <w:rsid w:val="2F430CE4"/>
    <w:rsid w:val="2F4D56BE"/>
    <w:rsid w:val="2F5375B5"/>
    <w:rsid w:val="2F590507"/>
    <w:rsid w:val="2F5922B5"/>
    <w:rsid w:val="2F5E78CC"/>
    <w:rsid w:val="2F6173BC"/>
    <w:rsid w:val="2F662C24"/>
    <w:rsid w:val="2F715851"/>
    <w:rsid w:val="2F7610B9"/>
    <w:rsid w:val="2F77098D"/>
    <w:rsid w:val="2F837332"/>
    <w:rsid w:val="2F8B61E7"/>
    <w:rsid w:val="2F994DA8"/>
    <w:rsid w:val="2FA84FEB"/>
    <w:rsid w:val="2FAA2B11"/>
    <w:rsid w:val="2FAC6889"/>
    <w:rsid w:val="2FB83480"/>
    <w:rsid w:val="2FBB4D1E"/>
    <w:rsid w:val="2FBC45F2"/>
    <w:rsid w:val="2FCA4F61"/>
    <w:rsid w:val="2FCD67FF"/>
    <w:rsid w:val="2FD1009E"/>
    <w:rsid w:val="2FD22068"/>
    <w:rsid w:val="2FD23E16"/>
    <w:rsid w:val="2FDD0A61"/>
    <w:rsid w:val="2FF41FDE"/>
    <w:rsid w:val="2FF67B04"/>
    <w:rsid w:val="3014442E"/>
    <w:rsid w:val="30185CCC"/>
    <w:rsid w:val="301D7787"/>
    <w:rsid w:val="301E705B"/>
    <w:rsid w:val="30281C88"/>
    <w:rsid w:val="302E54F0"/>
    <w:rsid w:val="303643A5"/>
    <w:rsid w:val="30403475"/>
    <w:rsid w:val="30442F65"/>
    <w:rsid w:val="304B42F4"/>
    <w:rsid w:val="30534F57"/>
    <w:rsid w:val="305A62E5"/>
    <w:rsid w:val="306058C5"/>
    <w:rsid w:val="30654C8A"/>
    <w:rsid w:val="30696528"/>
    <w:rsid w:val="306D7511"/>
    <w:rsid w:val="307D1FD3"/>
    <w:rsid w:val="30843362"/>
    <w:rsid w:val="308710A4"/>
    <w:rsid w:val="309317F7"/>
    <w:rsid w:val="309335A5"/>
    <w:rsid w:val="30976DA2"/>
    <w:rsid w:val="30986E0D"/>
    <w:rsid w:val="30B04157"/>
    <w:rsid w:val="30B17ECF"/>
    <w:rsid w:val="30BF25EC"/>
    <w:rsid w:val="30C776F3"/>
    <w:rsid w:val="30C916BD"/>
    <w:rsid w:val="30CC6AB7"/>
    <w:rsid w:val="30CE0A81"/>
    <w:rsid w:val="30D37E45"/>
    <w:rsid w:val="30D51E0F"/>
    <w:rsid w:val="30D72AF4"/>
    <w:rsid w:val="30D8545C"/>
    <w:rsid w:val="30DC319E"/>
    <w:rsid w:val="30DD2A72"/>
    <w:rsid w:val="30E107B4"/>
    <w:rsid w:val="30E42053"/>
    <w:rsid w:val="30E65DCB"/>
    <w:rsid w:val="30F1651D"/>
    <w:rsid w:val="30F5600E"/>
    <w:rsid w:val="30F73B34"/>
    <w:rsid w:val="30F93D50"/>
    <w:rsid w:val="31077AEF"/>
    <w:rsid w:val="310B75DF"/>
    <w:rsid w:val="310D3357"/>
    <w:rsid w:val="31102E48"/>
    <w:rsid w:val="312D39F9"/>
    <w:rsid w:val="31374878"/>
    <w:rsid w:val="313E3132"/>
    <w:rsid w:val="31413001"/>
    <w:rsid w:val="31480833"/>
    <w:rsid w:val="314D409C"/>
    <w:rsid w:val="315076E8"/>
    <w:rsid w:val="31570A76"/>
    <w:rsid w:val="315947EF"/>
    <w:rsid w:val="3159659D"/>
    <w:rsid w:val="31605B7D"/>
    <w:rsid w:val="316118F5"/>
    <w:rsid w:val="31633AA7"/>
    <w:rsid w:val="31653193"/>
    <w:rsid w:val="317E6003"/>
    <w:rsid w:val="31833619"/>
    <w:rsid w:val="31921AAF"/>
    <w:rsid w:val="31943A79"/>
    <w:rsid w:val="319C46DB"/>
    <w:rsid w:val="31A0241D"/>
    <w:rsid w:val="31AB2B70"/>
    <w:rsid w:val="31B00187"/>
    <w:rsid w:val="31B77767"/>
    <w:rsid w:val="31B935FE"/>
    <w:rsid w:val="31C0486E"/>
    <w:rsid w:val="31C37EBA"/>
    <w:rsid w:val="31D976DD"/>
    <w:rsid w:val="31E24A78"/>
    <w:rsid w:val="31E542D4"/>
    <w:rsid w:val="31ED3189"/>
    <w:rsid w:val="31F369F1"/>
    <w:rsid w:val="31FD7870"/>
    <w:rsid w:val="31FE7144"/>
    <w:rsid w:val="321052FF"/>
    <w:rsid w:val="321150C9"/>
    <w:rsid w:val="321B1AA4"/>
    <w:rsid w:val="32244DFC"/>
    <w:rsid w:val="3227669B"/>
    <w:rsid w:val="322A1CE7"/>
    <w:rsid w:val="323668DE"/>
    <w:rsid w:val="323963CE"/>
    <w:rsid w:val="323A4620"/>
    <w:rsid w:val="323E39E4"/>
    <w:rsid w:val="3240775C"/>
    <w:rsid w:val="324803BF"/>
    <w:rsid w:val="324A05DB"/>
    <w:rsid w:val="324E1E79"/>
    <w:rsid w:val="324F3ED3"/>
    <w:rsid w:val="325B6344"/>
    <w:rsid w:val="326276D3"/>
    <w:rsid w:val="326351F9"/>
    <w:rsid w:val="32696CB3"/>
    <w:rsid w:val="327318E0"/>
    <w:rsid w:val="32786EF6"/>
    <w:rsid w:val="32892EB1"/>
    <w:rsid w:val="32897717"/>
    <w:rsid w:val="328D56DE"/>
    <w:rsid w:val="32911D66"/>
    <w:rsid w:val="32914E0F"/>
    <w:rsid w:val="32A7158A"/>
    <w:rsid w:val="32BB6DE3"/>
    <w:rsid w:val="32C71C2C"/>
    <w:rsid w:val="32D3237F"/>
    <w:rsid w:val="32D65918"/>
    <w:rsid w:val="32D84684"/>
    <w:rsid w:val="32D87995"/>
    <w:rsid w:val="32EC3440"/>
    <w:rsid w:val="32ED1692"/>
    <w:rsid w:val="32F742BF"/>
    <w:rsid w:val="33024A12"/>
    <w:rsid w:val="33062754"/>
    <w:rsid w:val="330B38C7"/>
    <w:rsid w:val="330B7D6A"/>
    <w:rsid w:val="330C5891"/>
    <w:rsid w:val="33122EA7"/>
    <w:rsid w:val="331F3816"/>
    <w:rsid w:val="33260700"/>
    <w:rsid w:val="33264BA4"/>
    <w:rsid w:val="33296443"/>
    <w:rsid w:val="332D5F33"/>
    <w:rsid w:val="332E3A59"/>
    <w:rsid w:val="3333106F"/>
    <w:rsid w:val="333746BC"/>
    <w:rsid w:val="333B777A"/>
    <w:rsid w:val="3341378C"/>
    <w:rsid w:val="33437504"/>
    <w:rsid w:val="3344465C"/>
    <w:rsid w:val="3344794C"/>
    <w:rsid w:val="33462B51"/>
    <w:rsid w:val="334B460B"/>
    <w:rsid w:val="334B4FFB"/>
    <w:rsid w:val="335214F5"/>
    <w:rsid w:val="33541711"/>
    <w:rsid w:val="335F00B6"/>
    <w:rsid w:val="33615BDC"/>
    <w:rsid w:val="336631F3"/>
    <w:rsid w:val="33686F6B"/>
    <w:rsid w:val="33704071"/>
    <w:rsid w:val="33705E1F"/>
    <w:rsid w:val="33751688"/>
    <w:rsid w:val="33784CD4"/>
    <w:rsid w:val="337E678E"/>
    <w:rsid w:val="33837901"/>
    <w:rsid w:val="33897B6E"/>
    <w:rsid w:val="338B2C59"/>
    <w:rsid w:val="33947D60"/>
    <w:rsid w:val="33957634"/>
    <w:rsid w:val="339715FE"/>
    <w:rsid w:val="339B6127"/>
    <w:rsid w:val="339E298D"/>
    <w:rsid w:val="33A37FA3"/>
    <w:rsid w:val="33AE06F6"/>
    <w:rsid w:val="33AF4B9A"/>
    <w:rsid w:val="33B026C0"/>
    <w:rsid w:val="33BE4DDD"/>
    <w:rsid w:val="33BF2903"/>
    <w:rsid w:val="33C5616B"/>
    <w:rsid w:val="33C57F19"/>
    <w:rsid w:val="33DE722D"/>
    <w:rsid w:val="33E10ACB"/>
    <w:rsid w:val="33FC5905"/>
    <w:rsid w:val="33FC76B3"/>
    <w:rsid w:val="340547BA"/>
    <w:rsid w:val="340A1DD0"/>
    <w:rsid w:val="340D366E"/>
    <w:rsid w:val="34174A98"/>
    <w:rsid w:val="341E587B"/>
    <w:rsid w:val="3422536C"/>
    <w:rsid w:val="342310E4"/>
    <w:rsid w:val="34272982"/>
    <w:rsid w:val="342A06C4"/>
    <w:rsid w:val="342C7F98"/>
    <w:rsid w:val="343155AF"/>
    <w:rsid w:val="343C3F54"/>
    <w:rsid w:val="343D60C7"/>
    <w:rsid w:val="34401C96"/>
    <w:rsid w:val="34492732"/>
    <w:rsid w:val="344C063B"/>
    <w:rsid w:val="345B262C"/>
    <w:rsid w:val="346A6D13"/>
    <w:rsid w:val="347E631A"/>
    <w:rsid w:val="34802092"/>
    <w:rsid w:val="34831B82"/>
    <w:rsid w:val="34853B4C"/>
    <w:rsid w:val="348E2A01"/>
    <w:rsid w:val="348F0527"/>
    <w:rsid w:val="34945B3E"/>
    <w:rsid w:val="34963664"/>
    <w:rsid w:val="34983880"/>
    <w:rsid w:val="349D49F2"/>
    <w:rsid w:val="34A2025B"/>
    <w:rsid w:val="34A42225"/>
    <w:rsid w:val="34A9783B"/>
    <w:rsid w:val="34AC2E87"/>
    <w:rsid w:val="34AE30A3"/>
    <w:rsid w:val="34AF2977"/>
    <w:rsid w:val="34B00BC9"/>
    <w:rsid w:val="34B14942"/>
    <w:rsid w:val="34B34216"/>
    <w:rsid w:val="34B561E0"/>
    <w:rsid w:val="34BA1A48"/>
    <w:rsid w:val="34BD6E42"/>
    <w:rsid w:val="34D14898"/>
    <w:rsid w:val="34D507EF"/>
    <w:rsid w:val="34DA5C46"/>
    <w:rsid w:val="34E16FD5"/>
    <w:rsid w:val="34E40873"/>
    <w:rsid w:val="34E46AC5"/>
    <w:rsid w:val="34E56399"/>
    <w:rsid w:val="34E70363"/>
    <w:rsid w:val="34EF713D"/>
    <w:rsid w:val="350B5E00"/>
    <w:rsid w:val="350F63B1"/>
    <w:rsid w:val="35131158"/>
    <w:rsid w:val="351C2F8B"/>
    <w:rsid w:val="352549E8"/>
    <w:rsid w:val="35262C3A"/>
    <w:rsid w:val="352670DE"/>
    <w:rsid w:val="353D7F83"/>
    <w:rsid w:val="35577297"/>
    <w:rsid w:val="35586B6B"/>
    <w:rsid w:val="35633E8E"/>
    <w:rsid w:val="35635C3C"/>
    <w:rsid w:val="35702107"/>
    <w:rsid w:val="35747E49"/>
    <w:rsid w:val="357C0AAC"/>
    <w:rsid w:val="35831E3A"/>
    <w:rsid w:val="358636D8"/>
    <w:rsid w:val="358838F4"/>
    <w:rsid w:val="35886D4B"/>
    <w:rsid w:val="358931C8"/>
    <w:rsid w:val="358D2CB9"/>
    <w:rsid w:val="358D4A67"/>
    <w:rsid w:val="35942299"/>
    <w:rsid w:val="35957DBF"/>
    <w:rsid w:val="35A818A1"/>
    <w:rsid w:val="35AB75E3"/>
    <w:rsid w:val="35B30245"/>
    <w:rsid w:val="35B75F88"/>
    <w:rsid w:val="35BE10C4"/>
    <w:rsid w:val="35C0308E"/>
    <w:rsid w:val="35C30A55"/>
    <w:rsid w:val="35CD7559"/>
    <w:rsid w:val="35D42696"/>
    <w:rsid w:val="35D97CAC"/>
    <w:rsid w:val="35DF103A"/>
    <w:rsid w:val="35E328D9"/>
    <w:rsid w:val="35E548A3"/>
    <w:rsid w:val="35F5260C"/>
    <w:rsid w:val="360016DD"/>
    <w:rsid w:val="360311CD"/>
    <w:rsid w:val="36064819"/>
    <w:rsid w:val="36105698"/>
    <w:rsid w:val="36154A5C"/>
    <w:rsid w:val="36176A26"/>
    <w:rsid w:val="361B6C3B"/>
    <w:rsid w:val="3623361D"/>
    <w:rsid w:val="3628478F"/>
    <w:rsid w:val="362D1DA6"/>
    <w:rsid w:val="362F5B1E"/>
    <w:rsid w:val="363B0967"/>
    <w:rsid w:val="363D46DF"/>
    <w:rsid w:val="363E3FB3"/>
    <w:rsid w:val="36415851"/>
    <w:rsid w:val="3643781B"/>
    <w:rsid w:val="36453593"/>
    <w:rsid w:val="364C4922"/>
    <w:rsid w:val="36502DAD"/>
    <w:rsid w:val="3660217B"/>
    <w:rsid w:val="36657792"/>
    <w:rsid w:val="366E2AEA"/>
    <w:rsid w:val="3687595A"/>
    <w:rsid w:val="368C2F70"/>
    <w:rsid w:val="369342FF"/>
    <w:rsid w:val="3699568D"/>
    <w:rsid w:val="36AE1139"/>
    <w:rsid w:val="36AF6C5F"/>
    <w:rsid w:val="36C26992"/>
    <w:rsid w:val="36C56482"/>
    <w:rsid w:val="36C73FA8"/>
    <w:rsid w:val="36D14E27"/>
    <w:rsid w:val="36D952F5"/>
    <w:rsid w:val="36E52680"/>
    <w:rsid w:val="36EB413B"/>
    <w:rsid w:val="36FC6348"/>
    <w:rsid w:val="370074BA"/>
    <w:rsid w:val="370276D6"/>
    <w:rsid w:val="370E1BD7"/>
    <w:rsid w:val="37103BA1"/>
    <w:rsid w:val="37152F66"/>
    <w:rsid w:val="37166CDE"/>
    <w:rsid w:val="371D006C"/>
    <w:rsid w:val="37256F21"/>
    <w:rsid w:val="37357164"/>
    <w:rsid w:val="373D426B"/>
    <w:rsid w:val="3744384B"/>
    <w:rsid w:val="374970B3"/>
    <w:rsid w:val="374B6987"/>
    <w:rsid w:val="37607F59"/>
    <w:rsid w:val="376161AB"/>
    <w:rsid w:val="37644907"/>
    <w:rsid w:val="3776777C"/>
    <w:rsid w:val="377759CE"/>
    <w:rsid w:val="3787198A"/>
    <w:rsid w:val="37873738"/>
    <w:rsid w:val="37906A90"/>
    <w:rsid w:val="37983B97"/>
    <w:rsid w:val="379876F3"/>
    <w:rsid w:val="379A16BD"/>
    <w:rsid w:val="379E11AD"/>
    <w:rsid w:val="37AD13F0"/>
    <w:rsid w:val="37AD7642"/>
    <w:rsid w:val="37AF33BA"/>
    <w:rsid w:val="37B00EE0"/>
    <w:rsid w:val="37BC7885"/>
    <w:rsid w:val="37BF1123"/>
    <w:rsid w:val="37BF7375"/>
    <w:rsid w:val="37C30C14"/>
    <w:rsid w:val="37C329C2"/>
    <w:rsid w:val="37CD1A92"/>
    <w:rsid w:val="37CE0A1A"/>
    <w:rsid w:val="37CE75B8"/>
    <w:rsid w:val="37D270A9"/>
    <w:rsid w:val="37D50947"/>
    <w:rsid w:val="37D526F5"/>
    <w:rsid w:val="37FF59C4"/>
    <w:rsid w:val="380D00E1"/>
    <w:rsid w:val="3810197F"/>
    <w:rsid w:val="3810372D"/>
    <w:rsid w:val="381256F7"/>
    <w:rsid w:val="38163439"/>
    <w:rsid w:val="38170F5F"/>
    <w:rsid w:val="38192D95"/>
    <w:rsid w:val="381B0A50"/>
    <w:rsid w:val="381C0324"/>
    <w:rsid w:val="3821593A"/>
    <w:rsid w:val="382611A3"/>
    <w:rsid w:val="38284F1B"/>
    <w:rsid w:val="382C4A0B"/>
    <w:rsid w:val="382D0783"/>
    <w:rsid w:val="38327B47"/>
    <w:rsid w:val="383B2EA0"/>
    <w:rsid w:val="383C2774"/>
    <w:rsid w:val="383E64EC"/>
    <w:rsid w:val="384653A1"/>
    <w:rsid w:val="3848736B"/>
    <w:rsid w:val="384D672F"/>
    <w:rsid w:val="384F57CE"/>
    <w:rsid w:val="385C6972"/>
    <w:rsid w:val="38641F79"/>
    <w:rsid w:val="38651CCB"/>
    <w:rsid w:val="38685317"/>
    <w:rsid w:val="386A5533"/>
    <w:rsid w:val="386D6DD1"/>
    <w:rsid w:val="387168C2"/>
    <w:rsid w:val="387737AC"/>
    <w:rsid w:val="38797524"/>
    <w:rsid w:val="387C7014"/>
    <w:rsid w:val="388A1731"/>
    <w:rsid w:val="38A26A7B"/>
    <w:rsid w:val="38A345A1"/>
    <w:rsid w:val="38A74091"/>
    <w:rsid w:val="38A81BB8"/>
    <w:rsid w:val="38A87E0A"/>
    <w:rsid w:val="38AD71CE"/>
    <w:rsid w:val="38AE3672"/>
    <w:rsid w:val="38AF2F46"/>
    <w:rsid w:val="38B16CBE"/>
    <w:rsid w:val="38B247E4"/>
    <w:rsid w:val="38B30C88"/>
    <w:rsid w:val="38C033A5"/>
    <w:rsid w:val="38C509BB"/>
    <w:rsid w:val="38C764E2"/>
    <w:rsid w:val="38CA4224"/>
    <w:rsid w:val="38CA5FD2"/>
    <w:rsid w:val="38CF35E8"/>
    <w:rsid w:val="38E70932"/>
    <w:rsid w:val="38E928FC"/>
    <w:rsid w:val="38FB618B"/>
    <w:rsid w:val="38FD63A7"/>
    <w:rsid w:val="38FE5C7B"/>
    <w:rsid w:val="390019F4"/>
    <w:rsid w:val="3902576C"/>
    <w:rsid w:val="390E4110"/>
    <w:rsid w:val="39162FC5"/>
    <w:rsid w:val="39186D3D"/>
    <w:rsid w:val="391E1E7A"/>
    <w:rsid w:val="391F631E"/>
    <w:rsid w:val="39202096"/>
    <w:rsid w:val="392456E2"/>
    <w:rsid w:val="392751D2"/>
    <w:rsid w:val="392B2900"/>
    <w:rsid w:val="392C27E9"/>
    <w:rsid w:val="3930052B"/>
    <w:rsid w:val="393022D9"/>
    <w:rsid w:val="393D49F6"/>
    <w:rsid w:val="393F076E"/>
    <w:rsid w:val="39477622"/>
    <w:rsid w:val="394C69E7"/>
    <w:rsid w:val="394E6C03"/>
    <w:rsid w:val="395D0BF4"/>
    <w:rsid w:val="396A50BF"/>
    <w:rsid w:val="396E0276"/>
    <w:rsid w:val="396E4BAF"/>
    <w:rsid w:val="39755F3E"/>
    <w:rsid w:val="39777F08"/>
    <w:rsid w:val="39810D86"/>
    <w:rsid w:val="39875C71"/>
    <w:rsid w:val="399565E0"/>
    <w:rsid w:val="399D5494"/>
    <w:rsid w:val="39A22A62"/>
    <w:rsid w:val="39A84565"/>
    <w:rsid w:val="39B527DE"/>
    <w:rsid w:val="39B5458C"/>
    <w:rsid w:val="39BF540B"/>
    <w:rsid w:val="39C62C3D"/>
    <w:rsid w:val="39C80763"/>
    <w:rsid w:val="39D0586A"/>
    <w:rsid w:val="39D30EB6"/>
    <w:rsid w:val="39D8471E"/>
    <w:rsid w:val="39DA0497"/>
    <w:rsid w:val="39DD3AE3"/>
    <w:rsid w:val="39DE1D35"/>
    <w:rsid w:val="39DF5AAD"/>
    <w:rsid w:val="39E76710"/>
    <w:rsid w:val="39EC3D26"/>
    <w:rsid w:val="39ED1F78"/>
    <w:rsid w:val="39F257E0"/>
    <w:rsid w:val="39F2758E"/>
    <w:rsid w:val="39F96B6F"/>
    <w:rsid w:val="39FD5F33"/>
    <w:rsid w:val="3A045513"/>
    <w:rsid w:val="3A1514CF"/>
    <w:rsid w:val="3A173499"/>
    <w:rsid w:val="3A1C0AAF"/>
    <w:rsid w:val="3A1C460B"/>
    <w:rsid w:val="3A306308"/>
    <w:rsid w:val="3A3D6E3B"/>
    <w:rsid w:val="3A443B62"/>
    <w:rsid w:val="3A483652"/>
    <w:rsid w:val="3A555D6F"/>
    <w:rsid w:val="3A5C70FE"/>
    <w:rsid w:val="3A744447"/>
    <w:rsid w:val="3A766411"/>
    <w:rsid w:val="3A81336E"/>
    <w:rsid w:val="3A83468A"/>
    <w:rsid w:val="3A8B1791"/>
    <w:rsid w:val="3A8C79E3"/>
    <w:rsid w:val="3A976388"/>
    <w:rsid w:val="3A9B44DE"/>
    <w:rsid w:val="3A9C74FA"/>
    <w:rsid w:val="3AA50AA5"/>
    <w:rsid w:val="3AA7481D"/>
    <w:rsid w:val="3AAD5BAB"/>
    <w:rsid w:val="3AAF547F"/>
    <w:rsid w:val="3AB02FA5"/>
    <w:rsid w:val="3ABB2076"/>
    <w:rsid w:val="3AC21656"/>
    <w:rsid w:val="3AC3717D"/>
    <w:rsid w:val="3AC86541"/>
    <w:rsid w:val="3AD73CD0"/>
    <w:rsid w:val="3AD76784"/>
    <w:rsid w:val="3AD849D6"/>
    <w:rsid w:val="3AD9074E"/>
    <w:rsid w:val="3AE27603"/>
    <w:rsid w:val="3AEF1D20"/>
    <w:rsid w:val="3AF235BE"/>
    <w:rsid w:val="3AF70BD4"/>
    <w:rsid w:val="3AF9494C"/>
    <w:rsid w:val="3AFD268F"/>
    <w:rsid w:val="3B043A1D"/>
    <w:rsid w:val="3B0A5E7F"/>
    <w:rsid w:val="3B0D21A6"/>
    <w:rsid w:val="3B0F23C2"/>
    <w:rsid w:val="3B0F5F1E"/>
    <w:rsid w:val="3B141B02"/>
    <w:rsid w:val="3B1479D8"/>
    <w:rsid w:val="3B162570"/>
    <w:rsid w:val="3B181276"/>
    <w:rsid w:val="3B1D063B"/>
    <w:rsid w:val="3B293484"/>
    <w:rsid w:val="3B2C4D22"/>
    <w:rsid w:val="3B2E0A9A"/>
    <w:rsid w:val="3B31058A"/>
    <w:rsid w:val="3B3140E6"/>
    <w:rsid w:val="3B331C0C"/>
    <w:rsid w:val="3B385475"/>
    <w:rsid w:val="3B3B31B7"/>
    <w:rsid w:val="3B4007CD"/>
    <w:rsid w:val="3B40768F"/>
    <w:rsid w:val="3B4200A1"/>
    <w:rsid w:val="3B4262F3"/>
    <w:rsid w:val="3B5A363D"/>
    <w:rsid w:val="3B60677A"/>
    <w:rsid w:val="3B6C3370"/>
    <w:rsid w:val="3B6E533A"/>
    <w:rsid w:val="3B750477"/>
    <w:rsid w:val="3B7A3CDF"/>
    <w:rsid w:val="3B7D557D"/>
    <w:rsid w:val="3B7D732B"/>
    <w:rsid w:val="3B824942"/>
    <w:rsid w:val="3B8763FC"/>
    <w:rsid w:val="3B893F22"/>
    <w:rsid w:val="3B914B85"/>
    <w:rsid w:val="3B985F13"/>
    <w:rsid w:val="3BAB20EB"/>
    <w:rsid w:val="3BB014AF"/>
    <w:rsid w:val="3BB0325D"/>
    <w:rsid w:val="3BB32D4D"/>
    <w:rsid w:val="3BBC60A6"/>
    <w:rsid w:val="3BC136BC"/>
    <w:rsid w:val="3BCC2061"/>
    <w:rsid w:val="3BCE402B"/>
    <w:rsid w:val="3BD11425"/>
    <w:rsid w:val="3BD50F16"/>
    <w:rsid w:val="3BD72EE0"/>
    <w:rsid w:val="3BDA29D0"/>
    <w:rsid w:val="3BDC6748"/>
    <w:rsid w:val="3BE455FD"/>
    <w:rsid w:val="3BEE1FD7"/>
    <w:rsid w:val="3BF770DE"/>
    <w:rsid w:val="3C025A83"/>
    <w:rsid w:val="3C0B0DDB"/>
    <w:rsid w:val="3C0B4937"/>
    <w:rsid w:val="3C28373B"/>
    <w:rsid w:val="3C28780B"/>
    <w:rsid w:val="3C2D0D52"/>
    <w:rsid w:val="3C320116"/>
    <w:rsid w:val="3C3420E0"/>
    <w:rsid w:val="3C37572C"/>
    <w:rsid w:val="3C4A1903"/>
    <w:rsid w:val="3C4D31A2"/>
    <w:rsid w:val="3C4E0CC8"/>
    <w:rsid w:val="3C5067EE"/>
    <w:rsid w:val="3C5938F5"/>
    <w:rsid w:val="3C681D8A"/>
    <w:rsid w:val="3C6A5B02"/>
    <w:rsid w:val="3C7249B6"/>
    <w:rsid w:val="3C774657"/>
    <w:rsid w:val="3C7A386B"/>
    <w:rsid w:val="3C7E335B"/>
    <w:rsid w:val="3C885F88"/>
    <w:rsid w:val="3C8D359E"/>
    <w:rsid w:val="3C94492D"/>
    <w:rsid w:val="3C9C5ED7"/>
    <w:rsid w:val="3C9E39FD"/>
    <w:rsid w:val="3CA134EE"/>
    <w:rsid w:val="3CA64660"/>
    <w:rsid w:val="3CA863A8"/>
    <w:rsid w:val="3CAA23A2"/>
    <w:rsid w:val="3CAD59EE"/>
    <w:rsid w:val="3CAF79B9"/>
    <w:rsid w:val="3CB13731"/>
    <w:rsid w:val="3CB60D47"/>
    <w:rsid w:val="3CBA010B"/>
    <w:rsid w:val="3CC05722"/>
    <w:rsid w:val="3CC52D38"/>
    <w:rsid w:val="3CC72F54"/>
    <w:rsid w:val="3CCA65A0"/>
    <w:rsid w:val="3CCF1E09"/>
    <w:rsid w:val="3CD15B81"/>
    <w:rsid w:val="3CD951D6"/>
    <w:rsid w:val="3CDB69FF"/>
    <w:rsid w:val="3CDE029E"/>
    <w:rsid w:val="3CE024D8"/>
    <w:rsid w:val="3CE04016"/>
    <w:rsid w:val="3CE21B3C"/>
    <w:rsid w:val="3CE33B06"/>
    <w:rsid w:val="3CF278A5"/>
    <w:rsid w:val="3CF96E86"/>
    <w:rsid w:val="3CFD4BC8"/>
    <w:rsid w:val="3D05582A"/>
    <w:rsid w:val="3D0715A3"/>
    <w:rsid w:val="3D0870C9"/>
    <w:rsid w:val="3D0A1093"/>
    <w:rsid w:val="3D0C6BB9"/>
    <w:rsid w:val="3D0F0457"/>
    <w:rsid w:val="3D163594"/>
    <w:rsid w:val="3D181556"/>
    <w:rsid w:val="3D1B504E"/>
    <w:rsid w:val="3D1E2FB4"/>
    <w:rsid w:val="3D2A5291"/>
    <w:rsid w:val="3D385C00"/>
    <w:rsid w:val="3D393726"/>
    <w:rsid w:val="3D3E2AEA"/>
    <w:rsid w:val="3D3F6F8E"/>
    <w:rsid w:val="3D4520CB"/>
    <w:rsid w:val="3D4A148F"/>
    <w:rsid w:val="3D4F4CF8"/>
    <w:rsid w:val="3D516CC2"/>
    <w:rsid w:val="3D7309E6"/>
    <w:rsid w:val="3D7B789B"/>
    <w:rsid w:val="3D7D1865"/>
    <w:rsid w:val="3D7D3613"/>
    <w:rsid w:val="3D850719"/>
    <w:rsid w:val="3D87623F"/>
    <w:rsid w:val="3D9A2417"/>
    <w:rsid w:val="3D9D5A63"/>
    <w:rsid w:val="3DAE1A1E"/>
    <w:rsid w:val="3DB57251"/>
    <w:rsid w:val="3DBF00CF"/>
    <w:rsid w:val="3DC11DDC"/>
    <w:rsid w:val="3DC9292C"/>
    <w:rsid w:val="3DD60F75"/>
    <w:rsid w:val="3DE25B6C"/>
    <w:rsid w:val="3DF86D70"/>
    <w:rsid w:val="3DFF671E"/>
    <w:rsid w:val="3E104487"/>
    <w:rsid w:val="3E1675C3"/>
    <w:rsid w:val="3E18333B"/>
    <w:rsid w:val="3E1F46CA"/>
    <w:rsid w:val="3E261EFC"/>
    <w:rsid w:val="3E3A1504"/>
    <w:rsid w:val="3E3A59A8"/>
    <w:rsid w:val="3E3C1720"/>
    <w:rsid w:val="3E42071B"/>
    <w:rsid w:val="3E42660A"/>
    <w:rsid w:val="3E451FFD"/>
    <w:rsid w:val="3E4800C5"/>
    <w:rsid w:val="3E4A62F9"/>
    <w:rsid w:val="3E4B1963"/>
    <w:rsid w:val="3E4D56DB"/>
    <w:rsid w:val="3E500D27"/>
    <w:rsid w:val="3E524A9F"/>
    <w:rsid w:val="3E5C591E"/>
    <w:rsid w:val="3E607478"/>
    <w:rsid w:val="3E646581"/>
    <w:rsid w:val="3E6671E3"/>
    <w:rsid w:val="3E682515"/>
    <w:rsid w:val="3E6A003B"/>
    <w:rsid w:val="3E6C6D1C"/>
    <w:rsid w:val="3E6F5651"/>
    <w:rsid w:val="3E7A2248"/>
    <w:rsid w:val="3E9230EE"/>
    <w:rsid w:val="3E9A6446"/>
    <w:rsid w:val="3E9C21BE"/>
    <w:rsid w:val="3E9C5D1B"/>
    <w:rsid w:val="3EA42E21"/>
    <w:rsid w:val="3EA472ED"/>
    <w:rsid w:val="3EA66B99"/>
    <w:rsid w:val="3EA6703C"/>
    <w:rsid w:val="3EA82911"/>
    <w:rsid w:val="3EC3774B"/>
    <w:rsid w:val="3EC534C3"/>
    <w:rsid w:val="3EC82FB3"/>
    <w:rsid w:val="3EC86B10"/>
    <w:rsid w:val="3ECC295E"/>
    <w:rsid w:val="3EE33949"/>
    <w:rsid w:val="3EE37DED"/>
    <w:rsid w:val="3EF37336"/>
    <w:rsid w:val="3F0D6C18"/>
    <w:rsid w:val="3F1104B7"/>
    <w:rsid w:val="3F19380F"/>
    <w:rsid w:val="3F1C6E5B"/>
    <w:rsid w:val="3F1D32FF"/>
    <w:rsid w:val="3F1E0E25"/>
    <w:rsid w:val="3F2006FA"/>
    <w:rsid w:val="3F36616F"/>
    <w:rsid w:val="3F43088C"/>
    <w:rsid w:val="3F47037C"/>
    <w:rsid w:val="3F4A7E6C"/>
    <w:rsid w:val="3F4D3FD0"/>
    <w:rsid w:val="3F512FA9"/>
    <w:rsid w:val="3F626F64"/>
    <w:rsid w:val="3F6525B0"/>
    <w:rsid w:val="3F744EE9"/>
    <w:rsid w:val="3F7A35A1"/>
    <w:rsid w:val="3F7D3D9E"/>
    <w:rsid w:val="3F7E18C4"/>
    <w:rsid w:val="3F8F587F"/>
    <w:rsid w:val="3F935E11"/>
    <w:rsid w:val="3F966C0E"/>
    <w:rsid w:val="3F984734"/>
    <w:rsid w:val="3FA05CDE"/>
    <w:rsid w:val="3FA27361"/>
    <w:rsid w:val="3FA4757D"/>
    <w:rsid w:val="3FAE21A9"/>
    <w:rsid w:val="3FB13A48"/>
    <w:rsid w:val="3FB452E6"/>
    <w:rsid w:val="3FBD250E"/>
    <w:rsid w:val="3FBF6165"/>
    <w:rsid w:val="3FC03C8B"/>
    <w:rsid w:val="3FC4377B"/>
    <w:rsid w:val="3FCC0881"/>
    <w:rsid w:val="3FCE63A8"/>
    <w:rsid w:val="3FD31C10"/>
    <w:rsid w:val="3FD37E62"/>
    <w:rsid w:val="3FDF6807"/>
    <w:rsid w:val="3FE61943"/>
    <w:rsid w:val="3FE77469"/>
    <w:rsid w:val="3FE91433"/>
    <w:rsid w:val="40026051"/>
    <w:rsid w:val="400C6ED0"/>
    <w:rsid w:val="40152228"/>
    <w:rsid w:val="40153FD6"/>
    <w:rsid w:val="40183AC7"/>
    <w:rsid w:val="401C35B7"/>
    <w:rsid w:val="40271F5C"/>
    <w:rsid w:val="402C30CE"/>
    <w:rsid w:val="4041301D"/>
    <w:rsid w:val="4047615A"/>
    <w:rsid w:val="404E573A"/>
    <w:rsid w:val="405006D8"/>
    <w:rsid w:val="4050500F"/>
    <w:rsid w:val="405745EF"/>
    <w:rsid w:val="405F16F6"/>
    <w:rsid w:val="40672358"/>
    <w:rsid w:val="406805AA"/>
    <w:rsid w:val="40694322"/>
    <w:rsid w:val="407056B1"/>
    <w:rsid w:val="407E7DCE"/>
    <w:rsid w:val="407F76A2"/>
    <w:rsid w:val="40860A30"/>
    <w:rsid w:val="40925627"/>
    <w:rsid w:val="40AF61D9"/>
    <w:rsid w:val="40C15F0C"/>
    <w:rsid w:val="40CA1DAF"/>
    <w:rsid w:val="40D45C40"/>
    <w:rsid w:val="40D55514"/>
    <w:rsid w:val="40E51BFB"/>
    <w:rsid w:val="40E67721"/>
    <w:rsid w:val="40EA7211"/>
    <w:rsid w:val="40EB7E19"/>
    <w:rsid w:val="40FC5196"/>
    <w:rsid w:val="40FF07E3"/>
    <w:rsid w:val="410302D3"/>
    <w:rsid w:val="4105229D"/>
    <w:rsid w:val="41087697"/>
    <w:rsid w:val="41160006"/>
    <w:rsid w:val="411900B3"/>
    <w:rsid w:val="412169AB"/>
    <w:rsid w:val="412546ED"/>
    <w:rsid w:val="41281AE7"/>
    <w:rsid w:val="412F731A"/>
    <w:rsid w:val="41344930"/>
    <w:rsid w:val="413466DE"/>
    <w:rsid w:val="41391F47"/>
    <w:rsid w:val="413E2B63"/>
    <w:rsid w:val="413E57AF"/>
    <w:rsid w:val="414032D5"/>
    <w:rsid w:val="414508EB"/>
    <w:rsid w:val="414601C0"/>
    <w:rsid w:val="414C3A28"/>
    <w:rsid w:val="414D154E"/>
    <w:rsid w:val="41614FF9"/>
    <w:rsid w:val="41692B8E"/>
    <w:rsid w:val="416F5968"/>
    <w:rsid w:val="41874A60"/>
    <w:rsid w:val="41894C7C"/>
    <w:rsid w:val="418A4550"/>
    <w:rsid w:val="4191768D"/>
    <w:rsid w:val="41962EF5"/>
    <w:rsid w:val="419E1DAA"/>
    <w:rsid w:val="41A43864"/>
    <w:rsid w:val="41B220EF"/>
    <w:rsid w:val="41B4781F"/>
    <w:rsid w:val="41BA3087"/>
    <w:rsid w:val="41C061C4"/>
    <w:rsid w:val="41C21F3C"/>
    <w:rsid w:val="41C35C45"/>
    <w:rsid w:val="41C71300"/>
    <w:rsid w:val="41CF4659"/>
    <w:rsid w:val="41D852BC"/>
    <w:rsid w:val="41DA7286"/>
    <w:rsid w:val="41DB2FFE"/>
    <w:rsid w:val="41E719A3"/>
    <w:rsid w:val="41EA4FEF"/>
    <w:rsid w:val="41EC0D67"/>
    <w:rsid w:val="41F67E38"/>
    <w:rsid w:val="41F93484"/>
    <w:rsid w:val="41FA7928"/>
    <w:rsid w:val="41FF0A9A"/>
    <w:rsid w:val="42127FFC"/>
    <w:rsid w:val="42165DE4"/>
    <w:rsid w:val="42186000"/>
    <w:rsid w:val="42206C63"/>
    <w:rsid w:val="422576F7"/>
    <w:rsid w:val="42277FF1"/>
    <w:rsid w:val="42293D69"/>
    <w:rsid w:val="424741EF"/>
    <w:rsid w:val="424C7A58"/>
    <w:rsid w:val="4258464E"/>
    <w:rsid w:val="426052B1"/>
    <w:rsid w:val="42731488"/>
    <w:rsid w:val="42772D26"/>
    <w:rsid w:val="427C033D"/>
    <w:rsid w:val="427C658F"/>
    <w:rsid w:val="427E2307"/>
    <w:rsid w:val="427F607F"/>
    <w:rsid w:val="42823479"/>
    <w:rsid w:val="4283791D"/>
    <w:rsid w:val="42843695"/>
    <w:rsid w:val="428C42F8"/>
    <w:rsid w:val="428D3EBB"/>
    <w:rsid w:val="4292190E"/>
    <w:rsid w:val="429733C9"/>
    <w:rsid w:val="429D6505"/>
    <w:rsid w:val="429E4757"/>
    <w:rsid w:val="42A94EAA"/>
    <w:rsid w:val="42B45D29"/>
    <w:rsid w:val="42B71375"/>
    <w:rsid w:val="42BF022A"/>
    <w:rsid w:val="42BF647C"/>
    <w:rsid w:val="42C817D4"/>
    <w:rsid w:val="42C910A8"/>
    <w:rsid w:val="42CA554C"/>
    <w:rsid w:val="42D9578F"/>
    <w:rsid w:val="42E14644"/>
    <w:rsid w:val="42E61C5A"/>
    <w:rsid w:val="42F36125"/>
    <w:rsid w:val="42F779C3"/>
    <w:rsid w:val="42F8373B"/>
    <w:rsid w:val="4303280C"/>
    <w:rsid w:val="430F11B1"/>
    <w:rsid w:val="43193DDE"/>
    <w:rsid w:val="431F6F1A"/>
    <w:rsid w:val="43282273"/>
    <w:rsid w:val="43291B47"/>
    <w:rsid w:val="432B58BF"/>
    <w:rsid w:val="432D5ADB"/>
    <w:rsid w:val="43315D2E"/>
    <w:rsid w:val="434A67A6"/>
    <w:rsid w:val="434D1CD9"/>
    <w:rsid w:val="43615785"/>
    <w:rsid w:val="43683470"/>
    <w:rsid w:val="436D237B"/>
    <w:rsid w:val="43755A74"/>
    <w:rsid w:val="438751EB"/>
    <w:rsid w:val="438C0A54"/>
    <w:rsid w:val="438F40A0"/>
    <w:rsid w:val="43923B90"/>
    <w:rsid w:val="4396542E"/>
    <w:rsid w:val="439E0787"/>
    <w:rsid w:val="43AA2C88"/>
    <w:rsid w:val="43AF029E"/>
    <w:rsid w:val="43B753A5"/>
    <w:rsid w:val="43B9111D"/>
    <w:rsid w:val="43C81360"/>
    <w:rsid w:val="43DB72E5"/>
    <w:rsid w:val="43E048FB"/>
    <w:rsid w:val="43EE04C7"/>
    <w:rsid w:val="43EE66AA"/>
    <w:rsid w:val="43F565F9"/>
    <w:rsid w:val="43F65ECD"/>
    <w:rsid w:val="43FB34E3"/>
    <w:rsid w:val="43FD725B"/>
    <w:rsid w:val="4404683C"/>
    <w:rsid w:val="440C749E"/>
    <w:rsid w:val="441B5933"/>
    <w:rsid w:val="44290050"/>
    <w:rsid w:val="442C18EF"/>
    <w:rsid w:val="442C5D93"/>
    <w:rsid w:val="44307631"/>
    <w:rsid w:val="44384737"/>
    <w:rsid w:val="443F174E"/>
    <w:rsid w:val="44407CD3"/>
    <w:rsid w:val="44427364"/>
    <w:rsid w:val="4443776D"/>
    <w:rsid w:val="444C3D3F"/>
    <w:rsid w:val="44670B79"/>
    <w:rsid w:val="446B68BB"/>
    <w:rsid w:val="446E0159"/>
    <w:rsid w:val="447514E8"/>
    <w:rsid w:val="4476700E"/>
    <w:rsid w:val="44780FD8"/>
    <w:rsid w:val="4484172B"/>
    <w:rsid w:val="4487121B"/>
    <w:rsid w:val="44894F93"/>
    <w:rsid w:val="448D4A83"/>
    <w:rsid w:val="44957494"/>
    <w:rsid w:val="4497145E"/>
    <w:rsid w:val="449A0979"/>
    <w:rsid w:val="449D27EC"/>
    <w:rsid w:val="44A43B7B"/>
    <w:rsid w:val="44AE67A8"/>
    <w:rsid w:val="44B57B36"/>
    <w:rsid w:val="44BD4C3D"/>
    <w:rsid w:val="44C1472D"/>
    <w:rsid w:val="44C24001"/>
    <w:rsid w:val="44CE6E4A"/>
    <w:rsid w:val="44D0671E"/>
    <w:rsid w:val="44D206E8"/>
    <w:rsid w:val="44D81A76"/>
    <w:rsid w:val="44E328F5"/>
    <w:rsid w:val="44E346A3"/>
    <w:rsid w:val="44F7014F"/>
    <w:rsid w:val="44FA7C3F"/>
    <w:rsid w:val="44FE772F"/>
    <w:rsid w:val="45060392"/>
    <w:rsid w:val="45132AAF"/>
    <w:rsid w:val="4513485D"/>
    <w:rsid w:val="4514485C"/>
    <w:rsid w:val="45156CF5"/>
    <w:rsid w:val="451E1B7F"/>
    <w:rsid w:val="451F1453"/>
    <w:rsid w:val="45237196"/>
    <w:rsid w:val="45244CBC"/>
    <w:rsid w:val="452D1715"/>
    <w:rsid w:val="452D1DC2"/>
    <w:rsid w:val="452D3B70"/>
    <w:rsid w:val="4530540F"/>
    <w:rsid w:val="453C3DB3"/>
    <w:rsid w:val="4541761C"/>
    <w:rsid w:val="45433394"/>
    <w:rsid w:val="454669E0"/>
    <w:rsid w:val="45486BFC"/>
    <w:rsid w:val="454D4212"/>
    <w:rsid w:val="45570BED"/>
    <w:rsid w:val="45594965"/>
    <w:rsid w:val="455E1F7C"/>
    <w:rsid w:val="456B28EB"/>
    <w:rsid w:val="45701C8F"/>
    <w:rsid w:val="45725A27"/>
    <w:rsid w:val="457E3A30"/>
    <w:rsid w:val="45893844"/>
    <w:rsid w:val="45912351"/>
    <w:rsid w:val="45965BB9"/>
    <w:rsid w:val="45A02594"/>
    <w:rsid w:val="45A100BA"/>
    <w:rsid w:val="45A1630C"/>
    <w:rsid w:val="45B1505C"/>
    <w:rsid w:val="45B46040"/>
    <w:rsid w:val="45BB73CE"/>
    <w:rsid w:val="45BD781E"/>
    <w:rsid w:val="45C269AF"/>
    <w:rsid w:val="45CE227D"/>
    <w:rsid w:val="45CF69D6"/>
    <w:rsid w:val="45D109A0"/>
    <w:rsid w:val="45D93D2D"/>
    <w:rsid w:val="45ED50AE"/>
    <w:rsid w:val="45F53B8F"/>
    <w:rsid w:val="45F91CA4"/>
    <w:rsid w:val="460D74FE"/>
    <w:rsid w:val="4613720A"/>
    <w:rsid w:val="46184820"/>
    <w:rsid w:val="461E795D"/>
    <w:rsid w:val="4622553B"/>
    <w:rsid w:val="46252A99"/>
    <w:rsid w:val="462A4554"/>
    <w:rsid w:val="462C02CC"/>
    <w:rsid w:val="462C207A"/>
    <w:rsid w:val="46340F2E"/>
    <w:rsid w:val="463B22BD"/>
    <w:rsid w:val="46401681"/>
    <w:rsid w:val="4642364B"/>
    <w:rsid w:val="46537607"/>
    <w:rsid w:val="4654512D"/>
    <w:rsid w:val="465869CB"/>
    <w:rsid w:val="465F6C1E"/>
    <w:rsid w:val="466C691A"/>
    <w:rsid w:val="467F3637"/>
    <w:rsid w:val="46845A12"/>
    <w:rsid w:val="46873754"/>
    <w:rsid w:val="468974CC"/>
    <w:rsid w:val="468A6DA0"/>
    <w:rsid w:val="46916381"/>
    <w:rsid w:val="46965D88"/>
    <w:rsid w:val="46A165C4"/>
    <w:rsid w:val="46A9389A"/>
    <w:rsid w:val="46AB11F1"/>
    <w:rsid w:val="46AF05B5"/>
    <w:rsid w:val="46B207D1"/>
    <w:rsid w:val="46BB51AC"/>
    <w:rsid w:val="46BD0F24"/>
    <w:rsid w:val="46BD2CD2"/>
    <w:rsid w:val="46C67DD9"/>
    <w:rsid w:val="46C73B51"/>
    <w:rsid w:val="46CB1893"/>
    <w:rsid w:val="46CC73B9"/>
    <w:rsid w:val="46D06EA9"/>
    <w:rsid w:val="46D149CF"/>
    <w:rsid w:val="46D30747"/>
    <w:rsid w:val="46E12E64"/>
    <w:rsid w:val="46E42955"/>
    <w:rsid w:val="46E91D19"/>
    <w:rsid w:val="46F30DEA"/>
    <w:rsid w:val="46F31D3C"/>
    <w:rsid w:val="46F506BE"/>
    <w:rsid w:val="46F72688"/>
    <w:rsid w:val="46FA5CD4"/>
    <w:rsid w:val="46FE3A16"/>
    <w:rsid w:val="470E79D1"/>
    <w:rsid w:val="471548BC"/>
    <w:rsid w:val="47174AD8"/>
    <w:rsid w:val="471A2B65"/>
    <w:rsid w:val="471F398D"/>
    <w:rsid w:val="47217705"/>
    <w:rsid w:val="47226FD9"/>
    <w:rsid w:val="47290367"/>
    <w:rsid w:val="472B2331"/>
    <w:rsid w:val="472D42FC"/>
    <w:rsid w:val="472E3BD0"/>
    <w:rsid w:val="47347438"/>
    <w:rsid w:val="47370CD6"/>
    <w:rsid w:val="473E6151"/>
    <w:rsid w:val="474156B1"/>
    <w:rsid w:val="474433F3"/>
    <w:rsid w:val="47484C91"/>
    <w:rsid w:val="47490BF2"/>
    <w:rsid w:val="47502C34"/>
    <w:rsid w:val="47525B10"/>
    <w:rsid w:val="47573126"/>
    <w:rsid w:val="47596E9F"/>
    <w:rsid w:val="475C698F"/>
    <w:rsid w:val="475E44B5"/>
    <w:rsid w:val="475E6263"/>
    <w:rsid w:val="47631ACB"/>
    <w:rsid w:val="4766336A"/>
    <w:rsid w:val="476D50F3"/>
    <w:rsid w:val="477041E8"/>
    <w:rsid w:val="4791488A"/>
    <w:rsid w:val="479E6FA7"/>
    <w:rsid w:val="47A04ACD"/>
    <w:rsid w:val="47B73BC5"/>
    <w:rsid w:val="47BE3144"/>
    <w:rsid w:val="47C562E2"/>
    <w:rsid w:val="47D169E9"/>
    <w:rsid w:val="47D429C9"/>
    <w:rsid w:val="47D74267"/>
    <w:rsid w:val="47DC362C"/>
    <w:rsid w:val="47E30FB0"/>
    <w:rsid w:val="47E349BA"/>
    <w:rsid w:val="47EA3F9B"/>
    <w:rsid w:val="47EA5D49"/>
    <w:rsid w:val="47ED3A8B"/>
    <w:rsid w:val="47EF335F"/>
    <w:rsid w:val="47F00E85"/>
    <w:rsid w:val="47F210A1"/>
    <w:rsid w:val="47F95F8C"/>
    <w:rsid w:val="47FB61A8"/>
    <w:rsid w:val="47FB7F56"/>
    <w:rsid w:val="48081689"/>
    <w:rsid w:val="48117779"/>
    <w:rsid w:val="481B05F8"/>
    <w:rsid w:val="481B23A6"/>
    <w:rsid w:val="481E3C44"/>
    <w:rsid w:val="481E59F2"/>
    <w:rsid w:val="482079BC"/>
    <w:rsid w:val="482E20D9"/>
    <w:rsid w:val="482F7BFF"/>
    <w:rsid w:val="48315726"/>
    <w:rsid w:val="48343468"/>
    <w:rsid w:val="483671E0"/>
    <w:rsid w:val="4839282C"/>
    <w:rsid w:val="483D056E"/>
    <w:rsid w:val="48435459"/>
    <w:rsid w:val="48482A6F"/>
    <w:rsid w:val="48535370"/>
    <w:rsid w:val="48547666"/>
    <w:rsid w:val="48561630"/>
    <w:rsid w:val="48592ECE"/>
    <w:rsid w:val="485A1120"/>
    <w:rsid w:val="485B09F4"/>
    <w:rsid w:val="486D0AE8"/>
    <w:rsid w:val="486E697A"/>
    <w:rsid w:val="486F26F2"/>
    <w:rsid w:val="48802209"/>
    <w:rsid w:val="488C5052"/>
    <w:rsid w:val="48967C7F"/>
    <w:rsid w:val="489857A5"/>
    <w:rsid w:val="489B7043"/>
    <w:rsid w:val="48A013C8"/>
    <w:rsid w:val="48A73C3A"/>
    <w:rsid w:val="48B12D0A"/>
    <w:rsid w:val="48BF71D5"/>
    <w:rsid w:val="48C20A74"/>
    <w:rsid w:val="48C26CC5"/>
    <w:rsid w:val="48D013E2"/>
    <w:rsid w:val="48D03190"/>
    <w:rsid w:val="48D32C81"/>
    <w:rsid w:val="48D367DD"/>
    <w:rsid w:val="48D80297"/>
    <w:rsid w:val="48E21116"/>
    <w:rsid w:val="48E7672C"/>
    <w:rsid w:val="48E96000"/>
    <w:rsid w:val="48EB621C"/>
    <w:rsid w:val="48F055E1"/>
    <w:rsid w:val="48F30C2D"/>
    <w:rsid w:val="48F618EF"/>
    <w:rsid w:val="48F84495"/>
    <w:rsid w:val="48FF75D2"/>
    <w:rsid w:val="4904108C"/>
    <w:rsid w:val="49042E3A"/>
    <w:rsid w:val="490746D8"/>
    <w:rsid w:val="490E1F0B"/>
    <w:rsid w:val="490E3CB9"/>
    <w:rsid w:val="4910358D"/>
    <w:rsid w:val="49107A31"/>
    <w:rsid w:val="4913307D"/>
    <w:rsid w:val="49153299"/>
    <w:rsid w:val="491868E5"/>
    <w:rsid w:val="491A08B0"/>
    <w:rsid w:val="49221512"/>
    <w:rsid w:val="492359B6"/>
    <w:rsid w:val="4924528A"/>
    <w:rsid w:val="49357497"/>
    <w:rsid w:val="49374FBE"/>
    <w:rsid w:val="493C25D4"/>
    <w:rsid w:val="49441489"/>
    <w:rsid w:val="4944592C"/>
    <w:rsid w:val="495042D1"/>
    <w:rsid w:val="495711BC"/>
    <w:rsid w:val="495A6EFE"/>
    <w:rsid w:val="49647D7D"/>
    <w:rsid w:val="4966356E"/>
    <w:rsid w:val="496833C9"/>
    <w:rsid w:val="496B110B"/>
    <w:rsid w:val="49731D6E"/>
    <w:rsid w:val="49747FC0"/>
    <w:rsid w:val="49783701"/>
    <w:rsid w:val="497E5577"/>
    <w:rsid w:val="497F6965"/>
    <w:rsid w:val="4981092F"/>
    <w:rsid w:val="4981448B"/>
    <w:rsid w:val="49830203"/>
    <w:rsid w:val="49836455"/>
    <w:rsid w:val="498E6BA8"/>
    <w:rsid w:val="49920446"/>
    <w:rsid w:val="49951CE4"/>
    <w:rsid w:val="49957F36"/>
    <w:rsid w:val="49A563CB"/>
    <w:rsid w:val="49AD34D2"/>
    <w:rsid w:val="49B22896"/>
    <w:rsid w:val="49B4660E"/>
    <w:rsid w:val="49BE56DF"/>
    <w:rsid w:val="49C01457"/>
    <w:rsid w:val="49CB1BAA"/>
    <w:rsid w:val="49E52C6C"/>
    <w:rsid w:val="49F52FFA"/>
    <w:rsid w:val="49F7299F"/>
    <w:rsid w:val="49FC7FB5"/>
    <w:rsid w:val="4A031344"/>
    <w:rsid w:val="4A064990"/>
    <w:rsid w:val="4A084BAC"/>
    <w:rsid w:val="4A0F5F3A"/>
    <w:rsid w:val="4A1B043B"/>
    <w:rsid w:val="4A2246C7"/>
    <w:rsid w:val="4A235542"/>
    <w:rsid w:val="4A2F038B"/>
    <w:rsid w:val="4A317C5F"/>
    <w:rsid w:val="4A3B0ADD"/>
    <w:rsid w:val="4A3C6604"/>
    <w:rsid w:val="4A3E412A"/>
    <w:rsid w:val="4A3F2DF5"/>
    <w:rsid w:val="4A437992"/>
    <w:rsid w:val="4A463E23"/>
    <w:rsid w:val="4A484FA8"/>
    <w:rsid w:val="4A4A0D21"/>
    <w:rsid w:val="4A534079"/>
    <w:rsid w:val="4A565917"/>
    <w:rsid w:val="4A595408"/>
    <w:rsid w:val="4A606796"/>
    <w:rsid w:val="4A6718D3"/>
    <w:rsid w:val="4A69389D"/>
    <w:rsid w:val="4A6A3171"/>
    <w:rsid w:val="4A6D4A0F"/>
    <w:rsid w:val="4A7933B4"/>
    <w:rsid w:val="4A7B712C"/>
    <w:rsid w:val="4A8561FD"/>
    <w:rsid w:val="4A8C1339"/>
    <w:rsid w:val="4A934476"/>
    <w:rsid w:val="4A985F30"/>
    <w:rsid w:val="4A9C0CC1"/>
    <w:rsid w:val="4AB8212E"/>
    <w:rsid w:val="4AB97C54"/>
    <w:rsid w:val="4ABB39CC"/>
    <w:rsid w:val="4AC22FAD"/>
    <w:rsid w:val="4ACA211C"/>
    <w:rsid w:val="4ACF1226"/>
    <w:rsid w:val="4AEC002A"/>
    <w:rsid w:val="4AF33166"/>
    <w:rsid w:val="4AFC64BF"/>
    <w:rsid w:val="4AFD3FE5"/>
    <w:rsid w:val="4B076C12"/>
    <w:rsid w:val="4B0C247A"/>
    <w:rsid w:val="4B1B26BD"/>
    <w:rsid w:val="4B257098"/>
    <w:rsid w:val="4B272E10"/>
    <w:rsid w:val="4B2E23F0"/>
    <w:rsid w:val="4B315A3D"/>
    <w:rsid w:val="4B3519D1"/>
    <w:rsid w:val="4B35377F"/>
    <w:rsid w:val="4B3F0E3A"/>
    <w:rsid w:val="4B410375"/>
    <w:rsid w:val="4B427C4A"/>
    <w:rsid w:val="4B555BCF"/>
    <w:rsid w:val="4B58746D"/>
    <w:rsid w:val="4B6127C6"/>
    <w:rsid w:val="4B667DDC"/>
    <w:rsid w:val="4B6776B0"/>
    <w:rsid w:val="4B7818BD"/>
    <w:rsid w:val="4B7A73E4"/>
    <w:rsid w:val="4B810673"/>
    <w:rsid w:val="4B8464B4"/>
    <w:rsid w:val="4B885FA4"/>
    <w:rsid w:val="4B8D35BB"/>
    <w:rsid w:val="4B8E2E8F"/>
    <w:rsid w:val="4B8F7333"/>
    <w:rsid w:val="4B906C07"/>
    <w:rsid w:val="4B92472D"/>
    <w:rsid w:val="4B944949"/>
    <w:rsid w:val="4B9C37FE"/>
    <w:rsid w:val="4BA34B8C"/>
    <w:rsid w:val="4BA426B2"/>
    <w:rsid w:val="4BA95F1B"/>
    <w:rsid w:val="4BAB57EF"/>
    <w:rsid w:val="4BB328F5"/>
    <w:rsid w:val="4BB943B0"/>
    <w:rsid w:val="4BC114B6"/>
    <w:rsid w:val="4BC15012"/>
    <w:rsid w:val="4BC44B03"/>
    <w:rsid w:val="4BC468B1"/>
    <w:rsid w:val="4BC845F3"/>
    <w:rsid w:val="4BCA036B"/>
    <w:rsid w:val="4BDA60D4"/>
    <w:rsid w:val="4BDE7972"/>
    <w:rsid w:val="4BE34F89"/>
    <w:rsid w:val="4BE40D01"/>
    <w:rsid w:val="4BE56F53"/>
    <w:rsid w:val="4BF21670"/>
    <w:rsid w:val="4BF52F0E"/>
    <w:rsid w:val="4C080E93"/>
    <w:rsid w:val="4C0B2731"/>
    <w:rsid w:val="4C1C049B"/>
    <w:rsid w:val="4C211F55"/>
    <w:rsid w:val="4C231829"/>
    <w:rsid w:val="4C2832E3"/>
    <w:rsid w:val="4C3103EA"/>
    <w:rsid w:val="4C322FBD"/>
    <w:rsid w:val="4C325F10"/>
    <w:rsid w:val="4C3457E4"/>
    <w:rsid w:val="4C373527"/>
    <w:rsid w:val="4C39729F"/>
    <w:rsid w:val="4C40062D"/>
    <w:rsid w:val="4C417F01"/>
    <w:rsid w:val="4C4243A5"/>
    <w:rsid w:val="4C433C79"/>
    <w:rsid w:val="4C575977"/>
    <w:rsid w:val="4C5F726F"/>
    <w:rsid w:val="4C675BBA"/>
    <w:rsid w:val="4C6A38FC"/>
    <w:rsid w:val="4C7402D7"/>
    <w:rsid w:val="4C746529"/>
    <w:rsid w:val="4C856040"/>
    <w:rsid w:val="4C8C5620"/>
    <w:rsid w:val="4C9149E5"/>
    <w:rsid w:val="4C942727"/>
    <w:rsid w:val="4CA5458F"/>
    <w:rsid w:val="4CA706AC"/>
    <w:rsid w:val="4CA87F80"/>
    <w:rsid w:val="4CAA5AA7"/>
    <w:rsid w:val="4CAF57B3"/>
    <w:rsid w:val="4CB42DC9"/>
    <w:rsid w:val="4CB44B77"/>
    <w:rsid w:val="4CB84667"/>
    <w:rsid w:val="4CBB7CB4"/>
    <w:rsid w:val="4CC0351C"/>
    <w:rsid w:val="4CC748AA"/>
    <w:rsid w:val="4CC96874"/>
    <w:rsid w:val="4CD11285"/>
    <w:rsid w:val="4CDD5E7C"/>
    <w:rsid w:val="4CE23492"/>
    <w:rsid w:val="4CE70AA9"/>
    <w:rsid w:val="4CE865CF"/>
    <w:rsid w:val="4CF431C6"/>
    <w:rsid w:val="4CFB4554"/>
    <w:rsid w:val="4D01075E"/>
    <w:rsid w:val="4D01600E"/>
    <w:rsid w:val="4D057181"/>
    <w:rsid w:val="4D0E24D9"/>
    <w:rsid w:val="4D243AAB"/>
    <w:rsid w:val="4D245859"/>
    <w:rsid w:val="4D275349"/>
    <w:rsid w:val="4D284F59"/>
    <w:rsid w:val="4D331F40"/>
    <w:rsid w:val="4D41465D"/>
    <w:rsid w:val="4D4C5F59"/>
    <w:rsid w:val="4D4E28D6"/>
    <w:rsid w:val="4D5123C6"/>
    <w:rsid w:val="4D640BE2"/>
    <w:rsid w:val="4D6E2F78"/>
    <w:rsid w:val="4D700A9E"/>
    <w:rsid w:val="4D754306"/>
    <w:rsid w:val="4D783DF7"/>
    <w:rsid w:val="4D7D140D"/>
    <w:rsid w:val="4D7F5185"/>
    <w:rsid w:val="4D8602C2"/>
    <w:rsid w:val="4D8E7176"/>
    <w:rsid w:val="4D950505"/>
    <w:rsid w:val="4D956757"/>
    <w:rsid w:val="4D97427D"/>
    <w:rsid w:val="4D9C7AE5"/>
    <w:rsid w:val="4D9F3131"/>
    <w:rsid w:val="4DB23A54"/>
    <w:rsid w:val="4DB34E2F"/>
    <w:rsid w:val="4DC332C4"/>
    <w:rsid w:val="4DC96CA8"/>
    <w:rsid w:val="4DCB03CA"/>
    <w:rsid w:val="4DD51249"/>
    <w:rsid w:val="4DD70B1D"/>
    <w:rsid w:val="4DD728CB"/>
    <w:rsid w:val="4DE17BEE"/>
    <w:rsid w:val="4DE60D60"/>
    <w:rsid w:val="4DF01BDF"/>
    <w:rsid w:val="4DFC0584"/>
    <w:rsid w:val="4DFC4A28"/>
    <w:rsid w:val="4DFE254E"/>
    <w:rsid w:val="4DFF6D77"/>
    <w:rsid w:val="4E013DEC"/>
    <w:rsid w:val="4E1E4ED1"/>
    <w:rsid w:val="4E255D2C"/>
    <w:rsid w:val="4E265601"/>
    <w:rsid w:val="4E28581D"/>
    <w:rsid w:val="4E2A50F1"/>
    <w:rsid w:val="4E2F5E56"/>
    <w:rsid w:val="4E320449"/>
    <w:rsid w:val="4E353A96"/>
    <w:rsid w:val="4E355844"/>
    <w:rsid w:val="4E37780E"/>
    <w:rsid w:val="4E3B72FE"/>
    <w:rsid w:val="4E404914"/>
    <w:rsid w:val="4E480363"/>
    <w:rsid w:val="4E4A12EF"/>
    <w:rsid w:val="4E4D5283"/>
    <w:rsid w:val="4E546612"/>
    <w:rsid w:val="4E572491"/>
    <w:rsid w:val="4E5B34FC"/>
    <w:rsid w:val="4E604C84"/>
    <w:rsid w:val="4E61488B"/>
    <w:rsid w:val="4E616639"/>
    <w:rsid w:val="4E630603"/>
    <w:rsid w:val="4E661EA1"/>
    <w:rsid w:val="4E704ACE"/>
    <w:rsid w:val="4E7445BE"/>
    <w:rsid w:val="4E7C16C5"/>
    <w:rsid w:val="4E7E543D"/>
    <w:rsid w:val="4E802F63"/>
    <w:rsid w:val="4E8642F1"/>
    <w:rsid w:val="4E8A2033"/>
    <w:rsid w:val="4E9C3B15"/>
    <w:rsid w:val="4E9E788D"/>
    <w:rsid w:val="4EA50C1B"/>
    <w:rsid w:val="4EAA7FE0"/>
    <w:rsid w:val="4EAC3D58"/>
    <w:rsid w:val="4EAF1A9A"/>
    <w:rsid w:val="4EB1136E"/>
    <w:rsid w:val="4EB66985"/>
    <w:rsid w:val="4EBB21ED"/>
    <w:rsid w:val="4EC866B8"/>
    <w:rsid w:val="4ECA2430"/>
    <w:rsid w:val="4ECE0172"/>
    <w:rsid w:val="4ECF7A46"/>
    <w:rsid w:val="4ED37498"/>
    <w:rsid w:val="4EE41737"/>
    <w:rsid w:val="4EE676D8"/>
    <w:rsid w:val="4EE96D5A"/>
    <w:rsid w:val="4EEE237C"/>
    <w:rsid w:val="4F0022F6"/>
    <w:rsid w:val="4F053468"/>
    <w:rsid w:val="4F05790C"/>
    <w:rsid w:val="4F0F2539"/>
    <w:rsid w:val="4F111E0D"/>
    <w:rsid w:val="4F29184C"/>
    <w:rsid w:val="4F2E29BF"/>
    <w:rsid w:val="4F302BDB"/>
    <w:rsid w:val="4F31425D"/>
    <w:rsid w:val="4F351F9F"/>
    <w:rsid w:val="4F38383D"/>
    <w:rsid w:val="4F3B332E"/>
    <w:rsid w:val="4F487871"/>
    <w:rsid w:val="4F495A4B"/>
    <w:rsid w:val="4F4A531F"/>
    <w:rsid w:val="4F561F16"/>
    <w:rsid w:val="4F591FFC"/>
    <w:rsid w:val="4F5F0DCA"/>
    <w:rsid w:val="4F5F47E4"/>
    <w:rsid w:val="4F675ED1"/>
    <w:rsid w:val="4F6C798B"/>
    <w:rsid w:val="4F870321"/>
    <w:rsid w:val="4F8B7E11"/>
    <w:rsid w:val="4F9111A0"/>
    <w:rsid w:val="4F9F1B0F"/>
    <w:rsid w:val="4F9F566B"/>
    <w:rsid w:val="4FA709C3"/>
    <w:rsid w:val="4FA72771"/>
    <w:rsid w:val="4FAE1D52"/>
    <w:rsid w:val="4FB029B2"/>
    <w:rsid w:val="4FB07878"/>
    <w:rsid w:val="4FB21842"/>
    <w:rsid w:val="4FB31116"/>
    <w:rsid w:val="4FB82BD0"/>
    <w:rsid w:val="4FBB3189"/>
    <w:rsid w:val="4FBC446F"/>
    <w:rsid w:val="4FC7696F"/>
    <w:rsid w:val="4FCE5F50"/>
    <w:rsid w:val="4FD01CC8"/>
    <w:rsid w:val="4FD07F1A"/>
    <w:rsid w:val="4FD23C92"/>
    <w:rsid w:val="4FE237A9"/>
    <w:rsid w:val="4FF37764"/>
    <w:rsid w:val="50083210"/>
    <w:rsid w:val="5023004A"/>
    <w:rsid w:val="50250266"/>
    <w:rsid w:val="502A587C"/>
    <w:rsid w:val="502F4C40"/>
    <w:rsid w:val="503009B9"/>
    <w:rsid w:val="503404A9"/>
    <w:rsid w:val="50371D47"/>
    <w:rsid w:val="503C110B"/>
    <w:rsid w:val="503C55AF"/>
    <w:rsid w:val="503F29AA"/>
    <w:rsid w:val="50416722"/>
    <w:rsid w:val="50526B81"/>
    <w:rsid w:val="5055041F"/>
    <w:rsid w:val="505521CD"/>
    <w:rsid w:val="505C17AE"/>
    <w:rsid w:val="50616DC4"/>
    <w:rsid w:val="507705FD"/>
    <w:rsid w:val="5079410E"/>
    <w:rsid w:val="507C1E50"/>
    <w:rsid w:val="50812FC2"/>
    <w:rsid w:val="508807F5"/>
    <w:rsid w:val="508F267E"/>
    <w:rsid w:val="50901457"/>
    <w:rsid w:val="509727E6"/>
    <w:rsid w:val="5099655E"/>
    <w:rsid w:val="509B22D6"/>
    <w:rsid w:val="509B4084"/>
    <w:rsid w:val="50A37764"/>
    <w:rsid w:val="50A82C45"/>
    <w:rsid w:val="50A849F3"/>
    <w:rsid w:val="50AD3DB7"/>
    <w:rsid w:val="50AD676F"/>
    <w:rsid w:val="50B60EBE"/>
    <w:rsid w:val="50B74C36"/>
    <w:rsid w:val="50B909AE"/>
    <w:rsid w:val="50C335DB"/>
    <w:rsid w:val="50C748BB"/>
    <w:rsid w:val="50CF1F80"/>
    <w:rsid w:val="50D13F4A"/>
    <w:rsid w:val="50D6330E"/>
    <w:rsid w:val="50DD28EE"/>
    <w:rsid w:val="50E27F05"/>
    <w:rsid w:val="50E772C9"/>
    <w:rsid w:val="50EA6DB9"/>
    <w:rsid w:val="50EF43D0"/>
    <w:rsid w:val="50F43794"/>
    <w:rsid w:val="50F639B0"/>
    <w:rsid w:val="50F6575E"/>
    <w:rsid w:val="50FB2D75"/>
    <w:rsid w:val="50FD7827"/>
    <w:rsid w:val="51041EDF"/>
    <w:rsid w:val="5119144D"/>
    <w:rsid w:val="511D4240"/>
    <w:rsid w:val="511D718F"/>
    <w:rsid w:val="51220301"/>
    <w:rsid w:val="512247A5"/>
    <w:rsid w:val="512E6655"/>
    <w:rsid w:val="513444D8"/>
    <w:rsid w:val="513A1AEF"/>
    <w:rsid w:val="51475FBA"/>
    <w:rsid w:val="51477D68"/>
    <w:rsid w:val="51493AE0"/>
    <w:rsid w:val="514C1822"/>
    <w:rsid w:val="515661FD"/>
    <w:rsid w:val="515F3303"/>
    <w:rsid w:val="51642065"/>
    <w:rsid w:val="516A1CA8"/>
    <w:rsid w:val="51752B27"/>
    <w:rsid w:val="517770D7"/>
    <w:rsid w:val="517A638F"/>
    <w:rsid w:val="517F5754"/>
    <w:rsid w:val="518965D2"/>
    <w:rsid w:val="51917235"/>
    <w:rsid w:val="51924977"/>
    <w:rsid w:val="519F1952"/>
    <w:rsid w:val="51A7292C"/>
    <w:rsid w:val="51A72EFC"/>
    <w:rsid w:val="51A927D1"/>
    <w:rsid w:val="51AE7DE7"/>
    <w:rsid w:val="51AF590D"/>
    <w:rsid w:val="51B01DB1"/>
    <w:rsid w:val="51B3364F"/>
    <w:rsid w:val="51B353FD"/>
    <w:rsid w:val="51B80C66"/>
    <w:rsid w:val="51B84D5A"/>
    <w:rsid w:val="51BA678C"/>
    <w:rsid w:val="51C615D4"/>
    <w:rsid w:val="51C770FB"/>
    <w:rsid w:val="51C92E73"/>
    <w:rsid w:val="51DF4444"/>
    <w:rsid w:val="51E47CAD"/>
    <w:rsid w:val="51E657D3"/>
    <w:rsid w:val="51F06651"/>
    <w:rsid w:val="51F577C4"/>
    <w:rsid w:val="51F779E0"/>
    <w:rsid w:val="51FA127E"/>
    <w:rsid w:val="51FA74D0"/>
    <w:rsid w:val="5201085F"/>
    <w:rsid w:val="5201260D"/>
    <w:rsid w:val="52065E75"/>
    <w:rsid w:val="520914C1"/>
    <w:rsid w:val="520E4D2A"/>
    <w:rsid w:val="521A36CE"/>
    <w:rsid w:val="5221680B"/>
    <w:rsid w:val="52287B99"/>
    <w:rsid w:val="522C47C1"/>
    <w:rsid w:val="52304CA0"/>
    <w:rsid w:val="52354064"/>
    <w:rsid w:val="52383B54"/>
    <w:rsid w:val="523E560F"/>
    <w:rsid w:val="525941F7"/>
    <w:rsid w:val="526112FD"/>
    <w:rsid w:val="526130AB"/>
    <w:rsid w:val="52636E23"/>
    <w:rsid w:val="5268443A"/>
    <w:rsid w:val="526861E8"/>
    <w:rsid w:val="526B5CD8"/>
    <w:rsid w:val="52734B8D"/>
    <w:rsid w:val="52754DA9"/>
    <w:rsid w:val="527C6137"/>
    <w:rsid w:val="527E5A0B"/>
    <w:rsid w:val="528374C6"/>
    <w:rsid w:val="528943B0"/>
    <w:rsid w:val="528B0128"/>
    <w:rsid w:val="528B1ED6"/>
    <w:rsid w:val="528B637A"/>
    <w:rsid w:val="528C45CC"/>
    <w:rsid w:val="528D316F"/>
    <w:rsid w:val="5290573F"/>
    <w:rsid w:val="52943481"/>
    <w:rsid w:val="529D3673"/>
    <w:rsid w:val="52A01E26"/>
    <w:rsid w:val="52A631B4"/>
    <w:rsid w:val="52AB07CA"/>
    <w:rsid w:val="52AD009F"/>
    <w:rsid w:val="52B21B59"/>
    <w:rsid w:val="52B92EE7"/>
    <w:rsid w:val="52B96A43"/>
    <w:rsid w:val="52BA27BB"/>
    <w:rsid w:val="52BF7DD2"/>
    <w:rsid w:val="52C378C2"/>
    <w:rsid w:val="52C553E8"/>
    <w:rsid w:val="52CA29FF"/>
    <w:rsid w:val="52CD24EF"/>
    <w:rsid w:val="52DE64AA"/>
    <w:rsid w:val="52E31D12"/>
    <w:rsid w:val="52E361B6"/>
    <w:rsid w:val="52EA30A1"/>
    <w:rsid w:val="52ED0DE3"/>
    <w:rsid w:val="52EF6909"/>
    <w:rsid w:val="52FE6B4C"/>
    <w:rsid w:val="530323B4"/>
    <w:rsid w:val="53081779"/>
    <w:rsid w:val="530D6D8F"/>
    <w:rsid w:val="530F2B07"/>
    <w:rsid w:val="53130849"/>
    <w:rsid w:val="53177C0E"/>
    <w:rsid w:val="531B76FE"/>
    <w:rsid w:val="53234805"/>
    <w:rsid w:val="532760A3"/>
    <w:rsid w:val="5334256E"/>
    <w:rsid w:val="53362670"/>
    <w:rsid w:val="533B38FC"/>
    <w:rsid w:val="533E33EC"/>
    <w:rsid w:val="533F163E"/>
    <w:rsid w:val="534327B1"/>
    <w:rsid w:val="5349426B"/>
    <w:rsid w:val="535449BE"/>
    <w:rsid w:val="53733096"/>
    <w:rsid w:val="537A2677"/>
    <w:rsid w:val="537D4CC5"/>
    <w:rsid w:val="53837051"/>
    <w:rsid w:val="538434F5"/>
    <w:rsid w:val="538565E9"/>
    <w:rsid w:val="538C4158"/>
    <w:rsid w:val="538E1C7E"/>
    <w:rsid w:val="538F59F6"/>
    <w:rsid w:val="53915C12"/>
    <w:rsid w:val="5394300C"/>
    <w:rsid w:val="53A45945"/>
    <w:rsid w:val="53AE2320"/>
    <w:rsid w:val="53B4545D"/>
    <w:rsid w:val="53B51901"/>
    <w:rsid w:val="53B67427"/>
    <w:rsid w:val="53BF62DB"/>
    <w:rsid w:val="53C03E02"/>
    <w:rsid w:val="53C102A5"/>
    <w:rsid w:val="53C27B7A"/>
    <w:rsid w:val="53DD0E57"/>
    <w:rsid w:val="53E73A84"/>
    <w:rsid w:val="53EA0E7E"/>
    <w:rsid w:val="53EE096F"/>
    <w:rsid w:val="53F8359B"/>
    <w:rsid w:val="53F87A3F"/>
    <w:rsid w:val="53FD4338"/>
    <w:rsid w:val="54040192"/>
    <w:rsid w:val="54091C4C"/>
    <w:rsid w:val="540939FA"/>
    <w:rsid w:val="540B1521"/>
    <w:rsid w:val="540C7047"/>
    <w:rsid w:val="540D34EB"/>
    <w:rsid w:val="540E7263"/>
    <w:rsid w:val="541D1254"/>
    <w:rsid w:val="541D3002"/>
    <w:rsid w:val="541D74A6"/>
    <w:rsid w:val="5426635A"/>
    <w:rsid w:val="542720D3"/>
    <w:rsid w:val="542828AD"/>
    <w:rsid w:val="542B3971"/>
    <w:rsid w:val="542D593B"/>
    <w:rsid w:val="54322F51"/>
    <w:rsid w:val="54324CFF"/>
    <w:rsid w:val="5435460F"/>
    <w:rsid w:val="54442C85"/>
    <w:rsid w:val="54493DF7"/>
    <w:rsid w:val="544B4013"/>
    <w:rsid w:val="545033D7"/>
    <w:rsid w:val="54520EFE"/>
    <w:rsid w:val="54532EC8"/>
    <w:rsid w:val="546D5D37"/>
    <w:rsid w:val="54745318"/>
    <w:rsid w:val="547E7F44"/>
    <w:rsid w:val="547F1F0F"/>
    <w:rsid w:val="547F7727"/>
    <w:rsid w:val="548337AD"/>
    <w:rsid w:val="54866DF9"/>
    <w:rsid w:val="548E5CAE"/>
    <w:rsid w:val="5492579E"/>
    <w:rsid w:val="54971006"/>
    <w:rsid w:val="54994D7E"/>
    <w:rsid w:val="54A13C33"/>
    <w:rsid w:val="54A159E1"/>
    <w:rsid w:val="54B115C7"/>
    <w:rsid w:val="54BC6CBF"/>
    <w:rsid w:val="54C618EB"/>
    <w:rsid w:val="54CA318A"/>
    <w:rsid w:val="54D45FBA"/>
    <w:rsid w:val="54D477A6"/>
    <w:rsid w:val="54FC70BB"/>
    <w:rsid w:val="54FE2E33"/>
    <w:rsid w:val="55020B76"/>
    <w:rsid w:val="550348EE"/>
    <w:rsid w:val="550541C2"/>
    <w:rsid w:val="550A17D8"/>
    <w:rsid w:val="55110DB9"/>
    <w:rsid w:val="55130BD8"/>
    <w:rsid w:val="55202DAA"/>
    <w:rsid w:val="5526704E"/>
    <w:rsid w:val="55385606"/>
    <w:rsid w:val="554051FA"/>
    <w:rsid w:val="55434CEA"/>
    <w:rsid w:val="55480552"/>
    <w:rsid w:val="55515659"/>
    <w:rsid w:val="55562C6F"/>
    <w:rsid w:val="55652EB2"/>
    <w:rsid w:val="556709D9"/>
    <w:rsid w:val="5568005C"/>
    <w:rsid w:val="556C2493"/>
    <w:rsid w:val="55782BE6"/>
    <w:rsid w:val="557A29E6"/>
    <w:rsid w:val="557D644E"/>
    <w:rsid w:val="557F21C6"/>
    <w:rsid w:val="55874339"/>
    <w:rsid w:val="558A46C7"/>
    <w:rsid w:val="558F31A2"/>
    <w:rsid w:val="55915A56"/>
    <w:rsid w:val="55937A20"/>
    <w:rsid w:val="559D43FA"/>
    <w:rsid w:val="55A7171D"/>
    <w:rsid w:val="55A84294"/>
    <w:rsid w:val="55B31E70"/>
    <w:rsid w:val="55B654BC"/>
    <w:rsid w:val="55BB2AD2"/>
    <w:rsid w:val="55BD2CEE"/>
    <w:rsid w:val="55BD4A9D"/>
    <w:rsid w:val="55BF0815"/>
    <w:rsid w:val="55C4407D"/>
    <w:rsid w:val="55C951EF"/>
    <w:rsid w:val="55E71B19"/>
    <w:rsid w:val="55E97640"/>
    <w:rsid w:val="55EB0D1D"/>
    <w:rsid w:val="55F04E72"/>
    <w:rsid w:val="55F14746"/>
    <w:rsid w:val="55F36710"/>
    <w:rsid w:val="55F66200"/>
    <w:rsid w:val="56086042"/>
    <w:rsid w:val="56097CE2"/>
    <w:rsid w:val="56114DE8"/>
    <w:rsid w:val="5613290E"/>
    <w:rsid w:val="561548D9"/>
    <w:rsid w:val="561C5C67"/>
    <w:rsid w:val="561D19DF"/>
    <w:rsid w:val="56210428"/>
    <w:rsid w:val="56220DA3"/>
    <w:rsid w:val="562C39D0"/>
    <w:rsid w:val="562E599A"/>
    <w:rsid w:val="5630526E"/>
    <w:rsid w:val="56332FB1"/>
    <w:rsid w:val="563665FD"/>
    <w:rsid w:val="56372AA1"/>
    <w:rsid w:val="563A433F"/>
    <w:rsid w:val="563C1E65"/>
    <w:rsid w:val="564E3947"/>
    <w:rsid w:val="56513437"/>
    <w:rsid w:val="565847C5"/>
    <w:rsid w:val="566118CC"/>
    <w:rsid w:val="56794E67"/>
    <w:rsid w:val="567C04B4"/>
    <w:rsid w:val="567D7B26"/>
    <w:rsid w:val="567F61F6"/>
    <w:rsid w:val="56815ACA"/>
    <w:rsid w:val="56837A94"/>
    <w:rsid w:val="568455BA"/>
    <w:rsid w:val="56861332"/>
    <w:rsid w:val="568D446F"/>
    <w:rsid w:val="568E6439"/>
    <w:rsid w:val="56982E14"/>
    <w:rsid w:val="56AF0889"/>
    <w:rsid w:val="56C37E91"/>
    <w:rsid w:val="56CD2024"/>
    <w:rsid w:val="56D10FA0"/>
    <w:rsid w:val="56E11ADD"/>
    <w:rsid w:val="56E30533"/>
    <w:rsid w:val="56E44B68"/>
    <w:rsid w:val="56E524FD"/>
    <w:rsid w:val="56E85B49"/>
    <w:rsid w:val="56EC3B91"/>
    <w:rsid w:val="56ED315F"/>
    <w:rsid w:val="56EF512A"/>
    <w:rsid w:val="56FC33A3"/>
    <w:rsid w:val="570566FB"/>
    <w:rsid w:val="57064221"/>
    <w:rsid w:val="57087F99"/>
    <w:rsid w:val="570A3D11"/>
    <w:rsid w:val="570B260D"/>
    <w:rsid w:val="57120E18"/>
    <w:rsid w:val="571903F8"/>
    <w:rsid w:val="571E0182"/>
    <w:rsid w:val="571E5A0F"/>
    <w:rsid w:val="572528F9"/>
    <w:rsid w:val="573174F0"/>
    <w:rsid w:val="57336347"/>
    <w:rsid w:val="573963A5"/>
    <w:rsid w:val="573E7E5F"/>
    <w:rsid w:val="57650F48"/>
    <w:rsid w:val="57715B3F"/>
    <w:rsid w:val="577C44E3"/>
    <w:rsid w:val="57835872"/>
    <w:rsid w:val="57923F4E"/>
    <w:rsid w:val="57A001D2"/>
    <w:rsid w:val="57A557E8"/>
    <w:rsid w:val="57A75A04"/>
    <w:rsid w:val="57AC301B"/>
    <w:rsid w:val="57B123DF"/>
    <w:rsid w:val="57B27F05"/>
    <w:rsid w:val="57B648DD"/>
    <w:rsid w:val="57B830A8"/>
    <w:rsid w:val="57B8376D"/>
    <w:rsid w:val="57C2283E"/>
    <w:rsid w:val="57C87729"/>
    <w:rsid w:val="57D12A81"/>
    <w:rsid w:val="57DA7B88"/>
    <w:rsid w:val="57DB56AE"/>
    <w:rsid w:val="57DB745C"/>
    <w:rsid w:val="57DD1426"/>
    <w:rsid w:val="57E207EA"/>
    <w:rsid w:val="57E36310"/>
    <w:rsid w:val="57EA3B43"/>
    <w:rsid w:val="57EE53E1"/>
    <w:rsid w:val="58005114"/>
    <w:rsid w:val="58020E8D"/>
    <w:rsid w:val="580A2EF6"/>
    <w:rsid w:val="580B6F57"/>
    <w:rsid w:val="580C3AB9"/>
    <w:rsid w:val="581B5AAA"/>
    <w:rsid w:val="58201313"/>
    <w:rsid w:val="58240E03"/>
    <w:rsid w:val="58256929"/>
    <w:rsid w:val="582708F3"/>
    <w:rsid w:val="582C5F09"/>
    <w:rsid w:val="583628E4"/>
    <w:rsid w:val="583B7EFB"/>
    <w:rsid w:val="583C439E"/>
    <w:rsid w:val="58466E37"/>
    <w:rsid w:val="5855720E"/>
    <w:rsid w:val="585A2A77"/>
    <w:rsid w:val="58613E05"/>
    <w:rsid w:val="586B4C84"/>
    <w:rsid w:val="587A6C75"/>
    <w:rsid w:val="589F66DB"/>
    <w:rsid w:val="58A106A5"/>
    <w:rsid w:val="58A638B4"/>
    <w:rsid w:val="58A957AC"/>
    <w:rsid w:val="58AD0DF8"/>
    <w:rsid w:val="58AE4B70"/>
    <w:rsid w:val="58B008E9"/>
    <w:rsid w:val="58B02697"/>
    <w:rsid w:val="58BE3005"/>
    <w:rsid w:val="58BF28DA"/>
    <w:rsid w:val="58C104BC"/>
    <w:rsid w:val="58CA2CAF"/>
    <w:rsid w:val="58CB7388"/>
    <w:rsid w:val="58CE6FC1"/>
    <w:rsid w:val="58D2085F"/>
    <w:rsid w:val="58D520FD"/>
    <w:rsid w:val="58DF2F7C"/>
    <w:rsid w:val="58E3481A"/>
    <w:rsid w:val="58E42340"/>
    <w:rsid w:val="58F20F01"/>
    <w:rsid w:val="58F72073"/>
    <w:rsid w:val="58FD3402"/>
    <w:rsid w:val="59011144"/>
    <w:rsid w:val="590B5B1F"/>
    <w:rsid w:val="59170968"/>
    <w:rsid w:val="59172716"/>
    <w:rsid w:val="591946E0"/>
    <w:rsid w:val="591C5F7E"/>
    <w:rsid w:val="591E1CF6"/>
    <w:rsid w:val="591E5852"/>
    <w:rsid w:val="59232E69"/>
    <w:rsid w:val="592851C9"/>
    <w:rsid w:val="592866D1"/>
    <w:rsid w:val="593D4189"/>
    <w:rsid w:val="594159E5"/>
    <w:rsid w:val="594828CF"/>
    <w:rsid w:val="594C6863"/>
    <w:rsid w:val="594F0101"/>
    <w:rsid w:val="595219A0"/>
    <w:rsid w:val="59590F80"/>
    <w:rsid w:val="597A4D6A"/>
    <w:rsid w:val="597D4C6F"/>
    <w:rsid w:val="597E09E7"/>
    <w:rsid w:val="598633F7"/>
    <w:rsid w:val="5987789B"/>
    <w:rsid w:val="59945B14"/>
    <w:rsid w:val="59965D30"/>
    <w:rsid w:val="59967ADE"/>
    <w:rsid w:val="599975CF"/>
    <w:rsid w:val="599B3347"/>
    <w:rsid w:val="599E4BE5"/>
    <w:rsid w:val="59A60C8F"/>
    <w:rsid w:val="59AA5338"/>
    <w:rsid w:val="59AC10B0"/>
    <w:rsid w:val="59C208D3"/>
    <w:rsid w:val="59C94DFC"/>
    <w:rsid w:val="59CA3C2C"/>
    <w:rsid w:val="59CF2FF0"/>
    <w:rsid w:val="59DB1995"/>
    <w:rsid w:val="59DD570D"/>
    <w:rsid w:val="59E545C2"/>
    <w:rsid w:val="59EC5950"/>
    <w:rsid w:val="59F9006D"/>
    <w:rsid w:val="5A046715"/>
    <w:rsid w:val="5A105AE3"/>
    <w:rsid w:val="5A105BA2"/>
    <w:rsid w:val="5A132EDD"/>
    <w:rsid w:val="5A1924BD"/>
    <w:rsid w:val="5A1F5D26"/>
    <w:rsid w:val="5A296BA4"/>
    <w:rsid w:val="5A2E7D17"/>
    <w:rsid w:val="5A2F1CE1"/>
    <w:rsid w:val="5A3410A5"/>
    <w:rsid w:val="5A355549"/>
    <w:rsid w:val="5A464D57"/>
    <w:rsid w:val="5A6333C7"/>
    <w:rsid w:val="5A647BDD"/>
    <w:rsid w:val="5A6A4AC7"/>
    <w:rsid w:val="5A715E56"/>
    <w:rsid w:val="5A753B98"/>
    <w:rsid w:val="5A767910"/>
    <w:rsid w:val="5A7F0572"/>
    <w:rsid w:val="5A7F67C4"/>
    <w:rsid w:val="5A897643"/>
    <w:rsid w:val="5A8B5169"/>
    <w:rsid w:val="5A8E4C59"/>
    <w:rsid w:val="5A90452E"/>
    <w:rsid w:val="5A955FE8"/>
    <w:rsid w:val="5A9C7376"/>
    <w:rsid w:val="5A9E71A5"/>
    <w:rsid w:val="5AA1498D"/>
    <w:rsid w:val="5AA1673B"/>
    <w:rsid w:val="5AA63D51"/>
    <w:rsid w:val="5AAC3332"/>
    <w:rsid w:val="5ABA5A4E"/>
    <w:rsid w:val="5AC02939"/>
    <w:rsid w:val="5AC24903"/>
    <w:rsid w:val="5AC71F19"/>
    <w:rsid w:val="5AC95C92"/>
    <w:rsid w:val="5ACD5782"/>
    <w:rsid w:val="5AD22D98"/>
    <w:rsid w:val="5ADD173D"/>
    <w:rsid w:val="5ADF3707"/>
    <w:rsid w:val="5AE1122D"/>
    <w:rsid w:val="5AE900E2"/>
    <w:rsid w:val="5AEB1E12"/>
    <w:rsid w:val="5AF0321E"/>
    <w:rsid w:val="5AF820D3"/>
    <w:rsid w:val="5B092532"/>
    <w:rsid w:val="5B0D3DD0"/>
    <w:rsid w:val="5B0F5D9A"/>
    <w:rsid w:val="5B13515F"/>
    <w:rsid w:val="5B157129"/>
    <w:rsid w:val="5B2353A2"/>
    <w:rsid w:val="5B314042"/>
    <w:rsid w:val="5B33135D"/>
    <w:rsid w:val="5B3550D5"/>
    <w:rsid w:val="5B3C46B5"/>
    <w:rsid w:val="5B413A7A"/>
    <w:rsid w:val="5B4506D2"/>
    <w:rsid w:val="5B5C08B4"/>
    <w:rsid w:val="5B6055BF"/>
    <w:rsid w:val="5B6A2FD1"/>
    <w:rsid w:val="5B6F05E7"/>
    <w:rsid w:val="5B751975"/>
    <w:rsid w:val="5B7D706E"/>
    <w:rsid w:val="5B7F45A2"/>
    <w:rsid w:val="5B8147BE"/>
    <w:rsid w:val="5B835E40"/>
    <w:rsid w:val="5B8D3163"/>
    <w:rsid w:val="5B8D4F11"/>
    <w:rsid w:val="5B8F2A37"/>
    <w:rsid w:val="5B9242D5"/>
    <w:rsid w:val="5B94004E"/>
    <w:rsid w:val="5B991B08"/>
    <w:rsid w:val="5BA02E96"/>
    <w:rsid w:val="5BA504AD"/>
    <w:rsid w:val="5BA52FC9"/>
    <w:rsid w:val="5BA67D81"/>
    <w:rsid w:val="5BA83AF9"/>
    <w:rsid w:val="5BAC35E9"/>
    <w:rsid w:val="5BAD110F"/>
    <w:rsid w:val="5BB16E51"/>
    <w:rsid w:val="5BB26726"/>
    <w:rsid w:val="5BB57FC4"/>
    <w:rsid w:val="5BB66216"/>
    <w:rsid w:val="5BB73D3C"/>
    <w:rsid w:val="5BC56459"/>
    <w:rsid w:val="5BD91F04"/>
    <w:rsid w:val="5BD963A8"/>
    <w:rsid w:val="5BDB5C7C"/>
    <w:rsid w:val="5BE10DB9"/>
    <w:rsid w:val="5BE34B31"/>
    <w:rsid w:val="5BEB53B8"/>
    <w:rsid w:val="5BF136F2"/>
    <w:rsid w:val="5BF60D08"/>
    <w:rsid w:val="5BFD2097"/>
    <w:rsid w:val="5C013209"/>
    <w:rsid w:val="5C050F4B"/>
    <w:rsid w:val="5C084598"/>
    <w:rsid w:val="5C0A0310"/>
    <w:rsid w:val="5C0A47B4"/>
    <w:rsid w:val="5C1D6157"/>
    <w:rsid w:val="5C221AFD"/>
    <w:rsid w:val="5C367357"/>
    <w:rsid w:val="5C3929A3"/>
    <w:rsid w:val="5C4557EC"/>
    <w:rsid w:val="5C484D92"/>
    <w:rsid w:val="5C49708A"/>
    <w:rsid w:val="5C4E28F2"/>
    <w:rsid w:val="5C5123E2"/>
    <w:rsid w:val="5C5B6DBD"/>
    <w:rsid w:val="5C5D2B35"/>
    <w:rsid w:val="5C5D48E3"/>
    <w:rsid w:val="5C6914DA"/>
    <w:rsid w:val="5C6A0DAE"/>
    <w:rsid w:val="5C6A7000"/>
    <w:rsid w:val="5C706554"/>
    <w:rsid w:val="5C734107"/>
    <w:rsid w:val="5C7D4F86"/>
    <w:rsid w:val="5C82434A"/>
    <w:rsid w:val="5C853E3A"/>
    <w:rsid w:val="5C8648E5"/>
    <w:rsid w:val="5C910A31"/>
    <w:rsid w:val="5C961BA3"/>
    <w:rsid w:val="5C9B540C"/>
    <w:rsid w:val="5CAC7619"/>
    <w:rsid w:val="5CAE15E3"/>
    <w:rsid w:val="5CAE513F"/>
    <w:rsid w:val="5CB309A7"/>
    <w:rsid w:val="5CB73713"/>
    <w:rsid w:val="5CC11316"/>
    <w:rsid w:val="5CCB5CF1"/>
    <w:rsid w:val="5CCE758F"/>
    <w:rsid w:val="5CD5091E"/>
    <w:rsid w:val="5CDB1940"/>
    <w:rsid w:val="5CE15514"/>
    <w:rsid w:val="5CE43E71"/>
    <w:rsid w:val="5CE45005"/>
    <w:rsid w:val="5CEC5C67"/>
    <w:rsid w:val="5CF35248"/>
    <w:rsid w:val="5CF36FF6"/>
    <w:rsid w:val="5CF80AB0"/>
    <w:rsid w:val="5CFF599B"/>
    <w:rsid w:val="5D041203"/>
    <w:rsid w:val="5D041868"/>
    <w:rsid w:val="5D0E3E30"/>
    <w:rsid w:val="5D131446"/>
    <w:rsid w:val="5D1458EA"/>
    <w:rsid w:val="5D1C479E"/>
    <w:rsid w:val="5D216619"/>
    <w:rsid w:val="5D235B2D"/>
    <w:rsid w:val="5D290C69"/>
    <w:rsid w:val="5D2B2C34"/>
    <w:rsid w:val="5D301FF8"/>
    <w:rsid w:val="5D375134"/>
    <w:rsid w:val="5D3970FE"/>
    <w:rsid w:val="5D3E2967"/>
    <w:rsid w:val="5D4E247E"/>
    <w:rsid w:val="5D537A94"/>
    <w:rsid w:val="5D59154F"/>
    <w:rsid w:val="5D5A52C7"/>
    <w:rsid w:val="5D616655"/>
    <w:rsid w:val="5D6323CD"/>
    <w:rsid w:val="5D72616D"/>
    <w:rsid w:val="5D76203C"/>
    <w:rsid w:val="5D7874FB"/>
    <w:rsid w:val="5D79399F"/>
    <w:rsid w:val="5DA402F0"/>
    <w:rsid w:val="5DA622BA"/>
    <w:rsid w:val="5DAD189A"/>
    <w:rsid w:val="5DAF5613"/>
    <w:rsid w:val="5DBB5D65"/>
    <w:rsid w:val="5DBF512A"/>
    <w:rsid w:val="5DC15346"/>
    <w:rsid w:val="5DC6470A"/>
    <w:rsid w:val="5DCA5FA9"/>
    <w:rsid w:val="5DCF1811"/>
    <w:rsid w:val="5DCF5051"/>
    <w:rsid w:val="5DD07337"/>
    <w:rsid w:val="5DD46E27"/>
    <w:rsid w:val="5DD76917"/>
    <w:rsid w:val="5DD961EC"/>
    <w:rsid w:val="5DDB6408"/>
    <w:rsid w:val="5DDC5CDC"/>
    <w:rsid w:val="5DE3706A"/>
    <w:rsid w:val="5DE66B5A"/>
    <w:rsid w:val="5DE743B5"/>
    <w:rsid w:val="5DEB4C7D"/>
    <w:rsid w:val="5DF272AD"/>
    <w:rsid w:val="5DF66D9E"/>
    <w:rsid w:val="5DF9063C"/>
    <w:rsid w:val="5DFC6C0D"/>
    <w:rsid w:val="5DFD7984"/>
    <w:rsid w:val="5DFE3EA4"/>
    <w:rsid w:val="5E015742"/>
    <w:rsid w:val="5E062D59"/>
    <w:rsid w:val="5E08123C"/>
    <w:rsid w:val="5E082F75"/>
    <w:rsid w:val="5E0F7E5F"/>
    <w:rsid w:val="5E1D07CE"/>
    <w:rsid w:val="5E231B5D"/>
    <w:rsid w:val="5E31427A"/>
    <w:rsid w:val="5E457D25"/>
    <w:rsid w:val="5E4775F9"/>
    <w:rsid w:val="5E4D0988"/>
    <w:rsid w:val="5E577C9D"/>
    <w:rsid w:val="5E6A32E8"/>
    <w:rsid w:val="5E710B1A"/>
    <w:rsid w:val="5E7303EE"/>
    <w:rsid w:val="5E7423B8"/>
    <w:rsid w:val="5E745F14"/>
    <w:rsid w:val="5E785A05"/>
    <w:rsid w:val="5E7B72A3"/>
    <w:rsid w:val="5E800D5D"/>
    <w:rsid w:val="5E954808"/>
    <w:rsid w:val="5E9A1E1F"/>
    <w:rsid w:val="5E9B7945"/>
    <w:rsid w:val="5EAC1B52"/>
    <w:rsid w:val="5EAC56AE"/>
    <w:rsid w:val="5EB50A07"/>
    <w:rsid w:val="5EB56C59"/>
    <w:rsid w:val="5EB6652D"/>
    <w:rsid w:val="5EB97DCB"/>
    <w:rsid w:val="5EBD5B0D"/>
    <w:rsid w:val="5EC0115A"/>
    <w:rsid w:val="5ECE7D1A"/>
    <w:rsid w:val="5EDB41E5"/>
    <w:rsid w:val="5EDF3D92"/>
    <w:rsid w:val="5EEB4428"/>
    <w:rsid w:val="5EF01A3F"/>
    <w:rsid w:val="5EF05EE3"/>
    <w:rsid w:val="5EFA466C"/>
    <w:rsid w:val="5F0C25F1"/>
    <w:rsid w:val="5F0E0117"/>
    <w:rsid w:val="5F1D47FE"/>
    <w:rsid w:val="5F221E14"/>
    <w:rsid w:val="5F225970"/>
    <w:rsid w:val="5F3062DF"/>
    <w:rsid w:val="5F313E05"/>
    <w:rsid w:val="5F322057"/>
    <w:rsid w:val="5F37766E"/>
    <w:rsid w:val="5F3B6A32"/>
    <w:rsid w:val="5F3E6C4E"/>
    <w:rsid w:val="5F426012"/>
    <w:rsid w:val="5F487ACD"/>
    <w:rsid w:val="5F50072F"/>
    <w:rsid w:val="5F5101AF"/>
    <w:rsid w:val="5F511076"/>
    <w:rsid w:val="5F5226F9"/>
    <w:rsid w:val="5F5521EA"/>
    <w:rsid w:val="5F555D46"/>
    <w:rsid w:val="5F5A15AE"/>
    <w:rsid w:val="5F5A335C"/>
    <w:rsid w:val="5F5A7800"/>
    <w:rsid w:val="5F73441E"/>
    <w:rsid w:val="5F7408C2"/>
    <w:rsid w:val="5F773F0E"/>
    <w:rsid w:val="5F7965A2"/>
    <w:rsid w:val="5F7A57AC"/>
    <w:rsid w:val="5F7C32D2"/>
    <w:rsid w:val="5F7E529D"/>
    <w:rsid w:val="5F805584"/>
    <w:rsid w:val="5F816B3B"/>
    <w:rsid w:val="5F903222"/>
    <w:rsid w:val="5F93061C"/>
    <w:rsid w:val="5F9920D6"/>
    <w:rsid w:val="5F993E84"/>
    <w:rsid w:val="5F9C1BC7"/>
    <w:rsid w:val="5F9C3975"/>
    <w:rsid w:val="5FA32F55"/>
    <w:rsid w:val="5FA40A7B"/>
    <w:rsid w:val="5FA62A45"/>
    <w:rsid w:val="5FA647F3"/>
    <w:rsid w:val="5FB133A6"/>
    <w:rsid w:val="5FB46F10"/>
    <w:rsid w:val="5FB52C88"/>
    <w:rsid w:val="5FB567E4"/>
    <w:rsid w:val="5FB94527"/>
    <w:rsid w:val="5FC058B5"/>
    <w:rsid w:val="5FC1162D"/>
    <w:rsid w:val="5FC15189"/>
    <w:rsid w:val="5FC30F01"/>
    <w:rsid w:val="5FCB425A"/>
    <w:rsid w:val="5FCB7B2A"/>
    <w:rsid w:val="5FCD7FD2"/>
    <w:rsid w:val="5FCF132F"/>
    <w:rsid w:val="5FD255E8"/>
    <w:rsid w:val="5FDF3861"/>
    <w:rsid w:val="5FF67529"/>
    <w:rsid w:val="6017124D"/>
    <w:rsid w:val="601F3433"/>
    <w:rsid w:val="60210924"/>
    <w:rsid w:val="602C4CF9"/>
    <w:rsid w:val="602F2A3B"/>
    <w:rsid w:val="602F47E9"/>
    <w:rsid w:val="60326087"/>
    <w:rsid w:val="60365B77"/>
    <w:rsid w:val="6042451C"/>
    <w:rsid w:val="60432042"/>
    <w:rsid w:val="605B3830"/>
    <w:rsid w:val="605B738C"/>
    <w:rsid w:val="60681AA9"/>
    <w:rsid w:val="6068584F"/>
    <w:rsid w:val="607641C6"/>
    <w:rsid w:val="607B17DC"/>
    <w:rsid w:val="607B3777"/>
    <w:rsid w:val="607D37A6"/>
    <w:rsid w:val="608368E3"/>
    <w:rsid w:val="60917251"/>
    <w:rsid w:val="6094289E"/>
    <w:rsid w:val="609A4358"/>
    <w:rsid w:val="60A01243"/>
    <w:rsid w:val="60B371C8"/>
    <w:rsid w:val="60BD0047"/>
    <w:rsid w:val="60BD3BA3"/>
    <w:rsid w:val="60C00BD4"/>
    <w:rsid w:val="60C413D5"/>
    <w:rsid w:val="60C5514D"/>
    <w:rsid w:val="60C82547"/>
    <w:rsid w:val="60C969EB"/>
    <w:rsid w:val="60D07D7A"/>
    <w:rsid w:val="60DF1D6B"/>
    <w:rsid w:val="60EF5D26"/>
    <w:rsid w:val="60F35816"/>
    <w:rsid w:val="60F82E2D"/>
    <w:rsid w:val="60FA4DF7"/>
    <w:rsid w:val="610417D1"/>
    <w:rsid w:val="6109503A"/>
    <w:rsid w:val="61103ECC"/>
    <w:rsid w:val="61120392"/>
    <w:rsid w:val="61135EB8"/>
    <w:rsid w:val="61204131"/>
    <w:rsid w:val="6126423F"/>
    <w:rsid w:val="612756CF"/>
    <w:rsid w:val="61291238"/>
    <w:rsid w:val="612C0D28"/>
    <w:rsid w:val="612E684E"/>
    <w:rsid w:val="61333E65"/>
    <w:rsid w:val="61357BDD"/>
    <w:rsid w:val="613A51F3"/>
    <w:rsid w:val="613D2F35"/>
    <w:rsid w:val="613F0A5C"/>
    <w:rsid w:val="61444A27"/>
    <w:rsid w:val="61614E76"/>
    <w:rsid w:val="6162299C"/>
    <w:rsid w:val="61642270"/>
    <w:rsid w:val="6171498D"/>
    <w:rsid w:val="617C3A5E"/>
    <w:rsid w:val="617D1584"/>
    <w:rsid w:val="617D3332"/>
    <w:rsid w:val="617F52FC"/>
    <w:rsid w:val="6183303E"/>
    <w:rsid w:val="61842912"/>
    <w:rsid w:val="61A14183"/>
    <w:rsid w:val="61AD1E69"/>
    <w:rsid w:val="61AF3E33"/>
    <w:rsid w:val="61B256D1"/>
    <w:rsid w:val="61B41449"/>
    <w:rsid w:val="61B74A96"/>
    <w:rsid w:val="61C3343B"/>
    <w:rsid w:val="61CD42B9"/>
    <w:rsid w:val="61DB4C28"/>
    <w:rsid w:val="61DC2DC0"/>
    <w:rsid w:val="61E3588B"/>
    <w:rsid w:val="61EA4E6B"/>
    <w:rsid w:val="61EA6C19"/>
    <w:rsid w:val="61ED04B8"/>
    <w:rsid w:val="61EF2482"/>
    <w:rsid w:val="61F061FA"/>
    <w:rsid w:val="61F96E5C"/>
    <w:rsid w:val="61FC694D"/>
    <w:rsid w:val="61FE26C5"/>
    <w:rsid w:val="61FE6B56"/>
    <w:rsid w:val="62035F2D"/>
    <w:rsid w:val="62061579"/>
    <w:rsid w:val="621243C2"/>
    <w:rsid w:val="62141EE8"/>
    <w:rsid w:val="621E2D67"/>
    <w:rsid w:val="621E68C3"/>
    <w:rsid w:val="6223037D"/>
    <w:rsid w:val="62257C51"/>
    <w:rsid w:val="62285994"/>
    <w:rsid w:val="623205C0"/>
    <w:rsid w:val="62375BD7"/>
    <w:rsid w:val="624707C3"/>
    <w:rsid w:val="62481B92"/>
    <w:rsid w:val="624A590A"/>
    <w:rsid w:val="624B3430"/>
    <w:rsid w:val="624D71A8"/>
    <w:rsid w:val="62500A46"/>
    <w:rsid w:val="62522A10"/>
    <w:rsid w:val="62570027"/>
    <w:rsid w:val="62593D9F"/>
    <w:rsid w:val="62612C54"/>
    <w:rsid w:val="626764BC"/>
    <w:rsid w:val="626F6A50"/>
    <w:rsid w:val="627209BD"/>
    <w:rsid w:val="627D5CDF"/>
    <w:rsid w:val="627E3805"/>
    <w:rsid w:val="628506F0"/>
    <w:rsid w:val="6292105F"/>
    <w:rsid w:val="629372B1"/>
    <w:rsid w:val="62943029"/>
    <w:rsid w:val="629923ED"/>
    <w:rsid w:val="629D0130"/>
    <w:rsid w:val="62A25746"/>
    <w:rsid w:val="62A414BE"/>
    <w:rsid w:val="62B07FC8"/>
    <w:rsid w:val="62B17737"/>
    <w:rsid w:val="62C236F2"/>
    <w:rsid w:val="62C531E2"/>
    <w:rsid w:val="62CA25A7"/>
    <w:rsid w:val="62CF7BBD"/>
    <w:rsid w:val="62D66B7D"/>
    <w:rsid w:val="62E25F6A"/>
    <w:rsid w:val="62EA0E9B"/>
    <w:rsid w:val="62EC69C1"/>
    <w:rsid w:val="62EE098B"/>
    <w:rsid w:val="62F31AFE"/>
    <w:rsid w:val="62F5544C"/>
    <w:rsid w:val="62F92E8C"/>
    <w:rsid w:val="630006BE"/>
    <w:rsid w:val="6300246C"/>
    <w:rsid w:val="630737FB"/>
    <w:rsid w:val="630A5099"/>
    <w:rsid w:val="63116428"/>
    <w:rsid w:val="63133F4E"/>
    <w:rsid w:val="63161C90"/>
    <w:rsid w:val="63163A3E"/>
    <w:rsid w:val="631A352E"/>
    <w:rsid w:val="632048BD"/>
    <w:rsid w:val="632717A7"/>
    <w:rsid w:val="632C5010"/>
    <w:rsid w:val="63365E8E"/>
    <w:rsid w:val="633839B4"/>
    <w:rsid w:val="634451CA"/>
    <w:rsid w:val="634560D1"/>
    <w:rsid w:val="63464323"/>
    <w:rsid w:val="634C56B2"/>
    <w:rsid w:val="634E4F86"/>
    <w:rsid w:val="63585E05"/>
    <w:rsid w:val="635A392B"/>
    <w:rsid w:val="635A7DCF"/>
    <w:rsid w:val="63626C83"/>
    <w:rsid w:val="636B3D8A"/>
    <w:rsid w:val="636E5628"/>
    <w:rsid w:val="637569B7"/>
    <w:rsid w:val="637864A7"/>
    <w:rsid w:val="63871C62"/>
    <w:rsid w:val="63894210"/>
    <w:rsid w:val="63974B7F"/>
    <w:rsid w:val="639826A5"/>
    <w:rsid w:val="639A01CB"/>
    <w:rsid w:val="639F1128"/>
    <w:rsid w:val="63A159FD"/>
    <w:rsid w:val="63A4729C"/>
    <w:rsid w:val="63A64DC2"/>
    <w:rsid w:val="63A66B70"/>
    <w:rsid w:val="63A948B2"/>
    <w:rsid w:val="63B868A3"/>
    <w:rsid w:val="63BE035D"/>
    <w:rsid w:val="63C35974"/>
    <w:rsid w:val="63D336DD"/>
    <w:rsid w:val="63D538F9"/>
    <w:rsid w:val="63D54187"/>
    <w:rsid w:val="63DB788B"/>
    <w:rsid w:val="63DD455C"/>
    <w:rsid w:val="63EB0A27"/>
    <w:rsid w:val="63ED29F1"/>
    <w:rsid w:val="63EE6769"/>
    <w:rsid w:val="63F21DB5"/>
    <w:rsid w:val="63F518A5"/>
    <w:rsid w:val="63FC080B"/>
    <w:rsid w:val="64041AE8"/>
    <w:rsid w:val="640970FF"/>
    <w:rsid w:val="640B731B"/>
    <w:rsid w:val="640D4E41"/>
    <w:rsid w:val="64153CF6"/>
    <w:rsid w:val="64175CC0"/>
    <w:rsid w:val="641A130C"/>
    <w:rsid w:val="641C5084"/>
    <w:rsid w:val="641E2BAA"/>
    <w:rsid w:val="64236413"/>
    <w:rsid w:val="642F125B"/>
    <w:rsid w:val="643248A8"/>
    <w:rsid w:val="64326656"/>
    <w:rsid w:val="64356146"/>
    <w:rsid w:val="64357EF4"/>
    <w:rsid w:val="64405216"/>
    <w:rsid w:val="644B7717"/>
    <w:rsid w:val="64591E34"/>
    <w:rsid w:val="645C1924"/>
    <w:rsid w:val="645E744B"/>
    <w:rsid w:val="646D58E0"/>
    <w:rsid w:val="646E3234"/>
    <w:rsid w:val="6477050C"/>
    <w:rsid w:val="647B7539"/>
    <w:rsid w:val="647E189B"/>
    <w:rsid w:val="64833355"/>
    <w:rsid w:val="64906A4A"/>
    <w:rsid w:val="64A55079"/>
    <w:rsid w:val="64A82DBC"/>
    <w:rsid w:val="64AF7CA6"/>
    <w:rsid w:val="64B67287"/>
    <w:rsid w:val="64BD0615"/>
    <w:rsid w:val="64C044A1"/>
    <w:rsid w:val="64CC6AAA"/>
    <w:rsid w:val="64D911C7"/>
    <w:rsid w:val="64E5191A"/>
    <w:rsid w:val="64EA33D4"/>
    <w:rsid w:val="64F16511"/>
    <w:rsid w:val="64F41B5D"/>
    <w:rsid w:val="65037FF2"/>
    <w:rsid w:val="6509385A"/>
    <w:rsid w:val="65116479"/>
    <w:rsid w:val="65181CEF"/>
    <w:rsid w:val="65222B6E"/>
    <w:rsid w:val="6522491C"/>
    <w:rsid w:val="65271F32"/>
    <w:rsid w:val="6529060A"/>
    <w:rsid w:val="65297A59"/>
    <w:rsid w:val="65424FBE"/>
    <w:rsid w:val="654900FB"/>
    <w:rsid w:val="654E3963"/>
    <w:rsid w:val="654E5711"/>
    <w:rsid w:val="65504EF6"/>
    <w:rsid w:val="65516FAF"/>
    <w:rsid w:val="655A40B6"/>
    <w:rsid w:val="6569254B"/>
    <w:rsid w:val="656C203B"/>
    <w:rsid w:val="656C2F8E"/>
    <w:rsid w:val="65717652"/>
    <w:rsid w:val="65735178"/>
    <w:rsid w:val="65766A16"/>
    <w:rsid w:val="657A02B4"/>
    <w:rsid w:val="657D5FF6"/>
    <w:rsid w:val="65801643"/>
    <w:rsid w:val="65841133"/>
    <w:rsid w:val="65856C59"/>
    <w:rsid w:val="658B0713"/>
    <w:rsid w:val="65A2780B"/>
    <w:rsid w:val="65AA5B01"/>
    <w:rsid w:val="65AE5912"/>
    <w:rsid w:val="65AE61B0"/>
    <w:rsid w:val="65B04D72"/>
    <w:rsid w:val="65B732B6"/>
    <w:rsid w:val="65B8702E"/>
    <w:rsid w:val="65C4403D"/>
    <w:rsid w:val="65C459D3"/>
    <w:rsid w:val="65C634F9"/>
    <w:rsid w:val="65F30067"/>
    <w:rsid w:val="65FA31A3"/>
    <w:rsid w:val="660202AA"/>
    <w:rsid w:val="660F30F2"/>
    <w:rsid w:val="66106E6A"/>
    <w:rsid w:val="66134265"/>
    <w:rsid w:val="661E0743"/>
    <w:rsid w:val="66293A88"/>
    <w:rsid w:val="6632293D"/>
    <w:rsid w:val="663366B5"/>
    <w:rsid w:val="663F505A"/>
    <w:rsid w:val="66482160"/>
    <w:rsid w:val="664D3C1B"/>
    <w:rsid w:val="66522FDF"/>
    <w:rsid w:val="66524D8D"/>
    <w:rsid w:val="665E7BD6"/>
    <w:rsid w:val="666B22F3"/>
    <w:rsid w:val="667B0788"/>
    <w:rsid w:val="667E5B82"/>
    <w:rsid w:val="668F7D8F"/>
    <w:rsid w:val="66911D59"/>
    <w:rsid w:val="669435F8"/>
    <w:rsid w:val="669C425A"/>
    <w:rsid w:val="66A15D14"/>
    <w:rsid w:val="66A23F66"/>
    <w:rsid w:val="66A31A8D"/>
    <w:rsid w:val="66AB26EF"/>
    <w:rsid w:val="66B23A7E"/>
    <w:rsid w:val="66B45A48"/>
    <w:rsid w:val="66BE7A81"/>
    <w:rsid w:val="66C20165"/>
    <w:rsid w:val="66C51A03"/>
    <w:rsid w:val="66CD6B09"/>
    <w:rsid w:val="66CF4630"/>
    <w:rsid w:val="66D147B6"/>
    <w:rsid w:val="66D9725C"/>
    <w:rsid w:val="66DB2FD4"/>
    <w:rsid w:val="66E300DB"/>
    <w:rsid w:val="66E55C01"/>
    <w:rsid w:val="66E71979"/>
    <w:rsid w:val="66EC3434"/>
    <w:rsid w:val="66F66060"/>
    <w:rsid w:val="67023B41"/>
    <w:rsid w:val="67065B78"/>
    <w:rsid w:val="67073DC9"/>
    <w:rsid w:val="67077707"/>
    <w:rsid w:val="67114C48"/>
    <w:rsid w:val="6712276E"/>
    <w:rsid w:val="671309C0"/>
    <w:rsid w:val="67144738"/>
    <w:rsid w:val="67193AFD"/>
    <w:rsid w:val="671F55B7"/>
    <w:rsid w:val="67246C2F"/>
    <w:rsid w:val="672524A2"/>
    <w:rsid w:val="6727446C"/>
    <w:rsid w:val="672A7AB8"/>
    <w:rsid w:val="672C3830"/>
    <w:rsid w:val="67310E46"/>
    <w:rsid w:val="67332E10"/>
    <w:rsid w:val="673646AF"/>
    <w:rsid w:val="67450B39"/>
    <w:rsid w:val="674548F2"/>
    <w:rsid w:val="674E19F8"/>
    <w:rsid w:val="675114E9"/>
    <w:rsid w:val="67544B35"/>
    <w:rsid w:val="67564D51"/>
    <w:rsid w:val="675E59B4"/>
    <w:rsid w:val="676236F6"/>
    <w:rsid w:val="677D408C"/>
    <w:rsid w:val="677F6056"/>
    <w:rsid w:val="6780592A"/>
    <w:rsid w:val="6793565D"/>
    <w:rsid w:val="67957627"/>
    <w:rsid w:val="679F4002"/>
    <w:rsid w:val="67AC2BC3"/>
    <w:rsid w:val="67B9006A"/>
    <w:rsid w:val="67BF28F6"/>
    <w:rsid w:val="67C41CBB"/>
    <w:rsid w:val="67DB0DB2"/>
    <w:rsid w:val="67E73BFB"/>
    <w:rsid w:val="67ED1F29"/>
    <w:rsid w:val="67F24A7A"/>
    <w:rsid w:val="67FC1454"/>
    <w:rsid w:val="67FD51CC"/>
    <w:rsid w:val="680227E3"/>
    <w:rsid w:val="68033D88"/>
    <w:rsid w:val="680C5410"/>
    <w:rsid w:val="680F19A3"/>
    <w:rsid w:val="681744E0"/>
    <w:rsid w:val="681C38A5"/>
    <w:rsid w:val="682F784C"/>
    <w:rsid w:val="683C5CF5"/>
    <w:rsid w:val="68437083"/>
    <w:rsid w:val="684921C0"/>
    <w:rsid w:val="68686AEA"/>
    <w:rsid w:val="687473C6"/>
    <w:rsid w:val="68790CF7"/>
    <w:rsid w:val="687C07E7"/>
    <w:rsid w:val="688558EE"/>
    <w:rsid w:val="68866F70"/>
    <w:rsid w:val="688E4077"/>
    <w:rsid w:val="68953657"/>
    <w:rsid w:val="689B6EBF"/>
    <w:rsid w:val="689C6793"/>
    <w:rsid w:val="68A8338A"/>
    <w:rsid w:val="68AA5354"/>
    <w:rsid w:val="68AB2E7A"/>
    <w:rsid w:val="68AB4C28"/>
    <w:rsid w:val="68AD09A1"/>
    <w:rsid w:val="68AF64C7"/>
    <w:rsid w:val="68B00491"/>
    <w:rsid w:val="68B47F81"/>
    <w:rsid w:val="68B7537B"/>
    <w:rsid w:val="68B910F3"/>
    <w:rsid w:val="68BC0BE4"/>
    <w:rsid w:val="68C51829"/>
    <w:rsid w:val="68C77CB4"/>
    <w:rsid w:val="68CB7079"/>
    <w:rsid w:val="68D4417F"/>
    <w:rsid w:val="68D93544"/>
    <w:rsid w:val="68DE0B5A"/>
    <w:rsid w:val="68E24AEE"/>
    <w:rsid w:val="68E72104"/>
    <w:rsid w:val="68FB170C"/>
    <w:rsid w:val="68FC7232"/>
    <w:rsid w:val="68FE11FC"/>
    <w:rsid w:val="69117181"/>
    <w:rsid w:val="69126A56"/>
    <w:rsid w:val="691C1682"/>
    <w:rsid w:val="692C7B17"/>
    <w:rsid w:val="6933534A"/>
    <w:rsid w:val="69362744"/>
    <w:rsid w:val="69370C36"/>
    <w:rsid w:val="6942733B"/>
    <w:rsid w:val="69450BD9"/>
    <w:rsid w:val="69472BA3"/>
    <w:rsid w:val="694806C9"/>
    <w:rsid w:val="694A5C72"/>
    <w:rsid w:val="694C01BA"/>
    <w:rsid w:val="694F1A58"/>
    <w:rsid w:val="69670B4F"/>
    <w:rsid w:val="696F3EA8"/>
    <w:rsid w:val="69731BEA"/>
    <w:rsid w:val="69766FE4"/>
    <w:rsid w:val="697E40EB"/>
    <w:rsid w:val="697F058F"/>
    <w:rsid w:val="69823BDB"/>
    <w:rsid w:val="698520BF"/>
    <w:rsid w:val="698711F2"/>
    <w:rsid w:val="698931BC"/>
    <w:rsid w:val="698A2A90"/>
    <w:rsid w:val="698C6808"/>
    <w:rsid w:val="69931944"/>
    <w:rsid w:val="69937B96"/>
    <w:rsid w:val="699D27C3"/>
    <w:rsid w:val="69A022B3"/>
    <w:rsid w:val="69A41DA4"/>
    <w:rsid w:val="69A47FF6"/>
    <w:rsid w:val="69AB1384"/>
    <w:rsid w:val="69AE2C22"/>
    <w:rsid w:val="69AE677E"/>
    <w:rsid w:val="69BF098B"/>
    <w:rsid w:val="69CC30A8"/>
    <w:rsid w:val="69D63F27"/>
    <w:rsid w:val="69D65CD5"/>
    <w:rsid w:val="69EB1780"/>
    <w:rsid w:val="69EB79D2"/>
    <w:rsid w:val="69F543AD"/>
    <w:rsid w:val="69FA7C16"/>
    <w:rsid w:val="6A010FA4"/>
    <w:rsid w:val="6A0D5B9B"/>
    <w:rsid w:val="6A130CD7"/>
    <w:rsid w:val="6A132A85"/>
    <w:rsid w:val="6A136F29"/>
    <w:rsid w:val="6A1A3E14"/>
    <w:rsid w:val="6A1D56B2"/>
    <w:rsid w:val="6A1F142A"/>
    <w:rsid w:val="6A276531"/>
    <w:rsid w:val="6A2904FB"/>
    <w:rsid w:val="6A470981"/>
    <w:rsid w:val="6A535578"/>
    <w:rsid w:val="6A5D01A4"/>
    <w:rsid w:val="6A641533"/>
    <w:rsid w:val="6A6652AB"/>
    <w:rsid w:val="6A682DD1"/>
    <w:rsid w:val="6A794FDE"/>
    <w:rsid w:val="6A7B0ECB"/>
    <w:rsid w:val="6A7F1072"/>
    <w:rsid w:val="6A7F636D"/>
    <w:rsid w:val="6A803538"/>
    <w:rsid w:val="6A841BD5"/>
    <w:rsid w:val="6A8857BB"/>
    <w:rsid w:val="6A9516EC"/>
    <w:rsid w:val="6A955B90"/>
    <w:rsid w:val="6A9A4F55"/>
    <w:rsid w:val="6AA10091"/>
    <w:rsid w:val="6AA45DD3"/>
    <w:rsid w:val="6AAD4C6B"/>
    <w:rsid w:val="6AAD4C88"/>
    <w:rsid w:val="6AB029CA"/>
    <w:rsid w:val="6AB75B07"/>
    <w:rsid w:val="6AC36259"/>
    <w:rsid w:val="6AD62431"/>
    <w:rsid w:val="6AD93CCF"/>
    <w:rsid w:val="6ADB75C4"/>
    <w:rsid w:val="6AE12B83"/>
    <w:rsid w:val="6B00125C"/>
    <w:rsid w:val="6B030D4C"/>
    <w:rsid w:val="6B064398"/>
    <w:rsid w:val="6B0D193D"/>
    <w:rsid w:val="6B1116BB"/>
    <w:rsid w:val="6B1271E1"/>
    <w:rsid w:val="6B1765A5"/>
    <w:rsid w:val="6B250CC2"/>
    <w:rsid w:val="6B272C8C"/>
    <w:rsid w:val="6B2C02A3"/>
    <w:rsid w:val="6B2D781F"/>
    <w:rsid w:val="6B3D24B0"/>
    <w:rsid w:val="6B451364"/>
    <w:rsid w:val="6B5275DD"/>
    <w:rsid w:val="6B543355"/>
    <w:rsid w:val="6B581098"/>
    <w:rsid w:val="6B5B0B88"/>
    <w:rsid w:val="6B5B46E4"/>
    <w:rsid w:val="6B6537B4"/>
    <w:rsid w:val="6B712159"/>
    <w:rsid w:val="6B746386"/>
    <w:rsid w:val="6B792DBC"/>
    <w:rsid w:val="6B841E8D"/>
    <w:rsid w:val="6B930322"/>
    <w:rsid w:val="6B961BC0"/>
    <w:rsid w:val="6B99520C"/>
    <w:rsid w:val="6B9B71D6"/>
    <w:rsid w:val="6B9E0A74"/>
    <w:rsid w:val="6BBD539F"/>
    <w:rsid w:val="6BC009EB"/>
    <w:rsid w:val="6BCA186A"/>
    <w:rsid w:val="6BCE3108"/>
    <w:rsid w:val="6BD526E8"/>
    <w:rsid w:val="6BDB3A77"/>
    <w:rsid w:val="6BDD159D"/>
    <w:rsid w:val="6BE066CF"/>
    <w:rsid w:val="6BE10682"/>
    <w:rsid w:val="6BE26BB3"/>
    <w:rsid w:val="6BE96194"/>
    <w:rsid w:val="6BEE37AA"/>
    <w:rsid w:val="6BEE7306"/>
    <w:rsid w:val="6BF30DC0"/>
    <w:rsid w:val="6BF6265F"/>
    <w:rsid w:val="6BFB5EC7"/>
    <w:rsid w:val="6C005812"/>
    <w:rsid w:val="6C021003"/>
    <w:rsid w:val="6C054650"/>
    <w:rsid w:val="6C07661A"/>
    <w:rsid w:val="6C0E1756"/>
    <w:rsid w:val="6C180827"/>
    <w:rsid w:val="6C186A79"/>
    <w:rsid w:val="6C2C6080"/>
    <w:rsid w:val="6C305B70"/>
    <w:rsid w:val="6C33740F"/>
    <w:rsid w:val="6C3513D9"/>
    <w:rsid w:val="6C353187"/>
    <w:rsid w:val="6C360CAD"/>
    <w:rsid w:val="6C3F5DB4"/>
    <w:rsid w:val="6C423AF6"/>
    <w:rsid w:val="6C4D4F09"/>
    <w:rsid w:val="6C57134F"/>
    <w:rsid w:val="6C5E0930"/>
    <w:rsid w:val="6C627CF4"/>
    <w:rsid w:val="6C635F46"/>
    <w:rsid w:val="6C67530A"/>
    <w:rsid w:val="6C68355C"/>
    <w:rsid w:val="6C6972D4"/>
    <w:rsid w:val="6C77554D"/>
    <w:rsid w:val="6C7C2B64"/>
    <w:rsid w:val="6C81461E"/>
    <w:rsid w:val="6C823EF2"/>
    <w:rsid w:val="6C895281"/>
    <w:rsid w:val="6C933265"/>
    <w:rsid w:val="6C937EAD"/>
    <w:rsid w:val="6C9411BA"/>
    <w:rsid w:val="6C963990"/>
    <w:rsid w:val="6C9C3206"/>
    <w:rsid w:val="6CA200F0"/>
    <w:rsid w:val="6CA36342"/>
    <w:rsid w:val="6CA4030D"/>
    <w:rsid w:val="6CA420BB"/>
    <w:rsid w:val="6CA65E33"/>
    <w:rsid w:val="6CAB2930"/>
    <w:rsid w:val="6CB06CB1"/>
    <w:rsid w:val="6CB247D7"/>
    <w:rsid w:val="6CB87914"/>
    <w:rsid w:val="6CBA368C"/>
    <w:rsid w:val="6CD01102"/>
    <w:rsid w:val="6CD504C6"/>
    <w:rsid w:val="6CDE381E"/>
    <w:rsid w:val="6CDF1345"/>
    <w:rsid w:val="6CE93F71"/>
    <w:rsid w:val="6CED5810"/>
    <w:rsid w:val="6CF44DF0"/>
    <w:rsid w:val="6CF748E0"/>
    <w:rsid w:val="6D0019E7"/>
    <w:rsid w:val="6D0843F7"/>
    <w:rsid w:val="6D0D5EB2"/>
    <w:rsid w:val="6D1234C8"/>
    <w:rsid w:val="6D194857"/>
    <w:rsid w:val="6D301BA0"/>
    <w:rsid w:val="6D325918"/>
    <w:rsid w:val="6D341690"/>
    <w:rsid w:val="6D372F2F"/>
    <w:rsid w:val="6D390A55"/>
    <w:rsid w:val="6D3F3B91"/>
    <w:rsid w:val="6D415B5B"/>
    <w:rsid w:val="6D45389E"/>
    <w:rsid w:val="6D4D62AE"/>
    <w:rsid w:val="6D505D9E"/>
    <w:rsid w:val="6D543AE1"/>
    <w:rsid w:val="6D54763D"/>
    <w:rsid w:val="6D572567"/>
    <w:rsid w:val="6D617FAC"/>
    <w:rsid w:val="6D747CDF"/>
    <w:rsid w:val="6D77157D"/>
    <w:rsid w:val="6D7B106D"/>
    <w:rsid w:val="6D877A12"/>
    <w:rsid w:val="6D8C5028"/>
    <w:rsid w:val="6D8D0DA1"/>
    <w:rsid w:val="6D8F68C7"/>
    <w:rsid w:val="6D997745"/>
    <w:rsid w:val="6DA265FA"/>
    <w:rsid w:val="6DAC56CB"/>
    <w:rsid w:val="6DB14A8F"/>
    <w:rsid w:val="6DC5678C"/>
    <w:rsid w:val="6DCC3677"/>
    <w:rsid w:val="6DCE3893"/>
    <w:rsid w:val="6DD864C0"/>
    <w:rsid w:val="6DD95D94"/>
    <w:rsid w:val="6DDD5884"/>
    <w:rsid w:val="6DDE33AA"/>
    <w:rsid w:val="6DE50BDD"/>
    <w:rsid w:val="6DE704B1"/>
    <w:rsid w:val="6DEA1D4F"/>
    <w:rsid w:val="6DEB6993"/>
    <w:rsid w:val="6DEC5AC7"/>
    <w:rsid w:val="6DF40E20"/>
    <w:rsid w:val="6DF861CE"/>
    <w:rsid w:val="6DFB21AE"/>
    <w:rsid w:val="6DFD5F26"/>
    <w:rsid w:val="6E02353D"/>
    <w:rsid w:val="6E0472B5"/>
    <w:rsid w:val="6E096679"/>
    <w:rsid w:val="6E2214E9"/>
    <w:rsid w:val="6E2C05BA"/>
    <w:rsid w:val="6E3851B0"/>
    <w:rsid w:val="6E3B25AB"/>
    <w:rsid w:val="6E4664E1"/>
    <w:rsid w:val="6E4753F3"/>
    <w:rsid w:val="6E4771A1"/>
    <w:rsid w:val="6E4B6C92"/>
    <w:rsid w:val="6E5042A8"/>
    <w:rsid w:val="6E625D89"/>
    <w:rsid w:val="6E647D53"/>
    <w:rsid w:val="6E657628"/>
    <w:rsid w:val="6E69536A"/>
    <w:rsid w:val="6E6C09B6"/>
    <w:rsid w:val="6E895A0C"/>
    <w:rsid w:val="6E8B1784"/>
    <w:rsid w:val="6E8B52E0"/>
    <w:rsid w:val="6E9122B0"/>
    <w:rsid w:val="6E9A5523"/>
    <w:rsid w:val="6E9F0D8B"/>
    <w:rsid w:val="6E9F6FDD"/>
    <w:rsid w:val="6EA14B04"/>
    <w:rsid w:val="6EAB3BD4"/>
    <w:rsid w:val="6EAB7730"/>
    <w:rsid w:val="6EB81E4D"/>
    <w:rsid w:val="6EB977A6"/>
    <w:rsid w:val="6EBC36EB"/>
    <w:rsid w:val="6EC407F2"/>
    <w:rsid w:val="6EC52DE9"/>
    <w:rsid w:val="6EC95E08"/>
    <w:rsid w:val="6ECD58F9"/>
    <w:rsid w:val="6ECF78C3"/>
    <w:rsid w:val="6ED22F0F"/>
    <w:rsid w:val="6ED30A35"/>
    <w:rsid w:val="6EF015E7"/>
    <w:rsid w:val="6EF47329"/>
    <w:rsid w:val="6EF94940"/>
    <w:rsid w:val="6EF966EE"/>
    <w:rsid w:val="6F0532E4"/>
    <w:rsid w:val="6F084B83"/>
    <w:rsid w:val="6F0D03EB"/>
    <w:rsid w:val="6F101C89"/>
    <w:rsid w:val="6F174DC6"/>
    <w:rsid w:val="6F1E43A6"/>
    <w:rsid w:val="6F241291"/>
    <w:rsid w:val="6F2D283B"/>
    <w:rsid w:val="6F305E09"/>
    <w:rsid w:val="6F3911E0"/>
    <w:rsid w:val="6F3E2352"/>
    <w:rsid w:val="6F467459"/>
    <w:rsid w:val="6F490CF7"/>
    <w:rsid w:val="6F4B4A6F"/>
    <w:rsid w:val="6F5778B8"/>
    <w:rsid w:val="6F5E47A3"/>
    <w:rsid w:val="6F6B6EC0"/>
    <w:rsid w:val="6F6D49E6"/>
    <w:rsid w:val="6F6F4C02"/>
    <w:rsid w:val="6F712728"/>
    <w:rsid w:val="6F73078C"/>
    <w:rsid w:val="6F745D74"/>
    <w:rsid w:val="6F7915DC"/>
    <w:rsid w:val="6F8D6E36"/>
    <w:rsid w:val="6FA06B69"/>
    <w:rsid w:val="6FA523D2"/>
    <w:rsid w:val="6FA67EF8"/>
    <w:rsid w:val="6FAB748D"/>
    <w:rsid w:val="6FAC19B2"/>
    <w:rsid w:val="6FB10D76"/>
    <w:rsid w:val="6FB22D40"/>
    <w:rsid w:val="6FB62831"/>
    <w:rsid w:val="6FBB1BF5"/>
    <w:rsid w:val="6FBD596D"/>
    <w:rsid w:val="6FC22F83"/>
    <w:rsid w:val="6FC36CFC"/>
    <w:rsid w:val="6FCA62DC"/>
    <w:rsid w:val="6FD26F3F"/>
    <w:rsid w:val="6FD827A7"/>
    <w:rsid w:val="6FD9651F"/>
    <w:rsid w:val="6FDE4D4C"/>
    <w:rsid w:val="6FDE58E3"/>
    <w:rsid w:val="6FE253D4"/>
    <w:rsid w:val="6FE729EA"/>
    <w:rsid w:val="6FEE1FCA"/>
    <w:rsid w:val="6FFD67A8"/>
    <w:rsid w:val="70001CFE"/>
    <w:rsid w:val="70016B46"/>
    <w:rsid w:val="70127584"/>
    <w:rsid w:val="70127ACB"/>
    <w:rsid w:val="701337DF"/>
    <w:rsid w:val="70161521"/>
    <w:rsid w:val="701D01BA"/>
    <w:rsid w:val="702A0B29"/>
    <w:rsid w:val="702A6D7B"/>
    <w:rsid w:val="702E0619"/>
    <w:rsid w:val="702F13E2"/>
    <w:rsid w:val="70311EB7"/>
    <w:rsid w:val="70425E72"/>
    <w:rsid w:val="70441BEA"/>
    <w:rsid w:val="704B544B"/>
    <w:rsid w:val="704C651B"/>
    <w:rsid w:val="704F058F"/>
    <w:rsid w:val="705B0CE2"/>
    <w:rsid w:val="70607562"/>
    <w:rsid w:val="706202C3"/>
    <w:rsid w:val="7064228D"/>
    <w:rsid w:val="706E6C67"/>
    <w:rsid w:val="70710506"/>
    <w:rsid w:val="707F70C6"/>
    <w:rsid w:val="70814BED"/>
    <w:rsid w:val="70822713"/>
    <w:rsid w:val="70853FB1"/>
    <w:rsid w:val="70891CF3"/>
    <w:rsid w:val="708F3550"/>
    <w:rsid w:val="708F6BDE"/>
    <w:rsid w:val="70910BA8"/>
    <w:rsid w:val="70967F6C"/>
    <w:rsid w:val="70A22DB5"/>
    <w:rsid w:val="70A26911"/>
    <w:rsid w:val="70A73F27"/>
    <w:rsid w:val="70B52AE8"/>
    <w:rsid w:val="70B54896"/>
    <w:rsid w:val="70B623BC"/>
    <w:rsid w:val="70B825D8"/>
    <w:rsid w:val="70C04FE9"/>
    <w:rsid w:val="70C1323B"/>
    <w:rsid w:val="70CB5E68"/>
    <w:rsid w:val="70CE7706"/>
    <w:rsid w:val="70DD3DED"/>
    <w:rsid w:val="70DF36C1"/>
    <w:rsid w:val="70DF5DB7"/>
    <w:rsid w:val="70E37655"/>
    <w:rsid w:val="70E60EF4"/>
    <w:rsid w:val="70E76A1A"/>
    <w:rsid w:val="70F3716D"/>
    <w:rsid w:val="70FA04FB"/>
    <w:rsid w:val="70FA499F"/>
    <w:rsid w:val="70FD7FEB"/>
    <w:rsid w:val="71031AA6"/>
    <w:rsid w:val="7104137A"/>
    <w:rsid w:val="71063344"/>
    <w:rsid w:val="71325EE7"/>
    <w:rsid w:val="71341C5F"/>
    <w:rsid w:val="71347EB1"/>
    <w:rsid w:val="713734FD"/>
    <w:rsid w:val="71431EA2"/>
    <w:rsid w:val="71445C1A"/>
    <w:rsid w:val="71500A63"/>
    <w:rsid w:val="715916C6"/>
    <w:rsid w:val="715C11B6"/>
    <w:rsid w:val="715F2A54"/>
    <w:rsid w:val="716342F2"/>
    <w:rsid w:val="716B13F9"/>
    <w:rsid w:val="716D33C3"/>
    <w:rsid w:val="71704C61"/>
    <w:rsid w:val="71706A0F"/>
    <w:rsid w:val="717C7162"/>
    <w:rsid w:val="717E737E"/>
    <w:rsid w:val="71834994"/>
    <w:rsid w:val="718524BB"/>
    <w:rsid w:val="718A7AD1"/>
    <w:rsid w:val="718B3849"/>
    <w:rsid w:val="71A05546"/>
    <w:rsid w:val="71AA0173"/>
    <w:rsid w:val="71B903B6"/>
    <w:rsid w:val="71B96608"/>
    <w:rsid w:val="71BA77A4"/>
    <w:rsid w:val="71BB5EDC"/>
    <w:rsid w:val="71D074AE"/>
    <w:rsid w:val="71DC5E53"/>
    <w:rsid w:val="71DD22F7"/>
    <w:rsid w:val="71E03B95"/>
    <w:rsid w:val="71E05943"/>
    <w:rsid w:val="71E80C9B"/>
    <w:rsid w:val="71E82A49"/>
    <w:rsid w:val="71EA67C2"/>
    <w:rsid w:val="71EC42E8"/>
    <w:rsid w:val="71F633B8"/>
    <w:rsid w:val="71F66728"/>
    <w:rsid w:val="71F87130"/>
    <w:rsid w:val="71FD0B25"/>
    <w:rsid w:val="71FE226D"/>
    <w:rsid w:val="72001B41"/>
    <w:rsid w:val="72077373"/>
    <w:rsid w:val="720F7FD6"/>
    <w:rsid w:val="72192C03"/>
    <w:rsid w:val="721D26F3"/>
    <w:rsid w:val="72233A82"/>
    <w:rsid w:val="72275320"/>
    <w:rsid w:val="72302F81"/>
    <w:rsid w:val="72345C8F"/>
    <w:rsid w:val="7238577F"/>
    <w:rsid w:val="723B526F"/>
    <w:rsid w:val="723D2D95"/>
    <w:rsid w:val="723F6B0D"/>
    <w:rsid w:val="724F0D1A"/>
    <w:rsid w:val="725D51E5"/>
    <w:rsid w:val="726B5B54"/>
    <w:rsid w:val="728B1D53"/>
    <w:rsid w:val="728E35F1"/>
    <w:rsid w:val="72955A66"/>
    <w:rsid w:val="7298621E"/>
    <w:rsid w:val="72A050D2"/>
    <w:rsid w:val="72B03567"/>
    <w:rsid w:val="72B8066E"/>
    <w:rsid w:val="72BA2638"/>
    <w:rsid w:val="72BD3ED6"/>
    <w:rsid w:val="72C2773E"/>
    <w:rsid w:val="72C40DC1"/>
    <w:rsid w:val="72C9287B"/>
    <w:rsid w:val="72CA214F"/>
    <w:rsid w:val="72E27499"/>
    <w:rsid w:val="72F86CBC"/>
    <w:rsid w:val="72FA2A34"/>
    <w:rsid w:val="731004AA"/>
    <w:rsid w:val="73124222"/>
    <w:rsid w:val="731C29AB"/>
    <w:rsid w:val="731C4E99"/>
    <w:rsid w:val="731E2BC7"/>
    <w:rsid w:val="732B3D6D"/>
    <w:rsid w:val="732D105C"/>
    <w:rsid w:val="733A1083"/>
    <w:rsid w:val="733A72D5"/>
    <w:rsid w:val="733D0B73"/>
    <w:rsid w:val="734168B5"/>
    <w:rsid w:val="7343262D"/>
    <w:rsid w:val="734F0FD2"/>
    <w:rsid w:val="7355410F"/>
    <w:rsid w:val="736425A4"/>
    <w:rsid w:val="73667868"/>
    <w:rsid w:val="736E51D0"/>
    <w:rsid w:val="7372081D"/>
    <w:rsid w:val="73835CCC"/>
    <w:rsid w:val="7395275D"/>
    <w:rsid w:val="739800A6"/>
    <w:rsid w:val="7399224D"/>
    <w:rsid w:val="73997A68"/>
    <w:rsid w:val="739A5FC5"/>
    <w:rsid w:val="739C3AEB"/>
    <w:rsid w:val="739E5AB6"/>
    <w:rsid w:val="73A429A0"/>
    <w:rsid w:val="73A83B5B"/>
    <w:rsid w:val="73AA445A"/>
    <w:rsid w:val="73AB3D2F"/>
    <w:rsid w:val="73B21561"/>
    <w:rsid w:val="73B70925"/>
    <w:rsid w:val="73C31078"/>
    <w:rsid w:val="73C3315E"/>
    <w:rsid w:val="73C3376E"/>
    <w:rsid w:val="73CB43D1"/>
    <w:rsid w:val="73D2750D"/>
    <w:rsid w:val="73D72D76"/>
    <w:rsid w:val="73DE5EB2"/>
    <w:rsid w:val="73E07E7C"/>
    <w:rsid w:val="73F05BE5"/>
    <w:rsid w:val="73F6144E"/>
    <w:rsid w:val="73FE47A6"/>
    <w:rsid w:val="740022CC"/>
    <w:rsid w:val="74017DF2"/>
    <w:rsid w:val="74033B6B"/>
    <w:rsid w:val="740A4EF9"/>
    <w:rsid w:val="74130252"/>
    <w:rsid w:val="7420296E"/>
    <w:rsid w:val="74235FBB"/>
    <w:rsid w:val="742A559B"/>
    <w:rsid w:val="743261FE"/>
    <w:rsid w:val="743957DE"/>
    <w:rsid w:val="743C0E2B"/>
    <w:rsid w:val="74424693"/>
    <w:rsid w:val="7443040B"/>
    <w:rsid w:val="744321B9"/>
    <w:rsid w:val="74455F31"/>
    <w:rsid w:val="7447614D"/>
    <w:rsid w:val="74493C73"/>
    <w:rsid w:val="74561EEC"/>
    <w:rsid w:val="745919DD"/>
    <w:rsid w:val="745B7503"/>
    <w:rsid w:val="745E5245"/>
    <w:rsid w:val="745F3497"/>
    <w:rsid w:val="74624D35"/>
    <w:rsid w:val="7463285B"/>
    <w:rsid w:val="74740885"/>
    <w:rsid w:val="74761F22"/>
    <w:rsid w:val="747D56CB"/>
    <w:rsid w:val="748051BB"/>
    <w:rsid w:val="74836A59"/>
    <w:rsid w:val="74844CAB"/>
    <w:rsid w:val="7489015C"/>
    <w:rsid w:val="748A7DE8"/>
    <w:rsid w:val="7494275B"/>
    <w:rsid w:val="7496056F"/>
    <w:rsid w:val="7499002B"/>
    <w:rsid w:val="749E3893"/>
    <w:rsid w:val="749F1AE5"/>
    <w:rsid w:val="74C50E20"/>
    <w:rsid w:val="74C517D1"/>
    <w:rsid w:val="74CF1C9F"/>
    <w:rsid w:val="74D15A17"/>
    <w:rsid w:val="74D55507"/>
    <w:rsid w:val="74DA0D6F"/>
    <w:rsid w:val="74DB6895"/>
    <w:rsid w:val="74E474F8"/>
    <w:rsid w:val="74E90FB2"/>
    <w:rsid w:val="74F040EF"/>
    <w:rsid w:val="74F31E31"/>
    <w:rsid w:val="74F636CF"/>
    <w:rsid w:val="74FA4F6E"/>
    <w:rsid w:val="750000AA"/>
    <w:rsid w:val="75091655"/>
    <w:rsid w:val="7516167C"/>
    <w:rsid w:val="7521699E"/>
    <w:rsid w:val="75271228"/>
    <w:rsid w:val="752C70F1"/>
    <w:rsid w:val="754206C3"/>
    <w:rsid w:val="754E350B"/>
    <w:rsid w:val="755A5A0C"/>
    <w:rsid w:val="7561323F"/>
    <w:rsid w:val="756845CD"/>
    <w:rsid w:val="756D31BA"/>
    <w:rsid w:val="75734D20"/>
    <w:rsid w:val="757A7E5C"/>
    <w:rsid w:val="757F5473"/>
    <w:rsid w:val="75847EB1"/>
    <w:rsid w:val="758807CB"/>
    <w:rsid w:val="75882579"/>
    <w:rsid w:val="75915B98"/>
    <w:rsid w:val="7592164A"/>
    <w:rsid w:val="75976C60"/>
    <w:rsid w:val="75994786"/>
    <w:rsid w:val="759E0F0F"/>
    <w:rsid w:val="759E1D9D"/>
    <w:rsid w:val="75A1363B"/>
    <w:rsid w:val="75A61DBB"/>
    <w:rsid w:val="75A86778"/>
    <w:rsid w:val="75B710B1"/>
    <w:rsid w:val="75B74C0D"/>
    <w:rsid w:val="75C17839"/>
    <w:rsid w:val="75C4732A"/>
    <w:rsid w:val="75D532E5"/>
    <w:rsid w:val="75D94B83"/>
    <w:rsid w:val="75DA08FB"/>
    <w:rsid w:val="75DC35CB"/>
    <w:rsid w:val="75E55C1E"/>
    <w:rsid w:val="75E579CC"/>
    <w:rsid w:val="75EB0D5A"/>
    <w:rsid w:val="760A7432"/>
    <w:rsid w:val="76143E0D"/>
    <w:rsid w:val="76191423"/>
    <w:rsid w:val="76235D60"/>
    <w:rsid w:val="763149BF"/>
    <w:rsid w:val="76361FD5"/>
    <w:rsid w:val="76393874"/>
    <w:rsid w:val="76402E54"/>
    <w:rsid w:val="76426BCC"/>
    <w:rsid w:val="765468FF"/>
    <w:rsid w:val="765E32DA"/>
    <w:rsid w:val="76685F07"/>
    <w:rsid w:val="766A7ED1"/>
    <w:rsid w:val="766D65BE"/>
    <w:rsid w:val="766F7295"/>
    <w:rsid w:val="767E397C"/>
    <w:rsid w:val="767E572A"/>
    <w:rsid w:val="768076F4"/>
    <w:rsid w:val="76832D41"/>
    <w:rsid w:val="76A07D97"/>
    <w:rsid w:val="76AC04E9"/>
    <w:rsid w:val="76C05D43"/>
    <w:rsid w:val="76C23869"/>
    <w:rsid w:val="76C53359"/>
    <w:rsid w:val="76CA4E14"/>
    <w:rsid w:val="76CC46E8"/>
    <w:rsid w:val="76CD220E"/>
    <w:rsid w:val="76D812DE"/>
    <w:rsid w:val="76DD68F5"/>
    <w:rsid w:val="76E81864"/>
    <w:rsid w:val="76EF03D6"/>
    <w:rsid w:val="76FA1255"/>
    <w:rsid w:val="76FD2AF3"/>
    <w:rsid w:val="76FD6F97"/>
    <w:rsid w:val="76FF686B"/>
    <w:rsid w:val="77020109"/>
    <w:rsid w:val="770245AD"/>
    <w:rsid w:val="771A36A5"/>
    <w:rsid w:val="771B741D"/>
    <w:rsid w:val="77204A34"/>
    <w:rsid w:val="77253DF8"/>
    <w:rsid w:val="773329B9"/>
    <w:rsid w:val="77381D7D"/>
    <w:rsid w:val="773A3D47"/>
    <w:rsid w:val="773D55E5"/>
    <w:rsid w:val="77512E3F"/>
    <w:rsid w:val="775F37AE"/>
    <w:rsid w:val="77664B3C"/>
    <w:rsid w:val="776B3F01"/>
    <w:rsid w:val="777A05E8"/>
    <w:rsid w:val="777A2396"/>
    <w:rsid w:val="778154D2"/>
    <w:rsid w:val="77831682"/>
    <w:rsid w:val="77844FC2"/>
    <w:rsid w:val="77972F48"/>
    <w:rsid w:val="779C230C"/>
    <w:rsid w:val="77A17922"/>
    <w:rsid w:val="77A86F03"/>
    <w:rsid w:val="77AB254F"/>
    <w:rsid w:val="77B358A8"/>
    <w:rsid w:val="77B77146"/>
    <w:rsid w:val="77BE04D4"/>
    <w:rsid w:val="77BE0D98"/>
    <w:rsid w:val="77C70FE5"/>
    <w:rsid w:val="77C83101"/>
    <w:rsid w:val="77C90C27"/>
    <w:rsid w:val="77D02E1D"/>
    <w:rsid w:val="77DE0B76"/>
    <w:rsid w:val="77E048EF"/>
    <w:rsid w:val="77E3618D"/>
    <w:rsid w:val="77E67A2B"/>
    <w:rsid w:val="77ED43AE"/>
    <w:rsid w:val="77F24622"/>
    <w:rsid w:val="77FF289B"/>
    <w:rsid w:val="78014865"/>
    <w:rsid w:val="78063C29"/>
    <w:rsid w:val="78144598"/>
    <w:rsid w:val="78177082"/>
    <w:rsid w:val="7819395D"/>
    <w:rsid w:val="782A7918"/>
    <w:rsid w:val="78340796"/>
    <w:rsid w:val="783562BD"/>
    <w:rsid w:val="783A38D3"/>
    <w:rsid w:val="783B52BE"/>
    <w:rsid w:val="783E7867"/>
    <w:rsid w:val="784604CA"/>
    <w:rsid w:val="7847671C"/>
    <w:rsid w:val="78482494"/>
    <w:rsid w:val="784D7AAA"/>
    <w:rsid w:val="7860333A"/>
    <w:rsid w:val="786F17CF"/>
    <w:rsid w:val="787212BF"/>
    <w:rsid w:val="78774B27"/>
    <w:rsid w:val="787943FB"/>
    <w:rsid w:val="788039DC"/>
    <w:rsid w:val="78857244"/>
    <w:rsid w:val="788C297D"/>
    <w:rsid w:val="788D434B"/>
    <w:rsid w:val="78931961"/>
    <w:rsid w:val="7899684C"/>
    <w:rsid w:val="789B6A68"/>
    <w:rsid w:val="789E0306"/>
    <w:rsid w:val="789E3E62"/>
    <w:rsid w:val="78A07BDA"/>
    <w:rsid w:val="78A3591C"/>
    <w:rsid w:val="78AD0549"/>
    <w:rsid w:val="78B2790D"/>
    <w:rsid w:val="78B813C8"/>
    <w:rsid w:val="78BE4504"/>
    <w:rsid w:val="78C23FF4"/>
    <w:rsid w:val="78C7785D"/>
    <w:rsid w:val="78CA2EA9"/>
    <w:rsid w:val="78CD5FF3"/>
    <w:rsid w:val="78CE3493"/>
    <w:rsid w:val="78D21D5D"/>
    <w:rsid w:val="78DB50B6"/>
    <w:rsid w:val="78E421BD"/>
    <w:rsid w:val="78E71CAD"/>
    <w:rsid w:val="78E75809"/>
    <w:rsid w:val="78EA52F9"/>
    <w:rsid w:val="78EC1071"/>
    <w:rsid w:val="78EC72C3"/>
    <w:rsid w:val="78EE303B"/>
    <w:rsid w:val="78FA19E0"/>
    <w:rsid w:val="78FD327E"/>
    <w:rsid w:val="79134850"/>
    <w:rsid w:val="79183C14"/>
    <w:rsid w:val="792C3B64"/>
    <w:rsid w:val="7936053E"/>
    <w:rsid w:val="793A002E"/>
    <w:rsid w:val="793B5B55"/>
    <w:rsid w:val="793F5645"/>
    <w:rsid w:val="79426EE3"/>
    <w:rsid w:val="794E3ADA"/>
    <w:rsid w:val="79517126"/>
    <w:rsid w:val="795409C4"/>
    <w:rsid w:val="7956473D"/>
    <w:rsid w:val="795B1D53"/>
    <w:rsid w:val="795D7D8E"/>
    <w:rsid w:val="796C3F60"/>
    <w:rsid w:val="79782905"/>
    <w:rsid w:val="79825532"/>
    <w:rsid w:val="798E2128"/>
    <w:rsid w:val="7997722F"/>
    <w:rsid w:val="799B65F3"/>
    <w:rsid w:val="799F4335"/>
    <w:rsid w:val="799F60E4"/>
    <w:rsid w:val="79A96F62"/>
    <w:rsid w:val="79AB1B36"/>
    <w:rsid w:val="79B002F1"/>
    <w:rsid w:val="79B24069"/>
    <w:rsid w:val="79B37DE1"/>
    <w:rsid w:val="79B437E0"/>
    <w:rsid w:val="79B871A5"/>
    <w:rsid w:val="79BA4CCB"/>
    <w:rsid w:val="79BD2A0E"/>
    <w:rsid w:val="79FC3536"/>
    <w:rsid w:val="7A020420"/>
    <w:rsid w:val="7A0423EA"/>
    <w:rsid w:val="7A0A3EA1"/>
    <w:rsid w:val="7A13262E"/>
    <w:rsid w:val="7A173ECC"/>
    <w:rsid w:val="7A1A1C0E"/>
    <w:rsid w:val="7A1C5986"/>
    <w:rsid w:val="7A1E525A"/>
    <w:rsid w:val="7A266805"/>
    <w:rsid w:val="7A3525A4"/>
    <w:rsid w:val="7A3A5E0C"/>
    <w:rsid w:val="7A3C7DD6"/>
    <w:rsid w:val="7A3E76AA"/>
    <w:rsid w:val="7A4E3666"/>
    <w:rsid w:val="7A501527"/>
    <w:rsid w:val="7A57076C"/>
    <w:rsid w:val="7A5C5D83"/>
    <w:rsid w:val="7A5E7D4D"/>
    <w:rsid w:val="7A6C06BC"/>
    <w:rsid w:val="7A6D7F90"/>
    <w:rsid w:val="7A707A80"/>
    <w:rsid w:val="7A747570"/>
    <w:rsid w:val="7A813A3B"/>
    <w:rsid w:val="7A903C7E"/>
    <w:rsid w:val="7A97500D"/>
    <w:rsid w:val="7A9814B1"/>
    <w:rsid w:val="7A9E283F"/>
    <w:rsid w:val="7AA5597C"/>
    <w:rsid w:val="7AAC0AB8"/>
    <w:rsid w:val="7AAD2A82"/>
    <w:rsid w:val="7AAF05A8"/>
    <w:rsid w:val="7AB14320"/>
    <w:rsid w:val="7AC027B5"/>
    <w:rsid w:val="7AC46A5E"/>
    <w:rsid w:val="7ACA3634"/>
    <w:rsid w:val="7AD4000F"/>
    <w:rsid w:val="7AD87AFF"/>
    <w:rsid w:val="7ADC6EC3"/>
    <w:rsid w:val="7AE00762"/>
    <w:rsid w:val="7AE75F94"/>
    <w:rsid w:val="7AEC35AA"/>
    <w:rsid w:val="7AF1296F"/>
    <w:rsid w:val="7AF661D7"/>
    <w:rsid w:val="7B09415C"/>
    <w:rsid w:val="7B0D67CF"/>
    <w:rsid w:val="7B1448AF"/>
    <w:rsid w:val="7B1A0DD3"/>
    <w:rsid w:val="7B1E74DC"/>
    <w:rsid w:val="7B203254"/>
    <w:rsid w:val="7B256ABC"/>
    <w:rsid w:val="7B276391"/>
    <w:rsid w:val="7B310FBD"/>
    <w:rsid w:val="7B315461"/>
    <w:rsid w:val="7B31720F"/>
    <w:rsid w:val="7B340AAD"/>
    <w:rsid w:val="7B3F165E"/>
    <w:rsid w:val="7B4056A4"/>
    <w:rsid w:val="7B42141C"/>
    <w:rsid w:val="7B454A69"/>
    <w:rsid w:val="7B4927AB"/>
    <w:rsid w:val="7B4A02D1"/>
    <w:rsid w:val="7B4C7234"/>
    <w:rsid w:val="7B4F7695"/>
    <w:rsid w:val="7B5353D8"/>
    <w:rsid w:val="7B5A6766"/>
    <w:rsid w:val="7B607AF4"/>
    <w:rsid w:val="7B641393"/>
    <w:rsid w:val="7B670E83"/>
    <w:rsid w:val="7B675C99"/>
    <w:rsid w:val="7B68086A"/>
    <w:rsid w:val="7B7470FC"/>
    <w:rsid w:val="7B7610C6"/>
    <w:rsid w:val="7B890DF9"/>
    <w:rsid w:val="7B89704B"/>
    <w:rsid w:val="7B8F3F36"/>
    <w:rsid w:val="7B917339"/>
    <w:rsid w:val="7B937ECA"/>
    <w:rsid w:val="7B9559F0"/>
    <w:rsid w:val="7B98103C"/>
    <w:rsid w:val="7B9A1258"/>
    <w:rsid w:val="7BA619AB"/>
    <w:rsid w:val="7BB06386"/>
    <w:rsid w:val="7BB10350"/>
    <w:rsid w:val="7BB57E40"/>
    <w:rsid w:val="7BB816DF"/>
    <w:rsid w:val="7BBA5457"/>
    <w:rsid w:val="7BC6204D"/>
    <w:rsid w:val="7BC63DFB"/>
    <w:rsid w:val="7BCB1412"/>
    <w:rsid w:val="7BD36518"/>
    <w:rsid w:val="7BDB744B"/>
    <w:rsid w:val="7BDC53CD"/>
    <w:rsid w:val="7BDD2EE3"/>
    <w:rsid w:val="7BDE7397"/>
    <w:rsid w:val="7BE61DA8"/>
    <w:rsid w:val="7BE75B20"/>
    <w:rsid w:val="7BEE3352"/>
    <w:rsid w:val="7BFD5343"/>
    <w:rsid w:val="7BFF10BB"/>
    <w:rsid w:val="7C06244A"/>
    <w:rsid w:val="7C0D1A2A"/>
    <w:rsid w:val="7C0E7550"/>
    <w:rsid w:val="7C120DEF"/>
    <w:rsid w:val="7C176405"/>
    <w:rsid w:val="7C18217D"/>
    <w:rsid w:val="7C1F2A6A"/>
    <w:rsid w:val="7C1F350C"/>
    <w:rsid w:val="7C217284"/>
    <w:rsid w:val="7C286864"/>
    <w:rsid w:val="7C2B1EB0"/>
    <w:rsid w:val="7C3074C7"/>
    <w:rsid w:val="7C350F81"/>
    <w:rsid w:val="7C39281F"/>
    <w:rsid w:val="7C3A20F4"/>
    <w:rsid w:val="7C3F770A"/>
    <w:rsid w:val="7C4116D4"/>
    <w:rsid w:val="7C4411C4"/>
    <w:rsid w:val="7C464F3C"/>
    <w:rsid w:val="7C4E5B9F"/>
    <w:rsid w:val="7C4F3DF1"/>
    <w:rsid w:val="7C4F6166"/>
    <w:rsid w:val="7C55517F"/>
    <w:rsid w:val="7C574A54"/>
    <w:rsid w:val="7C611D76"/>
    <w:rsid w:val="7C6453C2"/>
    <w:rsid w:val="7C647170"/>
    <w:rsid w:val="7C6516EE"/>
    <w:rsid w:val="7C653614"/>
    <w:rsid w:val="7C727ADF"/>
    <w:rsid w:val="7C831CEC"/>
    <w:rsid w:val="7C833A9B"/>
    <w:rsid w:val="7C855A65"/>
    <w:rsid w:val="7C8810B1"/>
    <w:rsid w:val="7C8B294F"/>
    <w:rsid w:val="7C9932BE"/>
    <w:rsid w:val="7CA26617"/>
    <w:rsid w:val="7CA37C99"/>
    <w:rsid w:val="7CA81753"/>
    <w:rsid w:val="7CAD6D69"/>
    <w:rsid w:val="7CB00608"/>
    <w:rsid w:val="7CB52920"/>
    <w:rsid w:val="7CB579CC"/>
    <w:rsid w:val="7CD10CAA"/>
    <w:rsid w:val="7CE24C65"/>
    <w:rsid w:val="7CEB043C"/>
    <w:rsid w:val="7CED360A"/>
    <w:rsid w:val="7CF44998"/>
    <w:rsid w:val="7CF624BE"/>
    <w:rsid w:val="7CFB5D27"/>
    <w:rsid w:val="7D000001"/>
    <w:rsid w:val="7D036989"/>
    <w:rsid w:val="7D07647A"/>
    <w:rsid w:val="7D080444"/>
    <w:rsid w:val="7D250FF6"/>
    <w:rsid w:val="7D27393C"/>
    <w:rsid w:val="7D2D1C58"/>
    <w:rsid w:val="7D3923AB"/>
    <w:rsid w:val="7D3B4375"/>
    <w:rsid w:val="7D3E6353"/>
    <w:rsid w:val="7D545437"/>
    <w:rsid w:val="7D6A6A08"/>
    <w:rsid w:val="7D6C452F"/>
    <w:rsid w:val="7D745506"/>
    <w:rsid w:val="7D761851"/>
    <w:rsid w:val="7D781125"/>
    <w:rsid w:val="7D7A30EF"/>
    <w:rsid w:val="7D871368"/>
    <w:rsid w:val="7D8B70AB"/>
    <w:rsid w:val="7D8C697F"/>
    <w:rsid w:val="7D910439"/>
    <w:rsid w:val="7D9341B1"/>
    <w:rsid w:val="7D9817C8"/>
    <w:rsid w:val="7D9B4E14"/>
    <w:rsid w:val="7D9D293A"/>
    <w:rsid w:val="7D9D6DDE"/>
    <w:rsid w:val="7DA168CE"/>
    <w:rsid w:val="7DA63EE4"/>
    <w:rsid w:val="7DAC5273"/>
    <w:rsid w:val="7DAE2D99"/>
    <w:rsid w:val="7DB14637"/>
    <w:rsid w:val="7DC73E5B"/>
    <w:rsid w:val="7DCF4ABD"/>
    <w:rsid w:val="7DD10836"/>
    <w:rsid w:val="7DD722F0"/>
    <w:rsid w:val="7DE762AB"/>
    <w:rsid w:val="7DE92023"/>
    <w:rsid w:val="7DE93DD1"/>
    <w:rsid w:val="7DE95B7F"/>
    <w:rsid w:val="7DEB18F7"/>
    <w:rsid w:val="7DEE3196"/>
    <w:rsid w:val="7DF34C50"/>
    <w:rsid w:val="7E0B3D48"/>
    <w:rsid w:val="7E1C7D03"/>
    <w:rsid w:val="7E2766A8"/>
    <w:rsid w:val="7E3314F0"/>
    <w:rsid w:val="7E3A378D"/>
    <w:rsid w:val="7E3C05B4"/>
    <w:rsid w:val="7E3F60E7"/>
    <w:rsid w:val="7E5A082B"/>
    <w:rsid w:val="7E6478FC"/>
    <w:rsid w:val="7E6E2528"/>
    <w:rsid w:val="7E77762F"/>
    <w:rsid w:val="7E7F64E4"/>
    <w:rsid w:val="7E81400A"/>
    <w:rsid w:val="7E867872"/>
    <w:rsid w:val="7E941F8F"/>
    <w:rsid w:val="7EAD12A3"/>
    <w:rsid w:val="7EB51F05"/>
    <w:rsid w:val="7EB75C7D"/>
    <w:rsid w:val="7EBB39C0"/>
    <w:rsid w:val="7EBF4B32"/>
    <w:rsid w:val="7EC108AA"/>
    <w:rsid w:val="7EC14D4E"/>
    <w:rsid w:val="7EC32874"/>
    <w:rsid w:val="7ECA59B1"/>
    <w:rsid w:val="7ECC58F7"/>
    <w:rsid w:val="7EDB7BBE"/>
    <w:rsid w:val="7EE84089"/>
    <w:rsid w:val="7EEA1BAF"/>
    <w:rsid w:val="7EEC1DCB"/>
    <w:rsid w:val="7EEF18BB"/>
    <w:rsid w:val="7EEF71C5"/>
    <w:rsid w:val="7EF23159"/>
    <w:rsid w:val="7EF667A6"/>
    <w:rsid w:val="7EF70770"/>
    <w:rsid w:val="7EFB3DBC"/>
    <w:rsid w:val="7F016EF9"/>
    <w:rsid w:val="7F1B26B0"/>
    <w:rsid w:val="7F2350C1"/>
    <w:rsid w:val="7F280929"/>
    <w:rsid w:val="7F2A28F3"/>
    <w:rsid w:val="7F364DF4"/>
    <w:rsid w:val="7F3B68AE"/>
    <w:rsid w:val="7F4514DB"/>
    <w:rsid w:val="7F4A6AF1"/>
    <w:rsid w:val="7F4F5EB6"/>
    <w:rsid w:val="7F5E259D"/>
    <w:rsid w:val="7F65392B"/>
    <w:rsid w:val="7F6C6A68"/>
    <w:rsid w:val="7F741DC0"/>
    <w:rsid w:val="7F787239"/>
    <w:rsid w:val="7F82628B"/>
    <w:rsid w:val="7F89761A"/>
    <w:rsid w:val="7F8A15E4"/>
    <w:rsid w:val="7FA2248A"/>
    <w:rsid w:val="7FBD5515"/>
    <w:rsid w:val="7FCA378E"/>
    <w:rsid w:val="7FDB599C"/>
    <w:rsid w:val="7FDB7A66"/>
    <w:rsid w:val="7FE231CE"/>
    <w:rsid w:val="7FE900B8"/>
    <w:rsid w:val="7FEC7BA9"/>
    <w:rsid w:val="7FF01447"/>
    <w:rsid w:val="7FF151BF"/>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iPriority="59" w:semiHidden="0" w:name="Table Grid"/>
    <w:lsdException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56"/>
    <w:autoRedefine/>
    <w:qFormat/>
    <w:uiPriority w:val="0"/>
    <w:pPr>
      <w:keepNext/>
      <w:keepLines/>
      <w:spacing w:before="340" w:after="330" w:line="576" w:lineRule="auto"/>
      <w:jc w:val="center"/>
      <w:outlineLvl w:val="0"/>
    </w:pPr>
    <w:rPr>
      <w:b/>
      <w:bCs/>
      <w:kern w:val="44"/>
      <w:sz w:val="36"/>
      <w:szCs w:val="44"/>
    </w:rPr>
  </w:style>
  <w:style w:type="paragraph" w:styleId="9">
    <w:name w:val="heading 2"/>
    <w:basedOn w:val="1"/>
    <w:next w:val="1"/>
    <w:link w:val="57"/>
    <w:autoRedefine/>
    <w:qFormat/>
    <w:uiPriority w:val="0"/>
    <w:pPr>
      <w:keepNext/>
      <w:keepLines/>
      <w:spacing w:before="260" w:after="260" w:line="415" w:lineRule="auto"/>
      <w:outlineLvl w:val="1"/>
    </w:pPr>
    <w:rPr>
      <w:rFonts w:ascii="Arial" w:hAnsi="Arial" w:eastAsia="黑体"/>
      <w:b/>
      <w:bCs/>
      <w:sz w:val="32"/>
      <w:szCs w:val="32"/>
    </w:rPr>
  </w:style>
  <w:style w:type="paragraph" w:styleId="10">
    <w:name w:val="heading 3"/>
    <w:basedOn w:val="1"/>
    <w:next w:val="1"/>
    <w:link w:val="53"/>
    <w:autoRedefine/>
    <w:qFormat/>
    <w:uiPriority w:val="0"/>
    <w:pPr>
      <w:keepNext/>
      <w:keepLines/>
      <w:spacing w:before="260" w:after="260" w:line="416" w:lineRule="auto"/>
      <w:outlineLvl w:val="2"/>
    </w:pPr>
    <w:rPr>
      <w:b/>
      <w:bCs/>
      <w:sz w:val="32"/>
      <w:szCs w:val="32"/>
    </w:rPr>
  </w:style>
  <w:style w:type="paragraph" w:styleId="11">
    <w:name w:val="heading 4"/>
    <w:basedOn w:val="1"/>
    <w:next w:val="1"/>
    <w:link w:val="52"/>
    <w:autoRedefine/>
    <w:qFormat/>
    <w:uiPriority w:val="0"/>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13">
    <w:name w:val="heading 6"/>
    <w:basedOn w:val="1"/>
    <w:next w:val="1"/>
    <w:link w:val="59"/>
    <w:autoRedefine/>
    <w:qFormat/>
    <w:uiPriority w:val="0"/>
    <w:pPr>
      <w:keepNext/>
      <w:keepLines/>
      <w:spacing w:before="240" w:after="64" w:line="316" w:lineRule="auto"/>
      <w:outlineLvl w:val="5"/>
    </w:pPr>
    <w:rPr>
      <w:rFonts w:ascii="Cambria" w:hAnsi="Cambria"/>
      <w:b/>
      <w:bCs/>
      <w:sz w:val="24"/>
    </w:rPr>
  </w:style>
  <w:style w:type="paragraph" w:styleId="14">
    <w:name w:val="heading 7"/>
    <w:basedOn w:val="1"/>
    <w:next w:val="1"/>
    <w:link w:val="60"/>
    <w:autoRedefine/>
    <w:qFormat/>
    <w:uiPriority w:val="0"/>
    <w:pPr>
      <w:keepNext/>
      <w:keepLines/>
      <w:spacing w:before="240" w:after="64" w:line="316" w:lineRule="auto"/>
      <w:outlineLvl w:val="6"/>
    </w:pPr>
    <w:rPr>
      <w:rFonts w:ascii="Calibri" w:hAnsi="Calibri"/>
      <w:b/>
      <w:bCs/>
      <w:sz w:val="24"/>
    </w:rPr>
  </w:style>
  <w:style w:type="paragraph" w:styleId="15">
    <w:name w:val="heading 8"/>
    <w:basedOn w:val="1"/>
    <w:next w:val="1"/>
    <w:link w:val="61"/>
    <w:autoRedefine/>
    <w:qFormat/>
    <w:uiPriority w:val="0"/>
    <w:pPr>
      <w:keepNext/>
      <w:keepLines/>
      <w:spacing w:before="240" w:after="64" w:line="316" w:lineRule="auto"/>
      <w:outlineLvl w:val="7"/>
    </w:pPr>
    <w:rPr>
      <w:rFonts w:ascii="Cambria" w:hAnsi="Cambria"/>
      <w:sz w:val="24"/>
    </w:rPr>
  </w:style>
  <w:style w:type="paragraph" w:styleId="16">
    <w:name w:val="heading 9"/>
    <w:basedOn w:val="1"/>
    <w:next w:val="1"/>
    <w:link w:val="62"/>
    <w:autoRedefine/>
    <w:qFormat/>
    <w:uiPriority w:val="0"/>
    <w:pPr>
      <w:keepNext/>
      <w:keepLines/>
      <w:spacing w:before="240" w:after="64" w:line="316" w:lineRule="auto"/>
      <w:outlineLvl w:val="8"/>
    </w:pPr>
    <w:rPr>
      <w:rFonts w:ascii="Cambria" w:hAnsi="Cambria"/>
      <w:szCs w:val="21"/>
    </w:rPr>
  </w:style>
  <w:style w:type="character" w:default="1" w:styleId="36">
    <w:name w:val="Default Paragraph Font"/>
    <w:autoRedefine/>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style>
  <w:style w:type="paragraph" w:styleId="3">
    <w:name w:val="Body Text"/>
    <w:basedOn w:val="1"/>
    <w:next w:val="4"/>
    <w:link w:val="101"/>
    <w:autoRedefine/>
    <w:qFormat/>
    <w:uiPriority w:val="0"/>
    <w:rPr>
      <w:rFonts w:eastAsia="楷体_GB2312" w:cstheme="minorBidi"/>
      <w:sz w:val="28"/>
    </w:rPr>
  </w:style>
  <w:style w:type="paragraph" w:styleId="4">
    <w:name w:val="Body Text 2"/>
    <w:basedOn w:val="1"/>
    <w:next w:val="1"/>
    <w:link w:val="67"/>
    <w:autoRedefine/>
    <w:qFormat/>
    <w:uiPriority w:val="0"/>
    <w:pPr>
      <w:jc w:val="left"/>
    </w:pPr>
    <w:rPr>
      <w:rFonts w:eastAsia="楷体_GB2312" w:cstheme="minorBidi"/>
      <w:sz w:val="28"/>
    </w:rPr>
  </w:style>
  <w:style w:type="paragraph" w:styleId="5">
    <w:name w:val="Body Text First Indent 2"/>
    <w:basedOn w:val="6"/>
    <w:next w:val="1"/>
    <w:autoRedefine/>
    <w:qFormat/>
    <w:uiPriority w:val="0"/>
    <w:pPr>
      <w:tabs>
        <w:tab w:val="left" w:pos="945"/>
        <w:tab w:val="left" w:pos="1155"/>
      </w:tabs>
      <w:spacing w:after="120"/>
      <w:ind w:left="420" w:leftChars="200" w:firstLine="420" w:firstLineChars="200"/>
    </w:pPr>
    <w:rPr>
      <w:rFonts w:eastAsia="宋体" w:cs="Times New Roman"/>
    </w:rPr>
  </w:style>
  <w:style w:type="paragraph" w:styleId="6">
    <w:name w:val="Body Text Indent"/>
    <w:basedOn w:val="1"/>
    <w:next w:val="7"/>
    <w:link w:val="99"/>
    <w:autoRedefine/>
    <w:qFormat/>
    <w:uiPriority w:val="0"/>
    <w:pPr>
      <w:ind w:firstLine="538" w:firstLineChars="192"/>
    </w:pPr>
    <w:rPr>
      <w:rFonts w:eastAsia="楷体_GB2312" w:cstheme="minorBidi"/>
      <w:sz w:val="28"/>
    </w:rPr>
  </w:style>
  <w:style w:type="paragraph" w:styleId="7">
    <w:name w:val="envelope return"/>
    <w:basedOn w:val="1"/>
    <w:autoRedefine/>
    <w:unhideWhenUsed/>
    <w:qFormat/>
    <w:uiPriority w:val="99"/>
    <w:pPr>
      <w:snapToGrid w:val="0"/>
    </w:pPr>
    <w:rPr>
      <w:rFonts w:ascii="Arial" w:hAnsi="Arial"/>
    </w:rPr>
  </w:style>
  <w:style w:type="paragraph" w:styleId="17">
    <w:name w:val="Document Map"/>
    <w:basedOn w:val="1"/>
    <w:link w:val="86"/>
    <w:autoRedefine/>
    <w:qFormat/>
    <w:uiPriority w:val="0"/>
    <w:pPr>
      <w:shd w:val="clear" w:color="auto" w:fill="000080"/>
    </w:pPr>
    <w:rPr>
      <w:rFonts w:eastAsiaTheme="minorEastAsia" w:cstheme="minorBidi"/>
    </w:rPr>
  </w:style>
  <w:style w:type="paragraph" w:styleId="18">
    <w:name w:val="annotation text"/>
    <w:basedOn w:val="1"/>
    <w:link w:val="107"/>
    <w:autoRedefine/>
    <w:unhideWhenUsed/>
    <w:qFormat/>
    <w:uiPriority w:val="0"/>
    <w:pPr>
      <w:jc w:val="left"/>
    </w:pPr>
  </w:style>
  <w:style w:type="paragraph" w:styleId="19">
    <w:name w:val="Body Text 3"/>
    <w:basedOn w:val="1"/>
    <w:link w:val="96"/>
    <w:autoRedefine/>
    <w:qFormat/>
    <w:uiPriority w:val="0"/>
    <w:rPr>
      <w:rFonts w:ascii="宋体" w:eastAsiaTheme="minorEastAsia" w:cstheme="minorBidi"/>
      <w:sz w:val="24"/>
      <w:szCs w:val="22"/>
    </w:rPr>
  </w:style>
  <w:style w:type="paragraph" w:styleId="20">
    <w:name w:val="index 4"/>
    <w:basedOn w:val="1"/>
    <w:next w:val="1"/>
    <w:autoRedefine/>
    <w:unhideWhenUsed/>
    <w:qFormat/>
    <w:uiPriority w:val="0"/>
    <w:pPr>
      <w:ind w:left="600" w:leftChars="600"/>
    </w:pPr>
  </w:style>
  <w:style w:type="paragraph" w:styleId="21">
    <w:name w:val="Plain Text"/>
    <w:basedOn w:val="1"/>
    <w:link w:val="94"/>
    <w:autoRedefine/>
    <w:qFormat/>
    <w:uiPriority w:val="0"/>
    <w:pPr>
      <w:autoSpaceDE w:val="0"/>
      <w:autoSpaceDN w:val="0"/>
      <w:adjustRightInd w:val="0"/>
    </w:pPr>
    <w:rPr>
      <w:rFonts w:ascii="宋体" w:eastAsiaTheme="minorEastAsia" w:cstheme="minorBidi"/>
      <w:szCs w:val="22"/>
    </w:rPr>
  </w:style>
  <w:style w:type="paragraph" w:styleId="22">
    <w:name w:val="Date"/>
    <w:basedOn w:val="1"/>
    <w:next w:val="1"/>
    <w:link w:val="103"/>
    <w:autoRedefine/>
    <w:qFormat/>
    <w:uiPriority w:val="99"/>
    <w:pPr>
      <w:ind w:left="100" w:leftChars="2500"/>
    </w:pPr>
    <w:rPr>
      <w:rFonts w:eastAsia="楷体_GB2312" w:cstheme="minorBidi"/>
      <w:sz w:val="28"/>
    </w:rPr>
  </w:style>
  <w:style w:type="paragraph" w:styleId="23">
    <w:name w:val="Body Text Indent 2"/>
    <w:basedOn w:val="1"/>
    <w:link w:val="77"/>
    <w:autoRedefine/>
    <w:qFormat/>
    <w:uiPriority w:val="0"/>
    <w:pPr>
      <w:ind w:left="424" w:leftChars="202"/>
    </w:pPr>
    <w:rPr>
      <w:rFonts w:eastAsia="楷体_GB2312" w:cstheme="minorBidi"/>
      <w:sz w:val="28"/>
    </w:rPr>
  </w:style>
  <w:style w:type="paragraph" w:styleId="24">
    <w:name w:val="Balloon Text"/>
    <w:basedOn w:val="1"/>
    <w:link w:val="84"/>
    <w:autoRedefine/>
    <w:unhideWhenUsed/>
    <w:qFormat/>
    <w:uiPriority w:val="0"/>
    <w:rPr>
      <w:rFonts w:ascii="宋体" w:eastAsiaTheme="minorEastAsia" w:cstheme="minorBidi"/>
      <w:sz w:val="18"/>
      <w:szCs w:val="18"/>
    </w:rPr>
  </w:style>
  <w:style w:type="paragraph" w:styleId="25">
    <w:name w:val="footer"/>
    <w:basedOn w:val="1"/>
    <w:link w:val="55"/>
    <w:autoRedefine/>
    <w:unhideWhenUsed/>
    <w:qFormat/>
    <w:uiPriority w:val="0"/>
    <w:pPr>
      <w:tabs>
        <w:tab w:val="center" w:pos="4153"/>
        <w:tab w:val="right" w:pos="8306"/>
      </w:tabs>
      <w:snapToGrid w:val="0"/>
      <w:jc w:val="left"/>
    </w:pPr>
    <w:rPr>
      <w:sz w:val="18"/>
      <w:szCs w:val="18"/>
    </w:rPr>
  </w:style>
  <w:style w:type="paragraph" w:styleId="26">
    <w:name w:val="header"/>
    <w:basedOn w:val="1"/>
    <w:link w:val="5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Subtitle"/>
    <w:basedOn w:val="1"/>
    <w:next w:val="1"/>
    <w:link w:val="82"/>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29">
    <w:name w:val="footnote text"/>
    <w:basedOn w:val="1"/>
    <w:link w:val="75"/>
    <w:autoRedefine/>
    <w:qFormat/>
    <w:uiPriority w:val="0"/>
    <w:pPr>
      <w:snapToGrid w:val="0"/>
      <w:jc w:val="left"/>
    </w:pPr>
    <w:rPr>
      <w:rFonts w:eastAsiaTheme="minorEastAsia" w:cstheme="minorBidi"/>
      <w:sz w:val="18"/>
      <w:szCs w:val="18"/>
    </w:rPr>
  </w:style>
  <w:style w:type="paragraph" w:styleId="30">
    <w:name w:val="Body Text Indent 3"/>
    <w:basedOn w:val="1"/>
    <w:link w:val="64"/>
    <w:autoRedefine/>
    <w:qFormat/>
    <w:uiPriority w:val="0"/>
    <w:pPr>
      <w:ind w:left="425"/>
    </w:pPr>
    <w:rPr>
      <w:rFonts w:eastAsia="楷体_GB2312" w:cstheme="minorBidi"/>
      <w:sz w:val="28"/>
    </w:rPr>
  </w:style>
  <w:style w:type="paragraph" w:styleId="3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71"/>
    <w:autoRedefine/>
    <w:qFormat/>
    <w:uiPriority w:val="0"/>
    <w:pPr>
      <w:spacing w:before="240" w:after="60"/>
      <w:jc w:val="center"/>
      <w:outlineLvl w:val="0"/>
    </w:pPr>
    <w:rPr>
      <w:rFonts w:ascii="Cambria" w:hAnsi="Cambria" w:eastAsiaTheme="minorEastAsia" w:cstheme="minorBidi"/>
      <w:b/>
      <w:bCs/>
      <w:sz w:val="32"/>
      <w:szCs w:val="32"/>
    </w:rPr>
  </w:style>
  <w:style w:type="paragraph" w:styleId="33">
    <w:name w:val="annotation subject"/>
    <w:basedOn w:val="18"/>
    <w:next w:val="18"/>
    <w:link w:val="105"/>
    <w:autoRedefine/>
    <w:unhideWhenUsed/>
    <w:qFormat/>
    <w:uiPriority w:val="0"/>
    <w:rPr>
      <w:rFonts w:ascii="宋体" w:eastAsiaTheme="minorEastAsia" w:cstheme="minorBidi"/>
      <w:b/>
      <w:bCs/>
      <w:sz w:val="28"/>
      <w:szCs w:val="22"/>
    </w:rPr>
  </w:style>
  <w:style w:type="table" w:styleId="35">
    <w:name w:val="Table Grid"/>
    <w:basedOn w:val="3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b/>
      <w:bCs/>
    </w:rPr>
  </w:style>
  <w:style w:type="character" w:styleId="38">
    <w:name w:val="FollowedHyperlink"/>
    <w:basedOn w:val="36"/>
    <w:autoRedefine/>
    <w:semiHidden/>
    <w:unhideWhenUsed/>
    <w:qFormat/>
    <w:uiPriority w:val="99"/>
    <w:rPr>
      <w:color w:val="800080"/>
      <w:u w:val="none"/>
    </w:rPr>
  </w:style>
  <w:style w:type="character" w:styleId="39">
    <w:name w:val="HTML Definition"/>
    <w:basedOn w:val="36"/>
    <w:autoRedefine/>
    <w:semiHidden/>
    <w:unhideWhenUsed/>
    <w:qFormat/>
    <w:uiPriority w:val="99"/>
  </w:style>
  <w:style w:type="character" w:styleId="40">
    <w:name w:val="HTML Typewriter"/>
    <w:basedOn w:val="36"/>
    <w:autoRedefine/>
    <w:semiHidden/>
    <w:unhideWhenUsed/>
    <w:qFormat/>
    <w:uiPriority w:val="99"/>
    <w:rPr>
      <w:rFonts w:hint="default" w:ascii="monospace" w:hAnsi="monospace" w:eastAsia="monospace" w:cs="monospace"/>
      <w:sz w:val="20"/>
    </w:rPr>
  </w:style>
  <w:style w:type="character" w:styleId="41">
    <w:name w:val="HTML Acronym"/>
    <w:basedOn w:val="36"/>
    <w:autoRedefine/>
    <w:semiHidden/>
    <w:unhideWhenUsed/>
    <w:qFormat/>
    <w:uiPriority w:val="99"/>
  </w:style>
  <w:style w:type="character" w:styleId="42">
    <w:name w:val="HTML Variable"/>
    <w:basedOn w:val="36"/>
    <w:autoRedefine/>
    <w:semiHidden/>
    <w:unhideWhenUsed/>
    <w:qFormat/>
    <w:uiPriority w:val="99"/>
  </w:style>
  <w:style w:type="character" w:styleId="43">
    <w:name w:val="Hyperlink"/>
    <w:basedOn w:val="36"/>
    <w:autoRedefine/>
    <w:unhideWhenUsed/>
    <w:qFormat/>
    <w:uiPriority w:val="99"/>
    <w:rPr>
      <w:color w:val="0000FF"/>
      <w:u w:val="single"/>
    </w:rPr>
  </w:style>
  <w:style w:type="character" w:styleId="44">
    <w:name w:val="HTML Code"/>
    <w:basedOn w:val="36"/>
    <w:autoRedefine/>
    <w:semiHidden/>
    <w:unhideWhenUsed/>
    <w:qFormat/>
    <w:uiPriority w:val="99"/>
    <w:rPr>
      <w:rFonts w:hint="default" w:ascii="monospace" w:hAnsi="monospace" w:eastAsia="monospace" w:cs="monospace"/>
      <w:sz w:val="20"/>
    </w:rPr>
  </w:style>
  <w:style w:type="character" w:styleId="45">
    <w:name w:val="annotation reference"/>
    <w:autoRedefine/>
    <w:unhideWhenUsed/>
    <w:qFormat/>
    <w:uiPriority w:val="0"/>
    <w:rPr>
      <w:rFonts w:hint="default" w:ascii="Times New Roman" w:hAnsi="Times New Roman" w:cs="Times New Roman"/>
      <w:sz w:val="21"/>
      <w:szCs w:val="21"/>
    </w:rPr>
  </w:style>
  <w:style w:type="character" w:styleId="46">
    <w:name w:val="HTML Cite"/>
    <w:basedOn w:val="36"/>
    <w:autoRedefine/>
    <w:semiHidden/>
    <w:unhideWhenUsed/>
    <w:qFormat/>
    <w:uiPriority w:val="99"/>
  </w:style>
  <w:style w:type="character" w:styleId="47">
    <w:name w:val="HTML Keyboard"/>
    <w:basedOn w:val="36"/>
    <w:autoRedefine/>
    <w:semiHidden/>
    <w:unhideWhenUsed/>
    <w:qFormat/>
    <w:uiPriority w:val="99"/>
    <w:rPr>
      <w:rFonts w:ascii="monospace" w:hAnsi="monospace" w:eastAsia="monospace" w:cs="monospace"/>
      <w:sz w:val="20"/>
    </w:rPr>
  </w:style>
  <w:style w:type="character" w:styleId="48">
    <w:name w:val="HTML Sample"/>
    <w:basedOn w:val="36"/>
    <w:autoRedefine/>
    <w:semiHidden/>
    <w:unhideWhenUsed/>
    <w:qFormat/>
    <w:uiPriority w:val="99"/>
    <w:rPr>
      <w:rFonts w:hint="default" w:ascii="monospace" w:hAnsi="monospace" w:eastAsia="monospace" w:cs="monospac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BodyTextIndent"/>
    <w:basedOn w:val="1"/>
    <w:next w:val="51"/>
    <w:autoRedefine/>
    <w:qFormat/>
    <w:uiPriority w:val="0"/>
    <w:pPr>
      <w:spacing w:line="500" w:lineRule="exact"/>
      <w:ind w:firstLine="480"/>
    </w:pPr>
    <w:rPr>
      <w:rFonts w:ascii="Times New Roman" w:hAnsi="Times New Roman"/>
      <w:sz w:val="24"/>
      <w:szCs w:val="20"/>
    </w:rPr>
  </w:style>
  <w:style w:type="paragraph" w:customStyle="1" w:styleId="51">
    <w:name w:val="UserStyle_80"/>
    <w:autoRedefine/>
    <w:qFormat/>
    <w:uiPriority w:val="0"/>
    <w:pPr>
      <w:textAlignment w:val="baseline"/>
    </w:pPr>
    <w:rPr>
      <w:rFonts w:ascii="宋体" w:hAnsi="Calibri" w:eastAsia="宋体" w:cs="Times New Roman"/>
      <w:color w:val="000000"/>
      <w:sz w:val="24"/>
      <w:szCs w:val="24"/>
      <w:lang w:val="en-US" w:eastAsia="zh-CN" w:bidi="ar-SA"/>
    </w:rPr>
  </w:style>
  <w:style w:type="character" w:customStyle="1" w:styleId="52">
    <w:name w:val="标题 4 Char"/>
    <w:basedOn w:val="36"/>
    <w:link w:val="11"/>
    <w:autoRedefine/>
    <w:qFormat/>
    <w:uiPriority w:val="0"/>
    <w:rPr>
      <w:rFonts w:ascii="Arial" w:hAnsi="Arial" w:eastAsia="黑体" w:cs="Times New Roman"/>
      <w:b/>
      <w:bCs/>
      <w:sz w:val="28"/>
      <w:szCs w:val="28"/>
    </w:rPr>
  </w:style>
  <w:style w:type="character" w:customStyle="1" w:styleId="53">
    <w:name w:val="标题 3 Char"/>
    <w:basedOn w:val="36"/>
    <w:link w:val="10"/>
    <w:autoRedefine/>
    <w:qFormat/>
    <w:uiPriority w:val="0"/>
    <w:rPr>
      <w:rFonts w:ascii="Times New Roman" w:hAnsi="Times New Roman" w:eastAsia="宋体" w:cs="Times New Roman"/>
      <w:b/>
      <w:bCs/>
      <w:sz w:val="32"/>
      <w:szCs w:val="32"/>
    </w:rPr>
  </w:style>
  <w:style w:type="character" w:customStyle="1" w:styleId="54">
    <w:name w:val="页眉 Char"/>
    <w:basedOn w:val="36"/>
    <w:link w:val="26"/>
    <w:autoRedefine/>
    <w:qFormat/>
    <w:uiPriority w:val="0"/>
    <w:rPr>
      <w:sz w:val="18"/>
      <w:szCs w:val="18"/>
    </w:rPr>
  </w:style>
  <w:style w:type="character" w:customStyle="1" w:styleId="55">
    <w:name w:val="页脚 Char"/>
    <w:basedOn w:val="36"/>
    <w:link w:val="25"/>
    <w:autoRedefine/>
    <w:qFormat/>
    <w:uiPriority w:val="0"/>
    <w:rPr>
      <w:sz w:val="18"/>
      <w:szCs w:val="18"/>
    </w:rPr>
  </w:style>
  <w:style w:type="character" w:customStyle="1" w:styleId="56">
    <w:name w:val="标题 1 Char"/>
    <w:basedOn w:val="36"/>
    <w:link w:val="8"/>
    <w:autoRedefine/>
    <w:qFormat/>
    <w:uiPriority w:val="0"/>
    <w:rPr>
      <w:rFonts w:ascii="Times New Roman" w:hAnsi="Times New Roman" w:eastAsia="宋体" w:cs="Times New Roman"/>
      <w:b/>
      <w:bCs/>
      <w:kern w:val="44"/>
      <w:sz w:val="36"/>
      <w:szCs w:val="44"/>
    </w:rPr>
  </w:style>
  <w:style w:type="character" w:customStyle="1" w:styleId="57">
    <w:name w:val="标题 2 Char"/>
    <w:basedOn w:val="36"/>
    <w:link w:val="9"/>
    <w:autoRedefine/>
    <w:qFormat/>
    <w:uiPriority w:val="0"/>
    <w:rPr>
      <w:rFonts w:ascii="Arial" w:hAnsi="Arial" w:eastAsia="黑体" w:cs="Times New Roman"/>
      <w:b/>
      <w:bCs/>
      <w:sz w:val="32"/>
      <w:szCs w:val="32"/>
    </w:rPr>
  </w:style>
  <w:style w:type="character" w:customStyle="1" w:styleId="58">
    <w:name w:val="标题 5 Char"/>
    <w:basedOn w:val="36"/>
    <w:link w:val="12"/>
    <w:autoRedefine/>
    <w:qFormat/>
    <w:uiPriority w:val="0"/>
    <w:rPr>
      <w:rFonts w:ascii="Times New Roman" w:hAnsi="Times New Roman" w:eastAsia="宋体" w:cs="Times New Roman"/>
      <w:b/>
      <w:bCs/>
      <w:sz w:val="28"/>
      <w:szCs w:val="28"/>
    </w:rPr>
  </w:style>
  <w:style w:type="character" w:customStyle="1" w:styleId="59">
    <w:name w:val="标题 6 Char"/>
    <w:basedOn w:val="36"/>
    <w:link w:val="13"/>
    <w:autoRedefine/>
    <w:qFormat/>
    <w:uiPriority w:val="0"/>
    <w:rPr>
      <w:rFonts w:ascii="Cambria" w:hAnsi="Cambria" w:eastAsia="宋体" w:cs="Times New Roman"/>
      <w:b/>
      <w:bCs/>
      <w:sz w:val="24"/>
      <w:szCs w:val="24"/>
    </w:rPr>
  </w:style>
  <w:style w:type="character" w:customStyle="1" w:styleId="60">
    <w:name w:val="标题 7 Char"/>
    <w:basedOn w:val="36"/>
    <w:link w:val="14"/>
    <w:autoRedefine/>
    <w:qFormat/>
    <w:uiPriority w:val="0"/>
    <w:rPr>
      <w:rFonts w:ascii="Calibri" w:hAnsi="Calibri" w:eastAsia="宋体" w:cs="Times New Roman"/>
      <w:b/>
      <w:bCs/>
      <w:sz w:val="24"/>
      <w:szCs w:val="24"/>
    </w:rPr>
  </w:style>
  <w:style w:type="character" w:customStyle="1" w:styleId="61">
    <w:name w:val="标题 8 Char"/>
    <w:basedOn w:val="36"/>
    <w:link w:val="15"/>
    <w:autoRedefine/>
    <w:qFormat/>
    <w:uiPriority w:val="0"/>
    <w:rPr>
      <w:rFonts w:ascii="Cambria" w:hAnsi="Cambria" w:eastAsia="宋体" w:cs="Times New Roman"/>
      <w:sz w:val="24"/>
      <w:szCs w:val="24"/>
    </w:rPr>
  </w:style>
  <w:style w:type="character" w:customStyle="1" w:styleId="62">
    <w:name w:val="标题 9 Char"/>
    <w:basedOn w:val="36"/>
    <w:link w:val="16"/>
    <w:autoRedefine/>
    <w:qFormat/>
    <w:uiPriority w:val="0"/>
    <w:rPr>
      <w:rFonts w:ascii="Cambria" w:hAnsi="Cambria" w:eastAsia="宋体" w:cs="Times New Roman"/>
      <w:szCs w:val="21"/>
    </w:rPr>
  </w:style>
  <w:style w:type="character" w:customStyle="1" w:styleId="63">
    <w:name w:val="批注文字 Char Char"/>
    <w:autoRedefine/>
    <w:qFormat/>
    <w:uiPriority w:val="0"/>
    <w:rPr>
      <w:rFonts w:hint="eastAsia" w:ascii="宋体" w:hAnsi="Times New Roman" w:eastAsia="宋体" w:cs="Times New Roman"/>
      <w:sz w:val="28"/>
      <w:szCs w:val="20"/>
    </w:rPr>
  </w:style>
  <w:style w:type="character" w:customStyle="1" w:styleId="64">
    <w:name w:val="正文文本缩进 3 Char"/>
    <w:basedOn w:val="36"/>
    <w:link w:val="30"/>
    <w:autoRedefine/>
    <w:qFormat/>
    <w:uiPriority w:val="0"/>
    <w:rPr>
      <w:rFonts w:ascii="Times New Roman" w:hAnsi="Times New Roman" w:eastAsia="楷体_GB2312"/>
      <w:sz w:val="28"/>
      <w:szCs w:val="24"/>
    </w:rPr>
  </w:style>
  <w:style w:type="character" w:customStyle="1" w:styleId="65">
    <w:name w:val="正文文本缩进 3 Char1"/>
    <w:basedOn w:val="36"/>
    <w:autoRedefine/>
    <w:semiHidden/>
    <w:qFormat/>
    <w:uiPriority w:val="99"/>
    <w:rPr>
      <w:rFonts w:ascii="Times New Roman" w:hAnsi="Times New Roman" w:eastAsia="宋体" w:cs="Times New Roman"/>
      <w:sz w:val="16"/>
      <w:szCs w:val="16"/>
    </w:rPr>
  </w:style>
  <w:style w:type="character" w:customStyle="1" w:styleId="66">
    <w:name w:val="文档结构图 Char1"/>
    <w:autoRedefine/>
    <w:qFormat/>
    <w:uiPriority w:val="0"/>
    <w:rPr>
      <w:rFonts w:hint="eastAsia" w:ascii="宋体" w:hAnsi="宋体" w:eastAsia="宋体"/>
      <w:kern w:val="2"/>
      <w:sz w:val="18"/>
      <w:szCs w:val="18"/>
    </w:rPr>
  </w:style>
  <w:style w:type="character" w:customStyle="1" w:styleId="67">
    <w:name w:val="正文文本 2 Char"/>
    <w:basedOn w:val="36"/>
    <w:link w:val="4"/>
    <w:autoRedefine/>
    <w:qFormat/>
    <w:uiPriority w:val="0"/>
    <w:rPr>
      <w:rFonts w:ascii="Times New Roman" w:hAnsi="Times New Roman" w:eastAsia="楷体_GB2312"/>
      <w:sz w:val="28"/>
      <w:szCs w:val="24"/>
    </w:rPr>
  </w:style>
  <w:style w:type="character" w:customStyle="1" w:styleId="68">
    <w:name w:val="正文文本 2 Char1"/>
    <w:basedOn w:val="36"/>
    <w:autoRedefine/>
    <w:semiHidden/>
    <w:qFormat/>
    <w:uiPriority w:val="99"/>
    <w:rPr>
      <w:rFonts w:ascii="Times New Roman" w:hAnsi="Times New Roman" w:eastAsia="宋体" w:cs="Times New Roman"/>
      <w:szCs w:val="24"/>
    </w:rPr>
  </w:style>
  <w:style w:type="character" w:customStyle="1" w:styleId="69">
    <w:name w:val="书籍标题1"/>
    <w:autoRedefine/>
    <w:qFormat/>
    <w:uiPriority w:val="0"/>
    <w:rPr>
      <w:b/>
      <w:bCs/>
      <w:smallCaps/>
      <w:spacing w:val="5"/>
    </w:rPr>
  </w:style>
  <w:style w:type="character" w:customStyle="1" w:styleId="70">
    <w:name w:val="批注框文本 Char1"/>
    <w:autoRedefine/>
    <w:qFormat/>
    <w:uiPriority w:val="0"/>
    <w:rPr>
      <w:kern w:val="2"/>
      <w:sz w:val="18"/>
      <w:szCs w:val="18"/>
    </w:rPr>
  </w:style>
  <w:style w:type="character" w:customStyle="1" w:styleId="71">
    <w:name w:val="标题 Char1"/>
    <w:basedOn w:val="36"/>
    <w:link w:val="32"/>
    <w:autoRedefine/>
    <w:qFormat/>
    <w:locked/>
    <w:uiPriority w:val="0"/>
    <w:rPr>
      <w:rFonts w:ascii="Cambria" w:hAnsi="Cambria"/>
      <w:b/>
      <w:bCs/>
      <w:sz w:val="32"/>
      <w:szCs w:val="32"/>
    </w:rPr>
  </w:style>
  <w:style w:type="character" w:customStyle="1" w:styleId="72">
    <w:name w:val="标题 Char"/>
    <w:basedOn w:val="36"/>
    <w:autoRedefine/>
    <w:qFormat/>
    <w:uiPriority w:val="10"/>
    <w:rPr>
      <w:rFonts w:eastAsia="宋体" w:asciiTheme="majorHAnsi" w:hAnsiTheme="majorHAnsi" w:cstheme="majorBidi"/>
      <w:b/>
      <w:bCs/>
      <w:sz w:val="32"/>
      <w:szCs w:val="32"/>
    </w:rPr>
  </w:style>
  <w:style w:type="character" w:customStyle="1" w:styleId="73">
    <w:name w:val="textcontents"/>
    <w:autoRedefine/>
    <w:qFormat/>
    <w:uiPriority w:val="0"/>
    <w:rPr>
      <w:rFonts w:hint="default" w:ascii="Times New Roman" w:hAnsi="Times New Roman" w:cs="Times New Roman"/>
    </w:rPr>
  </w:style>
  <w:style w:type="character" w:customStyle="1" w:styleId="74">
    <w:name w:val="日期 Char1"/>
    <w:autoRedefine/>
    <w:qFormat/>
    <w:uiPriority w:val="0"/>
    <w:rPr>
      <w:kern w:val="2"/>
      <w:sz w:val="21"/>
      <w:szCs w:val="22"/>
    </w:rPr>
  </w:style>
  <w:style w:type="character" w:customStyle="1" w:styleId="75">
    <w:name w:val="脚注文本 Char"/>
    <w:basedOn w:val="36"/>
    <w:link w:val="29"/>
    <w:autoRedefine/>
    <w:qFormat/>
    <w:uiPriority w:val="0"/>
    <w:rPr>
      <w:rFonts w:ascii="Times New Roman" w:hAnsi="Times New Roman"/>
      <w:sz w:val="18"/>
      <w:szCs w:val="18"/>
    </w:rPr>
  </w:style>
  <w:style w:type="character" w:customStyle="1" w:styleId="76">
    <w:name w:val="脚注文本 Char1"/>
    <w:basedOn w:val="36"/>
    <w:autoRedefine/>
    <w:semiHidden/>
    <w:qFormat/>
    <w:uiPriority w:val="99"/>
    <w:rPr>
      <w:rFonts w:ascii="Times New Roman" w:hAnsi="Times New Roman" w:eastAsia="宋体" w:cs="Times New Roman"/>
      <w:sz w:val="18"/>
      <w:szCs w:val="18"/>
    </w:rPr>
  </w:style>
  <w:style w:type="character" w:customStyle="1" w:styleId="77">
    <w:name w:val="正文文本缩进 2 Char"/>
    <w:basedOn w:val="36"/>
    <w:link w:val="23"/>
    <w:autoRedefine/>
    <w:qFormat/>
    <w:uiPriority w:val="0"/>
    <w:rPr>
      <w:rFonts w:ascii="Times New Roman" w:hAnsi="Times New Roman" w:eastAsia="楷体_GB2312"/>
      <w:sz w:val="28"/>
      <w:szCs w:val="24"/>
    </w:rPr>
  </w:style>
  <w:style w:type="character" w:customStyle="1" w:styleId="78">
    <w:name w:val="正文文本缩进 2 Char1"/>
    <w:basedOn w:val="36"/>
    <w:autoRedefine/>
    <w:semiHidden/>
    <w:qFormat/>
    <w:uiPriority w:val="99"/>
    <w:rPr>
      <w:rFonts w:ascii="Times New Roman" w:hAnsi="Times New Roman" w:eastAsia="宋体" w:cs="Times New Roman"/>
      <w:szCs w:val="24"/>
    </w:rPr>
  </w:style>
  <w:style w:type="character" w:customStyle="1" w:styleId="79">
    <w:name w:val="引用 Char1"/>
    <w:basedOn w:val="36"/>
    <w:link w:val="80"/>
    <w:autoRedefine/>
    <w:qFormat/>
    <w:locked/>
    <w:uiPriority w:val="0"/>
    <w:rPr>
      <w:i/>
      <w:iCs/>
      <w:color w:val="000000"/>
    </w:rPr>
  </w:style>
  <w:style w:type="paragraph" w:styleId="80">
    <w:name w:val="Quote"/>
    <w:basedOn w:val="1"/>
    <w:next w:val="1"/>
    <w:link w:val="79"/>
    <w:autoRedefine/>
    <w:qFormat/>
    <w:uiPriority w:val="0"/>
    <w:rPr>
      <w:rFonts w:asciiTheme="minorHAnsi" w:hAnsiTheme="minorHAnsi" w:eastAsiaTheme="minorEastAsia" w:cstheme="minorBidi"/>
      <w:i/>
      <w:iCs/>
      <w:color w:val="000000"/>
      <w:szCs w:val="22"/>
    </w:rPr>
  </w:style>
  <w:style w:type="character" w:customStyle="1" w:styleId="81">
    <w:name w:val="引用 Char"/>
    <w:basedOn w:val="36"/>
    <w:autoRedefine/>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82">
    <w:name w:val="副标题 Char1"/>
    <w:basedOn w:val="36"/>
    <w:link w:val="28"/>
    <w:autoRedefine/>
    <w:qFormat/>
    <w:locked/>
    <w:uiPriority w:val="0"/>
    <w:rPr>
      <w:rFonts w:ascii="Cambria" w:hAnsi="Cambria"/>
      <w:b/>
      <w:bCs/>
      <w:kern w:val="28"/>
      <w:sz w:val="32"/>
      <w:szCs w:val="32"/>
    </w:rPr>
  </w:style>
  <w:style w:type="character" w:customStyle="1" w:styleId="83">
    <w:name w:val="副标题 Char"/>
    <w:basedOn w:val="36"/>
    <w:autoRedefine/>
    <w:qFormat/>
    <w:uiPriority w:val="11"/>
    <w:rPr>
      <w:rFonts w:eastAsia="宋体" w:asciiTheme="majorHAnsi" w:hAnsiTheme="majorHAnsi" w:cstheme="majorBidi"/>
      <w:b/>
      <w:bCs/>
      <w:kern w:val="28"/>
      <w:sz w:val="32"/>
      <w:szCs w:val="32"/>
    </w:rPr>
  </w:style>
  <w:style w:type="character" w:customStyle="1" w:styleId="84">
    <w:name w:val="批注框文本 Char2"/>
    <w:basedOn w:val="36"/>
    <w:link w:val="24"/>
    <w:autoRedefine/>
    <w:qFormat/>
    <w:locked/>
    <w:uiPriority w:val="0"/>
    <w:rPr>
      <w:rFonts w:ascii="宋体" w:hAnsi="Times New Roman"/>
      <w:sz w:val="18"/>
      <w:szCs w:val="18"/>
    </w:rPr>
  </w:style>
  <w:style w:type="character" w:customStyle="1" w:styleId="85">
    <w:name w:val="批注框文本 Char"/>
    <w:basedOn w:val="36"/>
    <w:autoRedefine/>
    <w:semiHidden/>
    <w:qFormat/>
    <w:uiPriority w:val="99"/>
    <w:rPr>
      <w:rFonts w:ascii="Times New Roman" w:hAnsi="Times New Roman" w:eastAsia="宋体" w:cs="Times New Roman"/>
      <w:sz w:val="18"/>
      <w:szCs w:val="18"/>
    </w:rPr>
  </w:style>
  <w:style w:type="character" w:customStyle="1" w:styleId="86">
    <w:name w:val="文档结构图 Char"/>
    <w:basedOn w:val="36"/>
    <w:link w:val="17"/>
    <w:autoRedefine/>
    <w:qFormat/>
    <w:uiPriority w:val="0"/>
    <w:rPr>
      <w:rFonts w:ascii="Times New Roman" w:hAnsi="Times New Roman"/>
      <w:szCs w:val="24"/>
      <w:shd w:val="clear" w:color="auto" w:fill="000080"/>
    </w:rPr>
  </w:style>
  <w:style w:type="character" w:customStyle="1" w:styleId="87">
    <w:name w:val="文档结构图 Char2"/>
    <w:basedOn w:val="36"/>
    <w:autoRedefine/>
    <w:semiHidden/>
    <w:qFormat/>
    <w:uiPriority w:val="99"/>
    <w:rPr>
      <w:rFonts w:ascii="宋体" w:hAnsi="Times New Roman" w:eastAsia="宋体" w:cs="Times New Roman"/>
      <w:sz w:val="18"/>
      <w:szCs w:val="18"/>
    </w:rPr>
  </w:style>
  <w:style w:type="character" w:customStyle="1" w:styleId="88">
    <w:name w:val="不明显参考1"/>
    <w:autoRedefine/>
    <w:qFormat/>
    <w:uiPriority w:val="0"/>
    <w:rPr>
      <w:smallCaps/>
      <w:color w:val="C0504D"/>
      <w:u w:val="single"/>
    </w:rPr>
  </w:style>
  <w:style w:type="character" w:customStyle="1" w:styleId="89">
    <w:name w:val="不明显强调1"/>
    <w:autoRedefine/>
    <w:qFormat/>
    <w:uiPriority w:val="0"/>
    <w:rPr>
      <w:i/>
      <w:iCs/>
      <w:color w:val="808080"/>
    </w:rPr>
  </w:style>
  <w:style w:type="character" w:customStyle="1" w:styleId="90">
    <w:name w:val="标题4 Char Char"/>
    <w:link w:val="91"/>
    <w:autoRedefine/>
    <w:qFormat/>
    <w:locked/>
    <w:uiPriority w:val="0"/>
    <w:rPr>
      <w:rFonts w:ascii="Arial" w:hAnsi="Arial" w:cs="Arial"/>
      <w:b/>
      <w:bCs/>
      <w:sz w:val="24"/>
      <w:szCs w:val="32"/>
    </w:rPr>
  </w:style>
  <w:style w:type="paragraph" w:customStyle="1" w:styleId="91">
    <w:name w:val="标题4"/>
    <w:basedOn w:val="9"/>
    <w:next w:val="20"/>
    <w:link w:val="90"/>
    <w:autoRedefine/>
    <w:qFormat/>
    <w:uiPriority w:val="0"/>
    <w:pPr>
      <w:spacing w:line="412" w:lineRule="auto"/>
    </w:pPr>
    <w:rPr>
      <w:rFonts w:cs="Arial" w:eastAsiaTheme="minorEastAsia"/>
      <w:sz w:val="24"/>
    </w:rPr>
  </w:style>
  <w:style w:type="character" w:customStyle="1" w:styleId="92">
    <w:name w:val="明显参考1"/>
    <w:autoRedefine/>
    <w:qFormat/>
    <w:uiPriority w:val="0"/>
    <w:rPr>
      <w:b/>
      <w:bCs/>
      <w:smallCaps/>
      <w:color w:val="C0504D"/>
      <w:spacing w:val="5"/>
      <w:u w:val="single"/>
    </w:rPr>
  </w:style>
  <w:style w:type="character" w:customStyle="1" w:styleId="93">
    <w:name w:val="明显强调1"/>
    <w:autoRedefine/>
    <w:qFormat/>
    <w:uiPriority w:val="0"/>
    <w:rPr>
      <w:b/>
      <w:bCs/>
      <w:i/>
      <w:iCs/>
      <w:color w:val="4F81BD"/>
    </w:rPr>
  </w:style>
  <w:style w:type="character" w:customStyle="1" w:styleId="94">
    <w:name w:val="纯文本 Char"/>
    <w:basedOn w:val="36"/>
    <w:link w:val="21"/>
    <w:autoRedefine/>
    <w:qFormat/>
    <w:uiPriority w:val="0"/>
    <w:rPr>
      <w:rFonts w:ascii="宋体" w:hAnsi="Times New Roman"/>
    </w:rPr>
  </w:style>
  <w:style w:type="character" w:customStyle="1" w:styleId="95">
    <w:name w:val="纯文本 Char1"/>
    <w:basedOn w:val="36"/>
    <w:autoRedefine/>
    <w:semiHidden/>
    <w:qFormat/>
    <w:uiPriority w:val="99"/>
    <w:rPr>
      <w:rFonts w:ascii="宋体" w:hAnsi="Courier" w:eastAsia="宋体" w:cs="Times New Roman"/>
      <w:szCs w:val="21"/>
    </w:rPr>
  </w:style>
  <w:style w:type="character" w:customStyle="1" w:styleId="96">
    <w:name w:val="正文文本 3 Char"/>
    <w:basedOn w:val="36"/>
    <w:link w:val="19"/>
    <w:autoRedefine/>
    <w:qFormat/>
    <w:uiPriority w:val="0"/>
    <w:rPr>
      <w:rFonts w:ascii="宋体" w:hAnsi="Times New Roman"/>
      <w:sz w:val="24"/>
    </w:rPr>
  </w:style>
  <w:style w:type="character" w:customStyle="1" w:styleId="97">
    <w:name w:val="正文文本 3 Char1"/>
    <w:basedOn w:val="36"/>
    <w:autoRedefine/>
    <w:semiHidden/>
    <w:qFormat/>
    <w:uiPriority w:val="99"/>
    <w:rPr>
      <w:rFonts w:ascii="Times New Roman" w:hAnsi="Times New Roman" w:eastAsia="宋体" w:cs="Times New Roman"/>
      <w:sz w:val="16"/>
      <w:szCs w:val="16"/>
    </w:rPr>
  </w:style>
  <w:style w:type="character" w:customStyle="1" w:styleId="98">
    <w:name w:val="批注主题 Char1"/>
    <w:autoRedefine/>
    <w:qFormat/>
    <w:uiPriority w:val="0"/>
    <w:rPr>
      <w:b/>
      <w:bCs/>
      <w:kern w:val="2"/>
      <w:sz w:val="21"/>
      <w:szCs w:val="22"/>
    </w:rPr>
  </w:style>
  <w:style w:type="character" w:customStyle="1" w:styleId="99">
    <w:name w:val="正文文本缩进 Char"/>
    <w:basedOn w:val="36"/>
    <w:link w:val="6"/>
    <w:autoRedefine/>
    <w:qFormat/>
    <w:uiPriority w:val="0"/>
    <w:rPr>
      <w:rFonts w:ascii="Times New Roman" w:hAnsi="Times New Roman" w:eastAsia="楷体_GB2312"/>
      <w:sz w:val="28"/>
      <w:szCs w:val="24"/>
    </w:rPr>
  </w:style>
  <w:style w:type="character" w:customStyle="1" w:styleId="100">
    <w:name w:val="正文文本缩进 Char1"/>
    <w:basedOn w:val="36"/>
    <w:autoRedefine/>
    <w:semiHidden/>
    <w:qFormat/>
    <w:uiPriority w:val="99"/>
    <w:rPr>
      <w:rFonts w:ascii="Times New Roman" w:hAnsi="Times New Roman" w:eastAsia="宋体" w:cs="Times New Roman"/>
      <w:szCs w:val="24"/>
    </w:rPr>
  </w:style>
  <w:style w:type="character" w:customStyle="1" w:styleId="101">
    <w:name w:val="正文文本 Char"/>
    <w:basedOn w:val="36"/>
    <w:link w:val="3"/>
    <w:autoRedefine/>
    <w:qFormat/>
    <w:uiPriority w:val="0"/>
    <w:rPr>
      <w:rFonts w:ascii="Times New Roman" w:hAnsi="Times New Roman" w:eastAsia="楷体_GB2312"/>
      <w:sz w:val="28"/>
      <w:szCs w:val="24"/>
    </w:rPr>
  </w:style>
  <w:style w:type="character" w:customStyle="1" w:styleId="102">
    <w:name w:val="正文文本 Char1"/>
    <w:basedOn w:val="36"/>
    <w:autoRedefine/>
    <w:qFormat/>
    <w:uiPriority w:val="0"/>
    <w:rPr>
      <w:rFonts w:ascii="Times New Roman" w:hAnsi="Times New Roman" w:eastAsia="宋体" w:cs="Times New Roman"/>
      <w:szCs w:val="24"/>
    </w:rPr>
  </w:style>
  <w:style w:type="character" w:customStyle="1" w:styleId="103">
    <w:name w:val="日期 Char"/>
    <w:basedOn w:val="36"/>
    <w:link w:val="22"/>
    <w:autoRedefine/>
    <w:qFormat/>
    <w:uiPriority w:val="99"/>
    <w:rPr>
      <w:rFonts w:ascii="Times New Roman" w:hAnsi="Times New Roman" w:eastAsia="楷体_GB2312"/>
      <w:sz w:val="28"/>
      <w:szCs w:val="24"/>
    </w:rPr>
  </w:style>
  <w:style w:type="character" w:customStyle="1" w:styleId="104">
    <w:name w:val="日期 Char2"/>
    <w:basedOn w:val="36"/>
    <w:autoRedefine/>
    <w:semiHidden/>
    <w:qFormat/>
    <w:uiPriority w:val="99"/>
    <w:rPr>
      <w:rFonts w:ascii="Times New Roman" w:hAnsi="Times New Roman" w:eastAsia="宋体" w:cs="Times New Roman"/>
      <w:szCs w:val="24"/>
    </w:rPr>
  </w:style>
  <w:style w:type="character" w:customStyle="1" w:styleId="105">
    <w:name w:val="批注主题 Char2"/>
    <w:basedOn w:val="106"/>
    <w:link w:val="33"/>
    <w:autoRedefine/>
    <w:qFormat/>
    <w:locked/>
    <w:uiPriority w:val="0"/>
    <w:rPr>
      <w:rFonts w:ascii="宋体" w:hAnsi="Times New Roman"/>
      <w:b/>
      <w:bCs/>
      <w:kern w:val="2"/>
      <w:sz w:val="28"/>
      <w:szCs w:val="22"/>
    </w:rPr>
  </w:style>
  <w:style w:type="character" w:customStyle="1" w:styleId="106">
    <w:name w:val="批注文字 Char1"/>
    <w:basedOn w:val="36"/>
    <w:autoRedefine/>
    <w:semiHidden/>
    <w:qFormat/>
    <w:locked/>
    <w:uiPriority w:val="0"/>
    <w:rPr>
      <w:kern w:val="2"/>
      <w:sz w:val="21"/>
      <w:szCs w:val="22"/>
    </w:rPr>
  </w:style>
  <w:style w:type="character" w:customStyle="1" w:styleId="107">
    <w:name w:val="批注文字 Char"/>
    <w:basedOn w:val="36"/>
    <w:link w:val="18"/>
    <w:autoRedefine/>
    <w:qFormat/>
    <w:uiPriority w:val="99"/>
    <w:rPr>
      <w:rFonts w:ascii="Times New Roman" w:hAnsi="Times New Roman" w:eastAsia="宋体" w:cs="Times New Roman"/>
      <w:szCs w:val="24"/>
    </w:rPr>
  </w:style>
  <w:style w:type="character" w:customStyle="1" w:styleId="108">
    <w:name w:val="批注主题 Char"/>
    <w:basedOn w:val="107"/>
    <w:autoRedefine/>
    <w:semiHidden/>
    <w:qFormat/>
    <w:uiPriority w:val="99"/>
    <w:rPr>
      <w:rFonts w:ascii="Times New Roman" w:hAnsi="Times New Roman" w:eastAsia="宋体" w:cs="Times New Roman"/>
      <w:b/>
      <w:bCs/>
      <w:szCs w:val="24"/>
    </w:rPr>
  </w:style>
  <w:style w:type="character" w:customStyle="1" w:styleId="109">
    <w:name w:val="批注文字 Char2"/>
    <w:basedOn w:val="36"/>
    <w:autoRedefine/>
    <w:qFormat/>
    <w:uiPriority w:val="0"/>
    <w:rPr>
      <w:rFonts w:ascii="Times New Roman" w:hAnsi="Times New Roman" w:eastAsia="宋体" w:cs="Times New Roman"/>
      <w:szCs w:val="24"/>
    </w:rPr>
  </w:style>
  <w:style w:type="character" w:customStyle="1" w:styleId="110">
    <w:name w:val="明显引用 Char1"/>
    <w:basedOn w:val="36"/>
    <w:link w:val="111"/>
    <w:autoRedefine/>
    <w:qFormat/>
    <w:locked/>
    <w:uiPriority w:val="0"/>
    <w:rPr>
      <w:b/>
      <w:bCs/>
      <w:i/>
      <w:iCs/>
      <w:color w:val="4F81BD"/>
    </w:rPr>
  </w:style>
  <w:style w:type="paragraph" w:styleId="111">
    <w:name w:val="Intense Quote"/>
    <w:basedOn w:val="1"/>
    <w:next w:val="1"/>
    <w:link w:val="11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明显引用 Char"/>
    <w:basedOn w:val="36"/>
    <w:autoRedefine/>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13">
    <w:name w:val="标题5 Char Char"/>
    <w:link w:val="114"/>
    <w:autoRedefine/>
    <w:qFormat/>
    <w:locked/>
    <w:uiPriority w:val="0"/>
    <w:rPr>
      <w:rFonts w:ascii="Arial" w:hAnsi="Arial" w:cs="Arial"/>
      <w:b/>
      <w:bCs/>
      <w:sz w:val="24"/>
      <w:szCs w:val="32"/>
    </w:rPr>
  </w:style>
  <w:style w:type="paragraph" w:customStyle="1" w:styleId="114">
    <w:name w:val="标题5"/>
    <w:basedOn w:val="10"/>
    <w:link w:val="113"/>
    <w:autoRedefine/>
    <w:qFormat/>
    <w:uiPriority w:val="0"/>
    <w:pPr>
      <w:spacing w:line="412" w:lineRule="auto"/>
    </w:pPr>
    <w:rPr>
      <w:rFonts w:ascii="Arial" w:hAnsi="Arial" w:cs="Arial" w:eastAsiaTheme="minorEastAsia"/>
      <w:sz w:val="24"/>
    </w:rPr>
  </w:style>
  <w:style w:type="character" w:customStyle="1" w:styleId="115">
    <w:name w:val="批注主题 Char3"/>
    <w:basedOn w:val="109"/>
    <w:autoRedefine/>
    <w:semiHidden/>
    <w:qFormat/>
    <w:uiPriority w:val="99"/>
    <w:rPr>
      <w:rFonts w:ascii="Times New Roman" w:hAnsi="Times New Roman" w:eastAsia="宋体" w:cs="Times New Roman"/>
      <w:b/>
      <w:bCs/>
      <w:szCs w:val="24"/>
    </w:rPr>
  </w:style>
  <w:style w:type="character" w:customStyle="1" w:styleId="116">
    <w:name w:val="副标题 Char2"/>
    <w:basedOn w:val="36"/>
    <w:autoRedefine/>
    <w:qFormat/>
    <w:uiPriority w:val="11"/>
    <w:rPr>
      <w:rFonts w:ascii="Cambria" w:hAnsi="Cambria" w:eastAsia="宋体" w:cs="Times New Roman"/>
      <w:b/>
      <w:bCs/>
      <w:kern w:val="28"/>
      <w:sz w:val="32"/>
      <w:szCs w:val="32"/>
    </w:rPr>
  </w:style>
  <w:style w:type="character" w:customStyle="1" w:styleId="117">
    <w:name w:val="明显引用 Char2"/>
    <w:basedOn w:val="36"/>
    <w:autoRedefine/>
    <w:qFormat/>
    <w:uiPriority w:val="30"/>
    <w:rPr>
      <w:rFonts w:ascii="Times New Roman" w:hAnsi="Times New Roman" w:eastAsia="宋体" w:cs="Times New Roman"/>
      <w:b/>
      <w:bCs/>
      <w:i/>
      <w:iCs/>
      <w:color w:val="4F81BD"/>
      <w:szCs w:val="24"/>
    </w:rPr>
  </w:style>
  <w:style w:type="paragraph" w:styleId="11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修订1"/>
    <w:autoRedefine/>
    <w:semiHidden/>
    <w:qFormat/>
    <w:uiPriority w:val="0"/>
    <w:rPr>
      <w:rFonts w:ascii="Times New Roman" w:hAnsi="Times New Roman" w:eastAsia="宋体" w:cs="Times New Roman"/>
      <w:kern w:val="2"/>
      <w:sz w:val="21"/>
      <w:szCs w:val="24"/>
      <w:lang w:val="en-US" w:eastAsia="zh-CN" w:bidi="ar-SA"/>
    </w:rPr>
  </w:style>
  <w:style w:type="character" w:customStyle="1" w:styleId="120">
    <w:name w:val="正文文本 Char2"/>
    <w:basedOn w:val="36"/>
    <w:autoRedefine/>
    <w:semiHidden/>
    <w:qFormat/>
    <w:uiPriority w:val="99"/>
    <w:rPr>
      <w:rFonts w:ascii="Times New Roman" w:hAnsi="Times New Roman" w:eastAsia="宋体" w:cs="Times New Roman"/>
      <w:szCs w:val="24"/>
    </w:rPr>
  </w:style>
  <w:style w:type="character" w:customStyle="1" w:styleId="121">
    <w:name w:val="批注框文本 Char3"/>
    <w:basedOn w:val="36"/>
    <w:autoRedefine/>
    <w:semiHidden/>
    <w:qFormat/>
    <w:uiPriority w:val="99"/>
    <w:rPr>
      <w:rFonts w:ascii="Times New Roman" w:hAnsi="Times New Roman" w:eastAsia="宋体" w:cs="Times New Roman"/>
      <w:sz w:val="18"/>
      <w:szCs w:val="18"/>
    </w:rPr>
  </w:style>
  <w:style w:type="character" w:customStyle="1" w:styleId="122">
    <w:name w:val="引用 Char2"/>
    <w:basedOn w:val="36"/>
    <w:autoRedefine/>
    <w:qFormat/>
    <w:uiPriority w:val="29"/>
    <w:rPr>
      <w:rFonts w:ascii="Times New Roman" w:hAnsi="Times New Roman" w:eastAsia="宋体" w:cs="Times New Roman"/>
      <w:i/>
      <w:iCs/>
      <w:color w:val="000000"/>
      <w:szCs w:val="24"/>
    </w:rPr>
  </w:style>
  <w:style w:type="character" w:customStyle="1" w:styleId="123">
    <w:name w:val="标题 Char2"/>
    <w:basedOn w:val="36"/>
    <w:autoRedefine/>
    <w:qFormat/>
    <w:uiPriority w:val="10"/>
    <w:rPr>
      <w:rFonts w:ascii="Cambria" w:hAnsi="Cambria" w:eastAsia="宋体" w:cs="Times New Roman"/>
      <w:b/>
      <w:bCs/>
      <w:sz w:val="32"/>
      <w:szCs w:val="32"/>
    </w:rPr>
  </w:style>
  <w:style w:type="paragraph" w:customStyle="1" w:styleId="124">
    <w:name w:val="样式 标题 2 + Times New Roman 四号 非加粗 段前: 5 磅 段后: 0 磅 行距: 固定值 20..."/>
    <w:basedOn w:val="9"/>
    <w:autoRedefine/>
    <w:qFormat/>
    <w:uiPriority w:val="0"/>
    <w:pPr>
      <w:spacing w:before="100" w:after="0" w:line="400" w:lineRule="exact"/>
    </w:pPr>
    <w:rPr>
      <w:rFonts w:ascii="Times New Roman" w:hAnsi="Times New Roman" w:cs="宋体"/>
      <w:b w:val="0"/>
      <w:bCs w:val="0"/>
      <w:sz w:val="28"/>
      <w:szCs w:val="20"/>
    </w:rPr>
  </w:style>
  <w:style w:type="paragraph" w:customStyle="1" w:styleId="125">
    <w:name w:val="样式 标题 3 + (中文) 黑体 小四 非加粗 段前: 7.8 磅 段后: 0 磅 行距: 固定值 20 磅"/>
    <w:basedOn w:val="10"/>
    <w:autoRedefine/>
    <w:qFormat/>
    <w:uiPriority w:val="0"/>
    <w:pPr>
      <w:spacing w:before="0" w:after="0" w:line="400" w:lineRule="exact"/>
    </w:pPr>
    <w:rPr>
      <w:rFonts w:eastAsia="黑体" w:cs="宋体"/>
      <w:b w:val="0"/>
      <w:bCs w:val="0"/>
      <w:sz w:val="24"/>
      <w:szCs w:val="20"/>
    </w:rPr>
  </w:style>
  <w:style w:type="paragraph" w:customStyle="1" w:styleId="126">
    <w:name w:val="5正文"/>
    <w:basedOn w:val="1"/>
    <w:link w:val="127"/>
    <w:autoRedefine/>
    <w:qFormat/>
    <w:uiPriority w:val="0"/>
    <w:pPr>
      <w:autoSpaceDE w:val="0"/>
      <w:autoSpaceDN w:val="0"/>
      <w:spacing w:line="500" w:lineRule="exact"/>
      <w:ind w:firstLine="200" w:firstLineChars="200"/>
    </w:pPr>
    <w:rPr>
      <w:rFonts w:ascii="Calibri" w:hAnsi="Calibri"/>
      <w:color w:val="000000"/>
      <w:kern w:val="0"/>
      <w:sz w:val="28"/>
      <w:szCs w:val="28"/>
    </w:rPr>
  </w:style>
  <w:style w:type="character" w:customStyle="1" w:styleId="127">
    <w:name w:val="5正文 Char"/>
    <w:link w:val="126"/>
    <w:autoRedefine/>
    <w:qFormat/>
    <w:uiPriority w:val="0"/>
    <w:rPr>
      <w:rFonts w:ascii="Calibri" w:hAnsi="Calibri" w:eastAsia="宋体" w:cs="Times New Roman"/>
      <w:color w:val="000000"/>
      <w:kern w:val="0"/>
      <w:sz w:val="28"/>
      <w:szCs w:val="28"/>
    </w:rPr>
  </w:style>
  <w:style w:type="character" w:customStyle="1" w:styleId="128">
    <w:name w:val="ca-4"/>
    <w:autoRedefine/>
    <w:qFormat/>
    <w:uiPriority w:val="99"/>
    <w:rPr>
      <w:rFonts w:cs="Times New Roman"/>
    </w:rPr>
  </w:style>
  <w:style w:type="paragraph" w:customStyle="1" w:styleId="129">
    <w:name w:val="Body text|1"/>
    <w:basedOn w:val="1"/>
    <w:link w:val="130"/>
    <w:autoRedefine/>
    <w:qFormat/>
    <w:uiPriority w:val="99"/>
    <w:pPr>
      <w:spacing w:line="413" w:lineRule="auto"/>
      <w:ind w:firstLine="400"/>
    </w:pPr>
    <w:rPr>
      <w:rFonts w:ascii="宋体" w:hAnsi="宋体" w:cs="宋体"/>
      <w:lang w:val="zh-TW" w:eastAsia="zh-TW" w:bidi="zh-TW"/>
    </w:rPr>
  </w:style>
  <w:style w:type="character" w:customStyle="1" w:styleId="130">
    <w:name w:val="Body text|1_"/>
    <w:basedOn w:val="36"/>
    <w:link w:val="129"/>
    <w:autoRedefine/>
    <w:qFormat/>
    <w:locked/>
    <w:uiPriority w:val="99"/>
    <w:rPr>
      <w:rFonts w:ascii="宋体" w:hAnsi="宋体" w:eastAsia="宋体" w:cs="宋体"/>
      <w:szCs w:val="24"/>
      <w:lang w:val="zh-TW" w:eastAsia="zh-TW" w:bidi="zh-TW"/>
    </w:rPr>
  </w:style>
  <w:style w:type="paragraph" w:customStyle="1" w:styleId="131">
    <w:name w:val="Table Text"/>
    <w:basedOn w:val="1"/>
    <w:autoRedefine/>
    <w:semiHidden/>
    <w:qFormat/>
    <w:uiPriority w:val="0"/>
    <w:rPr>
      <w:rFonts w:ascii="宋体" w:hAnsi="宋体" w:cs="宋体"/>
      <w:sz w:val="20"/>
      <w:szCs w:val="20"/>
      <w:lang w:eastAsia="en-US"/>
    </w:rPr>
  </w:style>
  <w:style w:type="table" w:customStyle="1" w:styleId="132">
    <w:name w:val="Table Normal"/>
    <w:autoRedefine/>
    <w:unhideWhenUsed/>
    <w:qFormat/>
    <w:uiPriority w:val="0"/>
    <w:tblPr>
      <w:tblCellMar>
        <w:top w:w="0" w:type="dxa"/>
        <w:left w:w="0" w:type="dxa"/>
        <w:bottom w:w="0" w:type="dxa"/>
        <w:right w:w="0" w:type="dxa"/>
      </w:tblCellMar>
    </w:tblPr>
  </w:style>
  <w:style w:type="paragraph" w:customStyle="1" w:styleId="133">
    <w:name w:val="无间隔1"/>
    <w:basedOn w:val="1"/>
    <w:autoRedefine/>
    <w:qFormat/>
    <w:uiPriority w:val="1"/>
    <w:pPr>
      <w:spacing w:line="400" w:lineRule="exact"/>
    </w:pPr>
    <w:rPr>
      <w:sz w:val="24"/>
    </w:rPr>
  </w:style>
  <w:style w:type="paragraph" w:styleId="134">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13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36">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Sinopec_Ny</Company>
  <Pages>49</Pages>
  <Words>3406</Words>
  <Characters>19418</Characters>
  <Lines>161</Lines>
  <Paragraphs>45</Paragraphs>
  <TotalTime>16</TotalTime>
  <ScaleCrop>false</ScaleCrop>
  <LinksUpToDate>false</LinksUpToDate>
  <CharactersWithSpaces>22779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2022-04-11T12:48:00Z</dcterms:created>
  <dc:creator>Administrator</dc:creator>
  <cp:lastModifiedBy>admin</cp:lastModifiedBy>
  <cp:lastPrinted>2023-08-28T08:25:00Z</cp:lastPrinted>
  <dcterms:modified xsi:type="dcterms:W3CDTF">2024-03-08T03:22:27Z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D516880ADFEF4DEF977B86B4B82C8121_13</vt:lpwstr>
  </property>
</Properties>
</file>